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360" w:lineRule="auto"/>
        <w:jc w:val="center"/>
        <w:outlineLvl w:val="1"/>
        <w:rPr>
          <w:rFonts w:hint="default" w:ascii="宋体" w:hAnsi="宋体" w:eastAsia="宋体" w:cs="宋体"/>
          <w:bCs/>
          <w:color w:val="auto"/>
          <w:sz w:val="32"/>
          <w:szCs w:val="32"/>
          <w:highlight w:val="none"/>
          <w:lang w:val="en-US" w:eastAsia="zh-CN"/>
        </w:rPr>
      </w:pPr>
      <w:r>
        <w:rPr>
          <w:rFonts w:hint="eastAsia" w:ascii="宋体" w:hAnsi="宋体" w:eastAsia="宋体" w:cs="宋体"/>
          <w:bCs/>
          <w:color w:val="auto"/>
          <w:sz w:val="32"/>
          <w:szCs w:val="32"/>
          <w:highlight w:val="none"/>
          <w:lang w:val="en-US" w:eastAsia="zh-CN"/>
        </w:rPr>
        <w:t>招标澄清文件</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ind w:left="0" w:leftChars="0" w:firstLine="480" w:firstLineChars="200"/>
        <w:jc w:val="left"/>
        <w:textAlignment w:val="auto"/>
        <w:outlineLvl w:val="1"/>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上海应用技术大学本科基础化学教学实验室升级改造建设项目（项目编号：</w:t>
      </w:r>
      <w:bookmarkStart w:id="0" w:name="OLE_LINK29"/>
      <w:bookmarkStart w:id="1" w:name="OLE_LINK15"/>
      <w:bookmarkStart w:id="2" w:name="OLE_LINK6"/>
      <w:r>
        <w:rPr>
          <w:rFonts w:hint="eastAsia" w:ascii="宋体" w:hAnsi="宋体" w:eastAsia="宋体" w:cs="宋体"/>
          <w:bCs/>
          <w:color w:val="auto"/>
          <w:sz w:val="24"/>
          <w:szCs w:val="24"/>
          <w:highlight w:val="none"/>
          <w:lang w:val="en-US" w:eastAsia="zh-CN"/>
        </w:rPr>
        <w:t>0613-</w:t>
      </w:r>
      <w:bookmarkEnd w:id="0"/>
      <w:bookmarkEnd w:id="1"/>
      <w:r>
        <w:rPr>
          <w:rFonts w:hint="eastAsia" w:ascii="宋体" w:hAnsi="宋体" w:eastAsia="宋体" w:cs="宋体"/>
          <w:bCs/>
          <w:color w:val="auto"/>
          <w:sz w:val="24"/>
          <w:szCs w:val="24"/>
          <w:highlight w:val="none"/>
          <w:lang w:val="en-US" w:eastAsia="zh-CN"/>
        </w:rPr>
        <w:t>267123115985</w:t>
      </w:r>
      <w:bookmarkEnd w:id="2"/>
      <w:r>
        <w:rPr>
          <w:rFonts w:hint="eastAsia" w:ascii="宋体" w:hAnsi="宋体" w:eastAsia="宋体" w:cs="宋体"/>
          <w:bCs/>
          <w:color w:val="auto"/>
          <w:sz w:val="24"/>
          <w:szCs w:val="24"/>
          <w:highlight w:val="none"/>
          <w:lang w:val="en-US" w:eastAsia="zh-CN"/>
        </w:rPr>
        <w:t>），现对本项目招标文件进行澄清：</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b w:val="0"/>
          <w:bCs/>
          <w:sz w:val="24"/>
          <w:szCs w:val="24"/>
          <w:highlight w:val="none"/>
          <w:lang w:eastAsia="zh-CN"/>
        </w:rPr>
      </w:pPr>
      <w:r>
        <w:rPr>
          <w:rFonts w:hint="eastAsia" w:ascii="宋体" w:hAnsi="宋体" w:eastAsia="宋体" w:cs="宋体"/>
          <w:bCs/>
          <w:color w:val="auto"/>
          <w:sz w:val="24"/>
          <w:szCs w:val="24"/>
          <w:highlight w:val="none"/>
          <w:lang w:val="en-US" w:eastAsia="zh-CN"/>
        </w:rPr>
        <w:t>一、</w:t>
      </w:r>
      <w:r>
        <w:rPr>
          <w:rFonts w:hint="eastAsia" w:ascii="宋体" w:hAnsi="宋体" w:eastAsia="宋体" w:cs="宋体"/>
          <w:b w:val="0"/>
          <w:bCs/>
          <w:sz w:val="24"/>
          <w:szCs w:val="24"/>
          <w:highlight w:val="none"/>
          <w:lang w:eastAsia="zh-CN"/>
        </w:rPr>
        <w:t>原文定位：第三章二（四）第3项，印刷第32页（PDF第34页），文字为“低于采购项目最高限价45%”，后列公式为“报价＜采购项目最高限价×65%”。</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eastAsia="zh-CN"/>
        </w:rPr>
        <w:t>实际影响：本项目最高限价350万元，按45%计算为157.50万元，按65%计算为227.50万元，相差70万元，直接影响投标定价、成本测算和书面说明准备。财库〔2026〕2号允许按项目实际提高审查比例，上限为65%；本函并非认为65%本身违法，而是要求同一条款文字和公式一致。</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ind w:left="0" w:firstLine="480" w:firstLineChars="200"/>
        <w:jc w:val="left"/>
        <w:textAlignment w:val="auto"/>
        <w:outlineLvl w:val="1"/>
        <w:rPr>
          <w:rFonts w:hint="eastAsia" w:ascii="宋体" w:hAnsi="宋体" w:eastAsia="宋体" w:cs="宋体"/>
          <w:sz w:val="24"/>
          <w:szCs w:val="24"/>
          <w:highlight w:val="none"/>
          <w:lang w:eastAsia="zh-CN"/>
        </w:rPr>
      </w:pPr>
      <w:r>
        <w:rPr>
          <w:rFonts w:hint="eastAsia" w:ascii="宋体" w:hAnsi="宋体" w:eastAsia="宋体" w:cs="宋体"/>
          <w:b w:val="0"/>
          <w:bCs/>
          <w:sz w:val="24"/>
          <w:szCs w:val="24"/>
          <w:highlight w:val="none"/>
          <w:lang w:eastAsia="zh-CN"/>
        </w:rPr>
        <w:t>请求：请明确最</w:t>
      </w:r>
      <w:r>
        <w:rPr>
          <w:rFonts w:hint="eastAsia" w:ascii="宋体" w:hAnsi="宋体" w:eastAsia="宋体" w:cs="宋体"/>
          <w:sz w:val="24"/>
          <w:szCs w:val="24"/>
          <w:highlight w:val="none"/>
          <w:lang w:eastAsia="zh-CN"/>
        </w:rPr>
        <w:t>终执行比例并正式统一文字、公式及评审系统规则；说明四种审查情形下书面成本证明的提交方式、评审现场答复时间以及事先随标提交材料的适用办法。</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ind w:left="0" w:firstLine="482" w:firstLineChars="200"/>
        <w:jc w:val="left"/>
        <w:textAlignment w:val="auto"/>
        <w:outlineLvl w:val="1"/>
        <w:rPr>
          <w:rFonts w:hint="eastAsia" w:ascii="宋体" w:hAnsi="宋体" w:eastAsia="宋体" w:cs="宋体"/>
          <w:b/>
          <w:bCs w:val="0"/>
          <w:color w:val="auto"/>
          <w:sz w:val="24"/>
          <w:szCs w:val="24"/>
          <w:highlight w:val="yellow"/>
          <w:lang w:val="en-US" w:eastAsia="zh-CN"/>
        </w:rPr>
      </w:pPr>
      <w:r>
        <w:rPr>
          <w:rFonts w:hint="eastAsia" w:ascii="宋体" w:hAnsi="宋体" w:eastAsia="宋体" w:cs="宋体"/>
          <w:b/>
          <w:bCs w:val="0"/>
          <w:color w:val="auto"/>
          <w:sz w:val="24"/>
          <w:szCs w:val="24"/>
          <w:highlight w:val="yellow"/>
          <w:lang w:val="en-US" w:eastAsia="zh-CN"/>
        </w:rPr>
        <w:t>答：更正原招标文件第三章二（四）第3项“投标（响应）报价低于采购项目最高限价45%的，即投标（响应）报价＜采购项目最高限价×65%”为“投标（响应）报价低于采购项目最高限价65%的，即投标（响应）报价＜采购项目最高限价×65%”。</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b w:val="0"/>
          <w:bCs/>
          <w:sz w:val="24"/>
          <w:szCs w:val="24"/>
          <w:lang w:eastAsia="zh-CN"/>
        </w:rPr>
      </w:pPr>
      <w:r>
        <w:rPr>
          <w:rFonts w:hint="eastAsia" w:ascii="宋体" w:hAnsi="宋体" w:eastAsia="宋体" w:cs="宋体"/>
          <w:bCs/>
          <w:color w:val="auto"/>
          <w:sz w:val="24"/>
          <w:szCs w:val="24"/>
          <w:highlight w:val="none"/>
          <w:lang w:val="en-US" w:eastAsia="zh-CN"/>
        </w:rPr>
        <w:t>二、</w:t>
      </w:r>
      <w:r>
        <w:rPr>
          <w:rFonts w:hint="eastAsia" w:ascii="宋体" w:hAnsi="宋体" w:eastAsia="宋体" w:cs="宋体"/>
          <w:b w:val="0"/>
          <w:bCs/>
          <w:sz w:val="24"/>
          <w:szCs w:val="24"/>
          <w:lang w:eastAsia="zh-CN"/>
        </w:rPr>
        <w:t>原文定位：台式通风柜台面第1.3.7.1—1.3.7.6条（PDF第82—83页）；水槽台第16.3.2.1—16.3.2.4条（PDF第91—92页）；仪器台第23.3.3.1—23.3.3.5条（PDF第94页）。</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b w:val="0"/>
          <w:bCs/>
          <w:sz w:val="24"/>
          <w:szCs w:val="24"/>
          <w:lang w:eastAsia="zh-CN"/>
        </w:rPr>
      </w:pPr>
      <w:r>
        <w:rPr>
          <w:rFonts w:hint="eastAsia" w:ascii="宋体" w:hAnsi="宋体" w:eastAsia="宋体" w:cs="宋体"/>
          <w:b w:val="0"/>
          <w:bCs/>
          <w:sz w:val="24"/>
          <w:szCs w:val="24"/>
          <w:lang w:eastAsia="zh-CN"/>
        </w:rPr>
        <w:t>1. 水槽台特殊结构：第16.3.2.4条要求“双向导流防滑沥水槽碟型陶瓷台面”，并限定双水槽孔、两组独立非连通沥水槽、槽距≥67mm及≥1500×750×25mm的检测样品。该完整名称与榕德ROADLAB-Pro（R6）公开产品名称高度一致，但仅据名称相近尚不能证明该产品为唯一可供型号。导流、沥水、防滑的使用目标可通过不同沟槽、坡度及挡水结构实现；采购文件尚未明确67mm的测量基准及其相对于实际性能的必要性。</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b w:val="0"/>
          <w:bCs/>
          <w:sz w:val="24"/>
          <w:szCs w:val="24"/>
          <w:lang w:eastAsia="zh-CN"/>
        </w:rPr>
        <w:t>2. 通风柜和仪器台特殊检测：通</w:t>
      </w:r>
      <w:r>
        <w:rPr>
          <w:rFonts w:hint="eastAsia" w:ascii="宋体" w:hAnsi="宋体" w:eastAsia="宋体" w:cs="宋体"/>
          <w:sz w:val="24"/>
          <w:szCs w:val="24"/>
          <w:lang w:eastAsia="zh-CN"/>
        </w:rPr>
        <w:t>风柜台面要求1000℃试验、49项化学试剂、放射性精细数值及“在一定外力作用下”的耐开裂试验；仪器台要求厂商成品库抽样、60项试剂、同件正面与截面48小时检测等。部分条件缺少具体试验方法、抽样规则、适用范围或多制造商可满足情况的说明。</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b w:val="0"/>
          <w:bCs/>
          <w:sz w:val="24"/>
          <w:szCs w:val="24"/>
          <w:lang w:eastAsia="zh-CN"/>
        </w:rPr>
      </w:pPr>
      <w:r>
        <w:rPr>
          <w:rFonts w:hint="eastAsia" w:ascii="宋体" w:hAnsi="宋体" w:eastAsia="宋体" w:cs="宋体"/>
          <w:b w:val="0"/>
          <w:bCs/>
          <w:sz w:val="24"/>
          <w:szCs w:val="24"/>
          <w:lang w:eastAsia="zh-CN"/>
        </w:rPr>
        <w:t>3. 报告及试剂限制：请明确真实、可核验且代表拟供产品的同材质、同工艺或同系列报告是否可适用；对于报告上标注“非本项目使用无效”的情形，应如何判断证据效力及合法使用权限。第16.3.2.2、23.3.3.4条使用“仁和碘伏（碘酒）”，宜改为可复现的化学品成分、浓度和测试条件。</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b w:val="0"/>
          <w:bCs/>
          <w:sz w:val="24"/>
          <w:szCs w:val="24"/>
          <w:lang w:eastAsia="zh-CN"/>
        </w:rPr>
        <w:t>请求：请分别说明上述产品结构、6</w:t>
      </w:r>
      <w:r>
        <w:rPr>
          <w:rFonts w:hint="eastAsia" w:ascii="宋体" w:hAnsi="宋体" w:eastAsia="宋体" w:cs="宋体"/>
          <w:sz w:val="24"/>
          <w:szCs w:val="24"/>
          <w:lang w:eastAsia="zh-CN"/>
        </w:rPr>
        <w:t>7mm槽距、特定样本规格及检测组合的采购必要性、市场调查和客观评判依据；明确是否接受实现同等耐腐蚀、排水、防滑、易清洁等性能的其他结构方案；明确第三方报告、厂商盖章和样品的等效证明标准。对缺乏必要性依据的结构、品牌试剂或限制性报告条件，建议依法调整为功能与性能指标。</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2" w:firstLineChars="200"/>
        <w:jc w:val="left"/>
        <w:textAlignment w:val="auto"/>
        <w:rPr>
          <w:rFonts w:hint="eastAsia" w:ascii="宋体" w:hAnsi="宋体" w:eastAsia="宋体" w:cs="宋体"/>
          <w:b/>
          <w:bCs/>
          <w:sz w:val="24"/>
          <w:szCs w:val="24"/>
          <w:highlight w:val="yellow"/>
          <w:lang w:eastAsia="zh-CN"/>
        </w:rPr>
      </w:pPr>
      <w:r>
        <w:rPr>
          <w:rFonts w:hint="eastAsia" w:ascii="宋体" w:hAnsi="宋体" w:eastAsia="宋体" w:cs="宋体"/>
          <w:b/>
          <w:bCs/>
          <w:sz w:val="24"/>
          <w:szCs w:val="24"/>
          <w:highlight w:val="yellow"/>
          <w:lang w:eastAsia="zh-CN"/>
        </w:rPr>
        <w:t>答：</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2" w:firstLineChars="200"/>
        <w:jc w:val="left"/>
        <w:textAlignment w:val="auto"/>
        <w:rPr>
          <w:rFonts w:hint="eastAsia" w:ascii="宋体" w:hAnsi="宋体" w:eastAsia="宋体" w:cs="宋体"/>
          <w:b/>
          <w:bCs/>
          <w:sz w:val="24"/>
          <w:szCs w:val="24"/>
          <w:highlight w:val="yellow"/>
          <w:lang w:eastAsia="zh-CN"/>
        </w:rPr>
      </w:pPr>
      <w:r>
        <w:rPr>
          <w:rFonts w:hint="eastAsia" w:ascii="宋体" w:hAnsi="宋体" w:eastAsia="宋体" w:cs="宋体"/>
          <w:b/>
          <w:bCs/>
          <w:sz w:val="24"/>
          <w:szCs w:val="24"/>
          <w:highlight w:val="yellow"/>
          <w:lang w:eastAsia="zh-CN"/>
        </w:rPr>
        <w:t>1、该结构为实验室化学水槽台安全使用的功能性要求，具有明确实际使用必要性：本项目为化学实验室，台面会频繁洒落试剂、液体，双向导流、独立非连通沥水槽，目的是快速导走残留液体，避免两个水槽区域试剂交叉混合、防止有害液体外溢、增加安全保证，属于实验室安全防护必要。槽距≥67mm 的设计目的：保障双水槽操作区空间，水配件安装等不破环沥水槽沥水功能，避免操作人员手臂、器皿互相干涉，保证操作安全，该阈值为保障操作空间而设置，并非无意义的数值门槛。采购文件没有指定任何品牌、型号、专利、商标，所有条款仅描述功能、性能、结构要求，不存在指向特定供应商的表述。本次采购参数来源于实验室安全需求，</w:t>
      </w:r>
      <w:r>
        <w:rPr>
          <w:rFonts w:hint="eastAsia" w:ascii="宋体" w:hAnsi="宋体" w:eastAsia="宋体" w:cs="宋体"/>
          <w:b/>
          <w:bCs/>
          <w:sz w:val="24"/>
          <w:szCs w:val="24"/>
          <w:highlight w:val="yellow"/>
          <w:lang w:val="en-US" w:eastAsia="zh-CN"/>
        </w:rPr>
        <w:t>且经</w:t>
      </w:r>
      <w:r>
        <w:rPr>
          <w:rFonts w:hint="eastAsia" w:ascii="宋体" w:hAnsi="宋体" w:eastAsia="宋体" w:cs="宋体"/>
          <w:b/>
          <w:bCs/>
          <w:sz w:val="24"/>
          <w:szCs w:val="24"/>
          <w:highlight w:val="yellow"/>
          <w:lang w:eastAsia="zh-CN"/>
        </w:rPr>
        <w:t>市场调研，国内多家陶瓷台面生产厂商具备生产该类型导流沥水陶瓷台面的能力。</w:t>
      </w:r>
      <w:r>
        <w:rPr>
          <w:rFonts w:hint="eastAsia" w:ascii="宋体" w:hAnsi="宋体" w:eastAsia="宋体" w:cs="宋体"/>
          <w:b/>
          <w:bCs/>
          <w:sz w:val="24"/>
          <w:szCs w:val="24"/>
          <w:highlight w:val="yellow"/>
          <w:lang w:val="en-US" w:eastAsia="zh-CN"/>
        </w:rPr>
        <w:t>本项目接受</w:t>
      </w:r>
      <w:r>
        <w:rPr>
          <w:rFonts w:hint="eastAsia" w:ascii="宋体" w:hAnsi="宋体" w:eastAsia="宋体" w:cs="宋体"/>
          <w:b/>
          <w:bCs/>
          <w:sz w:val="24"/>
          <w:szCs w:val="24"/>
          <w:highlight w:val="yellow"/>
          <w:lang w:eastAsia="zh-CN"/>
        </w:rPr>
        <w:t>等效方案，性能达到同等或更优水平</w:t>
      </w:r>
      <w:r>
        <w:rPr>
          <w:rFonts w:hint="eastAsia" w:ascii="宋体" w:hAnsi="宋体" w:eastAsia="宋体" w:cs="宋体"/>
          <w:b/>
          <w:bCs/>
          <w:sz w:val="24"/>
          <w:szCs w:val="24"/>
          <w:highlight w:val="yellow"/>
          <w:lang w:val="en-US" w:eastAsia="zh-CN"/>
        </w:rPr>
        <w:t>即可。</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2" w:firstLineChars="200"/>
        <w:jc w:val="left"/>
        <w:textAlignment w:val="auto"/>
        <w:rPr>
          <w:rFonts w:hint="eastAsia" w:ascii="宋体" w:hAnsi="宋体" w:eastAsia="宋体" w:cs="宋体"/>
          <w:b/>
          <w:bCs/>
          <w:sz w:val="24"/>
          <w:szCs w:val="24"/>
          <w:highlight w:val="yellow"/>
          <w:lang w:eastAsia="zh-CN"/>
        </w:rPr>
      </w:pPr>
      <w:r>
        <w:rPr>
          <w:rFonts w:hint="eastAsia" w:ascii="宋体" w:hAnsi="宋体" w:eastAsia="宋体" w:cs="宋体"/>
          <w:b/>
          <w:bCs/>
          <w:sz w:val="24"/>
          <w:szCs w:val="24"/>
          <w:highlight w:val="yellow"/>
          <w:lang w:eastAsia="zh-CN"/>
        </w:rPr>
        <w:t>2、参数中提及的1000℃高温试验、耐化学试剂浸泡、耐开裂、放射性检测，试验方法均引用现行实验室台面相关国家标准 / 行业标准，标准内已明确对应的试验操作流程、样品制备、判定规则，投标人可依</w:t>
      </w:r>
      <w:bookmarkStart w:id="4" w:name="_GoBack"/>
      <w:bookmarkEnd w:id="4"/>
      <w:r>
        <w:rPr>
          <w:rFonts w:hint="eastAsia" w:ascii="宋体" w:hAnsi="宋体" w:eastAsia="宋体" w:cs="宋体"/>
          <w:b/>
          <w:bCs/>
          <w:sz w:val="24"/>
          <w:szCs w:val="24"/>
          <w:highlight w:val="yellow"/>
          <w:lang w:eastAsia="zh-CN"/>
        </w:rPr>
        <w:t>据对应标准执行检测。</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2" w:firstLineChars="200"/>
        <w:jc w:val="left"/>
        <w:textAlignment w:val="auto"/>
        <w:rPr>
          <w:rFonts w:hint="eastAsia" w:ascii="宋体" w:hAnsi="宋体" w:eastAsia="宋体" w:cs="宋体"/>
          <w:sz w:val="24"/>
          <w:szCs w:val="24"/>
          <w:highlight w:val="yellow"/>
          <w:lang w:eastAsia="zh-CN"/>
        </w:rPr>
      </w:pPr>
      <w:r>
        <w:rPr>
          <w:rFonts w:hint="eastAsia" w:ascii="宋体" w:hAnsi="宋体" w:eastAsia="宋体" w:cs="宋体"/>
          <w:b/>
          <w:bCs/>
          <w:sz w:val="24"/>
          <w:szCs w:val="24"/>
          <w:highlight w:val="yellow"/>
          <w:lang w:eastAsia="zh-CN"/>
        </w:rPr>
        <w:t>3、投标文件由投标人自主响应需求、自行提交，证明材料所载 “非本项目使用无效” 等标注内容，属于投标人提交材料时的真实意思表示；证明材料的合法使用权限由材料出具方设定，评标仅在本项目范围内对投标人主动递交的材料进行评审。“仁和碘伏” 仅为检测公司测试试剂品牌，采购文件无意限定试剂品牌，不存在指定试剂品牌、排斥供应商的主观意图。任何品牌，只要满足同等技术规格的碘伏试剂，均可用于正面、截面耐腐蚀试验，检测结果均可采信。</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b w:val="0"/>
          <w:bCs/>
          <w:sz w:val="24"/>
          <w:szCs w:val="24"/>
          <w:lang w:eastAsia="zh-CN"/>
        </w:rPr>
      </w:pPr>
      <w:r>
        <w:rPr>
          <w:rFonts w:hint="eastAsia" w:ascii="宋体" w:hAnsi="宋体" w:eastAsia="宋体" w:cs="宋体"/>
          <w:bCs/>
          <w:color w:val="auto"/>
          <w:sz w:val="24"/>
          <w:szCs w:val="24"/>
          <w:highlight w:val="none"/>
          <w:lang w:val="en-US" w:eastAsia="zh-CN"/>
        </w:rPr>
        <w:t>三、</w:t>
      </w:r>
      <w:r>
        <w:rPr>
          <w:rFonts w:hint="eastAsia" w:ascii="宋体" w:hAnsi="宋体" w:eastAsia="宋体" w:cs="宋体"/>
          <w:b w:val="0"/>
          <w:bCs/>
          <w:sz w:val="24"/>
          <w:szCs w:val="24"/>
          <w:lang w:eastAsia="zh-CN"/>
        </w:rPr>
        <w:t>原文定位：第22.1—22.2、23.1—23.2条（PDF第93页）；实验边台第2.1—2.2条（PDF第83页）与采购清单（PDF第80页）；第六章一“一站式维保服务”（PDF第77—78页）；第六章四设计图纸要求（PDF第94页）；第六章五第4项综合报价（PDF第95页）。</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b w:val="0"/>
          <w:bCs/>
          <w:sz w:val="24"/>
          <w:szCs w:val="24"/>
          <w:lang w:eastAsia="zh-CN"/>
        </w:rPr>
      </w:pPr>
      <w:r>
        <w:rPr>
          <w:rFonts w:hint="eastAsia" w:ascii="宋体" w:hAnsi="宋体" w:eastAsia="宋体" w:cs="宋体"/>
          <w:b w:val="0"/>
          <w:bCs/>
          <w:sz w:val="24"/>
          <w:szCs w:val="24"/>
          <w:lang w:eastAsia="zh-CN"/>
        </w:rPr>
        <w:t>事实及影响：4组吊柜和9台仪器台只有深度、高度，未列逐件长度及分房配置；实验边台清单为78米，技术条款为“≥78米”且“最终数量据实结算”，与综合报价总价之间缺少统一的增减量规则；62台通风柜及35套万向抽气罩需配套既有通风系统，但现有排风能力、接口位置、需改造范围及验收工况不完整。拆除原有家具、管线改接、吊顶/墙地面修复和垃圾清运亦缺少可复核工程量。</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b w:val="0"/>
          <w:bCs/>
          <w:sz w:val="24"/>
          <w:szCs w:val="24"/>
          <w:lang w:eastAsia="zh-CN"/>
        </w:rPr>
      </w:pPr>
      <w:r>
        <w:rPr>
          <w:rFonts w:hint="eastAsia" w:ascii="宋体" w:hAnsi="宋体" w:eastAsia="宋体" w:cs="宋体"/>
          <w:b w:val="0"/>
          <w:bCs/>
          <w:sz w:val="24"/>
          <w:szCs w:val="24"/>
          <w:lang w:eastAsia="zh-CN"/>
        </w:rPr>
        <w:t>设计资料：采购文件要求覆盖24间教室及B区、C区走廊、CB中央大厅，★要求平面布置图与逐房硬件配置清单，另设10分深化设计评分；但现有整层示意图分辨率不足以确认公共区域的关键尺寸及设备接口。</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ind w:left="0" w:firstLine="480" w:firstLineChars="200"/>
        <w:jc w:val="left"/>
        <w:textAlignment w:val="auto"/>
        <w:outlineLvl w:val="1"/>
        <w:rPr>
          <w:rFonts w:hint="eastAsia" w:ascii="宋体" w:hAnsi="宋体" w:eastAsia="宋体" w:cs="宋体"/>
          <w:sz w:val="24"/>
          <w:szCs w:val="24"/>
          <w:lang w:eastAsia="zh-CN"/>
        </w:rPr>
      </w:pPr>
      <w:r>
        <w:rPr>
          <w:rFonts w:hint="eastAsia" w:ascii="宋体" w:hAnsi="宋体" w:eastAsia="宋体" w:cs="宋体"/>
          <w:b w:val="0"/>
          <w:bCs/>
          <w:sz w:val="24"/>
          <w:szCs w:val="24"/>
          <w:lang w:eastAsia="zh-CN"/>
        </w:rPr>
        <w:t>请求：请</w:t>
      </w:r>
      <w:r>
        <w:rPr>
          <w:rFonts w:hint="eastAsia" w:ascii="宋体" w:hAnsi="宋体" w:eastAsia="宋体" w:cs="宋体"/>
          <w:sz w:val="24"/>
          <w:szCs w:val="24"/>
          <w:lang w:eastAsia="zh-CN"/>
        </w:rPr>
        <w:t>发布4组吊柜、9台仪器台具体长度与逐房配置表；明确边台78米基准量、计价及合同结算方法；补充拆改工程量和既有通风/给排水/强弱电接口及其责任边界；提供能够准确识读、用于深化设计的第三学科楼一层建筑DWG或矢量PDF底图（含B/C走廊、CB大厅尺寸、门窗、柱网及现有设施）。如不能补充，请统一各供应商报价和方案应采用的假设条件及超范围变更结算办法。</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ind w:left="0" w:firstLine="482" w:firstLineChars="200"/>
        <w:jc w:val="left"/>
        <w:textAlignment w:val="auto"/>
        <w:outlineLvl w:val="1"/>
        <w:rPr>
          <w:rFonts w:hint="eastAsia" w:ascii="宋体" w:hAnsi="宋体" w:eastAsia="宋体" w:cs="宋体"/>
          <w:b/>
          <w:bCs w:val="0"/>
          <w:color w:val="auto"/>
          <w:sz w:val="24"/>
          <w:szCs w:val="24"/>
          <w:highlight w:val="yellow"/>
          <w:lang w:val="en-US" w:eastAsia="zh-CN"/>
        </w:rPr>
      </w:pPr>
      <w:r>
        <w:rPr>
          <w:rFonts w:hint="eastAsia" w:ascii="宋体" w:hAnsi="宋体" w:eastAsia="宋体" w:cs="宋体"/>
          <w:b/>
          <w:bCs w:val="0"/>
          <w:color w:val="auto"/>
          <w:sz w:val="24"/>
          <w:szCs w:val="24"/>
          <w:highlight w:val="yellow"/>
          <w:lang w:val="en-US" w:eastAsia="zh-CN"/>
        </w:rPr>
        <w:t>答：</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2" w:firstLineChars="200"/>
        <w:jc w:val="left"/>
        <w:textAlignment w:val="auto"/>
        <w:rPr>
          <w:rFonts w:hint="eastAsia" w:ascii="宋体" w:hAnsi="宋体" w:eastAsia="宋体" w:cs="宋体"/>
          <w:b/>
          <w:bCs w:val="0"/>
          <w:sz w:val="24"/>
          <w:szCs w:val="24"/>
          <w:highlight w:val="yellow"/>
          <w:lang w:eastAsia="zh-CN"/>
        </w:rPr>
      </w:pPr>
      <w:r>
        <w:rPr>
          <w:rFonts w:hint="eastAsia" w:ascii="宋体" w:hAnsi="宋体" w:eastAsia="宋体" w:cs="宋体"/>
          <w:b/>
          <w:bCs w:val="0"/>
          <w:sz w:val="24"/>
          <w:szCs w:val="24"/>
          <w:highlight w:val="yellow"/>
          <w:lang w:eastAsia="zh-CN"/>
        </w:rPr>
        <w:t>1、采购设备规格、合同结算方法招标文件已明确。</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2" w:firstLineChars="200"/>
        <w:jc w:val="left"/>
        <w:textAlignment w:val="auto"/>
        <w:rPr>
          <w:rFonts w:hint="eastAsia" w:ascii="宋体" w:hAnsi="宋体" w:eastAsia="宋体" w:cs="宋体"/>
          <w:b/>
          <w:bCs w:val="0"/>
          <w:sz w:val="24"/>
          <w:szCs w:val="24"/>
          <w:highlight w:val="yellow"/>
          <w:lang w:eastAsia="zh-CN"/>
        </w:rPr>
      </w:pPr>
      <w:r>
        <w:rPr>
          <w:rFonts w:hint="eastAsia" w:ascii="宋体" w:hAnsi="宋体" w:eastAsia="宋体" w:cs="宋体"/>
          <w:b/>
          <w:bCs w:val="0"/>
          <w:sz w:val="24"/>
          <w:szCs w:val="24"/>
          <w:highlight w:val="yellow"/>
          <w:lang w:eastAsia="zh-CN"/>
        </w:rPr>
        <w:t>2、用房配置表及基准量为本招标需求要求投标人提供的内容；计价为投标人投标报价。此两项均须投标人自行设计、报价。</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2" w:firstLineChars="200"/>
        <w:jc w:val="left"/>
        <w:textAlignment w:val="auto"/>
        <w:rPr>
          <w:rFonts w:hint="eastAsia" w:ascii="宋体" w:hAnsi="宋体" w:eastAsia="宋体" w:cs="宋体"/>
          <w:b/>
          <w:bCs w:val="0"/>
          <w:sz w:val="24"/>
          <w:szCs w:val="24"/>
          <w:highlight w:val="yellow"/>
          <w:lang w:eastAsia="zh-CN"/>
        </w:rPr>
      </w:pPr>
      <w:r>
        <w:rPr>
          <w:rFonts w:hint="eastAsia" w:ascii="宋体" w:hAnsi="宋体" w:eastAsia="宋体" w:cs="宋体"/>
          <w:b/>
          <w:bCs w:val="0"/>
          <w:sz w:val="24"/>
          <w:szCs w:val="24"/>
          <w:highlight w:val="yellow"/>
          <w:lang w:eastAsia="zh-CN"/>
        </w:rPr>
        <w:t>3、本项目采购为产品采购，不涉及拆改工程，招标需求已提供房间平面图及尺寸以供投标人参考家具摆放布置设计。</w:t>
      </w:r>
    </w:p>
    <w:p>
      <w:pPr>
        <w:pStyle w:val="2"/>
        <w:keepNext w:val="0"/>
        <w:keepLines w:val="0"/>
        <w:pageBreakBefore w:val="0"/>
        <w:kinsoku/>
        <w:wordWrap/>
        <w:overflowPunct/>
        <w:topLinePunct w:val="0"/>
        <w:autoSpaceDE/>
        <w:autoSpaceDN/>
        <w:bidi w:val="0"/>
        <w:adjustRightInd/>
        <w:snapToGrid/>
        <w:spacing w:beforeAutospacing="0" w:after="0" w:afterAutospacing="0" w:line="360" w:lineRule="auto"/>
        <w:ind w:left="0" w:firstLine="482" w:firstLineChars="200"/>
        <w:jc w:val="left"/>
        <w:textAlignment w:val="auto"/>
        <w:rPr>
          <w:rFonts w:hint="eastAsia" w:ascii="宋体" w:hAnsi="宋体" w:eastAsia="宋体" w:cs="宋体"/>
          <w:b/>
          <w:bCs w:val="0"/>
          <w:sz w:val="24"/>
          <w:szCs w:val="24"/>
          <w:highlight w:val="yellow"/>
          <w:lang w:eastAsia="zh-CN"/>
        </w:rPr>
      </w:pPr>
      <w:r>
        <w:rPr>
          <w:rFonts w:hint="eastAsia" w:ascii="宋体" w:hAnsi="宋体" w:eastAsia="宋体" w:cs="宋体"/>
          <w:b/>
          <w:bCs w:val="0"/>
          <w:sz w:val="24"/>
          <w:szCs w:val="24"/>
          <w:highlight w:val="yellow"/>
          <w:lang w:eastAsia="zh-CN"/>
        </w:rPr>
        <w:t>4、招标文件已明确：“按现场实际尺寸定制加工，最终数量据实结算”。</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b w:val="0"/>
          <w:bCs/>
          <w:sz w:val="24"/>
          <w:szCs w:val="24"/>
          <w:highlight w:val="none"/>
          <w:lang w:eastAsia="zh-CN"/>
        </w:rPr>
      </w:pPr>
      <w:r>
        <w:rPr>
          <w:rFonts w:hint="eastAsia" w:ascii="宋体" w:hAnsi="宋体" w:eastAsia="宋体" w:cs="宋体"/>
          <w:sz w:val="24"/>
          <w:szCs w:val="24"/>
          <w:highlight w:val="none"/>
          <w:lang w:val="en-US" w:eastAsia="zh-CN"/>
        </w:rPr>
        <w:t>四、</w:t>
      </w:r>
      <w:r>
        <w:rPr>
          <w:rFonts w:hint="eastAsia" w:ascii="宋体" w:hAnsi="宋体" w:eastAsia="宋体" w:cs="宋体"/>
          <w:b w:val="0"/>
          <w:bCs/>
          <w:sz w:val="24"/>
          <w:szCs w:val="24"/>
          <w:highlight w:val="none"/>
          <w:lang w:eastAsia="zh-CN"/>
        </w:rPr>
        <w:t>原文定位：第三章详细评审第2、3项（PDF第36页）；第六章四设计图纸第2—4项（PDF第94页）；第2.3.3、3.3.3、15.3.3等台面条款的交叉引用（PDF第84、91页）。</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eastAsia="zh-CN"/>
        </w:rPr>
        <w:t>疑问：显式▲条款含通风柜台面4项、水槽台4项、仪器台5项、设计图纸2项，共15项；多个产品又引用“同1.3.7”，未明确同一指标被多个产品引用时的计扣单位。图纸既包含▲技术项又列入10分设计评价，应区分“是否提供最低成果”与“设计质量”的计分边界。</w:t>
      </w:r>
    </w:p>
    <w:p>
      <w:pPr>
        <w:pStyle w:val="3"/>
        <w:keepNext w:val="0"/>
        <w:keepLines w:val="0"/>
        <w:pageBreakBefore w:val="0"/>
        <w:kinsoku/>
        <w:wordWrap/>
        <w:overflowPunct/>
        <w:topLinePunct w:val="0"/>
        <w:autoSpaceDE/>
        <w:autoSpaceDN/>
        <w:bidi w:val="0"/>
        <w:adjustRightInd/>
        <w:snapToGrid/>
        <w:spacing w:before="0" w:beforeAutospacing="0" w:after="0" w:afterAutospacing="0" w:line="360" w:lineRule="auto"/>
        <w:ind w:left="0"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b w:val="0"/>
          <w:bCs/>
          <w:sz w:val="24"/>
          <w:szCs w:val="24"/>
          <w:highlight w:val="none"/>
          <w:lang w:eastAsia="zh-CN"/>
        </w:rPr>
        <w:t>请求：请提供完整▲条款编号及计扣清单，明确交叉引用、子条件及同一检测报告覆盖多个产品时的计分方式；分别列明★图纸最低提交范围、▲是否满足的判断标准和设计0—10分各档赋分依据，说明同一缺项在技术分与设计</w:t>
      </w:r>
      <w:r>
        <w:rPr>
          <w:rFonts w:hint="eastAsia" w:ascii="宋体" w:hAnsi="宋体" w:eastAsia="宋体" w:cs="宋体"/>
          <w:sz w:val="24"/>
          <w:szCs w:val="24"/>
          <w:highlight w:val="none"/>
          <w:lang w:eastAsia="zh-CN"/>
        </w:rPr>
        <w:t>分之间的处理规则。</w:t>
      </w:r>
    </w:p>
    <w:p>
      <w:pPr>
        <w:pStyle w:val="3"/>
        <w:keepNext w:val="0"/>
        <w:keepLines w:val="0"/>
        <w:pageBreakBefore w:val="0"/>
        <w:kinsoku/>
        <w:wordWrap/>
        <w:overflowPunct/>
        <w:topLinePunct w:val="0"/>
        <w:autoSpaceDE/>
        <w:autoSpaceDN/>
        <w:bidi w:val="0"/>
        <w:adjustRightInd/>
        <w:snapToGrid/>
        <w:spacing w:before="0" w:beforeAutospacing="0" w:after="0" w:afterAutospacing="0" w:line="360" w:lineRule="auto"/>
        <w:ind w:left="0" w:firstLine="482" w:firstLineChars="200"/>
        <w:jc w:val="left"/>
        <w:textAlignment w:val="auto"/>
        <w:rPr>
          <w:rFonts w:hint="eastAsia" w:ascii="宋体" w:hAnsi="宋体" w:eastAsia="宋体" w:cs="宋体"/>
          <w:sz w:val="24"/>
          <w:szCs w:val="24"/>
          <w:highlight w:val="yellow"/>
          <w:lang w:val="en-US" w:eastAsia="zh-CN"/>
        </w:rPr>
      </w:pPr>
      <w:r>
        <w:rPr>
          <w:rFonts w:hint="eastAsia" w:ascii="宋体" w:hAnsi="宋体" w:eastAsia="宋体" w:cs="宋体"/>
          <w:b/>
          <w:bCs/>
          <w:sz w:val="24"/>
          <w:szCs w:val="24"/>
          <w:highlight w:val="yellow"/>
          <w:lang w:val="en-US" w:eastAsia="zh-CN"/>
        </w:rPr>
        <w:t>答：</w:t>
      </w:r>
      <w:r>
        <w:rPr>
          <w:rFonts w:hint="eastAsia" w:ascii="宋体" w:hAnsi="宋体" w:eastAsia="宋体" w:cs="宋体"/>
          <w:b/>
          <w:bCs/>
          <w:color w:val="auto"/>
          <w:sz w:val="24"/>
          <w:szCs w:val="24"/>
          <w:highlight w:val="yellow"/>
          <w:lang w:val="en-US" w:eastAsia="zh-CN"/>
        </w:rPr>
        <w:t>评分项中的</w:t>
      </w:r>
      <w:r>
        <w:rPr>
          <w:rFonts w:hint="eastAsia" w:ascii="宋体" w:hAnsi="宋体" w:eastAsia="宋体" w:cs="宋体"/>
          <w:b/>
          <w:bCs/>
          <w:color w:val="auto"/>
          <w:sz w:val="24"/>
          <w:szCs w:val="24"/>
          <w:highlight w:val="yellow"/>
          <w:lang w:eastAsia="zh-CN"/>
        </w:rPr>
        <w:t>“</w:t>
      </w:r>
      <w:r>
        <w:rPr>
          <w:rFonts w:hint="eastAsia" w:ascii="宋体" w:hAnsi="宋体" w:eastAsia="宋体" w:cs="宋体"/>
          <w:b/>
          <w:bCs/>
          <w:color w:val="auto"/>
          <w:sz w:val="24"/>
          <w:szCs w:val="24"/>
          <w:highlight w:val="yellow"/>
        </w:rPr>
        <w:t>技术响应程度</w:t>
      </w:r>
      <w:r>
        <w:rPr>
          <w:rFonts w:hint="eastAsia" w:ascii="宋体" w:hAnsi="宋体" w:eastAsia="宋体" w:cs="宋体"/>
          <w:b/>
          <w:bCs/>
          <w:color w:val="auto"/>
          <w:sz w:val="24"/>
          <w:szCs w:val="24"/>
          <w:highlight w:val="yellow"/>
          <w:lang w:eastAsia="zh-CN"/>
        </w:rPr>
        <w:t>”，</w:t>
      </w:r>
      <w:r>
        <w:rPr>
          <w:rFonts w:hint="eastAsia" w:ascii="宋体" w:hAnsi="宋体" w:eastAsia="宋体" w:cs="宋体"/>
          <w:b/>
          <w:bCs/>
          <w:sz w:val="24"/>
          <w:szCs w:val="24"/>
          <w:highlight w:val="yellow"/>
          <w:lang w:val="en-US" w:eastAsia="zh-CN"/>
        </w:rPr>
        <w:t>仅针对标记</w:t>
      </w:r>
      <w:r>
        <w:rPr>
          <w:rFonts w:hint="eastAsia" w:ascii="宋体" w:hAnsi="宋体" w:eastAsia="宋体" w:cs="宋体"/>
          <w:b/>
          <w:bCs/>
          <w:sz w:val="24"/>
          <w:szCs w:val="24"/>
          <w:highlight w:val="yellow"/>
          <w:lang w:eastAsia="zh-CN"/>
        </w:rPr>
        <w:t>▲</w:t>
      </w:r>
      <w:r>
        <w:rPr>
          <w:rFonts w:hint="eastAsia" w:ascii="宋体" w:hAnsi="宋体" w:eastAsia="宋体" w:cs="宋体"/>
          <w:b/>
          <w:bCs/>
          <w:sz w:val="24"/>
          <w:szCs w:val="24"/>
          <w:highlight w:val="yellow"/>
          <w:lang w:val="en-US" w:eastAsia="zh-CN"/>
        </w:rPr>
        <w:t>且明确列明具体参数需求的条款进行计分，引用条款仅作为一般条款不参与本项打分，不存在重复计分情况。</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b w:val="0"/>
          <w:bCs/>
          <w:sz w:val="24"/>
          <w:szCs w:val="24"/>
          <w:highlight w:val="none"/>
          <w:lang w:eastAsia="zh-CN"/>
        </w:rPr>
      </w:pPr>
      <w:r>
        <w:rPr>
          <w:rFonts w:hint="eastAsia" w:ascii="宋体" w:hAnsi="宋体" w:eastAsia="宋体" w:cs="宋体"/>
          <w:sz w:val="24"/>
          <w:szCs w:val="24"/>
          <w:highlight w:val="none"/>
          <w:lang w:val="en-US" w:eastAsia="zh-CN"/>
        </w:rPr>
        <w:t>五、</w:t>
      </w:r>
      <w:r>
        <w:rPr>
          <w:rFonts w:hint="eastAsia" w:ascii="宋体" w:hAnsi="宋体" w:eastAsia="宋体" w:cs="宋体"/>
          <w:b w:val="0"/>
          <w:bCs/>
          <w:sz w:val="24"/>
          <w:szCs w:val="24"/>
          <w:highlight w:val="none"/>
          <w:lang w:eastAsia="zh-CN"/>
        </w:rPr>
        <w:t>原文定位：第二章第3.8.3条（PDF第21页）规定签订合同后5个工作日内退还中标人投标保证金；附件二第七项第3目（PDF第29页）又要求先缴清代理服务费才办理保证金退还。</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eastAsia="zh-CN"/>
        </w:rPr>
        <w:t>问题：招标文件第10.2条允许中标人在中标通知书发出后30天内支付代理服务费，而《政府采购法实施条例》第三十三条规定的中标人保证金退还时限以合同签订日起算。若两者被挂钩，可能产生迟延退还风险。</w:t>
      </w:r>
    </w:p>
    <w:p>
      <w:pPr>
        <w:pStyle w:val="3"/>
        <w:keepNext w:val="0"/>
        <w:keepLines w:val="0"/>
        <w:pageBreakBefore w:val="0"/>
        <w:kinsoku/>
        <w:wordWrap/>
        <w:overflowPunct/>
        <w:topLinePunct w:val="0"/>
        <w:autoSpaceDE/>
        <w:autoSpaceDN/>
        <w:bidi w:val="0"/>
        <w:adjustRightInd/>
        <w:snapToGrid/>
        <w:spacing w:before="0" w:beforeAutospacing="0" w:after="0" w:afterAutospacing="0" w:line="360" w:lineRule="auto"/>
        <w:ind w:left="0"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b w:val="0"/>
          <w:bCs/>
          <w:sz w:val="24"/>
          <w:szCs w:val="24"/>
          <w:highlight w:val="none"/>
          <w:lang w:eastAsia="zh-CN"/>
        </w:rPr>
        <w:t>请求：请删除“</w:t>
      </w:r>
      <w:r>
        <w:rPr>
          <w:rFonts w:hint="eastAsia" w:ascii="宋体" w:hAnsi="宋体" w:eastAsia="宋体" w:cs="宋体"/>
          <w:sz w:val="24"/>
          <w:szCs w:val="24"/>
          <w:highlight w:val="none"/>
          <w:lang w:eastAsia="zh-CN"/>
        </w:rPr>
        <w:t>先缴代理费后退保证金”的前置条件，明确保证金按照法定期限办理退还，代理服务费另按合同/文件约定独立结算。</w:t>
      </w:r>
    </w:p>
    <w:p>
      <w:pPr>
        <w:pStyle w:val="3"/>
        <w:keepNext w:val="0"/>
        <w:keepLines w:val="0"/>
        <w:pageBreakBefore w:val="0"/>
        <w:kinsoku/>
        <w:wordWrap/>
        <w:overflowPunct/>
        <w:topLinePunct w:val="0"/>
        <w:autoSpaceDE/>
        <w:autoSpaceDN/>
        <w:bidi w:val="0"/>
        <w:adjustRightInd/>
        <w:snapToGrid/>
        <w:spacing w:before="0" w:beforeAutospacing="0" w:after="0" w:afterAutospacing="0" w:line="360" w:lineRule="auto"/>
        <w:ind w:left="0" w:firstLine="482" w:firstLineChars="200"/>
        <w:jc w:val="left"/>
        <w:textAlignment w:val="auto"/>
        <w:rPr>
          <w:rFonts w:hint="eastAsia" w:ascii="宋体" w:hAnsi="宋体" w:eastAsia="宋体" w:cs="宋体"/>
          <w:sz w:val="24"/>
          <w:szCs w:val="24"/>
          <w:highlight w:val="yellow"/>
          <w:lang w:val="en-US" w:eastAsia="zh-CN"/>
        </w:rPr>
      </w:pPr>
      <w:r>
        <w:rPr>
          <w:rFonts w:hint="eastAsia" w:ascii="宋体" w:hAnsi="宋体" w:eastAsia="宋体" w:cs="宋体"/>
          <w:b/>
          <w:bCs/>
          <w:sz w:val="24"/>
          <w:szCs w:val="24"/>
          <w:highlight w:val="yellow"/>
          <w:lang w:val="en-US" w:eastAsia="zh-CN"/>
        </w:rPr>
        <w:t>答：删除原招标文件“</w:t>
      </w:r>
      <w:r>
        <w:rPr>
          <w:rFonts w:hint="eastAsia" w:ascii="宋体" w:hAnsi="宋体" w:eastAsia="宋体" w:cs="宋体"/>
          <w:b/>
          <w:bCs/>
          <w:snapToGrid w:val="0"/>
          <w:color w:val="auto"/>
          <w:kern w:val="0"/>
          <w:sz w:val="24"/>
          <w:szCs w:val="24"/>
          <w:highlight w:val="yellow"/>
        </w:rPr>
        <w:t>如</w:t>
      </w:r>
      <w:bookmarkStart w:id="3" w:name="OLE_LINK52"/>
      <w:r>
        <w:rPr>
          <w:rFonts w:hint="eastAsia" w:ascii="宋体" w:hAnsi="宋体" w:eastAsia="宋体" w:cs="宋体"/>
          <w:b/>
          <w:bCs/>
          <w:snapToGrid w:val="0"/>
          <w:color w:val="auto"/>
          <w:kern w:val="0"/>
          <w:sz w:val="24"/>
          <w:szCs w:val="24"/>
          <w:highlight w:val="yellow"/>
        </w:rPr>
        <w:t>招标文件规定</w:t>
      </w:r>
      <w:bookmarkEnd w:id="3"/>
      <w:r>
        <w:rPr>
          <w:rFonts w:hint="eastAsia" w:ascii="宋体" w:hAnsi="宋体" w:eastAsia="宋体" w:cs="宋体"/>
          <w:b/>
          <w:bCs/>
          <w:snapToGrid w:val="0"/>
          <w:color w:val="auto"/>
          <w:kern w:val="0"/>
          <w:sz w:val="24"/>
          <w:szCs w:val="24"/>
          <w:highlight w:val="yellow"/>
        </w:rPr>
        <w:t>由中标人缴纳招标代理服务费的，中标人须先向招标代理机构缴纳招标代理服务费后，招标代理机构再办理退还投标保证金手续。</w:t>
      </w:r>
      <w:r>
        <w:rPr>
          <w:rFonts w:hint="eastAsia" w:ascii="宋体" w:hAnsi="宋体" w:eastAsia="宋体" w:cs="宋体"/>
          <w:b/>
          <w:bCs/>
          <w:sz w:val="24"/>
          <w:szCs w:val="24"/>
          <w:highlight w:val="yellow"/>
          <w:lang w:val="en-US" w:eastAsia="zh-CN"/>
        </w:rPr>
        <w:t>”的表述。</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color w:val="auto"/>
          <w:sz w:val="24"/>
          <w:szCs w:val="24"/>
          <w:lang w:eastAsia="zh-CN"/>
        </w:rPr>
      </w:pPr>
      <w:r>
        <w:rPr>
          <w:rFonts w:hint="eastAsia" w:ascii="宋体" w:hAnsi="宋体" w:eastAsia="宋体" w:cs="宋体"/>
          <w:sz w:val="24"/>
          <w:szCs w:val="24"/>
          <w:highlight w:val="none"/>
          <w:lang w:val="en-US" w:eastAsia="zh-CN"/>
        </w:rPr>
        <w:t>六、</w:t>
      </w:r>
      <w:r>
        <w:rPr>
          <w:rFonts w:hint="eastAsia" w:ascii="宋体" w:hAnsi="宋体" w:eastAsia="宋体" w:cs="宋体"/>
          <w:color w:val="auto"/>
          <w:sz w:val="24"/>
          <w:szCs w:val="24"/>
          <w:lang w:eastAsia="zh-CN"/>
        </w:rPr>
        <w:t>招标原文：</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11.3.2（1）……依据GB 28008-2024《家具中有害物质限量》要求，实测结果：符合要求。</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存在问题：</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GB 28008-2024的正确名称是《家具结构安全技术规范》，而《家具中有害物质限量》对应GB 18584-2024。</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请求： 请确认实际要求执行哪个标准，并更正错误名称。</w:t>
      </w:r>
    </w:p>
    <w:p>
      <w:pPr>
        <w:pStyle w:val="3"/>
        <w:keepNext w:val="0"/>
        <w:keepLines w:val="0"/>
        <w:pageBreakBefore w:val="0"/>
        <w:kinsoku/>
        <w:wordWrap/>
        <w:overflowPunct/>
        <w:topLinePunct w:val="0"/>
        <w:autoSpaceDE/>
        <w:autoSpaceDN/>
        <w:bidi w:val="0"/>
        <w:adjustRightInd/>
        <w:snapToGrid/>
        <w:spacing w:before="0" w:beforeAutospacing="0" w:after="0" w:afterAutospacing="0" w:line="360" w:lineRule="auto"/>
        <w:ind w:left="0" w:firstLine="482" w:firstLineChars="200"/>
        <w:jc w:val="left"/>
        <w:textAlignment w:val="auto"/>
        <w:rPr>
          <w:rFonts w:hint="eastAsia" w:ascii="宋体" w:hAnsi="宋体" w:eastAsia="宋体" w:cs="宋体"/>
          <w:sz w:val="24"/>
          <w:szCs w:val="24"/>
          <w:highlight w:val="yellow"/>
          <w:lang w:eastAsia="zh-CN"/>
        </w:rPr>
      </w:pPr>
      <w:r>
        <w:rPr>
          <w:rFonts w:hint="eastAsia" w:ascii="宋体" w:hAnsi="宋体" w:eastAsia="宋体" w:cs="宋体"/>
          <w:b/>
          <w:bCs/>
          <w:sz w:val="24"/>
          <w:szCs w:val="24"/>
          <w:highlight w:val="yellow"/>
          <w:lang w:eastAsia="zh-CN"/>
        </w:rPr>
        <w:t>答：第11.3.2（1）条“GB 28008-2024《家具中有害物质限量》”更正为“GB 28008-2024《家具结构安全技术规范》”</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sz w:val="24"/>
          <w:szCs w:val="24"/>
          <w:highlight w:val="none"/>
          <w:lang w:val="en-US" w:eastAsia="zh-CN"/>
        </w:rPr>
        <w:t>七、</w:t>
      </w:r>
      <w:r>
        <w:rPr>
          <w:rFonts w:hint="eastAsia" w:ascii="宋体" w:hAnsi="宋体" w:eastAsia="宋体" w:cs="宋体"/>
          <w:b w:val="0"/>
          <w:bCs w:val="0"/>
          <w:color w:val="auto"/>
          <w:sz w:val="24"/>
          <w:szCs w:val="24"/>
          <w:highlight w:val="none"/>
          <w:lang w:eastAsia="zh-CN"/>
        </w:rPr>
        <w:t>招标原文：</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23.3.3.1 ▲尺寸允许偏差：参照GB/T 19367-2022标准，长度和宽度偏差为±2mm；厚度偏差为±0.5mm；平整度≤1mm/m。</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存在问题：</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GB/T 19367-2022是《人造板的尺寸测定》，而采购产品是陶瓷台面，材料类型不同。</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请求： 请明确该标准是否适用于陶瓷台面尺寸检测，或是否接受其他合理检测方法证明符合尺寸要求。</w:t>
      </w:r>
    </w:p>
    <w:p>
      <w:pPr>
        <w:pStyle w:val="3"/>
        <w:keepNext w:val="0"/>
        <w:keepLines w:val="0"/>
        <w:pageBreakBefore w:val="0"/>
        <w:kinsoku/>
        <w:wordWrap/>
        <w:overflowPunct/>
        <w:topLinePunct w:val="0"/>
        <w:autoSpaceDE/>
        <w:autoSpaceDN/>
        <w:bidi w:val="0"/>
        <w:adjustRightInd/>
        <w:snapToGrid/>
        <w:spacing w:before="0" w:beforeAutospacing="0" w:after="0" w:afterAutospacing="0" w:line="360" w:lineRule="auto"/>
        <w:ind w:left="0" w:firstLine="482" w:firstLineChars="200"/>
        <w:jc w:val="left"/>
        <w:textAlignment w:val="auto"/>
        <w:rPr>
          <w:rFonts w:hint="eastAsia" w:ascii="宋体" w:hAnsi="宋体" w:eastAsia="宋体" w:cs="宋体"/>
          <w:b/>
          <w:bCs/>
          <w:sz w:val="24"/>
          <w:szCs w:val="24"/>
          <w:highlight w:val="yellow"/>
          <w:lang w:eastAsia="zh-CN"/>
        </w:rPr>
      </w:pPr>
      <w:r>
        <w:rPr>
          <w:rFonts w:hint="eastAsia" w:ascii="宋体" w:hAnsi="宋体" w:eastAsia="宋体" w:cs="宋体"/>
          <w:b/>
          <w:bCs/>
          <w:sz w:val="24"/>
          <w:szCs w:val="24"/>
          <w:highlight w:val="yellow"/>
          <w:lang w:eastAsia="zh-CN"/>
        </w:rPr>
        <w:t>答：本项目仪器台台面平整度偏差会直接影响教学使用。相关台面材料参照更高要求的GB/T 19367-2022中的尺寸测量方法进行评价。</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color w:val="auto"/>
          <w:sz w:val="24"/>
          <w:szCs w:val="24"/>
          <w:lang w:eastAsia="zh-CN"/>
        </w:rPr>
      </w:pPr>
      <w:r>
        <w:rPr>
          <w:rFonts w:hint="eastAsia" w:ascii="宋体" w:hAnsi="宋体" w:eastAsia="宋体" w:cs="宋体"/>
          <w:sz w:val="24"/>
          <w:szCs w:val="24"/>
          <w:highlight w:val="none"/>
          <w:lang w:val="en-US" w:eastAsia="zh-CN"/>
        </w:rPr>
        <w:t>八、</w:t>
      </w:r>
      <w:r>
        <w:rPr>
          <w:rFonts w:hint="eastAsia" w:ascii="宋体" w:hAnsi="宋体" w:eastAsia="宋体" w:cs="宋体"/>
          <w:color w:val="auto"/>
          <w:sz w:val="24"/>
          <w:szCs w:val="24"/>
          <w:highlight w:val="none"/>
          <w:lang w:eastAsia="zh-CN"/>
        </w:rPr>
        <w:t>招标原</w:t>
      </w:r>
      <w:r>
        <w:rPr>
          <w:rFonts w:hint="eastAsia" w:ascii="宋体" w:hAnsi="宋体" w:eastAsia="宋体" w:cs="宋体"/>
          <w:color w:val="auto"/>
          <w:sz w:val="24"/>
          <w:szCs w:val="24"/>
          <w:lang w:eastAsia="zh-CN"/>
        </w:rPr>
        <w:t>文：</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22.3.2 五金配件：同1.3.6；</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22.3.3 其他配套配置：同1.3.7。</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存在问题：</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经核对：</w:t>
      </w:r>
    </w:p>
    <w:p>
      <w:pPr>
        <w:keepNext w:val="0"/>
        <w:keepLines w:val="0"/>
        <w:pageBreakBefore w:val="0"/>
        <w:numPr>
          <w:ilvl w:val="0"/>
          <w:numId w:val="1"/>
        </w:numPr>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1.3.6实际为“PP大圆杯”，不是五金配件。</w:t>
      </w:r>
    </w:p>
    <w:p>
      <w:pPr>
        <w:keepNext w:val="0"/>
        <w:keepLines w:val="0"/>
        <w:pageBreakBefore w:val="0"/>
        <w:numPr>
          <w:ilvl w:val="0"/>
          <w:numId w:val="1"/>
        </w:numPr>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1.3.7实际为“陶瓷台面”，不是其他配套配置。</w:t>
      </w:r>
    </w:p>
    <w:p>
      <w:pPr>
        <w:keepNext w:val="0"/>
        <w:keepLines w:val="0"/>
        <w:pageBreakBefore w:val="0"/>
        <w:numPr>
          <w:ilvl w:val="0"/>
          <w:numId w:val="1"/>
        </w:numPr>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1.3.8才是“五金配件”。</w:t>
      </w:r>
    </w:p>
    <w:p>
      <w:pPr>
        <w:keepNext w:val="0"/>
        <w:keepLines w:val="0"/>
        <w:pageBreakBefore w:val="0"/>
        <w:numPr>
          <w:ilvl w:val="0"/>
          <w:numId w:val="1"/>
        </w:numPr>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1.3.9才是“其他配套配置”。</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请求： 请确认引用是否正确，并明确吊柜实际适用的配置要求。</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2" w:firstLineChars="200"/>
        <w:jc w:val="left"/>
        <w:textAlignment w:val="auto"/>
        <w:rPr>
          <w:rFonts w:hint="eastAsia" w:ascii="宋体" w:hAnsi="宋体" w:eastAsia="宋体" w:cs="宋体"/>
          <w:b/>
          <w:bCs/>
          <w:sz w:val="24"/>
          <w:szCs w:val="24"/>
          <w:highlight w:val="yellow"/>
          <w:lang w:eastAsia="zh-CN"/>
        </w:rPr>
      </w:pPr>
      <w:r>
        <w:rPr>
          <w:rFonts w:hint="eastAsia" w:ascii="宋体" w:hAnsi="宋体" w:eastAsia="宋体" w:cs="宋体"/>
          <w:b/>
          <w:bCs/>
          <w:sz w:val="24"/>
          <w:szCs w:val="24"/>
          <w:highlight w:val="yellow"/>
          <w:lang w:eastAsia="zh-CN"/>
        </w:rPr>
        <w:t>答：</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2" w:firstLineChars="200"/>
        <w:jc w:val="left"/>
        <w:textAlignment w:val="auto"/>
        <w:rPr>
          <w:rFonts w:hint="eastAsia" w:ascii="宋体" w:hAnsi="宋体" w:eastAsia="宋体" w:cs="宋体"/>
          <w:b/>
          <w:bCs/>
          <w:sz w:val="24"/>
          <w:szCs w:val="24"/>
          <w:highlight w:val="yellow"/>
          <w:lang w:eastAsia="zh-CN"/>
        </w:rPr>
      </w:pPr>
      <w:r>
        <w:rPr>
          <w:rFonts w:hint="eastAsia" w:ascii="宋体" w:hAnsi="宋体" w:eastAsia="宋体" w:cs="宋体"/>
          <w:b/>
          <w:bCs/>
          <w:sz w:val="24"/>
          <w:szCs w:val="24"/>
          <w:highlight w:val="yellow"/>
          <w:lang w:eastAsia="zh-CN"/>
        </w:rPr>
        <w:t>第22.3.2 五金配件：“同 1.3.6”更正为“同1.3.8”。</w:t>
      </w:r>
    </w:p>
    <w:p>
      <w:pPr>
        <w:pStyle w:val="3"/>
        <w:keepNext w:val="0"/>
        <w:keepLines w:val="0"/>
        <w:pageBreakBefore w:val="0"/>
        <w:kinsoku/>
        <w:wordWrap/>
        <w:overflowPunct/>
        <w:topLinePunct w:val="0"/>
        <w:autoSpaceDE/>
        <w:autoSpaceDN/>
        <w:bidi w:val="0"/>
        <w:adjustRightInd/>
        <w:snapToGrid/>
        <w:spacing w:before="0" w:beforeAutospacing="0" w:after="0" w:afterAutospacing="0" w:line="360" w:lineRule="auto"/>
        <w:ind w:left="0" w:firstLine="482" w:firstLineChars="200"/>
        <w:jc w:val="left"/>
        <w:textAlignment w:val="auto"/>
        <w:rPr>
          <w:rFonts w:hint="eastAsia" w:ascii="宋体" w:hAnsi="宋体" w:eastAsia="宋体" w:cs="宋体"/>
          <w:b/>
          <w:bCs/>
          <w:sz w:val="24"/>
          <w:szCs w:val="24"/>
          <w:highlight w:val="yellow"/>
          <w:lang w:eastAsia="zh-CN"/>
        </w:rPr>
      </w:pPr>
      <w:r>
        <w:rPr>
          <w:rFonts w:hint="eastAsia" w:ascii="宋体" w:hAnsi="宋体" w:eastAsia="宋体" w:cs="宋体"/>
          <w:b/>
          <w:bCs/>
          <w:sz w:val="24"/>
          <w:szCs w:val="24"/>
          <w:highlight w:val="yellow"/>
          <w:lang w:eastAsia="zh-CN"/>
        </w:rPr>
        <w:t>第22.3.3 其他配套配置：“同 1.3.7”更正为“同1.3.9”。</w:t>
      </w:r>
    </w:p>
    <w:p>
      <w:pPr>
        <w:pStyle w:val="3"/>
        <w:keepNext w:val="0"/>
        <w:keepLines w:val="0"/>
        <w:pageBreakBefore w:val="0"/>
        <w:kinsoku/>
        <w:wordWrap/>
        <w:overflowPunct/>
        <w:topLinePunct w:val="0"/>
        <w:autoSpaceDE/>
        <w:autoSpaceDN/>
        <w:bidi w:val="0"/>
        <w:adjustRightInd/>
        <w:snapToGrid/>
        <w:spacing w:before="0" w:beforeAutospacing="0" w:after="0" w:afterAutospacing="0" w:line="360" w:lineRule="auto"/>
        <w:ind w:left="0" w:firstLine="482" w:firstLineChars="200"/>
        <w:jc w:val="left"/>
        <w:textAlignment w:val="auto"/>
        <w:rPr>
          <w:rFonts w:hint="eastAsia" w:ascii="宋体" w:hAnsi="宋体" w:eastAsia="宋体" w:cs="宋体"/>
          <w:b/>
          <w:bCs/>
          <w:sz w:val="24"/>
          <w:szCs w:val="24"/>
          <w:highlight w:val="yellow"/>
          <w:lang w:val="en-US" w:eastAsia="zh-CN"/>
        </w:rPr>
      </w:pPr>
      <w:r>
        <w:rPr>
          <w:rFonts w:hint="eastAsia" w:ascii="宋体" w:hAnsi="宋体" w:eastAsia="宋体" w:cs="宋体"/>
          <w:b/>
          <w:bCs/>
          <w:sz w:val="24"/>
          <w:szCs w:val="24"/>
          <w:highlight w:val="yellow"/>
          <w:lang w:val="en-US" w:eastAsia="zh-CN"/>
        </w:rPr>
        <w:t>九、由于本项目的招标文件进行了必要的修改和澄清，故本项目投标截止时间和开标时间延期至2026年11月9日</w:t>
      </w:r>
      <w:r>
        <w:rPr>
          <w:rFonts w:hint="eastAsia" w:ascii="宋体" w:hAnsi="宋体" w:eastAsia="宋体" w:cs="宋体"/>
          <w:b/>
          <w:bCs/>
          <w:color w:val="auto"/>
          <w:sz w:val="24"/>
          <w:szCs w:val="24"/>
          <w:highlight w:val="yellow"/>
          <w:lang w:val="en-US" w:eastAsia="zh-CN"/>
        </w:rPr>
        <w:t>13</w:t>
      </w:r>
      <w:r>
        <w:rPr>
          <w:rFonts w:hint="eastAsia" w:ascii="宋体" w:hAnsi="宋体" w:eastAsia="宋体" w:cs="宋体"/>
          <w:b/>
          <w:bCs/>
          <w:color w:val="auto"/>
          <w:sz w:val="24"/>
          <w:szCs w:val="24"/>
          <w:highlight w:val="yellow"/>
          <w:lang w:eastAsia="zh-CN"/>
        </w:rPr>
        <w:t>:30</w:t>
      </w:r>
      <w:r>
        <w:rPr>
          <w:rFonts w:hint="eastAsia" w:ascii="宋体" w:hAnsi="宋体" w:eastAsia="宋体" w:cs="宋体"/>
          <w:b/>
          <w:bCs/>
          <w:color w:val="auto"/>
          <w:sz w:val="24"/>
          <w:szCs w:val="24"/>
          <w:highlight w:val="yellow"/>
        </w:rPr>
        <w:t>（北京时间）</w:t>
      </w:r>
      <w:r>
        <w:rPr>
          <w:rFonts w:hint="eastAsia" w:ascii="宋体" w:hAnsi="宋体" w:eastAsia="宋体" w:cs="宋体"/>
          <w:b/>
          <w:bCs/>
          <w:color w:val="auto"/>
          <w:sz w:val="24"/>
          <w:szCs w:val="24"/>
          <w:highlight w:val="yellow"/>
          <w:lang w:eastAsia="zh-CN"/>
        </w:rPr>
        <w:t>。</w:t>
      </w:r>
    </w:p>
    <w:p>
      <w:pPr>
        <w:ind w:firstLine="4819" w:firstLineChars="1500"/>
        <w:rPr>
          <w:rFonts w:hint="eastAsia" w:ascii="宋体" w:hAnsi="宋体" w:cs="宋体"/>
          <w:b/>
          <w:bCs/>
          <w:color w:val="auto"/>
          <w:sz w:val="32"/>
          <w:szCs w:val="32"/>
          <w:highlight w:val="none"/>
          <w:lang w:val="en-US" w:eastAsia="zh-CN"/>
        </w:rPr>
      </w:pPr>
      <w:r>
        <w:rPr>
          <w:rFonts w:hint="eastAsia" w:ascii="宋体" w:hAnsi="宋体" w:cs="宋体"/>
          <w:b/>
          <w:bCs/>
          <w:color w:val="auto"/>
          <w:sz w:val="32"/>
          <w:szCs w:val="32"/>
          <w:highlight w:val="none"/>
          <w:lang w:val="en-US" w:eastAsia="zh-CN"/>
        </w:rPr>
        <w:t xml:space="preserve"> </w:t>
      </w:r>
    </w:p>
    <w:p>
      <w:pPr>
        <w:ind w:firstLine="4819" w:firstLineChars="1500"/>
        <w:rPr>
          <w:rFonts w:hint="default" w:ascii="宋体" w:hAnsi="宋体" w:cs="宋体"/>
          <w:b w:val="0"/>
          <w:bCs w:val="0"/>
          <w:color w:val="auto"/>
          <w:sz w:val="24"/>
          <w:szCs w:val="24"/>
          <w:highlight w:val="none"/>
          <w:lang w:val="en-US" w:eastAsia="zh-CN"/>
        </w:rPr>
      </w:pPr>
      <w:r>
        <w:rPr>
          <w:rFonts w:hint="eastAsia" w:ascii="宋体" w:hAnsi="宋体" w:cs="宋体"/>
          <w:b/>
          <w:bCs/>
          <w:color w:val="auto"/>
          <w:sz w:val="32"/>
          <w:szCs w:val="32"/>
          <w:highlight w:val="none"/>
          <w:lang w:val="en-US" w:eastAsia="zh-CN"/>
        </w:rPr>
        <w:t xml:space="preserve"> </w:t>
      </w:r>
      <w:r>
        <w:rPr>
          <w:rFonts w:hint="eastAsia" w:ascii="宋体" w:hAnsi="宋体" w:cs="宋体"/>
          <w:b w:val="0"/>
          <w:bCs w:val="0"/>
          <w:color w:val="auto"/>
          <w:sz w:val="24"/>
          <w:szCs w:val="24"/>
          <w:highlight w:val="none"/>
          <w:lang w:val="en-US" w:eastAsia="zh-CN"/>
        </w:rPr>
        <w:t>上海机电设备招标有限公司</w:t>
      </w:r>
    </w:p>
    <w:p>
      <w:pPr>
        <w:ind w:firstLine="5520" w:firstLineChars="2300"/>
        <w:rPr>
          <w:rFonts w:hint="default" w:ascii="宋体" w:hAnsi="宋体" w:cs="宋体"/>
          <w:b/>
          <w:bCs/>
          <w:color w:val="auto"/>
          <w:sz w:val="32"/>
          <w:szCs w:val="32"/>
          <w:highlight w:val="none"/>
          <w:lang w:val="en-US" w:eastAsia="zh-CN"/>
        </w:rPr>
      </w:pPr>
      <w:r>
        <w:rPr>
          <w:rFonts w:hint="eastAsia" w:ascii="宋体" w:hAnsi="宋体" w:cs="宋体"/>
          <w:b w:val="0"/>
          <w:bCs w:val="0"/>
          <w:color w:val="auto"/>
          <w:sz w:val="24"/>
          <w:szCs w:val="24"/>
          <w:highlight w:val="none"/>
          <w:lang w:val="en-US" w:eastAsia="zh-CN"/>
        </w:rPr>
        <w:t>2026年10月22日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2E0E26"/>
    <w:multiLevelType w:val="multilevel"/>
    <w:tmpl w:val="762E0E2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800723"/>
    <w:rsid w:val="028873E0"/>
    <w:rsid w:val="03F63AFA"/>
    <w:rsid w:val="042A3CE5"/>
    <w:rsid w:val="07265971"/>
    <w:rsid w:val="08F06914"/>
    <w:rsid w:val="0D962F4D"/>
    <w:rsid w:val="0EC35790"/>
    <w:rsid w:val="10EE01D6"/>
    <w:rsid w:val="128516A7"/>
    <w:rsid w:val="13BC286C"/>
    <w:rsid w:val="15E629B7"/>
    <w:rsid w:val="1629420D"/>
    <w:rsid w:val="1B672337"/>
    <w:rsid w:val="1E4A53E8"/>
    <w:rsid w:val="2B8F74B6"/>
    <w:rsid w:val="2E8B326C"/>
    <w:rsid w:val="32CB4E33"/>
    <w:rsid w:val="3B00324E"/>
    <w:rsid w:val="3BA8675F"/>
    <w:rsid w:val="3F1E19F6"/>
    <w:rsid w:val="41A90D45"/>
    <w:rsid w:val="42F022EF"/>
    <w:rsid w:val="47B317AA"/>
    <w:rsid w:val="4A0C3613"/>
    <w:rsid w:val="4B0B40A2"/>
    <w:rsid w:val="4CAA393A"/>
    <w:rsid w:val="4D99745C"/>
    <w:rsid w:val="4DBC5887"/>
    <w:rsid w:val="4FBE7BA9"/>
    <w:rsid w:val="50141367"/>
    <w:rsid w:val="50C2570B"/>
    <w:rsid w:val="51EB3EF3"/>
    <w:rsid w:val="5873545D"/>
    <w:rsid w:val="5C42021F"/>
    <w:rsid w:val="664604DB"/>
    <w:rsid w:val="67A62852"/>
    <w:rsid w:val="6861624C"/>
    <w:rsid w:val="6FDE46AD"/>
    <w:rsid w:val="709F7DD6"/>
    <w:rsid w:val="750428C2"/>
    <w:rsid w:val="75972BA3"/>
    <w:rsid w:val="75CE4E7D"/>
    <w:rsid w:val="76BA3EA5"/>
    <w:rsid w:val="7AA11240"/>
    <w:rsid w:val="7D9647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Body Text 2"/>
    <w:basedOn w:val="1"/>
    <w:qFormat/>
    <w:uiPriority w:val="0"/>
    <w:pPr>
      <w:widowControl/>
      <w:spacing w:before="100" w:beforeAutospacing="1" w:after="100" w:afterAutospacing="1"/>
      <w:jc w:val="left"/>
    </w:pPr>
    <w:rPr>
      <w:rFonts w:ascii="宋体" w:hAnsi="宋体"/>
      <w:kern w:val="0"/>
      <w:sz w:val="24"/>
    </w:rPr>
  </w:style>
  <w:style w:type="paragraph" w:styleId="4">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3659</Words>
  <Characters>4111</Characters>
  <Lines>0</Lines>
  <Paragraphs>0</Paragraphs>
  <TotalTime>29</TotalTime>
  <ScaleCrop>false</ScaleCrop>
  <LinksUpToDate>false</LinksUpToDate>
  <CharactersWithSpaces>4140</CharactersWithSpaces>
  <Application>WPS Office_11.8.2.12187_F1E327BC-269C-435d-A152-05C5408002CA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2025-02-28T07:06:00Z</dcterms:created>
  <dc:creator>ltt</dc:creator>
  <cp:lastModifiedBy>李婷婷</cp:lastModifiedBy>
  <dcterms:modified xsi:type="dcterms:W3CDTF">2026-10-22T08:29:32Z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2052-11.8.2.12187</vt:lpwstr>
  </property>
  <property fmtid="{D5CDD505-2E9C-101B-9397-08002B2CF9AE}" pid="3" name="ICV">
    <vt:lpwstr>D6F14654949F40979BADB3CC5831660B</vt:lpwstr>
  </property>
  <property fmtid="{D5CDD505-2E9C-101B-9397-08002B2CF9AE}" pid="4" name="KSOTemplateDocerSaveRecord">
    <vt:lpwstr>eyJoZGlkIjoiNmEwZGI3YzU1MTc1ODU4MmI0MzRlYzA2NWU0YzY0NjEiLCJ1c2VySWQiOiIxMjA2NjA3OTg5In0=</vt:lpwstr>
  </property>
</Properties>
</file>