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8CF7C">
      <w:pPr>
        <w:pStyle w:val="36"/>
        <w:spacing w:line="360" w:lineRule="auto"/>
        <w:rPr>
          <w:rFonts w:ascii="宋体" w:hAnsi="宋体" w:eastAsia="宋体"/>
          <w:sz w:val="52"/>
          <w:szCs w:val="52"/>
        </w:rPr>
      </w:pPr>
      <w:permStart w:id="0" w:edGrp="everyone"/>
      <w:bookmarkStart w:id="0" w:name="_Toc9066358"/>
      <w:r>
        <w:rPr>
          <w:rFonts w:hint="eastAsia" w:ascii="宋体" w:hAnsi="宋体" w:eastAsia="宋体"/>
          <w:sz w:val="52"/>
          <w:szCs w:val="52"/>
        </w:rPr>
        <w:t>体外冲击波心血管治疗系统</w:t>
      </w:r>
    </w:p>
    <w:permEnd w:id="0"/>
    <w:p w14:paraId="589CB1D8">
      <w:pPr>
        <w:pStyle w:val="36"/>
        <w:spacing w:line="360" w:lineRule="auto"/>
        <w:rPr>
          <w:rFonts w:ascii="宋体" w:hAnsi="宋体" w:eastAsia="宋体"/>
          <w:sz w:val="52"/>
          <w:szCs w:val="52"/>
        </w:rPr>
      </w:pPr>
      <w:r>
        <w:rPr>
          <w:rFonts w:hint="eastAsia" w:ascii="宋体" w:hAnsi="宋体" w:eastAsia="宋体"/>
          <w:sz w:val="52"/>
          <w:szCs w:val="52"/>
        </w:rPr>
        <w:t>国际招标采购项目</w:t>
      </w:r>
    </w:p>
    <w:p w14:paraId="0E5F9798">
      <w:pPr>
        <w:pStyle w:val="178"/>
        <w:spacing w:line="360" w:lineRule="auto"/>
        <w:rPr>
          <w:rFonts w:ascii="宋体" w:hAnsi="宋体"/>
          <w:sz w:val="96"/>
        </w:rPr>
      </w:pPr>
    </w:p>
    <w:p w14:paraId="044759D2">
      <w:pPr>
        <w:pStyle w:val="178"/>
        <w:spacing w:line="360" w:lineRule="auto"/>
        <w:rPr>
          <w:rFonts w:ascii="宋体" w:hAnsi="宋体"/>
          <w:sz w:val="96"/>
          <w:szCs w:val="96"/>
        </w:rPr>
      </w:pPr>
      <w:bookmarkStart w:id="1" w:name="_Toc209852933"/>
      <w:r>
        <w:rPr>
          <w:rFonts w:ascii="宋体" w:hAnsi="宋体"/>
          <w:sz w:val="96"/>
          <w:szCs w:val="96"/>
        </w:rPr>
        <w:t>招标文件</w:t>
      </w:r>
      <w:bookmarkEnd w:id="1"/>
    </w:p>
    <w:p w14:paraId="404D7839">
      <w:pPr>
        <w:spacing w:line="360" w:lineRule="auto"/>
        <w:jc w:val="center"/>
        <w:rPr>
          <w:rFonts w:ascii="宋体" w:hAnsi="宋体"/>
          <w:sz w:val="52"/>
          <w:szCs w:val="52"/>
        </w:rPr>
      </w:pPr>
      <w:r>
        <w:rPr>
          <w:rFonts w:hint="eastAsia" w:ascii="宋体" w:hAnsi="宋体"/>
          <w:sz w:val="52"/>
          <w:szCs w:val="52"/>
        </w:rPr>
        <w:t>（第二册）</w:t>
      </w:r>
    </w:p>
    <w:p w14:paraId="7709FF9D">
      <w:pPr>
        <w:pStyle w:val="36"/>
        <w:spacing w:line="360" w:lineRule="auto"/>
        <w:rPr>
          <w:rFonts w:ascii="宋体" w:hAnsi="宋体" w:eastAsia="宋体"/>
          <w:sz w:val="44"/>
          <w:szCs w:val="44"/>
        </w:rPr>
      </w:pPr>
      <w:r>
        <w:rPr>
          <w:rFonts w:ascii="宋体" w:hAnsi="宋体" w:eastAsia="宋体"/>
          <w:sz w:val="44"/>
          <w:szCs w:val="44"/>
        </w:rPr>
        <w:t>招标编号</w:t>
      </w:r>
      <w:r>
        <w:rPr>
          <w:rFonts w:hint="eastAsia" w:ascii="宋体" w:hAnsi="宋体" w:eastAsia="宋体"/>
          <w:sz w:val="44"/>
          <w:szCs w:val="44"/>
        </w:rPr>
        <w:t>：</w:t>
      </w:r>
      <w:r>
        <w:rPr>
          <w:rFonts w:ascii="宋体" w:hAnsi="宋体" w:eastAsia="宋体"/>
          <w:sz w:val="44"/>
          <w:szCs w:val="44"/>
        </w:rPr>
        <w:t>0811-</w:t>
      </w:r>
      <w:permStart w:id="1" w:edGrp="everyone"/>
      <w:r>
        <w:rPr>
          <w:rFonts w:hint="eastAsia" w:ascii="宋体" w:hAnsi="宋体" w:eastAsia="宋体"/>
          <w:sz w:val="44"/>
          <w:szCs w:val="44"/>
        </w:rPr>
        <w:t>244DSITC2133</w:t>
      </w:r>
      <w:permEnd w:id="1"/>
    </w:p>
    <w:p w14:paraId="55A0333A">
      <w:pPr>
        <w:tabs>
          <w:tab w:val="left" w:pos="3150"/>
        </w:tabs>
        <w:spacing w:line="360" w:lineRule="auto"/>
        <w:jc w:val="center"/>
        <w:rPr>
          <w:rFonts w:ascii="宋体" w:hAnsi="宋体"/>
          <w:b/>
          <w:sz w:val="32"/>
        </w:rPr>
      </w:pPr>
    </w:p>
    <w:p w14:paraId="7DDA2862">
      <w:pPr>
        <w:tabs>
          <w:tab w:val="left" w:pos="3150"/>
        </w:tabs>
        <w:spacing w:line="360" w:lineRule="auto"/>
        <w:jc w:val="center"/>
        <w:rPr>
          <w:rFonts w:ascii="宋体" w:hAnsi="宋体"/>
          <w:b/>
          <w:sz w:val="32"/>
        </w:rPr>
      </w:pPr>
    </w:p>
    <w:p w14:paraId="354C4285">
      <w:pPr>
        <w:tabs>
          <w:tab w:val="left" w:pos="3150"/>
        </w:tabs>
        <w:spacing w:line="360" w:lineRule="auto"/>
        <w:jc w:val="center"/>
        <w:rPr>
          <w:rFonts w:ascii="宋体" w:hAnsi="宋体"/>
          <w:b/>
          <w:sz w:val="32"/>
        </w:rPr>
      </w:pPr>
    </w:p>
    <w:p w14:paraId="49A0B92A">
      <w:pPr>
        <w:tabs>
          <w:tab w:val="left" w:pos="3150"/>
        </w:tabs>
        <w:spacing w:line="360" w:lineRule="auto"/>
        <w:jc w:val="center"/>
        <w:rPr>
          <w:rFonts w:ascii="宋体" w:hAnsi="宋体"/>
          <w:b/>
          <w:sz w:val="32"/>
        </w:rPr>
      </w:pPr>
    </w:p>
    <w:p w14:paraId="35EC59B9">
      <w:pPr>
        <w:tabs>
          <w:tab w:val="left" w:pos="3150"/>
        </w:tabs>
        <w:spacing w:line="360" w:lineRule="auto"/>
        <w:jc w:val="center"/>
        <w:rPr>
          <w:rFonts w:ascii="宋体" w:hAnsi="宋体"/>
          <w:b/>
          <w:sz w:val="32"/>
        </w:rPr>
      </w:pPr>
    </w:p>
    <w:p w14:paraId="473AE366">
      <w:pPr>
        <w:tabs>
          <w:tab w:val="left" w:pos="3150"/>
        </w:tabs>
        <w:spacing w:line="360" w:lineRule="auto"/>
        <w:ind w:firstLine="1440" w:firstLineChars="400"/>
        <w:rPr>
          <w:rFonts w:ascii="宋体" w:hAnsi="宋体"/>
          <w:b/>
          <w:sz w:val="36"/>
          <w:szCs w:val="36"/>
        </w:rPr>
      </w:pPr>
      <w:r>
        <w:rPr>
          <w:rFonts w:hint="eastAsia" w:ascii="宋体" w:hAnsi="宋体"/>
          <w:b/>
          <w:sz w:val="36"/>
          <w:szCs w:val="36"/>
        </w:rPr>
        <w:t>招标人：</w:t>
      </w:r>
      <w:permStart w:id="2" w:edGrp="everyone"/>
      <w:r>
        <w:rPr>
          <w:rFonts w:hint="eastAsia" w:ascii="宋体" w:hAnsi="宋体"/>
          <w:b/>
          <w:sz w:val="36"/>
          <w:szCs w:val="36"/>
        </w:rPr>
        <w:t>上海中医药大学附属岳阳中西医结合医院</w:t>
      </w:r>
      <w:permEnd w:id="2"/>
    </w:p>
    <w:p w14:paraId="3932AE0D">
      <w:pPr>
        <w:tabs>
          <w:tab w:val="left" w:pos="3150"/>
        </w:tabs>
        <w:spacing w:line="360" w:lineRule="auto"/>
        <w:ind w:firstLine="1440" w:firstLineChars="400"/>
        <w:rPr>
          <w:rFonts w:ascii="宋体" w:hAnsi="宋体"/>
          <w:b/>
          <w:sz w:val="36"/>
          <w:szCs w:val="36"/>
        </w:rPr>
      </w:pPr>
      <w:r>
        <w:rPr>
          <w:rFonts w:hint="eastAsia" w:ascii="宋体" w:hAnsi="宋体"/>
          <w:b/>
          <w:sz w:val="36"/>
          <w:szCs w:val="36"/>
        </w:rPr>
        <w:t>招标代理机构：上海东松医疗科技股份有限公司</w:t>
      </w:r>
    </w:p>
    <w:p w14:paraId="684BF513">
      <w:pPr>
        <w:pStyle w:val="31"/>
        <w:tabs>
          <w:tab w:val="left" w:pos="2730"/>
        </w:tabs>
        <w:spacing w:line="360" w:lineRule="auto"/>
        <w:ind w:left="723" w:hanging="723"/>
        <w:jc w:val="center"/>
        <w:rPr>
          <w:rFonts w:ascii="宋体" w:hAnsi="宋体"/>
          <w:b/>
          <w:sz w:val="36"/>
          <w:szCs w:val="36"/>
        </w:rPr>
      </w:pPr>
    </w:p>
    <w:p w14:paraId="4505B743">
      <w:pPr>
        <w:pStyle w:val="31"/>
        <w:tabs>
          <w:tab w:val="left" w:pos="2730"/>
        </w:tabs>
        <w:spacing w:line="360" w:lineRule="auto"/>
        <w:ind w:left="723" w:hanging="723"/>
        <w:jc w:val="center"/>
        <w:rPr>
          <w:rFonts w:ascii="宋体" w:hAnsi="宋体"/>
          <w:b/>
          <w:sz w:val="36"/>
          <w:szCs w:val="36"/>
        </w:rPr>
      </w:pPr>
    </w:p>
    <w:p w14:paraId="07546B9F">
      <w:pPr>
        <w:pStyle w:val="31"/>
        <w:tabs>
          <w:tab w:val="left" w:pos="2730"/>
        </w:tabs>
        <w:spacing w:line="360" w:lineRule="auto"/>
        <w:ind w:left="723" w:hanging="723"/>
        <w:jc w:val="center"/>
        <w:rPr>
          <w:rFonts w:ascii="宋体" w:hAnsi="宋体"/>
          <w:b/>
          <w:bCs/>
          <w:sz w:val="36"/>
          <w:szCs w:val="36"/>
        </w:rPr>
      </w:pPr>
      <w:permStart w:id="3" w:edGrp="everyone"/>
      <w:r>
        <w:rPr>
          <w:rFonts w:hint="eastAsia" w:ascii="宋体" w:hAnsi="宋体"/>
          <w:b/>
          <w:sz w:val="36"/>
          <w:szCs w:val="36"/>
        </w:rPr>
        <w:t>2024年</w:t>
      </w:r>
      <w:r>
        <w:rPr>
          <w:rFonts w:hint="eastAsia" w:ascii="宋体" w:hAnsi="宋体"/>
          <w:b/>
          <w:sz w:val="36"/>
          <w:szCs w:val="36"/>
          <w:lang w:val="en-US" w:eastAsia="zh-CN"/>
        </w:rPr>
        <w:t>8</w:t>
      </w:r>
      <w:r>
        <w:rPr>
          <w:rFonts w:ascii="宋体" w:hAnsi="宋体"/>
          <w:b/>
          <w:sz w:val="36"/>
          <w:szCs w:val="36"/>
        </w:rPr>
        <w:t>月</w:t>
      </w:r>
      <w:r>
        <w:rPr>
          <w:rFonts w:hint="eastAsia" w:ascii="宋体" w:hAnsi="宋体"/>
          <w:b/>
          <w:sz w:val="36"/>
          <w:szCs w:val="36"/>
          <w:lang w:val="en-US" w:eastAsia="zh-CN"/>
        </w:rPr>
        <w:t>9</w:t>
      </w:r>
      <w:r>
        <w:rPr>
          <w:rFonts w:ascii="宋体" w:hAnsi="宋体"/>
          <w:b/>
          <w:sz w:val="36"/>
          <w:szCs w:val="36"/>
        </w:rPr>
        <w:t>日</w:t>
      </w:r>
      <w:permEnd w:id="3"/>
    </w:p>
    <w:p w14:paraId="4CB163EA">
      <w:pPr>
        <w:pStyle w:val="31"/>
        <w:pageBreakBefore/>
        <w:tabs>
          <w:tab w:val="left" w:pos="2730"/>
        </w:tabs>
        <w:spacing w:line="360" w:lineRule="auto"/>
        <w:ind w:left="964" w:hanging="964"/>
        <w:jc w:val="center"/>
        <w:rPr>
          <w:rFonts w:ascii="宋体" w:hAnsi="宋体"/>
          <w:b/>
          <w:bCs/>
          <w:sz w:val="48"/>
        </w:rPr>
      </w:pPr>
      <w:r>
        <w:rPr>
          <w:rFonts w:hint="eastAsia" w:ascii="宋体" w:hAnsi="宋体"/>
          <w:b/>
          <w:bCs/>
          <w:sz w:val="48"/>
        </w:rPr>
        <w:t>第二册</w:t>
      </w:r>
    </w:p>
    <w:p w14:paraId="4C52E7D7">
      <w:pPr>
        <w:pStyle w:val="31"/>
        <w:spacing w:line="360" w:lineRule="auto"/>
        <w:ind w:left="964" w:hanging="964"/>
        <w:jc w:val="center"/>
        <w:rPr>
          <w:rFonts w:ascii="宋体" w:hAnsi="宋体"/>
          <w:b/>
          <w:bCs/>
          <w:sz w:val="48"/>
        </w:rPr>
      </w:pPr>
    </w:p>
    <w:p w14:paraId="23950929">
      <w:pPr>
        <w:pStyle w:val="31"/>
        <w:spacing w:line="360" w:lineRule="auto"/>
        <w:ind w:left="723" w:hanging="723"/>
        <w:jc w:val="center"/>
        <w:rPr>
          <w:rFonts w:ascii="宋体" w:hAnsi="宋体"/>
          <w:b/>
          <w:bCs/>
          <w:sz w:val="36"/>
        </w:rPr>
      </w:pPr>
      <w:r>
        <w:rPr>
          <w:rFonts w:hint="eastAsia" w:ascii="宋体" w:hAnsi="宋体"/>
          <w:b/>
          <w:bCs/>
          <w:sz w:val="36"/>
        </w:rPr>
        <w:t>目录</w:t>
      </w:r>
    </w:p>
    <w:p w14:paraId="278D2C82">
      <w:pPr>
        <w:pStyle w:val="31"/>
        <w:spacing w:line="360" w:lineRule="auto"/>
        <w:ind w:left="723" w:hanging="723"/>
        <w:jc w:val="center"/>
        <w:rPr>
          <w:rFonts w:ascii="宋体" w:hAnsi="宋体"/>
          <w:b/>
          <w:bCs/>
          <w:sz w:val="36"/>
        </w:rPr>
      </w:pPr>
      <w:permStart w:id="4" w:edGrp="everyone"/>
    </w:p>
    <w:p w14:paraId="6DF13D0F">
      <w:pPr>
        <w:pStyle w:val="20"/>
        <w:rPr>
          <w:rFonts w:ascii="等线" w:hAnsi="等线" w:eastAsia="等线"/>
          <w:b w:val="0"/>
          <w:sz w:val="21"/>
          <w:szCs w:val="22"/>
        </w:rPr>
      </w:pPr>
      <w:r>
        <w:rPr>
          <w:rStyle w:val="46"/>
          <w:color w:val="auto"/>
        </w:rPr>
        <w:fldChar w:fldCharType="begin"/>
      </w:r>
      <w:r>
        <w:rPr>
          <w:rStyle w:val="46"/>
          <w:rFonts w:ascii="宋体" w:hAnsi="宋体"/>
          <w:b w:val="0"/>
          <w:color w:val="auto"/>
          <w:szCs w:val="36"/>
        </w:rPr>
        <w:instrText xml:space="preserve"> TOC \o "1-3" \h \z \u </w:instrText>
      </w:r>
      <w:r>
        <w:rPr>
          <w:rStyle w:val="46"/>
          <w:color w:val="auto"/>
        </w:rPr>
        <w:fldChar w:fldCharType="separate"/>
      </w:r>
      <w:r>
        <w:fldChar w:fldCharType="begin"/>
      </w:r>
      <w:r>
        <w:instrText xml:space="preserve"> HYPERLINK \l "_Toc109920763" </w:instrText>
      </w:r>
      <w:r>
        <w:fldChar w:fldCharType="separate"/>
      </w:r>
      <w:r>
        <w:rPr>
          <w:rStyle w:val="46"/>
          <w:rFonts w:ascii="宋体" w:hAnsi="宋体"/>
        </w:rPr>
        <w:t>第五章 投标邀请</w:t>
      </w:r>
      <w:r>
        <w:tab/>
      </w:r>
      <w:r>
        <w:fldChar w:fldCharType="begin"/>
      </w:r>
      <w:r>
        <w:instrText xml:space="preserve"> PAGEREF _Toc109920763 \h </w:instrText>
      </w:r>
      <w:r>
        <w:fldChar w:fldCharType="separate"/>
      </w:r>
      <w:r>
        <w:t>2</w:t>
      </w:r>
      <w:r>
        <w:fldChar w:fldCharType="end"/>
      </w:r>
      <w:r>
        <w:fldChar w:fldCharType="end"/>
      </w:r>
    </w:p>
    <w:p w14:paraId="5AC04D60">
      <w:pPr>
        <w:pStyle w:val="20"/>
        <w:rPr>
          <w:rFonts w:ascii="等线" w:hAnsi="等线" w:eastAsia="等线"/>
          <w:b w:val="0"/>
          <w:sz w:val="21"/>
          <w:szCs w:val="22"/>
        </w:rPr>
      </w:pPr>
      <w:r>
        <w:fldChar w:fldCharType="begin"/>
      </w:r>
      <w:r>
        <w:instrText xml:space="preserve"> HYPERLINK \l "_Toc109920764" </w:instrText>
      </w:r>
      <w:r>
        <w:fldChar w:fldCharType="separate"/>
      </w:r>
      <w:r>
        <w:rPr>
          <w:rStyle w:val="46"/>
          <w:rFonts w:ascii="宋体" w:hAnsi="宋体"/>
        </w:rPr>
        <w:t>第六章 投标资料表</w:t>
      </w:r>
      <w:r>
        <w:tab/>
      </w:r>
      <w:r>
        <w:fldChar w:fldCharType="begin"/>
      </w:r>
      <w:r>
        <w:instrText xml:space="preserve"> PAGEREF _Toc109920764 \h </w:instrText>
      </w:r>
      <w:r>
        <w:fldChar w:fldCharType="separate"/>
      </w:r>
      <w:r>
        <w:t>4</w:t>
      </w:r>
      <w:r>
        <w:fldChar w:fldCharType="end"/>
      </w:r>
      <w:r>
        <w:fldChar w:fldCharType="end"/>
      </w:r>
    </w:p>
    <w:p w14:paraId="1E654F7E">
      <w:pPr>
        <w:pStyle w:val="20"/>
        <w:rPr>
          <w:rFonts w:ascii="等线" w:hAnsi="等线" w:eastAsia="等线"/>
          <w:b w:val="0"/>
          <w:sz w:val="21"/>
          <w:szCs w:val="22"/>
        </w:rPr>
      </w:pPr>
      <w:r>
        <w:fldChar w:fldCharType="begin"/>
      </w:r>
      <w:r>
        <w:instrText xml:space="preserve"> HYPERLINK \l "_Toc109920765" </w:instrText>
      </w:r>
      <w:r>
        <w:fldChar w:fldCharType="separate"/>
      </w:r>
      <w:r>
        <w:rPr>
          <w:rStyle w:val="46"/>
          <w:rFonts w:ascii="宋体" w:hAnsi="宋体"/>
        </w:rPr>
        <w:t>第七章 合同专用条款</w:t>
      </w:r>
      <w:r>
        <w:tab/>
      </w:r>
      <w:r>
        <w:fldChar w:fldCharType="begin"/>
      </w:r>
      <w:r>
        <w:instrText xml:space="preserve"> PAGEREF _Toc109920765 \h </w:instrText>
      </w:r>
      <w:r>
        <w:fldChar w:fldCharType="separate"/>
      </w:r>
      <w:r>
        <w:t>15</w:t>
      </w:r>
      <w:r>
        <w:fldChar w:fldCharType="end"/>
      </w:r>
      <w:r>
        <w:fldChar w:fldCharType="end"/>
      </w:r>
    </w:p>
    <w:p w14:paraId="2FA752AA">
      <w:pPr>
        <w:pStyle w:val="20"/>
        <w:rPr>
          <w:rFonts w:ascii="等线" w:hAnsi="等线" w:eastAsia="等线"/>
          <w:b w:val="0"/>
          <w:sz w:val="21"/>
          <w:szCs w:val="22"/>
        </w:rPr>
      </w:pPr>
      <w:r>
        <w:fldChar w:fldCharType="begin"/>
      </w:r>
      <w:r>
        <w:instrText xml:space="preserve"> HYPERLINK \l "_Toc109920766" </w:instrText>
      </w:r>
      <w:r>
        <w:fldChar w:fldCharType="separate"/>
      </w:r>
      <w:r>
        <w:rPr>
          <w:rStyle w:val="46"/>
          <w:rFonts w:ascii="宋体" w:hAnsi="宋体"/>
        </w:rPr>
        <w:t>第八章 货物需求一览表及技术规格</w:t>
      </w:r>
      <w:r>
        <w:tab/>
      </w:r>
      <w:r>
        <w:fldChar w:fldCharType="begin"/>
      </w:r>
      <w:r>
        <w:instrText xml:space="preserve"> PAGEREF _Toc109920766 \h </w:instrText>
      </w:r>
      <w:r>
        <w:fldChar w:fldCharType="separate"/>
      </w:r>
      <w:r>
        <w:t>20</w:t>
      </w:r>
      <w:r>
        <w:fldChar w:fldCharType="end"/>
      </w:r>
      <w:r>
        <w:fldChar w:fldCharType="end"/>
      </w:r>
    </w:p>
    <w:p w14:paraId="411B1EF2">
      <w:pPr>
        <w:pStyle w:val="20"/>
        <w:rPr>
          <w:rFonts w:ascii="等线" w:hAnsi="等线" w:eastAsia="等线"/>
          <w:b w:val="0"/>
          <w:sz w:val="21"/>
          <w:szCs w:val="22"/>
        </w:rPr>
      </w:pPr>
      <w:r>
        <w:fldChar w:fldCharType="begin"/>
      </w:r>
      <w:r>
        <w:instrText xml:space="preserve"> HYPERLINK \l "_Toc109920767" </w:instrText>
      </w:r>
      <w:r>
        <w:fldChar w:fldCharType="separate"/>
      </w:r>
      <w:r>
        <w:rPr>
          <w:rStyle w:val="46"/>
          <w:rFonts w:ascii="宋体" w:hAnsi="宋体"/>
        </w:rPr>
        <w:t>附件1：无重大违法记录承诺书（格式）</w:t>
      </w:r>
      <w:r>
        <w:tab/>
      </w:r>
      <w:r>
        <w:fldChar w:fldCharType="begin"/>
      </w:r>
      <w:r>
        <w:instrText xml:space="preserve"> PAGEREF _Toc109920767 \h </w:instrText>
      </w:r>
      <w:r>
        <w:fldChar w:fldCharType="separate"/>
      </w:r>
      <w:r>
        <w:t>23</w:t>
      </w:r>
      <w:r>
        <w:fldChar w:fldCharType="end"/>
      </w:r>
      <w:r>
        <w:fldChar w:fldCharType="end"/>
      </w:r>
    </w:p>
    <w:p w14:paraId="487F05ED">
      <w:pPr>
        <w:pStyle w:val="20"/>
        <w:rPr>
          <w:rFonts w:ascii="等线" w:hAnsi="等线" w:eastAsia="等线"/>
          <w:b w:val="0"/>
          <w:sz w:val="21"/>
          <w:szCs w:val="22"/>
        </w:rPr>
      </w:pPr>
      <w:r>
        <w:fldChar w:fldCharType="begin"/>
      </w:r>
      <w:r>
        <w:instrText xml:space="preserve"> HYPERLINK \l "_Toc109920768" </w:instrText>
      </w:r>
      <w:r>
        <w:fldChar w:fldCharType="separate"/>
      </w:r>
      <w:r>
        <w:rPr>
          <w:rStyle w:val="46"/>
          <w:rFonts w:ascii="宋体" w:hAnsi="宋体"/>
        </w:rPr>
        <w:t>附件2：无行贿犯罪记录声明函（格式）</w:t>
      </w:r>
      <w:r>
        <w:tab/>
      </w:r>
      <w:r>
        <w:fldChar w:fldCharType="begin"/>
      </w:r>
      <w:r>
        <w:instrText xml:space="preserve"> PAGEREF _Toc109920768 \h </w:instrText>
      </w:r>
      <w:r>
        <w:fldChar w:fldCharType="separate"/>
      </w:r>
      <w:r>
        <w:t>24</w:t>
      </w:r>
      <w:r>
        <w:fldChar w:fldCharType="end"/>
      </w:r>
      <w:r>
        <w:fldChar w:fldCharType="end"/>
      </w:r>
    </w:p>
    <w:p w14:paraId="4C133109">
      <w:pPr>
        <w:pStyle w:val="20"/>
        <w:rPr>
          <w:rFonts w:ascii="等线" w:hAnsi="等线" w:eastAsia="等线"/>
          <w:b w:val="0"/>
          <w:sz w:val="21"/>
          <w:szCs w:val="22"/>
        </w:rPr>
      </w:pPr>
      <w:r>
        <w:fldChar w:fldCharType="begin"/>
      </w:r>
      <w:r>
        <w:instrText xml:space="preserve"> HYPERLINK \l "_Toc109920769" </w:instrText>
      </w:r>
      <w:r>
        <w:fldChar w:fldCharType="separate"/>
      </w:r>
      <w:r>
        <w:rPr>
          <w:rStyle w:val="46"/>
          <w:rFonts w:ascii="宋体" w:hAnsi="宋体"/>
        </w:rPr>
        <w:t>附件3：关于原产于特定国家（地区）特定进口商品加征关税的承诺书（格式）</w:t>
      </w:r>
      <w:r>
        <w:tab/>
      </w:r>
      <w:r>
        <w:fldChar w:fldCharType="begin"/>
      </w:r>
      <w:r>
        <w:instrText xml:space="preserve"> PAGEREF _Toc109920769 \h </w:instrText>
      </w:r>
      <w:r>
        <w:fldChar w:fldCharType="separate"/>
      </w:r>
      <w:r>
        <w:t>25</w:t>
      </w:r>
      <w:r>
        <w:fldChar w:fldCharType="end"/>
      </w:r>
      <w:r>
        <w:fldChar w:fldCharType="end"/>
      </w:r>
    </w:p>
    <w:p w14:paraId="174CFB3E">
      <w:pPr>
        <w:pStyle w:val="20"/>
        <w:rPr>
          <w:rFonts w:ascii="等线" w:hAnsi="等线" w:eastAsia="等线"/>
          <w:b w:val="0"/>
          <w:sz w:val="21"/>
          <w:szCs w:val="22"/>
        </w:rPr>
      </w:pPr>
      <w:r>
        <w:fldChar w:fldCharType="begin"/>
      </w:r>
      <w:r>
        <w:instrText xml:space="preserve"> HYPERLINK \l "_Toc109920770" </w:instrText>
      </w:r>
      <w:r>
        <w:fldChar w:fldCharType="separate"/>
      </w:r>
      <w:r>
        <w:rPr>
          <w:rStyle w:val="46"/>
          <w:rFonts w:ascii="宋体" w:hAnsi="宋体"/>
        </w:rPr>
        <w:t>附件4：设备系统配置的详细清单（格式）</w:t>
      </w:r>
      <w:r>
        <w:tab/>
      </w:r>
      <w:r>
        <w:fldChar w:fldCharType="begin"/>
      </w:r>
      <w:r>
        <w:instrText xml:space="preserve"> PAGEREF _Toc109920770 \h </w:instrText>
      </w:r>
      <w:r>
        <w:fldChar w:fldCharType="separate"/>
      </w:r>
      <w:r>
        <w:t>26</w:t>
      </w:r>
      <w:r>
        <w:fldChar w:fldCharType="end"/>
      </w:r>
      <w:r>
        <w:fldChar w:fldCharType="end"/>
      </w:r>
    </w:p>
    <w:p w14:paraId="7F4F2C3F">
      <w:pPr>
        <w:pStyle w:val="20"/>
        <w:rPr>
          <w:rFonts w:ascii="等线" w:hAnsi="等线" w:eastAsia="等线"/>
          <w:b w:val="0"/>
          <w:sz w:val="21"/>
          <w:szCs w:val="22"/>
        </w:rPr>
      </w:pPr>
      <w:r>
        <w:fldChar w:fldCharType="begin"/>
      </w:r>
      <w:r>
        <w:instrText xml:space="preserve"> HYPERLINK \l "_Toc109920771" </w:instrText>
      </w:r>
      <w:r>
        <w:fldChar w:fldCharType="separate"/>
      </w:r>
      <w:r>
        <w:rPr>
          <w:rStyle w:val="46"/>
          <w:rFonts w:ascii="宋体" w:hAnsi="宋体"/>
        </w:rPr>
        <w:t>附件5：投标人关联关系情况声明函（格式）</w:t>
      </w:r>
      <w:r>
        <w:tab/>
      </w:r>
      <w:r>
        <w:fldChar w:fldCharType="begin"/>
      </w:r>
      <w:r>
        <w:instrText xml:space="preserve"> PAGEREF _Toc109920771 \h </w:instrText>
      </w:r>
      <w:r>
        <w:fldChar w:fldCharType="separate"/>
      </w:r>
      <w:r>
        <w:t>28</w:t>
      </w:r>
      <w:r>
        <w:fldChar w:fldCharType="end"/>
      </w:r>
      <w:r>
        <w:fldChar w:fldCharType="end"/>
      </w:r>
    </w:p>
    <w:p w14:paraId="1B616BF8">
      <w:pPr>
        <w:pStyle w:val="20"/>
        <w:rPr>
          <w:rFonts w:ascii="等线" w:hAnsi="等线" w:eastAsia="等线"/>
          <w:b w:val="0"/>
          <w:sz w:val="21"/>
          <w:szCs w:val="22"/>
        </w:rPr>
      </w:pPr>
      <w:r>
        <w:fldChar w:fldCharType="begin"/>
      </w:r>
      <w:r>
        <w:instrText xml:space="preserve"> HYPERLINK \l "_Toc109920772" </w:instrText>
      </w:r>
      <w:r>
        <w:fldChar w:fldCharType="separate"/>
      </w:r>
      <w:r>
        <w:rPr>
          <w:rStyle w:val="46"/>
          <w:rFonts w:ascii="宋体" w:hAnsi="宋体"/>
        </w:rPr>
        <w:t>附件6：售后服务承诺书（格式）</w:t>
      </w:r>
      <w:r>
        <w:tab/>
      </w:r>
      <w:r>
        <w:fldChar w:fldCharType="begin"/>
      </w:r>
      <w:r>
        <w:instrText xml:space="preserve"> PAGEREF _Toc109920772 \h </w:instrText>
      </w:r>
      <w:r>
        <w:fldChar w:fldCharType="separate"/>
      </w:r>
      <w:r>
        <w:t>29</w:t>
      </w:r>
      <w:r>
        <w:fldChar w:fldCharType="end"/>
      </w:r>
      <w:r>
        <w:fldChar w:fldCharType="end"/>
      </w:r>
    </w:p>
    <w:p w14:paraId="0377BEF9">
      <w:pPr>
        <w:pStyle w:val="20"/>
        <w:rPr>
          <w:rFonts w:ascii="等线" w:hAnsi="等线" w:eastAsia="等线"/>
          <w:b w:val="0"/>
          <w:sz w:val="21"/>
          <w:szCs w:val="22"/>
        </w:rPr>
      </w:pPr>
      <w:r>
        <w:fldChar w:fldCharType="begin"/>
      </w:r>
      <w:r>
        <w:instrText xml:space="preserve"> HYPERLINK \l "_Toc109920773" </w:instrText>
      </w:r>
      <w:r>
        <w:fldChar w:fldCharType="separate"/>
      </w:r>
      <w:r>
        <w:rPr>
          <w:rStyle w:val="46"/>
          <w:rFonts w:ascii="宋体" w:hAnsi="宋体"/>
        </w:rPr>
        <w:t>附件7：购销合同（格式）</w:t>
      </w:r>
      <w:r>
        <w:tab/>
      </w:r>
      <w:r>
        <w:fldChar w:fldCharType="begin"/>
      </w:r>
      <w:r>
        <w:instrText xml:space="preserve"> PAGEREF _Toc109920773 \h </w:instrText>
      </w:r>
      <w:r>
        <w:fldChar w:fldCharType="separate"/>
      </w:r>
      <w:r>
        <w:t>31</w:t>
      </w:r>
      <w:r>
        <w:fldChar w:fldCharType="end"/>
      </w:r>
      <w:r>
        <w:fldChar w:fldCharType="end"/>
      </w:r>
    </w:p>
    <w:p w14:paraId="23E5FA93">
      <w:pPr>
        <w:tabs>
          <w:tab w:val="left" w:pos="0"/>
        </w:tabs>
        <w:spacing w:line="360" w:lineRule="auto"/>
        <w:ind w:left="2"/>
        <w:rPr>
          <w:rFonts w:ascii="宋体" w:hAnsi="宋体"/>
        </w:rPr>
      </w:pPr>
      <w:r>
        <w:rPr>
          <w:rFonts w:ascii="宋体" w:hAnsi="宋体"/>
          <w:szCs w:val="36"/>
        </w:rPr>
        <w:fldChar w:fldCharType="end"/>
      </w:r>
    </w:p>
    <w:permEnd w:id="4"/>
    <w:p w14:paraId="48CAA202">
      <w:pPr>
        <w:pStyle w:val="180"/>
        <w:autoSpaceDE w:val="0"/>
        <w:autoSpaceDN w:val="0"/>
        <w:outlineLvl w:val="9"/>
        <w:rPr>
          <w:rFonts w:ascii="宋体" w:hAnsi="宋体" w:eastAsia="宋体"/>
        </w:rPr>
      </w:pPr>
    </w:p>
    <w:p w14:paraId="43E59A29">
      <w:pPr>
        <w:spacing w:line="360" w:lineRule="auto"/>
        <w:rPr>
          <w:rFonts w:ascii="宋体" w:hAnsi="宋体"/>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720" w:num="1"/>
          <w:titlePg/>
          <w:docGrid w:type="linesAndChars" w:linePitch="312" w:charSpace="0"/>
        </w:sectPr>
      </w:pPr>
    </w:p>
    <w:p w14:paraId="014EEBB5">
      <w:pPr>
        <w:pStyle w:val="88"/>
        <w:spacing w:line="360" w:lineRule="auto"/>
        <w:rPr>
          <w:rFonts w:ascii="宋体" w:hAnsi="宋体" w:eastAsia="宋体"/>
        </w:rPr>
      </w:pPr>
      <w:bookmarkStart w:id="2" w:name="_Toc109920763"/>
      <w:bookmarkStart w:id="3" w:name="_Toc74677719"/>
      <w:bookmarkStart w:id="4" w:name="_Toc84929689"/>
      <w:r>
        <w:rPr>
          <w:rFonts w:hint="eastAsia" w:ascii="宋体" w:hAnsi="宋体" w:eastAsia="宋体"/>
        </w:rPr>
        <w:t>第五章 投标邀请</w:t>
      </w:r>
      <w:bookmarkEnd w:id="0"/>
      <w:bookmarkEnd w:id="2"/>
      <w:bookmarkEnd w:id="3"/>
      <w:bookmarkEnd w:id="4"/>
    </w:p>
    <w:p w14:paraId="4BB51D2D">
      <w:pPr>
        <w:pStyle w:val="5"/>
        <w:autoSpaceDE w:val="0"/>
        <w:autoSpaceDN w:val="0"/>
        <w:spacing w:line="360" w:lineRule="auto"/>
        <w:ind w:left="1260" w:hanging="1260"/>
        <w:rPr>
          <w:rFonts w:ascii="宋体" w:hAnsi="宋体"/>
          <w:sz w:val="24"/>
        </w:rPr>
      </w:pPr>
      <w:r>
        <w:rPr>
          <w:rFonts w:hint="eastAsia" w:ascii="宋体" w:hAnsi="宋体"/>
          <w:sz w:val="24"/>
        </w:rPr>
        <w:t>日期：</w:t>
      </w:r>
      <w:r>
        <w:rPr>
          <w:rFonts w:hint="eastAsia" w:ascii="宋体" w:hAnsi="宋体"/>
          <w:sz w:val="24"/>
        </w:rPr>
        <w:tab/>
      </w:r>
      <w:permStart w:id="5" w:edGrp="everyone"/>
      <w:r>
        <w:rPr>
          <w:rFonts w:hint="eastAsia" w:ascii="宋体" w:hAnsi="宋体"/>
          <w:sz w:val="24"/>
        </w:rPr>
        <w:t>2024年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permEnd w:id="5"/>
    </w:p>
    <w:p w14:paraId="7E2D1772">
      <w:pPr>
        <w:autoSpaceDE w:val="0"/>
        <w:autoSpaceDN w:val="0"/>
        <w:spacing w:line="360" w:lineRule="auto"/>
        <w:ind w:left="1260" w:hanging="1260"/>
        <w:rPr>
          <w:rFonts w:ascii="宋体" w:hAnsi="宋体"/>
          <w:sz w:val="24"/>
        </w:rPr>
      </w:pPr>
      <w:r>
        <w:rPr>
          <w:rFonts w:hint="eastAsia" w:ascii="宋体" w:hAnsi="宋体"/>
          <w:sz w:val="24"/>
        </w:rPr>
        <w:t>招标编号：</w:t>
      </w:r>
      <w:r>
        <w:rPr>
          <w:rFonts w:hint="eastAsia" w:ascii="宋体" w:hAnsi="宋体"/>
          <w:sz w:val="24"/>
        </w:rPr>
        <w:tab/>
      </w:r>
      <w:r>
        <w:rPr>
          <w:rFonts w:ascii="宋体" w:hAnsi="宋体"/>
          <w:sz w:val="24"/>
        </w:rPr>
        <w:t>0811-</w:t>
      </w:r>
      <w:permStart w:id="6" w:edGrp="everyone"/>
      <w:r>
        <w:rPr>
          <w:rFonts w:hint="eastAsia" w:ascii="宋体" w:hAnsi="宋体"/>
          <w:sz w:val="24"/>
        </w:rPr>
        <w:t>244DSITC2133</w:t>
      </w:r>
      <w:permEnd w:id="6"/>
    </w:p>
    <w:p w14:paraId="22E95C63">
      <w:pPr>
        <w:spacing w:line="360" w:lineRule="auto"/>
        <w:ind w:left="1"/>
        <w:rPr>
          <w:rFonts w:ascii="宋体" w:hAnsi="宋体"/>
          <w:sz w:val="24"/>
          <w:szCs w:val="24"/>
        </w:rPr>
      </w:pPr>
      <w:bookmarkStart w:id="5" w:name="_Toc461613077"/>
      <w:bookmarkStart w:id="6" w:name="_Toc461613005"/>
      <w:r>
        <w:rPr>
          <w:rFonts w:hint="eastAsia" w:ascii="宋体" w:hAnsi="宋体"/>
          <w:sz w:val="24"/>
          <w:szCs w:val="24"/>
        </w:rPr>
        <w:tab/>
      </w:r>
    </w:p>
    <w:p w14:paraId="6D8A1210">
      <w:pPr>
        <w:spacing w:line="360" w:lineRule="auto"/>
        <w:ind w:left="1" w:firstLine="424"/>
        <w:rPr>
          <w:rFonts w:ascii="宋体" w:hAnsi="宋体"/>
          <w:sz w:val="24"/>
          <w:szCs w:val="24"/>
        </w:rPr>
      </w:pPr>
      <w:r>
        <w:rPr>
          <w:rFonts w:hint="eastAsia" w:ascii="宋体" w:hAnsi="宋体"/>
          <w:sz w:val="24"/>
          <w:szCs w:val="24"/>
        </w:rPr>
        <w:t>上海东松医疗科技股份有限公司（以下简称“招标机构”）受</w:t>
      </w:r>
      <w:permStart w:id="7" w:edGrp="everyone"/>
      <w:r>
        <w:rPr>
          <w:rFonts w:hint="eastAsia" w:ascii="宋体" w:hAnsi="宋体"/>
          <w:sz w:val="24"/>
          <w:szCs w:val="24"/>
        </w:rPr>
        <w:t>上海中医药大学附属岳阳中西医结合医院</w:t>
      </w:r>
      <w:permEnd w:id="7"/>
      <w:r>
        <w:rPr>
          <w:rFonts w:ascii="宋体" w:hAnsi="宋体"/>
          <w:sz w:val="24"/>
          <w:szCs w:val="24"/>
        </w:rPr>
        <w:t>（</w:t>
      </w:r>
      <w:r>
        <w:rPr>
          <w:rFonts w:hint="eastAsia" w:ascii="宋体" w:hAnsi="宋体"/>
          <w:sz w:val="24"/>
          <w:szCs w:val="24"/>
        </w:rPr>
        <w:t>以下简称“招标人”）的委托，现以国际公开招标方式邀请合格的投标人就下列所提供的货物和相关服务提交密封投标。</w:t>
      </w:r>
    </w:p>
    <w:p w14:paraId="64E3D051">
      <w:pPr>
        <w:spacing w:line="360" w:lineRule="auto"/>
        <w:ind w:left="1"/>
        <w:rPr>
          <w:sz w:val="24"/>
          <w:szCs w:val="24"/>
        </w:rPr>
      </w:pPr>
      <w:r>
        <w:rPr>
          <w:rFonts w:hint="eastAsia" w:ascii="宋体" w:hAnsi="宋体"/>
          <w:sz w:val="24"/>
          <w:szCs w:val="24"/>
        </w:rPr>
        <w:t>1、</w:t>
      </w:r>
      <w:r>
        <w:rPr>
          <w:rFonts w:hint="eastAsia"/>
          <w:sz w:val="24"/>
          <w:szCs w:val="24"/>
        </w:rPr>
        <w:t>本项目所需资金的来源均已落实。</w:t>
      </w:r>
    </w:p>
    <w:p w14:paraId="12BBB1D5">
      <w:pPr>
        <w:spacing w:line="360" w:lineRule="auto"/>
        <w:ind w:left="1"/>
        <w:rPr>
          <w:rFonts w:ascii="宋体" w:hAnsi="宋体"/>
          <w:sz w:val="24"/>
          <w:szCs w:val="24"/>
        </w:rPr>
      </w:pPr>
      <w:r>
        <w:rPr>
          <w:rFonts w:hint="eastAsia" w:ascii="宋体" w:hAnsi="宋体"/>
          <w:sz w:val="24"/>
          <w:szCs w:val="24"/>
        </w:rPr>
        <w:t>2、</w:t>
      </w:r>
      <w:r>
        <w:rPr>
          <w:rFonts w:hint="eastAsia"/>
          <w:sz w:val="24"/>
          <w:szCs w:val="24"/>
        </w:rPr>
        <w:t>招标内容</w:t>
      </w:r>
    </w:p>
    <w:p w14:paraId="45A1FC44">
      <w:pPr>
        <w:pStyle w:val="116"/>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rPr>
        <w:t>（1）</w:t>
      </w:r>
      <w:r>
        <w:rPr>
          <w:rFonts w:hint="eastAsia" w:ascii="宋体" w:hAnsi="宋体" w:eastAsia="宋体" w:cs="宋体"/>
          <w:kern w:val="0"/>
          <w:sz w:val="24"/>
          <w:szCs w:val="24"/>
        </w:rPr>
        <w:t>设备名称及数量：</w:t>
      </w:r>
      <w:permStart w:id="8" w:edGrp="everyone"/>
    </w:p>
    <w:p w14:paraId="725785E8">
      <w:pPr>
        <w:pStyle w:val="116"/>
        <w:autoSpaceDE w:val="0"/>
        <w:autoSpaceDN w:val="0"/>
        <w:spacing w:line="360" w:lineRule="auto"/>
        <w:ind w:firstLine="0"/>
        <w:rPr>
          <w:rFonts w:ascii="宋体" w:hAnsi="宋体" w:eastAsia="宋体"/>
          <w:color w:val="00B0F0"/>
          <w:sz w:val="24"/>
        </w:rPr>
      </w:pPr>
      <w:r>
        <w:rPr>
          <w:rFonts w:hint="eastAsia" w:ascii="宋体" w:hAnsi="宋体" w:eastAsia="宋体"/>
          <w:sz w:val="24"/>
        </w:rPr>
        <w:t>体外冲击波心血管治疗系统</w:t>
      </w:r>
      <w:r>
        <w:rPr>
          <w:rFonts w:hint="eastAsia" w:ascii="宋体" w:hAnsi="宋体" w:eastAsia="宋体"/>
          <w:sz w:val="24"/>
        </w:rPr>
        <w:tab/>
      </w:r>
      <w:r>
        <w:rPr>
          <w:rFonts w:hint="eastAsia" w:ascii="宋体" w:hAnsi="宋体" w:eastAsia="宋体"/>
          <w:sz w:val="24"/>
        </w:rPr>
        <w:t>壹套（项目预算：人民币460万元，可以采购进口产品）</w:t>
      </w:r>
      <w:bookmarkEnd w:id="5"/>
      <w:bookmarkEnd w:id="6"/>
    </w:p>
    <w:permEnd w:id="8"/>
    <w:p w14:paraId="22B900E1">
      <w:pPr>
        <w:pStyle w:val="116"/>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（2）技术要求：见本招标文件第八章“货物需求一览表及技术规格”</w:t>
      </w:r>
    </w:p>
    <w:p w14:paraId="2E638B49">
      <w:pPr>
        <w:spacing w:line="360" w:lineRule="auto"/>
        <w:ind w:left="425" w:hanging="424" w:hangingChars="177"/>
        <w:rPr>
          <w:rFonts w:ascii="宋体" w:hAnsi="宋体"/>
          <w:sz w:val="24"/>
          <w:szCs w:val="24"/>
        </w:rPr>
      </w:pPr>
      <w:bookmarkStart w:id="7" w:name="_Toc461613084"/>
      <w:bookmarkStart w:id="8" w:name="_Toc461613012"/>
      <w:r>
        <w:rPr>
          <w:rFonts w:hint="eastAsia" w:ascii="宋体" w:hAnsi="宋体"/>
          <w:sz w:val="24"/>
          <w:szCs w:val="24"/>
        </w:rPr>
        <w:t>3、</w:t>
      </w:r>
      <w:permStart w:id="9" w:edGrp="everyone"/>
      <w:r>
        <w:rPr>
          <w:rFonts w:hint="eastAsia" w:ascii="宋体" w:hAnsi="宋体"/>
          <w:sz w:val="24"/>
          <w:szCs w:val="24"/>
        </w:rPr>
        <w:t>有兴趣的合格潜在投标人请于2024年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日起至2024年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16</w:t>
      </w:r>
      <w:bookmarkStart w:id="58" w:name="_GoBack"/>
      <w:bookmarkEnd w:id="58"/>
      <w:r>
        <w:rPr>
          <w:rFonts w:hint="eastAsia" w:ascii="宋体" w:hAnsi="宋体"/>
          <w:sz w:val="24"/>
          <w:szCs w:val="24"/>
        </w:rPr>
        <w:t>日止（休息日和节假日除外）每天上午9:00~11:30和下午13:00~16:30（北京时间）选择下列方式（1）微信购买招标文件，售后不退；每套招标文件700元人民币或100美元。</w:t>
      </w:r>
    </w:p>
    <w:permEnd w:id="9"/>
    <w:p w14:paraId="3BE3374D">
      <w:pPr>
        <w:pStyle w:val="116"/>
        <w:autoSpaceDE w:val="0"/>
        <w:autoSpaceDN w:val="0"/>
        <w:spacing w:line="360" w:lineRule="auto"/>
        <w:ind w:left="426" w:firstLine="0"/>
        <w:rPr>
          <w:rFonts w:ascii="宋体" w:hAnsi="宋体" w:eastAsia="宋体" w:cs="宋体"/>
          <w:b/>
          <w:kern w:val="0"/>
          <w:sz w:val="24"/>
          <w:szCs w:val="24"/>
        </w:rPr>
      </w:pPr>
      <w:r>
        <w:rPr>
          <w:rFonts w:hint="eastAsia" w:ascii="宋体" w:hAnsi="宋体" w:eastAsia="宋体" w:cs="宋体"/>
          <w:b/>
          <w:kern w:val="0"/>
          <w:sz w:val="24"/>
          <w:szCs w:val="24"/>
        </w:rPr>
        <w:t>（1）微信购买招标文件：</w:t>
      </w:r>
    </w:p>
    <w:p w14:paraId="16CD5F44">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关注微信公众号“东松投标”，完成信息注册，即可购买招标文件。</w:t>
      </w:r>
    </w:p>
    <w:p w14:paraId="5FCC6275">
      <w:pPr>
        <w:pStyle w:val="116"/>
        <w:autoSpaceDE w:val="0"/>
        <w:autoSpaceDN w:val="0"/>
        <w:spacing w:line="360" w:lineRule="auto"/>
        <w:ind w:left="426" w:firstLine="0"/>
        <w:rPr>
          <w:rFonts w:ascii="宋体" w:hAnsi="宋体" w:eastAsia="宋体" w:cs="宋体"/>
          <w:b/>
          <w:kern w:val="0"/>
          <w:sz w:val="24"/>
          <w:szCs w:val="24"/>
        </w:rPr>
      </w:pPr>
      <w:r>
        <w:rPr>
          <w:rFonts w:hint="eastAsia" w:ascii="宋体" w:hAnsi="宋体" w:eastAsia="宋体" w:cs="宋体"/>
          <w:b/>
          <w:kern w:val="0"/>
          <w:sz w:val="24"/>
          <w:szCs w:val="24"/>
        </w:rPr>
        <w:t>（2）现场购买招标文件：</w:t>
      </w:r>
    </w:p>
    <w:p w14:paraId="3EEA0988">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携带下列资料的复印件并加盖公章，至上海市宁波路1号10楼1002室购买招标文件。</w:t>
      </w:r>
    </w:p>
    <w:p w14:paraId="337C76E1">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1）营业执照（或事业单位、社会团体相关证书）复印件；</w:t>
      </w:r>
    </w:p>
    <w:p w14:paraId="48E972B9">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2）投标人为法人的，提供法定代表人授权书（原件）（其他组织需提供投资人/负责人授权书（原件））；</w:t>
      </w:r>
    </w:p>
    <w:p w14:paraId="3EE30D02">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3）被授权代表身份证；</w:t>
      </w:r>
    </w:p>
    <w:p w14:paraId="2776CB7D">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4）其他投标人认为需要提供的资料。</w:t>
      </w:r>
    </w:p>
    <w:p w14:paraId="13693203">
      <w:pPr>
        <w:pStyle w:val="116"/>
        <w:autoSpaceDE w:val="0"/>
        <w:autoSpaceDN w:val="0"/>
        <w:spacing w:line="360" w:lineRule="auto"/>
        <w:ind w:left="426" w:firstLine="0"/>
        <w:rPr>
          <w:rFonts w:ascii="宋体" w:hAnsi="宋体" w:eastAsia="宋体" w:cs="宋体"/>
          <w:b/>
          <w:kern w:val="0"/>
          <w:sz w:val="24"/>
          <w:szCs w:val="24"/>
        </w:rPr>
      </w:pPr>
      <w:r>
        <w:rPr>
          <w:rFonts w:hint="eastAsia" w:ascii="宋体" w:hAnsi="宋体" w:eastAsia="宋体" w:cs="宋体"/>
          <w:b/>
          <w:kern w:val="0"/>
          <w:sz w:val="24"/>
          <w:szCs w:val="24"/>
        </w:rPr>
        <w:t>（3）邮购招标文件：</w:t>
      </w:r>
    </w:p>
    <w:p w14:paraId="45B04806">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将所需材料（同现场购买）扫描发送至（zhaobiao@dongsong-cn.com），并将材料寄至上海市宁波路1号10楼1002室，国内邮费每套另加100元人民币，国外邮费每套另加50美元。</w:t>
      </w:r>
    </w:p>
    <w:p w14:paraId="16C7EB18">
      <w:pPr>
        <w:pStyle w:val="116"/>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4、所有投标文件必须附有</w:t>
      </w:r>
      <w:permStart w:id="10" w:edGrp="everyone"/>
      <w:r>
        <w:rPr>
          <w:rFonts w:hint="eastAsia" w:ascii="宋体" w:hAnsi="宋体" w:eastAsia="宋体" w:cs="宋体"/>
          <w:kern w:val="0"/>
          <w:sz w:val="24"/>
          <w:szCs w:val="24"/>
        </w:rPr>
        <w:t>项目预算的2%</w:t>
      </w:r>
      <w:permEnd w:id="10"/>
      <w:r>
        <w:rPr>
          <w:rFonts w:hint="eastAsia" w:ascii="宋体" w:hAnsi="宋体" w:eastAsia="宋体" w:cs="宋体"/>
          <w:kern w:val="0"/>
          <w:sz w:val="24"/>
          <w:szCs w:val="24"/>
        </w:rPr>
        <w:t>的投标保证金，并于</w:t>
      </w:r>
      <w:permStart w:id="11" w:edGrp="everyone"/>
      <w:r>
        <w:rPr>
          <w:rFonts w:hint="eastAsia" w:ascii="宋体" w:hAnsi="宋体" w:eastAsia="宋体" w:cs="宋体"/>
          <w:kern w:val="0"/>
          <w:sz w:val="24"/>
          <w:szCs w:val="24"/>
          <w:lang w:eastAsia="zh-CN"/>
        </w:rPr>
        <w:t>2024年9月2日北京时间16:00</w:t>
      </w:r>
      <w:permEnd w:id="11"/>
      <w:r>
        <w:rPr>
          <w:rFonts w:hint="eastAsia" w:ascii="宋体" w:hAnsi="宋体" w:eastAsia="宋体" w:cs="宋体"/>
          <w:kern w:val="0"/>
          <w:sz w:val="24"/>
          <w:szCs w:val="24"/>
        </w:rPr>
        <w:t>之前递交</w:t>
      </w:r>
      <w:bookmarkStart w:id="9" w:name="OLE_LINK128"/>
      <w:r>
        <w:rPr>
          <w:rFonts w:hint="eastAsia" w:ascii="宋体" w:hAnsi="宋体" w:eastAsia="宋体" w:cs="宋体"/>
          <w:kern w:val="0"/>
          <w:sz w:val="24"/>
          <w:szCs w:val="24"/>
        </w:rPr>
        <w:t>至</w:t>
      </w:r>
      <w:bookmarkEnd w:id="9"/>
      <w:permStart w:id="12" w:edGrp="everyone"/>
      <w:r>
        <w:rPr>
          <w:rFonts w:hint="eastAsia" w:ascii="宋体" w:hAnsi="宋体" w:eastAsia="宋体" w:cs="宋体"/>
          <w:kern w:val="0"/>
          <w:sz w:val="24"/>
          <w:szCs w:val="24"/>
        </w:rPr>
        <w:t>中国上海市宁波路1号申华金融大厦10楼会议室</w:t>
      </w:r>
      <w:permEnd w:id="12"/>
      <w:r>
        <w:rPr>
          <w:rFonts w:hint="eastAsia" w:ascii="宋体" w:hAnsi="宋体" w:eastAsia="宋体" w:cs="宋体"/>
          <w:kern w:val="0"/>
          <w:sz w:val="24"/>
          <w:szCs w:val="24"/>
        </w:rPr>
        <w:t>。</w:t>
      </w:r>
    </w:p>
    <w:p w14:paraId="0E92B430">
      <w:pPr>
        <w:spacing w:line="360" w:lineRule="auto"/>
        <w:ind w:left="425" w:hanging="424" w:hangingChars="177"/>
        <w:rPr>
          <w:rFonts w:ascii="宋体" w:hAnsi="宋体"/>
          <w:sz w:val="24"/>
          <w:szCs w:val="24"/>
        </w:rPr>
      </w:pPr>
      <w:r>
        <w:rPr>
          <w:rFonts w:hint="eastAsia" w:ascii="宋体" w:hAnsi="宋体"/>
          <w:sz w:val="24"/>
          <w:szCs w:val="24"/>
        </w:rPr>
        <w:t>5、定于</w:t>
      </w:r>
      <w:permStart w:id="13" w:edGrp="everyone"/>
      <w:r>
        <w:rPr>
          <w:rFonts w:hint="eastAsia" w:ascii="宋体" w:hAnsi="宋体"/>
          <w:sz w:val="24"/>
          <w:szCs w:val="24"/>
          <w:lang w:eastAsia="zh-CN"/>
        </w:rPr>
        <w:t>2024年9月2日北京时间16:00</w:t>
      </w:r>
      <w:permEnd w:id="13"/>
      <w:r>
        <w:rPr>
          <w:rFonts w:hint="eastAsia" w:ascii="宋体" w:hAnsi="宋体"/>
          <w:sz w:val="24"/>
          <w:szCs w:val="24"/>
        </w:rPr>
        <w:t>在</w:t>
      </w:r>
      <w:bookmarkEnd w:id="7"/>
      <w:bookmarkEnd w:id="8"/>
      <w:permStart w:id="14" w:edGrp="everyone"/>
      <w:bookmarkStart w:id="10" w:name="_Toc461613013"/>
      <w:bookmarkStart w:id="11" w:name="_Toc461613085"/>
      <w:r>
        <w:rPr>
          <w:rFonts w:hint="eastAsia" w:ascii="宋体" w:hAnsi="宋体"/>
          <w:sz w:val="24"/>
          <w:szCs w:val="24"/>
        </w:rPr>
        <w:t>中国上海市宁波路1号申华金融大厦10楼会议室</w:t>
      </w:r>
      <w:permEnd w:id="14"/>
      <w:r>
        <w:rPr>
          <w:rFonts w:hint="eastAsia" w:ascii="宋体" w:hAnsi="宋体"/>
          <w:sz w:val="24"/>
          <w:szCs w:val="24"/>
        </w:rPr>
        <w:t>举行公开开标，届时请投标人代表出席开标仪式。</w:t>
      </w:r>
      <w:bookmarkEnd w:id="10"/>
      <w:bookmarkEnd w:id="11"/>
    </w:p>
    <w:p w14:paraId="2D175F51">
      <w:pPr>
        <w:pStyle w:val="116"/>
        <w:autoSpaceDE w:val="0"/>
        <w:autoSpaceDN w:val="0"/>
        <w:spacing w:line="360" w:lineRule="auto"/>
        <w:ind w:left="426" w:firstLine="0"/>
        <w:rPr>
          <w:rFonts w:ascii="宋体" w:hAnsi="宋体" w:eastAsia="宋体" w:cs="宋体"/>
          <w:kern w:val="0"/>
          <w:sz w:val="24"/>
          <w:szCs w:val="24"/>
        </w:rPr>
      </w:pPr>
      <w:bookmarkStart w:id="12" w:name="OLE_LINK16"/>
      <w:bookmarkStart w:id="13" w:name="OLE_LINK11"/>
    </w:p>
    <w:p w14:paraId="74B08402">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招标机构名称：上海东松医疗科技股份有限公司</w:t>
      </w:r>
    </w:p>
    <w:p w14:paraId="32C53BE9">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招标机构地址：</w:t>
      </w:r>
      <w:r>
        <w:rPr>
          <w:rFonts w:hint="eastAsia" w:ascii="宋体" w:hAnsi="宋体" w:eastAsia="宋体" w:cs="宋体"/>
          <w:kern w:val="0"/>
          <w:sz w:val="24"/>
          <w:szCs w:val="24"/>
        </w:rPr>
        <w:tab/>
      </w:r>
      <w:bookmarkStart w:id="14" w:name="OLE_LINK20"/>
      <w:bookmarkStart w:id="15" w:name="OLE_LINK15"/>
      <w:bookmarkStart w:id="16" w:name="OLE_LINK13"/>
      <w:r>
        <w:rPr>
          <w:rFonts w:hint="eastAsia" w:ascii="宋体" w:hAnsi="宋体" w:eastAsia="宋体" w:cs="宋体"/>
          <w:kern w:val="0"/>
          <w:sz w:val="24"/>
          <w:szCs w:val="24"/>
        </w:rPr>
        <w:t>中国上海市宁波路1号</w:t>
      </w:r>
      <w:bookmarkEnd w:id="14"/>
      <w:r>
        <w:rPr>
          <w:rFonts w:hint="eastAsia" w:ascii="宋体" w:hAnsi="宋体" w:eastAsia="宋体" w:cs="宋体"/>
          <w:kern w:val="0"/>
          <w:sz w:val="24"/>
          <w:szCs w:val="24"/>
        </w:rPr>
        <w:t>申华金融大厦11楼</w:t>
      </w:r>
      <w:bookmarkEnd w:id="15"/>
    </w:p>
    <w:p w14:paraId="539824CC">
      <w:pPr>
        <w:pStyle w:val="116"/>
        <w:autoSpaceDE w:val="0"/>
        <w:autoSpaceDN w:val="0"/>
        <w:spacing w:line="360" w:lineRule="auto"/>
        <w:ind w:left="426" w:firstLine="0"/>
        <w:rPr>
          <w:rFonts w:ascii="宋体" w:hAnsi="宋体" w:eastAsia="宋体" w:cs="宋体"/>
          <w:kern w:val="0"/>
          <w:sz w:val="24"/>
          <w:szCs w:val="24"/>
        </w:rPr>
      </w:pPr>
      <w:bookmarkStart w:id="17" w:name="OLE_LINK129"/>
      <w:r>
        <w:rPr>
          <w:rFonts w:hint="eastAsia" w:ascii="宋体" w:hAnsi="宋体" w:eastAsia="宋体" w:cs="宋体"/>
          <w:kern w:val="0"/>
          <w:sz w:val="24"/>
          <w:szCs w:val="24"/>
        </w:rPr>
        <w:t>邮编</w:t>
      </w:r>
      <w:bookmarkStart w:id="18" w:name="OLE_LINK17"/>
      <w:r>
        <w:rPr>
          <w:rFonts w:hint="eastAsia" w:ascii="宋体" w:hAnsi="宋体" w:eastAsia="宋体" w:cs="宋体"/>
          <w:kern w:val="0"/>
          <w:sz w:val="24"/>
          <w:szCs w:val="24"/>
        </w:rPr>
        <w:t>：</w:t>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200002</w:t>
      </w:r>
      <w:bookmarkEnd w:id="12"/>
      <w:bookmarkEnd w:id="17"/>
      <w:bookmarkEnd w:id="18"/>
    </w:p>
    <w:p w14:paraId="0EC88712">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电话：</w:t>
      </w:r>
      <w:bookmarkStart w:id="19" w:name="OLE_LINK48"/>
      <w:bookmarkStart w:id="20" w:name="OLE_LINK19"/>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0086-21-63230480</w:t>
      </w:r>
      <w:bookmarkEnd w:id="19"/>
      <w:r>
        <w:rPr>
          <w:rFonts w:hint="eastAsia" w:ascii="宋体" w:hAnsi="宋体" w:eastAsia="宋体" w:cs="宋体"/>
          <w:kern w:val="0"/>
          <w:sz w:val="24"/>
          <w:szCs w:val="24"/>
        </w:rPr>
        <w:t>转</w:t>
      </w:r>
      <w:bookmarkEnd w:id="20"/>
      <w:permStart w:id="15" w:edGrp="everyone"/>
      <w:r>
        <w:rPr>
          <w:rFonts w:hint="eastAsia" w:ascii="宋体" w:hAnsi="宋体" w:eastAsia="宋体" w:cs="宋体"/>
          <w:kern w:val="0"/>
          <w:sz w:val="24"/>
          <w:szCs w:val="24"/>
        </w:rPr>
        <w:t>8612、8625</w:t>
      </w:r>
      <w:permEnd w:id="15"/>
    </w:p>
    <w:p w14:paraId="3DF272AA">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传真：</w:t>
      </w:r>
      <w:bookmarkStart w:id="21" w:name="OLE_LINK21"/>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0086-21-6329</w:t>
      </w:r>
      <w:r>
        <w:rPr>
          <w:rFonts w:ascii="宋体" w:hAnsi="宋体" w:eastAsia="宋体" w:cs="宋体"/>
          <w:kern w:val="0"/>
          <w:sz w:val="24"/>
          <w:szCs w:val="24"/>
        </w:rPr>
        <w:t>9235</w:t>
      </w:r>
      <w:bookmarkEnd w:id="13"/>
      <w:bookmarkEnd w:id="16"/>
      <w:bookmarkEnd w:id="21"/>
    </w:p>
    <w:p w14:paraId="1925B548">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ab/>
      </w:r>
      <w:permStart w:id="16" w:edGrp="everyone"/>
      <w:r>
        <w:rPr>
          <w:rFonts w:hint="eastAsia" w:ascii="宋体" w:hAnsi="宋体" w:eastAsia="宋体" w:cs="宋体"/>
          <w:kern w:val="0"/>
          <w:sz w:val="24"/>
          <w:szCs w:val="24"/>
        </w:rPr>
        <w:t>瞿佳枫、任彧晟</w:t>
      </w:r>
      <w:permEnd w:id="16"/>
    </w:p>
    <w:p w14:paraId="56A8569C">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邮箱：</w:t>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ab/>
      </w:r>
      <w:permStart w:id="17" w:edGrp="everyone"/>
      <w:r>
        <w:rPr>
          <w:rFonts w:hint="eastAsia" w:ascii="宋体" w:hAnsi="宋体" w:eastAsia="宋体" w:cs="宋体"/>
          <w:kern w:val="0"/>
          <w:sz w:val="24"/>
          <w:szCs w:val="24"/>
        </w:rPr>
        <w:t>qujiafeng</w:t>
      </w:r>
      <w:permEnd w:id="17"/>
      <w:r>
        <w:rPr>
          <w:rFonts w:hint="eastAsia" w:ascii="宋体" w:hAnsi="宋体" w:eastAsia="宋体" w:cs="宋体"/>
          <w:kern w:val="0"/>
          <w:sz w:val="24"/>
          <w:szCs w:val="24"/>
        </w:rPr>
        <w:t>@dongsong-cn.com</w:t>
      </w:r>
    </w:p>
    <w:p w14:paraId="130F7524">
      <w:pPr>
        <w:pStyle w:val="116"/>
        <w:autoSpaceDE w:val="0"/>
        <w:autoSpaceDN w:val="0"/>
        <w:spacing w:line="360" w:lineRule="auto"/>
        <w:ind w:left="426" w:firstLine="0"/>
        <w:rPr>
          <w:rFonts w:ascii="宋体" w:hAnsi="宋体" w:eastAsia="宋体" w:cs="宋体"/>
          <w:kern w:val="0"/>
          <w:sz w:val="24"/>
          <w:szCs w:val="24"/>
        </w:rPr>
      </w:pPr>
    </w:p>
    <w:p w14:paraId="530DB115">
      <w:pPr>
        <w:pStyle w:val="116"/>
        <w:autoSpaceDE w:val="0"/>
        <w:autoSpaceDN w:val="0"/>
        <w:spacing w:line="360" w:lineRule="auto"/>
        <w:ind w:left="426" w:firstLine="0"/>
        <w:rPr>
          <w:rFonts w:ascii="宋体" w:hAnsi="宋体" w:eastAsia="宋体" w:cs="宋体"/>
          <w:kern w:val="0"/>
          <w:sz w:val="24"/>
          <w:szCs w:val="24"/>
        </w:rPr>
      </w:pPr>
      <w:r>
        <w:rPr>
          <w:rFonts w:hint="eastAsia" w:ascii="宋体" w:hAnsi="宋体" w:eastAsia="宋体" w:cs="宋体"/>
          <w:kern w:val="0"/>
          <w:sz w:val="24"/>
          <w:szCs w:val="24"/>
        </w:rPr>
        <w:t>户名</w:t>
      </w:r>
      <w:r>
        <w:rPr>
          <w:rFonts w:ascii="宋体" w:hAnsi="宋体" w:eastAsia="宋体" w:cs="宋体"/>
          <w:kern w:val="0"/>
          <w:sz w:val="24"/>
          <w:szCs w:val="24"/>
        </w:rPr>
        <w:t>：</w:t>
      </w:r>
      <w:r>
        <w:rPr>
          <w:rFonts w:hint="eastAsia" w:ascii="宋体" w:hAnsi="宋体" w:eastAsia="宋体" w:cs="宋体"/>
          <w:kern w:val="0"/>
          <w:sz w:val="24"/>
          <w:szCs w:val="24"/>
        </w:rPr>
        <w:t xml:space="preserve">                上海东松医疗科技股份有限</w:t>
      </w:r>
      <w:r>
        <w:rPr>
          <w:rFonts w:ascii="宋体" w:hAnsi="宋体" w:eastAsia="宋体" w:cs="宋体"/>
          <w:kern w:val="0"/>
          <w:sz w:val="24"/>
          <w:szCs w:val="24"/>
        </w:rPr>
        <w:t xml:space="preserve">公司 </w:t>
      </w:r>
    </w:p>
    <w:p w14:paraId="4F4F45A6">
      <w:pPr>
        <w:pStyle w:val="116"/>
        <w:autoSpaceDE w:val="0"/>
        <w:autoSpaceDN w:val="0"/>
        <w:spacing w:line="360" w:lineRule="auto"/>
        <w:ind w:left="426" w:firstLine="0"/>
        <w:rPr>
          <w:rFonts w:ascii="宋体" w:hAnsi="宋体" w:eastAsia="宋体" w:cs="宋体"/>
          <w:kern w:val="0"/>
          <w:sz w:val="24"/>
          <w:szCs w:val="24"/>
        </w:rPr>
      </w:pPr>
      <w:r>
        <w:rPr>
          <w:rFonts w:ascii="宋体" w:hAnsi="宋体" w:eastAsia="宋体" w:cs="宋体"/>
          <w:kern w:val="0"/>
          <w:sz w:val="24"/>
          <w:szCs w:val="24"/>
        </w:rPr>
        <w:t>开户银行</w:t>
      </w:r>
      <w:r>
        <w:rPr>
          <w:rFonts w:hint="eastAsia" w:ascii="宋体" w:hAnsi="宋体" w:eastAsia="宋体" w:cs="宋体"/>
          <w:kern w:val="0"/>
          <w:sz w:val="24"/>
          <w:szCs w:val="24"/>
        </w:rPr>
        <w:t>（人民币）</w:t>
      </w:r>
      <w:r>
        <w:rPr>
          <w:rFonts w:ascii="宋体" w:hAnsi="宋体" w:eastAsia="宋体" w:cs="宋体"/>
          <w:kern w:val="0"/>
          <w:sz w:val="24"/>
          <w:szCs w:val="24"/>
        </w:rPr>
        <w:t>：</w:t>
      </w:r>
      <w:r>
        <w:rPr>
          <w:rFonts w:hint="eastAsia" w:ascii="宋体" w:hAnsi="宋体" w:eastAsia="宋体" w:cs="宋体"/>
          <w:kern w:val="0"/>
          <w:sz w:val="24"/>
          <w:szCs w:val="24"/>
        </w:rPr>
        <w:t xml:space="preserve">  浦发银行黄浦支行</w:t>
      </w:r>
    </w:p>
    <w:p w14:paraId="2F2FD509">
      <w:pPr>
        <w:pStyle w:val="116"/>
        <w:autoSpaceDE w:val="0"/>
        <w:autoSpaceDN w:val="0"/>
        <w:spacing w:line="360" w:lineRule="auto"/>
        <w:ind w:left="426" w:firstLine="0"/>
        <w:rPr>
          <w:rFonts w:ascii="宋体" w:hAnsi="宋体" w:eastAsia="宋体"/>
          <w:sz w:val="24"/>
        </w:rPr>
      </w:pPr>
      <w:r>
        <w:rPr>
          <w:rFonts w:hint="eastAsia" w:ascii="宋体" w:hAnsi="宋体" w:eastAsia="宋体" w:cs="宋体"/>
          <w:kern w:val="0"/>
          <w:sz w:val="24"/>
          <w:szCs w:val="24"/>
        </w:rPr>
        <w:t>账号（人民币）</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0763634292323474</w:t>
      </w:r>
    </w:p>
    <w:p w14:paraId="1C26321E">
      <w:pPr>
        <w:spacing w:line="360" w:lineRule="auto"/>
        <w:rPr>
          <w:rFonts w:ascii="宋体" w:hAnsi="宋体"/>
          <w:sz w:val="24"/>
          <w:szCs w:val="24"/>
        </w:rPr>
        <w:sectPr>
          <w:headerReference r:id="rId9" w:type="first"/>
          <w:footerReference r:id="rId10" w:type="default"/>
          <w:headerReference r:id="rId8" w:type="even"/>
          <w:pgSz w:w="11906" w:h="16838"/>
          <w:pgMar w:top="1418" w:right="1134" w:bottom="1134" w:left="1134" w:header="567" w:footer="567" w:gutter="0"/>
          <w:cols w:space="720" w:num="1"/>
          <w:docGrid w:type="linesAndChars" w:linePitch="312" w:charSpace="0"/>
        </w:sectPr>
      </w:pPr>
    </w:p>
    <w:p w14:paraId="513EF77E">
      <w:pPr>
        <w:pStyle w:val="88"/>
        <w:spacing w:line="360" w:lineRule="auto"/>
        <w:rPr>
          <w:rFonts w:ascii="宋体" w:hAnsi="宋体" w:eastAsia="宋体"/>
        </w:rPr>
      </w:pPr>
      <w:bookmarkStart w:id="22" w:name="_Toc9066359"/>
      <w:bookmarkStart w:id="23" w:name="_Toc516880880"/>
      <w:bookmarkStart w:id="24" w:name="_Toc84929690"/>
      <w:bookmarkStart w:id="25" w:name="_Toc74677720"/>
      <w:bookmarkStart w:id="26" w:name="_Toc109920764"/>
      <w:r>
        <w:rPr>
          <w:rFonts w:hint="eastAsia" w:ascii="宋体" w:hAnsi="宋体" w:eastAsia="宋体"/>
        </w:rPr>
        <w:t>第六章 投标资料表</w:t>
      </w:r>
      <w:bookmarkEnd w:id="22"/>
      <w:bookmarkEnd w:id="23"/>
      <w:bookmarkEnd w:id="24"/>
      <w:bookmarkEnd w:id="25"/>
      <w:bookmarkEnd w:id="26"/>
    </w:p>
    <w:p w14:paraId="77A97616">
      <w:pPr>
        <w:pStyle w:val="5"/>
        <w:tabs>
          <w:tab w:val="left" w:pos="532"/>
        </w:tabs>
        <w:autoSpaceDE w:val="0"/>
        <w:autoSpaceDN w:val="0"/>
        <w:spacing w:line="360" w:lineRule="auto"/>
        <w:ind w:firstLine="0"/>
        <w:rPr>
          <w:rFonts w:ascii="宋体" w:hAnsi="宋体"/>
          <w:sz w:val="24"/>
        </w:rPr>
      </w:pPr>
      <w:r>
        <w:rPr>
          <w:rFonts w:hint="eastAsia" w:ascii="宋体" w:hAnsi="宋体"/>
          <w:sz w:val="24"/>
        </w:rPr>
        <w:t>下表有关货物采购的资料是对《第一章 投标人须知》的具体补充和修改，如有矛盾应以本投标资料表为准。</w:t>
      </w:r>
    </w:p>
    <w:tbl>
      <w:tblPr>
        <w:tblStyle w:val="41"/>
        <w:tblW w:w="50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1"/>
        <w:gridCol w:w="8162"/>
      </w:tblGrid>
      <w:tr w14:paraId="197A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3B24179D">
            <w:pPr>
              <w:pStyle w:val="5"/>
              <w:tabs>
                <w:tab w:val="left" w:pos="532"/>
              </w:tabs>
              <w:autoSpaceDE w:val="0"/>
              <w:autoSpaceDN w:val="0"/>
              <w:spacing w:before="120" w:after="120" w:line="360" w:lineRule="auto"/>
              <w:ind w:firstLine="0"/>
              <w:jc w:val="center"/>
              <w:rPr>
                <w:rFonts w:ascii="宋体" w:hAnsi="宋体"/>
                <w:b/>
                <w:sz w:val="24"/>
              </w:rPr>
            </w:pPr>
            <w:r>
              <w:rPr>
                <w:rFonts w:hint="eastAsia" w:ascii="宋体" w:hAnsi="宋体"/>
                <w:b/>
                <w:sz w:val="24"/>
              </w:rPr>
              <w:t>条款号</w:t>
            </w:r>
          </w:p>
        </w:tc>
        <w:tc>
          <w:tcPr>
            <w:tcW w:w="4353" w:type="pct"/>
            <w:vAlign w:val="center"/>
          </w:tcPr>
          <w:p w14:paraId="72AAB1FB">
            <w:pPr>
              <w:pStyle w:val="5"/>
              <w:tabs>
                <w:tab w:val="left" w:pos="532"/>
              </w:tabs>
              <w:autoSpaceDE w:val="0"/>
              <w:autoSpaceDN w:val="0"/>
              <w:spacing w:before="120" w:after="120" w:line="360" w:lineRule="auto"/>
              <w:ind w:left="57" w:right="57" w:firstLine="0"/>
              <w:jc w:val="center"/>
              <w:rPr>
                <w:rFonts w:ascii="宋体" w:hAnsi="宋体"/>
                <w:b/>
                <w:sz w:val="24"/>
              </w:rPr>
            </w:pPr>
            <w:r>
              <w:rPr>
                <w:rFonts w:hint="eastAsia" w:ascii="宋体" w:hAnsi="宋体"/>
                <w:b/>
                <w:sz w:val="24"/>
              </w:rPr>
              <w:t>内　容</w:t>
            </w:r>
          </w:p>
        </w:tc>
      </w:tr>
      <w:tr w14:paraId="1C96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14:paraId="1A67D655">
            <w:pPr>
              <w:kinsoku w:val="0"/>
              <w:autoSpaceDE w:val="0"/>
              <w:autoSpaceDN w:val="0"/>
              <w:spacing w:line="360" w:lineRule="auto"/>
              <w:ind w:left="29" w:right="57" w:firstLine="28"/>
              <w:jc w:val="center"/>
              <w:textAlignment w:val="bottom"/>
              <w:rPr>
                <w:rFonts w:ascii="宋体" w:hAnsi="宋体"/>
                <w:b/>
                <w:sz w:val="24"/>
              </w:rPr>
            </w:pPr>
            <w:r>
              <w:rPr>
                <w:rFonts w:hint="eastAsia" w:ascii="宋体" w:hAnsi="宋体"/>
                <w:b/>
                <w:sz w:val="24"/>
              </w:rPr>
              <w:t>说明</w:t>
            </w:r>
          </w:p>
        </w:tc>
      </w:tr>
      <w:tr w14:paraId="4913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CEC97A5">
            <w:pPr>
              <w:spacing w:line="360" w:lineRule="auto"/>
              <w:jc w:val="center"/>
              <w:rPr>
                <w:rFonts w:ascii="宋体" w:hAnsi="宋体"/>
                <w:sz w:val="24"/>
              </w:rPr>
            </w:pPr>
            <w:r>
              <w:rPr>
                <w:rFonts w:ascii="宋体" w:hAnsi="宋体"/>
                <w:sz w:val="24"/>
              </w:rPr>
              <w:t>1.1</w:t>
            </w:r>
          </w:p>
        </w:tc>
        <w:tc>
          <w:tcPr>
            <w:tcW w:w="4353" w:type="pct"/>
            <w:vAlign w:val="center"/>
          </w:tcPr>
          <w:p w14:paraId="2B828423">
            <w:pPr>
              <w:spacing w:line="360" w:lineRule="auto"/>
              <w:rPr>
                <w:rFonts w:ascii="宋体" w:hAnsi="宋体"/>
                <w:sz w:val="24"/>
              </w:rPr>
            </w:pPr>
            <w:r>
              <w:rPr>
                <w:rFonts w:hint="eastAsia" w:ascii="宋体" w:hAnsi="宋体"/>
                <w:sz w:val="24"/>
              </w:rPr>
              <w:t xml:space="preserve">招标人名称：    </w:t>
            </w:r>
            <w:permStart w:id="18" w:edGrp="everyone"/>
            <w:r>
              <w:rPr>
                <w:rFonts w:hint="eastAsia" w:ascii="宋体" w:hAnsi="宋体"/>
                <w:sz w:val="24"/>
              </w:rPr>
              <w:t>上海中医药大学附属岳阳中西医结合医院</w:t>
            </w:r>
            <w:permEnd w:id="18"/>
          </w:p>
        </w:tc>
      </w:tr>
      <w:tr w14:paraId="2E2C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1EA312BF">
            <w:pPr>
              <w:spacing w:line="360" w:lineRule="auto"/>
              <w:jc w:val="center"/>
              <w:rPr>
                <w:rFonts w:ascii="宋体" w:hAnsi="宋体"/>
                <w:sz w:val="24"/>
              </w:rPr>
            </w:pPr>
            <w:r>
              <w:rPr>
                <w:rFonts w:hint="eastAsia" w:ascii="宋体" w:hAnsi="宋体"/>
                <w:sz w:val="24"/>
              </w:rPr>
              <w:t>1.2</w:t>
            </w:r>
          </w:p>
        </w:tc>
        <w:tc>
          <w:tcPr>
            <w:tcW w:w="4353" w:type="pct"/>
            <w:vAlign w:val="center"/>
          </w:tcPr>
          <w:p w14:paraId="7112EF4B">
            <w:pPr>
              <w:spacing w:line="360" w:lineRule="auto"/>
              <w:rPr>
                <w:rFonts w:ascii="宋体" w:hAnsi="宋体"/>
                <w:sz w:val="24"/>
              </w:rPr>
            </w:pPr>
            <w:r>
              <w:rPr>
                <w:rFonts w:hint="eastAsia" w:ascii="宋体" w:hAnsi="宋体"/>
                <w:sz w:val="24"/>
              </w:rPr>
              <w:t>招标机构名称：  上海东松医疗科技股份有限公司</w:t>
            </w:r>
          </w:p>
          <w:p w14:paraId="7E72FC24">
            <w:pPr>
              <w:spacing w:line="360" w:lineRule="auto"/>
              <w:rPr>
                <w:rFonts w:ascii="宋体" w:hAnsi="宋体"/>
                <w:sz w:val="24"/>
              </w:rPr>
            </w:pPr>
            <w:r>
              <w:rPr>
                <w:rFonts w:hint="eastAsia" w:ascii="宋体" w:hAnsi="宋体"/>
                <w:sz w:val="24"/>
              </w:rPr>
              <w:t>招标机构地址：  中国上海市宁波路1号申华金融大厦11楼</w:t>
            </w:r>
          </w:p>
          <w:p w14:paraId="1C3FE080">
            <w:pPr>
              <w:spacing w:line="360" w:lineRule="auto"/>
              <w:rPr>
                <w:rFonts w:ascii="宋体" w:hAnsi="宋体"/>
                <w:sz w:val="24"/>
              </w:rPr>
            </w:pPr>
            <w:r>
              <w:rPr>
                <w:rFonts w:hint="eastAsia" w:ascii="宋体" w:hAnsi="宋体"/>
                <w:sz w:val="24"/>
              </w:rPr>
              <w:t xml:space="preserve">联系人：        </w:t>
            </w:r>
            <w:permStart w:id="19" w:edGrp="everyone"/>
            <w:r>
              <w:rPr>
                <w:rFonts w:hint="eastAsia" w:ascii="宋体" w:hAnsi="宋体"/>
                <w:sz w:val="24"/>
              </w:rPr>
              <w:t>瞿佳枫、任彧晟</w:t>
            </w:r>
            <w:permEnd w:id="19"/>
          </w:p>
          <w:p w14:paraId="599445DF">
            <w:pPr>
              <w:spacing w:line="360" w:lineRule="auto"/>
              <w:rPr>
                <w:rFonts w:ascii="宋体" w:hAnsi="宋体"/>
                <w:sz w:val="24"/>
              </w:rPr>
            </w:pPr>
            <w:r>
              <w:rPr>
                <w:rFonts w:hint="eastAsia" w:ascii="宋体" w:hAnsi="宋体"/>
                <w:sz w:val="24"/>
              </w:rPr>
              <w:t xml:space="preserve">电话：          </w:t>
            </w:r>
            <w:r>
              <w:rPr>
                <w:rFonts w:ascii="宋体" w:hAnsi="宋体"/>
                <w:sz w:val="24"/>
              </w:rPr>
              <w:t>0086-21-63230480</w:t>
            </w:r>
            <w:r>
              <w:rPr>
                <w:rFonts w:hint="eastAsia" w:ascii="宋体" w:hAnsi="宋体"/>
                <w:sz w:val="24"/>
              </w:rPr>
              <w:t>转</w:t>
            </w:r>
            <w:permStart w:id="20" w:edGrp="everyone"/>
            <w:r>
              <w:rPr>
                <w:rFonts w:hint="eastAsia" w:ascii="宋体" w:hAnsi="宋体"/>
                <w:sz w:val="24"/>
              </w:rPr>
              <w:t>8612、8625</w:t>
            </w:r>
            <w:permEnd w:id="20"/>
          </w:p>
          <w:p w14:paraId="28495EC5">
            <w:pPr>
              <w:spacing w:line="360" w:lineRule="auto"/>
              <w:rPr>
                <w:rFonts w:ascii="宋体" w:hAnsi="宋体"/>
                <w:sz w:val="24"/>
              </w:rPr>
            </w:pPr>
            <w:r>
              <w:rPr>
                <w:rFonts w:hint="eastAsia" w:ascii="宋体" w:hAnsi="宋体"/>
                <w:sz w:val="24"/>
              </w:rPr>
              <w:t xml:space="preserve">传真：          </w:t>
            </w:r>
            <w:r>
              <w:rPr>
                <w:rFonts w:ascii="宋体" w:hAnsi="宋体"/>
                <w:sz w:val="24"/>
              </w:rPr>
              <w:t>0086-21-63299235</w:t>
            </w:r>
          </w:p>
          <w:p w14:paraId="21C56E7B">
            <w:pPr>
              <w:spacing w:line="360" w:lineRule="auto"/>
              <w:rPr>
                <w:rFonts w:ascii="宋体" w:hAnsi="宋体"/>
                <w:sz w:val="24"/>
              </w:rPr>
            </w:pPr>
            <w:r>
              <w:rPr>
                <w:rFonts w:hint="eastAsia" w:ascii="宋体" w:hAnsi="宋体"/>
                <w:sz w:val="24"/>
              </w:rPr>
              <w:t xml:space="preserve">邮箱：          </w:t>
            </w:r>
            <w:permStart w:id="21" w:edGrp="everyone"/>
            <w:r>
              <w:rPr>
                <w:rFonts w:hint="eastAsia" w:ascii="宋体" w:hAnsi="宋体"/>
                <w:sz w:val="24"/>
              </w:rPr>
              <w:t>qujiafeng</w:t>
            </w:r>
            <w:permEnd w:id="21"/>
            <w:r>
              <w:rPr>
                <w:rFonts w:hint="eastAsia" w:ascii="宋体" w:hAnsi="宋体"/>
                <w:sz w:val="24"/>
              </w:rPr>
              <w:t>@dongsong-cn.com</w:t>
            </w:r>
          </w:p>
        </w:tc>
      </w:tr>
      <w:tr w14:paraId="39AA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6DD580FC">
            <w:pPr>
              <w:spacing w:line="360" w:lineRule="auto"/>
              <w:jc w:val="center"/>
              <w:rPr>
                <w:rFonts w:ascii="宋体" w:hAnsi="宋体"/>
                <w:sz w:val="24"/>
              </w:rPr>
            </w:pPr>
            <w:r>
              <w:rPr>
                <w:rFonts w:hint="eastAsia" w:ascii="宋体" w:hAnsi="宋体"/>
                <w:sz w:val="24"/>
              </w:rPr>
              <w:t>1.3</w:t>
            </w:r>
          </w:p>
        </w:tc>
        <w:tc>
          <w:tcPr>
            <w:tcW w:w="4353" w:type="pct"/>
            <w:vAlign w:val="center"/>
          </w:tcPr>
          <w:p w14:paraId="32C23896">
            <w:pPr>
              <w:spacing w:line="360" w:lineRule="auto"/>
              <w:rPr>
                <w:rFonts w:ascii="宋体" w:hAnsi="宋体"/>
                <w:sz w:val="24"/>
              </w:rPr>
            </w:pPr>
            <w:r>
              <w:rPr>
                <w:rFonts w:hint="eastAsia" w:ascii="宋体" w:hAnsi="宋体"/>
                <w:sz w:val="24"/>
              </w:rPr>
              <w:t xml:space="preserve">项目名称：      </w:t>
            </w:r>
            <w:permStart w:id="22" w:edGrp="everyone"/>
            <w:r>
              <w:rPr>
                <w:rFonts w:hint="eastAsia" w:ascii="宋体" w:hAnsi="宋体"/>
                <w:sz w:val="24"/>
              </w:rPr>
              <w:t>体外冲击波心血管治疗系统</w:t>
            </w:r>
            <w:permEnd w:id="22"/>
            <w:r>
              <w:rPr>
                <w:rFonts w:hint="eastAsia" w:ascii="宋体" w:hAnsi="宋体"/>
                <w:sz w:val="24"/>
              </w:rPr>
              <w:t>采购项目</w:t>
            </w:r>
          </w:p>
          <w:p w14:paraId="6001A1D7">
            <w:pPr>
              <w:spacing w:line="360" w:lineRule="auto"/>
              <w:rPr>
                <w:rFonts w:ascii="宋体" w:hAnsi="宋体"/>
                <w:sz w:val="24"/>
              </w:rPr>
            </w:pPr>
            <w:r>
              <w:rPr>
                <w:rFonts w:hint="eastAsia" w:ascii="宋体" w:hAnsi="宋体"/>
                <w:sz w:val="24"/>
              </w:rPr>
              <w:t xml:space="preserve">招标编号：      </w:t>
            </w:r>
            <w:permStart w:id="23" w:edGrp="everyone"/>
            <w:r>
              <w:rPr>
                <w:rFonts w:ascii="宋体" w:hAnsi="宋体"/>
                <w:sz w:val="24"/>
              </w:rPr>
              <w:t>0811-</w:t>
            </w:r>
            <w:r>
              <w:rPr>
                <w:rFonts w:hint="eastAsia" w:ascii="宋体" w:hAnsi="宋体"/>
                <w:sz w:val="24"/>
              </w:rPr>
              <w:t>244DSITC2133</w:t>
            </w:r>
            <w:permEnd w:id="23"/>
          </w:p>
        </w:tc>
      </w:tr>
      <w:tr w14:paraId="3B32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6148B3EB">
            <w:pPr>
              <w:spacing w:line="360" w:lineRule="auto"/>
              <w:jc w:val="center"/>
              <w:rPr>
                <w:rFonts w:ascii="宋体" w:hAnsi="宋体"/>
                <w:sz w:val="24"/>
              </w:rPr>
            </w:pPr>
            <w:r>
              <w:rPr>
                <w:rFonts w:hint="eastAsia" w:ascii="宋体" w:hAnsi="宋体"/>
                <w:sz w:val="24"/>
              </w:rPr>
              <w:t>1.3</w:t>
            </w:r>
          </w:p>
        </w:tc>
        <w:tc>
          <w:tcPr>
            <w:tcW w:w="4353" w:type="pct"/>
            <w:vAlign w:val="center"/>
          </w:tcPr>
          <w:p w14:paraId="3D2B24E0">
            <w:pPr>
              <w:spacing w:line="360" w:lineRule="auto"/>
              <w:rPr>
                <w:rFonts w:ascii="宋体" w:hAnsi="宋体"/>
                <w:sz w:val="24"/>
              </w:rPr>
            </w:pPr>
            <w:r>
              <w:rPr>
                <w:rFonts w:hint="eastAsia" w:ascii="宋体" w:hAnsi="宋体"/>
                <w:sz w:val="24"/>
              </w:rPr>
              <w:t xml:space="preserve">资金性质：      </w:t>
            </w:r>
            <w:permStart w:id="24" w:edGrp="everyone"/>
            <w:r>
              <w:rPr>
                <w:rFonts w:hint="eastAsia" w:ascii="宋体" w:hAnsi="宋体"/>
                <w:sz w:val="24"/>
              </w:rPr>
              <w:t>财政资金</w:t>
            </w:r>
            <w:permEnd w:id="24"/>
          </w:p>
        </w:tc>
      </w:tr>
      <w:tr w14:paraId="792E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185054CC">
            <w:pPr>
              <w:spacing w:line="360" w:lineRule="auto"/>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1</w:t>
            </w:r>
          </w:p>
        </w:tc>
        <w:tc>
          <w:tcPr>
            <w:tcW w:w="4353" w:type="pct"/>
            <w:vAlign w:val="center"/>
          </w:tcPr>
          <w:p w14:paraId="5CD1D6EC">
            <w:pPr>
              <w:spacing w:line="360" w:lineRule="auto"/>
              <w:rPr>
                <w:rFonts w:ascii="宋体" w:hAnsi="宋体"/>
                <w:sz w:val="24"/>
              </w:rPr>
            </w:pPr>
            <w:r>
              <w:rPr>
                <w:rFonts w:hint="eastAsia" w:ascii="宋体" w:hAnsi="宋体"/>
                <w:sz w:val="24"/>
              </w:rPr>
              <w:t>投标人未在规定的招标文件发售时间内从招标机构处领购招标文件的不得参加投标。</w:t>
            </w:r>
          </w:p>
        </w:tc>
      </w:tr>
      <w:tr w14:paraId="794D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1A3F3230">
            <w:pPr>
              <w:spacing w:line="360" w:lineRule="auto"/>
              <w:jc w:val="center"/>
              <w:rPr>
                <w:rFonts w:ascii="宋体" w:hAnsi="宋体"/>
                <w:sz w:val="24"/>
              </w:rPr>
            </w:pPr>
            <w:r>
              <w:rPr>
                <w:rFonts w:hint="eastAsia" w:ascii="宋体" w:hAnsi="宋体"/>
                <w:sz w:val="24"/>
              </w:rPr>
              <w:t>2.8</w:t>
            </w:r>
          </w:p>
        </w:tc>
        <w:tc>
          <w:tcPr>
            <w:tcW w:w="4353" w:type="pct"/>
            <w:vAlign w:val="center"/>
          </w:tcPr>
          <w:p w14:paraId="05751FB3">
            <w:pPr>
              <w:spacing w:line="360" w:lineRule="auto"/>
              <w:rPr>
                <w:rFonts w:ascii="宋体" w:hAnsi="宋体"/>
                <w:sz w:val="24"/>
              </w:rPr>
            </w:pPr>
            <w:r>
              <w:rPr>
                <w:rFonts w:hint="eastAsia" w:ascii="宋体" w:hAnsi="宋体"/>
                <w:sz w:val="24"/>
              </w:rPr>
              <w:t>投标人应当于招标文件载明的投标截止时间前在中国国际招标网（网址：http://www.chinabidding.com）成功注册或年检。否则，投标人将不能进入招标程序，由此产生的后果由其自行承担。</w:t>
            </w:r>
          </w:p>
        </w:tc>
      </w:tr>
      <w:tr w14:paraId="3CE4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3AF2AC1C">
            <w:pPr>
              <w:spacing w:line="360" w:lineRule="auto"/>
              <w:jc w:val="center"/>
              <w:rPr>
                <w:rFonts w:ascii="宋体" w:hAnsi="宋体"/>
                <w:sz w:val="24"/>
              </w:rPr>
            </w:pPr>
            <w:r>
              <w:rPr>
                <w:rFonts w:hint="eastAsia" w:ascii="宋体" w:hAnsi="宋体"/>
                <w:sz w:val="24"/>
              </w:rPr>
              <w:t>6.1</w:t>
            </w:r>
          </w:p>
        </w:tc>
        <w:tc>
          <w:tcPr>
            <w:tcW w:w="4353" w:type="pct"/>
            <w:vAlign w:val="center"/>
          </w:tcPr>
          <w:p w14:paraId="0AC183AB">
            <w:pPr>
              <w:spacing w:line="360" w:lineRule="auto"/>
              <w:rPr>
                <w:rFonts w:ascii="宋体" w:hAnsi="宋体"/>
                <w:sz w:val="24"/>
              </w:rPr>
            </w:pPr>
            <w:r>
              <w:rPr>
                <w:rFonts w:hint="eastAsia" w:ascii="宋体" w:hAnsi="宋体"/>
                <w:sz w:val="24"/>
              </w:rPr>
              <w:t>潜在投标人要求对招标文件（包括对招标文件修改的内容）进行澄清的，均应在在领购招标文件（或收到招标文件修改内容）后3日内以书面形式通知招标人或招标机构。招标人或招标机构将对上述时间内收到的澄清要求均以书面形式予以答复，同时将书面答复发给每个领购招标文件的潜在投标人(答复中不包括问题的来源)。</w:t>
            </w:r>
          </w:p>
        </w:tc>
      </w:tr>
      <w:tr w14:paraId="0F7C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367B9092">
            <w:pPr>
              <w:spacing w:line="360" w:lineRule="auto"/>
              <w:jc w:val="center"/>
              <w:rPr>
                <w:rFonts w:ascii="宋体" w:hAnsi="宋体"/>
                <w:sz w:val="24"/>
              </w:rPr>
            </w:pPr>
            <w:r>
              <w:rPr>
                <w:rFonts w:hint="eastAsia" w:ascii="宋体" w:hAnsi="宋体"/>
                <w:sz w:val="24"/>
              </w:rPr>
              <w:t>7</w:t>
            </w:r>
          </w:p>
        </w:tc>
        <w:tc>
          <w:tcPr>
            <w:tcW w:w="4353" w:type="pct"/>
            <w:vAlign w:val="center"/>
          </w:tcPr>
          <w:p w14:paraId="3D660FE6">
            <w:pPr>
              <w:spacing w:line="360" w:lineRule="auto"/>
              <w:rPr>
                <w:rFonts w:ascii="宋体" w:hAnsi="宋体"/>
                <w:sz w:val="24"/>
              </w:rPr>
            </w:pPr>
            <w:r>
              <w:rPr>
                <w:rFonts w:hint="eastAsia" w:ascii="宋体" w:hAnsi="宋体"/>
                <w:sz w:val="24"/>
              </w:rPr>
              <w:t>已领购招标文件的潜在投标人对招标文件（包括对招标文件澄清和修改的内容）有异议的，应当在投标截止时间10日前向招标人或招标机构提出，并将异议内容上传中国国际招标网，逾期递交的概不接受。</w:t>
            </w:r>
          </w:p>
        </w:tc>
      </w:tr>
      <w:tr w14:paraId="2217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14:paraId="4047EB35">
            <w:pPr>
              <w:spacing w:line="360" w:lineRule="auto"/>
              <w:jc w:val="center"/>
              <w:rPr>
                <w:rFonts w:ascii="宋体" w:hAnsi="宋体"/>
                <w:b/>
                <w:sz w:val="24"/>
              </w:rPr>
            </w:pPr>
            <w:r>
              <w:rPr>
                <w:rFonts w:hint="eastAsia" w:ascii="宋体" w:hAnsi="宋体"/>
                <w:b/>
                <w:sz w:val="24"/>
              </w:rPr>
              <w:t>投标文件的编制和递交</w:t>
            </w:r>
          </w:p>
        </w:tc>
      </w:tr>
      <w:tr w14:paraId="3CF4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6FBC151C">
            <w:pPr>
              <w:spacing w:line="360" w:lineRule="auto"/>
              <w:jc w:val="center"/>
              <w:rPr>
                <w:rFonts w:ascii="宋体" w:hAnsi="宋体"/>
                <w:sz w:val="24"/>
              </w:rPr>
            </w:pPr>
            <w:r>
              <w:rPr>
                <w:rFonts w:hint="eastAsia" w:ascii="宋体" w:hAnsi="宋体"/>
                <w:sz w:val="24"/>
              </w:rPr>
              <w:t>8.1</w:t>
            </w:r>
          </w:p>
        </w:tc>
        <w:tc>
          <w:tcPr>
            <w:tcW w:w="4353" w:type="pct"/>
            <w:vAlign w:val="center"/>
          </w:tcPr>
          <w:p w14:paraId="1D82C60A">
            <w:pPr>
              <w:spacing w:line="360" w:lineRule="auto"/>
              <w:rPr>
                <w:rFonts w:ascii="宋体" w:hAnsi="宋体"/>
                <w:sz w:val="24"/>
              </w:rPr>
            </w:pPr>
            <w:r>
              <w:rPr>
                <w:rFonts w:hint="eastAsia" w:ascii="宋体" w:hAnsi="宋体"/>
                <w:sz w:val="24"/>
              </w:rPr>
              <w:t>投标语言：中文</w:t>
            </w:r>
          </w:p>
        </w:tc>
      </w:tr>
      <w:tr w14:paraId="46B8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7F47A294">
            <w:pPr>
              <w:spacing w:line="360" w:lineRule="auto"/>
              <w:jc w:val="center"/>
              <w:rPr>
                <w:rFonts w:ascii="宋体" w:hAnsi="宋体"/>
                <w:sz w:val="24"/>
              </w:rPr>
            </w:pPr>
            <w:r>
              <w:rPr>
                <w:rFonts w:hint="eastAsia" w:ascii="宋体" w:hAnsi="宋体"/>
                <w:sz w:val="24"/>
              </w:rPr>
              <w:t>★9</w:t>
            </w:r>
          </w:p>
        </w:tc>
        <w:tc>
          <w:tcPr>
            <w:tcW w:w="4353" w:type="pct"/>
            <w:vAlign w:val="center"/>
          </w:tcPr>
          <w:p w14:paraId="7A350245">
            <w:pPr>
              <w:spacing w:line="360" w:lineRule="auto"/>
              <w:rPr>
                <w:rFonts w:ascii="宋体" w:hAnsi="宋体"/>
                <w:sz w:val="24"/>
              </w:rPr>
            </w:pPr>
            <w:r>
              <w:rPr>
                <w:rFonts w:hint="eastAsia" w:ascii="宋体" w:hAnsi="宋体"/>
                <w:sz w:val="24"/>
              </w:rPr>
              <w:t>投标人应提供下列文件，并按顺序装订成册，编制投标文件目录：</w:t>
            </w:r>
          </w:p>
          <w:p w14:paraId="5EA510AB">
            <w:pPr>
              <w:spacing w:line="360" w:lineRule="auto"/>
              <w:rPr>
                <w:rFonts w:ascii="宋体" w:hAnsi="宋体"/>
                <w:sz w:val="24"/>
              </w:rPr>
            </w:pPr>
            <w:r>
              <w:rPr>
                <w:rFonts w:hint="eastAsia" w:ascii="宋体" w:hAnsi="宋体"/>
                <w:sz w:val="24"/>
              </w:rPr>
              <w:t>1.投标书</w:t>
            </w:r>
          </w:p>
          <w:p w14:paraId="7D7D56D8">
            <w:pPr>
              <w:spacing w:line="360" w:lineRule="auto"/>
              <w:rPr>
                <w:rFonts w:ascii="宋体" w:hAnsi="宋体"/>
                <w:sz w:val="24"/>
              </w:rPr>
            </w:pPr>
            <w:r>
              <w:rPr>
                <w:rFonts w:hint="eastAsia" w:ascii="宋体" w:hAnsi="宋体"/>
                <w:sz w:val="24"/>
              </w:rPr>
              <w:t>投标人应按照招标文件中提供的格式完整、正确填写投标书。</w:t>
            </w:r>
          </w:p>
          <w:p w14:paraId="4C799DCB">
            <w:pPr>
              <w:spacing w:line="360" w:lineRule="auto"/>
              <w:rPr>
                <w:rFonts w:ascii="宋体" w:hAnsi="宋体"/>
                <w:sz w:val="24"/>
              </w:rPr>
            </w:pPr>
            <w:r>
              <w:rPr>
                <w:rFonts w:hint="eastAsia" w:ascii="宋体" w:hAnsi="宋体"/>
                <w:sz w:val="24"/>
              </w:rPr>
              <w:t>2.开标一览表</w:t>
            </w:r>
          </w:p>
          <w:p w14:paraId="70A7625D">
            <w:pPr>
              <w:spacing w:line="360" w:lineRule="auto"/>
              <w:rPr>
                <w:rFonts w:ascii="宋体" w:hAnsi="宋体"/>
                <w:sz w:val="24"/>
              </w:rPr>
            </w:pPr>
            <w:r>
              <w:rPr>
                <w:rFonts w:hint="eastAsia" w:ascii="宋体" w:hAnsi="宋体"/>
                <w:sz w:val="24"/>
              </w:rPr>
              <w:t>（1）开标一览表应填写项目总价。</w:t>
            </w:r>
          </w:p>
          <w:p w14:paraId="60758005">
            <w:pPr>
              <w:spacing w:line="360" w:lineRule="auto"/>
              <w:rPr>
                <w:rFonts w:ascii="宋体" w:hAnsi="宋体"/>
                <w:b/>
                <w:sz w:val="24"/>
              </w:rPr>
            </w:pPr>
            <w:r>
              <w:rPr>
                <w:rFonts w:hint="eastAsia" w:ascii="宋体" w:hAnsi="宋体"/>
                <w:b/>
                <w:sz w:val="24"/>
              </w:rPr>
              <w:t>（2）关境内供货的投标，投标报价应为含税价，“价格条件”栏应以“DDP项目现场”表示。</w:t>
            </w:r>
          </w:p>
          <w:p w14:paraId="16BD31EF">
            <w:pPr>
              <w:spacing w:line="360" w:lineRule="auto"/>
              <w:rPr>
                <w:rFonts w:ascii="宋体" w:hAnsi="宋体"/>
                <w:b/>
                <w:sz w:val="24"/>
              </w:rPr>
            </w:pPr>
            <w:r>
              <w:rPr>
                <w:rFonts w:hint="eastAsia" w:ascii="宋体" w:hAnsi="宋体"/>
                <w:b/>
                <w:sz w:val="24"/>
              </w:rPr>
              <w:t>（3）关境外供货的投标，“价格条件”栏应按本章1</w:t>
            </w:r>
            <w:r>
              <w:rPr>
                <w:rFonts w:ascii="宋体" w:hAnsi="宋体"/>
                <w:b/>
                <w:sz w:val="24"/>
              </w:rPr>
              <w:t>1.6.2</w:t>
            </w:r>
            <w:r>
              <w:rPr>
                <w:rFonts w:hint="eastAsia" w:ascii="宋体" w:hAnsi="宋体"/>
                <w:b/>
                <w:sz w:val="24"/>
              </w:rPr>
              <w:t>条要求填写（例如：“C</w:t>
            </w:r>
            <w:r>
              <w:rPr>
                <w:rFonts w:ascii="宋体" w:hAnsi="宋体"/>
                <w:b/>
                <w:sz w:val="24"/>
              </w:rPr>
              <w:t>IP</w:t>
            </w:r>
            <w:r>
              <w:rPr>
                <w:rFonts w:hint="eastAsia" w:ascii="宋体" w:hAnsi="宋体"/>
                <w:b/>
                <w:sz w:val="24"/>
              </w:rPr>
              <w:t>上海”或“C</w:t>
            </w:r>
            <w:r>
              <w:rPr>
                <w:rFonts w:ascii="宋体" w:hAnsi="宋体"/>
                <w:b/>
                <w:sz w:val="24"/>
              </w:rPr>
              <w:t>IP</w:t>
            </w:r>
            <w:r>
              <w:rPr>
                <w:rFonts w:hint="eastAsia" w:ascii="宋体" w:hAnsi="宋体"/>
                <w:b/>
                <w:sz w:val="24"/>
              </w:rPr>
              <w:t>项目现场”）。</w:t>
            </w:r>
            <w:r>
              <w:rPr>
                <w:rFonts w:hint="eastAsia" w:ascii="宋体" w:hAnsi="宋体"/>
                <w:b/>
                <w:sz w:val="24"/>
                <w:szCs w:val="24"/>
              </w:rPr>
              <w:t>除D</w:t>
            </w:r>
            <w:r>
              <w:rPr>
                <w:rFonts w:ascii="宋体" w:hAnsi="宋体"/>
                <w:b/>
                <w:sz w:val="24"/>
                <w:szCs w:val="24"/>
              </w:rPr>
              <w:t>DP</w:t>
            </w:r>
            <w:r>
              <w:rPr>
                <w:rFonts w:hint="eastAsia" w:ascii="宋体" w:hAnsi="宋体"/>
                <w:b/>
                <w:sz w:val="24"/>
                <w:szCs w:val="24"/>
              </w:rPr>
              <w:t>以外任何价格条件的投标报价均视为不含税价格。</w:t>
            </w:r>
          </w:p>
          <w:p w14:paraId="733169CC">
            <w:pPr>
              <w:spacing w:line="360" w:lineRule="auto"/>
              <w:rPr>
                <w:rFonts w:ascii="宋体" w:hAnsi="宋体"/>
                <w:b/>
                <w:sz w:val="24"/>
              </w:rPr>
            </w:pPr>
            <w:r>
              <w:rPr>
                <w:rFonts w:hint="eastAsia" w:ascii="宋体" w:hAnsi="宋体"/>
                <w:b/>
                <w:sz w:val="24"/>
              </w:rPr>
              <w:t>备注：关境内供货的投标是指投标产品为关境内制造的货物或由投标人或其指定第三方完成进口报关手续的货物；关境外供货的投标是指投标产品为由招标人或其委托的外贸公司完成进口报关手续的货物；</w:t>
            </w:r>
          </w:p>
          <w:p w14:paraId="49B4BE5B">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）投标人应按照招标文件中提供的格式完整、正确填写开标一览表。开标一览表中的投标总价应与投标分项报价表中总价完全一致，否则将可能否决其投标。</w:t>
            </w:r>
          </w:p>
          <w:p w14:paraId="35F77DA7">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）开标一览表除了装订在投标文件中之外，还应制作一份正本，并和投标保证金一起单独封装在小信封中，密封后与投标文件一并递交。</w:t>
            </w:r>
          </w:p>
          <w:p w14:paraId="729C4C47">
            <w:pPr>
              <w:spacing w:line="360" w:lineRule="auto"/>
              <w:rPr>
                <w:rFonts w:ascii="宋体" w:hAnsi="宋体"/>
                <w:sz w:val="24"/>
              </w:rPr>
            </w:pPr>
            <w:r>
              <w:rPr>
                <w:rFonts w:hint="eastAsia" w:ascii="宋体" w:hAnsi="宋体"/>
                <w:sz w:val="24"/>
              </w:rPr>
              <w:t>3.投标分项报价表</w:t>
            </w:r>
          </w:p>
          <w:p w14:paraId="71272D1C">
            <w:pPr>
              <w:tabs>
                <w:tab w:val="left" w:pos="1258"/>
              </w:tabs>
              <w:adjustRightInd w:val="0"/>
              <w:snapToGrid w:val="0"/>
              <w:spacing w:line="360" w:lineRule="auto"/>
              <w:rPr>
                <w:rFonts w:ascii="宋体" w:hAnsi="宋体"/>
                <w:b/>
                <w:sz w:val="24"/>
                <w:szCs w:val="24"/>
              </w:rPr>
            </w:pPr>
            <w:r>
              <w:rPr>
                <w:rFonts w:hint="eastAsia" w:ascii="宋体" w:hAnsi="宋体"/>
                <w:b/>
                <w:sz w:val="24"/>
                <w:szCs w:val="24"/>
              </w:rPr>
              <w:t>（1）关境内供货需填写投标分项报价表（关境内供货的投标），见招标文件第一册格式IV-3-1。</w:t>
            </w:r>
          </w:p>
          <w:p w14:paraId="06FA8BFA">
            <w:pPr>
              <w:tabs>
                <w:tab w:val="left" w:pos="1258"/>
              </w:tabs>
              <w:adjustRightInd w:val="0"/>
              <w:snapToGrid w:val="0"/>
              <w:spacing w:line="360" w:lineRule="auto"/>
              <w:rPr>
                <w:rFonts w:ascii="宋体" w:hAnsi="宋体"/>
                <w:b/>
                <w:sz w:val="24"/>
                <w:szCs w:val="24"/>
              </w:rPr>
            </w:pPr>
            <w:r>
              <w:rPr>
                <w:rFonts w:hint="eastAsia" w:ascii="宋体" w:hAnsi="宋体"/>
                <w:b/>
                <w:sz w:val="24"/>
                <w:szCs w:val="24"/>
              </w:rPr>
              <w:t>（2）关境外供货需填写投标分项报价表（关境外供货的投标），见招标文件第一册格式IV-3-2。</w:t>
            </w:r>
          </w:p>
          <w:p w14:paraId="54D8B296">
            <w:pPr>
              <w:tabs>
                <w:tab w:val="left" w:pos="1258"/>
              </w:tabs>
              <w:adjustRightInd w:val="0"/>
              <w:snapToGrid w:val="0"/>
              <w:spacing w:line="360" w:lineRule="auto"/>
              <w:rPr>
                <w:rFonts w:ascii="宋体" w:hAnsi="宋体"/>
                <w:sz w:val="24"/>
              </w:rPr>
            </w:pPr>
            <w:r>
              <w:rPr>
                <w:rFonts w:hint="eastAsia" w:ascii="宋体" w:hAnsi="宋体"/>
                <w:sz w:val="24"/>
                <w:szCs w:val="24"/>
              </w:rPr>
              <w:t>（3）投标人需按照招标文件《第八章 货物需求一览表及技术规格》的要求提供分项报价，且投标分项报价表中任一设备报价均不得为“0”。</w:t>
            </w:r>
          </w:p>
          <w:p w14:paraId="18480A3F">
            <w:pPr>
              <w:spacing w:line="360" w:lineRule="auto"/>
              <w:rPr>
                <w:rFonts w:ascii="宋体" w:hAnsi="宋体"/>
                <w:sz w:val="24"/>
              </w:rPr>
            </w:pPr>
            <w:r>
              <w:rPr>
                <w:rFonts w:hint="eastAsia" w:ascii="宋体" w:hAnsi="宋体"/>
                <w:sz w:val="24"/>
              </w:rPr>
              <w:t>4.货物说明一览表</w:t>
            </w:r>
          </w:p>
          <w:p w14:paraId="1EBDDFFE">
            <w:pPr>
              <w:spacing w:line="360" w:lineRule="auto"/>
              <w:rPr>
                <w:rFonts w:ascii="宋体" w:hAnsi="宋体"/>
                <w:sz w:val="24"/>
              </w:rPr>
            </w:pPr>
            <w:r>
              <w:rPr>
                <w:rFonts w:hint="eastAsia" w:ascii="宋体" w:hAnsi="宋体"/>
                <w:sz w:val="24"/>
              </w:rPr>
              <w:t>5.响应/偏离表</w:t>
            </w:r>
          </w:p>
          <w:p w14:paraId="7546C33A">
            <w:pPr>
              <w:spacing w:line="360" w:lineRule="auto"/>
              <w:rPr>
                <w:rFonts w:ascii="宋体" w:hAnsi="宋体"/>
                <w:sz w:val="24"/>
              </w:rPr>
            </w:pPr>
            <w:r>
              <w:rPr>
                <w:rFonts w:hint="eastAsia" w:ascii="宋体" w:hAnsi="宋体"/>
                <w:sz w:val="24"/>
              </w:rPr>
              <w:t>投标人应按招标文件要求填写技术规格响应/偏离表、商务条款响应/偏离表。</w:t>
            </w:r>
          </w:p>
          <w:p w14:paraId="36BC6B80">
            <w:pPr>
              <w:spacing w:line="360" w:lineRule="auto"/>
              <w:rPr>
                <w:rFonts w:ascii="宋体" w:hAnsi="宋体"/>
                <w:sz w:val="24"/>
              </w:rPr>
            </w:pPr>
            <w:r>
              <w:rPr>
                <w:rFonts w:hint="eastAsia" w:ascii="宋体" w:hAnsi="宋体"/>
                <w:sz w:val="24"/>
              </w:rPr>
              <w:t>6.投标人资格证明文件</w:t>
            </w:r>
          </w:p>
          <w:p w14:paraId="7574E8D6">
            <w:pPr>
              <w:spacing w:line="360" w:lineRule="auto"/>
              <w:rPr>
                <w:rFonts w:ascii="宋体" w:hAnsi="宋体"/>
                <w:sz w:val="24"/>
              </w:rPr>
            </w:pPr>
            <w:r>
              <w:rPr>
                <w:rFonts w:hint="eastAsia" w:ascii="宋体" w:hAnsi="宋体"/>
                <w:sz w:val="24"/>
              </w:rPr>
              <w:t>（1）资格证明文件见招标文件第一册格式I</w:t>
            </w:r>
            <w:r>
              <w:rPr>
                <w:rFonts w:ascii="宋体" w:hAnsi="宋体"/>
                <w:sz w:val="24"/>
              </w:rPr>
              <w:t>V-9-1</w:t>
            </w:r>
            <w:r>
              <w:rPr>
                <w:rFonts w:hint="eastAsia" w:ascii="宋体" w:hAnsi="宋体"/>
                <w:sz w:val="24"/>
              </w:rPr>
              <w:t>至I</w:t>
            </w:r>
            <w:r>
              <w:rPr>
                <w:rFonts w:ascii="宋体" w:hAnsi="宋体"/>
                <w:sz w:val="24"/>
              </w:rPr>
              <w:t>V-9-5</w:t>
            </w:r>
            <w:r>
              <w:rPr>
                <w:rFonts w:hint="eastAsia" w:ascii="宋体" w:hAnsi="宋体"/>
                <w:sz w:val="24"/>
              </w:rPr>
              <w:t>；</w:t>
            </w:r>
          </w:p>
          <w:p w14:paraId="211543B1">
            <w:pPr>
              <w:spacing w:line="360" w:lineRule="auto"/>
              <w:rPr>
                <w:rFonts w:ascii="宋体" w:hAnsi="宋体"/>
                <w:sz w:val="24"/>
              </w:rPr>
            </w:pPr>
            <w:r>
              <w:rPr>
                <w:rFonts w:hint="eastAsia" w:ascii="宋体" w:hAnsi="宋体"/>
                <w:sz w:val="24"/>
              </w:rPr>
              <w:t>（2）投标人其他资质证明文件具体内容见本章13.3条规定。</w:t>
            </w:r>
          </w:p>
          <w:p w14:paraId="47D2B125">
            <w:pPr>
              <w:spacing w:line="360" w:lineRule="auto"/>
              <w:rPr>
                <w:rFonts w:ascii="宋体" w:hAnsi="宋体"/>
                <w:sz w:val="24"/>
              </w:rPr>
            </w:pPr>
            <w:r>
              <w:rPr>
                <w:rFonts w:hint="eastAsia" w:ascii="宋体" w:hAnsi="宋体"/>
                <w:sz w:val="24"/>
              </w:rPr>
              <w:t>7.设备系统配置的详细清单（包括软硬件及伴随服务）；</w:t>
            </w:r>
            <w:permStart w:id="25" w:edGrp="everyone"/>
            <w:r>
              <w:rPr>
                <w:rFonts w:hint="eastAsia" w:ascii="宋体" w:hAnsi="宋体"/>
                <w:sz w:val="24"/>
              </w:rPr>
              <w:t>投标人应按照招标文件中提供的格式完整、正确填写设备系统配置的详细清单，否则将可能否决其投标。</w:t>
            </w:r>
            <w:permEnd w:id="25"/>
          </w:p>
          <w:p w14:paraId="78E2BC18">
            <w:pPr>
              <w:spacing w:line="360" w:lineRule="auto"/>
              <w:rPr>
                <w:rFonts w:ascii="宋体" w:hAnsi="宋体"/>
                <w:sz w:val="24"/>
              </w:rPr>
            </w:pPr>
            <w:r>
              <w:rPr>
                <w:rFonts w:hint="eastAsia" w:ascii="宋体" w:hAnsi="宋体"/>
                <w:sz w:val="24"/>
              </w:rPr>
              <w:t>8.提供质保期外备件和专用工具清单及价格（如有）；</w:t>
            </w:r>
          </w:p>
          <w:p w14:paraId="2D56D4E3">
            <w:pPr>
              <w:spacing w:line="360" w:lineRule="auto"/>
              <w:rPr>
                <w:rFonts w:ascii="宋体" w:hAnsi="宋体"/>
                <w:sz w:val="24"/>
              </w:rPr>
            </w:pPr>
            <w:r>
              <w:rPr>
                <w:rFonts w:hint="eastAsia" w:ascii="宋体" w:hAnsi="宋体"/>
                <w:sz w:val="24"/>
              </w:rPr>
              <w:t>9.投标设备制造商提供的该产品最新原版正式技术参数资料（</w:t>
            </w:r>
            <w:r>
              <w:rPr>
                <w:rFonts w:ascii="宋体" w:hAnsi="宋体"/>
                <w:sz w:val="24"/>
              </w:rPr>
              <w:t>Product Data Sheet</w:t>
            </w:r>
            <w:r>
              <w:rPr>
                <w:rFonts w:hint="eastAsia" w:ascii="宋体" w:hAnsi="宋体"/>
                <w:sz w:val="24"/>
              </w:rPr>
              <w:t>）及制造商公开发布的彩色印刷产品样本等技术资料；</w:t>
            </w:r>
          </w:p>
          <w:p w14:paraId="7731DF27">
            <w:pPr>
              <w:spacing w:line="360" w:lineRule="auto"/>
              <w:rPr>
                <w:rFonts w:ascii="宋体" w:hAnsi="宋体"/>
                <w:sz w:val="24"/>
              </w:rPr>
            </w:pPr>
            <w:r>
              <w:rPr>
                <w:rFonts w:hint="eastAsia" w:ascii="宋体" w:hAnsi="宋体"/>
                <w:sz w:val="24"/>
              </w:rPr>
              <w:t>10.投标设备相关的技术服务、安装调试及保修服务的售后服务承诺书。</w:t>
            </w:r>
            <w:permStart w:id="26" w:edGrp="everyone"/>
            <w:r>
              <w:rPr>
                <w:rFonts w:hint="eastAsia" w:ascii="宋体" w:hAnsi="宋体"/>
                <w:sz w:val="24"/>
              </w:rPr>
              <w:t>投标人应按照招标文件中格式完整、正确提供售后服务承诺书，否则将可能否决其投标。</w:t>
            </w:r>
          </w:p>
          <w:permEnd w:id="26"/>
          <w:p w14:paraId="4F4AE170">
            <w:pPr>
              <w:spacing w:line="360" w:lineRule="auto"/>
              <w:rPr>
                <w:rFonts w:ascii="宋体" w:hAnsi="宋体"/>
                <w:sz w:val="24"/>
              </w:rPr>
            </w:pPr>
            <w:r>
              <w:rPr>
                <w:rFonts w:hint="eastAsia" w:ascii="宋体" w:hAnsi="宋体"/>
                <w:sz w:val="24"/>
              </w:rPr>
              <w:t>11.投标人关联关系情况声明函；</w:t>
            </w:r>
          </w:p>
          <w:p w14:paraId="06B772B6">
            <w:pPr>
              <w:spacing w:line="360" w:lineRule="auto"/>
              <w:rPr>
                <w:rFonts w:ascii="宋体" w:hAnsi="宋体"/>
                <w:sz w:val="24"/>
              </w:rPr>
            </w:pPr>
            <w:r>
              <w:rPr>
                <w:rFonts w:hint="eastAsia" w:ascii="宋体" w:hAnsi="宋体"/>
                <w:sz w:val="24"/>
              </w:rPr>
              <w:t>12.其他资料（投标人认为有必要提交的其他资料）</w:t>
            </w:r>
          </w:p>
        </w:tc>
      </w:tr>
      <w:tr w14:paraId="60AF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2C781CE2">
            <w:pPr>
              <w:spacing w:line="360" w:lineRule="auto"/>
              <w:jc w:val="center"/>
              <w:rPr>
                <w:rFonts w:ascii="宋体" w:hAnsi="宋体"/>
                <w:sz w:val="24"/>
              </w:rPr>
            </w:pPr>
            <w:r>
              <w:rPr>
                <w:rFonts w:hint="eastAsia" w:ascii="宋体" w:hAnsi="宋体"/>
                <w:sz w:val="24"/>
              </w:rPr>
              <w:t>10.2</w:t>
            </w:r>
          </w:p>
        </w:tc>
        <w:tc>
          <w:tcPr>
            <w:tcW w:w="4353" w:type="pct"/>
            <w:vAlign w:val="center"/>
          </w:tcPr>
          <w:p w14:paraId="16F8C526">
            <w:pPr>
              <w:spacing w:line="360" w:lineRule="auto"/>
              <w:rPr>
                <w:rFonts w:ascii="宋体" w:hAnsi="宋体"/>
                <w:sz w:val="24"/>
              </w:rPr>
            </w:pPr>
            <w:r>
              <w:rPr>
                <w:rFonts w:ascii="宋体" w:hAnsi="宋体"/>
                <w:sz w:val="24"/>
              </w:rPr>
              <w:t>投标人</w:t>
            </w:r>
            <w:r>
              <w:rPr>
                <w:rFonts w:hint="eastAsia" w:ascii="宋体" w:hAnsi="宋体"/>
                <w:sz w:val="24"/>
              </w:rPr>
              <w:t>应严格按照招标文件规定的格式和内容编制投标文件，</w:t>
            </w:r>
            <w:r>
              <w:rPr>
                <w:rFonts w:ascii="宋体" w:hAnsi="宋体"/>
                <w:sz w:val="24"/>
              </w:rPr>
              <w:t>要求对本招标文件</w:t>
            </w:r>
            <w:r>
              <w:rPr>
                <w:rFonts w:hint="eastAsia" w:ascii="宋体" w:hAnsi="宋体"/>
                <w:sz w:val="24"/>
              </w:rPr>
              <w:t>《第八章 货物需求一览表及技术规格》</w:t>
            </w:r>
            <w:r>
              <w:rPr>
                <w:rFonts w:ascii="宋体" w:hAnsi="宋体"/>
                <w:sz w:val="24"/>
              </w:rPr>
              <w:t>所提出各项要求进行逐条逐项答复、说明和解释，</w:t>
            </w:r>
            <w:r>
              <w:rPr>
                <w:rFonts w:hint="eastAsia" w:ascii="宋体" w:hAnsi="宋体"/>
                <w:sz w:val="24"/>
              </w:rPr>
              <w:t>并填写在</w:t>
            </w:r>
            <w:r>
              <w:rPr>
                <w:rFonts w:ascii="宋体" w:hAnsi="宋体"/>
                <w:sz w:val="24"/>
              </w:rPr>
              <w:t>技术</w:t>
            </w:r>
            <w:r>
              <w:rPr>
                <w:rFonts w:hint="eastAsia" w:ascii="宋体" w:hAnsi="宋体"/>
                <w:sz w:val="24"/>
              </w:rPr>
              <w:t>规格响应/</w:t>
            </w:r>
            <w:r>
              <w:rPr>
                <w:rFonts w:ascii="宋体" w:hAnsi="宋体"/>
                <w:sz w:val="24"/>
              </w:rPr>
              <w:t>偏离表</w:t>
            </w:r>
            <w:r>
              <w:rPr>
                <w:rFonts w:hint="eastAsia" w:ascii="宋体" w:hAnsi="宋体"/>
                <w:sz w:val="24"/>
              </w:rPr>
              <w:t>中</w:t>
            </w:r>
            <w:r>
              <w:rPr>
                <w:rFonts w:ascii="宋体" w:hAnsi="宋体"/>
                <w:sz w:val="24"/>
              </w:rPr>
              <w:t>（</w:t>
            </w:r>
            <w:r>
              <w:rPr>
                <w:rFonts w:hint="eastAsia" w:ascii="宋体" w:hAnsi="宋体"/>
                <w:sz w:val="24"/>
              </w:rPr>
              <w:t>见</w:t>
            </w:r>
            <w:r>
              <w:rPr>
                <w:rFonts w:hint="eastAsia" w:ascii="宋体" w:hAnsi="宋体"/>
                <w:sz w:val="24"/>
                <w:szCs w:val="24"/>
              </w:rPr>
              <w:t>招标文件第一册</w:t>
            </w:r>
            <w:r>
              <w:rPr>
                <w:rFonts w:ascii="宋体" w:hAnsi="宋体"/>
                <w:sz w:val="24"/>
              </w:rPr>
              <w:t>格</w:t>
            </w:r>
            <w:r>
              <w:rPr>
                <w:rFonts w:hint="eastAsia" w:ascii="宋体" w:hAnsi="宋体"/>
                <w:sz w:val="24"/>
              </w:rPr>
              <w:t>式IV-5</w:t>
            </w:r>
            <w:r>
              <w:rPr>
                <w:rFonts w:ascii="宋体" w:hAnsi="宋体"/>
                <w:sz w:val="24"/>
              </w:rPr>
              <w:t>）</w:t>
            </w:r>
            <w:r>
              <w:rPr>
                <w:rFonts w:hint="eastAsia" w:ascii="宋体" w:hAnsi="宋体"/>
                <w:sz w:val="24"/>
              </w:rPr>
              <w:t>。</w:t>
            </w:r>
          </w:p>
        </w:tc>
      </w:tr>
      <w:tr w14:paraId="0139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5A4B7108">
            <w:pPr>
              <w:spacing w:line="360" w:lineRule="auto"/>
              <w:jc w:val="center"/>
              <w:rPr>
                <w:rFonts w:ascii="宋体" w:hAnsi="宋体"/>
                <w:sz w:val="24"/>
              </w:rPr>
            </w:pPr>
            <w:r>
              <w:rPr>
                <w:rFonts w:hint="eastAsia" w:ascii="宋体" w:hAnsi="宋体"/>
                <w:sz w:val="24"/>
              </w:rPr>
              <w:t>★11.2</w:t>
            </w:r>
          </w:p>
        </w:tc>
        <w:tc>
          <w:tcPr>
            <w:tcW w:w="4353" w:type="pct"/>
            <w:vAlign w:val="center"/>
          </w:tcPr>
          <w:p w14:paraId="1B3C33F9">
            <w:pPr>
              <w:spacing w:line="360" w:lineRule="auto"/>
              <w:rPr>
                <w:rFonts w:ascii="宋体" w:hAnsi="宋体"/>
                <w:sz w:val="24"/>
              </w:rPr>
            </w:pPr>
            <w:r>
              <w:rPr>
                <w:rFonts w:hint="eastAsia" w:ascii="宋体" w:hAnsi="宋体"/>
                <w:sz w:val="24"/>
                <w:szCs w:val="24"/>
                <w:lang w:val="zh-CN"/>
              </w:rPr>
              <w:t>本次招标允许的缺漏项范围或比重为</w:t>
            </w:r>
            <w:r>
              <w:rPr>
                <w:rFonts w:hint="eastAsia" w:ascii="宋体" w:hAnsi="宋体"/>
                <w:sz w:val="24"/>
                <w:szCs w:val="24"/>
              </w:rPr>
              <w:t>投标总价的15%</w:t>
            </w:r>
            <w:r>
              <w:rPr>
                <w:rFonts w:hint="eastAsia" w:ascii="宋体" w:hAnsi="宋体"/>
                <w:sz w:val="24"/>
                <w:szCs w:val="24"/>
                <w:lang w:val="zh-CN"/>
              </w:rPr>
              <w:t>。</w:t>
            </w:r>
            <w:r>
              <w:rPr>
                <w:rFonts w:hint="eastAsia" w:ascii="宋体" w:hAnsi="宋体"/>
                <w:sz w:val="24"/>
              </w:rPr>
              <w:t>投标报价中如有缺漏项，以其它有效投标中该项的最高价为计算依据，并按下述规定处理：</w:t>
            </w:r>
          </w:p>
          <w:p w14:paraId="6FA298CB">
            <w:pPr>
              <w:spacing w:line="360" w:lineRule="auto"/>
              <w:rPr>
                <w:rFonts w:ascii="宋体" w:hAnsi="宋体"/>
                <w:sz w:val="24"/>
              </w:rPr>
            </w:pPr>
            <w:r>
              <w:rPr>
                <w:rFonts w:hint="eastAsia" w:ascii="宋体" w:hAnsi="宋体"/>
                <w:sz w:val="24"/>
              </w:rPr>
              <w:t>1）投标人投标报价缺漏项达到或超过投标总价的15%，其投标将被否决。</w:t>
            </w:r>
          </w:p>
          <w:p w14:paraId="4BCC8C92">
            <w:pPr>
              <w:spacing w:line="360" w:lineRule="auto"/>
              <w:rPr>
                <w:rFonts w:ascii="宋体" w:hAnsi="宋体"/>
                <w:sz w:val="24"/>
              </w:rPr>
            </w:pPr>
            <w:r>
              <w:rPr>
                <w:rFonts w:hint="eastAsia" w:ascii="宋体" w:hAnsi="宋体"/>
                <w:sz w:val="24"/>
              </w:rPr>
              <w:t>2）投标人投标报价缺漏项未达到或超过投标总价的15%，且投标人确认缺漏项已包含在投标总价中，评标时将其他有效投标中该项的最高价计入其评标总价；若投标人确认缺漏项不包含在投标总价中，其投标将被否决。</w:t>
            </w:r>
          </w:p>
        </w:tc>
      </w:tr>
      <w:tr w14:paraId="0782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1A0A7FA7">
            <w:pPr>
              <w:spacing w:line="360" w:lineRule="auto"/>
              <w:jc w:val="center"/>
              <w:rPr>
                <w:rFonts w:ascii="宋体" w:hAnsi="宋体"/>
                <w:sz w:val="24"/>
              </w:rPr>
            </w:pPr>
            <w:r>
              <w:rPr>
                <w:rFonts w:hint="eastAsia" w:ascii="宋体" w:hAnsi="宋体"/>
                <w:sz w:val="24"/>
              </w:rPr>
              <w:t>11.3</w:t>
            </w:r>
          </w:p>
        </w:tc>
        <w:tc>
          <w:tcPr>
            <w:tcW w:w="4353" w:type="pct"/>
            <w:vAlign w:val="center"/>
          </w:tcPr>
          <w:p w14:paraId="1FCFF1FA">
            <w:pPr>
              <w:spacing w:line="360" w:lineRule="auto"/>
              <w:rPr>
                <w:rFonts w:ascii="宋体" w:hAnsi="宋体"/>
                <w:sz w:val="24"/>
              </w:rPr>
            </w:pPr>
            <w:r>
              <w:rPr>
                <w:rFonts w:hint="eastAsia" w:ascii="宋体" w:hAnsi="宋体"/>
                <w:sz w:val="24"/>
              </w:rPr>
              <w:t>投标人应根据《第八章 货物需求一览表及技术规格》中所列设备及要求报价，投标总价中不得包含超出招标文件要求以外的内容，否则在评标时不予核减。</w:t>
            </w:r>
          </w:p>
        </w:tc>
      </w:tr>
      <w:tr w14:paraId="570D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018B9AE">
            <w:pPr>
              <w:spacing w:line="360" w:lineRule="auto"/>
              <w:jc w:val="center"/>
              <w:rPr>
                <w:rFonts w:ascii="宋体" w:hAnsi="宋体"/>
                <w:sz w:val="24"/>
              </w:rPr>
            </w:pPr>
            <w:r>
              <w:rPr>
                <w:rFonts w:hint="eastAsia" w:ascii="宋体" w:hAnsi="宋体"/>
                <w:sz w:val="24"/>
              </w:rPr>
              <w:t>★11.4</w:t>
            </w:r>
          </w:p>
        </w:tc>
        <w:tc>
          <w:tcPr>
            <w:tcW w:w="4353" w:type="pct"/>
            <w:vAlign w:val="center"/>
          </w:tcPr>
          <w:p w14:paraId="0F980BE9">
            <w:pPr>
              <w:kinsoku w:val="0"/>
              <w:autoSpaceDE w:val="0"/>
              <w:autoSpaceDN w:val="0"/>
              <w:spacing w:line="360" w:lineRule="auto"/>
              <w:ind w:left="57" w:right="57"/>
              <w:textAlignment w:val="bottom"/>
              <w:rPr>
                <w:rFonts w:ascii="宋体" w:hAnsi="宋体"/>
                <w:sz w:val="24"/>
              </w:rPr>
            </w:pPr>
            <w:r>
              <w:rPr>
                <w:rFonts w:hint="eastAsia" w:ascii="宋体" w:hAnsi="宋体"/>
                <w:sz w:val="24"/>
              </w:rPr>
              <w:t>本次招标不接受选择性报价或者有附加条件的报价。</w:t>
            </w:r>
          </w:p>
        </w:tc>
      </w:tr>
      <w:tr w14:paraId="7E35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3D53774">
            <w:pPr>
              <w:spacing w:line="360" w:lineRule="auto"/>
              <w:jc w:val="center"/>
              <w:rPr>
                <w:rFonts w:ascii="宋体" w:hAnsi="宋体"/>
                <w:sz w:val="24"/>
              </w:rPr>
            </w:pPr>
            <w:r>
              <w:rPr>
                <w:rFonts w:hint="eastAsia" w:ascii="宋体" w:hAnsi="宋体"/>
                <w:sz w:val="24"/>
              </w:rPr>
              <w:t>★11.5</w:t>
            </w:r>
          </w:p>
        </w:tc>
        <w:tc>
          <w:tcPr>
            <w:tcW w:w="4353" w:type="pct"/>
            <w:vAlign w:val="center"/>
          </w:tcPr>
          <w:p w14:paraId="65BD44FD">
            <w:pPr>
              <w:spacing w:line="360" w:lineRule="auto"/>
              <w:jc w:val="left"/>
              <w:rPr>
                <w:rFonts w:ascii="宋体" w:hAnsi="宋体"/>
                <w:sz w:val="24"/>
                <w:szCs w:val="24"/>
              </w:rPr>
            </w:pPr>
            <w:permStart w:id="27" w:edGrp="everyone"/>
            <w:r>
              <w:rPr>
                <w:rFonts w:hint="eastAsia" w:ascii="宋体" w:hAnsi="宋体"/>
                <w:sz w:val="24"/>
                <w:szCs w:val="24"/>
              </w:rPr>
              <w:t xml:space="preserve">1. 本项目设最高投标限价为人民币460万元。本限价包含关税、增值税及进口环节中发生的一切费用。 </w:t>
            </w:r>
          </w:p>
          <w:p w14:paraId="290C94AC">
            <w:pPr>
              <w:spacing w:line="360" w:lineRule="auto"/>
              <w:jc w:val="left"/>
              <w:rPr>
                <w:rFonts w:ascii="宋体" w:hAnsi="宋体"/>
                <w:sz w:val="24"/>
                <w:szCs w:val="24"/>
              </w:rPr>
            </w:pPr>
            <w:r>
              <w:rPr>
                <w:rFonts w:hint="eastAsia" w:ascii="宋体" w:hAnsi="宋体"/>
                <w:sz w:val="24"/>
                <w:szCs w:val="24"/>
              </w:rPr>
              <w:t>2.评标时，投标报价将依据以下规则进行货币换算，以判定是否高于最高投标限价。高于最高投标限价的，其投标将被否决。</w:t>
            </w:r>
          </w:p>
          <w:p w14:paraId="62B06080">
            <w:pPr>
              <w:spacing w:line="360" w:lineRule="auto"/>
              <w:jc w:val="left"/>
              <w:rPr>
                <w:rFonts w:ascii="宋体" w:hAnsi="宋体"/>
                <w:sz w:val="24"/>
                <w:szCs w:val="24"/>
              </w:rPr>
            </w:pPr>
            <w:r>
              <w:rPr>
                <w:rFonts w:hint="eastAsia" w:ascii="宋体" w:hAnsi="宋体"/>
                <w:sz w:val="24"/>
                <w:szCs w:val="24"/>
              </w:rPr>
              <w:t xml:space="preserve">（1）若投标产品以外币报价且为中华人民共和国关境外交付的货物，按开标当日中国银行总行首次发布的外币对人民币的现汇卖出价进行投标货币的转换，并加上进口环节税进行合计，评标时以此判定是否超过投标限价。 </w:t>
            </w:r>
          </w:p>
          <w:p w14:paraId="2372FC6C">
            <w:pPr>
              <w:spacing w:line="360" w:lineRule="auto"/>
              <w:jc w:val="left"/>
              <w:rPr>
                <w:rFonts w:ascii="宋体" w:hAnsi="宋体"/>
                <w:sz w:val="24"/>
                <w:szCs w:val="24"/>
              </w:rPr>
            </w:pPr>
            <w:r>
              <w:rPr>
                <w:rFonts w:hint="eastAsia" w:ascii="宋体" w:hAnsi="宋体"/>
                <w:sz w:val="24"/>
                <w:szCs w:val="24"/>
              </w:rPr>
              <w:t>（2）若投标产品以外币报价且为中华人民共和国关境内交付的货物，按开标当日中国银行总行首次发布的外币对人民币的现汇卖出价进行投标货币的转换，评标时以此判定是否超过投标限价。</w:t>
            </w:r>
          </w:p>
          <w:p w14:paraId="0D4A809F">
            <w:pPr>
              <w:kinsoku w:val="0"/>
              <w:autoSpaceDE w:val="0"/>
              <w:autoSpaceDN w:val="0"/>
              <w:spacing w:line="360" w:lineRule="auto"/>
              <w:ind w:left="57" w:right="57"/>
              <w:textAlignment w:val="bottom"/>
              <w:rPr>
                <w:rFonts w:ascii="宋体" w:hAnsi="宋体"/>
                <w:sz w:val="24"/>
                <w:szCs w:val="24"/>
              </w:rPr>
            </w:pPr>
            <w:r>
              <w:rPr>
                <w:rFonts w:hint="eastAsia" w:ascii="宋体" w:hAnsi="宋体"/>
                <w:sz w:val="24"/>
                <w:szCs w:val="24"/>
              </w:rPr>
              <w:t>3.合同结算时，因汇率波动或属于原产于特定国家（地区）特定进口商品加征关税且加征关税在实际进口时未被核准市场化采购排除造成合同实际结算时超出本项目的人民币限价时，招标人不承担超出投标限价的部分，该部分费用由中标人承担。</w:t>
            </w:r>
            <w:permEnd w:id="27"/>
          </w:p>
        </w:tc>
      </w:tr>
      <w:tr w14:paraId="08D4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5488B3A4">
            <w:pPr>
              <w:spacing w:line="360" w:lineRule="auto"/>
              <w:jc w:val="center"/>
              <w:rPr>
                <w:rFonts w:ascii="宋体" w:hAnsi="宋体"/>
                <w:sz w:val="24"/>
              </w:rPr>
            </w:pPr>
            <w:r>
              <w:rPr>
                <w:rFonts w:hint="eastAsia" w:ascii="宋体" w:hAnsi="宋体"/>
                <w:sz w:val="24"/>
              </w:rPr>
              <w:t>11.</w:t>
            </w:r>
            <w:r>
              <w:rPr>
                <w:rFonts w:ascii="宋体" w:hAnsi="宋体"/>
                <w:sz w:val="24"/>
              </w:rPr>
              <w:t>6.1</w:t>
            </w:r>
          </w:p>
        </w:tc>
        <w:tc>
          <w:tcPr>
            <w:tcW w:w="4353" w:type="pct"/>
            <w:vAlign w:val="center"/>
          </w:tcPr>
          <w:p w14:paraId="1B60759E">
            <w:pPr>
              <w:autoSpaceDE w:val="0"/>
              <w:autoSpaceDN w:val="0"/>
              <w:spacing w:line="360" w:lineRule="auto"/>
              <w:ind w:left="525" w:right="57" w:hanging="468"/>
              <w:textAlignment w:val="bottom"/>
              <w:rPr>
                <w:rFonts w:ascii="宋体" w:hAnsi="宋体"/>
                <w:sz w:val="24"/>
              </w:rPr>
            </w:pPr>
            <w:r>
              <w:rPr>
                <w:rFonts w:hint="eastAsia" w:ascii="宋体" w:hAnsi="宋体"/>
                <w:sz w:val="24"/>
              </w:rPr>
              <w:t>从中华人民共和国关境内提供的货物，其投标报价包括：</w:t>
            </w:r>
          </w:p>
          <w:p w14:paraId="5E8CFC79">
            <w:pPr>
              <w:autoSpaceDE w:val="0"/>
              <w:autoSpaceDN w:val="0"/>
              <w:spacing w:line="360" w:lineRule="auto"/>
              <w:ind w:left="525" w:right="57" w:hanging="468"/>
              <w:textAlignment w:val="bottom"/>
              <w:rPr>
                <w:rFonts w:ascii="宋体" w:hAnsi="宋体"/>
                <w:sz w:val="24"/>
              </w:rPr>
            </w:pPr>
            <w:r>
              <w:rPr>
                <w:rFonts w:hint="eastAsia" w:ascii="宋体" w:hAnsi="宋体"/>
                <w:sz w:val="24"/>
              </w:rPr>
              <w:t>1）关境内制造的货物</w:t>
            </w:r>
          </w:p>
          <w:p w14:paraId="61BE9222">
            <w:pPr>
              <w:autoSpaceDE w:val="0"/>
              <w:autoSpaceDN w:val="0"/>
              <w:spacing w:line="360" w:lineRule="auto"/>
              <w:ind w:right="57"/>
              <w:textAlignment w:val="bottom"/>
              <w:rPr>
                <w:rFonts w:ascii="宋体" w:hAnsi="宋体"/>
                <w:sz w:val="24"/>
              </w:rPr>
            </w:pPr>
            <w:r>
              <w:rPr>
                <w:rFonts w:hint="eastAsia" w:ascii="宋体" w:hAnsi="宋体"/>
                <w:sz w:val="24"/>
              </w:rPr>
              <w:t>（1）出厂价（应包括增值税和其它税费）；</w:t>
            </w:r>
          </w:p>
          <w:p w14:paraId="66F91CEF">
            <w:pPr>
              <w:autoSpaceDE w:val="0"/>
              <w:autoSpaceDN w:val="0"/>
              <w:spacing w:line="360" w:lineRule="auto"/>
              <w:ind w:right="57"/>
              <w:textAlignment w:val="bottom"/>
              <w:rPr>
                <w:rFonts w:ascii="宋体" w:hAnsi="宋体"/>
                <w:sz w:val="24"/>
              </w:rPr>
            </w:pPr>
            <w:r>
              <w:rPr>
                <w:rFonts w:hint="eastAsia" w:ascii="宋体" w:hAnsi="宋体"/>
                <w:sz w:val="24"/>
              </w:rPr>
              <w:t>（2）运至最终目的地的关境内运输费、保险费等相关费用；</w:t>
            </w:r>
          </w:p>
          <w:p w14:paraId="7DD7DCF4">
            <w:pPr>
              <w:autoSpaceDE w:val="0"/>
              <w:autoSpaceDN w:val="0"/>
              <w:spacing w:line="360" w:lineRule="auto"/>
              <w:ind w:right="57"/>
              <w:textAlignment w:val="bottom"/>
              <w:rPr>
                <w:rFonts w:ascii="宋体" w:hAnsi="宋体"/>
                <w:sz w:val="24"/>
              </w:rPr>
            </w:pPr>
            <w:r>
              <w:rPr>
                <w:rFonts w:hint="eastAsia" w:ascii="宋体" w:hAnsi="宋体"/>
                <w:sz w:val="24"/>
              </w:rPr>
              <w:t>（3）各种售前、安装调试、验收以及移交等合同履行期间的伴随服务费用；</w:t>
            </w:r>
          </w:p>
          <w:p w14:paraId="5D447E91">
            <w:pPr>
              <w:autoSpaceDE w:val="0"/>
              <w:autoSpaceDN w:val="0"/>
              <w:spacing w:line="360" w:lineRule="auto"/>
              <w:ind w:right="57"/>
              <w:textAlignment w:val="bottom"/>
              <w:rPr>
                <w:rFonts w:ascii="宋体" w:hAnsi="宋体"/>
                <w:sz w:val="24"/>
              </w:rPr>
            </w:pPr>
            <w:r>
              <w:rPr>
                <w:rFonts w:hint="eastAsia" w:ascii="宋体" w:hAnsi="宋体"/>
                <w:sz w:val="24"/>
              </w:rPr>
              <w:t>（4）按照第八章相应条款中列出的各类培训费用。</w:t>
            </w:r>
          </w:p>
          <w:p w14:paraId="27B85951">
            <w:pPr>
              <w:autoSpaceDE w:val="0"/>
              <w:autoSpaceDN w:val="0"/>
              <w:spacing w:line="360" w:lineRule="auto"/>
              <w:ind w:left="57" w:right="57"/>
              <w:textAlignment w:val="bottom"/>
              <w:rPr>
                <w:rFonts w:ascii="宋体" w:hAnsi="宋体"/>
                <w:sz w:val="24"/>
              </w:rPr>
            </w:pPr>
            <w:r>
              <w:rPr>
                <w:rFonts w:hint="eastAsia" w:ascii="宋体" w:hAnsi="宋体"/>
                <w:sz w:val="24"/>
              </w:rPr>
              <w:t>2）由投标人或其指定第三方完成进口报关手续的货物</w:t>
            </w:r>
          </w:p>
          <w:p w14:paraId="66474DB1">
            <w:pPr>
              <w:autoSpaceDE w:val="0"/>
              <w:autoSpaceDN w:val="0"/>
              <w:spacing w:line="360" w:lineRule="auto"/>
              <w:ind w:right="57"/>
              <w:textAlignment w:val="bottom"/>
              <w:rPr>
                <w:rFonts w:ascii="宋体" w:hAnsi="宋体"/>
                <w:sz w:val="24"/>
              </w:rPr>
            </w:pPr>
            <w:r>
              <w:rPr>
                <w:rFonts w:ascii="宋体" w:hAnsi="宋体"/>
                <w:sz w:val="24"/>
              </w:rPr>
              <w:t>（1）</w:t>
            </w:r>
            <w:r>
              <w:rPr>
                <w:rFonts w:hint="eastAsia" w:ascii="宋体" w:hAnsi="宋体"/>
                <w:sz w:val="24"/>
              </w:rPr>
              <w:t>仓库交货价（应包括增值税、关税和其他税费）；</w:t>
            </w:r>
          </w:p>
          <w:p w14:paraId="587C7443">
            <w:pPr>
              <w:autoSpaceDE w:val="0"/>
              <w:autoSpaceDN w:val="0"/>
              <w:spacing w:line="360" w:lineRule="auto"/>
              <w:ind w:right="57"/>
              <w:textAlignment w:val="bottom"/>
              <w:rPr>
                <w:rFonts w:ascii="宋体" w:hAnsi="宋体"/>
                <w:sz w:val="24"/>
              </w:rPr>
            </w:pPr>
            <w:r>
              <w:rPr>
                <w:rFonts w:ascii="宋体" w:hAnsi="宋体"/>
                <w:sz w:val="24"/>
              </w:rPr>
              <w:t>（2）</w:t>
            </w:r>
            <w:r>
              <w:rPr>
                <w:rFonts w:hint="eastAsia" w:ascii="宋体" w:hAnsi="宋体"/>
                <w:sz w:val="24"/>
              </w:rPr>
              <w:t>运至最终目的地的关境内运输费、保险费等相关费用；</w:t>
            </w:r>
          </w:p>
          <w:p w14:paraId="39851CEF">
            <w:pPr>
              <w:autoSpaceDE w:val="0"/>
              <w:autoSpaceDN w:val="0"/>
              <w:spacing w:line="360" w:lineRule="auto"/>
              <w:ind w:right="57"/>
              <w:textAlignment w:val="bottom"/>
              <w:rPr>
                <w:rFonts w:ascii="宋体" w:hAnsi="宋体"/>
                <w:sz w:val="24"/>
              </w:rPr>
            </w:pPr>
            <w:r>
              <w:rPr>
                <w:rFonts w:hint="eastAsia" w:ascii="宋体" w:hAnsi="宋体"/>
                <w:sz w:val="24"/>
              </w:rPr>
              <w:t>（3）各种售前、安装调试、验收以及移交等合同履行期间的伴随服务费用；</w:t>
            </w:r>
          </w:p>
          <w:p w14:paraId="42B3DA8F">
            <w:pPr>
              <w:autoSpaceDE w:val="0"/>
              <w:autoSpaceDN w:val="0"/>
              <w:spacing w:line="360" w:lineRule="auto"/>
              <w:ind w:right="57"/>
              <w:textAlignment w:val="bottom"/>
              <w:rPr>
                <w:rFonts w:ascii="宋体" w:hAnsi="宋体"/>
                <w:sz w:val="24"/>
              </w:rPr>
            </w:pPr>
            <w:r>
              <w:rPr>
                <w:rFonts w:ascii="宋体" w:hAnsi="宋体"/>
                <w:sz w:val="24"/>
              </w:rPr>
              <w:t>（4）</w:t>
            </w:r>
            <w:r>
              <w:rPr>
                <w:rFonts w:hint="eastAsia" w:ascii="宋体" w:hAnsi="宋体"/>
                <w:sz w:val="24"/>
              </w:rPr>
              <w:t>按照第八章相应条款中列出的各类培训费用。</w:t>
            </w:r>
          </w:p>
        </w:tc>
      </w:tr>
      <w:tr w14:paraId="201E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5BA71CAA">
            <w:pPr>
              <w:spacing w:line="360" w:lineRule="auto"/>
              <w:jc w:val="center"/>
              <w:rPr>
                <w:rFonts w:ascii="宋体" w:hAnsi="宋体"/>
                <w:sz w:val="24"/>
              </w:rPr>
            </w:pPr>
            <w:r>
              <w:rPr>
                <w:rFonts w:hint="eastAsia" w:ascii="宋体" w:hAnsi="宋体"/>
                <w:sz w:val="24"/>
              </w:rPr>
              <w:t>11.</w:t>
            </w:r>
            <w:r>
              <w:rPr>
                <w:rFonts w:ascii="宋体" w:hAnsi="宋体"/>
                <w:sz w:val="24"/>
              </w:rPr>
              <w:t>6.2</w:t>
            </w:r>
          </w:p>
        </w:tc>
        <w:tc>
          <w:tcPr>
            <w:tcW w:w="4353" w:type="pct"/>
            <w:vAlign w:val="center"/>
          </w:tcPr>
          <w:p w14:paraId="35038777">
            <w:pPr>
              <w:kinsoku w:val="0"/>
              <w:autoSpaceDE w:val="0"/>
              <w:autoSpaceDN w:val="0"/>
              <w:spacing w:line="360" w:lineRule="auto"/>
              <w:ind w:left="57" w:right="57"/>
              <w:textAlignment w:val="bottom"/>
              <w:rPr>
                <w:rFonts w:ascii="宋体" w:hAnsi="宋体"/>
                <w:sz w:val="24"/>
              </w:rPr>
            </w:pPr>
            <w:r>
              <w:rPr>
                <w:rFonts w:hint="eastAsia" w:ascii="宋体" w:hAnsi="宋体"/>
                <w:sz w:val="24"/>
              </w:rPr>
              <w:t>从中华人民共和国关境外提供的货物，其投标报价包括：</w:t>
            </w:r>
            <w:bookmarkStart w:id="27" w:name="OLE_LINK22"/>
          </w:p>
          <w:p w14:paraId="6370B4AC">
            <w:pPr>
              <w:autoSpaceDE w:val="0"/>
              <w:autoSpaceDN w:val="0"/>
              <w:spacing w:line="360" w:lineRule="auto"/>
              <w:ind w:right="57"/>
              <w:textAlignment w:val="bottom"/>
              <w:rPr>
                <w:rFonts w:ascii="宋体" w:hAnsi="宋体"/>
                <w:sz w:val="24"/>
              </w:rPr>
            </w:pPr>
            <w:r>
              <w:rPr>
                <w:rFonts w:hint="eastAsia" w:ascii="宋体" w:hAnsi="宋体"/>
                <w:sz w:val="24"/>
              </w:rPr>
              <w:t>（1）CIP</w:t>
            </w:r>
            <w:bookmarkEnd w:id="27"/>
            <w:r>
              <w:rPr>
                <w:rFonts w:hint="eastAsia" w:ascii="宋体" w:hAnsi="宋体"/>
                <w:sz w:val="24"/>
              </w:rPr>
              <w:t>项目现场（即卖方运费保险费付至项目现场）；</w:t>
            </w:r>
          </w:p>
          <w:p w14:paraId="75D01F85">
            <w:pPr>
              <w:autoSpaceDE w:val="0"/>
              <w:autoSpaceDN w:val="0"/>
              <w:spacing w:line="360" w:lineRule="auto"/>
              <w:ind w:right="57"/>
              <w:textAlignment w:val="bottom"/>
              <w:rPr>
                <w:rFonts w:ascii="宋体" w:hAnsi="宋体"/>
                <w:sz w:val="24"/>
              </w:rPr>
            </w:pPr>
            <w:r>
              <w:rPr>
                <w:rFonts w:hint="eastAsia" w:ascii="宋体" w:hAnsi="宋体"/>
                <w:sz w:val="24"/>
              </w:rPr>
              <w:t>（2）各种售前、安装调试、验收以及移交等合同履行期间的伴随服务费用；</w:t>
            </w:r>
          </w:p>
          <w:p w14:paraId="4C5626E1">
            <w:pPr>
              <w:autoSpaceDE w:val="0"/>
              <w:autoSpaceDN w:val="0"/>
              <w:spacing w:line="360" w:lineRule="auto"/>
              <w:ind w:right="57"/>
              <w:textAlignment w:val="bottom"/>
              <w:rPr>
                <w:rFonts w:ascii="宋体" w:hAnsi="宋体"/>
                <w:sz w:val="24"/>
              </w:rPr>
            </w:pPr>
            <w:r>
              <w:rPr>
                <w:rFonts w:hint="eastAsia" w:ascii="宋体" w:hAnsi="宋体"/>
                <w:sz w:val="24"/>
              </w:rPr>
              <w:t>（3）按照第八章相应条款中列出的各类培训费用。</w:t>
            </w:r>
          </w:p>
        </w:tc>
      </w:tr>
      <w:tr w14:paraId="61D4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83FC2B2">
            <w:pPr>
              <w:spacing w:line="360" w:lineRule="auto"/>
              <w:jc w:val="center"/>
              <w:rPr>
                <w:rFonts w:ascii="宋体" w:hAnsi="宋体"/>
                <w:sz w:val="24"/>
              </w:rPr>
            </w:pPr>
            <w:permStart w:id="28" w:edGrp="everyone"/>
            <w:r>
              <w:rPr>
                <w:rFonts w:hint="eastAsia" w:ascii="宋体" w:hAnsi="宋体"/>
                <w:sz w:val="24"/>
              </w:rPr>
              <w:t>★</w:t>
            </w:r>
            <w:permEnd w:id="28"/>
            <w:r>
              <w:rPr>
                <w:rFonts w:hint="eastAsia" w:ascii="宋体" w:hAnsi="宋体"/>
                <w:sz w:val="24"/>
              </w:rPr>
              <w:t>12.1</w:t>
            </w:r>
          </w:p>
        </w:tc>
        <w:tc>
          <w:tcPr>
            <w:tcW w:w="4353" w:type="pct"/>
            <w:vAlign w:val="center"/>
          </w:tcPr>
          <w:p w14:paraId="511D084B">
            <w:pPr>
              <w:kinsoku w:val="0"/>
              <w:autoSpaceDE w:val="0"/>
              <w:autoSpaceDN w:val="0"/>
              <w:spacing w:line="360" w:lineRule="auto"/>
              <w:ind w:left="57" w:right="57"/>
              <w:textAlignment w:val="bottom"/>
              <w:rPr>
                <w:rFonts w:ascii="宋体" w:hAnsi="宋体"/>
                <w:sz w:val="24"/>
              </w:rPr>
            </w:pPr>
            <w:r>
              <w:rPr>
                <w:rFonts w:hint="eastAsia" w:ascii="宋体" w:hAnsi="宋体"/>
                <w:sz w:val="24"/>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1E2D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20D333CA">
            <w:pPr>
              <w:spacing w:line="360" w:lineRule="auto"/>
              <w:jc w:val="center"/>
              <w:rPr>
                <w:rFonts w:ascii="宋体" w:hAnsi="宋体"/>
                <w:sz w:val="24"/>
              </w:rPr>
            </w:pPr>
            <w:permStart w:id="29" w:edGrp="everyone"/>
            <w:r>
              <w:rPr>
                <w:rFonts w:hint="eastAsia" w:ascii="宋体" w:hAnsi="宋体"/>
                <w:sz w:val="24"/>
              </w:rPr>
              <w:t>★</w:t>
            </w:r>
            <w:permEnd w:id="29"/>
            <w:r>
              <w:rPr>
                <w:rFonts w:hint="eastAsia" w:ascii="宋体" w:hAnsi="宋体"/>
                <w:sz w:val="24"/>
              </w:rPr>
              <w:t>12.2</w:t>
            </w:r>
          </w:p>
        </w:tc>
        <w:tc>
          <w:tcPr>
            <w:tcW w:w="4353" w:type="pct"/>
            <w:vAlign w:val="center"/>
          </w:tcPr>
          <w:p w14:paraId="61769B35">
            <w:pPr>
              <w:kinsoku w:val="0"/>
              <w:autoSpaceDE w:val="0"/>
              <w:autoSpaceDN w:val="0"/>
              <w:spacing w:line="360" w:lineRule="auto"/>
              <w:ind w:left="57" w:right="57"/>
              <w:textAlignment w:val="bottom"/>
              <w:rPr>
                <w:rFonts w:ascii="宋体" w:hAnsi="宋体"/>
                <w:sz w:val="24"/>
              </w:rPr>
            </w:pPr>
            <w:r>
              <w:rPr>
                <w:rFonts w:hint="eastAsia" w:ascii="宋体" w:hAnsi="宋体"/>
                <w:sz w:val="24"/>
              </w:rPr>
              <w:t>从中华人民共和国关境外提供的货物和服务的投标货币：</w:t>
            </w:r>
            <w:permStart w:id="30" w:edGrp="everyone"/>
            <w:r>
              <w:rPr>
                <w:rFonts w:hint="eastAsia" w:ascii="宋体" w:hAnsi="宋体"/>
                <w:sz w:val="24"/>
              </w:rPr>
              <w:t>美元或跨境人民币</w:t>
            </w:r>
            <w:permEnd w:id="30"/>
            <w:r>
              <w:rPr>
                <w:rFonts w:hint="eastAsia" w:ascii="宋体" w:hAnsi="宋体"/>
                <w:sz w:val="24"/>
              </w:rPr>
              <w:t>。</w:t>
            </w:r>
          </w:p>
        </w:tc>
      </w:tr>
      <w:tr w14:paraId="5C57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3CD56B3">
            <w:pPr>
              <w:spacing w:line="360" w:lineRule="auto"/>
              <w:jc w:val="center"/>
              <w:rPr>
                <w:rFonts w:ascii="宋体" w:hAnsi="宋体"/>
                <w:sz w:val="24"/>
              </w:rPr>
            </w:pPr>
            <w:r>
              <w:rPr>
                <w:rFonts w:hint="eastAsia" w:ascii="宋体" w:hAnsi="宋体"/>
                <w:sz w:val="24"/>
              </w:rPr>
              <w:t>★13.1</w:t>
            </w:r>
          </w:p>
        </w:tc>
        <w:tc>
          <w:tcPr>
            <w:tcW w:w="4353" w:type="pct"/>
            <w:vAlign w:val="center"/>
          </w:tcPr>
          <w:p w14:paraId="3783F4E8">
            <w:pPr>
              <w:kinsoku w:val="0"/>
              <w:autoSpaceDE w:val="0"/>
              <w:autoSpaceDN w:val="0"/>
              <w:spacing w:line="360" w:lineRule="auto"/>
              <w:ind w:left="57" w:right="57"/>
              <w:textAlignment w:val="bottom"/>
              <w:rPr>
                <w:rFonts w:ascii="宋体" w:hAnsi="宋体"/>
                <w:sz w:val="24"/>
              </w:rPr>
            </w:pPr>
            <w:r>
              <w:rPr>
                <w:rFonts w:hint="eastAsia" w:ascii="宋体" w:hAnsi="宋体"/>
                <w:sz w:val="24"/>
              </w:rPr>
              <w:t>本项目不接受联合体投标。</w:t>
            </w:r>
          </w:p>
        </w:tc>
      </w:tr>
      <w:tr w14:paraId="6FA2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1B4B4888">
            <w:pPr>
              <w:spacing w:line="360" w:lineRule="auto"/>
              <w:jc w:val="center"/>
              <w:rPr>
                <w:rFonts w:ascii="宋体" w:hAnsi="宋体"/>
                <w:sz w:val="24"/>
              </w:rPr>
            </w:pPr>
            <w:r>
              <w:rPr>
                <w:rFonts w:hint="eastAsia" w:ascii="宋体" w:hAnsi="宋体"/>
                <w:sz w:val="24"/>
              </w:rPr>
              <w:t>★13.3</w:t>
            </w:r>
          </w:p>
        </w:tc>
        <w:tc>
          <w:tcPr>
            <w:tcW w:w="4353" w:type="pct"/>
            <w:vAlign w:val="center"/>
          </w:tcPr>
          <w:p w14:paraId="322A3D1C">
            <w:pPr>
              <w:kinsoku w:val="0"/>
              <w:autoSpaceDE w:val="0"/>
              <w:autoSpaceDN w:val="0"/>
              <w:spacing w:line="360" w:lineRule="auto"/>
              <w:ind w:left="57" w:right="57"/>
              <w:textAlignment w:val="bottom"/>
              <w:rPr>
                <w:rFonts w:ascii="宋体" w:hAnsi="宋体"/>
                <w:sz w:val="24"/>
              </w:rPr>
            </w:pPr>
            <w:r>
              <w:rPr>
                <w:rFonts w:hint="eastAsia" w:ascii="宋体" w:hAnsi="宋体"/>
                <w:sz w:val="24"/>
              </w:rPr>
              <w:t>投标人资格标准：</w:t>
            </w:r>
          </w:p>
          <w:p w14:paraId="19771B63">
            <w:pPr>
              <w:kinsoku w:val="0"/>
              <w:autoSpaceDE w:val="0"/>
              <w:autoSpaceDN w:val="0"/>
              <w:spacing w:line="360" w:lineRule="auto"/>
              <w:ind w:left="57" w:right="57"/>
              <w:textAlignment w:val="bottom"/>
              <w:rPr>
                <w:rFonts w:ascii="宋体" w:hAnsi="宋体"/>
                <w:sz w:val="24"/>
              </w:rPr>
            </w:pPr>
            <w:permStart w:id="31" w:edGrp="everyone"/>
            <w:r>
              <w:rPr>
                <w:rFonts w:hint="eastAsia" w:ascii="宋体" w:hAnsi="宋体"/>
                <w:sz w:val="24"/>
              </w:rPr>
              <w:t>1）投标人为具有</w:t>
            </w:r>
            <w:r>
              <w:rPr>
                <w:rFonts w:ascii="宋体" w:hAnsi="宋体"/>
                <w:sz w:val="24"/>
              </w:rPr>
              <w:t>合法经营资质的独立法人</w:t>
            </w:r>
            <w:r>
              <w:rPr>
                <w:rFonts w:hint="eastAsia" w:ascii="宋体" w:hAnsi="宋体"/>
                <w:sz w:val="24"/>
              </w:rPr>
              <w:t>、</w:t>
            </w:r>
            <w:r>
              <w:rPr>
                <w:rFonts w:ascii="宋体" w:hAnsi="宋体"/>
                <w:sz w:val="24"/>
              </w:rPr>
              <w:t>其他组织</w:t>
            </w:r>
            <w:r>
              <w:rPr>
                <w:rFonts w:hint="eastAsia" w:ascii="宋体" w:hAnsi="宋体"/>
                <w:sz w:val="24"/>
              </w:rPr>
              <w:t>；</w:t>
            </w:r>
          </w:p>
          <w:p w14:paraId="096271FF">
            <w:pPr>
              <w:kinsoku w:val="0"/>
              <w:autoSpaceDE w:val="0"/>
              <w:autoSpaceDN w:val="0"/>
              <w:spacing w:line="360" w:lineRule="auto"/>
              <w:ind w:left="57" w:right="57"/>
              <w:textAlignment w:val="bottom"/>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投标人为投标货物制造商，应按照国家有关规定提供《中华人民共和国医疗器械生产企业许可证》或《第一类医疗器械生产备案凭证》；投标人为经营销售企业，应按照国家有关规定提供《中华人民共和国医疗器械经营企业许可证》或《第二类医疗器械经营备案凭证》。投标人的生产或经营范围应当与国家相关许可保持一致；</w:t>
            </w:r>
            <w:r>
              <w:rPr>
                <w:rFonts w:ascii="宋体" w:hAnsi="宋体"/>
                <w:sz w:val="24"/>
              </w:rPr>
              <w:br w:type="textWrapping"/>
            </w:r>
            <w:r>
              <w:rPr>
                <w:rFonts w:hint="eastAsia" w:ascii="宋体" w:hAnsi="宋体"/>
                <w:sz w:val="24"/>
              </w:rPr>
              <w:t>3</w:t>
            </w:r>
            <w:r>
              <w:rPr>
                <w:rFonts w:ascii="宋体" w:hAnsi="宋体"/>
                <w:sz w:val="24"/>
              </w:rPr>
              <w:t>）</w:t>
            </w:r>
            <w:r>
              <w:rPr>
                <w:rFonts w:hint="eastAsia" w:ascii="宋体" w:hAnsi="宋体"/>
                <w:sz w:val="24"/>
              </w:rPr>
              <w:t>投标货物应具备开标之日在有效期内的《中华人民共和国医疗器械注册证》或《第一类医疗器械备案凭证》；</w:t>
            </w:r>
          </w:p>
          <w:p w14:paraId="20BBECA0">
            <w:pPr>
              <w:kinsoku w:val="0"/>
              <w:autoSpaceDE w:val="0"/>
              <w:autoSpaceDN w:val="0"/>
              <w:spacing w:line="360" w:lineRule="auto"/>
              <w:ind w:left="57" w:right="57"/>
              <w:textAlignment w:val="bottom"/>
              <w:rPr>
                <w:rFonts w:ascii="宋体" w:hAnsi="宋体"/>
                <w:sz w:val="24"/>
              </w:rPr>
            </w:pPr>
            <w:r>
              <w:rPr>
                <w:rFonts w:hint="eastAsia" w:ascii="宋体" w:hAnsi="宋体"/>
                <w:sz w:val="24"/>
              </w:rPr>
              <w:t>4）</w:t>
            </w:r>
            <w:r>
              <w:rPr>
                <w:rFonts w:ascii="宋体" w:hAnsi="宋体"/>
                <w:sz w:val="24"/>
              </w:rPr>
              <w:t>投标人为专业生产本次所需设备的制造商，或经有效授权的代理商；</w:t>
            </w:r>
          </w:p>
          <w:p w14:paraId="64717750">
            <w:pPr>
              <w:kinsoku w:val="0"/>
              <w:autoSpaceDE w:val="0"/>
              <w:autoSpaceDN w:val="0"/>
              <w:spacing w:line="360" w:lineRule="auto"/>
              <w:ind w:left="57" w:right="57"/>
              <w:textAlignment w:val="bottom"/>
              <w:rPr>
                <w:rFonts w:ascii="宋体" w:hAnsi="宋体"/>
                <w:sz w:val="24"/>
              </w:rPr>
            </w:pPr>
            <w:r>
              <w:rPr>
                <w:rFonts w:hint="eastAsia" w:ascii="宋体" w:hAnsi="宋体"/>
                <w:sz w:val="24"/>
              </w:rPr>
              <w:t>5）投标人提供的投标机型应在中国国内有装机用户；</w:t>
            </w:r>
          </w:p>
          <w:p w14:paraId="6FFB12F3">
            <w:pPr>
              <w:kinsoku w:val="0"/>
              <w:autoSpaceDE w:val="0"/>
              <w:autoSpaceDN w:val="0"/>
              <w:spacing w:line="360" w:lineRule="auto"/>
              <w:ind w:left="57" w:right="57"/>
              <w:textAlignment w:val="bottom"/>
              <w:rPr>
                <w:rFonts w:ascii="宋体" w:hAnsi="宋体"/>
                <w:sz w:val="24"/>
              </w:rPr>
            </w:pPr>
            <w:r>
              <w:rPr>
                <w:rFonts w:hint="eastAsia" w:ascii="宋体" w:hAnsi="宋体"/>
                <w:sz w:val="24"/>
              </w:rPr>
              <w:t>6）投标人参加政府采购活动前三年内，在经营活动中没有重大违法记录；</w:t>
            </w:r>
          </w:p>
          <w:p w14:paraId="0E12DAC8">
            <w:pPr>
              <w:kinsoku w:val="0"/>
              <w:autoSpaceDE w:val="0"/>
              <w:autoSpaceDN w:val="0"/>
              <w:spacing w:line="360" w:lineRule="auto"/>
              <w:ind w:left="57" w:right="57"/>
              <w:textAlignment w:val="bottom"/>
              <w:rPr>
                <w:rFonts w:ascii="宋体" w:hAnsi="宋体"/>
                <w:sz w:val="24"/>
              </w:rPr>
            </w:pPr>
            <w:r>
              <w:rPr>
                <w:rFonts w:hint="eastAsia" w:ascii="宋体" w:hAnsi="宋体"/>
                <w:sz w:val="24"/>
              </w:rPr>
              <w:t>7）投标人自开展经营活动以来，未有过行贿犯罪记录；</w:t>
            </w:r>
          </w:p>
          <w:p w14:paraId="045FF0B8">
            <w:pPr>
              <w:kinsoku w:val="0"/>
              <w:autoSpaceDE w:val="0"/>
              <w:autoSpaceDN w:val="0"/>
              <w:spacing w:line="360" w:lineRule="auto"/>
              <w:ind w:left="57" w:right="57"/>
              <w:jc w:val="left"/>
              <w:textAlignment w:val="bottom"/>
              <w:rPr>
                <w:rFonts w:ascii="宋体" w:hAnsi="宋体"/>
                <w:sz w:val="24"/>
              </w:rPr>
            </w:pPr>
            <w:r>
              <w:rPr>
                <w:rFonts w:hint="eastAsia" w:ascii="宋体" w:hAnsi="宋体"/>
                <w:sz w:val="24"/>
              </w:rPr>
              <w:t>8）投标人未被“信用中国”网站（www.creditchina.gov.cn）列入失信被执行人、重大税收违法案件当事人名单，且未被中国政府采购网（www.ccgp.gov.cn）列入政府采购严重违法失信行为记录名单。</w:t>
            </w:r>
            <w:permEnd w:id="31"/>
          </w:p>
        </w:tc>
      </w:tr>
      <w:tr w14:paraId="48D3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5ADA474">
            <w:pPr>
              <w:spacing w:line="360" w:lineRule="auto"/>
              <w:jc w:val="center"/>
              <w:rPr>
                <w:rFonts w:ascii="宋体" w:hAnsi="宋体"/>
                <w:sz w:val="24"/>
              </w:rPr>
            </w:pPr>
            <w:r>
              <w:rPr>
                <w:rFonts w:hint="eastAsia" w:ascii="宋体" w:hAnsi="宋体"/>
                <w:sz w:val="24"/>
              </w:rPr>
              <w:t>★13.3</w:t>
            </w:r>
          </w:p>
        </w:tc>
        <w:tc>
          <w:tcPr>
            <w:tcW w:w="4353" w:type="pct"/>
            <w:vAlign w:val="center"/>
          </w:tcPr>
          <w:p w14:paraId="318AD4A0">
            <w:pPr>
              <w:kinsoku w:val="0"/>
              <w:autoSpaceDE w:val="0"/>
              <w:autoSpaceDN w:val="0"/>
              <w:spacing w:line="360" w:lineRule="auto"/>
              <w:ind w:right="57"/>
              <w:textAlignment w:val="bottom"/>
              <w:rPr>
                <w:rFonts w:ascii="宋体" w:hAnsi="宋体"/>
                <w:sz w:val="24"/>
              </w:rPr>
            </w:pPr>
            <w:r>
              <w:rPr>
                <w:rFonts w:hint="eastAsia" w:ascii="宋体" w:hAnsi="宋体"/>
                <w:sz w:val="24"/>
              </w:rPr>
              <w:t>投标人必须提交的资格证明文件应包括：</w:t>
            </w:r>
          </w:p>
          <w:p w14:paraId="360BD9D7">
            <w:pPr>
              <w:kinsoku w:val="0"/>
              <w:autoSpaceDE w:val="0"/>
              <w:autoSpaceDN w:val="0"/>
              <w:spacing w:line="360" w:lineRule="auto"/>
              <w:ind w:right="57"/>
              <w:textAlignment w:val="bottom"/>
              <w:rPr>
                <w:rFonts w:ascii="宋体" w:hAnsi="宋体"/>
                <w:sz w:val="24"/>
              </w:rPr>
            </w:pPr>
            <w:permStart w:id="32" w:edGrp="everyone"/>
            <w:r>
              <w:rPr>
                <w:rFonts w:hint="eastAsia" w:ascii="宋体" w:hAnsi="宋体"/>
                <w:sz w:val="24"/>
              </w:rPr>
              <w:t>1）投标人在注册地的相关注册法律文件。若投标人在中华人民共和国境内注册的，则必须提供开标之日在有效期内的营业执照</w:t>
            </w:r>
            <w:r>
              <w:rPr>
                <w:rFonts w:hint="eastAsia" w:ascii="宋体" w:hAnsi="宋体" w:cs="宋体"/>
                <w:kern w:val="0"/>
                <w:sz w:val="24"/>
                <w:szCs w:val="24"/>
              </w:rPr>
              <w:t>（或事业单位、社会团体相关证书）</w:t>
            </w:r>
            <w:r>
              <w:rPr>
                <w:rFonts w:hint="eastAsia" w:ascii="宋体" w:hAnsi="宋体"/>
                <w:sz w:val="24"/>
              </w:rPr>
              <w:t>的复印件；</w:t>
            </w:r>
          </w:p>
          <w:p w14:paraId="7FB0CD2A">
            <w:pPr>
              <w:kinsoku w:val="0"/>
              <w:autoSpaceDE w:val="0"/>
              <w:autoSpaceDN w:val="0"/>
              <w:spacing w:line="360" w:lineRule="auto"/>
              <w:ind w:right="57"/>
              <w:textAlignment w:val="bottom"/>
              <w:rPr>
                <w:rFonts w:ascii="宋体" w:hAnsi="宋体"/>
                <w:sz w:val="24"/>
              </w:rPr>
            </w:pPr>
            <w:r>
              <w:rPr>
                <w:rFonts w:hint="eastAsia" w:ascii="宋体" w:hAnsi="宋体"/>
                <w:sz w:val="24"/>
              </w:rPr>
              <w:t>2）投标人为投标货物制造商，应按照国家有关规定提供《中华人民共和国医疗器械生产企业许可证》或《第一类医疗器械生产备案凭证》；投标人为经营销售企业，应按照国家有关规定提供《中华人民共和国医疗器械经营企业许可证》或《第二类医疗器械经营备案凭证》。投标人的生产或经营范围应当与国家相关许可保持一致。（中华人民共和国境内注册的投标人适用）</w:t>
            </w:r>
          </w:p>
          <w:p w14:paraId="3CBBD013">
            <w:pPr>
              <w:spacing w:line="360" w:lineRule="auto"/>
              <w:jc w:val="left"/>
              <w:rPr>
                <w:rFonts w:ascii="宋体" w:hAnsi="宋体"/>
                <w:sz w:val="24"/>
              </w:rPr>
            </w:pPr>
            <w:r>
              <w:rPr>
                <w:rFonts w:hint="eastAsia" w:ascii="宋体" w:hAnsi="宋体"/>
                <w:sz w:val="24"/>
              </w:rPr>
              <w:t>3）投标人应提供投标货物开标之日在有效期内的《中华人民共和国医疗器械注册证》或《第一类医疗器械备案凭证》。投标货物的规格型号应当与《中华人民共和国医疗器械注册证》或者《第一类医疗器械备案凭证》中的规格型号保持一致。</w:t>
            </w:r>
          </w:p>
          <w:p w14:paraId="0C2A40A6">
            <w:pPr>
              <w:kinsoku w:val="0"/>
              <w:autoSpaceDE w:val="0"/>
              <w:autoSpaceDN w:val="0"/>
              <w:spacing w:line="360" w:lineRule="auto"/>
              <w:ind w:right="57"/>
              <w:textAlignment w:val="bottom"/>
              <w:rPr>
                <w:rFonts w:ascii="宋体" w:hAnsi="宋体"/>
                <w:sz w:val="24"/>
              </w:rPr>
            </w:pPr>
            <w:r>
              <w:rPr>
                <w:rFonts w:hint="eastAsia" w:ascii="宋体" w:hAnsi="宋体"/>
                <w:sz w:val="24"/>
              </w:rPr>
              <w:t>4）</w:t>
            </w:r>
            <w:r>
              <w:rPr>
                <w:rFonts w:ascii="宋体" w:hAnsi="宋体"/>
                <w:sz w:val="24"/>
              </w:rPr>
              <w:t xml:space="preserve">若投标人是本次所需主系统设备的代理商的，应获得制造商或经制造商授权的代理商出具的唯一授权书； </w:t>
            </w:r>
          </w:p>
          <w:p w14:paraId="4BFEC851">
            <w:pPr>
              <w:kinsoku w:val="0"/>
              <w:autoSpaceDE w:val="0"/>
              <w:autoSpaceDN w:val="0"/>
              <w:spacing w:line="360" w:lineRule="auto"/>
              <w:ind w:right="57"/>
              <w:textAlignment w:val="bottom"/>
              <w:rPr>
                <w:rFonts w:ascii="宋体" w:hAnsi="宋体"/>
                <w:sz w:val="24"/>
              </w:rPr>
            </w:pPr>
            <w:r>
              <w:rPr>
                <w:rFonts w:ascii="宋体" w:hAnsi="宋体"/>
                <w:sz w:val="24"/>
              </w:rPr>
              <w:t>5</w:t>
            </w:r>
            <w:r>
              <w:rPr>
                <w:rFonts w:hint="eastAsia" w:ascii="宋体" w:hAnsi="宋体"/>
                <w:sz w:val="24"/>
              </w:rPr>
              <w:t>）投标机型在中国国内的销售业绩，并提供装机用户名单；</w:t>
            </w:r>
          </w:p>
          <w:p w14:paraId="0857A51E">
            <w:pPr>
              <w:kinsoku w:val="0"/>
              <w:autoSpaceDE w:val="0"/>
              <w:autoSpaceDN w:val="0"/>
              <w:spacing w:line="360" w:lineRule="auto"/>
              <w:ind w:right="57"/>
              <w:textAlignment w:val="bottom"/>
              <w:rPr>
                <w:rFonts w:ascii="宋体" w:hAnsi="宋体"/>
                <w:sz w:val="24"/>
              </w:rPr>
            </w:pPr>
            <w:r>
              <w:rPr>
                <w:rFonts w:ascii="宋体" w:hAnsi="宋体"/>
                <w:sz w:val="24"/>
              </w:rPr>
              <w:t>6</w:t>
            </w:r>
            <w:r>
              <w:rPr>
                <w:rFonts w:hint="eastAsia" w:ascii="宋体" w:hAnsi="宋体"/>
                <w:sz w:val="24"/>
              </w:rPr>
              <w:t>）无重大违法记录承诺书；</w:t>
            </w:r>
            <w:r>
              <w:rPr>
                <w:rFonts w:hint="eastAsia" w:ascii="宋体" w:hAnsi="宋体"/>
                <w:sz w:val="24"/>
                <w:szCs w:val="24"/>
              </w:rPr>
              <w:t>（格式见附件1）</w:t>
            </w:r>
          </w:p>
          <w:p w14:paraId="256633A3">
            <w:pPr>
              <w:kinsoku w:val="0"/>
              <w:autoSpaceDE w:val="0"/>
              <w:autoSpaceDN w:val="0"/>
              <w:spacing w:line="360" w:lineRule="auto"/>
              <w:ind w:right="57"/>
              <w:textAlignment w:val="bottom"/>
              <w:rPr>
                <w:rFonts w:ascii="宋体" w:hAnsi="宋体"/>
                <w:sz w:val="24"/>
              </w:rPr>
            </w:pPr>
            <w:r>
              <w:rPr>
                <w:rFonts w:ascii="宋体" w:hAnsi="宋体"/>
                <w:sz w:val="24"/>
              </w:rPr>
              <w:t>7</w:t>
            </w:r>
            <w:r>
              <w:rPr>
                <w:rFonts w:hint="eastAsia" w:ascii="宋体" w:hAnsi="宋体"/>
                <w:sz w:val="24"/>
              </w:rPr>
              <w:t>）</w:t>
            </w:r>
            <w:r>
              <w:rPr>
                <w:rFonts w:hint="eastAsia" w:ascii="宋体" w:hAnsi="宋体"/>
                <w:sz w:val="24"/>
                <w:szCs w:val="24"/>
              </w:rPr>
              <w:t>无行贿犯罪记录声明函；（格式见附件2）</w:t>
            </w:r>
          </w:p>
          <w:p w14:paraId="5CD7AF7B">
            <w:pPr>
              <w:spacing w:line="360" w:lineRule="auto"/>
              <w:rPr>
                <w:rFonts w:ascii="宋体" w:hAnsi="宋体"/>
                <w:szCs w:val="21"/>
              </w:rPr>
            </w:pPr>
            <w:r>
              <w:rPr>
                <w:rFonts w:ascii="宋体" w:hAnsi="宋体"/>
                <w:sz w:val="24"/>
              </w:rPr>
              <w:t>8</w:t>
            </w:r>
            <w:r>
              <w:rPr>
                <w:rFonts w:hint="eastAsia" w:ascii="宋体" w:hAnsi="宋体"/>
                <w:sz w:val="24"/>
              </w:rPr>
              <w:t>）投标人开户银行在开标日前三个月内开具的资信证明原件或该原件的复印件</w:t>
            </w:r>
            <w:r>
              <w:rPr>
                <w:rFonts w:ascii="宋体" w:hAnsi="宋体"/>
                <w:sz w:val="24"/>
              </w:rPr>
              <w:t>。</w:t>
            </w:r>
          </w:p>
          <w:p w14:paraId="5973F586">
            <w:pPr>
              <w:kinsoku w:val="0"/>
              <w:autoSpaceDE w:val="0"/>
              <w:autoSpaceDN w:val="0"/>
              <w:spacing w:line="360" w:lineRule="auto"/>
              <w:ind w:right="57"/>
              <w:textAlignment w:val="bottom"/>
              <w:rPr>
                <w:rFonts w:ascii="宋体" w:hAnsi="宋体"/>
                <w:sz w:val="24"/>
              </w:rPr>
            </w:pPr>
            <w:r>
              <w:rPr>
                <w:rFonts w:ascii="宋体" w:hAnsi="宋体"/>
                <w:sz w:val="24"/>
              </w:rPr>
              <w:t>9</w:t>
            </w:r>
            <w:r>
              <w:rPr>
                <w:rFonts w:hint="eastAsia" w:ascii="宋体" w:hAnsi="宋体"/>
                <w:sz w:val="24"/>
              </w:rPr>
              <w:t>）证明投标人已具备履行合同所需的财务、技术和生产能力的文件；（见</w:t>
            </w:r>
            <w:r>
              <w:rPr>
                <w:rFonts w:hint="eastAsia" w:ascii="宋体" w:hAnsi="宋体"/>
                <w:sz w:val="24"/>
                <w:szCs w:val="24"/>
              </w:rPr>
              <w:t>招标文件第一册</w:t>
            </w:r>
            <w:r>
              <w:rPr>
                <w:rFonts w:ascii="宋体" w:hAnsi="宋体"/>
                <w:sz w:val="24"/>
              </w:rPr>
              <w:t>格</w:t>
            </w:r>
            <w:r>
              <w:rPr>
                <w:rFonts w:hint="eastAsia" w:ascii="宋体" w:hAnsi="宋体"/>
                <w:sz w:val="24"/>
              </w:rPr>
              <w:t>式IV-9）</w:t>
            </w:r>
          </w:p>
          <w:p w14:paraId="509EE87A">
            <w:pPr>
              <w:kinsoku w:val="0"/>
              <w:autoSpaceDE w:val="0"/>
              <w:autoSpaceDN w:val="0"/>
              <w:spacing w:line="360" w:lineRule="auto"/>
              <w:ind w:right="57"/>
              <w:textAlignment w:val="bottom"/>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w:t>
            </w:r>
            <w:r>
              <w:rPr>
                <w:rFonts w:ascii="宋体" w:hAnsi="宋体"/>
                <w:sz w:val="24"/>
              </w:rPr>
              <w:t>投标人认为需加以说明的其他内容。</w:t>
            </w:r>
            <w:permEnd w:id="32"/>
          </w:p>
          <w:p w14:paraId="7B495F24">
            <w:pPr>
              <w:kinsoku w:val="0"/>
              <w:autoSpaceDE w:val="0"/>
              <w:autoSpaceDN w:val="0"/>
              <w:spacing w:line="360" w:lineRule="auto"/>
              <w:ind w:left="57" w:right="57"/>
              <w:textAlignment w:val="bottom"/>
              <w:rPr>
                <w:rFonts w:ascii="宋体" w:hAnsi="宋体"/>
                <w:sz w:val="24"/>
              </w:rPr>
            </w:pPr>
            <w:r>
              <w:rPr>
                <w:rFonts w:hint="eastAsia" w:ascii="宋体" w:hAnsi="宋体"/>
                <w:sz w:val="24"/>
              </w:rPr>
              <w:t>投标人提交的资格证明文件需加盖投标人的公章，否则其投标将被否决对于上述要求中未涵盖，但属投标设备必须符合的强制性认证标准、国家关于安全、卫生、环保、质量、能耗等有关规定的，必须提供相关资格证明文件，否则其投标将被否决。</w:t>
            </w:r>
          </w:p>
        </w:tc>
      </w:tr>
      <w:tr w14:paraId="69A2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05015E37">
            <w:pPr>
              <w:spacing w:line="360" w:lineRule="auto"/>
              <w:jc w:val="center"/>
              <w:rPr>
                <w:rFonts w:ascii="宋体" w:hAnsi="宋体"/>
                <w:sz w:val="24"/>
              </w:rPr>
            </w:pPr>
            <w:r>
              <w:rPr>
                <w:rFonts w:hint="eastAsia" w:ascii="宋体" w:hAnsi="宋体"/>
                <w:sz w:val="24"/>
              </w:rPr>
              <w:t>14.3</w:t>
            </w:r>
          </w:p>
        </w:tc>
        <w:tc>
          <w:tcPr>
            <w:tcW w:w="4353" w:type="pct"/>
            <w:vAlign w:val="center"/>
          </w:tcPr>
          <w:p w14:paraId="20882878">
            <w:pPr>
              <w:spacing w:line="360" w:lineRule="auto"/>
              <w:rPr>
                <w:rFonts w:ascii="宋体" w:hAnsi="宋体"/>
                <w:sz w:val="24"/>
              </w:rPr>
            </w:pPr>
            <w:r>
              <w:rPr>
                <w:rFonts w:hint="eastAsia" w:ascii="宋体" w:hAnsi="宋体"/>
                <w:sz w:val="24"/>
              </w:rPr>
              <w:t>证明货物和服务与招标文件的要求相一致的文件，可以是文字资料、图纸和数据，包括但不限于：</w:t>
            </w:r>
          </w:p>
          <w:p w14:paraId="228537D2">
            <w:pPr>
              <w:spacing w:line="360" w:lineRule="auto"/>
              <w:rPr>
                <w:rFonts w:ascii="宋体" w:hAnsi="宋体"/>
                <w:sz w:val="24"/>
              </w:rPr>
            </w:pPr>
            <w:r>
              <w:rPr>
                <w:rFonts w:hint="eastAsia" w:ascii="宋体" w:hAnsi="宋体"/>
                <w:sz w:val="24"/>
              </w:rPr>
              <w:t>1）货物主要技术指标和性能的详细说明；</w:t>
            </w:r>
          </w:p>
          <w:p w14:paraId="6BBB3DEA">
            <w:pPr>
              <w:spacing w:line="360" w:lineRule="auto"/>
              <w:rPr>
                <w:rFonts w:ascii="宋体" w:hAnsi="宋体"/>
                <w:sz w:val="24"/>
              </w:rPr>
            </w:pPr>
            <w:r>
              <w:rPr>
                <w:rFonts w:hint="eastAsia" w:ascii="宋体" w:hAnsi="宋体"/>
                <w:sz w:val="24"/>
              </w:rPr>
              <w:t>2）投标人必须提供投标货物验收合格后开始使用至</w:t>
            </w:r>
            <w:permStart w:id="33" w:edGrp="everyone"/>
            <w:r>
              <w:rPr>
                <w:rFonts w:hint="eastAsia" w:ascii="宋体" w:hAnsi="宋体"/>
                <w:sz w:val="24"/>
              </w:rPr>
              <w:t>第10年</w:t>
            </w:r>
            <w:permEnd w:id="33"/>
            <w:r>
              <w:rPr>
                <w:rFonts w:hint="eastAsia" w:ascii="宋体" w:hAnsi="宋体"/>
                <w:sz w:val="24"/>
              </w:rPr>
              <w:t>的周期内正常、连续地使用所必须的备件和专用工具清单，包括备件和专用工具的货源及现行价格；</w:t>
            </w:r>
          </w:p>
          <w:p w14:paraId="094336EB">
            <w:pPr>
              <w:spacing w:line="360" w:lineRule="auto"/>
              <w:rPr>
                <w:rFonts w:ascii="宋体" w:hAnsi="宋体"/>
                <w:sz w:val="24"/>
              </w:rPr>
            </w:pPr>
            <w:r>
              <w:rPr>
                <w:rFonts w:hint="eastAsia" w:ascii="宋体" w:hAnsi="宋体"/>
                <w:sz w:val="24"/>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14:paraId="729E810D">
            <w:pPr>
              <w:pStyle w:val="14"/>
              <w:spacing w:line="360" w:lineRule="auto"/>
              <w:rPr>
                <w:rFonts w:ascii="宋体" w:hAnsi="宋体"/>
                <w:kern w:val="2"/>
              </w:rPr>
            </w:pPr>
            <w:r>
              <w:rPr>
                <w:rFonts w:hint="eastAsia" w:ascii="宋体" w:hAnsi="宋体"/>
                <w:kern w:val="2"/>
              </w:rPr>
              <w:t>4）投标人必须对加注“★”号的</w:t>
            </w:r>
            <w:r>
              <w:rPr>
                <w:rFonts w:hint="eastAsia" w:ascii="宋体" w:hAnsi="宋体"/>
              </w:rPr>
              <w:t>重要技术条款或</w:t>
            </w:r>
            <w:r>
              <w:rPr>
                <w:rFonts w:hint="eastAsia" w:ascii="宋体" w:hAnsi="宋体"/>
                <w:kern w:val="2"/>
              </w:rPr>
              <w:t>技术参数提供技术支持资料（例如DATA SHEET、样本、产品说明书等制造商公开发布的印刷资料或第三方检测机构出具的检测报告或权威认证机构出具的认证证书等具有法律效力的文件），未提供的，评标时不予认可。</w:t>
            </w:r>
          </w:p>
          <w:p w14:paraId="45C9CBF4">
            <w:pPr>
              <w:pStyle w:val="14"/>
              <w:spacing w:line="360" w:lineRule="auto"/>
              <w:rPr>
                <w:rFonts w:ascii="宋体" w:hAnsi="宋体"/>
              </w:rPr>
            </w:pPr>
            <w:r>
              <w:rPr>
                <w:rFonts w:hint="eastAsia" w:ascii="宋体" w:hAnsi="宋体"/>
                <w:kern w:val="2"/>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3E0F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0E0F9A7F">
            <w:pPr>
              <w:spacing w:line="360" w:lineRule="auto"/>
              <w:jc w:val="center"/>
              <w:rPr>
                <w:rFonts w:ascii="宋体" w:hAnsi="宋体"/>
                <w:sz w:val="24"/>
              </w:rPr>
            </w:pPr>
            <w:r>
              <w:rPr>
                <w:rFonts w:hint="eastAsia" w:ascii="宋体" w:hAnsi="宋体"/>
                <w:sz w:val="24"/>
              </w:rPr>
              <w:t>★15.1</w:t>
            </w:r>
          </w:p>
        </w:tc>
        <w:tc>
          <w:tcPr>
            <w:tcW w:w="4353" w:type="pct"/>
            <w:vAlign w:val="center"/>
          </w:tcPr>
          <w:p w14:paraId="07A6AC44">
            <w:pPr>
              <w:spacing w:line="360" w:lineRule="auto"/>
              <w:rPr>
                <w:rFonts w:ascii="宋体" w:hAnsi="宋体"/>
                <w:sz w:val="24"/>
              </w:rPr>
            </w:pPr>
            <w:r>
              <w:rPr>
                <w:rFonts w:hint="eastAsia" w:ascii="宋体" w:hAnsi="宋体"/>
                <w:sz w:val="24"/>
              </w:rPr>
              <w:t>投标保证金金额：</w:t>
            </w:r>
            <w:permStart w:id="34" w:edGrp="everyone"/>
            <w:r>
              <w:rPr>
                <w:rFonts w:hint="eastAsia" w:ascii="宋体" w:hAnsi="宋体"/>
                <w:sz w:val="24"/>
              </w:rPr>
              <w:t>项目预算的2%</w:t>
            </w:r>
            <w:permEnd w:id="34"/>
            <w:r>
              <w:rPr>
                <w:rFonts w:hint="eastAsia" w:ascii="宋体" w:hAnsi="宋体"/>
                <w:sz w:val="24"/>
              </w:rPr>
              <w:t>。</w:t>
            </w:r>
          </w:p>
          <w:p w14:paraId="202B740A">
            <w:pPr>
              <w:spacing w:line="360" w:lineRule="auto"/>
              <w:rPr>
                <w:rFonts w:ascii="宋体" w:hAnsi="宋体"/>
                <w:sz w:val="24"/>
              </w:rPr>
            </w:pPr>
            <w:r>
              <w:rPr>
                <w:rFonts w:hint="eastAsia" w:ascii="宋体" w:hAnsi="宋体"/>
                <w:sz w:val="24"/>
              </w:rPr>
              <w:t>投标保证金有效期应当与投标有效期一致。</w:t>
            </w:r>
          </w:p>
        </w:tc>
      </w:tr>
      <w:tr w14:paraId="0344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6D1AA404">
            <w:pPr>
              <w:spacing w:line="360" w:lineRule="auto"/>
              <w:jc w:val="center"/>
              <w:rPr>
                <w:rFonts w:ascii="宋体" w:hAnsi="宋体"/>
                <w:sz w:val="24"/>
              </w:rPr>
            </w:pPr>
            <w:r>
              <w:rPr>
                <w:rFonts w:hint="eastAsia" w:ascii="宋体" w:hAnsi="宋体"/>
                <w:sz w:val="24"/>
              </w:rPr>
              <w:t>★15.3</w:t>
            </w:r>
          </w:p>
        </w:tc>
        <w:tc>
          <w:tcPr>
            <w:tcW w:w="4353" w:type="pct"/>
            <w:vAlign w:val="center"/>
          </w:tcPr>
          <w:p w14:paraId="3213123C">
            <w:pPr>
              <w:spacing w:line="360" w:lineRule="auto"/>
              <w:rPr>
                <w:rFonts w:ascii="宋体" w:hAnsi="宋体"/>
                <w:sz w:val="24"/>
              </w:rPr>
            </w:pPr>
            <w:r>
              <w:rPr>
                <w:rFonts w:hint="eastAsia" w:ascii="宋体" w:hAnsi="宋体"/>
                <w:sz w:val="24"/>
              </w:rPr>
              <w:t>投标保证金形式：</w:t>
            </w:r>
          </w:p>
          <w:p w14:paraId="20AF471D">
            <w:pPr>
              <w:spacing w:line="360" w:lineRule="auto"/>
              <w:rPr>
                <w:rFonts w:ascii="宋体" w:hAnsi="宋体"/>
                <w:sz w:val="24"/>
              </w:rPr>
            </w:pPr>
            <w:r>
              <w:rPr>
                <w:rFonts w:hint="eastAsia" w:ascii="宋体" w:hAnsi="宋体"/>
                <w:sz w:val="24"/>
              </w:rPr>
              <w:t>1）由一家在中华人民共和国境内或境外信誉好的银行用招标文件提供的格式或招标机构接受的其它格式出具的银行保函或不可撤销的信用证；</w:t>
            </w:r>
          </w:p>
          <w:p w14:paraId="7F47E9AA">
            <w:pPr>
              <w:spacing w:line="360" w:lineRule="auto"/>
              <w:rPr>
                <w:rFonts w:ascii="宋体" w:hAnsi="宋体"/>
                <w:sz w:val="24"/>
              </w:rPr>
            </w:pPr>
            <w:r>
              <w:rPr>
                <w:rFonts w:hint="eastAsia" w:ascii="宋体" w:hAnsi="宋体"/>
                <w:sz w:val="24"/>
              </w:rPr>
              <w:t>2）投标保证金可以以下列方式提交：支票、银行即期汇票、银行本票、电汇、转账、贷记凭证，</w:t>
            </w:r>
            <w:r>
              <w:rPr>
                <w:rFonts w:hint="eastAsia" w:ascii="宋体" w:hAnsi="宋体"/>
                <w:b/>
                <w:sz w:val="24"/>
              </w:rPr>
              <w:t>不接受现金。（建议转账）</w:t>
            </w:r>
          </w:p>
          <w:p w14:paraId="04DC1F90">
            <w:pPr>
              <w:spacing w:line="360" w:lineRule="auto"/>
              <w:rPr>
                <w:rFonts w:ascii="宋体" w:hAnsi="宋体"/>
                <w:sz w:val="24"/>
              </w:rPr>
            </w:pPr>
            <w:r>
              <w:rPr>
                <w:rFonts w:hint="eastAsia" w:ascii="宋体" w:hAnsi="宋体"/>
                <w:sz w:val="24"/>
              </w:rPr>
              <w:t>3）投标人通过银行转账方式支付本项目保证金：需在银行转账水单中明确项目编号及对应包件号（如有）。投标人不得将多个招标项目合并进行投标保证金转账，需按照每个招标项目分别转账。</w:t>
            </w:r>
          </w:p>
          <w:p w14:paraId="0BB39415">
            <w:pPr>
              <w:spacing w:line="360" w:lineRule="auto"/>
              <w:rPr>
                <w:rFonts w:ascii="宋体" w:hAnsi="宋体"/>
                <w:sz w:val="24"/>
              </w:rPr>
            </w:pPr>
            <w:r>
              <w:rPr>
                <w:rFonts w:hint="eastAsia" w:ascii="宋体" w:hAnsi="宋体"/>
                <w:sz w:val="24"/>
              </w:rPr>
              <w:t>4）</w:t>
            </w:r>
            <w:r>
              <w:rPr>
                <w:rFonts w:ascii="宋体" w:hAnsi="宋体"/>
                <w:sz w:val="24"/>
              </w:rPr>
              <w:t>投标人通过支票、银行即期汇票、银行本票、电汇、转账、贷记凭证支付投标保证金的，须在</w:t>
            </w:r>
            <w:r>
              <w:rPr>
                <w:rFonts w:hint="eastAsia" w:ascii="宋体" w:hAnsi="宋体"/>
                <w:sz w:val="24"/>
              </w:rPr>
              <w:t>投标</w:t>
            </w:r>
            <w:r>
              <w:rPr>
                <w:rFonts w:ascii="宋体" w:hAnsi="宋体"/>
                <w:sz w:val="24"/>
              </w:rPr>
              <w:t>截止时间之前到账。</w:t>
            </w:r>
          </w:p>
        </w:tc>
      </w:tr>
      <w:tr w14:paraId="4EE8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646" w:type="pct"/>
            <w:vAlign w:val="center"/>
          </w:tcPr>
          <w:p w14:paraId="7C14F1EA">
            <w:pPr>
              <w:spacing w:line="360" w:lineRule="auto"/>
              <w:jc w:val="center"/>
              <w:rPr>
                <w:rFonts w:ascii="宋体" w:hAnsi="宋体"/>
                <w:sz w:val="24"/>
              </w:rPr>
            </w:pPr>
            <w:r>
              <w:rPr>
                <w:rFonts w:hint="eastAsia" w:ascii="宋体" w:hAnsi="宋体"/>
                <w:sz w:val="24"/>
              </w:rPr>
              <w:t>15.7</w:t>
            </w:r>
          </w:p>
        </w:tc>
        <w:tc>
          <w:tcPr>
            <w:tcW w:w="4353" w:type="pct"/>
            <w:vAlign w:val="center"/>
          </w:tcPr>
          <w:p w14:paraId="4A919AB1">
            <w:pPr>
              <w:spacing w:line="360" w:lineRule="auto"/>
              <w:rPr>
                <w:rFonts w:ascii="宋体" w:hAnsi="宋体"/>
                <w:sz w:val="24"/>
              </w:rPr>
            </w:pPr>
            <w:r>
              <w:rPr>
                <w:rFonts w:hint="eastAsia" w:ascii="宋体" w:hAnsi="宋体"/>
                <w:sz w:val="24"/>
              </w:rPr>
              <w:t>中标人的投标保证金，在中标人按《第一章 投标人须知》第34条规定签订合同，按《第一章 投标人须知》第35条规定交纳了履约保证金，并按《第六章 投标资料表》第36条规定交纳了招标服务费后予以退还。</w:t>
            </w:r>
          </w:p>
        </w:tc>
      </w:tr>
      <w:tr w14:paraId="49E7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0C98A94">
            <w:pPr>
              <w:spacing w:line="360" w:lineRule="auto"/>
              <w:jc w:val="center"/>
              <w:rPr>
                <w:rFonts w:ascii="宋体" w:hAnsi="宋体"/>
                <w:sz w:val="24"/>
              </w:rPr>
            </w:pPr>
            <w:r>
              <w:rPr>
                <w:rFonts w:hint="eastAsia" w:ascii="宋体" w:hAnsi="宋体"/>
                <w:sz w:val="24"/>
              </w:rPr>
              <w:t>★16.1</w:t>
            </w:r>
          </w:p>
        </w:tc>
        <w:tc>
          <w:tcPr>
            <w:tcW w:w="4353" w:type="pct"/>
            <w:vAlign w:val="center"/>
          </w:tcPr>
          <w:p w14:paraId="0ED62F74">
            <w:pPr>
              <w:spacing w:line="360" w:lineRule="auto"/>
              <w:rPr>
                <w:rFonts w:ascii="宋体" w:hAnsi="宋体"/>
                <w:sz w:val="24"/>
              </w:rPr>
            </w:pPr>
            <w:r>
              <w:rPr>
                <w:rFonts w:hint="eastAsia" w:ascii="宋体" w:hAnsi="宋体"/>
                <w:sz w:val="24"/>
              </w:rPr>
              <w:t>投标有效期：不少于90天</w:t>
            </w:r>
          </w:p>
        </w:tc>
      </w:tr>
      <w:tr w14:paraId="2959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3CBEA0B">
            <w:pPr>
              <w:spacing w:line="360" w:lineRule="auto"/>
              <w:jc w:val="center"/>
              <w:rPr>
                <w:rFonts w:ascii="宋体" w:hAnsi="宋体"/>
                <w:sz w:val="24"/>
              </w:rPr>
            </w:pPr>
            <w:r>
              <w:rPr>
                <w:rFonts w:hint="eastAsia" w:ascii="宋体" w:hAnsi="宋体"/>
                <w:sz w:val="24"/>
              </w:rPr>
              <w:t>17.1</w:t>
            </w:r>
          </w:p>
        </w:tc>
        <w:tc>
          <w:tcPr>
            <w:tcW w:w="4353" w:type="pct"/>
            <w:vAlign w:val="center"/>
          </w:tcPr>
          <w:p w14:paraId="00DE9373">
            <w:pPr>
              <w:spacing w:line="360" w:lineRule="auto"/>
              <w:rPr>
                <w:rFonts w:ascii="宋体" w:hAnsi="宋体"/>
                <w:sz w:val="24"/>
              </w:rPr>
            </w:pPr>
            <w:r>
              <w:rPr>
                <w:rFonts w:hint="eastAsia" w:ascii="宋体" w:hAnsi="宋体"/>
                <w:sz w:val="24"/>
              </w:rPr>
              <w:t>正本的份数：1份</w:t>
            </w:r>
          </w:p>
          <w:p w14:paraId="75CB4205">
            <w:pPr>
              <w:spacing w:line="360" w:lineRule="auto"/>
              <w:rPr>
                <w:rFonts w:ascii="宋体" w:hAnsi="宋体"/>
                <w:sz w:val="24"/>
              </w:rPr>
            </w:pPr>
            <w:r>
              <w:rPr>
                <w:rFonts w:hint="eastAsia" w:ascii="宋体" w:hAnsi="宋体"/>
                <w:sz w:val="24"/>
              </w:rPr>
              <w:t>副本的份数：</w:t>
            </w:r>
            <w:permStart w:id="35" w:edGrp="everyone"/>
            <w:r>
              <w:rPr>
                <w:rFonts w:hint="eastAsia" w:ascii="宋体" w:hAnsi="宋体"/>
                <w:sz w:val="24"/>
              </w:rPr>
              <w:t>5</w:t>
            </w:r>
            <w:permEnd w:id="35"/>
            <w:r>
              <w:rPr>
                <w:rFonts w:hint="eastAsia" w:ascii="宋体" w:hAnsi="宋体"/>
                <w:sz w:val="24"/>
              </w:rPr>
              <w:t>份</w:t>
            </w:r>
          </w:p>
          <w:p w14:paraId="11B0B035">
            <w:pPr>
              <w:spacing w:line="360" w:lineRule="auto"/>
              <w:jc w:val="left"/>
              <w:rPr>
                <w:rFonts w:ascii="宋体" w:hAnsi="宋体"/>
                <w:sz w:val="24"/>
              </w:rPr>
            </w:pPr>
            <w:r>
              <w:rPr>
                <w:rFonts w:hint="eastAsia" w:ascii="宋体" w:hAnsi="宋体"/>
                <w:sz w:val="24"/>
              </w:rPr>
              <w:t>电子版的份数：1份（包含：1.全套投标文件正本</w:t>
            </w:r>
            <w:r>
              <w:rPr>
                <w:rFonts w:hint="eastAsia" w:ascii="宋体" w:hAnsi="宋体"/>
                <w:b/>
                <w:sz w:val="24"/>
              </w:rPr>
              <w:t>（加盖公章）</w:t>
            </w:r>
            <w:r>
              <w:rPr>
                <w:rFonts w:hint="eastAsia" w:ascii="宋体" w:hAnsi="宋体"/>
                <w:sz w:val="24"/>
              </w:rPr>
              <w:t>：PDF格式；2. 全套投标文件电子版：可编辑的W</w:t>
            </w:r>
            <w:r>
              <w:rPr>
                <w:rFonts w:ascii="宋体" w:hAnsi="宋体"/>
                <w:sz w:val="24"/>
              </w:rPr>
              <w:t>ORD</w:t>
            </w:r>
            <w:r>
              <w:rPr>
                <w:rFonts w:hint="eastAsia" w:ascii="宋体" w:hAnsi="宋体"/>
                <w:sz w:val="24"/>
              </w:rPr>
              <w:t>格式；3.技术偏离表：excel版本）</w:t>
            </w:r>
          </w:p>
          <w:p w14:paraId="42649FF8">
            <w:pPr>
              <w:spacing w:line="360" w:lineRule="auto"/>
              <w:jc w:val="left"/>
              <w:rPr>
                <w:rFonts w:ascii="宋体" w:hAnsi="宋体"/>
                <w:sz w:val="24"/>
              </w:rPr>
            </w:pPr>
            <w:r>
              <w:rPr>
                <w:rFonts w:hint="eastAsia" w:ascii="宋体" w:hAnsi="宋体"/>
                <w:sz w:val="24"/>
              </w:rPr>
              <w:t>电子版文件格式如下：</w:t>
            </w:r>
            <w:r>
              <w:rPr>
                <w:rStyle w:val="47"/>
                <w:kern w:val="0"/>
              </w:rPr>
              <w:t xml:space="preserve"> </w:t>
            </w:r>
            <w:r>
              <w:rPr>
                <w:rStyle w:val="47"/>
                <w:kern w:val="0"/>
              </w:rPr>
              <w:drawing>
                <wp:inline distT="0" distB="0" distL="114300" distR="114300">
                  <wp:extent cx="4328795" cy="798195"/>
                  <wp:effectExtent l="0" t="0" r="14605" b="1905"/>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16"/>
                          <a:stretch>
                            <a:fillRect/>
                          </a:stretch>
                        </pic:blipFill>
                        <pic:spPr>
                          <a:xfrm>
                            <a:off x="0" y="0"/>
                            <a:ext cx="4328795" cy="798195"/>
                          </a:xfrm>
                          <a:prstGeom prst="rect">
                            <a:avLst/>
                          </a:prstGeom>
                          <a:noFill/>
                          <a:ln>
                            <a:noFill/>
                          </a:ln>
                        </pic:spPr>
                      </pic:pic>
                    </a:graphicData>
                  </a:graphic>
                </wp:inline>
              </w:drawing>
            </w:r>
          </w:p>
        </w:tc>
      </w:tr>
      <w:tr w14:paraId="2B67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74626E4B">
            <w:pPr>
              <w:spacing w:line="360" w:lineRule="auto"/>
              <w:jc w:val="center"/>
              <w:rPr>
                <w:rFonts w:ascii="宋体" w:hAnsi="宋体"/>
                <w:sz w:val="24"/>
              </w:rPr>
            </w:pPr>
            <w:r>
              <w:rPr>
                <w:rFonts w:hint="eastAsia" w:ascii="宋体" w:hAnsi="宋体"/>
                <w:sz w:val="24"/>
              </w:rPr>
              <w:t>★17</w:t>
            </w:r>
            <w:r>
              <w:rPr>
                <w:rFonts w:ascii="宋体" w:hAnsi="宋体"/>
                <w:sz w:val="24"/>
              </w:rPr>
              <w:t>.2</w:t>
            </w:r>
          </w:p>
        </w:tc>
        <w:tc>
          <w:tcPr>
            <w:tcW w:w="4353" w:type="pct"/>
            <w:vAlign w:val="center"/>
          </w:tcPr>
          <w:p w14:paraId="7F2E39AA">
            <w:pPr>
              <w:spacing w:line="360" w:lineRule="auto"/>
              <w:rPr>
                <w:rFonts w:ascii="宋体" w:hAnsi="宋体"/>
                <w:sz w:val="24"/>
              </w:rPr>
            </w:pPr>
            <w:r>
              <w:rPr>
                <w:rFonts w:hint="eastAsia" w:ascii="宋体" w:hAnsi="宋体"/>
                <w:sz w:val="24"/>
              </w:rPr>
              <w:t>投标文件的正本需打印或用不褪色墨水书写，并由单位负责人或经其正式授权的代表签字。授权代表须将以书面形式出具的《单位负责人授权书》附在投标文件中（见招标文件第一册格式IV-</w:t>
            </w:r>
            <w:r>
              <w:rPr>
                <w:rFonts w:ascii="宋体" w:hAnsi="宋体"/>
                <w:sz w:val="24"/>
              </w:rPr>
              <w:t>8</w:t>
            </w:r>
            <w:r>
              <w:rPr>
                <w:rFonts w:hint="eastAsia" w:ascii="宋体" w:hAnsi="宋体"/>
                <w:sz w:val="24"/>
              </w:rPr>
              <w:t>）。投标文件的每一页都应由单位负责人或其授权代表用姓或首字母签字（包括样本等所有资料），否则其投标将被否决。</w:t>
            </w:r>
            <w:r>
              <w:rPr>
                <w:rFonts w:ascii="宋体" w:hAnsi="宋体"/>
                <w:sz w:val="24"/>
              </w:rPr>
              <w:t>投标文件的副本应为正本的复印件。</w:t>
            </w:r>
          </w:p>
        </w:tc>
      </w:tr>
      <w:tr w14:paraId="43BF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2FBDEDE9">
            <w:pPr>
              <w:spacing w:line="360" w:lineRule="auto"/>
              <w:jc w:val="center"/>
              <w:rPr>
                <w:rFonts w:ascii="宋体" w:hAnsi="宋体"/>
                <w:sz w:val="24"/>
              </w:rPr>
            </w:pPr>
            <w:r>
              <w:rPr>
                <w:rFonts w:hint="eastAsia" w:ascii="宋体" w:hAnsi="宋体"/>
                <w:sz w:val="24"/>
              </w:rPr>
              <w:t>18.2</w:t>
            </w:r>
            <w:r>
              <w:rPr>
                <w:rFonts w:ascii="宋体" w:hAnsi="宋体"/>
                <w:sz w:val="24"/>
              </w:rPr>
              <w:t xml:space="preserve"> 1）</w:t>
            </w:r>
          </w:p>
        </w:tc>
        <w:tc>
          <w:tcPr>
            <w:tcW w:w="4353" w:type="pct"/>
            <w:vAlign w:val="center"/>
          </w:tcPr>
          <w:p w14:paraId="245CC954">
            <w:pPr>
              <w:spacing w:line="360" w:lineRule="auto"/>
              <w:rPr>
                <w:rFonts w:ascii="宋体" w:hAnsi="宋体"/>
                <w:sz w:val="24"/>
              </w:rPr>
            </w:pPr>
            <w:r>
              <w:rPr>
                <w:rFonts w:hint="eastAsia" w:ascii="宋体" w:hAnsi="宋体"/>
                <w:sz w:val="24"/>
              </w:rPr>
              <w:t>投标文件递交至以下地址：</w:t>
            </w:r>
            <w:permStart w:id="36" w:edGrp="everyone"/>
          </w:p>
          <w:p w14:paraId="16A47283">
            <w:pPr>
              <w:spacing w:line="360" w:lineRule="auto"/>
              <w:rPr>
                <w:rFonts w:ascii="宋体" w:hAnsi="宋体"/>
                <w:sz w:val="24"/>
              </w:rPr>
            </w:pPr>
            <w:r>
              <w:rPr>
                <w:rFonts w:hint="eastAsia" w:ascii="宋体" w:hAnsi="宋体"/>
                <w:sz w:val="24"/>
              </w:rPr>
              <w:t>招标机构名称：上海东松医疗科技股份有限公司</w:t>
            </w:r>
          </w:p>
          <w:permEnd w:id="36"/>
          <w:p w14:paraId="3DC9BAA5">
            <w:pPr>
              <w:spacing w:line="360" w:lineRule="auto"/>
              <w:rPr>
                <w:rFonts w:ascii="宋体" w:hAnsi="宋体"/>
                <w:sz w:val="24"/>
              </w:rPr>
            </w:pPr>
            <w:r>
              <w:rPr>
                <w:rFonts w:hint="eastAsia" w:ascii="宋体" w:hAnsi="宋体"/>
                <w:sz w:val="24"/>
              </w:rPr>
              <w:t>地址：</w:t>
            </w:r>
            <w:permStart w:id="37" w:edGrp="everyone"/>
            <w:r>
              <w:rPr>
                <w:rFonts w:hint="eastAsia" w:ascii="宋体" w:hAnsi="宋体"/>
                <w:sz w:val="24"/>
              </w:rPr>
              <w:t>中国上海市宁波路1号申华金融大厦1</w:t>
            </w:r>
            <w:r>
              <w:rPr>
                <w:rFonts w:ascii="宋体" w:hAnsi="宋体"/>
                <w:sz w:val="24"/>
              </w:rPr>
              <w:t>0</w:t>
            </w:r>
            <w:r>
              <w:rPr>
                <w:rFonts w:hint="eastAsia" w:ascii="宋体" w:hAnsi="宋体"/>
                <w:sz w:val="24"/>
              </w:rPr>
              <w:t>楼会议室</w:t>
            </w:r>
            <w:permEnd w:id="37"/>
          </w:p>
          <w:p w14:paraId="7F0A2879">
            <w:pPr>
              <w:spacing w:line="360" w:lineRule="auto"/>
              <w:rPr>
                <w:rFonts w:ascii="宋体" w:hAnsi="宋体"/>
                <w:sz w:val="24"/>
              </w:rPr>
            </w:pPr>
            <w:r>
              <w:rPr>
                <w:rFonts w:hint="eastAsia" w:ascii="宋体" w:hAnsi="宋体"/>
                <w:sz w:val="24"/>
              </w:rPr>
              <w:t>邮编：</w:t>
            </w:r>
            <w:permStart w:id="38" w:edGrp="everyone"/>
            <w:r>
              <w:rPr>
                <w:rFonts w:ascii="宋体" w:hAnsi="宋体"/>
                <w:sz w:val="24"/>
              </w:rPr>
              <w:t>200002</w:t>
            </w:r>
            <w:permEnd w:id="38"/>
          </w:p>
        </w:tc>
      </w:tr>
      <w:tr w14:paraId="14FB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2CCFC31F">
            <w:pPr>
              <w:spacing w:line="360" w:lineRule="auto"/>
              <w:jc w:val="center"/>
              <w:rPr>
                <w:rFonts w:ascii="宋体" w:hAnsi="宋体"/>
                <w:sz w:val="24"/>
              </w:rPr>
            </w:pPr>
            <w:r>
              <w:rPr>
                <w:rFonts w:hint="eastAsia" w:ascii="宋体" w:hAnsi="宋体"/>
                <w:sz w:val="24"/>
              </w:rPr>
              <w:t>18.2</w:t>
            </w:r>
            <w:r>
              <w:rPr>
                <w:rFonts w:ascii="宋体" w:hAnsi="宋体"/>
                <w:sz w:val="24"/>
              </w:rPr>
              <w:t xml:space="preserve"> 2）</w:t>
            </w:r>
          </w:p>
        </w:tc>
        <w:tc>
          <w:tcPr>
            <w:tcW w:w="4353" w:type="pct"/>
            <w:vAlign w:val="center"/>
          </w:tcPr>
          <w:p w14:paraId="397D3F8C">
            <w:pPr>
              <w:spacing w:line="360" w:lineRule="auto"/>
              <w:rPr>
                <w:rFonts w:ascii="宋体" w:hAnsi="宋体"/>
                <w:sz w:val="24"/>
              </w:rPr>
            </w:pPr>
            <w:r>
              <w:rPr>
                <w:rFonts w:hint="eastAsia" w:ascii="宋体" w:hAnsi="宋体"/>
                <w:sz w:val="24"/>
              </w:rPr>
              <w:t>投标邀请的标题和编号：</w:t>
            </w:r>
            <w:permStart w:id="39" w:edGrp="everyone"/>
            <w:r>
              <w:rPr>
                <w:rFonts w:ascii="宋体" w:hAnsi="宋体"/>
                <w:sz w:val="24"/>
              </w:rPr>
              <w:t>项目名称</w:t>
            </w:r>
            <w:r>
              <w:rPr>
                <w:rFonts w:hint="eastAsia" w:ascii="宋体" w:hAnsi="宋体"/>
                <w:sz w:val="24"/>
              </w:rPr>
              <w:t>：体外冲击波心血管治疗系统，</w:t>
            </w:r>
            <w:r>
              <w:rPr>
                <w:rFonts w:ascii="宋体" w:hAnsi="宋体"/>
                <w:sz w:val="24"/>
              </w:rPr>
              <w:t>招标编号</w:t>
            </w:r>
            <w:r>
              <w:rPr>
                <w:rFonts w:hint="eastAsia" w:ascii="宋体" w:hAnsi="宋体"/>
                <w:sz w:val="24"/>
              </w:rPr>
              <w:t>：</w:t>
            </w:r>
            <w:r>
              <w:rPr>
                <w:rFonts w:ascii="宋体" w:hAnsi="宋体"/>
                <w:sz w:val="24"/>
              </w:rPr>
              <w:t>0811-</w:t>
            </w:r>
            <w:r>
              <w:rPr>
                <w:rFonts w:hint="eastAsia" w:ascii="宋体" w:hAnsi="宋体"/>
                <w:sz w:val="24"/>
              </w:rPr>
              <w:t>244DSITC2133</w:t>
            </w:r>
            <w:permEnd w:id="39"/>
          </w:p>
        </w:tc>
      </w:tr>
      <w:tr w14:paraId="726E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1869D833">
            <w:pPr>
              <w:spacing w:line="360" w:lineRule="auto"/>
              <w:jc w:val="center"/>
              <w:rPr>
                <w:rFonts w:ascii="宋体" w:hAnsi="宋体"/>
                <w:sz w:val="24"/>
              </w:rPr>
            </w:pPr>
            <w:r>
              <w:rPr>
                <w:rFonts w:hint="eastAsia" w:ascii="宋体" w:hAnsi="宋体"/>
                <w:sz w:val="24"/>
              </w:rPr>
              <w:t>19.1</w:t>
            </w:r>
          </w:p>
        </w:tc>
        <w:tc>
          <w:tcPr>
            <w:tcW w:w="4353" w:type="pct"/>
            <w:vAlign w:val="center"/>
          </w:tcPr>
          <w:p w14:paraId="2F97ED14">
            <w:pPr>
              <w:spacing w:line="360" w:lineRule="auto"/>
              <w:rPr>
                <w:rFonts w:ascii="宋体" w:hAnsi="宋体"/>
                <w:sz w:val="24"/>
              </w:rPr>
            </w:pPr>
            <w:r>
              <w:rPr>
                <w:rFonts w:hint="eastAsia" w:ascii="宋体" w:hAnsi="宋体"/>
                <w:sz w:val="24"/>
              </w:rPr>
              <w:t>投标截止时间：</w:t>
            </w:r>
            <w:r>
              <w:rPr>
                <w:rFonts w:ascii="宋体" w:hAnsi="宋体"/>
                <w:sz w:val="24"/>
              </w:rPr>
              <w:tab/>
            </w:r>
            <w:permStart w:id="40" w:edGrp="everyone"/>
            <w:r>
              <w:rPr>
                <w:rFonts w:hint="eastAsia" w:ascii="宋体" w:hAnsi="宋体"/>
                <w:sz w:val="24"/>
                <w:lang w:eastAsia="zh-CN"/>
              </w:rPr>
              <w:t>2024年9月2日北京时间16:00</w:t>
            </w:r>
            <w:r>
              <w:rPr>
                <w:rFonts w:hint="eastAsia" w:ascii="宋体" w:hAnsi="宋体"/>
                <w:sz w:val="24"/>
              </w:rPr>
              <w:t>。</w:t>
            </w:r>
            <w:permEnd w:id="40"/>
          </w:p>
        </w:tc>
      </w:tr>
      <w:tr w14:paraId="5B2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14:paraId="210F183D">
            <w:pPr>
              <w:spacing w:line="360" w:lineRule="auto"/>
              <w:jc w:val="center"/>
              <w:rPr>
                <w:rFonts w:ascii="宋体" w:hAnsi="宋体"/>
                <w:b/>
                <w:sz w:val="24"/>
              </w:rPr>
            </w:pPr>
            <w:r>
              <w:rPr>
                <w:rFonts w:hint="eastAsia" w:ascii="宋体" w:hAnsi="宋体"/>
                <w:b/>
                <w:sz w:val="24"/>
              </w:rPr>
              <w:t>开标与评标</w:t>
            </w:r>
          </w:p>
        </w:tc>
      </w:tr>
      <w:tr w14:paraId="0E7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345ED18E">
            <w:pPr>
              <w:spacing w:line="360" w:lineRule="auto"/>
              <w:jc w:val="center"/>
              <w:rPr>
                <w:rFonts w:ascii="宋体" w:hAnsi="宋体"/>
                <w:sz w:val="24"/>
              </w:rPr>
            </w:pPr>
            <w:r>
              <w:rPr>
                <w:rFonts w:hint="eastAsia" w:ascii="宋体" w:hAnsi="宋体"/>
                <w:sz w:val="24"/>
              </w:rPr>
              <w:t>22.1</w:t>
            </w:r>
          </w:p>
        </w:tc>
        <w:tc>
          <w:tcPr>
            <w:tcW w:w="4353" w:type="pct"/>
            <w:vAlign w:val="center"/>
          </w:tcPr>
          <w:p w14:paraId="349A1385">
            <w:pPr>
              <w:spacing w:line="360" w:lineRule="auto"/>
              <w:rPr>
                <w:rFonts w:ascii="宋体" w:hAnsi="宋体"/>
                <w:sz w:val="24"/>
              </w:rPr>
            </w:pPr>
            <w:r>
              <w:rPr>
                <w:rFonts w:hint="eastAsia" w:ascii="宋体" w:hAnsi="宋体"/>
                <w:sz w:val="24"/>
              </w:rPr>
              <w:t>开标日期和时间：</w:t>
            </w:r>
            <w:permStart w:id="41" w:edGrp="everyone"/>
            <w:r>
              <w:rPr>
                <w:rFonts w:hint="eastAsia" w:ascii="宋体" w:hAnsi="宋体"/>
                <w:sz w:val="24"/>
                <w:lang w:eastAsia="zh-CN"/>
              </w:rPr>
              <w:t>2024年9月2日北京时间16:00</w:t>
            </w:r>
            <w:r>
              <w:rPr>
                <w:rFonts w:hint="eastAsia" w:ascii="宋体" w:hAnsi="宋体"/>
                <w:sz w:val="24"/>
              </w:rPr>
              <w:t>。</w:t>
            </w:r>
            <w:permEnd w:id="41"/>
          </w:p>
          <w:p w14:paraId="15EBB47A">
            <w:pPr>
              <w:spacing w:line="360" w:lineRule="auto"/>
              <w:rPr>
                <w:rFonts w:ascii="宋体" w:hAnsi="宋体"/>
                <w:sz w:val="24"/>
              </w:rPr>
            </w:pPr>
            <w:r>
              <w:rPr>
                <w:rFonts w:hint="eastAsia" w:ascii="宋体" w:hAnsi="宋体"/>
                <w:sz w:val="24"/>
              </w:rPr>
              <w:t>开标地点：</w:t>
            </w:r>
            <w:permStart w:id="42" w:edGrp="everyone"/>
            <w:r>
              <w:rPr>
                <w:rFonts w:hint="eastAsia" w:ascii="宋体" w:hAnsi="宋体"/>
                <w:sz w:val="24"/>
              </w:rPr>
              <w:t>中国上海市宁波路1号申华金融大厦10楼会议室</w:t>
            </w:r>
            <w:permEnd w:id="42"/>
          </w:p>
        </w:tc>
      </w:tr>
      <w:tr w14:paraId="68D3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1890F985">
            <w:pPr>
              <w:spacing w:line="360" w:lineRule="auto"/>
              <w:jc w:val="center"/>
              <w:rPr>
                <w:rFonts w:ascii="宋体" w:hAnsi="宋体"/>
                <w:sz w:val="24"/>
              </w:rPr>
            </w:pPr>
            <w:r>
              <w:rPr>
                <w:rFonts w:hint="eastAsia" w:ascii="宋体" w:hAnsi="宋体"/>
                <w:sz w:val="24"/>
              </w:rPr>
              <w:t>23.1</w:t>
            </w:r>
          </w:p>
        </w:tc>
        <w:tc>
          <w:tcPr>
            <w:tcW w:w="4353" w:type="pct"/>
            <w:vAlign w:val="center"/>
          </w:tcPr>
          <w:p w14:paraId="0CC125C8">
            <w:pPr>
              <w:spacing w:line="360" w:lineRule="auto"/>
              <w:rPr>
                <w:rFonts w:ascii="宋体" w:hAnsi="宋体"/>
                <w:sz w:val="24"/>
              </w:rPr>
            </w:pPr>
            <w:r>
              <w:rPr>
                <w:rFonts w:hint="eastAsia" w:ascii="宋体" w:hAnsi="宋体"/>
                <w:sz w:val="24"/>
              </w:rPr>
              <w:t>评标方法：本项目采用最低评标价法。</w:t>
            </w:r>
          </w:p>
        </w:tc>
      </w:tr>
      <w:tr w14:paraId="3C18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06BB0B66">
            <w:pPr>
              <w:spacing w:line="360" w:lineRule="auto"/>
              <w:jc w:val="center"/>
              <w:rPr>
                <w:rFonts w:ascii="宋体" w:hAnsi="宋体"/>
                <w:sz w:val="24"/>
              </w:rPr>
            </w:pPr>
            <w:r>
              <w:rPr>
                <w:rFonts w:hint="eastAsia" w:ascii="宋体" w:hAnsi="宋体"/>
                <w:sz w:val="24"/>
              </w:rPr>
              <w:t>★24.5.1</w:t>
            </w:r>
          </w:p>
        </w:tc>
        <w:tc>
          <w:tcPr>
            <w:tcW w:w="4353" w:type="pct"/>
            <w:vAlign w:val="center"/>
          </w:tcPr>
          <w:p w14:paraId="50B0EE1E">
            <w:pPr>
              <w:spacing w:line="360" w:lineRule="auto"/>
              <w:rPr>
                <w:rFonts w:ascii="宋体" w:hAnsi="宋体"/>
                <w:sz w:val="24"/>
              </w:rPr>
            </w:pPr>
            <w:r>
              <w:rPr>
                <w:rFonts w:hint="eastAsia" w:ascii="宋体" w:hAnsi="宋体"/>
                <w:sz w:val="24"/>
              </w:rPr>
              <w:t>在商务评议过程中，有下列情形之一者，其投标将被否决：</w:t>
            </w:r>
          </w:p>
          <w:p w14:paraId="2EABD93B">
            <w:pPr>
              <w:spacing w:line="360" w:lineRule="auto"/>
              <w:rPr>
                <w:rFonts w:ascii="宋体" w:hAnsi="宋体"/>
                <w:sz w:val="24"/>
              </w:rPr>
            </w:pPr>
            <w:r>
              <w:rPr>
                <w:rFonts w:hint="eastAsia" w:ascii="宋体" w:hAnsi="宋体"/>
                <w:sz w:val="24"/>
              </w:rPr>
              <w:t>1）投标人或其制造商与招标人有利害关系可能影响招标公正性的；</w:t>
            </w:r>
          </w:p>
          <w:p w14:paraId="11B9683B">
            <w:pPr>
              <w:spacing w:line="360" w:lineRule="auto"/>
              <w:rPr>
                <w:rFonts w:ascii="宋体" w:hAnsi="宋体"/>
                <w:sz w:val="24"/>
              </w:rPr>
            </w:pPr>
            <w:r>
              <w:rPr>
                <w:rFonts w:hint="eastAsia" w:ascii="宋体" w:hAnsi="宋体"/>
                <w:sz w:val="24"/>
              </w:rPr>
              <w:t>2）投标人参与项目前期咨询或招标文件编制的；</w:t>
            </w:r>
          </w:p>
          <w:p w14:paraId="10E050F7">
            <w:pPr>
              <w:spacing w:line="360" w:lineRule="auto"/>
              <w:rPr>
                <w:rFonts w:ascii="宋体" w:hAnsi="宋体"/>
                <w:sz w:val="24"/>
              </w:rPr>
            </w:pPr>
            <w:r>
              <w:rPr>
                <w:rFonts w:hint="eastAsia" w:ascii="宋体" w:hAnsi="宋体"/>
                <w:sz w:val="24"/>
              </w:rPr>
              <w:t>3）不同投标人单位负责人为同一人或者存在控股、管理关系的；</w:t>
            </w:r>
          </w:p>
          <w:p w14:paraId="088EC9AF">
            <w:pPr>
              <w:spacing w:line="360" w:lineRule="auto"/>
              <w:rPr>
                <w:rFonts w:ascii="宋体" w:hAnsi="宋体"/>
                <w:sz w:val="24"/>
              </w:rPr>
            </w:pPr>
            <w:r>
              <w:rPr>
                <w:rFonts w:hint="eastAsia" w:ascii="宋体" w:hAnsi="宋体"/>
                <w:sz w:val="24"/>
              </w:rPr>
              <w:t>4）投标文件未按招标文件的要求签署的；</w:t>
            </w:r>
          </w:p>
          <w:p w14:paraId="68DBE9A8">
            <w:pPr>
              <w:spacing w:line="360" w:lineRule="auto"/>
              <w:rPr>
                <w:rFonts w:ascii="宋体" w:hAnsi="宋体"/>
                <w:sz w:val="24"/>
              </w:rPr>
            </w:pPr>
            <w:r>
              <w:rPr>
                <w:rFonts w:hint="eastAsia" w:ascii="宋体" w:hAnsi="宋体"/>
                <w:sz w:val="24"/>
              </w:rPr>
              <w:t>5）投标联合体没有提交共同投标协议的；</w:t>
            </w:r>
          </w:p>
          <w:p w14:paraId="579FBCE1">
            <w:pPr>
              <w:spacing w:line="360" w:lineRule="auto"/>
              <w:rPr>
                <w:rFonts w:ascii="宋体" w:hAnsi="宋体"/>
                <w:sz w:val="24"/>
              </w:rPr>
            </w:pPr>
            <w:r>
              <w:rPr>
                <w:rFonts w:hint="eastAsia" w:ascii="宋体" w:hAnsi="宋体"/>
                <w:sz w:val="24"/>
              </w:rPr>
              <w:t>6）投标人的投标书、资格证明材料未提供，或不符合国家规定或者招标文件要求的；</w:t>
            </w:r>
          </w:p>
          <w:p w14:paraId="261DDE54">
            <w:pPr>
              <w:spacing w:line="360" w:lineRule="auto"/>
              <w:rPr>
                <w:rFonts w:ascii="宋体" w:hAnsi="宋体"/>
                <w:sz w:val="24"/>
              </w:rPr>
            </w:pPr>
            <w:r>
              <w:rPr>
                <w:rFonts w:hint="eastAsia" w:ascii="宋体" w:hAnsi="宋体"/>
                <w:sz w:val="24"/>
              </w:rPr>
              <w:t>7）同一投标人提交两个以上不同的投标方案或者投标报价的，但招标文件要求提交备选方案的除外；</w:t>
            </w:r>
          </w:p>
          <w:p w14:paraId="62E70724">
            <w:pPr>
              <w:spacing w:line="360" w:lineRule="auto"/>
              <w:rPr>
                <w:rFonts w:ascii="宋体" w:hAnsi="宋体"/>
                <w:sz w:val="24"/>
              </w:rPr>
            </w:pPr>
            <w:r>
              <w:rPr>
                <w:rFonts w:hint="eastAsia" w:ascii="宋体" w:hAnsi="宋体"/>
                <w:sz w:val="24"/>
              </w:rPr>
              <w:t>8）投标人未按招标文件要求提交投标保证金或保证金金额不足、保函有效期不足、投标保证金形式或出具投标保函的银行不符合招标文件要求的；</w:t>
            </w:r>
          </w:p>
          <w:p w14:paraId="5409ECFC">
            <w:pPr>
              <w:spacing w:line="360" w:lineRule="auto"/>
              <w:rPr>
                <w:rFonts w:ascii="宋体" w:hAnsi="宋体"/>
                <w:sz w:val="24"/>
              </w:rPr>
            </w:pPr>
            <w:r>
              <w:rPr>
                <w:rFonts w:hint="eastAsia" w:ascii="宋体" w:hAnsi="宋体"/>
                <w:sz w:val="24"/>
              </w:rPr>
              <w:t>9）投标文件不满足招标文件加注星号（“★”）的重要商务条款要求的；</w:t>
            </w:r>
          </w:p>
          <w:p w14:paraId="1BD55185">
            <w:pPr>
              <w:spacing w:line="360" w:lineRule="auto"/>
              <w:rPr>
                <w:rFonts w:ascii="宋体" w:hAnsi="宋体"/>
                <w:sz w:val="24"/>
              </w:rPr>
            </w:pPr>
            <w:r>
              <w:rPr>
                <w:rFonts w:hint="eastAsia" w:ascii="宋体" w:hAnsi="宋体"/>
                <w:sz w:val="24"/>
              </w:rPr>
              <w:t>10）投标报价高于招标文件设定的最高投标限价的；</w:t>
            </w:r>
          </w:p>
          <w:p w14:paraId="61A52A37">
            <w:pPr>
              <w:spacing w:line="360" w:lineRule="auto"/>
              <w:rPr>
                <w:rFonts w:ascii="宋体" w:hAnsi="宋体"/>
                <w:sz w:val="24"/>
              </w:rPr>
            </w:pPr>
            <w:r>
              <w:rPr>
                <w:rFonts w:hint="eastAsia" w:ascii="宋体" w:hAnsi="宋体"/>
                <w:sz w:val="24"/>
              </w:rPr>
              <w:t>11）投标有效期不足的；</w:t>
            </w:r>
          </w:p>
          <w:p w14:paraId="18516416">
            <w:pPr>
              <w:spacing w:line="360" w:lineRule="auto"/>
              <w:rPr>
                <w:rFonts w:ascii="宋体" w:hAnsi="宋体"/>
                <w:sz w:val="24"/>
              </w:rPr>
            </w:pPr>
            <w:r>
              <w:rPr>
                <w:rFonts w:hint="eastAsia" w:ascii="宋体" w:hAnsi="宋体"/>
                <w:sz w:val="24"/>
              </w:rPr>
              <w:t>12）投标人有串通投标、弄虚作假、行贿等违法行为的；</w:t>
            </w:r>
          </w:p>
          <w:p w14:paraId="05796D3F">
            <w:pPr>
              <w:spacing w:line="360" w:lineRule="auto"/>
              <w:rPr>
                <w:rFonts w:ascii="宋体" w:hAnsi="宋体"/>
                <w:sz w:val="24"/>
              </w:rPr>
            </w:pPr>
            <w:r>
              <w:rPr>
                <w:rFonts w:hint="eastAsia" w:ascii="宋体" w:hAnsi="宋体"/>
                <w:sz w:val="24"/>
              </w:rPr>
              <w:t>13）投标人未提供投标产品中国国家强制性产品认证证书（CCC证书）（涉及产品类别按《中国强制性产品认证目录》的相关规定）的复印件；</w:t>
            </w:r>
          </w:p>
          <w:p w14:paraId="1E60C7C8">
            <w:pPr>
              <w:spacing w:line="360" w:lineRule="auto"/>
              <w:rPr>
                <w:rFonts w:ascii="宋体" w:hAnsi="宋体"/>
                <w:sz w:val="24"/>
              </w:rPr>
            </w:pPr>
            <w:r>
              <w:rPr>
                <w:rFonts w:hint="eastAsia" w:ascii="宋体" w:hAnsi="宋体"/>
                <w:sz w:val="24"/>
              </w:rPr>
              <w:t>14）</w:t>
            </w:r>
            <w:permStart w:id="43" w:edGrp="everyone"/>
            <w:r>
              <w:rPr>
                <w:rFonts w:hint="eastAsia" w:ascii="宋体" w:hAnsi="宋体"/>
                <w:sz w:val="24"/>
              </w:rPr>
              <w:t>投标人被列入失信被执行人名单</w:t>
            </w:r>
            <w:r>
              <w:rPr>
                <w:rFonts w:hint="eastAsia" w:ascii="宋体" w:hAnsi="宋体"/>
                <w:sz w:val="24"/>
              </w:rPr>
              <w:t>、重大税收违法案件当事人名单、政府采购严重违法失信行为记录名单；</w:t>
            </w:r>
          </w:p>
          <w:p w14:paraId="01DCF87C">
            <w:pPr>
              <w:spacing w:line="360" w:lineRule="auto"/>
              <w:rPr>
                <w:rFonts w:ascii="宋体" w:hAnsi="宋体"/>
                <w:color w:val="FF0000"/>
                <w:sz w:val="24"/>
              </w:rPr>
            </w:pPr>
            <w:r>
              <w:rPr>
                <w:rFonts w:hint="eastAsia" w:ascii="宋体" w:hAnsi="宋体"/>
                <w:sz w:val="24"/>
              </w:rPr>
              <w:t>15）迟于规定交货计划交货；</w:t>
            </w:r>
          </w:p>
          <w:p w14:paraId="153562B3">
            <w:pPr>
              <w:spacing w:line="360" w:lineRule="auto"/>
              <w:rPr>
                <w:rFonts w:ascii="宋体" w:hAnsi="宋体"/>
                <w:sz w:val="24"/>
              </w:rPr>
            </w:pPr>
            <w:r>
              <w:rPr>
                <w:rFonts w:hint="eastAsia" w:ascii="宋体" w:hAnsi="宋体"/>
                <w:sz w:val="24"/>
              </w:rPr>
              <w:t>16）</w:t>
            </w:r>
            <w:permEnd w:id="43"/>
            <w:r>
              <w:rPr>
                <w:rFonts w:hint="eastAsia" w:ascii="宋体" w:hAnsi="宋体"/>
                <w:sz w:val="24"/>
              </w:rPr>
              <w:t>存在招标文件中规定的否决投标的其他商务条款的。</w:t>
            </w:r>
          </w:p>
        </w:tc>
      </w:tr>
      <w:tr w14:paraId="1CBB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04F459EC">
            <w:pPr>
              <w:spacing w:line="360" w:lineRule="auto"/>
              <w:jc w:val="center"/>
              <w:rPr>
                <w:rFonts w:ascii="宋体" w:hAnsi="宋体"/>
                <w:sz w:val="24"/>
              </w:rPr>
            </w:pPr>
            <w:r>
              <w:rPr>
                <w:rFonts w:hint="eastAsia" w:ascii="宋体" w:hAnsi="宋体"/>
                <w:sz w:val="24"/>
              </w:rPr>
              <w:t>★24.5</w:t>
            </w:r>
            <w:r>
              <w:rPr>
                <w:rFonts w:ascii="宋体" w:hAnsi="宋体"/>
                <w:sz w:val="24"/>
              </w:rPr>
              <w:t>.2</w:t>
            </w:r>
          </w:p>
        </w:tc>
        <w:tc>
          <w:tcPr>
            <w:tcW w:w="4353" w:type="pct"/>
            <w:vAlign w:val="center"/>
          </w:tcPr>
          <w:p w14:paraId="2D2A5C65">
            <w:pPr>
              <w:spacing w:line="360" w:lineRule="auto"/>
              <w:rPr>
                <w:rFonts w:ascii="宋体" w:hAnsi="宋体"/>
                <w:sz w:val="24"/>
              </w:rPr>
            </w:pPr>
            <w:r>
              <w:rPr>
                <w:rFonts w:hint="eastAsia" w:ascii="宋体" w:hAnsi="宋体"/>
                <w:sz w:val="24"/>
              </w:rPr>
              <w:t>技术评议过程中，有下列情形之一者，其投标将被否决：</w:t>
            </w:r>
          </w:p>
          <w:p w14:paraId="4D27683B">
            <w:pPr>
              <w:numPr>
                <w:ilvl w:val="0"/>
                <w:numId w:val="3"/>
              </w:numPr>
              <w:spacing w:line="360" w:lineRule="auto"/>
              <w:jc w:val="left"/>
              <w:rPr>
                <w:rFonts w:ascii="宋体" w:hAnsi="宋体"/>
                <w:sz w:val="24"/>
              </w:rPr>
            </w:pPr>
            <w:r>
              <w:rPr>
                <w:rFonts w:hint="eastAsia" w:ascii="宋体" w:hAnsi="宋体"/>
                <w:sz w:val="24"/>
              </w:rPr>
              <w:t>投标文件不满足招标文件技术规格中加注星号（“★”）的重要条款（参数）要求，或加注星号（“★”）的重要条款（参数）无符合招标文件要求的技术资料支持的；</w:t>
            </w:r>
          </w:p>
          <w:p w14:paraId="7BD67B98">
            <w:pPr>
              <w:numPr>
                <w:ilvl w:val="0"/>
                <w:numId w:val="3"/>
              </w:numPr>
              <w:spacing w:line="360" w:lineRule="auto"/>
              <w:rPr>
                <w:rFonts w:ascii="宋体" w:hAnsi="宋体"/>
                <w:sz w:val="24"/>
              </w:rPr>
            </w:pPr>
            <w:r>
              <w:rPr>
                <w:rFonts w:hint="eastAsia" w:ascii="宋体" w:hAnsi="宋体"/>
                <w:sz w:val="24"/>
              </w:rPr>
              <w:t>投标人的投标文件中未加注“★”号的一般参数的偏离</w:t>
            </w:r>
            <w:permStart w:id="44" w:edGrp="everyone"/>
            <w:r>
              <w:rPr>
                <w:rFonts w:hint="eastAsia" w:ascii="宋体" w:hAnsi="宋体"/>
                <w:sz w:val="24"/>
              </w:rPr>
              <w:t>超过5项（包括5项）</w:t>
            </w:r>
            <w:permEnd w:id="44"/>
            <w:r>
              <w:rPr>
                <w:rFonts w:hint="eastAsia" w:ascii="宋体" w:hAnsi="宋体"/>
                <w:sz w:val="24"/>
              </w:rPr>
              <w:t>，其投标将被否决；</w:t>
            </w:r>
          </w:p>
          <w:p w14:paraId="6E506017">
            <w:pPr>
              <w:numPr>
                <w:ilvl w:val="0"/>
                <w:numId w:val="3"/>
              </w:numPr>
              <w:spacing w:line="360" w:lineRule="auto"/>
              <w:rPr>
                <w:rFonts w:ascii="宋体" w:hAnsi="宋体"/>
                <w:sz w:val="24"/>
              </w:rPr>
            </w:pPr>
            <w:r>
              <w:rPr>
                <w:rFonts w:hint="eastAsia" w:ascii="宋体" w:hAnsi="宋体"/>
                <w:sz w:val="24"/>
              </w:rPr>
              <w:t>投标文件技术规格中的响应与事实不符或虚假投标的；</w:t>
            </w:r>
          </w:p>
          <w:p w14:paraId="1C834586">
            <w:pPr>
              <w:numPr>
                <w:ilvl w:val="0"/>
                <w:numId w:val="3"/>
              </w:numPr>
              <w:spacing w:line="360" w:lineRule="auto"/>
              <w:rPr>
                <w:rFonts w:ascii="宋体" w:hAnsi="宋体"/>
                <w:sz w:val="24"/>
              </w:rPr>
            </w:pPr>
            <w:r>
              <w:rPr>
                <w:rFonts w:hint="eastAsia" w:ascii="宋体" w:hAnsi="宋体"/>
                <w:sz w:val="24"/>
              </w:rPr>
              <w:t>投标人复制招标文件的技术规格相关部分内容作为其投标文件中一部分的；</w:t>
            </w:r>
          </w:p>
          <w:p w14:paraId="730EE032">
            <w:pPr>
              <w:numPr>
                <w:ilvl w:val="0"/>
                <w:numId w:val="3"/>
              </w:numPr>
              <w:spacing w:line="360" w:lineRule="auto"/>
              <w:rPr>
                <w:rFonts w:ascii="宋体" w:hAnsi="宋体"/>
                <w:sz w:val="24"/>
              </w:rPr>
            </w:pPr>
            <w:r>
              <w:rPr>
                <w:rFonts w:hint="eastAsia" w:ascii="宋体" w:hAnsi="宋体"/>
                <w:sz w:val="24"/>
              </w:rPr>
              <w:t>存在招标文件中规定的否决投标的其他技术条款的。</w:t>
            </w:r>
          </w:p>
        </w:tc>
      </w:tr>
      <w:tr w14:paraId="70E1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6D827700">
            <w:pPr>
              <w:spacing w:line="360" w:lineRule="auto"/>
              <w:jc w:val="center"/>
              <w:rPr>
                <w:rFonts w:ascii="宋体" w:hAnsi="宋体"/>
                <w:sz w:val="24"/>
              </w:rPr>
            </w:pPr>
            <w:r>
              <w:rPr>
                <w:rFonts w:hint="eastAsia" w:ascii="宋体" w:hAnsi="宋体"/>
                <w:sz w:val="24"/>
              </w:rPr>
              <w:t>25.1</w:t>
            </w:r>
          </w:p>
        </w:tc>
        <w:tc>
          <w:tcPr>
            <w:tcW w:w="4353" w:type="pct"/>
            <w:vAlign w:val="center"/>
          </w:tcPr>
          <w:p w14:paraId="411C2C71">
            <w:pPr>
              <w:spacing w:line="360" w:lineRule="auto"/>
              <w:rPr>
                <w:rFonts w:ascii="宋体" w:hAnsi="宋体"/>
                <w:sz w:val="24"/>
              </w:rPr>
            </w:pPr>
            <w:r>
              <w:rPr>
                <w:rFonts w:hint="eastAsia" w:ascii="宋体" w:hAnsi="宋体"/>
                <w:sz w:val="24"/>
              </w:rPr>
              <w:t>评标货币：美元。</w:t>
            </w:r>
          </w:p>
        </w:tc>
      </w:tr>
      <w:tr w14:paraId="6989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2056AFFC">
            <w:pPr>
              <w:spacing w:line="360" w:lineRule="auto"/>
              <w:jc w:val="center"/>
              <w:rPr>
                <w:rFonts w:ascii="宋体" w:hAnsi="宋体"/>
                <w:sz w:val="24"/>
              </w:rPr>
            </w:pPr>
            <w:r>
              <w:rPr>
                <w:rFonts w:hint="eastAsia" w:ascii="宋体" w:hAnsi="宋体"/>
                <w:sz w:val="24"/>
              </w:rPr>
              <w:t>26.2</w:t>
            </w:r>
          </w:p>
        </w:tc>
        <w:tc>
          <w:tcPr>
            <w:tcW w:w="4353" w:type="pct"/>
            <w:vAlign w:val="center"/>
          </w:tcPr>
          <w:p w14:paraId="38AA1F9A">
            <w:pPr>
              <w:spacing w:line="360" w:lineRule="auto"/>
              <w:rPr>
                <w:rFonts w:ascii="宋体" w:hAnsi="宋体"/>
                <w:sz w:val="24"/>
              </w:rPr>
            </w:pPr>
            <w:r>
              <w:rPr>
                <w:rFonts w:hint="eastAsia" w:ascii="宋体" w:hAnsi="宋体"/>
                <w:sz w:val="24"/>
              </w:rPr>
              <w:t>计算评标总价时，以货物到达招标人指定到货地点为依据。有价格调整的，计算评标总价时，包含偏离加价。计算关境内产品偏离加价时，扣除投标报价中包含的相关税费。评标总价的计算方法如下：</w:t>
            </w:r>
          </w:p>
          <w:p w14:paraId="718B349A">
            <w:pPr>
              <w:spacing w:line="360" w:lineRule="auto"/>
              <w:rPr>
                <w:rFonts w:ascii="宋体" w:hAnsi="宋体"/>
                <w:sz w:val="24"/>
              </w:rPr>
            </w:pPr>
            <w:r>
              <w:rPr>
                <w:rFonts w:hint="eastAsia" w:ascii="宋体" w:hAnsi="宋体"/>
                <w:sz w:val="24"/>
              </w:rPr>
              <w:t>1）关境外产品：CIP价＋进口环节税+缺漏项加价＋技术商务偏离加价+其他费用。</w:t>
            </w:r>
          </w:p>
          <w:p w14:paraId="046DFA1A">
            <w:pPr>
              <w:spacing w:line="360" w:lineRule="auto"/>
              <w:rPr>
                <w:rFonts w:ascii="宋体" w:hAnsi="宋体"/>
                <w:sz w:val="24"/>
              </w:rPr>
            </w:pPr>
            <w:r>
              <w:rPr>
                <w:rFonts w:hint="eastAsia" w:ascii="宋体" w:hAnsi="宋体"/>
                <w:sz w:val="24"/>
              </w:rPr>
              <w:t>2）关境内产品：出厂价(含增值税)＋消费税（如适用）＋运输、保险费＋缺漏项加价＋技术商务偏离加价+其他费用。</w:t>
            </w:r>
          </w:p>
          <w:p w14:paraId="0A205831">
            <w:pPr>
              <w:spacing w:line="360" w:lineRule="auto"/>
              <w:rPr>
                <w:rFonts w:ascii="宋体" w:hAnsi="宋体"/>
                <w:sz w:val="24"/>
              </w:rPr>
            </w:pPr>
            <w:r>
              <w:rPr>
                <w:rFonts w:hint="eastAsia" w:ascii="宋体" w:hAnsi="宋体"/>
                <w:sz w:val="24"/>
              </w:rPr>
              <w:t>3）由投标人或其指定第三方完成进口报关手续的产品：销售价（含进口环节税、销售环节增值税）＋运输、保险费＋缺漏项加价＋技术商务偏离加价+其他费用。</w:t>
            </w:r>
          </w:p>
          <w:p w14:paraId="15E411BE">
            <w:pPr>
              <w:spacing w:line="360" w:lineRule="auto"/>
              <w:rPr>
                <w:rFonts w:ascii="宋体" w:hAnsi="宋体"/>
                <w:sz w:val="24"/>
              </w:rPr>
            </w:pPr>
            <w:r>
              <w:rPr>
                <w:rFonts w:hint="eastAsia" w:ascii="宋体" w:hAnsi="宋体"/>
                <w:sz w:val="24"/>
              </w:rPr>
              <w:t>4)</w:t>
            </w:r>
            <w:permStart w:id="45" w:edGrp="everyone"/>
            <w:r>
              <w:rPr>
                <w:rFonts w:hint="eastAsia" w:ascii="宋体" w:hAnsi="宋体"/>
                <w:sz w:val="24"/>
                <w:lang w:val="fi-FI"/>
              </w:rPr>
              <w:t>招标文件技术规格中未加注“★”号的一般条款（参数），高于标准的，不考虑降低评标价，低于标准的，评标价将增加该设备投标价格的百分之壹（1%）（特别注明的除外）；若投标文件中没有单独列出该设备分项报价的，评标价格调整时按投标总价计算。</w:t>
            </w:r>
            <w:permEnd w:id="45"/>
          </w:p>
        </w:tc>
      </w:tr>
      <w:tr w14:paraId="706E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54555F84">
            <w:pPr>
              <w:spacing w:line="360" w:lineRule="auto"/>
              <w:jc w:val="center"/>
              <w:rPr>
                <w:rFonts w:ascii="宋体" w:hAnsi="宋体"/>
                <w:sz w:val="24"/>
              </w:rPr>
            </w:pPr>
            <w:r>
              <w:rPr>
                <w:rFonts w:hint="eastAsia" w:ascii="宋体" w:hAnsi="宋体"/>
                <w:sz w:val="24"/>
              </w:rPr>
              <w:t>26.</w:t>
            </w:r>
            <w:r>
              <w:rPr>
                <w:rFonts w:ascii="宋体" w:hAnsi="宋体"/>
                <w:sz w:val="24"/>
              </w:rPr>
              <w:t>3</w:t>
            </w:r>
          </w:p>
        </w:tc>
        <w:tc>
          <w:tcPr>
            <w:tcW w:w="4353" w:type="pct"/>
            <w:vAlign w:val="center"/>
          </w:tcPr>
          <w:p w14:paraId="6A3E3B1E">
            <w:pPr>
              <w:spacing w:line="360" w:lineRule="auto"/>
              <w:rPr>
                <w:rFonts w:ascii="宋体" w:hAnsi="宋体"/>
                <w:sz w:val="24"/>
              </w:rPr>
            </w:pPr>
            <w:r>
              <w:rPr>
                <w:rFonts w:hint="eastAsia" w:ascii="宋体" w:hAnsi="宋体"/>
                <w:sz w:val="24"/>
              </w:rPr>
              <w:t>评标价量化因素：投标人须知第26.3条款中的第1），2），3），4），5）款。</w:t>
            </w:r>
          </w:p>
        </w:tc>
      </w:tr>
      <w:tr w14:paraId="1E33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6A3592AD">
            <w:pPr>
              <w:spacing w:line="360" w:lineRule="auto"/>
              <w:jc w:val="center"/>
              <w:rPr>
                <w:rFonts w:ascii="宋体" w:hAnsi="宋体"/>
                <w:sz w:val="24"/>
              </w:rPr>
            </w:pPr>
            <w:r>
              <w:rPr>
                <w:rFonts w:hint="eastAsia" w:ascii="宋体" w:hAnsi="宋体"/>
                <w:sz w:val="24"/>
              </w:rPr>
              <w:t>26.4.1</w:t>
            </w:r>
          </w:p>
        </w:tc>
        <w:tc>
          <w:tcPr>
            <w:tcW w:w="4353" w:type="pct"/>
            <w:vAlign w:val="center"/>
          </w:tcPr>
          <w:p w14:paraId="2448E811">
            <w:pPr>
              <w:spacing w:line="360" w:lineRule="auto"/>
              <w:rPr>
                <w:rFonts w:ascii="宋体" w:hAnsi="宋体"/>
                <w:sz w:val="24"/>
              </w:rPr>
            </w:pPr>
            <w:r>
              <w:rPr>
                <w:rFonts w:hint="eastAsia" w:ascii="宋体" w:hAnsi="宋体"/>
                <w:sz w:val="24"/>
              </w:rPr>
              <w:t>项目现场：</w:t>
            </w:r>
            <w:permStart w:id="46" w:edGrp="everyone"/>
            <w:r>
              <w:rPr>
                <w:rFonts w:hint="eastAsia" w:ascii="宋体" w:hAnsi="宋体"/>
                <w:sz w:val="24"/>
              </w:rPr>
              <w:t>招标人指定地点</w:t>
            </w:r>
            <w:permEnd w:id="46"/>
          </w:p>
          <w:p w14:paraId="1BFB9943">
            <w:pPr>
              <w:spacing w:line="360" w:lineRule="auto"/>
              <w:rPr>
                <w:rFonts w:ascii="宋体" w:hAnsi="宋体"/>
                <w:sz w:val="24"/>
              </w:rPr>
            </w:pPr>
            <w:r>
              <w:rPr>
                <w:rFonts w:hint="eastAsia" w:ascii="宋体" w:hAnsi="宋体"/>
                <w:sz w:val="24"/>
              </w:rPr>
              <w:t>投标人应提供货物包装数量及每件包装箱的尺寸和运输重量，并单独列出运至项目现场所发生的国内运输、保险及其他伴随服务的费用。</w:t>
            </w:r>
          </w:p>
        </w:tc>
      </w:tr>
      <w:tr w14:paraId="3247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34B48E4D">
            <w:pPr>
              <w:spacing w:line="360" w:lineRule="auto"/>
              <w:jc w:val="center"/>
              <w:rPr>
                <w:rFonts w:ascii="宋体" w:hAnsi="宋体"/>
                <w:sz w:val="24"/>
              </w:rPr>
            </w:pPr>
            <w:r>
              <w:rPr>
                <w:rFonts w:hint="eastAsia" w:ascii="宋体" w:hAnsi="宋体"/>
                <w:sz w:val="24"/>
              </w:rPr>
              <w:t>26.4.2</w:t>
            </w:r>
          </w:p>
        </w:tc>
        <w:tc>
          <w:tcPr>
            <w:tcW w:w="4353" w:type="pct"/>
            <w:vAlign w:val="center"/>
          </w:tcPr>
          <w:p w14:paraId="0DC3F984">
            <w:pPr>
              <w:spacing w:line="360" w:lineRule="auto"/>
              <w:rPr>
                <w:rFonts w:ascii="宋体" w:hAnsi="宋体"/>
                <w:sz w:val="24"/>
              </w:rPr>
            </w:pPr>
            <w:r>
              <w:rPr>
                <w:rFonts w:hint="eastAsia" w:ascii="宋体" w:hAnsi="宋体"/>
                <w:sz w:val="24"/>
              </w:rPr>
              <w:t>对早于合同交货期交货的投标人不考虑降低评标价。</w:t>
            </w:r>
            <w:permStart w:id="47" w:edGrp="everyone"/>
            <w:permEnd w:id="47"/>
          </w:p>
        </w:tc>
      </w:tr>
      <w:tr w14:paraId="0105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0D3899A1">
            <w:pPr>
              <w:spacing w:line="360" w:lineRule="auto"/>
              <w:jc w:val="center"/>
              <w:rPr>
                <w:rFonts w:ascii="宋体" w:hAnsi="宋体"/>
                <w:sz w:val="24"/>
              </w:rPr>
            </w:pPr>
            <w:permStart w:id="48" w:edGrp="everyone"/>
            <w:r>
              <w:rPr>
                <w:rFonts w:hint="eastAsia" w:ascii="宋体" w:hAnsi="宋体"/>
                <w:sz w:val="24"/>
              </w:rPr>
              <w:t>★</w:t>
            </w:r>
            <w:permEnd w:id="48"/>
            <w:r>
              <w:rPr>
                <w:rFonts w:hint="eastAsia" w:ascii="宋体" w:hAnsi="宋体"/>
                <w:sz w:val="24"/>
              </w:rPr>
              <w:t>26.4.3</w:t>
            </w:r>
          </w:p>
        </w:tc>
        <w:tc>
          <w:tcPr>
            <w:tcW w:w="4353" w:type="pct"/>
            <w:vAlign w:val="center"/>
          </w:tcPr>
          <w:p w14:paraId="4F6A5BDA">
            <w:pPr>
              <w:spacing w:line="360" w:lineRule="auto"/>
              <w:rPr>
                <w:rFonts w:ascii="宋体" w:hAnsi="宋体"/>
                <w:sz w:val="24"/>
              </w:rPr>
            </w:pPr>
            <w:r>
              <w:rPr>
                <w:rFonts w:hint="eastAsia" w:ascii="宋体" w:hAnsi="宋体"/>
                <w:sz w:val="24"/>
              </w:rPr>
              <w:t>所选方案：2）</w:t>
            </w:r>
          </w:p>
          <w:p w14:paraId="3E529409">
            <w:pPr>
              <w:spacing w:line="360" w:lineRule="auto"/>
              <w:rPr>
                <w:rFonts w:ascii="宋体" w:hAnsi="宋体"/>
                <w:sz w:val="24"/>
              </w:rPr>
            </w:pPr>
            <w:r>
              <w:rPr>
                <w:rFonts w:hint="eastAsia" w:ascii="宋体" w:hAnsi="宋体"/>
                <w:sz w:val="24"/>
              </w:rPr>
              <w:t>投标人提出的付款计划应与第七章</w:t>
            </w:r>
            <w:r>
              <w:rPr>
                <w:rFonts w:ascii="宋体" w:hAnsi="宋体"/>
                <w:sz w:val="24"/>
              </w:rPr>
              <w:t>“</w:t>
            </w:r>
            <w:r>
              <w:rPr>
                <w:rFonts w:hint="eastAsia" w:ascii="宋体" w:hAnsi="宋体"/>
                <w:sz w:val="24"/>
              </w:rPr>
              <w:t>合同专用条款</w:t>
            </w:r>
            <w:r>
              <w:rPr>
                <w:rFonts w:ascii="宋体" w:hAnsi="宋体"/>
                <w:sz w:val="24"/>
              </w:rPr>
              <w:t>”</w:t>
            </w:r>
            <w:r>
              <w:rPr>
                <w:rFonts w:hint="eastAsia" w:ascii="宋体" w:hAnsi="宋体"/>
                <w:sz w:val="24"/>
              </w:rPr>
              <w:t>中规定的付款计划相一致。</w:t>
            </w:r>
            <w:permStart w:id="49" w:edGrp="everyone"/>
            <w:r>
              <w:rPr>
                <w:rFonts w:hint="eastAsia" w:ascii="宋体" w:hAnsi="宋体"/>
                <w:sz w:val="24"/>
              </w:rPr>
              <w:t>不接受以上付款计划的，其投标将被否决。</w:t>
            </w:r>
            <w:permEnd w:id="49"/>
            <w:r>
              <w:rPr>
                <w:rFonts w:hint="eastAsia" w:ascii="宋体" w:hAnsi="宋体"/>
                <w:sz w:val="24"/>
              </w:rPr>
              <w:t>凡是未声明投标报价所对应的付款条件和方式的，将一律视为该报价所对应的付款条件和方式符合招标文件的规定。</w:t>
            </w:r>
          </w:p>
        </w:tc>
      </w:tr>
      <w:tr w14:paraId="1D5B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5BAC6CF0">
            <w:pPr>
              <w:spacing w:line="360" w:lineRule="auto"/>
              <w:jc w:val="center"/>
              <w:rPr>
                <w:rFonts w:ascii="宋体" w:hAnsi="宋体"/>
                <w:sz w:val="24"/>
              </w:rPr>
            </w:pPr>
            <w:r>
              <w:rPr>
                <w:rFonts w:hint="eastAsia" w:ascii="宋体" w:hAnsi="宋体"/>
                <w:sz w:val="24"/>
              </w:rPr>
              <w:t>26.4.4</w:t>
            </w:r>
          </w:p>
        </w:tc>
        <w:tc>
          <w:tcPr>
            <w:tcW w:w="4353" w:type="pct"/>
            <w:vAlign w:val="center"/>
          </w:tcPr>
          <w:p w14:paraId="00DC27C8">
            <w:pPr>
              <w:spacing w:line="360" w:lineRule="auto"/>
              <w:rPr>
                <w:rFonts w:ascii="宋体" w:hAnsi="宋体"/>
                <w:sz w:val="24"/>
              </w:rPr>
            </w:pPr>
            <w:r>
              <w:rPr>
                <w:rFonts w:hint="eastAsia" w:ascii="宋体" w:hAnsi="宋体"/>
                <w:sz w:val="24"/>
              </w:rPr>
              <w:t>所选方案：1）</w:t>
            </w:r>
          </w:p>
          <w:p w14:paraId="18EED483">
            <w:pPr>
              <w:spacing w:line="360" w:lineRule="auto"/>
              <w:rPr>
                <w:rFonts w:ascii="宋体" w:hAnsi="宋体"/>
                <w:sz w:val="24"/>
              </w:rPr>
            </w:pPr>
            <w:r>
              <w:rPr>
                <w:rFonts w:hint="eastAsia" w:ascii="宋体" w:hAnsi="宋体"/>
                <w:sz w:val="24"/>
              </w:rPr>
              <w:t>投标人应在投标文件中提供按照出厂标准供应的货物质保期内运行所需的零部件和备品备件，其费用需提供分项报价，并计入投标总价；</w:t>
            </w:r>
          </w:p>
        </w:tc>
      </w:tr>
      <w:tr w14:paraId="705B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56ED21E5">
            <w:pPr>
              <w:spacing w:line="360" w:lineRule="auto"/>
              <w:jc w:val="center"/>
              <w:rPr>
                <w:rFonts w:ascii="宋体" w:hAnsi="宋体"/>
                <w:sz w:val="24"/>
              </w:rPr>
            </w:pPr>
            <w:r>
              <w:rPr>
                <w:rFonts w:hint="eastAsia" w:ascii="宋体" w:hAnsi="宋体"/>
                <w:sz w:val="24"/>
              </w:rPr>
              <w:t>26.4.5</w:t>
            </w:r>
          </w:p>
        </w:tc>
        <w:tc>
          <w:tcPr>
            <w:tcW w:w="4353" w:type="pct"/>
            <w:vAlign w:val="center"/>
          </w:tcPr>
          <w:p w14:paraId="623A4450">
            <w:pPr>
              <w:spacing w:line="360" w:lineRule="auto"/>
              <w:rPr>
                <w:rFonts w:ascii="宋体" w:hAnsi="宋体"/>
                <w:sz w:val="24"/>
              </w:rPr>
            </w:pPr>
            <w:r>
              <w:rPr>
                <w:rFonts w:hint="eastAsia" w:ascii="宋体" w:hAnsi="宋体"/>
                <w:sz w:val="24"/>
              </w:rPr>
              <w:t>中国关境内的备件供应和售后服务设施：详见《第八章 货物需求一览表及技术规格》中的相应要求，投标人对其要求的偏离按照本资料表第26.2 4）条款的规定执行。</w:t>
            </w:r>
          </w:p>
        </w:tc>
      </w:tr>
      <w:tr w14:paraId="04C0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07DA78D2">
            <w:pPr>
              <w:spacing w:line="360" w:lineRule="auto"/>
              <w:jc w:val="center"/>
              <w:rPr>
                <w:rFonts w:ascii="宋体" w:hAnsi="宋体"/>
                <w:sz w:val="24"/>
              </w:rPr>
            </w:pPr>
            <w:r>
              <w:rPr>
                <w:rFonts w:hint="eastAsia" w:ascii="宋体" w:hAnsi="宋体"/>
                <w:sz w:val="24"/>
              </w:rPr>
              <w:t>26.5</w:t>
            </w:r>
          </w:p>
        </w:tc>
        <w:tc>
          <w:tcPr>
            <w:tcW w:w="4353" w:type="pct"/>
            <w:vAlign w:val="center"/>
          </w:tcPr>
          <w:p w14:paraId="6359BD52">
            <w:pPr>
              <w:spacing w:line="360" w:lineRule="auto"/>
              <w:rPr>
                <w:rFonts w:ascii="宋体" w:hAnsi="宋体"/>
                <w:sz w:val="24"/>
              </w:rPr>
            </w:pPr>
            <w:r>
              <w:rPr>
                <w:rFonts w:hint="eastAsia" w:ascii="宋体" w:hAnsi="宋体"/>
                <w:sz w:val="24"/>
              </w:rPr>
              <w:t>评标委员会应按投标人最终评标价格由低到高的顺序确定</w:t>
            </w:r>
            <w:permStart w:id="50" w:edGrp="everyone"/>
            <w:r>
              <w:rPr>
                <w:rFonts w:hint="eastAsia" w:ascii="宋体" w:hAnsi="宋体"/>
                <w:sz w:val="24"/>
              </w:rPr>
              <w:t>1个</w:t>
            </w:r>
            <w:permEnd w:id="50"/>
            <w:r>
              <w:rPr>
                <w:rFonts w:hint="eastAsia" w:ascii="宋体" w:hAnsi="宋体"/>
                <w:sz w:val="24"/>
              </w:rPr>
              <w:t>中标候选人，评标价格最低者为排名第一的中标候选人。</w:t>
            </w:r>
          </w:p>
        </w:tc>
      </w:tr>
      <w:tr w14:paraId="5AD8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746B632A">
            <w:pPr>
              <w:spacing w:line="360" w:lineRule="auto"/>
              <w:jc w:val="center"/>
              <w:rPr>
                <w:rFonts w:ascii="宋体" w:hAnsi="宋体"/>
                <w:sz w:val="24"/>
              </w:rPr>
            </w:pPr>
            <w:r>
              <w:rPr>
                <w:rFonts w:hint="eastAsia" w:ascii="宋体" w:hAnsi="宋体"/>
                <w:sz w:val="24"/>
              </w:rPr>
              <w:t>28.2</w:t>
            </w:r>
          </w:p>
        </w:tc>
        <w:tc>
          <w:tcPr>
            <w:tcW w:w="4353" w:type="pct"/>
            <w:vAlign w:val="center"/>
          </w:tcPr>
          <w:p w14:paraId="56C83CFD">
            <w:pPr>
              <w:spacing w:line="360" w:lineRule="auto"/>
              <w:rPr>
                <w:rFonts w:ascii="宋体" w:hAnsi="宋体"/>
                <w:sz w:val="24"/>
              </w:rPr>
            </w:pPr>
            <w:r>
              <w:rPr>
                <w:rFonts w:hint="eastAsia" w:ascii="宋体" w:hAnsi="宋体"/>
                <w:sz w:val="24"/>
              </w:rPr>
              <w:t>投标人对评标结果有异议的，应当于评标结果公示期内向招标人或招标机构提出，并将异议内容上传中国国际招标网。</w:t>
            </w:r>
          </w:p>
        </w:tc>
      </w:tr>
      <w:tr w14:paraId="370E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14:paraId="441D673F">
            <w:pPr>
              <w:spacing w:line="360" w:lineRule="auto"/>
              <w:jc w:val="center"/>
              <w:rPr>
                <w:rFonts w:ascii="宋体" w:hAnsi="宋体"/>
                <w:b/>
                <w:sz w:val="24"/>
              </w:rPr>
            </w:pPr>
            <w:r>
              <w:rPr>
                <w:rFonts w:hint="eastAsia" w:ascii="宋体" w:hAnsi="宋体"/>
                <w:b/>
                <w:sz w:val="24"/>
              </w:rPr>
              <w:t>授予合同</w:t>
            </w:r>
          </w:p>
        </w:tc>
      </w:tr>
      <w:tr w14:paraId="629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490B4181">
            <w:pPr>
              <w:spacing w:line="360" w:lineRule="auto"/>
              <w:jc w:val="center"/>
              <w:rPr>
                <w:rFonts w:ascii="宋体" w:hAnsi="宋体"/>
                <w:sz w:val="24"/>
              </w:rPr>
            </w:pPr>
            <w:r>
              <w:rPr>
                <w:rFonts w:hint="eastAsia" w:ascii="宋体" w:hAnsi="宋体"/>
                <w:sz w:val="24"/>
              </w:rPr>
              <w:t>31</w:t>
            </w:r>
          </w:p>
        </w:tc>
        <w:tc>
          <w:tcPr>
            <w:tcW w:w="4353" w:type="pct"/>
            <w:vAlign w:val="center"/>
          </w:tcPr>
          <w:p w14:paraId="4FDCBED0">
            <w:pPr>
              <w:spacing w:line="360" w:lineRule="auto"/>
              <w:rPr>
                <w:rFonts w:ascii="宋体" w:hAnsi="宋体"/>
                <w:sz w:val="24"/>
              </w:rPr>
            </w:pPr>
            <w:r>
              <w:rPr>
                <w:rFonts w:hint="eastAsia" w:ascii="宋体" w:hAnsi="宋体"/>
                <w:sz w:val="24"/>
              </w:rPr>
              <w:t>中标人的确定：本项目由评标委员会直接确定排名第一的中标候选人为中标人。</w:t>
            </w:r>
          </w:p>
        </w:tc>
      </w:tr>
      <w:tr w14:paraId="3E76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74913C01">
            <w:pPr>
              <w:spacing w:line="360" w:lineRule="auto"/>
              <w:jc w:val="center"/>
              <w:rPr>
                <w:rFonts w:ascii="宋体" w:hAnsi="宋体"/>
                <w:sz w:val="24"/>
              </w:rPr>
            </w:pPr>
            <w:permStart w:id="52" w:edGrp="everyone" w:colFirst="2" w:colLast="2"/>
            <w:r>
              <w:rPr>
                <w:rFonts w:hint="eastAsia" w:ascii="宋体" w:hAnsi="宋体"/>
                <w:sz w:val="24"/>
              </w:rPr>
              <w:t>36</w:t>
            </w:r>
          </w:p>
        </w:tc>
        <w:tc>
          <w:tcPr>
            <w:tcW w:w="4353" w:type="pct"/>
            <w:vAlign w:val="center"/>
          </w:tcPr>
          <w:p w14:paraId="02B7F33E">
            <w:pPr>
              <w:spacing w:line="360" w:lineRule="auto"/>
              <w:rPr>
                <w:rFonts w:ascii="宋体" w:hAnsi="宋体"/>
                <w:sz w:val="24"/>
              </w:rPr>
            </w:pPr>
            <w:bookmarkStart w:id="28" w:name="_Toc522594776"/>
            <w:r>
              <w:rPr>
                <w:rFonts w:hint="eastAsia" w:ascii="宋体" w:hAnsi="宋体"/>
                <w:sz w:val="24"/>
              </w:rPr>
              <w:t>招标服务费</w:t>
            </w:r>
            <w:bookmarkEnd w:id="28"/>
            <w:r>
              <w:rPr>
                <w:rFonts w:hint="eastAsia" w:ascii="宋体" w:hAnsi="宋体"/>
                <w:sz w:val="24"/>
              </w:rPr>
              <w:t>：</w:t>
            </w:r>
          </w:p>
          <w:p w14:paraId="65FB552F">
            <w:pPr>
              <w:spacing w:line="360" w:lineRule="auto"/>
              <w:rPr>
                <w:rFonts w:ascii="宋体" w:hAnsi="宋体"/>
                <w:sz w:val="24"/>
              </w:rPr>
            </w:pPr>
            <w:r>
              <w:rPr>
                <w:rFonts w:hint="eastAsia" w:ascii="宋体" w:hAnsi="宋体"/>
                <w:sz w:val="24"/>
              </w:rPr>
              <w:t>1）本项目的招标服务费由中标人支付；</w:t>
            </w:r>
          </w:p>
          <w:p w14:paraId="75FFC6BD">
            <w:pPr>
              <w:spacing w:line="360" w:lineRule="auto"/>
              <w:rPr>
                <w:rFonts w:ascii="宋体" w:hAnsi="宋体"/>
                <w:sz w:val="24"/>
              </w:rPr>
            </w:pPr>
            <w:r>
              <w:rPr>
                <w:rFonts w:hint="eastAsia" w:ascii="宋体" w:hAnsi="宋体"/>
                <w:sz w:val="24"/>
              </w:rPr>
              <w:t>2）招标服务费支付标准为</w:t>
            </w:r>
            <w:permStart w:id="51" w:edGrp="everyone"/>
            <w:r>
              <w:rPr>
                <w:rFonts w:hint="eastAsia" w:ascii="宋体" w:hAnsi="宋体"/>
                <w:sz w:val="24"/>
              </w:rPr>
              <w:t>中标通知书中确定的中标总金额的百分之壹点伍（1.5％）</w:t>
            </w:r>
            <w:permEnd w:id="51"/>
            <w:r>
              <w:rPr>
                <w:rFonts w:hint="eastAsia" w:ascii="宋体" w:hAnsi="宋体"/>
                <w:sz w:val="24"/>
              </w:rPr>
              <w:t>；</w:t>
            </w:r>
          </w:p>
          <w:p w14:paraId="70782942">
            <w:pPr>
              <w:spacing w:line="360" w:lineRule="auto"/>
              <w:rPr>
                <w:rFonts w:ascii="宋体" w:hAnsi="宋体"/>
                <w:sz w:val="24"/>
              </w:rPr>
            </w:pPr>
            <w:r>
              <w:rPr>
                <w:rFonts w:hint="eastAsia" w:ascii="宋体" w:hAnsi="宋体"/>
                <w:sz w:val="24"/>
              </w:rPr>
              <w:t>3）中标人在接受中标通知书的同时需向招标机构一次性付清；</w:t>
            </w:r>
          </w:p>
          <w:p w14:paraId="4CD3B8B2">
            <w:pPr>
              <w:spacing w:line="360" w:lineRule="auto"/>
              <w:rPr>
                <w:rFonts w:ascii="宋体" w:hAnsi="宋体"/>
                <w:sz w:val="24"/>
              </w:rPr>
            </w:pPr>
            <w:r>
              <w:rPr>
                <w:rFonts w:hint="eastAsia" w:ascii="宋体" w:hAnsi="宋体"/>
                <w:sz w:val="24"/>
              </w:rPr>
              <w:t>4）招标服务费币种与中标签订合同的币种相同，或以人民币支付（按开标日中国银行总行首次发布的外币对人民币的现汇卖出价进行货币转换）；</w:t>
            </w:r>
          </w:p>
          <w:p w14:paraId="716157E8">
            <w:pPr>
              <w:spacing w:line="360" w:lineRule="auto"/>
              <w:rPr>
                <w:rFonts w:ascii="宋体" w:hAnsi="宋体"/>
                <w:sz w:val="24"/>
              </w:rPr>
            </w:pPr>
            <w:r>
              <w:rPr>
                <w:rFonts w:hint="eastAsia" w:ascii="宋体" w:hAnsi="宋体"/>
                <w:sz w:val="24"/>
              </w:rPr>
              <w:t>5）如果中标人不按上述规定交纳招标服务费，其投标保证金将不予退还。</w:t>
            </w:r>
          </w:p>
        </w:tc>
      </w:tr>
      <w:permEnd w:id="52"/>
      <w:tr w14:paraId="4E46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5D1796EE">
            <w:pPr>
              <w:pStyle w:val="104"/>
              <w:spacing w:line="360" w:lineRule="auto"/>
              <w:ind w:left="0" w:firstLine="0"/>
              <w:jc w:val="center"/>
              <w:rPr>
                <w:rFonts w:ascii="宋体" w:hAnsi="宋体" w:eastAsia="宋体"/>
                <w:szCs w:val="24"/>
              </w:rPr>
            </w:pPr>
            <w:permStart w:id="53" w:edGrp="everyone"/>
            <w:r>
              <w:rPr>
                <w:rFonts w:hint="eastAsia" w:ascii="宋体" w:hAnsi="宋体" w:eastAsia="宋体"/>
                <w:szCs w:val="24"/>
              </w:rPr>
              <w:t>★增1</w:t>
            </w:r>
          </w:p>
        </w:tc>
        <w:tc>
          <w:tcPr>
            <w:tcW w:w="4353" w:type="pct"/>
            <w:vAlign w:val="center"/>
          </w:tcPr>
          <w:p w14:paraId="6D060A04">
            <w:pPr>
              <w:spacing w:line="360" w:lineRule="auto"/>
              <w:rPr>
                <w:rFonts w:ascii="宋体" w:hAnsi="宋体"/>
                <w:sz w:val="24"/>
                <w:szCs w:val="24"/>
              </w:rPr>
            </w:pPr>
            <w:r>
              <w:rPr>
                <w:rFonts w:hint="eastAsia" w:ascii="宋体" w:hAnsi="宋体"/>
                <w:sz w:val="24"/>
                <w:szCs w:val="24"/>
              </w:rPr>
              <w:t>关于原产于特定国家（地区）特定进口商品加征关税的规定</w:t>
            </w:r>
          </w:p>
          <w:p w14:paraId="1BBB2854">
            <w:pPr>
              <w:spacing w:line="360" w:lineRule="auto"/>
              <w:rPr>
                <w:rFonts w:ascii="宋体" w:hAnsi="宋体"/>
                <w:sz w:val="24"/>
                <w:szCs w:val="24"/>
              </w:rPr>
            </w:pPr>
            <w:r>
              <w:rPr>
                <w:rFonts w:hint="eastAsia" w:ascii="宋体" w:hAnsi="宋体"/>
                <w:sz w:val="24"/>
                <w:szCs w:val="24"/>
              </w:rPr>
              <w:t>1）投标产品为原产于特定国家（地区）的特定商品被中国政府实施加征关税等措施的，加征的关税以及由此增加的增值税等额外税费由中标人承担。</w:t>
            </w:r>
          </w:p>
          <w:p w14:paraId="7606CF24">
            <w:pPr>
              <w:spacing w:line="360" w:lineRule="auto"/>
              <w:rPr>
                <w:rFonts w:ascii="宋体" w:hAnsi="宋体"/>
                <w:sz w:val="24"/>
                <w:szCs w:val="24"/>
              </w:rPr>
            </w:pPr>
            <w:r>
              <w:rPr>
                <w:rFonts w:hint="eastAsia" w:ascii="宋体" w:hAnsi="宋体"/>
                <w:sz w:val="24"/>
                <w:szCs w:val="24"/>
              </w:rPr>
              <w:t>2）投标人需在投标时出具承担加征关税以及由此增加的增值税等额外税费的承诺书（格式见附件3）。</w:t>
            </w:r>
          </w:p>
          <w:p w14:paraId="7E4593DB">
            <w:pPr>
              <w:pStyle w:val="104"/>
              <w:spacing w:line="360" w:lineRule="auto"/>
              <w:ind w:left="0" w:firstLine="0"/>
              <w:jc w:val="left"/>
              <w:rPr>
                <w:rFonts w:ascii="宋体" w:hAnsi="宋体" w:eastAsia="宋体"/>
                <w:szCs w:val="24"/>
              </w:rPr>
            </w:pPr>
            <w:r>
              <w:rPr>
                <w:rFonts w:hint="eastAsia" w:ascii="宋体" w:hAnsi="宋体" w:eastAsia="宋体"/>
                <w:szCs w:val="24"/>
              </w:rPr>
              <w:t>3）额外税费可以由中标人另行支付给招标人，或者在支付合同验收尾款时直接予以扣减。中标人若以外币支付税费，按海关《专用缴款书》上载明的汇率进行换算。</w:t>
            </w:r>
          </w:p>
        </w:tc>
      </w:tr>
      <w:tr w14:paraId="0B9F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7763DDEE">
            <w:pPr>
              <w:pStyle w:val="104"/>
              <w:spacing w:line="360" w:lineRule="auto"/>
              <w:ind w:left="0" w:firstLine="0"/>
              <w:jc w:val="center"/>
              <w:rPr>
                <w:rFonts w:ascii="宋体" w:hAnsi="宋体" w:eastAsia="宋体"/>
                <w:szCs w:val="24"/>
              </w:rPr>
            </w:pPr>
            <w:r>
              <w:rPr>
                <w:rFonts w:hint="eastAsia" w:ascii="宋体" w:hAnsi="宋体" w:eastAsia="宋体"/>
                <w:szCs w:val="24"/>
              </w:rPr>
              <w:t>★增2</w:t>
            </w:r>
          </w:p>
        </w:tc>
        <w:tc>
          <w:tcPr>
            <w:tcW w:w="4353" w:type="pct"/>
            <w:vAlign w:val="center"/>
          </w:tcPr>
          <w:p w14:paraId="4D45D8EA">
            <w:pPr>
              <w:spacing w:line="360" w:lineRule="auto"/>
              <w:rPr>
                <w:rFonts w:ascii="宋体" w:hAnsi="宋体"/>
                <w:sz w:val="24"/>
                <w:szCs w:val="24"/>
              </w:rPr>
            </w:pPr>
            <w:r>
              <w:rPr>
                <w:rFonts w:hint="eastAsia" w:ascii="宋体" w:hAnsi="宋体"/>
                <w:sz w:val="24"/>
                <w:szCs w:val="24"/>
              </w:rPr>
              <w:t>招标代理机构将在评标会召开日期前通过“信用中国”网站（www.creditchina.gov.cn）、中国政府采购网（www.ccgp.gov.cn）查询投标人的信用记录，查询时间不早于本项目公告发布之日。招标代理机构将查询结果截图后留存在评标报告内，对列入失信被执行人名单</w:t>
            </w:r>
            <w:r>
              <w:rPr>
                <w:rFonts w:hint="eastAsia" w:ascii="宋体" w:hAnsi="宋体"/>
                <w:sz w:val="24"/>
                <w:szCs w:val="24"/>
              </w:rPr>
              <w:t>、重大税收违法案件当事人名单、政府采购严重违法失信行为记录名单的投标人，其投标将被否决。</w:t>
            </w:r>
          </w:p>
        </w:tc>
      </w:tr>
      <w:tr w14:paraId="5E05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6" w:type="pct"/>
            <w:vAlign w:val="center"/>
          </w:tcPr>
          <w:p w14:paraId="7C4F741F">
            <w:pPr>
              <w:pStyle w:val="104"/>
              <w:spacing w:line="360" w:lineRule="auto"/>
              <w:ind w:left="0" w:firstLine="0"/>
              <w:jc w:val="center"/>
              <w:rPr>
                <w:rFonts w:ascii="宋体" w:hAnsi="宋体" w:eastAsia="宋体"/>
                <w:szCs w:val="24"/>
              </w:rPr>
            </w:pPr>
            <w:r>
              <w:rPr>
                <w:rFonts w:hint="eastAsia" w:ascii="宋体" w:hAnsi="宋体" w:eastAsia="宋体"/>
                <w:szCs w:val="24"/>
              </w:rPr>
              <w:t>增3</w:t>
            </w:r>
          </w:p>
        </w:tc>
        <w:tc>
          <w:tcPr>
            <w:tcW w:w="4353" w:type="pct"/>
            <w:vAlign w:val="center"/>
          </w:tcPr>
          <w:p w14:paraId="0F26C951">
            <w:pPr>
              <w:spacing w:line="360" w:lineRule="auto"/>
              <w:rPr>
                <w:rFonts w:ascii="宋体" w:hAnsi="宋体"/>
                <w:sz w:val="24"/>
                <w:szCs w:val="24"/>
              </w:rPr>
            </w:pPr>
            <w:r>
              <w:rPr>
                <w:rFonts w:hint="eastAsia" w:ascii="宋体" w:hAnsi="宋体"/>
                <w:sz w:val="24"/>
                <w:szCs w:val="24"/>
              </w:rPr>
              <w:t>投标人需根据招标文件“附件7购销合同”格式，并按照招标文件中项目需求及投标响应情况填写合同。填写后的合同需加盖投标人公章，并于投标截止时间前</w:t>
            </w:r>
            <w:r>
              <w:rPr>
                <w:rFonts w:hint="eastAsia" w:ascii="宋体" w:hAnsi="宋体"/>
                <w:b/>
                <w:bCs/>
                <w:sz w:val="24"/>
                <w:szCs w:val="24"/>
              </w:rPr>
              <w:t>单独密封提交</w:t>
            </w:r>
            <w:r>
              <w:rPr>
                <w:rFonts w:hint="eastAsia" w:ascii="宋体" w:hAnsi="宋体"/>
                <w:sz w:val="24"/>
                <w:szCs w:val="24"/>
              </w:rPr>
              <w:t>。该购销合同仅作为投标内容组成部分，</w:t>
            </w:r>
            <w:r>
              <w:rPr>
                <w:rFonts w:hint="eastAsia" w:ascii="宋体" w:hAnsi="宋体"/>
                <w:bCs/>
                <w:sz w:val="24"/>
                <w:szCs w:val="24"/>
              </w:rPr>
              <w:t>最终</w:t>
            </w:r>
            <w:r>
              <w:rPr>
                <w:rFonts w:hint="eastAsia" w:ascii="宋体" w:hAnsi="宋体"/>
                <w:sz w:val="24"/>
                <w:szCs w:val="24"/>
              </w:rPr>
              <w:t>合同</w:t>
            </w:r>
            <w:r>
              <w:rPr>
                <w:rFonts w:hint="eastAsia" w:ascii="宋体" w:hAnsi="宋体"/>
                <w:bCs/>
                <w:sz w:val="24"/>
                <w:szCs w:val="24"/>
              </w:rPr>
              <w:t>按照</w:t>
            </w:r>
            <w:r>
              <w:rPr>
                <w:rFonts w:hint="eastAsia" w:ascii="宋体" w:hAnsi="宋体"/>
                <w:sz w:val="24"/>
                <w:szCs w:val="24"/>
              </w:rPr>
              <w:t>中标结果进行签订。</w:t>
            </w:r>
          </w:p>
        </w:tc>
      </w:tr>
      <w:permEnd w:id="53"/>
    </w:tbl>
    <w:p w14:paraId="2444A266">
      <w:pPr>
        <w:pStyle w:val="88"/>
        <w:spacing w:line="360" w:lineRule="auto"/>
        <w:rPr>
          <w:rFonts w:ascii="宋体" w:hAnsi="宋体" w:eastAsia="宋体"/>
        </w:rPr>
      </w:pPr>
      <w:bookmarkStart w:id="29" w:name="_Toc84929691"/>
      <w:bookmarkStart w:id="30" w:name="_Toc9066360"/>
      <w:bookmarkStart w:id="31" w:name="_Toc74677721"/>
      <w:r>
        <w:rPr>
          <w:rFonts w:ascii="宋体" w:hAnsi="宋体" w:eastAsia="宋体"/>
        </w:rPr>
        <w:br w:type="page"/>
      </w:r>
      <w:bookmarkStart w:id="32" w:name="_Toc109920765"/>
      <w:r>
        <w:rPr>
          <w:rFonts w:hint="eastAsia" w:ascii="宋体" w:hAnsi="宋体" w:eastAsia="宋体"/>
        </w:rPr>
        <w:t>第七章 合同专用条款</w:t>
      </w:r>
      <w:bookmarkEnd w:id="29"/>
      <w:bookmarkEnd w:id="30"/>
      <w:bookmarkEnd w:id="31"/>
      <w:bookmarkEnd w:id="32"/>
    </w:p>
    <w:p w14:paraId="7816EC68">
      <w:pPr>
        <w:pStyle w:val="5"/>
        <w:tabs>
          <w:tab w:val="left" w:pos="532"/>
        </w:tabs>
        <w:autoSpaceDE w:val="0"/>
        <w:autoSpaceDN w:val="0"/>
        <w:spacing w:line="360" w:lineRule="auto"/>
        <w:ind w:firstLine="0"/>
        <w:rPr>
          <w:rFonts w:ascii="宋体" w:hAnsi="宋体"/>
          <w:sz w:val="24"/>
        </w:rPr>
      </w:pPr>
      <w:r>
        <w:rPr>
          <w:rFonts w:hint="eastAsia" w:ascii="宋体" w:hAnsi="宋体"/>
          <w:sz w:val="24"/>
        </w:rPr>
        <w:t>下述合同专用条款是对《第二章 合同通用条款》的补充。如果合同专用条款与《第二章 合同通用条款》有矛盾的话，应以本专用条款为准。</w:t>
      </w:r>
    </w:p>
    <w:tbl>
      <w:tblPr>
        <w:tblStyle w:val="41"/>
        <w:tblW w:w="952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240"/>
      </w:tblGrid>
      <w:tr w14:paraId="7B62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286" w:type="dxa"/>
            <w:vAlign w:val="center"/>
          </w:tcPr>
          <w:p w14:paraId="22784B51">
            <w:pPr>
              <w:spacing w:line="360" w:lineRule="auto"/>
              <w:jc w:val="center"/>
              <w:rPr>
                <w:rFonts w:ascii="宋体" w:hAnsi="宋体"/>
                <w:b/>
                <w:sz w:val="24"/>
              </w:rPr>
            </w:pPr>
            <w:r>
              <w:rPr>
                <w:rFonts w:hint="eastAsia" w:ascii="宋体" w:hAnsi="宋体"/>
                <w:b/>
                <w:sz w:val="24"/>
              </w:rPr>
              <w:t>条款号</w:t>
            </w:r>
          </w:p>
        </w:tc>
        <w:tc>
          <w:tcPr>
            <w:tcW w:w="0" w:type="auto"/>
            <w:vAlign w:val="center"/>
          </w:tcPr>
          <w:p w14:paraId="7BEE2DE0">
            <w:pPr>
              <w:spacing w:line="360" w:lineRule="auto"/>
              <w:jc w:val="center"/>
              <w:rPr>
                <w:rFonts w:ascii="宋体" w:hAnsi="宋体"/>
                <w:b/>
                <w:sz w:val="24"/>
              </w:rPr>
            </w:pPr>
            <w:r>
              <w:rPr>
                <w:rFonts w:hint="eastAsia" w:ascii="宋体" w:hAnsi="宋体"/>
                <w:b/>
                <w:sz w:val="24"/>
              </w:rPr>
              <w:t>内容</w:t>
            </w:r>
          </w:p>
        </w:tc>
      </w:tr>
      <w:tr w14:paraId="3F80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1286" w:type="dxa"/>
          </w:tcPr>
          <w:p w14:paraId="1C4CA769">
            <w:pPr>
              <w:spacing w:line="360" w:lineRule="auto"/>
              <w:jc w:val="center"/>
              <w:rPr>
                <w:rFonts w:ascii="宋体" w:hAnsi="宋体"/>
                <w:sz w:val="24"/>
              </w:rPr>
            </w:pPr>
            <w:r>
              <w:rPr>
                <w:rFonts w:hint="eastAsia" w:ascii="宋体" w:hAnsi="宋体"/>
                <w:sz w:val="24"/>
              </w:rPr>
              <w:t>1.1 7）</w:t>
            </w:r>
          </w:p>
        </w:tc>
        <w:tc>
          <w:tcPr>
            <w:tcW w:w="0" w:type="auto"/>
            <w:vAlign w:val="center"/>
          </w:tcPr>
          <w:p w14:paraId="43BF21D0">
            <w:pPr>
              <w:spacing w:line="360" w:lineRule="auto"/>
              <w:rPr>
                <w:rFonts w:ascii="宋体" w:hAnsi="宋体"/>
                <w:sz w:val="24"/>
              </w:rPr>
            </w:pPr>
            <w:r>
              <w:rPr>
                <w:rFonts w:hint="eastAsia" w:ascii="宋体" w:hAnsi="宋体"/>
                <w:sz w:val="24"/>
              </w:rPr>
              <w:t>买方名称：</w:t>
            </w:r>
            <w:permStart w:id="54" w:edGrp="everyone"/>
            <w:r>
              <w:rPr>
                <w:rFonts w:hint="eastAsia" w:ascii="宋体" w:hAnsi="宋体"/>
                <w:sz w:val="24"/>
              </w:rPr>
              <w:t>上海中医药大学附属岳阳中西医结合医院</w:t>
            </w:r>
            <w:permEnd w:id="54"/>
          </w:p>
          <w:p w14:paraId="16810B05">
            <w:pPr>
              <w:spacing w:line="360" w:lineRule="auto"/>
              <w:rPr>
                <w:rFonts w:ascii="宋体" w:hAnsi="宋体"/>
                <w:sz w:val="24"/>
              </w:rPr>
            </w:pPr>
            <w:r>
              <w:rPr>
                <w:rFonts w:hint="eastAsia" w:ascii="宋体" w:hAnsi="宋体"/>
                <w:sz w:val="24"/>
              </w:rPr>
              <w:t>买方地址：</w:t>
            </w:r>
            <w:permStart w:id="55" w:edGrp="everyone"/>
            <w:r>
              <w:rPr>
                <w:rFonts w:hint="eastAsia" w:ascii="宋体" w:hAnsi="宋体"/>
                <w:sz w:val="24"/>
              </w:rPr>
              <w:t>中国上海市甘河路110号</w:t>
            </w:r>
            <w:permEnd w:id="55"/>
          </w:p>
          <w:p w14:paraId="6F908C37">
            <w:pPr>
              <w:spacing w:line="360" w:lineRule="auto"/>
              <w:rPr>
                <w:rFonts w:ascii="宋体" w:hAnsi="宋体"/>
                <w:color w:val="00B0F0"/>
                <w:sz w:val="24"/>
              </w:rPr>
            </w:pPr>
            <w:r>
              <w:rPr>
                <w:rFonts w:hint="eastAsia" w:ascii="宋体" w:hAnsi="宋体"/>
                <w:sz w:val="24"/>
              </w:rPr>
              <w:t>邮编：</w:t>
            </w:r>
            <w:permStart w:id="56" w:edGrp="everyone"/>
            <w:r>
              <w:rPr>
                <w:rFonts w:ascii="宋体" w:hAnsi="宋体"/>
                <w:sz w:val="24"/>
              </w:rPr>
              <w:t>200437</w:t>
            </w:r>
            <w:permEnd w:id="56"/>
          </w:p>
          <w:p w14:paraId="17600C2D">
            <w:pPr>
              <w:spacing w:line="360" w:lineRule="auto"/>
              <w:rPr>
                <w:rFonts w:ascii="宋体" w:hAnsi="宋体"/>
                <w:sz w:val="24"/>
              </w:rPr>
            </w:pPr>
            <w:r>
              <w:rPr>
                <w:rFonts w:hint="eastAsia" w:ascii="宋体" w:hAnsi="宋体"/>
                <w:sz w:val="24"/>
              </w:rPr>
              <w:t>电话：</w:t>
            </w:r>
            <w:permStart w:id="57" w:edGrp="everyone"/>
            <w:r>
              <w:rPr>
                <w:rFonts w:hint="eastAsia" w:ascii="宋体" w:hAnsi="宋体"/>
                <w:sz w:val="24"/>
              </w:rPr>
              <w:t>021-65161782转1533</w:t>
            </w:r>
            <w:permEnd w:id="57"/>
          </w:p>
          <w:p w14:paraId="5ABFC6EE">
            <w:pPr>
              <w:spacing w:line="360" w:lineRule="auto"/>
              <w:rPr>
                <w:rFonts w:ascii="宋体" w:hAnsi="宋体"/>
                <w:sz w:val="24"/>
              </w:rPr>
            </w:pPr>
            <w:r>
              <w:rPr>
                <w:rFonts w:hint="eastAsia" w:ascii="宋体" w:hAnsi="宋体"/>
                <w:sz w:val="24"/>
              </w:rPr>
              <w:t>传真：</w:t>
            </w:r>
            <w:permStart w:id="58" w:edGrp="everyone"/>
            <w:r>
              <w:rPr>
                <w:rFonts w:hint="eastAsia" w:ascii="宋体" w:hAnsi="宋体"/>
                <w:sz w:val="24"/>
              </w:rPr>
              <w:t>021-65161782转1533</w:t>
            </w:r>
            <w:permEnd w:id="58"/>
          </w:p>
          <w:p w14:paraId="0A3F753A">
            <w:pPr>
              <w:spacing w:line="360" w:lineRule="auto"/>
              <w:rPr>
                <w:rFonts w:ascii="宋体" w:hAnsi="宋体"/>
                <w:sz w:val="24"/>
              </w:rPr>
            </w:pPr>
            <w:r>
              <w:rPr>
                <w:rFonts w:hint="eastAsia" w:ascii="宋体" w:hAnsi="宋体"/>
                <w:sz w:val="24"/>
              </w:rPr>
              <w:t>联系人：</w:t>
            </w:r>
            <w:permStart w:id="59" w:edGrp="everyone"/>
            <w:r>
              <w:rPr>
                <w:rFonts w:hint="eastAsia" w:ascii="宋体" w:hAnsi="宋体"/>
                <w:sz w:val="24"/>
              </w:rPr>
              <w:t>陈豪</w:t>
            </w:r>
            <w:permEnd w:id="59"/>
          </w:p>
        </w:tc>
      </w:tr>
      <w:tr w14:paraId="36F3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86" w:type="dxa"/>
          </w:tcPr>
          <w:p w14:paraId="4E354611">
            <w:pPr>
              <w:spacing w:line="360" w:lineRule="auto"/>
              <w:jc w:val="center"/>
              <w:rPr>
                <w:rFonts w:ascii="宋体" w:hAnsi="宋体"/>
                <w:sz w:val="24"/>
              </w:rPr>
            </w:pPr>
            <w:r>
              <w:rPr>
                <w:rFonts w:hint="eastAsia" w:ascii="宋体" w:hAnsi="宋体"/>
                <w:sz w:val="24"/>
              </w:rPr>
              <w:t>1.1 8）</w:t>
            </w:r>
          </w:p>
        </w:tc>
        <w:tc>
          <w:tcPr>
            <w:tcW w:w="0" w:type="auto"/>
            <w:vAlign w:val="center"/>
          </w:tcPr>
          <w:p w14:paraId="6CCDD702">
            <w:pPr>
              <w:spacing w:line="360" w:lineRule="auto"/>
              <w:rPr>
                <w:rFonts w:ascii="宋体" w:hAnsi="宋体"/>
                <w:sz w:val="24"/>
              </w:rPr>
            </w:pPr>
            <w:r>
              <w:rPr>
                <w:rFonts w:hint="eastAsia" w:ascii="宋体" w:hAnsi="宋体"/>
                <w:sz w:val="24"/>
              </w:rPr>
              <w:t>卖方名称：</w:t>
            </w:r>
            <w:r>
              <w:rPr>
                <w:rFonts w:ascii="宋体" w:hAnsi="宋体"/>
                <w:sz w:val="24"/>
              </w:rPr>
              <w:tab/>
            </w:r>
          </w:p>
          <w:p w14:paraId="2FBE69F4">
            <w:pPr>
              <w:spacing w:line="360" w:lineRule="auto"/>
              <w:rPr>
                <w:rFonts w:ascii="宋体" w:hAnsi="宋体"/>
                <w:sz w:val="24"/>
              </w:rPr>
            </w:pPr>
            <w:r>
              <w:rPr>
                <w:rFonts w:hint="eastAsia" w:ascii="宋体" w:hAnsi="宋体"/>
                <w:sz w:val="24"/>
              </w:rPr>
              <w:t>卖方地址：</w:t>
            </w:r>
            <w:r>
              <w:rPr>
                <w:rFonts w:ascii="宋体" w:hAnsi="宋体"/>
                <w:sz w:val="24"/>
              </w:rPr>
              <w:tab/>
            </w:r>
          </w:p>
        </w:tc>
      </w:tr>
      <w:tr w14:paraId="34E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86" w:type="dxa"/>
          </w:tcPr>
          <w:p w14:paraId="3713C788">
            <w:pPr>
              <w:spacing w:line="360" w:lineRule="auto"/>
              <w:jc w:val="center"/>
              <w:rPr>
                <w:rFonts w:ascii="宋体" w:hAnsi="宋体"/>
                <w:sz w:val="24"/>
              </w:rPr>
            </w:pPr>
            <w:r>
              <w:rPr>
                <w:rFonts w:hint="eastAsia" w:ascii="宋体" w:hAnsi="宋体"/>
                <w:sz w:val="24"/>
              </w:rPr>
              <w:t>1.1 10）</w:t>
            </w:r>
          </w:p>
        </w:tc>
        <w:tc>
          <w:tcPr>
            <w:tcW w:w="0" w:type="auto"/>
            <w:vAlign w:val="center"/>
          </w:tcPr>
          <w:p w14:paraId="0CDA7C82">
            <w:pPr>
              <w:spacing w:line="360" w:lineRule="auto"/>
              <w:rPr>
                <w:rFonts w:ascii="宋体" w:hAnsi="宋体"/>
                <w:sz w:val="24"/>
              </w:rPr>
            </w:pPr>
            <w:r>
              <w:rPr>
                <w:rFonts w:hint="eastAsia" w:ascii="宋体" w:hAnsi="宋体"/>
                <w:sz w:val="24"/>
              </w:rPr>
              <w:t>项目现场：</w:t>
            </w:r>
            <w:permStart w:id="60" w:edGrp="everyone"/>
            <w:r>
              <w:rPr>
                <w:rFonts w:hint="eastAsia" w:ascii="宋体" w:hAnsi="宋体"/>
                <w:sz w:val="24"/>
              </w:rPr>
              <w:t>招标人指定地点</w:t>
            </w:r>
            <w:permEnd w:id="60"/>
          </w:p>
        </w:tc>
      </w:tr>
      <w:tr w14:paraId="7C71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86" w:type="dxa"/>
          </w:tcPr>
          <w:p w14:paraId="26C3B18E">
            <w:pPr>
              <w:pStyle w:val="5"/>
              <w:autoSpaceDE w:val="0"/>
              <w:autoSpaceDN w:val="0"/>
              <w:spacing w:line="360" w:lineRule="auto"/>
              <w:ind w:hanging="78"/>
              <w:jc w:val="center"/>
              <w:rPr>
                <w:rFonts w:ascii="宋体" w:hAnsi="宋体"/>
                <w:sz w:val="24"/>
              </w:rPr>
            </w:pPr>
            <w:r>
              <w:rPr>
                <w:rFonts w:hint="eastAsia" w:ascii="宋体" w:hAnsi="宋体"/>
                <w:sz w:val="24"/>
              </w:rPr>
              <w:t>★7.1</w:t>
            </w:r>
          </w:p>
        </w:tc>
        <w:tc>
          <w:tcPr>
            <w:tcW w:w="0" w:type="auto"/>
            <w:vAlign w:val="center"/>
          </w:tcPr>
          <w:p w14:paraId="3C7F5879">
            <w:pPr>
              <w:pStyle w:val="5"/>
              <w:autoSpaceDE w:val="0"/>
              <w:autoSpaceDN w:val="0"/>
              <w:spacing w:line="360" w:lineRule="auto"/>
              <w:ind w:right="57" w:firstLine="0"/>
              <w:rPr>
                <w:rFonts w:ascii="宋体" w:hAnsi="宋体"/>
                <w:sz w:val="24"/>
                <w:shd w:val="pct10" w:color="auto" w:fill="FFFFFF"/>
              </w:rPr>
            </w:pPr>
            <w:permStart w:id="61" w:edGrp="everyone"/>
            <w:r>
              <w:rPr>
                <w:rFonts w:hint="eastAsia" w:ascii="宋体" w:hAnsi="宋体"/>
                <w:sz w:val="24"/>
              </w:rPr>
              <w:t>履约保证金：不适用。</w:t>
            </w:r>
            <w:permEnd w:id="61"/>
          </w:p>
        </w:tc>
      </w:tr>
      <w:tr w14:paraId="6FD4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86" w:type="dxa"/>
          </w:tcPr>
          <w:p w14:paraId="3824877E">
            <w:pPr>
              <w:spacing w:line="360" w:lineRule="auto"/>
              <w:jc w:val="center"/>
              <w:rPr>
                <w:rFonts w:ascii="宋体" w:hAnsi="宋体"/>
                <w:sz w:val="24"/>
              </w:rPr>
            </w:pPr>
            <w:r>
              <w:rPr>
                <w:rFonts w:hint="eastAsia" w:ascii="宋体" w:hAnsi="宋体"/>
                <w:sz w:val="24"/>
              </w:rPr>
              <w:t>16</w:t>
            </w:r>
            <w:r>
              <w:rPr>
                <w:rFonts w:ascii="宋体" w:hAnsi="宋体"/>
                <w:sz w:val="24"/>
              </w:rPr>
              <w:t>.1</w:t>
            </w:r>
          </w:p>
        </w:tc>
        <w:tc>
          <w:tcPr>
            <w:tcW w:w="0" w:type="auto"/>
            <w:vAlign w:val="center"/>
          </w:tcPr>
          <w:p w14:paraId="6C6EC051">
            <w:pPr>
              <w:spacing w:line="360" w:lineRule="auto"/>
              <w:rPr>
                <w:rFonts w:ascii="宋体" w:hAnsi="宋体"/>
                <w:sz w:val="24"/>
              </w:rPr>
            </w:pPr>
            <w:r>
              <w:rPr>
                <w:rFonts w:hint="eastAsia" w:ascii="宋体" w:hAnsi="宋体"/>
                <w:sz w:val="24"/>
              </w:rPr>
              <w:t>应提供的伴随服务：1），2），3），4），5）适用。</w:t>
            </w:r>
          </w:p>
        </w:tc>
      </w:tr>
      <w:tr w14:paraId="4296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86" w:type="dxa"/>
          </w:tcPr>
          <w:p w14:paraId="5278A87A">
            <w:pPr>
              <w:spacing w:line="360" w:lineRule="auto"/>
              <w:jc w:val="center"/>
              <w:rPr>
                <w:rFonts w:ascii="宋体" w:hAnsi="宋体"/>
                <w:sz w:val="24"/>
              </w:rPr>
            </w:pPr>
            <w:r>
              <w:rPr>
                <w:rFonts w:hint="eastAsia" w:ascii="宋体" w:hAnsi="宋体"/>
                <w:sz w:val="24"/>
              </w:rPr>
              <w:t>17</w:t>
            </w:r>
            <w:r>
              <w:rPr>
                <w:rFonts w:ascii="宋体" w:hAnsi="宋体"/>
                <w:sz w:val="24"/>
              </w:rPr>
              <w:t>.2</w:t>
            </w:r>
          </w:p>
        </w:tc>
        <w:tc>
          <w:tcPr>
            <w:tcW w:w="0" w:type="auto"/>
            <w:vAlign w:val="center"/>
          </w:tcPr>
          <w:p w14:paraId="79E43372">
            <w:pPr>
              <w:spacing w:line="360" w:lineRule="auto"/>
              <w:rPr>
                <w:rFonts w:ascii="宋体" w:hAnsi="宋体"/>
                <w:sz w:val="24"/>
              </w:rPr>
            </w:pPr>
            <w:r>
              <w:rPr>
                <w:rFonts w:hint="eastAsia" w:ascii="宋体" w:hAnsi="宋体"/>
                <w:sz w:val="24"/>
              </w:rPr>
              <w:t>卖方应按产品出厂标准供应货物质保期内运行所需的易损件和备品备件、随机易损件、专用工具和附件、安装必须的特殊专用工具。若对备件有具体要求，详见《第八章 货物需求一览表及技术规格》的相关条款。</w:t>
            </w:r>
          </w:p>
        </w:tc>
      </w:tr>
      <w:tr w14:paraId="34A6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86" w:type="dxa"/>
          </w:tcPr>
          <w:p w14:paraId="28CC36A9">
            <w:pPr>
              <w:spacing w:line="360" w:lineRule="auto"/>
              <w:jc w:val="center"/>
              <w:rPr>
                <w:rFonts w:ascii="宋体" w:hAnsi="宋体"/>
                <w:sz w:val="24"/>
              </w:rPr>
            </w:pPr>
            <w:r>
              <w:rPr>
                <w:rFonts w:ascii="宋体" w:hAnsi="宋体"/>
                <w:sz w:val="24"/>
              </w:rPr>
              <w:t>18.2</w:t>
            </w:r>
          </w:p>
        </w:tc>
        <w:tc>
          <w:tcPr>
            <w:tcW w:w="0" w:type="auto"/>
            <w:vAlign w:val="center"/>
          </w:tcPr>
          <w:p w14:paraId="3D59AF49">
            <w:pPr>
              <w:spacing w:line="360" w:lineRule="auto"/>
              <w:rPr>
                <w:rFonts w:ascii="宋体" w:hAnsi="宋体"/>
                <w:sz w:val="24"/>
              </w:rPr>
            </w:pPr>
            <w:r>
              <w:rPr>
                <w:rFonts w:hint="eastAsia" w:ascii="宋体" w:hAnsi="宋体"/>
                <w:sz w:val="24"/>
              </w:rPr>
              <w:t>免费质保期为</w:t>
            </w:r>
            <w:permStart w:id="62" w:edGrp="everyone"/>
            <w:r>
              <w:rPr>
                <w:rFonts w:hint="eastAsia" w:ascii="宋体" w:hAnsi="宋体"/>
                <w:sz w:val="24"/>
              </w:rPr>
              <w:t>合同货物验收合格后的3年或以上保持有效（不含冲击波线圈,冲击波线圈质保≥200万次击发）</w:t>
            </w:r>
            <w:permEnd w:id="62"/>
            <w:r>
              <w:rPr>
                <w:rFonts w:hint="eastAsia" w:ascii="宋体" w:hAnsi="宋体"/>
                <w:sz w:val="24"/>
              </w:rPr>
              <w:t>。其他相关要求详见《第八章 货物需求一览表及技术规格》的相关条款。</w:t>
            </w:r>
          </w:p>
        </w:tc>
      </w:tr>
      <w:tr w14:paraId="548E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86" w:type="dxa"/>
          </w:tcPr>
          <w:p w14:paraId="6D8C21C3">
            <w:pPr>
              <w:spacing w:line="360" w:lineRule="auto"/>
              <w:jc w:val="center"/>
              <w:rPr>
                <w:rFonts w:ascii="宋体" w:hAnsi="宋体"/>
                <w:sz w:val="24"/>
              </w:rPr>
            </w:pPr>
            <w:r>
              <w:rPr>
                <w:rFonts w:hint="eastAsia" w:ascii="宋体" w:hAnsi="宋体"/>
                <w:sz w:val="24"/>
              </w:rPr>
              <w:t>18</w:t>
            </w:r>
            <w:r>
              <w:rPr>
                <w:rFonts w:ascii="宋体" w:hAnsi="宋体"/>
                <w:sz w:val="24"/>
              </w:rPr>
              <w:t>.4</w:t>
            </w:r>
          </w:p>
        </w:tc>
        <w:tc>
          <w:tcPr>
            <w:tcW w:w="0" w:type="auto"/>
            <w:vAlign w:val="center"/>
          </w:tcPr>
          <w:p w14:paraId="33F83824">
            <w:pPr>
              <w:spacing w:line="360" w:lineRule="auto"/>
              <w:rPr>
                <w:rFonts w:ascii="宋体" w:hAnsi="宋体"/>
                <w:sz w:val="24"/>
              </w:rPr>
            </w:pPr>
            <w:r>
              <w:rPr>
                <w:rFonts w:hint="eastAsia" w:ascii="宋体" w:hAnsi="宋体"/>
                <w:sz w:val="24"/>
              </w:rPr>
              <w:t>免费维修与更换缺陷部件的期限：</w:t>
            </w:r>
            <w:permStart w:id="63" w:edGrp="everyone"/>
            <w:r>
              <w:rPr>
                <w:rFonts w:hint="eastAsia" w:ascii="宋体" w:hAnsi="宋体"/>
                <w:sz w:val="24"/>
              </w:rPr>
              <w:t>接到医院通知后，故障报修的响应时间≤</w:t>
            </w:r>
            <w:r>
              <w:rPr>
                <w:rFonts w:hint="eastAsia" w:ascii="宋体" w:hAnsi="宋体"/>
                <w:color w:val="000000" w:themeColor="text1"/>
                <w:sz w:val="24"/>
                <w14:textFill>
                  <w14:solidFill>
                    <w14:schemeClr w14:val="tx1"/>
                  </w14:solidFill>
                </w14:textFill>
              </w:rPr>
              <w:t>2</w:t>
            </w:r>
            <w:r>
              <w:rPr>
                <w:rFonts w:hint="eastAsia" w:ascii="宋体" w:hAnsi="宋体"/>
                <w:sz w:val="24"/>
              </w:rPr>
              <w:t>小时，工程师到场时间≤24小时，排除故障时间≤48小时，不能及时修复的补救措施：提供备件或备用机。卖方有责任对合同货物在必要时进行定期维修及修理。质保期内合同货物的维修、零配件的更换以及由此所发生的一切费用均由卖方承担，卖方提供终身服务，并保证零配件的供应不少于10年。同时卖方应遵守第八章中有关对售后服务条款的要求。</w:t>
            </w:r>
            <w:permEnd w:id="63"/>
          </w:p>
        </w:tc>
      </w:tr>
      <w:tr w14:paraId="3052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86" w:type="dxa"/>
          </w:tcPr>
          <w:p w14:paraId="7C888F51">
            <w:pPr>
              <w:spacing w:line="360" w:lineRule="auto"/>
              <w:jc w:val="center"/>
              <w:rPr>
                <w:rFonts w:ascii="宋体" w:hAnsi="宋体"/>
                <w:sz w:val="24"/>
              </w:rPr>
            </w:pPr>
            <w:r>
              <w:rPr>
                <w:rFonts w:hint="eastAsia" w:ascii="宋体" w:hAnsi="宋体"/>
                <w:sz w:val="24"/>
              </w:rPr>
              <w:t>20.1.1</w:t>
            </w:r>
          </w:p>
        </w:tc>
        <w:tc>
          <w:tcPr>
            <w:tcW w:w="0" w:type="auto"/>
            <w:vAlign w:val="center"/>
          </w:tcPr>
          <w:p w14:paraId="1DEF1163">
            <w:pPr>
              <w:pStyle w:val="5"/>
              <w:autoSpaceDE w:val="0"/>
              <w:autoSpaceDN w:val="0"/>
              <w:spacing w:line="360" w:lineRule="auto"/>
              <w:ind w:left="627" w:right="57" w:hanging="581"/>
              <w:rPr>
                <w:rFonts w:ascii="宋体" w:hAnsi="宋体"/>
                <w:sz w:val="24"/>
                <w:szCs w:val="24"/>
              </w:rPr>
            </w:pPr>
            <w:permStart w:id="64" w:edGrp="everyone"/>
            <w:r>
              <w:rPr>
                <w:rFonts w:hint="eastAsia" w:ascii="宋体" w:hAnsi="宋体"/>
                <w:sz w:val="24"/>
                <w:szCs w:val="24"/>
              </w:rPr>
              <w:t>（一）从中华人民共和国关境外提供的货物，如果货物原产地非特定国家（地区），买方将按如下方式付款给卖方：</w:t>
            </w:r>
          </w:p>
          <w:p w14:paraId="777AB949">
            <w:pPr>
              <w:pStyle w:val="104"/>
              <w:spacing w:line="360" w:lineRule="auto"/>
              <w:ind w:left="2067" w:leftChars="299" w:hanging="1440" w:hangingChars="600"/>
              <w:rPr>
                <w:rFonts w:ascii="宋体" w:hAnsi="宋体" w:eastAsia="宋体"/>
                <w:szCs w:val="24"/>
              </w:rPr>
            </w:pPr>
            <w:r>
              <w:rPr>
                <w:rFonts w:hint="eastAsia" w:ascii="宋体" w:hAnsi="宋体" w:eastAsia="宋体"/>
                <w:szCs w:val="24"/>
              </w:rPr>
              <w:t>20.1.1.1 (</w:t>
            </w:r>
            <w:r>
              <w:rPr>
                <w:rFonts w:ascii="宋体" w:hAnsi="宋体" w:eastAsia="宋体"/>
                <w:szCs w:val="24"/>
              </w:rPr>
              <w:t>a)</w:t>
            </w:r>
            <w:r>
              <w:rPr>
                <w:rFonts w:hint="eastAsia" w:ascii="宋体" w:hAnsi="宋体" w:eastAsia="宋体"/>
                <w:szCs w:val="24"/>
              </w:rPr>
              <w:t xml:space="preserve"> 在合同规定的装运期前90天，买方将通过买方银行开出以卖方为受益人的不可撤销即期信用证(样式见第三章)，信用证金额等于货物合同金额的</w:t>
            </w:r>
            <w:r>
              <w:rPr>
                <w:rFonts w:ascii="宋体" w:hAnsi="宋体" w:eastAsia="宋体"/>
                <w:szCs w:val="24"/>
              </w:rPr>
              <w:t>9</w:t>
            </w:r>
            <w:r>
              <w:rPr>
                <w:rFonts w:hint="eastAsia" w:ascii="宋体" w:hAnsi="宋体" w:eastAsia="宋体"/>
                <w:szCs w:val="24"/>
              </w:rPr>
              <w:t>0％，信用证有效期至合同规定最后一次交货后的第21天为止。每批发货金额的</w:t>
            </w:r>
            <w:r>
              <w:rPr>
                <w:rFonts w:ascii="宋体" w:hAnsi="宋体" w:eastAsia="宋体"/>
                <w:szCs w:val="24"/>
              </w:rPr>
              <w:t>9</w:t>
            </w:r>
            <w:r>
              <w:rPr>
                <w:rFonts w:hint="eastAsia" w:ascii="宋体" w:hAnsi="宋体" w:eastAsia="宋体"/>
                <w:szCs w:val="24"/>
              </w:rPr>
              <w:t>0％在收到下列单据并审核无误后支付。</w:t>
            </w:r>
          </w:p>
          <w:p w14:paraId="3A2319CF">
            <w:pPr>
              <w:pStyle w:val="154"/>
              <w:spacing w:line="360" w:lineRule="auto"/>
              <w:rPr>
                <w:rFonts w:ascii="宋体" w:hAnsi="宋体" w:eastAsia="宋体"/>
                <w:szCs w:val="24"/>
              </w:rPr>
            </w:pPr>
            <w:r>
              <w:rPr>
                <w:rFonts w:ascii="宋体" w:hAnsi="宋体" w:eastAsia="宋体"/>
                <w:szCs w:val="24"/>
              </w:rPr>
              <w:t>(i)</w:t>
            </w:r>
            <w:r>
              <w:rPr>
                <w:rFonts w:ascii="宋体" w:hAnsi="宋体" w:eastAsia="宋体"/>
                <w:szCs w:val="24"/>
              </w:rPr>
              <w:tab/>
            </w:r>
            <w:r>
              <w:rPr>
                <w:rFonts w:hint="eastAsia" w:ascii="宋体" w:hAnsi="宋体" w:eastAsia="宋体"/>
                <w:szCs w:val="24"/>
              </w:rPr>
              <w:t>对于“到岸价（CIF）”或“运费、保险付至</w:t>
            </w:r>
            <w:r>
              <w:rPr>
                <w:rFonts w:ascii="宋体" w:hAnsi="宋体" w:eastAsia="宋体"/>
                <w:szCs w:val="24"/>
              </w:rPr>
              <w:t>……</w:t>
            </w:r>
            <w:r>
              <w:rPr>
                <w:rFonts w:hint="eastAsia" w:ascii="宋体" w:hAnsi="宋体" w:eastAsia="宋体"/>
                <w:szCs w:val="24"/>
              </w:rPr>
              <w:t>价（CIP）”合同，标有</w:t>
            </w:r>
            <w:r>
              <w:rPr>
                <w:rFonts w:ascii="宋体" w:hAnsi="宋体" w:eastAsia="宋体"/>
                <w:szCs w:val="24"/>
              </w:rPr>
              <w:t>“</w:t>
            </w:r>
            <w:r>
              <w:rPr>
                <w:rFonts w:hint="eastAsia" w:ascii="宋体" w:hAnsi="宋体" w:eastAsia="宋体"/>
                <w:szCs w:val="24"/>
              </w:rPr>
              <w:t>运费已付”的全套已装运清洁提单（空白抬头、空白背书）或空运单（注明收货人为买方），并注明在目的港通知买方。</w:t>
            </w:r>
          </w:p>
          <w:p w14:paraId="6FA1F070">
            <w:pPr>
              <w:pStyle w:val="154"/>
              <w:spacing w:line="360" w:lineRule="auto"/>
              <w:rPr>
                <w:rFonts w:ascii="宋体" w:hAnsi="宋体" w:eastAsia="宋体"/>
                <w:szCs w:val="24"/>
              </w:rPr>
            </w:pPr>
            <w:r>
              <w:rPr>
                <w:rFonts w:ascii="宋体" w:hAnsi="宋体" w:eastAsia="宋体"/>
                <w:szCs w:val="24"/>
              </w:rPr>
              <w:t>(ii)</w:t>
            </w:r>
            <w:r>
              <w:rPr>
                <w:rFonts w:ascii="宋体" w:hAnsi="宋体" w:eastAsia="宋体"/>
                <w:szCs w:val="24"/>
              </w:rPr>
              <w:tab/>
            </w:r>
            <w:r>
              <w:rPr>
                <w:rFonts w:hint="eastAsia" w:ascii="宋体" w:hAnsi="宋体" w:eastAsia="宋体"/>
                <w:szCs w:val="24"/>
              </w:rPr>
              <w:t>3份商业发票。</w:t>
            </w:r>
          </w:p>
          <w:p w14:paraId="3291FB83">
            <w:pPr>
              <w:pStyle w:val="154"/>
              <w:spacing w:line="360" w:lineRule="auto"/>
              <w:rPr>
                <w:rFonts w:ascii="宋体" w:hAnsi="宋体" w:eastAsia="宋体"/>
                <w:szCs w:val="24"/>
              </w:rPr>
            </w:pPr>
            <w:r>
              <w:rPr>
                <w:rFonts w:ascii="宋体" w:hAnsi="宋体" w:eastAsia="宋体"/>
                <w:szCs w:val="24"/>
              </w:rPr>
              <w:t>(iii)</w:t>
            </w:r>
            <w:r>
              <w:rPr>
                <w:rFonts w:hint="eastAsia" w:ascii="宋体" w:hAnsi="宋体" w:eastAsia="宋体"/>
                <w:szCs w:val="24"/>
              </w:rPr>
              <w:t>3份详细装箱单。</w:t>
            </w:r>
          </w:p>
          <w:p w14:paraId="256AB020">
            <w:pPr>
              <w:pStyle w:val="154"/>
              <w:spacing w:line="360" w:lineRule="auto"/>
              <w:rPr>
                <w:rFonts w:ascii="宋体" w:hAnsi="宋体" w:eastAsia="宋体"/>
                <w:szCs w:val="24"/>
              </w:rPr>
            </w:pPr>
            <w:r>
              <w:rPr>
                <w:rFonts w:ascii="宋体" w:hAnsi="宋体" w:eastAsia="宋体"/>
                <w:szCs w:val="24"/>
              </w:rPr>
              <w:t>(iv)</w:t>
            </w:r>
            <w:r>
              <w:rPr>
                <w:rFonts w:ascii="宋体" w:hAnsi="宋体" w:eastAsia="宋体"/>
                <w:szCs w:val="24"/>
              </w:rPr>
              <w:tab/>
            </w:r>
            <w:r>
              <w:rPr>
                <w:rFonts w:hint="eastAsia" w:ascii="宋体" w:hAnsi="宋体" w:eastAsia="宋体"/>
                <w:szCs w:val="24"/>
              </w:rPr>
              <w:t>3份制造商或受益人出具的质量和数量证书。</w:t>
            </w:r>
          </w:p>
          <w:p w14:paraId="08F385CF">
            <w:pPr>
              <w:pStyle w:val="154"/>
              <w:spacing w:line="360" w:lineRule="auto"/>
              <w:rPr>
                <w:rFonts w:ascii="宋体" w:hAnsi="宋体" w:eastAsia="宋体"/>
                <w:szCs w:val="24"/>
              </w:rPr>
            </w:pPr>
            <w:r>
              <w:rPr>
                <w:rFonts w:ascii="宋体" w:hAnsi="宋体" w:eastAsia="宋体"/>
                <w:szCs w:val="24"/>
              </w:rPr>
              <w:t>(v)</w:t>
            </w:r>
            <w:r>
              <w:rPr>
                <w:rFonts w:ascii="宋体" w:hAnsi="宋体" w:eastAsia="宋体"/>
                <w:szCs w:val="24"/>
              </w:rPr>
              <w:tab/>
            </w:r>
            <w:r>
              <w:rPr>
                <w:rFonts w:ascii="宋体" w:hAnsi="宋体" w:eastAsia="宋体"/>
                <w:szCs w:val="24"/>
              </w:rPr>
              <w:t>2</w:t>
            </w:r>
            <w:r>
              <w:rPr>
                <w:rFonts w:hint="eastAsia" w:ascii="宋体" w:hAnsi="宋体" w:eastAsia="宋体"/>
                <w:szCs w:val="24"/>
              </w:rPr>
              <w:t>份发货金额</w:t>
            </w:r>
            <w:r>
              <w:rPr>
                <w:rFonts w:ascii="宋体" w:hAnsi="宋体" w:eastAsia="宋体"/>
                <w:szCs w:val="24"/>
              </w:rPr>
              <w:t>9</w:t>
            </w:r>
            <w:r>
              <w:rPr>
                <w:rFonts w:hint="eastAsia" w:ascii="宋体" w:hAnsi="宋体" w:eastAsia="宋体"/>
                <w:szCs w:val="24"/>
              </w:rPr>
              <w:t>0％的以买方为付款人并交买方银行的即期汇票。</w:t>
            </w:r>
          </w:p>
          <w:p w14:paraId="016102F0">
            <w:pPr>
              <w:pStyle w:val="154"/>
              <w:spacing w:line="360" w:lineRule="auto"/>
              <w:rPr>
                <w:rFonts w:ascii="宋体" w:hAnsi="宋体" w:eastAsia="宋体"/>
                <w:szCs w:val="24"/>
              </w:rPr>
            </w:pPr>
            <w:r>
              <w:rPr>
                <w:rFonts w:ascii="宋体" w:hAnsi="宋体" w:eastAsia="宋体"/>
                <w:szCs w:val="24"/>
              </w:rPr>
              <w:t>(vi)</w:t>
            </w:r>
            <w:r>
              <w:rPr>
                <w:rFonts w:hint="eastAsia" w:ascii="宋体" w:hAnsi="宋体" w:eastAsia="宋体"/>
                <w:szCs w:val="24"/>
              </w:rPr>
              <w:tab/>
            </w:r>
            <w:r>
              <w:rPr>
                <w:rFonts w:ascii="宋体" w:hAnsi="宋体" w:eastAsia="宋体"/>
                <w:szCs w:val="24"/>
              </w:rPr>
              <w:t>1</w:t>
            </w:r>
            <w:r>
              <w:rPr>
                <w:rFonts w:hint="eastAsia" w:ascii="宋体" w:hAnsi="宋体" w:eastAsia="宋体"/>
                <w:szCs w:val="24"/>
              </w:rPr>
              <w:t>份根据专用合同条款第12款签发的装运通知的副本。</w:t>
            </w:r>
          </w:p>
          <w:p w14:paraId="01BA4F2A">
            <w:pPr>
              <w:pStyle w:val="154"/>
              <w:spacing w:line="360" w:lineRule="auto"/>
              <w:rPr>
                <w:rFonts w:ascii="宋体" w:hAnsi="宋体" w:eastAsia="宋体"/>
                <w:szCs w:val="24"/>
              </w:rPr>
            </w:pPr>
            <w:r>
              <w:rPr>
                <w:rFonts w:ascii="宋体" w:hAnsi="宋体" w:eastAsia="宋体"/>
                <w:szCs w:val="24"/>
              </w:rPr>
              <w:t>(vii)</w:t>
            </w:r>
            <w:r>
              <w:rPr>
                <w:rFonts w:hint="eastAsia" w:ascii="宋体" w:hAnsi="宋体" w:eastAsia="宋体"/>
                <w:szCs w:val="24"/>
              </w:rPr>
              <w:t>以买方为受益人，以发票金额百分之一百十（110%）投保的保险单正本1份，副本2份。</w:t>
            </w:r>
          </w:p>
          <w:p w14:paraId="637BA48C">
            <w:pPr>
              <w:pStyle w:val="154"/>
              <w:spacing w:line="360" w:lineRule="auto"/>
              <w:rPr>
                <w:rFonts w:ascii="宋体" w:hAnsi="宋体" w:eastAsia="宋体"/>
                <w:szCs w:val="24"/>
              </w:rPr>
            </w:pPr>
            <w:r>
              <w:rPr>
                <w:rFonts w:ascii="宋体" w:hAnsi="宋体" w:eastAsia="宋体"/>
                <w:szCs w:val="24"/>
              </w:rPr>
              <w:t>(viii)</w:t>
            </w:r>
            <w:r>
              <w:rPr>
                <w:rFonts w:hint="eastAsia" w:ascii="宋体" w:hAnsi="宋体" w:eastAsia="宋体"/>
                <w:szCs w:val="24"/>
              </w:rPr>
              <w:t>3份由卖方出具的原产地证书。</w:t>
            </w:r>
          </w:p>
          <w:p w14:paraId="19646D3B">
            <w:pPr>
              <w:pStyle w:val="104"/>
              <w:spacing w:line="360" w:lineRule="auto"/>
              <w:ind w:left="2067" w:leftChars="299" w:hanging="1440" w:hangingChars="600"/>
              <w:rPr>
                <w:rFonts w:ascii="宋体" w:hAnsi="宋体" w:eastAsia="宋体"/>
                <w:szCs w:val="24"/>
              </w:rPr>
            </w:pPr>
            <w:r>
              <w:rPr>
                <w:rFonts w:hint="eastAsia" w:ascii="宋体" w:hAnsi="宋体" w:eastAsia="宋体"/>
                <w:szCs w:val="24"/>
              </w:rPr>
              <w:t xml:space="preserve">        </w:t>
            </w:r>
            <w:r>
              <w:rPr>
                <w:rFonts w:ascii="宋体" w:hAnsi="宋体" w:eastAsia="宋体"/>
                <w:szCs w:val="24"/>
              </w:rPr>
              <w:t>(b)</w:t>
            </w:r>
            <w:r>
              <w:rPr>
                <w:rFonts w:hint="eastAsia" w:ascii="宋体" w:hAnsi="宋体" w:eastAsia="宋体"/>
                <w:szCs w:val="24"/>
              </w:rPr>
              <w:tab/>
            </w:r>
            <w:r>
              <w:rPr>
                <w:rFonts w:hint="eastAsia" w:ascii="宋体" w:hAnsi="宋体" w:eastAsia="宋体"/>
                <w:szCs w:val="24"/>
              </w:rPr>
              <w:t>货物合同金额的</w:t>
            </w:r>
            <w:r>
              <w:rPr>
                <w:rFonts w:ascii="宋体" w:hAnsi="宋体" w:eastAsia="宋体"/>
                <w:szCs w:val="24"/>
              </w:rPr>
              <w:t>1</w:t>
            </w:r>
            <w:r>
              <w:rPr>
                <w:rFonts w:hint="eastAsia" w:ascii="宋体" w:hAnsi="宋体" w:eastAsia="宋体"/>
                <w:szCs w:val="24"/>
              </w:rPr>
              <w:t>0</w:t>
            </w:r>
            <w:r>
              <w:rPr>
                <w:rFonts w:ascii="宋体" w:hAnsi="宋体" w:eastAsia="宋体"/>
                <w:szCs w:val="24"/>
              </w:rPr>
              <w:t>%</w:t>
            </w:r>
            <w:r>
              <w:rPr>
                <w:rFonts w:hint="eastAsia" w:ascii="宋体" w:hAnsi="宋体" w:eastAsia="宋体"/>
                <w:szCs w:val="24"/>
              </w:rPr>
              <w:t>将在所有合同货物验收后，在收到下列单据并审核无误后30日内</w:t>
            </w:r>
            <w:r>
              <w:rPr>
                <w:rFonts w:ascii="宋体" w:hAnsi="宋体" w:eastAsia="宋体"/>
                <w:szCs w:val="24"/>
              </w:rPr>
              <w:t>T/T</w:t>
            </w:r>
            <w:r>
              <w:rPr>
                <w:rFonts w:hint="eastAsia" w:ascii="宋体" w:hAnsi="宋体" w:eastAsia="宋体"/>
                <w:szCs w:val="24"/>
              </w:rPr>
              <w:t>支付。</w:t>
            </w:r>
          </w:p>
          <w:p w14:paraId="3CBF3DE9">
            <w:pPr>
              <w:pStyle w:val="154"/>
              <w:spacing w:line="360" w:lineRule="auto"/>
              <w:rPr>
                <w:rFonts w:ascii="宋体" w:hAnsi="宋体" w:eastAsia="宋体"/>
                <w:szCs w:val="24"/>
              </w:rPr>
            </w:pPr>
            <w:r>
              <w:rPr>
                <w:rFonts w:ascii="宋体" w:hAnsi="宋体" w:eastAsia="宋体"/>
                <w:szCs w:val="24"/>
              </w:rPr>
              <w:t>(i)</w:t>
            </w:r>
            <w:r>
              <w:rPr>
                <w:rFonts w:hint="eastAsia" w:ascii="宋体" w:hAnsi="宋体" w:eastAsia="宋体"/>
                <w:szCs w:val="24"/>
              </w:rPr>
              <w:tab/>
            </w:r>
            <w:r>
              <w:rPr>
                <w:rFonts w:hint="eastAsia" w:ascii="宋体" w:hAnsi="宋体" w:eastAsia="宋体"/>
                <w:szCs w:val="24"/>
              </w:rPr>
              <w:t>3份商业发票。</w:t>
            </w:r>
          </w:p>
          <w:p w14:paraId="0FB6E672">
            <w:pPr>
              <w:pStyle w:val="154"/>
              <w:spacing w:line="360" w:lineRule="auto"/>
              <w:rPr>
                <w:rFonts w:ascii="宋体" w:hAnsi="宋体" w:eastAsia="宋体"/>
                <w:szCs w:val="24"/>
              </w:rPr>
            </w:pPr>
            <w:r>
              <w:rPr>
                <w:rFonts w:ascii="宋体" w:hAnsi="宋体" w:eastAsia="宋体"/>
                <w:szCs w:val="24"/>
              </w:rPr>
              <w:t>(ii)</w:t>
            </w:r>
            <w:r>
              <w:rPr>
                <w:rFonts w:ascii="宋体" w:hAnsi="宋体" w:eastAsia="宋体"/>
                <w:szCs w:val="24"/>
              </w:rPr>
              <w:tab/>
            </w:r>
            <w:r>
              <w:rPr>
                <w:rFonts w:hint="eastAsia" w:ascii="宋体" w:hAnsi="宋体" w:eastAsia="宋体"/>
                <w:szCs w:val="24"/>
              </w:rPr>
              <w:t>1份由买卖双方签署的合同货物验收报告。</w:t>
            </w:r>
          </w:p>
          <w:p w14:paraId="76B34BDF">
            <w:pPr>
              <w:pStyle w:val="104"/>
              <w:spacing w:line="360" w:lineRule="auto"/>
              <w:ind w:left="1620" w:hanging="993"/>
              <w:rPr>
                <w:rFonts w:ascii="宋体" w:hAnsi="宋体" w:eastAsia="宋体"/>
                <w:szCs w:val="24"/>
              </w:rPr>
            </w:pPr>
            <w:r>
              <w:rPr>
                <w:rFonts w:hint="eastAsia" w:ascii="宋体" w:hAnsi="宋体" w:eastAsia="宋体"/>
                <w:szCs w:val="24"/>
              </w:rPr>
              <w:t>20</w:t>
            </w:r>
            <w:r>
              <w:rPr>
                <w:rFonts w:ascii="宋体" w:hAnsi="宋体" w:eastAsia="宋体"/>
                <w:szCs w:val="24"/>
              </w:rPr>
              <w:t>.</w:t>
            </w:r>
            <w:r>
              <w:rPr>
                <w:rFonts w:hint="eastAsia" w:ascii="宋体" w:hAnsi="宋体" w:eastAsia="宋体"/>
                <w:szCs w:val="24"/>
              </w:rPr>
              <w:t>1</w:t>
            </w:r>
            <w:r>
              <w:rPr>
                <w:rFonts w:ascii="宋体" w:hAnsi="宋体" w:eastAsia="宋体"/>
                <w:szCs w:val="24"/>
              </w:rPr>
              <w:t>.</w:t>
            </w:r>
            <w:r>
              <w:rPr>
                <w:rFonts w:hint="eastAsia" w:ascii="宋体" w:hAnsi="宋体" w:eastAsia="宋体"/>
                <w:szCs w:val="24"/>
              </w:rPr>
              <w:t>1.2</w:t>
            </w:r>
            <w:r>
              <w:rPr>
                <w:rFonts w:ascii="宋体" w:hAnsi="宋体" w:eastAsia="宋体"/>
                <w:szCs w:val="24"/>
              </w:rPr>
              <w:tab/>
            </w:r>
            <w:r>
              <w:rPr>
                <w:rFonts w:hint="eastAsia" w:ascii="宋体" w:hAnsi="宋体" w:eastAsia="宋体"/>
                <w:szCs w:val="24"/>
              </w:rPr>
              <w:t>在中华人民共和国境内发生的银行费用由买方承担，在中华人民共和国境外发生的银行费用由卖方承担。如果在议付中发生利息，将由卖方承担。</w:t>
            </w:r>
          </w:p>
          <w:p w14:paraId="5772AD83">
            <w:pPr>
              <w:pStyle w:val="104"/>
              <w:spacing w:line="360" w:lineRule="auto"/>
              <w:ind w:left="1620" w:hanging="992"/>
              <w:rPr>
                <w:rFonts w:ascii="宋体" w:hAnsi="宋体" w:eastAsia="宋体"/>
                <w:szCs w:val="24"/>
              </w:rPr>
            </w:pPr>
            <w:r>
              <w:rPr>
                <w:rFonts w:hint="eastAsia" w:ascii="宋体" w:hAnsi="宋体" w:eastAsia="宋体"/>
                <w:szCs w:val="24"/>
              </w:rPr>
              <w:t>20.1.1.3</w:t>
            </w:r>
            <w:r>
              <w:rPr>
                <w:rFonts w:hint="eastAsia" w:ascii="宋体" w:hAnsi="宋体" w:eastAsia="宋体"/>
                <w:szCs w:val="24"/>
              </w:rPr>
              <w:tab/>
            </w:r>
            <w:r>
              <w:rPr>
                <w:rFonts w:hint="eastAsia" w:ascii="宋体" w:hAnsi="宋体" w:eastAsia="宋体"/>
                <w:szCs w:val="24"/>
              </w:rPr>
              <w:t>在每次装运后</w:t>
            </w:r>
            <w:r>
              <w:rPr>
                <w:rFonts w:ascii="宋体" w:hAnsi="宋体" w:eastAsia="宋体"/>
                <w:szCs w:val="24"/>
              </w:rPr>
              <w:t>48</w:t>
            </w:r>
            <w:r>
              <w:rPr>
                <w:rFonts w:hint="eastAsia" w:ascii="宋体" w:hAnsi="宋体" w:eastAsia="宋体"/>
                <w:szCs w:val="24"/>
              </w:rPr>
              <w:t>小时内，除上述第</w:t>
            </w:r>
            <w:r>
              <w:rPr>
                <w:rFonts w:ascii="宋体" w:hAnsi="宋体" w:eastAsia="宋体"/>
                <w:szCs w:val="24"/>
              </w:rPr>
              <w:t>20.1.</w:t>
            </w:r>
            <w:r>
              <w:rPr>
                <w:rFonts w:hint="eastAsia" w:ascii="宋体" w:hAnsi="宋体" w:eastAsia="宋体"/>
                <w:szCs w:val="24"/>
              </w:rPr>
              <w:t>1.</w:t>
            </w:r>
            <w:r>
              <w:rPr>
                <w:rFonts w:ascii="宋体" w:hAnsi="宋体" w:eastAsia="宋体"/>
                <w:szCs w:val="24"/>
              </w:rPr>
              <w:t>1</w:t>
            </w:r>
            <w:r>
              <w:rPr>
                <w:rFonts w:hint="eastAsia" w:ascii="宋体" w:hAnsi="宋体" w:eastAsia="宋体"/>
                <w:szCs w:val="24"/>
              </w:rPr>
              <w:t>(a)</w:t>
            </w:r>
            <w:r>
              <w:rPr>
                <w:rFonts w:ascii="宋体" w:hAnsi="宋体" w:eastAsia="宋体"/>
                <w:szCs w:val="24"/>
              </w:rPr>
              <w:t>(vi)</w:t>
            </w:r>
            <w:r>
              <w:rPr>
                <w:rFonts w:hint="eastAsia" w:ascii="宋体" w:hAnsi="宋体" w:eastAsia="宋体"/>
                <w:szCs w:val="24"/>
              </w:rPr>
              <w:t>、</w:t>
            </w:r>
            <w:r>
              <w:rPr>
                <w:rFonts w:ascii="宋体" w:hAnsi="宋体" w:eastAsia="宋体"/>
                <w:szCs w:val="24"/>
              </w:rPr>
              <w:t>(b)</w:t>
            </w:r>
            <w:r>
              <w:rPr>
                <w:rFonts w:hint="eastAsia" w:ascii="宋体" w:hAnsi="宋体" w:eastAsia="宋体"/>
                <w:szCs w:val="24"/>
              </w:rPr>
              <w:t>款规定的单据，卖方通过电邮或传真方式将上述壹套副本单据书面通知买方。卖方还将上述壹套副本单据随装运工具在目的港交给买方。如果由于卖方责任，卖方没有书面通知上述单据或随装运工具在目的港交给买方，卖方将承担延期清关和没有及时提货所引起的所有费用。</w:t>
            </w:r>
          </w:p>
          <w:p w14:paraId="65774C09">
            <w:pPr>
              <w:pStyle w:val="104"/>
              <w:spacing w:line="360" w:lineRule="auto"/>
              <w:ind w:left="1619" w:leftChars="-37" w:hanging="1696" w:hangingChars="707"/>
              <w:rPr>
                <w:rFonts w:ascii="宋体" w:hAnsi="宋体" w:eastAsia="宋体"/>
                <w:szCs w:val="24"/>
              </w:rPr>
            </w:pPr>
            <w:r>
              <w:rPr>
                <w:rFonts w:hint="eastAsia" w:ascii="宋体" w:hAnsi="宋体" w:eastAsia="宋体"/>
                <w:szCs w:val="24"/>
              </w:rPr>
              <w:t xml:space="preserve">      20.1.1.4从中华人民共和国关境内提供的货物，买方将按20.1.2款的规定付款。</w:t>
            </w:r>
          </w:p>
          <w:p w14:paraId="2CACE01E">
            <w:pPr>
              <w:pStyle w:val="5"/>
              <w:autoSpaceDE w:val="0"/>
              <w:autoSpaceDN w:val="0"/>
              <w:spacing w:line="360" w:lineRule="auto"/>
              <w:ind w:left="628" w:right="57" w:hanging="709"/>
              <w:rPr>
                <w:rFonts w:ascii="宋体" w:hAnsi="宋体"/>
                <w:sz w:val="24"/>
                <w:szCs w:val="24"/>
              </w:rPr>
            </w:pPr>
            <w:r>
              <w:rPr>
                <w:rFonts w:hint="eastAsia" w:ascii="宋体" w:hAnsi="宋体"/>
                <w:sz w:val="24"/>
                <w:szCs w:val="24"/>
              </w:rPr>
              <w:t>（二）从中华人民共和国关境外提供的货物，如果货物原产于特定国家（地区）且被中华人民共和国国务院关税税则委员会列入实施加征关税的范围（涉及的商品以国务院关税税则委员会相关公告为准），则买方按如下方式付款给卖方：</w:t>
            </w:r>
          </w:p>
          <w:p w14:paraId="7F1EB97C">
            <w:pPr>
              <w:pStyle w:val="104"/>
              <w:spacing w:line="360" w:lineRule="auto"/>
              <w:ind w:left="2154" w:leftChars="300" w:hanging="1524" w:hangingChars="635"/>
              <w:rPr>
                <w:rFonts w:ascii="宋体" w:hAnsi="宋体" w:eastAsia="宋体"/>
                <w:szCs w:val="24"/>
              </w:rPr>
            </w:pPr>
            <w:r>
              <w:rPr>
                <w:rFonts w:hint="eastAsia" w:ascii="宋体" w:hAnsi="宋体" w:eastAsia="宋体"/>
                <w:szCs w:val="24"/>
              </w:rPr>
              <w:t>20.1.1.1 (</w:t>
            </w:r>
            <w:r>
              <w:rPr>
                <w:rFonts w:ascii="宋体" w:hAnsi="宋体" w:eastAsia="宋体"/>
                <w:szCs w:val="24"/>
              </w:rPr>
              <w:t>a)</w:t>
            </w:r>
            <w:r>
              <w:rPr>
                <w:rFonts w:hint="eastAsia" w:ascii="宋体" w:hAnsi="宋体" w:eastAsia="宋体"/>
                <w:szCs w:val="24"/>
              </w:rPr>
              <w:t xml:space="preserve"> 在合同规定的装运期前90天，买方将通过买方银行开出以卖方为受益人的不可撤销即期信用证(样式见第三章)，信用证金额等于货物合同金额的60％，信用证有效期至合同规定最后一次交货后的第21天为止。每批发货金额的60％在收到下列单据并审核无误后支付。</w:t>
            </w:r>
          </w:p>
          <w:p w14:paraId="58BEBB0A">
            <w:pPr>
              <w:pStyle w:val="154"/>
              <w:spacing w:line="360" w:lineRule="auto"/>
              <w:rPr>
                <w:rFonts w:ascii="宋体" w:hAnsi="宋体" w:eastAsia="宋体"/>
                <w:szCs w:val="24"/>
              </w:rPr>
            </w:pPr>
            <w:r>
              <w:rPr>
                <w:rFonts w:ascii="宋体" w:hAnsi="宋体" w:eastAsia="宋体"/>
                <w:szCs w:val="24"/>
              </w:rPr>
              <w:t>(i)</w:t>
            </w:r>
            <w:r>
              <w:rPr>
                <w:rFonts w:ascii="宋体" w:hAnsi="宋体" w:eastAsia="宋体"/>
                <w:szCs w:val="24"/>
              </w:rPr>
              <w:tab/>
            </w:r>
            <w:r>
              <w:rPr>
                <w:rFonts w:hint="eastAsia" w:ascii="宋体" w:hAnsi="宋体" w:eastAsia="宋体"/>
                <w:szCs w:val="24"/>
              </w:rPr>
              <w:t>对于“到岸价（CIF）”或“运费、保险付至</w:t>
            </w:r>
            <w:r>
              <w:rPr>
                <w:rFonts w:ascii="宋体" w:hAnsi="宋体" w:eastAsia="宋体"/>
                <w:szCs w:val="24"/>
              </w:rPr>
              <w:t>……</w:t>
            </w:r>
            <w:r>
              <w:rPr>
                <w:rFonts w:hint="eastAsia" w:ascii="宋体" w:hAnsi="宋体" w:eastAsia="宋体"/>
                <w:szCs w:val="24"/>
              </w:rPr>
              <w:t>价（CIP）”合同，标有</w:t>
            </w:r>
            <w:r>
              <w:rPr>
                <w:rFonts w:ascii="宋体" w:hAnsi="宋体" w:eastAsia="宋体"/>
                <w:szCs w:val="24"/>
              </w:rPr>
              <w:t>“</w:t>
            </w:r>
            <w:r>
              <w:rPr>
                <w:rFonts w:hint="eastAsia" w:ascii="宋体" w:hAnsi="宋体" w:eastAsia="宋体"/>
                <w:szCs w:val="24"/>
              </w:rPr>
              <w:t>运费已付”的全套已装运清洁提单（空白抬头、空白背书）或空运单（注明收货人为买方），并注明在目的港通知买方。</w:t>
            </w:r>
          </w:p>
          <w:p w14:paraId="281A452D">
            <w:pPr>
              <w:pStyle w:val="154"/>
              <w:spacing w:line="360" w:lineRule="auto"/>
              <w:rPr>
                <w:rFonts w:ascii="宋体" w:hAnsi="宋体" w:eastAsia="宋体"/>
                <w:szCs w:val="24"/>
              </w:rPr>
            </w:pPr>
            <w:r>
              <w:rPr>
                <w:rFonts w:ascii="宋体" w:hAnsi="宋体" w:eastAsia="宋体"/>
                <w:szCs w:val="24"/>
              </w:rPr>
              <w:t>(ii)</w:t>
            </w:r>
            <w:r>
              <w:rPr>
                <w:rFonts w:ascii="宋体" w:hAnsi="宋体" w:eastAsia="宋体"/>
                <w:szCs w:val="24"/>
              </w:rPr>
              <w:tab/>
            </w:r>
            <w:r>
              <w:rPr>
                <w:rFonts w:hint="eastAsia" w:ascii="宋体" w:hAnsi="宋体" w:eastAsia="宋体"/>
                <w:szCs w:val="24"/>
              </w:rPr>
              <w:t>3份商业发票。</w:t>
            </w:r>
          </w:p>
          <w:p w14:paraId="12DCA153">
            <w:pPr>
              <w:pStyle w:val="154"/>
              <w:spacing w:line="360" w:lineRule="auto"/>
              <w:rPr>
                <w:rFonts w:ascii="宋体" w:hAnsi="宋体" w:eastAsia="宋体"/>
                <w:szCs w:val="24"/>
              </w:rPr>
            </w:pPr>
            <w:r>
              <w:rPr>
                <w:rFonts w:ascii="宋体" w:hAnsi="宋体" w:eastAsia="宋体"/>
                <w:szCs w:val="24"/>
              </w:rPr>
              <w:t>(iii)</w:t>
            </w:r>
            <w:r>
              <w:rPr>
                <w:rFonts w:hint="eastAsia" w:ascii="宋体" w:hAnsi="宋体" w:eastAsia="宋体"/>
                <w:szCs w:val="24"/>
              </w:rPr>
              <w:t>3份详细装箱单。</w:t>
            </w:r>
          </w:p>
          <w:p w14:paraId="352595B1">
            <w:pPr>
              <w:pStyle w:val="154"/>
              <w:spacing w:line="360" w:lineRule="auto"/>
              <w:rPr>
                <w:rFonts w:ascii="宋体" w:hAnsi="宋体" w:eastAsia="宋体"/>
                <w:szCs w:val="24"/>
              </w:rPr>
            </w:pPr>
            <w:r>
              <w:rPr>
                <w:rFonts w:ascii="宋体" w:hAnsi="宋体" w:eastAsia="宋体"/>
                <w:szCs w:val="24"/>
              </w:rPr>
              <w:t>(iv)</w:t>
            </w:r>
            <w:r>
              <w:rPr>
                <w:rFonts w:ascii="宋体" w:hAnsi="宋体" w:eastAsia="宋体"/>
                <w:szCs w:val="24"/>
              </w:rPr>
              <w:tab/>
            </w:r>
            <w:r>
              <w:rPr>
                <w:rFonts w:hint="eastAsia" w:ascii="宋体" w:hAnsi="宋体" w:eastAsia="宋体"/>
                <w:szCs w:val="24"/>
              </w:rPr>
              <w:t>3份制造商或受益人出具的质量和数量证书。</w:t>
            </w:r>
          </w:p>
          <w:p w14:paraId="7DEC650A">
            <w:pPr>
              <w:pStyle w:val="154"/>
              <w:spacing w:line="360" w:lineRule="auto"/>
              <w:rPr>
                <w:rFonts w:ascii="宋体" w:hAnsi="宋体" w:eastAsia="宋体"/>
                <w:szCs w:val="24"/>
              </w:rPr>
            </w:pPr>
            <w:r>
              <w:rPr>
                <w:rFonts w:ascii="宋体" w:hAnsi="宋体" w:eastAsia="宋体"/>
                <w:szCs w:val="24"/>
              </w:rPr>
              <w:t>(v)</w:t>
            </w:r>
            <w:r>
              <w:rPr>
                <w:rFonts w:ascii="宋体" w:hAnsi="宋体" w:eastAsia="宋体"/>
                <w:szCs w:val="24"/>
              </w:rPr>
              <w:tab/>
            </w:r>
            <w:r>
              <w:rPr>
                <w:rFonts w:ascii="宋体" w:hAnsi="宋体" w:eastAsia="宋体"/>
                <w:szCs w:val="24"/>
              </w:rPr>
              <w:t>2</w:t>
            </w:r>
            <w:r>
              <w:rPr>
                <w:rFonts w:hint="eastAsia" w:ascii="宋体" w:hAnsi="宋体" w:eastAsia="宋体"/>
                <w:szCs w:val="24"/>
              </w:rPr>
              <w:t>份发货金额60％的以买方为付款人并交买方银行的即期汇票。</w:t>
            </w:r>
          </w:p>
          <w:p w14:paraId="70ED243F">
            <w:pPr>
              <w:pStyle w:val="154"/>
              <w:spacing w:line="360" w:lineRule="auto"/>
              <w:rPr>
                <w:rFonts w:ascii="宋体" w:hAnsi="宋体" w:eastAsia="宋体"/>
                <w:szCs w:val="24"/>
              </w:rPr>
            </w:pPr>
            <w:r>
              <w:rPr>
                <w:rFonts w:ascii="宋体" w:hAnsi="宋体" w:eastAsia="宋体"/>
                <w:szCs w:val="24"/>
              </w:rPr>
              <w:t>(vi)</w:t>
            </w:r>
            <w:r>
              <w:rPr>
                <w:rFonts w:hint="eastAsia" w:ascii="宋体" w:hAnsi="宋体" w:eastAsia="宋体"/>
                <w:szCs w:val="24"/>
              </w:rPr>
              <w:tab/>
            </w:r>
            <w:r>
              <w:rPr>
                <w:rFonts w:ascii="宋体" w:hAnsi="宋体" w:eastAsia="宋体"/>
                <w:szCs w:val="24"/>
              </w:rPr>
              <w:t>1</w:t>
            </w:r>
            <w:r>
              <w:rPr>
                <w:rFonts w:hint="eastAsia" w:ascii="宋体" w:hAnsi="宋体" w:eastAsia="宋体"/>
                <w:szCs w:val="24"/>
              </w:rPr>
              <w:t>份根据专用合同条款第12款签发的装运通知的副本。</w:t>
            </w:r>
          </w:p>
          <w:p w14:paraId="54946937">
            <w:pPr>
              <w:pStyle w:val="154"/>
              <w:spacing w:line="360" w:lineRule="auto"/>
              <w:rPr>
                <w:rFonts w:ascii="宋体" w:hAnsi="宋体" w:eastAsia="宋体"/>
                <w:szCs w:val="24"/>
              </w:rPr>
            </w:pPr>
            <w:r>
              <w:rPr>
                <w:rFonts w:ascii="宋体" w:hAnsi="宋体" w:eastAsia="宋体"/>
                <w:szCs w:val="24"/>
              </w:rPr>
              <w:t>(vii)</w:t>
            </w:r>
            <w:r>
              <w:rPr>
                <w:rFonts w:hint="eastAsia" w:ascii="宋体" w:hAnsi="宋体" w:eastAsia="宋体"/>
                <w:szCs w:val="24"/>
              </w:rPr>
              <w:t>以买方为受益人，以发票金额百分之一百十（110%）投保的保险单正本1份，副本2份。</w:t>
            </w:r>
          </w:p>
          <w:p w14:paraId="5C954536">
            <w:pPr>
              <w:pStyle w:val="154"/>
              <w:spacing w:line="360" w:lineRule="auto"/>
              <w:rPr>
                <w:rFonts w:ascii="宋体" w:hAnsi="宋体" w:eastAsia="宋体"/>
                <w:szCs w:val="24"/>
              </w:rPr>
            </w:pPr>
            <w:r>
              <w:rPr>
                <w:rFonts w:ascii="宋体" w:hAnsi="宋体" w:eastAsia="宋体"/>
                <w:szCs w:val="24"/>
              </w:rPr>
              <w:t>(viii)</w:t>
            </w:r>
            <w:r>
              <w:rPr>
                <w:rFonts w:hint="eastAsia" w:ascii="宋体" w:hAnsi="宋体" w:eastAsia="宋体"/>
                <w:szCs w:val="24"/>
              </w:rPr>
              <w:t>3份由卖方出具的原产地证书。</w:t>
            </w:r>
          </w:p>
          <w:p w14:paraId="658D0779">
            <w:pPr>
              <w:pStyle w:val="104"/>
              <w:spacing w:line="360" w:lineRule="auto"/>
              <w:ind w:left="2067" w:leftChars="299" w:hanging="1440" w:hangingChars="600"/>
              <w:rPr>
                <w:rFonts w:ascii="宋体" w:hAnsi="宋体" w:eastAsia="宋体"/>
                <w:szCs w:val="24"/>
              </w:rPr>
            </w:pPr>
            <w:r>
              <w:rPr>
                <w:rFonts w:hint="eastAsia" w:ascii="宋体" w:hAnsi="宋体" w:eastAsia="宋体"/>
                <w:szCs w:val="24"/>
              </w:rPr>
              <w:t xml:space="preserve">        </w:t>
            </w:r>
            <w:r>
              <w:rPr>
                <w:rFonts w:ascii="宋体" w:hAnsi="宋体" w:eastAsia="宋体"/>
                <w:szCs w:val="24"/>
              </w:rPr>
              <w:t>(b)</w:t>
            </w:r>
            <w:r>
              <w:rPr>
                <w:rFonts w:hint="eastAsia" w:ascii="宋体" w:hAnsi="宋体" w:eastAsia="宋体"/>
                <w:szCs w:val="24"/>
              </w:rPr>
              <w:tab/>
            </w:r>
            <w:r>
              <w:rPr>
                <w:rFonts w:hint="eastAsia" w:ascii="宋体" w:hAnsi="宋体" w:eastAsia="宋体"/>
                <w:szCs w:val="24"/>
              </w:rPr>
              <w:t>货物合同金额的30</w:t>
            </w:r>
            <w:r>
              <w:rPr>
                <w:rFonts w:ascii="宋体" w:hAnsi="宋体" w:eastAsia="宋体"/>
                <w:szCs w:val="24"/>
              </w:rPr>
              <w:t>%</w:t>
            </w:r>
            <w:r>
              <w:rPr>
                <w:rFonts w:hint="eastAsia" w:ascii="宋体" w:hAnsi="宋体" w:eastAsia="宋体"/>
                <w:szCs w:val="24"/>
              </w:rPr>
              <w:t>将在合同货物送到买方后，在收到下列单据并审核无误后30日内</w:t>
            </w:r>
            <w:r>
              <w:rPr>
                <w:rFonts w:ascii="宋体" w:hAnsi="宋体" w:eastAsia="宋体"/>
                <w:szCs w:val="24"/>
              </w:rPr>
              <w:t>T/T</w:t>
            </w:r>
            <w:r>
              <w:rPr>
                <w:rFonts w:hint="eastAsia" w:ascii="宋体" w:hAnsi="宋体" w:eastAsia="宋体"/>
                <w:szCs w:val="24"/>
              </w:rPr>
              <w:t>支付。如货物进口时被实施加征关税，则加征的关税及由此增加的增值税等额外税费由卖方承担。如卖方未按约定另行支付给买方，买方有权在支付30%货款时直接予以扣减。</w:t>
            </w:r>
          </w:p>
          <w:p w14:paraId="6E64AB82">
            <w:pPr>
              <w:pStyle w:val="154"/>
              <w:spacing w:line="360" w:lineRule="auto"/>
              <w:rPr>
                <w:rFonts w:ascii="宋体" w:hAnsi="宋体" w:eastAsia="宋体"/>
                <w:szCs w:val="24"/>
              </w:rPr>
            </w:pPr>
            <w:r>
              <w:rPr>
                <w:rFonts w:ascii="宋体" w:hAnsi="宋体" w:eastAsia="宋体"/>
                <w:szCs w:val="24"/>
              </w:rPr>
              <w:t>(i)</w:t>
            </w:r>
            <w:r>
              <w:rPr>
                <w:rFonts w:hint="eastAsia" w:ascii="宋体" w:hAnsi="宋体" w:eastAsia="宋体"/>
                <w:szCs w:val="24"/>
              </w:rPr>
              <w:tab/>
            </w:r>
            <w:r>
              <w:rPr>
                <w:rFonts w:hint="eastAsia" w:ascii="宋体" w:hAnsi="宋体" w:eastAsia="宋体"/>
                <w:szCs w:val="24"/>
              </w:rPr>
              <w:t>3份商业发票。</w:t>
            </w:r>
          </w:p>
          <w:p w14:paraId="2714926A">
            <w:pPr>
              <w:pStyle w:val="154"/>
              <w:spacing w:line="360" w:lineRule="auto"/>
              <w:rPr>
                <w:rFonts w:ascii="宋体" w:hAnsi="宋体" w:eastAsia="宋体"/>
                <w:szCs w:val="24"/>
              </w:rPr>
            </w:pPr>
            <w:r>
              <w:rPr>
                <w:rFonts w:ascii="宋体" w:hAnsi="宋体" w:eastAsia="宋体"/>
                <w:szCs w:val="24"/>
              </w:rPr>
              <w:t>(ii)</w:t>
            </w:r>
            <w:r>
              <w:rPr>
                <w:rFonts w:hint="eastAsia" w:ascii="宋体" w:hAnsi="宋体" w:eastAsia="宋体"/>
                <w:szCs w:val="24"/>
              </w:rPr>
              <w:t xml:space="preserve"> 1份由买方签署的货物收货证明。</w:t>
            </w:r>
          </w:p>
          <w:p w14:paraId="5B41AD78">
            <w:pPr>
              <w:pStyle w:val="154"/>
              <w:spacing w:line="360" w:lineRule="auto"/>
              <w:rPr>
                <w:rFonts w:ascii="宋体" w:hAnsi="宋体" w:eastAsia="宋体"/>
                <w:szCs w:val="24"/>
              </w:rPr>
            </w:pPr>
            <w:r>
              <w:rPr>
                <w:rFonts w:ascii="宋体" w:hAnsi="宋体" w:eastAsia="宋体"/>
                <w:szCs w:val="24"/>
              </w:rPr>
              <w:t xml:space="preserve">(iii) </w:t>
            </w:r>
            <w:r>
              <w:rPr>
                <w:rFonts w:hint="eastAsia" w:ascii="宋体" w:hAnsi="宋体" w:eastAsia="宋体"/>
                <w:szCs w:val="24"/>
              </w:rPr>
              <w:t>如货物进口时被实施加征关税，卖方支付加征的关税及由此增加的增值税等额外税费的银行付款凭证。</w:t>
            </w:r>
          </w:p>
          <w:p w14:paraId="01A8C0F2">
            <w:pPr>
              <w:pStyle w:val="104"/>
              <w:spacing w:line="360" w:lineRule="auto"/>
              <w:ind w:left="2067" w:leftChars="299" w:hanging="1440" w:hangingChars="600"/>
              <w:rPr>
                <w:rFonts w:ascii="宋体" w:hAnsi="宋体" w:eastAsia="宋体"/>
                <w:szCs w:val="24"/>
              </w:rPr>
            </w:pPr>
            <w:r>
              <w:rPr>
                <w:rFonts w:hint="eastAsia" w:ascii="宋体" w:hAnsi="宋体" w:eastAsia="宋体"/>
                <w:szCs w:val="24"/>
              </w:rPr>
              <w:t xml:space="preserve">        </w:t>
            </w:r>
            <w:r>
              <w:rPr>
                <w:rFonts w:ascii="宋体" w:hAnsi="宋体" w:eastAsia="宋体"/>
                <w:szCs w:val="24"/>
              </w:rPr>
              <w:t xml:space="preserve"> (</w:t>
            </w:r>
            <w:r>
              <w:rPr>
                <w:rFonts w:hint="eastAsia" w:ascii="宋体" w:hAnsi="宋体" w:eastAsia="宋体"/>
                <w:szCs w:val="24"/>
              </w:rPr>
              <w:t>c</w:t>
            </w:r>
            <w:r>
              <w:rPr>
                <w:rFonts w:ascii="宋体" w:hAnsi="宋体" w:eastAsia="宋体"/>
                <w:szCs w:val="24"/>
              </w:rPr>
              <w:t>)</w:t>
            </w:r>
            <w:r>
              <w:rPr>
                <w:rFonts w:hint="eastAsia" w:ascii="宋体" w:hAnsi="宋体" w:eastAsia="宋体"/>
                <w:szCs w:val="24"/>
              </w:rPr>
              <w:tab/>
            </w:r>
            <w:r>
              <w:rPr>
                <w:rFonts w:hint="eastAsia" w:ascii="宋体" w:hAnsi="宋体" w:eastAsia="宋体"/>
                <w:szCs w:val="24"/>
              </w:rPr>
              <w:t>货物合同金额的10</w:t>
            </w:r>
            <w:r>
              <w:rPr>
                <w:rFonts w:ascii="宋体" w:hAnsi="宋体" w:eastAsia="宋体"/>
                <w:szCs w:val="24"/>
              </w:rPr>
              <w:t>%</w:t>
            </w:r>
            <w:r>
              <w:rPr>
                <w:rFonts w:hint="eastAsia" w:ascii="宋体" w:hAnsi="宋体" w:eastAsia="宋体"/>
                <w:szCs w:val="24"/>
              </w:rPr>
              <w:t>将在所有合同货物验收后，在收到下列单据并审核无误后30日内</w:t>
            </w:r>
            <w:r>
              <w:rPr>
                <w:rFonts w:ascii="宋体" w:hAnsi="宋体" w:eastAsia="宋体"/>
                <w:szCs w:val="24"/>
              </w:rPr>
              <w:t>T/T</w:t>
            </w:r>
            <w:r>
              <w:rPr>
                <w:rFonts w:hint="eastAsia" w:ascii="宋体" w:hAnsi="宋体" w:eastAsia="宋体"/>
                <w:szCs w:val="24"/>
              </w:rPr>
              <w:t>支付。</w:t>
            </w:r>
          </w:p>
          <w:p w14:paraId="41FEAA0E">
            <w:pPr>
              <w:pStyle w:val="154"/>
              <w:spacing w:line="360" w:lineRule="auto"/>
              <w:rPr>
                <w:rFonts w:ascii="宋体" w:hAnsi="宋体" w:eastAsia="宋体"/>
                <w:szCs w:val="24"/>
              </w:rPr>
            </w:pPr>
            <w:r>
              <w:rPr>
                <w:rFonts w:ascii="宋体" w:hAnsi="宋体" w:eastAsia="宋体"/>
                <w:szCs w:val="24"/>
              </w:rPr>
              <w:t>(i)</w:t>
            </w:r>
            <w:r>
              <w:rPr>
                <w:rFonts w:hint="eastAsia" w:ascii="宋体" w:hAnsi="宋体" w:eastAsia="宋体"/>
                <w:szCs w:val="24"/>
              </w:rPr>
              <w:tab/>
            </w:r>
            <w:r>
              <w:rPr>
                <w:rFonts w:hint="eastAsia" w:ascii="宋体" w:hAnsi="宋体" w:eastAsia="宋体"/>
                <w:szCs w:val="24"/>
              </w:rPr>
              <w:t>3份商业发票。</w:t>
            </w:r>
          </w:p>
          <w:p w14:paraId="61CEA005">
            <w:pPr>
              <w:pStyle w:val="154"/>
              <w:spacing w:line="360" w:lineRule="auto"/>
              <w:rPr>
                <w:rFonts w:ascii="宋体" w:hAnsi="宋体" w:eastAsia="宋体"/>
                <w:szCs w:val="24"/>
              </w:rPr>
            </w:pPr>
            <w:r>
              <w:rPr>
                <w:rFonts w:ascii="宋体" w:hAnsi="宋体" w:eastAsia="宋体"/>
                <w:szCs w:val="24"/>
              </w:rPr>
              <w:t>(ii)</w:t>
            </w:r>
            <w:r>
              <w:rPr>
                <w:rFonts w:ascii="宋体" w:hAnsi="宋体" w:eastAsia="宋体"/>
                <w:szCs w:val="24"/>
              </w:rPr>
              <w:tab/>
            </w:r>
            <w:r>
              <w:rPr>
                <w:rFonts w:hint="eastAsia" w:ascii="宋体" w:hAnsi="宋体" w:eastAsia="宋体"/>
                <w:szCs w:val="24"/>
              </w:rPr>
              <w:t>1份由买卖双方签署的合同货物验收报告。</w:t>
            </w:r>
          </w:p>
          <w:p w14:paraId="4EDDC951">
            <w:pPr>
              <w:pStyle w:val="104"/>
              <w:spacing w:line="360" w:lineRule="auto"/>
              <w:ind w:left="1762" w:hanging="1135"/>
              <w:rPr>
                <w:rFonts w:ascii="宋体" w:hAnsi="宋体" w:eastAsia="宋体"/>
                <w:szCs w:val="24"/>
              </w:rPr>
            </w:pPr>
            <w:r>
              <w:rPr>
                <w:rFonts w:hint="eastAsia" w:ascii="宋体" w:hAnsi="宋体" w:eastAsia="宋体"/>
                <w:szCs w:val="24"/>
              </w:rPr>
              <w:t>20</w:t>
            </w:r>
            <w:r>
              <w:rPr>
                <w:rFonts w:ascii="宋体" w:hAnsi="宋体" w:eastAsia="宋体"/>
                <w:szCs w:val="24"/>
              </w:rPr>
              <w:t>.</w:t>
            </w:r>
            <w:r>
              <w:rPr>
                <w:rFonts w:hint="eastAsia" w:ascii="宋体" w:hAnsi="宋体" w:eastAsia="宋体"/>
                <w:szCs w:val="24"/>
              </w:rPr>
              <w:t>1</w:t>
            </w:r>
            <w:r>
              <w:rPr>
                <w:rFonts w:ascii="宋体" w:hAnsi="宋体" w:eastAsia="宋体"/>
                <w:szCs w:val="24"/>
              </w:rPr>
              <w:t>.</w:t>
            </w:r>
            <w:r>
              <w:rPr>
                <w:rFonts w:hint="eastAsia" w:ascii="宋体" w:hAnsi="宋体" w:eastAsia="宋体"/>
                <w:szCs w:val="24"/>
              </w:rPr>
              <w:t>1.2</w:t>
            </w:r>
            <w:r>
              <w:rPr>
                <w:rFonts w:ascii="宋体" w:hAnsi="宋体" w:eastAsia="宋体"/>
                <w:szCs w:val="24"/>
              </w:rPr>
              <w:tab/>
            </w:r>
            <w:r>
              <w:rPr>
                <w:rFonts w:hint="eastAsia" w:ascii="宋体" w:hAnsi="宋体" w:eastAsia="宋体"/>
                <w:szCs w:val="24"/>
              </w:rPr>
              <w:t>在中华人民共和国境内发生的银行费用由买方承担，在中华人民共和国境外发生的银行费用由卖方承担。如果在议付中发生利息，将由卖方承担。</w:t>
            </w:r>
          </w:p>
          <w:p w14:paraId="2D80F8AD">
            <w:pPr>
              <w:pStyle w:val="104"/>
              <w:spacing w:line="360" w:lineRule="auto"/>
              <w:ind w:left="1762" w:hanging="1135"/>
              <w:rPr>
                <w:rFonts w:ascii="宋体" w:hAnsi="宋体" w:eastAsia="宋体"/>
                <w:szCs w:val="24"/>
              </w:rPr>
            </w:pPr>
            <w:r>
              <w:rPr>
                <w:rFonts w:hint="eastAsia" w:ascii="宋体" w:hAnsi="宋体" w:eastAsia="宋体"/>
                <w:szCs w:val="24"/>
              </w:rPr>
              <w:t>20.1.1.3</w:t>
            </w:r>
            <w:r>
              <w:rPr>
                <w:rFonts w:hint="eastAsia" w:ascii="宋体" w:hAnsi="宋体" w:eastAsia="宋体"/>
                <w:szCs w:val="24"/>
              </w:rPr>
              <w:tab/>
            </w:r>
            <w:r>
              <w:rPr>
                <w:rFonts w:hint="eastAsia" w:ascii="宋体" w:hAnsi="宋体" w:eastAsia="宋体"/>
                <w:szCs w:val="24"/>
              </w:rPr>
              <w:t>在每次装船后</w:t>
            </w:r>
            <w:r>
              <w:rPr>
                <w:rFonts w:ascii="宋体" w:hAnsi="宋体" w:eastAsia="宋体"/>
                <w:szCs w:val="24"/>
              </w:rPr>
              <w:t>48</w:t>
            </w:r>
            <w:r>
              <w:rPr>
                <w:rFonts w:hint="eastAsia" w:ascii="宋体" w:hAnsi="宋体" w:eastAsia="宋体"/>
                <w:szCs w:val="24"/>
              </w:rPr>
              <w:t>小时内，除上述第</w:t>
            </w:r>
            <w:r>
              <w:rPr>
                <w:rFonts w:ascii="宋体" w:hAnsi="宋体" w:eastAsia="宋体"/>
                <w:szCs w:val="24"/>
              </w:rPr>
              <w:t>20.1.</w:t>
            </w:r>
            <w:r>
              <w:rPr>
                <w:rFonts w:hint="eastAsia" w:ascii="宋体" w:hAnsi="宋体" w:eastAsia="宋体"/>
                <w:szCs w:val="24"/>
              </w:rPr>
              <w:t>1.</w:t>
            </w:r>
            <w:r>
              <w:rPr>
                <w:rFonts w:ascii="宋体" w:hAnsi="宋体" w:eastAsia="宋体"/>
                <w:szCs w:val="24"/>
              </w:rPr>
              <w:t>1</w:t>
            </w:r>
            <w:r>
              <w:rPr>
                <w:rFonts w:hint="eastAsia" w:ascii="宋体" w:hAnsi="宋体" w:eastAsia="宋体"/>
                <w:szCs w:val="24"/>
              </w:rPr>
              <w:t>(a)</w:t>
            </w:r>
            <w:r>
              <w:rPr>
                <w:rFonts w:ascii="宋体" w:hAnsi="宋体" w:eastAsia="宋体"/>
                <w:szCs w:val="24"/>
              </w:rPr>
              <w:t>(vi)</w:t>
            </w:r>
            <w:r>
              <w:rPr>
                <w:rFonts w:hint="eastAsia" w:ascii="宋体" w:hAnsi="宋体" w:eastAsia="宋体"/>
                <w:szCs w:val="24"/>
              </w:rPr>
              <w:t>、</w:t>
            </w:r>
            <w:r>
              <w:rPr>
                <w:rFonts w:ascii="宋体" w:hAnsi="宋体" w:eastAsia="宋体"/>
                <w:szCs w:val="24"/>
              </w:rPr>
              <w:t>(b)</w:t>
            </w:r>
            <w:r>
              <w:rPr>
                <w:rFonts w:hint="eastAsia" w:ascii="宋体" w:hAnsi="宋体" w:eastAsia="宋体"/>
                <w:szCs w:val="24"/>
              </w:rPr>
              <w:t>款规定的单据，卖方通过电邮或传真方式将上述壹套副本单据书面通知买方。卖方还将上述壹套副本单据随装运工具在目的港交给买方。如果由于卖方责任，卖方没有书面通知上述单据或随装运工具在目的港交给买方，卖方将承担延期清关和没有及时提货所引起的所有费用。</w:t>
            </w:r>
          </w:p>
          <w:p w14:paraId="47D0CCEE">
            <w:pPr>
              <w:pStyle w:val="104"/>
              <w:spacing w:line="360" w:lineRule="auto"/>
              <w:ind w:left="1762" w:hanging="1135"/>
              <w:rPr>
                <w:rFonts w:ascii="宋体" w:hAnsi="宋体" w:eastAsia="宋体"/>
                <w:szCs w:val="24"/>
              </w:rPr>
            </w:pPr>
            <w:r>
              <w:rPr>
                <w:rFonts w:hint="eastAsia" w:ascii="宋体" w:hAnsi="宋体" w:eastAsia="宋体"/>
                <w:szCs w:val="24"/>
              </w:rPr>
              <w:t>20.1.1.4 从中华人民共和国关境内提供的货物，买方将按20.1.2款的规定付款。</w:t>
            </w:r>
            <w:permEnd w:id="64"/>
          </w:p>
        </w:tc>
      </w:tr>
      <w:tr w14:paraId="081B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286" w:type="dxa"/>
          </w:tcPr>
          <w:p w14:paraId="6B5B4CF9">
            <w:pPr>
              <w:spacing w:line="360" w:lineRule="auto"/>
              <w:jc w:val="center"/>
              <w:rPr>
                <w:rFonts w:ascii="宋体" w:hAnsi="宋体"/>
                <w:sz w:val="24"/>
              </w:rPr>
            </w:pPr>
            <w:r>
              <w:rPr>
                <w:rFonts w:hint="eastAsia" w:ascii="宋体" w:hAnsi="宋体"/>
                <w:sz w:val="24"/>
              </w:rPr>
              <w:t>20.1.2</w:t>
            </w:r>
          </w:p>
        </w:tc>
        <w:tc>
          <w:tcPr>
            <w:tcW w:w="0" w:type="auto"/>
            <w:vAlign w:val="center"/>
          </w:tcPr>
          <w:p w14:paraId="28A4D4FC">
            <w:pPr>
              <w:pStyle w:val="5"/>
              <w:autoSpaceDE w:val="0"/>
              <w:autoSpaceDN w:val="0"/>
              <w:spacing w:line="360" w:lineRule="auto"/>
              <w:ind w:right="57" w:firstLine="0"/>
              <w:rPr>
                <w:rFonts w:ascii="宋体" w:hAnsi="宋体"/>
                <w:sz w:val="24"/>
                <w:szCs w:val="24"/>
              </w:rPr>
            </w:pPr>
            <w:permStart w:id="65" w:edGrp="everyone"/>
            <w:r>
              <w:rPr>
                <w:rFonts w:hint="eastAsia" w:ascii="宋体" w:hAnsi="宋体"/>
                <w:sz w:val="24"/>
                <w:szCs w:val="24"/>
              </w:rPr>
              <w:t>（一）从中华人民共和国关境内提供的货物，买方将按如下方式付款给卖方：</w:t>
            </w:r>
          </w:p>
          <w:p w14:paraId="568B8A02">
            <w:pPr>
              <w:pStyle w:val="5"/>
              <w:autoSpaceDE w:val="0"/>
              <w:autoSpaceDN w:val="0"/>
              <w:spacing w:line="360" w:lineRule="auto"/>
              <w:ind w:right="57" w:firstLine="626" w:firstLineChars="261"/>
              <w:rPr>
                <w:rFonts w:ascii="宋体" w:hAnsi="宋体"/>
                <w:sz w:val="24"/>
                <w:szCs w:val="24"/>
              </w:rPr>
            </w:pPr>
            <w:r>
              <w:rPr>
                <w:rFonts w:hint="eastAsia" w:ascii="宋体" w:hAnsi="宋体"/>
                <w:sz w:val="24"/>
                <w:szCs w:val="24"/>
              </w:rPr>
              <w:t>20.1.2.1 货到验收合格后</w:t>
            </w:r>
            <w:r>
              <w:rPr>
                <w:rFonts w:ascii="宋体" w:hAnsi="宋体"/>
                <w:sz w:val="24"/>
                <w:szCs w:val="24"/>
              </w:rPr>
              <w:t>3</w:t>
            </w:r>
            <w:r>
              <w:rPr>
                <w:rFonts w:hint="eastAsia" w:ascii="宋体" w:hAnsi="宋体"/>
                <w:sz w:val="24"/>
                <w:szCs w:val="24"/>
              </w:rPr>
              <w:t>个月内买方支付货款的100</w:t>
            </w:r>
            <w:r>
              <w:rPr>
                <w:rFonts w:ascii="宋体" w:hAnsi="宋体"/>
                <w:sz w:val="24"/>
                <w:szCs w:val="24"/>
              </w:rPr>
              <w:t>%</w:t>
            </w:r>
            <w:r>
              <w:rPr>
                <w:rFonts w:hint="eastAsia" w:ascii="宋体" w:hAnsi="宋体"/>
                <w:sz w:val="24"/>
                <w:szCs w:val="24"/>
              </w:rPr>
              <w:t>。</w:t>
            </w:r>
          </w:p>
          <w:p w14:paraId="423A4CFD">
            <w:pPr>
              <w:pStyle w:val="5"/>
              <w:autoSpaceDE w:val="0"/>
              <w:autoSpaceDN w:val="0"/>
              <w:spacing w:line="360" w:lineRule="auto"/>
              <w:ind w:left="626" w:leftChars="29" w:right="57" w:hanging="566" w:hangingChars="236"/>
              <w:rPr>
                <w:rFonts w:ascii="宋体" w:hAnsi="宋体"/>
                <w:sz w:val="24"/>
                <w:szCs w:val="24"/>
              </w:rPr>
            </w:pPr>
            <w:r>
              <w:rPr>
                <w:rFonts w:hint="eastAsia" w:ascii="宋体" w:hAnsi="宋体"/>
                <w:sz w:val="24"/>
                <w:szCs w:val="24"/>
              </w:rPr>
              <w:t>（二）从中华人民共和国关境外提供的货物，其第三方产品如在中华人民共和国关境内供货，买方将按如下方式付款给卖方：</w:t>
            </w:r>
          </w:p>
          <w:p w14:paraId="51A84CB7">
            <w:pPr>
              <w:pStyle w:val="5"/>
              <w:autoSpaceDE w:val="0"/>
              <w:autoSpaceDN w:val="0"/>
              <w:spacing w:line="360" w:lineRule="auto"/>
              <w:ind w:right="57" w:firstLine="626" w:firstLineChars="261"/>
              <w:rPr>
                <w:rFonts w:ascii="宋体" w:hAnsi="宋体"/>
                <w:sz w:val="24"/>
                <w:szCs w:val="24"/>
              </w:rPr>
            </w:pPr>
            <w:r>
              <w:rPr>
                <w:rFonts w:hint="eastAsia" w:ascii="宋体" w:hAnsi="宋体"/>
                <w:sz w:val="24"/>
                <w:szCs w:val="24"/>
              </w:rPr>
              <w:t>20.1.2.1 货到买方后30日内买方支付货款的90%。</w:t>
            </w:r>
          </w:p>
          <w:p w14:paraId="4093FB45">
            <w:pPr>
              <w:pStyle w:val="5"/>
              <w:autoSpaceDE w:val="0"/>
              <w:autoSpaceDN w:val="0"/>
              <w:spacing w:line="360" w:lineRule="auto"/>
              <w:ind w:left="1616" w:leftChars="298" w:right="57" w:hanging="991" w:hangingChars="413"/>
              <w:rPr>
                <w:rFonts w:ascii="宋体" w:hAnsi="宋体"/>
                <w:sz w:val="24"/>
              </w:rPr>
            </w:pPr>
            <w:r>
              <w:rPr>
                <w:rFonts w:hint="eastAsia" w:ascii="宋体" w:hAnsi="宋体"/>
                <w:sz w:val="24"/>
                <w:szCs w:val="24"/>
              </w:rPr>
              <w:t>20.1.2.2 货物验收合格后30日内买方支付货款的10</w:t>
            </w:r>
            <w:r>
              <w:rPr>
                <w:rFonts w:ascii="宋体" w:hAnsi="宋体"/>
                <w:sz w:val="24"/>
                <w:szCs w:val="24"/>
              </w:rPr>
              <w:t>%</w:t>
            </w:r>
            <w:r>
              <w:rPr>
                <w:rFonts w:hint="eastAsia" w:ascii="宋体" w:hAnsi="宋体"/>
                <w:sz w:val="24"/>
                <w:szCs w:val="24"/>
              </w:rPr>
              <w:t>。</w:t>
            </w:r>
            <w:permEnd w:id="65"/>
          </w:p>
        </w:tc>
      </w:tr>
      <w:tr w14:paraId="1339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86" w:type="dxa"/>
            <w:vAlign w:val="center"/>
          </w:tcPr>
          <w:p w14:paraId="1ECD86DA">
            <w:pPr>
              <w:spacing w:line="360" w:lineRule="auto"/>
              <w:jc w:val="center"/>
              <w:rPr>
                <w:rFonts w:ascii="宋体" w:hAnsi="宋体"/>
                <w:sz w:val="24"/>
              </w:rPr>
            </w:pPr>
            <w:permStart w:id="66" w:edGrp="everyone" w:colFirst="0" w:colLast="0"/>
            <w:permStart w:id="67" w:edGrp="everyone" w:colFirst="1" w:colLast="1"/>
            <w:permStart w:id="68" w:edGrp="everyone" w:colFirst="2" w:colLast="2"/>
            <w:r>
              <w:rPr>
                <w:rFonts w:ascii="宋体" w:hAnsi="宋体"/>
                <w:sz w:val="24"/>
              </w:rPr>
              <w:t>★28.1 2</w:t>
            </w:r>
            <w:r>
              <w:rPr>
                <w:rFonts w:hint="eastAsia" w:ascii="宋体" w:hAnsi="宋体"/>
                <w:sz w:val="24"/>
              </w:rPr>
              <w:t>）</w:t>
            </w:r>
          </w:p>
        </w:tc>
        <w:tc>
          <w:tcPr>
            <w:tcW w:w="0" w:type="auto"/>
            <w:vAlign w:val="center"/>
          </w:tcPr>
          <w:p w14:paraId="4DBB0AB9">
            <w:pPr>
              <w:spacing w:line="360" w:lineRule="auto"/>
              <w:jc w:val="left"/>
              <w:rPr>
                <w:rFonts w:ascii="宋体" w:hAnsi="宋体"/>
                <w:sz w:val="24"/>
                <w:szCs w:val="24"/>
              </w:rPr>
            </w:pPr>
            <w:r>
              <w:rPr>
                <w:rFonts w:hint="eastAsia" w:ascii="宋体" w:hAnsi="宋体"/>
                <w:sz w:val="24"/>
                <w:szCs w:val="24"/>
              </w:rPr>
              <w:t>（1）卖方在货物交付时应保证投标设备医疗器械注册证或医疗器械备案凭证的有效性，若卖方无法提供有效的医疗器械注册证或医疗器械备案凭证，则买方有权解除合同，并要求卖方支付合同金额10%的补偿金。</w:t>
            </w:r>
          </w:p>
          <w:p w14:paraId="1B973785">
            <w:pPr>
              <w:spacing w:line="360" w:lineRule="auto"/>
              <w:jc w:val="left"/>
              <w:rPr>
                <w:rFonts w:ascii="宋体" w:hAnsi="宋体"/>
                <w:sz w:val="24"/>
                <w:szCs w:val="24"/>
              </w:rPr>
            </w:pPr>
            <w:r>
              <w:rPr>
                <w:rFonts w:hint="eastAsia" w:ascii="宋体" w:hAnsi="宋体"/>
                <w:sz w:val="24"/>
                <w:szCs w:val="24"/>
              </w:rPr>
              <w:t>（2）卖方应保证所交付的货物为交货日期前6个月内生产的全新产品，若交付的货物生产时间不符合要求，则买方有权解除合同，并要求卖方支付合同金额10%的补偿金。</w:t>
            </w:r>
          </w:p>
        </w:tc>
      </w:tr>
      <w:permEnd w:id="66"/>
      <w:permEnd w:id="67"/>
      <w:permEnd w:id="68"/>
      <w:tr w14:paraId="1F5A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86" w:type="dxa"/>
            <w:vAlign w:val="center"/>
          </w:tcPr>
          <w:p w14:paraId="28BEB5B0">
            <w:pPr>
              <w:spacing w:line="360" w:lineRule="auto"/>
              <w:jc w:val="center"/>
              <w:rPr>
                <w:rFonts w:ascii="宋体" w:hAnsi="宋体"/>
                <w:sz w:val="24"/>
              </w:rPr>
            </w:pPr>
            <w:permStart w:id="69" w:edGrp="everyone" w:colFirst="0" w:colLast="0"/>
            <w:permStart w:id="70" w:edGrp="everyone" w:colFirst="1" w:colLast="1"/>
            <w:permStart w:id="71" w:edGrp="everyone" w:colFirst="2" w:colLast="2"/>
            <w:r>
              <w:rPr>
                <w:rFonts w:hint="eastAsia" w:ascii="宋体" w:hAnsi="宋体"/>
                <w:sz w:val="24"/>
              </w:rPr>
              <w:t>★28.1 3）</w:t>
            </w:r>
          </w:p>
        </w:tc>
        <w:tc>
          <w:tcPr>
            <w:tcW w:w="0" w:type="auto"/>
            <w:vAlign w:val="center"/>
          </w:tcPr>
          <w:p w14:paraId="374CFB87">
            <w:pPr>
              <w:spacing w:line="360" w:lineRule="auto"/>
              <w:jc w:val="left"/>
              <w:rPr>
                <w:rFonts w:ascii="宋体" w:hAnsi="宋体"/>
                <w:sz w:val="24"/>
                <w:szCs w:val="24"/>
              </w:rPr>
            </w:pPr>
            <w:r>
              <w:rPr>
                <w:rFonts w:hint="eastAsia" w:ascii="宋体" w:hAnsi="宋体"/>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permEnd w:id="69"/>
      <w:permEnd w:id="70"/>
      <w:permEnd w:id="71"/>
      <w:tr w14:paraId="65BB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86" w:type="dxa"/>
          </w:tcPr>
          <w:p w14:paraId="62A38106">
            <w:pPr>
              <w:spacing w:line="360" w:lineRule="auto"/>
              <w:jc w:val="center"/>
              <w:rPr>
                <w:rFonts w:ascii="宋体" w:hAnsi="宋体"/>
                <w:sz w:val="24"/>
              </w:rPr>
            </w:pPr>
            <w:r>
              <w:rPr>
                <w:rFonts w:hint="eastAsia" w:ascii="宋体" w:hAnsi="宋体"/>
                <w:sz w:val="24"/>
              </w:rPr>
              <w:t>32.2</w:t>
            </w:r>
          </w:p>
        </w:tc>
        <w:tc>
          <w:tcPr>
            <w:tcW w:w="0" w:type="auto"/>
            <w:vAlign w:val="center"/>
          </w:tcPr>
          <w:p w14:paraId="3599BB84">
            <w:pPr>
              <w:pStyle w:val="5"/>
              <w:autoSpaceDE w:val="0"/>
              <w:autoSpaceDN w:val="0"/>
              <w:spacing w:line="360" w:lineRule="auto"/>
              <w:ind w:left="102" w:right="57" w:hanging="56"/>
              <w:rPr>
                <w:rFonts w:ascii="宋体" w:hAnsi="宋体"/>
                <w:sz w:val="24"/>
              </w:rPr>
            </w:pPr>
            <w:r>
              <w:rPr>
                <w:rFonts w:hint="eastAsia" w:ascii="宋体" w:hAnsi="宋体"/>
                <w:sz w:val="24"/>
              </w:rPr>
              <w:t>仲裁应由中国国际经济贸易仲裁委员会（CIETAC）上海分会按其仲裁规则和程序在上海进行。仲裁的官方语言应为中文。</w:t>
            </w:r>
          </w:p>
        </w:tc>
      </w:tr>
      <w:tr w14:paraId="55C0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86" w:type="dxa"/>
          </w:tcPr>
          <w:p w14:paraId="660AE04C">
            <w:pPr>
              <w:spacing w:line="360" w:lineRule="auto"/>
              <w:jc w:val="center"/>
              <w:rPr>
                <w:rFonts w:ascii="宋体" w:hAnsi="宋体"/>
                <w:sz w:val="24"/>
              </w:rPr>
            </w:pPr>
            <w:r>
              <w:rPr>
                <w:rFonts w:ascii="宋体" w:hAnsi="宋体"/>
                <w:sz w:val="24"/>
              </w:rPr>
              <w:t>35.</w:t>
            </w:r>
            <w:r>
              <w:rPr>
                <w:rFonts w:hint="eastAsia" w:ascii="宋体" w:hAnsi="宋体"/>
                <w:sz w:val="24"/>
              </w:rPr>
              <w:t>1</w:t>
            </w:r>
          </w:p>
        </w:tc>
        <w:tc>
          <w:tcPr>
            <w:tcW w:w="0" w:type="auto"/>
            <w:vAlign w:val="center"/>
          </w:tcPr>
          <w:p w14:paraId="4A4BB739">
            <w:pPr>
              <w:pStyle w:val="5"/>
              <w:autoSpaceDE w:val="0"/>
              <w:autoSpaceDN w:val="0"/>
              <w:spacing w:line="360" w:lineRule="auto"/>
              <w:ind w:left="57" w:right="57" w:hanging="18"/>
              <w:rPr>
                <w:rFonts w:ascii="宋体" w:hAnsi="宋体"/>
                <w:sz w:val="24"/>
              </w:rPr>
            </w:pPr>
            <w:r>
              <w:rPr>
                <w:rFonts w:hint="eastAsia" w:ascii="宋体" w:hAnsi="宋体"/>
                <w:sz w:val="24"/>
              </w:rPr>
              <w:t>本合同项下卖方给买方的通知应用书面形式送达本专用条款第1条第7）款所示的地址；买方给卖方的通知应用书面形式送达本专用条款第1条第8）款所示的地址。</w:t>
            </w:r>
          </w:p>
        </w:tc>
      </w:tr>
      <w:tr w14:paraId="4C6A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86" w:type="dxa"/>
          </w:tcPr>
          <w:p w14:paraId="64DC5D8E">
            <w:pPr>
              <w:spacing w:line="360" w:lineRule="auto"/>
              <w:jc w:val="center"/>
              <w:rPr>
                <w:rFonts w:ascii="宋体" w:hAnsi="宋体"/>
                <w:sz w:val="24"/>
              </w:rPr>
            </w:pPr>
            <w:r>
              <w:rPr>
                <w:rFonts w:hint="eastAsia" w:ascii="宋体" w:hAnsi="宋体"/>
                <w:sz w:val="24"/>
              </w:rPr>
              <w:t>36.2</w:t>
            </w:r>
          </w:p>
        </w:tc>
        <w:tc>
          <w:tcPr>
            <w:tcW w:w="0" w:type="auto"/>
            <w:vAlign w:val="center"/>
          </w:tcPr>
          <w:p w14:paraId="74FDEC98">
            <w:pPr>
              <w:pStyle w:val="5"/>
              <w:autoSpaceDE w:val="0"/>
              <w:autoSpaceDN w:val="0"/>
              <w:spacing w:line="360" w:lineRule="auto"/>
              <w:ind w:left="40" w:right="57" w:firstLine="0"/>
              <w:rPr>
                <w:rFonts w:ascii="宋体" w:hAnsi="宋体"/>
                <w:sz w:val="24"/>
              </w:rPr>
            </w:pPr>
            <w:r>
              <w:rPr>
                <w:rFonts w:hint="eastAsia" w:ascii="宋体" w:hAnsi="宋体"/>
                <w:sz w:val="24"/>
              </w:rPr>
              <w:t>互惠协议的标题是“中华人民共和国和</w:t>
            </w:r>
            <w:r>
              <w:rPr>
                <w:rFonts w:hint="eastAsia" w:ascii="宋体" w:hAnsi="宋体"/>
                <w:sz w:val="24"/>
                <w:u w:val="single"/>
              </w:rPr>
              <w:t xml:space="preserve">               </w:t>
            </w:r>
            <w:r>
              <w:rPr>
                <w:rFonts w:hint="eastAsia" w:ascii="宋体" w:hAnsi="宋体"/>
                <w:sz w:val="24"/>
              </w:rPr>
              <w:t>政府关于所得税和财产税避免双重征税和防止偷漏税的协定”。</w:t>
            </w:r>
          </w:p>
        </w:tc>
      </w:tr>
      <w:tr w14:paraId="3791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86" w:type="dxa"/>
          </w:tcPr>
          <w:p w14:paraId="2D91145D">
            <w:pPr>
              <w:spacing w:line="360" w:lineRule="auto"/>
              <w:jc w:val="center"/>
              <w:rPr>
                <w:rFonts w:ascii="宋体" w:hAnsi="宋体"/>
                <w:sz w:val="24"/>
              </w:rPr>
            </w:pPr>
            <w:r>
              <w:rPr>
                <w:rFonts w:hint="eastAsia" w:ascii="宋体" w:hAnsi="宋体"/>
                <w:sz w:val="24"/>
              </w:rPr>
              <w:t>37.4</w:t>
            </w:r>
          </w:p>
        </w:tc>
        <w:tc>
          <w:tcPr>
            <w:tcW w:w="0" w:type="auto"/>
            <w:vAlign w:val="center"/>
          </w:tcPr>
          <w:p w14:paraId="31C6ED7B">
            <w:pPr>
              <w:pStyle w:val="5"/>
              <w:autoSpaceDE w:val="0"/>
              <w:autoSpaceDN w:val="0"/>
              <w:spacing w:line="360" w:lineRule="auto"/>
              <w:ind w:left="40" w:right="57" w:firstLine="0"/>
              <w:rPr>
                <w:rFonts w:ascii="宋体" w:hAnsi="宋体"/>
                <w:sz w:val="24"/>
              </w:rPr>
            </w:pPr>
            <w:r>
              <w:rPr>
                <w:rFonts w:hint="eastAsia" w:ascii="宋体" w:hAnsi="宋体"/>
                <w:sz w:val="24"/>
              </w:rPr>
              <w:t>本项目由买方委托的外贸公司负责办理进口相关手续。</w:t>
            </w:r>
          </w:p>
        </w:tc>
      </w:tr>
    </w:tbl>
    <w:p w14:paraId="5E8DEC67">
      <w:pPr>
        <w:pStyle w:val="5"/>
        <w:autoSpaceDE w:val="0"/>
        <w:autoSpaceDN w:val="0"/>
        <w:spacing w:line="360" w:lineRule="auto"/>
        <w:ind w:left="105" w:firstLine="0"/>
        <w:rPr>
          <w:rFonts w:ascii="宋体" w:hAnsi="宋体"/>
          <w:sz w:val="24"/>
        </w:rPr>
      </w:pPr>
      <w:r>
        <w:rPr>
          <w:rFonts w:hint="eastAsia" w:ascii="宋体" w:hAnsi="宋体"/>
          <w:sz w:val="24"/>
        </w:rPr>
        <w:t>注：卖方的名称和地址应在签合同时填入。</w:t>
      </w:r>
    </w:p>
    <w:p w14:paraId="0FF7B71C">
      <w:pPr>
        <w:pStyle w:val="108"/>
        <w:autoSpaceDE w:val="0"/>
        <w:autoSpaceDN w:val="0"/>
        <w:spacing w:line="360" w:lineRule="auto"/>
        <w:rPr>
          <w:rFonts w:ascii="宋体" w:hAnsi="宋体" w:eastAsia="宋体"/>
        </w:rPr>
        <w:sectPr>
          <w:headerReference r:id="rId12" w:type="first"/>
          <w:footerReference r:id="rId14" w:type="first"/>
          <w:footerReference r:id="rId13" w:type="default"/>
          <w:headerReference r:id="rId11" w:type="even"/>
          <w:pgSz w:w="11906" w:h="16838"/>
          <w:pgMar w:top="1418" w:right="1134" w:bottom="1418" w:left="1418" w:header="567" w:footer="567" w:gutter="0"/>
          <w:cols w:space="720" w:num="1"/>
          <w:docGrid w:type="linesAndChars" w:linePitch="312" w:charSpace="0"/>
        </w:sectPr>
      </w:pPr>
    </w:p>
    <w:p w14:paraId="42C8E506">
      <w:pPr>
        <w:pStyle w:val="5"/>
        <w:autoSpaceDE w:val="0"/>
        <w:autoSpaceDN w:val="0"/>
        <w:spacing w:line="360" w:lineRule="auto"/>
        <w:rPr>
          <w:rFonts w:ascii="宋体" w:hAnsi="宋体"/>
        </w:rPr>
      </w:pPr>
    </w:p>
    <w:p w14:paraId="3006F345">
      <w:pPr>
        <w:pStyle w:val="5"/>
        <w:autoSpaceDE w:val="0"/>
        <w:autoSpaceDN w:val="0"/>
        <w:spacing w:line="360" w:lineRule="auto"/>
        <w:rPr>
          <w:rFonts w:ascii="宋体" w:hAnsi="宋体"/>
        </w:rPr>
      </w:pPr>
    </w:p>
    <w:p w14:paraId="15AF5A9D">
      <w:pPr>
        <w:pStyle w:val="5"/>
        <w:autoSpaceDE w:val="0"/>
        <w:autoSpaceDN w:val="0"/>
        <w:spacing w:line="360" w:lineRule="auto"/>
        <w:rPr>
          <w:rFonts w:ascii="宋体" w:hAnsi="宋体"/>
        </w:rPr>
      </w:pPr>
    </w:p>
    <w:p w14:paraId="0333E386">
      <w:pPr>
        <w:pStyle w:val="5"/>
        <w:autoSpaceDE w:val="0"/>
        <w:autoSpaceDN w:val="0"/>
        <w:spacing w:line="360" w:lineRule="auto"/>
        <w:rPr>
          <w:rFonts w:ascii="宋体" w:hAnsi="宋体"/>
        </w:rPr>
      </w:pPr>
    </w:p>
    <w:p w14:paraId="78AC3EC7">
      <w:pPr>
        <w:pStyle w:val="5"/>
        <w:autoSpaceDE w:val="0"/>
        <w:autoSpaceDN w:val="0"/>
        <w:spacing w:line="360" w:lineRule="auto"/>
        <w:rPr>
          <w:rFonts w:ascii="宋体" w:hAnsi="宋体"/>
        </w:rPr>
      </w:pPr>
    </w:p>
    <w:p w14:paraId="02F153DB">
      <w:pPr>
        <w:pStyle w:val="5"/>
        <w:autoSpaceDE w:val="0"/>
        <w:autoSpaceDN w:val="0"/>
        <w:spacing w:line="360" w:lineRule="auto"/>
        <w:rPr>
          <w:rFonts w:ascii="宋体" w:hAnsi="宋体"/>
        </w:rPr>
      </w:pPr>
    </w:p>
    <w:p w14:paraId="7F2AB0D4">
      <w:pPr>
        <w:pStyle w:val="88"/>
        <w:spacing w:line="360" w:lineRule="auto"/>
        <w:rPr>
          <w:rFonts w:ascii="宋体" w:hAnsi="宋体" w:eastAsia="宋体"/>
        </w:rPr>
      </w:pPr>
      <w:bookmarkStart w:id="33" w:name="_Toc74677722"/>
      <w:bookmarkStart w:id="34" w:name="_Toc109920766"/>
      <w:bookmarkStart w:id="35" w:name="_Toc84929692"/>
      <w:bookmarkStart w:id="36" w:name="_Toc9066361"/>
      <w:r>
        <w:rPr>
          <w:rFonts w:hint="eastAsia" w:ascii="宋体" w:hAnsi="宋体" w:eastAsia="宋体"/>
        </w:rPr>
        <w:t>第八章 货物需求一览表及技术规格</w:t>
      </w:r>
      <w:bookmarkEnd w:id="33"/>
      <w:bookmarkEnd w:id="34"/>
      <w:bookmarkEnd w:id="35"/>
      <w:bookmarkEnd w:id="36"/>
    </w:p>
    <w:p w14:paraId="23CE9EAB">
      <w:pPr>
        <w:spacing w:line="360" w:lineRule="auto"/>
        <w:jc w:val="center"/>
        <w:rPr>
          <w:rFonts w:ascii="宋体" w:hAnsi="宋体"/>
          <w:b/>
          <w:sz w:val="28"/>
        </w:rPr>
      </w:pPr>
    </w:p>
    <w:p w14:paraId="48A9D505">
      <w:pPr>
        <w:spacing w:line="360" w:lineRule="auto"/>
        <w:jc w:val="center"/>
        <w:rPr>
          <w:rFonts w:ascii="宋体" w:hAnsi="宋体"/>
          <w:b/>
          <w:sz w:val="28"/>
        </w:rPr>
      </w:pPr>
    </w:p>
    <w:p w14:paraId="365E04EC">
      <w:pPr>
        <w:spacing w:line="360" w:lineRule="auto"/>
        <w:jc w:val="center"/>
        <w:rPr>
          <w:rFonts w:ascii="宋体" w:hAnsi="宋体"/>
          <w:b/>
          <w:sz w:val="28"/>
        </w:rPr>
      </w:pPr>
    </w:p>
    <w:p w14:paraId="4FEF9EFC">
      <w:pPr>
        <w:spacing w:line="360" w:lineRule="auto"/>
        <w:jc w:val="center"/>
        <w:rPr>
          <w:rFonts w:ascii="宋体" w:hAnsi="宋体"/>
          <w:b/>
          <w:sz w:val="28"/>
        </w:rPr>
      </w:pPr>
    </w:p>
    <w:p w14:paraId="36B30DCD">
      <w:pPr>
        <w:spacing w:line="360" w:lineRule="auto"/>
        <w:jc w:val="center"/>
        <w:rPr>
          <w:rFonts w:ascii="宋体" w:hAnsi="宋体"/>
          <w:b/>
          <w:sz w:val="28"/>
        </w:rPr>
      </w:pPr>
    </w:p>
    <w:p w14:paraId="0E254CAA">
      <w:pPr>
        <w:spacing w:line="360" w:lineRule="auto"/>
        <w:jc w:val="center"/>
        <w:rPr>
          <w:rFonts w:ascii="宋体" w:hAnsi="宋体"/>
          <w:b/>
          <w:sz w:val="28"/>
        </w:rPr>
      </w:pPr>
    </w:p>
    <w:p w14:paraId="47FACB68">
      <w:pPr>
        <w:spacing w:line="360" w:lineRule="auto"/>
        <w:jc w:val="center"/>
        <w:rPr>
          <w:rFonts w:ascii="宋体" w:hAnsi="宋体"/>
          <w:b/>
          <w:sz w:val="28"/>
        </w:rPr>
      </w:pPr>
    </w:p>
    <w:p w14:paraId="7B5A30B7">
      <w:pPr>
        <w:spacing w:line="360" w:lineRule="auto"/>
        <w:jc w:val="center"/>
        <w:rPr>
          <w:rFonts w:ascii="宋体" w:hAnsi="宋体"/>
          <w:b/>
          <w:sz w:val="28"/>
        </w:rPr>
      </w:pPr>
    </w:p>
    <w:p w14:paraId="4E0BD7D0">
      <w:pPr>
        <w:spacing w:line="360" w:lineRule="auto"/>
        <w:jc w:val="center"/>
        <w:rPr>
          <w:rFonts w:ascii="宋体" w:hAnsi="宋体"/>
          <w:b/>
          <w:sz w:val="28"/>
        </w:rPr>
      </w:pPr>
    </w:p>
    <w:p w14:paraId="37631FCE">
      <w:pPr>
        <w:spacing w:line="360" w:lineRule="auto"/>
        <w:jc w:val="center"/>
        <w:rPr>
          <w:rFonts w:ascii="宋体" w:hAnsi="宋体"/>
          <w:b/>
          <w:sz w:val="28"/>
        </w:rPr>
      </w:pPr>
    </w:p>
    <w:p w14:paraId="70C7E21F">
      <w:pPr>
        <w:spacing w:line="360" w:lineRule="auto"/>
        <w:jc w:val="center"/>
        <w:rPr>
          <w:rFonts w:ascii="宋体" w:hAnsi="宋体"/>
          <w:b/>
          <w:sz w:val="28"/>
        </w:rPr>
      </w:pPr>
    </w:p>
    <w:p w14:paraId="3F3AB99F">
      <w:pPr>
        <w:spacing w:line="360" w:lineRule="auto"/>
        <w:jc w:val="center"/>
        <w:rPr>
          <w:rFonts w:ascii="宋体" w:hAnsi="宋体"/>
          <w:b/>
          <w:sz w:val="28"/>
        </w:rPr>
      </w:pPr>
    </w:p>
    <w:p w14:paraId="4AEFD410">
      <w:pPr>
        <w:spacing w:line="360" w:lineRule="auto"/>
        <w:jc w:val="center"/>
        <w:rPr>
          <w:rFonts w:ascii="宋体" w:hAnsi="宋体"/>
          <w:b/>
          <w:sz w:val="28"/>
        </w:rPr>
      </w:pPr>
    </w:p>
    <w:p w14:paraId="6DA758B4">
      <w:pPr>
        <w:spacing w:line="360" w:lineRule="auto"/>
        <w:jc w:val="center"/>
        <w:rPr>
          <w:rFonts w:ascii="宋体" w:hAnsi="宋体"/>
          <w:b/>
          <w:sz w:val="28"/>
        </w:rPr>
      </w:pPr>
    </w:p>
    <w:p w14:paraId="4802EB00">
      <w:pPr>
        <w:spacing w:line="360" w:lineRule="auto"/>
        <w:jc w:val="center"/>
        <w:rPr>
          <w:rFonts w:ascii="宋体" w:hAnsi="宋体"/>
          <w:b/>
          <w:sz w:val="28"/>
        </w:rPr>
      </w:pPr>
    </w:p>
    <w:p w14:paraId="32FE3159">
      <w:pPr>
        <w:spacing w:line="360" w:lineRule="auto"/>
        <w:jc w:val="center"/>
        <w:rPr>
          <w:rFonts w:ascii="宋体" w:hAnsi="宋体"/>
          <w:b/>
          <w:sz w:val="28"/>
        </w:rPr>
      </w:pPr>
    </w:p>
    <w:p w14:paraId="5CB7EEB5">
      <w:pPr>
        <w:spacing w:line="360" w:lineRule="auto"/>
        <w:jc w:val="center"/>
        <w:rPr>
          <w:rFonts w:ascii="宋体" w:hAnsi="宋体"/>
          <w:b/>
          <w:sz w:val="28"/>
        </w:rPr>
      </w:pPr>
    </w:p>
    <w:p w14:paraId="174D8B9E">
      <w:pPr>
        <w:spacing w:line="360" w:lineRule="auto"/>
        <w:jc w:val="center"/>
        <w:rPr>
          <w:rFonts w:ascii="宋体" w:hAnsi="宋体"/>
          <w:b/>
          <w:sz w:val="28"/>
        </w:rPr>
      </w:pPr>
    </w:p>
    <w:p w14:paraId="14F1FB87">
      <w:pPr>
        <w:spacing w:line="360" w:lineRule="auto"/>
        <w:jc w:val="center"/>
        <w:rPr>
          <w:rFonts w:ascii="宋体" w:hAnsi="宋体"/>
          <w:b/>
          <w:sz w:val="28"/>
        </w:rPr>
      </w:pPr>
    </w:p>
    <w:p w14:paraId="224B1654">
      <w:pPr>
        <w:spacing w:line="360" w:lineRule="auto"/>
        <w:jc w:val="center"/>
        <w:rPr>
          <w:rFonts w:ascii="宋体" w:hAnsi="宋体"/>
          <w:b/>
          <w:sz w:val="28"/>
        </w:rPr>
      </w:pPr>
    </w:p>
    <w:p w14:paraId="35A45568">
      <w:pPr>
        <w:spacing w:line="360" w:lineRule="auto"/>
        <w:jc w:val="center"/>
        <w:rPr>
          <w:rFonts w:ascii="宋体" w:hAnsi="宋体"/>
          <w:b/>
          <w:bCs/>
          <w:sz w:val="32"/>
          <w:szCs w:val="54"/>
        </w:rPr>
      </w:pPr>
      <w:r>
        <w:rPr>
          <w:rFonts w:hint="eastAsia" w:ascii="宋体" w:hAnsi="宋体"/>
          <w:b/>
          <w:bCs/>
          <w:sz w:val="32"/>
          <w:szCs w:val="54"/>
        </w:rPr>
        <w:t>技术规格及要求</w:t>
      </w:r>
    </w:p>
    <w:p w14:paraId="7C6D35CB">
      <w:pPr>
        <w:spacing w:line="360" w:lineRule="auto"/>
        <w:rPr>
          <w:rFonts w:ascii="宋体" w:hAnsi="宋体"/>
          <w:sz w:val="24"/>
        </w:rPr>
      </w:pPr>
      <w:permStart w:id="72" w:edGrp="everyone"/>
      <w:r>
        <w:rPr>
          <w:rFonts w:hint="eastAsia" w:ascii="宋体" w:hAnsi="宋体"/>
          <w:sz w:val="24"/>
        </w:rPr>
        <w:t>一、设备名称及数量：</w:t>
      </w:r>
      <w:r>
        <w:rPr>
          <w:rFonts w:hint="eastAsia" w:ascii="宋体" w:hAnsi="宋体"/>
          <w:sz w:val="24"/>
          <w:szCs w:val="24"/>
        </w:rPr>
        <w:t>体外冲击波心血管治疗系统</w:t>
      </w:r>
      <w:r>
        <w:rPr>
          <w:rFonts w:hint="eastAsia" w:ascii="宋体" w:hAnsi="宋体"/>
          <w:sz w:val="24"/>
        </w:rPr>
        <w:t>/</w:t>
      </w:r>
      <w:r>
        <w:rPr>
          <w:rFonts w:hint="eastAsia" w:ascii="宋体" w:hAnsi="宋体"/>
          <w:sz w:val="24"/>
          <w:szCs w:val="24"/>
        </w:rPr>
        <w:t>壹套</w:t>
      </w:r>
    </w:p>
    <w:p w14:paraId="04B5A3BC">
      <w:pPr>
        <w:spacing w:line="360" w:lineRule="auto"/>
        <w:rPr>
          <w:rFonts w:ascii="宋体" w:hAnsi="宋体"/>
          <w:sz w:val="24"/>
        </w:rPr>
      </w:pPr>
      <w:r>
        <w:rPr>
          <w:rFonts w:hint="eastAsia" w:ascii="宋体" w:hAnsi="宋体"/>
          <w:sz w:val="24"/>
        </w:rPr>
        <w:t>二、交货日期：</w:t>
      </w:r>
    </w:p>
    <w:p w14:paraId="75A0DE1D">
      <w:pPr>
        <w:spacing w:line="360" w:lineRule="auto"/>
        <w:rPr>
          <w:rFonts w:ascii="宋体" w:hAnsi="宋体"/>
          <w:sz w:val="24"/>
        </w:rPr>
      </w:pPr>
      <w:r>
        <w:rPr>
          <w:rFonts w:hint="eastAsia" w:ascii="宋体" w:hAnsi="宋体"/>
          <w:sz w:val="24"/>
        </w:rPr>
        <w:t>1、合同签订后</w:t>
      </w:r>
      <w:r>
        <w:rPr>
          <w:rFonts w:hint="eastAsia" w:ascii="宋体" w:hAnsi="宋体"/>
          <w:sz w:val="24"/>
          <w:lang w:val="en-US" w:eastAsia="zh-CN"/>
        </w:rPr>
        <w:t>3</w:t>
      </w:r>
      <w:r>
        <w:rPr>
          <w:rFonts w:hint="eastAsia" w:ascii="宋体" w:hAnsi="宋体"/>
          <w:sz w:val="24"/>
        </w:rPr>
        <w:t>0天内</w:t>
      </w:r>
    </w:p>
    <w:p w14:paraId="3775EB68">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若因招标人原因（包括但不限于机房不具备装机条件、免税办理时效等情况），造成在前述交货期内不具备收货条件，从而导致交货延迟的，则交货期应顺延至收货条件完备后，但不得晚于招标人出具的书面交货通知后30天内。</w:t>
      </w:r>
    </w:p>
    <w:p w14:paraId="41D4CBC6">
      <w:pPr>
        <w:spacing w:line="360" w:lineRule="auto"/>
        <w:rPr>
          <w:rFonts w:ascii="宋体" w:hAnsi="宋体"/>
          <w:sz w:val="24"/>
          <w:szCs w:val="24"/>
        </w:rPr>
      </w:pPr>
      <w:r>
        <w:rPr>
          <w:rFonts w:hint="eastAsia" w:ascii="宋体" w:hAnsi="宋体"/>
          <w:sz w:val="24"/>
          <w:szCs w:val="24"/>
        </w:rPr>
        <w:t>三、交货地点：招标人指定地点</w:t>
      </w:r>
    </w:p>
    <w:p w14:paraId="1B9A405A">
      <w:pPr>
        <w:spacing w:line="360" w:lineRule="auto"/>
        <w:rPr>
          <w:rFonts w:ascii="宋体" w:hAnsi="宋体"/>
          <w:sz w:val="24"/>
          <w:szCs w:val="24"/>
        </w:rPr>
      </w:pPr>
      <w:r>
        <w:rPr>
          <w:rFonts w:hint="eastAsia" w:ascii="宋体" w:hAnsi="宋体"/>
          <w:sz w:val="24"/>
          <w:szCs w:val="24"/>
        </w:rPr>
        <w:t>四、设备主要用途说明：对冠心病患者进行治疗，促进心肌血管新生，增强心肌供血，减轻患者心绞痛等相关症状，提高缺血性心脏病患者的生存质量。</w:t>
      </w:r>
    </w:p>
    <w:p w14:paraId="07A372DF">
      <w:pPr>
        <w:spacing w:line="360" w:lineRule="auto"/>
        <w:rPr>
          <w:rFonts w:ascii="宋体" w:hAnsi="宋体"/>
          <w:sz w:val="24"/>
          <w:szCs w:val="24"/>
        </w:rPr>
      </w:pPr>
      <w:r>
        <w:rPr>
          <w:rFonts w:hint="eastAsia" w:ascii="宋体" w:hAnsi="宋体"/>
          <w:sz w:val="24"/>
          <w:szCs w:val="24"/>
        </w:rPr>
        <w:t>五、主要技术参数需求</w:t>
      </w:r>
    </w:p>
    <w:tbl>
      <w:tblPr>
        <w:tblStyle w:val="41"/>
        <w:tblW w:w="4999" w:type="pct"/>
        <w:tblInd w:w="0" w:type="dxa"/>
        <w:tblLayout w:type="autofit"/>
        <w:tblCellMar>
          <w:top w:w="0" w:type="dxa"/>
          <w:left w:w="108" w:type="dxa"/>
          <w:bottom w:w="0" w:type="dxa"/>
          <w:right w:w="108" w:type="dxa"/>
        </w:tblCellMar>
      </w:tblPr>
      <w:tblGrid>
        <w:gridCol w:w="618"/>
        <w:gridCol w:w="8941"/>
      </w:tblGrid>
      <w:tr w14:paraId="270013C3">
        <w:tblPrEx>
          <w:tblCellMar>
            <w:top w:w="0" w:type="dxa"/>
            <w:left w:w="108" w:type="dxa"/>
            <w:bottom w:w="0" w:type="dxa"/>
            <w:right w:w="108" w:type="dxa"/>
          </w:tblCellMar>
        </w:tblPrEx>
        <w:trPr>
          <w:trHeight w:val="91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9501">
            <w:pPr>
              <w:spacing w:line="360" w:lineRule="auto"/>
              <w:rPr>
                <w:rFonts w:ascii="宋体" w:hAnsi="宋体"/>
                <w:b w:val="0"/>
                <w:bCs w:val="0"/>
                <w:color w:val="auto"/>
                <w:sz w:val="24"/>
                <w:szCs w:val="24"/>
              </w:rPr>
            </w:pPr>
            <w:r>
              <w:rPr>
                <w:rFonts w:hint="eastAsia" w:ascii="宋体" w:hAnsi="宋体"/>
                <w:b w:val="0"/>
                <w:bCs w:val="0"/>
                <w:color w:val="auto"/>
                <w:sz w:val="24"/>
                <w:szCs w:val="24"/>
              </w:rPr>
              <w:t>1</w:t>
            </w:r>
          </w:p>
        </w:tc>
        <w:tc>
          <w:tcPr>
            <w:tcW w:w="4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FF7D">
            <w:pPr>
              <w:spacing w:line="360" w:lineRule="auto"/>
              <w:rPr>
                <w:rFonts w:ascii="宋体" w:hAnsi="宋体"/>
                <w:b w:val="0"/>
                <w:bCs w:val="0"/>
                <w:color w:val="auto"/>
                <w:sz w:val="24"/>
                <w:szCs w:val="24"/>
              </w:rPr>
            </w:pPr>
            <w:r>
              <w:rPr>
                <w:rFonts w:hint="eastAsia" w:ascii="宋体" w:hAnsi="宋体"/>
                <w:b w:val="0"/>
                <w:bCs w:val="0"/>
                <w:color w:val="auto"/>
                <w:sz w:val="24"/>
                <w:szCs w:val="24"/>
              </w:rPr>
              <w:t>冲击波源和超声成像探头同轴，确保心肌缺血区域的扫描与冲击波投射治疗范围一致</w:t>
            </w:r>
          </w:p>
        </w:tc>
      </w:tr>
      <w:tr w14:paraId="5BB3C21A">
        <w:tblPrEx>
          <w:tblCellMar>
            <w:top w:w="0" w:type="dxa"/>
            <w:left w:w="108" w:type="dxa"/>
            <w:bottom w:w="0" w:type="dxa"/>
            <w:right w:w="108" w:type="dxa"/>
          </w:tblCellMar>
        </w:tblPrEx>
        <w:trPr>
          <w:trHeight w:val="49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DFE7">
            <w:pPr>
              <w:spacing w:line="360" w:lineRule="auto"/>
              <w:rPr>
                <w:rFonts w:ascii="宋体" w:hAnsi="宋体"/>
                <w:b w:val="0"/>
                <w:bCs w:val="0"/>
                <w:color w:val="auto"/>
                <w:sz w:val="24"/>
                <w:szCs w:val="24"/>
              </w:rPr>
            </w:pPr>
            <w:r>
              <w:rPr>
                <w:rFonts w:hint="eastAsia" w:ascii="宋体" w:hAnsi="宋体" w:cs="宋体"/>
                <w:b w:val="0"/>
                <w:bCs w:val="0"/>
                <w:color w:val="auto"/>
                <w:sz w:val="24"/>
                <w:szCs w:val="24"/>
              </w:rPr>
              <w:t>★</w:t>
            </w:r>
            <w:r>
              <w:rPr>
                <w:rFonts w:hint="eastAsia" w:ascii="宋体" w:hAnsi="宋体"/>
                <w:b w:val="0"/>
                <w:bCs w:val="0"/>
                <w:color w:val="auto"/>
                <w:sz w:val="24"/>
                <w:szCs w:val="24"/>
              </w:rPr>
              <w:t>2</w:t>
            </w:r>
          </w:p>
        </w:tc>
        <w:tc>
          <w:tcPr>
            <w:tcW w:w="4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8660">
            <w:pPr>
              <w:spacing w:line="360" w:lineRule="auto"/>
              <w:rPr>
                <w:rFonts w:ascii="宋体" w:hAnsi="宋体"/>
                <w:b w:val="0"/>
                <w:bCs w:val="0"/>
                <w:color w:val="auto"/>
                <w:sz w:val="24"/>
                <w:szCs w:val="24"/>
              </w:rPr>
            </w:pPr>
            <w:r>
              <w:rPr>
                <w:rFonts w:hint="eastAsia" w:ascii="宋体" w:hAnsi="宋体"/>
                <w:b w:val="0"/>
                <w:bCs w:val="0"/>
                <w:color w:val="auto"/>
                <w:sz w:val="24"/>
                <w:szCs w:val="24"/>
              </w:rPr>
              <w:t>可移动型冲击波源：高度调节至少包含 680mm—1080mm；水平移动范围≥1100mm</w:t>
            </w:r>
          </w:p>
        </w:tc>
      </w:tr>
      <w:tr w14:paraId="3D52FB47">
        <w:tblPrEx>
          <w:tblCellMar>
            <w:top w:w="0" w:type="dxa"/>
            <w:left w:w="108" w:type="dxa"/>
            <w:bottom w:w="0" w:type="dxa"/>
            <w:right w:w="108" w:type="dxa"/>
          </w:tblCellMar>
        </w:tblPrEx>
        <w:trPr>
          <w:trHeight w:val="47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4640">
            <w:pPr>
              <w:spacing w:line="360" w:lineRule="auto"/>
              <w:rPr>
                <w:rFonts w:ascii="宋体" w:hAnsi="宋体"/>
                <w:b w:val="0"/>
                <w:bCs w:val="0"/>
                <w:color w:val="auto"/>
                <w:sz w:val="24"/>
                <w:szCs w:val="24"/>
              </w:rPr>
            </w:pPr>
            <w:r>
              <w:rPr>
                <w:rFonts w:hint="eastAsia" w:ascii="宋体" w:hAnsi="宋体" w:cs="宋体"/>
                <w:b w:val="0"/>
                <w:bCs w:val="0"/>
                <w:color w:val="auto"/>
                <w:sz w:val="24"/>
                <w:szCs w:val="24"/>
              </w:rPr>
              <w:t>★</w:t>
            </w:r>
            <w:r>
              <w:rPr>
                <w:rFonts w:hint="eastAsia" w:ascii="宋体" w:hAnsi="宋体"/>
                <w:b w:val="0"/>
                <w:bCs w:val="0"/>
                <w:color w:val="auto"/>
                <w:sz w:val="24"/>
                <w:szCs w:val="24"/>
              </w:rPr>
              <w:t>3</w:t>
            </w:r>
          </w:p>
        </w:tc>
        <w:tc>
          <w:tcPr>
            <w:tcW w:w="4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C0D1">
            <w:pPr>
              <w:spacing w:line="360" w:lineRule="auto"/>
              <w:rPr>
                <w:rFonts w:ascii="宋体" w:hAnsi="宋体"/>
                <w:b w:val="0"/>
                <w:bCs w:val="0"/>
                <w:color w:val="auto"/>
                <w:sz w:val="24"/>
                <w:szCs w:val="24"/>
              </w:rPr>
            </w:pPr>
            <w:r>
              <w:rPr>
                <w:rFonts w:hint="eastAsia" w:ascii="宋体" w:hAnsi="宋体"/>
                <w:b w:val="0"/>
                <w:bCs w:val="0"/>
                <w:color w:val="auto"/>
                <w:sz w:val="24"/>
                <w:szCs w:val="24"/>
              </w:rPr>
              <w:t>焦点压强：至少包含2.9—74.0MPa</w:t>
            </w:r>
          </w:p>
        </w:tc>
      </w:tr>
    </w:tbl>
    <w:p w14:paraId="337E951B">
      <w:pPr>
        <w:spacing w:line="360" w:lineRule="auto"/>
        <w:rPr>
          <w:rFonts w:ascii="宋体" w:hAnsi="宋体"/>
          <w:b w:val="0"/>
          <w:bCs w:val="0"/>
          <w:color w:val="auto"/>
          <w:sz w:val="24"/>
          <w:szCs w:val="24"/>
        </w:rPr>
      </w:pPr>
      <w:r>
        <w:rPr>
          <w:rFonts w:hint="eastAsia" w:ascii="宋体" w:hAnsi="宋体"/>
          <w:b w:val="0"/>
          <w:bCs w:val="0"/>
          <w:color w:val="auto"/>
          <w:sz w:val="24"/>
          <w:szCs w:val="24"/>
        </w:rPr>
        <w:t>六、一般技术参数需求</w:t>
      </w:r>
    </w:p>
    <w:tbl>
      <w:tblPr>
        <w:tblStyle w:val="41"/>
        <w:tblW w:w="5000" w:type="pct"/>
        <w:tblInd w:w="0" w:type="dxa"/>
        <w:tblLayout w:type="fixed"/>
        <w:tblCellMar>
          <w:top w:w="0" w:type="dxa"/>
          <w:left w:w="108" w:type="dxa"/>
          <w:bottom w:w="0" w:type="dxa"/>
          <w:right w:w="108" w:type="dxa"/>
        </w:tblCellMar>
      </w:tblPr>
      <w:tblGrid>
        <w:gridCol w:w="721"/>
        <w:gridCol w:w="8840"/>
      </w:tblGrid>
      <w:tr w14:paraId="2470CB19">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FD22">
            <w:pPr>
              <w:spacing w:line="360" w:lineRule="auto"/>
              <w:rPr>
                <w:rFonts w:ascii="宋体" w:hAnsi="宋体"/>
                <w:b w:val="0"/>
                <w:bCs w:val="0"/>
                <w:color w:val="auto"/>
                <w:sz w:val="24"/>
                <w:szCs w:val="24"/>
              </w:rPr>
            </w:pPr>
            <w:r>
              <w:rPr>
                <w:rFonts w:hint="eastAsia" w:ascii="宋体" w:hAnsi="宋体"/>
                <w:b w:val="0"/>
                <w:bCs w:val="0"/>
                <w:color w:val="auto"/>
                <w:sz w:val="24"/>
                <w:szCs w:val="24"/>
              </w:rPr>
              <w:t>1</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7E3DD066">
            <w:pPr>
              <w:spacing w:line="360" w:lineRule="auto"/>
              <w:rPr>
                <w:rFonts w:ascii="宋体" w:hAnsi="宋体"/>
                <w:b w:val="0"/>
                <w:bCs w:val="0"/>
                <w:color w:val="auto"/>
                <w:sz w:val="24"/>
                <w:szCs w:val="24"/>
              </w:rPr>
            </w:pPr>
            <w:r>
              <w:rPr>
                <w:rFonts w:hint="eastAsia" w:ascii="宋体" w:hAnsi="宋体"/>
                <w:b w:val="0"/>
                <w:bCs w:val="0"/>
                <w:color w:val="auto"/>
                <w:sz w:val="24"/>
              </w:rPr>
              <w:t>冲击波产生方式：由圆柱线圈电磁式冲击波源产生安全的冲击波脉冲</w:t>
            </w:r>
          </w:p>
        </w:tc>
      </w:tr>
      <w:tr w14:paraId="4CB8A759">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433E">
            <w:pPr>
              <w:spacing w:line="360" w:lineRule="auto"/>
              <w:rPr>
                <w:rFonts w:ascii="宋体" w:hAnsi="宋体"/>
                <w:b w:val="0"/>
                <w:bCs w:val="0"/>
                <w:color w:val="auto"/>
                <w:sz w:val="24"/>
                <w:szCs w:val="24"/>
              </w:rPr>
            </w:pPr>
            <w:r>
              <w:rPr>
                <w:rFonts w:hint="eastAsia" w:ascii="宋体" w:hAnsi="宋体"/>
                <w:b w:val="0"/>
                <w:bCs w:val="0"/>
                <w:color w:val="auto"/>
                <w:sz w:val="24"/>
                <w:szCs w:val="24"/>
              </w:rPr>
              <w:t>2</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3B1C6E1A">
            <w:pPr>
              <w:spacing w:line="360" w:lineRule="auto"/>
              <w:rPr>
                <w:rFonts w:ascii="宋体" w:hAnsi="宋体"/>
                <w:b w:val="0"/>
                <w:bCs w:val="0"/>
                <w:color w:val="auto"/>
                <w:sz w:val="24"/>
                <w:szCs w:val="24"/>
              </w:rPr>
            </w:pPr>
            <w:r>
              <w:rPr>
                <w:rFonts w:hint="eastAsia" w:ascii="宋体" w:hAnsi="宋体"/>
                <w:b w:val="0"/>
                <w:bCs w:val="0"/>
                <w:color w:val="auto"/>
                <w:sz w:val="24"/>
              </w:rPr>
              <w:t>冲击波穿透深度：≥150mm</w:t>
            </w:r>
          </w:p>
        </w:tc>
      </w:tr>
      <w:tr w14:paraId="15228850">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DB3F">
            <w:pPr>
              <w:spacing w:line="360" w:lineRule="auto"/>
              <w:rPr>
                <w:rFonts w:ascii="宋体" w:hAnsi="宋体"/>
                <w:b w:val="0"/>
                <w:bCs w:val="0"/>
                <w:color w:val="auto"/>
                <w:sz w:val="24"/>
                <w:szCs w:val="24"/>
              </w:rPr>
            </w:pPr>
            <w:r>
              <w:rPr>
                <w:rFonts w:hint="eastAsia" w:ascii="宋体" w:hAnsi="宋体"/>
                <w:b w:val="0"/>
                <w:bCs w:val="0"/>
                <w:color w:val="auto"/>
                <w:sz w:val="24"/>
                <w:szCs w:val="24"/>
              </w:rPr>
              <w:t>3</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7FFFD886">
            <w:pPr>
              <w:spacing w:line="360" w:lineRule="auto"/>
              <w:rPr>
                <w:rFonts w:ascii="宋体" w:hAnsi="宋体"/>
                <w:b w:val="0"/>
                <w:bCs w:val="0"/>
                <w:color w:val="auto"/>
                <w:sz w:val="24"/>
                <w:szCs w:val="24"/>
              </w:rPr>
            </w:pPr>
            <w:r>
              <w:rPr>
                <w:rFonts w:hint="eastAsia" w:ascii="宋体" w:hAnsi="宋体"/>
                <w:b w:val="0"/>
                <w:bCs w:val="0"/>
                <w:color w:val="auto"/>
                <w:sz w:val="24"/>
              </w:rPr>
              <w:t>冲击波源直径：≥144mm</w:t>
            </w:r>
          </w:p>
        </w:tc>
      </w:tr>
      <w:tr w14:paraId="078E436E">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68D433CF">
            <w:pPr>
              <w:spacing w:line="360" w:lineRule="auto"/>
              <w:rPr>
                <w:rFonts w:ascii="宋体" w:hAnsi="宋体"/>
                <w:b w:val="0"/>
                <w:bCs w:val="0"/>
                <w:color w:val="auto"/>
                <w:sz w:val="24"/>
                <w:szCs w:val="24"/>
              </w:rPr>
            </w:pPr>
            <w:r>
              <w:rPr>
                <w:rFonts w:ascii="宋体" w:hAnsi="宋体"/>
                <w:b w:val="0"/>
                <w:bCs w:val="0"/>
                <w:color w:val="auto"/>
                <w:sz w:val="24"/>
              </w:rPr>
              <w:t>4</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2FD488BB">
            <w:pPr>
              <w:spacing w:line="360" w:lineRule="auto"/>
              <w:rPr>
                <w:rFonts w:ascii="宋体" w:hAnsi="宋体"/>
                <w:b w:val="0"/>
                <w:bCs w:val="0"/>
                <w:color w:val="auto"/>
                <w:sz w:val="24"/>
                <w:szCs w:val="24"/>
              </w:rPr>
            </w:pPr>
            <w:r>
              <w:rPr>
                <w:rFonts w:hint="eastAsia" w:ascii="宋体" w:hAnsi="宋体"/>
                <w:b w:val="0"/>
                <w:bCs w:val="0"/>
                <w:color w:val="auto"/>
                <w:sz w:val="24"/>
              </w:rPr>
              <w:t>线圈焦斑范围：横轴最小≤3.5mm，最大≥8.0mm；长轴最小≤90mm，最大≥110mm</w:t>
            </w:r>
          </w:p>
        </w:tc>
      </w:tr>
      <w:tr w14:paraId="54EF26C8">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77BD9019">
            <w:pPr>
              <w:spacing w:line="360" w:lineRule="auto"/>
              <w:rPr>
                <w:rFonts w:ascii="宋体" w:hAnsi="宋体"/>
                <w:b w:val="0"/>
                <w:bCs w:val="0"/>
                <w:color w:val="auto"/>
                <w:sz w:val="24"/>
                <w:szCs w:val="24"/>
              </w:rPr>
            </w:pPr>
            <w:r>
              <w:rPr>
                <w:rFonts w:ascii="宋体" w:hAnsi="宋体"/>
                <w:b w:val="0"/>
                <w:bCs w:val="0"/>
                <w:color w:val="auto"/>
                <w:sz w:val="24"/>
              </w:rPr>
              <w:t>5</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3E4E17AD">
            <w:pPr>
              <w:spacing w:line="360" w:lineRule="auto"/>
              <w:rPr>
                <w:rFonts w:ascii="宋体" w:hAnsi="宋体"/>
                <w:b w:val="0"/>
                <w:bCs w:val="0"/>
                <w:color w:val="auto"/>
                <w:sz w:val="24"/>
                <w:szCs w:val="24"/>
              </w:rPr>
            </w:pPr>
            <w:r>
              <w:rPr>
                <w:rFonts w:hint="eastAsia" w:ascii="宋体" w:hAnsi="宋体"/>
                <w:b w:val="0"/>
                <w:bCs w:val="0"/>
                <w:color w:val="auto"/>
                <w:sz w:val="24"/>
              </w:rPr>
              <w:t>治疗耦合面积：≥160cm²</w:t>
            </w:r>
          </w:p>
        </w:tc>
      </w:tr>
      <w:tr w14:paraId="357FB1E7">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75AFA5D0">
            <w:pPr>
              <w:spacing w:line="360" w:lineRule="auto"/>
              <w:rPr>
                <w:rFonts w:ascii="宋体" w:hAnsi="宋体"/>
                <w:b w:val="0"/>
                <w:bCs w:val="0"/>
                <w:color w:val="auto"/>
                <w:sz w:val="24"/>
                <w:szCs w:val="24"/>
              </w:rPr>
            </w:pPr>
            <w:r>
              <w:rPr>
                <w:rFonts w:ascii="宋体" w:hAnsi="宋体"/>
                <w:b w:val="0"/>
                <w:bCs w:val="0"/>
                <w:color w:val="auto"/>
                <w:sz w:val="24"/>
              </w:rPr>
              <w:t>6</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6E7910A0">
            <w:pPr>
              <w:spacing w:line="360" w:lineRule="auto"/>
              <w:rPr>
                <w:rFonts w:ascii="宋体" w:hAnsi="宋体"/>
                <w:b w:val="0"/>
                <w:bCs w:val="0"/>
                <w:color w:val="auto"/>
                <w:sz w:val="24"/>
                <w:szCs w:val="24"/>
              </w:rPr>
            </w:pPr>
            <w:r>
              <w:rPr>
                <w:rFonts w:hint="eastAsia" w:ascii="宋体" w:hAnsi="宋体"/>
                <w:b w:val="0"/>
                <w:bCs w:val="0"/>
                <w:color w:val="auto"/>
                <w:sz w:val="24"/>
              </w:rPr>
              <w:t>能流密度：最小≤0.06mJ/mm²，最大≥0.64mJ/mm²</w:t>
            </w:r>
          </w:p>
        </w:tc>
      </w:tr>
      <w:tr w14:paraId="26121708">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7ED8B46B">
            <w:pPr>
              <w:spacing w:line="360" w:lineRule="auto"/>
              <w:rPr>
                <w:rFonts w:ascii="宋体" w:hAnsi="宋体"/>
                <w:b w:val="0"/>
                <w:bCs w:val="0"/>
                <w:color w:val="auto"/>
                <w:sz w:val="24"/>
                <w:szCs w:val="24"/>
              </w:rPr>
            </w:pPr>
            <w:r>
              <w:rPr>
                <w:rFonts w:ascii="宋体" w:hAnsi="宋体"/>
                <w:b w:val="0"/>
                <w:bCs w:val="0"/>
                <w:color w:val="auto"/>
                <w:sz w:val="24"/>
              </w:rPr>
              <w:t>7</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5A8E7457">
            <w:pPr>
              <w:spacing w:line="360" w:lineRule="auto"/>
              <w:rPr>
                <w:rFonts w:ascii="宋体" w:hAnsi="宋体"/>
                <w:b w:val="0"/>
                <w:bCs w:val="0"/>
                <w:color w:val="auto"/>
                <w:sz w:val="24"/>
                <w:szCs w:val="24"/>
              </w:rPr>
            </w:pPr>
            <w:r>
              <w:rPr>
                <w:rFonts w:hint="eastAsia" w:ascii="宋体" w:hAnsi="宋体"/>
                <w:b w:val="0"/>
                <w:bCs w:val="0"/>
                <w:color w:val="auto"/>
                <w:sz w:val="24"/>
              </w:rPr>
              <w:t>冲击波发生频率至少满足：1Hz，2Hz，3Hz，4Hz；由 ECG 激发</w:t>
            </w:r>
          </w:p>
        </w:tc>
      </w:tr>
      <w:tr w14:paraId="534F9B00">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1F0A5730">
            <w:pPr>
              <w:spacing w:line="360" w:lineRule="auto"/>
              <w:rPr>
                <w:rFonts w:ascii="宋体" w:hAnsi="宋体"/>
                <w:b w:val="0"/>
                <w:bCs w:val="0"/>
                <w:color w:val="auto"/>
                <w:sz w:val="24"/>
                <w:szCs w:val="24"/>
              </w:rPr>
            </w:pPr>
            <w:r>
              <w:rPr>
                <w:rFonts w:ascii="宋体" w:hAnsi="宋体"/>
                <w:b w:val="0"/>
                <w:bCs w:val="0"/>
                <w:color w:val="auto"/>
                <w:sz w:val="24"/>
              </w:rPr>
              <w:t>8</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6ABF98A3">
            <w:pPr>
              <w:spacing w:line="360" w:lineRule="auto"/>
              <w:rPr>
                <w:rFonts w:ascii="宋体" w:hAnsi="宋体"/>
                <w:b w:val="0"/>
                <w:bCs w:val="0"/>
                <w:color w:val="auto"/>
                <w:sz w:val="24"/>
                <w:szCs w:val="24"/>
              </w:rPr>
            </w:pPr>
            <w:r>
              <w:rPr>
                <w:rFonts w:hint="eastAsia" w:ascii="宋体" w:hAnsi="宋体"/>
                <w:b w:val="0"/>
                <w:bCs w:val="0"/>
                <w:color w:val="auto"/>
                <w:sz w:val="24"/>
              </w:rPr>
              <w:t>操作控制单元：至少具有冲击波参数选择控制和冲击波计数功能</w:t>
            </w:r>
          </w:p>
        </w:tc>
      </w:tr>
      <w:tr w14:paraId="40B88281">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2FFA3D85">
            <w:pPr>
              <w:spacing w:line="360" w:lineRule="auto"/>
              <w:rPr>
                <w:rFonts w:ascii="宋体" w:hAnsi="宋体"/>
                <w:b w:val="0"/>
                <w:bCs w:val="0"/>
                <w:color w:val="auto"/>
                <w:sz w:val="24"/>
                <w:szCs w:val="24"/>
              </w:rPr>
            </w:pPr>
            <w:r>
              <w:rPr>
                <w:rFonts w:ascii="宋体" w:hAnsi="宋体"/>
                <w:b w:val="0"/>
                <w:bCs w:val="0"/>
                <w:color w:val="auto"/>
                <w:sz w:val="24"/>
              </w:rPr>
              <w:t>9</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2E16EE16">
            <w:pPr>
              <w:spacing w:line="360" w:lineRule="auto"/>
              <w:rPr>
                <w:rFonts w:ascii="宋体" w:hAnsi="宋体"/>
                <w:b w:val="0"/>
                <w:bCs w:val="0"/>
                <w:color w:val="auto"/>
                <w:sz w:val="24"/>
                <w:szCs w:val="24"/>
              </w:rPr>
            </w:pPr>
            <w:r>
              <w:rPr>
                <w:rFonts w:hint="eastAsia" w:ascii="宋体" w:hAnsi="宋体"/>
                <w:b w:val="0"/>
                <w:bCs w:val="0"/>
                <w:color w:val="auto"/>
                <w:sz w:val="24"/>
              </w:rPr>
              <w:t>系统附带超声成像定位系统：通过超声成像系统确定治疗区域并实时跟踪调整冲击波源位置，控制冲击波投射区域</w:t>
            </w:r>
          </w:p>
        </w:tc>
      </w:tr>
      <w:tr w14:paraId="6553CA39">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017377C4">
            <w:pPr>
              <w:spacing w:line="360" w:lineRule="auto"/>
              <w:rPr>
                <w:rFonts w:ascii="宋体" w:hAnsi="宋体"/>
                <w:b w:val="0"/>
                <w:bCs w:val="0"/>
                <w:color w:val="auto"/>
                <w:sz w:val="24"/>
                <w:szCs w:val="24"/>
              </w:rPr>
            </w:pPr>
            <w:r>
              <w:rPr>
                <w:rFonts w:ascii="宋体" w:hAnsi="宋体"/>
                <w:b w:val="0"/>
                <w:bCs w:val="0"/>
                <w:color w:val="auto"/>
                <w:sz w:val="24"/>
              </w:rPr>
              <w:t>10</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45C65911">
            <w:pPr>
              <w:spacing w:line="360" w:lineRule="auto"/>
              <w:rPr>
                <w:rFonts w:ascii="宋体" w:hAnsi="宋体"/>
                <w:b w:val="0"/>
                <w:bCs w:val="0"/>
                <w:color w:val="auto"/>
                <w:sz w:val="24"/>
                <w:szCs w:val="24"/>
              </w:rPr>
            </w:pPr>
            <w:r>
              <w:rPr>
                <w:rFonts w:hint="eastAsia" w:ascii="宋体" w:hAnsi="宋体"/>
                <w:b w:val="0"/>
                <w:bCs w:val="0"/>
                <w:color w:val="auto"/>
                <w:sz w:val="24"/>
              </w:rPr>
              <w:t>成像定位系统：超声探头与冲击波源同轴，超声波束与冲击波波束路径一致，且超声仪能够独立工作</w:t>
            </w:r>
          </w:p>
        </w:tc>
      </w:tr>
      <w:tr w14:paraId="14CFE51D">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5A81EB56">
            <w:pPr>
              <w:spacing w:line="360" w:lineRule="auto"/>
              <w:rPr>
                <w:rFonts w:ascii="宋体" w:hAnsi="宋体"/>
                <w:b w:val="0"/>
                <w:bCs w:val="0"/>
                <w:color w:val="auto"/>
                <w:sz w:val="24"/>
                <w:szCs w:val="24"/>
              </w:rPr>
            </w:pPr>
            <w:r>
              <w:rPr>
                <w:rFonts w:ascii="宋体" w:hAnsi="宋体"/>
                <w:b w:val="0"/>
                <w:bCs w:val="0"/>
                <w:color w:val="auto"/>
                <w:sz w:val="24"/>
              </w:rPr>
              <w:t>11</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452E1B08">
            <w:pPr>
              <w:spacing w:line="360" w:lineRule="auto"/>
              <w:rPr>
                <w:rFonts w:ascii="宋体" w:hAnsi="宋体"/>
                <w:b w:val="0"/>
                <w:bCs w:val="0"/>
                <w:color w:val="auto"/>
                <w:sz w:val="24"/>
                <w:szCs w:val="24"/>
              </w:rPr>
            </w:pPr>
            <w:r>
              <w:rPr>
                <w:rFonts w:hint="eastAsia" w:ascii="宋体" w:hAnsi="宋体"/>
                <w:b w:val="0"/>
                <w:bCs w:val="0"/>
                <w:color w:val="auto"/>
                <w:sz w:val="24"/>
              </w:rPr>
              <w:t>成像模式：至少具有B-模式、M-模式</w:t>
            </w:r>
          </w:p>
        </w:tc>
      </w:tr>
      <w:tr w14:paraId="5099E7AD">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06954FE6">
            <w:pPr>
              <w:spacing w:line="360" w:lineRule="auto"/>
              <w:rPr>
                <w:rFonts w:ascii="宋体" w:hAnsi="宋体"/>
                <w:b w:val="0"/>
                <w:bCs w:val="0"/>
                <w:color w:val="auto"/>
                <w:sz w:val="24"/>
                <w:szCs w:val="24"/>
              </w:rPr>
            </w:pPr>
            <w:r>
              <w:rPr>
                <w:rFonts w:ascii="宋体" w:hAnsi="宋体"/>
                <w:b w:val="0"/>
                <w:bCs w:val="0"/>
                <w:color w:val="auto"/>
                <w:sz w:val="24"/>
              </w:rPr>
              <w:t>12</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2926CD2C">
            <w:pPr>
              <w:spacing w:line="360" w:lineRule="auto"/>
              <w:rPr>
                <w:rFonts w:ascii="宋体" w:hAnsi="宋体"/>
                <w:b w:val="0"/>
                <w:bCs w:val="0"/>
                <w:color w:val="auto"/>
                <w:sz w:val="24"/>
                <w:szCs w:val="24"/>
              </w:rPr>
            </w:pPr>
            <w:r>
              <w:rPr>
                <w:rFonts w:hint="eastAsia" w:ascii="宋体" w:hAnsi="宋体"/>
                <w:b w:val="0"/>
                <w:bCs w:val="0"/>
                <w:color w:val="auto"/>
                <w:sz w:val="24"/>
              </w:rPr>
              <w:t>超声系统特征：计算机控制宽频带波束模式连续动态频率扫描探测技术</w:t>
            </w:r>
          </w:p>
        </w:tc>
      </w:tr>
      <w:tr w14:paraId="0E078135">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3B59B7C2">
            <w:pPr>
              <w:spacing w:line="360" w:lineRule="auto"/>
              <w:rPr>
                <w:rFonts w:ascii="宋体" w:hAnsi="宋体"/>
                <w:b w:val="0"/>
                <w:bCs w:val="0"/>
                <w:color w:val="auto"/>
                <w:sz w:val="24"/>
                <w:szCs w:val="24"/>
              </w:rPr>
            </w:pPr>
            <w:r>
              <w:rPr>
                <w:rFonts w:ascii="宋体" w:hAnsi="宋体"/>
                <w:b w:val="0"/>
                <w:bCs w:val="0"/>
                <w:color w:val="auto"/>
                <w:sz w:val="24"/>
              </w:rPr>
              <w:t>13</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7BEB5421">
            <w:pPr>
              <w:spacing w:line="360" w:lineRule="auto"/>
              <w:rPr>
                <w:rFonts w:ascii="宋体" w:hAnsi="宋体"/>
                <w:b w:val="0"/>
                <w:bCs w:val="0"/>
                <w:color w:val="auto"/>
                <w:sz w:val="24"/>
                <w:szCs w:val="24"/>
              </w:rPr>
            </w:pPr>
            <w:r>
              <w:rPr>
                <w:rFonts w:hint="eastAsia" w:ascii="宋体" w:hAnsi="宋体"/>
                <w:b w:val="0"/>
                <w:bCs w:val="0"/>
                <w:color w:val="auto"/>
                <w:sz w:val="24"/>
              </w:rPr>
              <w:t>通过扫描深度和放大倍数的调节变化，瞄准器标定治疗位置且图像质量得到优化</w:t>
            </w:r>
          </w:p>
        </w:tc>
      </w:tr>
      <w:tr w14:paraId="686AB425">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50F4949C">
            <w:pPr>
              <w:spacing w:line="360" w:lineRule="auto"/>
              <w:rPr>
                <w:rFonts w:ascii="宋体" w:hAnsi="宋体"/>
                <w:b w:val="0"/>
                <w:bCs w:val="0"/>
                <w:color w:val="auto"/>
                <w:sz w:val="24"/>
                <w:szCs w:val="24"/>
              </w:rPr>
            </w:pPr>
            <w:r>
              <w:rPr>
                <w:rFonts w:ascii="宋体" w:hAnsi="宋体"/>
                <w:b w:val="0"/>
                <w:bCs w:val="0"/>
                <w:color w:val="auto"/>
                <w:sz w:val="24"/>
              </w:rPr>
              <w:t>14</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51F61404">
            <w:pPr>
              <w:spacing w:line="360" w:lineRule="auto"/>
              <w:rPr>
                <w:rFonts w:ascii="宋体" w:hAnsi="宋体"/>
                <w:b w:val="0"/>
                <w:bCs w:val="0"/>
                <w:color w:val="auto"/>
                <w:sz w:val="24"/>
                <w:szCs w:val="24"/>
              </w:rPr>
            </w:pPr>
            <w:r>
              <w:rPr>
                <w:rFonts w:hint="eastAsia" w:ascii="宋体" w:hAnsi="宋体"/>
                <w:b w:val="0"/>
                <w:bCs w:val="0"/>
                <w:color w:val="auto"/>
                <w:sz w:val="24"/>
              </w:rPr>
              <w:t>定位模式：与冲击波路径同轴的超声探头对患者心肌治疗区域实施精准定位</w:t>
            </w:r>
          </w:p>
        </w:tc>
      </w:tr>
      <w:tr w14:paraId="4BC13F8C">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608DCF59">
            <w:pPr>
              <w:spacing w:line="360" w:lineRule="auto"/>
              <w:rPr>
                <w:rFonts w:ascii="宋体" w:hAnsi="宋体"/>
                <w:b w:val="0"/>
                <w:bCs w:val="0"/>
                <w:color w:val="auto"/>
                <w:sz w:val="24"/>
                <w:szCs w:val="24"/>
              </w:rPr>
            </w:pPr>
            <w:r>
              <w:rPr>
                <w:rFonts w:ascii="宋体" w:hAnsi="宋体"/>
                <w:b w:val="0"/>
                <w:bCs w:val="0"/>
                <w:color w:val="auto"/>
                <w:sz w:val="24"/>
              </w:rPr>
              <w:t>15</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3B58765A">
            <w:pPr>
              <w:spacing w:line="360" w:lineRule="auto"/>
              <w:rPr>
                <w:rFonts w:ascii="宋体" w:hAnsi="宋体"/>
                <w:b w:val="0"/>
                <w:bCs w:val="0"/>
                <w:color w:val="auto"/>
                <w:sz w:val="24"/>
                <w:szCs w:val="24"/>
              </w:rPr>
            </w:pPr>
            <w:r>
              <w:rPr>
                <w:rFonts w:hint="eastAsia" w:ascii="宋体" w:hAnsi="宋体"/>
                <w:b w:val="0"/>
                <w:bCs w:val="0"/>
                <w:color w:val="auto"/>
                <w:sz w:val="24"/>
              </w:rPr>
              <w:t>同轴超声探头：不低于 5.0MHz 凸阵扫描探头</w:t>
            </w:r>
          </w:p>
        </w:tc>
      </w:tr>
      <w:tr w14:paraId="5FBB5815">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4FAFCA6E">
            <w:pPr>
              <w:spacing w:line="360" w:lineRule="auto"/>
              <w:rPr>
                <w:rFonts w:ascii="宋体" w:hAnsi="宋体"/>
                <w:b w:val="0"/>
                <w:bCs w:val="0"/>
                <w:color w:val="auto"/>
                <w:sz w:val="24"/>
                <w:szCs w:val="24"/>
              </w:rPr>
            </w:pPr>
            <w:r>
              <w:rPr>
                <w:rFonts w:ascii="宋体" w:hAnsi="宋体"/>
                <w:b w:val="0"/>
                <w:bCs w:val="0"/>
                <w:color w:val="auto"/>
                <w:sz w:val="24"/>
              </w:rPr>
              <w:t>16</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25F5BF5F">
            <w:pPr>
              <w:spacing w:line="360" w:lineRule="auto"/>
              <w:rPr>
                <w:rFonts w:ascii="宋体" w:hAnsi="宋体"/>
                <w:b w:val="0"/>
                <w:bCs w:val="0"/>
                <w:color w:val="auto"/>
                <w:sz w:val="24"/>
                <w:szCs w:val="24"/>
              </w:rPr>
            </w:pPr>
            <w:r>
              <w:rPr>
                <w:rFonts w:hint="eastAsia" w:ascii="宋体" w:hAnsi="宋体"/>
                <w:b w:val="0"/>
                <w:bCs w:val="0"/>
                <w:color w:val="auto"/>
                <w:sz w:val="24"/>
              </w:rPr>
              <w:t>同轴超声探头附加设备：手动旋转和电动Z方向移动</w:t>
            </w:r>
          </w:p>
        </w:tc>
      </w:tr>
      <w:tr w14:paraId="3077D055">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312EFCCA">
            <w:pPr>
              <w:spacing w:line="360" w:lineRule="auto"/>
              <w:rPr>
                <w:rFonts w:ascii="宋体" w:hAnsi="宋体"/>
                <w:b w:val="0"/>
                <w:bCs w:val="0"/>
                <w:color w:val="auto"/>
                <w:sz w:val="24"/>
                <w:szCs w:val="24"/>
              </w:rPr>
            </w:pPr>
            <w:r>
              <w:rPr>
                <w:rFonts w:ascii="宋体" w:hAnsi="宋体"/>
                <w:b w:val="0"/>
                <w:bCs w:val="0"/>
                <w:color w:val="auto"/>
                <w:sz w:val="24"/>
              </w:rPr>
              <w:t>17</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72A49F15">
            <w:pPr>
              <w:spacing w:line="360" w:lineRule="auto"/>
              <w:rPr>
                <w:rFonts w:ascii="宋体" w:hAnsi="宋体"/>
                <w:b w:val="0"/>
                <w:bCs w:val="0"/>
                <w:color w:val="auto"/>
                <w:sz w:val="24"/>
                <w:szCs w:val="24"/>
              </w:rPr>
            </w:pPr>
            <w:r>
              <w:rPr>
                <w:rFonts w:hint="eastAsia" w:ascii="宋体" w:hAnsi="宋体"/>
                <w:b w:val="0"/>
                <w:bCs w:val="0"/>
                <w:color w:val="auto"/>
                <w:sz w:val="24"/>
              </w:rPr>
              <w:t>ECG 监视：单通道监视器</w:t>
            </w:r>
          </w:p>
        </w:tc>
      </w:tr>
      <w:tr w14:paraId="237FBD9C">
        <w:tblPrEx>
          <w:tblCellMar>
            <w:top w:w="0" w:type="dxa"/>
            <w:left w:w="108" w:type="dxa"/>
            <w:bottom w:w="0" w:type="dxa"/>
            <w:right w:w="108" w:type="dxa"/>
          </w:tblCellMar>
        </w:tblPrEx>
        <w:trPr>
          <w:trHeight w:val="4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tcPr>
          <w:p w14:paraId="7F800F56">
            <w:pPr>
              <w:spacing w:line="360" w:lineRule="auto"/>
              <w:rPr>
                <w:rFonts w:ascii="宋体" w:hAnsi="宋体"/>
                <w:b w:val="0"/>
                <w:bCs w:val="0"/>
                <w:color w:val="auto"/>
                <w:sz w:val="24"/>
                <w:szCs w:val="24"/>
              </w:rPr>
            </w:pPr>
            <w:r>
              <w:rPr>
                <w:rFonts w:ascii="宋体" w:hAnsi="宋体"/>
                <w:b w:val="0"/>
                <w:bCs w:val="0"/>
                <w:color w:val="auto"/>
                <w:sz w:val="24"/>
              </w:rPr>
              <w:t>18</w:t>
            </w:r>
          </w:p>
        </w:tc>
        <w:tc>
          <w:tcPr>
            <w:tcW w:w="4623" w:type="pct"/>
            <w:tcBorders>
              <w:top w:val="single" w:color="000000" w:sz="4" w:space="0"/>
              <w:left w:val="single" w:color="000000" w:sz="4" w:space="0"/>
              <w:bottom w:val="single" w:color="000000" w:sz="4" w:space="0"/>
              <w:right w:val="single" w:color="000000" w:sz="4" w:space="0"/>
            </w:tcBorders>
            <w:shd w:val="clear" w:color="auto" w:fill="auto"/>
            <w:noWrap/>
          </w:tcPr>
          <w:p w14:paraId="6ED95ADD">
            <w:pPr>
              <w:spacing w:line="360" w:lineRule="auto"/>
              <w:rPr>
                <w:rFonts w:ascii="宋体" w:hAnsi="宋体"/>
                <w:b w:val="0"/>
                <w:bCs w:val="0"/>
                <w:color w:val="auto"/>
                <w:sz w:val="24"/>
                <w:szCs w:val="24"/>
              </w:rPr>
            </w:pPr>
            <w:r>
              <w:rPr>
                <w:rFonts w:hint="eastAsia" w:ascii="宋体" w:hAnsi="宋体"/>
                <w:b w:val="0"/>
                <w:bCs w:val="0"/>
                <w:color w:val="auto"/>
                <w:sz w:val="24"/>
              </w:rPr>
              <w:t>功能至少满足：对患者进行 ECG 监护，并由 ECG 触发冲击波</w:t>
            </w:r>
          </w:p>
        </w:tc>
      </w:tr>
    </w:tbl>
    <w:p w14:paraId="19F80D56">
      <w:pPr>
        <w:spacing w:line="360" w:lineRule="auto"/>
        <w:rPr>
          <w:rFonts w:ascii="宋体" w:hAnsi="宋体"/>
          <w:b w:val="0"/>
          <w:bCs w:val="0"/>
          <w:color w:val="auto"/>
          <w:sz w:val="24"/>
          <w:szCs w:val="24"/>
        </w:rPr>
      </w:pPr>
      <w:r>
        <w:rPr>
          <w:rFonts w:hint="eastAsia" w:ascii="宋体" w:hAnsi="宋体"/>
          <w:b w:val="0"/>
          <w:bCs w:val="0"/>
          <w:color w:val="auto"/>
          <w:sz w:val="24"/>
          <w:szCs w:val="24"/>
        </w:rPr>
        <w:t>七、售后服务需求</w:t>
      </w:r>
    </w:p>
    <w:tbl>
      <w:tblPr>
        <w:tblStyle w:val="41"/>
        <w:tblW w:w="4999" w:type="pct"/>
        <w:tblInd w:w="0" w:type="dxa"/>
        <w:tblLayout w:type="autofit"/>
        <w:tblCellMar>
          <w:top w:w="0" w:type="dxa"/>
          <w:left w:w="108" w:type="dxa"/>
          <w:bottom w:w="0" w:type="dxa"/>
          <w:right w:w="108" w:type="dxa"/>
        </w:tblCellMar>
      </w:tblPr>
      <w:tblGrid>
        <w:gridCol w:w="1147"/>
        <w:gridCol w:w="8412"/>
      </w:tblGrid>
      <w:tr w14:paraId="14D15137">
        <w:tblPrEx>
          <w:tblCellMar>
            <w:top w:w="0" w:type="dxa"/>
            <w:left w:w="108" w:type="dxa"/>
            <w:bottom w:w="0" w:type="dxa"/>
            <w:right w:w="108" w:type="dxa"/>
          </w:tblCellMar>
        </w:tblPrEx>
        <w:trPr>
          <w:trHeight w:val="1183"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666B">
            <w:pPr>
              <w:spacing w:line="360" w:lineRule="auto"/>
              <w:rPr>
                <w:rFonts w:ascii="宋体" w:hAnsi="宋体"/>
                <w:b w:val="0"/>
                <w:bCs w:val="0"/>
                <w:color w:val="auto"/>
                <w:sz w:val="24"/>
                <w:szCs w:val="24"/>
              </w:rPr>
            </w:pPr>
            <w:r>
              <w:rPr>
                <w:rFonts w:hint="eastAsia" w:ascii="宋体" w:hAnsi="宋体"/>
                <w:b w:val="0"/>
                <w:bCs w:val="0"/>
                <w:color w:val="auto"/>
                <w:sz w:val="24"/>
                <w:szCs w:val="24"/>
              </w:rPr>
              <w:t>1</w:t>
            </w:r>
          </w:p>
        </w:tc>
        <w:tc>
          <w:tcPr>
            <w:tcW w:w="4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1054">
            <w:pPr>
              <w:spacing w:line="360" w:lineRule="auto"/>
              <w:rPr>
                <w:rFonts w:ascii="宋体" w:hAnsi="宋体"/>
                <w:b w:val="0"/>
                <w:bCs w:val="0"/>
                <w:color w:val="auto"/>
                <w:sz w:val="24"/>
                <w:szCs w:val="24"/>
              </w:rPr>
            </w:pPr>
            <w:r>
              <w:rPr>
                <w:rFonts w:hint="eastAsia" w:ascii="宋体" w:hAnsi="宋体"/>
                <w:b w:val="0"/>
                <w:bCs w:val="0"/>
                <w:color w:val="auto"/>
                <w:sz w:val="24"/>
                <w:szCs w:val="24"/>
              </w:rPr>
              <w:t>接到招标人通知后，故障报修的响应时间≤2小时,工程师到场时间≤24小时,排除故障时间≤48小时,不能及时修复的补救措施：提供备件或备用机。</w:t>
            </w:r>
          </w:p>
        </w:tc>
      </w:tr>
      <w:tr w14:paraId="6D9E12FF">
        <w:tblPrEx>
          <w:tblCellMar>
            <w:top w:w="0" w:type="dxa"/>
            <w:left w:w="108" w:type="dxa"/>
            <w:bottom w:w="0" w:type="dxa"/>
            <w:right w:w="108" w:type="dxa"/>
          </w:tblCellMar>
        </w:tblPrEx>
        <w:trPr>
          <w:trHeight w:val="1254"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77A2">
            <w:pPr>
              <w:spacing w:line="360" w:lineRule="auto"/>
              <w:rPr>
                <w:rFonts w:ascii="宋体" w:hAnsi="宋体"/>
                <w:b w:val="0"/>
                <w:bCs w:val="0"/>
                <w:color w:val="auto"/>
                <w:sz w:val="24"/>
                <w:szCs w:val="24"/>
              </w:rPr>
            </w:pPr>
            <w:r>
              <w:rPr>
                <w:rFonts w:hint="eastAsia" w:ascii="宋体" w:hAnsi="宋体" w:cs="宋体"/>
                <w:b w:val="0"/>
                <w:bCs w:val="0"/>
                <w:color w:val="auto"/>
                <w:sz w:val="24"/>
                <w:szCs w:val="24"/>
              </w:rPr>
              <w:t>★</w:t>
            </w:r>
            <w:r>
              <w:rPr>
                <w:rFonts w:hint="eastAsia" w:ascii="宋体" w:hAnsi="宋体"/>
                <w:b w:val="0"/>
                <w:bCs w:val="0"/>
                <w:color w:val="auto"/>
                <w:sz w:val="24"/>
                <w:szCs w:val="24"/>
              </w:rPr>
              <w:t>2</w:t>
            </w:r>
          </w:p>
        </w:tc>
        <w:tc>
          <w:tcPr>
            <w:tcW w:w="4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54B8">
            <w:pPr>
              <w:spacing w:line="360" w:lineRule="auto"/>
              <w:rPr>
                <w:rFonts w:ascii="宋体" w:hAnsi="宋体"/>
                <w:b w:val="0"/>
                <w:bCs w:val="0"/>
                <w:color w:val="auto"/>
                <w:sz w:val="24"/>
                <w:szCs w:val="24"/>
              </w:rPr>
            </w:pPr>
            <w:r>
              <w:rPr>
                <w:rFonts w:hint="eastAsia" w:ascii="宋体" w:hAnsi="宋体"/>
                <w:b w:val="0"/>
                <w:bCs w:val="0"/>
                <w:color w:val="auto"/>
                <w:sz w:val="24"/>
                <w:szCs w:val="24"/>
              </w:rPr>
              <w:t>原厂保修时间≥3年（不含冲击波线圈）,冲击波线圈质保≥200万次击发，保修期内一切费用全免,终身维修。在保修期内应提供每年≥4次定期预防性维护,投标人委派工程师向招标人提供定期保养报告。</w:t>
            </w:r>
          </w:p>
        </w:tc>
      </w:tr>
      <w:tr w14:paraId="591023E2">
        <w:tblPrEx>
          <w:tblCellMar>
            <w:top w:w="0" w:type="dxa"/>
            <w:left w:w="108" w:type="dxa"/>
            <w:bottom w:w="0" w:type="dxa"/>
            <w:right w:w="108" w:type="dxa"/>
          </w:tblCellMar>
        </w:tblPrEx>
        <w:trPr>
          <w:trHeight w:val="252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C003">
            <w:pPr>
              <w:spacing w:line="360" w:lineRule="auto"/>
              <w:rPr>
                <w:rFonts w:ascii="宋体" w:hAnsi="宋体"/>
                <w:b w:val="0"/>
                <w:bCs w:val="0"/>
                <w:color w:val="auto"/>
                <w:sz w:val="24"/>
                <w:szCs w:val="24"/>
              </w:rPr>
            </w:pPr>
            <w:r>
              <w:rPr>
                <w:rFonts w:hint="eastAsia" w:ascii="宋体" w:hAnsi="宋体"/>
                <w:b w:val="0"/>
                <w:bCs w:val="0"/>
                <w:color w:val="auto"/>
                <w:sz w:val="24"/>
                <w:szCs w:val="24"/>
              </w:rPr>
              <w:t>3</w:t>
            </w:r>
          </w:p>
        </w:tc>
        <w:tc>
          <w:tcPr>
            <w:tcW w:w="4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2B33">
            <w:pPr>
              <w:spacing w:line="360" w:lineRule="auto"/>
              <w:rPr>
                <w:rFonts w:ascii="宋体" w:hAnsi="宋体"/>
                <w:b w:val="0"/>
                <w:bCs w:val="0"/>
                <w:color w:val="auto"/>
                <w:sz w:val="24"/>
                <w:szCs w:val="24"/>
              </w:rPr>
            </w:pPr>
            <w:r>
              <w:rPr>
                <w:rFonts w:hint="eastAsia" w:ascii="宋体" w:hAnsi="宋体"/>
                <w:b w:val="0"/>
                <w:bCs w:val="0"/>
                <w:color w:val="auto"/>
                <w:sz w:val="24"/>
                <w:szCs w:val="24"/>
              </w:rPr>
              <w:t>出保修期后的有偿服务：人工费全免，差旅费全免，零配件费用按照投标人根据招标文件第五章附件“6：售后服务承诺书（格式）”中常用零配件列表所报单价不高于5折进行收取。保修期满后，招标人有权与原厂或原厂授权第三方另行签订保修协议，但投标人承诺保修期满后，年度保修合同（全保）价不高于合同器械总价的3%，年度定期预防性维护保养次数，不少于4次。如原厂或原厂授权第三方不能履行以上承诺，投标人并负责因此而产生的一切直接损失和费用。</w:t>
            </w:r>
          </w:p>
        </w:tc>
      </w:tr>
    </w:tbl>
    <w:p w14:paraId="5B3D8591">
      <w:pPr>
        <w:spacing w:line="360" w:lineRule="auto"/>
        <w:rPr>
          <w:rFonts w:ascii="宋体" w:hAnsi="宋体"/>
          <w:sz w:val="24"/>
          <w:szCs w:val="24"/>
        </w:rPr>
      </w:pPr>
    </w:p>
    <w:p w14:paraId="6239FE2A">
      <w:pPr>
        <w:spacing w:line="360" w:lineRule="auto"/>
        <w:rPr>
          <w:rFonts w:ascii="宋体" w:hAnsi="宋体"/>
          <w:sz w:val="24"/>
          <w:szCs w:val="24"/>
        </w:rPr>
      </w:pPr>
      <w:r>
        <w:rPr>
          <w:rFonts w:hint="eastAsia" w:ascii="宋体" w:hAnsi="宋体"/>
          <w:sz w:val="24"/>
          <w:szCs w:val="24"/>
        </w:rPr>
        <w:tab/>
      </w:r>
    </w:p>
    <w:permEnd w:id="72"/>
    <w:p w14:paraId="65D88013">
      <w:pPr>
        <w:pStyle w:val="88"/>
        <w:spacing w:line="360" w:lineRule="auto"/>
        <w:jc w:val="left"/>
        <w:rPr>
          <w:rFonts w:ascii="宋体" w:hAnsi="宋体" w:eastAsia="宋体" w:cs="黑体"/>
          <w:b w:val="0"/>
          <w:spacing w:val="8"/>
          <w:kern w:val="0"/>
          <w:sz w:val="22"/>
          <w:szCs w:val="28"/>
        </w:rPr>
      </w:pPr>
      <w:r>
        <w:rPr>
          <w:rFonts w:ascii="宋体" w:hAnsi="宋体" w:eastAsia="宋体"/>
          <w:sz w:val="24"/>
        </w:rPr>
        <w:br w:type="page"/>
      </w:r>
      <w:bookmarkStart w:id="37" w:name="_Toc84929693"/>
      <w:bookmarkStart w:id="38" w:name="_Toc74677723"/>
      <w:bookmarkStart w:id="39" w:name="_Toc109920767"/>
      <w:permStart w:id="73" w:edGrp="everyone"/>
      <w:r>
        <w:rPr>
          <w:rFonts w:hint="eastAsia" w:ascii="宋体" w:hAnsi="宋体" w:eastAsia="宋体"/>
          <w:sz w:val="28"/>
        </w:rPr>
        <w:t>附件1：无重大违法记录承诺书（格式）</w:t>
      </w:r>
      <w:bookmarkEnd w:id="37"/>
      <w:bookmarkEnd w:id="38"/>
      <w:bookmarkEnd w:id="39"/>
    </w:p>
    <w:p w14:paraId="3DB64B8B">
      <w:pPr>
        <w:rPr>
          <w:rFonts w:ascii="宋体" w:hAnsi="宋体" w:cs="黑体"/>
          <w:b/>
          <w:spacing w:val="8"/>
          <w:kern w:val="0"/>
          <w:sz w:val="27"/>
        </w:rPr>
      </w:pPr>
    </w:p>
    <w:p w14:paraId="157CE9E4">
      <w:pPr>
        <w:spacing w:line="360" w:lineRule="auto"/>
        <w:rPr>
          <w:rFonts w:ascii="宋体" w:hAnsi="宋体"/>
          <w:sz w:val="24"/>
        </w:rPr>
      </w:pPr>
      <w:r>
        <w:rPr>
          <w:rFonts w:hint="eastAsia" w:ascii="宋体" w:hAnsi="宋体"/>
          <w:sz w:val="24"/>
        </w:rPr>
        <w:t>上海东松医疗科技股份有限公司：</w:t>
      </w:r>
    </w:p>
    <w:p w14:paraId="742593DC">
      <w:pPr>
        <w:spacing w:line="360" w:lineRule="auto"/>
        <w:rPr>
          <w:rFonts w:ascii="宋体" w:hAnsi="宋体"/>
          <w:sz w:val="24"/>
        </w:rPr>
      </w:pPr>
    </w:p>
    <w:p w14:paraId="60A65C6D">
      <w:pPr>
        <w:spacing w:line="360" w:lineRule="auto"/>
        <w:rPr>
          <w:rFonts w:ascii="宋体" w:hAnsi="宋体"/>
          <w:sz w:val="24"/>
        </w:rPr>
      </w:pPr>
    </w:p>
    <w:p w14:paraId="6934A506">
      <w:pPr>
        <w:spacing w:line="360" w:lineRule="auto"/>
        <w:ind w:firstLine="425"/>
        <w:rPr>
          <w:rFonts w:ascii="宋体" w:hAnsi="宋体"/>
          <w:sz w:val="24"/>
        </w:rPr>
      </w:pPr>
      <w:r>
        <w:rPr>
          <w:rFonts w:hint="eastAsia" w:ascii="宋体" w:hAnsi="宋体"/>
          <w:sz w:val="24"/>
        </w:rPr>
        <w:t>我司参加贵公司组织的</w:t>
      </w:r>
      <w:r>
        <w:rPr>
          <w:rFonts w:hint="eastAsia" w:ascii="宋体" w:hAnsi="宋体"/>
          <w:sz w:val="24"/>
          <w:u w:val="single"/>
        </w:rPr>
        <w:t xml:space="preserve"> （项目名称） </w:t>
      </w:r>
      <w:r>
        <w:rPr>
          <w:rFonts w:hint="eastAsia" w:ascii="宋体" w:hAnsi="宋体"/>
          <w:sz w:val="24"/>
        </w:rPr>
        <w:t>项目的投标。在此郑重声明：我公司参加政府采购活动前三年内，在经营活动中没有重大违法记录。</w:t>
      </w:r>
    </w:p>
    <w:p w14:paraId="23ABD8CF">
      <w:pPr>
        <w:spacing w:line="360" w:lineRule="auto"/>
        <w:rPr>
          <w:rFonts w:ascii="宋体" w:hAnsi="宋体"/>
          <w:sz w:val="24"/>
        </w:rPr>
      </w:pPr>
    </w:p>
    <w:p w14:paraId="12A939D2">
      <w:pPr>
        <w:spacing w:line="360" w:lineRule="auto"/>
        <w:ind w:firstLine="425"/>
        <w:rPr>
          <w:rFonts w:ascii="宋体" w:hAnsi="宋体"/>
          <w:sz w:val="24"/>
        </w:rPr>
      </w:pPr>
      <w:r>
        <w:rPr>
          <w:rFonts w:hint="eastAsia" w:ascii="宋体" w:hAnsi="宋体"/>
          <w:sz w:val="24"/>
          <w:szCs w:val="24"/>
        </w:rPr>
        <w:t>特此承诺。</w:t>
      </w:r>
    </w:p>
    <w:p w14:paraId="011BDEBF">
      <w:pPr>
        <w:spacing w:line="360" w:lineRule="auto"/>
        <w:rPr>
          <w:rFonts w:ascii="宋体" w:hAnsi="宋体"/>
          <w:sz w:val="24"/>
        </w:rPr>
      </w:pPr>
    </w:p>
    <w:p w14:paraId="253CF45E">
      <w:pPr>
        <w:spacing w:line="360" w:lineRule="auto"/>
        <w:rPr>
          <w:rFonts w:ascii="宋体" w:hAnsi="宋体"/>
          <w:sz w:val="24"/>
        </w:rPr>
      </w:pPr>
      <w:r>
        <w:rPr>
          <w:rFonts w:hint="eastAsia" w:ascii="宋体" w:hAnsi="宋体"/>
          <w:sz w:val="24"/>
        </w:rPr>
        <w:t>投标人代表签字：______________</w:t>
      </w:r>
    </w:p>
    <w:p w14:paraId="2E778FB8">
      <w:pPr>
        <w:spacing w:line="360" w:lineRule="auto"/>
        <w:rPr>
          <w:rFonts w:ascii="宋体" w:hAnsi="宋体"/>
          <w:sz w:val="24"/>
        </w:rPr>
      </w:pPr>
      <w:r>
        <w:rPr>
          <w:rFonts w:hint="eastAsia" w:ascii="宋体" w:hAnsi="宋体"/>
          <w:sz w:val="24"/>
        </w:rPr>
        <w:t>日期：________________________</w:t>
      </w:r>
    </w:p>
    <w:p w14:paraId="3BD15575">
      <w:pPr>
        <w:spacing w:line="360" w:lineRule="auto"/>
        <w:rPr>
          <w:rFonts w:ascii="宋体" w:hAnsi="宋体"/>
          <w:sz w:val="24"/>
        </w:rPr>
      </w:pPr>
      <w:r>
        <w:rPr>
          <w:rFonts w:hint="eastAsia" w:ascii="宋体" w:hAnsi="宋体"/>
          <w:sz w:val="24"/>
        </w:rPr>
        <w:t>投标人名称：__________________</w:t>
      </w:r>
    </w:p>
    <w:p w14:paraId="68C82FE6">
      <w:pPr>
        <w:spacing w:line="360" w:lineRule="auto"/>
        <w:rPr>
          <w:rFonts w:ascii="宋体" w:hAnsi="宋体"/>
          <w:sz w:val="24"/>
        </w:rPr>
      </w:pPr>
      <w:r>
        <w:rPr>
          <w:rFonts w:hint="eastAsia" w:ascii="宋体" w:hAnsi="宋体"/>
          <w:sz w:val="24"/>
        </w:rPr>
        <w:t>公章：________________________</w:t>
      </w:r>
    </w:p>
    <w:p w14:paraId="62E26A29">
      <w:pPr>
        <w:spacing w:line="360" w:lineRule="auto"/>
        <w:rPr>
          <w:rFonts w:ascii="宋体" w:hAnsi="宋体"/>
          <w:sz w:val="24"/>
        </w:rPr>
      </w:pPr>
    </w:p>
    <w:p w14:paraId="68061E49">
      <w:pPr>
        <w:spacing w:line="360" w:lineRule="auto"/>
        <w:rPr>
          <w:rFonts w:ascii="宋体" w:hAnsi="宋体"/>
          <w:sz w:val="24"/>
        </w:rPr>
        <w:sectPr>
          <w:pgSz w:w="11907" w:h="16840"/>
          <w:pgMar w:top="1418" w:right="1302" w:bottom="1242" w:left="1260" w:header="567" w:footer="567" w:gutter="0"/>
          <w:cols w:space="720" w:num="1"/>
        </w:sectPr>
      </w:pPr>
    </w:p>
    <w:p w14:paraId="293CCAC2">
      <w:pPr>
        <w:pStyle w:val="4"/>
        <w:rPr>
          <w:rFonts w:ascii="宋体" w:hAnsi="宋体"/>
          <w:sz w:val="28"/>
        </w:rPr>
      </w:pPr>
      <w:bookmarkStart w:id="40" w:name="_Toc74677724"/>
      <w:bookmarkStart w:id="41" w:name="_Toc109920768"/>
      <w:r>
        <w:rPr>
          <w:rFonts w:hint="eastAsia" w:ascii="宋体" w:hAnsi="宋体"/>
          <w:sz w:val="28"/>
        </w:rPr>
        <w:t>附件2：无行贿犯罪记录声明函（格式）</w:t>
      </w:r>
      <w:bookmarkEnd w:id="40"/>
      <w:bookmarkEnd w:id="41"/>
    </w:p>
    <w:p w14:paraId="1C3B3930">
      <w:pPr>
        <w:spacing w:line="360" w:lineRule="auto"/>
        <w:rPr>
          <w:rFonts w:ascii="宋体" w:hAnsi="宋体" w:cs="黑体"/>
          <w:b/>
          <w:spacing w:val="8"/>
          <w:kern w:val="0"/>
          <w:sz w:val="24"/>
          <w:szCs w:val="24"/>
        </w:rPr>
      </w:pPr>
    </w:p>
    <w:p w14:paraId="270DAF92">
      <w:pPr>
        <w:spacing w:line="360" w:lineRule="auto"/>
        <w:rPr>
          <w:rFonts w:ascii="宋体" w:hAnsi="宋体"/>
          <w:sz w:val="24"/>
          <w:szCs w:val="24"/>
        </w:rPr>
      </w:pPr>
      <w:r>
        <w:rPr>
          <w:rFonts w:hint="eastAsia" w:ascii="宋体" w:hAnsi="宋体"/>
          <w:sz w:val="24"/>
          <w:szCs w:val="24"/>
        </w:rPr>
        <w:t>上海东松医疗科技股份有限公司：</w:t>
      </w:r>
    </w:p>
    <w:p w14:paraId="5315324E">
      <w:pPr>
        <w:spacing w:line="360" w:lineRule="auto"/>
        <w:rPr>
          <w:rFonts w:ascii="宋体" w:hAnsi="宋体"/>
          <w:sz w:val="24"/>
          <w:szCs w:val="24"/>
        </w:rPr>
      </w:pPr>
    </w:p>
    <w:p w14:paraId="6F37B200">
      <w:pPr>
        <w:spacing w:before="120" w:beforeLines="50" w:after="120" w:afterLines="50" w:line="360" w:lineRule="auto"/>
        <w:jc w:val="left"/>
        <w:rPr>
          <w:rFonts w:ascii="宋体" w:hAnsi="宋体"/>
          <w:sz w:val="24"/>
          <w:szCs w:val="24"/>
        </w:rPr>
      </w:pPr>
      <w:r>
        <w:rPr>
          <w:rFonts w:hint="eastAsia" w:ascii="宋体" w:hAnsi="宋体"/>
          <w:sz w:val="24"/>
          <w:szCs w:val="24"/>
        </w:rPr>
        <w:t xml:space="preserve">    我司参加贵公司组织的</w:t>
      </w:r>
      <w:r>
        <w:rPr>
          <w:rFonts w:hint="eastAsia" w:ascii="宋体" w:hAnsi="宋体"/>
          <w:sz w:val="24"/>
          <w:szCs w:val="24"/>
          <w:u w:val="single"/>
        </w:rPr>
        <w:t xml:space="preserve">      （项目名称）     </w:t>
      </w:r>
      <w:r>
        <w:rPr>
          <w:rFonts w:hint="eastAsia" w:ascii="宋体" w:hAnsi="宋体"/>
          <w:sz w:val="24"/>
          <w:szCs w:val="24"/>
        </w:rPr>
        <w:t>项目的投标。在此郑重声明：经查询中国裁判文书网，我公司自开展经营活动以来，未有过行贿犯罪记录。</w:t>
      </w:r>
    </w:p>
    <w:p w14:paraId="46B497C5">
      <w:pPr>
        <w:spacing w:before="120" w:beforeLines="50" w:after="120" w:afterLines="50" w:line="360" w:lineRule="auto"/>
        <w:jc w:val="left"/>
        <w:rPr>
          <w:rFonts w:ascii="宋体" w:hAnsi="宋体"/>
          <w:sz w:val="24"/>
          <w:szCs w:val="24"/>
        </w:rPr>
      </w:pPr>
      <w:r>
        <w:rPr>
          <w:rFonts w:hint="eastAsia" w:ascii="宋体" w:hAnsi="宋体"/>
          <w:sz w:val="24"/>
          <w:szCs w:val="24"/>
        </w:rPr>
        <w:t xml:space="preserve">    特此声明。</w:t>
      </w:r>
    </w:p>
    <w:p w14:paraId="192F3E74">
      <w:pPr>
        <w:spacing w:line="360" w:lineRule="auto"/>
        <w:rPr>
          <w:rFonts w:ascii="宋体" w:hAnsi="宋体"/>
          <w:sz w:val="24"/>
          <w:szCs w:val="24"/>
        </w:rPr>
      </w:pPr>
      <w:r>
        <w:rPr>
          <w:rFonts w:hint="eastAsia" w:ascii="宋体" w:hAnsi="宋体" w:cs="Arial"/>
          <w:kern w:val="0"/>
          <w:sz w:val="24"/>
          <w:szCs w:val="24"/>
        </w:rPr>
        <w:t xml:space="preserve">    本公司对上述声明的真实性负责。如有虚假，将依法承担相应责任。</w:t>
      </w:r>
    </w:p>
    <w:p w14:paraId="447BB278">
      <w:pPr>
        <w:spacing w:line="360" w:lineRule="auto"/>
        <w:rPr>
          <w:rFonts w:ascii="宋体" w:hAnsi="宋体"/>
          <w:sz w:val="24"/>
          <w:szCs w:val="24"/>
        </w:rPr>
      </w:pPr>
    </w:p>
    <w:p w14:paraId="587A86A0">
      <w:pPr>
        <w:spacing w:line="360" w:lineRule="auto"/>
        <w:ind w:firstLine="425"/>
        <w:rPr>
          <w:rFonts w:ascii="宋体" w:hAnsi="宋体"/>
          <w:sz w:val="24"/>
          <w:szCs w:val="24"/>
        </w:rPr>
      </w:pPr>
      <w:r>
        <w:rPr>
          <w:rFonts w:hint="eastAsia" w:ascii="宋体" w:hAnsi="宋体"/>
          <w:sz w:val="24"/>
          <w:szCs w:val="24"/>
        </w:rPr>
        <w:t>（附中国裁判文书网截图，查询日期不得早于公告发布之日）</w:t>
      </w:r>
    </w:p>
    <w:p w14:paraId="6F8B8A94">
      <w:pPr>
        <w:spacing w:line="360" w:lineRule="auto"/>
        <w:rPr>
          <w:rFonts w:ascii="宋体" w:hAnsi="宋体"/>
          <w:sz w:val="24"/>
          <w:szCs w:val="24"/>
        </w:rPr>
      </w:pPr>
    </w:p>
    <w:p w14:paraId="57504387">
      <w:pPr>
        <w:spacing w:line="360" w:lineRule="auto"/>
        <w:rPr>
          <w:rFonts w:ascii="宋体" w:hAnsi="宋体"/>
          <w:sz w:val="24"/>
          <w:szCs w:val="24"/>
        </w:rPr>
      </w:pPr>
      <w:r>
        <w:rPr>
          <w:rFonts w:hint="eastAsia" w:ascii="宋体" w:hAnsi="宋体"/>
          <w:sz w:val="24"/>
          <w:szCs w:val="24"/>
        </w:rPr>
        <w:t>投标人代表签字：______________</w:t>
      </w:r>
    </w:p>
    <w:p w14:paraId="3D3B844F">
      <w:pPr>
        <w:spacing w:line="360" w:lineRule="auto"/>
        <w:rPr>
          <w:rFonts w:ascii="宋体" w:hAnsi="宋体"/>
          <w:sz w:val="24"/>
          <w:szCs w:val="24"/>
        </w:rPr>
      </w:pPr>
      <w:r>
        <w:rPr>
          <w:rFonts w:hint="eastAsia" w:ascii="宋体" w:hAnsi="宋体"/>
          <w:sz w:val="24"/>
          <w:szCs w:val="24"/>
        </w:rPr>
        <w:t xml:space="preserve">日期：__________________________  </w:t>
      </w:r>
    </w:p>
    <w:p w14:paraId="2F4FA49D">
      <w:pPr>
        <w:spacing w:line="360" w:lineRule="auto"/>
        <w:rPr>
          <w:rFonts w:ascii="宋体" w:hAnsi="宋体"/>
          <w:sz w:val="24"/>
          <w:szCs w:val="24"/>
        </w:rPr>
      </w:pPr>
      <w:r>
        <w:rPr>
          <w:rFonts w:hint="eastAsia" w:ascii="宋体" w:hAnsi="宋体"/>
          <w:sz w:val="24"/>
          <w:szCs w:val="24"/>
        </w:rPr>
        <w:t xml:space="preserve">投标人名称：______________________ </w:t>
      </w:r>
    </w:p>
    <w:p w14:paraId="1D6AF3AE">
      <w:pPr>
        <w:spacing w:line="360" w:lineRule="auto"/>
        <w:rPr>
          <w:rFonts w:ascii="宋体" w:hAnsi="宋体"/>
          <w:sz w:val="24"/>
          <w:szCs w:val="24"/>
          <w:u w:val="single"/>
        </w:rPr>
      </w:pPr>
      <w:r>
        <w:rPr>
          <w:rFonts w:hint="eastAsia" w:ascii="宋体" w:hAnsi="宋体"/>
          <w:sz w:val="24"/>
          <w:szCs w:val="24"/>
        </w:rPr>
        <w:t>公章：</w:t>
      </w:r>
      <w:r>
        <w:rPr>
          <w:rFonts w:hint="eastAsia" w:ascii="宋体" w:hAnsi="宋体"/>
          <w:sz w:val="24"/>
          <w:szCs w:val="24"/>
          <w:u w:val="single"/>
        </w:rPr>
        <w:t xml:space="preserve">                          </w:t>
      </w:r>
    </w:p>
    <w:p w14:paraId="2B13091E">
      <w:pPr>
        <w:spacing w:line="360" w:lineRule="auto"/>
        <w:rPr>
          <w:rFonts w:ascii="宋体" w:hAnsi="宋体"/>
          <w:sz w:val="24"/>
          <w:szCs w:val="24"/>
          <w:u w:val="single"/>
        </w:rPr>
      </w:pPr>
    </w:p>
    <w:p w14:paraId="12F01C47">
      <w:pPr>
        <w:spacing w:line="360" w:lineRule="auto"/>
        <w:rPr>
          <w:rFonts w:ascii="宋体" w:hAnsi="宋体"/>
          <w:sz w:val="24"/>
          <w:szCs w:val="24"/>
          <w:u w:val="single"/>
        </w:rPr>
        <w:sectPr>
          <w:pgSz w:w="11907" w:h="16840"/>
          <w:pgMar w:top="1418" w:right="1302" w:bottom="1242" w:left="1260" w:header="567" w:footer="567" w:gutter="0"/>
          <w:cols w:space="720" w:num="1"/>
        </w:sectPr>
      </w:pPr>
    </w:p>
    <w:p w14:paraId="186E00BC">
      <w:pPr>
        <w:pStyle w:val="4"/>
        <w:rPr>
          <w:rFonts w:ascii="宋体" w:hAnsi="宋体" w:cs="黑体"/>
          <w:b w:val="0"/>
          <w:spacing w:val="8"/>
          <w:kern w:val="0"/>
          <w:sz w:val="21"/>
          <w:szCs w:val="24"/>
        </w:rPr>
      </w:pPr>
      <w:bookmarkStart w:id="42" w:name="_Toc11325633"/>
      <w:bookmarkStart w:id="43" w:name="_Toc109920769"/>
      <w:bookmarkStart w:id="44" w:name="_Toc74677725"/>
      <w:r>
        <w:rPr>
          <w:rFonts w:hint="eastAsia" w:ascii="宋体" w:hAnsi="宋体"/>
          <w:sz w:val="28"/>
        </w:rPr>
        <w:t>附件3：关于原产于特定国家（地区）特定进口商品加征关税的承诺书（格式）</w:t>
      </w:r>
      <w:bookmarkEnd w:id="42"/>
      <w:bookmarkEnd w:id="43"/>
      <w:bookmarkEnd w:id="44"/>
    </w:p>
    <w:p w14:paraId="4F1EE3AB">
      <w:pPr>
        <w:rPr>
          <w:rFonts w:ascii="宋体" w:hAnsi="宋体"/>
          <w:sz w:val="24"/>
          <w:szCs w:val="24"/>
        </w:rPr>
      </w:pPr>
    </w:p>
    <w:p w14:paraId="6F10F9E0">
      <w:pPr>
        <w:spacing w:before="120" w:beforeLines="50" w:after="120" w:afterLines="50" w:line="360" w:lineRule="auto"/>
        <w:jc w:val="left"/>
        <w:rPr>
          <w:rFonts w:ascii="宋体" w:hAnsi="宋体"/>
          <w:sz w:val="24"/>
          <w:szCs w:val="24"/>
        </w:rPr>
      </w:pPr>
      <w:r>
        <w:rPr>
          <w:rFonts w:hint="eastAsia" w:ascii="宋体" w:hAnsi="宋体"/>
          <w:sz w:val="24"/>
          <w:szCs w:val="24"/>
        </w:rPr>
        <w:t>上海东松医疗科技股份有限公司：</w:t>
      </w:r>
    </w:p>
    <w:p w14:paraId="794EEFA5">
      <w:pPr>
        <w:spacing w:before="120" w:beforeLines="50" w:after="120" w:afterLines="50" w:line="360" w:lineRule="auto"/>
        <w:jc w:val="left"/>
        <w:rPr>
          <w:rFonts w:ascii="宋体" w:hAnsi="宋体"/>
          <w:sz w:val="24"/>
          <w:szCs w:val="24"/>
        </w:rPr>
      </w:pPr>
      <w:r>
        <w:rPr>
          <w:rFonts w:hint="eastAsia" w:ascii="宋体" w:hAnsi="宋体"/>
          <w:sz w:val="24"/>
          <w:szCs w:val="24"/>
        </w:rPr>
        <w:t xml:space="preserve">    我司参加贵公司组织的</w:t>
      </w:r>
      <w:r>
        <w:rPr>
          <w:rFonts w:hint="eastAsia" w:ascii="宋体" w:hAnsi="宋体"/>
          <w:sz w:val="24"/>
          <w:szCs w:val="24"/>
          <w:u w:val="single"/>
        </w:rPr>
        <w:t xml:space="preserve"> （项目名称） </w:t>
      </w:r>
      <w:r>
        <w:rPr>
          <w:rFonts w:hint="eastAsia" w:ascii="宋体" w:hAnsi="宋体"/>
          <w:sz w:val="24"/>
          <w:szCs w:val="24"/>
        </w:rPr>
        <w:t>项目的投标。在此承诺：</w:t>
      </w:r>
    </w:p>
    <w:p w14:paraId="644C9516">
      <w:pPr>
        <w:spacing w:before="120" w:beforeLines="50" w:after="120" w:afterLines="50" w:line="360" w:lineRule="auto"/>
        <w:jc w:val="left"/>
        <w:rPr>
          <w:rFonts w:ascii="宋体" w:hAnsi="宋体"/>
          <w:sz w:val="24"/>
          <w:szCs w:val="24"/>
        </w:rPr>
      </w:pPr>
      <w:r>
        <w:rPr>
          <w:rFonts w:hint="eastAsia" w:ascii="宋体" w:hAnsi="宋体"/>
          <w:sz w:val="24"/>
          <w:szCs w:val="24"/>
        </w:rPr>
        <w:t xml:space="preserve">    若我司投标产品为原产于特定国家（地区）特定进口商品，并在货物进口时被中国海关实施加征关税，加征的关税以及由此增加的增值税等额外税费由我司承担。</w:t>
      </w:r>
    </w:p>
    <w:p w14:paraId="6900487A">
      <w:pPr>
        <w:spacing w:before="120" w:beforeLines="50" w:after="120" w:afterLines="50" w:line="360" w:lineRule="auto"/>
        <w:jc w:val="left"/>
        <w:rPr>
          <w:rFonts w:ascii="宋体" w:hAnsi="宋体"/>
          <w:sz w:val="24"/>
          <w:szCs w:val="24"/>
        </w:rPr>
      </w:pPr>
      <w:r>
        <w:rPr>
          <w:rFonts w:hint="eastAsia" w:ascii="宋体" w:hAnsi="宋体"/>
          <w:sz w:val="24"/>
          <w:szCs w:val="24"/>
        </w:rPr>
        <w:t xml:space="preserve">    若我司有幸中标，我司承诺于中标产品进口申报之日起十个工作日内将加征的关税以及由此增加的增值税等额外税费另行支付给招标人，否则我司同意招标人在支付合同验收尾款时直接予以扣减。</w:t>
      </w:r>
    </w:p>
    <w:p w14:paraId="4AE96835">
      <w:pPr>
        <w:spacing w:before="120" w:beforeLines="50" w:after="120" w:afterLines="50" w:line="360" w:lineRule="auto"/>
        <w:jc w:val="left"/>
        <w:rPr>
          <w:rFonts w:ascii="宋体" w:hAnsi="宋体"/>
          <w:sz w:val="24"/>
          <w:szCs w:val="24"/>
        </w:rPr>
      </w:pPr>
      <w:r>
        <w:rPr>
          <w:rFonts w:hint="eastAsia" w:ascii="宋体" w:hAnsi="宋体"/>
          <w:sz w:val="24"/>
          <w:szCs w:val="24"/>
        </w:rPr>
        <w:t xml:space="preserve">    特此承诺。</w:t>
      </w:r>
    </w:p>
    <w:p w14:paraId="774F84B4">
      <w:pPr>
        <w:spacing w:before="120" w:beforeLines="50" w:after="120" w:afterLines="50" w:line="360" w:lineRule="auto"/>
        <w:jc w:val="left"/>
        <w:rPr>
          <w:rFonts w:ascii="宋体" w:hAnsi="宋体"/>
          <w:b/>
          <w:bCs/>
          <w:sz w:val="24"/>
          <w:szCs w:val="24"/>
        </w:rPr>
      </w:pPr>
    </w:p>
    <w:p w14:paraId="40A2EA39">
      <w:pPr>
        <w:spacing w:line="360" w:lineRule="auto"/>
        <w:jc w:val="left"/>
        <w:rPr>
          <w:rFonts w:ascii="宋体" w:hAnsi="宋体"/>
          <w:sz w:val="24"/>
          <w:szCs w:val="24"/>
        </w:rPr>
      </w:pPr>
      <w:r>
        <w:rPr>
          <w:rFonts w:hint="eastAsia" w:ascii="宋体" w:hAnsi="宋体"/>
          <w:sz w:val="24"/>
          <w:szCs w:val="24"/>
        </w:rPr>
        <w:t>投标人代表签字</w:t>
      </w:r>
      <w:r>
        <w:rPr>
          <w:rFonts w:ascii="宋体" w:hAnsi="宋体"/>
          <w:sz w:val="24"/>
          <w:szCs w:val="24"/>
        </w:rPr>
        <w:t>:</w:t>
      </w:r>
      <w:r>
        <w:rPr>
          <w:rFonts w:hint="eastAsia" w:ascii="宋体" w:hAnsi="宋体"/>
          <w:sz w:val="24"/>
          <w:szCs w:val="24"/>
        </w:rPr>
        <w:t>______________</w:t>
      </w:r>
    </w:p>
    <w:p w14:paraId="450057DC">
      <w:pPr>
        <w:spacing w:line="360" w:lineRule="auto"/>
        <w:jc w:val="left"/>
        <w:rPr>
          <w:rFonts w:ascii="宋体" w:hAnsi="宋体"/>
          <w:sz w:val="24"/>
          <w:szCs w:val="24"/>
        </w:rPr>
      </w:pPr>
      <w:r>
        <w:rPr>
          <w:rFonts w:hint="eastAsia" w:ascii="宋体" w:hAnsi="宋体"/>
          <w:sz w:val="24"/>
          <w:szCs w:val="24"/>
        </w:rPr>
        <w:t>日期:___________________</w:t>
      </w:r>
    </w:p>
    <w:p w14:paraId="393773E1">
      <w:pPr>
        <w:spacing w:line="360" w:lineRule="auto"/>
        <w:jc w:val="left"/>
        <w:rPr>
          <w:rFonts w:ascii="宋体" w:hAnsi="宋体"/>
          <w:sz w:val="24"/>
          <w:szCs w:val="24"/>
        </w:rPr>
      </w:pPr>
      <w:r>
        <w:rPr>
          <w:rFonts w:hint="eastAsia" w:ascii="宋体" w:hAnsi="宋体"/>
          <w:sz w:val="24"/>
          <w:szCs w:val="24"/>
        </w:rPr>
        <w:t>投标人名称</w:t>
      </w:r>
      <w:r>
        <w:rPr>
          <w:rFonts w:ascii="宋体" w:hAnsi="宋体"/>
          <w:sz w:val="24"/>
          <w:szCs w:val="24"/>
        </w:rPr>
        <w:t>:</w:t>
      </w:r>
      <w:r>
        <w:rPr>
          <w:rFonts w:hint="eastAsia" w:ascii="宋体" w:hAnsi="宋体"/>
          <w:sz w:val="24"/>
          <w:szCs w:val="24"/>
        </w:rPr>
        <w:t>______________________</w:t>
      </w:r>
    </w:p>
    <w:p w14:paraId="1F655A3A">
      <w:pPr>
        <w:rPr>
          <w:rFonts w:ascii="宋体" w:hAnsi="宋体"/>
          <w:sz w:val="24"/>
          <w:szCs w:val="24"/>
        </w:rPr>
      </w:pPr>
      <w:r>
        <w:rPr>
          <w:rFonts w:hint="eastAsia" w:ascii="宋体" w:hAnsi="宋体"/>
          <w:sz w:val="24"/>
          <w:szCs w:val="24"/>
        </w:rPr>
        <w:t>公章：______________________</w:t>
      </w:r>
    </w:p>
    <w:p w14:paraId="0E433498">
      <w:pPr>
        <w:rPr>
          <w:rFonts w:ascii="宋体" w:hAnsi="宋体"/>
          <w:sz w:val="24"/>
          <w:szCs w:val="24"/>
          <w:u w:val="single"/>
        </w:rPr>
      </w:pPr>
    </w:p>
    <w:p w14:paraId="434576AC">
      <w:pPr>
        <w:pStyle w:val="4"/>
        <w:rPr>
          <w:rFonts w:ascii="宋体" w:hAnsi="宋体" w:cs="黑体"/>
          <w:b w:val="0"/>
          <w:spacing w:val="8"/>
          <w:kern w:val="0"/>
          <w:sz w:val="27"/>
        </w:rPr>
      </w:pPr>
      <w:r>
        <w:rPr>
          <w:rFonts w:ascii="宋体" w:hAnsi="宋体"/>
          <w:sz w:val="24"/>
          <w:szCs w:val="24"/>
          <w:u w:val="single"/>
        </w:rPr>
        <w:br w:type="page"/>
      </w:r>
      <w:bookmarkStart w:id="45" w:name="_Toc74677726"/>
      <w:bookmarkStart w:id="46" w:name="_Toc109920770"/>
      <w:r>
        <w:rPr>
          <w:rFonts w:hint="eastAsia" w:ascii="宋体" w:hAnsi="宋体"/>
          <w:sz w:val="28"/>
        </w:rPr>
        <w:t>附件4：</w:t>
      </w:r>
      <w:bookmarkEnd w:id="45"/>
      <w:r>
        <w:rPr>
          <w:rFonts w:hint="eastAsia" w:ascii="宋体" w:hAnsi="宋体"/>
          <w:sz w:val="28"/>
        </w:rPr>
        <w:t>设备系统配置的详细清单（格式）</w:t>
      </w:r>
      <w:bookmarkEnd w:id="46"/>
    </w:p>
    <w:p w14:paraId="5AE67AF3">
      <w:pPr>
        <w:spacing w:line="360" w:lineRule="auto"/>
        <w:rPr>
          <w:rFonts w:ascii="宋体" w:hAnsi="宋体" w:cs="黑体"/>
          <w:b/>
          <w:spacing w:val="8"/>
          <w:kern w:val="0"/>
          <w:sz w:val="27"/>
        </w:rPr>
      </w:pPr>
    </w:p>
    <w:p w14:paraId="5707ADA5">
      <w:pPr>
        <w:numPr>
          <w:ilvl w:val="0"/>
          <w:numId w:val="4"/>
        </w:numPr>
        <w:spacing w:line="360" w:lineRule="auto"/>
        <w:rPr>
          <w:rFonts w:ascii="宋体" w:hAnsi="宋体"/>
          <w:color w:val="000000"/>
          <w:sz w:val="24"/>
        </w:rPr>
      </w:pPr>
      <w:r>
        <w:rPr>
          <w:rFonts w:hint="eastAsia" w:ascii="宋体" w:hAnsi="宋体"/>
          <w:color w:val="000000"/>
          <w:sz w:val="24"/>
        </w:rPr>
        <w:t>品名：</w:t>
      </w:r>
    </w:p>
    <w:p w14:paraId="5C9D65F6">
      <w:pPr>
        <w:numPr>
          <w:ilvl w:val="0"/>
          <w:numId w:val="4"/>
        </w:numPr>
        <w:spacing w:line="360" w:lineRule="auto"/>
        <w:rPr>
          <w:rFonts w:ascii="宋体" w:hAnsi="宋体"/>
          <w:color w:val="000000"/>
          <w:sz w:val="24"/>
        </w:rPr>
      </w:pPr>
      <w:r>
        <w:rPr>
          <w:rFonts w:hint="eastAsia" w:ascii="宋体" w:hAnsi="宋体"/>
          <w:color w:val="000000"/>
          <w:sz w:val="24"/>
        </w:rPr>
        <w:t>型号：</w:t>
      </w:r>
    </w:p>
    <w:p w14:paraId="1D5D7219">
      <w:pPr>
        <w:numPr>
          <w:ilvl w:val="0"/>
          <w:numId w:val="4"/>
        </w:numPr>
        <w:spacing w:line="360" w:lineRule="auto"/>
        <w:rPr>
          <w:rFonts w:ascii="宋体" w:hAnsi="宋体"/>
          <w:color w:val="000000"/>
          <w:sz w:val="24"/>
        </w:rPr>
      </w:pPr>
      <w:r>
        <w:rPr>
          <w:rFonts w:hint="eastAsia" w:ascii="宋体" w:hAnsi="宋体"/>
          <w:color w:val="000000"/>
          <w:sz w:val="24"/>
        </w:rPr>
        <w:t>品牌：</w:t>
      </w:r>
    </w:p>
    <w:p w14:paraId="24EEF9DB">
      <w:pPr>
        <w:numPr>
          <w:ilvl w:val="0"/>
          <w:numId w:val="4"/>
        </w:numPr>
        <w:spacing w:line="360" w:lineRule="auto"/>
        <w:rPr>
          <w:rFonts w:ascii="宋体" w:hAnsi="宋体"/>
          <w:color w:val="000000"/>
          <w:sz w:val="24"/>
        </w:rPr>
      </w:pPr>
      <w:r>
        <w:rPr>
          <w:rFonts w:hint="eastAsia" w:ascii="宋体" w:hAnsi="宋体"/>
          <w:color w:val="000000"/>
          <w:sz w:val="24"/>
        </w:rPr>
        <w:t>原产地：</w:t>
      </w:r>
    </w:p>
    <w:p w14:paraId="7EF4190D">
      <w:pPr>
        <w:numPr>
          <w:ilvl w:val="0"/>
          <w:numId w:val="4"/>
        </w:numPr>
        <w:spacing w:line="360" w:lineRule="auto"/>
        <w:rPr>
          <w:rFonts w:ascii="宋体" w:hAnsi="宋体"/>
          <w:color w:val="000000"/>
          <w:sz w:val="24"/>
        </w:rPr>
      </w:pPr>
      <w:r>
        <w:rPr>
          <w:rFonts w:hint="eastAsia" w:ascii="宋体" w:hAnsi="宋体"/>
          <w:color w:val="000000"/>
          <w:sz w:val="24"/>
        </w:rPr>
        <w:t>数量：</w:t>
      </w:r>
    </w:p>
    <w:p w14:paraId="75720766">
      <w:pPr>
        <w:numPr>
          <w:ilvl w:val="0"/>
          <w:numId w:val="4"/>
        </w:numPr>
        <w:spacing w:line="360" w:lineRule="auto"/>
        <w:rPr>
          <w:rFonts w:ascii="宋体" w:hAnsi="宋体"/>
          <w:color w:val="000000"/>
          <w:sz w:val="24"/>
        </w:rPr>
      </w:pPr>
      <w:r>
        <w:rPr>
          <w:rFonts w:hint="eastAsia" w:ascii="宋体" w:hAnsi="宋体"/>
          <w:color w:val="000000"/>
          <w:sz w:val="24"/>
        </w:rPr>
        <w:t>配置清单与技术参数：</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222"/>
        <w:gridCol w:w="2828"/>
        <w:gridCol w:w="807"/>
        <w:gridCol w:w="1383"/>
        <w:gridCol w:w="1595"/>
      </w:tblGrid>
      <w:tr w14:paraId="5335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80" w:type="pct"/>
          </w:tcPr>
          <w:p w14:paraId="3292C1AD">
            <w:pPr>
              <w:spacing w:line="360" w:lineRule="auto"/>
              <w:rPr>
                <w:rFonts w:ascii="宋体" w:hAnsi="宋体"/>
                <w:color w:val="000000"/>
                <w:sz w:val="24"/>
              </w:rPr>
            </w:pPr>
          </w:p>
        </w:tc>
        <w:tc>
          <w:tcPr>
            <w:tcW w:w="1162" w:type="pct"/>
          </w:tcPr>
          <w:p w14:paraId="431CD9CC">
            <w:pPr>
              <w:spacing w:line="360" w:lineRule="auto"/>
              <w:rPr>
                <w:rFonts w:ascii="宋体" w:hAnsi="宋体"/>
                <w:color w:val="000000"/>
                <w:sz w:val="24"/>
              </w:rPr>
            </w:pPr>
            <w:r>
              <w:rPr>
                <w:rFonts w:hint="eastAsia" w:ascii="宋体" w:hAnsi="宋体"/>
                <w:color w:val="000000"/>
                <w:sz w:val="24"/>
              </w:rPr>
              <w:t>配置</w:t>
            </w:r>
          </w:p>
        </w:tc>
        <w:tc>
          <w:tcPr>
            <w:tcW w:w="1479" w:type="pct"/>
          </w:tcPr>
          <w:p w14:paraId="44DC39AE">
            <w:pPr>
              <w:spacing w:line="360" w:lineRule="auto"/>
              <w:rPr>
                <w:rFonts w:ascii="宋体" w:hAnsi="宋体"/>
                <w:color w:val="000000"/>
                <w:sz w:val="24"/>
              </w:rPr>
            </w:pPr>
            <w:r>
              <w:rPr>
                <w:rFonts w:hint="eastAsia" w:ascii="宋体" w:hAnsi="宋体"/>
                <w:color w:val="000000"/>
                <w:sz w:val="24"/>
              </w:rPr>
              <w:t>技术参数</w:t>
            </w:r>
          </w:p>
        </w:tc>
        <w:tc>
          <w:tcPr>
            <w:tcW w:w="422" w:type="pct"/>
          </w:tcPr>
          <w:p w14:paraId="4F9DA87E">
            <w:pPr>
              <w:spacing w:line="360" w:lineRule="auto"/>
              <w:rPr>
                <w:rFonts w:ascii="宋体" w:hAnsi="宋体"/>
                <w:color w:val="000000"/>
                <w:sz w:val="24"/>
              </w:rPr>
            </w:pPr>
            <w:r>
              <w:rPr>
                <w:rFonts w:hint="eastAsia" w:ascii="宋体" w:hAnsi="宋体"/>
                <w:color w:val="000000"/>
                <w:sz w:val="24"/>
              </w:rPr>
              <w:t>数量</w:t>
            </w:r>
          </w:p>
        </w:tc>
        <w:tc>
          <w:tcPr>
            <w:tcW w:w="723" w:type="pct"/>
          </w:tcPr>
          <w:p w14:paraId="6E55D345">
            <w:pPr>
              <w:spacing w:line="360" w:lineRule="auto"/>
              <w:rPr>
                <w:rFonts w:ascii="宋体" w:hAnsi="宋体"/>
                <w:color w:val="000000"/>
                <w:sz w:val="24"/>
              </w:rPr>
            </w:pPr>
            <w:r>
              <w:rPr>
                <w:rFonts w:hint="eastAsia" w:ascii="宋体" w:hAnsi="宋体"/>
                <w:color w:val="000000"/>
                <w:sz w:val="24"/>
              </w:rPr>
              <w:t>小计价格</w:t>
            </w:r>
          </w:p>
        </w:tc>
        <w:tc>
          <w:tcPr>
            <w:tcW w:w="834" w:type="pct"/>
          </w:tcPr>
          <w:p w14:paraId="6D96F4AD">
            <w:pPr>
              <w:spacing w:line="360" w:lineRule="auto"/>
              <w:rPr>
                <w:rFonts w:ascii="宋体" w:hAnsi="宋体"/>
                <w:color w:val="000000"/>
                <w:sz w:val="24"/>
              </w:rPr>
            </w:pPr>
            <w:r>
              <w:rPr>
                <w:rFonts w:hint="eastAsia" w:ascii="宋体" w:hAnsi="宋体"/>
                <w:color w:val="000000"/>
                <w:sz w:val="24"/>
              </w:rPr>
              <w:t>备注</w:t>
            </w:r>
          </w:p>
        </w:tc>
      </w:tr>
      <w:tr w14:paraId="1939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tcPr>
          <w:p w14:paraId="46640FFE">
            <w:pPr>
              <w:spacing w:line="360" w:lineRule="auto"/>
              <w:rPr>
                <w:rFonts w:ascii="宋体" w:hAnsi="宋体"/>
                <w:color w:val="000000"/>
                <w:sz w:val="24"/>
              </w:rPr>
            </w:pPr>
            <w:r>
              <w:rPr>
                <w:rFonts w:hint="eastAsia" w:ascii="宋体" w:hAnsi="宋体"/>
                <w:color w:val="000000"/>
                <w:sz w:val="24"/>
              </w:rPr>
              <w:t>主机</w:t>
            </w:r>
          </w:p>
        </w:tc>
        <w:tc>
          <w:tcPr>
            <w:tcW w:w="1162" w:type="pct"/>
          </w:tcPr>
          <w:p w14:paraId="07C64AC2">
            <w:pPr>
              <w:spacing w:line="360" w:lineRule="auto"/>
              <w:rPr>
                <w:rFonts w:ascii="宋体" w:hAnsi="宋体"/>
                <w:color w:val="000000"/>
                <w:sz w:val="24"/>
              </w:rPr>
            </w:pPr>
          </w:p>
        </w:tc>
        <w:tc>
          <w:tcPr>
            <w:tcW w:w="1479" w:type="pct"/>
          </w:tcPr>
          <w:p w14:paraId="5D2EB2E4">
            <w:pPr>
              <w:spacing w:line="360" w:lineRule="auto"/>
              <w:rPr>
                <w:rFonts w:ascii="宋体" w:hAnsi="宋体"/>
                <w:color w:val="000000"/>
                <w:sz w:val="24"/>
              </w:rPr>
            </w:pPr>
          </w:p>
        </w:tc>
        <w:tc>
          <w:tcPr>
            <w:tcW w:w="422" w:type="pct"/>
          </w:tcPr>
          <w:p w14:paraId="6391BA6E">
            <w:pPr>
              <w:spacing w:line="360" w:lineRule="auto"/>
              <w:rPr>
                <w:rFonts w:ascii="宋体" w:hAnsi="宋体"/>
                <w:color w:val="000000"/>
                <w:sz w:val="24"/>
              </w:rPr>
            </w:pPr>
          </w:p>
        </w:tc>
        <w:tc>
          <w:tcPr>
            <w:tcW w:w="723" w:type="pct"/>
          </w:tcPr>
          <w:p w14:paraId="68A9F37D">
            <w:pPr>
              <w:spacing w:line="360" w:lineRule="auto"/>
              <w:rPr>
                <w:rFonts w:ascii="宋体" w:hAnsi="宋体"/>
                <w:color w:val="000000"/>
                <w:sz w:val="24"/>
              </w:rPr>
            </w:pPr>
          </w:p>
        </w:tc>
        <w:tc>
          <w:tcPr>
            <w:tcW w:w="834" w:type="pct"/>
          </w:tcPr>
          <w:p w14:paraId="5AEEE0F8">
            <w:pPr>
              <w:spacing w:line="360" w:lineRule="auto"/>
              <w:rPr>
                <w:rFonts w:ascii="宋体" w:hAnsi="宋体"/>
                <w:color w:val="000000"/>
                <w:sz w:val="24"/>
              </w:rPr>
            </w:pPr>
          </w:p>
        </w:tc>
      </w:tr>
      <w:tr w14:paraId="7935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4B0ECA3C">
            <w:pPr>
              <w:spacing w:line="360" w:lineRule="auto"/>
              <w:rPr>
                <w:rFonts w:ascii="宋体" w:hAnsi="宋体"/>
                <w:color w:val="000000"/>
                <w:sz w:val="24"/>
              </w:rPr>
            </w:pPr>
          </w:p>
        </w:tc>
        <w:tc>
          <w:tcPr>
            <w:tcW w:w="1162" w:type="pct"/>
          </w:tcPr>
          <w:p w14:paraId="117145A1">
            <w:pPr>
              <w:spacing w:line="360" w:lineRule="auto"/>
              <w:rPr>
                <w:rFonts w:ascii="宋体" w:hAnsi="宋体"/>
                <w:color w:val="000000"/>
                <w:sz w:val="24"/>
              </w:rPr>
            </w:pPr>
          </w:p>
        </w:tc>
        <w:tc>
          <w:tcPr>
            <w:tcW w:w="1479" w:type="pct"/>
          </w:tcPr>
          <w:p w14:paraId="4188DF32">
            <w:pPr>
              <w:spacing w:line="360" w:lineRule="auto"/>
              <w:rPr>
                <w:rFonts w:ascii="宋体" w:hAnsi="宋体"/>
                <w:color w:val="000000"/>
                <w:sz w:val="24"/>
              </w:rPr>
            </w:pPr>
          </w:p>
        </w:tc>
        <w:tc>
          <w:tcPr>
            <w:tcW w:w="422" w:type="pct"/>
          </w:tcPr>
          <w:p w14:paraId="3AE7535C">
            <w:pPr>
              <w:spacing w:line="360" w:lineRule="auto"/>
              <w:rPr>
                <w:rFonts w:ascii="宋体" w:hAnsi="宋体"/>
                <w:color w:val="000000"/>
                <w:sz w:val="24"/>
              </w:rPr>
            </w:pPr>
          </w:p>
        </w:tc>
        <w:tc>
          <w:tcPr>
            <w:tcW w:w="723" w:type="pct"/>
          </w:tcPr>
          <w:p w14:paraId="5775D43A">
            <w:pPr>
              <w:spacing w:line="360" w:lineRule="auto"/>
              <w:rPr>
                <w:rFonts w:ascii="宋体" w:hAnsi="宋体"/>
                <w:color w:val="000000"/>
                <w:sz w:val="24"/>
              </w:rPr>
            </w:pPr>
          </w:p>
        </w:tc>
        <w:tc>
          <w:tcPr>
            <w:tcW w:w="834" w:type="pct"/>
          </w:tcPr>
          <w:p w14:paraId="5E5B8CCF">
            <w:pPr>
              <w:spacing w:line="360" w:lineRule="auto"/>
              <w:rPr>
                <w:rFonts w:ascii="宋体" w:hAnsi="宋体"/>
                <w:color w:val="000000"/>
                <w:sz w:val="24"/>
              </w:rPr>
            </w:pPr>
          </w:p>
        </w:tc>
      </w:tr>
      <w:tr w14:paraId="78B8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215D31E1">
            <w:pPr>
              <w:spacing w:line="360" w:lineRule="auto"/>
              <w:rPr>
                <w:rFonts w:ascii="宋体" w:hAnsi="宋体"/>
                <w:color w:val="000000"/>
                <w:sz w:val="24"/>
              </w:rPr>
            </w:pPr>
          </w:p>
        </w:tc>
        <w:tc>
          <w:tcPr>
            <w:tcW w:w="1162" w:type="pct"/>
          </w:tcPr>
          <w:p w14:paraId="0F4F488D">
            <w:pPr>
              <w:spacing w:line="360" w:lineRule="auto"/>
              <w:rPr>
                <w:rFonts w:ascii="宋体" w:hAnsi="宋体"/>
                <w:color w:val="000000"/>
                <w:sz w:val="24"/>
              </w:rPr>
            </w:pPr>
          </w:p>
        </w:tc>
        <w:tc>
          <w:tcPr>
            <w:tcW w:w="1479" w:type="pct"/>
          </w:tcPr>
          <w:p w14:paraId="6F9F0B75">
            <w:pPr>
              <w:spacing w:line="360" w:lineRule="auto"/>
              <w:rPr>
                <w:rFonts w:ascii="宋体" w:hAnsi="宋体"/>
                <w:color w:val="000000"/>
                <w:sz w:val="24"/>
              </w:rPr>
            </w:pPr>
          </w:p>
        </w:tc>
        <w:tc>
          <w:tcPr>
            <w:tcW w:w="422" w:type="pct"/>
          </w:tcPr>
          <w:p w14:paraId="43877739">
            <w:pPr>
              <w:spacing w:line="360" w:lineRule="auto"/>
              <w:rPr>
                <w:rFonts w:ascii="宋体" w:hAnsi="宋体"/>
                <w:color w:val="000000"/>
                <w:sz w:val="24"/>
              </w:rPr>
            </w:pPr>
          </w:p>
        </w:tc>
        <w:tc>
          <w:tcPr>
            <w:tcW w:w="723" w:type="pct"/>
          </w:tcPr>
          <w:p w14:paraId="3EF598F4">
            <w:pPr>
              <w:spacing w:line="360" w:lineRule="auto"/>
              <w:rPr>
                <w:rFonts w:ascii="宋体" w:hAnsi="宋体"/>
                <w:color w:val="000000"/>
                <w:sz w:val="24"/>
              </w:rPr>
            </w:pPr>
          </w:p>
        </w:tc>
        <w:tc>
          <w:tcPr>
            <w:tcW w:w="834" w:type="pct"/>
          </w:tcPr>
          <w:p w14:paraId="6EF99AE9">
            <w:pPr>
              <w:spacing w:line="360" w:lineRule="auto"/>
              <w:rPr>
                <w:rFonts w:ascii="宋体" w:hAnsi="宋体"/>
                <w:color w:val="000000"/>
                <w:sz w:val="24"/>
              </w:rPr>
            </w:pPr>
          </w:p>
        </w:tc>
      </w:tr>
      <w:tr w14:paraId="62BE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63C72790">
            <w:pPr>
              <w:spacing w:line="360" w:lineRule="auto"/>
              <w:rPr>
                <w:rFonts w:ascii="宋体" w:hAnsi="宋体"/>
                <w:color w:val="000000"/>
                <w:sz w:val="24"/>
              </w:rPr>
            </w:pPr>
          </w:p>
        </w:tc>
        <w:tc>
          <w:tcPr>
            <w:tcW w:w="1162" w:type="pct"/>
          </w:tcPr>
          <w:p w14:paraId="6A45BB77">
            <w:pPr>
              <w:spacing w:line="360" w:lineRule="auto"/>
              <w:rPr>
                <w:rFonts w:ascii="宋体" w:hAnsi="宋体"/>
                <w:color w:val="000000"/>
                <w:sz w:val="24"/>
              </w:rPr>
            </w:pPr>
          </w:p>
        </w:tc>
        <w:tc>
          <w:tcPr>
            <w:tcW w:w="1479" w:type="pct"/>
          </w:tcPr>
          <w:p w14:paraId="1035C39D">
            <w:pPr>
              <w:spacing w:line="360" w:lineRule="auto"/>
              <w:rPr>
                <w:rFonts w:ascii="宋体" w:hAnsi="宋体"/>
                <w:color w:val="000000"/>
                <w:sz w:val="24"/>
              </w:rPr>
            </w:pPr>
          </w:p>
        </w:tc>
        <w:tc>
          <w:tcPr>
            <w:tcW w:w="422" w:type="pct"/>
          </w:tcPr>
          <w:p w14:paraId="799E096A">
            <w:pPr>
              <w:spacing w:line="360" w:lineRule="auto"/>
              <w:rPr>
                <w:rFonts w:ascii="宋体" w:hAnsi="宋体"/>
                <w:color w:val="000000"/>
                <w:sz w:val="24"/>
              </w:rPr>
            </w:pPr>
          </w:p>
        </w:tc>
        <w:tc>
          <w:tcPr>
            <w:tcW w:w="723" w:type="pct"/>
          </w:tcPr>
          <w:p w14:paraId="3EDC2E3B">
            <w:pPr>
              <w:spacing w:line="360" w:lineRule="auto"/>
              <w:rPr>
                <w:rFonts w:ascii="宋体" w:hAnsi="宋体"/>
                <w:color w:val="000000"/>
                <w:sz w:val="24"/>
              </w:rPr>
            </w:pPr>
          </w:p>
        </w:tc>
        <w:tc>
          <w:tcPr>
            <w:tcW w:w="834" w:type="pct"/>
          </w:tcPr>
          <w:p w14:paraId="1FE657B1">
            <w:pPr>
              <w:spacing w:line="360" w:lineRule="auto"/>
              <w:rPr>
                <w:rFonts w:ascii="宋体" w:hAnsi="宋体"/>
                <w:color w:val="000000"/>
                <w:sz w:val="24"/>
              </w:rPr>
            </w:pPr>
          </w:p>
        </w:tc>
      </w:tr>
      <w:tr w14:paraId="7AF0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4DFE4794">
            <w:pPr>
              <w:spacing w:line="360" w:lineRule="auto"/>
              <w:rPr>
                <w:rFonts w:ascii="宋体" w:hAnsi="宋体"/>
                <w:color w:val="000000"/>
                <w:sz w:val="24"/>
              </w:rPr>
            </w:pPr>
          </w:p>
        </w:tc>
        <w:tc>
          <w:tcPr>
            <w:tcW w:w="1162" w:type="pct"/>
          </w:tcPr>
          <w:p w14:paraId="2F0CC5CB">
            <w:pPr>
              <w:spacing w:line="360" w:lineRule="auto"/>
              <w:rPr>
                <w:rFonts w:ascii="宋体" w:hAnsi="宋体"/>
                <w:color w:val="000000"/>
                <w:sz w:val="24"/>
              </w:rPr>
            </w:pPr>
          </w:p>
        </w:tc>
        <w:tc>
          <w:tcPr>
            <w:tcW w:w="1479" w:type="pct"/>
          </w:tcPr>
          <w:p w14:paraId="180CCC19">
            <w:pPr>
              <w:spacing w:line="360" w:lineRule="auto"/>
              <w:rPr>
                <w:rFonts w:ascii="宋体" w:hAnsi="宋体"/>
                <w:color w:val="000000"/>
                <w:sz w:val="24"/>
              </w:rPr>
            </w:pPr>
          </w:p>
        </w:tc>
        <w:tc>
          <w:tcPr>
            <w:tcW w:w="422" w:type="pct"/>
          </w:tcPr>
          <w:p w14:paraId="3DFE9C45">
            <w:pPr>
              <w:spacing w:line="360" w:lineRule="auto"/>
              <w:rPr>
                <w:rFonts w:ascii="宋体" w:hAnsi="宋体"/>
                <w:color w:val="000000"/>
                <w:sz w:val="24"/>
              </w:rPr>
            </w:pPr>
          </w:p>
        </w:tc>
        <w:tc>
          <w:tcPr>
            <w:tcW w:w="723" w:type="pct"/>
          </w:tcPr>
          <w:p w14:paraId="6BBDDDF4">
            <w:pPr>
              <w:spacing w:line="360" w:lineRule="auto"/>
              <w:rPr>
                <w:rFonts w:ascii="宋体" w:hAnsi="宋体"/>
                <w:color w:val="000000"/>
                <w:sz w:val="24"/>
              </w:rPr>
            </w:pPr>
          </w:p>
        </w:tc>
        <w:tc>
          <w:tcPr>
            <w:tcW w:w="834" w:type="pct"/>
          </w:tcPr>
          <w:p w14:paraId="6DF8C024">
            <w:pPr>
              <w:spacing w:line="360" w:lineRule="auto"/>
              <w:rPr>
                <w:rFonts w:ascii="宋体" w:hAnsi="宋体"/>
                <w:color w:val="000000"/>
                <w:sz w:val="24"/>
              </w:rPr>
            </w:pPr>
          </w:p>
        </w:tc>
      </w:tr>
      <w:tr w14:paraId="00BB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66DC2F0B">
            <w:pPr>
              <w:spacing w:line="360" w:lineRule="auto"/>
              <w:rPr>
                <w:rFonts w:ascii="宋体" w:hAnsi="宋体"/>
                <w:color w:val="000000"/>
                <w:sz w:val="24"/>
              </w:rPr>
            </w:pPr>
          </w:p>
        </w:tc>
        <w:tc>
          <w:tcPr>
            <w:tcW w:w="1162" w:type="pct"/>
          </w:tcPr>
          <w:p w14:paraId="2805A738">
            <w:pPr>
              <w:spacing w:line="360" w:lineRule="auto"/>
              <w:rPr>
                <w:rFonts w:ascii="宋体" w:hAnsi="宋体"/>
                <w:color w:val="000000"/>
                <w:sz w:val="24"/>
              </w:rPr>
            </w:pPr>
          </w:p>
        </w:tc>
        <w:tc>
          <w:tcPr>
            <w:tcW w:w="1479" w:type="pct"/>
          </w:tcPr>
          <w:p w14:paraId="7BECCA3C">
            <w:pPr>
              <w:spacing w:line="360" w:lineRule="auto"/>
              <w:rPr>
                <w:rFonts w:ascii="宋体" w:hAnsi="宋体"/>
                <w:color w:val="000000"/>
                <w:sz w:val="24"/>
              </w:rPr>
            </w:pPr>
          </w:p>
        </w:tc>
        <w:tc>
          <w:tcPr>
            <w:tcW w:w="422" w:type="pct"/>
          </w:tcPr>
          <w:p w14:paraId="46175728">
            <w:pPr>
              <w:spacing w:line="360" w:lineRule="auto"/>
              <w:rPr>
                <w:rFonts w:ascii="宋体" w:hAnsi="宋体"/>
                <w:color w:val="000000"/>
                <w:sz w:val="24"/>
              </w:rPr>
            </w:pPr>
          </w:p>
        </w:tc>
        <w:tc>
          <w:tcPr>
            <w:tcW w:w="723" w:type="pct"/>
          </w:tcPr>
          <w:p w14:paraId="08778103">
            <w:pPr>
              <w:spacing w:line="360" w:lineRule="auto"/>
              <w:rPr>
                <w:rFonts w:ascii="宋体" w:hAnsi="宋体"/>
                <w:color w:val="000000"/>
                <w:sz w:val="24"/>
              </w:rPr>
            </w:pPr>
          </w:p>
        </w:tc>
        <w:tc>
          <w:tcPr>
            <w:tcW w:w="834" w:type="pct"/>
          </w:tcPr>
          <w:p w14:paraId="6B9CFDA5">
            <w:pPr>
              <w:spacing w:line="360" w:lineRule="auto"/>
              <w:rPr>
                <w:rFonts w:ascii="宋体" w:hAnsi="宋体"/>
                <w:color w:val="000000"/>
                <w:sz w:val="24"/>
              </w:rPr>
            </w:pPr>
          </w:p>
        </w:tc>
      </w:tr>
      <w:tr w14:paraId="4FBF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3632B96F">
            <w:pPr>
              <w:spacing w:line="360" w:lineRule="auto"/>
              <w:rPr>
                <w:rFonts w:ascii="宋体" w:hAnsi="宋体"/>
                <w:color w:val="000000"/>
                <w:sz w:val="24"/>
              </w:rPr>
            </w:pPr>
          </w:p>
        </w:tc>
        <w:tc>
          <w:tcPr>
            <w:tcW w:w="1162" w:type="pct"/>
          </w:tcPr>
          <w:p w14:paraId="5300B549">
            <w:pPr>
              <w:spacing w:line="360" w:lineRule="auto"/>
              <w:rPr>
                <w:rFonts w:ascii="宋体" w:hAnsi="宋体"/>
                <w:color w:val="000000"/>
                <w:sz w:val="24"/>
              </w:rPr>
            </w:pPr>
          </w:p>
        </w:tc>
        <w:tc>
          <w:tcPr>
            <w:tcW w:w="1479" w:type="pct"/>
          </w:tcPr>
          <w:p w14:paraId="5D378E48">
            <w:pPr>
              <w:spacing w:line="360" w:lineRule="auto"/>
              <w:rPr>
                <w:rFonts w:ascii="宋体" w:hAnsi="宋体"/>
                <w:color w:val="000000"/>
                <w:sz w:val="24"/>
              </w:rPr>
            </w:pPr>
          </w:p>
        </w:tc>
        <w:tc>
          <w:tcPr>
            <w:tcW w:w="422" w:type="pct"/>
          </w:tcPr>
          <w:p w14:paraId="375A350D">
            <w:pPr>
              <w:spacing w:line="360" w:lineRule="auto"/>
              <w:rPr>
                <w:rFonts w:ascii="宋体" w:hAnsi="宋体"/>
                <w:color w:val="000000"/>
                <w:sz w:val="24"/>
              </w:rPr>
            </w:pPr>
          </w:p>
        </w:tc>
        <w:tc>
          <w:tcPr>
            <w:tcW w:w="723" w:type="pct"/>
          </w:tcPr>
          <w:p w14:paraId="1AB205D9">
            <w:pPr>
              <w:spacing w:line="360" w:lineRule="auto"/>
              <w:rPr>
                <w:rFonts w:ascii="宋体" w:hAnsi="宋体"/>
                <w:color w:val="000000"/>
                <w:sz w:val="24"/>
              </w:rPr>
            </w:pPr>
          </w:p>
        </w:tc>
        <w:tc>
          <w:tcPr>
            <w:tcW w:w="834" w:type="pct"/>
          </w:tcPr>
          <w:p w14:paraId="3A970C4E">
            <w:pPr>
              <w:spacing w:line="360" w:lineRule="auto"/>
              <w:rPr>
                <w:rFonts w:ascii="宋体" w:hAnsi="宋体"/>
                <w:color w:val="000000"/>
                <w:sz w:val="24"/>
              </w:rPr>
            </w:pPr>
          </w:p>
        </w:tc>
      </w:tr>
      <w:tr w14:paraId="2F6A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103BBA88">
            <w:pPr>
              <w:spacing w:line="360" w:lineRule="auto"/>
              <w:rPr>
                <w:rFonts w:ascii="宋体" w:hAnsi="宋体"/>
                <w:color w:val="000000"/>
                <w:sz w:val="24"/>
              </w:rPr>
            </w:pPr>
          </w:p>
        </w:tc>
        <w:tc>
          <w:tcPr>
            <w:tcW w:w="1162" w:type="pct"/>
          </w:tcPr>
          <w:p w14:paraId="5E6FAA41">
            <w:pPr>
              <w:spacing w:line="360" w:lineRule="auto"/>
              <w:rPr>
                <w:rFonts w:ascii="宋体" w:hAnsi="宋体"/>
                <w:color w:val="000000"/>
                <w:sz w:val="24"/>
              </w:rPr>
            </w:pPr>
          </w:p>
        </w:tc>
        <w:tc>
          <w:tcPr>
            <w:tcW w:w="1479" w:type="pct"/>
          </w:tcPr>
          <w:p w14:paraId="7CE357F3">
            <w:pPr>
              <w:spacing w:line="360" w:lineRule="auto"/>
              <w:rPr>
                <w:rFonts w:ascii="宋体" w:hAnsi="宋体"/>
                <w:color w:val="000000"/>
                <w:sz w:val="24"/>
              </w:rPr>
            </w:pPr>
          </w:p>
        </w:tc>
        <w:tc>
          <w:tcPr>
            <w:tcW w:w="422" w:type="pct"/>
          </w:tcPr>
          <w:p w14:paraId="38B20B66">
            <w:pPr>
              <w:spacing w:line="360" w:lineRule="auto"/>
              <w:rPr>
                <w:rFonts w:ascii="宋体" w:hAnsi="宋体"/>
                <w:color w:val="000000"/>
                <w:sz w:val="24"/>
              </w:rPr>
            </w:pPr>
          </w:p>
        </w:tc>
        <w:tc>
          <w:tcPr>
            <w:tcW w:w="723" w:type="pct"/>
          </w:tcPr>
          <w:p w14:paraId="216C274A">
            <w:pPr>
              <w:spacing w:line="360" w:lineRule="auto"/>
              <w:rPr>
                <w:rFonts w:ascii="宋体" w:hAnsi="宋体"/>
                <w:color w:val="000000"/>
                <w:sz w:val="24"/>
              </w:rPr>
            </w:pPr>
          </w:p>
        </w:tc>
        <w:tc>
          <w:tcPr>
            <w:tcW w:w="834" w:type="pct"/>
          </w:tcPr>
          <w:p w14:paraId="4D2C168D">
            <w:pPr>
              <w:spacing w:line="360" w:lineRule="auto"/>
              <w:rPr>
                <w:rFonts w:ascii="宋体" w:hAnsi="宋体"/>
                <w:color w:val="000000"/>
                <w:sz w:val="24"/>
              </w:rPr>
            </w:pPr>
          </w:p>
        </w:tc>
      </w:tr>
      <w:tr w14:paraId="2E0C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10FA5BAD">
            <w:pPr>
              <w:spacing w:line="360" w:lineRule="auto"/>
              <w:rPr>
                <w:rFonts w:ascii="宋体" w:hAnsi="宋体"/>
                <w:color w:val="000000"/>
                <w:sz w:val="24"/>
              </w:rPr>
            </w:pPr>
          </w:p>
        </w:tc>
        <w:tc>
          <w:tcPr>
            <w:tcW w:w="1162" w:type="pct"/>
          </w:tcPr>
          <w:p w14:paraId="6F9BB038">
            <w:pPr>
              <w:spacing w:line="360" w:lineRule="auto"/>
              <w:rPr>
                <w:rFonts w:ascii="宋体" w:hAnsi="宋体"/>
                <w:color w:val="000000"/>
                <w:sz w:val="24"/>
              </w:rPr>
            </w:pPr>
          </w:p>
        </w:tc>
        <w:tc>
          <w:tcPr>
            <w:tcW w:w="1479" w:type="pct"/>
          </w:tcPr>
          <w:p w14:paraId="42C45346">
            <w:pPr>
              <w:spacing w:line="360" w:lineRule="auto"/>
              <w:rPr>
                <w:rFonts w:ascii="宋体" w:hAnsi="宋体"/>
                <w:color w:val="000000"/>
                <w:sz w:val="24"/>
              </w:rPr>
            </w:pPr>
          </w:p>
        </w:tc>
        <w:tc>
          <w:tcPr>
            <w:tcW w:w="422" w:type="pct"/>
          </w:tcPr>
          <w:p w14:paraId="00BB72E2">
            <w:pPr>
              <w:spacing w:line="360" w:lineRule="auto"/>
              <w:rPr>
                <w:rFonts w:ascii="宋体" w:hAnsi="宋体"/>
                <w:color w:val="000000"/>
                <w:sz w:val="24"/>
              </w:rPr>
            </w:pPr>
          </w:p>
        </w:tc>
        <w:tc>
          <w:tcPr>
            <w:tcW w:w="723" w:type="pct"/>
          </w:tcPr>
          <w:p w14:paraId="32330266">
            <w:pPr>
              <w:spacing w:line="360" w:lineRule="auto"/>
              <w:rPr>
                <w:rFonts w:ascii="宋体" w:hAnsi="宋体"/>
                <w:color w:val="000000"/>
                <w:sz w:val="24"/>
              </w:rPr>
            </w:pPr>
          </w:p>
        </w:tc>
        <w:tc>
          <w:tcPr>
            <w:tcW w:w="834" w:type="pct"/>
          </w:tcPr>
          <w:p w14:paraId="69EFC2AB">
            <w:pPr>
              <w:spacing w:line="360" w:lineRule="auto"/>
              <w:rPr>
                <w:rFonts w:ascii="宋体" w:hAnsi="宋体"/>
                <w:color w:val="000000"/>
                <w:sz w:val="24"/>
              </w:rPr>
            </w:pPr>
          </w:p>
        </w:tc>
      </w:tr>
      <w:tr w14:paraId="1960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1E8D840E">
            <w:pPr>
              <w:spacing w:line="360" w:lineRule="auto"/>
              <w:rPr>
                <w:rFonts w:ascii="宋体" w:hAnsi="宋体"/>
                <w:color w:val="000000"/>
                <w:sz w:val="24"/>
              </w:rPr>
            </w:pPr>
          </w:p>
        </w:tc>
        <w:tc>
          <w:tcPr>
            <w:tcW w:w="4620" w:type="pct"/>
            <w:gridSpan w:val="5"/>
          </w:tcPr>
          <w:p w14:paraId="360FDB63">
            <w:pPr>
              <w:spacing w:line="360" w:lineRule="auto"/>
              <w:rPr>
                <w:rFonts w:ascii="宋体" w:hAnsi="宋体"/>
                <w:color w:val="000000"/>
                <w:sz w:val="24"/>
              </w:rPr>
            </w:pPr>
            <w:r>
              <w:rPr>
                <w:rFonts w:hint="eastAsia" w:ascii="宋体" w:hAnsi="宋体"/>
                <w:color w:val="000000"/>
                <w:sz w:val="24"/>
              </w:rPr>
              <w:t>合计价格：</w:t>
            </w:r>
          </w:p>
        </w:tc>
      </w:tr>
      <w:tr w14:paraId="2C65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tcPr>
          <w:p w14:paraId="1B4522CC">
            <w:pPr>
              <w:spacing w:line="360" w:lineRule="auto"/>
              <w:rPr>
                <w:rFonts w:ascii="宋体" w:hAnsi="宋体"/>
                <w:color w:val="000000"/>
                <w:sz w:val="24"/>
              </w:rPr>
            </w:pPr>
            <w:r>
              <w:rPr>
                <w:rFonts w:hint="eastAsia" w:ascii="宋体" w:hAnsi="宋体"/>
                <w:color w:val="000000"/>
                <w:sz w:val="24"/>
              </w:rPr>
              <w:t>附件</w:t>
            </w:r>
          </w:p>
        </w:tc>
        <w:tc>
          <w:tcPr>
            <w:tcW w:w="1162" w:type="pct"/>
          </w:tcPr>
          <w:p w14:paraId="4654A701">
            <w:pPr>
              <w:spacing w:line="360" w:lineRule="auto"/>
              <w:rPr>
                <w:rFonts w:ascii="宋体" w:hAnsi="宋体"/>
                <w:color w:val="000000"/>
                <w:sz w:val="24"/>
              </w:rPr>
            </w:pPr>
          </w:p>
        </w:tc>
        <w:tc>
          <w:tcPr>
            <w:tcW w:w="1479" w:type="pct"/>
          </w:tcPr>
          <w:p w14:paraId="3897A25D">
            <w:pPr>
              <w:spacing w:line="360" w:lineRule="auto"/>
              <w:rPr>
                <w:rFonts w:ascii="宋体" w:hAnsi="宋体"/>
                <w:color w:val="000000"/>
                <w:sz w:val="24"/>
              </w:rPr>
            </w:pPr>
          </w:p>
        </w:tc>
        <w:tc>
          <w:tcPr>
            <w:tcW w:w="422" w:type="pct"/>
          </w:tcPr>
          <w:p w14:paraId="2C3C8AD3">
            <w:pPr>
              <w:spacing w:line="360" w:lineRule="auto"/>
              <w:rPr>
                <w:rFonts w:ascii="宋体" w:hAnsi="宋体"/>
                <w:color w:val="000000"/>
                <w:sz w:val="24"/>
              </w:rPr>
            </w:pPr>
          </w:p>
        </w:tc>
        <w:tc>
          <w:tcPr>
            <w:tcW w:w="723" w:type="pct"/>
          </w:tcPr>
          <w:p w14:paraId="29A68D9B">
            <w:pPr>
              <w:spacing w:line="360" w:lineRule="auto"/>
              <w:rPr>
                <w:rFonts w:ascii="宋体" w:hAnsi="宋体"/>
                <w:color w:val="000000"/>
                <w:sz w:val="24"/>
              </w:rPr>
            </w:pPr>
          </w:p>
        </w:tc>
        <w:tc>
          <w:tcPr>
            <w:tcW w:w="834" w:type="pct"/>
          </w:tcPr>
          <w:p w14:paraId="75933BB0">
            <w:pPr>
              <w:spacing w:line="360" w:lineRule="auto"/>
              <w:rPr>
                <w:rFonts w:ascii="宋体" w:hAnsi="宋体"/>
                <w:color w:val="000000"/>
                <w:sz w:val="24"/>
              </w:rPr>
            </w:pPr>
          </w:p>
        </w:tc>
      </w:tr>
      <w:tr w14:paraId="638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55B4CD42">
            <w:pPr>
              <w:spacing w:line="360" w:lineRule="auto"/>
              <w:rPr>
                <w:rFonts w:ascii="宋体" w:hAnsi="宋体"/>
                <w:color w:val="000000"/>
                <w:sz w:val="24"/>
              </w:rPr>
            </w:pPr>
          </w:p>
        </w:tc>
        <w:tc>
          <w:tcPr>
            <w:tcW w:w="1162" w:type="pct"/>
          </w:tcPr>
          <w:p w14:paraId="14334DF9">
            <w:pPr>
              <w:spacing w:line="360" w:lineRule="auto"/>
              <w:rPr>
                <w:rFonts w:ascii="宋体" w:hAnsi="宋体"/>
                <w:color w:val="000000"/>
                <w:sz w:val="24"/>
              </w:rPr>
            </w:pPr>
          </w:p>
        </w:tc>
        <w:tc>
          <w:tcPr>
            <w:tcW w:w="1479" w:type="pct"/>
          </w:tcPr>
          <w:p w14:paraId="0F42F9A4">
            <w:pPr>
              <w:spacing w:line="360" w:lineRule="auto"/>
              <w:rPr>
                <w:rFonts w:ascii="宋体" w:hAnsi="宋体"/>
                <w:color w:val="000000"/>
                <w:sz w:val="24"/>
              </w:rPr>
            </w:pPr>
          </w:p>
        </w:tc>
        <w:tc>
          <w:tcPr>
            <w:tcW w:w="422" w:type="pct"/>
          </w:tcPr>
          <w:p w14:paraId="176FB430">
            <w:pPr>
              <w:spacing w:line="360" w:lineRule="auto"/>
              <w:rPr>
                <w:rFonts w:ascii="宋体" w:hAnsi="宋体"/>
                <w:color w:val="000000"/>
                <w:sz w:val="24"/>
              </w:rPr>
            </w:pPr>
          </w:p>
        </w:tc>
        <w:tc>
          <w:tcPr>
            <w:tcW w:w="723" w:type="pct"/>
          </w:tcPr>
          <w:p w14:paraId="33606457">
            <w:pPr>
              <w:spacing w:line="360" w:lineRule="auto"/>
              <w:rPr>
                <w:rFonts w:ascii="宋体" w:hAnsi="宋体"/>
                <w:color w:val="000000"/>
                <w:sz w:val="24"/>
              </w:rPr>
            </w:pPr>
          </w:p>
        </w:tc>
        <w:tc>
          <w:tcPr>
            <w:tcW w:w="834" w:type="pct"/>
          </w:tcPr>
          <w:p w14:paraId="13F61B59">
            <w:pPr>
              <w:spacing w:line="360" w:lineRule="auto"/>
              <w:rPr>
                <w:rFonts w:ascii="宋体" w:hAnsi="宋体"/>
                <w:color w:val="000000"/>
                <w:sz w:val="24"/>
              </w:rPr>
            </w:pPr>
          </w:p>
        </w:tc>
      </w:tr>
      <w:tr w14:paraId="1F39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57FE2262">
            <w:pPr>
              <w:spacing w:line="360" w:lineRule="auto"/>
              <w:rPr>
                <w:rFonts w:ascii="宋体" w:hAnsi="宋体"/>
                <w:color w:val="000000"/>
                <w:sz w:val="24"/>
              </w:rPr>
            </w:pPr>
          </w:p>
        </w:tc>
        <w:tc>
          <w:tcPr>
            <w:tcW w:w="1162" w:type="pct"/>
          </w:tcPr>
          <w:p w14:paraId="4B79E4CA">
            <w:pPr>
              <w:spacing w:line="360" w:lineRule="auto"/>
              <w:rPr>
                <w:rFonts w:ascii="宋体" w:hAnsi="宋体"/>
                <w:color w:val="000000"/>
                <w:sz w:val="24"/>
              </w:rPr>
            </w:pPr>
          </w:p>
        </w:tc>
        <w:tc>
          <w:tcPr>
            <w:tcW w:w="1479" w:type="pct"/>
          </w:tcPr>
          <w:p w14:paraId="1E4AF566">
            <w:pPr>
              <w:spacing w:line="360" w:lineRule="auto"/>
              <w:rPr>
                <w:rFonts w:ascii="宋体" w:hAnsi="宋体"/>
                <w:color w:val="000000"/>
                <w:sz w:val="24"/>
              </w:rPr>
            </w:pPr>
          </w:p>
        </w:tc>
        <w:tc>
          <w:tcPr>
            <w:tcW w:w="422" w:type="pct"/>
          </w:tcPr>
          <w:p w14:paraId="3CB4FFA1">
            <w:pPr>
              <w:spacing w:line="360" w:lineRule="auto"/>
              <w:rPr>
                <w:rFonts w:ascii="宋体" w:hAnsi="宋体"/>
                <w:color w:val="000000"/>
                <w:sz w:val="24"/>
              </w:rPr>
            </w:pPr>
          </w:p>
        </w:tc>
        <w:tc>
          <w:tcPr>
            <w:tcW w:w="723" w:type="pct"/>
          </w:tcPr>
          <w:p w14:paraId="06BF9876">
            <w:pPr>
              <w:spacing w:line="360" w:lineRule="auto"/>
              <w:rPr>
                <w:rFonts w:ascii="宋体" w:hAnsi="宋体"/>
                <w:color w:val="000000"/>
                <w:sz w:val="24"/>
              </w:rPr>
            </w:pPr>
          </w:p>
        </w:tc>
        <w:tc>
          <w:tcPr>
            <w:tcW w:w="834" w:type="pct"/>
          </w:tcPr>
          <w:p w14:paraId="7F489997">
            <w:pPr>
              <w:spacing w:line="360" w:lineRule="auto"/>
              <w:rPr>
                <w:rFonts w:ascii="宋体" w:hAnsi="宋体"/>
                <w:color w:val="000000"/>
                <w:sz w:val="24"/>
              </w:rPr>
            </w:pPr>
          </w:p>
        </w:tc>
      </w:tr>
      <w:tr w14:paraId="2729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70B0910F">
            <w:pPr>
              <w:spacing w:line="360" w:lineRule="auto"/>
              <w:rPr>
                <w:rFonts w:ascii="宋体" w:hAnsi="宋体"/>
                <w:color w:val="000000"/>
                <w:sz w:val="24"/>
              </w:rPr>
            </w:pPr>
          </w:p>
        </w:tc>
        <w:tc>
          <w:tcPr>
            <w:tcW w:w="1162" w:type="pct"/>
          </w:tcPr>
          <w:p w14:paraId="40B9DD4B">
            <w:pPr>
              <w:spacing w:line="360" w:lineRule="auto"/>
              <w:rPr>
                <w:rFonts w:ascii="宋体" w:hAnsi="宋体"/>
                <w:color w:val="000000"/>
                <w:sz w:val="24"/>
              </w:rPr>
            </w:pPr>
          </w:p>
        </w:tc>
        <w:tc>
          <w:tcPr>
            <w:tcW w:w="1479" w:type="pct"/>
          </w:tcPr>
          <w:p w14:paraId="356B4F01">
            <w:pPr>
              <w:spacing w:line="360" w:lineRule="auto"/>
              <w:rPr>
                <w:rFonts w:ascii="宋体" w:hAnsi="宋体"/>
                <w:color w:val="000000"/>
                <w:sz w:val="24"/>
              </w:rPr>
            </w:pPr>
          </w:p>
        </w:tc>
        <w:tc>
          <w:tcPr>
            <w:tcW w:w="422" w:type="pct"/>
          </w:tcPr>
          <w:p w14:paraId="70C29B26">
            <w:pPr>
              <w:spacing w:line="360" w:lineRule="auto"/>
              <w:rPr>
                <w:rFonts w:ascii="宋体" w:hAnsi="宋体"/>
                <w:color w:val="000000"/>
                <w:sz w:val="24"/>
              </w:rPr>
            </w:pPr>
          </w:p>
        </w:tc>
        <w:tc>
          <w:tcPr>
            <w:tcW w:w="723" w:type="pct"/>
          </w:tcPr>
          <w:p w14:paraId="74C6ED13">
            <w:pPr>
              <w:spacing w:line="360" w:lineRule="auto"/>
              <w:rPr>
                <w:rFonts w:ascii="宋体" w:hAnsi="宋体"/>
                <w:color w:val="000000"/>
                <w:sz w:val="24"/>
              </w:rPr>
            </w:pPr>
          </w:p>
        </w:tc>
        <w:tc>
          <w:tcPr>
            <w:tcW w:w="834" w:type="pct"/>
          </w:tcPr>
          <w:p w14:paraId="0E81DDE1">
            <w:pPr>
              <w:spacing w:line="360" w:lineRule="auto"/>
              <w:rPr>
                <w:rFonts w:ascii="宋体" w:hAnsi="宋体"/>
                <w:color w:val="000000"/>
                <w:sz w:val="24"/>
              </w:rPr>
            </w:pPr>
          </w:p>
        </w:tc>
      </w:tr>
      <w:tr w14:paraId="3B8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047DC478">
            <w:pPr>
              <w:spacing w:line="360" w:lineRule="auto"/>
              <w:rPr>
                <w:rFonts w:ascii="宋体" w:hAnsi="宋体"/>
                <w:color w:val="000000"/>
                <w:sz w:val="24"/>
              </w:rPr>
            </w:pPr>
          </w:p>
        </w:tc>
        <w:tc>
          <w:tcPr>
            <w:tcW w:w="1162" w:type="pct"/>
          </w:tcPr>
          <w:p w14:paraId="67E6E145">
            <w:pPr>
              <w:spacing w:line="360" w:lineRule="auto"/>
              <w:rPr>
                <w:rFonts w:ascii="宋体" w:hAnsi="宋体"/>
                <w:color w:val="000000"/>
                <w:sz w:val="24"/>
              </w:rPr>
            </w:pPr>
          </w:p>
        </w:tc>
        <w:tc>
          <w:tcPr>
            <w:tcW w:w="1479" w:type="pct"/>
          </w:tcPr>
          <w:p w14:paraId="1F5CFE51">
            <w:pPr>
              <w:spacing w:line="360" w:lineRule="auto"/>
              <w:rPr>
                <w:rFonts w:ascii="宋体" w:hAnsi="宋体"/>
                <w:color w:val="000000"/>
                <w:sz w:val="24"/>
              </w:rPr>
            </w:pPr>
          </w:p>
        </w:tc>
        <w:tc>
          <w:tcPr>
            <w:tcW w:w="422" w:type="pct"/>
          </w:tcPr>
          <w:p w14:paraId="4D9532A1">
            <w:pPr>
              <w:spacing w:line="360" w:lineRule="auto"/>
              <w:rPr>
                <w:rFonts w:ascii="宋体" w:hAnsi="宋体"/>
                <w:color w:val="000000"/>
                <w:sz w:val="24"/>
              </w:rPr>
            </w:pPr>
          </w:p>
        </w:tc>
        <w:tc>
          <w:tcPr>
            <w:tcW w:w="723" w:type="pct"/>
          </w:tcPr>
          <w:p w14:paraId="6FC43615">
            <w:pPr>
              <w:spacing w:line="360" w:lineRule="auto"/>
              <w:rPr>
                <w:rFonts w:ascii="宋体" w:hAnsi="宋体"/>
                <w:color w:val="000000"/>
                <w:sz w:val="24"/>
              </w:rPr>
            </w:pPr>
          </w:p>
        </w:tc>
        <w:tc>
          <w:tcPr>
            <w:tcW w:w="834" w:type="pct"/>
          </w:tcPr>
          <w:p w14:paraId="555BBD89">
            <w:pPr>
              <w:spacing w:line="360" w:lineRule="auto"/>
              <w:rPr>
                <w:rFonts w:ascii="宋体" w:hAnsi="宋体"/>
                <w:color w:val="000000"/>
                <w:sz w:val="24"/>
              </w:rPr>
            </w:pPr>
          </w:p>
        </w:tc>
      </w:tr>
      <w:tr w14:paraId="6FAF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3048B12B">
            <w:pPr>
              <w:spacing w:line="360" w:lineRule="auto"/>
              <w:rPr>
                <w:rFonts w:ascii="宋体" w:hAnsi="宋体"/>
                <w:color w:val="000000"/>
                <w:sz w:val="24"/>
              </w:rPr>
            </w:pPr>
          </w:p>
        </w:tc>
        <w:tc>
          <w:tcPr>
            <w:tcW w:w="4620" w:type="pct"/>
            <w:gridSpan w:val="5"/>
          </w:tcPr>
          <w:p w14:paraId="6FC18F9E">
            <w:pPr>
              <w:spacing w:line="360" w:lineRule="auto"/>
              <w:rPr>
                <w:rFonts w:ascii="宋体" w:hAnsi="宋体"/>
                <w:color w:val="000000"/>
                <w:sz w:val="24"/>
              </w:rPr>
            </w:pPr>
            <w:r>
              <w:rPr>
                <w:rFonts w:hint="eastAsia" w:ascii="宋体" w:hAnsi="宋体"/>
                <w:color w:val="000000"/>
                <w:sz w:val="24"/>
              </w:rPr>
              <w:t>合计价格：</w:t>
            </w:r>
          </w:p>
        </w:tc>
      </w:tr>
      <w:tr w14:paraId="6EA2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tcPr>
          <w:p w14:paraId="3BF9906D">
            <w:pPr>
              <w:spacing w:line="360" w:lineRule="auto"/>
              <w:rPr>
                <w:rFonts w:ascii="宋体" w:hAnsi="宋体"/>
                <w:color w:val="000000"/>
                <w:sz w:val="24"/>
              </w:rPr>
            </w:pPr>
            <w:r>
              <w:rPr>
                <w:rFonts w:hint="eastAsia" w:ascii="宋体" w:hAnsi="宋体"/>
                <w:color w:val="000000"/>
                <w:sz w:val="24"/>
              </w:rPr>
              <w:t>选购件</w:t>
            </w:r>
          </w:p>
        </w:tc>
        <w:tc>
          <w:tcPr>
            <w:tcW w:w="1162" w:type="pct"/>
          </w:tcPr>
          <w:p w14:paraId="70266E0D">
            <w:pPr>
              <w:spacing w:line="360" w:lineRule="auto"/>
              <w:rPr>
                <w:rFonts w:ascii="宋体" w:hAnsi="宋体"/>
                <w:color w:val="000000"/>
                <w:sz w:val="24"/>
              </w:rPr>
            </w:pPr>
          </w:p>
        </w:tc>
        <w:tc>
          <w:tcPr>
            <w:tcW w:w="1479" w:type="pct"/>
          </w:tcPr>
          <w:p w14:paraId="0D58DB5E">
            <w:pPr>
              <w:spacing w:line="360" w:lineRule="auto"/>
              <w:rPr>
                <w:rFonts w:ascii="宋体" w:hAnsi="宋体"/>
                <w:color w:val="000000"/>
                <w:sz w:val="24"/>
              </w:rPr>
            </w:pPr>
          </w:p>
        </w:tc>
        <w:tc>
          <w:tcPr>
            <w:tcW w:w="422" w:type="pct"/>
          </w:tcPr>
          <w:p w14:paraId="24E45554">
            <w:pPr>
              <w:spacing w:line="360" w:lineRule="auto"/>
              <w:rPr>
                <w:rFonts w:ascii="宋体" w:hAnsi="宋体"/>
                <w:color w:val="000000"/>
                <w:sz w:val="24"/>
              </w:rPr>
            </w:pPr>
          </w:p>
        </w:tc>
        <w:tc>
          <w:tcPr>
            <w:tcW w:w="723" w:type="pct"/>
          </w:tcPr>
          <w:p w14:paraId="66AA497C">
            <w:pPr>
              <w:spacing w:line="360" w:lineRule="auto"/>
              <w:rPr>
                <w:rFonts w:ascii="宋体" w:hAnsi="宋体"/>
                <w:color w:val="000000"/>
                <w:sz w:val="24"/>
              </w:rPr>
            </w:pPr>
          </w:p>
        </w:tc>
        <w:tc>
          <w:tcPr>
            <w:tcW w:w="834" w:type="pct"/>
          </w:tcPr>
          <w:p w14:paraId="2DD20F50">
            <w:pPr>
              <w:spacing w:line="360" w:lineRule="auto"/>
              <w:rPr>
                <w:rFonts w:ascii="宋体" w:hAnsi="宋体"/>
                <w:color w:val="000000"/>
                <w:sz w:val="24"/>
              </w:rPr>
            </w:pPr>
          </w:p>
        </w:tc>
      </w:tr>
      <w:tr w14:paraId="48FE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5EC40516">
            <w:pPr>
              <w:spacing w:line="360" w:lineRule="auto"/>
              <w:rPr>
                <w:rFonts w:ascii="宋体" w:hAnsi="宋体"/>
                <w:color w:val="000000"/>
                <w:sz w:val="24"/>
              </w:rPr>
            </w:pPr>
          </w:p>
        </w:tc>
        <w:tc>
          <w:tcPr>
            <w:tcW w:w="1162" w:type="pct"/>
          </w:tcPr>
          <w:p w14:paraId="21040153">
            <w:pPr>
              <w:spacing w:line="360" w:lineRule="auto"/>
              <w:rPr>
                <w:rFonts w:ascii="宋体" w:hAnsi="宋体"/>
                <w:color w:val="000000"/>
                <w:sz w:val="24"/>
              </w:rPr>
            </w:pPr>
          </w:p>
        </w:tc>
        <w:tc>
          <w:tcPr>
            <w:tcW w:w="1479" w:type="pct"/>
          </w:tcPr>
          <w:p w14:paraId="31B388F2">
            <w:pPr>
              <w:spacing w:line="360" w:lineRule="auto"/>
              <w:rPr>
                <w:rFonts w:ascii="宋体" w:hAnsi="宋体"/>
                <w:color w:val="000000"/>
                <w:sz w:val="24"/>
              </w:rPr>
            </w:pPr>
          </w:p>
        </w:tc>
        <w:tc>
          <w:tcPr>
            <w:tcW w:w="422" w:type="pct"/>
          </w:tcPr>
          <w:p w14:paraId="4F9983CE">
            <w:pPr>
              <w:spacing w:line="360" w:lineRule="auto"/>
              <w:rPr>
                <w:rFonts w:ascii="宋体" w:hAnsi="宋体"/>
                <w:color w:val="000000"/>
                <w:sz w:val="24"/>
              </w:rPr>
            </w:pPr>
          </w:p>
        </w:tc>
        <w:tc>
          <w:tcPr>
            <w:tcW w:w="723" w:type="pct"/>
          </w:tcPr>
          <w:p w14:paraId="4F625226">
            <w:pPr>
              <w:spacing w:line="360" w:lineRule="auto"/>
              <w:rPr>
                <w:rFonts w:ascii="宋体" w:hAnsi="宋体"/>
                <w:color w:val="000000"/>
                <w:sz w:val="24"/>
              </w:rPr>
            </w:pPr>
          </w:p>
        </w:tc>
        <w:tc>
          <w:tcPr>
            <w:tcW w:w="834" w:type="pct"/>
          </w:tcPr>
          <w:p w14:paraId="09F64D41">
            <w:pPr>
              <w:spacing w:line="360" w:lineRule="auto"/>
              <w:rPr>
                <w:rFonts w:ascii="宋体" w:hAnsi="宋体"/>
                <w:color w:val="000000"/>
                <w:sz w:val="24"/>
              </w:rPr>
            </w:pPr>
          </w:p>
        </w:tc>
      </w:tr>
      <w:tr w14:paraId="7F82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65C548AB">
            <w:pPr>
              <w:spacing w:line="360" w:lineRule="auto"/>
              <w:rPr>
                <w:rFonts w:ascii="宋体" w:hAnsi="宋体"/>
                <w:color w:val="000000"/>
                <w:sz w:val="24"/>
              </w:rPr>
            </w:pPr>
          </w:p>
        </w:tc>
        <w:tc>
          <w:tcPr>
            <w:tcW w:w="1162" w:type="pct"/>
          </w:tcPr>
          <w:p w14:paraId="5C81B91D">
            <w:pPr>
              <w:spacing w:line="360" w:lineRule="auto"/>
              <w:rPr>
                <w:rFonts w:ascii="宋体" w:hAnsi="宋体"/>
                <w:color w:val="000000"/>
                <w:sz w:val="24"/>
              </w:rPr>
            </w:pPr>
          </w:p>
        </w:tc>
        <w:tc>
          <w:tcPr>
            <w:tcW w:w="1479" w:type="pct"/>
          </w:tcPr>
          <w:p w14:paraId="77A76413">
            <w:pPr>
              <w:spacing w:line="360" w:lineRule="auto"/>
              <w:rPr>
                <w:rFonts w:ascii="宋体" w:hAnsi="宋体"/>
                <w:color w:val="000000"/>
                <w:sz w:val="24"/>
              </w:rPr>
            </w:pPr>
          </w:p>
        </w:tc>
        <w:tc>
          <w:tcPr>
            <w:tcW w:w="422" w:type="pct"/>
          </w:tcPr>
          <w:p w14:paraId="6BB7253C">
            <w:pPr>
              <w:spacing w:line="360" w:lineRule="auto"/>
              <w:rPr>
                <w:rFonts w:ascii="宋体" w:hAnsi="宋体"/>
                <w:color w:val="000000"/>
                <w:sz w:val="24"/>
              </w:rPr>
            </w:pPr>
          </w:p>
        </w:tc>
        <w:tc>
          <w:tcPr>
            <w:tcW w:w="723" w:type="pct"/>
          </w:tcPr>
          <w:p w14:paraId="6C1C6435">
            <w:pPr>
              <w:spacing w:line="360" w:lineRule="auto"/>
              <w:rPr>
                <w:rFonts w:ascii="宋体" w:hAnsi="宋体"/>
                <w:color w:val="000000"/>
                <w:sz w:val="24"/>
              </w:rPr>
            </w:pPr>
          </w:p>
        </w:tc>
        <w:tc>
          <w:tcPr>
            <w:tcW w:w="834" w:type="pct"/>
          </w:tcPr>
          <w:p w14:paraId="183D375F">
            <w:pPr>
              <w:spacing w:line="360" w:lineRule="auto"/>
              <w:rPr>
                <w:rFonts w:ascii="宋体" w:hAnsi="宋体"/>
                <w:color w:val="000000"/>
                <w:sz w:val="24"/>
              </w:rPr>
            </w:pPr>
          </w:p>
        </w:tc>
      </w:tr>
      <w:tr w14:paraId="179F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14:paraId="39CF932A">
            <w:pPr>
              <w:spacing w:line="360" w:lineRule="auto"/>
              <w:rPr>
                <w:rFonts w:ascii="宋体" w:hAnsi="宋体"/>
                <w:color w:val="000000"/>
                <w:sz w:val="24"/>
              </w:rPr>
            </w:pPr>
          </w:p>
        </w:tc>
        <w:tc>
          <w:tcPr>
            <w:tcW w:w="4620" w:type="pct"/>
            <w:gridSpan w:val="5"/>
          </w:tcPr>
          <w:p w14:paraId="6B4D82CE">
            <w:pPr>
              <w:spacing w:line="360" w:lineRule="auto"/>
              <w:rPr>
                <w:rFonts w:ascii="宋体" w:hAnsi="宋体"/>
                <w:color w:val="000000"/>
                <w:sz w:val="24"/>
              </w:rPr>
            </w:pPr>
            <w:r>
              <w:rPr>
                <w:rFonts w:hint="eastAsia" w:ascii="宋体" w:hAnsi="宋体"/>
                <w:color w:val="000000"/>
                <w:sz w:val="24"/>
              </w:rPr>
              <w:t>合计价格：</w:t>
            </w:r>
          </w:p>
        </w:tc>
      </w:tr>
      <w:tr w14:paraId="160B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tcPr>
          <w:p w14:paraId="6FB1B735">
            <w:pPr>
              <w:spacing w:line="360" w:lineRule="auto"/>
              <w:rPr>
                <w:rFonts w:ascii="宋体" w:hAnsi="宋体"/>
                <w:color w:val="000000"/>
                <w:sz w:val="24"/>
              </w:rPr>
            </w:pPr>
            <w:r>
              <w:rPr>
                <w:rFonts w:hint="eastAsia" w:ascii="宋体" w:hAnsi="宋体"/>
                <w:color w:val="000000"/>
                <w:sz w:val="24"/>
              </w:rPr>
              <w:t>伴随</w:t>
            </w:r>
          </w:p>
          <w:p w14:paraId="0FCE66B1">
            <w:pPr>
              <w:spacing w:line="360" w:lineRule="auto"/>
              <w:rPr>
                <w:rFonts w:ascii="宋体" w:hAnsi="宋体"/>
                <w:color w:val="000000"/>
                <w:sz w:val="24"/>
              </w:rPr>
            </w:pPr>
            <w:r>
              <w:rPr>
                <w:rFonts w:hint="eastAsia" w:ascii="宋体" w:hAnsi="宋体"/>
                <w:color w:val="000000"/>
                <w:sz w:val="24"/>
              </w:rPr>
              <w:t>资料</w:t>
            </w:r>
          </w:p>
        </w:tc>
        <w:tc>
          <w:tcPr>
            <w:tcW w:w="1162" w:type="pct"/>
          </w:tcPr>
          <w:p w14:paraId="7C464048">
            <w:pPr>
              <w:spacing w:line="360" w:lineRule="auto"/>
              <w:rPr>
                <w:rFonts w:ascii="宋体" w:hAnsi="宋体"/>
                <w:color w:val="000000"/>
                <w:sz w:val="24"/>
              </w:rPr>
            </w:pPr>
          </w:p>
        </w:tc>
        <w:tc>
          <w:tcPr>
            <w:tcW w:w="1479" w:type="pct"/>
          </w:tcPr>
          <w:p w14:paraId="2E1CFBE6">
            <w:pPr>
              <w:spacing w:line="360" w:lineRule="auto"/>
              <w:rPr>
                <w:rFonts w:ascii="宋体" w:hAnsi="宋体"/>
                <w:color w:val="000000"/>
                <w:sz w:val="24"/>
              </w:rPr>
            </w:pPr>
          </w:p>
        </w:tc>
        <w:tc>
          <w:tcPr>
            <w:tcW w:w="422" w:type="pct"/>
          </w:tcPr>
          <w:p w14:paraId="28F87635">
            <w:pPr>
              <w:spacing w:line="360" w:lineRule="auto"/>
              <w:rPr>
                <w:rFonts w:ascii="宋体" w:hAnsi="宋体"/>
                <w:color w:val="000000"/>
                <w:sz w:val="24"/>
              </w:rPr>
            </w:pPr>
          </w:p>
        </w:tc>
        <w:tc>
          <w:tcPr>
            <w:tcW w:w="723" w:type="pct"/>
          </w:tcPr>
          <w:p w14:paraId="5EDB85F3">
            <w:pPr>
              <w:spacing w:line="360" w:lineRule="auto"/>
              <w:rPr>
                <w:rFonts w:ascii="宋体" w:hAnsi="宋体"/>
                <w:color w:val="000000"/>
                <w:sz w:val="24"/>
              </w:rPr>
            </w:pPr>
          </w:p>
        </w:tc>
        <w:tc>
          <w:tcPr>
            <w:tcW w:w="834" w:type="pct"/>
          </w:tcPr>
          <w:p w14:paraId="26AEAC0C">
            <w:pPr>
              <w:spacing w:line="360" w:lineRule="auto"/>
              <w:rPr>
                <w:rFonts w:ascii="宋体" w:hAnsi="宋体"/>
                <w:color w:val="000000"/>
                <w:sz w:val="24"/>
              </w:rPr>
            </w:pPr>
          </w:p>
        </w:tc>
      </w:tr>
      <w:tr w14:paraId="2820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80" w:type="pct"/>
            <w:vMerge w:val="continue"/>
          </w:tcPr>
          <w:p w14:paraId="408B59F9">
            <w:pPr>
              <w:spacing w:line="360" w:lineRule="auto"/>
              <w:rPr>
                <w:rFonts w:ascii="宋体" w:hAnsi="宋体"/>
                <w:color w:val="000000"/>
                <w:sz w:val="24"/>
              </w:rPr>
            </w:pPr>
          </w:p>
        </w:tc>
        <w:tc>
          <w:tcPr>
            <w:tcW w:w="1162" w:type="pct"/>
          </w:tcPr>
          <w:p w14:paraId="3D07733C">
            <w:pPr>
              <w:spacing w:line="360" w:lineRule="auto"/>
              <w:rPr>
                <w:rFonts w:ascii="宋体" w:hAnsi="宋体"/>
                <w:color w:val="000000"/>
                <w:sz w:val="24"/>
              </w:rPr>
            </w:pPr>
          </w:p>
        </w:tc>
        <w:tc>
          <w:tcPr>
            <w:tcW w:w="1479" w:type="pct"/>
          </w:tcPr>
          <w:p w14:paraId="61DC8D1A">
            <w:pPr>
              <w:spacing w:line="360" w:lineRule="auto"/>
              <w:rPr>
                <w:rFonts w:ascii="宋体" w:hAnsi="宋体"/>
                <w:color w:val="000000"/>
                <w:sz w:val="24"/>
              </w:rPr>
            </w:pPr>
          </w:p>
        </w:tc>
        <w:tc>
          <w:tcPr>
            <w:tcW w:w="422" w:type="pct"/>
          </w:tcPr>
          <w:p w14:paraId="651E0326">
            <w:pPr>
              <w:spacing w:line="360" w:lineRule="auto"/>
              <w:rPr>
                <w:rFonts w:ascii="宋体" w:hAnsi="宋体"/>
                <w:color w:val="000000"/>
                <w:sz w:val="24"/>
              </w:rPr>
            </w:pPr>
          </w:p>
        </w:tc>
        <w:tc>
          <w:tcPr>
            <w:tcW w:w="723" w:type="pct"/>
          </w:tcPr>
          <w:p w14:paraId="4B6BA770">
            <w:pPr>
              <w:spacing w:line="360" w:lineRule="auto"/>
              <w:rPr>
                <w:rFonts w:ascii="宋体" w:hAnsi="宋体"/>
                <w:color w:val="000000"/>
                <w:sz w:val="24"/>
              </w:rPr>
            </w:pPr>
          </w:p>
        </w:tc>
        <w:tc>
          <w:tcPr>
            <w:tcW w:w="834" w:type="pct"/>
          </w:tcPr>
          <w:p w14:paraId="7C035D55">
            <w:pPr>
              <w:spacing w:line="360" w:lineRule="auto"/>
              <w:rPr>
                <w:rFonts w:ascii="宋体" w:hAnsi="宋体"/>
                <w:color w:val="000000"/>
                <w:sz w:val="24"/>
              </w:rPr>
            </w:pPr>
          </w:p>
        </w:tc>
      </w:tr>
      <w:tr w14:paraId="121D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0" w:type="pct"/>
            <w:vMerge w:val="continue"/>
          </w:tcPr>
          <w:p w14:paraId="036B5DE1">
            <w:pPr>
              <w:spacing w:line="360" w:lineRule="auto"/>
              <w:rPr>
                <w:rFonts w:ascii="宋体" w:hAnsi="宋体"/>
                <w:color w:val="000000"/>
                <w:sz w:val="24"/>
              </w:rPr>
            </w:pPr>
          </w:p>
        </w:tc>
        <w:tc>
          <w:tcPr>
            <w:tcW w:w="1162" w:type="pct"/>
          </w:tcPr>
          <w:p w14:paraId="48FD31E4">
            <w:pPr>
              <w:spacing w:line="360" w:lineRule="auto"/>
              <w:rPr>
                <w:rFonts w:ascii="宋体" w:hAnsi="宋体"/>
                <w:color w:val="000000"/>
                <w:sz w:val="24"/>
              </w:rPr>
            </w:pPr>
          </w:p>
        </w:tc>
        <w:tc>
          <w:tcPr>
            <w:tcW w:w="1479" w:type="pct"/>
          </w:tcPr>
          <w:p w14:paraId="346FD7AA">
            <w:pPr>
              <w:spacing w:line="360" w:lineRule="auto"/>
              <w:rPr>
                <w:rFonts w:ascii="宋体" w:hAnsi="宋体"/>
                <w:color w:val="000000"/>
                <w:sz w:val="24"/>
              </w:rPr>
            </w:pPr>
          </w:p>
        </w:tc>
        <w:tc>
          <w:tcPr>
            <w:tcW w:w="422" w:type="pct"/>
          </w:tcPr>
          <w:p w14:paraId="41B15472">
            <w:pPr>
              <w:spacing w:line="360" w:lineRule="auto"/>
              <w:rPr>
                <w:rFonts w:ascii="宋体" w:hAnsi="宋体"/>
                <w:color w:val="000000"/>
                <w:sz w:val="24"/>
              </w:rPr>
            </w:pPr>
          </w:p>
        </w:tc>
        <w:tc>
          <w:tcPr>
            <w:tcW w:w="723" w:type="pct"/>
          </w:tcPr>
          <w:p w14:paraId="4B018263">
            <w:pPr>
              <w:spacing w:line="360" w:lineRule="auto"/>
              <w:rPr>
                <w:rFonts w:ascii="宋体" w:hAnsi="宋体"/>
                <w:color w:val="000000"/>
                <w:sz w:val="24"/>
              </w:rPr>
            </w:pPr>
          </w:p>
        </w:tc>
        <w:tc>
          <w:tcPr>
            <w:tcW w:w="834" w:type="pct"/>
          </w:tcPr>
          <w:p w14:paraId="13F3FC2A">
            <w:pPr>
              <w:spacing w:line="360" w:lineRule="auto"/>
              <w:rPr>
                <w:rFonts w:ascii="宋体" w:hAnsi="宋体"/>
                <w:color w:val="000000"/>
                <w:sz w:val="24"/>
              </w:rPr>
            </w:pPr>
          </w:p>
        </w:tc>
      </w:tr>
      <w:tr w14:paraId="5342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0" w:type="pct"/>
            <w:vMerge w:val="continue"/>
          </w:tcPr>
          <w:p w14:paraId="14098CD5">
            <w:pPr>
              <w:spacing w:line="360" w:lineRule="auto"/>
              <w:rPr>
                <w:rFonts w:ascii="宋体" w:hAnsi="宋体"/>
                <w:color w:val="000000"/>
                <w:sz w:val="24"/>
              </w:rPr>
            </w:pPr>
          </w:p>
        </w:tc>
        <w:tc>
          <w:tcPr>
            <w:tcW w:w="1162" w:type="pct"/>
          </w:tcPr>
          <w:p w14:paraId="4D6C7E4D">
            <w:pPr>
              <w:spacing w:line="360" w:lineRule="auto"/>
              <w:rPr>
                <w:rFonts w:ascii="宋体" w:hAnsi="宋体"/>
                <w:color w:val="000000"/>
                <w:sz w:val="24"/>
              </w:rPr>
            </w:pPr>
          </w:p>
        </w:tc>
        <w:tc>
          <w:tcPr>
            <w:tcW w:w="1479" w:type="pct"/>
          </w:tcPr>
          <w:p w14:paraId="56362F48">
            <w:pPr>
              <w:spacing w:line="360" w:lineRule="auto"/>
              <w:rPr>
                <w:rFonts w:ascii="宋体" w:hAnsi="宋体"/>
                <w:color w:val="000000"/>
                <w:sz w:val="24"/>
              </w:rPr>
            </w:pPr>
          </w:p>
        </w:tc>
        <w:tc>
          <w:tcPr>
            <w:tcW w:w="422" w:type="pct"/>
          </w:tcPr>
          <w:p w14:paraId="77C0B8CA">
            <w:pPr>
              <w:spacing w:line="360" w:lineRule="auto"/>
              <w:rPr>
                <w:rFonts w:ascii="宋体" w:hAnsi="宋体"/>
                <w:color w:val="000000"/>
                <w:sz w:val="24"/>
              </w:rPr>
            </w:pPr>
          </w:p>
        </w:tc>
        <w:tc>
          <w:tcPr>
            <w:tcW w:w="723" w:type="pct"/>
          </w:tcPr>
          <w:p w14:paraId="377E2335">
            <w:pPr>
              <w:spacing w:line="360" w:lineRule="auto"/>
              <w:rPr>
                <w:rFonts w:ascii="宋体" w:hAnsi="宋体"/>
                <w:color w:val="000000"/>
                <w:sz w:val="24"/>
              </w:rPr>
            </w:pPr>
          </w:p>
        </w:tc>
        <w:tc>
          <w:tcPr>
            <w:tcW w:w="834" w:type="pct"/>
          </w:tcPr>
          <w:p w14:paraId="7D196B9C">
            <w:pPr>
              <w:spacing w:line="360" w:lineRule="auto"/>
              <w:rPr>
                <w:rFonts w:ascii="宋体" w:hAnsi="宋体"/>
                <w:color w:val="000000"/>
                <w:sz w:val="24"/>
              </w:rPr>
            </w:pPr>
          </w:p>
        </w:tc>
      </w:tr>
    </w:tbl>
    <w:p w14:paraId="314B52AB">
      <w:pPr>
        <w:spacing w:line="360" w:lineRule="auto"/>
        <w:rPr>
          <w:rFonts w:ascii="宋体" w:hAnsi="宋体"/>
          <w:color w:val="000000"/>
          <w:sz w:val="24"/>
        </w:rPr>
      </w:pPr>
      <w:r>
        <w:rPr>
          <w:rFonts w:hint="eastAsia" w:ascii="宋体" w:hAnsi="宋体"/>
          <w:color w:val="000000"/>
          <w:sz w:val="24"/>
        </w:rPr>
        <w:t>共计总价格：</w:t>
      </w:r>
    </w:p>
    <w:p w14:paraId="31AF48FB">
      <w:pPr>
        <w:numPr>
          <w:ilvl w:val="0"/>
          <w:numId w:val="4"/>
        </w:numPr>
        <w:spacing w:line="360" w:lineRule="auto"/>
        <w:rPr>
          <w:rFonts w:ascii="宋体" w:hAnsi="宋体"/>
          <w:color w:val="000000"/>
          <w:sz w:val="24"/>
        </w:rPr>
      </w:pPr>
      <w:r>
        <w:rPr>
          <w:rFonts w:hint="eastAsia" w:ascii="宋体" w:hAnsi="宋体"/>
          <w:color w:val="000000"/>
          <w:sz w:val="24"/>
        </w:rPr>
        <w:t>特殊说明：</w:t>
      </w:r>
    </w:p>
    <w:p w14:paraId="2C8F9D60">
      <w:pPr>
        <w:spacing w:line="360" w:lineRule="auto"/>
        <w:rPr>
          <w:rFonts w:ascii="宋体" w:hAnsi="宋体"/>
          <w:color w:val="000000"/>
          <w:sz w:val="24"/>
        </w:rPr>
      </w:pPr>
    </w:p>
    <w:p w14:paraId="1C953DB3">
      <w:pPr>
        <w:spacing w:line="360" w:lineRule="auto"/>
        <w:rPr>
          <w:rFonts w:ascii="宋体" w:hAnsi="宋体"/>
          <w:color w:val="000000"/>
          <w:sz w:val="24"/>
        </w:rPr>
      </w:pPr>
      <w:r>
        <w:rPr>
          <w:rFonts w:hint="eastAsia" w:ascii="宋体" w:hAnsi="宋体"/>
          <w:color w:val="000000"/>
          <w:sz w:val="24"/>
        </w:rPr>
        <w:t xml:space="preserve">                                      制造商或投标人盖章</w:t>
      </w:r>
    </w:p>
    <w:p w14:paraId="246CBCFE">
      <w:pPr>
        <w:spacing w:line="360" w:lineRule="auto"/>
        <w:rPr>
          <w:rFonts w:ascii="宋体" w:hAnsi="宋体"/>
          <w:sz w:val="24"/>
        </w:rPr>
      </w:pPr>
      <w:r>
        <w:rPr>
          <w:rFonts w:hint="eastAsia" w:ascii="宋体" w:hAnsi="宋体"/>
          <w:color w:val="000000"/>
          <w:sz w:val="24"/>
        </w:rPr>
        <w:t xml:space="preserve">                                      </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日期：</w:t>
      </w:r>
    </w:p>
    <w:permEnd w:id="73"/>
    <w:p w14:paraId="7A9B2241">
      <w:pPr>
        <w:pStyle w:val="4"/>
        <w:rPr>
          <w:rFonts w:ascii="宋体" w:hAnsi="宋体"/>
          <w:sz w:val="24"/>
          <w:szCs w:val="24"/>
        </w:rPr>
      </w:pPr>
    </w:p>
    <w:p w14:paraId="2C7E0A7B">
      <w:pPr>
        <w:spacing w:line="360" w:lineRule="auto"/>
        <w:jc w:val="left"/>
        <w:outlineLvl w:val="2"/>
        <w:rPr>
          <w:rFonts w:ascii="宋体" w:hAnsi="宋体"/>
          <w:b/>
          <w:sz w:val="24"/>
        </w:rPr>
      </w:pPr>
      <w:r>
        <w:rPr>
          <w:rFonts w:hint="eastAsia" w:ascii="宋体" w:hAnsi="宋体"/>
          <w:sz w:val="24"/>
          <w:szCs w:val="24"/>
        </w:rPr>
        <w:br w:type="page"/>
      </w:r>
      <w:permStart w:id="74" w:edGrp="everyone"/>
      <w:bookmarkStart w:id="47" w:name="_Toc22822"/>
      <w:bookmarkStart w:id="48" w:name="_Toc21157"/>
      <w:bookmarkStart w:id="49" w:name="_Toc109920771"/>
      <w:r>
        <w:rPr>
          <w:rFonts w:hint="eastAsia" w:ascii="宋体" w:hAnsi="宋体"/>
          <w:b/>
          <w:sz w:val="28"/>
        </w:rPr>
        <w:t>附件5：投标人关联关系情况声明函（格式）</w:t>
      </w:r>
      <w:bookmarkEnd w:id="47"/>
      <w:bookmarkEnd w:id="48"/>
      <w:bookmarkEnd w:id="49"/>
    </w:p>
    <w:p w14:paraId="7A64D5B0">
      <w:pPr>
        <w:adjustRightInd w:val="0"/>
        <w:snapToGrid w:val="0"/>
        <w:spacing w:line="360" w:lineRule="auto"/>
        <w:rPr>
          <w:rFonts w:ascii="宋体" w:hAnsi="宋体"/>
          <w:szCs w:val="21"/>
        </w:rPr>
      </w:pPr>
    </w:p>
    <w:p w14:paraId="0966CC4F">
      <w:pPr>
        <w:adjustRightInd w:val="0"/>
        <w:snapToGrid w:val="0"/>
        <w:spacing w:line="360" w:lineRule="auto"/>
        <w:rPr>
          <w:rFonts w:ascii="宋体" w:hAnsi="宋体"/>
          <w:szCs w:val="21"/>
          <w:u w:val="single"/>
        </w:rPr>
      </w:pPr>
      <w:r>
        <w:rPr>
          <w:rFonts w:hint="eastAsia" w:ascii="宋体" w:hAnsi="宋体"/>
          <w:szCs w:val="21"/>
        </w:rPr>
        <w:t>致：上海东松医疗科技股份有限公司</w:t>
      </w:r>
    </w:p>
    <w:p w14:paraId="47B8A07B">
      <w:pPr>
        <w:spacing w:line="360" w:lineRule="auto"/>
        <w:rPr>
          <w:rFonts w:ascii="宋体" w:hAnsi="宋体"/>
          <w:b/>
          <w:sz w:val="24"/>
        </w:rPr>
      </w:pPr>
    </w:p>
    <w:p w14:paraId="10F167DA">
      <w:pPr>
        <w:adjustRightInd w:val="0"/>
        <w:snapToGrid w:val="0"/>
        <w:spacing w:line="360" w:lineRule="auto"/>
        <w:ind w:firstLine="420" w:firstLineChars="200"/>
        <w:rPr>
          <w:rFonts w:ascii="宋体" w:hAnsi="宋体" w:cs="宋体"/>
          <w:szCs w:val="21"/>
        </w:rPr>
      </w:pPr>
      <w:r>
        <w:rPr>
          <w:rFonts w:hint="eastAsia" w:ascii="宋体" w:hAnsi="宋体" w:cs="宋体"/>
          <w:szCs w:val="21"/>
        </w:rPr>
        <w:t>本公司为参加</w:t>
      </w:r>
      <w:r>
        <w:rPr>
          <w:rFonts w:hint="eastAsia" w:ascii="宋体" w:hAnsi="宋体" w:cs="宋体"/>
          <w:szCs w:val="21"/>
          <w:u w:val="single"/>
        </w:rPr>
        <w:t>（项目名称）</w:t>
      </w:r>
      <w:r>
        <w:rPr>
          <w:rFonts w:hint="eastAsia" w:ascii="宋体" w:hAnsi="宋体"/>
          <w:bCs/>
          <w:szCs w:val="21"/>
        </w:rPr>
        <w:t>国际招标采购项目的投标人</w:t>
      </w:r>
      <w:r>
        <w:rPr>
          <w:rFonts w:hint="eastAsia" w:ascii="宋体" w:hAnsi="宋体" w:cs="宋体"/>
          <w:szCs w:val="21"/>
        </w:rPr>
        <w:t>，本公司在此郑重声明：</w:t>
      </w:r>
    </w:p>
    <w:p w14:paraId="1829CF85">
      <w:pPr>
        <w:adjustRightInd w:val="0"/>
        <w:snapToGrid w:val="0"/>
        <w:spacing w:line="360" w:lineRule="auto"/>
        <w:ind w:firstLine="420"/>
        <w:rPr>
          <w:rFonts w:ascii="宋体" w:hAnsi="宋体" w:cs="宋体"/>
          <w:szCs w:val="21"/>
        </w:rPr>
      </w:pPr>
      <w:r>
        <w:rPr>
          <w:rFonts w:hint="eastAsia" w:ascii="宋体" w:hAnsi="宋体" w:cs="宋体"/>
          <w:szCs w:val="21"/>
        </w:rPr>
        <w:t>1、未与招标人存在利害关系可能影响招标公正性的法人或其他组织；</w:t>
      </w:r>
    </w:p>
    <w:p w14:paraId="170AD312">
      <w:pPr>
        <w:adjustRightInd w:val="0"/>
        <w:snapToGrid w:val="0"/>
        <w:spacing w:line="360" w:lineRule="auto"/>
        <w:ind w:firstLine="420"/>
        <w:rPr>
          <w:rFonts w:ascii="宋体" w:hAnsi="宋体" w:cs="宋体"/>
          <w:szCs w:val="21"/>
        </w:rPr>
      </w:pPr>
      <w:r>
        <w:rPr>
          <w:rFonts w:ascii="宋体" w:hAnsi="宋体" w:cs="宋体"/>
          <w:szCs w:val="21"/>
        </w:rPr>
        <w:t>2</w:t>
      </w:r>
      <w:r>
        <w:rPr>
          <w:rFonts w:hint="eastAsia" w:ascii="宋体" w:hAnsi="宋体" w:cs="宋体"/>
          <w:szCs w:val="21"/>
        </w:rPr>
        <w:t>、未接受委托参与本项目前期咨询和招标文件编制；</w:t>
      </w:r>
    </w:p>
    <w:p w14:paraId="15502465">
      <w:pPr>
        <w:adjustRightInd w:val="0"/>
        <w:snapToGrid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、根据《机电产品国际招标投标实施办法（试行）》的规定，特就本公司控股及管理关系情况申报如下，并承担申报不实的责任。</w:t>
      </w:r>
    </w:p>
    <w:tbl>
      <w:tblPr>
        <w:tblStyle w:val="41"/>
        <w:tblW w:w="4998"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2577"/>
        <w:gridCol w:w="4184"/>
      </w:tblGrid>
      <w:tr w14:paraId="3A365B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3E90FBC7">
            <w:pPr>
              <w:adjustRightInd w:val="0"/>
              <w:snapToGrid w:val="0"/>
              <w:spacing w:before="96" w:beforeLines="40" w:after="96" w:afterLines="40"/>
              <w:rPr>
                <w:rFonts w:ascii="宋体" w:hAnsi="宋体" w:cs="宋体"/>
                <w:szCs w:val="21"/>
              </w:rPr>
            </w:pPr>
            <w:r>
              <w:rPr>
                <w:rFonts w:hint="eastAsia" w:ascii="宋体" w:hAnsi="宋体" w:cs="宋体"/>
                <w:szCs w:val="21"/>
              </w:rPr>
              <w:t>申报人名称</w:t>
            </w:r>
          </w:p>
        </w:tc>
        <w:tc>
          <w:tcPr>
            <w:tcW w:w="3536" w:type="pct"/>
            <w:gridSpan w:val="2"/>
            <w:vAlign w:val="center"/>
          </w:tcPr>
          <w:p w14:paraId="5B17C6E6">
            <w:pPr>
              <w:adjustRightInd w:val="0"/>
              <w:snapToGrid w:val="0"/>
              <w:spacing w:before="96" w:beforeLines="40" w:after="96" w:afterLines="40"/>
              <w:jc w:val="center"/>
              <w:rPr>
                <w:rFonts w:ascii="宋体" w:hAnsi="宋体" w:cs="宋体"/>
                <w:szCs w:val="21"/>
              </w:rPr>
            </w:pPr>
            <w:r>
              <w:rPr>
                <w:rFonts w:hint="eastAsia" w:ascii="宋体" w:hAnsi="宋体" w:cs="宋体"/>
                <w:szCs w:val="21"/>
              </w:rPr>
              <w:t>填写单位全称</w:t>
            </w:r>
          </w:p>
        </w:tc>
      </w:tr>
      <w:tr w14:paraId="6EA03A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3" w:type="pct"/>
            <w:vMerge w:val="restart"/>
            <w:vAlign w:val="center"/>
          </w:tcPr>
          <w:p w14:paraId="52720617">
            <w:pPr>
              <w:adjustRightInd w:val="0"/>
              <w:snapToGrid w:val="0"/>
              <w:spacing w:before="96" w:beforeLines="40" w:after="96" w:afterLines="40"/>
              <w:rPr>
                <w:rFonts w:ascii="宋体" w:hAnsi="宋体" w:cs="宋体"/>
                <w:szCs w:val="21"/>
              </w:rPr>
            </w:pPr>
            <w:r>
              <w:rPr>
                <w:rFonts w:hint="eastAsia" w:ascii="宋体" w:hAnsi="宋体" w:cs="宋体"/>
                <w:szCs w:val="21"/>
              </w:rPr>
              <w:t>法定代表人/单位负责人</w:t>
            </w:r>
          </w:p>
        </w:tc>
        <w:tc>
          <w:tcPr>
            <w:tcW w:w="1348" w:type="pct"/>
            <w:vAlign w:val="center"/>
          </w:tcPr>
          <w:p w14:paraId="7B607C84">
            <w:pPr>
              <w:adjustRightInd w:val="0"/>
              <w:snapToGrid w:val="0"/>
              <w:spacing w:before="96" w:beforeLines="40" w:after="96" w:afterLines="40"/>
              <w:jc w:val="center"/>
              <w:rPr>
                <w:rFonts w:ascii="宋体" w:hAnsi="宋体" w:cs="宋体"/>
                <w:szCs w:val="21"/>
              </w:rPr>
            </w:pPr>
            <w:r>
              <w:rPr>
                <w:rFonts w:hint="eastAsia" w:ascii="宋体" w:hAnsi="宋体" w:cs="宋体"/>
                <w:szCs w:val="21"/>
              </w:rPr>
              <w:t>姓    名</w:t>
            </w:r>
          </w:p>
        </w:tc>
        <w:tc>
          <w:tcPr>
            <w:tcW w:w="2187" w:type="pct"/>
            <w:vAlign w:val="center"/>
          </w:tcPr>
          <w:p w14:paraId="3F95BDD4">
            <w:pPr>
              <w:adjustRightInd w:val="0"/>
              <w:snapToGrid w:val="0"/>
              <w:spacing w:before="96" w:beforeLines="40" w:after="96" w:afterLines="40"/>
              <w:rPr>
                <w:rFonts w:ascii="宋体" w:hAnsi="宋体" w:cs="宋体"/>
                <w:szCs w:val="21"/>
              </w:rPr>
            </w:pPr>
          </w:p>
        </w:tc>
      </w:tr>
      <w:tr w14:paraId="5DA5B3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3" w:type="pct"/>
            <w:vMerge w:val="continue"/>
            <w:vAlign w:val="center"/>
          </w:tcPr>
          <w:p w14:paraId="13FD44BC">
            <w:pPr>
              <w:adjustRightInd w:val="0"/>
              <w:snapToGrid w:val="0"/>
              <w:spacing w:before="96" w:beforeLines="40" w:after="96" w:afterLines="40"/>
              <w:rPr>
                <w:rFonts w:ascii="宋体" w:hAnsi="宋体" w:cs="宋体"/>
                <w:szCs w:val="21"/>
              </w:rPr>
            </w:pPr>
          </w:p>
        </w:tc>
        <w:tc>
          <w:tcPr>
            <w:tcW w:w="1348" w:type="pct"/>
            <w:vAlign w:val="center"/>
          </w:tcPr>
          <w:p w14:paraId="7642ADD8">
            <w:pPr>
              <w:adjustRightInd w:val="0"/>
              <w:snapToGrid w:val="0"/>
              <w:spacing w:before="96" w:beforeLines="40" w:after="96" w:afterLines="40"/>
              <w:jc w:val="center"/>
              <w:rPr>
                <w:rFonts w:ascii="宋体" w:hAnsi="宋体" w:cs="宋体"/>
                <w:szCs w:val="21"/>
              </w:rPr>
            </w:pPr>
            <w:r>
              <w:rPr>
                <w:rFonts w:hint="eastAsia" w:ascii="宋体" w:hAnsi="宋体" w:cs="宋体"/>
                <w:szCs w:val="21"/>
              </w:rPr>
              <w:t>身份证号</w:t>
            </w:r>
          </w:p>
        </w:tc>
        <w:tc>
          <w:tcPr>
            <w:tcW w:w="2187" w:type="pct"/>
            <w:vAlign w:val="center"/>
          </w:tcPr>
          <w:p w14:paraId="77143798">
            <w:pPr>
              <w:adjustRightInd w:val="0"/>
              <w:snapToGrid w:val="0"/>
              <w:spacing w:before="96" w:beforeLines="40" w:after="96" w:afterLines="40"/>
              <w:rPr>
                <w:rFonts w:ascii="宋体" w:hAnsi="宋体" w:cs="宋体"/>
                <w:szCs w:val="21"/>
              </w:rPr>
            </w:pPr>
          </w:p>
        </w:tc>
      </w:tr>
      <w:tr w14:paraId="3F058B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38E194D9">
            <w:pPr>
              <w:adjustRightInd w:val="0"/>
              <w:snapToGrid w:val="0"/>
              <w:spacing w:before="96" w:beforeLines="40" w:after="96" w:afterLines="40"/>
              <w:rPr>
                <w:rFonts w:ascii="宋体" w:hAnsi="宋体" w:cs="宋体"/>
                <w:szCs w:val="21"/>
              </w:rPr>
            </w:pPr>
            <w:r>
              <w:rPr>
                <w:rFonts w:hint="eastAsia" w:ascii="宋体" w:hAnsi="宋体" w:cs="宋体"/>
                <w:szCs w:val="21"/>
              </w:rPr>
              <w:t>控股股东/投资人名称</w:t>
            </w:r>
          </w:p>
          <w:p w14:paraId="41181569">
            <w:pPr>
              <w:adjustRightInd w:val="0"/>
              <w:snapToGrid w:val="0"/>
              <w:spacing w:before="96" w:beforeLines="40" w:after="96" w:afterLines="40"/>
              <w:rPr>
                <w:rFonts w:ascii="宋体" w:hAnsi="宋体" w:cs="宋体"/>
                <w:szCs w:val="21"/>
              </w:rPr>
            </w:pPr>
            <w:r>
              <w:rPr>
                <w:rFonts w:hint="eastAsia" w:ascii="宋体" w:hAnsi="宋体" w:cs="宋体"/>
                <w:szCs w:val="21"/>
              </w:rPr>
              <w:t>及出资比例</w:t>
            </w:r>
          </w:p>
        </w:tc>
        <w:tc>
          <w:tcPr>
            <w:tcW w:w="3536" w:type="pct"/>
            <w:gridSpan w:val="2"/>
            <w:vAlign w:val="center"/>
          </w:tcPr>
          <w:p w14:paraId="53FA290C">
            <w:pPr>
              <w:adjustRightInd w:val="0"/>
              <w:snapToGrid w:val="0"/>
              <w:spacing w:before="96" w:beforeLines="40" w:after="96" w:afterLines="40"/>
              <w:jc w:val="center"/>
              <w:rPr>
                <w:rFonts w:ascii="宋体" w:hAnsi="宋体" w:cs="宋体"/>
                <w:szCs w:val="21"/>
              </w:rPr>
            </w:pPr>
          </w:p>
        </w:tc>
      </w:tr>
      <w:tr w14:paraId="1D5D4F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52BCD512">
            <w:pPr>
              <w:adjustRightInd w:val="0"/>
              <w:snapToGrid w:val="0"/>
              <w:spacing w:before="96" w:beforeLines="40" w:after="96" w:afterLines="40"/>
              <w:rPr>
                <w:rFonts w:ascii="宋体" w:hAnsi="宋体" w:cs="宋体"/>
                <w:szCs w:val="21"/>
              </w:rPr>
            </w:pPr>
            <w:r>
              <w:rPr>
                <w:rFonts w:hint="eastAsia" w:ascii="宋体" w:hAnsi="宋体" w:cs="宋体"/>
                <w:szCs w:val="21"/>
              </w:rPr>
              <w:t>非控股股东/投资人名称</w:t>
            </w:r>
          </w:p>
          <w:p w14:paraId="3146E8CF">
            <w:pPr>
              <w:adjustRightInd w:val="0"/>
              <w:snapToGrid w:val="0"/>
              <w:spacing w:before="96" w:beforeLines="40" w:after="96" w:afterLines="40"/>
              <w:rPr>
                <w:rFonts w:ascii="宋体" w:hAnsi="宋体" w:cs="宋体"/>
                <w:szCs w:val="21"/>
              </w:rPr>
            </w:pPr>
            <w:r>
              <w:rPr>
                <w:rFonts w:hint="eastAsia" w:ascii="宋体" w:hAnsi="宋体" w:cs="宋体"/>
                <w:szCs w:val="21"/>
              </w:rPr>
              <w:t>及出资比例</w:t>
            </w:r>
          </w:p>
        </w:tc>
        <w:tc>
          <w:tcPr>
            <w:tcW w:w="3536" w:type="pct"/>
            <w:gridSpan w:val="2"/>
            <w:vAlign w:val="center"/>
          </w:tcPr>
          <w:p w14:paraId="085E1BCD">
            <w:pPr>
              <w:adjustRightInd w:val="0"/>
              <w:snapToGrid w:val="0"/>
              <w:spacing w:before="96" w:beforeLines="40" w:after="96" w:afterLines="40"/>
              <w:jc w:val="center"/>
              <w:rPr>
                <w:rFonts w:ascii="宋体" w:hAnsi="宋体" w:cs="宋体"/>
                <w:szCs w:val="21"/>
              </w:rPr>
            </w:pPr>
          </w:p>
        </w:tc>
      </w:tr>
      <w:tr w14:paraId="68123D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3" w:type="pct"/>
            <w:vMerge w:val="restart"/>
            <w:vAlign w:val="center"/>
          </w:tcPr>
          <w:p w14:paraId="1FC78A21">
            <w:pPr>
              <w:adjustRightInd w:val="0"/>
              <w:snapToGrid w:val="0"/>
              <w:spacing w:before="96" w:beforeLines="40" w:after="96" w:afterLines="40"/>
              <w:rPr>
                <w:rFonts w:ascii="宋体" w:hAnsi="宋体" w:cs="宋体"/>
                <w:szCs w:val="21"/>
              </w:rPr>
            </w:pPr>
            <w:r>
              <w:rPr>
                <w:rFonts w:hint="eastAsia" w:ascii="宋体" w:hAnsi="宋体" w:cs="宋体"/>
                <w:szCs w:val="21"/>
              </w:rPr>
              <w:t>管理关系单位名称</w:t>
            </w:r>
          </w:p>
        </w:tc>
        <w:tc>
          <w:tcPr>
            <w:tcW w:w="1348" w:type="pct"/>
            <w:vAlign w:val="center"/>
          </w:tcPr>
          <w:p w14:paraId="450AD061">
            <w:pPr>
              <w:adjustRightInd w:val="0"/>
              <w:snapToGrid w:val="0"/>
              <w:spacing w:before="96" w:beforeLines="40" w:after="96" w:afterLines="40"/>
              <w:jc w:val="center"/>
              <w:rPr>
                <w:rFonts w:ascii="宋体" w:hAnsi="宋体" w:cs="宋体"/>
                <w:szCs w:val="21"/>
              </w:rPr>
            </w:pPr>
            <w:r>
              <w:rPr>
                <w:rFonts w:hint="eastAsia" w:ascii="宋体" w:hAnsi="宋体" w:cs="宋体"/>
                <w:szCs w:val="21"/>
              </w:rPr>
              <w:t>管理关系单位名称</w:t>
            </w:r>
          </w:p>
        </w:tc>
        <w:tc>
          <w:tcPr>
            <w:tcW w:w="2187" w:type="pct"/>
            <w:vAlign w:val="center"/>
          </w:tcPr>
          <w:p w14:paraId="4AE90283">
            <w:pPr>
              <w:adjustRightInd w:val="0"/>
              <w:snapToGrid w:val="0"/>
              <w:spacing w:before="96" w:beforeLines="40" w:after="96" w:afterLines="40"/>
              <w:rPr>
                <w:rFonts w:ascii="宋体" w:hAnsi="宋体" w:cs="宋体"/>
                <w:szCs w:val="21"/>
              </w:rPr>
            </w:pPr>
          </w:p>
        </w:tc>
      </w:tr>
      <w:tr w14:paraId="576985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3" w:type="pct"/>
            <w:vMerge w:val="continue"/>
            <w:vAlign w:val="center"/>
          </w:tcPr>
          <w:p w14:paraId="1EC6610E">
            <w:pPr>
              <w:adjustRightInd w:val="0"/>
              <w:snapToGrid w:val="0"/>
              <w:spacing w:before="96" w:beforeLines="40" w:after="96" w:afterLines="40"/>
              <w:rPr>
                <w:rFonts w:ascii="宋体" w:hAnsi="宋体" w:cs="宋体"/>
                <w:szCs w:val="21"/>
              </w:rPr>
            </w:pPr>
          </w:p>
        </w:tc>
        <w:tc>
          <w:tcPr>
            <w:tcW w:w="1348" w:type="pct"/>
            <w:vAlign w:val="center"/>
          </w:tcPr>
          <w:p w14:paraId="3B8624C3">
            <w:pPr>
              <w:adjustRightInd w:val="0"/>
              <w:snapToGrid w:val="0"/>
              <w:spacing w:before="96" w:beforeLines="40" w:after="96" w:afterLines="40"/>
              <w:jc w:val="center"/>
              <w:rPr>
                <w:rFonts w:ascii="宋体" w:hAnsi="宋体" w:cs="宋体"/>
                <w:szCs w:val="21"/>
              </w:rPr>
            </w:pPr>
            <w:r>
              <w:rPr>
                <w:rFonts w:hint="eastAsia" w:ascii="宋体" w:hAnsi="宋体" w:cs="宋体"/>
                <w:szCs w:val="21"/>
              </w:rPr>
              <w:t>被管理关系单位名称</w:t>
            </w:r>
          </w:p>
        </w:tc>
        <w:tc>
          <w:tcPr>
            <w:tcW w:w="2187" w:type="pct"/>
            <w:vAlign w:val="center"/>
          </w:tcPr>
          <w:p w14:paraId="243D1C0B">
            <w:pPr>
              <w:adjustRightInd w:val="0"/>
              <w:snapToGrid w:val="0"/>
              <w:spacing w:before="96" w:beforeLines="40" w:after="96" w:afterLines="40"/>
              <w:rPr>
                <w:rFonts w:ascii="宋体" w:hAnsi="宋体" w:cs="宋体"/>
                <w:szCs w:val="21"/>
              </w:rPr>
            </w:pPr>
          </w:p>
        </w:tc>
      </w:tr>
      <w:tr w14:paraId="06AC70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0629A505">
            <w:pPr>
              <w:adjustRightInd w:val="0"/>
              <w:snapToGrid w:val="0"/>
              <w:spacing w:before="96" w:beforeLines="40" w:after="96" w:afterLines="40"/>
              <w:rPr>
                <w:rFonts w:ascii="宋体" w:hAnsi="宋体" w:cs="宋体"/>
                <w:szCs w:val="21"/>
              </w:rPr>
            </w:pPr>
            <w:r>
              <w:rPr>
                <w:rFonts w:hint="eastAsia" w:ascii="宋体" w:hAnsi="宋体" w:cs="宋体"/>
                <w:szCs w:val="21"/>
              </w:rPr>
              <w:t>备注：</w:t>
            </w:r>
          </w:p>
        </w:tc>
      </w:tr>
    </w:tbl>
    <w:p w14:paraId="20596E5B">
      <w:pPr>
        <w:adjustRightInd w:val="0"/>
        <w:snapToGrid w:val="0"/>
        <w:spacing w:line="440" w:lineRule="exact"/>
        <w:rPr>
          <w:rFonts w:ascii="宋体" w:hAnsi="宋体" w:cs="宋体"/>
          <w:szCs w:val="21"/>
        </w:rPr>
      </w:pPr>
      <w:r>
        <w:rPr>
          <w:rFonts w:hint="eastAsia" w:ascii="宋体" w:hAnsi="宋体" w:cs="宋体"/>
          <w:szCs w:val="21"/>
        </w:rPr>
        <w:t>注：</w:t>
      </w:r>
    </w:p>
    <w:p w14:paraId="21EB6F61">
      <w:pPr>
        <w:pStyle w:val="190"/>
        <w:ind w:left="735" w:leftChars="200" w:hanging="315" w:hangingChars="150"/>
        <w:rPr>
          <w:rFonts w:ascii="宋体" w:hAnsi="宋体" w:cs="宋体"/>
          <w:sz w:val="21"/>
        </w:rPr>
      </w:pPr>
      <w:r>
        <w:rPr>
          <w:rFonts w:hint="eastAsia" w:ascii="宋体" w:hAnsi="宋体" w:cs="宋体"/>
          <w:sz w:val="21"/>
        </w:rPr>
        <w:t>1．控股股东/投资人是指出资比例在50%以上，或者出资比例不足50%，但享有公司股东会/董事会控制权的投资方（含单位或者个人）；</w:t>
      </w:r>
    </w:p>
    <w:p w14:paraId="601C994E">
      <w:pPr>
        <w:pStyle w:val="190"/>
        <w:ind w:left="735" w:leftChars="200" w:hanging="315" w:hangingChars="150"/>
        <w:rPr>
          <w:rFonts w:ascii="宋体" w:hAnsi="宋体" w:cs="宋体"/>
          <w:sz w:val="21"/>
        </w:rPr>
      </w:pPr>
      <w:r>
        <w:rPr>
          <w:rFonts w:hint="eastAsia" w:ascii="宋体" w:hAnsi="宋体" w:cs="宋体"/>
          <w:sz w:val="21"/>
        </w:rPr>
        <w:t>2．</w:t>
      </w:r>
      <w:r>
        <w:rPr>
          <w:rFonts w:hint="eastAsia" w:ascii="宋体" w:hAnsi="宋体" w:cs="宋体"/>
          <w:spacing w:val="4"/>
          <w:sz w:val="21"/>
        </w:rPr>
        <w:t xml:space="preserve">管理关系单位是指与不具有出资持股关系的其他单位之间存在管理与被管理关系的单位； </w:t>
      </w:r>
    </w:p>
    <w:p w14:paraId="44322099">
      <w:pPr>
        <w:pStyle w:val="190"/>
        <w:ind w:left="735" w:leftChars="200" w:hanging="315" w:hangingChars="150"/>
        <w:rPr>
          <w:rFonts w:ascii="宋体" w:hAnsi="宋体" w:cs="宋体"/>
          <w:sz w:val="21"/>
        </w:rPr>
      </w:pPr>
      <w:r>
        <w:rPr>
          <w:rFonts w:hint="eastAsia" w:ascii="宋体" w:hAnsi="宋体" w:cs="宋体"/>
          <w:sz w:val="21"/>
        </w:rPr>
        <w:t>3．如未有相关情况，请在相应栏填写“无”。</w:t>
      </w:r>
    </w:p>
    <w:p w14:paraId="52197090">
      <w:pPr>
        <w:pStyle w:val="190"/>
        <w:ind w:left="735" w:leftChars="200" w:hanging="315" w:hangingChars="150"/>
        <w:rPr>
          <w:rFonts w:ascii="宋体" w:hAnsi="宋体" w:cs="宋体"/>
          <w:sz w:val="21"/>
        </w:rPr>
      </w:pPr>
    </w:p>
    <w:p w14:paraId="35001C21">
      <w:pPr>
        <w:pStyle w:val="190"/>
        <w:ind w:left="735" w:leftChars="200" w:hanging="315" w:hangingChars="150"/>
        <w:rPr>
          <w:rFonts w:ascii="宋体" w:hAnsi="宋体" w:cs="宋体"/>
          <w:sz w:val="21"/>
        </w:rPr>
      </w:pPr>
      <w:r>
        <w:rPr>
          <w:rFonts w:hint="eastAsia" w:ascii="宋体" w:hAnsi="宋体" w:cs="宋体"/>
          <w:sz w:val="21"/>
        </w:rPr>
        <w:t>特此声明。</w:t>
      </w:r>
    </w:p>
    <w:p w14:paraId="6043F354">
      <w:pPr>
        <w:pStyle w:val="190"/>
        <w:ind w:left="735" w:leftChars="200" w:hanging="315" w:hangingChars="150"/>
        <w:rPr>
          <w:rFonts w:ascii="宋体" w:hAnsi="宋体" w:cs="宋体"/>
          <w:sz w:val="21"/>
        </w:rPr>
      </w:pPr>
      <w:r>
        <w:rPr>
          <w:rFonts w:hint="eastAsia" w:ascii="宋体" w:hAnsi="宋体" w:cs="宋体"/>
          <w:sz w:val="21"/>
        </w:rPr>
        <w:t>本公司对上述声明的真实性负责。如有虚假，将依法承担相应责任。</w:t>
      </w:r>
    </w:p>
    <w:p w14:paraId="29DAD973">
      <w:pPr>
        <w:spacing w:line="360" w:lineRule="auto"/>
        <w:rPr>
          <w:rFonts w:ascii="宋体" w:hAnsi="宋体"/>
          <w:b/>
          <w:sz w:val="24"/>
        </w:rPr>
      </w:pPr>
    </w:p>
    <w:p w14:paraId="4BD4D4E3">
      <w:pPr>
        <w:spacing w:line="360" w:lineRule="auto"/>
        <w:jc w:val="left"/>
        <w:rPr>
          <w:rFonts w:ascii="宋体" w:hAnsi="宋体"/>
          <w:szCs w:val="21"/>
        </w:rPr>
      </w:pPr>
      <w:r>
        <w:rPr>
          <w:rFonts w:hint="eastAsia" w:ascii="宋体" w:hAnsi="宋体"/>
          <w:szCs w:val="21"/>
        </w:rPr>
        <w:t>投标人代表签字：______________</w:t>
      </w:r>
    </w:p>
    <w:p w14:paraId="3EF7E693">
      <w:pPr>
        <w:spacing w:line="360" w:lineRule="auto"/>
        <w:jc w:val="left"/>
        <w:rPr>
          <w:rFonts w:ascii="宋体" w:hAnsi="宋体"/>
          <w:szCs w:val="21"/>
        </w:rPr>
      </w:pPr>
      <w:r>
        <w:rPr>
          <w:rFonts w:hint="eastAsia" w:ascii="宋体" w:hAnsi="宋体"/>
          <w:szCs w:val="21"/>
        </w:rPr>
        <w:t>日期：___________________</w:t>
      </w:r>
    </w:p>
    <w:p w14:paraId="475574A3">
      <w:pPr>
        <w:spacing w:line="360" w:lineRule="auto"/>
        <w:jc w:val="left"/>
        <w:rPr>
          <w:rFonts w:ascii="宋体" w:hAnsi="宋体"/>
          <w:szCs w:val="21"/>
        </w:rPr>
      </w:pPr>
      <w:r>
        <w:rPr>
          <w:rFonts w:hint="eastAsia" w:ascii="宋体" w:hAnsi="宋体"/>
          <w:szCs w:val="21"/>
        </w:rPr>
        <w:t>投标人名称：______________________</w:t>
      </w:r>
    </w:p>
    <w:p w14:paraId="346865E3">
      <w:pPr>
        <w:spacing w:line="360" w:lineRule="auto"/>
        <w:jc w:val="left"/>
        <w:rPr>
          <w:rFonts w:ascii="宋体" w:hAnsi="宋体"/>
          <w:sz w:val="24"/>
          <w:szCs w:val="24"/>
        </w:rPr>
      </w:pPr>
      <w:r>
        <w:rPr>
          <w:rFonts w:hint="eastAsia" w:ascii="宋体" w:hAnsi="宋体"/>
          <w:szCs w:val="21"/>
        </w:rPr>
        <w:t>公章：______________________</w:t>
      </w:r>
      <w:r>
        <w:rPr>
          <w:rFonts w:hint="eastAsia" w:ascii="宋体" w:hAnsi="宋体"/>
          <w:sz w:val="24"/>
          <w:szCs w:val="24"/>
        </w:rPr>
        <w:t xml:space="preserve">     </w:t>
      </w:r>
    </w:p>
    <w:p w14:paraId="241972AF">
      <w:pPr>
        <w:pStyle w:val="4"/>
        <w:rPr>
          <w:rFonts w:ascii="宋体" w:hAnsi="宋体"/>
          <w:sz w:val="28"/>
        </w:rPr>
      </w:pPr>
      <w:r>
        <w:rPr>
          <w:rFonts w:ascii="宋体" w:hAnsi="宋体"/>
          <w:sz w:val="24"/>
          <w:szCs w:val="24"/>
        </w:rPr>
        <w:br w:type="page"/>
      </w:r>
      <w:bookmarkStart w:id="50" w:name="_Toc11173"/>
      <w:bookmarkStart w:id="51" w:name="_Toc107416072"/>
      <w:bookmarkStart w:id="52" w:name="_Toc109920772"/>
      <w:r>
        <w:rPr>
          <w:rFonts w:hint="eastAsia" w:ascii="宋体" w:hAnsi="宋体"/>
          <w:sz w:val="28"/>
        </w:rPr>
        <w:t>附件6：售后服务承诺书（格式）</w:t>
      </w:r>
      <w:bookmarkEnd w:id="50"/>
      <w:bookmarkEnd w:id="51"/>
      <w:bookmarkEnd w:id="52"/>
    </w:p>
    <w:p w14:paraId="7F516668">
      <w:pPr>
        <w:spacing w:line="360" w:lineRule="auto"/>
        <w:rPr>
          <w:rFonts w:ascii="宋体" w:hAnsi="宋体" w:cs="黑体"/>
          <w:b/>
          <w:spacing w:val="8"/>
          <w:kern w:val="0"/>
          <w:sz w:val="24"/>
        </w:rPr>
      </w:pPr>
    </w:p>
    <w:p w14:paraId="70D2A4E1">
      <w:pPr>
        <w:numPr>
          <w:ilvl w:val="0"/>
          <w:numId w:val="5"/>
        </w:numPr>
        <w:spacing w:line="360" w:lineRule="auto"/>
        <w:rPr>
          <w:rFonts w:ascii="宋体" w:hAnsi="宋体"/>
          <w:color w:val="000000"/>
          <w:sz w:val="24"/>
        </w:rPr>
      </w:pPr>
      <w:r>
        <w:rPr>
          <w:rFonts w:hint="eastAsia" w:ascii="宋体" w:hAnsi="宋体"/>
          <w:color w:val="000000"/>
          <w:sz w:val="24"/>
        </w:rPr>
        <w:t>售后服务机构：</w:t>
      </w:r>
    </w:p>
    <w:p w14:paraId="5C0C4ABE">
      <w:pPr>
        <w:spacing w:line="360" w:lineRule="auto"/>
        <w:ind w:left="420"/>
        <w:rPr>
          <w:rFonts w:ascii="宋体" w:hAnsi="宋体"/>
          <w:color w:val="000000"/>
          <w:sz w:val="24"/>
        </w:rPr>
      </w:pPr>
      <w:r>
        <w:rPr>
          <w:rFonts w:hint="eastAsia" w:ascii="宋体" w:hAnsi="宋体"/>
          <w:color w:val="000000"/>
          <w:sz w:val="24"/>
        </w:rPr>
        <w:t>名称：        地址：          联系方式：</w:t>
      </w:r>
    </w:p>
    <w:p w14:paraId="5E9C305D">
      <w:pPr>
        <w:numPr>
          <w:ilvl w:val="0"/>
          <w:numId w:val="5"/>
        </w:numPr>
        <w:spacing w:line="360" w:lineRule="auto"/>
        <w:rPr>
          <w:rFonts w:ascii="宋体" w:hAnsi="宋体"/>
          <w:color w:val="000000"/>
          <w:sz w:val="24"/>
        </w:rPr>
      </w:pPr>
      <w:r>
        <w:rPr>
          <w:rFonts w:hint="eastAsia" w:ascii="宋体" w:hAnsi="宋体"/>
          <w:color w:val="000000"/>
          <w:sz w:val="24"/>
        </w:rPr>
        <w:t>售后服务管理体系：</w:t>
      </w:r>
    </w:p>
    <w:p w14:paraId="28F85BB8">
      <w:pPr>
        <w:numPr>
          <w:ilvl w:val="0"/>
          <w:numId w:val="5"/>
        </w:numPr>
        <w:spacing w:line="360" w:lineRule="auto"/>
        <w:rPr>
          <w:rFonts w:ascii="宋体" w:hAnsi="宋体"/>
          <w:color w:val="000000"/>
          <w:sz w:val="24"/>
        </w:rPr>
      </w:pPr>
      <w:r>
        <w:rPr>
          <w:rFonts w:hint="eastAsia" w:ascii="宋体" w:hAnsi="宋体"/>
          <w:color w:val="000000"/>
          <w:sz w:val="24"/>
        </w:rPr>
        <w:t>维修工程师队伍：</w:t>
      </w:r>
    </w:p>
    <w:p w14:paraId="5AE365F4">
      <w:pPr>
        <w:numPr>
          <w:ilvl w:val="0"/>
          <w:numId w:val="5"/>
        </w:numPr>
        <w:spacing w:line="360" w:lineRule="auto"/>
        <w:rPr>
          <w:rFonts w:ascii="宋体" w:hAnsi="宋体"/>
          <w:color w:val="000000"/>
          <w:sz w:val="24"/>
        </w:rPr>
      </w:pPr>
      <w:r>
        <w:rPr>
          <w:rFonts w:hint="eastAsia" w:ascii="宋体" w:hAnsi="宋体"/>
          <w:color w:val="000000"/>
          <w:sz w:val="24"/>
        </w:rPr>
        <w:t>维修零配件仓库：</w:t>
      </w:r>
    </w:p>
    <w:p w14:paraId="60CB1FC0">
      <w:pPr>
        <w:spacing w:line="360" w:lineRule="auto"/>
        <w:ind w:left="420"/>
        <w:rPr>
          <w:rFonts w:ascii="宋体" w:hAnsi="宋体"/>
          <w:color w:val="000000"/>
          <w:sz w:val="24"/>
        </w:rPr>
      </w:pPr>
      <w:r>
        <w:rPr>
          <w:rFonts w:hint="eastAsia" w:ascii="宋体" w:hAnsi="宋体"/>
          <w:color w:val="000000"/>
          <w:sz w:val="24"/>
        </w:rPr>
        <w:t>地址：        零配件储存量：</w:t>
      </w:r>
    </w:p>
    <w:p w14:paraId="6B8DE7FB">
      <w:pPr>
        <w:numPr>
          <w:ilvl w:val="0"/>
          <w:numId w:val="5"/>
        </w:numPr>
        <w:spacing w:line="360" w:lineRule="auto"/>
        <w:rPr>
          <w:rFonts w:ascii="宋体" w:hAnsi="宋体"/>
          <w:color w:val="000000"/>
          <w:sz w:val="24"/>
        </w:rPr>
      </w:pPr>
      <w:r>
        <w:rPr>
          <w:rFonts w:hint="eastAsia" w:ascii="宋体" w:hAnsi="宋体"/>
          <w:color w:val="000000"/>
          <w:sz w:val="24"/>
        </w:rPr>
        <w:t>接到医院通知后，故障报修的响应时间</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hint="eastAsia" w:ascii="宋体" w:hAnsi="宋体"/>
          <w:color w:val="000000"/>
          <w:sz w:val="24"/>
        </w:rPr>
        <w:t>_,工程师到场时间_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w:t>
      </w:r>
      <w:r>
        <w:rPr>
          <w:rFonts w:hint="eastAsia" w:ascii="宋体" w:hAnsi="宋体"/>
          <w:color w:val="000000"/>
          <w:sz w:val="24"/>
        </w:rPr>
        <w:t>,排除故障时间</w:t>
      </w:r>
      <w:r>
        <w:rPr>
          <w:rFonts w:hint="eastAsia" w:ascii="宋体" w:hAnsi="宋体"/>
          <w:color w:val="000000"/>
          <w:sz w:val="24"/>
          <w:u w:val="single"/>
        </w:rPr>
        <w:t>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rPr>
        <w:t>___,不能及时修复的补救措施_</w:t>
      </w:r>
      <w:r>
        <w:rPr>
          <w:rFonts w:hint="eastAsia" w:ascii="宋体" w:hAnsi="宋体"/>
          <w:color w:val="000000"/>
          <w:sz w:val="24"/>
          <w:u w:val="single"/>
        </w:rPr>
        <w:t xml:space="preserve"> </w:t>
      </w:r>
      <w:r>
        <w:rPr>
          <w:rFonts w:hint="eastAsia" w:ascii="宋体" w:hAnsi="宋体"/>
          <w:color w:val="000000"/>
          <w:sz w:val="24"/>
        </w:rPr>
        <w:t>__</w:t>
      </w:r>
      <w:r>
        <w:rPr>
          <w:rFonts w:ascii="宋体" w:hAnsi="宋体"/>
          <w:color w:val="000000"/>
          <w:sz w:val="24"/>
          <w:u w:val="single"/>
        </w:rPr>
        <w:t xml:space="preserve">      </w:t>
      </w:r>
      <w:r>
        <w:rPr>
          <w:rFonts w:hint="eastAsia" w:ascii="宋体" w:hAnsi="宋体"/>
          <w:color w:val="000000"/>
          <w:sz w:val="24"/>
          <w:u w:val="single"/>
        </w:rPr>
        <w:t>__</w:t>
      </w:r>
      <w:r>
        <w:rPr>
          <w:rFonts w:hint="eastAsia" w:ascii="宋体" w:hAnsi="宋体"/>
          <w:color w:val="000000"/>
          <w:sz w:val="24"/>
        </w:rPr>
        <w:t>__。</w:t>
      </w:r>
    </w:p>
    <w:p w14:paraId="3E098337">
      <w:pPr>
        <w:numPr>
          <w:ilvl w:val="0"/>
          <w:numId w:val="5"/>
        </w:numPr>
        <w:spacing w:line="360" w:lineRule="auto"/>
        <w:rPr>
          <w:rFonts w:ascii="宋体" w:hAnsi="宋体"/>
          <w:color w:val="000000"/>
          <w:sz w:val="24"/>
        </w:rPr>
      </w:pPr>
      <w:r>
        <w:rPr>
          <w:rFonts w:hint="eastAsia" w:ascii="宋体" w:hAnsi="宋体"/>
          <w:color w:val="000000"/>
          <w:sz w:val="24"/>
        </w:rPr>
        <w:t>原厂保修时间_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w:t>
      </w:r>
      <w:r>
        <w:rPr>
          <w:rFonts w:hint="eastAsia" w:ascii="宋体" w:hAnsi="宋体"/>
          <w:color w:val="000000"/>
          <w:sz w:val="24"/>
        </w:rPr>
        <w:t>___,保修期内一切费用全免,终身维修。在保修期内应提供每年</w:t>
      </w:r>
      <w:r>
        <w:rPr>
          <w:rFonts w:ascii="宋体" w:hAnsi="宋体"/>
          <w:color w:val="000000"/>
          <w:sz w:val="24"/>
          <w:u w:val="single"/>
        </w:rPr>
        <w:t xml:space="preserve">         </w:t>
      </w:r>
      <w:r>
        <w:rPr>
          <w:rFonts w:hint="eastAsia" w:ascii="宋体" w:hAnsi="宋体"/>
          <w:color w:val="000000"/>
          <w:sz w:val="24"/>
        </w:rPr>
        <w:t>次定期预防性维护,投标人委派工程师向招标人提供定期保养报告。</w:t>
      </w:r>
    </w:p>
    <w:p w14:paraId="0DFBB8B7">
      <w:pPr>
        <w:numPr>
          <w:ilvl w:val="0"/>
          <w:numId w:val="5"/>
        </w:numPr>
        <w:spacing w:line="360" w:lineRule="auto"/>
        <w:rPr>
          <w:rFonts w:ascii="宋体" w:hAnsi="宋体"/>
          <w:color w:val="000000"/>
          <w:sz w:val="24"/>
        </w:rPr>
      </w:pPr>
      <w:r>
        <w:rPr>
          <w:rFonts w:hint="eastAsia" w:ascii="宋体" w:hAnsi="宋体"/>
          <w:color w:val="000000"/>
          <w:sz w:val="24"/>
        </w:rPr>
        <w:t>出保修期后的有偿服务：人工费全免，差旅费全免，零配件费用按照</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w:t>
      </w:r>
      <w:r>
        <w:rPr>
          <w:rFonts w:hint="eastAsia" w:ascii="宋体" w:hAnsi="宋体"/>
          <w:color w:val="000000"/>
          <w:sz w:val="24"/>
        </w:rPr>
        <w:t>_进行收取。保修期满后，招标人有权与原厂</w:t>
      </w:r>
      <w:r>
        <w:rPr>
          <w:rFonts w:ascii="宋体" w:hAnsi="宋体"/>
          <w:color w:val="000000"/>
          <w:sz w:val="24"/>
        </w:rPr>
        <w:t>或原厂授权第三方</w:t>
      </w:r>
      <w:r>
        <w:rPr>
          <w:rFonts w:hint="eastAsia" w:ascii="宋体" w:hAnsi="宋体"/>
          <w:color w:val="000000"/>
          <w:sz w:val="24"/>
        </w:rPr>
        <w:t>另行签订保修协议，但投标人承诺保修期满后，原厂</w:t>
      </w:r>
      <w:r>
        <w:rPr>
          <w:rFonts w:ascii="宋体" w:hAnsi="宋体"/>
          <w:color w:val="000000"/>
          <w:sz w:val="24"/>
        </w:rPr>
        <w:t>或原厂授权第三方</w:t>
      </w:r>
      <w:r>
        <w:rPr>
          <w:rFonts w:hint="eastAsia" w:ascii="宋体" w:hAnsi="宋体"/>
          <w:color w:val="000000"/>
          <w:sz w:val="24"/>
        </w:rPr>
        <w:t>为招标人提供的保修人工费、差旅费等总维修费用为单次故障不高于_</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_</w:t>
      </w:r>
      <w:r>
        <w:rPr>
          <w:rFonts w:hint="eastAsia" w:ascii="宋体" w:hAnsi="宋体"/>
          <w:color w:val="000000"/>
          <w:sz w:val="24"/>
        </w:rPr>
        <w:t>__元，年度保修合同（全保）价不高于合同器械总价的</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%，年度定期预防性维护保养次数，不少于</w:t>
      </w:r>
      <w:r>
        <w:rPr>
          <w:rFonts w:ascii="宋体" w:hAnsi="宋体"/>
          <w:color w:val="000000"/>
          <w:sz w:val="24"/>
          <w:u w:val="single"/>
        </w:rPr>
        <w:t xml:space="preserve">       </w:t>
      </w:r>
      <w:r>
        <w:rPr>
          <w:rFonts w:hint="eastAsia" w:ascii="宋体" w:hAnsi="宋体"/>
          <w:color w:val="000000"/>
          <w:sz w:val="24"/>
          <w:u w:val="single"/>
        </w:rPr>
        <w:t>_</w:t>
      </w:r>
      <w:r>
        <w:rPr>
          <w:rFonts w:hint="eastAsia" w:ascii="宋体" w:hAnsi="宋体"/>
          <w:color w:val="000000"/>
          <w:sz w:val="24"/>
        </w:rPr>
        <w:t>次。如原厂</w:t>
      </w:r>
      <w:r>
        <w:rPr>
          <w:rFonts w:ascii="宋体" w:hAnsi="宋体"/>
          <w:color w:val="000000"/>
          <w:sz w:val="24"/>
        </w:rPr>
        <w:t>或原厂授权第三方不能</w:t>
      </w:r>
      <w:r>
        <w:rPr>
          <w:rFonts w:hint="eastAsia" w:ascii="宋体" w:hAnsi="宋体"/>
          <w:color w:val="000000"/>
          <w:sz w:val="24"/>
        </w:rPr>
        <w:t>履行</w:t>
      </w:r>
      <w:r>
        <w:rPr>
          <w:rFonts w:ascii="宋体" w:hAnsi="宋体"/>
          <w:color w:val="000000"/>
          <w:sz w:val="24"/>
        </w:rPr>
        <w:t>以上承诺，</w:t>
      </w:r>
      <w:r>
        <w:rPr>
          <w:rFonts w:hint="eastAsia" w:ascii="宋体" w:hAnsi="宋体"/>
          <w:color w:val="000000"/>
          <w:sz w:val="24"/>
        </w:rPr>
        <w:t>投标人并负责因此而产生的一切直接损失和</w:t>
      </w:r>
      <w:r>
        <w:rPr>
          <w:rFonts w:ascii="宋体" w:hAnsi="宋体"/>
          <w:color w:val="000000"/>
          <w:sz w:val="24"/>
        </w:rPr>
        <w:t>费用</w:t>
      </w:r>
      <w:r>
        <w:rPr>
          <w:rFonts w:hint="eastAsia" w:ascii="宋体" w:hAnsi="宋体"/>
          <w:color w:val="000000"/>
          <w:sz w:val="24"/>
        </w:rPr>
        <w:t>。</w:t>
      </w:r>
    </w:p>
    <w:p w14:paraId="0CE9EEE5">
      <w:pPr>
        <w:spacing w:line="360" w:lineRule="auto"/>
        <w:jc w:val="center"/>
        <w:rPr>
          <w:rFonts w:ascii="宋体" w:hAnsi="宋体"/>
          <w:color w:val="000000"/>
          <w:sz w:val="24"/>
        </w:rPr>
      </w:pPr>
      <w:bookmarkStart w:id="53" w:name="_Toc5552"/>
      <w:r>
        <w:rPr>
          <w:rFonts w:hint="eastAsia" w:ascii="宋体" w:hAnsi="宋体"/>
          <w:color w:val="000000"/>
          <w:sz w:val="24"/>
        </w:rPr>
        <w:t>常用零配件列表</w:t>
      </w:r>
      <w:bookmarkEnd w:id="53"/>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326"/>
        <w:gridCol w:w="2328"/>
        <w:gridCol w:w="2582"/>
      </w:tblGrid>
      <w:tr w14:paraId="293E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057E7354">
            <w:pPr>
              <w:spacing w:line="360" w:lineRule="auto"/>
              <w:rPr>
                <w:rFonts w:ascii="宋体" w:hAnsi="宋体"/>
                <w:color w:val="000000"/>
                <w:sz w:val="24"/>
              </w:rPr>
            </w:pPr>
            <w:r>
              <w:rPr>
                <w:rFonts w:hint="eastAsia" w:ascii="宋体" w:hAnsi="宋体"/>
                <w:color w:val="000000"/>
                <w:sz w:val="24"/>
              </w:rPr>
              <w:t>名称</w:t>
            </w:r>
          </w:p>
        </w:tc>
        <w:tc>
          <w:tcPr>
            <w:tcW w:w="1216" w:type="pct"/>
          </w:tcPr>
          <w:p w14:paraId="5F1B1077">
            <w:pPr>
              <w:spacing w:line="360" w:lineRule="auto"/>
              <w:rPr>
                <w:rFonts w:ascii="宋体" w:hAnsi="宋体"/>
                <w:color w:val="000000"/>
                <w:sz w:val="24"/>
              </w:rPr>
            </w:pPr>
            <w:r>
              <w:rPr>
                <w:rFonts w:hint="eastAsia" w:ascii="宋体" w:hAnsi="宋体"/>
                <w:color w:val="000000"/>
                <w:sz w:val="24"/>
              </w:rPr>
              <w:t>型号</w:t>
            </w:r>
          </w:p>
        </w:tc>
        <w:tc>
          <w:tcPr>
            <w:tcW w:w="1217" w:type="pct"/>
          </w:tcPr>
          <w:p w14:paraId="2C5392DA">
            <w:pPr>
              <w:spacing w:line="360" w:lineRule="auto"/>
              <w:rPr>
                <w:rFonts w:ascii="宋体" w:hAnsi="宋体"/>
                <w:color w:val="000000"/>
                <w:sz w:val="24"/>
              </w:rPr>
            </w:pPr>
            <w:r>
              <w:rPr>
                <w:rFonts w:hint="eastAsia" w:ascii="宋体" w:hAnsi="宋体"/>
                <w:color w:val="000000"/>
                <w:sz w:val="24"/>
              </w:rPr>
              <w:t>单价</w:t>
            </w:r>
          </w:p>
        </w:tc>
        <w:tc>
          <w:tcPr>
            <w:tcW w:w="1350" w:type="pct"/>
          </w:tcPr>
          <w:p w14:paraId="1D358512">
            <w:pPr>
              <w:spacing w:line="360" w:lineRule="auto"/>
              <w:rPr>
                <w:rFonts w:ascii="宋体" w:hAnsi="宋体"/>
                <w:color w:val="000000"/>
                <w:sz w:val="24"/>
              </w:rPr>
            </w:pPr>
            <w:r>
              <w:rPr>
                <w:rFonts w:hint="eastAsia" w:ascii="宋体" w:hAnsi="宋体"/>
                <w:color w:val="000000"/>
                <w:sz w:val="24"/>
              </w:rPr>
              <w:t>优惠价</w:t>
            </w:r>
          </w:p>
        </w:tc>
      </w:tr>
      <w:tr w14:paraId="142A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699D7C7B">
            <w:pPr>
              <w:spacing w:line="360" w:lineRule="auto"/>
              <w:rPr>
                <w:rFonts w:ascii="宋体" w:hAnsi="宋体"/>
                <w:color w:val="000000"/>
                <w:sz w:val="24"/>
              </w:rPr>
            </w:pPr>
          </w:p>
        </w:tc>
        <w:tc>
          <w:tcPr>
            <w:tcW w:w="1216" w:type="pct"/>
          </w:tcPr>
          <w:p w14:paraId="59BD63CF">
            <w:pPr>
              <w:spacing w:line="360" w:lineRule="auto"/>
              <w:rPr>
                <w:rFonts w:ascii="宋体" w:hAnsi="宋体"/>
                <w:color w:val="000000"/>
                <w:sz w:val="24"/>
              </w:rPr>
            </w:pPr>
          </w:p>
        </w:tc>
        <w:tc>
          <w:tcPr>
            <w:tcW w:w="1217" w:type="pct"/>
          </w:tcPr>
          <w:p w14:paraId="51AACFF8">
            <w:pPr>
              <w:spacing w:line="360" w:lineRule="auto"/>
              <w:rPr>
                <w:rFonts w:ascii="宋体" w:hAnsi="宋体"/>
                <w:color w:val="000000"/>
                <w:sz w:val="24"/>
              </w:rPr>
            </w:pPr>
          </w:p>
        </w:tc>
        <w:tc>
          <w:tcPr>
            <w:tcW w:w="1350" w:type="pct"/>
          </w:tcPr>
          <w:p w14:paraId="20F939C8">
            <w:pPr>
              <w:spacing w:line="360" w:lineRule="auto"/>
              <w:rPr>
                <w:rFonts w:ascii="宋体" w:hAnsi="宋体"/>
                <w:color w:val="000000"/>
                <w:sz w:val="24"/>
              </w:rPr>
            </w:pPr>
          </w:p>
        </w:tc>
      </w:tr>
      <w:tr w14:paraId="240B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3CD3D95F">
            <w:pPr>
              <w:spacing w:line="360" w:lineRule="auto"/>
              <w:rPr>
                <w:rFonts w:ascii="宋体" w:hAnsi="宋体"/>
                <w:color w:val="000000"/>
                <w:sz w:val="24"/>
              </w:rPr>
            </w:pPr>
          </w:p>
        </w:tc>
        <w:tc>
          <w:tcPr>
            <w:tcW w:w="1216" w:type="pct"/>
          </w:tcPr>
          <w:p w14:paraId="2646EDFA">
            <w:pPr>
              <w:spacing w:line="360" w:lineRule="auto"/>
              <w:rPr>
                <w:rFonts w:ascii="宋体" w:hAnsi="宋体"/>
                <w:color w:val="000000"/>
                <w:sz w:val="24"/>
              </w:rPr>
            </w:pPr>
          </w:p>
        </w:tc>
        <w:tc>
          <w:tcPr>
            <w:tcW w:w="1217" w:type="pct"/>
          </w:tcPr>
          <w:p w14:paraId="0A2448D8">
            <w:pPr>
              <w:spacing w:line="360" w:lineRule="auto"/>
              <w:rPr>
                <w:rFonts w:ascii="宋体" w:hAnsi="宋体"/>
                <w:color w:val="000000"/>
                <w:sz w:val="24"/>
              </w:rPr>
            </w:pPr>
          </w:p>
        </w:tc>
        <w:tc>
          <w:tcPr>
            <w:tcW w:w="1350" w:type="pct"/>
          </w:tcPr>
          <w:p w14:paraId="2D0B42B6">
            <w:pPr>
              <w:spacing w:line="360" w:lineRule="auto"/>
              <w:rPr>
                <w:rFonts w:ascii="宋体" w:hAnsi="宋体"/>
                <w:color w:val="000000"/>
                <w:sz w:val="24"/>
              </w:rPr>
            </w:pPr>
          </w:p>
        </w:tc>
      </w:tr>
      <w:tr w14:paraId="6436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59291B17">
            <w:pPr>
              <w:spacing w:line="360" w:lineRule="auto"/>
              <w:rPr>
                <w:rFonts w:ascii="宋体" w:hAnsi="宋体"/>
                <w:color w:val="000000"/>
                <w:sz w:val="24"/>
              </w:rPr>
            </w:pPr>
          </w:p>
        </w:tc>
        <w:tc>
          <w:tcPr>
            <w:tcW w:w="1216" w:type="pct"/>
          </w:tcPr>
          <w:p w14:paraId="1901150E">
            <w:pPr>
              <w:spacing w:line="360" w:lineRule="auto"/>
              <w:rPr>
                <w:rFonts w:ascii="宋体" w:hAnsi="宋体"/>
                <w:color w:val="000000"/>
                <w:sz w:val="24"/>
              </w:rPr>
            </w:pPr>
          </w:p>
        </w:tc>
        <w:tc>
          <w:tcPr>
            <w:tcW w:w="1217" w:type="pct"/>
          </w:tcPr>
          <w:p w14:paraId="59916970">
            <w:pPr>
              <w:spacing w:line="360" w:lineRule="auto"/>
              <w:rPr>
                <w:rFonts w:ascii="宋体" w:hAnsi="宋体"/>
                <w:color w:val="000000"/>
                <w:sz w:val="24"/>
              </w:rPr>
            </w:pPr>
          </w:p>
        </w:tc>
        <w:tc>
          <w:tcPr>
            <w:tcW w:w="1350" w:type="pct"/>
          </w:tcPr>
          <w:p w14:paraId="3A86E619">
            <w:pPr>
              <w:spacing w:line="360" w:lineRule="auto"/>
              <w:rPr>
                <w:rFonts w:ascii="宋体" w:hAnsi="宋体"/>
                <w:color w:val="000000"/>
                <w:sz w:val="24"/>
              </w:rPr>
            </w:pPr>
          </w:p>
        </w:tc>
      </w:tr>
      <w:tr w14:paraId="4B4F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16" w:type="pct"/>
          </w:tcPr>
          <w:p w14:paraId="0BE7A444">
            <w:pPr>
              <w:spacing w:line="360" w:lineRule="auto"/>
              <w:rPr>
                <w:rFonts w:ascii="宋体" w:hAnsi="宋体"/>
                <w:color w:val="000000"/>
                <w:sz w:val="24"/>
              </w:rPr>
            </w:pPr>
          </w:p>
        </w:tc>
        <w:tc>
          <w:tcPr>
            <w:tcW w:w="1216" w:type="pct"/>
          </w:tcPr>
          <w:p w14:paraId="50956BF7">
            <w:pPr>
              <w:spacing w:line="360" w:lineRule="auto"/>
              <w:rPr>
                <w:rFonts w:ascii="宋体" w:hAnsi="宋体"/>
                <w:color w:val="000000"/>
                <w:sz w:val="24"/>
              </w:rPr>
            </w:pPr>
          </w:p>
        </w:tc>
        <w:tc>
          <w:tcPr>
            <w:tcW w:w="1217" w:type="pct"/>
          </w:tcPr>
          <w:p w14:paraId="0F5BC377">
            <w:pPr>
              <w:spacing w:line="360" w:lineRule="auto"/>
              <w:rPr>
                <w:rFonts w:ascii="宋体" w:hAnsi="宋体"/>
                <w:color w:val="000000"/>
                <w:sz w:val="24"/>
              </w:rPr>
            </w:pPr>
          </w:p>
        </w:tc>
        <w:tc>
          <w:tcPr>
            <w:tcW w:w="1350" w:type="pct"/>
          </w:tcPr>
          <w:p w14:paraId="4E6672D0">
            <w:pPr>
              <w:spacing w:line="360" w:lineRule="auto"/>
              <w:rPr>
                <w:rFonts w:ascii="宋体" w:hAnsi="宋体"/>
                <w:color w:val="000000"/>
                <w:sz w:val="24"/>
              </w:rPr>
            </w:pPr>
          </w:p>
        </w:tc>
      </w:tr>
      <w:tr w14:paraId="1049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420CCD1B">
            <w:pPr>
              <w:spacing w:line="360" w:lineRule="auto"/>
              <w:rPr>
                <w:rFonts w:ascii="宋体" w:hAnsi="宋体"/>
                <w:color w:val="000000"/>
                <w:sz w:val="24"/>
              </w:rPr>
            </w:pPr>
          </w:p>
        </w:tc>
        <w:tc>
          <w:tcPr>
            <w:tcW w:w="1216" w:type="pct"/>
          </w:tcPr>
          <w:p w14:paraId="002565D8">
            <w:pPr>
              <w:spacing w:line="360" w:lineRule="auto"/>
              <w:rPr>
                <w:rFonts w:ascii="宋体" w:hAnsi="宋体"/>
                <w:color w:val="000000"/>
                <w:sz w:val="24"/>
              </w:rPr>
            </w:pPr>
          </w:p>
        </w:tc>
        <w:tc>
          <w:tcPr>
            <w:tcW w:w="1217" w:type="pct"/>
          </w:tcPr>
          <w:p w14:paraId="35C0CB90">
            <w:pPr>
              <w:spacing w:line="360" w:lineRule="auto"/>
              <w:rPr>
                <w:rFonts w:ascii="宋体" w:hAnsi="宋体"/>
                <w:color w:val="000000"/>
                <w:sz w:val="24"/>
              </w:rPr>
            </w:pPr>
          </w:p>
        </w:tc>
        <w:tc>
          <w:tcPr>
            <w:tcW w:w="1350" w:type="pct"/>
          </w:tcPr>
          <w:p w14:paraId="404E20B7">
            <w:pPr>
              <w:spacing w:line="360" w:lineRule="auto"/>
              <w:rPr>
                <w:rFonts w:ascii="宋体" w:hAnsi="宋体"/>
                <w:color w:val="000000"/>
                <w:sz w:val="24"/>
              </w:rPr>
            </w:pPr>
          </w:p>
        </w:tc>
      </w:tr>
    </w:tbl>
    <w:p w14:paraId="7E2408D0">
      <w:pPr>
        <w:numPr>
          <w:ilvl w:val="0"/>
          <w:numId w:val="5"/>
        </w:numPr>
        <w:spacing w:line="360" w:lineRule="auto"/>
        <w:rPr>
          <w:rFonts w:ascii="宋体" w:hAnsi="宋体"/>
          <w:color w:val="000000"/>
          <w:sz w:val="24"/>
        </w:rPr>
      </w:pPr>
      <w:r>
        <w:rPr>
          <w:rFonts w:hint="eastAsia" w:ascii="宋体" w:hAnsi="宋体"/>
          <w:color w:val="000000"/>
          <w:sz w:val="24"/>
        </w:rPr>
        <w:t>消耗品费用打折：</w:t>
      </w:r>
    </w:p>
    <w:p w14:paraId="4772FEB6">
      <w:pPr>
        <w:spacing w:line="360" w:lineRule="auto"/>
        <w:jc w:val="center"/>
        <w:rPr>
          <w:rFonts w:ascii="宋体" w:hAnsi="宋体"/>
          <w:color w:val="000000"/>
          <w:sz w:val="24"/>
        </w:rPr>
      </w:pPr>
      <w:bookmarkStart w:id="54" w:name="_Toc21871"/>
      <w:r>
        <w:rPr>
          <w:rFonts w:hint="eastAsia" w:ascii="宋体" w:hAnsi="宋体"/>
          <w:color w:val="000000"/>
          <w:sz w:val="24"/>
        </w:rPr>
        <w:t>常用消耗品列表</w:t>
      </w:r>
      <w:bookmarkEnd w:id="54"/>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326"/>
        <w:gridCol w:w="2328"/>
        <w:gridCol w:w="2582"/>
      </w:tblGrid>
      <w:tr w14:paraId="4DA6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21A25C5E">
            <w:pPr>
              <w:spacing w:line="360" w:lineRule="auto"/>
              <w:rPr>
                <w:rFonts w:ascii="宋体" w:hAnsi="宋体"/>
                <w:color w:val="000000"/>
                <w:sz w:val="24"/>
              </w:rPr>
            </w:pPr>
            <w:r>
              <w:rPr>
                <w:rFonts w:hint="eastAsia" w:ascii="宋体" w:hAnsi="宋体"/>
                <w:color w:val="000000"/>
                <w:sz w:val="24"/>
              </w:rPr>
              <w:t>名称</w:t>
            </w:r>
          </w:p>
        </w:tc>
        <w:tc>
          <w:tcPr>
            <w:tcW w:w="1216" w:type="pct"/>
          </w:tcPr>
          <w:p w14:paraId="6CBE4A3A">
            <w:pPr>
              <w:spacing w:line="360" w:lineRule="auto"/>
              <w:rPr>
                <w:rFonts w:ascii="宋体" w:hAnsi="宋体"/>
                <w:color w:val="000000"/>
                <w:sz w:val="24"/>
              </w:rPr>
            </w:pPr>
            <w:r>
              <w:rPr>
                <w:rFonts w:hint="eastAsia" w:ascii="宋体" w:hAnsi="宋体"/>
                <w:color w:val="000000"/>
                <w:sz w:val="24"/>
              </w:rPr>
              <w:t>型号</w:t>
            </w:r>
          </w:p>
        </w:tc>
        <w:tc>
          <w:tcPr>
            <w:tcW w:w="1217" w:type="pct"/>
          </w:tcPr>
          <w:p w14:paraId="5B32893B">
            <w:pPr>
              <w:spacing w:line="360" w:lineRule="auto"/>
              <w:rPr>
                <w:rFonts w:ascii="宋体" w:hAnsi="宋体"/>
                <w:color w:val="000000"/>
                <w:sz w:val="24"/>
              </w:rPr>
            </w:pPr>
            <w:r>
              <w:rPr>
                <w:rFonts w:hint="eastAsia" w:ascii="宋体" w:hAnsi="宋体"/>
                <w:color w:val="000000"/>
                <w:sz w:val="24"/>
              </w:rPr>
              <w:t>单价</w:t>
            </w:r>
          </w:p>
        </w:tc>
        <w:tc>
          <w:tcPr>
            <w:tcW w:w="1350" w:type="pct"/>
          </w:tcPr>
          <w:p w14:paraId="3CC78782">
            <w:pPr>
              <w:spacing w:line="360" w:lineRule="auto"/>
              <w:rPr>
                <w:rFonts w:ascii="宋体" w:hAnsi="宋体"/>
                <w:color w:val="000000"/>
                <w:sz w:val="24"/>
              </w:rPr>
            </w:pPr>
            <w:r>
              <w:rPr>
                <w:rFonts w:hint="eastAsia" w:ascii="宋体" w:hAnsi="宋体"/>
                <w:color w:val="000000"/>
                <w:sz w:val="24"/>
              </w:rPr>
              <w:t>优惠价</w:t>
            </w:r>
          </w:p>
        </w:tc>
      </w:tr>
      <w:tr w14:paraId="7C90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003F3AB1">
            <w:pPr>
              <w:spacing w:line="360" w:lineRule="auto"/>
              <w:rPr>
                <w:rFonts w:ascii="宋体" w:hAnsi="宋体"/>
                <w:color w:val="000000"/>
                <w:sz w:val="24"/>
              </w:rPr>
            </w:pPr>
          </w:p>
        </w:tc>
        <w:tc>
          <w:tcPr>
            <w:tcW w:w="1216" w:type="pct"/>
          </w:tcPr>
          <w:p w14:paraId="14BB499B">
            <w:pPr>
              <w:spacing w:line="360" w:lineRule="auto"/>
              <w:rPr>
                <w:rFonts w:ascii="宋体" w:hAnsi="宋体"/>
                <w:color w:val="000000"/>
                <w:sz w:val="24"/>
              </w:rPr>
            </w:pPr>
          </w:p>
        </w:tc>
        <w:tc>
          <w:tcPr>
            <w:tcW w:w="1217" w:type="pct"/>
          </w:tcPr>
          <w:p w14:paraId="700386B7">
            <w:pPr>
              <w:spacing w:line="360" w:lineRule="auto"/>
              <w:rPr>
                <w:rFonts w:ascii="宋体" w:hAnsi="宋体"/>
                <w:color w:val="000000"/>
                <w:sz w:val="24"/>
              </w:rPr>
            </w:pPr>
          </w:p>
        </w:tc>
        <w:tc>
          <w:tcPr>
            <w:tcW w:w="1350" w:type="pct"/>
          </w:tcPr>
          <w:p w14:paraId="525406A8">
            <w:pPr>
              <w:spacing w:line="360" w:lineRule="auto"/>
              <w:rPr>
                <w:rFonts w:ascii="宋体" w:hAnsi="宋体"/>
                <w:color w:val="000000"/>
                <w:sz w:val="24"/>
              </w:rPr>
            </w:pPr>
          </w:p>
        </w:tc>
      </w:tr>
      <w:tr w14:paraId="79B9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46233FD6">
            <w:pPr>
              <w:spacing w:line="360" w:lineRule="auto"/>
              <w:rPr>
                <w:rFonts w:ascii="宋体" w:hAnsi="宋体"/>
                <w:color w:val="000000"/>
                <w:sz w:val="24"/>
              </w:rPr>
            </w:pPr>
          </w:p>
        </w:tc>
        <w:tc>
          <w:tcPr>
            <w:tcW w:w="1216" w:type="pct"/>
          </w:tcPr>
          <w:p w14:paraId="5154C331">
            <w:pPr>
              <w:spacing w:line="360" w:lineRule="auto"/>
              <w:rPr>
                <w:rFonts w:ascii="宋体" w:hAnsi="宋体"/>
                <w:color w:val="000000"/>
                <w:sz w:val="24"/>
              </w:rPr>
            </w:pPr>
          </w:p>
        </w:tc>
        <w:tc>
          <w:tcPr>
            <w:tcW w:w="1217" w:type="pct"/>
          </w:tcPr>
          <w:p w14:paraId="3BD10F75">
            <w:pPr>
              <w:spacing w:line="360" w:lineRule="auto"/>
              <w:rPr>
                <w:rFonts w:ascii="宋体" w:hAnsi="宋体"/>
                <w:color w:val="000000"/>
                <w:sz w:val="24"/>
              </w:rPr>
            </w:pPr>
          </w:p>
        </w:tc>
        <w:tc>
          <w:tcPr>
            <w:tcW w:w="1350" w:type="pct"/>
          </w:tcPr>
          <w:p w14:paraId="5E4AE17B">
            <w:pPr>
              <w:spacing w:line="360" w:lineRule="auto"/>
              <w:rPr>
                <w:rFonts w:ascii="宋体" w:hAnsi="宋体"/>
                <w:color w:val="000000"/>
                <w:sz w:val="24"/>
              </w:rPr>
            </w:pPr>
          </w:p>
        </w:tc>
      </w:tr>
      <w:tr w14:paraId="0B9F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4B4F0941">
            <w:pPr>
              <w:spacing w:line="360" w:lineRule="auto"/>
              <w:rPr>
                <w:rFonts w:ascii="宋体" w:hAnsi="宋体"/>
                <w:color w:val="000000"/>
                <w:sz w:val="24"/>
              </w:rPr>
            </w:pPr>
          </w:p>
        </w:tc>
        <w:tc>
          <w:tcPr>
            <w:tcW w:w="1216" w:type="pct"/>
          </w:tcPr>
          <w:p w14:paraId="3222E73E">
            <w:pPr>
              <w:spacing w:line="360" w:lineRule="auto"/>
              <w:rPr>
                <w:rFonts w:ascii="宋体" w:hAnsi="宋体"/>
                <w:color w:val="000000"/>
                <w:sz w:val="24"/>
              </w:rPr>
            </w:pPr>
          </w:p>
        </w:tc>
        <w:tc>
          <w:tcPr>
            <w:tcW w:w="1217" w:type="pct"/>
          </w:tcPr>
          <w:p w14:paraId="000E0D32">
            <w:pPr>
              <w:spacing w:line="360" w:lineRule="auto"/>
              <w:rPr>
                <w:rFonts w:ascii="宋体" w:hAnsi="宋体"/>
                <w:color w:val="000000"/>
                <w:sz w:val="24"/>
              </w:rPr>
            </w:pPr>
          </w:p>
        </w:tc>
        <w:tc>
          <w:tcPr>
            <w:tcW w:w="1350" w:type="pct"/>
          </w:tcPr>
          <w:p w14:paraId="361CD835">
            <w:pPr>
              <w:spacing w:line="360" w:lineRule="auto"/>
              <w:rPr>
                <w:rFonts w:ascii="宋体" w:hAnsi="宋体"/>
                <w:color w:val="000000"/>
                <w:sz w:val="24"/>
              </w:rPr>
            </w:pPr>
          </w:p>
        </w:tc>
      </w:tr>
      <w:tr w14:paraId="7AE7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7876282C">
            <w:pPr>
              <w:spacing w:line="360" w:lineRule="auto"/>
              <w:rPr>
                <w:rFonts w:ascii="宋体" w:hAnsi="宋体"/>
                <w:color w:val="000000"/>
                <w:sz w:val="24"/>
              </w:rPr>
            </w:pPr>
          </w:p>
        </w:tc>
        <w:tc>
          <w:tcPr>
            <w:tcW w:w="1216" w:type="pct"/>
          </w:tcPr>
          <w:p w14:paraId="67F00762">
            <w:pPr>
              <w:spacing w:line="360" w:lineRule="auto"/>
              <w:rPr>
                <w:rFonts w:ascii="宋体" w:hAnsi="宋体"/>
                <w:color w:val="000000"/>
                <w:sz w:val="24"/>
              </w:rPr>
            </w:pPr>
          </w:p>
        </w:tc>
        <w:tc>
          <w:tcPr>
            <w:tcW w:w="1217" w:type="pct"/>
          </w:tcPr>
          <w:p w14:paraId="7E582DEA">
            <w:pPr>
              <w:spacing w:line="360" w:lineRule="auto"/>
              <w:rPr>
                <w:rFonts w:ascii="宋体" w:hAnsi="宋体"/>
                <w:color w:val="000000"/>
                <w:sz w:val="24"/>
              </w:rPr>
            </w:pPr>
          </w:p>
        </w:tc>
        <w:tc>
          <w:tcPr>
            <w:tcW w:w="1350" w:type="pct"/>
          </w:tcPr>
          <w:p w14:paraId="17E658C1">
            <w:pPr>
              <w:spacing w:line="360" w:lineRule="auto"/>
              <w:rPr>
                <w:rFonts w:ascii="宋体" w:hAnsi="宋体"/>
                <w:color w:val="000000"/>
                <w:sz w:val="24"/>
              </w:rPr>
            </w:pPr>
          </w:p>
        </w:tc>
      </w:tr>
      <w:tr w14:paraId="7F2F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pct"/>
          </w:tcPr>
          <w:p w14:paraId="24612E7E">
            <w:pPr>
              <w:spacing w:line="360" w:lineRule="auto"/>
              <w:rPr>
                <w:rFonts w:ascii="宋体" w:hAnsi="宋体"/>
                <w:color w:val="000000"/>
                <w:sz w:val="24"/>
              </w:rPr>
            </w:pPr>
          </w:p>
        </w:tc>
        <w:tc>
          <w:tcPr>
            <w:tcW w:w="1216" w:type="pct"/>
          </w:tcPr>
          <w:p w14:paraId="3F415358">
            <w:pPr>
              <w:spacing w:line="360" w:lineRule="auto"/>
              <w:rPr>
                <w:rFonts w:ascii="宋体" w:hAnsi="宋体"/>
                <w:color w:val="000000"/>
                <w:sz w:val="24"/>
              </w:rPr>
            </w:pPr>
          </w:p>
        </w:tc>
        <w:tc>
          <w:tcPr>
            <w:tcW w:w="1217" w:type="pct"/>
          </w:tcPr>
          <w:p w14:paraId="482719F4">
            <w:pPr>
              <w:spacing w:line="360" w:lineRule="auto"/>
              <w:rPr>
                <w:rFonts w:ascii="宋体" w:hAnsi="宋体"/>
                <w:color w:val="000000"/>
                <w:sz w:val="24"/>
              </w:rPr>
            </w:pPr>
          </w:p>
        </w:tc>
        <w:tc>
          <w:tcPr>
            <w:tcW w:w="1350" w:type="pct"/>
          </w:tcPr>
          <w:p w14:paraId="1F1B8E51">
            <w:pPr>
              <w:spacing w:line="360" w:lineRule="auto"/>
              <w:rPr>
                <w:rFonts w:ascii="宋体" w:hAnsi="宋体"/>
                <w:color w:val="000000"/>
                <w:sz w:val="24"/>
              </w:rPr>
            </w:pPr>
          </w:p>
        </w:tc>
      </w:tr>
    </w:tbl>
    <w:p w14:paraId="5DC459CC">
      <w:pPr>
        <w:numPr>
          <w:ilvl w:val="0"/>
          <w:numId w:val="5"/>
        </w:numPr>
        <w:spacing w:line="360" w:lineRule="auto"/>
        <w:rPr>
          <w:rFonts w:ascii="宋体" w:hAnsi="宋体"/>
          <w:color w:val="000000"/>
          <w:sz w:val="24"/>
        </w:rPr>
      </w:pPr>
      <w:r>
        <w:rPr>
          <w:rFonts w:hint="eastAsia" w:ascii="宋体" w:hAnsi="宋体"/>
          <w:color w:val="000000"/>
          <w:sz w:val="24"/>
        </w:rPr>
        <w:t>伴随的其它服务：</w:t>
      </w:r>
    </w:p>
    <w:p w14:paraId="50B5D939">
      <w:pPr>
        <w:spacing w:line="360" w:lineRule="auto"/>
        <w:ind w:left="4675" w:firstLine="425"/>
        <w:rPr>
          <w:rFonts w:ascii="宋体" w:hAnsi="宋体"/>
          <w:color w:val="000000"/>
          <w:sz w:val="24"/>
        </w:rPr>
      </w:pPr>
      <w:r>
        <w:rPr>
          <w:rFonts w:hint="eastAsia" w:ascii="宋体" w:hAnsi="宋体"/>
          <w:color w:val="000000"/>
          <w:sz w:val="24"/>
        </w:rPr>
        <w:t>制造商盖章</w:t>
      </w:r>
    </w:p>
    <w:p w14:paraId="6B5B520C">
      <w:pPr>
        <w:spacing w:line="360" w:lineRule="auto"/>
        <w:rPr>
          <w:rFonts w:ascii="宋体" w:hAnsi="宋体"/>
          <w:color w:val="000000"/>
          <w:sz w:val="24"/>
        </w:rPr>
      </w:pPr>
      <w:r>
        <w:rPr>
          <w:rFonts w:hint="eastAsia" w:ascii="宋体" w:hAnsi="宋体"/>
          <w:color w:val="000000"/>
          <w:sz w:val="24"/>
        </w:rPr>
        <w:t xml:space="preserve">                                          投标人盖章</w:t>
      </w:r>
    </w:p>
    <w:p w14:paraId="2967773E">
      <w:pPr>
        <w:spacing w:line="360" w:lineRule="auto"/>
        <w:rPr>
          <w:rFonts w:ascii="宋体" w:hAnsi="宋体"/>
          <w:color w:val="000000"/>
          <w:sz w:val="24"/>
        </w:rPr>
      </w:pPr>
      <w:r>
        <w:rPr>
          <w:rFonts w:hint="eastAsia" w:ascii="宋体" w:hAnsi="宋体"/>
          <w:color w:val="000000"/>
          <w:sz w:val="24"/>
        </w:rPr>
        <w:t xml:space="preserve">                      </w:t>
      </w:r>
    </w:p>
    <w:p w14:paraId="01565A1F">
      <w:pPr>
        <w:spacing w:line="360" w:lineRule="auto"/>
        <w:rPr>
          <w:rFonts w:ascii="宋体" w:hAnsi="宋体"/>
          <w:sz w:val="24"/>
          <w:szCs w:val="24"/>
        </w:rPr>
      </w:pPr>
      <w:r>
        <w:rPr>
          <w:rFonts w:hint="eastAsia" w:ascii="宋体" w:hAnsi="宋体"/>
          <w:color w:val="000000"/>
          <w:sz w:val="24"/>
        </w:rPr>
        <w:t xml:space="preserve">                                          日期：</w:t>
      </w:r>
      <w:r>
        <w:rPr>
          <w:rFonts w:hint="eastAsia" w:ascii="宋体" w:hAnsi="宋体"/>
          <w:sz w:val="24"/>
          <w:szCs w:val="24"/>
        </w:rPr>
        <w:t xml:space="preserve">   </w:t>
      </w:r>
    </w:p>
    <w:p w14:paraId="68CC0D82">
      <w:pPr>
        <w:pStyle w:val="4"/>
        <w:rPr>
          <w:rFonts w:ascii="宋体" w:hAnsi="宋体"/>
          <w:b w:val="0"/>
          <w:sz w:val="28"/>
        </w:rPr>
      </w:pPr>
      <w:r>
        <w:rPr>
          <w:rFonts w:ascii="宋体" w:hAnsi="宋体"/>
          <w:sz w:val="24"/>
          <w:szCs w:val="24"/>
        </w:rPr>
        <w:br w:type="page"/>
      </w:r>
      <w:bookmarkStart w:id="55" w:name="_Toc109920773"/>
      <w:bookmarkStart w:id="56" w:name="_Toc27453"/>
      <w:bookmarkStart w:id="57" w:name="_Toc107416073"/>
      <w:r>
        <w:rPr>
          <w:rFonts w:hint="eastAsia" w:ascii="宋体" w:hAnsi="宋体"/>
          <w:sz w:val="28"/>
        </w:rPr>
        <w:t>附件7：购销合同（格式）</w:t>
      </w:r>
      <w:bookmarkEnd w:id="55"/>
      <w:bookmarkEnd w:id="56"/>
      <w:bookmarkEnd w:id="57"/>
    </w:p>
    <w:p w14:paraId="772F218C">
      <w:pPr>
        <w:spacing w:line="360" w:lineRule="auto"/>
        <w:rPr>
          <w:rFonts w:ascii="宋体" w:hAnsi="宋体"/>
          <w:b/>
          <w:bCs/>
          <w:color w:val="000000"/>
          <w:sz w:val="24"/>
        </w:rPr>
      </w:pPr>
    </w:p>
    <w:p w14:paraId="6626DDAF">
      <w:pPr>
        <w:spacing w:line="360" w:lineRule="auto"/>
        <w:rPr>
          <w:rFonts w:ascii="宋体" w:hAnsi="宋体"/>
          <w:b/>
          <w:bCs/>
          <w:color w:val="000000"/>
          <w:sz w:val="24"/>
        </w:rPr>
      </w:pPr>
      <w:r>
        <w:rPr>
          <w:rFonts w:hint="eastAsia" w:ascii="宋体" w:hAnsi="宋体"/>
          <w:b/>
          <w:bCs/>
          <w:color w:val="000000"/>
          <w:sz w:val="24"/>
        </w:rPr>
        <w:t xml:space="preserve">合同编号：                                签约地： 上海市                          </w:t>
      </w:r>
    </w:p>
    <w:p w14:paraId="7C137D14">
      <w:pPr>
        <w:spacing w:line="360" w:lineRule="auto"/>
        <w:rPr>
          <w:rFonts w:ascii="宋体" w:hAnsi="宋体"/>
          <w:b/>
          <w:bCs/>
          <w:color w:val="000000"/>
          <w:sz w:val="24"/>
        </w:rPr>
      </w:pPr>
      <w:r>
        <w:rPr>
          <w:rFonts w:hint="eastAsia" w:ascii="宋体" w:hAnsi="宋体"/>
          <w:b/>
          <w:bCs/>
          <w:color w:val="000000"/>
          <w:sz w:val="24"/>
        </w:rPr>
        <w:t>甲方（买方）：上海中医药大学               乙方（卖方）：</w:t>
      </w:r>
    </w:p>
    <w:p w14:paraId="12B267CC">
      <w:pPr>
        <w:spacing w:line="360" w:lineRule="auto"/>
        <w:rPr>
          <w:rFonts w:ascii="宋体" w:hAnsi="宋体"/>
          <w:b/>
          <w:bCs/>
          <w:color w:val="000000"/>
          <w:sz w:val="24"/>
        </w:rPr>
      </w:pPr>
      <w:r>
        <w:rPr>
          <w:rFonts w:hint="eastAsia" w:ascii="宋体" w:hAnsi="宋体"/>
          <w:b/>
          <w:bCs/>
          <w:color w:val="000000"/>
          <w:sz w:val="24"/>
        </w:rPr>
        <w:t>附属岳阳中西医结合医院                    地址：</w:t>
      </w:r>
    </w:p>
    <w:p w14:paraId="6144B694">
      <w:pPr>
        <w:spacing w:line="360" w:lineRule="auto"/>
        <w:rPr>
          <w:rFonts w:ascii="宋体" w:hAnsi="宋体"/>
          <w:b/>
          <w:bCs/>
          <w:color w:val="000000"/>
          <w:sz w:val="24"/>
        </w:rPr>
      </w:pPr>
      <w:r>
        <w:rPr>
          <w:rFonts w:hint="eastAsia" w:ascii="宋体" w:hAnsi="宋体"/>
          <w:b/>
          <w:bCs/>
          <w:color w:val="000000"/>
          <w:sz w:val="24"/>
        </w:rPr>
        <w:t xml:space="preserve">地址：甘河路110号                                    </w:t>
      </w:r>
    </w:p>
    <w:p w14:paraId="241D31D2">
      <w:pPr>
        <w:spacing w:line="360" w:lineRule="auto"/>
        <w:rPr>
          <w:rFonts w:ascii="宋体" w:hAnsi="宋体"/>
          <w:b/>
          <w:bCs/>
          <w:color w:val="000000"/>
          <w:sz w:val="24"/>
        </w:rPr>
      </w:pPr>
      <w:r>
        <w:rPr>
          <w:rFonts w:hint="eastAsia" w:ascii="宋体" w:hAnsi="宋体"/>
          <w:b/>
          <w:bCs/>
          <w:color w:val="000000"/>
          <w:sz w:val="24"/>
        </w:rPr>
        <w:t>1．</w:t>
      </w:r>
      <w:r>
        <w:rPr>
          <w:rFonts w:hint="eastAsia" w:ascii="宋体" w:hAnsi="宋体"/>
          <w:color w:val="000000"/>
          <w:sz w:val="24"/>
        </w:rPr>
        <w:t xml:space="preserve">甲乙双方根据《中华人民共和国合同法》，在平等互利、协商一致的基础上，买方同意向卖方购买同时卖方同意授予买方以下器械： </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6"/>
        <w:gridCol w:w="851"/>
        <w:gridCol w:w="850"/>
        <w:gridCol w:w="709"/>
        <w:gridCol w:w="850"/>
        <w:gridCol w:w="993"/>
        <w:gridCol w:w="1229"/>
      </w:tblGrid>
      <w:tr w14:paraId="3B6C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01" w:type="dxa"/>
            <w:vAlign w:val="center"/>
          </w:tcPr>
          <w:p w14:paraId="0F0D07E7">
            <w:pPr>
              <w:spacing w:line="360" w:lineRule="auto"/>
              <w:rPr>
                <w:rFonts w:ascii="宋体" w:hAnsi="宋体"/>
                <w:b/>
                <w:bCs/>
                <w:color w:val="000000"/>
                <w:sz w:val="24"/>
              </w:rPr>
            </w:pPr>
            <w:r>
              <w:rPr>
                <w:rFonts w:hint="eastAsia" w:ascii="宋体" w:hAnsi="宋体"/>
                <w:b/>
                <w:bCs/>
                <w:color w:val="000000"/>
                <w:sz w:val="24"/>
              </w:rPr>
              <w:t>器械名称</w:t>
            </w:r>
          </w:p>
        </w:tc>
        <w:tc>
          <w:tcPr>
            <w:tcW w:w="1276" w:type="dxa"/>
            <w:vAlign w:val="center"/>
          </w:tcPr>
          <w:p w14:paraId="01F4EEC1">
            <w:pPr>
              <w:spacing w:line="360" w:lineRule="auto"/>
              <w:rPr>
                <w:rFonts w:ascii="宋体" w:hAnsi="宋体"/>
                <w:b/>
                <w:bCs/>
                <w:color w:val="000000"/>
                <w:sz w:val="24"/>
              </w:rPr>
            </w:pPr>
            <w:r>
              <w:rPr>
                <w:rFonts w:hint="eastAsia" w:ascii="宋体" w:hAnsi="宋体"/>
                <w:b/>
                <w:bCs/>
                <w:color w:val="000000"/>
                <w:sz w:val="24"/>
              </w:rPr>
              <w:t>规格型号</w:t>
            </w:r>
          </w:p>
        </w:tc>
        <w:tc>
          <w:tcPr>
            <w:tcW w:w="851" w:type="dxa"/>
            <w:vAlign w:val="center"/>
          </w:tcPr>
          <w:p w14:paraId="2C7820AE">
            <w:pPr>
              <w:spacing w:line="360" w:lineRule="auto"/>
              <w:rPr>
                <w:rFonts w:ascii="宋体" w:hAnsi="宋体"/>
                <w:b/>
                <w:bCs/>
                <w:color w:val="000000"/>
                <w:sz w:val="24"/>
              </w:rPr>
            </w:pPr>
            <w:r>
              <w:rPr>
                <w:rFonts w:hint="eastAsia" w:ascii="宋体" w:hAnsi="宋体"/>
                <w:b/>
                <w:bCs/>
                <w:color w:val="000000"/>
                <w:sz w:val="24"/>
              </w:rPr>
              <w:t>品牌</w:t>
            </w:r>
          </w:p>
        </w:tc>
        <w:tc>
          <w:tcPr>
            <w:tcW w:w="850" w:type="dxa"/>
            <w:vAlign w:val="center"/>
          </w:tcPr>
          <w:p w14:paraId="178A8064">
            <w:pPr>
              <w:spacing w:line="360" w:lineRule="auto"/>
              <w:rPr>
                <w:rFonts w:ascii="宋体" w:hAnsi="宋体"/>
                <w:b/>
                <w:bCs/>
                <w:color w:val="000000"/>
                <w:sz w:val="24"/>
              </w:rPr>
            </w:pPr>
            <w:r>
              <w:rPr>
                <w:rFonts w:hint="eastAsia" w:ascii="宋体" w:hAnsi="宋体"/>
                <w:b/>
                <w:bCs/>
                <w:color w:val="000000"/>
                <w:sz w:val="24"/>
              </w:rPr>
              <w:t>原产地</w:t>
            </w:r>
          </w:p>
        </w:tc>
        <w:tc>
          <w:tcPr>
            <w:tcW w:w="709" w:type="dxa"/>
            <w:vAlign w:val="center"/>
          </w:tcPr>
          <w:p w14:paraId="376C4A41">
            <w:pPr>
              <w:spacing w:line="360" w:lineRule="auto"/>
              <w:rPr>
                <w:rFonts w:ascii="宋体" w:hAnsi="宋体"/>
                <w:b/>
                <w:bCs/>
                <w:color w:val="000000"/>
                <w:sz w:val="24"/>
              </w:rPr>
            </w:pPr>
            <w:r>
              <w:rPr>
                <w:rFonts w:hint="eastAsia" w:ascii="宋体" w:hAnsi="宋体"/>
                <w:b/>
                <w:bCs/>
                <w:color w:val="000000"/>
                <w:sz w:val="24"/>
              </w:rPr>
              <w:t>数量</w:t>
            </w:r>
          </w:p>
        </w:tc>
        <w:tc>
          <w:tcPr>
            <w:tcW w:w="850" w:type="dxa"/>
            <w:vAlign w:val="center"/>
          </w:tcPr>
          <w:p w14:paraId="506975DB">
            <w:pPr>
              <w:spacing w:line="360" w:lineRule="auto"/>
              <w:rPr>
                <w:rFonts w:ascii="宋体" w:hAnsi="宋体"/>
                <w:b/>
                <w:bCs/>
                <w:color w:val="000000"/>
                <w:sz w:val="24"/>
              </w:rPr>
            </w:pPr>
            <w:r>
              <w:rPr>
                <w:rFonts w:hint="eastAsia" w:ascii="宋体" w:hAnsi="宋体"/>
                <w:b/>
                <w:bCs/>
                <w:color w:val="000000"/>
                <w:sz w:val="24"/>
              </w:rPr>
              <w:t>单位</w:t>
            </w:r>
          </w:p>
        </w:tc>
        <w:tc>
          <w:tcPr>
            <w:tcW w:w="993" w:type="dxa"/>
            <w:vAlign w:val="center"/>
          </w:tcPr>
          <w:p w14:paraId="78DB2F04">
            <w:pPr>
              <w:spacing w:line="360" w:lineRule="auto"/>
              <w:rPr>
                <w:rFonts w:ascii="宋体" w:hAnsi="宋体"/>
                <w:b/>
                <w:bCs/>
                <w:color w:val="000000"/>
                <w:sz w:val="24"/>
              </w:rPr>
            </w:pPr>
            <w:r>
              <w:rPr>
                <w:rFonts w:hint="eastAsia" w:ascii="宋体" w:hAnsi="宋体"/>
                <w:b/>
                <w:bCs/>
                <w:color w:val="000000"/>
                <w:sz w:val="24"/>
              </w:rPr>
              <w:t>单价</w:t>
            </w:r>
          </w:p>
        </w:tc>
        <w:tc>
          <w:tcPr>
            <w:tcW w:w="1229" w:type="dxa"/>
            <w:vAlign w:val="center"/>
          </w:tcPr>
          <w:p w14:paraId="0BA7B234">
            <w:pPr>
              <w:spacing w:line="360" w:lineRule="auto"/>
              <w:rPr>
                <w:rFonts w:ascii="宋体" w:hAnsi="宋体"/>
                <w:b/>
                <w:bCs/>
                <w:color w:val="000000"/>
                <w:sz w:val="24"/>
              </w:rPr>
            </w:pPr>
            <w:r>
              <w:rPr>
                <w:rFonts w:hint="eastAsia" w:ascii="宋体" w:hAnsi="宋体"/>
                <w:b/>
                <w:bCs/>
                <w:color w:val="000000"/>
                <w:sz w:val="24"/>
              </w:rPr>
              <w:t>成交金额</w:t>
            </w:r>
          </w:p>
        </w:tc>
      </w:tr>
      <w:tr w14:paraId="5009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1" w:type="dxa"/>
            <w:vAlign w:val="center"/>
          </w:tcPr>
          <w:p w14:paraId="40A8A08F">
            <w:pPr>
              <w:spacing w:line="360" w:lineRule="auto"/>
              <w:rPr>
                <w:rFonts w:ascii="宋体" w:hAnsi="宋体"/>
                <w:color w:val="000000"/>
                <w:sz w:val="24"/>
              </w:rPr>
            </w:pPr>
          </w:p>
        </w:tc>
        <w:tc>
          <w:tcPr>
            <w:tcW w:w="1276" w:type="dxa"/>
            <w:vAlign w:val="center"/>
          </w:tcPr>
          <w:p w14:paraId="202473C7">
            <w:pPr>
              <w:spacing w:line="360" w:lineRule="auto"/>
              <w:rPr>
                <w:rFonts w:ascii="宋体" w:hAnsi="宋体"/>
                <w:color w:val="000000"/>
                <w:sz w:val="24"/>
              </w:rPr>
            </w:pPr>
          </w:p>
        </w:tc>
        <w:tc>
          <w:tcPr>
            <w:tcW w:w="851" w:type="dxa"/>
            <w:vAlign w:val="center"/>
          </w:tcPr>
          <w:p w14:paraId="317A6D5D">
            <w:pPr>
              <w:spacing w:line="360" w:lineRule="auto"/>
              <w:rPr>
                <w:rFonts w:ascii="宋体" w:hAnsi="宋体"/>
                <w:color w:val="000000"/>
                <w:sz w:val="24"/>
              </w:rPr>
            </w:pPr>
          </w:p>
        </w:tc>
        <w:tc>
          <w:tcPr>
            <w:tcW w:w="850" w:type="dxa"/>
            <w:vAlign w:val="center"/>
          </w:tcPr>
          <w:p w14:paraId="40C25AFB">
            <w:pPr>
              <w:spacing w:line="360" w:lineRule="auto"/>
              <w:rPr>
                <w:rFonts w:ascii="宋体" w:hAnsi="宋体"/>
                <w:color w:val="000000"/>
                <w:sz w:val="24"/>
              </w:rPr>
            </w:pPr>
          </w:p>
        </w:tc>
        <w:tc>
          <w:tcPr>
            <w:tcW w:w="709" w:type="dxa"/>
            <w:vAlign w:val="center"/>
          </w:tcPr>
          <w:p w14:paraId="7B2932FC">
            <w:pPr>
              <w:spacing w:line="360" w:lineRule="auto"/>
              <w:rPr>
                <w:rFonts w:ascii="宋体" w:hAnsi="宋体"/>
                <w:color w:val="000000"/>
                <w:sz w:val="24"/>
              </w:rPr>
            </w:pPr>
          </w:p>
        </w:tc>
        <w:tc>
          <w:tcPr>
            <w:tcW w:w="850" w:type="dxa"/>
            <w:vAlign w:val="center"/>
          </w:tcPr>
          <w:p w14:paraId="7695EBA6">
            <w:pPr>
              <w:spacing w:line="360" w:lineRule="auto"/>
              <w:rPr>
                <w:rFonts w:ascii="宋体" w:hAnsi="宋体"/>
                <w:color w:val="000000"/>
                <w:sz w:val="24"/>
              </w:rPr>
            </w:pPr>
          </w:p>
        </w:tc>
        <w:tc>
          <w:tcPr>
            <w:tcW w:w="993" w:type="dxa"/>
            <w:vAlign w:val="center"/>
          </w:tcPr>
          <w:p w14:paraId="707E341E">
            <w:pPr>
              <w:spacing w:line="360" w:lineRule="auto"/>
              <w:rPr>
                <w:rFonts w:ascii="宋体" w:hAnsi="宋体"/>
                <w:color w:val="000000"/>
                <w:sz w:val="24"/>
              </w:rPr>
            </w:pPr>
          </w:p>
        </w:tc>
        <w:tc>
          <w:tcPr>
            <w:tcW w:w="1229" w:type="dxa"/>
            <w:vAlign w:val="center"/>
          </w:tcPr>
          <w:p w14:paraId="34A243A2">
            <w:pPr>
              <w:spacing w:line="360" w:lineRule="auto"/>
              <w:rPr>
                <w:rFonts w:ascii="宋体" w:hAnsi="宋体"/>
                <w:b/>
                <w:bCs/>
                <w:color w:val="000000"/>
                <w:sz w:val="24"/>
              </w:rPr>
            </w:pPr>
          </w:p>
        </w:tc>
      </w:tr>
      <w:tr w14:paraId="7271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37" w:type="dxa"/>
            <w:gridSpan w:val="6"/>
            <w:vAlign w:val="center"/>
          </w:tcPr>
          <w:p w14:paraId="1361B415">
            <w:pPr>
              <w:spacing w:line="360" w:lineRule="auto"/>
              <w:rPr>
                <w:rFonts w:ascii="宋体" w:hAnsi="宋体"/>
                <w:b/>
                <w:bCs/>
                <w:color w:val="000000"/>
                <w:sz w:val="24"/>
              </w:rPr>
            </w:pPr>
            <w:r>
              <w:rPr>
                <w:rFonts w:hint="eastAsia" w:ascii="宋体" w:hAnsi="宋体"/>
                <w:b/>
                <w:bCs/>
                <w:color w:val="000000"/>
                <w:sz w:val="24"/>
              </w:rPr>
              <w:t>合计成交金额（大写）：  万 仟 佰 圆  整(</w:t>
            </w:r>
            <w:r>
              <w:rPr>
                <w:rFonts w:hint="eastAsia" w:ascii="宋体" w:hAnsi="宋体"/>
                <w:color w:val="000000"/>
                <w:sz w:val="24"/>
              </w:rPr>
              <w:t>口</w:t>
            </w:r>
            <w:r>
              <w:rPr>
                <w:rFonts w:hint="eastAsia" w:ascii="宋体" w:hAnsi="宋体"/>
                <w:b/>
                <w:bCs/>
                <w:color w:val="000000"/>
                <w:sz w:val="24"/>
              </w:rPr>
              <w:t>RMB</w:t>
            </w:r>
            <w:r>
              <w:rPr>
                <w:rFonts w:hint="eastAsia" w:ascii="宋体" w:hAnsi="宋体"/>
                <w:color w:val="000000"/>
                <w:sz w:val="24"/>
              </w:rPr>
              <w:t>口</w:t>
            </w:r>
            <w:r>
              <w:rPr>
                <w:rFonts w:hint="eastAsia" w:ascii="宋体" w:hAnsi="宋体"/>
                <w:b/>
                <w:bCs/>
                <w:color w:val="000000"/>
                <w:sz w:val="24"/>
              </w:rPr>
              <w:t xml:space="preserve">USD  </w:t>
            </w:r>
            <w:r>
              <w:rPr>
                <w:rFonts w:hint="eastAsia" w:ascii="宋体" w:hAnsi="宋体"/>
                <w:color w:val="000000"/>
                <w:sz w:val="24"/>
              </w:rPr>
              <w:t>口</w:t>
            </w:r>
            <w:r>
              <w:rPr>
                <w:rFonts w:hint="eastAsia" w:ascii="宋体" w:hAnsi="宋体"/>
                <w:b/>
                <w:bCs/>
                <w:color w:val="000000"/>
                <w:sz w:val="24"/>
              </w:rPr>
              <w:t xml:space="preserve">EUR  </w:t>
            </w:r>
            <w:r>
              <w:rPr>
                <w:rFonts w:hint="eastAsia" w:ascii="宋体" w:hAnsi="宋体"/>
                <w:color w:val="000000"/>
                <w:sz w:val="24"/>
              </w:rPr>
              <w:t>口</w:t>
            </w:r>
            <w:r>
              <w:rPr>
                <w:rFonts w:hint="eastAsia" w:ascii="宋体" w:hAnsi="宋体"/>
                <w:b/>
                <w:bCs/>
                <w:color w:val="000000"/>
                <w:sz w:val="24"/>
              </w:rPr>
              <w:t>其他)</w:t>
            </w:r>
          </w:p>
        </w:tc>
        <w:tc>
          <w:tcPr>
            <w:tcW w:w="2222" w:type="dxa"/>
            <w:gridSpan w:val="2"/>
            <w:vAlign w:val="center"/>
          </w:tcPr>
          <w:p w14:paraId="26464FD7">
            <w:pPr>
              <w:spacing w:line="360" w:lineRule="auto"/>
              <w:rPr>
                <w:rFonts w:ascii="宋体" w:hAnsi="宋体"/>
                <w:b/>
                <w:bCs/>
                <w:color w:val="000000"/>
                <w:sz w:val="24"/>
              </w:rPr>
            </w:pPr>
            <w:r>
              <w:rPr>
                <w:rFonts w:hint="eastAsia" w:ascii="宋体" w:hAnsi="宋体"/>
                <w:b/>
                <w:bCs/>
                <w:color w:val="000000"/>
                <w:sz w:val="24"/>
              </w:rPr>
              <w:t>合计：</w:t>
            </w:r>
          </w:p>
        </w:tc>
      </w:tr>
    </w:tbl>
    <w:p w14:paraId="0CFFDEBE">
      <w:pPr>
        <w:spacing w:line="360" w:lineRule="auto"/>
        <w:rPr>
          <w:rFonts w:ascii="宋体" w:hAnsi="宋体"/>
          <w:b/>
          <w:bCs/>
          <w:color w:val="000000"/>
          <w:sz w:val="24"/>
        </w:rPr>
      </w:pPr>
      <w:r>
        <w:rPr>
          <w:rFonts w:hint="eastAsia" w:ascii="宋体" w:hAnsi="宋体"/>
          <w:color w:val="000000"/>
          <w:sz w:val="24"/>
        </w:rPr>
        <w:t>（注：上述成交价为 ■CIP指定地点价   □CIF上海口岸价   □其他________________）</w:t>
      </w:r>
    </w:p>
    <w:p w14:paraId="4F10D7E5">
      <w:pPr>
        <w:spacing w:line="360" w:lineRule="auto"/>
        <w:rPr>
          <w:rFonts w:ascii="宋体" w:hAnsi="宋体"/>
          <w:color w:val="000000"/>
          <w:sz w:val="24"/>
        </w:rPr>
      </w:pPr>
      <w:r>
        <w:rPr>
          <w:rFonts w:hint="eastAsia" w:ascii="宋体" w:hAnsi="宋体"/>
          <w:b/>
          <w:bCs/>
          <w:color w:val="000000"/>
          <w:sz w:val="24"/>
        </w:rPr>
        <w:t xml:space="preserve">2. 器械的交付期 </w:t>
      </w:r>
      <w:r>
        <w:rPr>
          <w:rFonts w:hint="eastAsia" w:ascii="宋体" w:hAnsi="宋体"/>
          <w:color w:val="000000"/>
          <w:sz w:val="24"/>
        </w:rPr>
        <w:t>乙方在合同生效的</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天内向甲方交付上述器械，逾期将按第7条规定执行。</w:t>
      </w:r>
    </w:p>
    <w:p w14:paraId="543740DC">
      <w:pPr>
        <w:spacing w:line="360" w:lineRule="auto"/>
        <w:rPr>
          <w:rFonts w:ascii="宋体" w:hAnsi="宋体"/>
          <w:b/>
          <w:bCs/>
          <w:color w:val="000000"/>
          <w:sz w:val="24"/>
        </w:rPr>
      </w:pPr>
      <w:r>
        <w:rPr>
          <w:rFonts w:hint="eastAsia" w:ascii="宋体" w:hAnsi="宋体"/>
          <w:b/>
          <w:bCs/>
          <w:color w:val="000000"/>
          <w:sz w:val="24"/>
        </w:rPr>
        <w:t>3. 器械运输、安装和验收</w:t>
      </w:r>
    </w:p>
    <w:p w14:paraId="66C01B80">
      <w:pPr>
        <w:spacing w:line="360" w:lineRule="auto"/>
        <w:rPr>
          <w:rFonts w:ascii="宋体" w:hAnsi="宋体"/>
          <w:color w:val="000000"/>
          <w:sz w:val="24"/>
        </w:rPr>
      </w:pPr>
      <w:r>
        <w:rPr>
          <w:rFonts w:hint="eastAsia" w:ascii="宋体" w:hAnsi="宋体"/>
          <w:color w:val="000000"/>
          <w:sz w:val="24"/>
        </w:rPr>
        <w:t>3.1乙方确保器械安全无损地运抵甲方指定现场，并承担器械的运费、保险费、装卸费等费用。乙方还应在发货前通知甲方器械的运输信息以及到货时间，以便甲方做好验货准备。</w:t>
      </w:r>
    </w:p>
    <w:p w14:paraId="72EBE6B2">
      <w:pPr>
        <w:spacing w:line="360" w:lineRule="auto"/>
        <w:rPr>
          <w:rFonts w:ascii="宋体" w:hAnsi="宋体"/>
          <w:color w:val="000000"/>
          <w:sz w:val="24"/>
        </w:rPr>
      </w:pPr>
      <w:r>
        <w:rPr>
          <w:rFonts w:hint="eastAsia" w:ascii="宋体" w:hAnsi="宋体"/>
          <w:color w:val="000000"/>
          <w:sz w:val="24"/>
        </w:rPr>
        <w:t>3.2甲乙双方对器械进行开箱清点检查验收，如果发现数量不足或有质量、技术等问题，乙方应在甲方正式启用后的_</w:t>
      </w:r>
      <w:r>
        <w:rPr>
          <w:rFonts w:hint="eastAsia" w:ascii="宋体" w:hAnsi="宋体"/>
          <w:color w:val="000000"/>
          <w:sz w:val="24"/>
          <w:u w:val="single"/>
        </w:rPr>
        <w:t xml:space="preserve">_ </w:t>
      </w:r>
      <w:r>
        <w:rPr>
          <w:rFonts w:hint="eastAsia" w:ascii="宋体" w:hAnsi="宋体"/>
          <w:color w:val="000000"/>
          <w:sz w:val="24"/>
        </w:rPr>
        <w:t>天内，按照甲方的要求，采取补足、更换或退货等处理措施，并承担由此发生的一切损失和费用。</w:t>
      </w:r>
    </w:p>
    <w:p w14:paraId="5EFE3BC4">
      <w:pPr>
        <w:spacing w:line="360" w:lineRule="auto"/>
        <w:rPr>
          <w:rFonts w:ascii="宋体" w:hAnsi="宋体"/>
          <w:color w:val="000000"/>
          <w:sz w:val="24"/>
        </w:rPr>
      </w:pPr>
      <w:r>
        <w:rPr>
          <w:rFonts w:hint="eastAsia" w:ascii="宋体" w:hAnsi="宋体"/>
          <w:color w:val="000000"/>
          <w:sz w:val="24"/>
        </w:rPr>
        <w:t>3.3器械到货后，乙方应在接到甲方通知后_7~14_天内安装调试完成。</w:t>
      </w:r>
    </w:p>
    <w:p w14:paraId="5A47A6D8">
      <w:pPr>
        <w:spacing w:line="360" w:lineRule="auto"/>
        <w:rPr>
          <w:rFonts w:ascii="宋体" w:hAnsi="宋体"/>
          <w:color w:val="000000"/>
          <w:sz w:val="24"/>
        </w:rPr>
      </w:pPr>
      <w:r>
        <w:rPr>
          <w:rFonts w:hint="eastAsia" w:ascii="宋体" w:hAnsi="宋体"/>
          <w:color w:val="000000"/>
          <w:sz w:val="24"/>
        </w:rPr>
        <w:t>3.4甲、乙双方在符合国家相关技术标准的基础上，根据购置器械的技术标准(见附件) 以及采购或招标时乙方承诺的原厂的技术参数为标准对器械进行技术验收。医疗设备必须符合IHE医疗信息系统集成规范，并免费提供信息系统接口，医学影像设备须提供DICOM软硬件接口，数字化医疗设备须提供HL7软硬件接口，并经甲乙双方验收合格后，双方在甲方《验收合格单》上签字确认。</w:t>
      </w:r>
    </w:p>
    <w:p w14:paraId="09D881BE">
      <w:pPr>
        <w:spacing w:line="360" w:lineRule="auto"/>
        <w:rPr>
          <w:rFonts w:ascii="宋体" w:hAnsi="宋体"/>
          <w:b/>
          <w:bCs/>
          <w:color w:val="000000"/>
          <w:sz w:val="24"/>
        </w:rPr>
      </w:pPr>
      <w:r>
        <w:rPr>
          <w:rFonts w:hint="eastAsia" w:ascii="宋体" w:hAnsi="宋体"/>
          <w:b/>
          <w:bCs/>
          <w:color w:val="000000"/>
          <w:sz w:val="24"/>
        </w:rPr>
        <w:t>4</w:t>
      </w:r>
      <w:r>
        <w:rPr>
          <w:rFonts w:hint="eastAsia" w:ascii="宋体" w:hAnsi="宋体"/>
          <w:color w:val="000000"/>
          <w:sz w:val="24"/>
        </w:rPr>
        <w:t>.</w:t>
      </w:r>
      <w:r>
        <w:rPr>
          <w:rFonts w:hint="eastAsia" w:ascii="宋体" w:hAnsi="宋体"/>
          <w:b/>
          <w:bCs/>
          <w:color w:val="000000"/>
          <w:sz w:val="24"/>
        </w:rPr>
        <w:t>付款方式</w:t>
      </w:r>
    </w:p>
    <w:p w14:paraId="51F5FE42">
      <w:pPr>
        <w:spacing w:line="360" w:lineRule="auto"/>
        <w:rPr>
          <w:rFonts w:ascii="宋体" w:hAnsi="宋体"/>
          <w:color w:val="000000"/>
          <w:sz w:val="24"/>
        </w:rPr>
      </w:pPr>
      <w:r>
        <w:rPr>
          <w:rFonts w:hint="eastAsia" w:ascii="宋体" w:hAnsi="宋体"/>
          <w:color w:val="000000"/>
          <w:sz w:val="24"/>
        </w:rPr>
        <w:t>□安装调试验收合格正常使用后乙方应向甲方出具与器械合同总价金额相对应的发票。甲方在收到乙方发票并确认无误后，应在___3__个月内以</w:t>
      </w:r>
      <w:r>
        <w:rPr>
          <w:rFonts w:hint="eastAsia" w:ascii="宋体" w:hAnsi="宋体"/>
          <w:color w:val="000000"/>
          <w:sz w:val="24"/>
          <w:u w:val="single"/>
        </w:rPr>
        <w:t>银行转账</w:t>
      </w:r>
      <w:r>
        <w:rPr>
          <w:rFonts w:hint="eastAsia" w:ascii="宋体" w:hAnsi="宋体"/>
          <w:color w:val="000000"/>
          <w:sz w:val="24"/>
        </w:rPr>
        <w:t>方式向乙方指定银行账户分期或一次性支付货款共计</w:t>
      </w:r>
      <w:r>
        <w:rPr>
          <w:rFonts w:hint="eastAsia" w:ascii="宋体" w:hAnsi="宋体"/>
          <w:color w:val="000000"/>
          <w:sz w:val="24"/>
          <w:u w:val="single"/>
        </w:rPr>
        <w:t xml:space="preserve">         元</w:t>
      </w:r>
      <w:r>
        <w:rPr>
          <w:rFonts w:hint="eastAsia" w:ascii="宋体" w:hAnsi="宋体"/>
          <w:color w:val="000000"/>
          <w:sz w:val="24"/>
        </w:rPr>
        <w:t xml:space="preserve">。 </w:t>
      </w:r>
    </w:p>
    <w:p w14:paraId="65281892">
      <w:pPr>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合同签订后，甲方在装运期前</w:t>
      </w:r>
      <w:r>
        <w:rPr>
          <w:rFonts w:ascii="宋体" w:hAnsi="宋体"/>
          <w:color w:val="000000"/>
          <w:sz w:val="24"/>
          <w:u w:val="single"/>
        </w:rPr>
        <w:t>90</w:t>
      </w:r>
      <w:r>
        <w:rPr>
          <w:rFonts w:ascii="宋体" w:hAnsi="宋体"/>
          <w:color w:val="000000"/>
          <w:sz w:val="24"/>
        </w:rPr>
        <w:t>天,开立不可撤消信用证, 其金额为本协议价总值的</w:t>
      </w:r>
      <w:r>
        <w:rPr>
          <w:rFonts w:ascii="宋体" w:hAnsi="宋体"/>
          <w:color w:val="000000"/>
          <w:sz w:val="24"/>
          <w:u w:val="single"/>
        </w:rPr>
        <w:t>_90</w:t>
      </w:r>
      <w:r>
        <w:rPr>
          <w:rFonts w:ascii="宋体" w:hAnsi="宋体"/>
          <w:color w:val="000000"/>
          <w:sz w:val="24"/>
        </w:rPr>
        <w:t>__%，计___________；甲方在货到验收合格后_</w:t>
      </w:r>
      <w:r>
        <w:rPr>
          <w:rFonts w:ascii="宋体" w:hAnsi="宋体"/>
          <w:color w:val="000000"/>
          <w:sz w:val="24"/>
          <w:u w:val="single"/>
        </w:rPr>
        <w:t>30__</w:t>
      </w:r>
      <w:r>
        <w:rPr>
          <w:rFonts w:hint="eastAsia" w:ascii="宋体" w:hAnsi="宋体"/>
          <w:color w:val="000000"/>
          <w:sz w:val="24"/>
        </w:rPr>
        <w:t>天</w:t>
      </w:r>
      <w:r>
        <w:rPr>
          <w:rFonts w:ascii="宋体" w:hAnsi="宋体"/>
          <w:color w:val="000000"/>
          <w:sz w:val="24"/>
        </w:rPr>
        <w:t>内将____的余款付清。</w:t>
      </w:r>
    </w:p>
    <w:p w14:paraId="4E4376C6">
      <w:pPr>
        <w:spacing w:line="360" w:lineRule="auto"/>
        <w:rPr>
          <w:rFonts w:ascii="宋体" w:hAnsi="宋体"/>
          <w:b/>
          <w:bCs/>
          <w:color w:val="000000"/>
          <w:sz w:val="24"/>
        </w:rPr>
      </w:pPr>
      <w:r>
        <w:rPr>
          <w:rFonts w:hint="eastAsia" w:ascii="宋体" w:hAnsi="宋体"/>
          <w:b/>
          <w:color w:val="000000"/>
          <w:sz w:val="24"/>
        </w:rPr>
        <w:t>5</w:t>
      </w:r>
      <w:r>
        <w:rPr>
          <w:rFonts w:hint="eastAsia" w:ascii="宋体" w:hAnsi="宋体"/>
          <w:b/>
          <w:bCs/>
          <w:color w:val="000000"/>
          <w:sz w:val="24"/>
        </w:rPr>
        <w:t>.伴随服务</w:t>
      </w:r>
    </w:p>
    <w:p w14:paraId="0D306CB0">
      <w:pPr>
        <w:spacing w:line="360" w:lineRule="auto"/>
        <w:rPr>
          <w:rFonts w:ascii="宋体" w:hAnsi="宋体"/>
          <w:color w:val="000000"/>
          <w:sz w:val="24"/>
        </w:rPr>
      </w:pPr>
      <w:r>
        <w:rPr>
          <w:rFonts w:hint="eastAsia" w:ascii="宋体" w:hAnsi="宋体"/>
          <w:color w:val="000000"/>
          <w:sz w:val="24"/>
        </w:rPr>
        <w:t>5.1乙方应提供器械设备的技术文件，包括相应的图纸、维护手册、软件备份、故障代码表、备件清单、零部件、维修密码等维护维修必须的材料信息等，这些文件随同器械一起发运至甲方。</w:t>
      </w:r>
    </w:p>
    <w:p w14:paraId="15C65EDA">
      <w:pPr>
        <w:spacing w:line="360" w:lineRule="auto"/>
        <w:rPr>
          <w:rFonts w:ascii="宋体" w:hAnsi="宋体"/>
          <w:color w:val="000000"/>
          <w:sz w:val="24"/>
        </w:rPr>
      </w:pPr>
      <w:r>
        <w:rPr>
          <w:rFonts w:hint="eastAsia" w:ascii="宋体" w:hAnsi="宋体"/>
          <w:color w:val="000000"/>
          <w:sz w:val="24"/>
        </w:rPr>
        <w:t>5.2乙方还应免费提供下列服务：</w:t>
      </w:r>
    </w:p>
    <w:p w14:paraId="76318C89">
      <w:pPr>
        <w:numPr>
          <w:ilvl w:val="0"/>
          <w:numId w:val="6"/>
        </w:numPr>
        <w:spacing w:line="360" w:lineRule="auto"/>
        <w:ind w:left="13" w:leftChars="6"/>
        <w:rPr>
          <w:rFonts w:ascii="宋体" w:hAnsi="宋体"/>
          <w:color w:val="000000"/>
          <w:sz w:val="24"/>
        </w:rPr>
      </w:pPr>
      <w:r>
        <w:rPr>
          <w:rFonts w:hint="eastAsia" w:ascii="宋体" w:hAnsi="宋体"/>
          <w:color w:val="000000"/>
          <w:sz w:val="24"/>
        </w:rPr>
        <w:t>器械的现场安装和调试；</w:t>
      </w:r>
    </w:p>
    <w:p w14:paraId="65E95E93">
      <w:pPr>
        <w:numPr>
          <w:ilvl w:val="0"/>
          <w:numId w:val="6"/>
        </w:numPr>
        <w:spacing w:line="360" w:lineRule="auto"/>
        <w:ind w:left="13" w:leftChars="6"/>
        <w:rPr>
          <w:rFonts w:ascii="宋体" w:hAnsi="宋体"/>
          <w:color w:val="000000"/>
          <w:sz w:val="24"/>
        </w:rPr>
      </w:pPr>
      <w:r>
        <w:rPr>
          <w:rFonts w:hint="eastAsia" w:ascii="宋体" w:hAnsi="宋体"/>
          <w:color w:val="000000"/>
          <w:sz w:val="24"/>
        </w:rPr>
        <w:t>提供器械安装和维修所需的专用工具和辅助材料；</w:t>
      </w:r>
    </w:p>
    <w:p w14:paraId="44DE2284">
      <w:pPr>
        <w:numPr>
          <w:ilvl w:val="0"/>
          <w:numId w:val="6"/>
        </w:numPr>
        <w:spacing w:line="360" w:lineRule="auto"/>
        <w:ind w:left="13" w:leftChars="6"/>
        <w:rPr>
          <w:rFonts w:ascii="宋体" w:hAnsi="宋体"/>
          <w:color w:val="000000"/>
          <w:sz w:val="24"/>
        </w:rPr>
      </w:pPr>
      <w:r>
        <w:rPr>
          <w:rFonts w:hint="eastAsia" w:ascii="宋体" w:hAnsi="宋体"/>
          <w:color w:val="000000"/>
          <w:sz w:val="24"/>
        </w:rPr>
        <w:t>乙方应派专业技术人员在项目现场对甲方使用人员进行培训或指导，在使用一段时间后可根据甲方的要求另行安排培训计划，并且乙方应随时接受甲方使用人员有关器械使用的咨询，积极解答相关操作问题。</w:t>
      </w:r>
    </w:p>
    <w:p w14:paraId="18DEF820">
      <w:pPr>
        <w:spacing w:line="360" w:lineRule="auto"/>
        <w:rPr>
          <w:rFonts w:ascii="宋体" w:hAnsi="宋体"/>
          <w:b/>
          <w:bCs/>
          <w:color w:val="000000"/>
          <w:sz w:val="24"/>
        </w:rPr>
      </w:pPr>
      <w:r>
        <w:rPr>
          <w:rFonts w:hint="eastAsia" w:ascii="宋体" w:hAnsi="宋体"/>
          <w:b/>
          <w:bCs/>
          <w:color w:val="000000"/>
          <w:sz w:val="24"/>
        </w:rPr>
        <w:t>6.质量保证及售后服务</w:t>
      </w:r>
    </w:p>
    <w:p w14:paraId="3CE192C1">
      <w:pPr>
        <w:spacing w:line="360" w:lineRule="auto"/>
        <w:rPr>
          <w:rFonts w:ascii="宋体" w:hAnsi="宋体"/>
          <w:color w:val="000000"/>
          <w:sz w:val="24"/>
        </w:rPr>
      </w:pPr>
      <w:r>
        <w:rPr>
          <w:rFonts w:hint="eastAsia" w:ascii="宋体" w:hAnsi="宋体"/>
          <w:color w:val="000000"/>
          <w:sz w:val="24"/>
        </w:rPr>
        <w:t>6.1乙方应保证所供器械是在</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年月）后生产的全新的、未使用过的，并符合国家有关标准、行业有关标准、制造厂标准及合同技术标准要求。如果在甲方验收合格后，器械的质量或规格仍存在与合同不符，或证实器械是有缺陷的，包括潜在的缺陷或使用不符合要求的材料等，乙方应在接到甲方通知后7天内负责采用符合合同规定的规格、质量和性能要求的新零件、部件或器械来更换有缺陷的部分或修补缺陷部分，其费用由乙方负担。同时，乙方应按本合同规定，相应延长修补或更换件的质量保证期。</w:t>
      </w:r>
    </w:p>
    <w:p w14:paraId="34C7D99E">
      <w:pPr>
        <w:spacing w:line="360" w:lineRule="auto"/>
        <w:rPr>
          <w:rFonts w:ascii="宋体" w:hAnsi="宋体"/>
          <w:color w:val="000000"/>
          <w:sz w:val="24"/>
        </w:rPr>
      </w:pPr>
      <w:r>
        <w:rPr>
          <w:rFonts w:hint="eastAsia" w:ascii="宋体" w:hAnsi="宋体"/>
          <w:color w:val="000000"/>
          <w:sz w:val="24"/>
        </w:rPr>
        <w:t xml:space="preserve">6.2乙方应提供保修期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月，保修期的期限应以甲乙双方的验收合格之日起计算，保修期内免费更换零配件及工时费。乙方在保修期内应确保开机率为</w:t>
      </w:r>
      <w:r>
        <w:rPr>
          <w:rFonts w:ascii="宋体" w:hAnsi="宋体"/>
          <w:color w:val="000000"/>
          <w:sz w:val="24"/>
          <w:u w:val="single"/>
        </w:rPr>
        <w:t xml:space="preserve">97% </w:t>
      </w:r>
      <w:r>
        <w:rPr>
          <w:rFonts w:hint="eastAsia" w:ascii="宋体" w:hAnsi="宋体"/>
          <w:color w:val="000000"/>
          <w:sz w:val="24"/>
        </w:rPr>
        <w:t>以上，如达不到此要求，即相应延长保修期，乙方在保修期内应提供每年</w:t>
      </w:r>
      <w:r>
        <w:rPr>
          <w:rFonts w:ascii="宋体" w:hAnsi="宋体"/>
          <w:color w:val="000000"/>
          <w:sz w:val="24"/>
          <w:u w:val="single"/>
        </w:rPr>
        <w:t xml:space="preserve">     </w:t>
      </w:r>
      <w:r>
        <w:rPr>
          <w:rFonts w:hint="eastAsia" w:ascii="宋体" w:hAnsi="宋体"/>
          <w:color w:val="000000"/>
          <w:sz w:val="24"/>
        </w:rPr>
        <w:t>次定期预防性维护,乙方工程师向甲方提供定期保养报告。</w:t>
      </w:r>
    </w:p>
    <w:p w14:paraId="71F464A0">
      <w:pPr>
        <w:spacing w:line="360" w:lineRule="auto"/>
        <w:rPr>
          <w:rFonts w:ascii="宋体" w:hAnsi="宋体"/>
          <w:color w:val="000000"/>
          <w:sz w:val="24"/>
        </w:rPr>
      </w:pPr>
      <w:r>
        <w:rPr>
          <w:rFonts w:hint="eastAsia" w:ascii="宋体" w:hAnsi="宋体"/>
          <w:color w:val="000000"/>
          <w:sz w:val="24"/>
        </w:rPr>
        <w:t>6.3乙方收到甲方提出的报修要求后，应在_</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小时内到达甲方现场，履行维修义务（不可抗力除外）。</w:t>
      </w:r>
    </w:p>
    <w:p w14:paraId="47C55359">
      <w:pPr>
        <w:spacing w:line="360" w:lineRule="auto"/>
        <w:rPr>
          <w:rFonts w:ascii="宋体" w:hAnsi="宋体"/>
          <w:color w:val="000000"/>
          <w:sz w:val="24"/>
        </w:rPr>
      </w:pPr>
      <w:r>
        <w:rPr>
          <w:rFonts w:hint="eastAsia" w:ascii="宋体" w:hAnsi="宋体"/>
          <w:color w:val="000000"/>
          <w:sz w:val="24"/>
        </w:rPr>
        <w:t>6.4保修期满后，甲方有权与原厂</w:t>
      </w:r>
      <w:r>
        <w:rPr>
          <w:rFonts w:ascii="宋体" w:hAnsi="宋体"/>
          <w:color w:val="000000"/>
          <w:sz w:val="24"/>
        </w:rPr>
        <w:t>或原厂授权第三方</w:t>
      </w:r>
      <w:r>
        <w:rPr>
          <w:rFonts w:hint="eastAsia" w:ascii="宋体" w:hAnsi="宋体"/>
          <w:color w:val="000000"/>
          <w:sz w:val="24"/>
        </w:rPr>
        <w:t>另行签订保修协议，但乙方承诺保修期满后，原厂</w:t>
      </w:r>
      <w:r>
        <w:rPr>
          <w:rFonts w:ascii="宋体" w:hAnsi="宋体"/>
          <w:color w:val="000000"/>
          <w:sz w:val="24"/>
        </w:rPr>
        <w:t>或原厂授权第三方</w:t>
      </w:r>
      <w:r>
        <w:rPr>
          <w:rFonts w:hint="eastAsia" w:ascii="宋体" w:hAnsi="宋体"/>
          <w:color w:val="000000"/>
          <w:sz w:val="24"/>
        </w:rPr>
        <w:t>为甲方提供的保修人工费、差旅费等总维修费用为单次故障不高于_</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__</w:t>
      </w:r>
      <w:r>
        <w:rPr>
          <w:rFonts w:hint="eastAsia" w:ascii="宋体" w:hAnsi="宋体"/>
          <w:color w:val="000000"/>
          <w:sz w:val="24"/>
        </w:rPr>
        <w:t>_元，年度保修合同（全保）价不高于本合同器械总价的_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%，年度定期预防性维护保养次数，不少于_</w:t>
      </w:r>
      <w:r>
        <w:rPr>
          <w:rFonts w:hint="eastAsia" w:ascii="宋体" w:hAnsi="宋体"/>
          <w:color w:val="000000"/>
          <w:sz w:val="24"/>
          <w:u w:val="single"/>
        </w:rPr>
        <w:t xml:space="preserve"> </w:t>
      </w:r>
      <w:r>
        <w:rPr>
          <w:rFonts w:hint="eastAsia" w:ascii="宋体" w:hAnsi="宋体"/>
          <w:color w:val="000000"/>
          <w:sz w:val="24"/>
        </w:rPr>
        <w:t>_次。如原厂</w:t>
      </w:r>
      <w:r>
        <w:rPr>
          <w:rFonts w:ascii="宋体" w:hAnsi="宋体"/>
          <w:color w:val="000000"/>
          <w:sz w:val="24"/>
        </w:rPr>
        <w:t>或原厂授权第三方不能</w:t>
      </w:r>
      <w:r>
        <w:rPr>
          <w:rFonts w:hint="eastAsia" w:ascii="宋体" w:hAnsi="宋体"/>
          <w:color w:val="000000"/>
          <w:sz w:val="24"/>
        </w:rPr>
        <w:t>履行</w:t>
      </w:r>
      <w:r>
        <w:rPr>
          <w:rFonts w:ascii="宋体" w:hAnsi="宋体"/>
          <w:color w:val="000000"/>
          <w:sz w:val="24"/>
        </w:rPr>
        <w:t>以上承诺，</w:t>
      </w:r>
      <w:r>
        <w:rPr>
          <w:rFonts w:hint="eastAsia" w:ascii="宋体" w:hAnsi="宋体"/>
          <w:color w:val="000000"/>
          <w:sz w:val="24"/>
        </w:rPr>
        <w:t>乙方并负责因此而产生的一切直接损失和</w:t>
      </w:r>
      <w:r>
        <w:rPr>
          <w:rFonts w:ascii="宋体" w:hAnsi="宋体"/>
          <w:color w:val="000000"/>
          <w:sz w:val="24"/>
        </w:rPr>
        <w:t>费用</w:t>
      </w:r>
      <w:r>
        <w:rPr>
          <w:rFonts w:hint="eastAsia" w:ascii="宋体" w:hAnsi="宋体"/>
          <w:color w:val="000000"/>
          <w:sz w:val="24"/>
        </w:rPr>
        <w:t>。</w:t>
      </w:r>
    </w:p>
    <w:p w14:paraId="781B55AB">
      <w:pPr>
        <w:spacing w:line="360" w:lineRule="auto"/>
        <w:rPr>
          <w:rFonts w:ascii="宋体" w:hAnsi="宋体"/>
          <w:color w:val="000000"/>
          <w:sz w:val="24"/>
        </w:rPr>
      </w:pPr>
      <w:r>
        <w:rPr>
          <w:rFonts w:hint="eastAsia" w:ascii="宋体" w:hAnsi="宋体"/>
          <w:color w:val="000000"/>
          <w:sz w:val="24"/>
        </w:rPr>
        <w:t>6.5乙方负责器械的终身维修并应继续提供优质的服务，储备足够的零配件备库，保修期满后，以_5</w:t>
      </w:r>
      <w:r>
        <w:rPr>
          <w:rFonts w:hint="eastAsia" w:ascii="宋体" w:hAnsi="宋体"/>
          <w:color w:val="000000"/>
          <w:sz w:val="24"/>
          <w:u w:val="single"/>
        </w:rPr>
        <w:t>_折</w:t>
      </w:r>
      <w:r>
        <w:rPr>
          <w:rFonts w:hint="eastAsia" w:ascii="宋体" w:hAnsi="宋体"/>
          <w:color w:val="000000"/>
          <w:sz w:val="24"/>
        </w:rPr>
        <w:t>的优惠价供应维修零配件，消耗品的供应应由双方另设协议决定。</w:t>
      </w:r>
    </w:p>
    <w:p w14:paraId="4BB2873E">
      <w:pPr>
        <w:spacing w:line="360" w:lineRule="auto"/>
        <w:rPr>
          <w:rFonts w:ascii="宋体" w:hAnsi="宋体"/>
          <w:color w:val="000000"/>
          <w:sz w:val="24"/>
        </w:rPr>
      </w:pPr>
      <w:r>
        <w:rPr>
          <w:rFonts w:hint="eastAsia" w:ascii="宋体" w:hAnsi="宋体"/>
          <w:color w:val="000000"/>
          <w:sz w:val="24"/>
        </w:rPr>
        <w:t>6.6 乙方承诺无条件接受18号令的相关条款规定（即“医疗器械使用质量监督管理办法”）。</w:t>
      </w:r>
    </w:p>
    <w:p w14:paraId="1AFB34C3">
      <w:pPr>
        <w:spacing w:line="360" w:lineRule="auto"/>
        <w:rPr>
          <w:rFonts w:ascii="宋体" w:hAnsi="宋体"/>
          <w:b/>
          <w:bCs/>
          <w:color w:val="000000"/>
          <w:sz w:val="24"/>
        </w:rPr>
      </w:pPr>
      <w:r>
        <w:rPr>
          <w:rFonts w:hint="eastAsia" w:ascii="宋体" w:hAnsi="宋体"/>
          <w:b/>
          <w:bCs/>
          <w:color w:val="000000"/>
          <w:sz w:val="24"/>
        </w:rPr>
        <w:t>7.索赔条款</w:t>
      </w:r>
    </w:p>
    <w:p w14:paraId="3223CB26">
      <w:pPr>
        <w:spacing w:line="360" w:lineRule="auto"/>
        <w:rPr>
          <w:rFonts w:ascii="宋体" w:hAnsi="宋体"/>
          <w:color w:val="000000"/>
          <w:sz w:val="24"/>
        </w:rPr>
      </w:pPr>
      <w:r>
        <w:rPr>
          <w:rFonts w:hint="eastAsia" w:ascii="宋体" w:hAnsi="宋体"/>
          <w:color w:val="000000"/>
          <w:sz w:val="24"/>
        </w:rPr>
        <w:t>7.1 如经国家食品药品监督管理局或质监部门检验确认器械不符合本合同约定或国家标准，且发生本合同质量问题且在一个月内乙方不能满足甲方需要的，甲方有权选择下列方式之一要求乙方进行补救：</w:t>
      </w:r>
    </w:p>
    <w:p w14:paraId="22352E06">
      <w:pPr>
        <w:spacing w:line="360" w:lineRule="auto"/>
        <w:rPr>
          <w:rFonts w:ascii="宋体" w:hAnsi="宋体"/>
          <w:color w:val="000000"/>
          <w:sz w:val="24"/>
        </w:rPr>
      </w:pPr>
      <w:r>
        <w:rPr>
          <w:rFonts w:hint="eastAsia" w:ascii="宋体" w:hAnsi="宋体"/>
          <w:color w:val="000000"/>
          <w:sz w:val="24"/>
        </w:rPr>
        <w:t>7.1.1同意甲方退货，及时为甲方办理退货手续，并将全额货款在器械被确认为不符合合同约定之日起________日内偿还给甲方，并由乙方负担因退货而发生的一切直接损失和费用。</w:t>
      </w:r>
    </w:p>
    <w:p w14:paraId="6D335F03">
      <w:pPr>
        <w:spacing w:line="360" w:lineRule="auto"/>
        <w:rPr>
          <w:rFonts w:ascii="宋体" w:hAnsi="宋体"/>
          <w:color w:val="000000"/>
          <w:sz w:val="24"/>
        </w:rPr>
      </w:pPr>
      <w:r>
        <w:rPr>
          <w:rFonts w:hint="eastAsia" w:ascii="宋体" w:hAnsi="宋体"/>
          <w:color w:val="000000"/>
          <w:sz w:val="24"/>
        </w:rPr>
        <w:t>7.1.2按照器械的疵劣程度、损坏的范围和甲方所遭受的损失，乙方折价收取或在器械被确认为不符合同约定之日起_____________日内向甲方返还已收取的部分货款。</w:t>
      </w:r>
    </w:p>
    <w:p w14:paraId="66D0F730">
      <w:pPr>
        <w:spacing w:line="360" w:lineRule="auto"/>
        <w:rPr>
          <w:rFonts w:ascii="宋体" w:hAnsi="宋体"/>
          <w:color w:val="000000"/>
          <w:sz w:val="24"/>
        </w:rPr>
      </w:pPr>
      <w:r>
        <w:rPr>
          <w:rFonts w:hint="eastAsia" w:ascii="宋体" w:hAnsi="宋体"/>
          <w:color w:val="000000"/>
          <w:sz w:val="24"/>
        </w:rPr>
        <w:t>7.1.3乙方应在器械被确认为不符合同约定之日起______日内调换有瑕疵的器械，换货必须全新并符合本合同规定的规格，质量和性能等，乙方并负责因此而产生的一切费用和甲方的一切直接损失。</w:t>
      </w:r>
    </w:p>
    <w:p w14:paraId="79A7EB70">
      <w:pPr>
        <w:spacing w:line="360" w:lineRule="auto"/>
        <w:rPr>
          <w:rFonts w:ascii="宋体" w:hAnsi="宋体"/>
          <w:color w:val="000000"/>
          <w:sz w:val="24"/>
        </w:rPr>
      </w:pPr>
      <w:r>
        <w:rPr>
          <w:rFonts w:hint="eastAsia" w:ascii="宋体" w:hAnsi="宋体"/>
          <w:color w:val="000000"/>
          <w:sz w:val="24"/>
        </w:rPr>
        <w:t>7.2如果乙方没有按照合同规定的时间交货和提供服务（包括售后服务），甲方应从货款中扣除误期赔偿费或想乙方追偿损失而不影响合同项下的其他补救办法。乙方发生延期交货和延期服务或延期退款的，每逾期一日按器械合同总价的千分之三向甲方支付赔偿金，直至交货或提供服务为止,但误期赔偿费的最高限额不超过合同价的百分之五（5％）。如乙方超过约定期限15天仍不交货或提供服务的，甲方有权终止合同并要求退货退款，乙方应在甲方要求终止本协议之日起_______日内将甲方已付货款返还至甲方。</w:t>
      </w:r>
    </w:p>
    <w:p w14:paraId="3A002352">
      <w:pPr>
        <w:spacing w:line="360" w:lineRule="auto"/>
        <w:rPr>
          <w:rFonts w:ascii="宋体" w:hAnsi="宋体"/>
          <w:color w:val="000000"/>
          <w:sz w:val="24"/>
        </w:rPr>
      </w:pPr>
      <w:r>
        <w:rPr>
          <w:rFonts w:hint="eastAsia" w:ascii="宋体" w:hAnsi="宋体"/>
          <w:color w:val="000000"/>
          <w:sz w:val="24"/>
        </w:rPr>
        <w:t>7.3乙方应保证甲方和使用单位在使用该器械或其任何一部分时免受第三方提出侵犯其专利权、商标权或工业产权的起诉。</w:t>
      </w:r>
    </w:p>
    <w:p w14:paraId="3257CF8A">
      <w:pPr>
        <w:spacing w:line="360" w:lineRule="auto"/>
        <w:rPr>
          <w:rFonts w:ascii="宋体" w:hAnsi="宋体"/>
          <w:color w:val="000000"/>
          <w:sz w:val="24"/>
        </w:rPr>
      </w:pPr>
      <w:r>
        <w:rPr>
          <w:rFonts w:hint="eastAsia" w:ascii="宋体" w:hAnsi="宋体"/>
          <w:color w:val="000000"/>
          <w:sz w:val="24"/>
        </w:rPr>
        <w:t>7.4乙方应该在设备验收合格后，即甲方签署验收合格报告后一个月以内向甲方提交设备货款发票，如果乙方没按合同规定时间的时间递交发票，每逾期一日按合同总价的千分之三向甲方支付赔偿金，直至乙方提交发票止,但误期赔偿费的最高限额不超过合同价的百分之五（5％）。如乙方超过约定期限3个月仍不提交设备货款发票，甲方有权终止合同付款。</w:t>
      </w:r>
    </w:p>
    <w:p w14:paraId="6DC1B74C">
      <w:pPr>
        <w:spacing w:line="360" w:lineRule="auto"/>
        <w:rPr>
          <w:rFonts w:ascii="宋体" w:hAnsi="宋体"/>
          <w:b/>
          <w:bCs/>
          <w:color w:val="000000"/>
          <w:sz w:val="24"/>
        </w:rPr>
      </w:pPr>
      <w:r>
        <w:rPr>
          <w:rFonts w:hint="eastAsia" w:ascii="宋体" w:hAnsi="宋体"/>
          <w:b/>
          <w:bCs/>
          <w:color w:val="000000"/>
          <w:sz w:val="24"/>
        </w:rPr>
        <w:t>8.争端的解决</w:t>
      </w:r>
    </w:p>
    <w:p w14:paraId="3BA1DA77">
      <w:pPr>
        <w:spacing w:line="360" w:lineRule="auto"/>
        <w:rPr>
          <w:rFonts w:ascii="宋体" w:hAnsi="宋体"/>
          <w:color w:val="000000"/>
          <w:sz w:val="24"/>
        </w:rPr>
      </w:pPr>
      <w:r>
        <w:rPr>
          <w:rFonts w:hint="eastAsia" w:ascii="宋体" w:hAnsi="宋体"/>
          <w:color w:val="000000"/>
          <w:sz w:val="24"/>
        </w:rPr>
        <w:t>双方如在履行合同中发生纠纷,首先应友好协商，协商不成，双方均有权向甲方所在地人民法院起诉。</w:t>
      </w:r>
    </w:p>
    <w:p w14:paraId="4B46EACF">
      <w:pPr>
        <w:spacing w:line="360" w:lineRule="auto"/>
        <w:rPr>
          <w:rFonts w:ascii="宋体" w:hAnsi="宋体"/>
          <w:b/>
          <w:bCs/>
          <w:color w:val="000000"/>
          <w:sz w:val="24"/>
        </w:rPr>
      </w:pPr>
      <w:r>
        <w:rPr>
          <w:rFonts w:hint="eastAsia" w:ascii="宋体" w:hAnsi="宋体"/>
          <w:b/>
          <w:bCs/>
          <w:color w:val="000000"/>
          <w:sz w:val="24"/>
        </w:rPr>
        <w:t>9.合同生效</w:t>
      </w:r>
    </w:p>
    <w:p w14:paraId="7AAAF065">
      <w:pPr>
        <w:spacing w:line="360" w:lineRule="auto"/>
        <w:rPr>
          <w:rFonts w:ascii="宋体" w:hAnsi="宋体"/>
          <w:color w:val="000000"/>
          <w:sz w:val="24"/>
        </w:rPr>
      </w:pPr>
      <w:r>
        <w:rPr>
          <w:rFonts w:hint="eastAsia" w:ascii="宋体" w:hAnsi="宋体"/>
          <w:color w:val="000000"/>
          <w:sz w:val="24"/>
        </w:rPr>
        <w:t>9.1 本合同在甲、乙双方签字盖章后生效。</w:t>
      </w:r>
    </w:p>
    <w:p w14:paraId="0AD553CC">
      <w:pPr>
        <w:spacing w:line="360" w:lineRule="auto"/>
        <w:rPr>
          <w:rFonts w:ascii="宋体" w:hAnsi="宋体"/>
          <w:color w:val="000000"/>
          <w:sz w:val="24"/>
        </w:rPr>
      </w:pPr>
      <w:r>
        <w:rPr>
          <w:rFonts w:hint="eastAsia" w:ascii="宋体" w:hAnsi="宋体"/>
          <w:color w:val="000000"/>
          <w:sz w:val="24"/>
        </w:rPr>
        <w:t>9.2 本合同一式_肆_份，以中文为准，签约双方甲方执叁份，乙方执壹份，具有相同的法律效应。</w:t>
      </w:r>
    </w:p>
    <w:p w14:paraId="34FC6B63">
      <w:pPr>
        <w:spacing w:line="360" w:lineRule="auto"/>
        <w:rPr>
          <w:rFonts w:ascii="宋体" w:hAnsi="宋体"/>
          <w:color w:val="000000"/>
          <w:sz w:val="24"/>
        </w:rPr>
      </w:pPr>
      <w:r>
        <w:rPr>
          <w:rFonts w:hint="eastAsia" w:ascii="宋体" w:hAnsi="宋体"/>
          <w:b/>
          <w:bCs/>
          <w:color w:val="000000"/>
          <w:sz w:val="24"/>
        </w:rPr>
        <w:t xml:space="preserve">10.合同附件 </w:t>
      </w:r>
      <w:r>
        <w:rPr>
          <w:rFonts w:hint="eastAsia" w:ascii="宋体" w:hAnsi="宋体"/>
          <w:color w:val="000000"/>
          <w:sz w:val="24"/>
        </w:rPr>
        <w:t>合同附件是合同的不可分割的组成部分，与合同具有同等法律效力,合同附件与本合同内容一致。</w:t>
      </w:r>
    </w:p>
    <w:p w14:paraId="52B08A3C">
      <w:pPr>
        <w:spacing w:line="360" w:lineRule="auto"/>
        <w:rPr>
          <w:rFonts w:ascii="宋体" w:hAnsi="宋体"/>
          <w:color w:val="000000"/>
          <w:sz w:val="24"/>
        </w:rPr>
      </w:pPr>
      <w:r>
        <w:rPr>
          <w:rFonts w:hint="eastAsia" w:ascii="宋体" w:hAnsi="宋体"/>
          <w:color w:val="000000"/>
          <w:sz w:val="24"/>
        </w:rPr>
        <w:t xml:space="preserve">10.1配置清单      </w:t>
      </w:r>
      <w:r>
        <w:rPr>
          <w:rFonts w:hint="eastAsia" w:ascii="宋体" w:hAnsi="宋体"/>
          <w:b/>
          <w:color w:val="000000"/>
          <w:sz w:val="24"/>
        </w:rPr>
        <w:t xml:space="preserve">  </w:t>
      </w:r>
      <w:r>
        <w:rPr>
          <w:rFonts w:hint="eastAsia" w:ascii="宋体" w:hAnsi="宋体"/>
          <w:color w:val="000000"/>
          <w:sz w:val="24"/>
        </w:rPr>
        <w:t xml:space="preserve">设备器械的配置清单         </w:t>
      </w:r>
    </w:p>
    <w:p w14:paraId="59B3EE65">
      <w:pPr>
        <w:spacing w:line="360" w:lineRule="auto"/>
        <w:rPr>
          <w:rFonts w:ascii="宋体" w:hAnsi="宋体"/>
          <w:color w:val="000000"/>
          <w:sz w:val="24"/>
        </w:rPr>
      </w:pPr>
      <w:r>
        <w:rPr>
          <w:rFonts w:hint="eastAsia" w:ascii="宋体" w:hAnsi="宋体"/>
          <w:color w:val="000000"/>
          <w:sz w:val="24"/>
        </w:rPr>
        <w:t xml:space="preserve">10.2技术标准        投标文件的技术响应     设备器械技术说明   </w:t>
      </w:r>
    </w:p>
    <w:p w14:paraId="66CD8749">
      <w:pPr>
        <w:spacing w:line="360" w:lineRule="auto"/>
        <w:rPr>
          <w:rFonts w:ascii="宋体" w:hAnsi="宋体"/>
          <w:color w:val="000000"/>
          <w:sz w:val="24"/>
        </w:rPr>
      </w:pPr>
      <w:r>
        <w:rPr>
          <w:rFonts w:hint="eastAsia" w:ascii="宋体" w:hAnsi="宋体"/>
          <w:color w:val="000000"/>
          <w:sz w:val="24"/>
        </w:rPr>
        <w:t xml:space="preserve">10.3招投标文件      评标报告               中标通知书      </w:t>
      </w:r>
    </w:p>
    <w:p w14:paraId="75CBD940">
      <w:pPr>
        <w:spacing w:line="360" w:lineRule="auto"/>
        <w:rPr>
          <w:rFonts w:ascii="宋体" w:hAnsi="宋体"/>
          <w:color w:val="000000"/>
          <w:sz w:val="24"/>
        </w:rPr>
      </w:pPr>
      <w:r>
        <w:rPr>
          <w:rFonts w:hint="eastAsia" w:ascii="宋体" w:hAnsi="宋体"/>
          <w:color w:val="000000"/>
          <w:sz w:val="24"/>
        </w:rPr>
        <w:t>10.4售后服务承诺书     等等</w:t>
      </w:r>
    </w:p>
    <w:p w14:paraId="285A755F">
      <w:pPr>
        <w:spacing w:line="360" w:lineRule="auto"/>
        <w:rPr>
          <w:rFonts w:ascii="宋体" w:hAnsi="宋体"/>
          <w:color w:val="000000"/>
          <w:sz w:val="24"/>
        </w:rPr>
      </w:pPr>
      <w:r>
        <w:rPr>
          <w:rFonts w:hint="eastAsia" w:ascii="宋体" w:hAnsi="宋体"/>
          <w:b/>
          <w:bCs/>
          <w:color w:val="000000"/>
          <w:sz w:val="24"/>
        </w:rPr>
        <w:t>11.</w:t>
      </w:r>
      <w:r>
        <w:rPr>
          <w:rFonts w:hint="eastAsia" w:ascii="宋体" w:hAnsi="宋体"/>
          <w:b/>
          <w:color w:val="000000"/>
          <w:sz w:val="24"/>
        </w:rPr>
        <w:t>特别约定</w:t>
      </w:r>
      <w:r>
        <w:rPr>
          <w:rFonts w:hint="eastAsia" w:ascii="宋体" w:hAnsi="宋体"/>
          <w:b/>
          <w:color w:val="000000"/>
          <w:sz w:val="24"/>
          <w:u w:val="single"/>
        </w:rPr>
        <w:t xml:space="preserve">                                                                      </w:t>
      </w:r>
    </w:p>
    <w:p w14:paraId="31558093">
      <w:pPr>
        <w:spacing w:line="360" w:lineRule="auto"/>
        <w:rPr>
          <w:rFonts w:ascii="宋体" w:hAnsi="宋体"/>
          <w:b/>
          <w:bCs/>
          <w:color w:val="000000"/>
          <w:sz w:val="24"/>
        </w:rPr>
      </w:pPr>
      <w:r>
        <w:rPr>
          <w:rFonts w:hint="eastAsia" w:ascii="宋体" w:hAnsi="宋体"/>
          <w:b/>
          <w:bCs/>
          <w:color w:val="000000"/>
          <w:sz w:val="24"/>
        </w:rPr>
        <w:t xml:space="preserve">甲方：                                           乙方： </w:t>
      </w:r>
    </w:p>
    <w:p w14:paraId="383250AF">
      <w:pPr>
        <w:spacing w:line="360" w:lineRule="auto"/>
        <w:rPr>
          <w:rFonts w:ascii="宋体" w:hAnsi="宋体"/>
          <w:b/>
          <w:bCs/>
          <w:color w:val="000000"/>
          <w:sz w:val="24"/>
        </w:rPr>
      </w:pPr>
      <w:r>
        <w:rPr>
          <w:rFonts w:hint="eastAsia" w:ascii="宋体" w:hAnsi="宋体"/>
          <w:b/>
          <w:bCs/>
          <w:color w:val="000000"/>
          <w:sz w:val="24"/>
        </w:rPr>
        <w:t>（盖章）                                          （盖章）</w:t>
      </w:r>
    </w:p>
    <w:p w14:paraId="7D4E15C6">
      <w:pPr>
        <w:spacing w:line="360" w:lineRule="auto"/>
        <w:rPr>
          <w:rFonts w:ascii="宋体" w:hAnsi="宋体"/>
          <w:b/>
          <w:bCs/>
          <w:color w:val="000000"/>
          <w:sz w:val="24"/>
        </w:rPr>
      </w:pPr>
      <w:r>
        <w:rPr>
          <w:rFonts w:hint="eastAsia" w:ascii="宋体" w:hAnsi="宋体"/>
          <w:b/>
          <w:bCs/>
          <w:color w:val="000000"/>
          <w:sz w:val="24"/>
        </w:rPr>
        <w:t>甲方法定代表人或授权委托人                        乙方法定代表人或授权委托人</w:t>
      </w:r>
    </w:p>
    <w:p w14:paraId="37A642B8">
      <w:pPr>
        <w:spacing w:line="360" w:lineRule="auto"/>
        <w:rPr>
          <w:rFonts w:ascii="宋体" w:hAnsi="宋体"/>
          <w:b/>
          <w:color w:val="000000"/>
          <w:sz w:val="24"/>
        </w:rPr>
      </w:pPr>
      <w:r>
        <w:rPr>
          <w:rFonts w:hint="eastAsia" w:ascii="宋体" w:hAnsi="宋体"/>
          <w:b/>
          <w:color w:val="000000"/>
          <w:sz w:val="24"/>
        </w:rPr>
        <w:t>__________________________                         __________________________</w:t>
      </w:r>
    </w:p>
    <w:p w14:paraId="005A5501">
      <w:pPr>
        <w:spacing w:line="360" w:lineRule="auto"/>
        <w:rPr>
          <w:rFonts w:ascii="宋体" w:hAnsi="宋体"/>
          <w:color w:val="000000"/>
          <w:sz w:val="24"/>
        </w:rPr>
      </w:pPr>
      <w:r>
        <w:rPr>
          <w:rFonts w:hint="eastAsia" w:ascii="宋体" w:hAnsi="宋体"/>
          <w:b/>
          <w:color w:val="000000"/>
          <w:sz w:val="24"/>
        </w:rPr>
        <w:t>日期：____________________                        日期：____________________</w:t>
      </w:r>
    </w:p>
    <w:p w14:paraId="247BB7C5">
      <w:pPr>
        <w:spacing w:line="360" w:lineRule="auto"/>
        <w:rPr>
          <w:rFonts w:ascii="宋体" w:hAnsi="宋体"/>
          <w:color w:val="000000"/>
          <w:sz w:val="24"/>
        </w:rPr>
      </w:pPr>
    </w:p>
    <w:p w14:paraId="3945C115">
      <w:pPr>
        <w:spacing w:line="360" w:lineRule="auto"/>
        <w:rPr>
          <w:rFonts w:ascii="宋体" w:hAnsi="宋体"/>
          <w:color w:val="000000"/>
          <w:sz w:val="24"/>
        </w:rPr>
      </w:pPr>
      <w:r>
        <w:rPr>
          <w:rFonts w:hint="eastAsia" w:ascii="宋体" w:hAnsi="宋体"/>
          <w:b/>
          <w:color w:val="000000"/>
          <w:sz w:val="24"/>
        </w:rPr>
        <w:t>注：</w:t>
      </w:r>
      <w:r>
        <w:rPr>
          <w:rFonts w:hint="eastAsia" w:ascii="宋体" w:hAnsi="宋体"/>
          <w:color w:val="000000"/>
          <w:sz w:val="24"/>
        </w:rPr>
        <w:t>投标人需对本购销合同条款逐条进行响应并填写。如有无法响应的条款，投标人需在商务条款响应/偏离表中进行明确，否则视为投标人全部响应购销合同要求。</w:t>
      </w:r>
    </w:p>
    <w:p w14:paraId="440D138D">
      <w:pPr>
        <w:spacing w:line="360" w:lineRule="auto"/>
        <w:rPr>
          <w:rFonts w:ascii="宋体" w:hAnsi="宋体"/>
          <w:sz w:val="24"/>
        </w:rPr>
      </w:pPr>
    </w:p>
    <w:p w14:paraId="44B3E8A8">
      <w:pPr>
        <w:pStyle w:val="4"/>
        <w:rPr>
          <w:rFonts w:ascii="宋体" w:hAnsi="宋体"/>
          <w:sz w:val="24"/>
          <w:szCs w:val="24"/>
        </w:rPr>
      </w:pPr>
    </w:p>
    <w:p w14:paraId="44F1461B">
      <w:pPr>
        <w:spacing w:line="360" w:lineRule="auto"/>
        <w:rPr>
          <w:rFonts w:ascii="宋体" w:hAnsi="宋体"/>
          <w:sz w:val="24"/>
          <w:szCs w:val="24"/>
        </w:rPr>
      </w:pPr>
      <w:r>
        <w:rPr>
          <w:rFonts w:hint="eastAsia" w:ascii="宋体" w:hAnsi="宋体"/>
          <w:sz w:val="24"/>
          <w:szCs w:val="24"/>
        </w:rPr>
        <w:t xml:space="preserve"> </w:t>
      </w:r>
    </w:p>
    <w:permEnd w:id="74"/>
    <w:p w14:paraId="771B41D0">
      <w:pPr>
        <w:spacing w:line="360" w:lineRule="auto"/>
        <w:jc w:val="left"/>
        <w:rPr>
          <w:rFonts w:ascii="宋体" w:hAnsi="宋体"/>
          <w:sz w:val="24"/>
          <w:szCs w:val="24"/>
        </w:rPr>
      </w:pPr>
    </w:p>
    <w:sectPr>
      <w:pgSz w:w="11907" w:h="16840"/>
      <w:pgMar w:top="1418" w:right="1302" w:bottom="1242" w:left="1260"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D5FF">
    <w:pPr>
      <w:pStyle w:val="26"/>
      <w:jc w:val="center"/>
    </w:pPr>
    <w:r>
      <w:fldChar w:fldCharType="begin"/>
    </w:r>
    <w:r>
      <w:instrText xml:space="preserve"> PAGE   \* MERGEFORMAT </w:instrText>
    </w:r>
    <w:r>
      <w:fldChar w:fldCharType="separate"/>
    </w:r>
    <w:r>
      <w:rPr>
        <w:lang w:val="zh-CN"/>
      </w:rPr>
      <w:t>1</w:t>
    </w:r>
    <w:r>
      <w:fldChar w:fldCharType="end"/>
    </w:r>
  </w:p>
  <w:p w14:paraId="17426A83">
    <w:pPr>
      <w:pStyle w:val="26"/>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2AE5">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77</w:t>
    </w:r>
    <w:r>
      <w:fldChar w:fldCharType="end"/>
    </w:r>
  </w:p>
  <w:p w14:paraId="096D664A">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6ECB">
    <w:pPr>
      <w:pStyle w:val="26"/>
      <w:jc w:val="center"/>
    </w:pPr>
    <w:r>
      <w:fldChar w:fldCharType="begin"/>
    </w:r>
    <w:r>
      <w:instrText xml:space="preserve"> PAGE   \* MERGEFORMAT </w:instrText>
    </w:r>
    <w:r>
      <w:fldChar w:fldCharType="separate"/>
    </w:r>
    <w:r>
      <w:rPr>
        <w:lang w:val="zh-CN"/>
      </w:rPr>
      <w:t>3</w:t>
    </w:r>
    <w:r>
      <w:fldChar w:fldCharType="end"/>
    </w:r>
  </w:p>
  <w:p w14:paraId="45B65091">
    <w:pPr>
      <w:pStyle w:val="26"/>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3559">
    <w:pPr>
      <w:pStyle w:val="26"/>
      <w:jc w:val="center"/>
    </w:pPr>
    <w:r>
      <w:fldChar w:fldCharType="begin"/>
    </w:r>
    <w:r>
      <w:instrText xml:space="preserve"> PAGE   \* MERGEFORMAT </w:instrText>
    </w:r>
    <w:r>
      <w:fldChar w:fldCharType="separate"/>
    </w:r>
    <w:r>
      <w:rPr>
        <w:lang w:val="zh-CN"/>
      </w:rPr>
      <w:t>35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C469">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77</w:t>
    </w:r>
    <w:r>
      <w:fldChar w:fldCharType="end"/>
    </w:r>
  </w:p>
  <w:p w14:paraId="1FC5B767">
    <w:pPr>
      <w:pStyle w:val="26"/>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7F19BA4A">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3763">
    <w:pPr>
      <w:pStyle w:val="27"/>
      <w:pBdr>
        <w:bottom w:val="single" w:color="auto" w:sz="4" w:space="1"/>
      </w:pBdr>
      <w:tabs>
        <w:tab w:val="clear" w:pos="4153"/>
        <w:tab w:val="clear" w:pos="8306"/>
      </w:tabs>
      <w:jc w:val="left"/>
      <w:rPr>
        <w:rFonts w:ascii="宋体" w:hAnsi="宋体"/>
        <w:szCs w:val="18"/>
      </w:rPr>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275830" cy="1454785"/>
              <wp:effectExtent l="0" t="2009775" r="0" b="2174240"/>
              <wp:wrapNone/>
              <wp:docPr id="6"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5830" cy="1454785"/>
                      </a:xfrm>
                      <a:prstGeom prst="rect">
                        <a:avLst/>
                      </a:prstGeom>
                    </wps:spPr>
                    <wps:txbx>
                      <w:txbxContent>
                        <w:p w14:paraId="62B10216">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wps:txbx>
                    <wps:bodyPr wrap="square" numCol="1" fromWordArt="1">
                      <a:prstTxWarp prst="textPlain">
                        <a:avLst>
                          <a:gd name="adj" fmla="val 50000"/>
                        </a:avLst>
                      </a:prstTxWarp>
                      <a:spAutoFit/>
                    </wps:bodyPr>
                  </wps:wsp>
                </a:graphicData>
              </a:graphic>
            </wp:anchor>
          </w:drawing>
        </mc:Choice>
        <mc:Fallback>
          <w:pict>
            <v:shape id="WordArt 6" o:spid="_x0000_s1026" o:spt="202" type="#_x0000_t202" style="position:absolute;left:0pt;height:114.55pt;width:572.9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KJTH1QAAAAYBAAAPAAAA&#10;AAAAAAEAIAAAACIAAABkcnMvZG93bnJldi54bWxQSwECFAAUAAAACACHTuJABEBUZBgCAAA3BAAA&#10;DgAAAAAAAAABACAAAAAkAQAAZHJzL2Uyb0RvYy54bWxQSwUGAAAAAAYABgBZAQAArgUAAAAA&#10;" adj="10800">
              <v:fill on="f" focussize="0,0"/>
              <v:stroke on="f"/>
              <v:imagedata o:title=""/>
              <o:lock v:ext="edit" text="t" aspectratio="f"/>
              <v:textbox style="mso-fit-shape-to-text:t;">
                <w:txbxContent>
                  <w:p w14:paraId="62B10216">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v:textbox>
            </v:shape>
          </w:pict>
        </mc:Fallback>
      </mc:AlternateContent>
    </w:r>
    <w:r>
      <w:rPr>
        <w:rFonts w:hint="eastAsia" w:ascii="宋体" w:hAnsi="宋体"/>
        <w:szCs w:val="18"/>
      </w:rPr>
      <w:t>招标编号：</w:t>
    </w:r>
    <w:r>
      <w:rPr>
        <w:rFonts w:ascii="宋体" w:hAnsi="宋体"/>
        <w:szCs w:val="18"/>
      </w:rPr>
      <w:t>0811-</w:t>
    </w:r>
    <w:permStart w:id="75" w:edGrp="everyone"/>
    <w:r>
      <w:rPr>
        <w:rFonts w:hint="eastAsia" w:ascii="宋体" w:hAnsi="宋体"/>
        <w:szCs w:val="18"/>
      </w:rPr>
      <w:t>244DSITC2133</w:t>
    </w:r>
    <w:permEnd w:id="75"/>
    <w:r>
      <w:rPr>
        <w:rFonts w:hint="eastAsia" w:ascii="宋体" w:hAnsi="宋体"/>
        <w:szCs w:val="18"/>
      </w:rPr>
      <w:t>；项目名称：</w:t>
    </w:r>
    <w:permStart w:id="76" w:edGrp="everyone"/>
    <w:r>
      <w:rPr>
        <w:rFonts w:hint="eastAsia" w:ascii="Arial" w:hAnsi="Arial" w:cs="Arial"/>
        <w:szCs w:val="18"/>
      </w:rPr>
      <w:t>体外冲击波心血管治疗系统</w:t>
    </w:r>
    <w:permEnd w:id="76"/>
    <w:r>
      <w:rPr>
        <w:rFonts w:hint="eastAsia" w:ascii="宋体" w:hAnsi="宋体"/>
        <w:szCs w:val="18"/>
      </w:rPr>
      <w:t>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1523">
    <w:pPr>
      <w:pStyle w:val="27"/>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275830" cy="1454785"/>
              <wp:effectExtent l="0" t="2009775" r="0" b="2174240"/>
              <wp:wrapNone/>
              <wp:docPr id="7" name="WordArt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5830" cy="1454785"/>
                      </a:xfrm>
                      <a:prstGeom prst="rect">
                        <a:avLst/>
                      </a:prstGeom>
                    </wps:spPr>
                    <wps:txbx>
                      <w:txbxContent>
                        <w:p w14:paraId="03918B4A">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wps:txbx>
                    <wps:bodyPr wrap="square" numCol="1" fromWordArt="1">
                      <a:prstTxWarp prst="textPlain">
                        <a:avLst>
                          <a:gd name="adj" fmla="val 50000"/>
                        </a:avLst>
                      </a:prstTxWarp>
                      <a:spAutoFit/>
                    </wps:bodyPr>
                  </wps:wsp>
                </a:graphicData>
              </a:graphic>
            </wp:anchor>
          </w:drawing>
        </mc:Choice>
        <mc:Fallback>
          <w:pict>
            <v:shape id="WordArt 7" o:spid="_x0000_s1026" o:spt="202" type="#_x0000_t202" style="position:absolute;left:0pt;height:114.55pt;width:572.9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KJTH1QAAAAYBAAAPAAAA&#10;AAAAAAEAIAAAACIAAABkcnMvZG93bnJldi54bWxQSwECFAAUAAAACACHTuJATEEG8xgCAAA3BAAA&#10;DgAAAAAAAAABACAAAAAkAQAAZHJzL2Uyb0RvYy54bWxQSwUGAAAAAAYABgBZAQAArgUAAAAA&#10;" adj="10800">
              <v:fill on="f" focussize="0,0"/>
              <v:stroke on="f"/>
              <v:imagedata o:title=""/>
              <o:lock v:ext="edit" text="t" aspectratio="f"/>
              <v:textbox style="mso-fit-shape-to-text:t;">
                <w:txbxContent>
                  <w:p w14:paraId="03918B4A">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3FD5">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CBFB">
    <w:pPr>
      <w:pStyle w:val="27"/>
    </w:pP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275830" cy="1454785"/>
              <wp:effectExtent l="0" t="2009775" r="0" b="2174240"/>
              <wp:wrapNone/>
              <wp:docPr id="5"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5830" cy="1454785"/>
                      </a:xfrm>
                      <a:prstGeom prst="rect">
                        <a:avLst/>
                      </a:prstGeom>
                    </wps:spPr>
                    <wps:txbx>
                      <w:txbxContent>
                        <w:p w14:paraId="74C146A3">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114.55pt;width:572.9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KJTH1QAAAAYBAAAPAAAA&#10;AAAAAAEAIAAAACIAAABkcnMvZG93bnJldi54bWxQSwECFAAUAAAACACHTuJAPSZgQxgCAAA3BAAA&#10;DgAAAAAAAAABACAAAAAkAQAAZHJzL2Uyb0RvYy54bWxQSwUGAAAAAAYABgBZAQAArgUAAAAA&#10;" adj="10800">
              <v:fill on="f" focussize="0,0"/>
              <v:stroke on="f"/>
              <v:imagedata o:title=""/>
              <o:lock v:ext="edit" text="t" aspectratio="f"/>
              <v:textbox style="mso-fit-shape-to-text:t;">
                <w:txbxContent>
                  <w:p w14:paraId="74C146A3">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E509">
    <w:pPr>
      <w:pStyle w:val="27"/>
    </w:pP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275830" cy="1454785"/>
              <wp:effectExtent l="0" t="2009775" r="0" b="2174240"/>
              <wp:wrapNone/>
              <wp:docPr id="4"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5830" cy="1454785"/>
                      </a:xfrm>
                      <a:prstGeom prst="rect">
                        <a:avLst/>
                      </a:prstGeom>
                    </wps:spPr>
                    <wps:txbx>
                      <w:txbxContent>
                        <w:p w14:paraId="718BD57C">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height:114.55pt;width:572.9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KJTH1QAAAAYBAAAPAAAA&#10;AAAAAAEAIAAAACIAAABkcnMvZG93bnJldi54bWxQSwECFAAUAAAACACHTuJA9GjokhgCAAA3BAAA&#10;DgAAAAAAAAABACAAAAAkAQAAZHJzL2Uyb0RvYy54bWxQSwUGAAAAAAYABgBZAQAArgUAAAAA&#10;" adj="10800">
              <v:fill on="f" focussize="0,0"/>
              <v:stroke on="f"/>
              <v:imagedata o:title=""/>
              <o:lock v:ext="edit" text="t" aspectratio="f"/>
              <v:textbox style="mso-fit-shape-to-text:t;">
                <w:txbxContent>
                  <w:p w14:paraId="718BD57C">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2BD59">
    <w:pPr>
      <w:pStyle w:val="27"/>
    </w:pP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275830" cy="1454785"/>
              <wp:effectExtent l="0" t="2009775" r="0" b="2174240"/>
              <wp:wrapNone/>
              <wp:docPr id="3"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5830" cy="1454785"/>
                      </a:xfrm>
                      <a:prstGeom prst="rect">
                        <a:avLst/>
                      </a:prstGeom>
                    </wps:spPr>
                    <wps:txbx>
                      <w:txbxContent>
                        <w:p w14:paraId="418E5FD7">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114.55pt;width:572.9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KJTH1QAAAAYBAAAPAAAA&#10;AAAAAAEAIAAAACIAAABkcnMvZG93bnJldi54bWxQSwECFAAUAAAACACHTuJADy1uhhgCAAA3BAAA&#10;DgAAAAAAAAABACAAAAAkAQAAZHJzL2Uyb0RvYy54bWxQSwUGAAAAAAYABgBZAQAArgUAAAAA&#10;" adj="10800">
              <v:fill on="f" focussize="0,0"/>
              <v:stroke on="f"/>
              <v:imagedata o:title=""/>
              <o:lock v:ext="edit" text="t" aspectratio="f"/>
              <v:textbox style="mso-fit-shape-to-text:t;">
                <w:txbxContent>
                  <w:p w14:paraId="418E5FD7">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A27CD">
    <w:pPr>
      <w:pStyle w:val="27"/>
    </w:pP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275830" cy="1454785"/>
              <wp:effectExtent l="0" t="2009775" r="0" b="2174240"/>
              <wp:wrapNone/>
              <wp:docPr id="2"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5830" cy="1454785"/>
                      </a:xfrm>
                      <a:prstGeom prst="rect">
                        <a:avLst/>
                      </a:prstGeom>
                    </wps:spPr>
                    <wps:txbx>
                      <w:txbxContent>
                        <w:p w14:paraId="180FFA8F">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114.55pt;width:572.9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8KJTH1QAAAAYBAAAP&#10;AAAAAAAAAAEAIAAAACIAAABkcnMvZG93bnJldi54bWxQSwECFAAUAAAACACHTuJAB+tamhsCAAA3&#10;BAAADgAAAAAAAAABACAAAAAkAQAAZHJzL2Uyb0RvYy54bWxQSwUGAAAAAAYABgBZAQAAsQUAAAAA&#10;" adj="10800">
              <v:fill on="f" focussize="0,0"/>
              <v:stroke on="f"/>
              <v:imagedata o:title=""/>
              <o:lock v:ext="edit" text="t" aspectratio="f"/>
              <v:textbox style="mso-fit-shape-to-text:t;">
                <w:txbxContent>
                  <w:p w14:paraId="180FFA8F">
                    <w:pPr>
                      <w:jc w:val="center"/>
                      <w:rPr>
                        <w:kern w:val="0"/>
                        <w:sz w:val="24"/>
                        <w:szCs w:val="24"/>
                      </w:rPr>
                    </w:pPr>
                    <w:r>
                      <w:rPr>
                        <w:rFonts w:hint="eastAsia"/>
                        <w:color w:val="FFFFFF"/>
                        <w:sz w:val="16"/>
                        <w:szCs w:val="16"/>
                        <w14:textFill>
                          <w14:solidFill>
                            <w14:srgbClr w14:val="FFFFFF">
                              <w14:alpha w14:val="50000"/>
                            </w14:srgbClr>
                          </w14:solidFill>
                        </w14:textFill>
                      </w:rPr>
                      <w:t>DS2022V1.0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710CB"/>
    <w:multiLevelType w:val="multilevel"/>
    <w:tmpl w:val="170710C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6F0734"/>
    <w:multiLevelType w:val="multilevel"/>
    <w:tmpl w:val="446F07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FB7DDC"/>
    <w:multiLevelType w:val="multilevel"/>
    <w:tmpl w:val="57FB7DDC"/>
    <w:lvl w:ilvl="0" w:tentative="0">
      <w:start w:val="1"/>
      <w:numFmt w:val="bullet"/>
      <w:pStyle w:val="11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D775C02"/>
    <w:multiLevelType w:val="multilevel"/>
    <w:tmpl w:val="5D775C02"/>
    <w:lvl w:ilvl="0" w:tentative="0">
      <w:start w:val="3"/>
      <w:numFmt w:val="decimal"/>
      <w:pStyle w:val="141"/>
      <w:lvlText w:val="%1."/>
      <w:lvlJc w:val="left"/>
      <w:pPr>
        <w:tabs>
          <w:tab w:val="left" w:pos="360"/>
        </w:tabs>
        <w:ind w:left="360" w:hanging="360"/>
      </w:pPr>
      <w:rPr>
        <w:rFonts w:hint="eastAsia"/>
      </w:rPr>
    </w:lvl>
    <w:lvl w:ilvl="1" w:tentative="0">
      <w:start w:val="1"/>
      <w:numFmt w:val="decimal"/>
      <w:isLgl/>
      <w:lvlText w:val="%1.%2"/>
      <w:lvlJc w:val="left"/>
      <w:pPr>
        <w:tabs>
          <w:tab w:val="left" w:pos="360"/>
        </w:tabs>
        <w:ind w:left="360" w:hanging="360"/>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720"/>
        </w:tabs>
        <w:ind w:left="720" w:hanging="720"/>
      </w:pPr>
      <w:rPr>
        <w:rFonts w:hint="eastAsia"/>
      </w:rPr>
    </w:lvl>
    <w:lvl w:ilvl="4" w:tentative="0">
      <w:start w:val="1"/>
      <w:numFmt w:val="decimal"/>
      <w:isLgl/>
      <w:lvlText w:val="%1.%2.%3.%4.%5"/>
      <w:lvlJc w:val="left"/>
      <w:pPr>
        <w:tabs>
          <w:tab w:val="left" w:pos="1080"/>
        </w:tabs>
        <w:ind w:left="1080" w:hanging="1080"/>
      </w:pPr>
      <w:rPr>
        <w:rFonts w:hint="eastAsia"/>
      </w:rPr>
    </w:lvl>
    <w:lvl w:ilvl="5" w:tentative="0">
      <w:start w:val="1"/>
      <w:numFmt w:val="decimal"/>
      <w:isLgl/>
      <w:lvlText w:val="%1.%2.%3.%4.%5.%6"/>
      <w:lvlJc w:val="left"/>
      <w:pPr>
        <w:tabs>
          <w:tab w:val="left" w:pos="1080"/>
        </w:tabs>
        <w:ind w:left="1080" w:hanging="1080"/>
      </w:pPr>
      <w:rPr>
        <w:rFonts w:hint="eastAsia"/>
      </w:rPr>
    </w:lvl>
    <w:lvl w:ilvl="6" w:tentative="0">
      <w:start w:val="1"/>
      <w:numFmt w:val="decimal"/>
      <w:isLgl/>
      <w:lvlText w:val="%1.%2.%3.%4.%5.%6.%7"/>
      <w:lvlJc w:val="left"/>
      <w:pPr>
        <w:tabs>
          <w:tab w:val="left" w:pos="1440"/>
        </w:tabs>
        <w:ind w:left="1440" w:hanging="1440"/>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800"/>
        </w:tabs>
        <w:ind w:left="1800" w:hanging="1800"/>
      </w:pPr>
      <w:rPr>
        <w:rFonts w:hint="eastAsia"/>
      </w:rPr>
    </w:lvl>
  </w:abstractNum>
  <w:abstractNum w:abstractNumId="4">
    <w:nsid w:val="68636BC0"/>
    <w:multiLevelType w:val="multilevel"/>
    <w:tmpl w:val="68636BC0"/>
    <w:lvl w:ilvl="0" w:tentative="0">
      <w:start w:val="1"/>
      <w:numFmt w:val="decimal"/>
      <w:lvlText w:val="（%1）"/>
      <w:lvlJc w:val="left"/>
      <w:pPr>
        <w:tabs>
          <w:tab w:val="left" w:pos="1137"/>
        </w:tabs>
        <w:ind w:left="1137" w:hanging="720"/>
      </w:pPr>
      <w:rPr>
        <w:rFonts w:hint="eastAsia"/>
      </w:rPr>
    </w:lvl>
    <w:lvl w:ilvl="1" w:tentative="0">
      <w:start w:val="1"/>
      <w:numFmt w:val="lowerLetter"/>
      <w:lvlText w:val="%2)"/>
      <w:lvlJc w:val="left"/>
      <w:pPr>
        <w:tabs>
          <w:tab w:val="left" w:pos="1257"/>
        </w:tabs>
        <w:ind w:left="1257" w:hanging="420"/>
      </w:pPr>
    </w:lvl>
    <w:lvl w:ilvl="2" w:tentative="0">
      <w:start w:val="1"/>
      <w:numFmt w:val="lowerRoman"/>
      <w:lvlText w:val="%3."/>
      <w:lvlJc w:val="right"/>
      <w:pPr>
        <w:tabs>
          <w:tab w:val="left" w:pos="1677"/>
        </w:tabs>
        <w:ind w:left="1677" w:hanging="420"/>
      </w:pPr>
    </w:lvl>
    <w:lvl w:ilvl="3" w:tentative="0">
      <w:start w:val="1"/>
      <w:numFmt w:val="decimal"/>
      <w:lvlText w:val="%4."/>
      <w:lvlJc w:val="left"/>
      <w:pPr>
        <w:tabs>
          <w:tab w:val="left" w:pos="2097"/>
        </w:tabs>
        <w:ind w:left="2097" w:hanging="420"/>
      </w:pPr>
    </w:lvl>
    <w:lvl w:ilvl="4" w:tentative="0">
      <w:start w:val="1"/>
      <w:numFmt w:val="lowerLetter"/>
      <w:lvlText w:val="%5)"/>
      <w:lvlJc w:val="left"/>
      <w:pPr>
        <w:tabs>
          <w:tab w:val="left" w:pos="2517"/>
        </w:tabs>
        <w:ind w:left="2517" w:hanging="420"/>
      </w:pPr>
    </w:lvl>
    <w:lvl w:ilvl="5" w:tentative="0">
      <w:start w:val="1"/>
      <w:numFmt w:val="lowerRoman"/>
      <w:lvlText w:val="%6."/>
      <w:lvlJc w:val="right"/>
      <w:pPr>
        <w:tabs>
          <w:tab w:val="left" w:pos="2937"/>
        </w:tabs>
        <w:ind w:left="2937" w:hanging="420"/>
      </w:pPr>
    </w:lvl>
    <w:lvl w:ilvl="6" w:tentative="0">
      <w:start w:val="1"/>
      <w:numFmt w:val="decimal"/>
      <w:lvlText w:val="%7."/>
      <w:lvlJc w:val="left"/>
      <w:pPr>
        <w:tabs>
          <w:tab w:val="left" w:pos="3357"/>
        </w:tabs>
        <w:ind w:left="3357" w:hanging="420"/>
      </w:pPr>
    </w:lvl>
    <w:lvl w:ilvl="7" w:tentative="0">
      <w:start w:val="1"/>
      <w:numFmt w:val="lowerLetter"/>
      <w:lvlText w:val="%8)"/>
      <w:lvlJc w:val="left"/>
      <w:pPr>
        <w:tabs>
          <w:tab w:val="left" w:pos="3777"/>
        </w:tabs>
        <w:ind w:left="3777" w:hanging="420"/>
      </w:pPr>
    </w:lvl>
    <w:lvl w:ilvl="8" w:tentative="0">
      <w:start w:val="1"/>
      <w:numFmt w:val="lowerRoman"/>
      <w:lvlText w:val="%9."/>
      <w:lvlJc w:val="right"/>
      <w:pPr>
        <w:tabs>
          <w:tab w:val="left" w:pos="4197"/>
        </w:tabs>
        <w:ind w:left="4197" w:hanging="420"/>
      </w:pPr>
    </w:lvl>
  </w:abstractNum>
  <w:abstractNum w:abstractNumId="5">
    <w:nsid w:val="748C7EF1"/>
    <w:multiLevelType w:val="multilevel"/>
    <w:tmpl w:val="748C7E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0" w:hash="QyDio7+BCF5VYmS2+xnPGvPFmpQ=" w:salt="1mETMeYZ+cqGw3yeUI67wg=="/>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7A0A9E"/>
    <w:rsid w:val="00000672"/>
    <w:rsid w:val="00001A86"/>
    <w:rsid w:val="00001C7C"/>
    <w:rsid w:val="00003491"/>
    <w:rsid w:val="000049B4"/>
    <w:rsid w:val="00004D3E"/>
    <w:rsid w:val="00007F15"/>
    <w:rsid w:val="000118F5"/>
    <w:rsid w:val="00012857"/>
    <w:rsid w:val="00013112"/>
    <w:rsid w:val="000132BC"/>
    <w:rsid w:val="0001478F"/>
    <w:rsid w:val="00014B82"/>
    <w:rsid w:val="000179E5"/>
    <w:rsid w:val="000203A7"/>
    <w:rsid w:val="00020B3C"/>
    <w:rsid w:val="00023B6F"/>
    <w:rsid w:val="000258E6"/>
    <w:rsid w:val="00025CAA"/>
    <w:rsid w:val="0003206A"/>
    <w:rsid w:val="000334DB"/>
    <w:rsid w:val="00033C15"/>
    <w:rsid w:val="00033D8A"/>
    <w:rsid w:val="000344F0"/>
    <w:rsid w:val="00034862"/>
    <w:rsid w:val="00036556"/>
    <w:rsid w:val="00036993"/>
    <w:rsid w:val="00036A38"/>
    <w:rsid w:val="00037036"/>
    <w:rsid w:val="000375E1"/>
    <w:rsid w:val="000413B5"/>
    <w:rsid w:val="00041F63"/>
    <w:rsid w:val="0004278E"/>
    <w:rsid w:val="00042C47"/>
    <w:rsid w:val="000440EA"/>
    <w:rsid w:val="00044CD8"/>
    <w:rsid w:val="00045099"/>
    <w:rsid w:val="00047A79"/>
    <w:rsid w:val="0005046A"/>
    <w:rsid w:val="00053882"/>
    <w:rsid w:val="00054838"/>
    <w:rsid w:val="000561A8"/>
    <w:rsid w:val="00061995"/>
    <w:rsid w:val="00062A9D"/>
    <w:rsid w:val="0006379C"/>
    <w:rsid w:val="00063BB8"/>
    <w:rsid w:val="00064A90"/>
    <w:rsid w:val="00067CB2"/>
    <w:rsid w:val="00067E27"/>
    <w:rsid w:val="00067FF4"/>
    <w:rsid w:val="00070054"/>
    <w:rsid w:val="00070DA2"/>
    <w:rsid w:val="00071886"/>
    <w:rsid w:val="00071DC8"/>
    <w:rsid w:val="00073C71"/>
    <w:rsid w:val="00075B94"/>
    <w:rsid w:val="000771B9"/>
    <w:rsid w:val="000771EF"/>
    <w:rsid w:val="000814C5"/>
    <w:rsid w:val="0008234E"/>
    <w:rsid w:val="00082B62"/>
    <w:rsid w:val="000831C6"/>
    <w:rsid w:val="000848B7"/>
    <w:rsid w:val="00085D81"/>
    <w:rsid w:val="00090D25"/>
    <w:rsid w:val="0009113A"/>
    <w:rsid w:val="000A0D59"/>
    <w:rsid w:val="000A1426"/>
    <w:rsid w:val="000A20FA"/>
    <w:rsid w:val="000A33E7"/>
    <w:rsid w:val="000A3641"/>
    <w:rsid w:val="000B1F48"/>
    <w:rsid w:val="000B217C"/>
    <w:rsid w:val="000B255C"/>
    <w:rsid w:val="000B6A4D"/>
    <w:rsid w:val="000B7120"/>
    <w:rsid w:val="000C6C07"/>
    <w:rsid w:val="000D0C64"/>
    <w:rsid w:val="000D26B4"/>
    <w:rsid w:val="000D34F9"/>
    <w:rsid w:val="000D3F74"/>
    <w:rsid w:val="000D4105"/>
    <w:rsid w:val="000D49E4"/>
    <w:rsid w:val="000D694B"/>
    <w:rsid w:val="000D7E82"/>
    <w:rsid w:val="000E1E27"/>
    <w:rsid w:val="000E230F"/>
    <w:rsid w:val="000E4A8E"/>
    <w:rsid w:val="000E50FE"/>
    <w:rsid w:val="000E6A35"/>
    <w:rsid w:val="000E7EB6"/>
    <w:rsid w:val="000F087A"/>
    <w:rsid w:val="000F1773"/>
    <w:rsid w:val="000F416A"/>
    <w:rsid w:val="000F5DD5"/>
    <w:rsid w:val="000F75ED"/>
    <w:rsid w:val="000F7938"/>
    <w:rsid w:val="000F7943"/>
    <w:rsid w:val="00100EEB"/>
    <w:rsid w:val="00101699"/>
    <w:rsid w:val="00104DA7"/>
    <w:rsid w:val="00107B94"/>
    <w:rsid w:val="00107D87"/>
    <w:rsid w:val="001118DD"/>
    <w:rsid w:val="00112AF4"/>
    <w:rsid w:val="00112C6A"/>
    <w:rsid w:val="00112DA7"/>
    <w:rsid w:val="00112FA2"/>
    <w:rsid w:val="001135FA"/>
    <w:rsid w:val="001137BC"/>
    <w:rsid w:val="00116569"/>
    <w:rsid w:val="00120448"/>
    <w:rsid w:val="00121824"/>
    <w:rsid w:val="00121E4D"/>
    <w:rsid w:val="0012216F"/>
    <w:rsid w:val="001225BE"/>
    <w:rsid w:val="001231C5"/>
    <w:rsid w:val="001232ED"/>
    <w:rsid w:val="00123530"/>
    <w:rsid w:val="0012477C"/>
    <w:rsid w:val="001266B7"/>
    <w:rsid w:val="00132827"/>
    <w:rsid w:val="0013440B"/>
    <w:rsid w:val="00135E2F"/>
    <w:rsid w:val="00136E5E"/>
    <w:rsid w:val="00137985"/>
    <w:rsid w:val="00137E32"/>
    <w:rsid w:val="00140105"/>
    <w:rsid w:val="001409FE"/>
    <w:rsid w:val="00140D43"/>
    <w:rsid w:val="00140EE4"/>
    <w:rsid w:val="0014261D"/>
    <w:rsid w:val="00145337"/>
    <w:rsid w:val="001453C1"/>
    <w:rsid w:val="001463B8"/>
    <w:rsid w:val="001469B7"/>
    <w:rsid w:val="00147195"/>
    <w:rsid w:val="001476A1"/>
    <w:rsid w:val="0015106B"/>
    <w:rsid w:val="00151986"/>
    <w:rsid w:val="00151DE3"/>
    <w:rsid w:val="001563AA"/>
    <w:rsid w:val="001565C8"/>
    <w:rsid w:val="00156DDA"/>
    <w:rsid w:val="001573A4"/>
    <w:rsid w:val="00157E4E"/>
    <w:rsid w:val="00162525"/>
    <w:rsid w:val="00165374"/>
    <w:rsid w:val="0016631E"/>
    <w:rsid w:val="001671F3"/>
    <w:rsid w:val="0016746F"/>
    <w:rsid w:val="00170607"/>
    <w:rsid w:val="00170996"/>
    <w:rsid w:val="00173A3A"/>
    <w:rsid w:val="00176DF6"/>
    <w:rsid w:val="001779B8"/>
    <w:rsid w:val="00180A5A"/>
    <w:rsid w:val="0018410E"/>
    <w:rsid w:val="00184818"/>
    <w:rsid w:val="001857C6"/>
    <w:rsid w:val="0018671C"/>
    <w:rsid w:val="00192478"/>
    <w:rsid w:val="0019447A"/>
    <w:rsid w:val="00196A63"/>
    <w:rsid w:val="00196F83"/>
    <w:rsid w:val="001A0D97"/>
    <w:rsid w:val="001A1421"/>
    <w:rsid w:val="001A334B"/>
    <w:rsid w:val="001A72CD"/>
    <w:rsid w:val="001A7EB4"/>
    <w:rsid w:val="001B1A86"/>
    <w:rsid w:val="001B34EF"/>
    <w:rsid w:val="001B4C6C"/>
    <w:rsid w:val="001C14CB"/>
    <w:rsid w:val="001C1517"/>
    <w:rsid w:val="001C1B04"/>
    <w:rsid w:val="001C1E44"/>
    <w:rsid w:val="001C2AD0"/>
    <w:rsid w:val="001C2AF8"/>
    <w:rsid w:val="001C427B"/>
    <w:rsid w:val="001C581B"/>
    <w:rsid w:val="001D031F"/>
    <w:rsid w:val="001D4274"/>
    <w:rsid w:val="001D64FA"/>
    <w:rsid w:val="001D73A0"/>
    <w:rsid w:val="001E0447"/>
    <w:rsid w:val="001E0D12"/>
    <w:rsid w:val="001E304C"/>
    <w:rsid w:val="001E4052"/>
    <w:rsid w:val="001E4795"/>
    <w:rsid w:val="001E606D"/>
    <w:rsid w:val="001E6ABA"/>
    <w:rsid w:val="001E7581"/>
    <w:rsid w:val="001E7DC8"/>
    <w:rsid w:val="001F28DF"/>
    <w:rsid w:val="001F5ED5"/>
    <w:rsid w:val="001F76D9"/>
    <w:rsid w:val="00204094"/>
    <w:rsid w:val="002054F2"/>
    <w:rsid w:val="0020626E"/>
    <w:rsid w:val="00211B82"/>
    <w:rsid w:val="00211FA2"/>
    <w:rsid w:val="0021297B"/>
    <w:rsid w:val="00213BF4"/>
    <w:rsid w:val="00213F0C"/>
    <w:rsid w:val="00215245"/>
    <w:rsid w:val="00215725"/>
    <w:rsid w:val="0022060C"/>
    <w:rsid w:val="00221A07"/>
    <w:rsid w:val="0022242C"/>
    <w:rsid w:val="002228C2"/>
    <w:rsid w:val="00224AFA"/>
    <w:rsid w:val="00224B8C"/>
    <w:rsid w:val="00234E8D"/>
    <w:rsid w:val="00235400"/>
    <w:rsid w:val="002357DB"/>
    <w:rsid w:val="00235D90"/>
    <w:rsid w:val="00237A3E"/>
    <w:rsid w:val="00237AFE"/>
    <w:rsid w:val="0024007E"/>
    <w:rsid w:val="00242295"/>
    <w:rsid w:val="00243A57"/>
    <w:rsid w:val="002440C6"/>
    <w:rsid w:val="00244CB8"/>
    <w:rsid w:val="00244F3E"/>
    <w:rsid w:val="00245768"/>
    <w:rsid w:val="00245A21"/>
    <w:rsid w:val="00246606"/>
    <w:rsid w:val="00246E7D"/>
    <w:rsid w:val="00247782"/>
    <w:rsid w:val="00247AE8"/>
    <w:rsid w:val="00251441"/>
    <w:rsid w:val="00251E13"/>
    <w:rsid w:val="002529A4"/>
    <w:rsid w:val="00254110"/>
    <w:rsid w:val="002546CE"/>
    <w:rsid w:val="0025479A"/>
    <w:rsid w:val="002556B1"/>
    <w:rsid w:val="00256A95"/>
    <w:rsid w:val="002570B7"/>
    <w:rsid w:val="0026071D"/>
    <w:rsid w:val="00263418"/>
    <w:rsid w:val="00265749"/>
    <w:rsid w:val="00265B3E"/>
    <w:rsid w:val="00265ED1"/>
    <w:rsid w:val="002715CF"/>
    <w:rsid w:val="002718C6"/>
    <w:rsid w:val="00272641"/>
    <w:rsid w:val="00273442"/>
    <w:rsid w:val="00276845"/>
    <w:rsid w:val="00276C58"/>
    <w:rsid w:val="00282157"/>
    <w:rsid w:val="00283483"/>
    <w:rsid w:val="002834F5"/>
    <w:rsid w:val="00284A6A"/>
    <w:rsid w:val="002853B5"/>
    <w:rsid w:val="0028602D"/>
    <w:rsid w:val="00287BBA"/>
    <w:rsid w:val="00292D35"/>
    <w:rsid w:val="002940B3"/>
    <w:rsid w:val="00295831"/>
    <w:rsid w:val="002A054E"/>
    <w:rsid w:val="002A2278"/>
    <w:rsid w:val="002A2F01"/>
    <w:rsid w:val="002A38BD"/>
    <w:rsid w:val="002A485E"/>
    <w:rsid w:val="002A786B"/>
    <w:rsid w:val="002A79F4"/>
    <w:rsid w:val="002B0D0C"/>
    <w:rsid w:val="002B2104"/>
    <w:rsid w:val="002B3E52"/>
    <w:rsid w:val="002B49DD"/>
    <w:rsid w:val="002B6771"/>
    <w:rsid w:val="002B7E73"/>
    <w:rsid w:val="002C1B8E"/>
    <w:rsid w:val="002C3757"/>
    <w:rsid w:val="002C39F9"/>
    <w:rsid w:val="002C40C6"/>
    <w:rsid w:val="002C7176"/>
    <w:rsid w:val="002D09C5"/>
    <w:rsid w:val="002D10F2"/>
    <w:rsid w:val="002D1C9F"/>
    <w:rsid w:val="002D22AE"/>
    <w:rsid w:val="002D43E0"/>
    <w:rsid w:val="002D53E4"/>
    <w:rsid w:val="002D549F"/>
    <w:rsid w:val="002D6613"/>
    <w:rsid w:val="002D699E"/>
    <w:rsid w:val="002D72A0"/>
    <w:rsid w:val="002E2A94"/>
    <w:rsid w:val="002E2A9C"/>
    <w:rsid w:val="002E2AC1"/>
    <w:rsid w:val="002E4035"/>
    <w:rsid w:val="002E5350"/>
    <w:rsid w:val="002E6145"/>
    <w:rsid w:val="002E72BB"/>
    <w:rsid w:val="002E72CB"/>
    <w:rsid w:val="002F04C5"/>
    <w:rsid w:val="002F2925"/>
    <w:rsid w:val="002F3344"/>
    <w:rsid w:val="002F7F24"/>
    <w:rsid w:val="003049E6"/>
    <w:rsid w:val="00304D3D"/>
    <w:rsid w:val="003055CC"/>
    <w:rsid w:val="003057B5"/>
    <w:rsid w:val="003058BA"/>
    <w:rsid w:val="0030701D"/>
    <w:rsid w:val="00307063"/>
    <w:rsid w:val="0030712D"/>
    <w:rsid w:val="00310684"/>
    <w:rsid w:val="0031143C"/>
    <w:rsid w:val="003124A3"/>
    <w:rsid w:val="003131E3"/>
    <w:rsid w:val="00315047"/>
    <w:rsid w:val="003150EE"/>
    <w:rsid w:val="00322665"/>
    <w:rsid w:val="0032460B"/>
    <w:rsid w:val="00324679"/>
    <w:rsid w:val="0032672C"/>
    <w:rsid w:val="00326D7D"/>
    <w:rsid w:val="003307E6"/>
    <w:rsid w:val="00330F5B"/>
    <w:rsid w:val="00331EC7"/>
    <w:rsid w:val="003322B0"/>
    <w:rsid w:val="003351B4"/>
    <w:rsid w:val="0033545D"/>
    <w:rsid w:val="00341C46"/>
    <w:rsid w:val="00344C8A"/>
    <w:rsid w:val="00346848"/>
    <w:rsid w:val="00347F17"/>
    <w:rsid w:val="00354CA7"/>
    <w:rsid w:val="0036040E"/>
    <w:rsid w:val="00360DFC"/>
    <w:rsid w:val="003619EC"/>
    <w:rsid w:val="00363323"/>
    <w:rsid w:val="0036361A"/>
    <w:rsid w:val="0036522F"/>
    <w:rsid w:val="003657E6"/>
    <w:rsid w:val="003665C7"/>
    <w:rsid w:val="003703D8"/>
    <w:rsid w:val="00370436"/>
    <w:rsid w:val="00371282"/>
    <w:rsid w:val="003716C5"/>
    <w:rsid w:val="00371881"/>
    <w:rsid w:val="00371E46"/>
    <w:rsid w:val="00372C85"/>
    <w:rsid w:val="00373971"/>
    <w:rsid w:val="00375142"/>
    <w:rsid w:val="00376A98"/>
    <w:rsid w:val="0038082C"/>
    <w:rsid w:val="00381EF8"/>
    <w:rsid w:val="003830E0"/>
    <w:rsid w:val="003837AD"/>
    <w:rsid w:val="003844F9"/>
    <w:rsid w:val="00390F27"/>
    <w:rsid w:val="00391E27"/>
    <w:rsid w:val="00392F65"/>
    <w:rsid w:val="003933AC"/>
    <w:rsid w:val="00393F82"/>
    <w:rsid w:val="00397E99"/>
    <w:rsid w:val="003A0258"/>
    <w:rsid w:val="003A0491"/>
    <w:rsid w:val="003A10B0"/>
    <w:rsid w:val="003A1D71"/>
    <w:rsid w:val="003A5958"/>
    <w:rsid w:val="003B055B"/>
    <w:rsid w:val="003B08FA"/>
    <w:rsid w:val="003B0ECD"/>
    <w:rsid w:val="003B0F23"/>
    <w:rsid w:val="003B267E"/>
    <w:rsid w:val="003B2B94"/>
    <w:rsid w:val="003B34BE"/>
    <w:rsid w:val="003B3A50"/>
    <w:rsid w:val="003B4138"/>
    <w:rsid w:val="003B6F8F"/>
    <w:rsid w:val="003C01F2"/>
    <w:rsid w:val="003C0D48"/>
    <w:rsid w:val="003C19F5"/>
    <w:rsid w:val="003C2882"/>
    <w:rsid w:val="003C3098"/>
    <w:rsid w:val="003C45DD"/>
    <w:rsid w:val="003D2D79"/>
    <w:rsid w:val="003D36A4"/>
    <w:rsid w:val="003D378B"/>
    <w:rsid w:val="003D3A2C"/>
    <w:rsid w:val="003D570A"/>
    <w:rsid w:val="003D7299"/>
    <w:rsid w:val="003E06E9"/>
    <w:rsid w:val="003E5265"/>
    <w:rsid w:val="003E5330"/>
    <w:rsid w:val="003E7788"/>
    <w:rsid w:val="003F1576"/>
    <w:rsid w:val="003F20B7"/>
    <w:rsid w:val="003F4901"/>
    <w:rsid w:val="003F4D4D"/>
    <w:rsid w:val="003F6351"/>
    <w:rsid w:val="003F7547"/>
    <w:rsid w:val="003F7637"/>
    <w:rsid w:val="004000D6"/>
    <w:rsid w:val="0040063A"/>
    <w:rsid w:val="00400CD2"/>
    <w:rsid w:val="00402AAD"/>
    <w:rsid w:val="004030EB"/>
    <w:rsid w:val="00403E5C"/>
    <w:rsid w:val="00405914"/>
    <w:rsid w:val="00406541"/>
    <w:rsid w:val="004076AD"/>
    <w:rsid w:val="00407932"/>
    <w:rsid w:val="00410237"/>
    <w:rsid w:val="004112DB"/>
    <w:rsid w:val="00412C01"/>
    <w:rsid w:val="0041334F"/>
    <w:rsid w:val="00413606"/>
    <w:rsid w:val="0041731B"/>
    <w:rsid w:val="00420C48"/>
    <w:rsid w:val="00422756"/>
    <w:rsid w:val="00422B60"/>
    <w:rsid w:val="004244F3"/>
    <w:rsid w:val="00427392"/>
    <w:rsid w:val="00430A4E"/>
    <w:rsid w:val="00430DC9"/>
    <w:rsid w:val="004329AE"/>
    <w:rsid w:val="00434CB9"/>
    <w:rsid w:val="00435A4D"/>
    <w:rsid w:val="00436720"/>
    <w:rsid w:val="0043707A"/>
    <w:rsid w:val="004405EC"/>
    <w:rsid w:val="004419A6"/>
    <w:rsid w:val="004441FF"/>
    <w:rsid w:val="00444307"/>
    <w:rsid w:val="00445A28"/>
    <w:rsid w:val="00446D88"/>
    <w:rsid w:val="00450698"/>
    <w:rsid w:val="00453234"/>
    <w:rsid w:val="00454362"/>
    <w:rsid w:val="004560C5"/>
    <w:rsid w:val="004572AD"/>
    <w:rsid w:val="00457357"/>
    <w:rsid w:val="00457605"/>
    <w:rsid w:val="004578C5"/>
    <w:rsid w:val="00457F50"/>
    <w:rsid w:val="00461007"/>
    <w:rsid w:val="00462A01"/>
    <w:rsid w:val="00463978"/>
    <w:rsid w:val="004646EF"/>
    <w:rsid w:val="0046596F"/>
    <w:rsid w:val="00466863"/>
    <w:rsid w:val="00467321"/>
    <w:rsid w:val="00471237"/>
    <w:rsid w:val="00472406"/>
    <w:rsid w:val="00472786"/>
    <w:rsid w:val="004754FB"/>
    <w:rsid w:val="004757CC"/>
    <w:rsid w:val="0047648C"/>
    <w:rsid w:val="00476A17"/>
    <w:rsid w:val="00477075"/>
    <w:rsid w:val="00477207"/>
    <w:rsid w:val="00477C9A"/>
    <w:rsid w:val="00480184"/>
    <w:rsid w:val="00480524"/>
    <w:rsid w:val="004807C7"/>
    <w:rsid w:val="00482958"/>
    <w:rsid w:val="00483A8E"/>
    <w:rsid w:val="00484569"/>
    <w:rsid w:val="00485374"/>
    <w:rsid w:val="004856D8"/>
    <w:rsid w:val="00486193"/>
    <w:rsid w:val="00486243"/>
    <w:rsid w:val="00486FB8"/>
    <w:rsid w:val="0048705D"/>
    <w:rsid w:val="004900CF"/>
    <w:rsid w:val="00491AF1"/>
    <w:rsid w:val="00493011"/>
    <w:rsid w:val="0049353E"/>
    <w:rsid w:val="0049363E"/>
    <w:rsid w:val="00493774"/>
    <w:rsid w:val="0049581C"/>
    <w:rsid w:val="00496A49"/>
    <w:rsid w:val="00497515"/>
    <w:rsid w:val="004976E4"/>
    <w:rsid w:val="004A0C18"/>
    <w:rsid w:val="004A121E"/>
    <w:rsid w:val="004A3833"/>
    <w:rsid w:val="004A467E"/>
    <w:rsid w:val="004A47C8"/>
    <w:rsid w:val="004A4971"/>
    <w:rsid w:val="004A5B8E"/>
    <w:rsid w:val="004A6E05"/>
    <w:rsid w:val="004A78D7"/>
    <w:rsid w:val="004B0045"/>
    <w:rsid w:val="004B1EC0"/>
    <w:rsid w:val="004B31B3"/>
    <w:rsid w:val="004B38C9"/>
    <w:rsid w:val="004B4988"/>
    <w:rsid w:val="004B686E"/>
    <w:rsid w:val="004B6C7C"/>
    <w:rsid w:val="004C29D4"/>
    <w:rsid w:val="004C3EB2"/>
    <w:rsid w:val="004C5934"/>
    <w:rsid w:val="004C6F10"/>
    <w:rsid w:val="004C772E"/>
    <w:rsid w:val="004D0B1F"/>
    <w:rsid w:val="004D0C46"/>
    <w:rsid w:val="004D0E60"/>
    <w:rsid w:val="004D22B6"/>
    <w:rsid w:val="004D27D2"/>
    <w:rsid w:val="004D2F48"/>
    <w:rsid w:val="004D451D"/>
    <w:rsid w:val="004D45CD"/>
    <w:rsid w:val="004D765F"/>
    <w:rsid w:val="004E145E"/>
    <w:rsid w:val="004E2716"/>
    <w:rsid w:val="004E3045"/>
    <w:rsid w:val="004E495A"/>
    <w:rsid w:val="004E4CD6"/>
    <w:rsid w:val="004E568C"/>
    <w:rsid w:val="004E7B40"/>
    <w:rsid w:val="004F211D"/>
    <w:rsid w:val="004F2476"/>
    <w:rsid w:val="004F4F29"/>
    <w:rsid w:val="004F56DA"/>
    <w:rsid w:val="004F5A87"/>
    <w:rsid w:val="004F6A23"/>
    <w:rsid w:val="0050062E"/>
    <w:rsid w:val="00500A2A"/>
    <w:rsid w:val="00503BA0"/>
    <w:rsid w:val="00504378"/>
    <w:rsid w:val="00505399"/>
    <w:rsid w:val="00507B78"/>
    <w:rsid w:val="0051202A"/>
    <w:rsid w:val="005147A3"/>
    <w:rsid w:val="005156B8"/>
    <w:rsid w:val="00515A0E"/>
    <w:rsid w:val="00516ACA"/>
    <w:rsid w:val="0052032B"/>
    <w:rsid w:val="00520BDA"/>
    <w:rsid w:val="00521419"/>
    <w:rsid w:val="00522A57"/>
    <w:rsid w:val="00523910"/>
    <w:rsid w:val="00524CE0"/>
    <w:rsid w:val="005271B9"/>
    <w:rsid w:val="00530A27"/>
    <w:rsid w:val="00533BDA"/>
    <w:rsid w:val="00534BA0"/>
    <w:rsid w:val="00534F43"/>
    <w:rsid w:val="005356F3"/>
    <w:rsid w:val="00536772"/>
    <w:rsid w:val="00541125"/>
    <w:rsid w:val="00544D21"/>
    <w:rsid w:val="00544E89"/>
    <w:rsid w:val="00547137"/>
    <w:rsid w:val="0054765F"/>
    <w:rsid w:val="005521D5"/>
    <w:rsid w:val="005542DC"/>
    <w:rsid w:val="00554D6C"/>
    <w:rsid w:val="005550EB"/>
    <w:rsid w:val="00555F34"/>
    <w:rsid w:val="005564F3"/>
    <w:rsid w:val="00556E6F"/>
    <w:rsid w:val="00561468"/>
    <w:rsid w:val="0056292F"/>
    <w:rsid w:val="0056320B"/>
    <w:rsid w:val="005639CA"/>
    <w:rsid w:val="00565D26"/>
    <w:rsid w:val="005706C1"/>
    <w:rsid w:val="00570B13"/>
    <w:rsid w:val="00572FBB"/>
    <w:rsid w:val="005730D7"/>
    <w:rsid w:val="005740E0"/>
    <w:rsid w:val="00574B73"/>
    <w:rsid w:val="00574E75"/>
    <w:rsid w:val="00575AB2"/>
    <w:rsid w:val="00576623"/>
    <w:rsid w:val="005802D3"/>
    <w:rsid w:val="00583CFA"/>
    <w:rsid w:val="00585A10"/>
    <w:rsid w:val="005868F5"/>
    <w:rsid w:val="00592A2C"/>
    <w:rsid w:val="00594ACF"/>
    <w:rsid w:val="00595155"/>
    <w:rsid w:val="005968DD"/>
    <w:rsid w:val="00597535"/>
    <w:rsid w:val="00597B94"/>
    <w:rsid w:val="005A019C"/>
    <w:rsid w:val="005A04A6"/>
    <w:rsid w:val="005A686E"/>
    <w:rsid w:val="005B2449"/>
    <w:rsid w:val="005B2C73"/>
    <w:rsid w:val="005B3468"/>
    <w:rsid w:val="005B39F4"/>
    <w:rsid w:val="005B4047"/>
    <w:rsid w:val="005C0D58"/>
    <w:rsid w:val="005C351C"/>
    <w:rsid w:val="005C36C5"/>
    <w:rsid w:val="005C4906"/>
    <w:rsid w:val="005C72CA"/>
    <w:rsid w:val="005D1347"/>
    <w:rsid w:val="005D1A2D"/>
    <w:rsid w:val="005D2D9D"/>
    <w:rsid w:val="005D384C"/>
    <w:rsid w:val="005D39DA"/>
    <w:rsid w:val="005D3BD0"/>
    <w:rsid w:val="005D40D9"/>
    <w:rsid w:val="005D6990"/>
    <w:rsid w:val="005D6C59"/>
    <w:rsid w:val="005D76CD"/>
    <w:rsid w:val="005D7F50"/>
    <w:rsid w:val="005E1E7F"/>
    <w:rsid w:val="005E2965"/>
    <w:rsid w:val="005E40CF"/>
    <w:rsid w:val="005E4149"/>
    <w:rsid w:val="005E419A"/>
    <w:rsid w:val="005E4530"/>
    <w:rsid w:val="005E5068"/>
    <w:rsid w:val="005E7CFC"/>
    <w:rsid w:val="005F0296"/>
    <w:rsid w:val="005F083D"/>
    <w:rsid w:val="005F5EE1"/>
    <w:rsid w:val="005F785D"/>
    <w:rsid w:val="00601013"/>
    <w:rsid w:val="00601251"/>
    <w:rsid w:val="00601405"/>
    <w:rsid w:val="0060205F"/>
    <w:rsid w:val="006036C8"/>
    <w:rsid w:val="00604380"/>
    <w:rsid w:val="00604A30"/>
    <w:rsid w:val="00604A37"/>
    <w:rsid w:val="0060561C"/>
    <w:rsid w:val="006077A5"/>
    <w:rsid w:val="00607B51"/>
    <w:rsid w:val="0061022F"/>
    <w:rsid w:val="00611327"/>
    <w:rsid w:val="00613DB4"/>
    <w:rsid w:val="006141E3"/>
    <w:rsid w:val="006157C7"/>
    <w:rsid w:val="00617A8C"/>
    <w:rsid w:val="00620383"/>
    <w:rsid w:val="00620806"/>
    <w:rsid w:val="0062350B"/>
    <w:rsid w:val="00625E1A"/>
    <w:rsid w:val="0062797E"/>
    <w:rsid w:val="00627E2D"/>
    <w:rsid w:val="00631B91"/>
    <w:rsid w:val="00631DAA"/>
    <w:rsid w:val="006323C9"/>
    <w:rsid w:val="006334D8"/>
    <w:rsid w:val="006361E0"/>
    <w:rsid w:val="00637519"/>
    <w:rsid w:val="0064062A"/>
    <w:rsid w:val="00640F49"/>
    <w:rsid w:val="00642D2B"/>
    <w:rsid w:val="00642E9D"/>
    <w:rsid w:val="00643C3F"/>
    <w:rsid w:val="00643E53"/>
    <w:rsid w:val="006478D9"/>
    <w:rsid w:val="00650B3E"/>
    <w:rsid w:val="00651314"/>
    <w:rsid w:val="0065136B"/>
    <w:rsid w:val="00652382"/>
    <w:rsid w:val="006534C2"/>
    <w:rsid w:val="00655447"/>
    <w:rsid w:val="00655772"/>
    <w:rsid w:val="00655CD9"/>
    <w:rsid w:val="006608C6"/>
    <w:rsid w:val="00661D44"/>
    <w:rsid w:val="0066277D"/>
    <w:rsid w:val="006630C6"/>
    <w:rsid w:val="0066342B"/>
    <w:rsid w:val="00663A39"/>
    <w:rsid w:val="00663AC4"/>
    <w:rsid w:val="00663D73"/>
    <w:rsid w:val="006641A0"/>
    <w:rsid w:val="00664AFE"/>
    <w:rsid w:val="00666121"/>
    <w:rsid w:val="006664FB"/>
    <w:rsid w:val="0066756D"/>
    <w:rsid w:val="006707DB"/>
    <w:rsid w:val="0067392E"/>
    <w:rsid w:val="00674202"/>
    <w:rsid w:val="00674E44"/>
    <w:rsid w:val="00675414"/>
    <w:rsid w:val="00675483"/>
    <w:rsid w:val="0067716E"/>
    <w:rsid w:val="00677B18"/>
    <w:rsid w:val="00677BFC"/>
    <w:rsid w:val="00681470"/>
    <w:rsid w:val="00683859"/>
    <w:rsid w:val="006849E9"/>
    <w:rsid w:val="00684FC9"/>
    <w:rsid w:val="00685CDA"/>
    <w:rsid w:val="006863C7"/>
    <w:rsid w:val="006867A6"/>
    <w:rsid w:val="00687544"/>
    <w:rsid w:val="006877DA"/>
    <w:rsid w:val="0069108C"/>
    <w:rsid w:val="006918D2"/>
    <w:rsid w:val="00691D84"/>
    <w:rsid w:val="00692D47"/>
    <w:rsid w:val="00693517"/>
    <w:rsid w:val="0069403D"/>
    <w:rsid w:val="0069446C"/>
    <w:rsid w:val="00694B52"/>
    <w:rsid w:val="00694DBD"/>
    <w:rsid w:val="00695FCB"/>
    <w:rsid w:val="0069782C"/>
    <w:rsid w:val="006A15BC"/>
    <w:rsid w:val="006A2098"/>
    <w:rsid w:val="006A3B7B"/>
    <w:rsid w:val="006A5F55"/>
    <w:rsid w:val="006B10C6"/>
    <w:rsid w:val="006B1461"/>
    <w:rsid w:val="006B3F7A"/>
    <w:rsid w:val="006B3F99"/>
    <w:rsid w:val="006B4E24"/>
    <w:rsid w:val="006B63F0"/>
    <w:rsid w:val="006B7401"/>
    <w:rsid w:val="006C2172"/>
    <w:rsid w:val="006C295B"/>
    <w:rsid w:val="006C2AB4"/>
    <w:rsid w:val="006C4C6D"/>
    <w:rsid w:val="006C5B0B"/>
    <w:rsid w:val="006C5C43"/>
    <w:rsid w:val="006D0C51"/>
    <w:rsid w:val="006D148F"/>
    <w:rsid w:val="006D3DF8"/>
    <w:rsid w:val="006D6C6F"/>
    <w:rsid w:val="006D7C63"/>
    <w:rsid w:val="006E0BA1"/>
    <w:rsid w:val="006E2202"/>
    <w:rsid w:val="006E37CF"/>
    <w:rsid w:val="006E38A5"/>
    <w:rsid w:val="006E4C95"/>
    <w:rsid w:val="006E4F6E"/>
    <w:rsid w:val="006E5955"/>
    <w:rsid w:val="006E5AC0"/>
    <w:rsid w:val="006E6FED"/>
    <w:rsid w:val="006E7AAD"/>
    <w:rsid w:val="006F386E"/>
    <w:rsid w:val="006F3A9E"/>
    <w:rsid w:val="006F3E36"/>
    <w:rsid w:val="006F4D74"/>
    <w:rsid w:val="006F4F65"/>
    <w:rsid w:val="006F591E"/>
    <w:rsid w:val="00701809"/>
    <w:rsid w:val="00704DFE"/>
    <w:rsid w:val="00705F67"/>
    <w:rsid w:val="00706C87"/>
    <w:rsid w:val="00706E4A"/>
    <w:rsid w:val="007105C0"/>
    <w:rsid w:val="0071122C"/>
    <w:rsid w:val="007114F6"/>
    <w:rsid w:val="00711DD0"/>
    <w:rsid w:val="0071256A"/>
    <w:rsid w:val="0071257D"/>
    <w:rsid w:val="007132D8"/>
    <w:rsid w:val="00713A48"/>
    <w:rsid w:val="0071495D"/>
    <w:rsid w:val="00715311"/>
    <w:rsid w:val="00717335"/>
    <w:rsid w:val="00717F9E"/>
    <w:rsid w:val="007225F5"/>
    <w:rsid w:val="007252A7"/>
    <w:rsid w:val="00726FF3"/>
    <w:rsid w:val="00730040"/>
    <w:rsid w:val="00730189"/>
    <w:rsid w:val="00731A73"/>
    <w:rsid w:val="00731BDA"/>
    <w:rsid w:val="0073590A"/>
    <w:rsid w:val="00736430"/>
    <w:rsid w:val="00737DB7"/>
    <w:rsid w:val="00740062"/>
    <w:rsid w:val="007409FC"/>
    <w:rsid w:val="00740B43"/>
    <w:rsid w:val="007412F8"/>
    <w:rsid w:val="0074141F"/>
    <w:rsid w:val="007415FB"/>
    <w:rsid w:val="007422F0"/>
    <w:rsid w:val="00743C21"/>
    <w:rsid w:val="00744FDC"/>
    <w:rsid w:val="00745085"/>
    <w:rsid w:val="00751B8D"/>
    <w:rsid w:val="00751CE7"/>
    <w:rsid w:val="007528C6"/>
    <w:rsid w:val="00755398"/>
    <w:rsid w:val="007553BC"/>
    <w:rsid w:val="00756FF2"/>
    <w:rsid w:val="00757F00"/>
    <w:rsid w:val="0076087E"/>
    <w:rsid w:val="00762C1C"/>
    <w:rsid w:val="0076366F"/>
    <w:rsid w:val="00764695"/>
    <w:rsid w:val="00765B26"/>
    <w:rsid w:val="00765EAA"/>
    <w:rsid w:val="00766DDE"/>
    <w:rsid w:val="00773403"/>
    <w:rsid w:val="00773430"/>
    <w:rsid w:val="00774175"/>
    <w:rsid w:val="007751EC"/>
    <w:rsid w:val="00775F2A"/>
    <w:rsid w:val="00776FB3"/>
    <w:rsid w:val="00783226"/>
    <w:rsid w:val="00786D52"/>
    <w:rsid w:val="007876CD"/>
    <w:rsid w:val="00790BF5"/>
    <w:rsid w:val="00790DDB"/>
    <w:rsid w:val="00792DD1"/>
    <w:rsid w:val="00793AB1"/>
    <w:rsid w:val="00793B03"/>
    <w:rsid w:val="007954A5"/>
    <w:rsid w:val="00795BF9"/>
    <w:rsid w:val="00796205"/>
    <w:rsid w:val="007A0A9E"/>
    <w:rsid w:val="007A0BCA"/>
    <w:rsid w:val="007A3B03"/>
    <w:rsid w:val="007A4449"/>
    <w:rsid w:val="007A5062"/>
    <w:rsid w:val="007A66EB"/>
    <w:rsid w:val="007A7382"/>
    <w:rsid w:val="007A7C96"/>
    <w:rsid w:val="007A7EFD"/>
    <w:rsid w:val="007A7F67"/>
    <w:rsid w:val="007B0598"/>
    <w:rsid w:val="007B0642"/>
    <w:rsid w:val="007B1163"/>
    <w:rsid w:val="007B21CD"/>
    <w:rsid w:val="007B5D47"/>
    <w:rsid w:val="007B5FC2"/>
    <w:rsid w:val="007C04FC"/>
    <w:rsid w:val="007C09F3"/>
    <w:rsid w:val="007C2FAB"/>
    <w:rsid w:val="007C719E"/>
    <w:rsid w:val="007D2A92"/>
    <w:rsid w:val="007D5655"/>
    <w:rsid w:val="007D5F6A"/>
    <w:rsid w:val="007D6268"/>
    <w:rsid w:val="007E0A8E"/>
    <w:rsid w:val="007E0E88"/>
    <w:rsid w:val="007E146A"/>
    <w:rsid w:val="007E2554"/>
    <w:rsid w:val="007E2D65"/>
    <w:rsid w:val="007E2DBD"/>
    <w:rsid w:val="007E2FA1"/>
    <w:rsid w:val="007E34C5"/>
    <w:rsid w:val="007E3D71"/>
    <w:rsid w:val="007E3F0D"/>
    <w:rsid w:val="007E4A21"/>
    <w:rsid w:val="007E5308"/>
    <w:rsid w:val="007E5603"/>
    <w:rsid w:val="007E6942"/>
    <w:rsid w:val="007E7BE5"/>
    <w:rsid w:val="007F2CFC"/>
    <w:rsid w:val="007F37EA"/>
    <w:rsid w:val="0080229F"/>
    <w:rsid w:val="0080379B"/>
    <w:rsid w:val="00803A7A"/>
    <w:rsid w:val="00803C3E"/>
    <w:rsid w:val="00807ABD"/>
    <w:rsid w:val="00807E5F"/>
    <w:rsid w:val="00810A2B"/>
    <w:rsid w:val="00810EF8"/>
    <w:rsid w:val="00810F01"/>
    <w:rsid w:val="00812B9E"/>
    <w:rsid w:val="00813968"/>
    <w:rsid w:val="00813980"/>
    <w:rsid w:val="00816203"/>
    <w:rsid w:val="00817968"/>
    <w:rsid w:val="00822B2E"/>
    <w:rsid w:val="00822D1D"/>
    <w:rsid w:val="00824198"/>
    <w:rsid w:val="00825A24"/>
    <w:rsid w:val="00827AFA"/>
    <w:rsid w:val="00827F07"/>
    <w:rsid w:val="008300EC"/>
    <w:rsid w:val="00830525"/>
    <w:rsid w:val="00830962"/>
    <w:rsid w:val="0083369F"/>
    <w:rsid w:val="00833A54"/>
    <w:rsid w:val="00834896"/>
    <w:rsid w:val="00836DDE"/>
    <w:rsid w:val="00837408"/>
    <w:rsid w:val="0084066E"/>
    <w:rsid w:val="00840767"/>
    <w:rsid w:val="008416AC"/>
    <w:rsid w:val="008427B8"/>
    <w:rsid w:val="008433BE"/>
    <w:rsid w:val="0084380B"/>
    <w:rsid w:val="00843BD8"/>
    <w:rsid w:val="00844272"/>
    <w:rsid w:val="00844B4A"/>
    <w:rsid w:val="008450B0"/>
    <w:rsid w:val="00845348"/>
    <w:rsid w:val="0084542B"/>
    <w:rsid w:val="0084621D"/>
    <w:rsid w:val="0085004B"/>
    <w:rsid w:val="00850EC4"/>
    <w:rsid w:val="00851F87"/>
    <w:rsid w:val="0085244A"/>
    <w:rsid w:val="008524CF"/>
    <w:rsid w:val="008541BD"/>
    <w:rsid w:val="00854A60"/>
    <w:rsid w:val="008564E7"/>
    <w:rsid w:val="00856BC6"/>
    <w:rsid w:val="00856DDD"/>
    <w:rsid w:val="00857E7C"/>
    <w:rsid w:val="00857F5A"/>
    <w:rsid w:val="0086242F"/>
    <w:rsid w:val="00866249"/>
    <w:rsid w:val="008706F1"/>
    <w:rsid w:val="0087213A"/>
    <w:rsid w:val="00873AAB"/>
    <w:rsid w:val="0088033D"/>
    <w:rsid w:val="00881E55"/>
    <w:rsid w:val="00882A9B"/>
    <w:rsid w:val="00887F67"/>
    <w:rsid w:val="00890624"/>
    <w:rsid w:val="0089209A"/>
    <w:rsid w:val="00893752"/>
    <w:rsid w:val="00893BB7"/>
    <w:rsid w:val="00893E1C"/>
    <w:rsid w:val="008949EC"/>
    <w:rsid w:val="00895557"/>
    <w:rsid w:val="00896A22"/>
    <w:rsid w:val="00896B13"/>
    <w:rsid w:val="008A1F03"/>
    <w:rsid w:val="008A3EB9"/>
    <w:rsid w:val="008A4052"/>
    <w:rsid w:val="008A437E"/>
    <w:rsid w:val="008A66EC"/>
    <w:rsid w:val="008A7E3E"/>
    <w:rsid w:val="008B0139"/>
    <w:rsid w:val="008B0ED6"/>
    <w:rsid w:val="008B0FFD"/>
    <w:rsid w:val="008B25A2"/>
    <w:rsid w:val="008B5692"/>
    <w:rsid w:val="008B59AE"/>
    <w:rsid w:val="008C067A"/>
    <w:rsid w:val="008C22D1"/>
    <w:rsid w:val="008C22EA"/>
    <w:rsid w:val="008C242B"/>
    <w:rsid w:val="008C2F71"/>
    <w:rsid w:val="008C474A"/>
    <w:rsid w:val="008C4809"/>
    <w:rsid w:val="008C6799"/>
    <w:rsid w:val="008D0FC0"/>
    <w:rsid w:val="008D1E47"/>
    <w:rsid w:val="008D2C6D"/>
    <w:rsid w:val="008D2FDB"/>
    <w:rsid w:val="008D31FC"/>
    <w:rsid w:val="008D396F"/>
    <w:rsid w:val="008D3B02"/>
    <w:rsid w:val="008D3B0A"/>
    <w:rsid w:val="008D482F"/>
    <w:rsid w:val="008D48D9"/>
    <w:rsid w:val="008E1101"/>
    <w:rsid w:val="008E2DAD"/>
    <w:rsid w:val="008E3A20"/>
    <w:rsid w:val="008E5B03"/>
    <w:rsid w:val="008E5B27"/>
    <w:rsid w:val="008E6767"/>
    <w:rsid w:val="008F3126"/>
    <w:rsid w:val="008F3546"/>
    <w:rsid w:val="008F3712"/>
    <w:rsid w:val="008F44C3"/>
    <w:rsid w:val="008F50C5"/>
    <w:rsid w:val="008F58D9"/>
    <w:rsid w:val="008F5F18"/>
    <w:rsid w:val="008F6189"/>
    <w:rsid w:val="008F75F5"/>
    <w:rsid w:val="00900239"/>
    <w:rsid w:val="00901065"/>
    <w:rsid w:val="009023E6"/>
    <w:rsid w:val="00903445"/>
    <w:rsid w:val="009044B8"/>
    <w:rsid w:val="00904779"/>
    <w:rsid w:val="00904880"/>
    <w:rsid w:val="0090663F"/>
    <w:rsid w:val="0090718B"/>
    <w:rsid w:val="0090723E"/>
    <w:rsid w:val="009077C5"/>
    <w:rsid w:val="009111DF"/>
    <w:rsid w:val="00912948"/>
    <w:rsid w:val="0091377B"/>
    <w:rsid w:val="009139A4"/>
    <w:rsid w:val="00913B76"/>
    <w:rsid w:val="009210D2"/>
    <w:rsid w:val="0092141B"/>
    <w:rsid w:val="00924465"/>
    <w:rsid w:val="00925D5A"/>
    <w:rsid w:val="00926569"/>
    <w:rsid w:val="00926B8C"/>
    <w:rsid w:val="00931918"/>
    <w:rsid w:val="00932658"/>
    <w:rsid w:val="00932981"/>
    <w:rsid w:val="00932E6D"/>
    <w:rsid w:val="0093350E"/>
    <w:rsid w:val="009335B8"/>
    <w:rsid w:val="00934149"/>
    <w:rsid w:val="00934382"/>
    <w:rsid w:val="009350E3"/>
    <w:rsid w:val="0094002C"/>
    <w:rsid w:val="00941111"/>
    <w:rsid w:val="00941BC9"/>
    <w:rsid w:val="00943B7C"/>
    <w:rsid w:val="00943FD9"/>
    <w:rsid w:val="00945C15"/>
    <w:rsid w:val="00945F4F"/>
    <w:rsid w:val="00946883"/>
    <w:rsid w:val="009517EE"/>
    <w:rsid w:val="00952204"/>
    <w:rsid w:val="0095237A"/>
    <w:rsid w:val="00953F76"/>
    <w:rsid w:val="00955EFA"/>
    <w:rsid w:val="00956301"/>
    <w:rsid w:val="0095716B"/>
    <w:rsid w:val="00961584"/>
    <w:rsid w:val="00961A58"/>
    <w:rsid w:val="00963CEE"/>
    <w:rsid w:val="0096571F"/>
    <w:rsid w:val="009666DF"/>
    <w:rsid w:val="00966763"/>
    <w:rsid w:val="00966B47"/>
    <w:rsid w:val="009678B9"/>
    <w:rsid w:val="00967EC9"/>
    <w:rsid w:val="00970988"/>
    <w:rsid w:val="009733DB"/>
    <w:rsid w:val="0097366D"/>
    <w:rsid w:val="00974074"/>
    <w:rsid w:val="00975386"/>
    <w:rsid w:val="00975CF2"/>
    <w:rsid w:val="00977090"/>
    <w:rsid w:val="009834C3"/>
    <w:rsid w:val="00983621"/>
    <w:rsid w:val="00991A1E"/>
    <w:rsid w:val="00994025"/>
    <w:rsid w:val="00994BD0"/>
    <w:rsid w:val="009951C0"/>
    <w:rsid w:val="00997709"/>
    <w:rsid w:val="00997715"/>
    <w:rsid w:val="009A0E11"/>
    <w:rsid w:val="009A21C4"/>
    <w:rsid w:val="009A2DD4"/>
    <w:rsid w:val="009A4C0C"/>
    <w:rsid w:val="009A647D"/>
    <w:rsid w:val="009A680B"/>
    <w:rsid w:val="009A769F"/>
    <w:rsid w:val="009B1B51"/>
    <w:rsid w:val="009B2338"/>
    <w:rsid w:val="009B2BC7"/>
    <w:rsid w:val="009B2F9B"/>
    <w:rsid w:val="009B3729"/>
    <w:rsid w:val="009B3D32"/>
    <w:rsid w:val="009B3E6B"/>
    <w:rsid w:val="009B457D"/>
    <w:rsid w:val="009B4AD1"/>
    <w:rsid w:val="009B5D3A"/>
    <w:rsid w:val="009B5EEA"/>
    <w:rsid w:val="009B74BA"/>
    <w:rsid w:val="009C0E0D"/>
    <w:rsid w:val="009C1F6A"/>
    <w:rsid w:val="009C2761"/>
    <w:rsid w:val="009C59C2"/>
    <w:rsid w:val="009C5D94"/>
    <w:rsid w:val="009D0737"/>
    <w:rsid w:val="009D11CC"/>
    <w:rsid w:val="009D17D6"/>
    <w:rsid w:val="009D4282"/>
    <w:rsid w:val="009D67F6"/>
    <w:rsid w:val="009E064A"/>
    <w:rsid w:val="009E15F7"/>
    <w:rsid w:val="009E185F"/>
    <w:rsid w:val="009E2242"/>
    <w:rsid w:val="009E28FA"/>
    <w:rsid w:val="009E3274"/>
    <w:rsid w:val="009E6883"/>
    <w:rsid w:val="009E7F36"/>
    <w:rsid w:val="009F0B29"/>
    <w:rsid w:val="009F1F84"/>
    <w:rsid w:val="009F31AE"/>
    <w:rsid w:val="009F4567"/>
    <w:rsid w:val="00A02516"/>
    <w:rsid w:val="00A0389D"/>
    <w:rsid w:val="00A044D7"/>
    <w:rsid w:val="00A04E55"/>
    <w:rsid w:val="00A05EFC"/>
    <w:rsid w:val="00A07619"/>
    <w:rsid w:val="00A10D2E"/>
    <w:rsid w:val="00A15106"/>
    <w:rsid w:val="00A156AB"/>
    <w:rsid w:val="00A15849"/>
    <w:rsid w:val="00A15A6E"/>
    <w:rsid w:val="00A20C4C"/>
    <w:rsid w:val="00A21B77"/>
    <w:rsid w:val="00A311BB"/>
    <w:rsid w:val="00A34E97"/>
    <w:rsid w:val="00A34EC1"/>
    <w:rsid w:val="00A35F83"/>
    <w:rsid w:val="00A368FE"/>
    <w:rsid w:val="00A36CE6"/>
    <w:rsid w:val="00A44699"/>
    <w:rsid w:val="00A46789"/>
    <w:rsid w:val="00A473E8"/>
    <w:rsid w:val="00A507E8"/>
    <w:rsid w:val="00A50EFC"/>
    <w:rsid w:val="00A51E36"/>
    <w:rsid w:val="00A51FEF"/>
    <w:rsid w:val="00A550C7"/>
    <w:rsid w:val="00A57C65"/>
    <w:rsid w:val="00A602F8"/>
    <w:rsid w:val="00A62844"/>
    <w:rsid w:val="00A62A40"/>
    <w:rsid w:val="00A63E62"/>
    <w:rsid w:val="00A64907"/>
    <w:rsid w:val="00A65A2E"/>
    <w:rsid w:val="00A66531"/>
    <w:rsid w:val="00A66FA3"/>
    <w:rsid w:val="00A673CD"/>
    <w:rsid w:val="00A6799C"/>
    <w:rsid w:val="00A67D67"/>
    <w:rsid w:val="00A70A98"/>
    <w:rsid w:val="00A70ABF"/>
    <w:rsid w:val="00A70F2B"/>
    <w:rsid w:val="00A73827"/>
    <w:rsid w:val="00A73AC1"/>
    <w:rsid w:val="00A80114"/>
    <w:rsid w:val="00A83A3E"/>
    <w:rsid w:val="00A84467"/>
    <w:rsid w:val="00A84A12"/>
    <w:rsid w:val="00A84AF9"/>
    <w:rsid w:val="00A84E3B"/>
    <w:rsid w:val="00A855AE"/>
    <w:rsid w:val="00A85A3B"/>
    <w:rsid w:val="00A879D6"/>
    <w:rsid w:val="00A9321F"/>
    <w:rsid w:val="00A93718"/>
    <w:rsid w:val="00A93AB9"/>
    <w:rsid w:val="00A96FC6"/>
    <w:rsid w:val="00AA0225"/>
    <w:rsid w:val="00AA0771"/>
    <w:rsid w:val="00AA23A2"/>
    <w:rsid w:val="00AA3006"/>
    <w:rsid w:val="00AA3D34"/>
    <w:rsid w:val="00AA4078"/>
    <w:rsid w:val="00AA6EA4"/>
    <w:rsid w:val="00AA7083"/>
    <w:rsid w:val="00AB2CEB"/>
    <w:rsid w:val="00AB3BD6"/>
    <w:rsid w:val="00AB7029"/>
    <w:rsid w:val="00AB75CB"/>
    <w:rsid w:val="00AC045A"/>
    <w:rsid w:val="00AC05D0"/>
    <w:rsid w:val="00AC161F"/>
    <w:rsid w:val="00AC2358"/>
    <w:rsid w:val="00AC2727"/>
    <w:rsid w:val="00AC4737"/>
    <w:rsid w:val="00AC492E"/>
    <w:rsid w:val="00AC62CE"/>
    <w:rsid w:val="00AC7CB5"/>
    <w:rsid w:val="00AD335F"/>
    <w:rsid w:val="00AD394E"/>
    <w:rsid w:val="00AD5BBB"/>
    <w:rsid w:val="00AD6AE0"/>
    <w:rsid w:val="00AE0042"/>
    <w:rsid w:val="00AE2C16"/>
    <w:rsid w:val="00AE3666"/>
    <w:rsid w:val="00AE6C32"/>
    <w:rsid w:val="00AE78E4"/>
    <w:rsid w:val="00AE7FE6"/>
    <w:rsid w:val="00AF32C6"/>
    <w:rsid w:val="00AF5BB0"/>
    <w:rsid w:val="00AF796B"/>
    <w:rsid w:val="00B03A84"/>
    <w:rsid w:val="00B04885"/>
    <w:rsid w:val="00B04C2C"/>
    <w:rsid w:val="00B05C75"/>
    <w:rsid w:val="00B071D9"/>
    <w:rsid w:val="00B07EF0"/>
    <w:rsid w:val="00B07FA1"/>
    <w:rsid w:val="00B107AA"/>
    <w:rsid w:val="00B12FFB"/>
    <w:rsid w:val="00B1782B"/>
    <w:rsid w:val="00B21B52"/>
    <w:rsid w:val="00B2270A"/>
    <w:rsid w:val="00B270A2"/>
    <w:rsid w:val="00B300BD"/>
    <w:rsid w:val="00B30801"/>
    <w:rsid w:val="00B30CD4"/>
    <w:rsid w:val="00B322A4"/>
    <w:rsid w:val="00B339BE"/>
    <w:rsid w:val="00B3615F"/>
    <w:rsid w:val="00B40CDE"/>
    <w:rsid w:val="00B41427"/>
    <w:rsid w:val="00B43C5F"/>
    <w:rsid w:val="00B44D03"/>
    <w:rsid w:val="00B4571B"/>
    <w:rsid w:val="00B45AD6"/>
    <w:rsid w:val="00B4649F"/>
    <w:rsid w:val="00B46E1E"/>
    <w:rsid w:val="00B46EB3"/>
    <w:rsid w:val="00B51DC7"/>
    <w:rsid w:val="00B52523"/>
    <w:rsid w:val="00B5583C"/>
    <w:rsid w:val="00B55ECD"/>
    <w:rsid w:val="00B629B1"/>
    <w:rsid w:val="00B64F8A"/>
    <w:rsid w:val="00B6507D"/>
    <w:rsid w:val="00B65162"/>
    <w:rsid w:val="00B66057"/>
    <w:rsid w:val="00B662B7"/>
    <w:rsid w:val="00B6743F"/>
    <w:rsid w:val="00B7012F"/>
    <w:rsid w:val="00B7206F"/>
    <w:rsid w:val="00B74E28"/>
    <w:rsid w:val="00B74E57"/>
    <w:rsid w:val="00B7754B"/>
    <w:rsid w:val="00B778EF"/>
    <w:rsid w:val="00B803F0"/>
    <w:rsid w:val="00B81025"/>
    <w:rsid w:val="00B82250"/>
    <w:rsid w:val="00B83A7D"/>
    <w:rsid w:val="00B869B4"/>
    <w:rsid w:val="00B90B2E"/>
    <w:rsid w:val="00B90D76"/>
    <w:rsid w:val="00B94014"/>
    <w:rsid w:val="00B95BBD"/>
    <w:rsid w:val="00B95D48"/>
    <w:rsid w:val="00B968BF"/>
    <w:rsid w:val="00B96A88"/>
    <w:rsid w:val="00B96D63"/>
    <w:rsid w:val="00B97D4C"/>
    <w:rsid w:val="00BA04E0"/>
    <w:rsid w:val="00BA0C24"/>
    <w:rsid w:val="00BA130B"/>
    <w:rsid w:val="00BA3552"/>
    <w:rsid w:val="00BA3D97"/>
    <w:rsid w:val="00BA4700"/>
    <w:rsid w:val="00BA48C2"/>
    <w:rsid w:val="00BA7E9C"/>
    <w:rsid w:val="00BB2A0E"/>
    <w:rsid w:val="00BB53D3"/>
    <w:rsid w:val="00BB61BA"/>
    <w:rsid w:val="00BB61BD"/>
    <w:rsid w:val="00BC03DD"/>
    <w:rsid w:val="00BC095B"/>
    <w:rsid w:val="00BC09BA"/>
    <w:rsid w:val="00BC100B"/>
    <w:rsid w:val="00BC2914"/>
    <w:rsid w:val="00BC399C"/>
    <w:rsid w:val="00BC3E46"/>
    <w:rsid w:val="00BC4605"/>
    <w:rsid w:val="00BC4C6E"/>
    <w:rsid w:val="00BC5299"/>
    <w:rsid w:val="00BC630C"/>
    <w:rsid w:val="00BD0A8D"/>
    <w:rsid w:val="00BD2F7F"/>
    <w:rsid w:val="00BD334E"/>
    <w:rsid w:val="00BD3B39"/>
    <w:rsid w:val="00BD403C"/>
    <w:rsid w:val="00BD41F2"/>
    <w:rsid w:val="00BD53D6"/>
    <w:rsid w:val="00BD56C2"/>
    <w:rsid w:val="00BD67C6"/>
    <w:rsid w:val="00BE1520"/>
    <w:rsid w:val="00BE26D1"/>
    <w:rsid w:val="00BE28EC"/>
    <w:rsid w:val="00BE5D98"/>
    <w:rsid w:val="00BF07DA"/>
    <w:rsid w:val="00BF0E61"/>
    <w:rsid w:val="00BF2984"/>
    <w:rsid w:val="00BF2BDC"/>
    <w:rsid w:val="00BF2EB6"/>
    <w:rsid w:val="00BF5842"/>
    <w:rsid w:val="00BF72F7"/>
    <w:rsid w:val="00C00B7E"/>
    <w:rsid w:val="00C016F2"/>
    <w:rsid w:val="00C0394C"/>
    <w:rsid w:val="00C039C5"/>
    <w:rsid w:val="00C140CE"/>
    <w:rsid w:val="00C15DFE"/>
    <w:rsid w:val="00C15E3E"/>
    <w:rsid w:val="00C168E1"/>
    <w:rsid w:val="00C16FD5"/>
    <w:rsid w:val="00C22337"/>
    <w:rsid w:val="00C22A0A"/>
    <w:rsid w:val="00C23D01"/>
    <w:rsid w:val="00C25004"/>
    <w:rsid w:val="00C25078"/>
    <w:rsid w:val="00C3106A"/>
    <w:rsid w:val="00C31194"/>
    <w:rsid w:val="00C33243"/>
    <w:rsid w:val="00C3415E"/>
    <w:rsid w:val="00C348E3"/>
    <w:rsid w:val="00C37284"/>
    <w:rsid w:val="00C47A9E"/>
    <w:rsid w:val="00C50868"/>
    <w:rsid w:val="00C5151A"/>
    <w:rsid w:val="00C51B53"/>
    <w:rsid w:val="00C51DEE"/>
    <w:rsid w:val="00C52B6C"/>
    <w:rsid w:val="00C5336B"/>
    <w:rsid w:val="00C53B94"/>
    <w:rsid w:val="00C541AA"/>
    <w:rsid w:val="00C54602"/>
    <w:rsid w:val="00C56265"/>
    <w:rsid w:val="00C6188D"/>
    <w:rsid w:val="00C62239"/>
    <w:rsid w:val="00C62BCF"/>
    <w:rsid w:val="00C62D62"/>
    <w:rsid w:val="00C645EE"/>
    <w:rsid w:val="00C64D33"/>
    <w:rsid w:val="00C654DB"/>
    <w:rsid w:val="00C65523"/>
    <w:rsid w:val="00C66C1B"/>
    <w:rsid w:val="00C67CE1"/>
    <w:rsid w:val="00C70172"/>
    <w:rsid w:val="00C712A9"/>
    <w:rsid w:val="00C72413"/>
    <w:rsid w:val="00C72D3A"/>
    <w:rsid w:val="00C74D53"/>
    <w:rsid w:val="00C7544B"/>
    <w:rsid w:val="00C7702B"/>
    <w:rsid w:val="00C77870"/>
    <w:rsid w:val="00C77EE7"/>
    <w:rsid w:val="00C80182"/>
    <w:rsid w:val="00C81F4E"/>
    <w:rsid w:val="00C820D7"/>
    <w:rsid w:val="00C83785"/>
    <w:rsid w:val="00C83D2D"/>
    <w:rsid w:val="00C85A39"/>
    <w:rsid w:val="00C87C55"/>
    <w:rsid w:val="00C94390"/>
    <w:rsid w:val="00C95294"/>
    <w:rsid w:val="00C95E9F"/>
    <w:rsid w:val="00CA278F"/>
    <w:rsid w:val="00CA2E91"/>
    <w:rsid w:val="00CA3226"/>
    <w:rsid w:val="00CA3426"/>
    <w:rsid w:val="00CA4174"/>
    <w:rsid w:val="00CA4D82"/>
    <w:rsid w:val="00CA59BE"/>
    <w:rsid w:val="00CA7CA1"/>
    <w:rsid w:val="00CB1340"/>
    <w:rsid w:val="00CB1CA9"/>
    <w:rsid w:val="00CB2048"/>
    <w:rsid w:val="00CB26AC"/>
    <w:rsid w:val="00CB3D6E"/>
    <w:rsid w:val="00CB4264"/>
    <w:rsid w:val="00CB47EB"/>
    <w:rsid w:val="00CB7191"/>
    <w:rsid w:val="00CC1C3E"/>
    <w:rsid w:val="00CC282E"/>
    <w:rsid w:val="00CC517E"/>
    <w:rsid w:val="00CD07D6"/>
    <w:rsid w:val="00CD0EBF"/>
    <w:rsid w:val="00CD0F56"/>
    <w:rsid w:val="00CD2F7E"/>
    <w:rsid w:val="00CD56E2"/>
    <w:rsid w:val="00CE0EB7"/>
    <w:rsid w:val="00CE16FD"/>
    <w:rsid w:val="00CE224C"/>
    <w:rsid w:val="00CE2A73"/>
    <w:rsid w:val="00CE3692"/>
    <w:rsid w:val="00CE5347"/>
    <w:rsid w:val="00CE640A"/>
    <w:rsid w:val="00CE68DC"/>
    <w:rsid w:val="00CE7B91"/>
    <w:rsid w:val="00CF06F5"/>
    <w:rsid w:val="00CF12D9"/>
    <w:rsid w:val="00CF1589"/>
    <w:rsid w:val="00CF3140"/>
    <w:rsid w:val="00CF4971"/>
    <w:rsid w:val="00CF4E28"/>
    <w:rsid w:val="00CF5B99"/>
    <w:rsid w:val="00D00686"/>
    <w:rsid w:val="00D006C6"/>
    <w:rsid w:val="00D0128A"/>
    <w:rsid w:val="00D01AFF"/>
    <w:rsid w:val="00D03824"/>
    <w:rsid w:val="00D03CDB"/>
    <w:rsid w:val="00D040DA"/>
    <w:rsid w:val="00D04CA8"/>
    <w:rsid w:val="00D04EFA"/>
    <w:rsid w:val="00D054D2"/>
    <w:rsid w:val="00D06836"/>
    <w:rsid w:val="00D10104"/>
    <w:rsid w:val="00D13CD5"/>
    <w:rsid w:val="00D144BB"/>
    <w:rsid w:val="00D14812"/>
    <w:rsid w:val="00D14D6E"/>
    <w:rsid w:val="00D16671"/>
    <w:rsid w:val="00D1712B"/>
    <w:rsid w:val="00D17FDA"/>
    <w:rsid w:val="00D204DB"/>
    <w:rsid w:val="00D218DA"/>
    <w:rsid w:val="00D21DAF"/>
    <w:rsid w:val="00D23838"/>
    <w:rsid w:val="00D24363"/>
    <w:rsid w:val="00D25FD7"/>
    <w:rsid w:val="00D26A0B"/>
    <w:rsid w:val="00D2747E"/>
    <w:rsid w:val="00D325B9"/>
    <w:rsid w:val="00D34F6B"/>
    <w:rsid w:val="00D35D5A"/>
    <w:rsid w:val="00D36CFB"/>
    <w:rsid w:val="00D37281"/>
    <w:rsid w:val="00D41FAC"/>
    <w:rsid w:val="00D4298E"/>
    <w:rsid w:val="00D43D10"/>
    <w:rsid w:val="00D451F8"/>
    <w:rsid w:val="00D45275"/>
    <w:rsid w:val="00D45711"/>
    <w:rsid w:val="00D46E9E"/>
    <w:rsid w:val="00D47733"/>
    <w:rsid w:val="00D4776A"/>
    <w:rsid w:val="00D51AA7"/>
    <w:rsid w:val="00D544E5"/>
    <w:rsid w:val="00D6097C"/>
    <w:rsid w:val="00D6153A"/>
    <w:rsid w:val="00D624C9"/>
    <w:rsid w:val="00D63A0C"/>
    <w:rsid w:val="00D63D5A"/>
    <w:rsid w:val="00D64459"/>
    <w:rsid w:val="00D654BA"/>
    <w:rsid w:val="00D6742F"/>
    <w:rsid w:val="00D67BEA"/>
    <w:rsid w:val="00D71484"/>
    <w:rsid w:val="00D736D4"/>
    <w:rsid w:val="00D751F7"/>
    <w:rsid w:val="00D753F4"/>
    <w:rsid w:val="00D75581"/>
    <w:rsid w:val="00D75E6F"/>
    <w:rsid w:val="00D7706A"/>
    <w:rsid w:val="00D80E94"/>
    <w:rsid w:val="00D8247A"/>
    <w:rsid w:val="00D83004"/>
    <w:rsid w:val="00D83668"/>
    <w:rsid w:val="00D83A55"/>
    <w:rsid w:val="00D84FA2"/>
    <w:rsid w:val="00D8546B"/>
    <w:rsid w:val="00D862F1"/>
    <w:rsid w:val="00D87A6D"/>
    <w:rsid w:val="00D909C9"/>
    <w:rsid w:val="00D911E1"/>
    <w:rsid w:val="00D94810"/>
    <w:rsid w:val="00D95BC1"/>
    <w:rsid w:val="00D96B77"/>
    <w:rsid w:val="00D96BB3"/>
    <w:rsid w:val="00DA122C"/>
    <w:rsid w:val="00DA1494"/>
    <w:rsid w:val="00DA2330"/>
    <w:rsid w:val="00DA24E8"/>
    <w:rsid w:val="00DA2AD2"/>
    <w:rsid w:val="00DA3C06"/>
    <w:rsid w:val="00DA3E08"/>
    <w:rsid w:val="00DA4FCD"/>
    <w:rsid w:val="00DA5A5C"/>
    <w:rsid w:val="00DA5BC4"/>
    <w:rsid w:val="00DA636C"/>
    <w:rsid w:val="00DA64BA"/>
    <w:rsid w:val="00DA710E"/>
    <w:rsid w:val="00DB06D5"/>
    <w:rsid w:val="00DB0E17"/>
    <w:rsid w:val="00DB0E31"/>
    <w:rsid w:val="00DB3D6D"/>
    <w:rsid w:val="00DB4009"/>
    <w:rsid w:val="00DB413D"/>
    <w:rsid w:val="00DB450D"/>
    <w:rsid w:val="00DB4C87"/>
    <w:rsid w:val="00DB6160"/>
    <w:rsid w:val="00DB6683"/>
    <w:rsid w:val="00DB6700"/>
    <w:rsid w:val="00DC3DD7"/>
    <w:rsid w:val="00DC54BF"/>
    <w:rsid w:val="00DD0461"/>
    <w:rsid w:val="00DD362F"/>
    <w:rsid w:val="00DD424E"/>
    <w:rsid w:val="00DD4CC0"/>
    <w:rsid w:val="00DD5682"/>
    <w:rsid w:val="00DD5F2E"/>
    <w:rsid w:val="00DE0609"/>
    <w:rsid w:val="00DE0DA2"/>
    <w:rsid w:val="00DE11C9"/>
    <w:rsid w:val="00DE1829"/>
    <w:rsid w:val="00DE1EF4"/>
    <w:rsid w:val="00DE4344"/>
    <w:rsid w:val="00DE58DE"/>
    <w:rsid w:val="00DE60FB"/>
    <w:rsid w:val="00DE6641"/>
    <w:rsid w:val="00DF0959"/>
    <w:rsid w:val="00DF0F01"/>
    <w:rsid w:val="00DF1606"/>
    <w:rsid w:val="00DF184B"/>
    <w:rsid w:val="00DF23BF"/>
    <w:rsid w:val="00DF2799"/>
    <w:rsid w:val="00DF27AF"/>
    <w:rsid w:val="00DF28E5"/>
    <w:rsid w:val="00DF3933"/>
    <w:rsid w:val="00DF4774"/>
    <w:rsid w:val="00E03211"/>
    <w:rsid w:val="00E045CE"/>
    <w:rsid w:val="00E046C3"/>
    <w:rsid w:val="00E05AC4"/>
    <w:rsid w:val="00E05BE8"/>
    <w:rsid w:val="00E074B7"/>
    <w:rsid w:val="00E10442"/>
    <w:rsid w:val="00E10B51"/>
    <w:rsid w:val="00E10F7E"/>
    <w:rsid w:val="00E15C22"/>
    <w:rsid w:val="00E15F75"/>
    <w:rsid w:val="00E21ED9"/>
    <w:rsid w:val="00E22162"/>
    <w:rsid w:val="00E22BEA"/>
    <w:rsid w:val="00E22FDF"/>
    <w:rsid w:val="00E2577F"/>
    <w:rsid w:val="00E25C6B"/>
    <w:rsid w:val="00E26350"/>
    <w:rsid w:val="00E33697"/>
    <w:rsid w:val="00E35A41"/>
    <w:rsid w:val="00E37383"/>
    <w:rsid w:val="00E4349E"/>
    <w:rsid w:val="00E445E4"/>
    <w:rsid w:val="00E458C7"/>
    <w:rsid w:val="00E45C14"/>
    <w:rsid w:val="00E45F8A"/>
    <w:rsid w:val="00E47B01"/>
    <w:rsid w:val="00E51370"/>
    <w:rsid w:val="00E55F05"/>
    <w:rsid w:val="00E568F6"/>
    <w:rsid w:val="00E60D62"/>
    <w:rsid w:val="00E62C29"/>
    <w:rsid w:val="00E6383D"/>
    <w:rsid w:val="00E6520D"/>
    <w:rsid w:val="00E662A4"/>
    <w:rsid w:val="00E662DC"/>
    <w:rsid w:val="00E6640A"/>
    <w:rsid w:val="00E66C61"/>
    <w:rsid w:val="00E67F4A"/>
    <w:rsid w:val="00E724DE"/>
    <w:rsid w:val="00E728CF"/>
    <w:rsid w:val="00E730DD"/>
    <w:rsid w:val="00E74DDC"/>
    <w:rsid w:val="00E76BB2"/>
    <w:rsid w:val="00E810D8"/>
    <w:rsid w:val="00E8133E"/>
    <w:rsid w:val="00E85657"/>
    <w:rsid w:val="00E85D7B"/>
    <w:rsid w:val="00E9006B"/>
    <w:rsid w:val="00E903BE"/>
    <w:rsid w:val="00E931D8"/>
    <w:rsid w:val="00E93254"/>
    <w:rsid w:val="00E933F2"/>
    <w:rsid w:val="00E96C3F"/>
    <w:rsid w:val="00EA2D18"/>
    <w:rsid w:val="00EA4BCB"/>
    <w:rsid w:val="00EA692C"/>
    <w:rsid w:val="00EA6BCC"/>
    <w:rsid w:val="00EA6EDC"/>
    <w:rsid w:val="00EA7D8E"/>
    <w:rsid w:val="00EA7FF7"/>
    <w:rsid w:val="00EB09B0"/>
    <w:rsid w:val="00EB38F7"/>
    <w:rsid w:val="00EB646C"/>
    <w:rsid w:val="00EB65E7"/>
    <w:rsid w:val="00EB66DE"/>
    <w:rsid w:val="00EB7C23"/>
    <w:rsid w:val="00EC0838"/>
    <w:rsid w:val="00EC0DAD"/>
    <w:rsid w:val="00EC1D35"/>
    <w:rsid w:val="00EC346E"/>
    <w:rsid w:val="00EC3FE7"/>
    <w:rsid w:val="00EC5EFB"/>
    <w:rsid w:val="00EC5F7A"/>
    <w:rsid w:val="00EC632E"/>
    <w:rsid w:val="00ED0368"/>
    <w:rsid w:val="00ED154B"/>
    <w:rsid w:val="00ED25F6"/>
    <w:rsid w:val="00ED2620"/>
    <w:rsid w:val="00ED569C"/>
    <w:rsid w:val="00EE0A82"/>
    <w:rsid w:val="00EE0BD7"/>
    <w:rsid w:val="00EE5359"/>
    <w:rsid w:val="00EE5574"/>
    <w:rsid w:val="00EE6760"/>
    <w:rsid w:val="00EF0C6C"/>
    <w:rsid w:val="00EF1C34"/>
    <w:rsid w:val="00EF3B3C"/>
    <w:rsid w:val="00EF5010"/>
    <w:rsid w:val="00EF6266"/>
    <w:rsid w:val="00EF720C"/>
    <w:rsid w:val="00EF7718"/>
    <w:rsid w:val="00EF7743"/>
    <w:rsid w:val="00F00161"/>
    <w:rsid w:val="00F04B37"/>
    <w:rsid w:val="00F05235"/>
    <w:rsid w:val="00F05ABC"/>
    <w:rsid w:val="00F05B24"/>
    <w:rsid w:val="00F11B92"/>
    <w:rsid w:val="00F127D0"/>
    <w:rsid w:val="00F14567"/>
    <w:rsid w:val="00F15140"/>
    <w:rsid w:val="00F16A3B"/>
    <w:rsid w:val="00F22CCD"/>
    <w:rsid w:val="00F23254"/>
    <w:rsid w:val="00F23416"/>
    <w:rsid w:val="00F2472B"/>
    <w:rsid w:val="00F24A0A"/>
    <w:rsid w:val="00F25361"/>
    <w:rsid w:val="00F310C2"/>
    <w:rsid w:val="00F31778"/>
    <w:rsid w:val="00F32DAA"/>
    <w:rsid w:val="00F33B59"/>
    <w:rsid w:val="00F35C10"/>
    <w:rsid w:val="00F369C9"/>
    <w:rsid w:val="00F37126"/>
    <w:rsid w:val="00F37F2C"/>
    <w:rsid w:val="00F408B7"/>
    <w:rsid w:val="00F41CE5"/>
    <w:rsid w:val="00F421E9"/>
    <w:rsid w:val="00F4222D"/>
    <w:rsid w:val="00F42438"/>
    <w:rsid w:val="00F43E99"/>
    <w:rsid w:val="00F458A9"/>
    <w:rsid w:val="00F55E4E"/>
    <w:rsid w:val="00F56615"/>
    <w:rsid w:val="00F60CBA"/>
    <w:rsid w:val="00F64922"/>
    <w:rsid w:val="00F65B6A"/>
    <w:rsid w:val="00F6775C"/>
    <w:rsid w:val="00F7034D"/>
    <w:rsid w:val="00F70BA5"/>
    <w:rsid w:val="00F71314"/>
    <w:rsid w:val="00F71F45"/>
    <w:rsid w:val="00F71FF5"/>
    <w:rsid w:val="00F72133"/>
    <w:rsid w:val="00F7218A"/>
    <w:rsid w:val="00F72B81"/>
    <w:rsid w:val="00F73C04"/>
    <w:rsid w:val="00F75083"/>
    <w:rsid w:val="00F7513B"/>
    <w:rsid w:val="00F75B29"/>
    <w:rsid w:val="00F761F6"/>
    <w:rsid w:val="00F76290"/>
    <w:rsid w:val="00F772BC"/>
    <w:rsid w:val="00F84430"/>
    <w:rsid w:val="00F84C12"/>
    <w:rsid w:val="00F84EE1"/>
    <w:rsid w:val="00F873CF"/>
    <w:rsid w:val="00F9018B"/>
    <w:rsid w:val="00F90595"/>
    <w:rsid w:val="00F91887"/>
    <w:rsid w:val="00F91D94"/>
    <w:rsid w:val="00F92785"/>
    <w:rsid w:val="00F938CA"/>
    <w:rsid w:val="00FA356C"/>
    <w:rsid w:val="00FA41B1"/>
    <w:rsid w:val="00FA5946"/>
    <w:rsid w:val="00FA67A9"/>
    <w:rsid w:val="00FB03BB"/>
    <w:rsid w:val="00FB4B70"/>
    <w:rsid w:val="00FB58D9"/>
    <w:rsid w:val="00FB6FCC"/>
    <w:rsid w:val="00FB7F44"/>
    <w:rsid w:val="00FC0D2C"/>
    <w:rsid w:val="00FC3F53"/>
    <w:rsid w:val="00FC5294"/>
    <w:rsid w:val="00FD1006"/>
    <w:rsid w:val="00FD1EE4"/>
    <w:rsid w:val="00FD3FC9"/>
    <w:rsid w:val="00FD419F"/>
    <w:rsid w:val="00FD49B2"/>
    <w:rsid w:val="00FD7C0A"/>
    <w:rsid w:val="00FE1609"/>
    <w:rsid w:val="00FE2552"/>
    <w:rsid w:val="00FE4AF1"/>
    <w:rsid w:val="00FE5BF1"/>
    <w:rsid w:val="00FE5F44"/>
    <w:rsid w:val="00FE65C1"/>
    <w:rsid w:val="00FE6F78"/>
    <w:rsid w:val="00FE735F"/>
    <w:rsid w:val="00FF1135"/>
    <w:rsid w:val="00FF127D"/>
    <w:rsid w:val="00FF1634"/>
    <w:rsid w:val="00FF1945"/>
    <w:rsid w:val="00FF4886"/>
    <w:rsid w:val="00FF5836"/>
    <w:rsid w:val="00FF5C28"/>
    <w:rsid w:val="00FF615C"/>
    <w:rsid w:val="00FF75D9"/>
    <w:rsid w:val="011D7C4B"/>
    <w:rsid w:val="03060631"/>
    <w:rsid w:val="053F77CC"/>
    <w:rsid w:val="06283F63"/>
    <w:rsid w:val="0701218C"/>
    <w:rsid w:val="0A3C6DC1"/>
    <w:rsid w:val="0B6578C3"/>
    <w:rsid w:val="0B9F01C5"/>
    <w:rsid w:val="0C81667B"/>
    <w:rsid w:val="0D6945E7"/>
    <w:rsid w:val="0E461A50"/>
    <w:rsid w:val="0FFE31DD"/>
    <w:rsid w:val="11A60EF3"/>
    <w:rsid w:val="14D72BB2"/>
    <w:rsid w:val="151759E8"/>
    <w:rsid w:val="158B6E59"/>
    <w:rsid w:val="18B642DC"/>
    <w:rsid w:val="1951622D"/>
    <w:rsid w:val="19C06B44"/>
    <w:rsid w:val="1A1B2B45"/>
    <w:rsid w:val="1C6266AD"/>
    <w:rsid w:val="1DAD130C"/>
    <w:rsid w:val="203703BA"/>
    <w:rsid w:val="21852A38"/>
    <w:rsid w:val="231B1BB8"/>
    <w:rsid w:val="280B656E"/>
    <w:rsid w:val="2BEA76DC"/>
    <w:rsid w:val="2D3D6F98"/>
    <w:rsid w:val="30BC19D0"/>
    <w:rsid w:val="324000C1"/>
    <w:rsid w:val="32776BEE"/>
    <w:rsid w:val="33897432"/>
    <w:rsid w:val="347361E4"/>
    <w:rsid w:val="36F67098"/>
    <w:rsid w:val="38D67B42"/>
    <w:rsid w:val="3B0D7D7E"/>
    <w:rsid w:val="3C583801"/>
    <w:rsid w:val="3E793ABD"/>
    <w:rsid w:val="3F877ADF"/>
    <w:rsid w:val="3FBA0B4E"/>
    <w:rsid w:val="436B179F"/>
    <w:rsid w:val="4B2819E3"/>
    <w:rsid w:val="4BBB11BD"/>
    <w:rsid w:val="4D58668A"/>
    <w:rsid w:val="4EC03A0E"/>
    <w:rsid w:val="51880C45"/>
    <w:rsid w:val="539547EE"/>
    <w:rsid w:val="53A8494A"/>
    <w:rsid w:val="53C47617"/>
    <w:rsid w:val="5524221C"/>
    <w:rsid w:val="5688265F"/>
    <w:rsid w:val="58562F86"/>
    <w:rsid w:val="5A804A1B"/>
    <w:rsid w:val="5B10522C"/>
    <w:rsid w:val="5BDF56CB"/>
    <w:rsid w:val="5DF07A33"/>
    <w:rsid w:val="62CE7311"/>
    <w:rsid w:val="62D90A3C"/>
    <w:rsid w:val="64735563"/>
    <w:rsid w:val="64F4459D"/>
    <w:rsid w:val="65227E33"/>
    <w:rsid w:val="65DF6369"/>
    <w:rsid w:val="67294632"/>
    <w:rsid w:val="677551D7"/>
    <w:rsid w:val="68727968"/>
    <w:rsid w:val="6A511D15"/>
    <w:rsid w:val="6D1907FF"/>
    <w:rsid w:val="6DE41D8A"/>
    <w:rsid w:val="6E5F5266"/>
    <w:rsid w:val="6E6730DA"/>
    <w:rsid w:val="6F1224DD"/>
    <w:rsid w:val="6F2F63AE"/>
    <w:rsid w:val="6F3C43AC"/>
    <w:rsid w:val="70083FED"/>
    <w:rsid w:val="7443355A"/>
    <w:rsid w:val="74D37E76"/>
    <w:rsid w:val="764A7D3C"/>
    <w:rsid w:val="77062FC4"/>
    <w:rsid w:val="772434FD"/>
    <w:rsid w:val="782E13FD"/>
    <w:rsid w:val="79760770"/>
    <w:rsid w:val="79D20267"/>
    <w:rsid w:val="7B3C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0"/>
    <w:pPr>
      <w:keepNext/>
      <w:keepLines/>
      <w:spacing w:before="260" w:after="260" w:line="416"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toc 7"/>
    <w:basedOn w:val="1"/>
    <w:next w:val="1"/>
    <w:semiHidden/>
    <w:qFormat/>
    <w:uiPriority w:val="0"/>
    <w:pPr>
      <w:ind w:left="2520"/>
    </w:pPr>
  </w:style>
  <w:style w:type="paragraph" w:styleId="13">
    <w:name w:val="Document Map"/>
    <w:basedOn w:val="1"/>
    <w:link w:val="48"/>
    <w:qFormat/>
    <w:uiPriority w:val="0"/>
    <w:rPr>
      <w:rFonts w:ascii="宋体"/>
      <w:sz w:val="18"/>
      <w:szCs w:val="18"/>
    </w:rPr>
  </w:style>
  <w:style w:type="paragraph" w:styleId="14">
    <w:name w:val="annotation text"/>
    <w:basedOn w:val="1"/>
    <w:link w:val="49"/>
    <w:semiHidden/>
    <w:qFormat/>
    <w:uiPriority w:val="0"/>
    <w:pPr>
      <w:adjustRightInd w:val="0"/>
      <w:spacing w:line="360" w:lineRule="atLeast"/>
      <w:jc w:val="left"/>
      <w:textAlignment w:val="baseline"/>
    </w:pPr>
    <w:rPr>
      <w:kern w:val="0"/>
      <w:sz w:val="24"/>
    </w:rPr>
  </w:style>
  <w:style w:type="paragraph" w:styleId="15">
    <w:name w:val="Body Text 3"/>
    <w:basedOn w:val="1"/>
    <w:qFormat/>
    <w:uiPriority w:val="0"/>
    <w:rPr>
      <w:sz w:val="48"/>
      <w:szCs w:val="48"/>
    </w:rPr>
  </w:style>
  <w:style w:type="paragraph" w:styleId="16">
    <w:name w:val="Body Text"/>
    <w:basedOn w:val="1"/>
    <w:qFormat/>
    <w:uiPriority w:val="0"/>
    <w:pPr>
      <w:spacing w:after="120"/>
    </w:pPr>
  </w:style>
  <w:style w:type="paragraph" w:styleId="17">
    <w:name w:val="Body Text Indent"/>
    <w:basedOn w:val="1"/>
    <w:qFormat/>
    <w:uiPriority w:val="0"/>
    <w:pPr>
      <w:spacing w:after="120"/>
      <w:ind w:left="420" w:leftChars="200"/>
    </w:pPr>
  </w:style>
  <w:style w:type="paragraph" w:styleId="18">
    <w:name w:val="Block Text"/>
    <w:basedOn w:val="1"/>
    <w:qFormat/>
    <w:uiPriority w:val="0"/>
    <w:pPr>
      <w:adjustRightInd w:val="0"/>
      <w:spacing w:line="360" w:lineRule="atLeast"/>
      <w:ind w:left="87" w:leftChars="36" w:right="140" w:hanging="1"/>
      <w:jc w:val="left"/>
      <w:textAlignment w:val="baseline"/>
    </w:pPr>
    <w:rPr>
      <w:kern w:val="0"/>
      <w:szCs w:val="21"/>
    </w:rPr>
  </w:style>
  <w:style w:type="paragraph" w:styleId="19">
    <w:name w:val="toc 5"/>
    <w:basedOn w:val="1"/>
    <w:next w:val="1"/>
    <w:semiHidden/>
    <w:qFormat/>
    <w:uiPriority w:val="0"/>
    <w:pPr>
      <w:tabs>
        <w:tab w:val="left" w:pos="1470"/>
        <w:tab w:val="right" w:leader="dot" w:pos="8777"/>
      </w:tabs>
      <w:spacing w:before="120" w:after="120"/>
    </w:pPr>
    <w:rPr>
      <w:rFonts w:eastAsia="楷体_GB2312"/>
      <w:sz w:val="30"/>
      <w:szCs w:val="36"/>
    </w:rPr>
  </w:style>
  <w:style w:type="paragraph" w:styleId="20">
    <w:name w:val="toc 3"/>
    <w:basedOn w:val="1"/>
    <w:next w:val="1"/>
    <w:qFormat/>
    <w:uiPriority w:val="39"/>
    <w:pPr>
      <w:tabs>
        <w:tab w:val="left" w:pos="1470"/>
        <w:tab w:val="right" w:leader="dot" w:pos="8777"/>
      </w:tabs>
      <w:autoSpaceDE w:val="0"/>
      <w:autoSpaceDN w:val="0"/>
      <w:spacing w:line="360" w:lineRule="auto"/>
    </w:pPr>
    <w:rPr>
      <w:b/>
      <w:sz w:val="24"/>
    </w:rPr>
  </w:style>
  <w:style w:type="paragraph" w:styleId="21">
    <w:name w:val="Plain Text"/>
    <w:basedOn w:val="1"/>
    <w:qFormat/>
    <w:uiPriority w:val="0"/>
    <w:rPr>
      <w:rFonts w:ascii="宋体" w:hAnsi="Courier New"/>
    </w:rPr>
  </w:style>
  <w:style w:type="paragraph" w:styleId="22">
    <w:name w:val="toc 8"/>
    <w:basedOn w:val="1"/>
    <w:next w:val="1"/>
    <w:semiHidden/>
    <w:qFormat/>
    <w:uiPriority w:val="0"/>
    <w:pPr>
      <w:ind w:left="2940"/>
    </w:pPr>
  </w:style>
  <w:style w:type="paragraph" w:styleId="23">
    <w:name w:val="Date"/>
    <w:basedOn w:val="1"/>
    <w:next w:val="1"/>
    <w:qFormat/>
    <w:uiPriority w:val="0"/>
    <w:rPr>
      <w:rFonts w:ascii="宋体"/>
      <w:b/>
      <w:sz w:val="36"/>
    </w:rPr>
  </w:style>
  <w:style w:type="paragraph" w:styleId="24">
    <w:name w:val="Body Text Indent 2"/>
    <w:basedOn w:val="1"/>
    <w:qFormat/>
    <w:uiPriority w:val="0"/>
    <w:pPr>
      <w:snapToGrid w:val="0"/>
      <w:spacing w:line="360" w:lineRule="atLeast"/>
      <w:ind w:firstLine="630"/>
    </w:pPr>
    <w:rPr>
      <w:rFonts w:ascii="华文仿宋" w:hAnsi="华文仿宋" w:eastAsia="华文仿宋"/>
      <w:sz w:val="32"/>
    </w:rPr>
  </w:style>
  <w:style w:type="paragraph" w:styleId="25">
    <w:name w:val="Balloon Text"/>
    <w:basedOn w:val="1"/>
    <w:semiHidden/>
    <w:qFormat/>
    <w:uiPriority w:val="0"/>
    <w:rPr>
      <w:sz w:val="18"/>
      <w:szCs w:val="18"/>
    </w:rPr>
  </w:style>
  <w:style w:type="paragraph" w:styleId="26">
    <w:name w:val="footer"/>
    <w:basedOn w:val="1"/>
    <w:link w:val="50"/>
    <w:qFormat/>
    <w:uiPriority w:val="99"/>
    <w:pPr>
      <w:tabs>
        <w:tab w:val="center" w:pos="4153"/>
        <w:tab w:val="right" w:pos="8306"/>
      </w:tabs>
      <w:snapToGrid w:val="0"/>
      <w:jc w:val="left"/>
    </w:pPr>
    <w:rPr>
      <w:sz w:val="18"/>
    </w:rPr>
  </w:style>
  <w:style w:type="paragraph" w:styleId="27">
    <w:name w:val="header"/>
    <w:basedOn w:val="1"/>
    <w:link w:val="51"/>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tabs>
        <w:tab w:val="left" w:pos="945"/>
        <w:tab w:val="right" w:leader="dot" w:pos="8777"/>
      </w:tabs>
      <w:spacing w:before="120" w:after="120" w:line="360" w:lineRule="auto"/>
      <w:ind w:left="100" w:leftChars="100" w:right="100" w:rightChars="100"/>
    </w:pPr>
    <w:rPr>
      <w:b/>
      <w:sz w:val="24"/>
      <w:szCs w:val="36"/>
    </w:rPr>
  </w:style>
  <w:style w:type="paragraph" w:styleId="29">
    <w:name w:val="toc 4"/>
    <w:basedOn w:val="1"/>
    <w:next w:val="1"/>
    <w:semiHidden/>
    <w:qFormat/>
    <w:uiPriority w:val="0"/>
    <w:pPr>
      <w:tabs>
        <w:tab w:val="left" w:pos="945"/>
        <w:tab w:val="right" w:leader="dot" w:pos="8763"/>
      </w:tabs>
      <w:spacing w:before="60" w:after="60" w:line="360" w:lineRule="exact"/>
      <w:ind w:left="560"/>
    </w:pPr>
    <w:rPr>
      <w:rFonts w:eastAsia="华文仿宋"/>
      <w:sz w:val="24"/>
      <w:szCs w:val="36"/>
    </w:rPr>
  </w:style>
  <w:style w:type="paragraph" w:styleId="30">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31">
    <w:name w:val="List"/>
    <w:basedOn w:val="1"/>
    <w:qFormat/>
    <w:uiPriority w:val="0"/>
    <w:pPr>
      <w:ind w:left="200" w:hanging="200" w:hangingChars="200"/>
    </w:pPr>
  </w:style>
  <w:style w:type="paragraph" w:styleId="32">
    <w:name w:val="toc 6"/>
    <w:basedOn w:val="1"/>
    <w:next w:val="1"/>
    <w:semiHidden/>
    <w:qFormat/>
    <w:uiPriority w:val="0"/>
    <w:pPr>
      <w:ind w:left="2100"/>
    </w:pPr>
  </w:style>
  <w:style w:type="paragraph" w:styleId="33">
    <w:name w:val="Body Text Indent 3"/>
    <w:basedOn w:val="1"/>
    <w:qFormat/>
    <w:uiPriority w:val="0"/>
    <w:pPr>
      <w:spacing w:line="360" w:lineRule="auto"/>
      <w:ind w:left="840"/>
    </w:pPr>
    <w:rPr>
      <w:rFonts w:ascii="华文仿宋" w:hAnsi="华文仿宋" w:eastAsia="华文仿宋"/>
      <w:sz w:val="24"/>
    </w:rPr>
  </w:style>
  <w:style w:type="paragraph" w:styleId="34">
    <w:name w:val="toc 2"/>
    <w:basedOn w:val="1"/>
    <w:next w:val="1"/>
    <w:semiHidden/>
    <w:qFormat/>
    <w:uiPriority w:val="39"/>
    <w:pPr>
      <w:tabs>
        <w:tab w:val="left" w:pos="945"/>
        <w:tab w:val="right" w:leader="dot" w:pos="8777"/>
      </w:tabs>
      <w:autoSpaceDE w:val="0"/>
      <w:autoSpaceDN w:val="0"/>
      <w:spacing w:before="120" w:after="120" w:line="360" w:lineRule="auto"/>
    </w:pPr>
    <w:rPr>
      <w:b/>
      <w:bCs/>
      <w:sz w:val="24"/>
      <w:szCs w:val="36"/>
    </w:rPr>
  </w:style>
  <w:style w:type="paragraph" w:styleId="35">
    <w:name w:val="toc 9"/>
    <w:basedOn w:val="1"/>
    <w:next w:val="1"/>
    <w:semiHidden/>
    <w:qFormat/>
    <w:uiPriority w:val="0"/>
    <w:pPr>
      <w:ind w:left="3360"/>
    </w:pPr>
  </w:style>
  <w:style w:type="paragraph" w:styleId="36">
    <w:name w:val="Body Text 2"/>
    <w:basedOn w:val="1"/>
    <w:qFormat/>
    <w:uiPriority w:val="0"/>
    <w:pPr>
      <w:jc w:val="center"/>
    </w:pPr>
    <w:rPr>
      <w:rFonts w:ascii="楷体_GB2312" w:eastAsia="楷体_GB2312"/>
      <w:b/>
      <w:sz w:val="72"/>
    </w:rPr>
  </w:style>
  <w:style w:type="paragraph" w:styleId="37">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qFormat/>
    <w:uiPriority w:val="0"/>
    <w:pPr>
      <w:spacing w:before="240" w:after="60"/>
      <w:jc w:val="center"/>
      <w:outlineLvl w:val="0"/>
    </w:pPr>
    <w:rPr>
      <w:rFonts w:ascii="Arial" w:hAnsi="Arial" w:eastAsia="黑体"/>
      <w:b/>
      <w:sz w:val="36"/>
    </w:rPr>
  </w:style>
  <w:style w:type="paragraph" w:styleId="40">
    <w:name w:val="annotation subject"/>
    <w:basedOn w:val="14"/>
    <w:next w:val="14"/>
    <w:qFormat/>
    <w:uiPriority w:val="0"/>
    <w:pPr>
      <w:adjustRightInd/>
      <w:spacing w:line="240" w:lineRule="auto"/>
      <w:textAlignment w:val="auto"/>
    </w:pPr>
    <w:rPr>
      <w:b/>
      <w:bCs/>
      <w:kern w:val="2"/>
      <w:sz w:val="21"/>
      <w:szCs w:val="24"/>
    </w:rPr>
  </w:style>
  <w:style w:type="table" w:styleId="42">
    <w:name w:val="Table Grid"/>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page number"/>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文档结构图 字符"/>
    <w:link w:val="13"/>
    <w:qFormat/>
    <w:uiPriority w:val="0"/>
    <w:rPr>
      <w:rFonts w:ascii="宋体"/>
      <w:kern w:val="2"/>
      <w:sz w:val="18"/>
      <w:szCs w:val="18"/>
    </w:rPr>
  </w:style>
  <w:style w:type="character" w:customStyle="1" w:styleId="49">
    <w:name w:val="批注文字 字符"/>
    <w:link w:val="14"/>
    <w:semiHidden/>
    <w:qFormat/>
    <w:uiPriority w:val="0"/>
    <w:rPr>
      <w:sz w:val="24"/>
    </w:rPr>
  </w:style>
  <w:style w:type="character" w:customStyle="1" w:styleId="50">
    <w:name w:val="页脚 字符"/>
    <w:link w:val="26"/>
    <w:qFormat/>
    <w:uiPriority w:val="99"/>
    <w:rPr>
      <w:kern w:val="2"/>
      <w:sz w:val="18"/>
    </w:rPr>
  </w:style>
  <w:style w:type="character" w:customStyle="1" w:styleId="51">
    <w:name w:val="页眉 字符"/>
    <w:link w:val="27"/>
    <w:qFormat/>
    <w:uiPriority w:val="99"/>
    <w:rPr>
      <w:kern w:val="2"/>
      <w:sz w:val="18"/>
    </w:rPr>
  </w:style>
  <w:style w:type="character" w:customStyle="1" w:styleId="52">
    <w:name w:val="HTML 预设格式 字符"/>
    <w:link w:val="37"/>
    <w:qFormat/>
    <w:uiPriority w:val="99"/>
    <w:rPr>
      <w:rFonts w:ascii="宋体" w:hAnsi="宋体" w:cs="宋体"/>
      <w:sz w:val="24"/>
      <w:szCs w:val="24"/>
    </w:rPr>
  </w:style>
  <w:style w:type="character" w:customStyle="1" w:styleId="53">
    <w:name w:val="Heading 1 Char"/>
    <w:qFormat/>
    <w:uiPriority w:val="0"/>
    <w:rPr>
      <w:rFonts w:ascii="Times New Roman" w:hAnsi="Times New Roman" w:cs="Times New Roman"/>
      <w:b/>
      <w:bCs/>
      <w:kern w:val="44"/>
      <w:sz w:val="44"/>
      <w:szCs w:val="44"/>
    </w:rPr>
  </w:style>
  <w:style w:type="character" w:customStyle="1" w:styleId="54">
    <w:name w:val="Heading 2 Char"/>
    <w:qFormat/>
    <w:uiPriority w:val="0"/>
    <w:rPr>
      <w:rFonts w:ascii="Cambria" w:hAnsi="Cambria" w:eastAsia="宋体" w:cs="Cambria"/>
      <w:b/>
      <w:bCs/>
      <w:sz w:val="32"/>
      <w:szCs w:val="32"/>
    </w:rPr>
  </w:style>
  <w:style w:type="character" w:customStyle="1" w:styleId="55">
    <w:name w:val="Subtitle Char"/>
    <w:qFormat/>
    <w:uiPriority w:val="0"/>
    <w:rPr>
      <w:rFonts w:ascii="Cambria" w:hAnsi="Cambria" w:cs="Cambria"/>
      <w:b/>
      <w:bCs/>
      <w:kern w:val="28"/>
      <w:sz w:val="32"/>
      <w:szCs w:val="32"/>
    </w:rPr>
  </w:style>
  <w:style w:type="character" w:customStyle="1" w:styleId="56">
    <w:name w:val="Char Char"/>
    <w:qFormat/>
    <w:uiPriority w:val="0"/>
    <w:rPr>
      <w:rFonts w:ascii="宋体" w:eastAsia="宋体"/>
      <w:b/>
      <w:kern w:val="2"/>
      <w:sz w:val="36"/>
      <w:lang w:val="en-US" w:eastAsia="zh-CN" w:bidi="ar-SA"/>
    </w:rPr>
  </w:style>
  <w:style w:type="character" w:customStyle="1" w:styleId="57">
    <w:name w:val="样式2 Char"/>
    <w:qFormat/>
    <w:uiPriority w:val="0"/>
    <w:rPr>
      <w:rFonts w:ascii="宋体" w:hAnsi="宋体" w:eastAsia="宋体"/>
      <w:kern w:val="2"/>
      <w:sz w:val="24"/>
      <w:szCs w:val="24"/>
      <w:lang w:val="en-US" w:eastAsia="zh-CN" w:bidi="ar-SA"/>
    </w:rPr>
  </w:style>
  <w:style w:type="character" w:customStyle="1" w:styleId="58">
    <w:name w:val="Balloon Text Char"/>
    <w:qFormat/>
    <w:uiPriority w:val="0"/>
    <w:rPr>
      <w:rFonts w:ascii="Times New Roman" w:hAnsi="Times New Roman" w:cs="Times New Roman"/>
      <w:sz w:val="2"/>
      <w:szCs w:val="2"/>
    </w:rPr>
  </w:style>
  <w:style w:type="character" w:customStyle="1" w:styleId="59">
    <w:name w:val="Heading 7 Char"/>
    <w:qFormat/>
    <w:uiPriority w:val="0"/>
    <w:rPr>
      <w:rFonts w:ascii="Times New Roman" w:hAnsi="Times New Roman" w:cs="Times New Roman"/>
      <w:b/>
      <w:bCs/>
      <w:sz w:val="24"/>
      <w:szCs w:val="24"/>
    </w:rPr>
  </w:style>
  <w:style w:type="character" w:customStyle="1" w:styleId="60">
    <w:name w:val="Plain Text Char"/>
    <w:qFormat/>
    <w:uiPriority w:val="0"/>
    <w:rPr>
      <w:rFonts w:ascii="宋体" w:eastAsia="宋体" w:cs="宋体"/>
      <w:sz w:val="21"/>
      <w:szCs w:val="21"/>
    </w:rPr>
  </w:style>
  <w:style w:type="character" w:customStyle="1" w:styleId="61">
    <w:name w:val="Char Char3"/>
    <w:qFormat/>
    <w:uiPriority w:val="0"/>
    <w:rPr>
      <w:rFonts w:ascii="Arial" w:hAnsi="Arial" w:eastAsia="黑体"/>
      <w:kern w:val="2"/>
      <w:sz w:val="24"/>
      <w:szCs w:val="24"/>
      <w:lang w:val="en-US" w:eastAsia="zh-CN" w:bidi="ar-SA"/>
    </w:rPr>
  </w:style>
  <w:style w:type="character" w:customStyle="1" w:styleId="62">
    <w:name w:val="Heading 8 Char"/>
    <w:qFormat/>
    <w:uiPriority w:val="0"/>
    <w:rPr>
      <w:rFonts w:ascii="Cambria" w:hAnsi="Cambria" w:eastAsia="宋体" w:cs="Cambria"/>
      <w:sz w:val="24"/>
      <w:szCs w:val="24"/>
    </w:rPr>
  </w:style>
  <w:style w:type="character" w:customStyle="1" w:styleId="63">
    <w:name w:val="Char Char1"/>
    <w:qFormat/>
    <w:uiPriority w:val="0"/>
    <w:rPr>
      <w:rFonts w:eastAsia="宋体"/>
      <w:kern w:val="2"/>
      <w:sz w:val="18"/>
      <w:lang w:val="en-US" w:eastAsia="zh-CN" w:bidi="ar-SA"/>
    </w:rPr>
  </w:style>
  <w:style w:type="character" w:customStyle="1" w:styleId="64">
    <w:name w:val="Char Char7"/>
    <w:qFormat/>
    <w:uiPriority w:val="0"/>
    <w:rPr>
      <w:rFonts w:ascii="Arial" w:hAnsi="Arial" w:eastAsia="黑体"/>
      <w:b/>
      <w:bCs/>
      <w:kern w:val="2"/>
      <w:sz w:val="28"/>
      <w:szCs w:val="28"/>
      <w:lang w:val="en-US" w:eastAsia="zh-CN" w:bidi="ar-SA"/>
    </w:rPr>
  </w:style>
  <w:style w:type="character" w:customStyle="1" w:styleId="65">
    <w:name w:val="Body Text Char"/>
    <w:qFormat/>
    <w:uiPriority w:val="0"/>
    <w:rPr>
      <w:rFonts w:ascii="Times New Roman" w:hAnsi="Times New Roman" w:cs="Times New Roman"/>
      <w:sz w:val="24"/>
      <w:szCs w:val="24"/>
    </w:rPr>
  </w:style>
  <w:style w:type="character" w:customStyle="1" w:styleId="66">
    <w:name w:val="Heading 3 Char"/>
    <w:qFormat/>
    <w:uiPriority w:val="0"/>
    <w:rPr>
      <w:rFonts w:ascii="Times New Roman" w:hAnsi="Times New Roman" w:cs="Times New Roman"/>
      <w:b/>
      <w:bCs/>
      <w:sz w:val="32"/>
      <w:szCs w:val="32"/>
    </w:rPr>
  </w:style>
  <w:style w:type="character" w:customStyle="1" w:styleId="67">
    <w:name w:val="Body Text 2 Char"/>
    <w:qFormat/>
    <w:uiPriority w:val="0"/>
    <w:rPr>
      <w:rFonts w:ascii="Times New Roman" w:hAnsi="Times New Roman" w:cs="Times New Roman"/>
      <w:sz w:val="24"/>
      <w:szCs w:val="24"/>
    </w:rPr>
  </w:style>
  <w:style w:type="character" w:customStyle="1" w:styleId="68">
    <w:name w:val="Char Char4"/>
    <w:qFormat/>
    <w:uiPriority w:val="0"/>
    <w:rPr>
      <w:rFonts w:eastAsia="宋体"/>
      <w:b/>
      <w:bCs/>
      <w:kern w:val="2"/>
      <w:sz w:val="24"/>
      <w:szCs w:val="24"/>
      <w:lang w:val="en-US" w:eastAsia="zh-CN" w:bidi="ar-SA"/>
    </w:rPr>
  </w:style>
  <w:style w:type="character" w:customStyle="1" w:styleId="69">
    <w:name w:val="Body Text Indent Char"/>
    <w:qFormat/>
    <w:uiPriority w:val="0"/>
    <w:rPr>
      <w:rFonts w:ascii="Times New Roman" w:hAnsi="Times New Roman" w:eastAsia="宋体" w:cs="Times New Roman"/>
      <w:sz w:val="24"/>
      <w:szCs w:val="24"/>
    </w:rPr>
  </w:style>
  <w:style w:type="character" w:customStyle="1" w:styleId="70">
    <w:name w:val="Heading 6 Char"/>
    <w:qFormat/>
    <w:uiPriority w:val="0"/>
    <w:rPr>
      <w:rFonts w:ascii="Cambria" w:hAnsi="Cambria" w:eastAsia="宋体" w:cs="Cambria"/>
      <w:b/>
      <w:bCs/>
      <w:sz w:val="24"/>
      <w:szCs w:val="24"/>
    </w:rPr>
  </w:style>
  <w:style w:type="character" w:customStyle="1" w:styleId="71">
    <w:name w:val="Footer Char"/>
    <w:qFormat/>
    <w:uiPriority w:val="0"/>
    <w:rPr>
      <w:rFonts w:ascii="Times New Roman" w:hAnsi="Times New Roman" w:cs="Times New Roman"/>
      <w:sz w:val="18"/>
      <w:szCs w:val="18"/>
    </w:rPr>
  </w:style>
  <w:style w:type="character" w:customStyle="1" w:styleId="72">
    <w:name w:val="Heading 9 Char"/>
    <w:qFormat/>
    <w:uiPriority w:val="0"/>
    <w:rPr>
      <w:rFonts w:ascii="Cambria" w:hAnsi="Cambria" w:eastAsia="宋体" w:cs="Cambria"/>
      <w:sz w:val="21"/>
      <w:szCs w:val="21"/>
    </w:rPr>
  </w:style>
  <w:style w:type="character" w:customStyle="1" w:styleId="73">
    <w:name w:val="Heading 4 Char"/>
    <w:qFormat/>
    <w:uiPriority w:val="0"/>
    <w:rPr>
      <w:rFonts w:ascii="Cambria" w:hAnsi="Cambria" w:eastAsia="宋体" w:cs="Cambria"/>
      <w:b/>
      <w:bCs/>
      <w:sz w:val="28"/>
      <w:szCs w:val="28"/>
    </w:rPr>
  </w:style>
  <w:style w:type="character" w:customStyle="1" w:styleId="74">
    <w:name w:val="Body Text Indent 2 Char"/>
    <w:qFormat/>
    <w:uiPriority w:val="0"/>
    <w:rPr>
      <w:rFonts w:ascii="Times New Roman" w:hAnsi="Times New Roman" w:cs="Times New Roman"/>
      <w:sz w:val="24"/>
      <w:szCs w:val="24"/>
    </w:rPr>
  </w:style>
  <w:style w:type="character" w:customStyle="1" w:styleId="75">
    <w:name w:val="Char Char5"/>
    <w:qFormat/>
    <w:uiPriority w:val="0"/>
    <w:rPr>
      <w:rFonts w:ascii="Arial" w:hAnsi="Arial" w:eastAsia="黑体"/>
      <w:b/>
      <w:bCs/>
      <w:kern w:val="2"/>
      <w:sz w:val="24"/>
      <w:szCs w:val="24"/>
      <w:lang w:val="en-US" w:eastAsia="zh-CN" w:bidi="ar-SA"/>
    </w:rPr>
  </w:style>
  <w:style w:type="character" w:customStyle="1" w:styleId="76">
    <w:name w:val="Header Char"/>
    <w:qFormat/>
    <w:uiPriority w:val="0"/>
    <w:rPr>
      <w:rFonts w:ascii="Times New Roman" w:hAnsi="Times New Roman" w:cs="Times New Roman"/>
      <w:sz w:val="18"/>
      <w:szCs w:val="18"/>
    </w:rPr>
  </w:style>
  <w:style w:type="character" w:customStyle="1" w:styleId="77">
    <w:name w:val="普通文字1 Char"/>
    <w:qFormat/>
    <w:uiPriority w:val="0"/>
    <w:rPr>
      <w:rFonts w:ascii="宋体" w:hAnsi="Courier New" w:eastAsia="宋体"/>
      <w:kern w:val="2"/>
      <w:sz w:val="21"/>
      <w:lang w:val="en-US" w:eastAsia="zh-CN" w:bidi="ar-SA"/>
    </w:rPr>
  </w:style>
  <w:style w:type="character" w:customStyle="1" w:styleId="78">
    <w:name w:val="Body Text 3 Char"/>
    <w:qFormat/>
    <w:uiPriority w:val="0"/>
    <w:rPr>
      <w:rFonts w:ascii="Times New Roman" w:hAnsi="Times New Roman" w:cs="Times New Roman"/>
      <w:sz w:val="16"/>
      <w:szCs w:val="16"/>
    </w:rPr>
  </w:style>
  <w:style w:type="character" w:customStyle="1" w:styleId="79">
    <w:name w:val="Date Char"/>
    <w:qFormat/>
    <w:uiPriority w:val="0"/>
    <w:rPr>
      <w:rFonts w:ascii="Times New Roman" w:hAnsi="Times New Roman" w:cs="Times New Roman"/>
      <w:sz w:val="24"/>
      <w:szCs w:val="24"/>
    </w:rPr>
  </w:style>
  <w:style w:type="character" w:customStyle="1" w:styleId="80">
    <w:name w:val="Char Char2"/>
    <w:qFormat/>
    <w:uiPriority w:val="0"/>
    <w:rPr>
      <w:rFonts w:ascii="Arial" w:hAnsi="Arial" w:eastAsia="黑体"/>
      <w:kern w:val="2"/>
      <w:sz w:val="21"/>
      <w:szCs w:val="21"/>
      <w:lang w:val="en-US" w:eastAsia="zh-CN" w:bidi="ar-SA"/>
    </w:rPr>
  </w:style>
  <w:style w:type="character" w:customStyle="1" w:styleId="81">
    <w:name w:val="Body Text Indent 3 Char"/>
    <w:qFormat/>
    <w:uiPriority w:val="0"/>
    <w:rPr>
      <w:rFonts w:ascii="Times New Roman" w:hAnsi="Times New Roman" w:cs="Times New Roman"/>
      <w:sz w:val="16"/>
      <w:szCs w:val="16"/>
    </w:rPr>
  </w:style>
  <w:style w:type="character" w:customStyle="1" w:styleId="82">
    <w:name w:val="Char Char6"/>
    <w:qFormat/>
    <w:uiPriority w:val="0"/>
    <w:rPr>
      <w:rFonts w:eastAsia="宋体"/>
      <w:b/>
      <w:bCs/>
      <w:kern w:val="2"/>
      <w:sz w:val="28"/>
      <w:szCs w:val="28"/>
      <w:lang w:val="en-US" w:eastAsia="zh-CN" w:bidi="ar-SA"/>
    </w:rPr>
  </w:style>
  <w:style w:type="character" w:customStyle="1" w:styleId="83">
    <w:name w:val="正文文本 Char1"/>
    <w:qFormat/>
    <w:uiPriority w:val="0"/>
    <w:rPr>
      <w:kern w:val="2"/>
      <w:sz w:val="21"/>
      <w:szCs w:val="24"/>
    </w:rPr>
  </w:style>
  <w:style w:type="character" w:customStyle="1" w:styleId="84">
    <w:name w:val="Heading 5 Char"/>
    <w:qFormat/>
    <w:uiPriority w:val="0"/>
    <w:rPr>
      <w:rFonts w:ascii="Times New Roman" w:hAnsi="Times New Roman" w:cs="Times New Roman"/>
      <w:b/>
      <w:bCs/>
      <w:sz w:val="28"/>
      <w:szCs w:val="28"/>
    </w:rPr>
  </w:style>
  <w:style w:type="character" w:customStyle="1" w:styleId="85">
    <w:name w:val="Title Char"/>
    <w:qFormat/>
    <w:uiPriority w:val="0"/>
    <w:rPr>
      <w:rFonts w:ascii="Cambria" w:hAnsi="Cambria" w:cs="Cambria"/>
      <w:b/>
      <w:bCs/>
      <w:sz w:val="32"/>
      <w:szCs w:val="32"/>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87">
    <w:name w:val="cbds"/>
    <w:basedOn w:val="88"/>
    <w:qFormat/>
    <w:uiPriority w:val="0"/>
  </w:style>
  <w:style w:type="paragraph" w:customStyle="1" w:styleId="88">
    <w:name w:val="bds"/>
    <w:basedOn w:val="89"/>
    <w:qFormat/>
    <w:uiPriority w:val="0"/>
    <w:pPr>
      <w:autoSpaceDE w:val="0"/>
      <w:autoSpaceDN w:val="0"/>
      <w:spacing w:line="360" w:lineRule="exact"/>
    </w:pPr>
    <w:rPr>
      <w:rFonts w:ascii="Times New Roman" w:eastAsia="华文仿宋"/>
    </w:rPr>
  </w:style>
  <w:style w:type="paragraph" w:customStyle="1" w:styleId="89">
    <w:name w:val="itb"/>
    <w:basedOn w:val="4"/>
    <w:qFormat/>
    <w:uiPriority w:val="0"/>
    <w:pPr>
      <w:jc w:val="center"/>
    </w:pPr>
    <w:rPr>
      <w:rFonts w:ascii="楷体_GB2312" w:eastAsia="楷体_GB2312"/>
      <w:sz w:val="36"/>
    </w:rPr>
  </w:style>
  <w:style w:type="paragraph" w:styleId="90">
    <w:name w:val="List Paragraph"/>
    <w:basedOn w:val="1"/>
    <w:qFormat/>
    <w:uiPriority w:val="0"/>
    <w:pPr>
      <w:ind w:firstLine="420" w:firstLineChars="200"/>
    </w:pPr>
    <w:rPr>
      <w:szCs w:val="21"/>
    </w:rPr>
  </w:style>
  <w:style w:type="paragraph" w:customStyle="1" w:styleId="91">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92">
    <w:name w:val="scc-14.5.1.a"/>
    <w:basedOn w:val="93"/>
    <w:qFormat/>
    <w:uiPriority w:val="0"/>
    <w:pPr>
      <w:spacing w:line="360" w:lineRule="exact"/>
      <w:ind w:left="1992" w:hanging="525"/>
    </w:pPr>
  </w:style>
  <w:style w:type="paragraph" w:customStyle="1" w:styleId="93">
    <w:name w:val="SCC-1.1.1.1"/>
    <w:basedOn w:val="94"/>
    <w:qFormat/>
    <w:uiPriority w:val="0"/>
    <w:pPr>
      <w:ind w:left="1890" w:hanging="420"/>
    </w:pPr>
  </w:style>
  <w:style w:type="paragraph" w:customStyle="1" w:styleId="94">
    <w:name w:val="scc-1.1.1"/>
    <w:basedOn w:val="1"/>
    <w:qFormat/>
    <w:uiPriority w:val="0"/>
    <w:pPr>
      <w:spacing w:line="400" w:lineRule="atLeast"/>
      <w:ind w:left="1365" w:hanging="418"/>
    </w:pPr>
    <w:rPr>
      <w:rFonts w:eastAsia="楷体_GB2312"/>
      <w:sz w:val="24"/>
    </w:rPr>
  </w:style>
  <w:style w:type="paragraph" w:customStyle="1" w:styleId="95">
    <w:name w:val="itb3"/>
    <w:basedOn w:val="5"/>
    <w:qFormat/>
    <w:uiPriority w:val="0"/>
    <w:pPr>
      <w:autoSpaceDE w:val="0"/>
      <w:autoSpaceDN w:val="0"/>
      <w:spacing w:before="156" w:beforeLines="50" w:after="156" w:afterLines="50" w:line="360" w:lineRule="exact"/>
      <w:ind w:left="845" w:hanging="318"/>
    </w:pPr>
    <w:rPr>
      <w:rFonts w:eastAsia="华文仿宋"/>
      <w:sz w:val="24"/>
    </w:rPr>
  </w:style>
  <w:style w:type="paragraph" w:customStyle="1" w:styleId="96">
    <w:name w:val="cf0"/>
    <w:basedOn w:val="97"/>
    <w:qFormat/>
    <w:uiPriority w:val="0"/>
  </w:style>
  <w:style w:type="paragraph" w:customStyle="1" w:styleId="97">
    <w:name w:val="cf"/>
    <w:basedOn w:val="89"/>
    <w:qFormat/>
    <w:uiPriority w:val="0"/>
    <w:pPr>
      <w:spacing w:before="0" w:after="0" w:line="415" w:lineRule="auto"/>
    </w:pPr>
  </w:style>
  <w:style w:type="paragraph" w:customStyle="1" w:styleId="98">
    <w:name w:val="Heading1"/>
    <w:basedOn w:val="1"/>
    <w:qFormat/>
    <w:uiPriority w:val="0"/>
    <w:pPr>
      <w:widowControl/>
      <w:jc w:val="left"/>
    </w:pPr>
    <w:rPr>
      <w:rFonts w:ascii="Arial" w:hAnsi="Arial" w:cs="Arial"/>
      <w:b/>
      <w:bCs/>
      <w:kern w:val="28"/>
      <w:sz w:val="24"/>
      <w:szCs w:val="24"/>
      <w:lang w:val="en-AU" w:eastAsia="en-US"/>
    </w:rPr>
  </w:style>
  <w:style w:type="paragraph" w:customStyle="1" w:styleId="9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100">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0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02">
    <w:name w:val="标3"/>
    <w:basedOn w:val="1"/>
    <w:qFormat/>
    <w:uiPriority w:val="0"/>
    <w:pPr>
      <w:adjustRightInd w:val="0"/>
      <w:snapToGrid w:val="0"/>
      <w:spacing w:before="120" w:beforeLines="50"/>
      <w:ind w:left="360"/>
      <w:outlineLvl w:val="2"/>
    </w:pPr>
    <w:rPr>
      <w:rFonts w:ascii="华文仿宋" w:hAnsi="华文仿宋" w:eastAsia="华文仿宋"/>
      <w:sz w:val="24"/>
      <w:szCs w:val="24"/>
    </w:rPr>
  </w:style>
  <w:style w:type="paragraph" w:customStyle="1" w:styleId="103">
    <w:name w:val="Char"/>
    <w:basedOn w:val="1"/>
    <w:qFormat/>
    <w:uiPriority w:val="0"/>
    <w:pPr>
      <w:adjustRightInd w:val="0"/>
      <w:spacing w:line="360" w:lineRule="auto"/>
    </w:pPr>
    <w:rPr>
      <w:kern w:val="0"/>
      <w:sz w:val="24"/>
      <w:szCs w:val="24"/>
    </w:rPr>
  </w:style>
  <w:style w:type="paragraph" w:customStyle="1" w:styleId="104">
    <w:name w:val="scc-14.5.1"/>
    <w:basedOn w:val="94"/>
    <w:qFormat/>
    <w:uiPriority w:val="0"/>
    <w:pPr>
      <w:spacing w:line="360" w:lineRule="exact"/>
      <w:ind w:left="1467" w:hanging="840"/>
    </w:p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6">
    <w:name w:val="atoo"/>
    <w:basedOn w:val="107"/>
    <w:qFormat/>
    <w:uiPriority w:val="0"/>
  </w:style>
  <w:style w:type="paragraph" w:customStyle="1" w:styleId="107">
    <w:name w:val="at0"/>
    <w:basedOn w:val="108"/>
    <w:qFormat/>
    <w:uiPriority w:val="0"/>
    <w:pPr>
      <w:spacing w:before="0" w:after="0" w:line="415" w:lineRule="auto"/>
    </w:pPr>
  </w:style>
  <w:style w:type="paragraph" w:customStyle="1" w:styleId="108">
    <w:name w:val="gcc"/>
    <w:basedOn w:val="89"/>
    <w:qFormat/>
    <w:uiPriority w:val="0"/>
  </w:style>
  <w:style w:type="paragraph" w:customStyle="1" w:styleId="109">
    <w:name w:val="样式1"/>
    <w:basedOn w:val="1"/>
    <w:qFormat/>
    <w:uiPriority w:val="0"/>
    <w:pPr>
      <w:spacing w:line="360" w:lineRule="auto"/>
    </w:pPr>
    <w:rPr>
      <w:rFonts w:ascii="宋体" w:hAnsi="宋体"/>
      <w:sz w:val="24"/>
      <w:szCs w:val="24"/>
    </w:rPr>
  </w:style>
  <w:style w:type="paragraph" w:customStyle="1" w:styleId="110">
    <w:name w:val="cf1"/>
    <w:basedOn w:val="91"/>
    <w:qFormat/>
    <w:uiPriority w:val="0"/>
    <w:rPr>
      <w:b w:val="0"/>
      <w:bCs w:val="0"/>
    </w:rPr>
  </w:style>
  <w:style w:type="paragraph" w:customStyle="1" w:styleId="1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szCs w:val="22"/>
    </w:rPr>
  </w:style>
  <w:style w:type="paragraph" w:customStyle="1" w:styleId="11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cs="Arial"/>
      <w:b/>
      <w:bCs/>
      <w:kern w:val="0"/>
      <w:sz w:val="22"/>
      <w:szCs w:val="22"/>
    </w:rPr>
  </w:style>
  <w:style w:type="paragraph" w:customStyle="1" w:styleId="11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114">
    <w:name w:val="Char Char Char Char"/>
    <w:basedOn w:val="1"/>
    <w:qFormat/>
    <w:uiPriority w:val="0"/>
    <w:pPr>
      <w:numPr>
        <w:ilvl w:val="0"/>
        <w:numId w:val="1"/>
      </w:numPr>
      <w:spacing w:line="360" w:lineRule="auto"/>
    </w:pPr>
    <w:rPr>
      <w:rFonts w:ascii="宋体" w:hAnsi="宋体"/>
      <w:spacing w:val="20"/>
      <w:szCs w:val="21"/>
    </w:rPr>
  </w:style>
  <w:style w:type="paragraph" w:customStyle="1" w:styleId="115">
    <w:name w:val="Preistext2"/>
    <w:basedOn w:val="1"/>
    <w:qFormat/>
    <w:uiPriority w:val="0"/>
    <w:pPr>
      <w:widowControl/>
      <w:tabs>
        <w:tab w:val="left" w:pos="709"/>
        <w:tab w:val="left" w:pos="1701"/>
        <w:tab w:val="left" w:pos="3119"/>
      </w:tabs>
      <w:ind w:left="1843" w:right="1701"/>
      <w:jc w:val="left"/>
    </w:pPr>
    <w:rPr>
      <w:rFonts w:ascii="Arial" w:hAnsi="Arial" w:cs="Arial"/>
      <w:kern w:val="0"/>
      <w:sz w:val="18"/>
      <w:szCs w:val="18"/>
      <w:lang w:val="en-GB" w:eastAsia="de-DE"/>
    </w:rPr>
  </w:style>
  <w:style w:type="paragraph" w:customStyle="1" w:styleId="116">
    <w:name w:val="ifb-1"/>
    <w:basedOn w:val="1"/>
    <w:qFormat/>
    <w:uiPriority w:val="0"/>
    <w:pPr>
      <w:ind w:left="420" w:hanging="420"/>
    </w:pPr>
    <w:rPr>
      <w:rFonts w:ascii="楷体_GB2312" w:eastAsia="楷体_GB2312"/>
    </w:rPr>
  </w:style>
  <w:style w:type="paragraph" w:customStyle="1" w:styleId="117">
    <w:name w:val="IFB-1"/>
    <w:basedOn w:val="1"/>
    <w:qFormat/>
    <w:uiPriority w:val="0"/>
    <w:pPr>
      <w:adjustRightInd w:val="0"/>
      <w:ind w:left="397" w:hanging="397"/>
      <w:textAlignment w:val="baseline"/>
    </w:pPr>
    <w:rPr>
      <w:rFonts w:eastAsia="楷体_GB2312"/>
    </w:rPr>
  </w:style>
  <w:style w:type="paragraph" w:customStyle="1" w:styleId="118">
    <w:name w:val="scc-1.1.1.1.1"/>
    <w:basedOn w:val="93"/>
    <w:qFormat/>
    <w:uiPriority w:val="0"/>
    <w:pPr>
      <w:ind w:left="2205" w:hanging="315"/>
    </w:pPr>
  </w:style>
  <w:style w:type="paragraph" w:customStyle="1" w:styleId="119">
    <w:name w:val="font10"/>
    <w:basedOn w:val="1"/>
    <w:qFormat/>
    <w:uiPriority w:val="0"/>
    <w:pPr>
      <w:widowControl/>
      <w:spacing w:before="100" w:beforeAutospacing="1" w:after="100" w:afterAutospacing="1"/>
      <w:jc w:val="left"/>
    </w:pPr>
    <w:rPr>
      <w:rFonts w:ascii="Arial" w:hAnsi="Arial" w:cs="Arial"/>
      <w:b/>
      <w:bCs/>
      <w:kern w:val="0"/>
      <w:sz w:val="22"/>
      <w:szCs w:val="22"/>
    </w:rPr>
  </w:style>
  <w:style w:type="paragraph" w:customStyle="1" w:styleId="120">
    <w:name w:val="scc-1.1"/>
    <w:basedOn w:val="121"/>
    <w:qFormat/>
    <w:uiPriority w:val="0"/>
    <w:pPr>
      <w:ind w:left="947" w:hanging="527"/>
    </w:pPr>
    <w:rPr>
      <w:rFonts w:ascii="楷体_GB2312"/>
    </w:rPr>
  </w:style>
  <w:style w:type="paragraph" w:customStyle="1" w:styleId="121">
    <w:name w:val="gcc-1.1"/>
    <w:basedOn w:val="122"/>
    <w:qFormat/>
    <w:uiPriority w:val="0"/>
    <w:pPr>
      <w:spacing w:line="400" w:lineRule="atLeast"/>
    </w:pPr>
    <w:rPr>
      <w:rFonts w:ascii="Times New Roman"/>
      <w:sz w:val="24"/>
    </w:rPr>
  </w:style>
  <w:style w:type="paragraph" w:customStyle="1" w:styleId="122">
    <w:name w:val="itb-1.1"/>
    <w:basedOn w:val="1"/>
    <w:qFormat/>
    <w:uiPriority w:val="0"/>
    <w:pPr>
      <w:ind w:left="945" w:hanging="525"/>
    </w:pPr>
    <w:rPr>
      <w:rFonts w:ascii="楷体_GB2312" w:eastAsia="楷体_GB2312"/>
    </w:rPr>
  </w:style>
  <w:style w:type="paragraph" w:customStyle="1" w:styleId="12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124">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25">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12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7">
    <w:name w:val="att"/>
    <w:basedOn w:val="128"/>
    <w:qFormat/>
    <w:uiPriority w:val="0"/>
  </w:style>
  <w:style w:type="paragraph" w:customStyle="1" w:styleId="128">
    <w:name w:val="cft"/>
    <w:basedOn w:val="129"/>
    <w:qFormat/>
    <w:uiPriority w:val="0"/>
    <w:pPr>
      <w:ind w:left="0"/>
    </w:pPr>
  </w:style>
  <w:style w:type="paragraph" w:customStyle="1" w:styleId="129">
    <w:name w:val="gcc1t"/>
    <w:basedOn w:val="5"/>
    <w:qFormat/>
    <w:uiPriority w:val="0"/>
    <w:pPr>
      <w:spacing w:line="360" w:lineRule="auto"/>
      <w:ind w:left="525" w:firstLine="0"/>
    </w:pPr>
    <w:rPr>
      <w:rFonts w:eastAsia="楷体_GB2312"/>
      <w:sz w:val="24"/>
    </w:rPr>
  </w:style>
  <w:style w:type="paragraph" w:customStyle="1" w:styleId="130">
    <w:name w:val="gcc1"/>
    <w:basedOn w:val="91"/>
    <w:qFormat/>
    <w:uiPriority w:val="0"/>
    <w:pPr>
      <w:ind w:left="527"/>
    </w:pPr>
  </w:style>
  <w:style w:type="paragraph" w:customStyle="1" w:styleId="131">
    <w:name w:val="Preistext 4"/>
    <w:basedOn w:val="1"/>
    <w:qFormat/>
    <w:uiPriority w:val="0"/>
    <w:pPr>
      <w:widowControl/>
      <w:tabs>
        <w:tab w:val="left" w:pos="5178"/>
      </w:tabs>
      <w:ind w:left="-2" w:leftChars="-1" w:right="-93" w:firstLine="2" w:firstLineChars="1"/>
      <w:jc w:val="left"/>
    </w:pPr>
    <w:rPr>
      <w:szCs w:val="21"/>
    </w:rPr>
  </w:style>
  <w:style w:type="paragraph" w:customStyle="1" w:styleId="132">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33">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34">
    <w:name w:val="彩色列表 - 强调文字颜色 11"/>
    <w:basedOn w:val="1"/>
    <w:qFormat/>
    <w:uiPriority w:val="0"/>
    <w:pPr>
      <w:ind w:firstLine="420" w:firstLineChars="200"/>
    </w:pPr>
    <w:rPr>
      <w:rFonts w:ascii="Calibri" w:hAnsi="Calibri"/>
      <w:sz w:val="30"/>
    </w:rPr>
  </w:style>
  <w:style w:type="paragraph" w:customStyle="1" w:styleId="135">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37">
    <w:name w:val="absatz8"/>
    <w:basedOn w:val="1"/>
    <w:qFormat/>
    <w:uiPriority w:val="0"/>
    <w:pPr>
      <w:widowControl/>
      <w:tabs>
        <w:tab w:val="left" w:pos="709"/>
        <w:tab w:val="left" w:pos="1276"/>
        <w:tab w:val="left" w:pos="5103"/>
        <w:tab w:val="right" w:pos="9379"/>
      </w:tabs>
      <w:ind w:left="1843" w:right="1418" w:hanging="1843"/>
    </w:pPr>
    <w:rPr>
      <w:kern w:val="0"/>
      <w:sz w:val="24"/>
      <w:szCs w:val="24"/>
      <w:lang w:val="de-DE"/>
    </w:rPr>
  </w:style>
  <w:style w:type="paragraph" w:customStyle="1" w:styleId="13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139">
    <w:name w:val="at1"/>
    <w:basedOn w:val="130"/>
    <w:qFormat/>
    <w:uiPriority w:val="0"/>
    <w:rPr>
      <w:b w:val="0"/>
      <w:bCs w:val="0"/>
    </w:rPr>
  </w:style>
  <w:style w:type="paragraph" w:customStyle="1" w:styleId="140">
    <w:name w:val="Bullet"/>
    <w:basedOn w:val="1"/>
    <w:qFormat/>
    <w:uiPriority w:val="0"/>
    <w:pPr>
      <w:widowControl/>
      <w:tabs>
        <w:tab w:val="left" w:pos="360"/>
      </w:tabs>
      <w:spacing w:before="100" w:line="280" w:lineRule="exact"/>
      <w:ind w:left="360" w:hanging="360"/>
      <w:jc w:val="left"/>
    </w:pPr>
    <w:rPr>
      <w:rFonts w:ascii="Times" w:hAnsi="Times" w:cs="Times"/>
      <w:kern w:val="0"/>
      <w:sz w:val="20"/>
      <w:lang w:val="en-AU" w:eastAsia="en-US"/>
    </w:rPr>
  </w:style>
  <w:style w:type="paragraph" w:customStyle="1" w:styleId="141">
    <w:name w:val="标1"/>
    <w:basedOn w:val="1"/>
    <w:qFormat/>
    <w:uiPriority w:val="0"/>
    <w:pPr>
      <w:numPr>
        <w:ilvl w:val="0"/>
        <w:numId w:val="2"/>
      </w:numPr>
      <w:adjustRightInd w:val="0"/>
      <w:snapToGrid w:val="0"/>
      <w:spacing w:line="360" w:lineRule="auto"/>
      <w:jc w:val="left"/>
      <w:outlineLvl w:val="0"/>
    </w:pPr>
    <w:rPr>
      <w:rFonts w:ascii="Arial Narrow" w:hAnsi="Arial Narrow" w:eastAsia="仿宋_GB2312"/>
      <w:b/>
      <w:spacing w:val="20"/>
      <w:kern w:val="0"/>
      <w:sz w:val="28"/>
    </w:rPr>
  </w:style>
  <w:style w:type="paragraph" w:customStyle="1" w:styleId="142">
    <w:name w:val="at"/>
    <w:basedOn w:val="89"/>
    <w:qFormat/>
    <w:uiPriority w:val="0"/>
  </w:style>
  <w:style w:type="paragraph" w:customStyle="1" w:styleId="143">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font8"/>
    <w:basedOn w:val="1"/>
    <w:qFormat/>
    <w:uiPriority w:val="0"/>
    <w:pPr>
      <w:widowControl/>
      <w:spacing w:before="100" w:beforeAutospacing="1" w:after="100" w:afterAutospacing="1"/>
      <w:jc w:val="left"/>
    </w:pPr>
    <w:rPr>
      <w:b/>
      <w:bCs/>
      <w:kern w:val="0"/>
      <w:sz w:val="22"/>
      <w:szCs w:val="22"/>
    </w:rPr>
  </w:style>
  <w:style w:type="paragraph" w:customStyle="1" w:styleId="145">
    <w:name w:val="Char1 Char Char Char"/>
    <w:basedOn w:val="1"/>
    <w:qFormat/>
    <w:uiPriority w:val="0"/>
    <w:pPr>
      <w:tabs>
        <w:tab w:val="left" w:pos="420"/>
      </w:tabs>
      <w:ind w:left="420" w:hanging="420"/>
    </w:pPr>
    <w:rPr>
      <w:rFonts w:ascii="Tahoma" w:hAnsi="Tahoma"/>
      <w:sz w:val="24"/>
    </w:rPr>
  </w:style>
  <w:style w:type="paragraph" w:customStyle="1" w:styleId="146">
    <w:name w:val="absatz6"/>
    <w:basedOn w:val="1"/>
    <w:qFormat/>
    <w:uiPriority w:val="0"/>
    <w:pPr>
      <w:widowControl/>
      <w:tabs>
        <w:tab w:val="left" w:pos="709"/>
        <w:tab w:val="left" w:pos="4536"/>
        <w:tab w:val="right" w:pos="10206"/>
      </w:tabs>
      <w:ind w:left="4536" w:hanging="4536"/>
    </w:pPr>
    <w:rPr>
      <w:kern w:val="0"/>
      <w:sz w:val="24"/>
      <w:szCs w:val="24"/>
      <w:lang w:val="de-DE" w:eastAsia="es-ES"/>
    </w:rPr>
  </w:style>
  <w:style w:type="paragraph" w:customStyle="1" w:styleId="147">
    <w:name w:val="样式2"/>
    <w:basedOn w:val="1"/>
    <w:qFormat/>
    <w:uiPriority w:val="0"/>
    <w:pPr>
      <w:spacing w:line="360" w:lineRule="auto"/>
      <w:ind w:left="360"/>
    </w:pPr>
    <w:rPr>
      <w:rFonts w:ascii="宋体" w:hAnsi="宋体"/>
      <w:sz w:val="24"/>
      <w:szCs w:val="24"/>
    </w:rPr>
  </w:style>
  <w:style w:type="paragraph" w:customStyle="1" w:styleId="148">
    <w:name w:val="gcc2"/>
    <w:basedOn w:val="138"/>
    <w:qFormat/>
    <w:uiPriority w:val="0"/>
    <w:pPr>
      <w:ind w:left="525" w:hanging="525"/>
    </w:pPr>
  </w:style>
  <w:style w:type="paragraph" w:customStyle="1" w:styleId="149">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150">
    <w:name w:val="列出段落1"/>
    <w:basedOn w:val="1"/>
    <w:qFormat/>
    <w:uiPriority w:val="0"/>
    <w:pPr>
      <w:widowControl/>
      <w:ind w:firstLine="420" w:firstLineChars="200"/>
      <w:jc w:val="left"/>
    </w:pPr>
    <w:rPr>
      <w:kern w:val="0"/>
      <w:sz w:val="24"/>
      <w:szCs w:val="24"/>
    </w:rPr>
  </w:style>
  <w:style w:type="paragraph" w:customStyle="1" w:styleId="151">
    <w:name w:val="H-TextFormat"/>
    <w:qFormat/>
    <w:uiPriority w:val="0"/>
    <w:pPr>
      <w:jc w:val="center"/>
    </w:pPr>
    <w:rPr>
      <w:rFonts w:ascii="Arial" w:hAnsi="Arial" w:eastAsia="宋体" w:cs="Arial"/>
      <w:sz w:val="22"/>
      <w:szCs w:val="22"/>
      <w:lang w:val="en-US" w:eastAsia="zh-CN" w:bidi="ar-SA"/>
    </w:rPr>
  </w:style>
  <w:style w:type="paragraph" w:customStyle="1" w:styleId="152">
    <w:name w:val="itb3t"/>
    <w:basedOn w:val="138"/>
    <w:qFormat/>
    <w:uiPriority w:val="0"/>
    <w:pPr>
      <w:ind w:left="1785" w:firstLine="0"/>
    </w:pPr>
  </w:style>
  <w:style w:type="paragraph" w:customStyle="1" w:styleId="153">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cs="Arial"/>
      <w:b/>
      <w:bCs/>
      <w:kern w:val="0"/>
      <w:sz w:val="22"/>
      <w:szCs w:val="22"/>
    </w:rPr>
  </w:style>
  <w:style w:type="paragraph" w:customStyle="1" w:styleId="154">
    <w:name w:val="scc-14.5.1.a.i"/>
    <w:basedOn w:val="118"/>
    <w:qFormat/>
    <w:uiPriority w:val="0"/>
    <w:pPr>
      <w:spacing w:line="360" w:lineRule="exact"/>
      <w:ind w:left="2517" w:hanging="525"/>
    </w:pPr>
  </w:style>
  <w:style w:type="paragraph" w:customStyle="1" w:styleId="155">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56">
    <w:name w:val="标2"/>
    <w:basedOn w:val="1"/>
    <w:qFormat/>
    <w:uiPriority w:val="0"/>
    <w:pPr>
      <w:adjustRightInd w:val="0"/>
      <w:snapToGrid w:val="0"/>
      <w:spacing w:before="120" w:beforeLines="50" w:after="120" w:afterLines="50"/>
      <w:ind w:left="360"/>
      <w:outlineLvl w:val="1"/>
    </w:pPr>
    <w:rPr>
      <w:rFonts w:ascii="华文仿宋" w:hAnsi="华文仿宋" w:eastAsia="华文仿宋"/>
      <w:b/>
      <w:bCs/>
      <w:sz w:val="24"/>
      <w:szCs w:val="24"/>
    </w:rPr>
  </w:style>
  <w:style w:type="paragraph" w:customStyle="1" w:styleId="157">
    <w:name w:val="Indent"/>
    <w:basedOn w:val="1"/>
    <w:qFormat/>
    <w:uiPriority w:val="0"/>
    <w:pPr>
      <w:widowControl/>
      <w:ind w:left="900"/>
      <w:jc w:val="left"/>
    </w:pPr>
    <w:rPr>
      <w:rFonts w:ascii="Arial" w:hAnsi="Arial" w:cs="Arial"/>
      <w:kern w:val="0"/>
      <w:sz w:val="24"/>
      <w:lang w:eastAsia="en-US"/>
    </w:rPr>
  </w:style>
  <w:style w:type="paragraph" w:customStyle="1" w:styleId="158">
    <w:name w:val="at3"/>
    <w:basedOn w:val="159"/>
    <w:qFormat/>
    <w:uiPriority w:val="0"/>
    <w:pPr>
      <w:tabs>
        <w:tab w:val="left" w:pos="8295"/>
      </w:tabs>
    </w:pPr>
  </w:style>
  <w:style w:type="paragraph" w:customStyle="1" w:styleId="159">
    <w:name w:val="gcc3"/>
    <w:basedOn w:val="95"/>
    <w:qFormat/>
    <w:uiPriority w:val="0"/>
    <w:pPr>
      <w:ind w:left="947" w:hanging="420"/>
    </w:pPr>
    <w:rPr>
      <w:spacing w:val="6"/>
    </w:rPr>
  </w:style>
  <w:style w:type="paragraph" w:customStyle="1" w:styleId="160">
    <w:name w:val="at2"/>
    <w:basedOn w:val="148"/>
    <w:qFormat/>
    <w:uiPriority w:val="0"/>
    <w:pPr>
      <w:tabs>
        <w:tab w:val="left" w:pos="8295"/>
      </w:tabs>
    </w:pPr>
  </w:style>
  <w:style w:type="paragraph" w:customStyle="1" w:styleId="16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szCs w:val="22"/>
    </w:rPr>
  </w:style>
  <w:style w:type="paragraph" w:customStyle="1" w:styleId="162">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3">
    <w:name w:val="表格文字"/>
    <w:basedOn w:val="1"/>
    <w:qFormat/>
    <w:uiPriority w:val="0"/>
    <w:pPr>
      <w:snapToGrid w:val="0"/>
      <w:spacing w:before="120"/>
    </w:pPr>
    <w:rPr>
      <w:szCs w:val="21"/>
    </w:rPr>
  </w:style>
  <w:style w:type="paragraph" w:customStyle="1" w:styleId="164">
    <w:name w:val="gcc4t"/>
    <w:basedOn w:val="159"/>
    <w:qFormat/>
    <w:uiPriority w:val="0"/>
    <w:pPr>
      <w:ind w:left="945" w:firstLine="0"/>
    </w:pPr>
  </w:style>
  <w:style w:type="paragraph" w:customStyle="1" w:styleId="165">
    <w:name w:val="样式6"/>
    <w:basedOn w:val="1"/>
    <w:qFormat/>
    <w:uiPriority w:val="0"/>
    <w:pPr>
      <w:widowControl/>
      <w:tabs>
        <w:tab w:val="left" w:pos="480"/>
      </w:tabs>
      <w:adjustRightInd w:val="0"/>
      <w:spacing w:line="320" w:lineRule="atLeast"/>
      <w:ind w:left="480" w:hanging="480"/>
      <w:textAlignment w:val="baseline"/>
    </w:pPr>
    <w:rPr>
      <w:rFonts w:eastAsia="楷体_GB2312"/>
      <w:kern w:val="0"/>
      <w:sz w:val="24"/>
    </w:rPr>
  </w:style>
  <w:style w:type="paragraph" w:customStyle="1" w:styleId="166">
    <w:name w:val="Char2 Char Char Char"/>
    <w:basedOn w:val="1"/>
    <w:qFormat/>
    <w:uiPriority w:val="0"/>
    <w:pPr>
      <w:adjustRightInd w:val="0"/>
      <w:spacing w:line="360" w:lineRule="auto"/>
    </w:pPr>
    <w:rPr>
      <w:kern w:val="0"/>
      <w:sz w:val="24"/>
    </w:rPr>
  </w:style>
  <w:style w:type="paragraph" w:customStyle="1" w:styleId="167">
    <w:name w:val="标4"/>
    <w:basedOn w:val="102"/>
    <w:qFormat/>
    <w:uiPriority w:val="0"/>
    <w:pPr>
      <w:tabs>
        <w:tab w:val="left" w:pos="360"/>
        <w:tab w:val="left" w:pos="1680"/>
      </w:tabs>
      <w:ind w:left="1680" w:hanging="420"/>
      <w:outlineLvl w:val="3"/>
    </w:pPr>
    <w:rPr>
      <w:rFonts w:ascii="Arial Narrow" w:hAnsi="Arial Narrow" w:eastAsia="仿宋_GB2312"/>
      <w:szCs w:val="20"/>
    </w:rPr>
  </w:style>
  <w:style w:type="paragraph" w:customStyle="1" w:styleId="168">
    <w:name w:val="absatz4"/>
    <w:basedOn w:val="1"/>
    <w:qFormat/>
    <w:uiPriority w:val="0"/>
    <w:pPr>
      <w:widowControl/>
      <w:tabs>
        <w:tab w:val="left" w:pos="709"/>
        <w:tab w:val="left" w:pos="2268"/>
        <w:tab w:val="right" w:pos="10206"/>
      </w:tabs>
      <w:ind w:left="2268" w:hanging="2268"/>
    </w:pPr>
    <w:rPr>
      <w:kern w:val="0"/>
      <w:sz w:val="24"/>
      <w:szCs w:val="24"/>
      <w:lang w:val="en-GB"/>
    </w:rPr>
  </w:style>
  <w:style w:type="paragraph" w:customStyle="1" w:styleId="169">
    <w:name w:val="font7"/>
    <w:basedOn w:val="1"/>
    <w:qFormat/>
    <w:uiPriority w:val="0"/>
    <w:pPr>
      <w:widowControl/>
      <w:spacing w:before="100" w:beforeAutospacing="1" w:after="100" w:afterAutospacing="1"/>
      <w:jc w:val="left"/>
    </w:pPr>
    <w:rPr>
      <w:kern w:val="0"/>
      <w:sz w:val="20"/>
    </w:rPr>
  </w:style>
  <w:style w:type="paragraph" w:customStyle="1" w:styleId="170">
    <w:name w:val="cf2t"/>
    <w:basedOn w:val="5"/>
    <w:qFormat/>
    <w:uiPriority w:val="0"/>
    <w:pPr>
      <w:spacing w:line="360" w:lineRule="auto"/>
      <w:ind w:left="1260" w:firstLine="0"/>
    </w:pPr>
    <w:rPr>
      <w:rFonts w:ascii="楷体_GB2312" w:eastAsia="楷体_GB2312"/>
      <w:sz w:val="24"/>
    </w:rPr>
  </w:style>
  <w:style w:type="paragraph" w:customStyle="1" w:styleId="1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szCs w:val="22"/>
    </w:rPr>
  </w:style>
  <w:style w:type="paragraph" w:customStyle="1" w:styleId="173">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74">
    <w:name w:val="eqc1t"/>
    <w:basedOn w:val="1"/>
    <w:qFormat/>
    <w:uiPriority w:val="0"/>
    <w:pPr>
      <w:adjustRightInd w:val="0"/>
      <w:spacing w:line="400" w:lineRule="atLeast"/>
      <w:ind w:left="420"/>
      <w:textAlignment w:val="baseline"/>
    </w:pPr>
    <w:rPr>
      <w:rFonts w:eastAsia="楷体_GB2312"/>
      <w:kern w:val="0"/>
      <w:sz w:val="24"/>
    </w:rPr>
  </w:style>
  <w:style w:type="paragraph" w:customStyle="1" w:styleId="175">
    <w:name w:val="gcc0"/>
    <w:basedOn w:val="176"/>
    <w:qFormat/>
    <w:uiPriority w:val="0"/>
  </w:style>
  <w:style w:type="paragraph" w:customStyle="1" w:styleId="176">
    <w:name w:val="itb0"/>
    <w:basedOn w:val="89"/>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ITB-0"/>
    <w:basedOn w:val="1"/>
    <w:qFormat/>
    <w:uiPriority w:val="0"/>
    <w:pPr>
      <w:adjustRightInd w:val="0"/>
      <w:jc w:val="center"/>
      <w:textAlignment w:val="baseline"/>
    </w:pPr>
    <w:rPr>
      <w:b/>
      <w:sz w:val="32"/>
    </w:rPr>
  </w:style>
  <w:style w:type="paragraph" w:customStyle="1" w:styleId="179">
    <w:name w:val="sor"/>
    <w:basedOn w:val="180"/>
    <w:qFormat/>
    <w:uiPriority w:val="0"/>
  </w:style>
  <w:style w:type="paragraph" w:customStyle="1" w:styleId="180">
    <w:name w:val="ifb"/>
    <w:basedOn w:val="89"/>
    <w:qFormat/>
    <w:uiPriority w:val="0"/>
    <w:pPr>
      <w:spacing w:before="0" w:after="0" w:line="360" w:lineRule="auto"/>
    </w:pPr>
  </w:style>
  <w:style w:type="paragraph" w:customStyle="1" w:styleId="181">
    <w:name w:val="itb2t"/>
    <w:basedOn w:val="138"/>
    <w:qFormat/>
    <w:uiPriority w:val="0"/>
    <w:pPr>
      <w:ind w:left="1157" w:firstLine="0"/>
    </w:pPr>
  </w:style>
  <w:style w:type="paragraph" w:customStyle="1" w:styleId="182">
    <w:name w:val="gcc4"/>
    <w:basedOn w:val="99"/>
    <w:qFormat/>
    <w:uiPriority w:val="0"/>
    <w:pPr>
      <w:ind w:left="945" w:hanging="420"/>
    </w:pPr>
  </w:style>
  <w:style w:type="paragraph" w:customStyle="1" w:styleId="183">
    <w:name w:val="cf2"/>
    <w:basedOn w:val="148"/>
    <w:qFormat/>
    <w:uiPriority w:val="0"/>
  </w:style>
  <w:style w:type="paragraph" w:customStyle="1" w:styleId="184">
    <w:name w:val="正文文本缩进1"/>
    <w:basedOn w:val="1"/>
    <w:qFormat/>
    <w:uiPriority w:val="0"/>
    <w:pPr>
      <w:spacing w:line="480" w:lineRule="auto"/>
      <w:ind w:firstLine="560" w:firstLineChars="200"/>
    </w:pPr>
    <w:rPr>
      <w:sz w:val="28"/>
      <w:szCs w:val="24"/>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b/>
      <w:bCs/>
      <w:kern w:val="0"/>
      <w:sz w:val="22"/>
      <w:szCs w:val="22"/>
    </w:rPr>
  </w:style>
  <w:style w:type="paragraph" w:customStyle="1" w:styleId="18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87">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szCs w:val="22"/>
    </w:rPr>
  </w:style>
  <w:style w:type="paragraph" w:customStyle="1" w:styleId="188">
    <w:name w:val="itb-1.1.a"/>
    <w:basedOn w:val="1"/>
    <w:qFormat/>
    <w:uiPriority w:val="0"/>
    <w:pPr>
      <w:ind w:left="1470" w:hanging="525"/>
    </w:pPr>
    <w:rPr>
      <w:rFonts w:ascii="楷体_GB2312" w:eastAsia="楷体_GB2312"/>
    </w:rPr>
  </w:style>
  <w:style w:type="paragraph" w:customStyle="1" w:styleId="189">
    <w:name w:val="_Style 188"/>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90">
    <w:name w:val="正文00"/>
    <w:basedOn w:val="1"/>
    <w:qFormat/>
    <w:uiPriority w:val="0"/>
    <w:pPr>
      <w:topLinePunct/>
      <w:spacing w:line="360" w:lineRule="auto"/>
      <w:ind w:firstLine="200" w:firstLineChars="200"/>
    </w:pPr>
    <w:rPr>
      <w:rFonts w:ascii="Calibri" w:hAnsi="Calibri"/>
      <w:sz w:val="24"/>
      <w:szCs w:val="21"/>
    </w:rPr>
  </w:style>
  <w:style w:type="character" w:customStyle="1" w:styleId="191">
    <w:name w:val="font21"/>
    <w:qFormat/>
    <w:uiPriority w:val="0"/>
    <w:rPr>
      <w:rFonts w:hint="eastAsia" w:ascii="微软雅黑" w:hAnsi="微软雅黑" w:eastAsia="微软雅黑" w:cs="微软雅黑"/>
      <w:color w:val="000000"/>
      <w:sz w:val="14"/>
      <w:szCs w:val="14"/>
      <w:u w:val="none"/>
    </w:rPr>
  </w:style>
  <w:style w:type="character" w:customStyle="1" w:styleId="192">
    <w:name w:val="font31"/>
    <w:qFormat/>
    <w:uiPriority w:val="0"/>
    <w:rPr>
      <w:rFonts w:hint="default" w:ascii="Times New Roman" w:hAnsi="Times New Roman" w:cs="Times New Roman"/>
      <w:color w:val="000000"/>
      <w:sz w:val="14"/>
      <w:szCs w:val="14"/>
      <w:u w:val="none"/>
    </w:rPr>
  </w:style>
  <w:style w:type="character" w:customStyle="1" w:styleId="193">
    <w:name w:val="font41"/>
    <w:qFormat/>
    <w:uiPriority w:val="0"/>
    <w:rPr>
      <w:rFonts w:hint="eastAsia" w:ascii="微软雅黑" w:hAnsi="微软雅黑" w:eastAsia="微软雅黑" w:cs="微软雅黑"/>
      <w:color w:val="000000"/>
      <w:sz w:val="22"/>
      <w:szCs w:val="22"/>
      <w:u w:val="none"/>
    </w:rPr>
  </w:style>
  <w:style w:type="character" w:customStyle="1" w:styleId="194">
    <w:name w:val="font01"/>
    <w:qFormat/>
    <w:uiPriority w:val="0"/>
    <w:rPr>
      <w:rFonts w:hint="eastAsia" w:ascii="宋体" w:hAnsi="宋体" w:eastAsia="宋体" w:cs="宋体"/>
      <w:color w:val="000000"/>
      <w:sz w:val="22"/>
      <w:szCs w:val="22"/>
      <w:u w:val="none"/>
    </w:rPr>
  </w:style>
  <w:style w:type="character" w:customStyle="1" w:styleId="195">
    <w:name w:val="font5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29DB3-20AB-42E3-B7ED-65781772807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17260</Words>
  <Characters>19014</Characters>
  <Lines>155</Lines>
  <Paragraphs>43</Paragraphs>
  <TotalTime>79</TotalTime>
  <ScaleCrop>false</ScaleCrop>
  <LinksUpToDate>false</LinksUpToDate>
  <CharactersWithSpaces>20121</CharactersWithSpaces>
  <Application>WPS Office_12.1.0.17147_F1E327BC-269C-435d-A152-05C5408002CA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2024-08-06T05:34:00Z</dcterms:created>
  <dc:creator>pc2</dc:creator>
  <cp:lastModifiedBy>qujiafeng</cp:lastModifiedBy>
  <cp:lastPrinted>2017-12-07T02:15:00Z</cp:lastPrinted>
  <dcterms:modified xsi:type="dcterms:W3CDTF">2024-08-09T03:31:28Z</dcterms:modified>
  <dc:title>第一章 招标邀请书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2BDCFD78A939431595015236A1F69A1F_13</vt:lpwstr>
  </property>
</Properties>
</file>