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ascii="宋体" w:hAnsi="宋体" w:cs="华文宋体"/>
          <w:b/>
          <w:sz w:val="24"/>
          <w:szCs w:val="24"/>
        </w:rPr>
      </w:pPr>
      <w:r>
        <w:rPr>
          <w:rFonts w:hint="eastAsia" w:ascii="宋体" w:hAnsi="宋体" w:cs="华文宋体"/>
          <w:b/>
          <w:sz w:val="24"/>
          <w:szCs w:val="24"/>
        </w:rPr>
        <w:t>上海市同仁医院所需骨科</w:t>
      </w:r>
      <w:r>
        <w:rPr>
          <w:rFonts w:ascii="宋体" w:hAnsi="宋体" w:cs="华文宋体"/>
          <w:b/>
          <w:sz w:val="24"/>
          <w:szCs w:val="24"/>
        </w:rPr>
        <w:t>手术</w:t>
      </w:r>
      <w:r>
        <w:rPr>
          <w:rFonts w:hint="eastAsia" w:ascii="宋体" w:hAnsi="宋体" w:cs="华文宋体"/>
          <w:b/>
          <w:sz w:val="24"/>
          <w:szCs w:val="24"/>
        </w:rPr>
        <w:t>高清关节镜系统公开招标项目需求文件</w:t>
      </w:r>
    </w:p>
    <w:p>
      <w:pPr>
        <w:spacing w:line="300" w:lineRule="exact"/>
        <w:rPr>
          <w:rFonts w:ascii="宋体" w:hAnsi="宋体" w:cs="华文宋体"/>
          <w:b/>
          <w:sz w:val="24"/>
          <w:szCs w:val="24"/>
        </w:rPr>
      </w:pPr>
    </w:p>
    <w:p>
      <w:pPr>
        <w:spacing w:line="300" w:lineRule="exact"/>
        <w:rPr>
          <w:rFonts w:ascii="宋体" w:hAnsi="宋体" w:cs="华文宋体"/>
          <w:sz w:val="24"/>
          <w:szCs w:val="24"/>
        </w:rPr>
      </w:pPr>
      <w:r>
        <w:rPr>
          <w:rFonts w:hint="eastAsia" w:ascii="宋体" w:hAnsi="宋体" w:cs="华文宋体"/>
          <w:sz w:val="24"/>
          <w:szCs w:val="24"/>
        </w:rPr>
        <w:t>一、4K超高清关节镜影像系统：</w:t>
      </w:r>
    </w:p>
    <w:p>
      <w:pPr>
        <w:spacing w:line="380" w:lineRule="exact"/>
        <w:ind w:left="315"/>
        <w:rPr>
          <w:rFonts w:ascii="宋体" w:hAnsi="宋体" w:cs="华文宋体"/>
          <w:sz w:val="24"/>
          <w:szCs w:val="24"/>
        </w:rPr>
      </w:pPr>
      <w:r>
        <w:rPr>
          <w:rFonts w:hint="eastAsia" w:ascii="宋体" w:hAnsi="宋体" w:cs="华文宋体"/>
          <w:sz w:val="24"/>
          <w:szCs w:val="24"/>
        </w:rPr>
        <w:t>数量：1套   预算金额：120万元</w:t>
      </w:r>
    </w:p>
    <w:p>
      <w:pPr>
        <w:spacing w:line="300" w:lineRule="exact"/>
        <w:rPr>
          <w:rFonts w:ascii="宋体" w:hAnsi="宋体" w:cs="华文宋体"/>
          <w:sz w:val="24"/>
          <w:szCs w:val="24"/>
        </w:rPr>
      </w:pPr>
    </w:p>
    <w:p>
      <w:pPr>
        <w:numPr>
          <w:ilvl w:val="255"/>
          <w:numId w:val="0"/>
        </w:numPr>
        <w:spacing w:line="380" w:lineRule="exact"/>
        <w:ind w:left="-315" w:leftChars="-150" w:firstLine="240" w:firstLineChars="100"/>
        <w:rPr>
          <w:rFonts w:ascii="宋体" w:hAnsi="宋体" w:cs="华文宋体"/>
          <w:sz w:val="24"/>
          <w:szCs w:val="24"/>
        </w:rPr>
      </w:pPr>
      <w:r>
        <w:rPr>
          <w:rFonts w:hint="eastAsia" w:ascii="宋体" w:hAnsi="宋体" w:cs="华文宋体"/>
          <w:sz w:val="24"/>
          <w:szCs w:val="24"/>
        </w:rPr>
        <w:t>1. 4K超高清摄像主机</w:t>
      </w:r>
    </w:p>
    <w:p>
      <w:pPr>
        <w:numPr>
          <w:ilvl w:val="1"/>
          <w:numId w:val="1"/>
        </w:numPr>
        <w:spacing w:line="380" w:lineRule="exact"/>
        <w:rPr>
          <w:rFonts w:ascii="宋体" w:hAnsi="宋体" w:cs="华文宋体"/>
          <w:sz w:val="24"/>
          <w:szCs w:val="24"/>
        </w:rPr>
      </w:pPr>
      <w:r>
        <w:rPr>
          <w:rFonts w:hint="eastAsia" w:ascii="宋体" w:hAnsi="宋体" w:cs="华文宋体"/>
          <w:sz w:val="24"/>
          <w:szCs w:val="24"/>
        </w:rPr>
        <w:t>要求光源摄像一体机设计，操作简便，节省手术室空间</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1.2</w:t>
      </w:r>
      <w:r>
        <w:rPr>
          <w:rFonts w:hint="eastAsia" w:ascii="宋体" w:hAnsi="宋体" w:cs="华文宋体"/>
          <w:sz w:val="24"/>
          <w:szCs w:val="24"/>
        </w:rPr>
        <w:tab/>
      </w:r>
      <w:r>
        <w:rPr>
          <w:rFonts w:hint="eastAsia" w:ascii="宋体" w:hAnsi="宋体" w:cs="华文宋体"/>
          <w:sz w:val="24"/>
          <w:szCs w:val="24"/>
        </w:rPr>
        <w:t>视频输出分辨率至少达：4K（3840×2160）</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1.3</w:t>
      </w:r>
      <w:r>
        <w:rPr>
          <w:rFonts w:hint="eastAsia" w:ascii="宋体" w:hAnsi="宋体" w:cs="华文宋体"/>
          <w:sz w:val="24"/>
          <w:szCs w:val="24"/>
        </w:rPr>
        <w:tab/>
      </w:r>
      <w:r>
        <w:rPr>
          <w:rFonts w:hint="eastAsia" w:ascii="宋体" w:hAnsi="宋体" w:cs="华文宋体"/>
          <w:sz w:val="24"/>
          <w:szCs w:val="24"/>
        </w:rPr>
        <w:t>扫描方式：逐行扫描，画面流畅</w:t>
      </w:r>
    </w:p>
    <w:p>
      <w:pPr>
        <w:numPr>
          <w:ilvl w:val="255"/>
          <w:numId w:val="0"/>
        </w:numPr>
        <w:spacing w:line="380" w:lineRule="exact"/>
        <w:ind w:left="315"/>
        <w:rPr>
          <w:rFonts w:ascii="宋体" w:hAnsi="宋体" w:cs="华文宋体"/>
          <w:sz w:val="24"/>
          <w:szCs w:val="24"/>
        </w:rPr>
      </w:pPr>
      <w:r>
        <w:rPr>
          <w:rFonts w:hint="eastAsia" w:ascii="宋体" w:hAnsi="宋体" w:cs="华文宋体"/>
          <w:color w:val="auto"/>
          <w:sz w:val="24"/>
          <w:szCs w:val="24"/>
          <w:u w:val="none"/>
        </w:rPr>
        <w:t>★</w:t>
      </w:r>
      <w:r>
        <w:rPr>
          <w:rFonts w:hint="eastAsia" w:ascii="宋体" w:hAnsi="宋体" w:cs="华文宋体"/>
          <w:sz w:val="24"/>
          <w:szCs w:val="24"/>
        </w:rPr>
        <w:t>1.4</w:t>
      </w:r>
      <w:r>
        <w:rPr>
          <w:rFonts w:hint="eastAsia" w:ascii="宋体" w:hAnsi="宋体" w:cs="华文宋体"/>
          <w:sz w:val="24"/>
          <w:szCs w:val="24"/>
        </w:rPr>
        <w:tab/>
      </w:r>
      <w:r>
        <w:rPr>
          <w:rFonts w:hint="eastAsia" w:ascii="宋体" w:hAnsi="宋体" w:cs="华文宋体"/>
          <w:sz w:val="24"/>
          <w:szCs w:val="24"/>
        </w:rPr>
        <w:t>输出接口：至少包含4×3G-SDI、DP、6×USB-2.0、3×USB-3.0</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1.5</w:t>
      </w:r>
      <w:r>
        <w:rPr>
          <w:rFonts w:hint="eastAsia" w:ascii="宋体" w:hAnsi="宋体" w:cs="华文宋体"/>
          <w:sz w:val="24"/>
          <w:szCs w:val="24"/>
        </w:rPr>
        <w:tab/>
      </w:r>
      <w:r>
        <w:rPr>
          <w:rFonts w:hint="eastAsia" w:ascii="宋体" w:hAnsi="宋体" w:cs="华文宋体"/>
          <w:sz w:val="24"/>
          <w:szCs w:val="24"/>
        </w:rPr>
        <w:t>存储功能：图像和视频自动存储USB设备，视频自动分段存储</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1.6</w:t>
      </w:r>
      <w:r>
        <w:rPr>
          <w:rFonts w:hint="eastAsia" w:ascii="宋体" w:hAnsi="宋体" w:cs="华文宋体"/>
          <w:sz w:val="24"/>
          <w:szCs w:val="24"/>
        </w:rPr>
        <w:tab/>
      </w:r>
      <w:r>
        <w:rPr>
          <w:rFonts w:hint="eastAsia" w:ascii="宋体" w:hAnsi="宋体" w:cs="华文宋体"/>
          <w:sz w:val="24"/>
          <w:szCs w:val="24"/>
        </w:rPr>
        <w:t>手术模式：≥10种术式，至少包</w:t>
      </w:r>
      <w:bookmarkStart w:id="1" w:name="_GoBack"/>
      <w:bookmarkEnd w:id="1"/>
      <w:r>
        <w:rPr>
          <w:rFonts w:hint="eastAsia" w:ascii="宋体" w:hAnsi="宋体" w:cs="华文宋体"/>
          <w:sz w:val="24"/>
          <w:szCs w:val="24"/>
        </w:rPr>
        <w:t>含肩关节、膝关节、髋关节、小关节等10种术式，可自定义任意手术模式</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1.7</w:t>
      </w:r>
      <w:r>
        <w:rPr>
          <w:rFonts w:hint="eastAsia" w:ascii="宋体" w:hAnsi="宋体" w:cs="华文宋体"/>
          <w:sz w:val="24"/>
          <w:szCs w:val="24"/>
        </w:rPr>
        <w:tab/>
      </w:r>
      <w:r>
        <w:rPr>
          <w:rFonts w:hint="eastAsia" w:ascii="宋体" w:hAnsi="宋体" w:cs="华文宋体"/>
          <w:sz w:val="24"/>
          <w:szCs w:val="24"/>
        </w:rPr>
        <w:t>监视器显示定制化信息：至少包含拍摄图像预览、录制时间、设备状态、患者信息等</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1.8</w:t>
      </w:r>
      <w:r>
        <w:rPr>
          <w:rFonts w:hint="eastAsia" w:ascii="宋体" w:hAnsi="宋体" w:cs="华文宋体"/>
          <w:sz w:val="24"/>
          <w:szCs w:val="24"/>
        </w:rPr>
        <w:tab/>
      </w:r>
      <w:r>
        <w:rPr>
          <w:rFonts w:hint="eastAsia" w:ascii="宋体" w:hAnsi="宋体" w:cs="华文宋体"/>
          <w:sz w:val="24"/>
          <w:szCs w:val="24"/>
        </w:rPr>
        <w:t xml:space="preserve">要求为LCD触摸电容屏，操作简便光源 </w:t>
      </w:r>
    </w:p>
    <w:p>
      <w:pPr>
        <w:numPr>
          <w:ilvl w:val="255"/>
          <w:numId w:val="0"/>
        </w:numPr>
        <w:spacing w:line="380" w:lineRule="exact"/>
        <w:rPr>
          <w:rFonts w:ascii="宋体" w:hAnsi="宋体" w:cs="华文宋体"/>
          <w:sz w:val="24"/>
          <w:szCs w:val="24"/>
        </w:rPr>
      </w:pPr>
      <w:r>
        <w:rPr>
          <w:rFonts w:hint="eastAsia" w:ascii="宋体" w:hAnsi="宋体" w:cs="华文宋体"/>
          <w:sz w:val="24"/>
          <w:szCs w:val="24"/>
        </w:rPr>
        <w:t>2. 光源</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2.1</w:t>
      </w:r>
      <w:r>
        <w:rPr>
          <w:rFonts w:hint="eastAsia" w:ascii="宋体" w:hAnsi="宋体" w:cs="华文宋体"/>
          <w:sz w:val="24"/>
          <w:szCs w:val="24"/>
        </w:rPr>
        <w:tab/>
      </w:r>
      <w:r>
        <w:rPr>
          <w:rFonts w:hint="eastAsia" w:ascii="宋体" w:hAnsi="宋体" w:cs="华文宋体"/>
          <w:sz w:val="24"/>
          <w:szCs w:val="24"/>
        </w:rPr>
        <w:t>光源类型：LED冷光源，自动待机，支持冷启动</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2.2</w:t>
      </w:r>
      <w:r>
        <w:rPr>
          <w:rFonts w:hint="eastAsia" w:ascii="宋体" w:hAnsi="宋体" w:cs="华文宋体"/>
          <w:sz w:val="24"/>
          <w:szCs w:val="24"/>
        </w:rPr>
        <w:tab/>
      </w:r>
      <w:r>
        <w:rPr>
          <w:rFonts w:hint="eastAsia" w:ascii="宋体" w:hAnsi="宋体" w:cs="华文宋体"/>
          <w:sz w:val="24"/>
          <w:szCs w:val="24"/>
        </w:rPr>
        <w:t>色温：≥7000K</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★2.3</w:t>
      </w:r>
      <w:r>
        <w:rPr>
          <w:rFonts w:hint="eastAsia" w:ascii="宋体" w:hAnsi="宋体" w:cs="华文宋体"/>
          <w:sz w:val="24"/>
          <w:szCs w:val="24"/>
        </w:rPr>
        <w:tab/>
      </w:r>
      <w:r>
        <w:rPr>
          <w:rFonts w:hint="eastAsia" w:ascii="宋体" w:hAnsi="宋体" w:cs="华文宋体"/>
          <w:sz w:val="24"/>
          <w:szCs w:val="24"/>
        </w:rPr>
        <w:t>寿命：≥30000小时</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2.4  冷光源输</w:t>
      </w:r>
      <w:r>
        <w:rPr>
          <w:rFonts w:hint="eastAsia" w:ascii="微软雅黑" w:hAnsi="微软雅黑" w:eastAsia="微软雅黑" w:cs="微软雅黑"/>
          <w:sz w:val="24"/>
          <w:szCs w:val="24"/>
        </w:rPr>
        <w:t>⼊</w:t>
      </w:r>
      <w:r>
        <w:rPr>
          <w:rFonts w:hint="eastAsia" w:ascii="宋体" w:hAnsi="宋体" w:cs="宋体"/>
          <w:sz w:val="24"/>
          <w:szCs w:val="24"/>
        </w:rPr>
        <w:t>电压和频率≥</w:t>
      </w:r>
      <w:r>
        <w:rPr>
          <w:rFonts w:hint="eastAsia" w:ascii="宋体" w:hAnsi="宋体" w:cs="华文宋体"/>
          <w:sz w:val="24"/>
          <w:szCs w:val="24"/>
        </w:rPr>
        <w:t>12VDC，输</w:t>
      </w:r>
      <w:r>
        <w:rPr>
          <w:rFonts w:hint="eastAsia" w:ascii="微软雅黑" w:hAnsi="微软雅黑" w:eastAsia="微软雅黑" w:cs="微软雅黑"/>
          <w:sz w:val="24"/>
          <w:szCs w:val="24"/>
        </w:rPr>
        <w:t>⼊</w:t>
      </w:r>
      <w:r>
        <w:rPr>
          <w:rFonts w:hint="eastAsia" w:ascii="宋体" w:hAnsi="宋体" w:cs="宋体"/>
          <w:sz w:val="24"/>
          <w:szCs w:val="24"/>
        </w:rPr>
        <w:t>功率</w:t>
      </w:r>
      <w:r>
        <w:rPr>
          <w:rFonts w:hint="eastAsia" w:ascii="宋体" w:hAnsi="宋体" w:cs="华文宋体"/>
          <w:sz w:val="24"/>
          <w:szCs w:val="24"/>
        </w:rPr>
        <w:t>60W-90W</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2.5</w:t>
      </w:r>
      <w:r>
        <w:rPr>
          <w:rFonts w:hint="eastAsia" w:ascii="宋体" w:hAnsi="宋体" w:cs="华文宋体"/>
          <w:sz w:val="24"/>
          <w:szCs w:val="24"/>
        </w:rPr>
        <w:tab/>
      </w:r>
      <w:r>
        <w:rPr>
          <w:rFonts w:hint="eastAsia" w:ascii="宋体" w:hAnsi="宋体" w:cs="华文宋体"/>
          <w:sz w:val="24"/>
          <w:szCs w:val="24"/>
        </w:rPr>
        <w:t>至少提供手动，自动两种光源调节模式</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2.6</w:t>
      </w:r>
      <w:r>
        <w:rPr>
          <w:rFonts w:hint="eastAsia" w:ascii="宋体" w:hAnsi="宋体" w:cs="华文宋体"/>
          <w:sz w:val="24"/>
          <w:szCs w:val="24"/>
        </w:rPr>
        <w:tab/>
      </w:r>
      <w:r>
        <w:rPr>
          <w:rFonts w:hint="eastAsia" w:ascii="宋体" w:hAnsi="宋体" w:cs="华文宋体"/>
          <w:sz w:val="24"/>
          <w:szCs w:val="24"/>
        </w:rPr>
        <w:t>要求光缆折向连接插头设计，延长光纤导线寿命，并可高温高压消毒</w:t>
      </w:r>
    </w:p>
    <w:p>
      <w:pPr>
        <w:numPr>
          <w:ilvl w:val="255"/>
          <w:numId w:val="0"/>
        </w:numPr>
        <w:spacing w:line="380" w:lineRule="exact"/>
        <w:rPr>
          <w:rFonts w:ascii="宋体" w:hAnsi="宋体" w:cs="华文宋体"/>
          <w:sz w:val="24"/>
          <w:szCs w:val="24"/>
        </w:rPr>
      </w:pPr>
      <w:r>
        <w:rPr>
          <w:rFonts w:hint="eastAsia" w:ascii="宋体" w:hAnsi="宋体" w:cs="华文宋体"/>
          <w:sz w:val="24"/>
          <w:szCs w:val="24"/>
        </w:rPr>
        <w:t>3. 摄像头</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3.1</w:t>
      </w:r>
      <w:r>
        <w:rPr>
          <w:rFonts w:hint="eastAsia" w:ascii="宋体" w:hAnsi="宋体" w:cs="华文宋体"/>
          <w:sz w:val="24"/>
          <w:szCs w:val="24"/>
        </w:rPr>
        <w:tab/>
      </w:r>
      <w:r>
        <w:rPr>
          <w:rFonts w:hint="eastAsia" w:ascii="宋体" w:hAnsi="宋体" w:cs="华文宋体"/>
          <w:sz w:val="24"/>
          <w:szCs w:val="24"/>
        </w:rPr>
        <w:t>传感器：FULL HD CMOS</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3.2</w:t>
      </w:r>
      <w:r>
        <w:rPr>
          <w:rFonts w:hint="eastAsia" w:ascii="宋体" w:hAnsi="宋体" w:cs="华文宋体"/>
          <w:sz w:val="24"/>
          <w:szCs w:val="24"/>
        </w:rPr>
        <w:tab/>
      </w:r>
      <w:r>
        <w:rPr>
          <w:rFonts w:hint="eastAsia" w:ascii="宋体" w:hAnsi="宋体" w:cs="华文宋体"/>
          <w:sz w:val="24"/>
          <w:szCs w:val="24"/>
        </w:rPr>
        <w:t>按钮：≥ 3个可编程按钮≥6种预设功能，可自定义遥控至少实现开启光源、白平衡、拍照和摄像、亮度调节、变焦调节、曝光调节等功能</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3.3</w:t>
      </w:r>
      <w:r>
        <w:rPr>
          <w:rFonts w:hint="eastAsia" w:ascii="宋体" w:hAnsi="宋体" w:cs="华文宋体"/>
          <w:sz w:val="24"/>
          <w:szCs w:val="24"/>
        </w:rPr>
        <w:tab/>
      </w:r>
      <w:r>
        <w:rPr>
          <w:rFonts w:hint="eastAsia" w:ascii="宋体" w:hAnsi="宋体" w:cs="华文宋体"/>
          <w:sz w:val="24"/>
          <w:szCs w:val="24"/>
        </w:rPr>
        <w:t>数码变焦调节：≥100级</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3.4</w:t>
      </w:r>
      <w:r>
        <w:rPr>
          <w:rFonts w:hint="eastAsia" w:ascii="宋体" w:hAnsi="宋体" w:cs="华文宋体"/>
          <w:sz w:val="24"/>
          <w:szCs w:val="24"/>
        </w:rPr>
        <w:tab/>
      </w:r>
      <w:r>
        <w:rPr>
          <w:rFonts w:hint="eastAsia" w:ascii="宋体" w:hAnsi="宋体" w:cs="华文宋体"/>
          <w:sz w:val="24"/>
          <w:szCs w:val="24"/>
        </w:rPr>
        <w:t>机身：钛、C-Mount标准接口</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3.5</w:t>
      </w:r>
      <w:r>
        <w:rPr>
          <w:rFonts w:hint="eastAsia" w:ascii="宋体" w:hAnsi="宋体" w:cs="华文宋体"/>
          <w:sz w:val="24"/>
          <w:szCs w:val="24"/>
        </w:rPr>
        <w:tab/>
      </w:r>
      <w:r>
        <w:rPr>
          <w:rFonts w:hint="eastAsia" w:ascii="宋体" w:hAnsi="宋体" w:cs="华文宋体"/>
          <w:sz w:val="24"/>
          <w:szCs w:val="24"/>
        </w:rPr>
        <w:t>灭菌方式：至少可高温高压消毒灭菌</w:t>
      </w:r>
    </w:p>
    <w:p>
      <w:pPr>
        <w:numPr>
          <w:ilvl w:val="255"/>
          <w:numId w:val="0"/>
        </w:numPr>
        <w:spacing w:line="380" w:lineRule="exact"/>
        <w:ind w:left="315"/>
        <w:rPr>
          <w:rFonts w:ascii="宋体" w:hAnsi="宋体" w:cs="华文宋体"/>
          <w:sz w:val="24"/>
          <w:szCs w:val="24"/>
        </w:rPr>
      </w:pPr>
      <w:r>
        <w:rPr>
          <w:rFonts w:hint="eastAsia" w:ascii="_x000B__x000C_" w:hAnsi="_x000B__x000C_"/>
          <w:szCs w:val="21"/>
        </w:rPr>
        <w:t>▲</w:t>
      </w:r>
      <w:r>
        <w:rPr>
          <w:rFonts w:hint="eastAsia" w:ascii="宋体" w:hAnsi="宋体" w:cs="华文宋体"/>
          <w:sz w:val="24"/>
          <w:szCs w:val="24"/>
        </w:rPr>
        <w:t>3.6</w:t>
      </w:r>
      <w:r>
        <w:rPr>
          <w:rFonts w:hint="eastAsia" w:ascii="宋体" w:hAnsi="宋体" w:cs="华文宋体"/>
          <w:sz w:val="24"/>
          <w:szCs w:val="24"/>
        </w:rPr>
        <w:tab/>
      </w:r>
      <w:r>
        <w:rPr>
          <w:rFonts w:hint="eastAsia" w:ascii="宋体" w:hAnsi="宋体" w:cs="华文宋体"/>
          <w:sz w:val="24"/>
          <w:szCs w:val="24"/>
        </w:rPr>
        <w:t>重量≤0.17KG，轻巧设计，减缓术者疲劳</w:t>
      </w:r>
    </w:p>
    <w:p>
      <w:pPr>
        <w:numPr>
          <w:ilvl w:val="255"/>
          <w:numId w:val="0"/>
        </w:numPr>
        <w:spacing w:line="380" w:lineRule="exact"/>
        <w:ind w:left="315"/>
        <w:rPr>
          <w:rFonts w:ascii="宋体" w:hAnsi="宋体" w:cs="华文宋体"/>
          <w:sz w:val="24"/>
          <w:szCs w:val="24"/>
        </w:rPr>
      </w:pPr>
      <w:r>
        <w:rPr>
          <w:rFonts w:hint="eastAsia" w:ascii="_x000B__x000C_" w:hAnsi="_x000B__x000C_"/>
          <w:szCs w:val="21"/>
        </w:rPr>
        <w:t>▲</w:t>
      </w:r>
      <w:r>
        <w:rPr>
          <w:rFonts w:hint="eastAsia" w:ascii="宋体" w:hAnsi="宋体" w:cs="华文宋体"/>
          <w:sz w:val="24"/>
          <w:szCs w:val="24"/>
        </w:rPr>
        <w:t>3.7</w:t>
      </w:r>
      <w:r>
        <w:rPr>
          <w:rFonts w:hint="eastAsia" w:ascii="宋体" w:hAnsi="宋体" w:cs="华文宋体"/>
          <w:sz w:val="24"/>
          <w:szCs w:val="24"/>
        </w:rPr>
        <w:tab/>
      </w:r>
      <w:r>
        <w:rPr>
          <w:rFonts w:hint="eastAsia" w:ascii="宋体" w:hAnsi="宋体" w:cs="华文宋体"/>
          <w:sz w:val="24"/>
          <w:szCs w:val="24"/>
        </w:rPr>
        <w:t>缩放变焦：至少满足14-29mm，灭菌：可高温高压，低温等离子，环氧乙烷消毒灭菌</w:t>
      </w:r>
    </w:p>
    <w:p>
      <w:pPr>
        <w:numPr>
          <w:ilvl w:val="255"/>
          <w:numId w:val="0"/>
        </w:numPr>
        <w:spacing w:line="380" w:lineRule="exact"/>
        <w:rPr>
          <w:rFonts w:ascii="宋体" w:hAnsi="宋体" w:cs="华文宋体"/>
          <w:sz w:val="24"/>
          <w:szCs w:val="24"/>
        </w:rPr>
      </w:pPr>
      <w:r>
        <w:rPr>
          <w:rFonts w:hint="eastAsia" w:ascii="宋体" w:hAnsi="宋体" w:cs="华文宋体"/>
          <w:sz w:val="24"/>
          <w:szCs w:val="24"/>
        </w:rPr>
        <w:t>4. 图像管理系统-图文工作站</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4.1</w:t>
      </w:r>
      <w:r>
        <w:rPr>
          <w:rFonts w:hint="eastAsia" w:ascii="宋体" w:hAnsi="宋体" w:cs="华文宋体"/>
          <w:sz w:val="24"/>
          <w:szCs w:val="24"/>
        </w:rPr>
        <w:tab/>
      </w:r>
      <w:r>
        <w:rPr>
          <w:rFonts w:hint="eastAsia" w:ascii="宋体" w:hAnsi="宋体" w:cs="华文宋体"/>
          <w:sz w:val="24"/>
          <w:szCs w:val="24"/>
        </w:rPr>
        <w:t>存储图像和视频分辨率：不低于4K 60fps</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4.2</w:t>
      </w:r>
      <w:r>
        <w:rPr>
          <w:rFonts w:hint="eastAsia" w:ascii="宋体" w:hAnsi="宋体" w:cs="华文宋体"/>
          <w:sz w:val="24"/>
          <w:szCs w:val="24"/>
        </w:rPr>
        <w:tab/>
      </w:r>
      <w:r>
        <w:rPr>
          <w:rFonts w:hint="eastAsia" w:ascii="宋体" w:hAnsi="宋体" w:cs="华文宋体"/>
          <w:sz w:val="24"/>
          <w:szCs w:val="24"/>
        </w:rPr>
        <w:t>存储≥1T内存，至少可同时存储到2个USB驱动器上</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4.3</w:t>
      </w:r>
      <w:r>
        <w:rPr>
          <w:rFonts w:hint="eastAsia" w:ascii="宋体" w:hAnsi="宋体" w:cs="华文宋体"/>
          <w:sz w:val="24"/>
          <w:szCs w:val="24"/>
        </w:rPr>
        <w:tab/>
      </w:r>
      <w:r>
        <w:rPr>
          <w:rFonts w:hint="eastAsia" w:ascii="宋体" w:hAnsi="宋体" w:cs="华文宋体"/>
          <w:sz w:val="24"/>
          <w:szCs w:val="24"/>
        </w:rPr>
        <w:t>至少可定制化：图像、视频、文本、音频及医生的报告格式</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4.4</w:t>
      </w:r>
      <w:r>
        <w:rPr>
          <w:rFonts w:hint="eastAsia" w:ascii="宋体" w:hAnsi="宋体" w:cs="华文宋体"/>
          <w:sz w:val="24"/>
          <w:szCs w:val="24"/>
        </w:rPr>
        <w:tab/>
      </w:r>
      <w:r>
        <w:rPr>
          <w:rFonts w:hint="eastAsia" w:ascii="宋体" w:hAnsi="宋体" w:cs="华文宋体"/>
          <w:sz w:val="24"/>
          <w:szCs w:val="24"/>
        </w:rPr>
        <w:t>全中文用户界面，人性化触屏菜单设置，多点触控显示屏</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4.5</w:t>
      </w:r>
      <w:r>
        <w:rPr>
          <w:rFonts w:hint="eastAsia" w:ascii="宋体" w:hAnsi="宋体" w:cs="华文宋体"/>
          <w:sz w:val="24"/>
          <w:szCs w:val="24"/>
        </w:rPr>
        <w:tab/>
      </w:r>
      <w:r>
        <w:rPr>
          <w:rFonts w:hint="eastAsia" w:ascii="宋体" w:hAnsi="宋体" w:cs="华文宋体"/>
          <w:sz w:val="24"/>
          <w:szCs w:val="24"/>
        </w:rPr>
        <w:t>图像格式：至少包含JPG/PNG</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4.6</w:t>
      </w:r>
      <w:r>
        <w:rPr>
          <w:rFonts w:hint="eastAsia" w:ascii="宋体" w:hAnsi="宋体" w:cs="华文宋体"/>
          <w:sz w:val="24"/>
          <w:szCs w:val="24"/>
        </w:rPr>
        <w:tab/>
      </w:r>
      <w:r>
        <w:rPr>
          <w:rFonts w:hint="eastAsia" w:ascii="宋体" w:hAnsi="宋体" w:cs="华文宋体"/>
          <w:sz w:val="24"/>
          <w:szCs w:val="24"/>
        </w:rPr>
        <w:t>视频格式：至少包含MP4/MOV/H.264</w:t>
      </w:r>
    </w:p>
    <w:p>
      <w:pPr>
        <w:numPr>
          <w:ilvl w:val="255"/>
          <w:numId w:val="0"/>
        </w:numPr>
        <w:spacing w:line="380" w:lineRule="exact"/>
        <w:ind w:left="315"/>
        <w:rPr>
          <w:rFonts w:ascii="宋体" w:hAnsi="宋体" w:cs="华文宋体"/>
          <w:sz w:val="24"/>
          <w:szCs w:val="24"/>
        </w:rPr>
      </w:pPr>
      <w:r>
        <w:rPr>
          <w:rFonts w:hint="eastAsia" w:ascii="宋体" w:hAnsi="宋体" w:cs="华文宋体"/>
          <w:sz w:val="24"/>
          <w:szCs w:val="24"/>
        </w:rPr>
        <w:t>4.7</w:t>
      </w:r>
      <w:r>
        <w:rPr>
          <w:rFonts w:hint="eastAsia" w:ascii="宋体" w:hAnsi="宋体" w:cs="华文宋体"/>
          <w:sz w:val="24"/>
          <w:szCs w:val="24"/>
        </w:rPr>
        <w:tab/>
      </w:r>
      <w:r>
        <w:rPr>
          <w:rFonts w:hint="eastAsia" w:ascii="宋体" w:hAnsi="宋体" w:cs="华文宋体"/>
          <w:sz w:val="24"/>
          <w:szCs w:val="24"/>
        </w:rPr>
        <w:t>支持连接外部触摸屏，可下载app与手机，IPAD相连，支持流媒体视频直播</w:t>
      </w:r>
    </w:p>
    <w:p>
      <w:pPr>
        <w:numPr>
          <w:ilvl w:val="255"/>
          <w:numId w:val="0"/>
        </w:numPr>
        <w:spacing w:line="380" w:lineRule="exact"/>
        <w:ind w:left="315"/>
        <w:rPr>
          <w:rFonts w:ascii="宋体" w:hAnsi="宋体" w:cs="华文宋体"/>
          <w:sz w:val="24"/>
          <w:szCs w:val="24"/>
        </w:rPr>
      </w:pPr>
    </w:p>
    <w:p>
      <w:pPr>
        <w:numPr>
          <w:ilvl w:val="0"/>
          <w:numId w:val="2"/>
        </w:numPr>
        <w:spacing w:line="380" w:lineRule="exact"/>
        <w:rPr>
          <w:rFonts w:ascii="宋体" w:hAnsi="宋体" w:cs="华文宋体"/>
          <w:sz w:val="24"/>
          <w:szCs w:val="24"/>
        </w:rPr>
      </w:pPr>
      <w:r>
        <w:rPr>
          <w:rFonts w:hint="eastAsia" w:ascii="宋体" w:hAnsi="宋体" w:cs="华文宋体"/>
          <w:sz w:val="24"/>
          <w:szCs w:val="24"/>
        </w:rPr>
        <w:t>关节镜及入路系统</w:t>
      </w:r>
    </w:p>
    <w:p>
      <w:pPr>
        <w:numPr>
          <w:ilvl w:val="1"/>
          <w:numId w:val="3"/>
        </w:numPr>
        <w:spacing w:line="380" w:lineRule="exact"/>
        <w:ind w:left="315"/>
        <w:rPr>
          <w:rFonts w:ascii="宋体" w:hAnsi="宋体" w:cs="华文仿宋"/>
          <w:sz w:val="24"/>
          <w:szCs w:val="24"/>
        </w:rPr>
      </w:pPr>
      <w:r>
        <w:rPr>
          <w:rFonts w:hint="eastAsia" w:ascii="宋体" w:hAnsi="宋体" w:cs="华文仿宋"/>
          <w:sz w:val="24"/>
          <w:szCs w:val="24"/>
        </w:rPr>
        <w:t>4.0mm×167mm，30°、70°镜头，蓝宝石界面，要求硬度高、耐磨、防腐、特殊的玻璃-金属焊接工艺、密封、防雾</w:t>
      </w:r>
    </w:p>
    <w:p>
      <w:pPr>
        <w:numPr>
          <w:ilvl w:val="255"/>
          <w:numId w:val="0"/>
        </w:numPr>
        <w:spacing w:line="380" w:lineRule="exact"/>
        <w:ind w:left="315"/>
        <w:rPr>
          <w:rFonts w:ascii="宋体" w:hAnsi="宋体" w:cs="华文仿宋"/>
          <w:sz w:val="24"/>
          <w:szCs w:val="24"/>
        </w:rPr>
      </w:pPr>
      <w:r>
        <w:rPr>
          <w:rFonts w:hint="eastAsia" w:ascii="宋体" w:hAnsi="宋体" w:cs="华文仿宋"/>
          <w:sz w:val="24"/>
          <w:szCs w:val="24"/>
        </w:rPr>
        <w:t>5.2景深：至少满足3-80mm，视野≥105°</w:t>
      </w:r>
    </w:p>
    <w:p>
      <w:pPr>
        <w:numPr>
          <w:ilvl w:val="255"/>
          <w:numId w:val="0"/>
        </w:numPr>
        <w:spacing w:line="380" w:lineRule="exact"/>
        <w:ind w:left="315"/>
        <w:rPr>
          <w:rFonts w:ascii="宋体" w:hAnsi="宋体" w:cs="华文仿宋"/>
          <w:sz w:val="24"/>
          <w:szCs w:val="24"/>
        </w:rPr>
      </w:pPr>
      <w:r>
        <w:rPr>
          <w:rFonts w:hint="eastAsia" w:ascii="宋体" w:hAnsi="宋体" w:cs="华文仿宋"/>
          <w:sz w:val="24"/>
          <w:szCs w:val="24"/>
        </w:rPr>
        <w:t>5.3大流量双阀，可旋转套管，双通道进出水口，进出水通道独立，双阀门可随意调节</w:t>
      </w:r>
    </w:p>
    <w:p>
      <w:pPr>
        <w:numPr>
          <w:ilvl w:val="255"/>
          <w:numId w:val="0"/>
        </w:numPr>
        <w:spacing w:line="380" w:lineRule="exact"/>
        <w:ind w:left="315"/>
        <w:rPr>
          <w:rFonts w:ascii="宋体" w:hAnsi="宋体" w:cs="华文仿宋"/>
          <w:sz w:val="24"/>
          <w:szCs w:val="24"/>
        </w:rPr>
      </w:pPr>
      <w:r>
        <w:rPr>
          <w:rFonts w:hint="eastAsia" w:ascii="宋体" w:hAnsi="宋体" w:cs="华文仿宋"/>
          <w:sz w:val="24"/>
          <w:szCs w:val="24"/>
        </w:rPr>
        <w:t>5.4至少具有锥形闭孔器、钝形闭孔器可选</w:t>
      </w:r>
    </w:p>
    <w:p>
      <w:pPr>
        <w:numPr>
          <w:ilvl w:val="255"/>
          <w:numId w:val="0"/>
        </w:numPr>
        <w:spacing w:line="380" w:lineRule="exact"/>
        <w:ind w:left="315"/>
        <w:rPr>
          <w:rFonts w:ascii="宋体" w:hAnsi="宋体" w:cs="华文仿宋"/>
          <w:sz w:val="24"/>
          <w:szCs w:val="24"/>
        </w:rPr>
      </w:pPr>
      <w:r>
        <w:rPr>
          <w:rFonts w:hint="eastAsia" w:ascii="宋体" w:hAnsi="宋体" w:cs="华文仿宋"/>
          <w:sz w:val="24"/>
          <w:szCs w:val="24"/>
        </w:rPr>
        <w:t>5.5至少可高温高压，低温等离子，环氧乙烷消毒灭菌</w:t>
      </w:r>
    </w:p>
    <w:p>
      <w:pPr>
        <w:numPr>
          <w:ilvl w:val="255"/>
          <w:numId w:val="0"/>
        </w:numPr>
        <w:spacing w:line="380" w:lineRule="exact"/>
        <w:ind w:firstLine="240" w:firstLineChars="100"/>
        <w:rPr>
          <w:rFonts w:ascii="宋体" w:hAnsi="宋体" w:cs="华文仿宋"/>
          <w:sz w:val="24"/>
          <w:szCs w:val="24"/>
        </w:rPr>
      </w:pPr>
      <w:r>
        <w:rPr>
          <w:rFonts w:hint="eastAsia" w:ascii="宋体" w:hAnsi="宋体" w:cs="华文仿宋"/>
          <w:sz w:val="24"/>
          <w:szCs w:val="24"/>
        </w:rPr>
        <w:t>5.6 可选镜头耦合器一体式关节镜</w:t>
      </w:r>
    </w:p>
    <w:p>
      <w:pPr>
        <w:spacing w:line="380" w:lineRule="exact"/>
        <w:ind w:left="315"/>
        <w:rPr>
          <w:rFonts w:ascii="宋体" w:hAnsi="宋体" w:cs="华文仿宋"/>
          <w:sz w:val="24"/>
          <w:szCs w:val="24"/>
        </w:rPr>
      </w:pPr>
    </w:p>
    <w:p>
      <w:pPr>
        <w:spacing w:line="380" w:lineRule="exact"/>
        <w:rPr>
          <w:rFonts w:ascii="宋体" w:hAnsi="宋体" w:cs="华文仿宋"/>
          <w:sz w:val="24"/>
          <w:szCs w:val="24"/>
        </w:rPr>
      </w:pPr>
      <w:r>
        <w:rPr>
          <w:rFonts w:hint="eastAsia" w:ascii="宋体" w:hAnsi="宋体" w:cs="华文仿宋"/>
          <w:sz w:val="24"/>
          <w:szCs w:val="24"/>
        </w:rPr>
        <w:t xml:space="preserve">6. </w:t>
      </w:r>
      <w:bookmarkStart w:id="0" w:name="OLE_LINK1"/>
      <w:r>
        <w:rPr>
          <w:rFonts w:hint="eastAsia" w:ascii="_x000B__x000C_" w:hAnsi="_x000B__x000C_"/>
          <w:szCs w:val="21"/>
        </w:rPr>
        <w:t>▲</w:t>
      </w:r>
      <w:bookmarkEnd w:id="0"/>
      <w:r>
        <w:rPr>
          <w:rFonts w:hint="eastAsia" w:ascii="宋体" w:hAnsi="宋体" w:cs="华文仿宋"/>
          <w:sz w:val="24"/>
          <w:szCs w:val="24"/>
        </w:rPr>
        <w:t>影像系统、摄像头、耦合器、镜子、图像管理系统至少需满足统一品牌</w:t>
      </w:r>
    </w:p>
    <w:p>
      <w:pPr>
        <w:spacing w:line="300" w:lineRule="exact"/>
        <w:rPr>
          <w:rFonts w:ascii="宋体" w:hAnsi="宋体" w:cs="华文宋体"/>
          <w:sz w:val="24"/>
          <w:szCs w:val="24"/>
        </w:rPr>
      </w:pPr>
      <w:r>
        <w:rPr>
          <w:rFonts w:hint="eastAsia" w:ascii="_x000B__x000C_" w:hAnsi="_x000B__x000C_" w:eastAsia="宋体" w:cs="Times New Roman"/>
          <w:szCs w:val="21"/>
        </w:rPr>
        <w:t>★为必须符合项；</w:t>
      </w:r>
      <w:r>
        <w:rPr>
          <w:rFonts w:hint="eastAsia" w:ascii="_x000B__x000C_" w:hAnsi="_x000B__x000C_"/>
          <w:szCs w:val="21"/>
        </w:rPr>
        <w:t>“▲”指标为重要指标参数，需提供相应证明资料（不限于产品说明书、技术参数表或检测报告等）</w:t>
      </w:r>
    </w:p>
    <w:p>
      <w:pPr>
        <w:spacing w:line="300" w:lineRule="exact"/>
        <w:rPr>
          <w:rFonts w:ascii="宋体" w:hAnsi="宋体" w:cs="华文宋体"/>
          <w:sz w:val="24"/>
          <w:szCs w:val="24"/>
        </w:rPr>
      </w:pPr>
    </w:p>
    <w:p>
      <w:pPr>
        <w:rPr>
          <w:rFonts w:ascii="宋体" w:hAnsi="宋体" w:cs="华文宋体"/>
          <w:sz w:val="24"/>
          <w:szCs w:val="24"/>
        </w:rPr>
      </w:pPr>
      <w:r>
        <w:rPr>
          <w:rFonts w:hint="eastAsia" w:ascii="宋体" w:hAnsi="宋体" w:cs="华文宋体"/>
          <w:sz w:val="24"/>
          <w:szCs w:val="24"/>
        </w:rPr>
        <w:t>二．质保期3年（整机质保）</w:t>
      </w:r>
    </w:p>
    <w:p>
      <w:pPr>
        <w:rPr>
          <w:rFonts w:ascii="宋体" w:hAnsi="宋体" w:cs="华文宋体"/>
          <w:sz w:val="24"/>
          <w:szCs w:val="24"/>
        </w:rPr>
      </w:pPr>
    </w:p>
    <w:p>
      <w:pPr>
        <w:rPr>
          <w:rFonts w:ascii="宋体" w:hAnsi="宋体" w:cs="华文宋体"/>
          <w:sz w:val="24"/>
          <w:szCs w:val="24"/>
        </w:rPr>
      </w:pPr>
      <w:r>
        <w:rPr>
          <w:rFonts w:hint="eastAsia" w:ascii="宋体" w:hAnsi="宋体" w:cs="华文宋体"/>
          <w:sz w:val="24"/>
          <w:szCs w:val="24"/>
        </w:rPr>
        <w:t>三．配置清单</w:t>
      </w:r>
    </w:p>
    <w:p>
      <w:pPr>
        <w:spacing w:line="300" w:lineRule="exact"/>
        <w:rPr>
          <w:rFonts w:ascii="宋体" w:hAnsi="宋体" w:cs="华文宋体"/>
          <w:sz w:val="24"/>
          <w:szCs w:val="24"/>
        </w:rPr>
      </w:pPr>
    </w:p>
    <w:tbl>
      <w:tblPr>
        <w:tblStyle w:val="7"/>
        <w:tblW w:w="7905" w:type="dxa"/>
        <w:tblInd w:w="0" w:type="dxa"/>
        <w:tblLayout w:type="fixed"/>
        <w:tblCellMar>
          <w:top w:w="0" w:type="dxa"/>
          <w:left w:w="108" w:type="dxa"/>
          <w:bottom w:w="0" w:type="dxa"/>
          <w:right w:w="108" w:type="dxa"/>
        </w:tblCellMar>
      </w:tblPr>
      <w:tblGrid>
        <w:gridCol w:w="817"/>
        <w:gridCol w:w="4394"/>
        <w:gridCol w:w="1418"/>
        <w:gridCol w:w="1276"/>
      </w:tblGrid>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439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光源内置高清摄像控制系统主机</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关节镜图像系统</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高清摄像头</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4K显示器</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耦合器</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导光束</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关节镜</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闭孔器，镜鞘</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导光束</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等离子射频系统</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蓝钳</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Layout w:type="fixed"/>
          <w:tblCellMar>
            <w:top w:w="0" w:type="dxa"/>
            <w:left w:w="108" w:type="dxa"/>
            <w:bottom w:w="0" w:type="dxa"/>
            <w:right w:w="108" w:type="dxa"/>
          </w:tblCellMar>
        </w:tblPrEx>
        <w:trPr>
          <w:trHeight w:val="300" w:hRule="atLeast"/>
        </w:trPr>
        <w:tc>
          <w:tcPr>
            <w:tcW w:w="817" w:type="dxa"/>
            <w:tcBorders>
              <w:top w:val="single" w:color="auto" w:sz="4" w:space="0"/>
              <w:left w:val="single" w:color="auto" w:sz="4" w:space="0"/>
              <w:bottom w:val="single" w:color="auto" w:sz="4" w:space="0"/>
              <w:right w:val="single" w:color="auto" w:sz="4" w:space="0"/>
            </w:tcBorders>
            <w:noWrap/>
            <w:vAlign w:val="bottom"/>
          </w:tcPr>
          <w:p>
            <w:pPr>
              <w:pStyle w:val="12"/>
              <w:widowControl/>
              <w:numPr>
                <w:ilvl w:val="0"/>
                <w:numId w:val="4"/>
              </w:numPr>
              <w:ind w:firstLineChars="0"/>
              <w:jc w:val="center"/>
              <w:rPr>
                <w:rFonts w:ascii="宋体" w:hAnsi="宋体" w:cs="宋体"/>
                <w:color w:val="000000"/>
                <w:kern w:val="0"/>
                <w:sz w:val="24"/>
                <w:szCs w:val="24"/>
              </w:rPr>
            </w:pPr>
          </w:p>
        </w:tc>
        <w:tc>
          <w:tcPr>
            <w:tcW w:w="4394" w:type="dxa"/>
            <w:tcBorders>
              <w:top w:val="single" w:color="auto" w:sz="4" w:space="0"/>
              <w:left w:val="nil"/>
              <w:bottom w:val="single" w:color="auto" w:sz="4" w:space="0"/>
              <w:right w:val="single" w:color="auto" w:sz="4" w:space="0"/>
            </w:tcBorders>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台车</w:t>
            </w:r>
          </w:p>
        </w:tc>
        <w:tc>
          <w:tcPr>
            <w:tcW w:w="1418" w:type="dxa"/>
            <w:tcBorders>
              <w:top w:val="single" w:color="auto" w:sz="4" w:space="0"/>
              <w:left w:val="nil"/>
              <w:bottom w:val="single" w:color="auto" w:sz="4" w:space="0"/>
              <w:right w:val="single" w:color="auto" w:sz="4" w:space="0"/>
            </w:tcBorders>
            <w:noWrap/>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bl>
    <w:p>
      <w:pPr>
        <w:spacing w:line="380" w:lineRule="exact"/>
        <w:rPr>
          <w:rFonts w:ascii="宋体" w:hAnsi="宋体" w:cs="华文仿宋"/>
          <w:sz w:val="24"/>
          <w:szCs w:val="24"/>
        </w:rPr>
      </w:pPr>
      <w:r>
        <w:rPr>
          <w:rFonts w:hint="eastAsia" w:ascii="宋体" w:hAnsi="宋体" w:cs="华文仿宋"/>
          <w:sz w:val="24"/>
          <w:szCs w:val="24"/>
        </w:rPr>
        <w:t>四.售后服务要求</w:t>
      </w:r>
    </w:p>
    <w:p>
      <w:pPr>
        <w:spacing w:line="380" w:lineRule="exact"/>
        <w:rPr>
          <w:rFonts w:ascii="宋体" w:hAnsi="宋体" w:cs="华文仿宋"/>
          <w:sz w:val="24"/>
          <w:szCs w:val="24"/>
        </w:rPr>
      </w:pPr>
      <w:r>
        <w:rPr>
          <w:rFonts w:hint="eastAsia" w:ascii="宋体" w:hAnsi="宋体" w:cs="华文仿宋"/>
          <w:sz w:val="24"/>
          <w:szCs w:val="24"/>
        </w:rPr>
        <w:t>1.售后服务响应时间：投标人对所投产品报修响应时间≤2小时，专业维修人员到场时间≤24小时，配套服务免零件费和人工费</w:t>
      </w:r>
    </w:p>
    <w:p>
      <w:pPr>
        <w:spacing w:line="380" w:lineRule="exact"/>
        <w:rPr>
          <w:rFonts w:ascii="宋体" w:hAnsi="宋体" w:cs="华文仿宋"/>
          <w:sz w:val="24"/>
          <w:szCs w:val="24"/>
        </w:rPr>
      </w:pPr>
      <w:r>
        <w:rPr>
          <w:rFonts w:hint="eastAsia" w:ascii="宋体" w:hAnsi="宋体" w:cs="华文仿宋"/>
          <w:sz w:val="24"/>
          <w:szCs w:val="24"/>
        </w:rPr>
        <w:t>2.服务内容及计划</w:t>
      </w:r>
    </w:p>
    <w:p>
      <w:pPr>
        <w:spacing w:line="380" w:lineRule="exact"/>
        <w:rPr>
          <w:rFonts w:ascii="宋体" w:hAnsi="宋体" w:cs="华文仿宋"/>
          <w:sz w:val="24"/>
          <w:szCs w:val="24"/>
        </w:rPr>
      </w:pPr>
      <w:r>
        <w:rPr>
          <w:rFonts w:hint="eastAsia" w:ascii="宋体" w:hAnsi="宋体" w:cs="华文仿宋"/>
          <w:sz w:val="24"/>
          <w:szCs w:val="24"/>
        </w:rPr>
        <w:t>2.1设备安装完毕，双方签署验收报告后，整机免费质保≥36个月。</w:t>
      </w:r>
    </w:p>
    <w:p>
      <w:pPr>
        <w:spacing w:line="380" w:lineRule="exact"/>
        <w:rPr>
          <w:rFonts w:ascii="宋体" w:hAnsi="宋体" w:cs="华文仿宋"/>
          <w:sz w:val="24"/>
          <w:szCs w:val="24"/>
        </w:rPr>
      </w:pPr>
      <w:r>
        <w:rPr>
          <w:rFonts w:hint="eastAsia" w:ascii="宋体" w:hAnsi="宋体" w:cs="华文仿宋"/>
          <w:sz w:val="24"/>
          <w:szCs w:val="24"/>
        </w:rPr>
        <w:t>2.2质保期内或购买保修合同期内，每年平均开机率≥95%（按365天/年计算，计算方法为正常工作日及国家法定工作日）</w:t>
      </w:r>
    </w:p>
    <w:p>
      <w:pPr>
        <w:spacing w:line="380" w:lineRule="exact"/>
        <w:rPr>
          <w:rFonts w:ascii="宋体" w:hAnsi="宋体" w:cs="华文仿宋"/>
          <w:sz w:val="24"/>
          <w:szCs w:val="24"/>
        </w:rPr>
      </w:pPr>
      <w:r>
        <w:rPr>
          <w:rFonts w:hint="eastAsia" w:ascii="宋体" w:hAnsi="宋体" w:cs="华文仿宋"/>
          <w:sz w:val="24"/>
          <w:szCs w:val="24"/>
        </w:rPr>
        <w:t>3.质保期内维保</w:t>
      </w:r>
    </w:p>
    <w:p>
      <w:pPr>
        <w:spacing w:line="380" w:lineRule="exact"/>
        <w:rPr>
          <w:rFonts w:ascii="宋体" w:hAnsi="宋体" w:cs="华文仿宋"/>
          <w:sz w:val="24"/>
          <w:szCs w:val="24"/>
        </w:rPr>
      </w:pPr>
      <w:r>
        <w:rPr>
          <w:rFonts w:hint="eastAsia" w:ascii="宋体" w:hAnsi="宋体" w:cs="华文仿宋"/>
          <w:sz w:val="24"/>
          <w:szCs w:val="24"/>
        </w:rPr>
        <w:t>3.1质保期内，提供非功能性增加的软件版本免费升级。</w:t>
      </w:r>
    </w:p>
    <w:p>
      <w:pPr>
        <w:spacing w:line="380" w:lineRule="exact"/>
        <w:rPr>
          <w:rFonts w:ascii="宋体" w:hAnsi="宋体" w:cs="华文仿宋"/>
          <w:sz w:val="24"/>
          <w:szCs w:val="24"/>
        </w:rPr>
      </w:pPr>
      <w:r>
        <w:rPr>
          <w:rFonts w:hint="eastAsia" w:ascii="宋体" w:hAnsi="宋体" w:cs="华文仿宋"/>
          <w:sz w:val="24"/>
          <w:szCs w:val="24"/>
        </w:rPr>
        <w:t xml:space="preserve">3.2质保期内，提供每年4次定期维护，维护内容至少包含1次年度维护保养、3次季度维护保养。                                  </w:t>
      </w:r>
    </w:p>
    <w:p>
      <w:pPr>
        <w:spacing w:line="380" w:lineRule="exact"/>
        <w:rPr>
          <w:rFonts w:ascii="宋体" w:hAnsi="宋体" w:cs="华文仿宋"/>
          <w:sz w:val="24"/>
          <w:szCs w:val="24"/>
        </w:rPr>
      </w:pPr>
      <w:r>
        <w:rPr>
          <w:rFonts w:hint="eastAsia" w:ascii="宋体" w:hAnsi="宋体" w:cs="华文仿宋"/>
          <w:sz w:val="24"/>
          <w:szCs w:val="24"/>
        </w:rPr>
        <w:t>3.3以上承诺需提供由制造商出具售后服务承诺书。</w:t>
      </w:r>
    </w:p>
    <w:p>
      <w:pPr>
        <w:spacing w:line="380" w:lineRule="exact"/>
        <w:rPr>
          <w:rFonts w:ascii="宋体" w:hAnsi="宋体" w:cs="华文仿宋"/>
          <w:sz w:val="24"/>
          <w:szCs w:val="24"/>
        </w:rPr>
      </w:pPr>
      <w:r>
        <w:rPr>
          <w:rFonts w:hint="eastAsia" w:ascii="宋体" w:hAnsi="宋体" w:cs="华文仿宋"/>
          <w:sz w:val="24"/>
          <w:szCs w:val="24"/>
        </w:rPr>
        <w:t>4.质保期外维保</w:t>
      </w:r>
    </w:p>
    <w:p>
      <w:pPr>
        <w:spacing w:line="380" w:lineRule="exact"/>
        <w:rPr>
          <w:rFonts w:ascii="宋体" w:hAnsi="宋体" w:cs="华文仿宋"/>
          <w:sz w:val="24"/>
          <w:szCs w:val="24"/>
        </w:rPr>
      </w:pPr>
      <w:r>
        <w:rPr>
          <w:rFonts w:hint="eastAsia" w:ascii="宋体" w:hAnsi="宋体" w:cs="华文仿宋"/>
          <w:sz w:val="24"/>
          <w:szCs w:val="24"/>
        </w:rPr>
        <w:t>4.1质保期外，设备在使用过程中出现功能异常时，提供服务热线支持和帮助。技术支持工程师根据反馈情况提供在线技术支持、诊断或按需派遣现场服务工程师提供现场支持维修服务。</w:t>
      </w:r>
    </w:p>
    <w:p>
      <w:pPr>
        <w:spacing w:line="380" w:lineRule="exact"/>
        <w:rPr>
          <w:rFonts w:ascii="宋体" w:hAnsi="宋体" w:cs="华文仿宋"/>
          <w:sz w:val="24"/>
          <w:szCs w:val="24"/>
        </w:rPr>
      </w:pPr>
      <w:r>
        <w:rPr>
          <w:rFonts w:hint="eastAsia" w:ascii="宋体" w:hAnsi="宋体" w:cs="华文仿宋"/>
          <w:sz w:val="24"/>
          <w:szCs w:val="24"/>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spacing w:line="380" w:lineRule="exact"/>
        <w:rPr>
          <w:rFonts w:ascii="宋体" w:hAnsi="宋体" w:cs="华文仿宋"/>
          <w:sz w:val="24"/>
          <w:szCs w:val="24"/>
        </w:rPr>
      </w:pPr>
      <w:r>
        <w:rPr>
          <w:rFonts w:hint="eastAsia" w:ascii="宋体" w:hAnsi="宋体" w:cs="华文仿宋"/>
          <w:sz w:val="24"/>
          <w:szCs w:val="24"/>
        </w:rPr>
        <w:t>五、付款方式</w:t>
      </w:r>
    </w:p>
    <w:p>
      <w:pPr>
        <w:spacing w:line="380" w:lineRule="exact"/>
        <w:rPr>
          <w:rFonts w:ascii="宋体" w:hAnsi="宋体" w:cs="华文仿宋"/>
          <w:sz w:val="24"/>
          <w:szCs w:val="24"/>
        </w:rPr>
      </w:pPr>
      <w:r>
        <w:rPr>
          <w:rFonts w:hint="eastAsia" w:ascii="宋体" w:hAnsi="宋体" w:cs="华文仿宋"/>
          <w:sz w:val="24"/>
          <w:szCs w:val="24"/>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spacing w:line="380" w:lineRule="exact"/>
        <w:rPr>
          <w:rFonts w:ascii="宋体" w:hAnsi="宋体" w:cs="华文仿宋"/>
          <w:sz w:val="24"/>
          <w:szCs w:val="24"/>
        </w:rPr>
      </w:pPr>
      <w:r>
        <w:rPr>
          <w:rFonts w:hint="eastAsia" w:ascii="宋体" w:hAnsi="宋体" w:cs="华文仿宋"/>
          <w:sz w:val="24"/>
          <w:szCs w:val="24"/>
        </w:rPr>
        <w:t>六、交货、安装、调试、验收、工期要求</w:t>
      </w:r>
    </w:p>
    <w:p>
      <w:pPr>
        <w:spacing w:line="380" w:lineRule="exact"/>
        <w:rPr>
          <w:rFonts w:ascii="宋体" w:hAnsi="宋体" w:cs="华文仿宋"/>
          <w:sz w:val="24"/>
          <w:szCs w:val="24"/>
        </w:rPr>
      </w:pPr>
      <w:r>
        <w:rPr>
          <w:rFonts w:hint="eastAsia" w:ascii="宋体" w:hAnsi="宋体" w:cs="华文仿宋"/>
          <w:sz w:val="24"/>
          <w:szCs w:val="24"/>
        </w:rPr>
        <w:t>（1）交货地点:长宁区，地址：仙霞路1111号。</w:t>
      </w:r>
    </w:p>
    <w:p>
      <w:pPr>
        <w:spacing w:line="380" w:lineRule="exact"/>
        <w:rPr>
          <w:rFonts w:ascii="宋体" w:hAnsi="宋体" w:cs="华文仿宋"/>
          <w:sz w:val="24"/>
          <w:szCs w:val="24"/>
        </w:rPr>
      </w:pPr>
      <w:r>
        <w:rPr>
          <w:rFonts w:hint="eastAsia" w:ascii="宋体" w:hAnsi="宋体" w:cs="华文仿宋"/>
          <w:sz w:val="24"/>
          <w:szCs w:val="24"/>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spacing w:line="380" w:lineRule="exact"/>
        <w:rPr>
          <w:rFonts w:ascii="宋体" w:hAnsi="宋体" w:cs="华文仿宋"/>
          <w:sz w:val="24"/>
          <w:szCs w:val="24"/>
        </w:rPr>
      </w:pPr>
      <w:r>
        <w:rPr>
          <w:rFonts w:hint="eastAsia" w:ascii="宋体" w:hAnsi="宋体" w:cs="华文仿宋"/>
          <w:sz w:val="24"/>
          <w:szCs w:val="24"/>
        </w:rPr>
        <w:t>（3）履约验收：项目履约验收工作具体依据项目合同中的履约验收方案执行；合同中的履约验收方案将明确履约验收的主体、时间、方式、程序、内容和验收标准等事项。</w:t>
      </w:r>
    </w:p>
    <w:p>
      <w:pPr>
        <w:spacing w:line="380" w:lineRule="exact"/>
        <w:rPr>
          <w:rFonts w:ascii="宋体" w:hAnsi="宋体" w:cs="华文仿宋"/>
          <w:sz w:val="24"/>
          <w:szCs w:val="24"/>
        </w:rPr>
      </w:pPr>
      <w:r>
        <w:rPr>
          <w:rFonts w:hint="eastAsia" w:ascii="宋体" w:hAnsi="宋体" w:cs="华文仿宋"/>
          <w:sz w:val="24"/>
          <w:szCs w:val="24"/>
        </w:rPr>
        <w:t>（4）合同签署后，要求30天内设备到货。</w:t>
      </w:r>
    </w:p>
    <w:p>
      <w:pPr>
        <w:spacing w:line="380" w:lineRule="exact"/>
        <w:rPr>
          <w:rFonts w:ascii="宋体" w:hAnsi="宋体" w:cs="华文仿宋"/>
          <w:sz w:val="24"/>
          <w:szCs w:val="24"/>
        </w:rPr>
      </w:pPr>
      <w:r>
        <w:rPr>
          <w:rFonts w:hint="eastAsia" w:ascii="宋体" w:hAnsi="宋体" w:cs="华文仿宋"/>
          <w:sz w:val="24"/>
          <w:szCs w:val="24"/>
        </w:rPr>
        <w:t>七、其他说明</w:t>
      </w:r>
    </w:p>
    <w:p>
      <w:pPr>
        <w:spacing w:line="380" w:lineRule="exact"/>
        <w:rPr>
          <w:rFonts w:ascii="宋体" w:hAnsi="宋体" w:cs="华文仿宋"/>
          <w:sz w:val="24"/>
          <w:szCs w:val="24"/>
        </w:rPr>
      </w:pPr>
      <w:r>
        <w:rPr>
          <w:rFonts w:hint="eastAsia" w:ascii="宋体" w:hAnsi="宋体" w:cs="华文仿宋"/>
          <w:sz w:val="24"/>
          <w:szCs w:val="24"/>
        </w:rPr>
        <w:t>1、中标人所提供项目货物必须通过合法渠道取得，为生产制造厂商原装且未经使用的全新合格产品。</w:t>
      </w:r>
    </w:p>
    <w:p>
      <w:pPr>
        <w:spacing w:line="380" w:lineRule="exact"/>
        <w:rPr>
          <w:rFonts w:ascii="宋体" w:hAnsi="宋体" w:cs="华文仿宋"/>
          <w:sz w:val="24"/>
          <w:szCs w:val="24"/>
        </w:rPr>
      </w:pPr>
      <w:r>
        <w:rPr>
          <w:rFonts w:hint="eastAsia" w:ascii="宋体" w:hAnsi="宋体" w:cs="华文仿宋"/>
          <w:sz w:val="24"/>
          <w:szCs w:val="24"/>
        </w:rPr>
        <w:t>2、中标人签订合同时，不得提出附加条件和不合理要求，否则将取消其中标资格。</w:t>
      </w:r>
    </w:p>
    <w:p>
      <w:pPr>
        <w:spacing w:line="380" w:lineRule="exact"/>
        <w:rPr>
          <w:rFonts w:ascii="宋体" w:hAnsi="宋体" w:cs="华文仿宋"/>
          <w:sz w:val="24"/>
          <w:szCs w:val="24"/>
        </w:rPr>
      </w:pPr>
      <w:r>
        <w:rPr>
          <w:rFonts w:hint="eastAsia" w:ascii="宋体" w:hAnsi="宋体" w:cs="华文仿宋"/>
          <w:sz w:val="24"/>
          <w:szCs w:val="24"/>
        </w:rPr>
        <w:t>3、需由供应商提供设计方案、解决方案或者组织方案。</w:t>
      </w:r>
    </w:p>
    <w:p>
      <w:pPr>
        <w:spacing w:line="380" w:lineRule="exact"/>
        <w:rPr>
          <w:rFonts w:ascii="宋体" w:hAnsi="宋体" w:cs="华文仿宋"/>
          <w:sz w:val="24"/>
          <w:szCs w:val="24"/>
        </w:rPr>
      </w:pPr>
      <w:r>
        <w:rPr>
          <w:rFonts w:hint="eastAsia" w:ascii="宋体" w:hAnsi="宋体" w:cs="华文仿宋"/>
          <w:sz w:val="24"/>
          <w:szCs w:val="24"/>
        </w:rPr>
        <w:t>4、后续的全生命周期成本及后续采购价格情况等相关说明。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_x000B__x000C_">
    <w:altName w:val="Malgun Gothic Semilight"/>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t>ZC20260015        上海市同仁医院所需骨科手术高清关节镜系统公开招标项目             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A402F"/>
    <w:multiLevelType w:val="multilevel"/>
    <w:tmpl w:val="AFEA402F"/>
    <w:lvl w:ilvl="0" w:tentative="0">
      <w:start w:val="5"/>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B6F9F45"/>
    <w:multiLevelType w:val="singleLevel"/>
    <w:tmpl w:val="DB6F9F45"/>
    <w:lvl w:ilvl="0" w:tentative="0">
      <w:start w:val="5"/>
      <w:numFmt w:val="decimal"/>
      <w:suff w:val="space"/>
      <w:lvlText w:val="%1."/>
      <w:lvlJc w:val="left"/>
    </w:lvl>
  </w:abstractNum>
  <w:abstractNum w:abstractNumId="2">
    <w:nsid w:val="03922E1C"/>
    <w:multiLevelType w:val="multilevel"/>
    <w:tmpl w:val="03922E1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CCF61C9"/>
    <w:multiLevelType w:val="multilevel"/>
    <w:tmpl w:val="1CCF61C9"/>
    <w:lvl w:ilvl="0" w:tentative="0">
      <w:start w:val="1"/>
      <w:numFmt w:val="decimal"/>
      <w:lvlText w:val="%1."/>
      <w:lvlJc w:val="left"/>
      <w:pPr>
        <w:ind w:left="360" w:hanging="360"/>
      </w:pPr>
      <w:rPr>
        <w:rFonts w:hint="default"/>
      </w:rPr>
    </w:lvl>
    <w:lvl w:ilvl="1" w:tentative="0">
      <w:start w:val="1"/>
      <w:numFmt w:val="decimal"/>
      <w:isLgl/>
      <w:lvlText w:val="%1.%2"/>
      <w:lvlJc w:val="left"/>
      <w:pPr>
        <w:ind w:left="735" w:hanging="420"/>
      </w:pPr>
      <w:rPr>
        <w:rFonts w:hint="default"/>
      </w:rPr>
    </w:lvl>
    <w:lvl w:ilvl="2" w:tentative="0">
      <w:start w:val="1"/>
      <w:numFmt w:val="decimal"/>
      <w:isLgl/>
      <w:lvlText w:val="%1.%2.%3"/>
      <w:lvlJc w:val="left"/>
      <w:pPr>
        <w:ind w:left="1350" w:hanging="720"/>
      </w:pPr>
      <w:rPr>
        <w:rFonts w:hint="default"/>
      </w:rPr>
    </w:lvl>
    <w:lvl w:ilvl="3" w:tentative="0">
      <w:start w:val="1"/>
      <w:numFmt w:val="decimal"/>
      <w:isLgl/>
      <w:lvlText w:val="%1.%2.%3.%4"/>
      <w:lvlJc w:val="left"/>
      <w:pPr>
        <w:ind w:left="2025" w:hanging="1080"/>
      </w:pPr>
      <w:rPr>
        <w:rFonts w:hint="default"/>
      </w:rPr>
    </w:lvl>
    <w:lvl w:ilvl="4" w:tentative="0">
      <w:start w:val="1"/>
      <w:numFmt w:val="decimal"/>
      <w:isLgl/>
      <w:lvlText w:val="%1.%2.%3.%4.%5"/>
      <w:lvlJc w:val="left"/>
      <w:pPr>
        <w:ind w:left="2340" w:hanging="1080"/>
      </w:pPr>
      <w:rPr>
        <w:rFonts w:hint="default"/>
      </w:rPr>
    </w:lvl>
    <w:lvl w:ilvl="5" w:tentative="0">
      <w:start w:val="1"/>
      <w:numFmt w:val="decimal"/>
      <w:isLgl/>
      <w:lvlText w:val="%1.%2.%3.%4.%5.%6"/>
      <w:lvlJc w:val="left"/>
      <w:pPr>
        <w:ind w:left="3015" w:hanging="1440"/>
      </w:pPr>
      <w:rPr>
        <w:rFonts w:hint="default"/>
      </w:rPr>
    </w:lvl>
    <w:lvl w:ilvl="6" w:tentative="0">
      <w:start w:val="1"/>
      <w:numFmt w:val="decimal"/>
      <w:isLgl/>
      <w:lvlText w:val="%1.%2.%3.%4.%5.%6.%7"/>
      <w:lvlJc w:val="left"/>
      <w:pPr>
        <w:ind w:left="3330" w:hanging="1440"/>
      </w:pPr>
      <w:rPr>
        <w:rFonts w:hint="default"/>
      </w:rPr>
    </w:lvl>
    <w:lvl w:ilvl="7" w:tentative="0">
      <w:start w:val="1"/>
      <w:numFmt w:val="decimal"/>
      <w:isLgl/>
      <w:lvlText w:val="%1.%2.%3.%4.%5.%6.%7.%8"/>
      <w:lvlJc w:val="left"/>
      <w:pPr>
        <w:ind w:left="4005" w:hanging="1800"/>
      </w:pPr>
      <w:rPr>
        <w:rFonts w:hint="default"/>
      </w:rPr>
    </w:lvl>
    <w:lvl w:ilvl="8" w:tentative="0">
      <w:start w:val="1"/>
      <w:numFmt w:val="decimal"/>
      <w:isLgl/>
      <w:lvlText w:val="%1.%2.%3.%4.%5.%6.%7.%8.%9"/>
      <w:lvlJc w:val="left"/>
      <w:pPr>
        <w:ind w:left="432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N2ZiNmZhNjI4ODQ2ZWIxN2YxNmUyY2VhYzRiN2YifQ=="/>
    <w:docVar w:name="KY_MEDREF_DOCUID" w:val="{171BD7AF-BEA0-4B55-AE5E-ABDB9D2CD245}"/>
    <w:docVar w:name="KY_MEDREF_VERSION" w:val="3"/>
  </w:docVars>
  <w:rsids>
    <w:rsidRoot w:val="00F87618"/>
    <w:rsid w:val="00000F90"/>
    <w:rsid w:val="00015F71"/>
    <w:rsid w:val="000924C1"/>
    <w:rsid w:val="000F15B2"/>
    <w:rsid w:val="00146485"/>
    <w:rsid w:val="001633BC"/>
    <w:rsid w:val="001F5176"/>
    <w:rsid w:val="00221F38"/>
    <w:rsid w:val="00282A57"/>
    <w:rsid w:val="003327D2"/>
    <w:rsid w:val="00341350"/>
    <w:rsid w:val="00401E58"/>
    <w:rsid w:val="00451584"/>
    <w:rsid w:val="00517405"/>
    <w:rsid w:val="00564B13"/>
    <w:rsid w:val="005777F1"/>
    <w:rsid w:val="005D2105"/>
    <w:rsid w:val="0061723C"/>
    <w:rsid w:val="00633380"/>
    <w:rsid w:val="00660B54"/>
    <w:rsid w:val="006A4CC8"/>
    <w:rsid w:val="00736CA4"/>
    <w:rsid w:val="00737A41"/>
    <w:rsid w:val="007402A6"/>
    <w:rsid w:val="00745E06"/>
    <w:rsid w:val="007821A1"/>
    <w:rsid w:val="00826865"/>
    <w:rsid w:val="008A348D"/>
    <w:rsid w:val="008C7F1E"/>
    <w:rsid w:val="00997FF4"/>
    <w:rsid w:val="009B242F"/>
    <w:rsid w:val="00A46F91"/>
    <w:rsid w:val="00A50452"/>
    <w:rsid w:val="00A53682"/>
    <w:rsid w:val="00AC3691"/>
    <w:rsid w:val="00AC3D7B"/>
    <w:rsid w:val="00C045BD"/>
    <w:rsid w:val="00C23209"/>
    <w:rsid w:val="00CE3B20"/>
    <w:rsid w:val="00CF2764"/>
    <w:rsid w:val="00DC4FA6"/>
    <w:rsid w:val="00EA2FC6"/>
    <w:rsid w:val="00EB40C6"/>
    <w:rsid w:val="00EF0FE6"/>
    <w:rsid w:val="00F02E49"/>
    <w:rsid w:val="00F87618"/>
    <w:rsid w:val="00FC38AF"/>
    <w:rsid w:val="00FE5147"/>
    <w:rsid w:val="05267A03"/>
    <w:rsid w:val="0FB12275"/>
    <w:rsid w:val="12B40454"/>
    <w:rsid w:val="18CD3E0A"/>
    <w:rsid w:val="1CA53161"/>
    <w:rsid w:val="1D613643"/>
    <w:rsid w:val="1E7E61C6"/>
    <w:rsid w:val="22DB1912"/>
    <w:rsid w:val="24BA5975"/>
    <w:rsid w:val="2B271E05"/>
    <w:rsid w:val="2BFFB833"/>
    <w:rsid w:val="2F5D3C40"/>
    <w:rsid w:val="2F5D52FB"/>
    <w:rsid w:val="309029D4"/>
    <w:rsid w:val="34F7543D"/>
    <w:rsid w:val="35FF1743"/>
    <w:rsid w:val="39F552D0"/>
    <w:rsid w:val="3CB818A6"/>
    <w:rsid w:val="3DDC9569"/>
    <w:rsid w:val="3FE07B5C"/>
    <w:rsid w:val="3FFDB7E5"/>
    <w:rsid w:val="455C6204"/>
    <w:rsid w:val="46A9280A"/>
    <w:rsid w:val="4CBB12DC"/>
    <w:rsid w:val="50CAA3F8"/>
    <w:rsid w:val="53BF4017"/>
    <w:rsid w:val="57B9555B"/>
    <w:rsid w:val="5DF59B2F"/>
    <w:rsid w:val="5EAD356A"/>
    <w:rsid w:val="5FBFE8FD"/>
    <w:rsid w:val="6578453C"/>
    <w:rsid w:val="672BD15D"/>
    <w:rsid w:val="673A7172"/>
    <w:rsid w:val="67B330F2"/>
    <w:rsid w:val="6B1F4A85"/>
    <w:rsid w:val="6DFD2A52"/>
    <w:rsid w:val="6EB56EFE"/>
    <w:rsid w:val="6F277D02"/>
    <w:rsid w:val="70A02EA0"/>
    <w:rsid w:val="744726BF"/>
    <w:rsid w:val="74905A2D"/>
    <w:rsid w:val="7737CB8C"/>
    <w:rsid w:val="77F754A2"/>
    <w:rsid w:val="7ABB9B78"/>
    <w:rsid w:val="7AC64574"/>
    <w:rsid w:val="7AFBFC68"/>
    <w:rsid w:val="7B7BCC32"/>
    <w:rsid w:val="7BFDBC3D"/>
    <w:rsid w:val="7C306FBB"/>
    <w:rsid w:val="7FE79E4A"/>
    <w:rsid w:val="7FEC1BF4"/>
    <w:rsid w:val="7FF64C10"/>
    <w:rsid w:val="7FF7D021"/>
    <w:rsid w:val="AE5F6CEA"/>
    <w:rsid w:val="B61F568E"/>
    <w:rsid w:val="B7BE27C0"/>
    <w:rsid w:val="B9EB6B84"/>
    <w:rsid w:val="BAD7B2F8"/>
    <w:rsid w:val="BF3DEEA9"/>
    <w:rsid w:val="D997D96E"/>
    <w:rsid w:val="DAFE8DD1"/>
    <w:rsid w:val="E3FFFA55"/>
    <w:rsid w:val="E76EB841"/>
    <w:rsid w:val="E7FF66B0"/>
    <w:rsid w:val="EFEF9627"/>
    <w:rsid w:val="F3F57F49"/>
    <w:rsid w:val="F5BE4133"/>
    <w:rsid w:val="FEDEDBD6"/>
    <w:rsid w:val="FF1EF4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unhideWhenUsed/>
    <w:qFormat/>
    <w:uiPriority w:val="1"/>
    <w:pPr>
      <w:spacing w:after="120"/>
    </w:pPr>
  </w:style>
  <w:style w:type="paragraph" w:styleId="4">
    <w:name w:val="Balloon Text"/>
    <w:basedOn w:val="1"/>
    <w:link w:val="16"/>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semiHidden/>
    <w:qFormat/>
    <w:uiPriority w:val="0"/>
    <w:rPr>
      <w:sz w:val="21"/>
      <w:szCs w:val="21"/>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font01"/>
    <w:basedOn w:val="8"/>
    <w:qFormat/>
    <w:uiPriority w:val="0"/>
    <w:rPr>
      <w:rFonts w:hint="default" w:ascii="等线" w:hAnsi="等线" w:eastAsia="等线" w:cs="等线"/>
      <w:color w:val="000000"/>
      <w:sz w:val="22"/>
      <w:szCs w:val="22"/>
      <w:u w:val="none"/>
    </w:rPr>
  </w:style>
  <w:style w:type="character" w:customStyle="1" w:styleId="14">
    <w:name w:val="font31"/>
    <w:basedOn w:val="8"/>
    <w:qFormat/>
    <w:uiPriority w:val="0"/>
    <w:rPr>
      <w:rFonts w:hint="default" w:ascii="等线" w:hAnsi="等线" w:eastAsia="等线" w:cs="等线"/>
      <w:color w:val="000000"/>
      <w:sz w:val="22"/>
      <w:szCs w:val="22"/>
      <w:u w:val="none"/>
    </w:rPr>
  </w:style>
  <w:style w:type="character" w:customStyle="1" w:styleId="15">
    <w:name w:val="font21"/>
    <w:basedOn w:val="8"/>
    <w:qFormat/>
    <w:uiPriority w:val="0"/>
    <w:rPr>
      <w:rFonts w:hint="default" w:ascii="等线" w:hAnsi="等线" w:eastAsia="等线" w:cs="等线"/>
      <w:color w:val="000000"/>
      <w:sz w:val="22"/>
      <w:szCs w:val="22"/>
      <w:u w:val="none"/>
    </w:rPr>
  </w:style>
  <w:style w:type="character" w:customStyle="1" w:styleId="16">
    <w:name w:val="批注框文本 字符"/>
    <w:basedOn w:val="8"/>
    <w:link w:val="4"/>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387</Words>
  <Characters>2210</Characters>
  <Lines>18</Lines>
  <Paragraphs>5</Paragraphs>
  <TotalTime>10</TotalTime>
  <ScaleCrop>false</ScaleCrop>
  <LinksUpToDate>false</LinksUpToDate>
  <CharactersWithSpaces>2592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2025-12-17T02:01:00Z</dcterms:created>
  <dc:creator> </dc:creator>
  <cp:lastModifiedBy>Administrator</cp:lastModifiedBy>
  <dcterms:modified xsi:type="dcterms:W3CDTF">2026-03-03T05:14:40Z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D65BC50777FA46E4A0491FA0B5499CB9_13</vt:lpwstr>
  </property>
  <property fmtid="{D5CDD505-2E9C-101B-9397-08002B2CF9AE}" pid="4" name="KSOTemplateDocerSaveRecord">
    <vt:lpwstr>eyJoZGlkIjoiYjViNmM2MzBiNDUzMWM4NzQ4ZDY5OTMxYzMxYThjNGIiLCJ1c2VySWQiOiIxMzI0MDYxNzc1In0=</vt:lpwstr>
  </property>
</Properties>
</file>