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 w:hAnsi="仿宋" w:eastAsia="仿宋"/>
          <w:sz w:val="48"/>
          <w:szCs w:val="48"/>
        </w:rPr>
      </w:pPr>
    </w:p>
    <w:p>
      <w:pPr>
        <w:ind w:firstLine="0" w:firstLineChars="0"/>
        <w:jc w:val="center"/>
        <w:rPr>
          <w:rFonts w:hint="eastAsia" w:ascii="仿宋" w:hAnsi="仿宋" w:eastAsia="仿宋"/>
          <w:sz w:val="48"/>
          <w:szCs w:val="48"/>
        </w:rPr>
      </w:pPr>
    </w:p>
    <w:p>
      <w:pPr>
        <w:ind w:firstLine="0" w:firstLineChars="0"/>
        <w:rPr>
          <w:rFonts w:hint="eastAsia" w:ascii="仿宋" w:hAnsi="仿宋" w:eastAsia="仿宋"/>
          <w:sz w:val="52"/>
          <w:szCs w:val="52"/>
        </w:rPr>
      </w:pPr>
    </w:p>
    <w:p>
      <w:pPr>
        <w:ind w:firstLine="0" w:firstLineChars="0"/>
        <w:jc w:val="center"/>
        <w:rPr>
          <w:rFonts w:hint="eastAsia" w:ascii="仿宋" w:hAnsi="仿宋" w:eastAsia="仿宋"/>
          <w:sz w:val="56"/>
          <w:szCs w:val="56"/>
          <w:lang w:eastAsia="zh-CN"/>
        </w:rPr>
      </w:pPr>
      <w:bookmarkStart w:id="0" w:name="OLE_LINK5"/>
      <w:r>
        <w:rPr>
          <w:rFonts w:hint="eastAsia" w:ascii="仿宋" w:hAnsi="仿宋" w:eastAsia="仿宋"/>
          <w:sz w:val="56"/>
          <w:szCs w:val="56"/>
        </w:rPr>
        <w:t>长宁区数字档案馆2026升级改造</w:t>
      </w:r>
      <w:r>
        <w:rPr>
          <w:rFonts w:hint="eastAsia" w:ascii="仿宋" w:hAnsi="仿宋" w:eastAsia="仿宋"/>
          <w:sz w:val="56"/>
          <w:szCs w:val="56"/>
          <w:lang w:eastAsia="zh-CN"/>
        </w:rPr>
        <w:t>服务竞争性磋商项目</w:t>
      </w:r>
    </w:p>
    <w:bookmarkEnd w:id="0"/>
    <w:p>
      <w:pPr>
        <w:ind w:firstLine="0" w:firstLineChars="0"/>
        <w:jc w:val="center"/>
        <w:rPr>
          <w:rFonts w:hint="eastAsia" w:ascii="仿宋" w:hAnsi="仿宋" w:eastAsia="仿宋"/>
          <w:sz w:val="52"/>
          <w:szCs w:val="52"/>
          <w:lang w:eastAsia="zh-CN"/>
        </w:rPr>
      </w:pPr>
      <w:r>
        <w:rPr>
          <w:rFonts w:hint="eastAsia" w:ascii="仿宋" w:hAnsi="仿宋" w:eastAsia="仿宋"/>
          <w:sz w:val="52"/>
          <w:szCs w:val="52"/>
        </w:rPr>
        <w:t>采购需求</w:t>
      </w:r>
      <w:r>
        <w:rPr>
          <w:rFonts w:hint="eastAsia" w:ascii="仿宋" w:hAnsi="仿宋" w:eastAsia="仿宋"/>
          <w:sz w:val="52"/>
          <w:szCs w:val="52"/>
          <w:lang w:eastAsia="zh-CN"/>
        </w:rPr>
        <w:t>文件</w:t>
      </w:r>
    </w:p>
    <w:p>
      <w:pPr>
        <w:ind w:firstLine="0" w:firstLineChars="0"/>
        <w:jc w:val="center"/>
        <w:rPr>
          <w:rFonts w:hint="eastAsia" w:ascii="仿宋" w:hAnsi="仿宋" w:eastAsia="仿宋"/>
          <w:sz w:val="52"/>
          <w:szCs w:val="52"/>
        </w:rPr>
      </w:pPr>
    </w:p>
    <w:p>
      <w:pPr>
        <w:ind w:firstLine="1040"/>
        <w:rPr>
          <w:rFonts w:hint="eastAsia" w:ascii="仿宋" w:hAnsi="仿宋" w:eastAsia="仿宋"/>
          <w:sz w:val="52"/>
          <w:szCs w:val="52"/>
        </w:rPr>
      </w:pPr>
    </w:p>
    <w:p>
      <w:pPr>
        <w:ind w:firstLine="560"/>
        <w:rPr>
          <w:rFonts w:hint="eastAsia" w:ascii="仿宋" w:hAnsi="仿宋" w:eastAsia="仿宋"/>
        </w:rPr>
      </w:pPr>
    </w:p>
    <w:p>
      <w:pPr>
        <w:ind w:firstLine="560"/>
        <w:rPr>
          <w:rFonts w:hint="eastAsia" w:ascii="仿宋" w:hAnsi="仿宋" w:eastAsia="仿宋"/>
        </w:rPr>
      </w:pPr>
    </w:p>
    <w:p>
      <w:pPr>
        <w:ind w:firstLine="560"/>
        <w:rPr>
          <w:rFonts w:hint="eastAsia" w:ascii="仿宋" w:hAnsi="仿宋" w:eastAsia="仿宋"/>
        </w:rPr>
      </w:pPr>
    </w:p>
    <w:p>
      <w:pPr>
        <w:ind w:firstLine="560"/>
        <w:rPr>
          <w:rFonts w:hint="eastAsia" w:ascii="仿宋" w:hAnsi="仿宋" w:eastAsia="仿宋"/>
        </w:rPr>
      </w:pPr>
    </w:p>
    <w:p>
      <w:pPr>
        <w:ind w:firstLine="560"/>
        <w:rPr>
          <w:rFonts w:hint="eastAsia" w:ascii="仿宋" w:hAnsi="仿宋" w:eastAsia="仿宋"/>
        </w:rPr>
      </w:pPr>
    </w:p>
    <w:p>
      <w:pPr>
        <w:ind w:firstLine="1040"/>
        <w:rPr>
          <w:rFonts w:hint="eastAsia" w:ascii="仿宋" w:hAnsi="仿宋" w:eastAsia="仿宋"/>
          <w:sz w:val="52"/>
          <w:szCs w:val="52"/>
        </w:rPr>
      </w:pPr>
    </w:p>
    <w:p>
      <w:pPr>
        <w:ind w:firstLine="560"/>
        <w:jc w:val="center"/>
        <w:rPr>
          <w:rFonts w:hint="eastAsia" w:ascii="仿宋" w:hAnsi="仿宋" w:eastAsia="仿宋"/>
        </w:rPr>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ascii="仿宋" w:hAnsi="仿宋" w:eastAsia="仿宋"/>
        </w:rPr>
      </w:pPr>
      <w:bookmarkStart w:id="1" w:name="_Toc63785461"/>
      <w:r>
        <w:rPr>
          <w:rFonts w:ascii="仿宋" w:hAnsi="仿宋" w:eastAsia="仿宋"/>
        </w:rPr>
        <w:t>项目概况</w:t>
      </w:r>
      <w:bookmarkEnd w:id="1"/>
    </w:p>
    <w:p>
      <w:pPr>
        <w:ind w:firstLine="560"/>
        <w:rPr>
          <w:rFonts w:hint="eastAsia" w:ascii="仿宋" w:hAnsi="仿宋" w:eastAsia="仿宋"/>
          <w:szCs w:val="28"/>
        </w:rPr>
      </w:pPr>
      <w:bookmarkStart w:id="2" w:name="_Hlk221111808"/>
      <w:r>
        <w:rPr>
          <w:rFonts w:hint="eastAsia" w:ascii="仿宋" w:hAnsi="仿宋" w:eastAsia="仿宋"/>
          <w:szCs w:val="28"/>
        </w:rPr>
        <w:t>本次长宁区数字档案馆2026升级改造包含长宁区数字档案馆定制软件开发、软件开发配套硬件设备建设、网络安全等级保护及商用密码应用建设三部分，本项目将基于国产化环境展开建设。</w:t>
      </w:r>
    </w:p>
    <w:bookmarkEnd w:id="2"/>
    <w:p>
      <w:pPr>
        <w:ind w:firstLine="560"/>
        <w:rPr>
          <w:rFonts w:hint="eastAsia" w:ascii="仿宋" w:hAnsi="仿宋" w:eastAsia="仿宋"/>
          <w:szCs w:val="28"/>
        </w:rPr>
      </w:pPr>
      <w:r>
        <w:rPr>
          <w:rFonts w:hint="eastAsia" w:ascii="仿宋" w:hAnsi="仿宋" w:eastAsia="仿宋"/>
          <w:szCs w:val="28"/>
        </w:rPr>
        <w:t>为保证档案馆的安全与完整，“长宁区数字档案馆综合业务信息管理平台”于2024年11月建设完成。项目建设完成了基础平台的搭建及新馆基础设施系统的基础信息对接，能够实现相关设备点位呈现。“长宁区数字档案馆综合业务信息管理平台”首页内容包含平安档案馆、绿色档案馆、空间全感知和一屏知全馆四大页面模块。本次长宁区数字档案馆定制软件开发计划升级改造“长宁区数字档案馆综合业务信息管理平台”，</w:t>
      </w:r>
      <w:bookmarkStart w:id="3" w:name="_Hlk203933917"/>
      <w:r>
        <w:rPr>
          <w:rFonts w:hint="eastAsia" w:ascii="仿宋" w:hAnsi="仿宋" w:eastAsia="仿宋"/>
          <w:szCs w:val="28"/>
        </w:rPr>
        <w:t>进一步提升平台的安全等级、数据管理和利用效率，切实保障长宁区档案馆人员与档案的绝对安全与完整，实现对数据信息的全域掌控与高效共享。</w:t>
      </w:r>
      <w:bookmarkEnd w:id="3"/>
      <w:r>
        <w:rPr>
          <w:rFonts w:hint="eastAsia" w:ascii="仿宋" w:hAnsi="仿宋" w:eastAsia="仿宋"/>
          <w:szCs w:val="28"/>
        </w:rPr>
        <w:t>并为</w:t>
      </w:r>
      <w:r>
        <w:rPr>
          <w:rFonts w:ascii="仿宋" w:hAnsi="仿宋" w:eastAsia="仿宋"/>
          <w:szCs w:val="28"/>
        </w:rPr>
        <w:t>适配</w:t>
      </w:r>
      <w:r>
        <w:rPr>
          <w:rFonts w:hint="eastAsia" w:ascii="仿宋" w:hAnsi="仿宋" w:eastAsia="仿宋"/>
          <w:szCs w:val="28"/>
        </w:rPr>
        <w:t>国产化</w:t>
      </w:r>
      <w:r>
        <w:rPr>
          <w:rFonts w:ascii="仿宋" w:hAnsi="仿宋" w:eastAsia="仿宋"/>
          <w:szCs w:val="28"/>
        </w:rPr>
        <w:t>体系建设要求，结合长宁区数字档案馆业务实际与现有系统架构，完成</w:t>
      </w:r>
      <w:r>
        <w:rPr>
          <w:rFonts w:hint="eastAsia" w:ascii="仿宋" w:hAnsi="仿宋" w:eastAsia="仿宋"/>
          <w:szCs w:val="28"/>
        </w:rPr>
        <w:t>国产化</w:t>
      </w:r>
      <w:r>
        <w:rPr>
          <w:rFonts w:ascii="仿宋" w:hAnsi="仿宋" w:eastAsia="仿宋"/>
          <w:szCs w:val="28"/>
        </w:rPr>
        <w:t>适配全流程改造，实现系统与</w:t>
      </w:r>
      <w:r>
        <w:rPr>
          <w:rFonts w:hint="eastAsia" w:ascii="仿宋" w:hAnsi="仿宋" w:eastAsia="仿宋"/>
          <w:szCs w:val="28"/>
        </w:rPr>
        <w:t>国产化</w:t>
      </w:r>
      <w:r>
        <w:rPr>
          <w:rFonts w:ascii="仿宋" w:hAnsi="仿宋" w:eastAsia="仿宋"/>
          <w:szCs w:val="28"/>
        </w:rPr>
        <w:t>软硬件生态的兼容适配、稳定运行。</w:t>
      </w:r>
    </w:p>
    <w:p>
      <w:pPr>
        <w:ind w:firstLine="560"/>
        <w:rPr>
          <w:rFonts w:hint="eastAsia" w:ascii="仿宋" w:hAnsi="仿宋" w:eastAsia="仿宋"/>
          <w:szCs w:val="28"/>
        </w:rPr>
      </w:pPr>
      <w:r>
        <w:rPr>
          <w:rFonts w:ascii="仿宋" w:hAnsi="仿宋" w:eastAsia="仿宋"/>
          <w:szCs w:val="28"/>
        </w:rPr>
        <w:t>软件开发配套硬件设备建设部分主要为长宁区数字档案馆定制软件开发提供配套的硬件设备，确保功能的完善，全面支撑平台升级改造与</w:t>
      </w:r>
      <w:r>
        <w:rPr>
          <w:rFonts w:hint="eastAsia" w:ascii="仿宋" w:hAnsi="仿宋" w:eastAsia="仿宋"/>
          <w:szCs w:val="28"/>
        </w:rPr>
        <w:t>国产化</w:t>
      </w:r>
      <w:r>
        <w:rPr>
          <w:rFonts w:ascii="仿宋" w:hAnsi="仿宋" w:eastAsia="仿宋"/>
          <w:szCs w:val="28"/>
        </w:rPr>
        <w:t>适配落地，筑牢数字档案馆硬件根基。</w:t>
      </w:r>
    </w:p>
    <w:p>
      <w:pPr>
        <w:ind w:firstLine="560"/>
        <w:rPr>
          <w:rFonts w:hint="eastAsia" w:ascii="仿宋" w:hAnsi="仿宋" w:eastAsia="仿宋"/>
          <w:szCs w:val="28"/>
        </w:rPr>
      </w:pPr>
      <w:r>
        <w:rPr>
          <w:rFonts w:hint="eastAsia" w:ascii="仿宋" w:hAnsi="仿宋" w:eastAsia="仿宋"/>
          <w:szCs w:val="28"/>
        </w:rPr>
        <w:t>为贯彻落实国家网络安全等级保护制度、国家秘密载体管理相关法规及上海市网络安全和数据安全发展战略，筑牢数字档案安全防线</w:t>
      </w:r>
      <w:r>
        <w:rPr>
          <w:rFonts w:hint="eastAsia" w:ascii="仿宋" w:hAnsi="仿宋" w:eastAsia="仿宋"/>
        </w:rPr>
        <w:t>，本次主要对长宁区数字档案馆的长宁档案信息网、“一网通办”电子档案管理系统、馆藏档案资源管理系统、综合业务信息管理平台四套系</w:t>
      </w:r>
      <w:bookmarkStart w:id="4" w:name="OLE_LINK24"/>
      <w:r>
        <w:rPr>
          <w:rFonts w:hint="eastAsia" w:ascii="仿宋" w:hAnsi="仿宋" w:eastAsia="仿宋"/>
        </w:rPr>
        <w:t>统同步实施网络安全等级保护三级及商用密码应用三级的</w:t>
      </w:r>
      <w:bookmarkEnd w:id="4"/>
      <w:r>
        <w:rPr>
          <w:rFonts w:ascii="仿宋" w:hAnsi="仿宋" w:eastAsia="仿宋"/>
        </w:rPr>
        <w:t>安全加固和密码改造，全面保障档案馆各网段安全合规运行。</w:t>
      </w:r>
    </w:p>
    <w:p>
      <w:pPr>
        <w:ind w:firstLine="560"/>
        <w:rPr>
          <w:rFonts w:hint="eastAsia" w:ascii="仿宋" w:hAnsi="仿宋" w:eastAsia="仿宋"/>
        </w:rPr>
      </w:pPr>
    </w:p>
    <w:p>
      <w:pPr>
        <w:ind w:firstLine="560"/>
        <w:rPr>
          <w:rFonts w:hint="eastAsia" w:ascii="仿宋" w:hAnsi="仿宋" w:eastAsia="仿宋"/>
        </w:rPr>
      </w:pPr>
    </w:p>
    <w:p>
      <w:pPr>
        <w:ind w:firstLine="560"/>
        <w:rPr>
          <w:rFonts w:hint="eastAsia" w:ascii="仿宋" w:hAnsi="仿宋" w:eastAsia="仿宋"/>
        </w:rPr>
      </w:pPr>
      <w:r>
        <w:rPr>
          <w:rFonts w:hint="eastAsia" w:ascii="仿宋" w:hAnsi="仿宋" w:eastAsia="仿宋"/>
        </w:rPr>
        <w:t>建设期限：自合同签订之日起10</w:t>
      </w:r>
      <w:r>
        <w:rPr>
          <w:rFonts w:ascii="仿宋" w:hAnsi="仿宋" w:eastAsia="仿宋"/>
        </w:rPr>
        <w:t>个月内完成</w:t>
      </w:r>
    </w:p>
    <w:p>
      <w:pPr>
        <w:ind w:firstLine="560"/>
        <w:rPr>
          <w:rFonts w:hint="eastAsia" w:ascii="仿宋" w:hAnsi="仿宋" w:eastAsia="仿宋"/>
        </w:rPr>
      </w:pPr>
      <w:r>
        <w:rPr>
          <w:rFonts w:hint="eastAsia" w:ascii="仿宋" w:hAnsi="仿宋" w:eastAsia="仿宋"/>
        </w:rPr>
        <w:t>建设地点：</w:t>
      </w:r>
      <w:r>
        <w:rPr>
          <w:rFonts w:ascii="仿宋" w:hAnsi="仿宋" w:eastAsia="仿宋"/>
        </w:rPr>
        <w:t>上海市长宁区周家桥街道玉屏南路560弄68号，</w:t>
      </w:r>
      <w:r>
        <w:rPr>
          <w:rFonts w:hint="eastAsia" w:ascii="仿宋" w:hAnsi="仿宋" w:eastAsia="仿宋"/>
        </w:rPr>
        <w:t>上海市长宁区档案馆</w:t>
      </w:r>
    </w:p>
    <w:p>
      <w:pPr>
        <w:ind w:firstLine="560"/>
        <w:rPr>
          <w:rFonts w:hint="eastAsia" w:ascii="仿宋" w:hAnsi="仿宋" w:eastAsia="仿宋"/>
        </w:rPr>
      </w:pPr>
      <w:r>
        <w:rPr>
          <w:rFonts w:hint="eastAsia" w:ascii="仿宋" w:hAnsi="仿宋" w:eastAsia="仿宋"/>
        </w:rPr>
        <w:t>预算金额：2,316,576</w:t>
      </w:r>
    </w:p>
    <w:p>
      <w:pPr>
        <w:ind w:firstLine="560"/>
        <w:rPr>
          <w:rFonts w:hint="eastAsia" w:ascii="仿宋" w:hAnsi="仿宋" w:eastAsia="仿宋"/>
        </w:rPr>
      </w:pPr>
      <w:r>
        <w:rPr>
          <w:rFonts w:hint="eastAsia" w:ascii="仿宋" w:hAnsi="仿宋" w:eastAsia="仿宋"/>
        </w:rPr>
        <w:t>采购金额（最高限价）：2,316,576</w:t>
      </w:r>
    </w:p>
    <w:p>
      <w:pPr>
        <w:ind w:firstLine="560"/>
        <w:rPr>
          <w:rFonts w:hint="eastAsia" w:ascii="仿宋" w:hAnsi="仿宋" w:eastAsia="仿宋"/>
        </w:rPr>
      </w:pPr>
      <w:r>
        <w:rPr>
          <w:rFonts w:hint="eastAsia" w:ascii="仿宋" w:hAnsi="仿宋" w:eastAsia="仿宋"/>
        </w:rPr>
        <w:t>采购方式：竞争性磋商</w:t>
      </w:r>
    </w:p>
    <w:p>
      <w:pPr>
        <w:ind w:firstLine="560"/>
        <w:rPr>
          <w:rFonts w:hint="eastAsia" w:ascii="仿宋" w:hAnsi="仿宋" w:eastAsia="仿宋"/>
        </w:rPr>
      </w:pPr>
      <w:r>
        <w:rPr>
          <w:rFonts w:hint="eastAsia" w:ascii="仿宋" w:hAnsi="仿宋" w:eastAsia="仿宋"/>
        </w:rPr>
        <w:t>是否接受联合体投标：否</w:t>
      </w:r>
    </w:p>
    <w:p>
      <w:pPr>
        <w:ind w:firstLine="198" w:firstLineChars="71"/>
        <w:rPr>
          <w:rFonts w:hint="eastAsia" w:ascii="仿宋" w:hAnsi="仿宋" w:eastAsia="仿宋"/>
        </w:rPr>
      </w:pPr>
    </w:p>
    <w:p>
      <w:pPr>
        <w:pStyle w:val="2"/>
        <w:rPr>
          <w:rFonts w:hint="eastAsia" w:ascii="仿宋" w:hAnsi="仿宋" w:eastAsia="仿宋"/>
        </w:rPr>
      </w:pPr>
      <w:bookmarkStart w:id="5" w:name="_Toc47539070"/>
      <w:bookmarkEnd w:id="5"/>
      <w:bookmarkStart w:id="6" w:name="_Toc47536272"/>
      <w:bookmarkEnd w:id="6"/>
      <w:bookmarkStart w:id="7" w:name="_Toc47532255"/>
      <w:bookmarkEnd w:id="7"/>
      <w:bookmarkStart w:id="8" w:name="_Toc47536644"/>
      <w:bookmarkEnd w:id="8"/>
      <w:bookmarkStart w:id="9" w:name="_Toc47537134"/>
      <w:bookmarkEnd w:id="9"/>
      <w:bookmarkStart w:id="10" w:name="_Toc47531634"/>
      <w:bookmarkEnd w:id="10"/>
      <w:bookmarkStart w:id="11" w:name="_Toc47533256"/>
      <w:bookmarkEnd w:id="11"/>
      <w:bookmarkStart w:id="12" w:name="_Toc47532891"/>
      <w:bookmarkEnd w:id="12"/>
      <w:bookmarkStart w:id="13" w:name="_Toc48223882"/>
      <w:bookmarkStart w:id="14" w:name="_Toc63785463"/>
      <w:r>
        <w:rPr>
          <w:rFonts w:ascii="仿宋" w:hAnsi="仿宋" w:eastAsia="仿宋"/>
        </w:rPr>
        <w:t>建设目标</w:t>
      </w:r>
      <w:bookmarkEnd w:id="13"/>
      <w:bookmarkEnd w:id="14"/>
    </w:p>
    <w:p>
      <w:pPr>
        <w:pStyle w:val="3"/>
        <w:rPr>
          <w:rFonts w:hint="eastAsia" w:ascii="仿宋" w:hAnsi="仿宋" w:eastAsia="仿宋"/>
        </w:rPr>
      </w:pPr>
      <w:r>
        <w:rPr>
          <w:rFonts w:ascii="仿宋" w:hAnsi="仿宋" w:eastAsia="仿宋"/>
        </w:rPr>
        <w:t>总体目标</w:t>
      </w:r>
    </w:p>
    <w:p>
      <w:pPr>
        <w:pStyle w:val="4"/>
        <w:rPr>
          <w:rFonts w:hint="eastAsia" w:ascii="仿宋" w:hAnsi="仿宋" w:eastAsia="仿宋"/>
        </w:rPr>
      </w:pPr>
      <w:r>
        <w:rPr>
          <w:rFonts w:hint="eastAsia" w:ascii="仿宋" w:hAnsi="仿宋" w:eastAsia="仿宋"/>
        </w:rPr>
        <w:t>长宁区数字档案馆定制软件开发</w:t>
      </w:r>
    </w:p>
    <w:p>
      <w:pPr>
        <w:ind w:firstLine="560"/>
        <w:rPr>
          <w:rFonts w:hint="eastAsia" w:ascii="仿宋" w:hAnsi="仿宋" w:eastAsia="仿宋"/>
          <w:szCs w:val="28"/>
        </w:rPr>
      </w:pPr>
      <w:bookmarkStart w:id="15" w:name="_Hlk221111670"/>
      <w:r>
        <w:rPr>
          <w:rFonts w:hint="eastAsia" w:ascii="仿宋" w:hAnsi="仿宋" w:eastAsia="仿宋"/>
          <w:szCs w:val="28"/>
        </w:rPr>
        <w:t>长宁区数字档案馆定制软件开发</w:t>
      </w:r>
      <w:r>
        <w:rPr>
          <w:rFonts w:ascii="仿宋" w:hAnsi="仿宋" w:eastAsia="仿宋"/>
          <w:szCs w:val="28"/>
        </w:rPr>
        <w:t>旨在依托</w:t>
      </w:r>
      <w:r>
        <w:rPr>
          <w:rFonts w:hint="eastAsia" w:ascii="仿宋" w:hAnsi="仿宋" w:eastAsia="仿宋"/>
          <w:szCs w:val="28"/>
        </w:rPr>
        <w:t>现有长宁区数字档案馆综合业务信息管理</w:t>
      </w:r>
      <w:r>
        <w:rPr>
          <w:rFonts w:ascii="仿宋" w:hAnsi="仿宋" w:eastAsia="仿宋"/>
          <w:szCs w:val="28"/>
        </w:rPr>
        <w:t>平台基础，通过</w:t>
      </w:r>
      <w:r>
        <w:rPr>
          <w:rFonts w:hint="eastAsia" w:ascii="仿宋" w:hAnsi="仿宋" w:eastAsia="仿宋"/>
          <w:szCs w:val="28"/>
        </w:rPr>
        <w:t>持续推动</w:t>
      </w:r>
      <w:r>
        <w:rPr>
          <w:rFonts w:ascii="仿宋" w:hAnsi="仿宋" w:eastAsia="仿宋"/>
          <w:szCs w:val="28"/>
        </w:rPr>
        <w:t>智能识别、事件分析、数据整合与可视化</w:t>
      </w:r>
      <w:r>
        <w:rPr>
          <w:rFonts w:hint="eastAsia" w:ascii="仿宋" w:hAnsi="仿宋" w:eastAsia="仿宋"/>
          <w:szCs w:val="28"/>
        </w:rPr>
        <w:t>等技术</w:t>
      </w:r>
      <w:r>
        <w:rPr>
          <w:rFonts w:ascii="仿宋" w:hAnsi="仿宋" w:eastAsia="仿宋"/>
          <w:szCs w:val="28"/>
        </w:rPr>
        <w:t>的深化应用与迭代升级，构建集感知、分析、决策、响应于一体的智慧档案管理与安全防护体系。</w:t>
      </w:r>
      <w:r>
        <w:rPr>
          <w:rFonts w:hint="eastAsia" w:ascii="仿宋" w:hAnsi="仿宋" w:eastAsia="仿宋"/>
          <w:szCs w:val="28"/>
        </w:rPr>
        <w:t>项目将重点</w:t>
      </w:r>
      <w:r>
        <w:rPr>
          <w:rFonts w:ascii="仿宋" w:hAnsi="仿宋" w:eastAsia="仿宋"/>
          <w:szCs w:val="28"/>
        </w:rPr>
        <w:t>增强</w:t>
      </w:r>
      <w:r>
        <w:rPr>
          <w:rFonts w:hint="eastAsia" w:ascii="仿宋" w:hAnsi="仿宋" w:eastAsia="仿宋"/>
          <w:szCs w:val="28"/>
        </w:rPr>
        <w:t>对</w:t>
      </w:r>
      <w:r>
        <w:rPr>
          <w:rFonts w:ascii="仿宋" w:hAnsi="仿宋" w:eastAsia="仿宋"/>
          <w:szCs w:val="28"/>
        </w:rPr>
        <w:t>人员</w:t>
      </w:r>
      <w:r>
        <w:rPr>
          <w:rFonts w:hint="eastAsia" w:ascii="仿宋" w:hAnsi="仿宋" w:eastAsia="仿宋"/>
          <w:szCs w:val="28"/>
        </w:rPr>
        <w:t>、</w:t>
      </w:r>
      <w:r>
        <w:rPr>
          <w:rFonts w:ascii="仿宋" w:hAnsi="仿宋" w:eastAsia="仿宋"/>
          <w:szCs w:val="28"/>
        </w:rPr>
        <w:t>档案</w:t>
      </w:r>
      <w:r>
        <w:rPr>
          <w:rFonts w:hint="eastAsia" w:ascii="仿宋" w:hAnsi="仿宋" w:eastAsia="仿宋"/>
          <w:szCs w:val="28"/>
        </w:rPr>
        <w:t>及设备</w:t>
      </w:r>
      <w:r>
        <w:rPr>
          <w:rFonts w:ascii="仿宋" w:hAnsi="仿宋" w:eastAsia="仿宋"/>
          <w:szCs w:val="28"/>
        </w:rPr>
        <w:t>的</w:t>
      </w:r>
      <w:r>
        <w:rPr>
          <w:rFonts w:hint="eastAsia" w:ascii="仿宋" w:hAnsi="仿宋" w:eastAsia="仿宋"/>
          <w:szCs w:val="28"/>
        </w:rPr>
        <w:t>全方位</w:t>
      </w:r>
      <w:r>
        <w:rPr>
          <w:rFonts w:ascii="仿宋" w:hAnsi="仿宋" w:eastAsia="仿宋"/>
          <w:szCs w:val="28"/>
        </w:rPr>
        <w:t>安全防护能力，重点区域</w:t>
      </w:r>
      <w:r>
        <w:rPr>
          <w:rFonts w:hint="eastAsia" w:ascii="仿宋" w:hAnsi="仿宋" w:eastAsia="仿宋"/>
          <w:szCs w:val="28"/>
        </w:rPr>
        <w:t>智能</w:t>
      </w:r>
      <w:r>
        <w:rPr>
          <w:rFonts w:ascii="仿宋" w:hAnsi="仿宋" w:eastAsia="仿宋"/>
          <w:szCs w:val="28"/>
        </w:rPr>
        <w:t>感知</w:t>
      </w:r>
      <w:r>
        <w:rPr>
          <w:rFonts w:hint="eastAsia" w:ascii="仿宋" w:hAnsi="仿宋" w:eastAsia="仿宋"/>
          <w:szCs w:val="28"/>
        </w:rPr>
        <w:t>及预警</w:t>
      </w:r>
      <w:r>
        <w:rPr>
          <w:rFonts w:ascii="仿宋" w:hAnsi="仿宋" w:eastAsia="仿宋"/>
          <w:szCs w:val="28"/>
        </w:rPr>
        <w:t>、异常事件</w:t>
      </w:r>
      <w:r>
        <w:rPr>
          <w:rFonts w:hint="eastAsia" w:ascii="仿宋" w:hAnsi="仿宋" w:eastAsia="仿宋"/>
          <w:szCs w:val="28"/>
        </w:rPr>
        <w:t>快速识别及</w:t>
      </w:r>
      <w:r>
        <w:rPr>
          <w:rFonts w:ascii="仿宋" w:hAnsi="仿宋" w:eastAsia="仿宋"/>
          <w:szCs w:val="28"/>
        </w:rPr>
        <w:t>秒级响应及统一门户无感登录</w:t>
      </w:r>
      <w:r>
        <w:rPr>
          <w:rFonts w:hint="eastAsia" w:ascii="仿宋" w:hAnsi="仿宋" w:eastAsia="仿宋"/>
          <w:szCs w:val="28"/>
        </w:rPr>
        <w:t>等功能。</w:t>
      </w:r>
      <w:bookmarkEnd w:id="15"/>
    </w:p>
    <w:p>
      <w:pPr>
        <w:ind w:firstLine="560"/>
        <w:rPr>
          <w:rFonts w:hint="eastAsia" w:ascii="仿宋" w:hAnsi="仿宋" w:eastAsia="仿宋"/>
          <w:szCs w:val="28"/>
        </w:rPr>
      </w:pPr>
      <w:r>
        <w:rPr>
          <w:rFonts w:hint="eastAsia" w:ascii="仿宋" w:hAnsi="仿宋" w:eastAsia="仿宋"/>
          <w:szCs w:val="28"/>
        </w:rPr>
        <w:t>长宁区数字档案馆</w:t>
      </w:r>
      <w:r>
        <w:rPr>
          <w:rFonts w:ascii="仿宋" w:hAnsi="仿宋" w:eastAsia="仿宋"/>
          <w:szCs w:val="28"/>
        </w:rPr>
        <w:t>以适配</w:t>
      </w:r>
      <w:r>
        <w:rPr>
          <w:rFonts w:hint="eastAsia" w:ascii="仿宋" w:hAnsi="仿宋" w:eastAsia="仿宋"/>
          <w:szCs w:val="28"/>
        </w:rPr>
        <w:t>国产化</w:t>
      </w:r>
      <w:r>
        <w:rPr>
          <w:rFonts w:ascii="仿宋" w:hAnsi="仿宋" w:eastAsia="仿宋"/>
          <w:szCs w:val="28"/>
        </w:rPr>
        <w:t>体系建设要求为核心，结合长宁区数字档案馆业务实际与现有系统架构，完成</w:t>
      </w:r>
      <w:r>
        <w:rPr>
          <w:rFonts w:hint="eastAsia" w:ascii="仿宋" w:hAnsi="仿宋" w:eastAsia="仿宋"/>
          <w:szCs w:val="28"/>
        </w:rPr>
        <w:t>国产化</w:t>
      </w:r>
      <w:r>
        <w:rPr>
          <w:rFonts w:ascii="仿宋" w:hAnsi="仿宋" w:eastAsia="仿宋"/>
          <w:szCs w:val="28"/>
        </w:rPr>
        <w:t>适配全流程改造，实现系统与</w:t>
      </w:r>
      <w:r>
        <w:rPr>
          <w:rFonts w:hint="eastAsia" w:ascii="仿宋" w:hAnsi="仿宋" w:eastAsia="仿宋"/>
          <w:szCs w:val="28"/>
        </w:rPr>
        <w:t>国产化</w:t>
      </w:r>
      <w:r>
        <w:rPr>
          <w:rFonts w:ascii="仿宋" w:hAnsi="仿宋" w:eastAsia="仿宋"/>
          <w:szCs w:val="28"/>
        </w:rPr>
        <w:t>软硬件生态的兼容适配、稳定运行。</w:t>
      </w:r>
    </w:p>
    <w:p>
      <w:pPr>
        <w:ind w:firstLine="560"/>
        <w:rPr>
          <w:rFonts w:hint="eastAsia" w:ascii="仿宋" w:hAnsi="仿宋" w:eastAsia="仿宋"/>
          <w:szCs w:val="28"/>
        </w:rPr>
      </w:pPr>
    </w:p>
    <w:p>
      <w:pPr>
        <w:pStyle w:val="4"/>
        <w:rPr>
          <w:rFonts w:hint="eastAsia" w:ascii="仿宋" w:hAnsi="仿宋" w:eastAsia="仿宋"/>
        </w:rPr>
      </w:pPr>
      <w:r>
        <w:rPr>
          <w:rFonts w:hint="eastAsia" w:ascii="仿宋" w:hAnsi="仿宋" w:eastAsia="仿宋"/>
        </w:rPr>
        <w:t>软件开发配套硬件设备建设</w:t>
      </w:r>
    </w:p>
    <w:p>
      <w:pPr>
        <w:ind w:firstLine="560"/>
        <w:rPr>
          <w:rFonts w:hint="eastAsia" w:ascii="仿宋" w:hAnsi="仿宋" w:eastAsia="仿宋"/>
          <w:szCs w:val="28"/>
        </w:rPr>
      </w:pPr>
      <w:r>
        <w:rPr>
          <w:rFonts w:hint="eastAsia" w:ascii="仿宋" w:hAnsi="仿宋" w:eastAsia="仿宋"/>
          <w:szCs w:val="28"/>
        </w:rPr>
        <w:t>配套硬件设备建设将与软件升级改造同步推进、深度融合，精准完善定制软件的各项功能需求，完成硬件设备与升级后平台的全流程对接调试，优化设备运行参数，确保硬件性能与软件功能精准匹配、同频联动，实现“软硬一体”协同运行。</w:t>
      </w:r>
    </w:p>
    <w:p>
      <w:pPr>
        <w:ind w:firstLine="560"/>
        <w:rPr>
          <w:rFonts w:hint="eastAsia" w:ascii="仿宋" w:hAnsi="仿宋" w:eastAsia="仿宋"/>
          <w:szCs w:val="28"/>
        </w:rPr>
      </w:pPr>
    </w:p>
    <w:p>
      <w:pPr>
        <w:pStyle w:val="4"/>
        <w:rPr>
          <w:rFonts w:hint="eastAsia" w:ascii="仿宋" w:hAnsi="仿宋" w:eastAsia="仿宋"/>
        </w:rPr>
      </w:pPr>
      <w:r>
        <w:rPr>
          <w:rFonts w:hint="eastAsia" w:ascii="仿宋" w:hAnsi="仿宋" w:eastAsia="仿宋"/>
        </w:rPr>
        <w:t>网络安全等级保护及商用密码应用建设</w:t>
      </w:r>
    </w:p>
    <w:p>
      <w:pPr>
        <w:ind w:firstLine="560"/>
        <w:rPr>
          <w:rFonts w:hint="eastAsia" w:ascii="仿宋" w:hAnsi="仿宋" w:eastAsia="仿宋"/>
          <w:szCs w:val="28"/>
        </w:rPr>
      </w:pPr>
      <w:bookmarkStart w:id="16" w:name="_Hlk221111697"/>
      <w:r>
        <w:rPr>
          <w:rFonts w:hint="eastAsia" w:ascii="仿宋" w:hAnsi="仿宋" w:eastAsia="仿宋"/>
          <w:szCs w:val="28"/>
        </w:rPr>
        <w:t>为加强长宁区数字档案馆系统的网络安全，本次项目建设针对长宁区数字档案馆系统推进网络安全等级保护建设与商用密码应用建设，两者协同发力，以实现“安全强化、合规达标”的综合目标。</w:t>
      </w:r>
    </w:p>
    <w:p>
      <w:pPr>
        <w:ind w:firstLine="560"/>
        <w:rPr>
          <w:rFonts w:hint="eastAsia" w:ascii="仿宋" w:hAnsi="仿宋" w:eastAsia="仿宋"/>
          <w:szCs w:val="28"/>
        </w:rPr>
      </w:pPr>
      <w:r>
        <w:rPr>
          <w:rFonts w:hint="eastAsia" w:ascii="仿宋" w:hAnsi="仿宋" w:eastAsia="仿宋"/>
          <w:szCs w:val="28"/>
        </w:rPr>
        <w:t>网络安全等级保护建设以“保障应用、确保安全”为核心，遵循相关原则和标准，构建完善网络安全保障系统，提升安全预警、防御、应急处置和灾难恢复能力，使网络及信息系统满足相应等级防护要求。</w:t>
      </w:r>
      <w:bookmarkEnd w:id="16"/>
    </w:p>
    <w:p>
      <w:pPr>
        <w:ind w:firstLine="560"/>
        <w:rPr>
          <w:rFonts w:hint="eastAsia" w:ascii="仿宋" w:hAnsi="仿宋" w:eastAsia="仿宋"/>
          <w:szCs w:val="28"/>
        </w:rPr>
      </w:pPr>
      <w:bookmarkStart w:id="17" w:name="_Hlk221111704"/>
      <w:r>
        <w:rPr>
          <w:rFonts w:hint="eastAsia" w:ascii="仿宋" w:hAnsi="仿宋" w:eastAsia="仿宋"/>
          <w:szCs w:val="28"/>
        </w:rPr>
        <w:t>商用密码应用建设依据《中华人民共和国密码法》等法规标准，结合档案馆实际情况，保障电子档案全生命周期安全，为后续相关工作奠定基础。通过这两方面建设，全面提升长宁区数字档案馆系统的安全防护水平与合规性，构建适配数字档案发展需求的高安全、强合规的网络安全体系与密码应用方案。</w:t>
      </w:r>
      <w:bookmarkEnd w:id="17"/>
    </w:p>
    <w:p>
      <w:pPr>
        <w:ind w:firstLine="560"/>
        <w:rPr>
          <w:rFonts w:hint="eastAsia" w:ascii="仿宋" w:hAnsi="仿宋" w:eastAsia="仿宋"/>
          <w:szCs w:val="28"/>
        </w:rPr>
      </w:pPr>
    </w:p>
    <w:p>
      <w:pPr>
        <w:pStyle w:val="3"/>
        <w:rPr>
          <w:rFonts w:hint="eastAsia" w:ascii="仿宋" w:hAnsi="仿宋" w:eastAsia="仿宋"/>
        </w:rPr>
      </w:pPr>
      <w:r>
        <w:rPr>
          <w:rFonts w:ascii="仿宋" w:hAnsi="仿宋" w:eastAsia="仿宋"/>
        </w:rPr>
        <w:t>分体目标</w:t>
      </w:r>
    </w:p>
    <w:p>
      <w:pPr>
        <w:pStyle w:val="4"/>
        <w:rPr>
          <w:rFonts w:hint="eastAsia" w:ascii="仿宋" w:hAnsi="仿宋" w:eastAsia="仿宋"/>
        </w:rPr>
      </w:pPr>
      <w:r>
        <w:rPr>
          <w:rFonts w:hint="eastAsia" w:ascii="仿宋" w:hAnsi="仿宋" w:eastAsia="仿宋"/>
        </w:rPr>
        <w:t>长宁区数字档案馆定制软件开发</w:t>
      </w:r>
      <w:r>
        <w:rPr>
          <w:rFonts w:ascii="仿宋" w:hAnsi="仿宋" w:eastAsia="仿宋"/>
        </w:rPr>
        <w:t>建设目标</w:t>
      </w:r>
    </w:p>
    <w:p>
      <w:pPr>
        <w:ind w:firstLine="560"/>
        <w:rPr>
          <w:rFonts w:hint="eastAsia" w:ascii="仿宋" w:hAnsi="仿宋" w:eastAsia="仿宋"/>
          <w:szCs w:val="28"/>
        </w:rPr>
      </w:pPr>
      <w:r>
        <w:rPr>
          <w:rFonts w:ascii="仿宋" w:hAnsi="仿宋" w:eastAsia="仿宋"/>
          <w:szCs w:val="28"/>
        </w:rPr>
        <w:t>以现有综合业务信息管理平台为基础，聚焦技术深化应用与功能迭代升级，核心目标是构建集感知、分析、决策、响应于一体的智慧档案管理与安全防护体系，全面提升档案管理的智能化水平与安全管控能力。具体目标包括：</w:t>
      </w:r>
    </w:p>
    <w:p>
      <w:pPr>
        <w:tabs>
          <w:tab w:val="left" w:pos="720"/>
        </w:tabs>
        <w:ind w:firstLine="560"/>
        <w:rPr>
          <w:rFonts w:hint="eastAsia" w:ascii="仿宋" w:hAnsi="仿宋" w:eastAsia="仿宋"/>
          <w:szCs w:val="28"/>
        </w:rPr>
      </w:pPr>
      <w:r>
        <w:rPr>
          <w:rFonts w:ascii="仿宋" w:hAnsi="仿宋" w:eastAsia="仿宋"/>
          <w:szCs w:val="28"/>
        </w:rPr>
        <w:t>技术应用深化：推动智能识别、事件分析、数据整合与可视化等核心技术的迭代优化，提升技术与档案管理业务的适配度，实现档案业务全流程的智能化支撑。</w:t>
      </w:r>
    </w:p>
    <w:p>
      <w:pPr>
        <w:tabs>
          <w:tab w:val="left" w:pos="720"/>
        </w:tabs>
        <w:ind w:firstLine="560"/>
        <w:rPr>
          <w:rFonts w:hint="eastAsia" w:ascii="仿宋" w:hAnsi="仿宋" w:eastAsia="仿宋"/>
          <w:szCs w:val="28"/>
        </w:rPr>
      </w:pPr>
      <w:r>
        <w:rPr>
          <w:rFonts w:ascii="仿宋" w:hAnsi="仿宋" w:eastAsia="仿宋"/>
          <w:szCs w:val="28"/>
        </w:rPr>
        <w:t>安全防护强化：构建人员、档案、设备三位一体的全方位安全防护机制，明确各环节安全管控标准，消除安全隐患，保障档案信息与管理过程的安全性。</w:t>
      </w:r>
    </w:p>
    <w:p>
      <w:pPr>
        <w:tabs>
          <w:tab w:val="left" w:pos="720"/>
        </w:tabs>
        <w:ind w:firstLine="560"/>
        <w:rPr>
          <w:rFonts w:hint="eastAsia" w:ascii="仿宋" w:hAnsi="仿宋" w:eastAsia="仿宋"/>
          <w:szCs w:val="28"/>
        </w:rPr>
      </w:pPr>
      <w:r>
        <w:rPr>
          <w:rFonts w:ascii="仿宋" w:hAnsi="仿宋" w:eastAsia="仿宋"/>
          <w:szCs w:val="28"/>
        </w:rPr>
        <w:t>智能预警响应：实现重点区域智能感知全覆盖，建立异常事件快速识别模型，达成异常情况秒级响应，提升突发事件处置效率，降低安全风险。</w:t>
      </w:r>
    </w:p>
    <w:p>
      <w:pPr>
        <w:tabs>
          <w:tab w:val="left" w:pos="720"/>
        </w:tabs>
        <w:ind w:firstLine="560"/>
        <w:rPr>
          <w:rFonts w:hint="eastAsia" w:ascii="仿宋" w:hAnsi="仿宋" w:eastAsia="仿宋"/>
          <w:szCs w:val="28"/>
        </w:rPr>
      </w:pPr>
      <w:r>
        <w:rPr>
          <w:rFonts w:ascii="仿宋" w:hAnsi="仿宋" w:eastAsia="仿宋"/>
          <w:szCs w:val="28"/>
        </w:rPr>
        <w:t>便捷高效应用：优化统一门户功能，实现无感登录服务，简化操作流程，提升工作人员使用便捷性，提高整体业务办理效率。</w:t>
      </w:r>
    </w:p>
    <w:p>
      <w:pPr>
        <w:tabs>
          <w:tab w:val="left" w:pos="720"/>
        </w:tabs>
        <w:ind w:firstLine="560"/>
        <w:rPr>
          <w:rFonts w:hint="eastAsia" w:ascii="仿宋" w:hAnsi="仿宋" w:eastAsia="仿宋"/>
          <w:szCs w:val="28"/>
        </w:rPr>
      </w:pPr>
    </w:p>
    <w:p>
      <w:pPr>
        <w:pStyle w:val="4"/>
        <w:rPr>
          <w:rFonts w:hint="eastAsia" w:ascii="仿宋" w:hAnsi="仿宋" w:eastAsia="仿宋"/>
        </w:rPr>
      </w:pPr>
      <w:r>
        <w:rPr>
          <w:rFonts w:hint="eastAsia" w:ascii="仿宋" w:hAnsi="仿宋" w:eastAsia="仿宋"/>
        </w:rPr>
        <w:t>软件开发配套硬件设备建设</w:t>
      </w:r>
      <w:r>
        <w:rPr>
          <w:rFonts w:ascii="仿宋" w:hAnsi="仿宋" w:eastAsia="仿宋"/>
        </w:rPr>
        <w:t>目标</w:t>
      </w:r>
    </w:p>
    <w:p>
      <w:pPr>
        <w:ind w:firstLine="560"/>
        <w:rPr>
          <w:rFonts w:hint="eastAsia" w:ascii="仿宋" w:hAnsi="仿宋" w:eastAsia="仿宋"/>
          <w:szCs w:val="28"/>
        </w:rPr>
      </w:pPr>
      <w:r>
        <w:rPr>
          <w:rFonts w:hint="eastAsia" w:ascii="仿宋" w:hAnsi="仿宋" w:eastAsia="仿宋"/>
          <w:szCs w:val="28"/>
        </w:rPr>
        <w:t>配套硬件设备建设结合长宁区数字档案馆业务实际、现有系统架构及定制软件功能需求，完成硬件设备建设，实现硬件设备与定制软件功能的兼容适配、稳定运行，为平台升级提供坚实硬件底座，保障业务安全、高效开展。具体目标包括：</w:t>
      </w:r>
    </w:p>
    <w:p>
      <w:pPr>
        <w:tabs>
          <w:tab w:val="left" w:pos="720"/>
        </w:tabs>
        <w:ind w:firstLine="560"/>
        <w:rPr>
          <w:rFonts w:hint="eastAsia" w:ascii="仿宋" w:hAnsi="仿宋" w:eastAsia="仿宋"/>
          <w:szCs w:val="28"/>
        </w:rPr>
      </w:pPr>
      <w:r>
        <w:rPr>
          <w:rFonts w:hint="eastAsia" w:ascii="仿宋" w:hAnsi="仿宋" w:eastAsia="仿宋"/>
          <w:szCs w:val="28"/>
        </w:rPr>
        <w:t>兼容适配达标：确保硬件设备与定制软件功能精准兼容，运行稳定可靠，全面满足相关技术标准、国家档案局相关规范及平台运行要求。</w:t>
      </w:r>
    </w:p>
    <w:p>
      <w:pPr>
        <w:tabs>
          <w:tab w:val="left" w:pos="720"/>
        </w:tabs>
        <w:ind w:firstLine="560"/>
        <w:rPr>
          <w:rFonts w:hint="eastAsia" w:ascii="仿宋" w:hAnsi="仿宋" w:eastAsia="仿宋"/>
          <w:szCs w:val="28"/>
        </w:rPr>
      </w:pPr>
      <w:r>
        <w:rPr>
          <w:rFonts w:hint="eastAsia" w:ascii="仿宋" w:hAnsi="仿宋" w:eastAsia="仿宋"/>
          <w:szCs w:val="28"/>
        </w:rPr>
        <w:t>业务支撑保障：确保硬件部署、调试过程中，核心业务、定制软件关键功能不中断，各类数据不丢失、不损坏；硬件投入使用后，运行性能满足定制软件功能需求，支撑平台7×24小时稳定运行，性能不低于改造前水平，切实保障档案管理、安全管控、数据利用等业务正常开展。</w:t>
      </w:r>
    </w:p>
    <w:p>
      <w:pPr>
        <w:tabs>
          <w:tab w:val="left" w:pos="720"/>
        </w:tabs>
        <w:ind w:firstLine="560"/>
        <w:rPr>
          <w:rFonts w:hint="eastAsia" w:ascii="仿宋" w:hAnsi="仿宋" w:eastAsia="仿宋"/>
          <w:szCs w:val="28"/>
        </w:rPr>
      </w:pPr>
      <w:r>
        <w:rPr>
          <w:rFonts w:hint="eastAsia" w:ascii="仿宋" w:hAnsi="仿宋" w:eastAsia="仿宋"/>
          <w:szCs w:val="28"/>
        </w:rPr>
        <w:t>生态协同适配：保障硬件与软件、硬件与硬件之间协同联动，支撑数据流转顺畅、业务协同高效，助力打破“信息孤岛”。</w:t>
      </w:r>
    </w:p>
    <w:p>
      <w:pPr>
        <w:tabs>
          <w:tab w:val="left" w:pos="720"/>
        </w:tabs>
        <w:ind w:firstLine="560"/>
        <w:rPr>
          <w:rFonts w:hint="eastAsia" w:ascii="仿宋" w:hAnsi="仿宋" w:eastAsia="仿宋"/>
          <w:szCs w:val="28"/>
        </w:rPr>
      </w:pPr>
      <w:r>
        <w:rPr>
          <w:rFonts w:hint="eastAsia" w:ascii="仿宋" w:hAnsi="仿宋" w:eastAsia="仿宋"/>
          <w:szCs w:val="28"/>
        </w:rPr>
        <w:t>长效运维支撑：定期开展硬件设备优化升级，为硬件设备及整个平台的长期稳定运行提供坚实保障。</w:t>
      </w:r>
    </w:p>
    <w:p>
      <w:pPr>
        <w:tabs>
          <w:tab w:val="left" w:pos="720"/>
        </w:tabs>
        <w:ind w:firstLine="560"/>
        <w:rPr>
          <w:rFonts w:hint="eastAsia" w:ascii="仿宋" w:hAnsi="仿宋" w:eastAsia="仿宋"/>
          <w:szCs w:val="28"/>
        </w:rPr>
      </w:pPr>
    </w:p>
    <w:p>
      <w:pPr>
        <w:pStyle w:val="4"/>
        <w:rPr>
          <w:rFonts w:hint="eastAsia" w:ascii="仿宋" w:hAnsi="仿宋" w:eastAsia="仿宋"/>
        </w:rPr>
      </w:pPr>
      <w:r>
        <w:rPr>
          <w:rFonts w:hint="eastAsia" w:ascii="仿宋" w:hAnsi="仿宋" w:eastAsia="仿宋"/>
        </w:rPr>
        <w:t>网络安全等级保护及商用密码应用建设</w:t>
      </w:r>
    </w:p>
    <w:p>
      <w:pPr>
        <w:ind w:firstLine="560"/>
        <w:rPr>
          <w:rFonts w:hint="eastAsia" w:ascii="仿宋" w:hAnsi="仿宋" w:eastAsia="仿宋"/>
          <w:szCs w:val="28"/>
        </w:rPr>
      </w:pPr>
      <w:r>
        <w:rPr>
          <w:rFonts w:ascii="仿宋" w:hAnsi="仿宋" w:eastAsia="仿宋"/>
          <w:szCs w:val="28"/>
        </w:rPr>
        <w:t>长宁区数字档案馆系统以“保障应用、确保安全”为核心，遵循</w:t>
      </w:r>
      <w:r>
        <w:rPr>
          <w:rFonts w:hint="eastAsia" w:ascii="仿宋" w:hAnsi="仿宋" w:eastAsia="仿宋"/>
          <w:szCs w:val="28"/>
        </w:rPr>
        <w:t>网络安全等级保护</w:t>
      </w:r>
      <w:r>
        <w:rPr>
          <w:rFonts w:ascii="仿宋" w:hAnsi="仿宋" w:eastAsia="仿宋"/>
          <w:szCs w:val="28"/>
        </w:rPr>
        <w:t>相关原则与标准，构建完善的网络安全保障系统，实现“安全强化、合规达标”的核心诉求。具体目标包括：</w:t>
      </w:r>
    </w:p>
    <w:p>
      <w:pPr>
        <w:tabs>
          <w:tab w:val="left" w:pos="720"/>
        </w:tabs>
        <w:ind w:firstLine="560"/>
        <w:rPr>
          <w:rFonts w:hint="eastAsia" w:ascii="仿宋" w:hAnsi="仿宋" w:eastAsia="仿宋"/>
          <w:szCs w:val="28"/>
        </w:rPr>
      </w:pPr>
      <w:r>
        <w:rPr>
          <w:rFonts w:ascii="仿宋" w:hAnsi="仿宋" w:eastAsia="仿宋"/>
          <w:szCs w:val="28"/>
        </w:rPr>
        <w:t>合规达标落地：严格按照</w:t>
      </w:r>
      <w:r>
        <w:rPr>
          <w:rFonts w:hint="eastAsia" w:ascii="仿宋" w:hAnsi="仿宋" w:eastAsia="仿宋"/>
          <w:szCs w:val="28"/>
        </w:rPr>
        <w:t>网络安全等级保护三级以及</w:t>
      </w:r>
      <w:bookmarkStart w:id="18" w:name="OLE_LINK20"/>
      <w:r>
        <w:rPr>
          <w:rFonts w:hint="eastAsia" w:ascii="仿宋" w:hAnsi="仿宋" w:eastAsia="仿宋"/>
          <w:szCs w:val="28"/>
        </w:rPr>
        <w:t>商用密码应用安全性评估三级</w:t>
      </w:r>
      <w:r>
        <w:rPr>
          <w:rFonts w:ascii="仿宋" w:hAnsi="仿宋" w:eastAsia="仿宋"/>
          <w:szCs w:val="28"/>
        </w:rPr>
        <w:t>要求</w:t>
      </w:r>
      <w:bookmarkEnd w:id="18"/>
      <w:r>
        <w:rPr>
          <w:rFonts w:ascii="仿宋" w:hAnsi="仿宋" w:eastAsia="仿宋"/>
          <w:szCs w:val="28"/>
        </w:rPr>
        <w:t>，完成安全防护体系搭建与优化，确保系统完全满足等级防护合规标准，</w:t>
      </w:r>
      <w:r>
        <w:rPr>
          <w:rFonts w:hint="eastAsia" w:ascii="仿宋" w:hAnsi="仿宋" w:eastAsia="仿宋"/>
          <w:szCs w:val="28"/>
        </w:rPr>
        <w:t>使长宁档案信息网、“一网通办”电子档案管理系统、馆藏档案资源管理系统、综合业务信息管理平台</w:t>
      </w:r>
      <w:r>
        <w:rPr>
          <w:rFonts w:ascii="仿宋" w:hAnsi="仿宋" w:eastAsia="仿宋"/>
          <w:szCs w:val="28"/>
        </w:rPr>
        <w:t>顺利通过合规测评。</w:t>
      </w:r>
    </w:p>
    <w:p>
      <w:pPr>
        <w:tabs>
          <w:tab w:val="left" w:pos="720"/>
        </w:tabs>
        <w:ind w:firstLine="560"/>
        <w:rPr>
          <w:rFonts w:hint="eastAsia" w:ascii="仿宋" w:hAnsi="仿宋" w:eastAsia="仿宋"/>
          <w:szCs w:val="28"/>
        </w:rPr>
      </w:pPr>
      <w:r>
        <w:rPr>
          <w:rFonts w:ascii="仿宋" w:hAnsi="仿宋" w:eastAsia="仿宋"/>
          <w:szCs w:val="28"/>
        </w:rPr>
        <w:t>安全能力提升：全面提升系统安全预警、安全防御、应急处置和灾难恢复四大核心能力，建立全流程安全管控体系，有效抵御各类网络安全威胁。</w:t>
      </w:r>
    </w:p>
    <w:p>
      <w:pPr>
        <w:tabs>
          <w:tab w:val="left" w:pos="720"/>
        </w:tabs>
        <w:ind w:firstLine="560"/>
        <w:rPr>
          <w:rFonts w:hint="eastAsia" w:ascii="仿宋" w:hAnsi="仿宋" w:eastAsia="仿宋"/>
          <w:szCs w:val="28"/>
        </w:rPr>
      </w:pPr>
      <w:r>
        <w:rPr>
          <w:rFonts w:ascii="仿宋" w:hAnsi="仿宋" w:eastAsia="仿宋"/>
          <w:szCs w:val="28"/>
        </w:rPr>
        <w:t>应用安全保障：聚焦档案管理核心应用场景，强化应用层安全防护，防范非法访问、数据泄露、篡改等安全风险，保障应用系统安全稳定运行。</w:t>
      </w:r>
    </w:p>
    <w:p>
      <w:pPr>
        <w:tabs>
          <w:tab w:val="left" w:pos="720"/>
        </w:tabs>
        <w:ind w:firstLine="560"/>
        <w:rPr>
          <w:rFonts w:hint="eastAsia" w:ascii="仿宋" w:hAnsi="仿宋" w:eastAsia="仿宋"/>
          <w:szCs w:val="28"/>
        </w:rPr>
      </w:pPr>
      <w:r>
        <w:rPr>
          <w:rFonts w:ascii="仿宋" w:hAnsi="仿宋" w:eastAsia="仿宋"/>
          <w:szCs w:val="28"/>
        </w:rPr>
        <w:t>安全体系完善：建立健全安全管理制度、技术防护体系与人员责任体系，形成“制度+技术+人员”三位一体的安全保障模式，实现安全管理的规范化、常态化。</w:t>
      </w:r>
    </w:p>
    <w:p>
      <w:pPr>
        <w:ind w:firstLine="560"/>
        <w:rPr>
          <w:rFonts w:hint="eastAsia" w:ascii="仿宋" w:hAnsi="仿宋" w:eastAsia="仿宋"/>
        </w:rPr>
      </w:pPr>
    </w:p>
    <w:p>
      <w:pPr>
        <w:pStyle w:val="3"/>
        <w:rPr>
          <w:rFonts w:hint="eastAsia" w:ascii="仿宋" w:hAnsi="仿宋" w:eastAsia="仿宋"/>
        </w:rPr>
      </w:pPr>
      <w:r>
        <w:rPr>
          <w:rFonts w:hint="eastAsia" w:ascii="仿宋" w:hAnsi="仿宋" w:eastAsia="仿宋"/>
        </w:rPr>
        <w:t>建设</w:t>
      </w:r>
      <w:r>
        <w:rPr>
          <w:rFonts w:ascii="仿宋" w:hAnsi="仿宋" w:eastAsia="仿宋"/>
        </w:rPr>
        <w:t>指标</w:t>
      </w:r>
    </w:p>
    <w:p>
      <w:pPr>
        <w:pStyle w:val="4"/>
        <w:rPr>
          <w:rFonts w:hint="eastAsia" w:ascii="仿宋" w:hAnsi="仿宋" w:eastAsia="仿宋"/>
        </w:rPr>
      </w:pPr>
      <w:r>
        <w:rPr>
          <w:rFonts w:hint="eastAsia" w:ascii="仿宋" w:hAnsi="仿宋" w:eastAsia="仿宋"/>
        </w:rPr>
        <w:t>长宁区数字档案馆定制软件开发</w:t>
      </w:r>
    </w:p>
    <w:p>
      <w:pPr>
        <w:ind w:firstLine="560"/>
        <w:rPr>
          <w:rFonts w:hint="eastAsia" w:ascii="仿宋" w:hAnsi="仿宋" w:eastAsia="仿宋"/>
          <w:szCs w:val="28"/>
        </w:rPr>
      </w:pPr>
      <w:r>
        <w:rPr>
          <w:rFonts w:hint="eastAsia" w:ascii="仿宋" w:hAnsi="仿宋" w:eastAsia="仿宋"/>
        </w:rPr>
        <w:t>长宁区数字档案馆定制软件开发</w:t>
      </w:r>
      <w:r>
        <w:rPr>
          <w:rFonts w:hint="eastAsia" w:ascii="仿宋" w:hAnsi="仿宋" w:eastAsia="仿宋"/>
          <w:szCs w:val="28"/>
        </w:rPr>
        <w:t>设计以原有软件系统为基础，开展升级改造及定制开发，核心性能指标围绕系统兼容性、升级稳定性、定制适配性三大维度展开，具体内容如下：</w:t>
      </w:r>
    </w:p>
    <w:p>
      <w:pPr>
        <w:ind w:firstLine="560"/>
        <w:rPr>
          <w:rFonts w:hint="eastAsia" w:ascii="仿宋" w:hAnsi="仿宋" w:eastAsia="仿宋"/>
          <w:szCs w:val="28"/>
        </w:rPr>
      </w:pPr>
      <w:r>
        <w:rPr>
          <w:rFonts w:hint="eastAsia" w:ascii="仿宋" w:hAnsi="仿宋" w:eastAsia="仿宋"/>
          <w:szCs w:val="28"/>
        </w:rPr>
        <w:t>兼容性适配：升级改造需完全兼容原有软件的核心架构、数据格式及业务流程，确保升级后原有系统数据不丢失、历史操作记录可追溯，无需对原有基础数据进行二次迁移或格式转换，兼容原有系统的硬件运行环境及周边关联接口，避免出现系统冲突、数据错乱等问题。</w:t>
      </w:r>
    </w:p>
    <w:p>
      <w:pPr>
        <w:ind w:firstLine="560"/>
        <w:rPr>
          <w:rFonts w:hint="eastAsia" w:ascii="仿宋" w:hAnsi="仿宋" w:eastAsia="仿宋"/>
          <w:szCs w:val="28"/>
        </w:rPr>
      </w:pPr>
      <w:r>
        <w:rPr>
          <w:rFonts w:hint="eastAsia" w:ascii="仿宋" w:hAnsi="仿宋" w:eastAsia="仿宋"/>
          <w:szCs w:val="28"/>
        </w:rPr>
        <w:t>升级平滑性：升级过程需实现无缝衔接，在不中断现有业务正常开展的前提下完成升级部署，升级时长控制在合理范围，升级后系统可快速启动，无需额外重启硬件设备，确保核心业务不受影响。</w:t>
      </w:r>
    </w:p>
    <w:p>
      <w:pPr>
        <w:ind w:firstLine="560"/>
        <w:rPr>
          <w:rFonts w:hint="eastAsia" w:ascii="仿宋" w:hAnsi="仿宋" w:eastAsia="仿宋"/>
          <w:szCs w:val="28"/>
        </w:rPr>
      </w:pPr>
      <w:r>
        <w:rPr>
          <w:rFonts w:hint="eastAsia" w:ascii="仿宋" w:hAnsi="仿宋" w:eastAsia="仿宋"/>
          <w:szCs w:val="28"/>
        </w:rPr>
        <w:t>系统响应性能：升级后系统核心业务操作响应时间≤1秒，信息检索（含模糊检索、精准检索）响应时间≤3秒，批量导出等操作响应时间≤10秒，避免出现卡顿、延迟等影响业务效率的情况。</w:t>
      </w:r>
    </w:p>
    <w:p>
      <w:pPr>
        <w:ind w:firstLine="560"/>
        <w:rPr>
          <w:rFonts w:hint="eastAsia" w:ascii="仿宋" w:hAnsi="仿宋" w:eastAsia="仿宋"/>
          <w:szCs w:val="28"/>
        </w:rPr>
      </w:pPr>
      <w:r>
        <w:rPr>
          <w:rFonts w:hint="eastAsia" w:ascii="仿宋" w:hAnsi="仿宋" w:eastAsia="仿宋"/>
          <w:szCs w:val="28"/>
        </w:rPr>
        <w:t>并发处理能力：优化系统并发架构，升级后支持至少50名用户同时在线操作，峰值并发场景下系统运行稳定，无崩溃、数据丢失现象。</w:t>
      </w:r>
    </w:p>
    <w:p>
      <w:pPr>
        <w:ind w:firstLine="560"/>
        <w:rPr>
          <w:rFonts w:hint="eastAsia" w:ascii="仿宋" w:hAnsi="仿宋" w:eastAsia="仿宋"/>
          <w:szCs w:val="28"/>
        </w:rPr>
      </w:pPr>
      <w:r>
        <w:rPr>
          <w:rFonts w:hint="eastAsia" w:ascii="仿宋" w:hAnsi="仿宋" w:eastAsia="仿宋"/>
          <w:szCs w:val="28"/>
        </w:rPr>
        <w:t>定制功能适配性：定制开发功能需精准匹配长宁区数字档案馆实际业务需求，与原有系统功能无缝融合。</w:t>
      </w:r>
    </w:p>
    <w:p>
      <w:pPr>
        <w:ind w:firstLine="560"/>
        <w:rPr>
          <w:rFonts w:hint="eastAsia" w:ascii="仿宋" w:hAnsi="仿宋" w:eastAsia="仿宋"/>
          <w:szCs w:val="28"/>
        </w:rPr>
      </w:pPr>
      <w:r>
        <w:rPr>
          <w:rFonts w:hint="eastAsia" w:ascii="仿宋" w:hAnsi="仿宋" w:eastAsia="仿宋"/>
          <w:szCs w:val="28"/>
        </w:rPr>
        <w:t>功能扩展性：定制开发部分需预留可扩展接口，支持后续新增业务功能、对接第三方系统，扩展过程无需对原有升级模块进行大规模修改，降低后续维护及升级成本。</w:t>
      </w:r>
    </w:p>
    <w:p>
      <w:pPr>
        <w:ind w:firstLine="560"/>
        <w:rPr>
          <w:rFonts w:hint="eastAsia" w:ascii="仿宋" w:hAnsi="仿宋" w:eastAsia="仿宋"/>
          <w:szCs w:val="28"/>
        </w:rPr>
      </w:pPr>
    </w:p>
    <w:p>
      <w:pPr>
        <w:pStyle w:val="4"/>
        <w:rPr>
          <w:rFonts w:hint="eastAsia" w:ascii="仿宋" w:hAnsi="仿宋" w:eastAsia="仿宋"/>
        </w:rPr>
      </w:pPr>
      <w:r>
        <w:rPr>
          <w:rFonts w:hint="eastAsia" w:ascii="仿宋" w:hAnsi="仿宋" w:eastAsia="仿宋"/>
        </w:rPr>
        <w:t>软件开发配套硬件设备建设</w:t>
      </w:r>
    </w:p>
    <w:p>
      <w:pPr>
        <w:ind w:firstLine="560"/>
        <w:rPr>
          <w:rFonts w:hint="eastAsia" w:ascii="仿宋" w:hAnsi="仿宋" w:eastAsia="仿宋"/>
          <w:szCs w:val="28"/>
        </w:rPr>
      </w:pPr>
      <w:r>
        <w:rPr>
          <w:rFonts w:hint="eastAsia" w:ascii="仿宋" w:hAnsi="仿宋" w:eastAsia="仿宋"/>
        </w:rPr>
        <w:t>确保硬件设备与升级后软件平台深度融合、同频联动，为软件功能落地提供坚实支撑，实现“软硬一体”协同运行，全面保障数字档案馆业务高效、安全、稳定开展。</w:t>
      </w:r>
    </w:p>
    <w:p>
      <w:pPr>
        <w:ind w:firstLine="560"/>
        <w:rPr>
          <w:rFonts w:hint="eastAsia" w:ascii="仿宋" w:hAnsi="仿宋" w:eastAsia="仿宋"/>
          <w:szCs w:val="28"/>
        </w:rPr>
      </w:pPr>
      <w:r>
        <w:rPr>
          <w:rFonts w:hint="eastAsia" w:ascii="仿宋" w:hAnsi="仿宋" w:eastAsia="仿宋"/>
          <w:szCs w:val="28"/>
        </w:rPr>
        <w:t>兼容</w:t>
      </w:r>
      <w:r>
        <w:rPr>
          <w:rFonts w:ascii="仿宋" w:hAnsi="仿宋" w:eastAsia="仿宋"/>
          <w:szCs w:val="28"/>
        </w:rPr>
        <w:t>适配性：所有硬件设备需与本次升级改造的“长宁区数字档案馆综合业务信息管理平台”及定制软件全功能兼容，支持软件各项功能高效落地，无兼容性故障。</w:t>
      </w:r>
    </w:p>
    <w:p>
      <w:pPr>
        <w:ind w:firstLine="560"/>
        <w:rPr>
          <w:rFonts w:hint="eastAsia" w:ascii="仿宋" w:hAnsi="仿宋" w:eastAsia="仿宋"/>
          <w:szCs w:val="28"/>
        </w:rPr>
      </w:pPr>
      <w:r>
        <w:rPr>
          <w:rFonts w:hint="eastAsia" w:ascii="仿宋" w:hAnsi="仿宋" w:eastAsia="仿宋"/>
          <w:szCs w:val="28"/>
        </w:rPr>
        <w:t>对接</w:t>
      </w:r>
      <w:r>
        <w:rPr>
          <w:rFonts w:ascii="仿宋" w:hAnsi="仿宋" w:eastAsia="仿宋"/>
          <w:szCs w:val="28"/>
        </w:rPr>
        <w:t>协同性：硬件设备与软件系统、各硬件设备之间实现无缝对接，支持数据实时传输、指令快速响应，确保软件功能与硬件性能精准匹配，协同发挥作用。</w:t>
      </w:r>
    </w:p>
    <w:p>
      <w:pPr>
        <w:ind w:firstLine="560"/>
        <w:rPr>
          <w:rFonts w:hint="eastAsia" w:ascii="仿宋" w:hAnsi="仿宋" w:eastAsia="仿宋"/>
          <w:szCs w:val="28"/>
        </w:rPr>
      </w:pPr>
      <w:r>
        <w:rPr>
          <w:rFonts w:hint="eastAsia" w:ascii="仿宋" w:hAnsi="仿宋" w:eastAsia="仿宋"/>
          <w:szCs w:val="28"/>
        </w:rPr>
        <w:t>系统</w:t>
      </w:r>
      <w:r>
        <w:rPr>
          <w:rFonts w:ascii="仿宋" w:hAnsi="仿宋" w:eastAsia="仿宋"/>
          <w:szCs w:val="28"/>
        </w:rPr>
        <w:t>可靠性：硬件设备运行稳定，平均无故障运行时间满足项目长期运营需求，具备冗余备份、故障快速恢复能力，避免因硬件故障导致软件功能中断、数据丢失。</w:t>
      </w:r>
    </w:p>
    <w:p>
      <w:pPr>
        <w:ind w:firstLine="560"/>
        <w:rPr>
          <w:rFonts w:hint="eastAsia" w:ascii="仿宋" w:hAnsi="仿宋" w:eastAsia="仿宋"/>
          <w:szCs w:val="28"/>
        </w:rPr>
      </w:pPr>
      <w:r>
        <w:rPr>
          <w:rFonts w:hint="eastAsia" w:ascii="仿宋" w:hAnsi="仿宋" w:eastAsia="仿宋"/>
          <w:szCs w:val="28"/>
        </w:rPr>
        <w:t>功能</w:t>
      </w:r>
      <w:r>
        <w:rPr>
          <w:rFonts w:ascii="仿宋" w:hAnsi="仿宋" w:eastAsia="仿宋"/>
          <w:szCs w:val="28"/>
        </w:rPr>
        <w:t>扩展性：硬件设备具备可扩展能力，支持后续软件功能升级、业务量增长及新设备接入，预留扩展接口，降低后期升级改造成本。</w:t>
      </w:r>
    </w:p>
    <w:p>
      <w:pPr>
        <w:ind w:firstLine="560"/>
        <w:rPr>
          <w:rFonts w:hint="eastAsia" w:ascii="仿宋" w:hAnsi="仿宋" w:eastAsia="仿宋"/>
          <w:szCs w:val="28"/>
        </w:rPr>
      </w:pPr>
      <w:r>
        <w:rPr>
          <w:rFonts w:hint="eastAsia" w:ascii="仿宋" w:hAnsi="仿宋" w:eastAsia="仿宋"/>
          <w:szCs w:val="28"/>
        </w:rPr>
        <w:t>标准</w:t>
      </w:r>
      <w:r>
        <w:rPr>
          <w:rFonts w:ascii="仿宋" w:hAnsi="仿宋" w:eastAsia="仿宋"/>
          <w:szCs w:val="28"/>
        </w:rPr>
        <w:t>合规性：所有硬件设备需符合国家相关行业标准、</w:t>
      </w:r>
      <w:r>
        <w:rPr>
          <w:rFonts w:hint="eastAsia" w:ascii="仿宋" w:hAnsi="仿宋" w:eastAsia="仿宋"/>
          <w:szCs w:val="28"/>
        </w:rPr>
        <w:t>国产化</w:t>
      </w:r>
      <w:r>
        <w:rPr>
          <w:rFonts w:ascii="仿宋" w:hAnsi="仿宋" w:eastAsia="仿宋"/>
          <w:szCs w:val="28"/>
        </w:rPr>
        <w:t>产业标准及档案馆设备管理相关规范，确保设备合规、可溯源。</w:t>
      </w:r>
    </w:p>
    <w:p>
      <w:pPr>
        <w:ind w:firstLine="560"/>
        <w:rPr>
          <w:rFonts w:hint="eastAsia" w:ascii="仿宋" w:hAnsi="仿宋" w:eastAsia="仿宋"/>
          <w:szCs w:val="28"/>
        </w:rPr>
      </w:pPr>
    </w:p>
    <w:p>
      <w:pPr>
        <w:pStyle w:val="4"/>
        <w:rPr>
          <w:rFonts w:hint="eastAsia" w:ascii="仿宋" w:hAnsi="仿宋" w:eastAsia="仿宋"/>
        </w:rPr>
      </w:pPr>
      <w:r>
        <w:rPr>
          <w:rFonts w:hint="eastAsia" w:ascii="仿宋" w:hAnsi="仿宋" w:eastAsia="仿宋"/>
        </w:rPr>
        <w:t>网络安全等级保护及商用密码应用建设</w:t>
      </w:r>
    </w:p>
    <w:p>
      <w:pPr>
        <w:ind w:firstLine="560"/>
        <w:rPr>
          <w:rFonts w:hint="eastAsia" w:ascii="仿宋" w:hAnsi="仿宋" w:eastAsia="仿宋"/>
          <w:szCs w:val="28"/>
        </w:rPr>
      </w:pPr>
      <w:r>
        <w:rPr>
          <w:rFonts w:hint="eastAsia" w:ascii="仿宋" w:hAnsi="仿宋" w:eastAsia="仿宋"/>
          <w:szCs w:val="28"/>
        </w:rPr>
        <w:t>本指标针对长宁区数字档案馆全面覆盖长宁档案信息网、“一网通办”电子档案管理系统、馆藏档案资源管理系统、综合业务信息管理平台四套系统，严格遵循《中华人民共和国密码法》《信息安全技术网络安全等级保护基本要求》（GB/T 22239-2019）、《信息安全技术网络安全等级保护测评要求》等相关法规标准，实现网络安全等级保护三级及商用密码应用三级合规达标。</w:t>
      </w:r>
    </w:p>
    <w:p>
      <w:pPr>
        <w:ind w:firstLine="560"/>
        <w:rPr>
          <w:rFonts w:hint="eastAsia" w:ascii="仿宋" w:hAnsi="仿宋" w:eastAsia="仿宋"/>
          <w:szCs w:val="28"/>
        </w:rPr>
      </w:pPr>
      <w:r>
        <w:rPr>
          <w:rFonts w:ascii="仿宋" w:hAnsi="仿宋" w:eastAsia="仿宋"/>
          <w:szCs w:val="28"/>
        </w:rPr>
        <w:t>系统可靠性：</w:t>
      </w:r>
      <w:r>
        <w:rPr>
          <w:rFonts w:hint="eastAsia" w:ascii="仿宋" w:hAnsi="仿宋" w:eastAsia="仿宋"/>
          <w:szCs w:val="28"/>
        </w:rPr>
        <w:t>信息</w:t>
      </w:r>
      <w:r>
        <w:rPr>
          <w:rFonts w:ascii="仿宋" w:hAnsi="仿宋" w:eastAsia="仿宋"/>
          <w:szCs w:val="28"/>
        </w:rPr>
        <w:t>安全及密码相关设备、系统运行稳定，平均无故障运行时间满足项目长期运营及安全防护需求，具备冗余备份、故障快速恢复能力，避免因安全设备或密码系统故障导致安全防护失效、业务中断、数据泄露或篡改。</w:t>
      </w:r>
    </w:p>
    <w:p>
      <w:pPr>
        <w:ind w:firstLine="560"/>
        <w:rPr>
          <w:rFonts w:hint="eastAsia" w:ascii="仿宋" w:hAnsi="仿宋" w:eastAsia="仿宋"/>
          <w:szCs w:val="28"/>
        </w:rPr>
      </w:pPr>
      <w:r>
        <w:rPr>
          <w:rFonts w:ascii="仿宋" w:hAnsi="仿宋" w:eastAsia="仿宋"/>
          <w:szCs w:val="28"/>
        </w:rPr>
        <w:t>功能扩展性：</w:t>
      </w:r>
      <w:r>
        <w:rPr>
          <w:rFonts w:hint="eastAsia" w:ascii="仿宋" w:hAnsi="仿宋" w:eastAsia="仿宋"/>
          <w:szCs w:val="28"/>
        </w:rPr>
        <w:t>网络安全等级保护</w:t>
      </w:r>
      <w:r>
        <w:rPr>
          <w:rFonts w:ascii="仿宋" w:hAnsi="仿宋" w:eastAsia="仿宋"/>
          <w:szCs w:val="28"/>
        </w:rPr>
        <w:t>及商用密码应用体系具备可扩展能力，支持后续软件功能升级、业务量增长、新安全需求及新设备接入，预留扩展接口，可灵活调整安全策略、密码应用方案，降低后期安全升级改造成本。</w:t>
      </w:r>
    </w:p>
    <w:p>
      <w:pPr>
        <w:ind w:firstLine="560"/>
        <w:rPr>
          <w:rFonts w:hint="eastAsia" w:ascii="仿宋" w:hAnsi="仿宋" w:eastAsia="仿宋"/>
          <w:szCs w:val="28"/>
        </w:rPr>
      </w:pPr>
      <w:r>
        <w:rPr>
          <w:rFonts w:ascii="仿宋" w:hAnsi="仿宋" w:eastAsia="仿宋"/>
          <w:szCs w:val="28"/>
        </w:rPr>
        <w:t>标准合规性：</w:t>
      </w:r>
      <w:r>
        <w:rPr>
          <w:rFonts w:hint="eastAsia" w:ascii="仿宋" w:hAnsi="仿宋" w:eastAsia="仿宋"/>
          <w:szCs w:val="28"/>
        </w:rPr>
        <w:t>网络安全等级保护</w:t>
      </w:r>
      <w:r>
        <w:rPr>
          <w:rFonts w:ascii="仿宋" w:hAnsi="仿宋" w:eastAsia="仿宋"/>
          <w:szCs w:val="28"/>
        </w:rPr>
        <w:t>建设严格遵循《信息安全技术网络安全等级保护基本要求》（GB/T 22239-2019）等相关标准，商用密码应用严格遵循《中华人民共和国密码法》《商用密码应用安全性评估规范》等法规标准，同时符合国家</w:t>
      </w:r>
      <w:r>
        <w:rPr>
          <w:rFonts w:hint="eastAsia" w:ascii="仿宋" w:hAnsi="仿宋" w:eastAsia="仿宋"/>
          <w:szCs w:val="28"/>
        </w:rPr>
        <w:t>国产化</w:t>
      </w:r>
      <w:r>
        <w:rPr>
          <w:rFonts w:ascii="仿宋" w:hAnsi="仿宋" w:eastAsia="仿宋"/>
          <w:szCs w:val="28"/>
        </w:rPr>
        <w:t>产业标准及档案馆安全管理相关规范，确保</w:t>
      </w:r>
      <w:r>
        <w:rPr>
          <w:rFonts w:hint="eastAsia" w:ascii="仿宋" w:hAnsi="仿宋" w:eastAsia="仿宋"/>
          <w:szCs w:val="28"/>
        </w:rPr>
        <w:t>信息</w:t>
      </w:r>
      <w:r>
        <w:rPr>
          <w:rFonts w:ascii="仿宋" w:hAnsi="仿宋" w:eastAsia="仿宋"/>
          <w:szCs w:val="28"/>
        </w:rPr>
        <w:t>安全防护、密码应用全流程合规、可溯源。</w:t>
      </w:r>
    </w:p>
    <w:p>
      <w:pPr>
        <w:ind w:firstLine="560"/>
        <w:rPr>
          <w:rFonts w:hint="eastAsia" w:ascii="仿宋" w:hAnsi="仿宋" w:eastAsia="仿宋"/>
          <w:szCs w:val="28"/>
        </w:rPr>
      </w:pPr>
      <w:r>
        <w:rPr>
          <w:rFonts w:ascii="仿宋" w:hAnsi="仿宋" w:eastAsia="仿宋"/>
          <w:szCs w:val="28"/>
        </w:rPr>
        <w:t>测评保障性：</w:t>
      </w:r>
      <w:r>
        <w:rPr>
          <w:rFonts w:hint="eastAsia" w:ascii="仿宋" w:hAnsi="仿宋" w:eastAsia="仿宋"/>
          <w:szCs w:val="28"/>
        </w:rPr>
        <w:t>供应商需配合长宁区数字档案馆顺利通过具有合法资质的第三方机构开展的网络安全等级保护三级测评以及商用密码应用三级安全性评估，确保第三方机构可出具合格测评报告；若因供应商原因导致测评未通过，供应商需无偿进行整改优化，直至通过测评并取得合格报告，相关整改费用由供应商承担。</w:t>
      </w:r>
    </w:p>
    <w:p>
      <w:pPr>
        <w:ind w:firstLine="560"/>
        <w:rPr>
          <w:rFonts w:hint="eastAsia" w:ascii="仿宋" w:hAnsi="仿宋" w:eastAsia="仿宋"/>
          <w:szCs w:val="28"/>
        </w:rPr>
      </w:pPr>
    </w:p>
    <w:p>
      <w:pPr>
        <w:pStyle w:val="2"/>
        <w:rPr>
          <w:rFonts w:hint="eastAsia" w:ascii="仿宋" w:hAnsi="仿宋" w:eastAsia="仿宋"/>
        </w:rPr>
      </w:pPr>
      <w:bookmarkStart w:id="19" w:name="_Toc47539102"/>
      <w:bookmarkEnd w:id="19"/>
      <w:bookmarkStart w:id="20" w:name="_Toc47537166"/>
      <w:bookmarkEnd w:id="20"/>
      <w:bookmarkStart w:id="21" w:name="_Toc47532923"/>
      <w:bookmarkEnd w:id="21"/>
      <w:bookmarkStart w:id="22" w:name="_Toc47533288"/>
      <w:bookmarkEnd w:id="22"/>
      <w:bookmarkStart w:id="23" w:name="_Toc47536676"/>
      <w:bookmarkEnd w:id="23"/>
      <w:bookmarkStart w:id="24" w:name="_Toc47536304"/>
      <w:bookmarkEnd w:id="24"/>
      <w:r>
        <w:rPr>
          <w:rFonts w:ascii="仿宋" w:hAnsi="仿宋" w:eastAsia="仿宋"/>
        </w:rPr>
        <w:t>项目建设内容</w:t>
      </w:r>
    </w:p>
    <w:p>
      <w:pPr>
        <w:pStyle w:val="3"/>
        <w:rPr>
          <w:rFonts w:hint="eastAsia" w:ascii="仿宋" w:hAnsi="仿宋" w:eastAsia="仿宋"/>
        </w:rPr>
      </w:pPr>
      <w:r>
        <w:rPr>
          <w:rFonts w:hint="eastAsia" w:ascii="仿宋" w:hAnsi="仿宋" w:eastAsia="仿宋"/>
        </w:rPr>
        <w:t>现有建设情况</w:t>
      </w:r>
    </w:p>
    <w:p>
      <w:pPr>
        <w:ind w:left="560" w:leftChars="200" w:firstLine="0" w:firstLineChars="0"/>
        <w:jc w:val="left"/>
        <w:rPr>
          <w:rFonts w:hint="eastAsia" w:ascii="仿宋" w:hAnsi="仿宋" w:eastAsia="仿宋"/>
          <w:szCs w:val="28"/>
        </w:rPr>
      </w:pPr>
      <w:bookmarkStart w:id="25" w:name="OLE_LINK2"/>
      <w:bookmarkStart w:id="26" w:name="OLE_LINK19"/>
      <w:r>
        <w:rPr>
          <w:rFonts w:hint="eastAsia" w:ascii="仿宋" w:hAnsi="仿宋" w:eastAsia="仿宋"/>
          <w:szCs w:val="28"/>
        </w:rPr>
        <w:t>现</w:t>
      </w:r>
      <w:r>
        <w:rPr>
          <w:rFonts w:ascii="仿宋" w:hAnsi="仿宋" w:eastAsia="仿宋"/>
          <w:szCs w:val="28"/>
        </w:rPr>
        <w:t>有平台项目招</w:t>
      </w:r>
      <w:r>
        <w:rPr>
          <w:rFonts w:hint="eastAsia" w:ascii="仿宋" w:hAnsi="仿宋" w:eastAsia="仿宋"/>
          <w:szCs w:val="28"/>
        </w:rPr>
        <w:t>投</w:t>
      </w:r>
      <w:r>
        <w:rPr>
          <w:rFonts w:ascii="仿宋" w:hAnsi="仿宋" w:eastAsia="仿宋"/>
          <w:szCs w:val="28"/>
        </w:rPr>
        <w:t>标</w:t>
      </w:r>
      <w:r>
        <w:rPr>
          <w:rFonts w:hint="eastAsia" w:ascii="仿宋" w:hAnsi="仿宋" w:eastAsia="仿宋"/>
          <w:szCs w:val="28"/>
        </w:rPr>
        <w:t>情况</w:t>
      </w:r>
      <w:r>
        <w:rPr>
          <w:rFonts w:ascii="仿宋" w:hAnsi="仿宋" w:eastAsia="仿宋"/>
          <w:szCs w:val="28"/>
        </w:rPr>
        <w:t>可参考以下网址</w:t>
      </w:r>
      <w:r>
        <w:rPr>
          <w:rFonts w:hint="eastAsia" w:ascii="仿宋" w:hAnsi="仿宋" w:eastAsia="仿宋"/>
          <w:szCs w:val="28"/>
        </w:rPr>
        <w:t>：</w:t>
      </w:r>
      <w:bookmarkStart w:id="27" w:name="OLE_LINK1"/>
    </w:p>
    <w:p>
      <w:pPr>
        <w:ind w:firstLine="560"/>
        <w:jc w:val="left"/>
        <w:rPr>
          <w:rFonts w:hint="eastAsia" w:ascii="仿宋" w:hAnsi="仿宋" w:eastAsia="仿宋"/>
          <w:szCs w:val="28"/>
        </w:rPr>
      </w:pPr>
      <w:bookmarkStart w:id="28" w:name="OLE_LINK25"/>
      <w:r>
        <w:rPr>
          <w:rFonts w:hint="eastAsia" w:ascii="仿宋" w:hAnsi="仿宋" w:eastAsia="仿宋"/>
          <w:szCs w:val="28"/>
        </w:rPr>
        <w:fldChar w:fldCharType="begin"/>
      </w:r>
      <w:r>
        <w:rPr>
          <w:rFonts w:ascii="仿宋" w:hAnsi="仿宋" w:eastAsia="仿宋"/>
          <w:szCs w:val="28"/>
        </w:rPr>
        <w:instrText xml:space="preserve">HYPERLINK "https://www.ccgp.gov.cn/cggg/dfgg/jzxcs/202406/t20240612_22342394.htm"</w:instrText>
      </w:r>
      <w:r>
        <w:rPr>
          <w:rFonts w:hint="eastAsia" w:ascii="仿宋" w:hAnsi="仿宋" w:eastAsia="仿宋"/>
          <w:szCs w:val="28"/>
        </w:rPr>
        <w:fldChar w:fldCharType="separate"/>
      </w:r>
      <w:r>
        <w:t>https://www.ccgp.gov.cn/cggg/dfgg/jzxcs/202406/t20240612_22342394.htm</w:t>
      </w:r>
      <w:r>
        <w:rPr>
          <w:rFonts w:hint="eastAsia" w:ascii="仿宋" w:hAnsi="仿宋" w:eastAsia="仿宋"/>
          <w:szCs w:val="28"/>
        </w:rPr>
        <w:fldChar w:fldCharType="end"/>
      </w:r>
      <w:bookmarkEnd w:id="25"/>
      <w:bookmarkEnd w:id="27"/>
    </w:p>
    <w:bookmarkEnd w:id="28"/>
    <w:p>
      <w:pPr>
        <w:ind w:firstLine="560"/>
        <w:jc w:val="left"/>
        <w:rPr>
          <w:rFonts w:hint="eastAsia" w:ascii="仿宋" w:hAnsi="仿宋" w:eastAsia="仿宋"/>
          <w:szCs w:val="28"/>
        </w:rPr>
      </w:pPr>
      <w:bookmarkStart w:id="29" w:name="OLE_LINK6"/>
      <w:r>
        <w:rPr>
          <w:rFonts w:ascii="仿宋" w:hAnsi="仿宋" w:eastAsia="仿宋"/>
          <w:szCs w:val="28"/>
        </w:rPr>
        <w:t>https://www.ccgp.gov.cn/cggg/dfgg/cjgg/202406/t20240625_22464905.htm</w:t>
      </w:r>
    </w:p>
    <w:bookmarkEnd w:id="29"/>
    <w:p>
      <w:pPr>
        <w:ind w:firstLine="560"/>
        <w:rPr>
          <w:rFonts w:hint="eastAsia" w:ascii="仿宋" w:hAnsi="仿宋" w:eastAsia="仿宋"/>
          <w:szCs w:val="28"/>
        </w:rPr>
      </w:pPr>
      <w:r>
        <w:rPr>
          <w:rFonts w:hint="eastAsia" w:ascii="仿宋" w:hAnsi="仿宋" w:eastAsia="仿宋"/>
          <w:szCs w:val="28"/>
        </w:rPr>
        <w:t>现有平台将档案馆新馆中的安防各子系统、智能化系统进行统一融合，通过大数据平台打通信息化和智能化之间的壁垒，使现有各系统碎片化管理实现集中监管及联动。</w:t>
      </w:r>
    </w:p>
    <w:p>
      <w:pPr>
        <w:ind w:firstLine="560"/>
        <w:rPr>
          <w:rFonts w:hint="eastAsia" w:ascii="仿宋" w:hAnsi="仿宋" w:eastAsia="仿宋"/>
          <w:szCs w:val="28"/>
        </w:rPr>
      </w:pPr>
      <w:r>
        <w:rPr>
          <w:rFonts w:hint="eastAsia" w:ascii="仿宋" w:hAnsi="仿宋" w:eastAsia="仿宋"/>
          <w:szCs w:val="28"/>
        </w:rPr>
        <w:t>结合档案馆实际情况以多元化、多方位、定制化、模块化对各个领域进行细化，继而通过可视化平台实现实时监控、预警通知、数据分析、协调指挥等功能，最大程度保障新馆人员和资产安全。</w:t>
      </w:r>
    </w:p>
    <w:p>
      <w:pPr>
        <w:ind w:firstLine="562"/>
        <w:rPr>
          <w:rFonts w:hint="eastAsia" w:ascii="仿宋" w:hAnsi="仿宋" w:eastAsia="仿宋"/>
          <w:b/>
          <w:bCs/>
          <w:szCs w:val="28"/>
        </w:rPr>
      </w:pPr>
      <w:r>
        <w:rPr>
          <w:rFonts w:hint="eastAsia" w:ascii="仿宋" w:hAnsi="仿宋" w:eastAsia="仿宋"/>
          <w:b/>
          <w:bCs/>
          <w:szCs w:val="28"/>
        </w:rPr>
        <w:t>以下是系统模块清单：</w:t>
      </w:r>
    </w:p>
    <w:tbl>
      <w:tblPr>
        <w:tblStyle w:val="35"/>
        <w:tblW w:w="82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0"/>
        <w:gridCol w:w="580"/>
        <w:gridCol w:w="1984"/>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jc w:val="center"/>
              <w:rPr>
                <w:rFonts w:hint="eastAsia" w:cs="宋体"/>
                <w:kern w:val="0"/>
                <w:sz w:val="24"/>
              </w:rPr>
            </w:pPr>
            <w:r>
              <w:rPr>
                <w:rFonts w:hint="eastAsia" w:cs="宋体"/>
                <w:kern w:val="0"/>
                <w:sz w:val="24"/>
              </w:rPr>
              <w:t>序号</w:t>
            </w:r>
          </w:p>
        </w:tc>
        <w:tc>
          <w:tcPr>
            <w:tcW w:w="580" w:type="dxa"/>
            <w:vAlign w:val="center"/>
          </w:tcPr>
          <w:p>
            <w:pPr>
              <w:spacing w:line="240" w:lineRule="auto"/>
              <w:ind w:firstLine="0" w:firstLineChars="0"/>
              <w:jc w:val="center"/>
              <w:rPr>
                <w:rFonts w:hint="eastAsia" w:cs="宋体"/>
                <w:kern w:val="0"/>
                <w:sz w:val="24"/>
              </w:rPr>
            </w:pPr>
            <w:r>
              <w:rPr>
                <w:rFonts w:hint="eastAsia" w:cs="宋体"/>
                <w:kern w:val="0"/>
                <w:sz w:val="24"/>
              </w:rPr>
              <w:t>模块</w:t>
            </w:r>
          </w:p>
        </w:tc>
        <w:tc>
          <w:tcPr>
            <w:tcW w:w="1984" w:type="dxa"/>
            <w:vAlign w:val="center"/>
          </w:tcPr>
          <w:p>
            <w:pPr>
              <w:spacing w:line="240" w:lineRule="auto"/>
              <w:ind w:firstLine="0" w:firstLineChars="0"/>
              <w:jc w:val="center"/>
              <w:rPr>
                <w:rFonts w:hint="eastAsia" w:cs="宋体"/>
                <w:kern w:val="0"/>
                <w:sz w:val="24"/>
              </w:rPr>
            </w:pPr>
            <w:r>
              <w:rPr>
                <w:rFonts w:hint="eastAsia" w:cs="宋体"/>
                <w:kern w:val="0"/>
                <w:sz w:val="24"/>
              </w:rPr>
              <w:t>子模块</w:t>
            </w:r>
          </w:p>
        </w:tc>
        <w:tc>
          <w:tcPr>
            <w:tcW w:w="5330" w:type="dxa"/>
            <w:vAlign w:val="center"/>
          </w:tcPr>
          <w:p>
            <w:pPr>
              <w:spacing w:line="240" w:lineRule="auto"/>
              <w:ind w:firstLine="0" w:firstLineChars="0"/>
              <w:jc w:val="center"/>
              <w:rPr>
                <w:rFonts w:hint="eastAsia" w:cs="宋体"/>
                <w:kern w:val="0"/>
                <w:sz w:val="24"/>
              </w:rPr>
            </w:pPr>
            <w:r>
              <w:rPr>
                <w:rFonts w:hint="eastAsia" w:cs="宋体"/>
                <w:kern w:val="0"/>
                <w:sz w:val="24"/>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w:t>
            </w:r>
          </w:p>
        </w:tc>
        <w:tc>
          <w:tcPr>
            <w:tcW w:w="580" w:type="dxa"/>
            <w:vAlign w:val="center"/>
          </w:tcPr>
          <w:p>
            <w:pPr>
              <w:spacing w:line="240" w:lineRule="auto"/>
              <w:ind w:firstLine="0" w:firstLineChars="0"/>
              <w:rPr>
                <w:rFonts w:hint="eastAsia" w:cs="宋体"/>
                <w:kern w:val="0"/>
                <w:sz w:val="24"/>
              </w:rPr>
            </w:pPr>
            <w:r>
              <w:rPr>
                <w:rFonts w:hint="eastAsia" w:cs="宋体"/>
                <w:kern w:val="0"/>
                <w:sz w:val="24"/>
              </w:rPr>
              <w:t>平台首页</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首页</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显示“平安档案馆”、“绿色档案馆”、“空间全感知”、“一屏知全馆”四大模块的重点数据；可以分别进入四大模块页面。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w:t>
            </w:r>
          </w:p>
        </w:tc>
        <w:tc>
          <w:tcPr>
            <w:tcW w:w="580" w:type="dxa"/>
            <w:vMerge w:val="restart"/>
            <w:vAlign w:val="center"/>
          </w:tcPr>
          <w:p>
            <w:pPr>
              <w:spacing w:line="240" w:lineRule="auto"/>
              <w:ind w:firstLine="0" w:firstLineChars="0"/>
              <w:rPr>
                <w:rFonts w:hint="eastAsia" w:cs="宋体"/>
                <w:kern w:val="0"/>
                <w:sz w:val="24"/>
              </w:rPr>
            </w:pPr>
            <w:r>
              <w:rPr>
                <w:rFonts w:hint="eastAsia" w:cs="宋体"/>
                <w:kern w:val="0"/>
                <w:sz w:val="24"/>
              </w:rPr>
              <w:t>平安档案馆</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平安档案馆首页</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显示各个系统的实时监控画面和相关重要信息状态，可以分别进入二级页面。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监控点位呈现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（出入口、走道区域、公共场所等重点区域）摄像机点位展示、状态、信息。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实时监控画面呈现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实时呈现重点区域监控摄像画面。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5</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监控数据统计</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安防监控系统数据统计，如摄像头数量、在线情况等。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6</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访客接待数据统计</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相关访客数据统计。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7</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巡更系统对接</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显示人员的巡逻排期、巡逻状态等信息。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8</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门禁点位呈现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重要出入口门禁点位展示、状态、信息。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9</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门禁记录呈现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显示门禁的进出记录，包括时间、人员、刷卡记录等信息。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10</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门禁报警信息</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门禁异常报警提示。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11</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门禁数据统计</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门禁系统数据统计，如通行次数、报警次数等。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12</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报警信息提示</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显示报警的来源系统（如安防监控系统、门禁系统、消防系统等）、相关楼层、简要信息等。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13</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报警类型呈现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根据报警的来源和性质，对报警进行分类，如非法闯入、火灾等。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14</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报警状态呈现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标识报警的当前状态，如未处理、处理中、已处理等。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15</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报警详情呈现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提供报警的详细信息，如发生时间、地点等。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16</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报警数据统计</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对报警进行统计和分析，如报警次数、处理时长等。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17</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报警定位呈现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结合平面图，显示报警地点的位置信息，帮助快速定位和响应。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18</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可视化提示</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提供可视化提示功能，当有新的报警发生时，可以通过颜色的变化等方式提醒管理人员。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19</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查询和筛选功能</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提供查询和筛选功能，管理人员管理人员可以根据时间、报警类型、报警状态等条件进行查询和筛选。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20</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各系统联动</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各点位报警信息可以与安防系统联动，查看报警点位周边监控画面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21</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报警信息推送</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子系统报警信息可推送到指定人员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22</w:t>
            </w:r>
          </w:p>
        </w:tc>
        <w:tc>
          <w:tcPr>
            <w:tcW w:w="580" w:type="dxa"/>
            <w:vMerge w:val="restart"/>
            <w:vAlign w:val="center"/>
          </w:tcPr>
          <w:p>
            <w:pPr>
              <w:spacing w:line="240" w:lineRule="auto"/>
              <w:ind w:firstLine="0" w:firstLineChars="0"/>
              <w:rPr>
                <w:rFonts w:hint="eastAsia" w:cs="宋体"/>
                <w:kern w:val="0"/>
                <w:sz w:val="24"/>
              </w:rPr>
            </w:pPr>
            <w:r>
              <w:rPr>
                <w:rFonts w:hint="eastAsia" w:cs="宋体"/>
                <w:kern w:val="0"/>
                <w:sz w:val="24"/>
              </w:rPr>
              <w:t>绿色档案馆</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绿色档案馆首页</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显示BA管理系统的各个重要信息展示。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23</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BA管理系统画面呈现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对接BA管理系统，如水、电、风等能耗，并实现画面呈现。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24</w:t>
            </w:r>
          </w:p>
        </w:tc>
        <w:tc>
          <w:tcPr>
            <w:tcW w:w="580" w:type="dxa"/>
            <w:vMerge w:val="restart"/>
            <w:vAlign w:val="center"/>
          </w:tcPr>
          <w:p>
            <w:pPr>
              <w:spacing w:line="240" w:lineRule="auto"/>
              <w:ind w:firstLine="0" w:firstLineChars="0"/>
              <w:rPr>
                <w:rFonts w:hint="eastAsia" w:cs="宋体"/>
                <w:kern w:val="0"/>
                <w:sz w:val="24"/>
              </w:rPr>
            </w:pPr>
            <w:r>
              <w:rPr>
                <w:rFonts w:hint="eastAsia" w:cs="宋体"/>
                <w:kern w:val="0"/>
                <w:sz w:val="24"/>
              </w:rPr>
              <w:t>空间全感知</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空间全感知首页</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显示库房系统和会议系统，可以分别进入库房系统和会议系统页面。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25</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库房状态呈现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显示库房位置、状态等数据。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26</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库房温度、湿度显示</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显示库房温湿度情况。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27</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库房安防视频对接</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显示库房监控画面。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28</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库房能耗数据呈现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显示库房能耗数据情况。（密集架、灯））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29</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库房空气质量数据对接</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显示PM2.5、CO2、TVOC、HCHO等环境数据情况。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30</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库房报警系统对接</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显示库房各类报警信息。（环境数据、密集架异常）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31</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会议室资产列表</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显示会议室资产列表信息。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32</w:t>
            </w:r>
          </w:p>
        </w:tc>
        <w:tc>
          <w:tcPr>
            <w:tcW w:w="580" w:type="dxa"/>
            <w:vMerge w:val="restart"/>
            <w:vAlign w:val="center"/>
          </w:tcPr>
          <w:p>
            <w:pPr>
              <w:spacing w:line="240" w:lineRule="auto"/>
              <w:ind w:firstLine="0" w:firstLineChars="0"/>
              <w:rPr>
                <w:rFonts w:hint="eastAsia" w:cs="宋体"/>
                <w:kern w:val="0"/>
                <w:sz w:val="24"/>
              </w:rPr>
            </w:pPr>
            <w:r>
              <w:rPr>
                <w:rFonts w:hint="eastAsia" w:cs="宋体"/>
                <w:kern w:val="0"/>
                <w:sz w:val="24"/>
              </w:rPr>
              <w:t>一屏知全馆</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一屏知全馆首页</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可以分别进入各档案数据页面。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33</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档案数据呈现</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显示各类档案数据，如全区数据、馆藏数据、档案管理等相关信息。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8"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34</w:t>
            </w:r>
          </w:p>
        </w:tc>
        <w:tc>
          <w:tcPr>
            <w:tcW w:w="580" w:type="dxa"/>
            <w:vMerge w:val="restart"/>
            <w:vAlign w:val="center"/>
          </w:tcPr>
          <w:p>
            <w:pPr>
              <w:spacing w:line="240" w:lineRule="auto"/>
              <w:ind w:firstLine="0" w:firstLineChars="0"/>
              <w:rPr>
                <w:rFonts w:hint="eastAsia" w:cs="宋体"/>
                <w:kern w:val="0"/>
                <w:sz w:val="24"/>
              </w:rPr>
            </w:pPr>
            <w:r>
              <w:rPr>
                <w:rFonts w:hint="eastAsia" w:cs="宋体"/>
                <w:kern w:val="0"/>
                <w:sz w:val="24"/>
              </w:rPr>
              <w:t>系统支撑</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呈现引擎</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呈现引擎将大型数据集中的数据以图形图像形式表示，通过设计好的渲染方式和布局，将页面整体呈现在大屏上。引擎具有极强的灵活性和可拓展性，组件化开发，具备支持动态局部刷新，大规模数据秒级响应，各项操作流畅无卡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35</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楼层平面图</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呈现档案馆1-5F平面图。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36</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数据推送引擎</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数据提供引擎将第三方系统数据实时推送到档案馆综合业务呈现管理平台，平台对推送的数据进行分析处理后进行整合呈现。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37</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数据读取及验证</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平台对导入的数据进行读取，并验证数据格式是否符合约定要求，例如是否是约定的数据内容条目、是否某一项数据未填写等。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38</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数据清洗</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平台对导入的数据进行清洗，验证导入数据是否业务规范，例如是否有数据为负数、是否有异常数据。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39</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数据汇总存储</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平台对导入的数据进行汇总、归类并存储在本地。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40</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数据备份模块</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平台对导入的数据进行自动备份，操作人员可通过手动方式对数据进行恢复。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41</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计划任务模块</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按照设定时间自动执行相关数据处理任务（例如：定期刷新统计数据、定期从第三方系统获取元数据）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42</w:t>
            </w:r>
          </w:p>
        </w:tc>
        <w:tc>
          <w:tcPr>
            <w:tcW w:w="580" w:type="dxa"/>
            <w:vMerge w:val="restart"/>
            <w:vAlign w:val="center"/>
          </w:tcPr>
          <w:p>
            <w:pPr>
              <w:spacing w:line="240" w:lineRule="auto"/>
              <w:ind w:firstLine="0" w:firstLineChars="0"/>
              <w:rPr>
                <w:rFonts w:hint="eastAsia" w:cs="宋体"/>
                <w:kern w:val="0"/>
                <w:sz w:val="24"/>
              </w:rPr>
            </w:pPr>
            <w:r>
              <w:rPr>
                <w:rFonts w:hint="eastAsia" w:cs="宋体"/>
                <w:kern w:val="0"/>
                <w:sz w:val="24"/>
              </w:rPr>
              <w:t>系统管理</w:t>
            </w:r>
          </w:p>
        </w:tc>
        <w:tc>
          <w:tcPr>
            <w:tcW w:w="1984" w:type="dxa"/>
            <w:vAlign w:val="center"/>
          </w:tcPr>
          <w:p>
            <w:pPr>
              <w:spacing w:line="240" w:lineRule="auto"/>
              <w:ind w:firstLine="0" w:firstLineChars="0"/>
              <w:rPr>
                <w:rFonts w:hint="eastAsia" w:cs="宋体"/>
                <w:kern w:val="0"/>
                <w:sz w:val="24"/>
              </w:rPr>
            </w:pPr>
            <w:r>
              <w:rPr>
                <w:rFonts w:hint="eastAsia" w:cs="宋体"/>
                <w:kern w:val="0"/>
                <w:sz w:val="24"/>
              </w:rPr>
              <w:t>登录验证</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后台系统需要输入管理员账号的账号、密码及验证码后方可进行登录。系统提供管理员账号、普通账号的密码修改功能。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43</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密码修改</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系统提供管理员账号、普通账号的密码修改功能。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44</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数据调整</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对于已经上屏的数据如果需要修改，可以直接在后台管理系统中对相应的数据进行修改。数据编辑功能是匹配大屏展示的相应页，可以通过和大屏一致的页面流程方便的找到要修改的数据，在修改完成后直接保存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45</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数据导入</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平台提供数据导入接口，操作人员可通过数据导入页面将其他平台、系统中的数据导入至档案馆综合业务呈现管理平台。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46</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配置导入、导出</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平台本身有一系列的配置数据（包括相关元数据和配置信息），配置数据导出和导入功能可以在账号需要的时候可以将配置信息备份或者将备份信息再次进行导入。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310" w:type="dxa"/>
            <w:vAlign w:val="center"/>
          </w:tcPr>
          <w:p>
            <w:pPr>
              <w:spacing w:line="240" w:lineRule="auto"/>
              <w:ind w:firstLine="0" w:firstLineChars="0"/>
              <w:rPr>
                <w:rFonts w:hint="eastAsia" w:cs="宋体"/>
                <w:kern w:val="0"/>
                <w:sz w:val="24"/>
              </w:rPr>
            </w:pPr>
            <w:r>
              <w:rPr>
                <w:rFonts w:hint="eastAsia" w:cs="宋体"/>
                <w:kern w:val="0"/>
                <w:sz w:val="24"/>
              </w:rPr>
              <w:t>47</w:t>
            </w:r>
          </w:p>
        </w:tc>
        <w:tc>
          <w:tcPr>
            <w:tcW w:w="580" w:type="dxa"/>
            <w:vMerge w:val="continue"/>
            <w:vAlign w:val="center"/>
          </w:tcPr>
          <w:p>
            <w:pPr>
              <w:spacing w:line="240" w:lineRule="auto"/>
              <w:ind w:firstLine="0" w:firstLineChars="0"/>
              <w:rPr>
                <w:rFonts w:hint="eastAsia" w:cs="宋体"/>
                <w:kern w:val="0"/>
                <w:sz w:val="24"/>
              </w:rPr>
            </w:pPr>
          </w:p>
        </w:tc>
        <w:tc>
          <w:tcPr>
            <w:tcW w:w="1984" w:type="dxa"/>
            <w:vAlign w:val="center"/>
          </w:tcPr>
          <w:p>
            <w:pPr>
              <w:spacing w:line="240" w:lineRule="auto"/>
              <w:ind w:firstLine="0" w:firstLineChars="0"/>
              <w:rPr>
                <w:rFonts w:hint="eastAsia" w:cs="宋体"/>
                <w:kern w:val="0"/>
                <w:sz w:val="24"/>
              </w:rPr>
            </w:pPr>
            <w:r>
              <w:rPr>
                <w:rFonts w:hint="eastAsia" w:cs="宋体"/>
                <w:kern w:val="0"/>
                <w:sz w:val="24"/>
              </w:rPr>
              <w:t>日志管理</w:t>
            </w:r>
          </w:p>
        </w:tc>
        <w:tc>
          <w:tcPr>
            <w:tcW w:w="5330" w:type="dxa"/>
            <w:vAlign w:val="center"/>
          </w:tcPr>
          <w:p>
            <w:pPr>
              <w:spacing w:line="240" w:lineRule="auto"/>
              <w:ind w:firstLine="0" w:firstLineChars="0"/>
              <w:rPr>
                <w:rFonts w:hint="eastAsia" w:cs="宋体"/>
                <w:kern w:val="0"/>
                <w:sz w:val="24"/>
              </w:rPr>
            </w:pPr>
            <w:r>
              <w:rPr>
                <w:rFonts w:hint="eastAsia" w:cs="宋体"/>
                <w:kern w:val="0"/>
                <w:sz w:val="24"/>
              </w:rPr>
              <w:t>平台提供日志管理界面，可查看各账号登录、推出系统的信息，包括IP地址、时间等。</w:t>
            </w:r>
          </w:p>
        </w:tc>
      </w:tr>
      <w:bookmarkEnd w:id="26"/>
    </w:tbl>
    <w:p>
      <w:pPr>
        <w:ind w:firstLine="560"/>
        <w:rPr>
          <w:rFonts w:hint="eastAsia"/>
        </w:rPr>
      </w:pPr>
      <w:r>
        <w:rPr>
          <w:rFonts w:hint="eastAsia"/>
        </w:rPr>
        <w:t xml:space="preserve"> </w:t>
      </w:r>
    </w:p>
    <w:p>
      <w:pPr>
        <w:pStyle w:val="3"/>
        <w:rPr>
          <w:rFonts w:hint="eastAsia" w:ascii="仿宋" w:hAnsi="仿宋" w:eastAsia="仿宋"/>
        </w:rPr>
      </w:pPr>
      <w:bookmarkStart w:id="30" w:name="OLE_LINK18"/>
      <w:r>
        <w:rPr>
          <w:rFonts w:hint="eastAsia" w:ascii="仿宋" w:hAnsi="仿宋" w:eastAsia="仿宋"/>
        </w:rPr>
        <w:t>长宁区数字档案馆定制软件开发</w:t>
      </w:r>
    </w:p>
    <w:bookmarkEnd w:id="30"/>
    <w:p>
      <w:pPr>
        <w:ind w:firstLine="560"/>
        <w:rPr>
          <w:rFonts w:hint="eastAsia" w:ascii="仿宋" w:hAnsi="仿宋" w:eastAsia="仿宋" w:cs="Arial"/>
          <w:szCs w:val="21"/>
        </w:rPr>
      </w:pPr>
      <w:r>
        <w:rPr>
          <w:rFonts w:hint="eastAsia" w:ascii="仿宋" w:hAnsi="仿宋" w:eastAsia="仿宋" w:cs="Arial"/>
          <w:szCs w:val="21"/>
        </w:rPr>
        <w:t>本项目结合长宁区档案馆工作实际需求，在原有平台基础上进行升级改造，形成了全面且贴合实际的功能体系，因此供应商需充分考虑本次长宁区数字档案馆定制软件开发与长宁区数字档案馆综合业务信息管理平台的画面适配性、对接流程及费用等情况。</w:t>
      </w:r>
    </w:p>
    <w:p>
      <w:pPr>
        <w:pStyle w:val="4"/>
        <w:rPr>
          <w:rFonts w:hint="eastAsia" w:ascii="仿宋" w:hAnsi="仿宋" w:eastAsia="仿宋"/>
        </w:rPr>
      </w:pPr>
      <w:r>
        <w:rPr>
          <w:rFonts w:hint="eastAsia" w:ascii="仿宋" w:hAnsi="仿宋" w:eastAsia="仿宋"/>
        </w:rPr>
        <w:t>报警信息提示</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报警事件录像及回放功能-报警录像存储</w:t>
      </w:r>
    </w:p>
    <w:p>
      <w:pPr>
        <w:ind w:firstLine="560"/>
        <w:rPr>
          <w:rFonts w:hint="eastAsia" w:ascii="仿宋" w:hAnsi="仿宋" w:eastAsia="仿宋"/>
          <w:szCs w:val="21"/>
        </w:rPr>
      </w:pPr>
      <w:r>
        <w:rPr>
          <w:rFonts w:hint="eastAsia" w:ascii="仿宋" w:hAnsi="仿宋" w:eastAsia="仿宋"/>
          <w:szCs w:val="21"/>
        </w:rPr>
        <w:t>新增报警录像存储：</w:t>
      </w:r>
      <w:r>
        <w:rPr>
          <w:rFonts w:ascii="仿宋" w:hAnsi="仿宋" w:eastAsia="仿宋"/>
          <w:szCs w:val="21"/>
        </w:rPr>
        <w:t>平台一旦侦测到任何类型的</w:t>
      </w:r>
      <w:r>
        <w:rPr>
          <w:rFonts w:hint="eastAsia" w:ascii="仿宋" w:hAnsi="仿宋" w:eastAsia="仿宋"/>
          <w:szCs w:val="21"/>
        </w:rPr>
        <w:t>报警</w:t>
      </w:r>
      <w:r>
        <w:rPr>
          <w:rFonts w:ascii="仿宋" w:hAnsi="仿宋" w:eastAsia="仿宋"/>
          <w:szCs w:val="21"/>
        </w:rPr>
        <w:t>事件（如</w:t>
      </w:r>
      <w:r>
        <w:rPr>
          <w:rFonts w:hint="eastAsia" w:ascii="仿宋" w:hAnsi="仿宋" w:eastAsia="仿宋"/>
          <w:szCs w:val="21"/>
        </w:rPr>
        <w:t>库房出入核验不通过、行人摔倒、公共区域异常用火</w:t>
      </w:r>
      <w:r>
        <w:rPr>
          <w:rFonts w:ascii="仿宋" w:hAnsi="仿宋" w:eastAsia="仿宋"/>
          <w:szCs w:val="21"/>
        </w:rPr>
        <w:t>等），将自动</w:t>
      </w:r>
      <w:r>
        <w:rPr>
          <w:rFonts w:hint="eastAsia" w:ascii="仿宋" w:hAnsi="仿宋" w:eastAsia="仿宋"/>
          <w:szCs w:val="21"/>
        </w:rPr>
        <w:t>录制</w:t>
      </w:r>
      <w:r>
        <w:rPr>
          <w:rFonts w:ascii="仿宋" w:hAnsi="仿宋" w:eastAsia="仿宋"/>
          <w:szCs w:val="21"/>
        </w:rPr>
        <w:t>关联摄像机</w:t>
      </w:r>
      <w:r>
        <w:rPr>
          <w:rFonts w:hint="eastAsia" w:ascii="仿宋" w:hAnsi="仿宋" w:eastAsia="仿宋"/>
          <w:szCs w:val="21"/>
        </w:rPr>
        <w:t>的相关内容，</w:t>
      </w:r>
      <w:r>
        <w:rPr>
          <w:rFonts w:ascii="仿宋" w:hAnsi="仿宋" w:eastAsia="仿宋"/>
          <w:szCs w:val="21"/>
        </w:rPr>
        <w:t>包括事件触发前5秒至事件发生后2分钟的关键视频片段，确保完整记录事件起因</w:t>
      </w:r>
      <w:r>
        <w:rPr>
          <w:rFonts w:hint="eastAsia" w:ascii="仿宋" w:hAnsi="仿宋" w:eastAsia="仿宋"/>
          <w:szCs w:val="21"/>
        </w:rPr>
        <w:t>与</w:t>
      </w:r>
      <w:r>
        <w:rPr>
          <w:rFonts w:ascii="仿宋" w:hAnsi="仿宋" w:eastAsia="仿宋"/>
          <w:szCs w:val="21"/>
        </w:rPr>
        <w:t>过程情况。</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报警事件录像及回放功能-报警录像回放</w:t>
      </w:r>
    </w:p>
    <w:p>
      <w:pPr>
        <w:ind w:firstLine="560"/>
        <w:rPr>
          <w:rFonts w:hint="eastAsia" w:ascii="仿宋" w:hAnsi="仿宋" w:eastAsia="仿宋"/>
          <w:szCs w:val="21"/>
        </w:rPr>
      </w:pPr>
      <w:r>
        <w:rPr>
          <w:rFonts w:hint="eastAsia" w:ascii="仿宋" w:hAnsi="仿宋" w:eastAsia="仿宋"/>
          <w:szCs w:val="21"/>
        </w:rPr>
        <w:t>新增报警录像回放：针对所有报警事件</w:t>
      </w:r>
      <w:r>
        <w:rPr>
          <w:rFonts w:ascii="仿宋" w:hAnsi="仿宋" w:eastAsia="仿宋"/>
          <w:szCs w:val="21"/>
        </w:rPr>
        <w:t>（如</w:t>
      </w:r>
      <w:r>
        <w:rPr>
          <w:rFonts w:hint="eastAsia" w:ascii="仿宋" w:hAnsi="仿宋" w:eastAsia="仿宋"/>
          <w:szCs w:val="21"/>
        </w:rPr>
        <w:t>库房出入核验不通过、行人摔倒、公共区域异常用火</w:t>
      </w:r>
      <w:r>
        <w:rPr>
          <w:rFonts w:ascii="仿宋" w:hAnsi="仿宋" w:eastAsia="仿宋"/>
          <w:szCs w:val="21"/>
        </w:rPr>
        <w:t>等）</w:t>
      </w:r>
      <w:r>
        <w:rPr>
          <w:rFonts w:hint="eastAsia" w:ascii="仿宋" w:hAnsi="仿宋" w:eastAsia="仿宋"/>
          <w:szCs w:val="21"/>
        </w:rPr>
        <w:t>，支持按事件维度快速调取关联录像进行回放，</w:t>
      </w:r>
      <w:r>
        <w:rPr>
          <w:rFonts w:ascii="仿宋" w:hAnsi="仿宋" w:eastAsia="仿宋"/>
          <w:szCs w:val="21"/>
        </w:rPr>
        <w:t>管理员</w:t>
      </w:r>
      <w:r>
        <w:rPr>
          <w:rFonts w:hint="eastAsia" w:ascii="仿宋" w:hAnsi="仿宋" w:eastAsia="仿宋"/>
          <w:szCs w:val="21"/>
        </w:rPr>
        <w:t>可</w:t>
      </w:r>
      <w:r>
        <w:rPr>
          <w:rFonts w:ascii="仿宋" w:hAnsi="仿宋" w:eastAsia="仿宋"/>
          <w:szCs w:val="21"/>
        </w:rPr>
        <w:t>手动根据时间和通道去检索录像，便于快速</w:t>
      </w:r>
      <w:r>
        <w:rPr>
          <w:rFonts w:hint="eastAsia" w:ascii="仿宋" w:hAnsi="仿宋" w:eastAsia="仿宋"/>
          <w:szCs w:val="21"/>
        </w:rPr>
        <w:t>核查事件真实情况（如是否误报、现场处置是否到位）</w:t>
      </w:r>
      <w:r>
        <w:rPr>
          <w:rFonts w:ascii="仿宋" w:hAnsi="仿宋" w:eastAsia="仿宋"/>
          <w:szCs w:val="21"/>
        </w:rPr>
        <w:t>。</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报警事件录像及回放功能-事件全流程追溯</w:t>
      </w:r>
    </w:p>
    <w:p>
      <w:pPr>
        <w:ind w:firstLine="560"/>
        <w:rPr>
          <w:rFonts w:hint="eastAsia" w:ascii="仿宋" w:hAnsi="仿宋" w:eastAsia="仿宋"/>
          <w:szCs w:val="21"/>
        </w:rPr>
      </w:pPr>
      <w:r>
        <w:rPr>
          <w:rFonts w:hint="eastAsia" w:ascii="仿宋" w:hAnsi="仿宋" w:eastAsia="仿宋"/>
          <w:szCs w:val="21"/>
        </w:rPr>
        <w:t>新增事件全流程追溯：平台为所有报警事件生成一个全生命周期的追踪日志，日志记录从智能检测触发报警开始，到管理员确认、处置、直至报警结束的每一个环节的关键信息。支持通过事件ID、时间、区域等多维度，对历史事件进行检索追溯，确保所有事件处置过程可查、可溯。</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报警事件录像及回放功能-报警事件录像及回放呈现</w:t>
      </w:r>
    </w:p>
    <w:p>
      <w:pPr>
        <w:ind w:firstLine="560"/>
        <w:rPr>
          <w:rFonts w:hint="eastAsia" w:ascii="仿宋" w:hAnsi="仿宋" w:eastAsia="仿宋"/>
          <w:szCs w:val="21"/>
        </w:rPr>
      </w:pPr>
      <w:r>
        <w:rPr>
          <w:rFonts w:hint="eastAsia" w:ascii="仿宋" w:hAnsi="仿宋" w:eastAsia="仿宋"/>
          <w:szCs w:val="21"/>
        </w:rPr>
        <w:t>新增报警事件录像及回放呈现：在现有软件的“安全中心”模块内新增“事件统计看板”，将所有报警事件按“区域、时间、事件类型”进行多维度统计，生成可视化报表与TOP10异常事件排序</w:t>
      </w:r>
      <w:r>
        <w:rPr>
          <w:rFonts w:ascii="仿宋" w:hAnsi="仿宋" w:eastAsia="仿宋"/>
          <w:szCs w:val="21"/>
        </w:rPr>
        <w:t>。</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报警事件录像及回放功能-报警事件录像及回放图标</w:t>
      </w:r>
    </w:p>
    <w:p>
      <w:pPr>
        <w:ind w:firstLine="560"/>
        <w:rPr>
          <w:rFonts w:hint="eastAsia" w:ascii="仿宋" w:hAnsi="仿宋" w:eastAsia="仿宋"/>
          <w:szCs w:val="21"/>
        </w:rPr>
      </w:pPr>
      <w:r>
        <w:rPr>
          <w:rFonts w:hint="eastAsia" w:ascii="仿宋" w:hAnsi="仿宋" w:eastAsia="仿宋"/>
          <w:szCs w:val="21"/>
        </w:rPr>
        <w:t>新增报警事件录像及回放图标：</w:t>
      </w:r>
      <w:r>
        <w:rPr>
          <w:rFonts w:ascii="仿宋" w:hAnsi="仿宋" w:eastAsia="仿宋"/>
          <w:szCs w:val="21"/>
        </w:rPr>
        <w:t>在报警事件列表的每一项记录后，新增一个</w:t>
      </w:r>
      <w:r>
        <w:rPr>
          <w:rFonts w:hint="eastAsia" w:ascii="仿宋" w:hAnsi="仿宋" w:eastAsia="仿宋"/>
          <w:szCs w:val="21"/>
        </w:rPr>
        <w:t>“</w:t>
      </w:r>
      <w:r>
        <w:rPr>
          <w:rFonts w:ascii="仿宋" w:hAnsi="仿宋" w:eastAsia="仿宋"/>
          <w:szCs w:val="21"/>
        </w:rPr>
        <w:t>录像回放</w:t>
      </w:r>
      <w:r>
        <w:rPr>
          <w:rFonts w:hint="eastAsia" w:ascii="仿宋" w:hAnsi="仿宋" w:eastAsia="仿宋"/>
          <w:szCs w:val="21"/>
        </w:rPr>
        <w:t>”</w:t>
      </w:r>
      <w:r>
        <w:rPr>
          <w:rFonts w:ascii="仿宋" w:hAnsi="仿宋" w:eastAsia="仿宋"/>
          <w:szCs w:val="21"/>
        </w:rPr>
        <w:t>图标。管理员点击后，即可直接弹窗播放与该事件精准关联的录像片段。</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档案库房出入核验模块-库房门禁信息推送比对系统</w:t>
      </w:r>
    </w:p>
    <w:p>
      <w:pPr>
        <w:ind w:firstLine="560"/>
        <w:rPr>
          <w:rFonts w:hint="eastAsia" w:ascii="仿宋" w:hAnsi="仿宋" w:eastAsia="仿宋"/>
          <w:szCs w:val="21"/>
        </w:rPr>
      </w:pPr>
      <w:r>
        <w:rPr>
          <w:rFonts w:hint="eastAsia" w:ascii="仿宋" w:hAnsi="仿宋" w:eastAsia="仿宋"/>
          <w:szCs w:val="21"/>
        </w:rPr>
        <w:t>新增库房门禁信息推送比对系统：当库房门禁触发（含人员刷卡、刷脸开门）时，系统自动获取并清洗核验门禁核心信息（触发时间、门禁位置、开门方式、刷卡/刷脸账号），并完成实时推送。</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档案库房出入核验模块-摄像机联动与画面留存</w:t>
      </w:r>
    </w:p>
    <w:p>
      <w:pPr>
        <w:ind w:firstLine="560"/>
        <w:rPr>
          <w:rFonts w:hint="eastAsia" w:ascii="仿宋" w:hAnsi="仿宋" w:eastAsia="仿宋"/>
          <w:szCs w:val="21"/>
        </w:rPr>
      </w:pPr>
      <w:r>
        <w:rPr>
          <w:rFonts w:hint="eastAsia" w:ascii="仿宋" w:hAnsi="仿宋" w:eastAsia="仿宋"/>
          <w:szCs w:val="21"/>
        </w:rPr>
        <w:t>新增摄像机联动与画面留存：门禁触发的同时，系统调用库房内的监看入口图像的摄像机，完成实时画面截图（截图包含进入人员全貌、进入时间等数据），用于智能人脸识别比对，截图同步存储至系统数据库。</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档案库房出入核验模块-AI人脸识别比对</w:t>
      </w:r>
    </w:p>
    <w:p>
      <w:pPr>
        <w:ind w:firstLine="560"/>
        <w:rPr>
          <w:rFonts w:hint="eastAsia" w:ascii="仿宋" w:hAnsi="仿宋" w:eastAsia="仿宋"/>
          <w:szCs w:val="21"/>
        </w:rPr>
      </w:pPr>
      <w:r>
        <w:rPr>
          <w:rFonts w:hint="eastAsia" w:ascii="仿宋" w:hAnsi="仿宋" w:eastAsia="仿宋"/>
          <w:szCs w:val="21"/>
        </w:rPr>
        <w:t>新增智能人脸识别比对：平台严格遵循“双人双卡”管理原则，执行以下三重校验逻辑。任何一项异常均自动触发报警：</w:t>
      </w:r>
    </w:p>
    <w:p>
      <w:pPr>
        <w:ind w:firstLine="560"/>
        <w:rPr>
          <w:rFonts w:hint="eastAsia" w:ascii="仿宋" w:hAnsi="仿宋" w:eastAsia="仿宋"/>
          <w:szCs w:val="21"/>
        </w:rPr>
      </w:pPr>
      <w:r>
        <w:rPr>
          <w:rFonts w:hint="eastAsia" w:ascii="仿宋" w:hAnsi="仿宋" w:eastAsia="仿宋"/>
          <w:szCs w:val="21"/>
        </w:rPr>
        <w:t>校验一：身份一致性。识别画面中人员并与刷卡/刷脸账号对应的白名单身份信息进行比对。出现“进入人员与刷卡人员不匹配”时，触发紧急报警。</w:t>
      </w:r>
    </w:p>
    <w:p>
      <w:pPr>
        <w:ind w:firstLine="560"/>
        <w:rPr>
          <w:rFonts w:hint="eastAsia" w:ascii="仿宋" w:hAnsi="仿宋" w:eastAsia="仿宋"/>
          <w:szCs w:val="21"/>
        </w:rPr>
      </w:pPr>
      <w:r>
        <w:rPr>
          <w:rFonts w:hint="eastAsia" w:ascii="仿宋" w:hAnsi="仿宋" w:eastAsia="仿宋"/>
          <w:szCs w:val="21"/>
        </w:rPr>
        <w:t>校验二：人数合规性。识别并统计画面中的实际进入人数。出现“单人持双卡进入”时，触发紧急报警。</w:t>
      </w:r>
    </w:p>
    <w:p>
      <w:pPr>
        <w:ind w:firstLine="560"/>
        <w:rPr>
          <w:rFonts w:hint="eastAsia" w:ascii="仿宋" w:hAnsi="仿宋" w:eastAsia="仿宋"/>
          <w:szCs w:val="21"/>
        </w:rPr>
      </w:pPr>
      <w:r>
        <w:rPr>
          <w:rFonts w:hint="eastAsia" w:ascii="仿宋" w:hAnsi="仿宋" w:eastAsia="仿宋"/>
          <w:szCs w:val="21"/>
        </w:rPr>
        <w:t>校验三：行为合规性。识别实际进入人数。出现人数多于双人，如接待参观活动等情况，系统进行报警，并自动将该路图像信号标记为“重点监看”，提醒管理人员关注。</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报警处置流程功能-处置权限管理</w:t>
      </w:r>
    </w:p>
    <w:p>
      <w:pPr>
        <w:ind w:firstLine="560"/>
        <w:rPr>
          <w:rFonts w:hint="eastAsia" w:ascii="仿宋" w:hAnsi="仿宋" w:eastAsia="仿宋"/>
          <w:szCs w:val="21"/>
        </w:rPr>
      </w:pPr>
      <w:r>
        <w:rPr>
          <w:rFonts w:hint="eastAsia" w:ascii="仿宋" w:hAnsi="仿宋" w:eastAsia="仿宋"/>
          <w:szCs w:val="21"/>
        </w:rPr>
        <w:t>新增处置权限管理：在智能事件中心内按“区域+事件类型”分配负责人信息及联系方式，确保报警有人对接、责任明确。</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报警处置流程功能-事件触发录像</w:t>
      </w:r>
    </w:p>
    <w:p>
      <w:pPr>
        <w:ind w:firstLine="560"/>
        <w:rPr>
          <w:rFonts w:hint="eastAsia" w:ascii="仿宋" w:hAnsi="仿宋" w:eastAsia="仿宋"/>
          <w:szCs w:val="21"/>
        </w:rPr>
      </w:pPr>
      <w:r>
        <w:rPr>
          <w:rFonts w:hint="eastAsia" w:ascii="仿宋" w:hAnsi="仿宋" w:eastAsia="仿宋"/>
          <w:szCs w:val="21"/>
        </w:rPr>
        <w:t>新增事件触发</w:t>
      </w:r>
      <w:r>
        <w:rPr>
          <w:rFonts w:hint="eastAsia" w:ascii="仿宋" w:hAnsi="仿宋" w:eastAsia="仿宋"/>
          <w:szCs w:val="28"/>
        </w:rPr>
        <w:t>录像:</w:t>
      </w:r>
      <w:r>
        <w:rPr>
          <w:rFonts w:hint="eastAsia" w:ascii="仿宋" w:hAnsi="仿宋" w:eastAsia="仿宋"/>
          <w:szCs w:val="21"/>
        </w:rPr>
        <w:t>所有智能视觉分析报警触发时，系统自动启动对应监控摄像机录像，录制“事件前5秒至后2分钟”的视频片段，存储后关联至智能事件中心对应报警条目，方便回溯查看。</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报警处置流程功能-报警信息通知</w:t>
      </w:r>
    </w:p>
    <w:p>
      <w:pPr>
        <w:ind w:firstLine="560"/>
        <w:rPr>
          <w:rFonts w:hint="eastAsia" w:ascii="仿宋" w:hAnsi="仿宋" w:eastAsia="仿宋"/>
          <w:szCs w:val="21"/>
        </w:rPr>
      </w:pPr>
      <w:r>
        <w:rPr>
          <w:rFonts w:hint="eastAsia" w:ascii="仿宋" w:hAnsi="仿宋" w:eastAsia="仿宋"/>
          <w:szCs w:val="21"/>
        </w:rPr>
        <w:t>新增报警信息通知：智能视觉分析报警触发时，系统按“报警级别+处置权限”自动推送通知，确保相关人员及时接收，支持短信/邮件/移动端通知方式。</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报警处置流程功能-报警确认与处置</w:t>
      </w:r>
    </w:p>
    <w:p>
      <w:pPr>
        <w:ind w:firstLine="560"/>
        <w:rPr>
          <w:rFonts w:hint="eastAsia" w:ascii="仿宋" w:hAnsi="仿宋" w:eastAsia="仿宋"/>
          <w:szCs w:val="21"/>
        </w:rPr>
      </w:pPr>
      <w:r>
        <w:rPr>
          <w:rFonts w:hint="eastAsia" w:ascii="仿宋" w:hAnsi="仿宋" w:eastAsia="仿宋"/>
          <w:szCs w:val="21"/>
        </w:rPr>
        <w:t>新增报警确认与处置：智能视觉分析报警触发时，支持报警事件发生后的处理流程操作，包括详情查看、人工确认/驳回、结束报警、填写处置结果。</w:t>
      </w:r>
    </w:p>
    <w:p>
      <w:pPr>
        <w:ind w:firstLine="560"/>
        <w:rPr>
          <w:rFonts w:hint="eastAsia" w:ascii="仿宋" w:hAnsi="仿宋" w:eastAsia="仿宋"/>
          <w:szCs w:val="21"/>
        </w:rPr>
      </w:pPr>
    </w:p>
    <w:p>
      <w:pPr>
        <w:pStyle w:val="4"/>
        <w:rPr>
          <w:rFonts w:hint="eastAsia" w:ascii="仿宋" w:hAnsi="仿宋" w:eastAsia="仿宋"/>
        </w:rPr>
      </w:pPr>
      <w:r>
        <w:rPr>
          <w:rFonts w:hint="eastAsia" w:ascii="仿宋" w:hAnsi="仿宋" w:eastAsia="仿宋"/>
        </w:rPr>
        <w:t>库房报警系统对接</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档案库房出入核验模块-库房进入人员核验报警事件中心</w:t>
      </w:r>
    </w:p>
    <w:p>
      <w:pPr>
        <w:ind w:firstLine="560"/>
        <w:rPr>
          <w:rFonts w:hint="eastAsia" w:ascii="仿宋" w:hAnsi="仿宋" w:eastAsia="仿宋"/>
          <w:szCs w:val="21"/>
        </w:rPr>
      </w:pPr>
      <w:r>
        <w:rPr>
          <w:rFonts w:hint="eastAsia" w:ascii="仿宋" w:hAnsi="仿宋" w:eastAsia="仿宋"/>
          <w:szCs w:val="21"/>
        </w:rPr>
        <w:t>新增库房进入人员核验报警事件中心：在长宁区数字档案馆综合业务信息管理平台的“平安档案馆</w:t>
      </w:r>
      <w:r>
        <w:rPr>
          <w:rFonts w:ascii="仿宋" w:hAnsi="仿宋" w:eastAsia="仿宋"/>
          <w:szCs w:val="21"/>
        </w:rPr>
        <w:t>/</w:t>
      </w:r>
      <w:r>
        <w:rPr>
          <w:rFonts w:hint="eastAsia" w:ascii="仿宋" w:hAnsi="仿宋" w:eastAsia="仿宋"/>
          <w:szCs w:val="21"/>
        </w:rPr>
        <w:t>库房”模块界面中，新增“档案库房出入报警事件”子模块界面，支持报警区域、报警等级、报警时间、报警图片、报警录像入口等信息管理。支持结合库房安全风险程度，将门禁核验异常等报警事件划分为不同等级，便于差异化处置。</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档案库房出入核验模块-档案库房出入核验模块呈现</w:t>
      </w:r>
    </w:p>
    <w:p>
      <w:pPr>
        <w:ind w:firstLine="560"/>
        <w:rPr>
          <w:rFonts w:hint="eastAsia" w:ascii="仿宋" w:hAnsi="仿宋" w:eastAsia="仿宋"/>
          <w:szCs w:val="21"/>
        </w:rPr>
      </w:pPr>
      <w:r>
        <w:rPr>
          <w:rFonts w:hint="eastAsia" w:ascii="仿宋" w:hAnsi="仿宋" w:eastAsia="仿宋"/>
          <w:szCs w:val="21"/>
        </w:rPr>
        <w:t>新增档案库房出入核验模块</w:t>
      </w:r>
      <w:r>
        <w:rPr>
          <w:rFonts w:hint="eastAsia" w:ascii="仿宋" w:hAnsi="仿宋" w:eastAsia="仿宋"/>
          <w:szCs w:val="28"/>
        </w:rPr>
        <w:t>呈现：</w:t>
      </w:r>
      <w:r>
        <w:rPr>
          <w:rFonts w:hint="eastAsia" w:ascii="仿宋" w:hAnsi="仿宋" w:eastAsia="仿宋"/>
          <w:szCs w:val="21"/>
        </w:rPr>
        <w:t>在长宁区数字档案馆综合业务信息管理平台的“平安档案馆/库房”模块界面中，增加功能应用：1.今日进入库房人数统计除今日人员刷卡信息外新增人员比对图片及报警查看按钮；2.在监控点位内除出入口监控图像外，新增两个库房内部监控图像窗口；3.库房模型上增加监控点位布点，通过点击图标展示不同监控录像；4.库房模型上增加门禁状态显示，如长时间未关闭，则报警提醒；5.库房模型上增加消防点位布点，直观展示设备状态，是否存在故障显示。</w:t>
      </w:r>
    </w:p>
    <w:p>
      <w:pPr>
        <w:ind w:firstLine="560"/>
        <w:rPr>
          <w:rFonts w:hint="eastAsia" w:ascii="仿宋" w:hAnsi="仿宋" w:eastAsia="仿宋"/>
          <w:szCs w:val="21"/>
        </w:rPr>
      </w:pPr>
    </w:p>
    <w:p>
      <w:pPr>
        <w:pStyle w:val="4"/>
        <w:rPr>
          <w:rFonts w:hint="eastAsia" w:ascii="仿宋" w:hAnsi="仿宋" w:eastAsia="仿宋"/>
        </w:rPr>
      </w:pPr>
      <w:r>
        <w:rPr>
          <w:rFonts w:hint="eastAsia" w:ascii="仿宋" w:hAnsi="仿宋" w:eastAsia="仿宋"/>
        </w:rPr>
        <w:t>对接门禁系统</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白名单录入功能-</w:t>
      </w:r>
      <w:r>
        <w:rPr>
          <w:rFonts w:ascii="仿宋" w:hAnsi="仿宋" w:eastAsia="仿宋"/>
          <w:b/>
          <w:bCs/>
          <w:sz w:val="28"/>
          <w:szCs w:val="21"/>
        </w:rPr>
        <w:t>白名单功能集成</w:t>
      </w:r>
    </w:p>
    <w:p>
      <w:pPr>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8"/>
        </w:rPr>
        <w:t>白名单功能集成</w:t>
      </w:r>
      <w:r>
        <w:rPr>
          <w:rFonts w:hint="eastAsia" w:ascii="仿宋" w:hAnsi="仿宋" w:eastAsia="仿宋"/>
          <w:szCs w:val="28"/>
        </w:rPr>
        <w:t>：</w:t>
      </w:r>
      <w:r>
        <w:rPr>
          <w:rFonts w:ascii="仿宋" w:hAnsi="仿宋" w:eastAsia="仿宋"/>
          <w:szCs w:val="21"/>
        </w:rPr>
        <w:t>在后台管理系统新增一个清晰独立的</w:t>
      </w:r>
      <w:r>
        <w:rPr>
          <w:rFonts w:hint="eastAsia" w:ascii="仿宋" w:hAnsi="仿宋" w:eastAsia="仿宋"/>
          <w:szCs w:val="21"/>
        </w:rPr>
        <w:t>“</w:t>
      </w:r>
      <w:r>
        <w:rPr>
          <w:rFonts w:ascii="仿宋" w:hAnsi="仿宋" w:eastAsia="仿宋"/>
          <w:szCs w:val="21"/>
        </w:rPr>
        <w:t>白名单</w:t>
      </w:r>
      <w:r>
        <w:rPr>
          <w:rFonts w:hint="eastAsia" w:ascii="仿宋" w:hAnsi="仿宋" w:eastAsia="仿宋"/>
          <w:szCs w:val="21"/>
        </w:rPr>
        <w:t>录入”</w:t>
      </w:r>
      <w:r>
        <w:rPr>
          <w:rFonts w:ascii="仿宋" w:hAnsi="仿宋" w:eastAsia="仿宋"/>
          <w:szCs w:val="21"/>
        </w:rPr>
        <w:t>入口</w:t>
      </w:r>
      <w:r>
        <w:rPr>
          <w:rFonts w:hint="eastAsia" w:ascii="仿宋" w:hAnsi="仿宋" w:eastAsia="仿宋"/>
          <w:szCs w:val="21"/>
        </w:rPr>
        <w:t>，管理员无需跳转至其他系统。</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白名单录入功能-</w:t>
      </w:r>
      <w:r>
        <w:rPr>
          <w:rFonts w:ascii="仿宋" w:hAnsi="仿宋" w:eastAsia="仿宋"/>
          <w:b/>
          <w:bCs/>
          <w:sz w:val="28"/>
          <w:szCs w:val="21"/>
        </w:rPr>
        <w:t>人员信息录入及权限配置</w:t>
      </w:r>
    </w:p>
    <w:p>
      <w:pPr>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1"/>
        </w:rPr>
        <w:t>人员信息录入及权限配置</w:t>
      </w:r>
      <w:r>
        <w:rPr>
          <w:rFonts w:hint="eastAsia" w:ascii="仿宋" w:hAnsi="仿宋" w:eastAsia="仿宋"/>
          <w:szCs w:val="21"/>
        </w:rPr>
        <w:t>：</w:t>
      </w:r>
      <w:r>
        <w:rPr>
          <w:rFonts w:ascii="仿宋" w:hAnsi="仿宋" w:eastAsia="仿宋"/>
          <w:szCs w:val="21"/>
        </w:rPr>
        <w:t>提供标准化的信息录入表单，支持</w:t>
      </w:r>
      <w:r>
        <w:rPr>
          <w:rFonts w:hint="eastAsia" w:ascii="仿宋" w:hAnsi="仿宋" w:eastAsia="仿宋"/>
          <w:szCs w:val="21"/>
        </w:rPr>
        <w:t>进入库房人员的姓名、工号、所属部门、联系方式、照片等基础信息</w:t>
      </w:r>
      <w:r>
        <w:rPr>
          <w:rFonts w:ascii="仿宋" w:hAnsi="仿宋" w:eastAsia="仿宋"/>
          <w:szCs w:val="21"/>
        </w:rPr>
        <w:t>的录入与编辑：</w:t>
      </w:r>
      <w:r>
        <w:rPr>
          <w:rFonts w:hint="eastAsia" w:ascii="仿宋" w:hAnsi="仿宋" w:eastAsia="仿宋"/>
          <w:szCs w:val="21"/>
        </w:rPr>
        <w:t>并且可根据档案馆内部岗位权责</w:t>
      </w:r>
      <w:r>
        <w:rPr>
          <w:rFonts w:ascii="仿宋" w:hAnsi="仿宋" w:eastAsia="仿宋"/>
          <w:szCs w:val="21"/>
        </w:rPr>
        <w:t>，预设多种权限角色。在录入或编辑人员信息时，可为该人员分配一个或多个权限类别</w:t>
      </w:r>
      <w:r>
        <w:rPr>
          <w:rFonts w:hint="eastAsia" w:ascii="仿宋" w:hAnsi="仿宋" w:eastAsia="仿宋"/>
          <w:szCs w:val="21"/>
        </w:rPr>
        <w:t>，包括管理员权限、档案整理员权限、设备维护员权限、巡查人员等。</w:t>
      </w:r>
    </w:p>
    <w:p>
      <w:pPr>
        <w:ind w:firstLine="560"/>
        <w:rPr>
          <w:rFonts w:hint="eastAsia" w:ascii="仿宋" w:hAnsi="仿宋" w:eastAsia="仿宋"/>
          <w:szCs w:val="21"/>
        </w:rPr>
      </w:pPr>
    </w:p>
    <w:p>
      <w:pPr>
        <w:pStyle w:val="4"/>
        <w:rPr>
          <w:rFonts w:hint="eastAsia" w:ascii="仿宋" w:hAnsi="仿宋" w:eastAsia="仿宋"/>
        </w:rPr>
      </w:pPr>
      <w:r>
        <w:rPr>
          <w:rFonts w:hint="eastAsia" w:ascii="仿宋" w:hAnsi="仿宋" w:eastAsia="仿宋"/>
        </w:rPr>
        <w:t>查询和筛选功能</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白名单录入功能-</w:t>
      </w:r>
      <w:r>
        <w:rPr>
          <w:rFonts w:ascii="仿宋" w:hAnsi="仿宋" w:eastAsia="仿宋"/>
          <w:b/>
          <w:bCs/>
          <w:sz w:val="28"/>
          <w:szCs w:val="21"/>
        </w:rPr>
        <w:t>白名单查询与筛选</w:t>
      </w:r>
    </w:p>
    <w:p>
      <w:pPr>
        <w:tabs>
          <w:tab w:val="left" w:pos="720"/>
        </w:tabs>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1"/>
        </w:rPr>
        <w:t>白名单查询与筛选</w:t>
      </w:r>
      <w:r>
        <w:rPr>
          <w:rFonts w:hint="eastAsia" w:ascii="仿宋" w:hAnsi="仿宋" w:eastAsia="仿宋"/>
          <w:szCs w:val="21"/>
        </w:rPr>
        <w:t>：</w:t>
      </w:r>
      <w:r>
        <w:rPr>
          <w:rFonts w:ascii="仿宋" w:hAnsi="仿宋" w:eastAsia="仿宋"/>
          <w:szCs w:val="21"/>
        </w:rPr>
        <w:t>提供综合查询界面，支持管理员通过</w:t>
      </w:r>
      <w:r>
        <w:rPr>
          <w:rFonts w:hint="eastAsia" w:ascii="仿宋" w:hAnsi="仿宋" w:eastAsia="仿宋"/>
          <w:szCs w:val="21"/>
        </w:rPr>
        <w:t>人员姓名、工号、部门、权限类型等条件</w:t>
      </w:r>
      <w:r>
        <w:rPr>
          <w:rFonts w:ascii="仿宋" w:hAnsi="仿宋" w:eastAsia="仿宋"/>
          <w:szCs w:val="21"/>
        </w:rPr>
        <w:t>对白名单数据库进行快速</w:t>
      </w:r>
      <w:r>
        <w:rPr>
          <w:rFonts w:hint="eastAsia" w:ascii="仿宋" w:hAnsi="仿宋" w:eastAsia="仿宋"/>
          <w:szCs w:val="21"/>
        </w:rPr>
        <w:t>查询与筛选，</w:t>
      </w:r>
      <w:r>
        <w:rPr>
          <w:rFonts w:ascii="仿宋" w:hAnsi="仿宋" w:eastAsia="仿宋"/>
          <w:szCs w:val="21"/>
        </w:rPr>
        <w:t>查询结果以列表形式清晰展示，</w:t>
      </w:r>
      <w:r>
        <w:rPr>
          <w:rFonts w:hint="eastAsia" w:ascii="仿宋" w:hAnsi="仿宋" w:eastAsia="仿宋"/>
          <w:szCs w:val="21"/>
        </w:rPr>
        <w:t>列表</w:t>
      </w:r>
      <w:r>
        <w:rPr>
          <w:rFonts w:ascii="仿宋" w:hAnsi="仿宋" w:eastAsia="仿宋"/>
          <w:szCs w:val="21"/>
        </w:rPr>
        <w:t>包括所有录入信息字段和权限分配情况。</w:t>
      </w:r>
    </w:p>
    <w:p>
      <w:pPr>
        <w:ind w:firstLine="560"/>
        <w:rPr>
          <w:rFonts w:hint="eastAsia" w:ascii="仿宋" w:hAnsi="仿宋" w:eastAsia="仿宋"/>
          <w:szCs w:val="21"/>
        </w:rPr>
      </w:pPr>
    </w:p>
    <w:p>
      <w:pPr>
        <w:pStyle w:val="4"/>
        <w:rPr>
          <w:rFonts w:hint="eastAsia" w:ascii="仿宋" w:hAnsi="仿宋" w:eastAsia="仿宋"/>
        </w:rPr>
      </w:pPr>
      <w:r>
        <w:rPr>
          <w:rFonts w:hint="eastAsia" w:ascii="仿宋" w:hAnsi="仿宋" w:eastAsia="仿宋"/>
        </w:rPr>
        <w:t>数据调整</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应用系统国产化适配</w:t>
      </w:r>
    </w:p>
    <w:p>
      <w:pPr>
        <w:ind w:firstLine="560"/>
        <w:rPr>
          <w:rFonts w:hint="eastAsia" w:ascii="仿宋" w:hAnsi="仿宋" w:eastAsia="仿宋"/>
        </w:rPr>
      </w:pPr>
      <w:r>
        <w:rPr>
          <w:rFonts w:hint="eastAsia" w:ascii="仿宋" w:hAnsi="仿宋" w:eastAsia="仿宋"/>
        </w:rPr>
        <w:t>要求依据原有系统功能进行国产化的升级改造，通过对原有系统进行功能调试使系统可在国产化服务器、数据库及终端上可正常操作使用。根据新的软硬件环境，对原有的系统页面、脚本等进行适应性改造。</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国产化数据库适配</w:t>
      </w:r>
    </w:p>
    <w:p>
      <w:pPr>
        <w:ind w:firstLine="560"/>
        <w:rPr>
          <w:rFonts w:hint="eastAsia" w:ascii="仿宋" w:hAnsi="仿宋" w:eastAsia="仿宋"/>
        </w:rPr>
      </w:pPr>
      <w:r>
        <w:rPr>
          <w:rFonts w:hint="eastAsia" w:ascii="仿宋" w:hAnsi="仿宋" w:eastAsia="仿宋"/>
        </w:rPr>
        <w:t>要求通过改造使应用系统可以运行于国产化数据库环境下。在现有业务系统数据库架构、内容、标准维持不变的前提下，在国产化数据库的环境中搭建数据库架构，并迁移相关业务数据，实现数据库实例在国产化环境下的完全迁移恢复。</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国产化浏览器适配</w:t>
      </w:r>
    </w:p>
    <w:p>
      <w:pPr>
        <w:ind w:firstLine="560"/>
        <w:rPr>
          <w:rFonts w:hint="eastAsia" w:ascii="仿宋" w:hAnsi="仿宋" w:eastAsia="仿宋"/>
        </w:rPr>
      </w:pPr>
      <w:r>
        <w:rPr>
          <w:rFonts w:hint="eastAsia" w:ascii="仿宋" w:hAnsi="仿宋" w:eastAsia="仿宋"/>
        </w:rPr>
        <w:t>要求通过改造使用户在国产化终端设备上通过配套的国产化浏览器访问各应用。改造后对于原应用的页面样式、操作方式、用户体验等各类终端效果必须保持一致。</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长宁材料库建设</w:t>
      </w:r>
    </w:p>
    <w:p>
      <w:pPr>
        <w:ind w:firstLine="560"/>
        <w:rPr>
          <w:rFonts w:hint="eastAsia" w:ascii="仿宋" w:hAnsi="仿宋" w:eastAsia="仿宋"/>
        </w:rPr>
      </w:pPr>
      <w:r>
        <w:rPr>
          <w:rFonts w:hint="eastAsia" w:ascii="仿宋" w:hAnsi="仿宋" w:eastAsia="仿宋"/>
        </w:rPr>
        <w:t>要求建设长宁材料库的相关功能，将已完成清理拆分的数据放入长宁材料库中，与未拆分清理及历史数据进行区分，支持后续业务使用及其他系统的调用使用。功能包括且不限于：档案修改、附件上传、分类数据统计、年数据统计。</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数据梳理</w:t>
      </w:r>
    </w:p>
    <w:p>
      <w:pPr>
        <w:ind w:firstLine="560"/>
        <w:rPr>
          <w:rFonts w:hint="eastAsia" w:ascii="仿宋" w:hAnsi="仿宋" w:eastAsia="仿宋"/>
        </w:rPr>
      </w:pPr>
      <w:r>
        <w:rPr>
          <w:rFonts w:hint="eastAsia" w:ascii="仿宋" w:hAnsi="仿宋" w:eastAsia="仿宋"/>
        </w:rPr>
        <w:t>要求依据现有档案情况，对已存在的电子档案配合现有业务情况进行档案拆分，以满足现有业务的需求，便于后续业务的有序开展。</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绿化市容局材料接口建设</w:t>
      </w:r>
    </w:p>
    <w:p>
      <w:pPr>
        <w:ind w:firstLine="560"/>
        <w:rPr>
          <w:rFonts w:hint="eastAsia" w:ascii="仿宋" w:hAnsi="仿宋" w:eastAsia="仿宋"/>
        </w:rPr>
      </w:pPr>
      <w:r>
        <w:rPr>
          <w:rFonts w:hint="eastAsia" w:ascii="仿宋" w:hAnsi="仿宋" w:eastAsia="仿宋"/>
        </w:rPr>
        <w:t>要求建设与相关电子材料库的数据接口，旨在实现各类事项材料的便捷传输。通过构建这一数据接口，能够有效提升信息流通效率，确保各类事项档案材料、附件材料及相关数据在相关部门之间的顺畅传递。</w:t>
      </w:r>
    </w:p>
    <w:p>
      <w:pPr>
        <w:ind w:firstLine="560"/>
        <w:rPr>
          <w:rFonts w:hint="eastAsia" w:ascii="仿宋" w:hAnsi="仿宋" w:eastAsia="仿宋"/>
          <w:szCs w:val="21"/>
        </w:rPr>
      </w:pPr>
    </w:p>
    <w:p>
      <w:pPr>
        <w:pStyle w:val="4"/>
        <w:rPr>
          <w:rFonts w:hint="eastAsia" w:ascii="仿宋" w:hAnsi="仿宋" w:eastAsia="仿宋"/>
        </w:rPr>
      </w:pPr>
      <w:r>
        <w:rPr>
          <w:rFonts w:hint="eastAsia" w:ascii="仿宋" w:hAnsi="仿宋" w:eastAsia="仿宋"/>
        </w:rPr>
        <w:t>各系统联动</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档案处理场所出入核验模块-摄像机联动与画面留存</w:t>
      </w:r>
    </w:p>
    <w:p>
      <w:pPr>
        <w:ind w:firstLine="560"/>
        <w:rPr>
          <w:rFonts w:hint="eastAsia" w:ascii="仿宋" w:hAnsi="仿宋" w:eastAsia="仿宋"/>
          <w:szCs w:val="21"/>
        </w:rPr>
      </w:pPr>
      <w:r>
        <w:rPr>
          <w:rFonts w:hint="eastAsia" w:ascii="仿宋" w:hAnsi="仿宋" w:eastAsia="仿宋"/>
          <w:szCs w:val="21"/>
        </w:rPr>
        <w:t>新增摄像机联动与画面留存：</w:t>
      </w:r>
      <w:r>
        <w:rPr>
          <w:rFonts w:ascii="仿宋" w:hAnsi="仿宋" w:eastAsia="仿宋"/>
          <w:szCs w:val="21"/>
        </w:rPr>
        <w:t>当有人员进入监控区域时，系统自动控制摄像机进行实时画面截图</w:t>
      </w:r>
      <w:r>
        <w:rPr>
          <w:rFonts w:hint="eastAsia" w:ascii="仿宋" w:hAnsi="仿宋" w:eastAsia="仿宋"/>
          <w:szCs w:val="21"/>
        </w:rPr>
        <w:t>用于智能比对分析</w:t>
      </w:r>
      <w:r>
        <w:rPr>
          <w:rFonts w:ascii="仿宋" w:hAnsi="仿宋" w:eastAsia="仿宋"/>
          <w:szCs w:val="21"/>
        </w:rPr>
        <w:t>，</w:t>
      </w:r>
      <w:r>
        <w:rPr>
          <w:rFonts w:hint="eastAsia" w:ascii="仿宋" w:hAnsi="仿宋" w:eastAsia="仿宋"/>
          <w:szCs w:val="21"/>
        </w:rPr>
        <w:t>截图包含进入人员面部情况、进入时间等数据</w:t>
      </w:r>
      <w:r>
        <w:rPr>
          <w:rFonts w:ascii="仿宋" w:hAnsi="仿宋" w:eastAsia="仿宋"/>
          <w:szCs w:val="21"/>
        </w:rPr>
        <w:t>。所有截图均同步存储至系统数据库，为事后溯源核查提供可靠依据。</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档案处理场所出入核验模块- AI人脸识别比对</w:t>
      </w:r>
    </w:p>
    <w:p>
      <w:pPr>
        <w:ind w:firstLine="560"/>
        <w:rPr>
          <w:rFonts w:hint="eastAsia" w:ascii="仿宋" w:hAnsi="仿宋" w:eastAsia="仿宋"/>
          <w:szCs w:val="21"/>
        </w:rPr>
      </w:pPr>
      <w:r>
        <w:rPr>
          <w:rFonts w:hint="eastAsia" w:ascii="仿宋" w:hAnsi="仿宋" w:eastAsia="仿宋"/>
          <w:szCs w:val="21"/>
        </w:rPr>
        <w:t>新增智能人脸识别比对：通过摄像机识别进入室内人员情况，目前进入装裱修复室、数字化加工场所、档案接收室、未开放档案查阅室内要求采用刷卡管理机制，识别人卡不一致或进入室内人员非白名单人员时自动触发智能事件报警。</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档案处理场所出入核验模块-档案处理场所人员核验报警事件中心</w:t>
      </w:r>
    </w:p>
    <w:p>
      <w:pPr>
        <w:ind w:firstLine="560"/>
        <w:rPr>
          <w:rFonts w:hint="eastAsia" w:ascii="仿宋" w:hAnsi="仿宋" w:eastAsia="仿宋"/>
          <w:szCs w:val="21"/>
        </w:rPr>
      </w:pPr>
      <w:r>
        <w:rPr>
          <w:rFonts w:hint="eastAsia" w:ascii="仿宋" w:hAnsi="仿宋" w:eastAsia="仿宋"/>
          <w:szCs w:val="21"/>
        </w:rPr>
        <w:t>新增档案处理场所</w:t>
      </w:r>
      <w:r>
        <w:rPr>
          <w:rFonts w:hint="eastAsia" w:ascii="仿宋" w:hAnsi="仿宋" w:eastAsia="仿宋"/>
          <w:szCs w:val="28"/>
        </w:rPr>
        <w:t>人员</w:t>
      </w:r>
      <w:r>
        <w:rPr>
          <w:rFonts w:hint="eastAsia" w:ascii="仿宋" w:hAnsi="仿宋" w:eastAsia="仿宋"/>
          <w:szCs w:val="21"/>
        </w:rPr>
        <w:t>核验报警事件中心：在长宁区数字档案馆综合业务信息管理平台的“平安档案馆</w:t>
      </w:r>
      <w:r>
        <w:rPr>
          <w:rFonts w:ascii="仿宋" w:hAnsi="仿宋" w:eastAsia="仿宋"/>
          <w:szCs w:val="21"/>
        </w:rPr>
        <w:t>/</w:t>
      </w:r>
      <w:r>
        <w:rPr>
          <w:rFonts w:hint="eastAsia" w:ascii="仿宋" w:hAnsi="仿宋" w:eastAsia="仿宋"/>
          <w:szCs w:val="21"/>
        </w:rPr>
        <w:t>安全中心”模块，新增“档案处理场所监测报警事件”子模块界面，支持报警区域、报警等级、报警时间、报警图片、报警录像入口等信息管理。</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档案处理场所出入核验模块-档案处理场所出入核验模块呈现</w:t>
      </w:r>
    </w:p>
    <w:p>
      <w:pPr>
        <w:ind w:firstLine="560"/>
        <w:rPr>
          <w:rFonts w:hint="eastAsia" w:ascii="仿宋" w:hAnsi="仿宋" w:eastAsia="仿宋"/>
          <w:szCs w:val="21"/>
        </w:rPr>
      </w:pPr>
      <w:r>
        <w:rPr>
          <w:rFonts w:hint="eastAsia" w:ascii="仿宋" w:hAnsi="仿宋" w:eastAsia="仿宋"/>
          <w:szCs w:val="21"/>
        </w:rPr>
        <w:t>新增档案处理场所出入核验模块呈现：在长宁区数字档案馆综合业务信息管理平台的“平安档案馆”模块界面中，增加功能应用呈现。</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公共区域AI安全管控功能-库房外走道AI人脸识别对比</w:t>
      </w:r>
    </w:p>
    <w:p>
      <w:pPr>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1"/>
        </w:rPr>
        <w:t>库房外走道智能人脸识别对比</w:t>
      </w:r>
      <w:r>
        <w:rPr>
          <w:rFonts w:hint="eastAsia" w:ascii="仿宋" w:hAnsi="仿宋" w:eastAsia="仿宋"/>
          <w:szCs w:val="21"/>
        </w:rPr>
        <w:t>：通过摄像机识别进入库房外部走道区域情况，目前进入库房外部走道区域要求采用刷卡管理机制，识别人卡不一致或进入室内人员非白名单人员时自动触发智能事件报警：</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公共区域AI安全管控功能-行人摔倒监测</w:t>
      </w:r>
    </w:p>
    <w:p>
      <w:pPr>
        <w:ind w:firstLine="560"/>
        <w:rPr>
          <w:rFonts w:hint="eastAsia" w:ascii="仿宋" w:hAnsi="仿宋" w:eastAsia="仿宋"/>
          <w:szCs w:val="21"/>
        </w:rPr>
      </w:pPr>
      <w:r>
        <w:rPr>
          <w:rFonts w:hint="eastAsia" w:ascii="仿宋" w:hAnsi="仿宋" w:eastAsia="仿宋"/>
          <w:szCs w:val="21"/>
        </w:rPr>
        <w:t>新增行人摔倒监测：提供1F公共区域、B1展厅、B1史志查阅室、1楼展厅进行智能行人摔倒分析功能，精准判断区域内是否有人员发生摔倒行为。一旦识别到摔倒事件，立即触发截图与录像留存，记录事件发生前后的关键画面，并存储至系统数据库，为事后溯源与情况核查提供直观依据。</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公共区域AI安全管控功能-公共区域异常用火行为分析监测</w:t>
      </w:r>
    </w:p>
    <w:p>
      <w:pPr>
        <w:tabs>
          <w:tab w:val="left" w:pos="720"/>
        </w:tabs>
        <w:ind w:firstLine="560"/>
        <w:rPr>
          <w:rFonts w:hint="eastAsia" w:ascii="仿宋" w:hAnsi="仿宋" w:eastAsia="仿宋"/>
          <w:szCs w:val="21"/>
        </w:rPr>
      </w:pPr>
      <w:r>
        <w:rPr>
          <w:rFonts w:hint="eastAsia" w:ascii="仿宋" w:hAnsi="仿宋" w:eastAsia="仿宋"/>
          <w:szCs w:val="21"/>
        </w:rPr>
        <w:t>新增公共</w:t>
      </w:r>
      <w:r>
        <w:rPr>
          <w:rFonts w:hint="eastAsia" w:ascii="仿宋" w:hAnsi="仿宋" w:eastAsia="仿宋"/>
          <w:szCs w:val="28"/>
        </w:rPr>
        <w:t>区域异常</w:t>
      </w:r>
      <w:r>
        <w:rPr>
          <w:rFonts w:hint="eastAsia" w:ascii="仿宋" w:hAnsi="仿宋" w:eastAsia="仿宋"/>
          <w:szCs w:val="21"/>
        </w:rPr>
        <w:t>用火行为分析监测：</w:t>
      </w:r>
      <w:r>
        <w:rPr>
          <w:rFonts w:ascii="仿宋" w:hAnsi="仿宋" w:eastAsia="仿宋"/>
          <w:szCs w:val="21"/>
        </w:rPr>
        <w:t>通过识别烟雾、手持香烟、点火动作等特征，精准监测区域内人员的违规吸烟行为。识别到抽烟行为后，立即触发截图留存，为</w:t>
      </w:r>
      <w:r>
        <w:rPr>
          <w:rFonts w:hint="eastAsia" w:ascii="仿宋" w:hAnsi="仿宋" w:eastAsia="仿宋"/>
          <w:szCs w:val="21"/>
        </w:rPr>
        <w:t>后续</w:t>
      </w:r>
      <w:r>
        <w:rPr>
          <w:rFonts w:ascii="仿宋" w:hAnsi="仿宋" w:eastAsia="仿宋"/>
          <w:szCs w:val="21"/>
        </w:rPr>
        <w:t>违规处理提供支持。</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公共区域AI安全管控功能-报警程度分析</w:t>
      </w:r>
    </w:p>
    <w:p>
      <w:pPr>
        <w:ind w:firstLine="560"/>
        <w:rPr>
          <w:rFonts w:hint="eastAsia" w:ascii="仿宋" w:hAnsi="仿宋" w:eastAsia="仿宋"/>
          <w:szCs w:val="21"/>
        </w:rPr>
      </w:pPr>
      <w:r>
        <w:rPr>
          <w:rFonts w:hint="eastAsia" w:ascii="仿宋" w:hAnsi="仿宋" w:eastAsia="仿宋"/>
          <w:szCs w:val="21"/>
        </w:rPr>
        <w:t>新增报警程度分析：针对办公区域陌生人进出提醒模块、行人摔倒监测、公共区域用火监测等报警事件划分为不同等级，便于差异化处置：</w:t>
      </w:r>
    </w:p>
    <w:p>
      <w:pPr>
        <w:ind w:firstLine="560"/>
        <w:rPr>
          <w:rFonts w:hint="eastAsia" w:ascii="仿宋" w:hAnsi="仿宋" w:eastAsia="仿宋"/>
          <w:szCs w:val="21"/>
        </w:rPr>
      </w:pPr>
      <w:r>
        <w:rPr>
          <w:rFonts w:hint="eastAsia" w:ascii="仿宋" w:hAnsi="仿宋" w:eastAsia="仿宋"/>
          <w:szCs w:val="21"/>
        </w:rPr>
        <w:t>紧急报警：库房走道区域出现非白名单人员、行人摔倒长时间（如超过30秒）未起、馆内区域出现抽烟等异常情况；</w:t>
      </w:r>
    </w:p>
    <w:p>
      <w:pPr>
        <w:ind w:firstLine="560"/>
        <w:rPr>
          <w:rFonts w:hint="eastAsia" w:ascii="仿宋" w:hAnsi="仿宋" w:eastAsia="仿宋"/>
          <w:szCs w:val="21"/>
        </w:rPr>
      </w:pPr>
      <w:r>
        <w:rPr>
          <w:rFonts w:hint="eastAsia" w:ascii="仿宋" w:hAnsi="仿宋" w:eastAsia="仿宋"/>
          <w:szCs w:val="21"/>
        </w:rPr>
        <w:t>普通报警：出现行人摔倒等情况；</w:t>
      </w:r>
    </w:p>
    <w:p>
      <w:pPr>
        <w:ind w:firstLine="560"/>
        <w:rPr>
          <w:rFonts w:hint="eastAsia" w:ascii="仿宋" w:hAnsi="仿宋" w:eastAsia="仿宋"/>
          <w:szCs w:val="21"/>
        </w:rPr>
      </w:pPr>
      <w:r>
        <w:rPr>
          <w:rFonts w:hint="eastAsia" w:ascii="仿宋" w:hAnsi="仿宋" w:eastAsia="仿宋"/>
          <w:szCs w:val="21"/>
        </w:rPr>
        <w:t>普通预警：办公区域出现非白名单人员等情况。</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公共区域AI安全管控功能-公共区域AI安全管控功能呈现</w:t>
      </w:r>
    </w:p>
    <w:p>
      <w:pPr>
        <w:ind w:firstLine="560"/>
        <w:rPr>
          <w:rFonts w:hint="eastAsia" w:ascii="仿宋" w:hAnsi="仿宋" w:eastAsia="仿宋"/>
          <w:szCs w:val="21"/>
        </w:rPr>
      </w:pPr>
      <w:r>
        <w:rPr>
          <w:rFonts w:hint="eastAsia" w:ascii="仿宋" w:hAnsi="仿宋" w:eastAsia="仿宋"/>
          <w:szCs w:val="21"/>
        </w:rPr>
        <w:t>新增公共区域</w:t>
      </w:r>
      <w:r>
        <w:rPr>
          <w:rFonts w:hint="eastAsia" w:ascii="仿宋" w:hAnsi="仿宋" w:eastAsia="仿宋"/>
          <w:szCs w:val="28"/>
        </w:rPr>
        <w:t>智能</w:t>
      </w:r>
      <w:r>
        <w:rPr>
          <w:rFonts w:hint="eastAsia" w:ascii="仿宋" w:hAnsi="仿宋" w:eastAsia="仿宋"/>
          <w:szCs w:val="21"/>
        </w:rPr>
        <w:t>安全管控功能呈现：在长宁区数字档案馆综合业务信息管理平台的“平安档案馆”模块界面中，增加功能应用：</w:t>
      </w:r>
    </w:p>
    <w:p>
      <w:pPr>
        <w:ind w:firstLine="560"/>
        <w:rPr>
          <w:rFonts w:hint="eastAsia" w:ascii="仿宋" w:hAnsi="仿宋" w:eastAsia="仿宋"/>
          <w:szCs w:val="21"/>
        </w:rPr>
      </w:pPr>
      <w:r>
        <w:rPr>
          <w:rFonts w:hint="eastAsia" w:ascii="仿宋" w:hAnsi="仿宋" w:eastAsia="仿宋"/>
          <w:szCs w:val="21"/>
        </w:rPr>
        <w:t>1.行人摔倒及公共区域异常用火行为等异常画面监测接入长宁区数字档案馆综合业务信息管理平台已建设的报警弹窗提醒。</w:t>
      </w:r>
    </w:p>
    <w:p>
      <w:pPr>
        <w:ind w:firstLine="560"/>
        <w:rPr>
          <w:rFonts w:hint="eastAsia" w:ascii="仿宋" w:hAnsi="仿宋" w:eastAsia="仿宋"/>
          <w:szCs w:val="21"/>
        </w:rPr>
      </w:pPr>
      <w:r>
        <w:rPr>
          <w:rFonts w:hint="eastAsia" w:ascii="仿宋" w:hAnsi="仿宋" w:eastAsia="仿宋"/>
          <w:szCs w:val="21"/>
        </w:rPr>
        <w:t>2.在长宁区数字档案馆综合业务信息管理平台的“平安档案馆/安全中心”模块，新增“档案处理场所监测报警事件”子模块界面，支持报警区域、报警等级、报警时间、报警图片、报警录像入口等信息管理。</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展厅及大楼出入口人流统计模块-</w:t>
      </w:r>
      <w:r>
        <w:rPr>
          <w:rFonts w:ascii="仿宋" w:hAnsi="仿宋" w:eastAsia="仿宋"/>
          <w:b/>
          <w:bCs/>
          <w:sz w:val="28"/>
          <w:szCs w:val="21"/>
        </w:rPr>
        <w:t>人流量管理系统数据对接</w:t>
      </w:r>
    </w:p>
    <w:p>
      <w:pPr>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1"/>
        </w:rPr>
        <w:t>人流量管理系统数据对接</w:t>
      </w:r>
      <w:r>
        <w:rPr>
          <w:rFonts w:hint="eastAsia" w:ascii="仿宋" w:hAnsi="仿宋" w:eastAsia="仿宋"/>
          <w:szCs w:val="21"/>
        </w:rPr>
        <w:t>：</w:t>
      </w:r>
      <w:r>
        <w:rPr>
          <w:rFonts w:ascii="仿宋" w:hAnsi="仿宋" w:eastAsia="仿宋"/>
          <w:szCs w:val="21"/>
        </w:rPr>
        <w:t>对接新增的多维客流摄像机软件平台，实时获取由</w:t>
      </w:r>
      <w:r>
        <w:rPr>
          <w:rFonts w:hint="eastAsia" w:ascii="仿宋" w:hAnsi="仿宋" w:eastAsia="仿宋"/>
          <w:szCs w:val="21"/>
        </w:rPr>
        <w:t>客流摄像机</w:t>
      </w:r>
      <w:r>
        <w:rPr>
          <w:rFonts w:ascii="仿宋" w:hAnsi="仿宋" w:eastAsia="仿宋"/>
          <w:szCs w:val="21"/>
        </w:rPr>
        <w:t>计算并上传的进出人数、实时在场人数等高精度数据。</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展厅及大楼出入口人流统计模块-展厅及大楼出入口人流量监测</w:t>
      </w:r>
    </w:p>
    <w:p>
      <w:pPr>
        <w:ind w:firstLine="560"/>
        <w:rPr>
          <w:rFonts w:hint="eastAsia" w:ascii="仿宋" w:hAnsi="仿宋" w:eastAsia="仿宋"/>
          <w:szCs w:val="21"/>
        </w:rPr>
      </w:pPr>
      <w:r>
        <w:rPr>
          <w:rFonts w:hint="eastAsia" w:ascii="仿宋" w:hAnsi="仿宋" w:eastAsia="仿宋"/>
          <w:szCs w:val="21"/>
        </w:rPr>
        <w:t>新增展厅及大楼</w:t>
      </w:r>
      <w:r>
        <w:rPr>
          <w:rFonts w:hint="eastAsia" w:ascii="仿宋" w:hAnsi="仿宋" w:eastAsia="仿宋"/>
          <w:szCs w:val="28"/>
        </w:rPr>
        <w:t>出入口</w:t>
      </w:r>
      <w:r>
        <w:rPr>
          <w:rFonts w:hint="eastAsia" w:ascii="仿宋" w:hAnsi="仿宋" w:eastAsia="仿宋"/>
          <w:szCs w:val="21"/>
        </w:rPr>
        <w:t>人流量监测：</w:t>
      </w:r>
      <w:r>
        <w:rPr>
          <w:rFonts w:ascii="仿宋" w:hAnsi="仿宋" w:eastAsia="仿宋"/>
          <w:szCs w:val="21"/>
        </w:rPr>
        <w:t>通过人流量管理系统传出数据判断B1、1F展厅</w:t>
      </w:r>
      <w:r>
        <w:rPr>
          <w:rFonts w:hint="eastAsia" w:ascii="仿宋" w:hAnsi="仿宋" w:eastAsia="仿宋"/>
          <w:szCs w:val="21"/>
        </w:rPr>
        <w:t>、大楼入口处</w:t>
      </w:r>
      <w:r>
        <w:rPr>
          <w:rFonts w:ascii="仿宋" w:hAnsi="仿宋" w:eastAsia="仿宋"/>
          <w:szCs w:val="21"/>
        </w:rPr>
        <w:t>进出人数统计数据，并对从客流系统获取的原始数据进行接收、清洗和标准化处理。</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统一应用接入-</w:t>
      </w:r>
      <w:r>
        <w:rPr>
          <w:rFonts w:ascii="仿宋" w:hAnsi="仿宋" w:eastAsia="仿宋"/>
          <w:b/>
          <w:bCs/>
          <w:sz w:val="28"/>
          <w:szCs w:val="21"/>
        </w:rPr>
        <w:t>馆藏档案综合管理系统</w:t>
      </w:r>
      <w:r>
        <w:rPr>
          <w:rFonts w:hint="eastAsia" w:ascii="仿宋" w:hAnsi="仿宋" w:eastAsia="仿宋"/>
          <w:b/>
          <w:bCs/>
          <w:sz w:val="28"/>
          <w:szCs w:val="21"/>
        </w:rPr>
        <w:t>统一门户</w:t>
      </w:r>
    </w:p>
    <w:p>
      <w:pPr>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1"/>
        </w:rPr>
        <w:t>馆藏档案综合管理系统</w:t>
      </w:r>
      <w:r>
        <w:rPr>
          <w:rFonts w:hint="eastAsia" w:ascii="仿宋" w:hAnsi="仿宋" w:eastAsia="仿宋"/>
          <w:szCs w:val="21"/>
        </w:rPr>
        <w:t>统一门户：</w:t>
      </w:r>
      <w:r>
        <w:rPr>
          <w:rFonts w:ascii="仿宋" w:hAnsi="仿宋" w:eastAsia="仿宋"/>
          <w:szCs w:val="21"/>
        </w:rPr>
        <w:t>实现长宁区数字档案馆馆藏档案综合管理系统单点登录功能，管理员在</w:t>
      </w:r>
      <w:r>
        <w:rPr>
          <w:rFonts w:hint="eastAsia" w:ascii="仿宋" w:hAnsi="仿宋" w:eastAsia="仿宋"/>
          <w:szCs w:val="21"/>
        </w:rPr>
        <w:t>长宁区数字档案馆综合业务信息管理</w:t>
      </w:r>
      <w:r>
        <w:rPr>
          <w:rFonts w:ascii="仿宋" w:hAnsi="仿宋" w:eastAsia="仿宋"/>
          <w:szCs w:val="21"/>
        </w:rPr>
        <w:t>平台登录后，无需重复输入账号密码，即可通过统一入口跳转至馆藏档案综合管理系统，同时完成认证信息同步与会话生命周期管理，提升跨系统操作效率。</w:t>
      </w:r>
    </w:p>
    <w:p>
      <w:pPr>
        <w:pStyle w:val="61"/>
        <w:numPr>
          <w:ilvl w:val="0"/>
          <w:numId w:val="5"/>
        </w:numPr>
        <w:ind w:firstLineChars="0"/>
        <w:rPr>
          <w:rFonts w:hint="eastAsia" w:ascii="仿宋" w:hAnsi="仿宋" w:eastAsia="仿宋"/>
          <w:b/>
          <w:bCs/>
          <w:sz w:val="28"/>
          <w:szCs w:val="21"/>
        </w:rPr>
      </w:pPr>
      <w:r>
        <w:rPr>
          <w:rFonts w:hint="eastAsia" w:ascii="仿宋" w:hAnsi="仿宋" w:eastAsia="仿宋"/>
          <w:b/>
          <w:bCs/>
          <w:sz w:val="28"/>
          <w:szCs w:val="21"/>
        </w:rPr>
        <w:t>统一应用接入-</w:t>
      </w:r>
      <w:r>
        <w:rPr>
          <w:rFonts w:ascii="仿宋" w:hAnsi="仿宋" w:eastAsia="仿宋"/>
          <w:b/>
          <w:bCs/>
          <w:sz w:val="28"/>
          <w:szCs w:val="21"/>
        </w:rPr>
        <w:t>统一门户呈现</w:t>
      </w:r>
    </w:p>
    <w:p>
      <w:pPr>
        <w:ind w:firstLine="560"/>
        <w:rPr>
          <w:rFonts w:hint="eastAsia" w:ascii="仿宋" w:hAnsi="仿宋" w:eastAsia="仿宋"/>
          <w:szCs w:val="21"/>
        </w:rPr>
      </w:pPr>
      <w:r>
        <w:rPr>
          <w:rFonts w:hint="eastAsia" w:ascii="仿宋" w:hAnsi="仿宋" w:eastAsia="仿宋"/>
          <w:szCs w:val="21"/>
        </w:rPr>
        <w:t>新增</w:t>
      </w:r>
      <w:r>
        <w:rPr>
          <w:rFonts w:ascii="仿宋" w:hAnsi="仿宋" w:eastAsia="仿宋"/>
          <w:szCs w:val="21"/>
        </w:rPr>
        <w:t>统一</w:t>
      </w:r>
      <w:r>
        <w:rPr>
          <w:rFonts w:ascii="仿宋" w:hAnsi="仿宋" w:eastAsia="仿宋"/>
          <w:szCs w:val="28"/>
        </w:rPr>
        <w:t>门户</w:t>
      </w:r>
      <w:r>
        <w:rPr>
          <w:rFonts w:ascii="仿宋" w:hAnsi="仿宋" w:eastAsia="仿宋"/>
          <w:szCs w:val="21"/>
        </w:rPr>
        <w:t>呈现</w:t>
      </w:r>
      <w:r>
        <w:rPr>
          <w:rFonts w:hint="eastAsia" w:ascii="仿宋" w:hAnsi="仿宋" w:eastAsia="仿宋"/>
          <w:szCs w:val="21"/>
        </w:rPr>
        <w:t>：</w:t>
      </w:r>
      <w:r>
        <w:rPr>
          <w:rFonts w:ascii="仿宋" w:hAnsi="仿宋" w:eastAsia="仿宋"/>
          <w:szCs w:val="21"/>
        </w:rPr>
        <w:t>在“首页”模块新增馆藏档案综合管理系统统一入口，设计符合</w:t>
      </w:r>
      <w:r>
        <w:rPr>
          <w:rFonts w:hint="eastAsia" w:ascii="仿宋" w:hAnsi="仿宋" w:eastAsia="仿宋"/>
          <w:szCs w:val="21"/>
        </w:rPr>
        <w:t>长宁区数字档案馆综合业务信息管理平台</w:t>
      </w:r>
      <w:r>
        <w:rPr>
          <w:rFonts w:ascii="仿宋" w:hAnsi="仿宋" w:eastAsia="仿宋"/>
          <w:szCs w:val="21"/>
        </w:rPr>
        <w:t>首页风格的图标与导航样式，管理员无需记忆独立网址，通过</w:t>
      </w:r>
      <w:r>
        <w:rPr>
          <w:rFonts w:hint="eastAsia" w:ascii="仿宋" w:hAnsi="仿宋" w:eastAsia="仿宋"/>
          <w:szCs w:val="21"/>
        </w:rPr>
        <w:t>长宁区数字档案馆综合业务信息管理平台</w:t>
      </w:r>
      <w:r>
        <w:rPr>
          <w:rFonts w:ascii="仿宋" w:hAnsi="仿宋" w:eastAsia="仿宋"/>
          <w:szCs w:val="21"/>
        </w:rPr>
        <w:t>首页即可快速进入。</w:t>
      </w:r>
    </w:p>
    <w:p>
      <w:pPr>
        <w:ind w:firstLine="560"/>
        <w:rPr>
          <w:rFonts w:hint="eastAsia" w:ascii="仿宋" w:hAnsi="仿宋" w:eastAsia="仿宋"/>
          <w:szCs w:val="21"/>
        </w:rPr>
      </w:pPr>
    </w:p>
    <w:p>
      <w:pPr>
        <w:pStyle w:val="3"/>
        <w:rPr>
          <w:rFonts w:hint="eastAsia" w:ascii="仿宋" w:hAnsi="仿宋" w:eastAsia="仿宋"/>
        </w:rPr>
      </w:pPr>
      <w:r>
        <w:rPr>
          <w:rFonts w:hint="eastAsia" w:ascii="仿宋" w:hAnsi="仿宋" w:eastAsia="仿宋"/>
        </w:rPr>
        <w:t>软件开发配套硬件设备建设</w:t>
      </w:r>
    </w:p>
    <w:p>
      <w:pPr>
        <w:ind w:firstLine="560"/>
        <w:rPr>
          <w:rFonts w:hint="eastAsia" w:ascii="仿宋" w:hAnsi="仿宋" w:eastAsia="仿宋"/>
          <w:szCs w:val="28"/>
        </w:rPr>
      </w:pPr>
      <w:bookmarkStart w:id="31" w:name="_Toc43286666"/>
      <w:bookmarkStart w:id="32" w:name="_Toc24083"/>
      <w:bookmarkStart w:id="33" w:name="_Toc24088"/>
      <w:bookmarkStart w:id="34" w:name="_Toc47966797"/>
      <w:r>
        <w:rPr>
          <w:rFonts w:hint="eastAsia" w:ascii="仿宋" w:hAnsi="仿宋" w:eastAsia="仿宋"/>
          <w:szCs w:val="28"/>
        </w:rPr>
        <w:t>需配置10台人流量识别摄像机，用于对档案馆外来人员、B1展厅、B1史志查阅室及1F展厅的人流量进行实时统计；同步配置配套人流量识别软件及相应摄像机监控平台授权许可，保障摄像机线路联通及功能正常发挥；供应商需充分考虑并承担人流量管理系统与原有“长宁区数字档案馆综合业务信息管理平台”的对接相关费用。</w:t>
      </w:r>
    </w:p>
    <w:p>
      <w:pPr>
        <w:ind w:firstLine="560"/>
        <w:rPr>
          <w:rFonts w:hint="eastAsia" w:ascii="仿宋" w:hAnsi="仿宋" w:eastAsia="仿宋"/>
          <w:szCs w:val="28"/>
        </w:rPr>
      </w:pPr>
      <w:r>
        <w:rPr>
          <w:rFonts w:hint="eastAsia" w:ascii="仿宋" w:hAnsi="仿宋" w:eastAsia="仿宋"/>
          <w:szCs w:val="28"/>
        </w:rPr>
        <w:t>共计配置48台摄像机，其中24台用于库房出入口管控，24台用于馆内部分区域智能分析工作，全面覆盖库房安全及馆内重点区域智能管控需求。</w:t>
      </w:r>
    </w:p>
    <w:p>
      <w:pPr>
        <w:ind w:firstLine="560"/>
        <w:rPr>
          <w:rFonts w:hint="eastAsia" w:ascii="仿宋" w:hAnsi="仿宋" w:eastAsia="仿宋"/>
          <w:szCs w:val="28"/>
        </w:rPr>
      </w:pPr>
      <w:r>
        <w:rPr>
          <w:rFonts w:hint="eastAsia" w:ascii="仿宋" w:hAnsi="仿宋" w:eastAsia="仿宋"/>
          <w:szCs w:val="28"/>
        </w:rPr>
        <w:t>配置配套且足量的监控许可、监控交换机、硬盘录像机、监控级硬盘及传输网线，用于本项目所有摄像机的接入、信号传输及监控数据存储；监控画面需满足7×24小时不间断录像要求，录像存储时长不低于半年，确保监控数据可追溯、可核查。</w:t>
      </w:r>
    </w:p>
    <w:p>
      <w:pPr>
        <w:ind w:firstLine="560"/>
        <w:rPr>
          <w:rFonts w:hint="eastAsia" w:ascii="仿宋" w:hAnsi="仿宋" w:eastAsia="仿宋"/>
          <w:szCs w:val="21"/>
        </w:rPr>
      </w:pPr>
      <w:r>
        <w:rPr>
          <w:rFonts w:hint="eastAsia" w:ascii="仿宋" w:hAnsi="仿宋" w:eastAsia="仿宋"/>
          <w:szCs w:val="21"/>
        </w:rPr>
        <w:t>配置一台</w:t>
      </w:r>
      <w:r>
        <w:rPr>
          <w:rFonts w:hint="eastAsia" w:ascii="仿宋" w:hAnsi="仿宋" w:eastAsia="仿宋"/>
          <w:szCs w:val="28"/>
        </w:rPr>
        <w:t>国产部署与储存</w:t>
      </w:r>
      <w:r>
        <w:rPr>
          <w:rFonts w:hint="eastAsia" w:ascii="仿宋" w:hAnsi="仿宋" w:eastAsia="仿宋"/>
          <w:szCs w:val="21"/>
        </w:rPr>
        <w:t>服务器，</w:t>
      </w:r>
      <w:r>
        <w:rPr>
          <w:rFonts w:ascii="仿宋" w:hAnsi="仿宋" w:eastAsia="仿宋"/>
          <w:szCs w:val="21"/>
        </w:rPr>
        <w:t>支持双系统硬盘配置，专用存储用途，符合国家信息技术应用创新相关标准</w:t>
      </w:r>
      <w:r>
        <w:rPr>
          <w:rFonts w:hint="eastAsia" w:ascii="仿宋" w:hAnsi="仿宋" w:eastAsia="仿宋"/>
          <w:szCs w:val="21"/>
        </w:rPr>
        <w:t>；</w:t>
      </w:r>
      <w:r>
        <w:rPr>
          <w:rFonts w:ascii="仿宋" w:hAnsi="仿宋" w:eastAsia="仿宋"/>
          <w:szCs w:val="21"/>
        </w:rPr>
        <w:t>硬盘容量不小于4TB，支持硬盘热插拔，适配双系统硬盘部署需求</w:t>
      </w:r>
      <w:r>
        <w:rPr>
          <w:rFonts w:hint="eastAsia" w:ascii="仿宋" w:hAnsi="仿宋" w:eastAsia="仿宋"/>
          <w:szCs w:val="21"/>
        </w:rPr>
        <w:t>；</w:t>
      </w:r>
      <w:r>
        <w:rPr>
          <w:rFonts w:ascii="仿宋" w:hAnsi="仿宋" w:eastAsia="仿宋"/>
          <w:szCs w:val="21"/>
        </w:rPr>
        <w:t>内存容量不小于16GB，支持ECC校验</w:t>
      </w:r>
      <w:r>
        <w:rPr>
          <w:rFonts w:hint="eastAsia" w:ascii="仿宋" w:hAnsi="仿宋" w:eastAsia="仿宋"/>
          <w:szCs w:val="21"/>
        </w:rPr>
        <w:t>；</w:t>
      </w:r>
      <w:r>
        <w:rPr>
          <w:rFonts w:ascii="仿宋" w:hAnsi="仿宋" w:eastAsia="仿宋"/>
          <w:szCs w:val="21"/>
        </w:rPr>
        <w:t>集成双千兆网口，支持网络冗余及负载均衡；正版国产化操作系统，支持系统稳定运行，适配国产硬件及相关应用软件</w:t>
      </w:r>
      <w:r>
        <w:rPr>
          <w:rFonts w:hint="eastAsia" w:ascii="仿宋" w:hAnsi="仿宋" w:eastAsia="仿宋"/>
          <w:szCs w:val="21"/>
        </w:rPr>
        <w:t>。</w:t>
      </w:r>
    </w:p>
    <w:p>
      <w:pPr>
        <w:ind w:firstLine="560"/>
        <w:rPr>
          <w:rFonts w:hint="eastAsia" w:ascii="仿宋" w:hAnsi="仿宋" w:eastAsia="仿宋"/>
          <w:szCs w:val="21"/>
        </w:rPr>
      </w:pPr>
      <w:r>
        <w:rPr>
          <w:rFonts w:hint="eastAsia" w:ascii="仿宋" w:hAnsi="仿宋" w:eastAsia="仿宋"/>
          <w:szCs w:val="21"/>
        </w:rPr>
        <w:t>配置一台国产算力服务器包含4张AI加速卡，适配智能计算、视频实时分析等场景，具备良好的兼容性和扩展性；配置五系处理器（32核）×2，支持多核并发处理，满足高性能算力计算需求，支持芯片级加速引擎；内存不小于32G×4（总内存不小于128GB），支持ECC校验，保障算力计算时的内存带宽需求；硬盘支持热插拔，满足海量数据存储及高速读写需求，适配智能计算场景下的数据存取需求；含4张AI加速算力卡，单卡最大提供不小于280 TOPS INT8算力，支持16 core×1.9 GHz CPU计算能力；支持不小于256路1080P 30FPS视频实时分析能力，支持JPEG和视频硬件编解码，支持多卡协同计算，适配主流AI框架，具备强大的AI推理和视频处理能力，可灵活适配生成式AI、视频监控分析等场景。</w:t>
      </w:r>
    </w:p>
    <w:bookmarkEnd w:id="31"/>
    <w:bookmarkEnd w:id="32"/>
    <w:bookmarkEnd w:id="33"/>
    <w:bookmarkEnd w:id="34"/>
    <w:p>
      <w:pPr>
        <w:ind w:firstLine="560"/>
        <w:rPr>
          <w:rFonts w:hint="eastAsia" w:ascii="仿宋" w:hAnsi="仿宋" w:eastAsia="仿宋"/>
        </w:rPr>
      </w:pPr>
    </w:p>
    <w:p>
      <w:pPr>
        <w:pStyle w:val="3"/>
        <w:rPr>
          <w:rFonts w:hint="eastAsia" w:ascii="仿宋" w:hAnsi="仿宋" w:eastAsia="仿宋"/>
        </w:rPr>
      </w:pPr>
      <w:r>
        <w:rPr>
          <w:rFonts w:hint="eastAsia" w:ascii="仿宋" w:hAnsi="仿宋" w:eastAsia="仿宋"/>
        </w:rPr>
        <w:t>网络安全等级保护及商用密码应用建设</w:t>
      </w:r>
    </w:p>
    <w:p>
      <w:pPr>
        <w:ind w:firstLine="560"/>
        <w:rPr>
          <w:rFonts w:hint="eastAsia" w:ascii="仿宋" w:hAnsi="仿宋" w:eastAsia="仿宋"/>
          <w:szCs w:val="28"/>
        </w:rPr>
      </w:pPr>
      <w:r>
        <w:rPr>
          <w:rFonts w:hint="eastAsia" w:ascii="仿宋" w:hAnsi="仿宋" w:eastAsia="仿宋"/>
        </w:rPr>
        <w:t>本次网络安全等级保护建设</w:t>
      </w:r>
      <w:r>
        <w:rPr>
          <w:rFonts w:hint="eastAsia" w:ascii="仿宋" w:hAnsi="仿宋" w:eastAsia="仿宋"/>
          <w:szCs w:val="28"/>
        </w:rPr>
        <w:t>是综合考虑长宁区档案馆现有的网络安全防护措施，并以《信息系统安全等级保护基本要求》（以下简称“《基本要求》”）为基本目标，对长宁区档案馆的网络进行安全防护设计，使长宁区档案馆的网络及信息系统满足《基本要求》中相应等级的防护要求，同时结合现阶段以及未来的安全趋势发展，构建先进的安全体系。</w:t>
      </w:r>
    </w:p>
    <w:p>
      <w:pPr>
        <w:ind w:firstLine="562"/>
        <w:rPr>
          <w:rFonts w:hint="eastAsia" w:ascii="仿宋" w:hAnsi="仿宋" w:eastAsia="仿宋"/>
          <w:b/>
          <w:bCs/>
        </w:rPr>
      </w:pPr>
    </w:p>
    <w:p>
      <w:pPr>
        <w:pStyle w:val="4"/>
        <w:rPr>
          <w:rFonts w:hint="eastAsia" w:ascii="仿宋" w:hAnsi="仿宋" w:eastAsia="仿宋"/>
        </w:rPr>
      </w:pPr>
      <w:bookmarkStart w:id="35" w:name="_Toc38376429"/>
      <w:r>
        <w:rPr>
          <w:rFonts w:hint="eastAsia" w:ascii="仿宋" w:hAnsi="仿宋" w:eastAsia="仿宋"/>
        </w:rPr>
        <w:t>网络安全等级保护及商用密码应用建设-长宁档案信息网</w:t>
      </w:r>
    </w:p>
    <w:p>
      <w:pPr>
        <w:ind w:firstLine="562"/>
        <w:rPr>
          <w:rFonts w:hint="eastAsia" w:ascii="仿宋" w:hAnsi="仿宋" w:eastAsia="仿宋"/>
          <w:b/>
          <w:bCs/>
          <w:szCs w:val="28"/>
        </w:rPr>
      </w:pPr>
      <w:r>
        <w:rPr>
          <w:rFonts w:hint="eastAsia" w:ascii="仿宋" w:hAnsi="仿宋" w:eastAsia="仿宋"/>
          <w:b/>
          <w:bCs/>
          <w:szCs w:val="28"/>
        </w:rPr>
        <w:t>1）网络安全等级保护</w:t>
      </w:r>
    </w:p>
    <w:p>
      <w:pPr>
        <w:ind w:firstLine="560"/>
        <w:rPr>
          <w:rFonts w:hint="eastAsia" w:ascii="仿宋" w:hAnsi="仿宋" w:eastAsia="仿宋"/>
          <w:szCs w:val="28"/>
        </w:rPr>
      </w:pPr>
      <w:r>
        <w:rPr>
          <w:rFonts w:ascii="仿宋" w:hAnsi="仿宋" w:eastAsia="仿宋"/>
          <w:szCs w:val="28"/>
        </w:rPr>
        <w:t>基于长宁区政务云平台的计算资源及日常工作使用需求，目前已部署应用服务器、数据库服务器等设备，其安全体系主要依托政务云平台自身能力，该部分无需采购任何软硬件设备，供应商需全力配合采购人获取该部分相关资源，确保</w:t>
      </w:r>
      <w:r>
        <w:rPr>
          <w:rFonts w:hint="eastAsia" w:ascii="仿宋" w:hAnsi="仿宋" w:eastAsia="仿宋"/>
          <w:szCs w:val="28"/>
        </w:rPr>
        <w:t>长宁档案信息网网络安全等级保护三级</w:t>
      </w:r>
      <w:r>
        <w:rPr>
          <w:rFonts w:ascii="仿宋" w:hAnsi="仿宋" w:eastAsia="仿宋"/>
          <w:szCs w:val="28"/>
        </w:rPr>
        <w:t>建设合规达标。</w:t>
      </w:r>
    </w:p>
    <w:p>
      <w:pPr>
        <w:ind w:firstLine="560"/>
        <w:rPr>
          <w:rFonts w:hint="eastAsia" w:ascii="仿宋" w:hAnsi="仿宋" w:eastAsia="仿宋"/>
          <w:szCs w:val="28"/>
        </w:rPr>
      </w:pPr>
    </w:p>
    <w:p>
      <w:pPr>
        <w:ind w:firstLine="562"/>
        <w:rPr>
          <w:rFonts w:hint="eastAsia" w:ascii="仿宋" w:hAnsi="仿宋" w:eastAsia="仿宋"/>
          <w:b/>
          <w:bCs/>
          <w:szCs w:val="28"/>
        </w:rPr>
      </w:pPr>
      <w:r>
        <w:rPr>
          <w:rFonts w:hint="eastAsia" w:ascii="仿宋" w:hAnsi="仿宋" w:eastAsia="仿宋"/>
          <w:b/>
          <w:bCs/>
          <w:szCs w:val="28"/>
        </w:rPr>
        <w:t>2）</w:t>
      </w:r>
      <w:r>
        <w:rPr>
          <w:rFonts w:ascii="仿宋" w:hAnsi="仿宋" w:eastAsia="仿宋"/>
          <w:b/>
          <w:bCs/>
          <w:szCs w:val="28"/>
        </w:rPr>
        <w:t>商用密码应用</w:t>
      </w:r>
    </w:p>
    <w:p>
      <w:pPr>
        <w:ind w:firstLine="560"/>
        <w:rPr>
          <w:rFonts w:hint="eastAsia" w:ascii="仿宋" w:hAnsi="仿宋" w:eastAsia="仿宋"/>
          <w:szCs w:val="28"/>
        </w:rPr>
      </w:pPr>
      <w:r>
        <w:rPr>
          <w:rFonts w:hint="eastAsia" w:ascii="仿宋" w:hAnsi="仿宋" w:eastAsia="仿宋"/>
          <w:szCs w:val="28"/>
        </w:rPr>
        <w:t>长宁档案信息网</w:t>
      </w:r>
      <w:r>
        <w:rPr>
          <w:rFonts w:ascii="仿宋" w:hAnsi="仿宋" w:eastAsia="仿宋"/>
          <w:szCs w:val="28"/>
        </w:rPr>
        <w:t>商用密码应用建设需按以下要求配置相关设备，确保密码应用功能落地</w:t>
      </w:r>
      <w:bookmarkStart w:id="36" w:name="OLE_LINK21"/>
      <w:r>
        <w:rPr>
          <w:rFonts w:hint="eastAsia" w:ascii="仿宋" w:hAnsi="仿宋" w:eastAsia="仿宋"/>
          <w:szCs w:val="28"/>
        </w:rPr>
        <w:t>并顺利通过商用密码应用安全性评估三级</w:t>
      </w:r>
      <w:r>
        <w:rPr>
          <w:rFonts w:ascii="仿宋" w:hAnsi="仿宋" w:eastAsia="仿宋"/>
          <w:szCs w:val="28"/>
        </w:rPr>
        <w:t>要求</w:t>
      </w:r>
      <w:r>
        <w:rPr>
          <w:rFonts w:hint="eastAsia" w:ascii="仿宋" w:hAnsi="仿宋" w:eastAsia="仿宋"/>
          <w:szCs w:val="28"/>
        </w:rPr>
        <w:t>，新增配置如下</w:t>
      </w:r>
      <w:bookmarkEnd w:id="36"/>
      <w:r>
        <w:rPr>
          <w:rFonts w:ascii="仿宋" w:hAnsi="仿宋" w:eastAsia="仿宋"/>
          <w:szCs w:val="28"/>
        </w:rPr>
        <w:t>：</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智能密码钥匙</w:t>
      </w:r>
    </w:p>
    <w:p>
      <w:pPr>
        <w:ind w:firstLine="560"/>
        <w:rPr>
          <w:rFonts w:hint="eastAsia" w:ascii="仿宋" w:hAnsi="仿宋" w:eastAsia="仿宋" w:cs="Arial"/>
          <w:szCs w:val="21"/>
        </w:rPr>
      </w:pPr>
      <w:r>
        <w:rPr>
          <w:rFonts w:hint="eastAsia" w:ascii="仿宋" w:hAnsi="仿宋" w:eastAsia="仿宋" w:cs="Arial"/>
          <w:szCs w:val="21"/>
        </w:rPr>
        <w:t>配置40个，可实现用户身份鉴别，用于存储用户数字证书，支持同时存储不少于8个证书，可擦写次数不低于10万次，适配互联网业务系统及安全浏览器，保障用户身份认证安全。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安全浏览器（含二级密码模块）</w:t>
      </w:r>
    </w:p>
    <w:p>
      <w:pPr>
        <w:ind w:firstLine="560"/>
        <w:rPr>
          <w:rFonts w:hint="eastAsia" w:ascii="仿宋" w:hAnsi="仿宋" w:eastAsia="仿宋" w:cs="Arial"/>
          <w:szCs w:val="21"/>
        </w:rPr>
      </w:pPr>
      <w:r>
        <w:rPr>
          <w:rFonts w:hint="eastAsia" w:ascii="仿宋" w:hAnsi="仿宋" w:eastAsia="仿宋" w:cs="Arial"/>
          <w:szCs w:val="21"/>
        </w:rPr>
        <w:t>配置40套，在Windows平台支持Chrome、IE双核运行，在国产操作系统支持Chrome内核；支持系统环境检测功能；支持基于SM2/SM3/SM4密码算法套件的单双向SSL协议，适配商用密码应用及国产化环境要求。</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电子认证服务证书</w:t>
      </w:r>
    </w:p>
    <w:p>
      <w:pPr>
        <w:ind w:firstLine="560"/>
        <w:rPr>
          <w:rFonts w:hint="eastAsia" w:ascii="仿宋" w:hAnsi="仿宋" w:eastAsia="仿宋" w:cs="Arial"/>
          <w:szCs w:val="21"/>
        </w:rPr>
      </w:pPr>
      <w:r>
        <w:rPr>
          <w:rFonts w:hint="eastAsia" w:ascii="仿宋" w:hAnsi="仿宋" w:eastAsia="仿宋" w:cs="Arial"/>
          <w:szCs w:val="21"/>
        </w:rPr>
        <w:t>配置2张站点证书，用于安全认证网关使用。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用户数字证书</w:t>
      </w:r>
    </w:p>
    <w:p>
      <w:pPr>
        <w:ind w:firstLine="560"/>
        <w:rPr>
          <w:rFonts w:hint="eastAsia" w:ascii="仿宋" w:hAnsi="仿宋" w:eastAsia="仿宋" w:cs="Arial"/>
          <w:szCs w:val="21"/>
        </w:rPr>
      </w:pPr>
      <w:r>
        <w:rPr>
          <w:rFonts w:hint="eastAsia" w:ascii="仿宋" w:hAnsi="仿宋" w:eastAsia="仿宋" w:cs="Arial"/>
          <w:szCs w:val="21"/>
        </w:rPr>
        <w:t>配置40张用户数字证书，用于智能密码钥匙配套使用，确保证书合规、可正常应用。</w:t>
      </w:r>
    </w:p>
    <w:p>
      <w:pPr>
        <w:ind w:firstLine="560"/>
        <w:rPr>
          <w:rFonts w:hint="eastAsia" w:ascii="仿宋" w:hAnsi="仿宋" w:eastAsia="仿宋" w:cs="Arial"/>
          <w:szCs w:val="21"/>
        </w:rPr>
      </w:pPr>
    </w:p>
    <w:bookmarkEnd w:id="35"/>
    <w:p>
      <w:pPr>
        <w:pStyle w:val="4"/>
        <w:rPr>
          <w:rFonts w:hint="eastAsia" w:ascii="仿宋" w:hAnsi="仿宋" w:eastAsia="仿宋"/>
        </w:rPr>
      </w:pPr>
      <w:r>
        <w:rPr>
          <w:rFonts w:hint="eastAsia" w:ascii="仿宋" w:hAnsi="仿宋" w:eastAsia="仿宋"/>
        </w:rPr>
        <w:t>网络安全等级保护及商用密码应用建设-“一网通办”电子档案管理系统</w:t>
      </w:r>
    </w:p>
    <w:p>
      <w:pPr>
        <w:ind w:firstLine="562"/>
        <w:rPr>
          <w:rFonts w:hint="eastAsia" w:ascii="仿宋" w:hAnsi="仿宋" w:eastAsia="仿宋"/>
          <w:b/>
          <w:bCs/>
          <w:szCs w:val="28"/>
        </w:rPr>
      </w:pPr>
      <w:r>
        <w:rPr>
          <w:rFonts w:hint="eastAsia" w:ascii="仿宋" w:hAnsi="仿宋" w:eastAsia="仿宋"/>
          <w:b/>
          <w:bCs/>
          <w:szCs w:val="28"/>
        </w:rPr>
        <w:t>1）网络安全等级保护</w:t>
      </w:r>
    </w:p>
    <w:p>
      <w:pPr>
        <w:ind w:firstLine="560"/>
        <w:rPr>
          <w:rFonts w:hint="eastAsia" w:ascii="仿宋" w:hAnsi="仿宋" w:eastAsia="仿宋"/>
          <w:szCs w:val="28"/>
        </w:rPr>
      </w:pPr>
      <w:r>
        <w:rPr>
          <w:rFonts w:ascii="仿宋" w:hAnsi="仿宋" w:eastAsia="仿宋"/>
          <w:szCs w:val="28"/>
        </w:rPr>
        <w:t>基于长宁区政务云平台的计算资源及日常工作使用需求，目前已部署应用服务器、数据库服务器等设备，可实现各类档案信息化管理流程，其安全体系主要依托政务云平台自身能力，该部分无需采购任何软硬件设备，供应商需全力配合采购人获取该部分相关资源，确保</w:t>
      </w:r>
      <w:r>
        <w:rPr>
          <w:rFonts w:hint="eastAsia" w:ascii="仿宋" w:hAnsi="仿宋" w:eastAsia="仿宋"/>
          <w:szCs w:val="28"/>
        </w:rPr>
        <w:t>“</w:t>
      </w:r>
      <w:r>
        <w:rPr>
          <w:rFonts w:ascii="仿宋" w:hAnsi="仿宋" w:eastAsia="仿宋"/>
          <w:szCs w:val="28"/>
        </w:rPr>
        <w:t>一网通办”电子档案管理系统</w:t>
      </w:r>
      <w:r>
        <w:rPr>
          <w:rFonts w:hint="eastAsia" w:ascii="仿宋" w:hAnsi="仿宋" w:eastAsia="仿宋"/>
          <w:szCs w:val="28"/>
        </w:rPr>
        <w:t>网络安全等级保护三级</w:t>
      </w:r>
      <w:r>
        <w:rPr>
          <w:rFonts w:ascii="仿宋" w:hAnsi="仿宋" w:eastAsia="仿宋"/>
          <w:szCs w:val="28"/>
        </w:rPr>
        <w:t>建设合规达标。</w:t>
      </w:r>
    </w:p>
    <w:p>
      <w:pPr>
        <w:ind w:firstLine="560"/>
        <w:rPr>
          <w:rFonts w:hint="eastAsia" w:ascii="仿宋" w:hAnsi="仿宋" w:eastAsia="仿宋"/>
          <w:szCs w:val="28"/>
        </w:rPr>
      </w:pPr>
    </w:p>
    <w:p>
      <w:pPr>
        <w:ind w:firstLine="562"/>
        <w:rPr>
          <w:rFonts w:hint="eastAsia" w:ascii="仿宋" w:hAnsi="仿宋" w:eastAsia="仿宋"/>
          <w:b/>
          <w:bCs/>
          <w:szCs w:val="28"/>
        </w:rPr>
      </w:pPr>
      <w:r>
        <w:rPr>
          <w:rFonts w:hint="eastAsia" w:ascii="仿宋" w:hAnsi="仿宋" w:eastAsia="仿宋"/>
          <w:b/>
          <w:bCs/>
          <w:szCs w:val="28"/>
        </w:rPr>
        <w:t>2）</w:t>
      </w:r>
      <w:r>
        <w:rPr>
          <w:rFonts w:ascii="仿宋" w:hAnsi="仿宋" w:eastAsia="仿宋"/>
          <w:b/>
          <w:bCs/>
          <w:szCs w:val="28"/>
        </w:rPr>
        <w:t>商用密码应用</w:t>
      </w:r>
    </w:p>
    <w:p>
      <w:pPr>
        <w:ind w:firstLine="560"/>
        <w:rPr>
          <w:rFonts w:hint="eastAsia" w:ascii="仿宋" w:hAnsi="仿宋" w:eastAsia="仿宋"/>
          <w:szCs w:val="28"/>
        </w:rPr>
      </w:pPr>
      <w:r>
        <w:rPr>
          <w:rFonts w:ascii="仿宋" w:hAnsi="仿宋" w:eastAsia="仿宋"/>
          <w:szCs w:val="28"/>
        </w:rPr>
        <w:t>“一网通办”电子档案管理系统部分商用密码应用建设需按以下要求配置相关设备，确保密码应用功能落地</w:t>
      </w:r>
      <w:r>
        <w:rPr>
          <w:rFonts w:hint="eastAsia" w:ascii="仿宋" w:hAnsi="仿宋" w:eastAsia="仿宋"/>
          <w:szCs w:val="28"/>
        </w:rPr>
        <w:t>并顺利通过商用密码应用安全性评估三级</w:t>
      </w:r>
      <w:r>
        <w:rPr>
          <w:rFonts w:ascii="仿宋" w:hAnsi="仿宋" w:eastAsia="仿宋"/>
          <w:szCs w:val="28"/>
        </w:rPr>
        <w:t>要求</w:t>
      </w:r>
      <w:r>
        <w:rPr>
          <w:rFonts w:hint="eastAsia" w:ascii="仿宋" w:hAnsi="仿宋" w:eastAsia="仿宋"/>
          <w:szCs w:val="28"/>
        </w:rPr>
        <w:t>，新增配置如下</w:t>
      </w:r>
      <w:r>
        <w:rPr>
          <w:rFonts w:ascii="仿宋" w:hAnsi="仿宋" w:eastAsia="仿宋"/>
          <w:szCs w:val="28"/>
        </w:rPr>
        <w:t>：</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智能密码钥匙</w:t>
      </w:r>
    </w:p>
    <w:p>
      <w:pPr>
        <w:ind w:firstLine="560"/>
        <w:rPr>
          <w:rFonts w:hint="eastAsia" w:ascii="仿宋" w:hAnsi="仿宋" w:eastAsia="仿宋" w:cs="Arial"/>
          <w:szCs w:val="21"/>
        </w:rPr>
      </w:pPr>
      <w:r>
        <w:rPr>
          <w:rFonts w:hint="eastAsia" w:ascii="仿宋" w:hAnsi="仿宋" w:eastAsia="仿宋" w:cs="Arial"/>
          <w:szCs w:val="21"/>
        </w:rPr>
        <w:t>配置200个，可实现用户身份鉴别，用于存储用户数字证书，支持同时存储不少于8个证书，可擦写次数不低于10万次，适配政务网业务系统及安全浏览器，保障用户身份认证安全。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安全浏览器（含二级密码模块）</w:t>
      </w:r>
    </w:p>
    <w:p>
      <w:pPr>
        <w:ind w:firstLine="560"/>
        <w:rPr>
          <w:rFonts w:hint="eastAsia" w:ascii="仿宋" w:hAnsi="仿宋" w:eastAsia="仿宋" w:cs="Arial"/>
          <w:szCs w:val="21"/>
        </w:rPr>
      </w:pPr>
      <w:r>
        <w:rPr>
          <w:rFonts w:hint="eastAsia" w:ascii="仿宋" w:hAnsi="仿宋" w:eastAsia="仿宋" w:cs="Arial"/>
          <w:szCs w:val="21"/>
        </w:rPr>
        <w:t>配置200套，在Windows平台支持Chrome、IE双核运行，在国产操作系统支持Chrome内核；支持系统环境检测功能；支持基于SM2/SM3/SM4密码算法套件的单双向SSL协议，适配商用密码应用及国产化环境要求。</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电子认证服务证书</w:t>
      </w:r>
    </w:p>
    <w:p>
      <w:pPr>
        <w:ind w:firstLine="560"/>
        <w:rPr>
          <w:rFonts w:hint="eastAsia" w:ascii="仿宋" w:hAnsi="仿宋" w:eastAsia="仿宋" w:cs="Arial"/>
          <w:szCs w:val="21"/>
        </w:rPr>
      </w:pPr>
      <w:r>
        <w:rPr>
          <w:rFonts w:hint="eastAsia" w:ascii="仿宋" w:hAnsi="仿宋" w:eastAsia="仿宋" w:cs="Arial"/>
          <w:szCs w:val="21"/>
        </w:rPr>
        <w:t>配置1张站点证书，用于安全认证网关使用。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用户数字证书</w:t>
      </w:r>
    </w:p>
    <w:p>
      <w:pPr>
        <w:ind w:firstLine="560"/>
        <w:rPr>
          <w:rFonts w:hint="eastAsia" w:ascii="仿宋" w:hAnsi="仿宋" w:eastAsia="仿宋" w:cs="Arial"/>
          <w:szCs w:val="21"/>
        </w:rPr>
      </w:pPr>
      <w:r>
        <w:rPr>
          <w:rFonts w:hint="eastAsia" w:ascii="仿宋" w:hAnsi="仿宋" w:eastAsia="仿宋" w:cs="Arial"/>
          <w:szCs w:val="21"/>
        </w:rPr>
        <w:t>配置200张用户数字证书，用于智能密码钥匙配套使用，确保证书合规、可正常应用。</w:t>
      </w:r>
    </w:p>
    <w:p>
      <w:pPr>
        <w:ind w:firstLine="560"/>
        <w:rPr>
          <w:rFonts w:hint="eastAsia" w:ascii="仿宋" w:hAnsi="仿宋" w:eastAsia="仿宋" w:cs="Arial"/>
          <w:szCs w:val="21"/>
        </w:rPr>
      </w:pPr>
      <w:r>
        <w:rPr>
          <w:rFonts w:hint="eastAsia" w:ascii="仿宋" w:hAnsi="仿宋" w:eastAsia="仿宋" w:cs="Arial"/>
          <w:szCs w:val="21"/>
        </w:rPr>
        <w:t>此外，该部分涉及与“一网通办”电子档案管理系统业务系统的密码应用功能模块开发及适配工作，供应商需充分考虑并承担相关开发、适配费用，确保密码应用功能与“一网通办”电子档案管理系统业务系统无缝对接、正常运行。</w:t>
      </w:r>
    </w:p>
    <w:p>
      <w:pPr>
        <w:widowControl/>
        <w:adjustRightInd/>
        <w:snapToGrid/>
        <w:spacing w:line="240" w:lineRule="auto"/>
        <w:ind w:firstLine="0" w:firstLineChars="0"/>
        <w:jc w:val="left"/>
        <w:rPr>
          <w:rFonts w:hint="eastAsia" w:ascii="仿宋" w:hAnsi="仿宋" w:eastAsia="仿宋"/>
          <w:kern w:val="0"/>
          <w:szCs w:val="28"/>
        </w:rPr>
      </w:pPr>
    </w:p>
    <w:p>
      <w:pPr>
        <w:pStyle w:val="4"/>
        <w:rPr>
          <w:rFonts w:hint="eastAsia" w:ascii="仿宋" w:hAnsi="仿宋" w:eastAsia="仿宋"/>
        </w:rPr>
      </w:pPr>
      <w:r>
        <w:rPr>
          <w:rFonts w:hint="eastAsia" w:ascii="仿宋" w:hAnsi="仿宋" w:eastAsia="仿宋"/>
        </w:rPr>
        <w:t>网络安全等级保护及商用密码应用建设-馆藏档案资源管理系统、综合业务信息管理平台</w:t>
      </w:r>
    </w:p>
    <w:p>
      <w:pPr>
        <w:ind w:firstLine="562"/>
        <w:rPr>
          <w:rFonts w:hint="eastAsia" w:ascii="仿宋" w:hAnsi="仿宋" w:eastAsia="仿宋"/>
          <w:b/>
          <w:bCs/>
          <w:szCs w:val="28"/>
        </w:rPr>
      </w:pPr>
      <w:r>
        <w:rPr>
          <w:rFonts w:hint="eastAsia" w:ascii="仿宋" w:hAnsi="仿宋" w:eastAsia="仿宋"/>
          <w:b/>
          <w:bCs/>
          <w:szCs w:val="28"/>
        </w:rPr>
        <w:t>1）网络安全等级保护</w:t>
      </w:r>
    </w:p>
    <w:p>
      <w:pPr>
        <w:ind w:firstLine="560"/>
        <w:rPr>
          <w:rFonts w:hint="eastAsia" w:ascii="仿宋" w:hAnsi="仿宋" w:eastAsia="仿宋" w:cs="Arial"/>
          <w:szCs w:val="21"/>
        </w:rPr>
      </w:pPr>
      <w:r>
        <w:rPr>
          <w:rFonts w:hint="eastAsia" w:ascii="仿宋" w:hAnsi="仿宋" w:eastAsia="仿宋" w:cs="Arial"/>
          <w:szCs w:val="21"/>
        </w:rPr>
        <w:t>长宁区数字档案馆馆藏档案资源管理系统、综合业务信息管理平台系统主要应用服务器、存储服务器都部署在档案馆本地机房。所在机房参照网络安全等级保护三级建设。</w:t>
      </w:r>
    </w:p>
    <w:p>
      <w:pPr>
        <w:ind w:firstLine="560"/>
        <w:rPr>
          <w:rFonts w:hint="eastAsia" w:ascii="仿宋" w:hAnsi="仿宋" w:eastAsia="仿宋" w:cs="Arial"/>
          <w:szCs w:val="21"/>
        </w:rPr>
      </w:pPr>
      <w:r>
        <w:rPr>
          <w:rFonts w:hint="eastAsia" w:ascii="仿宋" w:hAnsi="仿宋" w:eastAsia="仿宋" w:cs="Arial"/>
          <w:szCs w:val="21"/>
        </w:rPr>
        <w:t>馆藏档案资源管理系统、综合业务信息管理平台核心业务区是系统的核心服务区域，主要部署了系统的应用服务器、数据库服务器、存储、备份等设备，实现档案信息资源的接收、管理、保存、利用、检索、统计等全过程规范化管理。</w:t>
      </w:r>
    </w:p>
    <w:p>
      <w:pPr>
        <w:ind w:firstLine="560"/>
        <w:rPr>
          <w:rFonts w:hint="eastAsia" w:ascii="仿宋" w:hAnsi="仿宋" w:eastAsia="仿宋" w:cs="Arial"/>
          <w:szCs w:val="21"/>
        </w:rPr>
      </w:pPr>
      <w:r>
        <w:rPr>
          <w:rFonts w:hint="eastAsia" w:ascii="仿宋" w:hAnsi="仿宋" w:eastAsia="仿宋" w:cs="Arial"/>
          <w:szCs w:val="21"/>
        </w:rPr>
        <w:t>馆藏档案资源管理系统、综合业务信息管理平台安全管理区主要部署了堡垒机、防病毒服务器等设备，运维终端通过内部馆藏档案资源管理系统、综合业务信息管理平台登录堡垒机，实现运维管理员对馆藏档案资源管理系统、综合业务信息管理平台系统中的服务器、存储设备及安全设备的远程管理。</w:t>
      </w:r>
    </w:p>
    <w:p>
      <w:pPr>
        <w:ind w:firstLine="560"/>
        <w:rPr>
          <w:rFonts w:hint="eastAsia" w:ascii="仿宋" w:hAnsi="仿宋" w:eastAsia="仿宋" w:cs="Arial"/>
          <w:szCs w:val="21"/>
        </w:rPr>
      </w:pPr>
      <w:r>
        <w:rPr>
          <w:rFonts w:hint="eastAsia" w:ascii="仿宋" w:hAnsi="仿宋" w:eastAsia="仿宋" w:cs="Arial"/>
          <w:szCs w:val="21"/>
        </w:rPr>
        <w:t>本次网络安全等级保护三级建设还需配置以下设备：</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日志审计系统</w:t>
      </w:r>
    </w:p>
    <w:p>
      <w:pPr>
        <w:pStyle w:val="61"/>
        <w:numPr>
          <w:ilvl w:val="0"/>
          <w:numId w:val="6"/>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w:t>
      </w:r>
    </w:p>
    <w:p>
      <w:pPr>
        <w:pStyle w:val="61"/>
        <w:numPr>
          <w:ilvl w:val="0"/>
          <w:numId w:val="6"/>
        </w:numPr>
        <w:ind w:firstLineChars="0"/>
        <w:rPr>
          <w:rFonts w:hint="eastAsia" w:ascii="仿宋" w:hAnsi="仿宋" w:eastAsia="仿宋"/>
          <w:sz w:val="28"/>
          <w:szCs w:val="28"/>
        </w:rPr>
      </w:pPr>
      <w:r>
        <w:rPr>
          <w:rFonts w:hint="eastAsia" w:ascii="仿宋" w:hAnsi="仿宋" w:eastAsia="仿宋"/>
          <w:sz w:val="28"/>
          <w:szCs w:val="28"/>
        </w:rPr>
        <w:t>系统支持采集国产化操作系统日志，包括但不限于：银河麒麟、中标麒麟、openEuler、中科红旗、统信、龙蜥、BC-Linux、凝思、中科方德等；</w:t>
      </w:r>
    </w:p>
    <w:p>
      <w:pPr>
        <w:pStyle w:val="61"/>
        <w:numPr>
          <w:ilvl w:val="0"/>
          <w:numId w:val="6"/>
        </w:numPr>
        <w:ind w:firstLineChars="0"/>
        <w:rPr>
          <w:rFonts w:hint="eastAsia" w:ascii="仿宋" w:hAnsi="仿宋" w:eastAsia="仿宋"/>
          <w:sz w:val="28"/>
          <w:szCs w:val="28"/>
        </w:rPr>
      </w:pPr>
      <w:r>
        <w:rPr>
          <w:rFonts w:hint="eastAsia" w:ascii="仿宋" w:hAnsi="仿宋" w:eastAsia="仿宋"/>
          <w:sz w:val="28"/>
          <w:szCs w:val="28"/>
        </w:rPr>
        <w:t>系统应支持规则自适应日志接入，仅输入端口即可自动匹配相应规则，完成日志自动接入；</w:t>
      </w:r>
    </w:p>
    <w:p>
      <w:pPr>
        <w:pStyle w:val="61"/>
        <w:numPr>
          <w:ilvl w:val="0"/>
          <w:numId w:val="6"/>
        </w:numPr>
        <w:ind w:firstLineChars="0"/>
        <w:rPr>
          <w:rFonts w:hint="eastAsia" w:ascii="仿宋" w:hAnsi="仿宋" w:eastAsia="仿宋"/>
          <w:sz w:val="28"/>
          <w:szCs w:val="28"/>
        </w:rPr>
      </w:pPr>
      <w:r>
        <w:rPr>
          <w:rFonts w:hint="eastAsia" w:ascii="仿宋" w:hAnsi="仿宋" w:eastAsia="仿宋"/>
          <w:sz w:val="28"/>
          <w:szCs w:val="28"/>
        </w:rPr>
        <w:t>系统应支持将产生硬件故障但能WEB访问设备上的数据备机到新设备上，备机数据应包含日志数据、事件告警、报表管理、数据采集、资产管理等。</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数据库审计系统</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需支持细粒度解析40+种数据库协议，包括但不限于Oracle、SQLServer、MySQL、DB2、Sybase、Informix、PostgreSQL、Teradata、Cache、Hive、clickhouse、HBase、KingBase、DaMeng、Oscar、GBase、Highgo等国内外主流数据库系统。</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需支持从数据库流量中自动识别数据库，并且自动添加到待监控审计列表，无需用户提供网段、数据库地址等信息；</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 xml:space="preserve">需具备数据库操作类、表、视图、索引、触发器、游标、事务各种对象的SQL操作审计，支持详细的审计日志； </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需支持数据库请求和返回的双向审计，特别是SQL返回结果集、SQL语句响应时间、连接时长、表影响的字段、影响行数等内容；</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 xml:space="preserve">需支持对审计日志中敏感数据（身份证号、手机号、银行卡号等）进行掩码处理，进行隐私保护，敏感保护规则可自定义； </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 xml:space="preserve">需支持超长SQL语句审计，至少不低于2M，支持多层嵌套SQL语句的审计，有效分割、准确审计主流数据库协议的多SQL语句； </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需支持审计日志、系统日志等日志本地存储，也支持通过Syslog等方式外发至日志服务器；</w:t>
      </w:r>
    </w:p>
    <w:p>
      <w:pPr>
        <w:pStyle w:val="61"/>
        <w:numPr>
          <w:ilvl w:val="0"/>
          <w:numId w:val="7"/>
        </w:numPr>
        <w:ind w:firstLineChars="0"/>
        <w:rPr>
          <w:rFonts w:hint="eastAsia" w:ascii="仿宋" w:hAnsi="仿宋" w:eastAsia="仿宋"/>
          <w:sz w:val="28"/>
          <w:szCs w:val="28"/>
        </w:rPr>
      </w:pPr>
      <w:r>
        <w:rPr>
          <w:rFonts w:hint="eastAsia" w:ascii="仿宋" w:hAnsi="仿宋" w:eastAsia="仿宋"/>
          <w:sz w:val="28"/>
          <w:szCs w:val="28"/>
        </w:rPr>
        <w:t>需支持IPv6网络环境下的数据库审计，可识别IPv6的相关主体与客体资源；</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威胁分析系统</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需支持旁路模式部署，对现有网络架构不产生影响；</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 xml:space="preserve">需支持沙箱动态分析，包括但不限于执行流程、风险行为、进程内存、释放文件、提取文件、释放缓冲区、网络分析、截图、执行信息等动态沙箱检测分析； </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需支持对压缩文件分析，包括但不限于多级压缩文件、压缩文件中衍生文件，支持不少于10级压缩，可对压缩包内的文件进行独立检测；</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需支持文件还原捕获，可自定义捕获文件大小。</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需支持检测未知威胁，并发现已知APT攻击行为和已知APT组织；</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需支持威胁情报检测，本地嵌入独立的威胁情报库，不依赖其他设备或情报平台，即可独立实现威胁情报检测能力，包括：IP、域名、URL；</w:t>
      </w:r>
    </w:p>
    <w:p>
      <w:pPr>
        <w:pStyle w:val="61"/>
        <w:numPr>
          <w:ilvl w:val="0"/>
          <w:numId w:val="8"/>
        </w:numPr>
        <w:ind w:firstLineChars="0"/>
        <w:rPr>
          <w:rFonts w:hint="eastAsia" w:ascii="仿宋" w:hAnsi="仿宋" w:eastAsia="仿宋"/>
          <w:sz w:val="28"/>
          <w:szCs w:val="28"/>
        </w:rPr>
      </w:pPr>
      <w:r>
        <w:rPr>
          <w:rFonts w:hint="eastAsia" w:ascii="仿宋" w:hAnsi="仿宋" w:eastAsia="仿宋"/>
          <w:sz w:val="28"/>
          <w:szCs w:val="28"/>
        </w:rPr>
        <w:t>需支持Syslog、Snmp等外发方式。</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综合威胁探针系统</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需支持旁路镜像流量模式部署，对现有网络架构不产生影响；</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需支持流量视角分析，支持按照、接口进行流量统计分析；</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独立的攻击检测引擎，支持检测多种攻击类型，包括但不限于扫描探测、暴力猜解、拒绝服务攻击、后门控制、溢出攻击、代码执行、非授权访问、注入攻击、URL跳转、跨站攻击、WebShell、浏览器劫持、文件漏洞攻击、工控漏洞攻击、车联网漏洞攻击、物联网漏洞攻击、凭据异常等超过10000种以上网络攻击事件；</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暴力破解检测，包括但不限于：邮件（SMTP、IMAP、POP3）、文件（FTP、SMB）、远程访问（TELNET、VNC、SPICE）、数据库（LDAP、SQLServer、DB2、REDIS、POSTGRESQL、ORACLE、MYSQL、MONGODB、DAMENG、KINGBASE、SYBASE）、WEB应用（HTTP）等协议类型进行暴力破解检测；</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需支持HTTP解析配置，包括登录、用户名、密码、成功、失败，支持自定义认证特征检测；</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需支持非标端口通信检测，对HTTP、FTP、SMTP、IMAP、POP3、TELNET等服务的非标端口通信检测；</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需支持使用HTTP、FTP、SMTP、POP3、IMAP、SMB、NFS、TFTP等协议传输的恶意文件检测；</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需支持文件还原捕获；</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需支持检测未知威胁，并发现已知APT攻击行为和已知APT组织；</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需支持卸载SSL，实现对HTTPS、IMAPS、SMTPS、POP3S、FTPS、RDP、MQTT、SIP等加密流量的分析检测；</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需支持威胁情报检测，本地嵌入独立的威胁情报库，不依赖其他设备或情报平台，即可独立实现威胁情报检测能力，包括：IP、域名、URL、邮箱地址；</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需支持对HTTP、FTP、SMTP、POP3、IMAP、DNS、SMB、NFS、TFTP、SSH、SSL等传统协议以及MYSQL、SQL SERVER、ORACLE、POSTGRESQL、DB2、SYBASE、数据库协议进行审计；</w:t>
      </w:r>
    </w:p>
    <w:p>
      <w:pPr>
        <w:pStyle w:val="61"/>
        <w:numPr>
          <w:ilvl w:val="0"/>
          <w:numId w:val="9"/>
        </w:numPr>
        <w:ind w:firstLineChars="0"/>
        <w:rPr>
          <w:rFonts w:hint="eastAsia" w:ascii="仿宋" w:hAnsi="仿宋" w:eastAsia="仿宋"/>
          <w:sz w:val="28"/>
          <w:szCs w:val="28"/>
        </w:rPr>
      </w:pPr>
      <w:r>
        <w:rPr>
          <w:rFonts w:hint="eastAsia" w:ascii="仿宋" w:hAnsi="仿宋" w:eastAsia="仿宋"/>
          <w:sz w:val="28"/>
          <w:szCs w:val="28"/>
        </w:rPr>
        <w:t>需支持Syslog、Kafka、Snmp、邮件等外发方式。</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WEB应用防火墙</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产品需符合国产化要求，由专用的国产化硬件平台、国产化安全操作系统及功能软件构成；产品必须为专业性WEB应用防火墙硬件设备，而非下一代防火墙\UTM类设备集成的WEB防护功能；</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需支持串联部署、反向代理模式部署、旁路监测模式部署等多种部署模式；</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需支持静态路由；</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需支持提取客户端真实IP头；自动尝试匹配X-Forwarded-For,X-Real-IP,Cdn-Src-Ip用以获取真实客户端IP；</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需支持网络层访问控制，支持基于源IP地址、目的IP地址、协议类型及接口区域等条件的访问控制；</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需支持识别和阻断SQL注入攻击、Cookie注入攻击、命令注入攻击、跨站脚本(XSS)攻击、跨站请求伪造(CSRF)攻击等Web安全攻击，具备WebShell攻击，文件包含漏洞利用、目录遍历等攻击的防护功能；</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需支持多重编码检查功能，可对多重的编码均进行安全防御检查，有效防止攻击绕过WAF；</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需支持网关型网页防篡改，无需在服务器中安装任何插件，即可对网站文件内容进行篡改防护，当检测到篡改后可以实时恢复篡改内容；</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需支持对HTTP协议合规性进行验证，提供HTTP协议规范化功能，可自定义最大请求头长度、最多cookies个数、最多header头个数等；</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需支持记录系统日志、管理日志、流量日志、攻击日志等多种日志类型，支持多条件与查询，支持以syslog格式向远端日志服务器发送日志；</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需支持对防护的WEB服务器进行健康检查，支持TCP、HTTP、HTTPS类型的健康检查；</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需支持WEB界面、SSH、Console等多种方式进行设备配置管理；</w:t>
      </w:r>
    </w:p>
    <w:p>
      <w:pPr>
        <w:pStyle w:val="61"/>
        <w:numPr>
          <w:ilvl w:val="0"/>
          <w:numId w:val="10"/>
        </w:numPr>
        <w:ind w:firstLineChars="0"/>
        <w:rPr>
          <w:rFonts w:hint="eastAsia" w:ascii="仿宋" w:hAnsi="仿宋" w:eastAsia="仿宋"/>
          <w:sz w:val="28"/>
          <w:szCs w:val="28"/>
        </w:rPr>
      </w:pPr>
      <w:r>
        <w:rPr>
          <w:rFonts w:hint="eastAsia" w:ascii="仿宋" w:hAnsi="仿宋" w:eastAsia="仿宋"/>
          <w:sz w:val="28"/>
          <w:szCs w:val="28"/>
        </w:rPr>
        <w:t>需支持双机热备，包括主备、主主等模式。</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服务器杀毒软件</w:t>
      </w:r>
    </w:p>
    <w:p>
      <w:pPr>
        <w:ind w:firstLine="560"/>
        <w:rPr>
          <w:rFonts w:hint="eastAsia" w:ascii="仿宋" w:hAnsi="仿宋" w:eastAsia="仿宋"/>
          <w:szCs w:val="28"/>
        </w:rPr>
      </w:pPr>
      <w:r>
        <w:rPr>
          <w:rFonts w:hint="eastAsia" w:ascii="仿宋" w:hAnsi="仿宋" w:eastAsia="仿宋"/>
          <w:szCs w:val="28"/>
        </w:rPr>
        <w:t>现场已部署服务器杀毒软件，此次新增服务器授权8个。</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防火墙（冗余）</w:t>
      </w:r>
    </w:p>
    <w:p>
      <w:pPr>
        <w:ind w:firstLine="560"/>
        <w:rPr>
          <w:rFonts w:hint="eastAsia" w:ascii="仿宋" w:hAnsi="仿宋" w:eastAsia="仿宋"/>
          <w:szCs w:val="21"/>
        </w:rPr>
      </w:pPr>
      <w:r>
        <w:rPr>
          <w:rFonts w:hint="eastAsia" w:ascii="仿宋" w:hAnsi="仿宋" w:eastAsia="仿宋"/>
          <w:szCs w:val="21"/>
        </w:rPr>
        <w:t>配置1台防火墙作为现有防火墙的冗余功能：</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需支持路由、交换、监听、混合等工作模式；</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需支持动态路由（RIP、OSPF、BGP等）、静态路由、策略路由配置；</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需支持SNAT、DNAT、双向NAT、NoNAT等多种转换方式；</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需支持DNS双向智能转换功能，能够将来自内部网络的域名解析请求定向到真实内网资源，提高访问效率，同时支持通过配置多条转换策略，实现内网资源服务器的负载均衡；</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需支持一体化安全策略配置，可以通过一条策略实现五元组、源MAC、源地区、目的地区、域名、应用、服务、时间、长连接等功能配置,简化用户管理；</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 xml:space="preserve">需提供策略分析功能，支持策略命中分析、策略冗余分析、策略冲突检查、策略包含分析等场景，可在WEB界面显示检测结果，支持策略查询功能，支持五元组快速查询以及针对策略名、源/目的区域、源/目的地址、服务、对象、未命中时间等条件进行细粒度检索； </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需支持IPv4/IPv6双栈工作模式，支持IPv6安全控制策略设置；支持对IPv6报文进行病毒防御、入侵防御、URL过滤、抗DDOS、流量控制、连接限制、文件过滤、数据过滤等；</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 xml:space="preserve">需支持针对IP、ICMP、TCP、UDP、DNS、HTTP、NTP等协议进行DDOS防护；支持预定义和自定义策略模板； </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需内置行为分析功能，对会话、流量等数据进行统计分析，建立业务行为基线，对异常行为进行告警；支持行为分析监控展示，可展示不同行为分析策略的实时数据和基线数据趋势；</w:t>
      </w:r>
    </w:p>
    <w:p>
      <w:pPr>
        <w:pStyle w:val="61"/>
        <w:numPr>
          <w:ilvl w:val="0"/>
          <w:numId w:val="11"/>
        </w:numPr>
        <w:ind w:firstLineChars="0"/>
        <w:rPr>
          <w:rFonts w:hint="eastAsia" w:ascii="仿宋" w:hAnsi="仿宋" w:eastAsia="仿宋"/>
          <w:sz w:val="28"/>
          <w:szCs w:val="28"/>
        </w:rPr>
      </w:pPr>
      <w:r>
        <w:rPr>
          <w:rFonts w:hint="eastAsia" w:ascii="仿宋" w:hAnsi="仿宋" w:eastAsia="仿宋"/>
          <w:sz w:val="28"/>
          <w:szCs w:val="28"/>
        </w:rPr>
        <w:t>需支持日志外发至多个SYSLOG服务器，可设置日志传输协议、外发时间类型、合并传输等参数；</w:t>
      </w:r>
    </w:p>
    <w:p>
      <w:pPr>
        <w:ind w:firstLine="560"/>
        <w:rPr>
          <w:rFonts w:hint="eastAsia" w:ascii="仿宋" w:hAnsi="仿宋" w:eastAsia="仿宋"/>
        </w:rPr>
      </w:pPr>
      <w:r>
        <w:rPr>
          <w:rFonts w:hint="eastAsia" w:ascii="仿宋" w:hAnsi="仿宋" w:eastAsia="仿宋"/>
          <w:szCs w:val="28"/>
        </w:rPr>
        <w:t>需支持配置文件本地备份和回滚，支持软件版本本地备份。</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防病毒模块</w:t>
      </w:r>
    </w:p>
    <w:p>
      <w:pPr>
        <w:ind w:firstLine="560"/>
        <w:rPr>
          <w:rFonts w:hint="eastAsia" w:ascii="仿宋" w:hAnsi="仿宋" w:eastAsia="仿宋"/>
        </w:rPr>
      </w:pPr>
      <w:r>
        <w:rPr>
          <w:rFonts w:hint="eastAsia" w:ascii="仿宋" w:hAnsi="仿宋" w:eastAsia="仿宋"/>
        </w:rPr>
        <w:t>为新增防火墙配套部署防病毒模块，</w:t>
      </w:r>
      <w:r>
        <w:rPr>
          <w:rFonts w:ascii="仿宋" w:hAnsi="仿宋" w:eastAsia="仿宋"/>
        </w:rPr>
        <w:t>模块服务使用年限不低于 3 年。</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入侵检测产品</w:t>
      </w:r>
    </w:p>
    <w:p>
      <w:pPr>
        <w:ind w:left="560" w:firstLine="0" w:firstLineChars="0"/>
        <w:rPr>
          <w:rFonts w:hint="eastAsia" w:ascii="仿宋" w:hAnsi="仿宋" w:eastAsia="仿宋"/>
          <w:szCs w:val="21"/>
        </w:rPr>
      </w:pPr>
      <w:r>
        <w:rPr>
          <w:rFonts w:hint="eastAsia" w:ascii="仿宋" w:hAnsi="仿宋" w:eastAsia="仿宋"/>
          <w:szCs w:val="21"/>
        </w:rPr>
        <w:t>配置1台入侵检测产品</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产品需符合国产化要求，由专用的国产化硬件平台、国产化安全操作系统及功能软件构成；</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产品需支持旁路部署，无需改变原有架构；</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需支持独立的攻击检测引擎，涵盖不低于10000种的攻击检测规则库。规则库支持按照攻击类型、操作系统、风险等级、应用类型、流行程度等方式进行分类；</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需支持通过手动导入PCAP包的方式回放攻击包，可展现回放状态，检测结果可在安全日志中查看；</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需支持自定义规则，自定义规则可导入导出；</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采用僵尸主机与控制主机异常通信行为检测的方式，能够对不少于11000种僵尸主机行为进行监测，包括但不限于僵尸网络、木马控制、蠕虫、挖矿、勒索、移动端木马控制、APT等多类型的僵尸主机行为。需支持对Windows、Linux、IOS、Android、Unix、MacOS等多种操作系统的僵尸主机检测，并对规则可设置相应警告、联动阻断动作；</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需支持服务器非法外联检测，可设置相应警告、联动阻断动作；</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需支持对HTTP、FTP、SMTP、IMAP、POP3、TELNET等服务的隐蔽通信检测，可设置相应警告、联动阻断动作；</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需支持卸载SSL，实现对HTTPS、IMAPS、SMTPS、POP3S、FTPS、RDP、MQTT、SIP等加密流量的分析检测；</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需支持按照接口对报文流入流出速率实时监控，每分钟对接收的报文按照传输层协议、网络层协议、报文字节大小等多维度进行统计分析；</w:t>
      </w:r>
    </w:p>
    <w:p>
      <w:pPr>
        <w:pStyle w:val="61"/>
        <w:numPr>
          <w:ilvl w:val="0"/>
          <w:numId w:val="12"/>
        </w:numPr>
        <w:ind w:firstLineChars="0"/>
        <w:rPr>
          <w:rFonts w:hint="eastAsia" w:ascii="仿宋" w:hAnsi="仿宋" w:eastAsia="仿宋"/>
          <w:sz w:val="28"/>
          <w:szCs w:val="28"/>
        </w:rPr>
      </w:pPr>
      <w:r>
        <w:rPr>
          <w:rFonts w:hint="eastAsia" w:ascii="仿宋" w:hAnsi="仿宋" w:eastAsia="仿宋"/>
          <w:sz w:val="28"/>
          <w:szCs w:val="28"/>
        </w:rPr>
        <w:t>需支持攻击日志、系统日志等日志本地存储，也支持通过Syslog等方式外发至日志服务器。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身份域管平台</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需基于AES、SHA等加密算法保证目录数据以密文形式存储，支持对密码等敏感信息进行额外加密处理，保证账号安全；</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需支持SSL和TLS的安全通道，实现信息传递的私密性保护；</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系统管理员登录需支持动态密码认证及黑白IP设置。</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需支持管理员登录添加双因素认证，避免管理员账号被破解的风险；</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终端访问与域服务器访问分离，用户中心置于终端和域控之间，把终端的请求转发给域控，保证通信的安全；</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需支持LDAP服务访问权限策略，可提供只读、读写权限，支持只有指定人/组织/组才有指定的权限，防止域中任一账号均可同步整个域账号造成的人员信息泄露，尤其是组织架构、手机号、邮箱等敏感信息；</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需不监听任何端口，如高危端口445、135等，防止由此带来的安全风险；</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需支持IP白名单，只有白名单内的IP可以访问域管理平台；</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域管理员账号和域所在的系统管理员需不是同一账号，系统管理员账号被破解，也无法访问域控制台；</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需对产品进行安全功能测试和渗透测试。</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需提供Web控制台可视化管理身份域管；</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需提供定时自动、手动备份方案，帮助管理员实现数据灾难恢复；</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需提供系统运维管理工具；</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需实时监控系统健康状态，包括宕机、内存、CPU、磁盘使用等，并自动告警通知；</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需支持HA双机热备高可用；</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需支持分布式异地多活部署方案；</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需支持提供结构化日志，记录所有管理员操作行为、系统行为及用户行为；</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需支持目录用户、计算机的认证报表统计；</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需支持日志的输出，基于Syslog、API接口联动；</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全栈国产化版，需提供统一目录用户，并提供目录用户LDAP认证能力；</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需支持根据人员变动进行账号增删查改操作，支持基于组织管理情况建设多个树形目录结构；</w:t>
      </w:r>
    </w:p>
    <w:p>
      <w:pPr>
        <w:pStyle w:val="61"/>
        <w:numPr>
          <w:ilvl w:val="0"/>
          <w:numId w:val="13"/>
        </w:numPr>
        <w:ind w:firstLineChars="0"/>
        <w:rPr>
          <w:rFonts w:hint="eastAsia" w:ascii="仿宋" w:hAnsi="仿宋" w:eastAsia="仿宋"/>
          <w:sz w:val="28"/>
          <w:szCs w:val="28"/>
        </w:rPr>
      </w:pPr>
      <w:r>
        <w:rPr>
          <w:rFonts w:hint="eastAsia" w:ascii="仿宋" w:hAnsi="仿宋" w:eastAsia="仿宋"/>
          <w:sz w:val="28"/>
          <w:szCs w:val="28"/>
        </w:rPr>
        <w:t>需含50个许可和双因素认证模块。</w:t>
      </w:r>
    </w:p>
    <w:p>
      <w:pPr>
        <w:ind w:firstLine="560"/>
        <w:rPr>
          <w:rFonts w:hint="eastAsia" w:ascii="仿宋" w:hAnsi="仿宋" w:eastAsia="仿宋"/>
        </w:rPr>
      </w:pPr>
    </w:p>
    <w:p>
      <w:pPr>
        <w:ind w:firstLine="562"/>
        <w:rPr>
          <w:rFonts w:hint="eastAsia" w:ascii="仿宋" w:hAnsi="仿宋" w:eastAsia="仿宋"/>
          <w:b/>
          <w:bCs/>
          <w:szCs w:val="28"/>
        </w:rPr>
      </w:pPr>
      <w:r>
        <w:rPr>
          <w:rFonts w:hint="eastAsia" w:ascii="仿宋" w:hAnsi="仿宋" w:eastAsia="仿宋"/>
          <w:b/>
          <w:bCs/>
          <w:szCs w:val="28"/>
        </w:rPr>
        <w:t>2）</w:t>
      </w:r>
      <w:r>
        <w:rPr>
          <w:rFonts w:ascii="仿宋" w:hAnsi="仿宋" w:eastAsia="仿宋"/>
          <w:b/>
          <w:bCs/>
          <w:szCs w:val="28"/>
        </w:rPr>
        <w:t>商用密码应用</w:t>
      </w:r>
    </w:p>
    <w:p>
      <w:pPr>
        <w:ind w:firstLine="560"/>
        <w:rPr>
          <w:rFonts w:hint="eastAsia" w:ascii="仿宋" w:hAnsi="仿宋" w:eastAsia="仿宋"/>
          <w:szCs w:val="28"/>
        </w:rPr>
      </w:pPr>
      <w:r>
        <w:rPr>
          <w:rFonts w:hint="eastAsia" w:ascii="仿宋" w:hAnsi="仿宋" w:eastAsia="仿宋"/>
          <w:szCs w:val="28"/>
        </w:rPr>
        <w:t>馆藏档案资源管理系统、综合业务信息管理平台</w:t>
      </w:r>
      <w:r>
        <w:rPr>
          <w:rFonts w:ascii="仿宋" w:hAnsi="仿宋" w:eastAsia="仿宋"/>
          <w:szCs w:val="28"/>
        </w:rPr>
        <w:t>部分商用密码应用建设需按以下要求配置相关设备，确保密码应用功能落地并顺利通过商用密码应用安全性评估三级要求，新增配置如下</w:t>
      </w:r>
      <w:r>
        <w:rPr>
          <w:rFonts w:hint="eastAsia" w:ascii="仿宋" w:hAnsi="仿宋" w:eastAsia="仿宋"/>
          <w:szCs w:val="28"/>
        </w:rPr>
        <w:t>：</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服务器密码机</w:t>
      </w:r>
    </w:p>
    <w:p>
      <w:pPr>
        <w:ind w:firstLine="560"/>
        <w:rPr>
          <w:rFonts w:hint="eastAsia" w:ascii="仿宋" w:hAnsi="仿宋" w:eastAsia="仿宋"/>
          <w:szCs w:val="21"/>
        </w:rPr>
      </w:pPr>
      <w:r>
        <w:rPr>
          <w:rFonts w:hint="eastAsia" w:ascii="仿宋" w:hAnsi="仿宋" w:eastAsia="仿宋"/>
          <w:szCs w:val="21"/>
        </w:rPr>
        <w:t>配置1台服务器密码机</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需支持多种加密算法，包括国家商用密码算法SM1、SM2、SM3、SM4；以及国际通用的对称加密算法如DES、3DES、IDEA和AES等；</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需支持网口绑定功能，允许多个网口共享同一IP地址，以实现网络冗余，避免因网口单点故障导致网络中断；</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密码设备需支持IPv4、IPv6两种网络协议；</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提供直观的界面展示功能，包括实时显示密钥的使用数量、硬件资源（CPU、内存、硬盘）的占用情况、网络状况，以及算法调用的频次统计，同时，还应列出性能消耗排名前五的算法数据，帮助管理员有效地监控和管理密码机的运行状态；</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API应支持在多台设备之间进行负载均衡，并提供多种均衡策略选择，如轮询、基于业务优先级指定以及闲时优先等，以实现高效的任务分配和性能；</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需具备高可用性功能，包括支持双机热备和负载均衡，以确保系统的稳定运行和性能优化；</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需具备完善的密钥管理功能：密钥产生、加密传输、存储、导入、删除、销毁。删除密钥支持指定索引号对称和非对称密钥的删除；</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需支持使用商用密码算法对设备日志信息和访问控制信息执行完整性保护，确保这些信息未被未授权篡改；</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需支持国密SSL安全通信的能力，确保业务系统与密码机之间的数据传输采用加密形式进行，有效保护数据在传输过程中的安全性，防止敏感信息被窃取或篡改；</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需具备IP地址白名单过滤访问机制，以限制仅允许特定客户端访问该设备；</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需支持网络时间协议（NTP）功能，能够自动同步系统时间；</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需具备自检功能，该功能包括对物理噪声源的检测、密码算法检测、软件和固件的完整性验证、关键参数的完整性检查，以及硬盘的检测等；</w:t>
      </w:r>
    </w:p>
    <w:p>
      <w:pPr>
        <w:pStyle w:val="61"/>
        <w:numPr>
          <w:ilvl w:val="0"/>
          <w:numId w:val="14"/>
        </w:numPr>
        <w:ind w:firstLineChars="0"/>
        <w:rPr>
          <w:rFonts w:hint="eastAsia" w:ascii="仿宋" w:hAnsi="仿宋" w:eastAsia="仿宋"/>
          <w:sz w:val="28"/>
          <w:szCs w:val="28"/>
        </w:rPr>
      </w:pPr>
      <w:r>
        <w:rPr>
          <w:rFonts w:hint="eastAsia" w:ascii="仿宋" w:hAnsi="仿宋" w:eastAsia="仿宋"/>
          <w:sz w:val="28"/>
          <w:szCs w:val="28"/>
        </w:rPr>
        <w:t>需具备开机自毁功能。</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安全认证网关</w:t>
      </w:r>
    </w:p>
    <w:p>
      <w:pPr>
        <w:pStyle w:val="61"/>
        <w:ind w:firstLine="560"/>
        <w:rPr>
          <w:rFonts w:hint="eastAsia" w:ascii="仿宋" w:hAnsi="仿宋" w:eastAsia="仿宋"/>
          <w:sz w:val="28"/>
          <w:szCs w:val="21"/>
        </w:rPr>
      </w:pPr>
      <w:r>
        <w:rPr>
          <w:rFonts w:hint="eastAsia" w:ascii="仿宋" w:hAnsi="仿宋" w:eastAsia="仿宋"/>
          <w:sz w:val="28"/>
          <w:szCs w:val="21"/>
        </w:rPr>
        <w:t>配置1台安全认证网关</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需支持DES、3DES、AES、SHA1、MD5、RSA、SM1、SM2、SM3、SM4等国际及国密算法；</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需支持对https、tcps、ftps 等协议 SSL 卸载；</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需具备负载均衡功能，并提供多种负载均衡算法，包括最少连接数、轮询、最快响应时间和最小带宽使用率等；</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需支持mtu设置，确保与各类网络环境的广泛兼容性；</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需支持使用商用密码算法对设备日志信息和访问控制信息执行完整性保护，确保这些信息未被未授权篡改；</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需支持IPv4、IPv6两种网络协议；</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需支持网口绑定功能，允许多个网口共享同一IP地址，以实现网络冗余，避免因网口单点故障导致网络中断；</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需具备自检功能，自检内容包含但不限于：随机数状态检测、SM1状态检测、SM2状态检测、SM3状态检测、SM4状态检测、密钥状态检测、对称算法单元检测等；</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需具备客户端访问IP地址的过滤功能，支持基于IP和端口的组合过滤(黑名单)；</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需支持多种配置模式（IPSec模式、SSL反向代理模式和SSL隧道模式），能够根据不同场景需求显示或隐藏相应功能，以简化配置过程；</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需支持证书和密钥的批量导入和导出功能；</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需支持配置信息的导入导出和自动备份功能，以便进行设备维护；</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需支持http信息传递和页面返回替换相关的功能</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 xml:space="preserve">需支持SNMP协议的日志输出以及SysLog协议，用于系统日志的记录和告警信息管理; </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需支持设备实时状态的显示，可监测硬件及软件的运行状态，至少包括运行状态显示、核心资源的消耗状态（CPU/内存/存储介质），网络带宽、交易量、连接数等；</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需支持对用户账号的有效性控制，包括限制用户登录时间、账号过期时间以及在输错密码时自动锁定账号的功能；</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需支持集群部署和负载均衡，能够在多台安全网关之间实现自动故障转移。同时，还支持第四层负载均衡，以实现多个安全网关之间的负载分配和共享；</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需支持单点登录功能，使用数字证书完成双向认证，在后台业务系统无需改造情况下，提供终端的数字证书认证功能；</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需支持主流的国际安全协议，包括SSL 3.0、TLS 1.0、TLS 1.1、TLS 1.2和TLS 1.3；</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需支持多种用户认证方式，包括账号加口令、USBkey以及数字证书等；</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支持在同一个网口或不同网口同时支持IPSEC隧道，SSL反向代理，SSL隧道功能；</w:t>
      </w:r>
    </w:p>
    <w:p>
      <w:pPr>
        <w:pStyle w:val="61"/>
        <w:numPr>
          <w:ilvl w:val="0"/>
          <w:numId w:val="15"/>
        </w:numPr>
        <w:ind w:firstLineChars="0"/>
        <w:rPr>
          <w:rFonts w:hint="eastAsia" w:ascii="仿宋" w:hAnsi="仿宋" w:eastAsia="仿宋"/>
          <w:sz w:val="28"/>
          <w:szCs w:val="28"/>
        </w:rPr>
      </w:pPr>
      <w:r>
        <w:rPr>
          <w:rFonts w:hint="eastAsia" w:ascii="仿宋" w:hAnsi="仿宋" w:eastAsia="仿宋"/>
          <w:sz w:val="28"/>
          <w:szCs w:val="28"/>
        </w:rPr>
        <w:t>具有开机自毁功能。</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签名验签服务器</w:t>
      </w:r>
    </w:p>
    <w:p>
      <w:pPr>
        <w:pStyle w:val="61"/>
        <w:ind w:firstLine="560"/>
        <w:rPr>
          <w:rFonts w:hint="eastAsia" w:ascii="仿宋" w:hAnsi="仿宋" w:eastAsia="仿宋"/>
          <w:sz w:val="28"/>
          <w:szCs w:val="21"/>
        </w:rPr>
      </w:pPr>
      <w:r>
        <w:rPr>
          <w:rFonts w:hint="eastAsia" w:ascii="仿宋" w:hAnsi="仿宋" w:eastAsia="仿宋"/>
          <w:sz w:val="28"/>
          <w:szCs w:val="21"/>
        </w:rPr>
        <w:t>配置1台签名验签服务器</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需支持多种加密算法，包括国家商用密码算法SM1、SM2、SM3、SM4；以及国际通用的对称加密算法如DES、3DES、IDEA和AES等；</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需支持网口绑定功能，允许多个网口共享同一IP地址，以实现网络冗余，避免因网口单点故障导致网络中断；</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密码设备需支持IPv4、IPv6两种网络协议；</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提供直观的界面展示功能，包括实时显示密钥的使用数量、硬件资源（CPU、内存、硬盘）的占用情况、网络状况，以及算法调用的频次统计，同时，还应列出性能消耗排名前五的算法数据，帮助管理员有效地监控和管理密码机的运行状态；</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业务系统可通过API实现负载均衡和热备等功能，API与密码机之间的连接具有健康检查和重连机制；</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需具备高可用性功能，包括支持双机热备和负载均衡，以确保系统的稳定运行和性能优化；</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需支持使用商用密码算法对设备日志信息和访问控制信息执行完整性保护，确保这些信息未被未授权篡改；</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需支持国密SSL安全通信的能力，确保业务系统与密码机之间的数据传输采用加密形式进行，有效保护数据在传输过程中的安全性，防止敏感信息被窃取或篡改；</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需具备IP地址白名单过滤访问机制，以限制仅允许特定客户端访问该设备；</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需支持网络时间协议（NTP）功能，能够自动同步系统时间；</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需具备自检功能，该功能包括对物理噪声源的检测、密码算法检测、软件和固件的完整性验证、关键参数的完整性检查，以及硬盘的检测等；</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需具备开机自毁功能；</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 xml:space="preserve">身份认证功能：需能够验证来自不同认证机构（CA）颁发的用户证书，并支持多种证书有效性验证方法，包括证书吊销列表（CRL）、在线证书状态协议（OCSP）和轻量级目录访问协议（LDAP） 身份认证功能等； </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 xml:space="preserve">数据签名、签名验证功能：需支持多种数字签名和验证格式，包括RAW签名、RAW验证、PKCS#1、PKCS#7 attach和PKCS#7 detach等； </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证书链功能：需对业务系统的服务器证书进行配置和管理，包括生成服务器证书的申请文件，此外，能够配置多条证书链，以验证来自不同认证机构的用户证书；</w:t>
      </w:r>
    </w:p>
    <w:p>
      <w:pPr>
        <w:pStyle w:val="61"/>
        <w:numPr>
          <w:ilvl w:val="0"/>
          <w:numId w:val="16"/>
        </w:numPr>
        <w:ind w:firstLineChars="0"/>
        <w:rPr>
          <w:rFonts w:hint="eastAsia" w:ascii="仿宋" w:hAnsi="仿宋" w:eastAsia="仿宋"/>
          <w:sz w:val="28"/>
          <w:szCs w:val="28"/>
        </w:rPr>
      </w:pPr>
      <w:r>
        <w:rPr>
          <w:rFonts w:hint="eastAsia" w:ascii="仿宋" w:hAnsi="仿宋" w:eastAsia="仿宋"/>
          <w:sz w:val="28"/>
          <w:szCs w:val="28"/>
        </w:rPr>
        <w:t>需具备导入多级CA证书的能力，不对证书的层级设置限制。</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智能密码钥匙</w:t>
      </w:r>
    </w:p>
    <w:p>
      <w:pPr>
        <w:pStyle w:val="61"/>
        <w:ind w:firstLine="560"/>
        <w:rPr>
          <w:rFonts w:hint="eastAsia" w:ascii="仿宋" w:hAnsi="仿宋" w:eastAsia="仿宋"/>
          <w:sz w:val="28"/>
          <w:szCs w:val="21"/>
        </w:rPr>
      </w:pPr>
      <w:r>
        <w:rPr>
          <w:rFonts w:hint="eastAsia" w:ascii="仿宋" w:hAnsi="仿宋" w:eastAsia="仿宋"/>
          <w:sz w:val="28"/>
          <w:szCs w:val="21"/>
        </w:rPr>
        <w:t>配置50个，可实现用户身份鉴别，用于存储用户数字证书，支持同时存储不少于8个证书，可擦写次数不低于10万次，适配”一网通办”电子档案管理系统业务系统及安全浏览器，保障用户身份认证安全。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安全浏览器（含二级密码模块）</w:t>
      </w:r>
    </w:p>
    <w:p>
      <w:pPr>
        <w:pStyle w:val="61"/>
        <w:ind w:firstLine="560"/>
        <w:rPr>
          <w:rFonts w:hint="eastAsia" w:ascii="仿宋" w:hAnsi="仿宋" w:eastAsia="仿宋"/>
          <w:sz w:val="28"/>
          <w:szCs w:val="21"/>
        </w:rPr>
      </w:pPr>
      <w:r>
        <w:rPr>
          <w:rFonts w:hint="eastAsia" w:ascii="仿宋" w:hAnsi="仿宋" w:eastAsia="仿宋"/>
          <w:sz w:val="28"/>
          <w:szCs w:val="21"/>
        </w:rPr>
        <w:t>配置50套，在Windows平台支持Chrome、IE双核运行，在国产操作系统支持Chrome内核；支持系统环境检测功能；支持基于SM2/SM3/SM4密码算法套件的单双向SSL协议，适配商用密码应用及国产化环境要求。</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电子认证服务（设备证书）</w:t>
      </w:r>
    </w:p>
    <w:p>
      <w:pPr>
        <w:pStyle w:val="61"/>
        <w:ind w:firstLine="560"/>
        <w:rPr>
          <w:rFonts w:hint="eastAsia" w:ascii="仿宋" w:hAnsi="仿宋" w:eastAsia="仿宋"/>
          <w:sz w:val="28"/>
          <w:szCs w:val="21"/>
        </w:rPr>
      </w:pPr>
      <w:r>
        <w:rPr>
          <w:rFonts w:hint="eastAsia" w:ascii="仿宋" w:hAnsi="仿宋" w:eastAsia="仿宋"/>
          <w:sz w:val="28"/>
          <w:szCs w:val="21"/>
        </w:rPr>
        <w:t>配置2张站点证书，用于签名验签服务器使用。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电子认证服务（站点证书）</w:t>
      </w:r>
    </w:p>
    <w:p>
      <w:pPr>
        <w:pStyle w:val="61"/>
        <w:ind w:firstLine="560"/>
        <w:rPr>
          <w:rFonts w:hint="eastAsia" w:ascii="仿宋" w:hAnsi="仿宋" w:eastAsia="仿宋"/>
          <w:sz w:val="28"/>
          <w:szCs w:val="21"/>
        </w:rPr>
      </w:pPr>
      <w:r>
        <w:rPr>
          <w:rFonts w:hint="eastAsia" w:ascii="仿宋" w:hAnsi="仿宋" w:eastAsia="仿宋"/>
          <w:sz w:val="28"/>
          <w:szCs w:val="21"/>
        </w:rPr>
        <w:t>配置2张站点证书，用于安全认证网关使用。</w:t>
      </w:r>
    </w:p>
    <w:p>
      <w:pPr>
        <w:pStyle w:val="61"/>
        <w:numPr>
          <w:ilvl w:val="0"/>
          <w:numId w:val="5"/>
        </w:numPr>
        <w:ind w:firstLineChars="0"/>
        <w:rPr>
          <w:rFonts w:hint="eastAsia" w:ascii="仿宋" w:hAnsi="仿宋" w:eastAsia="仿宋"/>
          <w:sz w:val="28"/>
          <w:szCs w:val="21"/>
        </w:rPr>
      </w:pPr>
      <w:r>
        <w:rPr>
          <w:rFonts w:hint="eastAsia" w:ascii="仿宋" w:hAnsi="仿宋" w:eastAsia="仿宋"/>
          <w:sz w:val="28"/>
          <w:szCs w:val="21"/>
        </w:rPr>
        <w:t>电子认证服务（用户数字证书）</w:t>
      </w:r>
    </w:p>
    <w:p>
      <w:pPr>
        <w:pStyle w:val="61"/>
        <w:ind w:firstLine="560"/>
        <w:rPr>
          <w:rFonts w:hint="eastAsia" w:ascii="仿宋" w:hAnsi="仿宋" w:eastAsia="仿宋"/>
          <w:sz w:val="28"/>
          <w:szCs w:val="21"/>
        </w:rPr>
      </w:pPr>
      <w:r>
        <w:rPr>
          <w:rFonts w:hint="eastAsia" w:ascii="仿宋" w:hAnsi="仿宋" w:eastAsia="仿宋"/>
          <w:sz w:val="28"/>
          <w:szCs w:val="21"/>
        </w:rPr>
        <w:t>配置50张用户数字证书，用于智能密码钥匙配套使用，确保证书合规、可正常应用。</w:t>
      </w:r>
    </w:p>
    <w:p>
      <w:pPr>
        <w:ind w:firstLine="560"/>
        <w:rPr>
          <w:rFonts w:hint="eastAsia" w:ascii="仿宋" w:hAnsi="仿宋" w:eastAsia="仿宋"/>
        </w:rPr>
      </w:pPr>
      <w:r>
        <w:rPr>
          <w:rFonts w:hint="eastAsia" w:ascii="仿宋" w:hAnsi="仿宋" w:eastAsia="仿宋" w:cs="Arial"/>
          <w:szCs w:val="21"/>
        </w:rPr>
        <w:t>此外，</w:t>
      </w:r>
      <w:r>
        <w:rPr>
          <w:rFonts w:hint="eastAsia" w:ascii="仿宋" w:hAnsi="仿宋" w:eastAsia="仿宋"/>
          <w:szCs w:val="21"/>
        </w:rPr>
        <w:t>馆藏档案资源管理系统和长宁区数字档案馆综合业务信息管理平台两个系统</w:t>
      </w:r>
      <w:r>
        <w:rPr>
          <w:rFonts w:hint="eastAsia" w:ascii="仿宋" w:hAnsi="仿宋" w:eastAsia="仿宋" w:cs="Arial"/>
          <w:szCs w:val="21"/>
        </w:rPr>
        <w:t>涉及与该模块的密码应用功能模块开发及适配工作，供应商需充分考虑并承担相关开发、适配费用，确保密码应用功能与馆藏档案资源管理系统、综合业务信息管理平台业务系统无缝对接、正常运行。</w:t>
      </w:r>
    </w:p>
    <w:p>
      <w:pPr>
        <w:ind w:firstLine="560"/>
        <w:rPr>
          <w:rFonts w:hint="eastAsia" w:ascii="仿宋" w:hAnsi="仿宋" w:eastAsia="仿宋"/>
        </w:rPr>
        <w:sectPr>
          <w:footerReference r:id="rId9" w:type="first"/>
          <w:pgSz w:w="11906" w:h="16838"/>
          <w:pgMar w:top="1134" w:right="1797" w:bottom="1135" w:left="1797" w:header="340" w:footer="7" w:gutter="0"/>
          <w:pgNumType w:start="1"/>
          <w:cols w:space="720" w:num="1"/>
          <w:titlePg/>
          <w:docGrid w:type="linesAndChars" w:linePitch="326" w:charSpace="0"/>
        </w:sectPr>
      </w:pPr>
    </w:p>
    <w:p>
      <w:pPr>
        <w:pStyle w:val="3"/>
        <w:rPr>
          <w:rFonts w:hint="eastAsia" w:ascii="仿宋" w:hAnsi="仿宋" w:eastAsia="仿宋"/>
        </w:rPr>
      </w:pPr>
      <w:r>
        <w:rPr>
          <w:rFonts w:hint="eastAsia" w:ascii="仿宋" w:hAnsi="仿宋" w:eastAsia="仿宋"/>
        </w:rPr>
        <w:t>系统购置清单</w:t>
      </w:r>
    </w:p>
    <w:p>
      <w:pPr>
        <w:pStyle w:val="4"/>
        <w:rPr>
          <w:rFonts w:hint="eastAsia" w:ascii="仿宋" w:hAnsi="仿宋" w:eastAsia="仿宋"/>
        </w:rPr>
      </w:pPr>
      <w:r>
        <w:rPr>
          <w:rFonts w:hint="eastAsia" w:ascii="仿宋" w:hAnsi="仿宋" w:eastAsia="仿宋"/>
        </w:rPr>
        <w:t>长宁区数字档案馆定制软件开发清单</w:t>
      </w:r>
    </w:p>
    <w:tbl>
      <w:tblPr>
        <w:tblStyle w:val="35"/>
        <w:tblW w:w="1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77"/>
        <w:gridCol w:w="1029"/>
        <w:gridCol w:w="2713"/>
        <w:gridCol w:w="9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序号</w:t>
            </w:r>
          </w:p>
        </w:tc>
        <w:tc>
          <w:tcPr>
            <w:tcW w:w="877"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子系统</w:t>
            </w:r>
          </w:p>
        </w:tc>
        <w:tc>
          <w:tcPr>
            <w:tcW w:w="1029"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功能模块</w:t>
            </w:r>
          </w:p>
        </w:tc>
        <w:tc>
          <w:tcPr>
            <w:tcW w:w="2713"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子模块</w:t>
            </w:r>
          </w:p>
        </w:tc>
        <w:tc>
          <w:tcPr>
            <w:tcW w:w="939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功能配置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877"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定制软件开发</w:t>
            </w:r>
          </w:p>
        </w:tc>
        <w:tc>
          <w:tcPr>
            <w:tcW w:w="1029"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报警信息提示</w:t>
            </w: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报警事件录像及回放功能-报警录像存储</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平台侦测到报警事件后自动触发自动录制事件前5秒至后2分钟视频片段并存储。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报警事件录像及回放功能-报警录像回放</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针对所有报警事件（如库房出入核验不通过、行人摔倒、公共区域异常用火等），支持按事件维度快速调取关联录像进行回放，辅助管理员核查事件真实情况（如是否误报、现场处置是否到位），无需在监控系统中手动检索，提升核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报警事件录像及回放功能-事件全流程追溯</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对所有事件（从AI检测触发报警，到管理员确认、处置、结束）生成全链路日志，记录每个环节的关键信息，支持按事件ID、时间、区域等维度检索追溯，确保事件处置可查、可溯。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4</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报警事件录像及回放功能-报警事件录像及回放呈现</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长宁区数字档案馆综合业务信息管理平台的“安全中心”模块内新增“事件统计看板”，将所有报警事件按“区域、时间、事件类型”进行多维度统计，生成可视化报表与TOP10异常事件排序，帮助管理员快速掌握高频风险点，优化管控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5</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报警事件录像及回放功能-新增报警事件录像及回放图标</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目前报警事件在长宁区数字档案馆综合业务信息管理平台“平安档案馆”模块内“安全中心”进行统计留存，但是暂无报警事件录像及回放入口，此次在每项报警时间后新增报警事件录像及回放入口，用于查看该事件的报警事件录像及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6</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档案库房出入核验模块-库房门禁信息推送比对系统</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当库房门禁触发（含人员刷卡、刷脸开门）时，系统自动获取并清洗核验门禁核心信息（触发时间、门禁位置、开门方式、刷卡/刷脸账号），并完成实时推送。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7</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档案库房出入核验模块-摄像机联动与画面留存</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门禁触发的同时，系统调用库房内的监看入口图像的摄像机，完成实时画面截图（截图包含进入人员全貌、进入时间等数据），用于AI人脸识别比对，截图同步存储至系统数据库，与门禁事件一一关联，便于后续溯源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8</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档案库房出入核验模块-AI人脸识别比对</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提供24路的AI人脸分析功能，通过摄像机画面截图识别进入人员情况，目前进入库房要求采用双人双卡管理机制，识别图像与刷卡人员及人数是否匹配，完成三重校验，校验异常时自动触发报警：</w:t>
            </w:r>
            <w:r>
              <w:rPr>
                <w:rFonts w:hint="eastAsia" w:ascii="仿宋" w:hAnsi="仿宋" w:eastAsia="仿宋" w:cs="宋体"/>
                <w:kern w:val="0"/>
                <w:szCs w:val="28"/>
              </w:rPr>
              <w:br w:type="textWrapping"/>
            </w:r>
            <w:r>
              <w:rPr>
                <w:rFonts w:hint="eastAsia" w:ascii="仿宋" w:hAnsi="仿宋" w:eastAsia="仿宋" w:cs="宋体"/>
                <w:kern w:val="0"/>
                <w:szCs w:val="28"/>
              </w:rPr>
              <w:t>1.存在单人持双卡进入库房时报警；</w:t>
            </w:r>
            <w:r>
              <w:rPr>
                <w:rFonts w:hint="eastAsia" w:ascii="仿宋" w:hAnsi="仿宋" w:eastAsia="仿宋" w:cs="宋体"/>
                <w:kern w:val="0"/>
                <w:szCs w:val="28"/>
              </w:rPr>
              <w:br w:type="textWrapping"/>
            </w:r>
            <w:r>
              <w:rPr>
                <w:rFonts w:hint="eastAsia" w:ascii="仿宋" w:hAnsi="仿宋" w:eastAsia="仿宋" w:cs="宋体"/>
                <w:kern w:val="0"/>
                <w:szCs w:val="28"/>
              </w:rPr>
              <w:t>2.进入人员与刷卡人员不匹配时报警；</w:t>
            </w:r>
            <w:r>
              <w:rPr>
                <w:rFonts w:hint="eastAsia" w:ascii="仿宋" w:hAnsi="仿宋" w:eastAsia="仿宋" w:cs="宋体"/>
                <w:kern w:val="0"/>
                <w:szCs w:val="28"/>
              </w:rPr>
              <w:br w:type="textWrapping"/>
            </w:r>
            <w:r>
              <w:rPr>
                <w:rFonts w:hint="eastAsia" w:ascii="仿宋" w:hAnsi="仿宋" w:eastAsia="仿宋" w:cs="宋体"/>
                <w:kern w:val="0"/>
                <w:szCs w:val="28"/>
              </w:rPr>
              <w:t>3.进入人员一致，但人数多于双人，如接待参观活动等情况，进行报警并进行图像重点监看。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9</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报警处置流程功能-处置权限管理</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在AI事件中心内按“区域+事件类型”分配负责人信息及联系方式，确保报警有人对接、责任明确。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10</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报警处置流程功能-事件触发录像</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所有AI视觉分析报警触发时，系统自动启动对应监控摄像机录像，录制“事件前 5 秒至后2分钟”的视频片段，存储后关联至AI事件中心对应报警条目，方便回溯查看。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11</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报警处置流程功能-报警信息通知</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AI视觉分析报警触发时，系统按“报警级别+处置权限”自动推送通知，确保相关人员及时接收，支持短信/邮件/移动端通知方式。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12</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报警处置流程功能-报警确认与处置</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AI视觉分析报警触发时，支持报警事件发生后的处理流程操作，包括详情查看、人工确认/驳回、结束报警、填写处置结果。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13</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库房报警系统对接</w:t>
            </w: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档案库房出入核验模块-库房进入人员核验报警事件中心</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长宁区数字档案馆综合业务信息管理平台的“平安档案馆的/库房”模块界面中，新增“档案库房出入报警事件”子模块界面，支持报警区域、报警等级、报警时间、报警图片、报警录像入口等信息管理。支持结合库房安全风险程度，将门禁核验异常等报警事件划分为不同等级，便于差异化处置：</w:t>
            </w:r>
            <w:r>
              <w:rPr>
                <w:rFonts w:ascii="Cambria Math" w:hAnsi="Cambria Math" w:eastAsia="仿宋" w:cs="Cambria Math"/>
                <w:kern w:val="0"/>
                <w:szCs w:val="28"/>
              </w:rPr>
              <w:t>​</w:t>
            </w:r>
            <w:r>
              <w:rPr>
                <w:rFonts w:hint="eastAsia" w:ascii="仿宋" w:hAnsi="仿宋" w:eastAsia="仿宋" w:cs="宋体"/>
                <w:kern w:val="0"/>
                <w:szCs w:val="28"/>
              </w:rPr>
              <w:br w:type="textWrapping"/>
            </w:r>
            <w:r>
              <w:rPr>
                <w:rFonts w:hint="eastAsia" w:ascii="仿宋" w:hAnsi="仿宋" w:eastAsia="仿宋" w:cs="宋体"/>
                <w:kern w:val="0"/>
                <w:szCs w:val="28"/>
              </w:rPr>
              <w:t>紧急报警：非白名单人员尝试进入、人脸与刷卡信息严重不匹配等情况；</w:t>
            </w:r>
            <w:r>
              <w:rPr>
                <w:rFonts w:ascii="Cambria Math" w:hAnsi="Cambria Math" w:eastAsia="仿宋" w:cs="Cambria Math"/>
                <w:kern w:val="0"/>
                <w:szCs w:val="28"/>
              </w:rPr>
              <w:t>​</w:t>
            </w:r>
            <w:r>
              <w:rPr>
                <w:rFonts w:hint="eastAsia" w:ascii="仿宋" w:hAnsi="仿宋" w:eastAsia="仿宋" w:cs="宋体"/>
                <w:kern w:val="0"/>
                <w:szCs w:val="28"/>
              </w:rPr>
              <w:br w:type="textWrapping"/>
            </w:r>
            <w:r>
              <w:rPr>
                <w:rFonts w:hint="eastAsia" w:ascii="仿宋" w:hAnsi="仿宋" w:eastAsia="仿宋" w:cs="宋体"/>
                <w:kern w:val="0"/>
                <w:szCs w:val="28"/>
              </w:rPr>
              <w:t>普通报警：接待参观活动时多人进出等情况。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14</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档案库房出入核验模块-档案库房出入核验模块呈现</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在长宁区数字档案馆综合业务信息管理平台的“平安档案馆的/库房”模块界面中，增加功能应用，结合实际业务功能，完善库房的安全防范管理功能：</w:t>
            </w:r>
            <w:r>
              <w:rPr>
                <w:rFonts w:hint="eastAsia" w:ascii="仿宋" w:hAnsi="仿宋" w:eastAsia="仿宋" w:cs="宋体"/>
                <w:kern w:val="0"/>
                <w:szCs w:val="28"/>
              </w:rPr>
              <w:br w:type="textWrapping"/>
            </w:r>
            <w:r>
              <w:rPr>
                <w:rFonts w:hint="eastAsia" w:ascii="仿宋" w:hAnsi="仿宋" w:eastAsia="仿宋" w:cs="宋体"/>
                <w:kern w:val="0"/>
                <w:szCs w:val="28"/>
              </w:rPr>
              <w:t>1.今日进入库房人数统计除今日人员刷卡信息外新增人员比对图片及报警查看按钮；</w:t>
            </w:r>
            <w:r>
              <w:rPr>
                <w:rFonts w:hint="eastAsia" w:ascii="仿宋" w:hAnsi="仿宋" w:eastAsia="仿宋" w:cs="宋体"/>
                <w:kern w:val="0"/>
                <w:szCs w:val="28"/>
              </w:rPr>
              <w:br w:type="textWrapping"/>
            </w:r>
            <w:r>
              <w:rPr>
                <w:rFonts w:hint="eastAsia" w:ascii="仿宋" w:hAnsi="仿宋" w:eastAsia="仿宋" w:cs="宋体"/>
                <w:kern w:val="0"/>
                <w:szCs w:val="28"/>
              </w:rPr>
              <w:t>2.在监控点位内除出入口监控图像外，新增两个库房内部监控图像窗口；</w:t>
            </w:r>
            <w:r>
              <w:rPr>
                <w:rFonts w:hint="eastAsia" w:ascii="仿宋" w:hAnsi="仿宋" w:eastAsia="仿宋" w:cs="宋体"/>
                <w:kern w:val="0"/>
                <w:szCs w:val="28"/>
              </w:rPr>
              <w:br w:type="textWrapping"/>
            </w:r>
            <w:r>
              <w:rPr>
                <w:rFonts w:hint="eastAsia" w:ascii="仿宋" w:hAnsi="仿宋" w:eastAsia="仿宋" w:cs="宋体"/>
                <w:kern w:val="0"/>
                <w:szCs w:val="28"/>
              </w:rPr>
              <w:t>3.库房模型上增加监控点位布点，通过点击图标展示不同监控录像；</w:t>
            </w:r>
            <w:r>
              <w:rPr>
                <w:rFonts w:hint="eastAsia" w:ascii="仿宋" w:hAnsi="仿宋" w:eastAsia="仿宋" w:cs="宋体"/>
                <w:kern w:val="0"/>
                <w:szCs w:val="28"/>
              </w:rPr>
              <w:br w:type="textWrapping"/>
            </w:r>
            <w:r>
              <w:rPr>
                <w:rFonts w:hint="eastAsia" w:ascii="仿宋" w:hAnsi="仿宋" w:eastAsia="仿宋" w:cs="宋体"/>
                <w:kern w:val="0"/>
                <w:szCs w:val="28"/>
              </w:rPr>
              <w:t>4.库房模型上增加门禁状态显示，如长时间未关闭，则报警提醒；</w:t>
            </w:r>
            <w:r>
              <w:rPr>
                <w:rFonts w:hint="eastAsia" w:ascii="仿宋" w:hAnsi="仿宋" w:eastAsia="仿宋" w:cs="宋体"/>
                <w:kern w:val="0"/>
                <w:szCs w:val="28"/>
              </w:rPr>
              <w:br w:type="textWrapping"/>
            </w:r>
            <w:r>
              <w:rPr>
                <w:rFonts w:hint="eastAsia" w:ascii="仿宋" w:hAnsi="仿宋" w:eastAsia="仿宋" w:cs="宋体"/>
                <w:kern w:val="0"/>
                <w:szCs w:val="28"/>
              </w:rPr>
              <w:t>5.库房模型上增加消防点位布点，直观展示设备状态，是否存在故障显示。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15</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对接门禁系统</w:t>
            </w: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白名单录入功能-白名单功能集成</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将白名单录入功能新增至后台管理系统模块，新增独立操作入口，无需跳转跨系统即可完成配置。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16</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白名单录入功能-人员信息录入及权限配置</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支持录入进入库房人员的姓名、工号、所属部门、联系方式、照片等基础信息。并根据档案馆内部岗位权责，为白名单人员分配权限类别，如管理员权限、档案整理员权限、设备维护员权限、巡查人员等。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17</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查询和筛选功能</w:t>
            </w: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白名单录入功能-白名单查询与筛选</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支持按多种条件对白名单进行查询与筛选，如按人员姓名、工号、部门、权限类型等条件，快速定位所需白名单信息，方便管理人员对名单进行查看与管理。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18</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数据调整</w:t>
            </w: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应用系统国产化适配</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要求依据原有系统功能进行国产化的升级改造，通过对原有系统进行功能调试使系统可在国产化服务器、数据库及终端上可正常操作使用。根据新的软硬件环境，对原有的系统页面、脚本等进行适应性改造。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19</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国产化数据库适配</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要求通过改造使应用系统可以运行于国产化数据库环境下。在现有业务系统数据库架构、内容、标准维持不变的前提下，在国产化数据库的环境中搭建数据库架构，并迁移相关业务数据，实现数据库实例在国产化环境下的完全迁移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20</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国产化浏览器适配</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要求通过改造使用户在国产化终端设备上通过配套的国产化浏览器访问各应用。改造后对于原应用的页面样式、操作方式、用户体验等各类终端效果必须保持一致。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21</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长宁材料库建设</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要求建设长宁材料库的相关功能，将已完成清理拆分的数据放入长宁材料库中，与未拆分清理及历史数据进行区分，支持后续业务使用及其他系统的调用使用。功能包括且不限于：档案修改、附件上传、分类数据统计、年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22</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数据梳理</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要求依据现有档案情况，对已存在的电子档案配合现有业务情况进行档案拆分，以满足现有业务的需求，便于后续业务的有序开展。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23</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绿化市容局材料接口建设</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要求建设与相关电子材料库的数据接口，旨在实现各类事项材料的便捷传输。通过构建这一数据接口，能够有效提升信息流通效率，确保各类事项档案材料、附件材料及相关数据在相关部门之间的顺畅传递。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24</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各系统联动</w:t>
            </w: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档案处理场所出入核验模块-摄像机联动与画面留存</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调用档案馆内装裱修复室、数字化加工场所、接收整理室、内的监看室内的摄像机以及新增摄像机，完成实时画面截图（截图包含进入人员面部情况、进入时间等数据），用于AI人脸识别比对，截图同步存储至系统数据库，便于后续溯源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25</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档案处理场所出入核验模块-AI人脸识别比对</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11路的AI人脸分析功能，通过摄像机画面截图识别进入室内人员情况，目前进入B2出入口、装裱修复室、数字化加工场所、档案接收室、未开放档案查阅室内要求采用刷卡管理机制，识别人卡不一致或进入室内人员非白名单人员时自动触发AI事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26</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档案处理场所出入核验模块-档案处理场所人员核验报警事件中心</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在长宁区数字档案馆综合业务信息管理平台的“平安档案馆的/安全中心”模块，新增“档案处理场所监测报警事件”子模块界面，支持报警区域、报警等级、报警时间、报警图片、报警录像入口等信息管理。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27</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档案处理场所出入核验模块-档案处理场所出入核验模块呈现</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在长宁区数字档案馆综合业务信息管理平台的“平安档案馆的”模块界面中，增加功能应用，结合实际业务功能，完善档案处理场所的安全防范管理功能：</w:t>
            </w:r>
            <w:r>
              <w:rPr>
                <w:rFonts w:hint="eastAsia" w:ascii="仿宋" w:hAnsi="仿宋" w:eastAsia="仿宋" w:cs="宋体"/>
                <w:kern w:val="0"/>
                <w:szCs w:val="28"/>
              </w:rPr>
              <w:br w:type="textWrapping"/>
            </w:r>
            <w:r>
              <w:rPr>
                <w:rFonts w:hint="eastAsia" w:ascii="仿宋" w:hAnsi="仿宋" w:eastAsia="仿宋" w:cs="宋体"/>
                <w:kern w:val="0"/>
                <w:szCs w:val="28"/>
              </w:rPr>
              <w:t>1.今日进入档案处理场所异常画面接入长宁区数字档案馆综合业务信息管理平台已建设的报警弹窗。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28</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公共区域AI安全管控功能-库房外走道AI人脸识别对比</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20路的AI人脸分析功能，通过新增的库房走道摄像机画面截图识别进入库房外部走道区域情况，目前进入库房外部走道区域要求采用刷卡管理机制，识别人卡不一致或进入室内人员非白名单人员时自动触发AI事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29</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公共区域AI安全管控功能-行人摔倒监测</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提供1F公共区域、B1展厅、1楼展厅的36路摄像机进行AI行人摔倒分析功能，通过摄像机画面截图识别进入区域内人员摔倒行为，并截图同步存储至系统数据库，便于后续溯源核查。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30</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公共区域AI安全管控功能-公共区域异常用火行为分析监测</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提供现有馆内除档案库房内的127路摄像机进行AI抽烟行为分析功能，通过摄像机画面截图识别进入区域内人员抽烟行为，并截图同步存储至系统数据库，便于后续溯源核查。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31</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公共区域AI安全管控功能-报警程度分析</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针对办公区域陌生人进出提醒模块、行人摔倒监测、公共区域用火监测等报警事件划分为不同等级，便于差异化处置：</w:t>
            </w:r>
            <w:r>
              <w:rPr>
                <w:rFonts w:ascii="Cambria Math" w:hAnsi="Cambria Math" w:eastAsia="仿宋" w:cs="Cambria Math"/>
                <w:kern w:val="0"/>
                <w:szCs w:val="28"/>
              </w:rPr>
              <w:t>​</w:t>
            </w:r>
            <w:r>
              <w:rPr>
                <w:rFonts w:ascii="仿宋" w:hAnsi="仿宋" w:eastAsia="仿宋"/>
                <w:kern w:val="0"/>
                <w:szCs w:val="28"/>
              </w:rPr>
              <w:br w:type="textWrapping"/>
            </w:r>
            <w:r>
              <w:rPr>
                <w:rFonts w:hint="eastAsia" w:ascii="仿宋" w:hAnsi="仿宋" w:eastAsia="仿宋" w:cs="宋体"/>
                <w:kern w:val="0"/>
                <w:szCs w:val="28"/>
              </w:rPr>
              <w:t>紧急报警：库房走道区域出现非白名单人员、行人摔倒长时间未起、馆内区域出现抽烟等异常情况；</w:t>
            </w:r>
            <w:r>
              <w:rPr>
                <w:rFonts w:ascii="Cambria Math" w:hAnsi="Cambria Math" w:eastAsia="仿宋" w:cs="Cambria Math"/>
                <w:kern w:val="0"/>
                <w:szCs w:val="28"/>
              </w:rPr>
              <w:t>​</w:t>
            </w:r>
            <w:r>
              <w:rPr>
                <w:rFonts w:ascii="仿宋" w:hAnsi="仿宋" w:eastAsia="仿宋"/>
                <w:kern w:val="0"/>
                <w:szCs w:val="28"/>
              </w:rPr>
              <w:br w:type="textWrapping"/>
            </w:r>
            <w:r>
              <w:rPr>
                <w:rFonts w:hint="eastAsia" w:ascii="仿宋" w:hAnsi="仿宋" w:eastAsia="仿宋" w:cs="宋体"/>
                <w:kern w:val="0"/>
                <w:szCs w:val="28"/>
              </w:rPr>
              <w:t>普通报警：出现行人摔倒等情况；</w:t>
            </w:r>
            <w:r>
              <w:rPr>
                <w:rFonts w:ascii="Cambria Math" w:hAnsi="Cambria Math" w:eastAsia="仿宋" w:cs="Cambria Math"/>
                <w:kern w:val="0"/>
                <w:szCs w:val="28"/>
              </w:rPr>
              <w:t>​</w:t>
            </w:r>
            <w:r>
              <w:rPr>
                <w:rFonts w:ascii="仿宋" w:hAnsi="仿宋" w:eastAsia="仿宋"/>
                <w:kern w:val="0"/>
                <w:szCs w:val="28"/>
              </w:rPr>
              <w:br w:type="textWrapping"/>
            </w:r>
            <w:r>
              <w:rPr>
                <w:rFonts w:hint="eastAsia" w:ascii="仿宋" w:hAnsi="仿宋" w:eastAsia="仿宋" w:cs="宋体"/>
                <w:kern w:val="0"/>
                <w:szCs w:val="28"/>
              </w:rPr>
              <w:t>普通预警：办公区域出现非白名单人员等情况。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32</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公共区域AI安全管控功能-公共区域AI安全管控功能呈现</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在长宁区数字档案馆综合业务信息管理平台的“平安档案馆的”模块界面中，增加功能应用，结合实际业务功能，完善公共区域AI安全管控的行人摔倒及异常用火行为分析的安全防范管理功能：</w:t>
            </w:r>
            <w:r>
              <w:rPr>
                <w:rFonts w:hint="eastAsia" w:ascii="仿宋" w:hAnsi="仿宋" w:eastAsia="仿宋" w:cs="宋体"/>
                <w:kern w:val="0"/>
                <w:szCs w:val="28"/>
              </w:rPr>
              <w:br w:type="textWrapping"/>
            </w:r>
            <w:r>
              <w:rPr>
                <w:rFonts w:hint="eastAsia" w:ascii="仿宋" w:hAnsi="仿宋" w:eastAsia="仿宋" w:cs="宋体"/>
                <w:kern w:val="0"/>
                <w:szCs w:val="28"/>
              </w:rPr>
              <w:t>1.行人摔倒及公共区域异常用火行为等异常画面监测接入长宁区数字档案馆综合业务信息管理平台已建设的报警弹窗提醒。</w:t>
            </w:r>
            <w:r>
              <w:rPr>
                <w:rFonts w:hint="eastAsia" w:ascii="仿宋" w:hAnsi="仿宋" w:eastAsia="仿宋" w:cs="宋体"/>
                <w:kern w:val="0"/>
                <w:szCs w:val="28"/>
              </w:rPr>
              <w:br w:type="textWrapping"/>
            </w:r>
            <w:r>
              <w:rPr>
                <w:rFonts w:hint="eastAsia" w:ascii="仿宋" w:hAnsi="仿宋" w:eastAsia="仿宋" w:cs="宋体"/>
                <w:kern w:val="0"/>
                <w:szCs w:val="28"/>
              </w:rPr>
              <w:t>2.在长宁区数字档案馆综合业务信息管理平台的“平安档案馆的/安全中心”模块，新增“档案处理场所监测报警事件”子模块界面，支持报警区域、报警等级、报警时间、报警图片、报警录像入口等信息管理。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33</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展厅及大楼出入口人流统计模块-人流量管理系统数据对接</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对接B1展厅、1F展厅新增的的多维客流摄像机软件平台，从人流量软件平台上实时获取各区域人数数据，并完成数据推送。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34</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展厅及大楼出入口人流统计模块-展厅及大楼出入口人流量监测</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通过人流量管理系统传出数据判断B1展厅、B1史志查阅室、1F展厅、1F大楼出入口进出人数统计数据，并按照区域维度进行数据清洗和统计。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35</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统一应用接入-馆藏档案综合管理系统单点登录</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实现馆藏档案综合管理系统单点登录功能，管理员在长宁区数字档案馆综合业务信息管理平台登录后，无需重复输入账号密码，即可通过统一入口跳转至馆藏档案综合管理系统，同时完成认证信息同步与会话生命周期管理，提升跨系统操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36</w:t>
            </w:r>
          </w:p>
        </w:tc>
        <w:tc>
          <w:tcPr>
            <w:tcW w:w="877"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029"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713"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统一应用接入-统一门户呈现</w:t>
            </w:r>
          </w:p>
        </w:tc>
        <w:tc>
          <w:tcPr>
            <w:tcW w:w="9390"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首页”模块新增馆藏档案综合管理系统统一门户，设计符合长宁区数字档案馆综合业务信息管理平台首页风格的图标与导航样式，管理员无需记忆独立网址，通过长宁区数字档案馆综合业务信息管理平台首页即可快速进入。</w:t>
            </w:r>
          </w:p>
        </w:tc>
      </w:tr>
    </w:tbl>
    <w:p>
      <w:pPr>
        <w:ind w:firstLine="210" w:firstLineChars="100"/>
        <w:rPr>
          <w:rFonts w:hint="eastAsia" w:eastAsia="宋体" w:cs="宋体"/>
          <w:sz w:val="21"/>
          <w:szCs w:val="21"/>
        </w:rPr>
      </w:pPr>
      <w:r>
        <w:rPr>
          <w:rFonts w:hint="eastAsia" w:eastAsia="宋体" w:cs="宋体"/>
          <w:sz w:val="21"/>
          <w:szCs w:val="21"/>
        </w:rPr>
        <w:t>注：供应商根据自身理解，自报人月数量及价格。</w:t>
      </w:r>
    </w:p>
    <w:p>
      <w:pPr>
        <w:ind w:firstLine="0" w:firstLineChars="0"/>
        <w:rPr>
          <w:rFonts w:hint="eastAsia" w:ascii="仿宋" w:hAnsi="仿宋" w:eastAsia="仿宋"/>
        </w:rPr>
      </w:pPr>
    </w:p>
    <w:p>
      <w:pPr>
        <w:pStyle w:val="4"/>
        <w:rPr>
          <w:rFonts w:hint="eastAsia" w:ascii="仿宋" w:hAnsi="仿宋" w:eastAsia="仿宋"/>
        </w:rPr>
      </w:pPr>
      <w:r>
        <w:rPr>
          <w:rFonts w:hint="eastAsia" w:ascii="仿宋" w:hAnsi="仿宋" w:eastAsia="仿宋"/>
        </w:rPr>
        <w:t>软件开发配套硬件设备建设清单</w:t>
      </w:r>
    </w:p>
    <w:tbl>
      <w:tblPr>
        <w:tblStyle w:val="35"/>
        <w:tblW w:w="1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93"/>
        <w:gridCol w:w="1387"/>
        <w:gridCol w:w="1922"/>
        <w:gridCol w:w="8657"/>
        <w:gridCol w:w="575"/>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序号</w:t>
            </w:r>
          </w:p>
        </w:tc>
        <w:tc>
          <w:tcPr>
            <w:tcW w:w="893"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子系统</w:t>
            </w: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功能模块</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子模块</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功能配置</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数量</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893"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硬件设备建设</w:t>
            </w: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机房建设-视频监控系统</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人流量识别模块</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支持多维客流、密度客流以及客流对接、统计组管理等。</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机房建设-视频监控系统</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人流量识别摄像机</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需配置不小于10台</w:t>
            </w:r>
            <w:r>
              <w:rPr>
                <w:rFonts w:hint="eastAsia" w:ascii="仿宋" w:hAnsi="仿宋" w:eastAsia="仿宋" w:cs="宋体"/>
                <w:kern w:val="0"/>
                <w:szCs w:val="28"/>
              </w:rPr>
              <w:br w:type="textWrapping"/>
            </w:r>
            <w:r>
              <w:rPr>
                <w:rFonts w:hint="eastAsia" w:ascii="仿宋" w:hAnsi="仿宋" w:eastAsia="仿宋" w:cs="宋体"/>
                <w:kern w:val="0"/>
                <w:szCs w:val="28"/>
              </w:rPr>
              <w:t>每台支持以下功能配置：</w:t>
            </w:r>
            <w:r>
              <w:rPr>
                <w:rFonts w:hint="eastAsia" w:ascii="仿宋" w:hAnsi="仿宋" w:eastAsia="仿宋" w:cs="宋体"/>
                <w:kern w:val="0"/>
                <w:szCs w:val="28"/>
              </w:rPr>
              <w:br w:type="textWrapping"/>
            </w:r>
            <w:r>
              <w:rPr>
                <w:rFonts w:hint="eastAsia" w:ascii="仿宋" w:hAnsi="仿宋" w:eastAsia="仿宋" w:cs="宋体"/>
                <w:kern w:val="0"/>
                <w:szCs w:val="28"/>
              </w:rPr>
              <w:t>需统计指定场景内目标人员进入、离开和经过的情况，对三个方向客流进行统计及去重</w:t>
            </w:r>
            <w:r>
              <w:rPr>
                <w:rFonts w:hint="eastAsia" w:ascii="仿宋" w:hAnsi="仿宋" w:eastAsia="仿宋" w:cs="宋体"/>
                <w:kern w:val="0"/>
                <w:szCs w:val="28"/>
              </w:rPr>
              <w:br w:type="textWrapping"/>
            </w:r>
            <w:r>
              <w:rPr>
                <w:rFonts w:hint="eastAsia" w:ascii="仿宋" w:hAnsi="仿宋" w:eastAsia="仿宋" w:cs="宋体"/>
                <w:kern w:val="0"/>
                <w:szCs w:val="28"/>
              </w:rPr>
              <w:t>传感器类型：不小于1/1.8" Progressive Scan CMOS</w:t>
            </w:r>
            <w:r>
              <w:rPr>
                <w:rFonts w:hint="eastAsia" w:ascii="仿宋" w:hAnsi="仿宋" w:eastAsia="仿宋" w:cs="宋体"/>
                <w:kern w:val="0"/>
                <w:szCs w:val="28"/>
              </w:rPr>
              <w:br w:type="textWrapping"/>
            </w:r>
            <w:r>
              <w:rPr>
                <w:rFonts w:hint="eastAsia" w:ascii="仿宋" w:hAnsi="仿宋" w:eastAsia="仿宋" w:cs="宋体"/>
                <w:kern w:val="0"/>
                <w:szCs w:val="28"/>
              </w:rPr>
              <w:t>焦距&amp;视场角：不小于2.8~12 mm：水平视场角：不小于107°~39.8°，垂直视场角：不小于56°~22.4°，对角视场角：不小于130.1°~45.7°</w:t>
            </w:r>
            <w:r>
              <w:rPr>
                <w:rFonts w:hint="eastAsia" w:ascii="仿宋" w:hAnsi="仿宋" w:eastAsia="仿宋" w:cs="宋体"/>
                <w:kern w:val="0"/>
                <w:szCs w:val="28"/>
              </w:rPr>
              <w:br w:type="textWrapping"/>
            </w:r>
            <w:r>
              <w:rPr>
                <w:rFonts w:hint="eastAsia" w:ascii="仿宋" w:hAnsi="仿宋" w:eastAsia="仿宋" w:cs="宋体"/>
                <w:kern w:val="0"/>
                <w:szCs w:val="28"/>
              </w:rPr>
              <w:t>最大图像尺寸：2560 × 1440</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机房建设-视频监控系统</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监控平台授权许可</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需配置不小于10个</w:t>
            </w:r>
            <w:r>
              <w:rPr>
                <w:rFonts w:hint="eastAsia" w:ascii="仿宋" w:hAnsi="仿宋" w:eastAsia="仿宋" w:cs="宋体"/>
                <w:kern w:val="0"/>
                <w:szCs w:val="28"/>
              </w:rPr>
              <w:br w:type="textWrapping"/>
            </w:r>
            <w:r>
              <w:rPr>
                <w:rFonts w:hint="eastAsia" w:ascii="仿宋" w:hAnsi="仿宋" w:eastAsia="仿宋" w:cs="宋体"/>
                <w:kern w:val="0"/>
                <w:szCs w:val="28"/>
              </w:rPr>
              <w:t>需接入档案馆现有监控平台的摄像机授权许可。</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4</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机房建设-视频监控系统</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高清黑光摄像机</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需配置不小于48台</w:t>
            </w:r>
            <w:r>
              <w:rPr>
                <w:rFonts w:hint="eastAsia" w:ascii="仿宋" w:hAnsi="仿宋" w:eastAsia="仿宋" w:cs="宋体"/>
                <w:kern w:val="0"/>
                <w:szCs w:val="28"/>
              </w:rPr>
              <w:br w:type="textWrapping"/>
            </w:r>
            <w:r>
              <w:rPr>
                <w:rFonts w:hint="eastAsia" w:ascii="仿宋" w:hAnsi="仿宋" w:eastAsia="仿宋" w:cs="宋体"/>
                <w:kern w:val="0"/>
                <w:szCs w:val="28"/>
              </w:rPr>
              <w:t>每台支持以下功能配置：</w:t>
            </w:r>
            <w:r>
              <w:rPr>
                <w:rFonts w:hint="eastAsia" w:ascii="仿宋" w:hAnsi="仿宋" w:eastAsia="仿宋" w:cs="宋体"/>
                <w:kern w:val="0"/>
                <w:szCs w:val="28"/>
              </w:rPr>
              <w:br w:type="textWrapping"/>
            </w:r>
            <w:r>
              <w:rPr>
                <w:rFonts w:hint="eastAsia" w:ascii="仿宋" w:hAnsi="仿宋" w:eastAsia="仿宋" w:cs="宋体"/>
                <w:kern w:val="0"/>
                <w:szCs w:val="28"/>
              </w:rPr>
              <w:t>支持在极低亮度下，呈现如在白昼中的彩色画质</w:t>
            </w:r>
            <w:r>
              <w:rPr>
                <w:rFonts w:hint="eastAsia" w:ascii="仿宋" w:hAnsi="仿宋" w:eastAsia="仿宋" w:cs="宋体"/>
                <w:kern w:val="0"/>
                <w:szCs w:val="28"/>
              </w:rPr>
              <w:br w:type="textWrapping"/>
            </w:r>
            <w:r>
              <w:rPr>
                <w:rFonts w:hint="eastAsia" w:ascii="仿宋" w:hAnsi="仿宋" w:eastAsia="仿宋" w:cs="宋体"/>
                <w:kern w:val="0"/>
                <w:szCs w:val="28"/>
              </w:rPr>
              <w:t>混合目标检测：支持人脸和人体目标检测，可对目标进行跟随、评分，输出最优抓拍及属性提取</w:t>
            </w:r>
            <w:r>
              <w:rPr>
                <w:rFonts w:hint="eastAsia" w:ascii="仿宋" w:hAnsi="仿宋" w:eastAsia="仿宋" w:cs="宋体"/>
                <w:kern w:val="0"/>
                <w:szCs w:val="28"/>
              </w:rPr>
              <w:br w:type="textWrapping"/>
            </w:r>
            <w:r>
              <w:rPr>
                <w:rFonts w:hint="eastAsia" w:ascii="仿宋" w:hAnsi="仿宋" w:eastAsia="仿宋" w:cs="宋体"/>
                <w:kern w:val="0"/>
                <w:szCs w:val="28"/>
              </w:rPr>
              <w:t>人脸抓拍：支持对运动人脸进行检测、跟随、抓拍、评分、筛选，输出最优的面部抓拍及属性提取，最多同时检测30张人脸</w:t>
            </w:r>
            <w:r>
              <w:rPr>
                <w:rFonts w:hint="eastAsia" w:ascii="仿宋" w:hAnsi="仿宋" w:eastAsia="仿宋" w:cs="宋体"/>
                <w:kern w:val="0"/>
                <w:szCs w:val="28"/>
              </w:rPr>
              <w:br w:type="textWrapping"/>
            </w:r>
            <w:r>
              <w:rPr>
                <w:rFonts w:hint="eastAsia" w:ascii="仿宋" w:hAnsi="仿宋" w:eastAsia="仿宋" w:cs="宋体"/>
                <w:kern w:val="0"/>
                <w:szCs w:val="28"/>
              </w:rPr>
              <w:t>内置高效温和补光灯，告别光污染，保证夜间正常进行面部抓拍，并支持声光报警</w:t>
            </w:r>
            <w:r>
              <w:rPr>
                <w:rFonts w:hint="eastAsia" w:ascii="仿宋" w:hAnsi="仿宋" w:eastAsia="仿宋" w:cs="宋体"/>
                <w:kern w:val="0"/>
                <w:szCs w:val="28"/>
              </w:rPr>
              <w:br w:type="textWrapping"/>
            </w:r>
            <w:r>
              <w:rPr>
                <w:rFonts w:hint="eastAsia" w:ascii="仿宋" w:hAnsi="仿宋" w:eastAsia="仿宋" w:cs="宋体"/>
                <w:kern w:val="0"/>
                <w:szCs w:val="28"/>
              </w:rPr>
              <w:t>支持混合补光，人脸抓拍：不小于3~6 m，普通监控：不小于30 m</w:t>
            </w:r>
            <w:r>
              <w:rPr>
                <w:rFonts w:hint="eastAsia" w:ascii="仿宋" w:hAnsi="仿宋" w:eastAsia="仿宋" w:cs="宋体"/>
                <w:kern w:val="0"/>
                <w:szCs w:val="28"/>
              </w:rPr>
              <w:br w:type="textWrapping"/>
            </w:r>
            <w:r>
              <w:rPr>
                <w:rFonts w:hint="eastAsia" w:ascii="仿宋" w:hAnsi="仿宋" w:eastAsia="仿宋" w:cs="宋体"/>
                <w:kern w:val="0"/>
                <w:szCs w:val="28"/>
              </w:rPr>
              <w:t>支持2560 × 1440 @25 fps实时帧率，图像更流畅</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5</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机房建设-视频监控系统</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监控平台授权许可</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需配置不小于48个</w:t>
            </w:r>
            <w:r>
              <w:rPr>
                <w:rFonts w:hint="eastAsia" w:ascii="仿宋" w:hAnsi="仿宋" w:eastAsia="仿宋" w:cs="宋体"/>
                <w:kern w:val="0"/>
                <w:szCs w:val="28"/>
              </w:rPr>
              <w:br w:type="textWrapping"/>
            </w:r>
            <w:r>
              <w:rPr>
                <w:rFonts w:hint="eastAsia" w:ascii="仿宋" w:hAnsi="仿宋" w:eastAsia="仿宋" w:cs="宋体"/>
                <w:kern w:val="0"/>
                <w:szCs w:val="28"/>
              </w:rPr>
              <w:t>需接入档案馆现有监控平台的摄像机授权许可。</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6</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网络设备-交换机</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24口POE交换机</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需配置不小于3台</w:t>
            </w:r>
            <w:r>
              <w:rPr>
                <w:rFonts w:hint="eastAsia" w:ascii="仿宋" w:hAnsi="仿宋" w:eastAsia="仿宋" w:cs="宋体"/>
                <w:kern w:val="0"/>
                <w:szCs w:val="28"/>
              </w:rPr>
              <w:br w:type="textWrapping"/>
            </w:r>
            <w:r>
              <w:rPr>
                <w:rFonts w:hint="eastAsia" w:ascii="仿宋" w:hAnsi="仿宋" w:eastAsia="仿宋" w:cs="宋体"/>
                <w:kern w:val="0"/>
                <w:szCs w:val="28"/>
              </w:rPr>
              <w:t>每台支持以下功能配置：</w:t>
            </w:r>
            <w:r>
              <w:rPr>
                <w:rFonts w:hint="eastAsia" w:ascii="仿宋" w:hAnsi="仿宋" w:eastAsia="仿宋" w:cs="宋体"/>
                <w:kern w:val="0"/>
                <w:szCs w:val="28"/>
              </w:rPr>
              <w:br w:type="textWrapping"/>
            </w:r>
            <w:r>
              <w:rPr>
                <w:rFonts w:hint="eastAsia" w:ascii="仿宋" w:hAnsi="仿宋" w:eastAsia="仿宋" w:cs="宋体"/>
                <w:kern w:val="0"/>
                <w:szCs w:val="28"/>
              </w:rPr>
              <w:t>24个10/100/1000BASE-T以太网端口,4个千兆SFP,PoE+,交流供电</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7</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机房建设-硬盘录像机</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网络硬盘录像机</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需配置不小于3台</w:t>
            </w:r>
            <w:r>
              <w:rPr>
                <w:rFonts w:hint="eastAsia" w:ascii="仿宋" w:hAnsi="仿宋" w:eastAsia="仿宋" w:cs="宋体"/>
                <w:kern w:val="0"/>
                <w:szCs w:val="28"/>
              </w:rPr>
              <w:br w:type="textWrapping"/>
            </w:r>
            <w:r>
              <w:rPr>
                <w:rFonts w:hint="eastAsia" w:ascii="仿宋" w:hAnsi="仿宋" w:eastAsia="仿宋" w:cs="宋体"/>
                <w:kern w:val="0"/>
                <w:szCs w:val="28"/>
              </w:rPr>
              <w:t>每台支持以下功能配置：</w:t>
            </w:r>
            <w:r>
              <w:rPr>
                <w:rFonts w:hint="eastAsia" w:ascii="仿宋" w:hAnsi="仿宋" w:eastAsia="仿宋" w:cs="宋体"/>
                <w:kern w:val="0"/>
                <w:szCs w:val="28"/>
              </w:rPr>
              <w:br w:type="textWrapping"/>
            </w:r>
            <w:r>
              <w:rPr>
                <w:rFonts w:hint="eastAsia" w:ascii="仿宋" w:hAnsi="仿宋" w:eastAsia="仿宋" w:cs="宋体"/>
                <w:kern w:val="0"/>
                <w:szCs w:val="28"/>
              </w:rPr>
              <w:t>存储接口：不少于于9个SATA接口，支持硬盘热插拔，最大支持9个12T监控级硬盘</w:t>
            </w:r>
            <w:r>
              <w:rPr>
                <w:rFonts w:hint="eastAsia" w:ascii="仿宋" w:hAnsi="仿宋" w:eastAsia="仿宋" w:cs="宋体"/>
                <w:kern w:val="0"/>
                <w:szCs w:val="28"/>
              </w:rPr>
              <w:br w:type="textWrapping"/>
            </w:r>
            <w:r>
              <w:rPr>
                <w:rFonts w:hint="eastAsia" w:ascii="仿宋" w:hAnsi="仿宋" w:eastAsia="仿宋" w:cs="宋体"/>
                <w:kern w:val="0"/>
                <w:szCs w:val="28"/>
              </w:rPr>
              <w:t>视频接口：不少于2×HDMI，2×VGA</w:t>
            </w:r>
            <w:r>
              <w:rPr>
                <w:rFonts w:hint="eastAsia" w:ascii="仿宋" w:hAnsi="仿宋" w:eastAsia="仿宋" w:cs="宋体"/>
                <w:kern w:val="0"/>
                <w:szCs w:val="28"/>
              </w:rPr>
              <w:br w:type="textWrapping"/>
            </w:r>
            <w:r>
              <w:rPr>
                <w:rFonts w:hint="eastAsia" w:ascii="仿宋" w:hAnsi="仿宋" w:eastAsia="仿宋" w:cs="宋体"/>
                <w:kern w:val="0"/>
                <w:szCs w:val="28"/>
              </w:rPr>
              <w:t>网络接口：不少于2×RJ45 10/100/1000Mbps自适应以太网口</w:t>
            </w:r>
            <w:r>
              <w:rPr>
                <w:rFonts w:hint="eastAsia" w:ascii="仿宋" w:hAnsi="仿宋" w:eastAsia="仿宋" w:cs="宋体"/>
                <w:kern w:val="0"/>
                <w:szCs w:val="28"/>
              </w:rPr>
              <w:br w:type="textWrapping"/>
            </w:r>
            <w:r>
              <w:rPr>
                <w:rFonts w:hint="eastAsia" w:ascii="仿宋" w:hAnsi="仿宋" w:eastAsia="仿宋" w:cs="宋体"/>
                <w:kern w:val="0"/>
                <w:szCs w:val="28"/>
              </w:rPr>
              <w:t>报警接口：不少于16路报警输入，9路报警输出（其中第9路支持CTRL 12V）</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8</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存储设备-硬盘</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硬盘</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需配置满足新增摄像机存储半年及以上数据。</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9</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六类非屏蔽网线</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六类低烟无卤非屏蔽网线。</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10</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主机-PC服务器</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国产部署与储存服务器</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硬盘容量：标配不小于4TB，最大可支持80T；</w:t>
            </w:r>
            <w:r>
              <w:rPr>
                <w:rFonts w:hint="eastAsia" w:ascii="仿宋" w:hAnsi="仿宋" w:eastAsia="仿宋" w:cs="宋体"/>
                <w:kern w:val="0"/>
                <w:szCs w:val="28"/>
              </w:rPr>
              <w:br w:type="textWrapping"/>
            </w:r>
            <w:r>
              <w:rPr>
                <w:rFonts w:hint="eastAsia" w:ascii="仿宋" w:hAnsi="仿宋" w:eastAsia="仿宋" w:cs="宋体"/>
                <w:kern w:val="0"/>
                <w:szCs w:val="28"/>
              </w:rPr>
              <w:t>内存容量：标配不小于16GB，最大可支持到512G；</w:t>
            </w:r>
            <w:r>
              <w:rPr>
                <w:rFonts w:hint="eastAsia" w:ascii="仿宋" w:hAnsi="仿宋" w:eastAsia="仿宋" w:cs="宋体"/>
                <w:kern w:val="0"/>
                <w:szCs w:val="28"/>
              </w:rPr>
              <w:br w:type="textWrapping"/>
            </w:r>
            <w:r>
              <w:rPr>
                <w:rFonts w:hint="eastAsia" w:ascii="仿宋" w:hAnsi="仿宋" w:eastAsia="仿宋" w:cs="宋体"/>
                <w:kern w:val="0"/>
                <w:szCs w:val="28"/>
              </w:rPr>
              <w:t>网络：集成双千兆网口,管理口为单独千兆网口；</w:t>
            </w:r>
            <w:r>
              <w:rPr>
                <w:rFonts w:hint="eastAsia" w:ascii="仿宋" w:hAnsi="仿宋" w:eastAsia="仿宋" w:cs="宋体"/>
                <w:kern w:val="0"/>
                <w:szCs w:val="28"/>
              </w:rPr>
              <w:br w:type="textWrapping"/>
            </w:r>
            <w:r>
              <w:rPr>
                <w:rFonts w:hint="eastAsia" w:ascii="仿宋" w:hAnsi="仿宋" w:eastAsia="仿宋" w:cs="宋体"/>
                <w:kern w:val="0"/>
                <w:szCs w:val="28"/>
              </w:rPr>
              <w:t>操作系统：国产化操作系统；</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11</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主机-PC服务器</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国产算力服务器（含4张AI加速卡）</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CPU：五系处理器（32核）×2</w:t>
            </w:r>
            <w:r>
              <w:rPr>
                <w:rFonts w:hint="eastAsia" w:ascii="仿宋" w:hAnsi="仿宋" w:eastAsia="仿宋" w:cs="宋体"/>
                <w:kern w:val="0"/>
                <w:szCs w:val="28"/>
              </w:rPr>
              <w:br w:type="textWrapping"/>
            </w:r>
            <w:r>
              <w:rPr>
                <w:rFonts w:hint="eastAsia" w:ascii="仿宋" w:hAnsi="仿宋" w:eastAsia="仿宋" w:cs="宋体"/>
                <w:kern w:val="0"/>
                <w:szCs w:val="28"/>
              </w:rPr>
              <w:t>内存容量：标配不小于32G×4，最大可支持到2048G；</w:t>
            </w:r>
            <w:r>
              <w:rPr>
                <w:rFonts w:hint="eastAsia" w:ascii="仿宋" w:hAnsi="仿宋" w:eastAsia="仿宋" w:cs="宋体"/>
                <w:kern w:val="0"/>
                <w:szCs w:val="28"/>
              </w:rPr>
              <w:br w:type="textWrapping"/>
            </w:r>
            <w:r>
              <w:rPr>
                <w:rFonts w:hint="eastAsia" w:ascii="仿宋" w:hAnsi="仿宋" w:eastAsia="仿宋" w:cs="宋体"/>
                <w:kern w:val="0"/>
                <w:szCs w:val="28"/>
              </w:rPr>
              <w:t>硬盘容量：标配不小于960G SATA SSD×2/10T SATA×1，最大可支持240T；</w:t>
            </w:r>
            <w:r>
              <w:rPr>
                <w:rFonts w:hint="eastAsia" w:ascii="仿宋" w:hAnsi="仿宋" w:eastAsia="仿宋" w:cs="宋体"/>
                <w:kern w:val="0"/>
                <w:szCs w:val="28"/>
              </w:rPr>
              <w:br w:type="textWrapping"/>
            </w:r>
            <w:r>
              <w:rPr>
                <w:rFonts w:hint="eastAsia" w:ascii="仿宋" w:hAnsi="仿宋" w:eastAsia="仿宋" w:cs="宋体"/>
                <w:kern w:val="0"/>
                <w:szCs w:val="28"/>
              </w:rPr>
              <w:t>网络：双口千兆网卡/双口万兆网卡含模块</w:t>
            </w:r>
            <w:r>
              <w:rPr>
                <w:rFonts w:hint="eastAsia" w:ascii="仿宋" w:hAnsi="仿宋" w:eastAsia="仿宋" w:cs="宋体"/>
                <w:kern w:val="0"/>
                <w:szCs w:val="28"/>
              </w:rPr>
              <w:br w:type="textWrapping"/>
            </w:r>
            <w:r>
              <w:rPr>
                <w:rFonts w:hint="eastAsia" w:ascii="仿宋" w:hAnsi="仿宋" w:eastAsia="仿宋" w:cs="宋体"/>
                <w:kern w:val="0"/>
                <w:szCs w:val="28"/>
              </w:rPr>
              <w:t>含导轨；</w:t>
            </w:r>
            <w:r>
              <w:rPr>
                <w:rFonts w:hint="eastAsia" w:ascii="仿宋" w:hAnsi="仿宋" w:eastAsia="仿宋" w:cs="宋体"/>
                <w:kern w:val="0"/>
                <w:szCs w:val="28"/>
              </w:rPr>
              <w:br w:type="textWrapping"/>
            </w:r>
            <w:r>
              <w:rPr>
                <w:rFonts w:hint="eastAsia" w:ascii="仿宋" w:hAnsi="仿宋" w:eastAsia="仿宋" w:cs="宋体"/>
                <w:kern w:val="0"/>
                <w:szCs w:val="28"/>
              </w:rPr>
              <w:t>算力卡：含4张AI加速算力卡，单卡最大提供不小于280 TOPS INT8算力，支持 16 core*1.9 GHzCPU计算能力；支持不小于256路1080P 30FPS视频实时分析能力，支持JPEG和视频硬件编解码；</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12</w:t>
            </w:r>
          </w:p>
        </w:tc>
        <w:tc>
          <w:tcPr>
            <w:tcW w:w="89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138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192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实施辅材</w:t>
            </w:r>
          </w:p>
        </w:tc>
        <w:tc>
          <w:tcPr>
            <w:tcW w:w="8657"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包含线管、电源线、光模块、相关转换器及项目实施所需的一切施工辅材。</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75"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bl>
    <w:p>
      <w:pPr>
        <w:ind w:firstLine="0" w:firstLineChars="0"/>
        <w:rPr>
          <w:rFonts w:hint="eastAsia" w:ascii="仿宋" w:hAnsi="仿宋" w:eastAsia="仿宋"/>
        </w:rPr>
      </w:pPr>
    </w:p>
    <w:p>
      <w:pPr>
        <w:pStyle w:val="4"/>
        <w:rPr>
          <w:rFonts w:hint="eastAsia" w:ascii="仿宋" w:hAnsi="仿宋" w:eastAsia="仿宋"/>
        </w:rPr>
      </w:pPr>
      <w:r>
        <w:rPr>
          <w:rFonts w:hint="eastAsia" w:ascii="仿宋" w:hAnsi="仿宋" w:eastAsia="仿宋"/>
        </w:rPr>
        <w:t>网络安全等级保护及商用密码应用建设清单</w:t>
      </w:r>
    </w:p>
    <w:tbl>
      <w:tblPr>
        <w:tblStyle w:val="35"/>
        <w:tblW w:w="1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13"/>
        <w:gridCol w:w="2266"/>
        <w:gridCol w:w="2802"/>
        <w:gridCol w:w="6776"/>
        <w:gridCol w:w="672"/>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序号</w:t>
            </w:r>
          </w:p>
        </w:tc>
        <w:tc>
          <w:tcPr>
            <w:tcW w:w="913"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子系统</w:t>
            </w: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功能模块</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子模块</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功能配置</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数量</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913" w:type="dxa"/>
            <w:vMerge w:val="restart"/>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等保密评建设</w:t>
            </w: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智能密码钥匙</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提供用户身份鉴别，存储用户数字证书，同时支持证书数量8个，可擦写次数10万次</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40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安全浏览器（含二级密码模块）</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 Windows 平台支持 Chrome、IE 双核，在国产操作系统支持 Chrome 内核；支持系统环境检测；基于 SM2/SM3/SM4 密码算法套件的单双向 SSL 协议</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40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电子认证服务（站点证书）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安全认证网关使用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4</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电子认证服务（用户数字证书）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智能密码钥匙使用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40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5</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智能密码钥匙</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提供用户身份鉴别，存储用户数字证书，同时支持证书数量8个，可擦写次数10万次</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200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6</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安全浏览器（含二级密码模块）</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 Windows 平台支持 Chrome、IE 双核，在国产操作系统支持 Chrome 内核；支持系统环境检测；基于 SM2/SM3/SM4 密码算法套件的单双向 SSL 协议</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200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7</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电子认证服务（站点证书）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安全认证网关使用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8</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电子认证服务（用户数字证书）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智能密码钥匙使用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200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9</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软件适配</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身份认证、加/解密、签名/验签等功能对接开发</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10</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安全管理与支持-安全审计产品</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日志审计系统</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≤1U标准机架式设备</w:t>
            </w:r>
            <w:r>
              <w:rPr>
                <w:rFonts w:hint="eastAsia" w:ascii="仿宋" w:hAnsi="仿宋" w:eastAsia="仿宋" w:cs="宋体"/>
                <w:kern w:val="0"/>
                <w:szCs w:val="28"/>
              </w:rPr>
              <w:br w:type="textWrapping"/>
            </w:r>
            <w:r>
              <w:rPr>
                <w:rFonts w:hint="eastAsia" w:ascii="仿宋" w:hAnsi="仿宋" w:eastAsia="仿宋" w:cs="宋体"/>
                <w:kern w:val="0"/>
                <w:szCs w:val="28"/>
              </w:rPr>
              <w:t>≥16G内存</w:t>
            </w:r>
            <w:r>
              <w:rPr>
                <w:rFonts w:hint="eastAsia" w:ascii="仿宋" w:hAnsi="仿宋" w:eastAsia="仿宋" w:cs="宋体"/>
                <w:kern w:val="0"/>
                <w:szCs w:val="28"/>
              </w:rPr>
              <w:br w:type="textWrapping"/>
            </w:r>
            <w:r>
              <w:rPr>
                <w:rFonts w:hint="eastAsia" w:ascii="仿宋" w:hAnsi="仿宋" w:eastAsia="仿宋" w:cs="宋体"/>
                <w:kern w:val="0"/>
                <w:szCs w:val="28"/>
              </w:rPr>
              <w:t>≥256GB SATA硬盘</w:t>
            </w:r>
            <w:r>
              <w:rPr>
                <w:rFonts w:hint="eastAsia" w:ascii="仿宋" w:hAnsi="仿宋" w:eastAsia="仿宋" w:cs="宋体"/>
                <w:kern w:val="0"/>
                <w:szCs w:val="28"/>
              </w:rPr>
              <w:br w:type="textWrapping"/>
            </w:r>
            <w:r>
              <w:rPr>
                <w:rFonts w:hint="eastAsia" w:ascii="仿宋" w:hAnsi="仿宋" w:eastAsia="仿宋" w:cs="宋体"/>
                <w:kern w:val="0"/>
                <w:szCs w:val="28"/>
              </w:rPr>
              <w:t>可接入日志源数量≥40</w:t>
            </w:r>
            <w:r>
              <w:rPr>
                <w:rFonts w:hint="eastAsia" w:ascii="仿宋" w:hAnsi="仿宋" w:eastAsia="仿宋" w:cs="宋体"/>
                <w:kern w:val="0"/>
                <w:szCs w:val="28"/>
              </w:rPr>
              <w:br w:type="textWrapping"/>
            </w:r>
            <w:r>
              <w:rPr>
                <w:rFonts w:hint="eastAsia" w:ascii="仿宋" w:hAnsi="仿宋" w:eastAsia="仿宋" w:cs="宋体"/>
                <w:kern w:val="0"/>
                <w:szCs w:val="28"/>
              </w:rPr>
              <w:t>软件授权包含1个内置采集器，含日志收集、日志查询、日志存储、报表管理、事件管理、资产管理、用户管理、系统配置等功能</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11</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安全管理与支持-安全审计产品</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数据库审计系统</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≤1U标准机架式设备</w:t>
            </w:r>
            <w:r>
              <w:rPr>
                <w:rFonts w:hint="eastAsia" w:ascii="仿宋" w:hAnsi="仿宋" w:eastAsia="仿宋" w:cs="宋体"/>
                <w:kern w:val="0"/>
                <w:szCs w:val="28"/>
              </w:rPr>
              <w:br w:type="textWrapping"/>
            </w:r>
            <w:r>
              <w:rPr>
                <w:rFonts w:hint="eastAsia" w:ascii="仿宋" w:hAnsi="仿宋" w:eastAsia="仿宋" w:cs="宋体"/>
                <w:kern w:val="0"/>
                <w:szCs w:val="28"/>
              </w:rPr>
              <w:t>配置不少于6个千兆电口、4个千兆光口</w:t>
            </w:r>
            <w:r>
              <w:rPr>
                <w:rFonts w:hint="eastAsia" w:ascii="仿宋" w:hAnsi="仿宋" w:eastAsia="仿宋" w:cs="宋体"/>
                <w:kern w:val="0"/>
                <w:szCs w:val="28"/>
              </w:rPr>
              <w:br w:type="textWrapping"/>
            </w:r>
            <w:r>
              <w:rPr>
                <w:rFonts w:hint="eastAsia" w:ascii="仿宋" w:hAnsi="仿宋" w:eastAsia="仿宋" w:cs="宋体"/>
                <w:kern w:val="0"/>
                <w:szCs w:val="28"/>
              </w:rPr>
              <w:t>硬盘容量≥4TB</w:t>
            </w:r>
            <w:r>
              <w:rPr>
                <w:rFonts w:hint="eastAsia" w:ascii="仿宋" w:hAnsi="仿宋" w:eastAsia="仿宋" w:cs="宋体"/>
                <w:kern w:val="0"/>
                <w:szCs w:val="28"/>
              </w:rPr>
              <w:br w:type="textWrapping"/>
            </w:r>
            <w:r>
              <w:rPr>
                <w:rFonts w:hint="eastAsia" w:ascii="仿宋" w:hAnsi="仿宋" w:eastAsia="仿宋" w:cs="宋体"/>
                <w:kern w:val="0"/>
                <w:szCs w:val="28"/>
              </w:rPr>
              <w:t>不少于2个扩展槽位</w:t>
            </w:r>
            <w:r>
              <w:rPr>
                <w:rFonts w:hint="eastAsia" w:ascii="仿宋" w:hAnsi="仿宋" w:eastAsia="仿宋" w:cs="宋体"/>
                <w:kern w:val="0"/>
                <w:szCs w:val="28"/>
              </w:rPr>
              <w:br w:type="textWrapping"/>
            </w:r>
            <w:r>
              <w:rPr>
                <w:rFonts w:hint="eastAsia" w:ascii="仿宋" w:hAnsi="仿宋" w:eastAsia="仿宋" w:cs="宋体"/>
                <w:kern w:val="0"/>
                <w:szCs w:val="28"/>
              </w:rPr>
              <w:t>冗余电源</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12</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威胁分析系统</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≤2U标准机架式设备</w:t>
            </w:r>
            <w:r>
              <w:rPr>
                <w:rFonts w:hint="eastAsia" w:ascii="仿宋" w:hAnsi="仿宋" w:eastAsia="仿宋" w:cs="宋体"/>
                <w:kern w:val="0"/>
                <w:szCs w:val="28"/>
              </w:rPr>
              <w:br w:type="textWrapping"/>
            </w:r>
            <w:r>
              <w:rPr>
                <w:rFonts w:hint="eastAsia" w:ascii="仿宋" w:hAnsi="仿宋" w:eastAsia="仿宋" w:cs="宋体"/>
                <w:kern w:val="0"/>
                <w:szCs w:val="28"/>
              </w:rPr>
              <w:t>冗余电源</w:t>
            </w:r>
            <w:r>
              <w:rPr>
                <w:rFonts w:hint="eastAsia" w:ascii="仿宋" w:hAnsi="仿宋" w:eastAsia="仿宋" w:cs="宋体"/>
                <w:kern w:val="0"/>
                <w:szCs w:val="28"/>
              </w:rPr>
              <w:br w:type="textWrapping"/>
            </w:r>
            <w:r>
              <w:rPr>
                <w:rFonts w:hint="eastAsia" w:ascii="仿宋" w:hAnsi="仿宋" w:eastAsia="仿宋" w:cs="宋体"/>
                <w:kern w:val="0"/>
                <w:szCs w:val="28"/>
              </w:rPr>
              <w:t>配置不少于2个千兆电口</w:t>
            </w:r>
            <w:r>
              <w:rPr>
                <w:rFonts w:hint="eastAsia" w:ascii="仿宋" w:hAnsi="仿宋" w:eastAsia="仿宋" w:cs="宋体"/>
                <w:kern w:val="0"/>
                <w:szCs w:val="28"/>
              </w:rPr>
              <w:br w:type="textWrapping"/>
            </w:r>
            <w:r>
              <w:rPr>
                <w:rFonts w:hint="eastAsia" w:ascii="仿宋" w:hAnsi="仿宋" w:eastAsia="仿宋" w:cs="宋体"/>
                <w:kern w:val="0"/>
                <w:szCs w:val="28"/>
              </w:rPr>
              <w:t>APT性能≥5Gbps</w:t>
            </w:r>
            <w:r>
              <w:rPr>
                <w:rFonts w:hint="eastAsia" w:ascii="仿宋" w:hAnsi="仿宋" w:eastAsia="仿宋" w:cs="宋体"/>
                <w:kern w:val="0"/>
                <w:szCs w:val="28"/>
              </w:rPr>
              <w:br w:type="textWrapping"/>
            </w:r>
            <w:r>
              <w:rPr>
                <w:rFonts w:hint="eastAsia" w:ascii="仿宋" w:hAnsi="仿宋" w:eastAsia="仿宋" w:cs="宋体"/>
                <w:kern w:val="0"/>
                <w:szCs w:val="28"/>
              </w:rPr>
              <w:t>探针性能≥10Gbps</w:t>
            </w:r>
            <w:r>
              <w:rPr>
                <w:rFonts w:hint="eastAsia" w:ascii="仿宋" w:hAnsi="仿宋" w:eastAsia="仿宋" w:cs="宋体"/>
                <w:kern w:val="0"/>
                <w:szCs w:val="28"/>
              </w:rPr>
              <w:br w:type="textWrapping"/>
            </w:r>
            <w:r>
              <w:rPr>
                <w:rFonts w:hint="eastAsia" w:ascii="仿宋" w:hAnsi="仿宋" w:eastAsia="仿宋" w:cs="宋体"/>
                <w:kern w:val="0"/>
                <w:szCs w:val="28"/>
              </w:rPr>
              <w:t>并发连接≥100万</w:t>
            </w:r>
            <w:r>
              <w:rPr>
                <w:rFonts w:hint="eastAsia" w:ascii="仿宋" w:hAnsi="仿宋" w:eastAsia="仿宋" w:cs="宋体"/>
                <w:kern w:val="0"/>
                <w:szCs w:val="28"/>
              </w:rPr>
              <w:br w:type="textWrapping"/>
            </w:r>
            <w:r>
              <w:rPr>
                <w:rFonts w:hint="eastAsia" w:ascii="仿宋" w:hAnsi="仿宋" w:eastAsia="仿宋" w:cs="宋体"/>
                <w:kern w:val="0"/>
                <w:szCs w:val="28"/>
              </w:rPr>
              <w:t>新建连接≥5万/秒</w:t>
            </w:r>
            <w:r>
              <w:rPr>
                <w:rFonts w:hint="eastAsia" w:ascii="仿宋" w:hAnsi="仿宋" w:eastAsia="仿宋" w:cs="宋体"/>
                <w:kern w:val="0"/>
                <w:szCs w:val="28"/>
              </w:rPr>
              <w:br w:type="textWrapping"/>
            </w:r>
            <w:r>
              <w:rPr>
                <w:rFonts w:hint="eastAsia" w:ascii="仿宋" w:hAnsi="仿宋" w:eastAsia="仿宋" w:cs="宋体"/>
                <w:kern w:val="0"/>
                <w:szCs w:val="28"/>
              </w:rPr>
              <w:t>静态检测≥20万样本/天</w:t>
            </w:r>
            <w:r>
              <w:rPr>
                <w:rFonts w:hint="eastAsia" w:ascii="仿宋" w:hAnsi="仿宋" w:eastAsia="仿宋" w:cs="宋体"/>
                <w:kern w:val="0"/>
                <w:szCs w:val="28"/>
              </w:rPr>
              <w:br w:type="textWrapping"/>
            </w:r>
            <w:r>
              <w:rPr>
                <w:rFonts w:hint="eastAsia" w:ascii="仿宋" w:hAnsi="仿宋" w:eastAsia="仿宋" w:cs="宋体"/>
                <w:kern w:val="0"/>
                <w:szCs w:val="28"/>
              </w:rPr>
              <w:t>动态检测≥2000样本/天</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13</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综合威胁探针系统</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≤2U标准机架式设备</w:t>
            </w:r>
            <w:r>
              <w:rPr>
                <w:rFonts w:hint="eastAsia" w:ascii="仿宋" w:hAnsi="仿宋" w:eastAsia="仿宋" w:cs="宋体"/>
                <w:kern w:val="0"/>
                <w:szCs w:val="28"/>
              </w:rPr>
              <w:br w:type="textWrapping"/>
            </w:r>
            <w:r>
              <w:rPr>
                <w:rFonts w:hint="eastAsia" w:ascii="仿宋" w:hAnsi="仿宋" w:eastAsia="仿宋" w:cs="宋体"/>
                <w:kern w:val="0"/>
                <w:szCs w:val="28"/>
              </w:rPr>
              <w:t>冗余电源</w:t>
            </w:r>
            <w:r>
              <w:rPr>
                <w:rFonts w:hint="eastAsia" w:ascii="仿宋" w:hAnsi="仿宋" w:eastAsia="仿宋" w:cs="宋体"/>
                <w:kern w:val="0"/>
                <w:szCs w:val="28"/>
              </w:rPr>
              <w:br w:type="textWrapping"/>
            </w:r>
            <w:r>
              <w:rPr>
                <w:rFonts w:hint="eastAsia" w:ascii="仿宋" w:hAnsi="仿宋" w:eastAsia="仿宋" w:cs="宋体"/>
                <w:kern w:val="0"/>
                <w:szCs w:val="28"/>
              </w:rPr>
              <w:t>配置不少于6个千兆电口，2个千兆光口；</w:t>
            </w:r>
            <w:r>
              <w:rPr>
                <w:rFonts w:hint="eastAsia" w:ascii="仿宋" w:hAnsi="仿宋" w:eastAsia="仿宋" w:cs="宋体"/>
                <w:kern w:val="0"/>
                <w:szCs w:val="28"/>
              </w:rPr>
              <w:br w:type="textWrapping"/>
            </w:r>
            <w:r>
              <w:rPr>
                <w:rFonts w:hint="eastAsia" w:ascii="仿宋" w:hAnsi="仿宋" w:eastAsia="仿宋" w:cs="宋体"/>
                <w:kern w:val="0"/>
                <w:szCs w:val="28"/>
              </w:rPr>
              <w:t>APT性能≥1Gbps</w:t>
            </w:r>
            <w:r>
              <w:rPr>
                <w:rFonts w:hint="eastAsia" w:ascii="仿宋" w:hAnsi="仿宋" w:eastAsia="仿宋" w:cs="宋体"/>
                <w:kern w:val="0"/>
                <w:szCs w:val="28"/>
              </w:rPr>
              <w:br w:type="textWrapping"/>
            </w:r>
            <w:r>
              <w:rPr>
                <w:rFonts w:hint="eastAsia" w:ascii="仿宋" w:hAnsi="仿宋" w:eastAsia="仿宋" w:cs="宋体"/>
                <w:kern w:val="0"/>
                <w:szCs w:val="28"/>
              </w:rPr>
              <w:t>探针性能≥2Gbps</w:t>
            </w:r>
            <w:r>
              <w:rPr>
                <w:rFonts w:hint="eastAsia" w:ascii="仿宋" w:hAnsi="仿宋" w:eastAsia="仿宋" w:cs="宋体"/>
                <w:kern w:val="0"/>
                <w:szCs w:val="28"/>
              </w:rPr>
              <w:br w:type="textWrapping"/>
            </w:r>
            <w:r>
              <w:rPr>
                <w:rFonts w:hint="eastAsia" w:ascii="仿宋" w:hAnsi="仿宋" w:eastAsia="仿宋" w:cs="宋体"/>
                <w:kern w:val="0"/>
                <w:szCs w:val="28"/>
              </w:rPr>
              <w:t>并发连接≥20万</w:t>
            </w:r>
            <w:r>
              <w:rPr>
                <w:rFonts w:hint="eastAsia" w:ascii="仿宋" w:hAnsi="仿宋" w:eastAsia="仿宋" w:cs="宋体"/>
                <w:kern w:val="0"/>
                <w:szCs w:val="28"/>
              </w:rPr>
              <w:br w:type="textWrapping"/>
            </w:r>
            <w:r>
              <w:rPr>
                <w:rFonts w:hint="eastAsia" w:ascii="仿宋" w:hAnsi="仿宋" w:eastAsia="仿宋" w:cs="宋体"/>
                <w:kern w:val="0"/>
                <w:szCs w:val="28"/>
              </w:rPr>
              <w:t>新建连接≥1万/秒</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14</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应用安全-WEB应用防火墙产品</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WEB应用防火墙</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≤2U标准机架式设备</w:t>
            </w:r>
            <w:r>
              <w:rPr>
                <w:rFonts w:hint="eastAsia" w:ascii="仿宋" w:hAnsi="仿宋" w:eastAsia="仿宋" w:cs="宋体"/>
                <w:kern w:val="0"/>
                <w:szCs w:val="28"/>
              </w:rPr>
              <w:br w:type="textWrapping"/>
            </w:r>
            <w:r>
              <w:rPr>
                <w:rFonts w:hint="eastAsia" w:ascii="仿宋" w:hAnsi="仿宋" w:eastAsia="仿宋" w:cs="宋体"/>
                <w:kern w:val="0"/>
                <w:szCs w:val="28"/>
              </w:rPr>
              <w:t>配置不少于1个管理口，4个千兆电口、4个千兆光口</w:t>
            </w:r>
            <w:r>
              <w:rPr>
                <w:rFonts w:hint="eastAsia" w:ascii="仿宋" w:hAnsi="仿宋" w:eastAsia="仿宋" w:cs="宋体"/>
                <w:kern w:val="0"/>
                <w:szCs w:val="28"/>
              </w:rPr>
              <w:br w:type="textWrapping"/>
            </w:r>
            <w:r>
              <w:rPr>
                <w:rFonts w:hint="eastAsia" w:ascii="仿宋" w:hAnsi="仿宋" w:eastAsia="仿宋" w:cs="宋体"/>
                <w:kern w:val="0"/>
                <w:szCs w:val="28"/>
              </w:rPr>
              <w:t>不少于2个扩展槽</w:t>
            </w:r>
            <w:r>
              <w:rPr>
                <w:rFonts w:hint="eastAsia" w:ascii="仿宋" w:hAnsi="仿宋" w:eastAsia="仿宋" w:cs="宋体"/>
                <w:kern w:val="0"/>
                <w:szCs w:val="28"/>
              </w:rPr>
              <w:br w:type="textWrapping"/>
            </w:r>
            <w:r>
              <w:rPr>
                <w:rFonts w:hint="eastAsia" w:ascii="仿宋" w:hAnsi="仿宋" w:eastAsia="仿宋" w:cs="宋体"/>
                <w:kern w:val="0"/>
                <w:szCs w:val="28"/>
              </w:rPr>
              <w:t>冗余电源</w:t>
            </w:r>
            <w:r>
              <w:rPr>
                <w:rFonts w:hint="eastAsia" w:ascii="仿宋" w:hAnsi="仿宋" w:eastAsia="仿宋" w:cs="宋体"/>
                <w:kern w:val="0"/>
                <w:szCs w:val="28"/>
              </w:rPr>
              <w:br w:type="textWrapping"/>
            </w:r>
            <w:r>
              <w:rPr>
                <w:rFonts w:hint="eastAsia" w:ascii="仿宋" w:hAnsi="仿宋" w:eastAsia="仿宋" w:cs="宋体"/>
                <w:kern w:val="0"/>
                <w:szCs w:val="28"/>
              </w:rPr>
              <w:t>应用层吞吐≥4Gbps</w:t>
            </w:r>
            <w:r>
              <w:rPr>
                <w:rFonts w:hint="eastAsia" w:ascii="仿宋" w:hAnsi="仿宋" w:eastAsia="仿宋" w:cs="宋体"/>
                <w:kern w:val="0"/>
                <w:szCs w:val="28"/>
              </w:rPr>
              <w:br w:type="textWrapping"/>
            </w:r>
            <w:r>
              <w:rPr>
                <w:rFonts w:hint="eastAsia" w:ascii="仿宋" w:hAnsi="仿宋" w:eastAsia="仿宋" w:cs="宋体"/>
                <w:kern w:val="0"/>
                <w:szCs w:val="28"/>
              </w:rPr>
              <w:t>新建连接≥4万/秒</w:t>
            </w:r>
            <w:r>
              <w:rPr>
                <w:rFonts w:hint="eastAsia" w:ascii="仿宋" w:hAnsi="仿宋" w:eastAsia="仿宋" w:cs="宋体"/>
                <w:kern w:val="0"/>
                <w:szCs w:val="28"/>
              </w:rPr>
              <w:br w:type="textWrapping"/>
            </w:r>
            <w:r>
              <w:rPr>
                <w:rFonts w:hint="eastAsia" w:ascii="仿宋" w:hAnsi="仿宋" w:eastAsia="仿宋" w:cs="宋体"/>
                <w:kern w:val="0"/>
                <w:szCs w:val="28"/>
              </w:rPr>
              <w:t>并发连接≥100万</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15</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防病毒产品-杀毒软件</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服务器杀毒软件</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新增服务器授权</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8</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16</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边界安全-防火墙</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防火墙（冗余）</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利旧一台，新增一台实现双机热备及冗余。</w:t>
            </w:r>
            <w:r>
              <w:rPr>
                <w:rFonts w:hint="eastAsia" w:ascii="仿宋" w:hAnsi="仿宋" w:eastAsia="仿宋" w:cs="宋体"/>
                <w:kern w:val="0"/>
                <w:szCs w:val="28"/>
              </w:rPr>
              <w:br w:type="textWrapping"/>
            </w:r>
            <w:r>
              <w:rPr>
                <w:rFonts w:hint="eastAsia" w:ascii="仿宋" w:hAnsi="仿宋" w:eastAsia="仿宋" w:cs="宋体"/>
                <w:kern w:val="0"/>
                <w:szCs w:val="28"/>
              </w:rPr>
              <w:t>内存≥16G</w:t>
            </w:r>
            <w:r>
              <w:rPr>
                <w:rFonts w:hint="eastAsia" w:ascii="仿宋" w:hAnsi="仿宋" w:eastAsia="仿宋" w:cs="宋体"/>
                <w:kern w:val="0"/>
                <w:szCs w:val="28"/>
              </w:rPr>
              <w:br w:type="textWrapping"/>
            </w:r>
            <w:r>
              <w:rPr>
                <w:rFonts w:hint="eastAsia" w:ascii="仿宋" w:hAnsi="仿宋" w:eastAsia="仿宋" w:cs="宋体"/>
                <w:kern w:val="0"/>
                <w:szCs w:val="28"/>
              </w:rPr>
              <w:t>防火墙吞吐≥7G</w:t>
            </w:r>
            <w:r>
              <w:rPr>
                <w:rFonts w:hint="eastAsia" w:ascii="仿宋" w:hAnsi="仿宋" w:eastAsia="仿宋" w:cs="宋体"/>
                <w:kern w:val="0"/>
                <w:szCs w:val="28"/>
              </w:rPr>
              <w:br w:type="textWrapping"/>
            </w:r>
            <w:r>
              <w:rPr>
                <w:rFonts w:hint="eastAsia" w:ascii="仿宋" w:hAnsi="仿宋" w:eastAsia="仿宋" w:cs="宋体"/>
                <w:kern w:val="0"/>
                <w:szCs w:val="28"/>
              </w:rPr>
              <w:t>并发连接≥300万</w:t>
            </w:r>
            <w:r>
              <w:rPr>
                <w:rFonts w:hint="eastAsia" w:ascii="仿宋" w:hAnsi="仿宋" w:eastAsia="仿宋" w:cs="宋体"/>
                <w:kern w:val="0"/>
                <w:szCs w:val="28"/>
              </w:rPr>
              <w:br w:type="textWrapping"/>
            </w:r>
            <w:r>
              <w:rPr>
                <w:rFonts w:hint="eastAsia" w:ascii="仿宋" w:hAnsi="仿宋" w:eastAsia="仿宋" w:cs="宋体"/>
                <w:kern w:val="0"/>
                <w:szCs w:val="28"/>
              </w:rPr>
              <w:t>每秒新建连接≥10万</w:t>
            </w:r>
            <w:r>
              <w:rPr>
                <w:rFonts w:hint="eastAsia" w:ascii="仿宋" w:hAnsi="仿宋" w:eastAsia="仿宋" w:cs="宋体"/>
                <w:kern w:val="0"/>
                <w:szCs w:val="28"/>
              </w:rPr>
              <w:br w:type="textWrapping"/>
            </w:r>
            <w:r>
              <w:rPr>
                <w:rFonts w:hint="eastAsia" w:ascii="仿宋" w:hAnsi="仿宋" w:eastAsia="仿宋" w:cs="宋体"/>
                <w:kern w:val="0"/>
                <w:szCs w:val="28"/>
              </w:rPr>
              <w:t>应用层吞吐量≥5G</w:t>
            </w:r>
            <w:r>
              <w:rPr>
                <w:rFonts w:hint="eastAsia" w:ascii="仿宋" w:hAnsi="仿宋" w:eastAsia="仿宋" w:cs="宋体"/>
                <w:kern w:val="0"/>
                <w:szCs w:val="28"/>
              </w:rPr>
              <w:br w:type="textWrapping"/>
            </w:r>
            <w:r>
              <w:rPr>
                <w:rFonts w:hint="eastAsia" w:ascii="仿宋" w:hAnsi="仿宋" w:eastAsia="仿宋" w:cs="宋体"/>
                <w:kern w:val="0"/>
                <w:szCs w:val="28"/>
              </w:rPr>
              <w:t>FW+IPS吞吐量≥1.5G</w:t>
            </w:r>
            <w:r>
              <w:rPr>
                <w:rFonts w:hint="eastAsia" w:ascii="仿宋" w:hAnsi="仿宋" w:eastAsia="仿宋" w:cs="宋体"/>
                <w:kern w:val="0"/>
                <w:szCs w:val="28"/>
              </w:rPr>
              <w:br w:type="textWrapping"/>
            </w:r>
            <w:r>
              <w:rPr>
                <w:rFonts w:hint="eastAsia" w:ascii="仿宋" w:hAnsi="仿宋" w:eastAsia="仿宋" w:cs="宋体"/>
                <w:kern w:val="0"/>
                <w:szCs w:val="28"/>
              </w:rPr>
              <w:t>FW+AV吞吐量≥1.5G</w:t>
            </w:r>
            <w:r>
              <w:rPr>
                <w:rFonts w:hint="eastAsia" w:ascii="仿宋" w:hAnsi="仿宋" w:eastAsia="仿宋" w:cs="宋体"/>
                <w:kern w:val="0"/>
                <w:szCs w:val="28"/>
              </w:rPr>
              <w:br w:type="textWrapping"/>
            </w:r>
            <w:r>
              <w:rPr>
                <w:rFonts w:hint="eastAsia" w:ascii="仿宋" w:hAnsi="仿宋" w:eastAsia="仿宋" w:cs="宋体"/>
                <w:kern w:val="0"/>
                <w:szCs w:val="28"/>
              </w:rPr>
              <w:t>FW+WAF吞吐量≥0.8G</w:t>
            </w:r>
            <w:r>
              <w:rPr>
                <w:rFonts w:hint="eastAsia" w:ascii="仿宋" w:hAnsi="仿宋" w:eastAsia="仿宋" w:cs="宋体"/>
                <w:kern w:val="0"/>
                <w:szCs w:val="28"/>
              </w:rPr>
              <w:br w:type="textWrapping"/>
            </w:r>
            <w:r>
              <w:rPr>
                <w:rFonts w:hint="eastAsia" w:ascii="仿宋" w:hAnsi="仿宋" w:eastAsia="仿宋" w:cs="宋体"/>
                <w:kern w:val="0"/>
                <w:szCs w:val="28"/>
              </w:rPr>
              <w:t>全威胁吞吐量≥1G</w:t>
            </w:r>
            <w:r>
              <w:rPr>
                <w:rFonts w:hint="eastAsia" w:ascii="仿宋" w:hAnsi="仿宋" w:eastAsia="仿宋" w:cs="宋体"/>
                <w:kern w:val="0"/>
                <w:szCs w:val="28"/>
              </w:rPr>
              <w:br w:type="textWrapping"/>
            </w:r>
            <w:r>
              <w:rPr>
                <w:rFonts w:hint="eastAsia" w:ascii="仿宋" w:hAnsi="仿宋" w:eastAsia="仿宋" w:cs="宋体"/>
                <w:kern w:val="0"/>
                <w:szCs w:val="28"/>
              </w:rPr>
              <w:t>IPSEC VPN吞吐≥700Mbps</w:t>
            </w:r>
            <w:r>
              <w:rPr>
                <w:rFonts w:hint="eastAsia" w:ascii="仿宋" w:hAnsi="仿宋" w:eastAsia="仿宋" w:cs="宋体"/>
                <w:kern w:val="0"/>
                <w:szCs w:val="28"/>
              </w:rPr>
              <w:br w:type="textWrapping"/>
            </w:r>
            <w:r>
              <w:rPr>
                <w:rFonts w:hint="eastAsia" w:ascii="仿宋" w:hAnsi="仿宋" w:eastAsia="仿宋" w:cs="宋体"/>
                <w:kern w:val="0"/>
                <w:szCs w:val="28"/>
              </w:rPr>
              <w:t>IPSEC VPN隧道数≥2000</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17</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防病毒产品-杀毒软件</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防病毒模块</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新增防火墙须配套部署防病毒模块，模块服务使用年限不低于3年。</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3</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18</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边界安全-入侵防御产品（IPS）</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入侵检测产品</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≤2U标准机架式设备</w:t>
            </w:r>
            <w:r>
              <w:rPr>
                <w:rFonts w:hint="eastAsia" w:ascii="仿宋" w:hAnsi="仿宋" w:eastAsia="仿宋" w:cs="宋体"/>
                <w:kern w:val="0"/>
                <w:szCs w:val="28"/>
              </w:rPr>
              <w:br w:type="textWrapping"/>
            </w:r>
            <w:r>
              <w:rPr>
                <w:rFonts w:hint="eastAsia" w:ascii="仿宋" w:hAnsi="仿宋" w:eastAsia="仿宋" w:cs="宋体"/>
                <w:kern w:val="0"/>
                <w:szCs w:val="28"/>
              </w:rPr>
              <w:t>冗余电源</w:t>
            </w:r>
            <w:r>
              <w:rPr>
                <w:rFonts w:hint="eastAsia" w:ascii="仿宋" w:hAnsi="仿宋" w:eastAsia="仿宋" w:cs="宋体"/>
                <w:kern w:val="0"/>
                <w:szCs w:val="28"/>
              </w:rPr>
              <w:br w:type="textWrapping"/>
            </w:r>
            <w:r>
              <w:rPr>
                <w:rFonts w:hint="eastAsia" w:ascii="仿宋" w:hAnsi="仿宋" w:eastAsia="仿宋" w:cs="宋体"/>
                <w:kern w:val="0"/>
                <w:szCs w:val="28"/>
              </w:rPr>
              <w:t>配置不少于6个千兆电口、4个千兆光口和2个万兆光口</w:t>
            </w:r>
            <w:r>
              <w:rPr>
                <w:rFonts w:hint="eastAsia" w:ascii="仿宋" w:hAnsi="仿宋" w:eastAsia="仿宋" w:cs="宋体"/>
                <w:kern w:val="0"/>
                <w:szCs w:val="28"/>
              </w:rPr>
              <w:br w:type="textWrapping"/>
            </w:r>
            <w:r>
              <w:rPr>
                <w:rFonts w:hint="eastAsia" w:ascii="仿宋" w:hAnsi="仿宋" w:eastAsia="仿宋" w:cs="宋体"/>
                <w:kern w:val="0"/>
                <w:szCs w:val="28"/>
              </w:rPr>
              <w:t>配置不少于4个千兆多模光模块、2个万兆多模光模块，配置硬盘容量≥4TB</w:t>
            </w:r>
            <w:r>
              <w:rPr>
                <w:rFonts w:hint="eastAsia" w:ascii="仿宋" w:hAnsi="仿宋" w:eastAsia="仿宋" w:cs="宋体"/>
                <w:kern w:val="0"/>
                <w:szCs w:val="28"/>
              </w:rPr>
              <w:br w:type="textWrapping"/>
            </w:r>
            <w:r>
              <w:rPr>
                <w:rFonts w:hint="eastAsia" w:ascii="仿宋" w:hAnsi="仿宋" w:eastAsia="仿宋" w:cs="宋体"/>
                <w:kern w:val="0"/>
                <w:szCs w:val="28"/>
              </w:rPr>
              <w:t>整机吞吐率≥24000Mbps</w:t>
            </w:r>
            <w:r>
              <w:rPr>
                <w:rFonts w:hint="eastAsia" w:ascii="仿宋" w:hAnsi="仿宋" w:eastAsia="仿宋" w:cs="宋体"/>
                <w:kern w:val="0"/>
                <w:szCs w:val="28"/>
              </w:rPr>
              <w:br w:type="textWrapping"/>
            </w:r>
            <w:r>
              <w:rPr>
                <w:rFonts w:hint="eastAsia" w:ascii="仿宋" w:hAnsi="仿宋" w:eastAsia="仿宋" w:cs="宋体"/>
                <w:kern w:val="0"/>
                <w:szCs w:val="28"/>
              </w:rPr>
              <w:t>最大并发连接数≥200万</w:t>
            </w:r>
            <w:r>
              <w:rPr>
                <w:rFonts w:hint="eastAsia" w:ascii="仿宋" w:hAnsi="仿宋" w:eastAsia="仿宋" w:cs="宋体"/>
                <w:kern w:val="0"/>
                <w:szCs w:val="28"/>
              </w:rPr>
              <w:br w:type="textWrapping"/>
            </w:r>
            <w:r>
              <w:rPr>
                <w:rFonts w:hint="eastAsia" w:ascii="仿宋" w:hAnsi="仿宋" w:eastAsia="仿宋" w:cs="宋体"/>
                <w:kern w:val="0"/>
                <w:szCs w:val="28"/>
              </w:rPr>
              <w:t>IDS吞吐率≥1Gbps</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19</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主机及计算机环境安全-统一身份认证</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身份域管平台</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全栈国产化版，提供统一目录用户，并提供目录用户LDAP认证能力；</w:t>
            </w:r>
            <w:r>
              <w:rPr>
                <w:rFonts w:hint="eastAsia" w:ascii="仿宋" w:hAnsi="仿宋" w:eastAsia="仿宋" w:cs="宋体"/>
                <w:kern w:val="0"/>
                <w:szCs w:val="28"/>
              </w:rPr>
              <w:br w:type="textWrapping"/>
            </w:r>
            <w:r>
              <w:rPr>
                <w:rFonts w:hint="eastAsia" w:ascii="仿宋" w:hAnsi="仿宋" w:eastAsia="仿宋" w:cs="宋体"/>
                <w:kern w:val="0"/>
                <w:szCs w:val="28"/>
              </w:rPr>
              <w:t>支持根据人员变动进行账号增删查改操作，支持基于组织管理情况建设多个树形目录结构；</w:t>
            </w:r>
            <w:r>
              <w:rPr>
                <w:rFonts w:hint="eastAsia" w:ascii="仿宋" w:hAnsi="仿宋" w:eastAsia="仿宋" w:cs="宋体"/>
                <w:kern w:val="0"/>
                <w:szCs w:val="28"/>
              </w:rPr>
              <w:br w:type="textWrapping"/>
            </w:r>
            <w:r>
              <w:rPr>
                <w:rFonts w:hint="eastAsia" w:ascii="仿宋" w:hAnsi="仿宋" w:eastAsia="仿宋" w:cs="宋体"/>
                <w:kern w:val="0"/>
                <w:szCs w:val="28"/>
              </w:rPr>
              <w:t>含50个许可和双因素认证模块；</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20</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服务器密码机</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对称算法平均响应时间小于3ms</w:t>
            </w:r>
            <w:r>
              <w:rPr>
                <w:rFonts w:hint="eastAsia" w:ascii="仿宋" w:hAnsi="仿宋" w:eastAsia="仿宋" w:cs="宋体"/>
                <w:kern w:val="0"/>
                <w:szCs w:val="28"/>
              </w:rPr>
              <w:br w:type="textWrapping"/>
            </w:r>
            <w:r>
              <w:rPr>
                <w:rFonts w:hint="eastAsia" w:ascii="仿宋" w:hAnsi="仿宋" w:eastAsia="仿宋" w:cs="宋体"/>
                <w:kern w:val="0"/>
                <w:szCs w:val="28"/>
              </w:rPr>
              <w:t>非对称算法平均响应时间小于10ms</w:t>
            </w:r>
            <w:r>
              <w:rPr>
                <w:rFonts w:hint="eastAsia" w:ascii="仿宋" w:hAnsi="仿宋" w:eastAsia="仿宋" w:cs="宋体"/>
                <w:kern w:val="0"/>
                <w:szCs w:val="28"/>
              </w:rPr>
              <w:br w:type="textWrapping"/>
            </w:r>
            <w:r>
              <w:rPr>
                <w:rFonts w:hint="eastAsia" w:ascii="仿宋" w:hAnsi="仿宋" w:eastAsia="仿宋" w:cs="宋体"/>
                <w:kern w:val="0"/>
                <w:szCs w:val="28"/>
              </w:rPr>
              <w:t>并发链接数：≥2048路</w:t>
            </w:r>
            <w:r>
              <w:rPr>
                <w:rFonts w:hint="eastAsia" w:ascii="仿宋" w:hAnsi="仿宋" w:eastAsia="仿宋" w:cs="宋体"/>
                <w:kern w:val="0"/>
                <w:szCs w:val="28"/>
              </w:rPr>
              <w:br w:type="textWrapping"/>
            </w:r>
            <w:r>
              <w:rPr>
                <w:rFonts w:hint="eastAsia" w:ascii="仿宋" w:hAnsi="仿宋" w:eastAsia="仿宋" w:cs="宋体"/>
                <w:kern w:val="0"/>
                <w:szCs w:val="28"/>
              </w:rPr>
              <w:t>对称密钥存储：≥8192个</w:t>
            </w:r>
            <w:r>
              <w:rPr>
                <w:rFonts w:hint="eastAsia" w:ascii="仿宋" w:hAnsi="仿宋" w:eastAsia="仿宋" w:cs="宋体"/>
                <w:kern w:val="0"/>
                <w:szCs w:val="28"/>
              </w:rPr>
              <w:br w:type="textWrapping"/>
            </w:r>
            <w:r>
              <w:rPr>
                <w:rFonts w:hint="eastAsia" w:ascii="仿宋" w:hAnsi="仿宋" w:eastAsia="仿宋" w:cs="宋体"/>
                <w:kern w:val="0"/>
                <w:szCs w:val="28"/>
              </w:rPr>
              <w:t>非对称密钥存储：≥2048对</w:t>
            </w:r>
            <w:r>
              <w:rPr>
                <w:rFonts w:hint="eastAsia" w:ascii="仿宋" w:hAnsi="仿宋" w:eastAsia="仿宋" w:cs="宋体"/>
                <w:kern w:val="0"/>
                <w:szCs w:val="28"/>
              </w:rPr>
              <w:br w:type="textWrapping"/>
            </w:r>
            <w:r>
              <w:rPr>
                <w:rFonts w:hint="eastAsia" w:ascii="仿宋" w:hAnsi="仿宋" w:eastAsia="仿宋" w:cs="宋体"/>
                <w:kern w:val="0"/>
                <w:szCs w:val="28"/>
              </w:rPr>
              <w:t>关键性能参数：</w:t>
            </w:r>
            <w:r>
              <w:rPr>
                <w:rFonts w:hint="eastAsia" w:ascii="仿宋" w:hAnsi="仿宋" w:eastAsia="仿宋" w:cs="宋体"/>
                <w:kern w:val="0"/>
                <w:szCs w:val="28"/>
              </w:rPr>
              <w:br w:type="textWrapping"/>
            </w:r>
            <w:r>
              <w:rPr>
                <w:rFonts w:hint="eastAsia" w:ascii="仿宋" w:hAnsi="仿宋" w:eastAsia="仿宋" w:cs="宋体"/>
                <w:kern w:val="0"/>
                <w:szCs w:val="28"/>
              </w:rPr>
              <w:t>SM1加解密≥1500 Mbps</w:t>
            </w:r>
            <w:r>
              <w:rPr>
                <w:rFonts w:hint="eastAsia" w:ascii="仿宋" w:hAnsi="仿宋" w:eastAsia="仿宋" w:cs="宋体"/>
                <w:kern w:val="0"/>
                <w:szCs w:val="28"/>
              </w:rPr>
              <w:br w:type="textWrapping"/>
            </w:r>
            <w:r>
              <w:rPr>
                <w:rFonts w:hint="eastAsia" w:ascii="仿宋" w:hAnsi="仿宋" w:eastAsia="仿宋" w:cs="宋体"/>
                <w:kern w:val="0"/>
                <w:szCs w:val="28"/>
              </w:rPr>
              <w:t>SM2签名≥150000 TPS</w:t>
            </w:r>
            <w:r>
              <w:rPr>
                <w:rFonts w:hint="eastAsia" w:ascii="仿宋" w:hAnsi="仿宋" w:eastAsia="仿宋" w:cs="宋体"/>
                <w:kern w:val="0"/>
                <w:szCs w:val="28"/>
              </w:rPr>
              <w:br w:type="textWrapping"/>
            </w:r>
            <w:r>
              <w:rPr>
                <w:rFonts w:hint="eastAsia" w:ascii="仿宋" w:hAnsi="仿宋" w:eastAsia="仿宋" w:cs="宋体"/>
                <w:kern w:val="0"/>
                <w:szCs w:val="28"/>
              </w:rPr>
              <w:t>SM2验签≥55000 TPS</w:t>
            </w:r>
            <w:r>
              <w:rPr>
                <w:rFonts w:hint="eastAsia" w:ascii="仿宋" w:hAnsi="仿宋" w:eastAsia="仿宋" w:cs="宋体"/>
                <w:kern w:val="0"/>
                <w:szCs w:val="28"/>
              </w:rPr>
              <w:br w:type="textWrapping"/>
            </w:r>
            <w:r>
              <w:rPr>
                <w:rFonts w:hint="eastAsia" w:ascii="仿宋" w:hAnsi="仿宋" w:eastAsia="仿宋" w:cs="宋体"/>
                <w:kern w:val="0"/>
                <w:szCs w:val="28"/>
              </w:rPr>
              <w:t>SM3摘要≥2000 Mbps</w:t>
            </w:r>
            <w:r>
              <w:rPr>
                <w:rFonts w:hint="eastAsia" w:ascii="仿宋" w:hAnsi="仿宋" w:eastAsia="仿宋" w:cs="宋体"/>
                <w:kern w:val="0"/>
                <w:szCs w:val="28"/>
              </w:rPr>
              <w:br w:type="textWrapping"/>
            </w:r>
            <w:r>
              <w:rPr>
                <w:rFonts w:hint="eastAsia" w:ascii="仿宋" w:hAnsi="仿宋" w:eastAsia="仿宋" w:cs="宋体"/>
                <w:kern w:val="0"/>
                <w:szCs w:val="28"/>
              </w:rPr>
              <w:t>SM4加解密≥1800 Mbps</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21</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安全认证网关</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SSL VPN性能指标</w:t>
            </w:r>
            <w:r>
              <w:rPr>
                <w:rFonts w:hint="eastAsia" w:ascii="仿宋" w:hAnsi="仿宋" w:eastAsia="仿宋" w:cs="宋体"/>
                <w:kern w:val="0"/>
                <w:szCs w:val="28"/>
              </w:rPr>
              <w:br w:type="textWrapping"/>
            </w:r>
            <w:r>
              <w:rPr>
                <w:rFonts w:hint="eastAsia" w:ascii="仿宋" w:hAnsi="仿宋" w:eastAsia="仿宋" w:cs="宋体"/>
                <w:kern w:val="0"/>
                <w:szCs w:val="28"/>
              </w:rPr>
              <w:t>新建连接数≥18000个/秒</w:t>
            </w:r>
            <w:r>
              <w:rPr>
                <w:rFonts w:hint="eastAsia" w:ascii="仿宋" w:hAnsi="仿宋" w:eastAsia="仿宋" w:cs="宋体"/>
                <w:kern w:val="0"/>
                <w:szCs w:val="28"/>
              </w:rPr>
              <w:br w:type="textWrapping"/>
            </w:r>
            <w:r>
              <w:rPr>
                <w:rFonts w:hint="eastAsia" w:ascii="仿宋" w:hAnsi="仿宋" w:eastAsia="仿宋" w:cs="宋体"/>
                <w:kern w:val="0"/>
                <w:szCs w:val="28"/>
              </w:rPr>
              <w:t>最大并发链接数≥20万</w:t>
            </w:r>
            <w:r>
              <w:rPr>
                <w:rFonts w:hint="eastAsia" w:ascii="仿宋" w:hAnsi="仿宋" w:eastAsia="仿宋" w:cs="宋体"/>
                <w:kern w:val="0"/>
                <w:szCs w:val="28"/>
              </w:rPr>
              <w:br w:type="textWrapping"/>
            </w:r>
            <w:r>
              <w:rPr>
                <w:rFonts w:hint="eastAsia" w:ascii="仿宋" w:hAnsi="仿宋" w:eastAsia="仿宋" w:cs="宋体"/>
                <w:kern w:val="0"/>
                <w:szCs w:val="28"/>
              </w:rPr>
              <w:t>最大并发用户数≥9000</w:t>
            </w:r>
            <w:r>
              <w:rPr>
                <w:rFonts w:hint="eastAsia" w:ascii="仿宋" w:hAnsi="仿宋" w:eastAsia="仿宋" w:cs="宋体"/>
                <w:kern w:val="0"/>
                <w:szCs w:val="28"/>
              </w:rPr>
              <w:br w:type="textWrapping"/>
            </w:r>
            <w:r>
              <w:rPr>
                <w:rFonts w:hint="eastAsia" w:ascii="仿宋" w:hAnsi="仿宋" w:eastAsia="仿宋" w:cs="宋体"/>
                <w:kern w:val="0"/>
                <w:szCs w:val="28"/>
              </w:rPr>
              <w:t>SM2密文速率≥2800Mbps</w:t>
            </w:r>
            <w:r>
              <w:rPr>
                <w:rFonts w:hint="eastAsia" w:ascii="仿宋" w:hAnsi="仿宋" w:eastAsia="仿宋" w:cs="宋体"/>
                <w:kern w:val="0"/>
                <w:szCs w:val="28"/>
              </w:rPr>
              <w:br w:type="textWrapping"/>
            </w:r>
            <w:r>
              <w:rPr>
                <w:rFonts w:hint="eastAsia" w:ascii="仿宋" w:hAnsi="仿宋" w:eastAsia="仿宋" w:cs="宋体"/>
                <w:kern w:val="0"/>
                <w:szCs w:val="28"/>
              </w:rPr>
              <w:t>IPSec VPN性能指标</w:t>
            </w:r>
            <w:r>
              <w:rPr>
                <w:rFonts w:hint="eastAsia" w:ascii="仿宋" w:hAnsi="仿宋" w:eastAsia="仿宋" w:cs="宋体"/>
                <w:kern w:val="0"/>
                <w:szCs w:val="28"/>
              </w:rPr>
              <w:br w:type="textWrapping"/>
            </w:r>
            <w:r>
              <w:rPr>
                <w:rFonts w:hint="eastAsia" w:ascii="仿宋" w:hAnsi="仿宋" w:eastAsia="仿宋" w:cs="宋体"/>
                <w:kern w:val="0"/>
                <w:szCs w:val="28"/>
              </w:rPr>
              <w:t>最大隧道数≥40000</w:t>
            </w:r>
            <w:r>
              <w:rPr>
                <w:rFonts w:hint="eastAsia" w:ascii="仿宋" w:hAnsi="仿宋" w:eastAsia="仿宋" w:cs="宋体"/>
                <w:kern w:val="0"/>
                <w:szCs w:val="28"/>
              </w:rPr>
              <w:br w:type="textWrapping"/>
            </w:r>
            <w:r>
              <w:rPr>
                <w:rFonts w:hint="eastAsia" w:ascii="仿宋" w:hAnsi="仿宋" w:eastAsia="仿宋" w:cs="宋体"/>
                <w:kern w:val="0"/>
                <w:szCs w:val="28"/>
              </w:rPr>
              <w:t>SM2密文速率≥7000Mbps</w:t>
            </w:r>
            <w:r>
              <w:rPr>
                <w:rFonts w:hint="eastAsia" w:ascii="仿宋" w:hAnsi="仿宋" w:eastAsia="仿宋" w:cs="宋体"/>
                <w:kern w:val="0"/>
                <w:szCs w:val="28"/>
              </w:rPr>
              <w:br w:type="textWrapping"/>
            </w:r>
            <w:r>
              <w:rPr>
                <w:rFonts w:hint="eastAsia" w:ascii="仿宋" w:hAnsi="仿宋" w:eastAsia="仿宋" w:cs="宋体"/>
                <w:kern w:val="0"/>
                <w:szCs w:val="28"/>
              </w:rPr>
              <w:t>加解密延迟&lt;1ms</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22</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签名验签服务器</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并发链接数：≥2048路</w:t>
            </w:r>
            <w:r>
              <w:rPr>
                <w:rFonts w:hint="eastAsia" w:ascii="仿宋" w:hAnsi="仿宋" w:eastAsia="仿宋" w:cs="宋体"/>
                <w:kern w:val="0"/>
                <w:szCs w:val="28"/>
              </w:rPr>
              <w:br w:type="textWrapping"/>
            </w:r>
            <w:r>
              <w:rPr>
                <w:rFonts w:hint="eastAsia" w:ascii="仿宋" w:hAnsi="仿宋" w:eastAsia="仿宋" w:cs="宋体"/>
                <w:kern w:val="0"/>
                <w:szCs w:val="28"/>
              </w:rPr>
              <w:t>对称密钥存储：≥8000个</w:t>
            </w:r>
            <w:r>
              <w:rPr>
                <w:rFonts w:hint="eastAsia" w:ascii="仿宋" w:hAnsi="仿宋" w:eastAsia="仿宋" w:cs="宋体"/>
                <w:kern w:val="0"/>
                <w:szCs w:val="28"/>
              </w:rPr>
              <w:br w:type="textWrapping"/>
            </w:r>
            <w:r>
              <w:rPr>
                <w:rFonts w:hint="eastAsia" w:ascii="仿宋" w:hAnsi="仿宋" w:eastAsia="仿宋" w:cs="宋体"/>
                <w:kern w:val="0"/>
                <w:szCs w:val="28"/>
              </w:rPr>
              <w:t>非对称密钥存储：≥1024对</w:t>
            </w:r>
            <w:r>
              <w:rPr>
                <w:rFonts w:hint="eastAsia" w:ascii="仿宋" w:hAnsi="仿宋" w:eastAsia="仿宋" w:cs="宋体"/>
                <w:kern w:val="0"/>
                <w:szCs w:val="28"/>
              </w:rPr>
              <w:br w:type="textWrapping"/>
            </w:r>
            <w:r>
              <w:rPr>
                <w:rFonts w:hint="eastAsia" w:ascii="仿宋" w:hAnsi="仿宋" w:eastAsia="仿宋" w:cs="宋体"/>
                <w:kern w:val="0"/>
                <w:szCs w:val="28"/>
              </w:rPr>
              <w:t>关键性能参数：</w:t>
            </w:r>
            <w:r>
              <w:rPr>
                <w:rFonts w:hint="eastAsia" w:ascii="仿宋" w:hAnsi="仿宋" w:eastAsia="仿宋" w:cs="宋体"/>
                <w:kern w:val="0"/>
                <w:szCs w:val="28"/>
              </w:rPr>
              <w:br w:type="textWrapping"/>
            </w:r>
            <w:r>
              <w:rPr>
                <w:rFonts w:hint="eastAsia" w:ascii="仿宋" w:hAnsi="仿宋" w:eastAsia="仿宋" w:cs="宋体"/>
                <w:kern w:val="0"/>
                <w:szCs w:val="28"/>
              </w:rPr>
              <w:t>SM2 P1签名（Tps）≥70000</w:t>
            </w:r>
            <w:r>
              <w:rPr>
                <w:rFonts w:hint="eastAsia" w:ascii="仿宋" w:hAnsi="仿宋" w:eastAsia="仿宋" w:cs="宋体"/>
                <w:kern w:val="0"/>
                <w:szCs w:val="28"/>
              </w:rPr>
              <w:br w:type="textWrapping"/>
            </w:r>
            <w:r>
              <w:rPr>
                <w:rFonts w:hint="eastAsia" w:ascii="仿宋" w:hAnsi="仿宋" w:eastAsia="仿宋" w:cs="宋体"/>
                <w:kern w:val="0"/>
                <w:szCs w:val="28"/>
              </w:rPr>
              <w:t>SM2 P1验签（Tps）≥70000</w:t>
            </w:r>
            <w:r>
              <w:rPr>
                <w:rFonts w:hint="eastAsia" w:ascii="仿宋" w:hAnsi="仿宋" w:eastAsia="仿宋" w:cs="宋体"/>
                <w:kern w:val="0"/>
                <w:szCs w:val="28"/>
              </w:rPr>
              <w:br w:type="textWrapping"/>
            </w:r>
            <w:r>
              <w:rPr>
                <w:rFonts w:hint="eastAsia" w:ascii="仿宋" w:hAnsi="仿宋" w:eastAsia="仿宋" w:cs="宋体"/>
                <w:kern w:val="0"/>
                <w:szCs w:val="28"/>
              </w:rPr>
              <w:t>SM2 P7attach签名(Tps) ≥46500</w:t>
            </w:r>
            <w:r>
              <w:rPr>
                <w:rFonts w:hint="eastAsia" w:ascii="仿宋" w:hAnsi="仿宋" w:eastAsia="仿宋" w:cs="宋体"/>
                <w:kern w:val="0"/>
                <w:szCs w:val="28"/>
              </w:rPr>
              <w:br w:type="textWrapping"/>
            </w:r>
            <w:r>
              <w:rPr>
                <w:rFonts w:hint="eastAsia" w:ascii="仿宋" w:hAnsi="仿宋" w:eastAsia="仿宋" w:cs="宋体"/>
                <w:kern w:val="0"/>
                <w:szCs w:val="28"/>
              </w:rPr>
              <w:t>SM2 P7attach验签(Tps) ≥20000</w:t>
            </w:r>
            <w:r>
              <w:rPr>
                <w:rFonts w:hint="eastAsia" w:ascii="仿宋" w:hAnsi="仿宋" w:eastAsia="仿宋" w:cs="宋体"/>
                <w:kern w:val="0"/>
                <w:szCs w:val="28"/>
              </w:rPr>
              <w:br w:type="textWrapping"/>
            </w:r>
            <w:r>
              <w:rPr>
                <w:rFonts w:hint="eastAsia" w:ascii="仿宋" w:hAnsi="仿宋" w:eastAsia="仿宋" w:cs="宋体"/>
                <w:kern w:val="0"/>
                <w:szCs w:val="28"/>
              </w:rPr>
              <w:t>SM2 P7detach签名 (Tps) ≥46500</w:t>
            </w:r>
            <w:r>
              <w:rPr>
                <w:rFonts w:hint="eastAsia" w:ascii="仿宋" w:hAnsi="仿宋" w:eastAsia="仿宋" w:cs="宋体"/>
                <w:kern w:val="0"/>
                <w:szCs w:val="28"/>
              </w:rPr>
              <w:br w:type="textWrapping"/>
            </w:r>
            <w:r>
              <w:rPr>
                <w:rFonts w:hint="eastAsia" w:ascii="仿宋" w:hAnsi="仿宋" w:eastAsia="仿宋" w:cs="宋体"/>
                <w:kern w:val="0"/>
                <w:szCs w:val="28"/>
              </w:rPr>
              <w:t>SM2 P7detach验签(Tps) ≥20000</w:t>
            </w:r>
            <w:r>
              <w:rPr>
                <w:rFonts w:hint="eastAsia" w:ascii="仿宋" w:hAnsi="仿宋" w:eastAsia="仿宋" w:cs="宋体"/>
                <w:kern w:val="0"/>
                <w:szCs w:val="28"/>
              </w:rPr>
              <w:br w:type="textWrapping"/>
            </w:r>
            <w:r>
              <w:rPr>
                <w:rFonts w:hint="eastAsia" w:ascii="仿宋" w:hAnsi="仿宋" w:eastAsia="仿宋" w:cs="宋体"/>
                <w:kern w:val="0"/>
                <w:szCs w:val="28"/>
              </w:rPr>
              <w:t>SM2 P7数字信封加密 (Tps) ≥20000</w:t>
            </w:r>
            <w:r>
              <w:rPr>
                <w:rFonts w:hint="eastAsia" w:ascii="仿宋" w:hAnsi="仿宋" w:eastAsia="仿宋" w:cs="宋体"/>
                <w:kern w:val="0"/>
                <w:szCs w:val="28"/>
              </w:rPr>
              <w:br w:type="textWrapping"/>
            </w:r>
            <w:r>
              <w:rPr>
                <w:rFonts w:hint="eastAsia" w:ascii="仿宋" w:hAnsi="仿宋" w:eastAsia="仿宋" w:cs="宋体"/>
                <w:kern w:val="0"/>
                <w:szCs w:val="28"/>
              </w:rPr>
              <w:t>SM2 P7数字信封解密(Tps) ≥36600</w:t>
            </w:r>
            <w:r>
              <w:rPr>
                <w:rFonts w:hint="eastAsia" w:ascii="仿宋" w:hAnsi="仿宋" w:eastAsia="仿宋" w:cs="宋体"/>
                <w:kern w:val="0"/>
                <w:szCs w:val="28"/>
              </w:rPr>
              <w:br w:type="textWrapping"/>
            </w:r>
            <w:r>
              <w:rPr>
                <w:rFonts w:hint="eastAsia" w:ascii="仿宋" w:hAnsi="仿宋" w:eastAsia="仿宋" w:cs="宋体"/>
                <w:kern w:val="0"/>
                <w:szCs w:val="28"/>
              </w:rPr>
              <w:t>维保：三年维保，包含：①产品系统升级授权；②远程支持服务；③产品保修服务；④硬件故障上门支持。</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23</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智能密码钥匙</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提供用户身份鉴别，存储用户数字证书，同时支持证书数量8个，可擦写次数10万次</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50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24</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安全浏览器（含二级密码模块）</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在 Windows 平台支持 Chrome、IE 双核，在国产操作系统支持 Chrome 内核；支持系统环境检测；基于 SM2/SM3/SM4 密码算法套件的单双向 SSL 协议</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50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25</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电子认证服务（设备证书）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签名验签服务器使用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26</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电子认证服务（站点证书）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安全认证网关使用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27</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电子认证服务（用户数字证书）</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智能密码钥匙使用</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50</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28</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软件适配-局域网-馆藏档案资源管理系统</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身份认证、加/解密、签名/验签等功能对接开发</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776" w:type="dxa"/>
            <w:shd w:val="clear" w:color="000000" w:fill="FFFFFF"/>
            <w:noWrap/>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29</w:t>
            </w:r>
          </w:p>
        </w:tc>
        <w:tc>
          <w:tcPr>
            <w:tcW w:w="913" w:type="dxa"/>
            <w:vMerge w:val="continue"/>
            <w:vAlign w:val="center"/>
          </w:tcPr>
          <w:p>
            <w:pPr>
              <w:widowControl/>
              <w:adjustRightInd/>
              <w:snapToGrid/>
              <w:spacing w:line="240" w:lineRule="auto"/>
              <w:ind w:firstLine="0" w:firstLineChars="0"/>
              <w:jc w:val="left"/>
              <w:rPr>
                <w:rFonts w:hint="eastAsia" w:ascii="仿宋" w:hAnsi="仿宋" w:eastAsia="仿宋" w:cs="宋体"/>
                <w:kern w:val="0"/>
                <w:szCs w:val="28"/>
              </w:rPr>
            </w:pPr>
          </w:p>
        </w:tc>
        <w:tc>
          <w:tcPr>
            <w:tcW w:w="226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其他-其他</w:t>
            </w:r>
          </w:p>
        </w:tc>
        <w:tc>
          <w:tcPr>
            <w:tcW w:w="2802"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软件适配-局域网-长宁区数字档案馆综合业务信息管理平台</w:t>
            </w:r>
          </w:p>
        </w:tc>
        <w:tc>
          <w:tcPr>
            <w:tcW w:w="6776" w:type="dxa"/>
            <w:shd w:val="clear" w:color="000000" w:fill="FFFFFF"/>
            <w:vAlign w:val="center"/>
          </w:tcPr>
          <w:p>
            <w:pPr>
              <w:widowControl/>
              <w:adjustRightInd/>
              <w:snapToGrid/>
              <w:spacing w:line="240" w:lineRule="auto"/>
              <w:ind w:firstLine="0" w:firstLineChars="0"/>
              <w:jc w:val="left"/>
              <w:rPr>
                <w:rFonts w:hint="eastAsia" w:ascii="仿宋" w:hAnsi="仿宋" w:eastAsia="仿宋" w:cs="宋体"/>
                <w:kern w:val="0"/>
                <w:szCs w:val="28"/>
              </w:rPr>
            </w:pPr>
            <w:r>
              <w:rPr>
                <w:rFonts w:hint="eastAsia" w:ascii="仿宋" w:hAnsi="仿宋" w:eastAsia="仿宋" w:cs="宋体"/>
                <w:kern w:val="0"/>
                <w:szCs w:val="28"/>
              </w:rPr>
              <w:t>身份认证、加/解密、签名/验签等功能对接开发</w:t>
            </w:r>
          </w:p>
        </w:tc>
        <w:tc>
          <w:tcPr>
            <w:tcW w:w="672"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1</w:t>
            </w:r>
          </w:p>
        </w:tc>
        <w:tc>
          <w:tcPr>
            <w:tcW w:w="580" w:type="dxa"/>
            <w:shd w:val="clear" w:color="000000" w:fill="FFFFFF"/>
            <w:vAlign w:val="center"/>
          </w:tcPr>
          <w:p>
            <w:pPr>
              <w:widowControl/>
              <w:adjustRightInd/>
              <w:snapToGrid/>
              <w:spacing w:line="240" w:lineRule="auto"/>
              <w:ind w:firstLine="0" w:firstLineChars="0"/>
              <w:jc w:val="center"/>
              <w:rPr>
                <w:rFonts w:hint="eastAsia" w:ascii="仿宋" w:hAnsi="仿宋" w:eastAsia="仿宋" w:cs="宋体"/>
                <w:kern w:val="0"/>
                <w:szCs w:val="28"/>
              </w:rPr>
            </w:pPr>
            <w:r>
              <w:rPr>
                <w:rFonts w:hint="eastAsia" w:ascii="仿宋" w:hAnsi="仿宋" w:eastAsia="仿宋" w:cs="宋体"/>
                <w:kern w:val="0"/>
                <w:szCs w:val="28"/>
              </w:rPr>
              <w:t>项</w:t>
            </w:r>
          </w:p>
        </w:tc>
      </w:tr>
    </w:tbl>
    <w:p>
      <w:pPr>
        <w:ind w:firstLine="0" w:firstLineChars="0"/>
        <w:rPr>
          <w:rFonts w:hint="eastAsia" w:ascii="仿宋" w:hAnsi="仿宋" w:eastAsia="仿宋"/>
        </w:rPr>
      </w:pPr>
    </w:p>
    <w:p>
      <w:pPr>
        <w:ind w:firstLine="0" w:firstLineChars="0"/>
        <w:rPr>
          <w:rFonts w:hint="eastAsia" w:ascii="仿宋" w:hAnsi="仿宋" w:eastAsia="仿宋"/>
        </w:rPr>
        <w:sectPr>
          <w:pgSz w:w="16838" w:h="11906" w:orient="landscape"/>
          <w:pgMar w:top="1797" w:right="1134" w:bottom="1797" w:left="1135" w:header="340" w:footer="7" w:gutter="0"/>
          <w:cols w:space="720" w:num="1"/>
          <w:titlePg/>
          <w:docGrid w:type="linesAndChars" w:linePitch="381" w:charSpace="0"/>
        </w:sectPr>
      </w:pPr>
    </w:p>
    <w:p>
      <w:pPr>
        <w:pStyle w:val="2"/>
        <w:rPr>
          <w:rFonts w:hint="eastAsia" w:ascii="仿宋" w:hAnsi="仿宋" w:eastAsia="仿宋"/>
        </w:rPr>
      </w:pPr>
      <w:bookmarkStart w:id="37" w:name="_Toc63785503"/>
      <w:r>
        <w:rPr>
          <w:rFonts w:ascii="仿宋" w:hAnsi="仿宋" w:eastAsia="仿宋"/>
        </w:rPr>
        <w:t>其他工作要求</w:t>
      </w:r>
      <w:bookmarkEnd w:id="37"/>
      <w:bookmarkStart w:id="38" w:name="_Toc63785504"/>
      <w:bookmarkEnd w:id="38"/>
      <w:bookmarkStart w:id="39" w:name="_Toc62209488"/>
      <w:bookmarkEnd w:id="39"/>
      <w:bookmarkStart w:id="40" w:name="_Toc63762370"/>
      <w:bookmarkEnd w:id="40"/>
      <w:bookmarkStart w:id="41" w:name="_Toc63785439"/>
      <w:bookmarkEnd w:id="41"/>
      <w:bookmarkStart w:id="42" w:name="_Toc63151871"/>
      <w:bookmarkEnd w:id="42"/>
      <w:bookmarkStart w:id="43" w:name="_Toc63585480"/>
      <w:bookmarkEnd w:id="43"/>
      <w:bookmarkStart w:id="44" w:name="_Toc62219358"/>
      <w:bookmarkEnd w:id="44"/>
      <w:bookmarkStart w:id="45" w:name="_Toc61968111"/>
      <w:bookmarkEnd w:id="45"/>
    </w:p>
    <w:p>
      <w:pPr>
        <w:pStyle w:val="3"/>
        <w:rPr>
          <w:rFonts w:hint="eastAsia" w:ascii="仿宋" w:hAnsi="仿宋" w:eastAsia="仿宋"/>
        </w:rPr>
      </w:pPr>
      <w:bookmarkStart w:id="46" w:name="_Toc63785505"/>
      <w:r>
        <w:rPr>
          <w:rFonts w:ascii="仿宋" w:hAnsi="仿宋" w:eastAsia="仿宋"/>
        </w:rPr>
        <w:t>售后服务要求</w:t>
      </w:r>
      <w:bookmarkEnd w:id="46"/>
    </w:p>
    <w:p>
      <w:pPr>
        <w:pStyle w:val="106"/>
        <w:spacing w:line="360" w:lineRule="auto"/>
        <w:ind w:firstLine="560"/>
        <w:rPr>
          <w:rFonts w:hint="eastAsia" w:ascii="仿宋" w:hAnsi="仿宋" w:eastAsia="仿宋"/>
          <w:sz w:val="28"/>
          <w:szCs w:val="28"/>
        </w:rPr>
      </w:pPr>
      <w:r>
        <w:rPr>
          <w:rFonts w:hint="eastAsia" w:ascii="仿宋" w:hAnsi="仿宋" w:eastAsia="仿宋"/>
          <w:sz w:val="28"/>
          <w:szCs w:val="28"/>
        </w:rPr>
        <w:t>本项目自验收通过之日起提供不少于12个月质保。质保期内提供7*24小时免费技术支持、售后服务和运维服务，质保期后进入有偿维护期。</w:t>
      </w:r>
    </w:p>
    <w:p>
      <w:pPr>
        <w:pStyle w:val="106"/>
        <w:spacing w:line="360" w:lineRule="auto"/>
        <w:ind w:firstLine="560"/>
        <w:rPr>
          <w:rFonts w:hint="eastAsia" w:ascii="仿宋" w:hAnsi="仿宋" w:eastAsia="仿宋"/>
          <w:sz w:val="28"/>
          <w:szCs w:val="28"/>
        </w:rPr>
      </w:pPr>
      <w:r>
        <w:rPr>
          <w:rFonts w:ascii="仿宋" w:hAnsi="仿宋" w:eastAsia="仿宋"/>
          <w:sz w:val="28"/>
          <w:szCs w:val="28"/>
        </w:rPr>
        <w:t>在质量保证期内，供应商将按照售后服务的承诺提供保修和运行维护服务，如果厂商对信息系统中软、硬件设备等产品中的部分保修期超过上述期限的，</w:t>
      </w:r>
      <w:r>
        <w:rPr>
          <w:rFonts w:hint="eastAsia" w:ascii="仿宋" w:hAnsi="仿宋" w:eastAsia="仿宋"/>
          <w:sz w:val="28"/>
          <w:szCs w:val="28"/>
        </w:rPr>
        <w:t>供应商应与</w:t>
      </w:r>
      <w:r>
        <w:rPr>
          <w:rFonts w:ascii="仿宋" w:hAnsi="仿宋" w:eastAsia="仿宋"/>
          <w:sz w:val="28"/>
          <w:szCs w:val="28"/>
        </w:rPr>
        <w:t>厂商</w:t>
      </w:r>
      <w:r>
        <w:rPr>
          <w:rFonts w:hint="eastAsia" w:ascii="仿宋" w:hAnsi="仿宋" w:eastAsia="仿宋"/>
          <w:sz w:val="28"/>
          <w:szCs w:val="28"/>
        </w:rPr>
        <w:t>协商后</w:t>
      </w:r>
      <w:r>
        <w:rPr>
          <w:rFonts w:ascii="仿宋" w:hAnsi="仿宋" w:eastAsia="仿宋"/>
          <w:sz w:val="28"/>
          <w:szCs w:val="28"/>
        </w:rPr>
        <w:t>进行免费保修。</w:t>
      </w:r>
    </w:p>
    <w:p>
      <w:pPr>
        <w:pStyle w:val="106"/>
        <w:spacing w:line="360" w:lineRule="auto"/>
        <w:ind w:firstLine="560"/>
        <w:rPr>
          <w:rFonts w:hint="eastAsia" w:ascii="仿宋" w:hAnsi="仿宋" w:eastAsia="仿宋"/>
          <w:sz w:val="28"/>
          <w:szCs w:val="28"/>
        </w:rPr>
      </w:pPr>
      <w:r>
        <w:rPr>
          <w:rFonts w:ascii="仿宋" w:hAnsi="仿宋" w:eastAsia="仿宋"/>
          <w:sz w:val="28"/>
          <w:szCs w:val="28"/>
        </w:rPr>
        <w:t>在质量保证期内，供应商负责信息系统的运行维护工作，确保系统安全、稳定、可靠地运行。本项目涉及的运行维护工作范围为：</w:t>
      </w:r>
      <w:r>
        <w:rPr>
          <w:rFonts w:hint="eastAsia" w:ascii="仿宋" w:hAnsi="仿宋" w:eastAsia="仿宋"/>
          <w:sz w:val="28"/>
          <w:szCs w:val="28"/>
        </w:rPr>
        <w:t>长宁区数字档案馆2026升级改造</w:t>
      </w:r>
      <w:r>
        <w:rPr>
          <w:rFonts w:ascii="仿宋" w:hAnsi="仿宋" w:eastAsia="仿宋"/>
          <w:sz w:val="28"/>
          <w:szCs w:val="28"/>
        </w:rPr>
        <w:t>。</w:t>
      </w:r>
    </w:p>
    <w:p>
      <w:pPr>
        <w:pStyle w:val="106"/>
        <w:spacing w:line="360" w:lineRule="auto"/>
        <w:ind w:firstLine="560"/>
        <w:rPr>
          <w:rFonts w:hint="eastAsia" w:ascii="仿宋" w:hAnsi="仿宋" w:eastAsia="仿宋"/>
          <w:sz w:val="28"/>
          <w:szCs w:val="28"/>
        </w:rPr>
      </w:pPr>
    </w:p>
    <w:p>
      <w:pPr>
        <w:pStyle w:val="3"/>
        <w:rPr>
          <w:rFonts w:hint="eastAsia" w:ascii="仿宋" w:hAnsi="仿宋" w:eastAsia="仿宋"/>
        </w:rPr>
      </w:pPr>
      <w:bookmarkStart w:id="47" w:name="_Toc63785506"/>
      <w:r>
        <w:rPr>
          <w:rFonts w:ascii="仿宋" w:hAnsi="仿宋" w:eastAsia="仿宋"/>
        </w:rPr>
        <w:t>应急响应要求</w:t>
      </w:r>
      <w:bookmarkEnd w:id="47"/>
    </w:p>
    <w:p>
      <w:pPr>
        <w:pStyle w:val="106"/>
        <w:spacing w:line="360" w:lineRule="auto"/>
        <w:ind w:firstLine="560"/>
        <w:rPr>
          <w:rFonts w:hint="eastAsia" w:ascii="仿宋" w:hAnsi="仿宋" w:eastAsia="仿宋"/>
          <w:sz w:val="28"/>
          <w:szCs w:val="28"/>
        </w:rPr>
      </w:pPr>
      <w:r>
        <w:rPr>
          <w:rFonts w:ascii="仿宋" w:hAnsi="仿宋" w:eastAsia="仿宋"/>
          <w:sz w:val="28"/>
          <w:szCs w:val="28"/>
        </w:rPr>
        <w:t>供应商对系统故障应能够实时响应，若系统发生故障，接到通知后30分钟之内响应，专业工程师2小时内到达现场。特殊故障与客户沟通协商后，按照协商的方式制定解决方案并进行处理。</w:t>
      </w:r>
    </w:p>
    <w:p>
      <w:pPr>
        <w:pStyle w:val="106"/>
        <w:spacing w:line="360" w:lineRule="auto"/>
        <w:ind w:firstLine="560"/>
        <w:rPr>
          <w:rFonts w:hint="eastAsia" w:ascii="仿宋" w:hAnsi="仿宋" w:eastAsia="仿宋"/>
          <w:sz w:val="28"/>
          <w:szCs w:val="28"/>
        </w:rPr>
      </w:pPr>
      <w:r>
        <w:rPr>
          <w:rFonts w:ascii="仿宋" w:hAnsi="仿宋" w:eastAsia="仿宋"/>
          <w:sz w:val="28"/>
          <w:szCs w:val="28"/>
        </w:rPr>
        <w:t>具体故障级别及对应的应急响应要求如下：</w:t>
      </w:r>
    </w:p>
    <w:p>
      <w:pPr>
        <w:pStyle w:val="106"/>
        <w:spacing w:line="360" w:lineRule="auto"/>
        <w:ind w:firstLine="560"/>
        <w:rPr>
          <w:rFonts w:hint="eastAsia" w:ascii="仿宋" w:hAnsi="仿宋" w:eastAsia="仿宋"/>
          <w:sz w:val="28"/>
          <w:szCs w:val="28"/>
        </w:rPr>
      </w:pPr>
      <w:r>
        <w:rPr>
          <w:rFonts w:ascii="仿宋" w:hAnsi="仿宋" w:eastAsia="仿宋"/>
          <w:sz w:val="28"/>
          <w:szCs w:val="28"/>
        </w:rPr>
        <w:t>一级故障：在1小时内确诊，总故障解决时间不超过4小时。</w:t>
      </w:r>
    </w:p>
    <w:p>
      <w:pPr>
        <w:pStyle w:val="106"/>
        <w:spacing w:line="360" w:lineRule="auto"/>
        <w:ind w:firstLine="560"/>
        <w:rPr>
          <w:rFonts w:hint="eastAsia" w:ascii="仿宋" w:hAnsi="仿宋" w:eastAsia="仿宋"/>
          <w:sz w:val="28"/>
          <w:szCs w:val="28"/>
        </w:rPr>
      </w:pPr>
      <w:r>
        <w:rPr>
          <w:rFonts w:ascii="仿宋" w:hAnsi="仿宋" w:eastAsia="仿宋"/>
          <w:sz w:val="28"/>
          <w:szCs w:val="28"/>
        </w:rPr>
        <w:t>二级故障：在2小时内确诊，并在4小时内由专家到达现场确诊并解决，总故障解决时间不超过8小时；</w:t>
      </w:r>
    </w:p>
    <w:p>
      <w:pPr>
        <w:pStyle w:val="106"/>
        <w:spacing w:line="360" w:lineRule="auto"/>
        <w:ind w:firstLine="560"/>
        <w:rPr>
          <w:rFonts w:hint="eastAsia" w:ascii="仿宋" w:hAnsi="仿宋" w:eastAsia="仿宋"/>
          <w:sz w:val="28"/>
          <w:szCs w:val="28"/>
        </w:rPr>
      </w:pPr>
      <w:r>
        <w:rPr>
          <w:rFonts w:ascii="仿宋" w:hAnsi="仿宋" w:eastAsia="仿宋"/>
          <w:sz w:val="28"/>
          <w:szCs w:val="28"/>
        </w:rPr>
        <w:t>三、四级故障：在4小时内确诊故障，总故障解决时间不超过16小时。</w:t>
      </w:r>
    </w:p>
    <w:p>
      <w:pPr>
        <w:pStyle w:val="106"/>
        <w:spacing w:line="360" w:lineRule="auto"/>
        <w:ind w:firstLine="560"/>
        <w:rPr>
          <w:rFonts w:hint="eastAsia" w:ascii="仿宋" w:hAnsi="仿宋" w:eastAsia="仿宋"/>
          <w:sz w:val="28"/>
          <w:szCs w:val="28"/>
        </w:rPr>
      </w:pPr>
    </w:p>
    <w:p>
      <w:pPr>
        <w:pStyle w:val="3"/>
        <w:rPr>
          <w:rFonts w:hint="eastAsia" w:ascii="仿宋" w:hAnsi="仿宋" w:eastAsia="仿宋"/>
        </w:rPr>
      </w:pPr>
      <w:bookmarkStart w:id="48" w:name="_Toc63785507"/>
      <w:r>
        <w:rPr>
          <w:rFonts w:ascii="仿宋" w:hAnsi="仿宋" w:eastAsia="仿宋"/>
        </w:rPr>
        <w:t>培训要求</w:t>
      </w:r>
      <w:bookmarkEnd w:id="48"/>
    </w:p>
    <w:p>
      <w:pPr>
        <w:ind w:firstLine="560"/>
        <w:rPr>
          <w:rFonts w:hint="eastAsia" w:ascii="仿宋" w:hAnsi="仿宋" w:eastAsia="仿宋"/>
        </w:rPr>
      </w:pPr>
      <w:r>
        <w:rPr>
          <w:rFonts w:ascii="仿宋" w:hAnsi="仿宋" w:eastAsia="仿宋"/>
        </w:rPr>
        <w:t>对系统使用单位提供业务操作培训，应提供详细培训方案。</w:t>
      </w:r>
    </w:p>
    <w:p>
      <w:pPr>
        <w:ind w:firstLine="560"/>
        <w:rPr>
          <w:rFonts w:hint="eastAsia" w:ascii="仿宋" w:hAnsi="仿宋" w:eastAsia="仿宋"/>
        </w:rPr>
      </w:pPr>
      <w:r>
        <w:rPr>
          <w:rFonts w:ascii="仿宋" w:hAnsi="仿宋" w:eastAsia="仿宋"/>
        </w:rPr>
        <w:t>（1）在12个月的质量保证期内，提供2次与项目相关的必要培训。</w:t>
      </w:r>
    </w:p>
    <w:p>
      <w:pPr>
        <w:ind w:firstLine="560"/>
        <w:rPr>
          <w:rFonts w:hint="eastAsia" w:ascii="仿宋" w:hAnsi="仿宋" w:eastAsia="仿宋"/>
        </w:rPr>
      </w:pPr>
      <w:r>
        <w:rPr>
          <w:rFonts w:ascii="仿宋" w:hAnsi="仿宋" w:eastAsia="仿宋"/>
        </w:rPr>
        <w:t>（2）供应商需要开展分层次的人员培训工作，每次培训后应对参加培训人员进行测试，评估培训成果。培训应具有培训教材、培训环境和高水平的培训讲师。</w:t>
      </w:r>
    </w:p>
    <w:p>
      <w:pPr>
        <w:ind w:firstLine="560"/>
        <w:rPr>
          <w:rFonts w:hint="eastAsia" w:ascii="仿宋" w:hAnsi="仿宋" w:eastAsia="仿宋"/>
        </w:rPr>
      </w:pPr>
      <w:r>
        <w:rPr>
          <w:rFonts w:ascii="仿宋" w:hAnsi="仿宋" w:eastAsia="仿宋"/>
        </w:rPr>
        <w:t>（3）供应商应提供一般用户的基础操作培训和部门信息管理员的日常应用维护的培训，确保用户对象能够掌握对应的操作技能。</w:t>
      </w:r>
    </w:p>
    <w:p>
      <w:pPr>
        <w:ind w:firstLine="560"/>
        <w:rPr>
          <w:rFonts w:hint="eastAsia" w:ascii="仿宋" w:hAnsi="仿宋" w:eastAsia="仿宋"/>
        </w:rPr>
      </w:pPr>
    </w:p>
    <w:p>
      <w:pPr>
        <w:pStyle w:val="3"/>
        <w:rPr>
          <w:rFonts w:hint="eastAsia" w:ascii="仿宋" w:hAnsi="仿宋" w:eastAsia="仿宋"/>
        </w:rPr>
      </w:pPr>
      <w:bookmarkStart w:id="49" w:name="_Toc63785508"/>
      <w:r>
        <w:rPr>
          <w:rFonts w:ascii="仿宋" w:hAnsi="仿宋" w:eastAsia="仿宋"/>
        </w:rPr>
        <w:t>验收要求</w:t>
      </w:r>
      <w:bookmarkEnd w:id="49"/>
    </w:p>
    <w:p>
      <w:pPr>
        <w:ind w:firstLine="560"/>
        <w:rPr>
          <w:rFonts w:hint="eastAsia" w:ascii="仿宋" w:hAnsi="仿宋" w:eastAsia="仿宋"/>
          <w:szCs w:val="21"/>
        </w:rPr>
      </w:pPr>
      <w:r>
        <w:rPr>
          <w:rFonts w:ascii="仿宋" w:hAnsi="仿宋" w:eastAsia="仿宋"/>
          <w:szCs w:val="21"/>
        </w:rPr>
        <w:t>本项目按下述方式开展验收。</w:t>
      </w:r>
    </w:p>
    <w:p>
      <w:pPr>
        <w:ind w:firstLine="560"/>
        <w:rPr>
          <w:rFonts w:hint="eastAsia" w:ascii="仿宋" w:hAnsi="仿宋" w:eastAsia="仿宋"/>
          <w:szCs w:val="21"/>
        </w:rPr>
      </w:pPr>
      <w:r>
        <w:rPr>
          <w:rFonts w:ascii="仿宋" w:hAnsi="仿宋" w:eastAsia="仿宋"/>
          <w:szCs w:val="21"/>
        </w:rPr>
        <w:t>（1）验收分初验和终验。</w:t>
      </w:r>
    </w:p>
    <w:p>
      <w:pPr>
        <w:ind w:firstLine="560"/>
        <w:rPr>
          <w:rFonts w:hint="eastAsia" w:ascii="仿宋" w:hAnsi="仿宋" w:eastAsia="仿宋"/>
          <w:szCs w:val="21"/>
        </w:rPr>
      </w:pPr>
      <w:r>
        <w:rPr>
          <w:rFonts w:ascii="仿宋" w:hAnsi="仿宋" w:eastAsia="仿宋"/>
          <w:szCs w:val="21"/>
        </w:rPr>
        <w:t>（2）初验前，供应商须完成软件开发、软硬件安装和</w:t>
      </w:r>
      <w:r>
        <w:rPr>
          <w:rFonts w:hint="eastAsia" w:ascii="仿宋" w:hAnsi="仿宋" w:eastAsia="仿宋"/>
          <w:szCs w:val="21"/>
        </w:rPr>
        <w:t>网络安全等级保护建设、商用密码应用建设</w:t>
      </w:r>
      <w:r>
        <w:rPr>
          <w:rFonts w:ascii="仿宋" w:hAnsi="仿宋" w:eastAsia="仿宋"/>
          <w:szCs w:val="21"/>
        </w:rPr>
        <w:t>的调试等，并对本项目进行功能和运行检测，确保所有系统功能模块能够正常运行且已达到本项目约定的各类标准要求。供应商应以书面形式向采购人递交初验通知书。采购人应当在接到通知后的5个工作日内确定初验的具体日期，由双方按照本项目的约定完成本项目的初验。采购人有权委托第三方检测机构进行验收，对此供应商应当配合</w:t>
      </w:r>
      <w:r>
        <w:rPr>
          <w:rFonts w:hint="eastAsia" w:ascii="仿宋" w:hAnsi="仿宋" w:eastAsia="仿宋"/>
          <w:szCs w:val="21"/>
        </w:rPr>
        <w:t>并确保通过</w:t>
      </w:r>
      <w:r>
        <w:rPr>
          <w:rFonts w:ascii="仿宋" w:hAnsi="仿宋" w:eastAsia="仿宋"/>
          <w:szCs w:val="21"/>
        </w:rPr>
        <w:t>。</w:t>
      </w:r>
    </w:p>
    <w:p>
      <w:pPr>
        <w:ind w:firstLine="560"/>
        <w:rPr>
          <w:rFonts w:hint="eastAsia" w:ascii="仿宋" w:hAnsi="仿宋" w:eastAsia="仿宋"/>
          <w:szCs w:val="21"/>
        </w:rPr>
      </w:pPr>
      <w:r>
        <w:rPr>
          <w:rFonts w:ascii="仿宋" w:hAnsi="仿宋" w:eastAsia="仿宋"/>
          <w:szCs w:val="21"/>
        </w:rPr>
        <w:t>（3）初验时，供应商须提供软件文档包括《用户需求说明书》《测试报告》等及可安装的程序运行文件。所交付的文档与文件应当是可供自然人阅读的书面和电子文档。软件文档及可安装的程序运行文件验收</w:t>
      </w:r>
      <w:r>
        <w:rPr>
          <w:rFonts w:hint="eastAsia" w:ascii="仿宋" w:hAnsi="仿宋" w:eastAsia="仿宋"/>
          <w:szCs w:val="21"/>
        </w:rPr>
        <w:t>，并且网络安全等级保护以及商用密码应用安全性评估</w:t>
      </w:r>
      <w:r>
        <w:rPr>
          <w:rFonts w:ascii="仿宋" w:hAnsi="仿宋" w:eastAsia="仿宋"/>
          <w:szCs w:val="21"/>
        </w:rPr>
        <w:t>通过后，视为初验通过。如有缺陷，采购人应向供应商出具书面报告，陈述需要改进的缺陷。供应商应立即严格依照采购人的书面报告中的要求改进缺陷，并再次进行初验。</w:t>
      </w:r>
    </w:p>
    <w:p>
      <w:pPr>
        <w:ind w:firstLine="560"/>
        <w:rPr>
          <w:rFonts w:hint="eastAsia" w:ascii="仿宋" w:hAnsi="仿宋" w:eastAsia="仿宋"/>
          <w:szCs w:val="21"/>
        </w:rPr>
      </w:pPr>
      <w:r>
        <w:rPr>
          <w:rFonts w:ascii="仿宋" w:hAnsi="仿宋" w:eastAsia="仿宋"/>
          <w:szCs w:val="21"/>
        </w:rPr>
        <w:t>（4）自初验通过之日起，采购人享有供应商免费提供的30天的信息系统试运行现场驻场服务期。该期间内，供应商应当按照采购人的要求提供现场技术支持服务，解决信息系统试运行期间可能出现的各类问题，或进一步提高与完善信息系统运行水平。</w:t>
      </w:r>
    </w:p>
    <w:p>
      <w:pPr>
        <w:ind w:firstLine="560"/>
        <w:rPr>
          <w:rFonts w:hint="eastAsia" w:ascii="仿宋" w:hAnsi="仿宋" w:eastAsia="仿宋"/>
          <w:szCs w:val="21"/>
        </w:rPr>
      </w:pPr>
      <w:r>
        <w:rPr>
          <w:rFonts w:ascii="仿宋" w:hAnsi="仿宋" w:eastAsia="仿宋"/>
          <w:szCs w:val="21"/>
        </w:rPr>
        <w:t>（5）初验通过且信息系统试运行期已经达到本项目约定的时间，经供应商确认信息系统具备正常运行条件，且信息系统通过运行测试，供应商应以书面形式通知采购人信息系统已准备就绪等待终验。采购人在收到终验通知后的25个工作日内发起组织专家验收会。</w:t>
      </w:r>
    </w:p>
    <w:p>
      <w:pPr>
        <w:ind w:firstLine="560"/>
        <w:rPr>
          <w:rFonts w:hint="eastAsia" w:ascii="仿宋" w:hAnsi="仿宋" w:eastAsia="仿宋"/>
          <w:szCs w:val="21"/>
        </w:rPr>
      </w:pPr>
      <w:r>
        <w:rPr>
          <w:rFonts w:ascii="仿宋" w:hAnsi="仿宋" w:eastAsia="仿宋"/>
          <w:szCs w:val="21"/>
        </w:rPr>
        <w:t>（6）如果属于供应商原因致使本项目未能通过终验，供应商应当排除缺陷，直至本项目完全符合验收标准，由上述情形而产生的相关费用应由供应商自行承担。</w:t>
      </w:r>
    </w:p>
    <w:p>
      <w:pPr>
        <w:ind w:firstLine="560"/>
        <w:rPr>
          <w:rFonts w:hint="eastAsia" w:ascii="仿宋" w:hAnsi="仿宋" w:eastAsia="仿宋"/>
          <w:szCs w:val="21"/>
        </w:rPr>
      </w:pPr>
      <w:r>
        <w:rPr>
          <w:rFonts w:ascii="仿宋" w:hAnsi="仿宋" w:eastAsia="仿宋"/>
          <w:szCs w:val="21"/>
        </w:rPr>
        <w:t>（7）如果由于采购人原因导致本项目在终验通过前出现故障或问题，供应商应及时配合排除该方面的故障或问题。</w:t>
      </w:r>
    </w:p>
    <w:p>
      <w:pPr>
        <w:ind w:firstLine="560"/>
        <w:rPr>
          <w:rFonts w:hint="eastAsia" w:ascii="仿宋" w:hAnsi="仿宋" w:eastAsia="仿宋"/>
          <w:szCs w:val="21"/>
        </w:rPr>
      </w:pPr>
      <w:r>
        <w:rPr>
          <w:rFonts w:ascii="仿宋" w:hAnsi="仿宋" w:eastAsia="仿宋"/>
          <w:szCs w:val="21"/>
        </w:rPr>
        <w:t>（8）如本项目</w:t>
      </w:r>
      <w:r>
        <w:rPr>
          <w:rFonts w:hint="eastAsia" w:ascii="仿宋" w:hAnsi="仿宋" w:eastAsia="仿宋"/>
          <w:szCs w:val="21"/>
        </w:rPr>
        <w:t>在终验后30天内验收未通过</w:t>
      </w:r>
      <w:r>
        <w:rPr>
          <w:rFonts w:ascii="仿宋" w:hAnsi="仿宋" w:eastAsia="仿宋"/>
          <w:szCs w:val="21"/>
        </w:rPr>
        <w:t>，采购人有权解除项目，并有权依照本项目约定的违约条款追究供应商的违约责任。</w:t>
      </w:r>
    </w:p>
    <w:p>
      <w:pPr>
        <w:ind w:firstLine="560"/>
        <w:rPr>
          <w:rFonts w:hint="eastAsia" w:ascii="仿宋" w:hAnsi="仿宋" w:eastAsia="仿宋"/>
          <w:szCs w:val="21"/>
        </w:rPr>
      </w:pPr>
    </w:p>
    <w:p>
      <w:pPr>
        <w:pStyle w:val="3"/>
        <w:rPr>
          <w:rFonts w:hint="eastAsia" w:ascii="仿宋" w:hAnsi="仿宋" w:eastAsia="仿宋"/>
        </w:rPr>
      </w:pPr>
      <w:bookmarkStart w:id="50" w:name="_Toc63785509"/>
      <w:r>
        <w:rPr>
          <w:rFonts w:ascii="仿宋" w:hAnsi="仿宋" w:eastAsia="仿宋"/>
        </w:rPr>
        <w:t>进度要求</w:t>
      </w:r>
      <w:bookmarkEnd w:id="50"/>
    </w:p>
    <w:p>
      <w:pPr>
        <w:ind w:firstLine="560"/>
        <w:rPr>
          <w:rFonts w:hint="eastAsia" w:ascii="仿宋" w:hAnsi="仿宋" w:eastAsia="仿宋"/>
        </w:rPr>
      </w:pPr>
      <w:r>
        <w:rPr>
          <w:rFonts w:ascii="仿宋" w:hAnsi="仿宋" w:eastAsia="仿宋"/>
        </w:rPr>
        <w:t>投标人应根据建设内容，分阶段制定合理的时间进度，并且应根据采购人要求进行调整和细化。</w:t>
      </w:r>
    </w:p>
    <w:p>
      <w:pPr>
        <w:ind w:firstLine="560"/>
        <w:rPr>
          <w:rFonts w:hint="eastAsia" w:ascii="仿宋" w:hAnsi="仿宋" w:eastAsia="仿宋"/>
        </w:rPr>
      </w:pPr>
      <w:r>
        <w:rPr>
          <w:rFonts w:ascii="仿宋" w:hAnsi="仿宋" w:eastAsia="仿宋"/>
        </w:rPr>
        <w:t>总建设周期为</w:t>
      </w:r>
      <w:r>
        <w:rPr>
          <w:rFonts w:hint="eastAsia" w:ascii="仿宋" w:hAnsi="仿宋" w:eastAsia="仿宋"/>
        </w:rPr>
        <w:t>10</w:t>
      </w:r>
      <w:r>
        <w:rPr>
          <w:rFonts w:ascii="仿宋" w:hAnsi="仿宋" w:eastAsia="仿宋"/>
        </w:rPr>
        <w:t>个月，分为3个阶段。</w:t>
      </w:r>
    </w:p>
    <w:p>
      <w:pPr>
        <w:ind w:firstLine="560"/>
        <w:rPr>
          <w:rFonts w:hint="eastAsia" w:ascii="仿宋" w:hAnsi="仿宋" w:eastAsia="仿宋"/>
        </w:rPr>
      </w:pPr>
      <w:r>
        <w:rPr>
          <w:rFonts w:ascii="仿宋" w:hAnsi="仿宋" w:eastAsia="仿宋"/>
        </w:rPr>
        <w:t>第一阶段为1个月，完成合同签订</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hint="eastAsia" w:ascii="仿宋" w:hAnsi="仿宋" w:eastAsia="仿宋"/>
        </w:rPr>
        <w:t>，</w:t>
      </w:r>
      <w:r>
        <w:rPr>
          <w:rFonts w:ascii="仿宋" w:hAnsi="仿宋" w:eastAsia="仿宋"/>
        </w:rPr>
        <w:t>系统设计，</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hint="eastAsia" w:ascii="仿宋" w:hAnsi="仿宋" w:eastAsia="仿宋"/>
        </w:rPr>
        <w:t>设备</w:t>
      </w:r>
      <w:r>
        <w:rPr>
          <w:rFonts w:ascii="仿宋" w:hAnsi="仿宋" w:eastAsia="仿宋"/>
        </w:rPr>
        <w:t>选型</w:t>
      </w:r>
      <w:r>
        <w:rPr>
          <w:rFonts w:hint="eastAsia" w:ascii="仿宋" w:hAnsi="仿宋" w:eastAsia="仿宋"/>
        </w:rPr>
        <w:t>，网络安全等级保护备案工作等；</w:t>
      </w:r>
    </w:p>
    <w:p>
      <w:pPr>
        <w:ind w:firstLine="560"/>
        <w:rPr>
          <w:rFonts w:hint="eastAsia" w:ascii="仿宋" w:hAnsi="仿宋" w:eastAsia="仿宋"/>
        </w:rPr>
      </w:pPr>
      <w:r>
        <w:rPr>
          <w:rFonts w:ascii="仿宋" w:hAnsi="仿宋" w:eastAsia="仿宋"/>
        </w:rPr>
        <w:t>第二阶段为</w:t>
      </w:r>
      <w:r>
        <w:rPr>
          <w:rFonts w:hint="eastAsia" w:ascii="仿宋" w:hAnsi="仿宋" w:eastAsia="仿宋"/>
        </w:rPr>
        <w:t>4</w:t>
      </w:r>
      <w:r>
        <w:rPr>
          <w:rFonts w:ascii="仿宋" w:hAnsi="仿宋" w:eastAsia="仿宋"/>
        </w:rPr>
        <w:t>个月，完成系统建设</w:t>
      </w:r>
      <w:r>
        <w:rPr>
          <w:rFonts w:hint="eastAsia" w:ascii="仿宋" w:hAnsi="仿宋" w:eastAsia="仿宋"/>
        </w:rPr>
        <w:t>，网络安全等级保护三级、商用密码应用安全性三级评估通过</w:t>
      </w:r>
      <w:r>
        <w:rPr>
          <w:rFonts w:ascii="仿宋" w:hAnsi="仿宋" w:eastAsia="仿宋"/>
        </w:rPr>
        <w:t>；</w:t>
      </w:r>
    </w:p>
    <w:p>
      <w:pPr>
        <w:ind w:firstLine="560"/>
        <w:rPr>
          <w:rFonts w:hint="eastAsia" w:ascii="仿宋" w:hAnsi="仿宋" w:eastAsia="仿宋"/>
        </w:rPr>
      </w:pPr>
      <w:r>
        <w:rPr>
          <w:rFonts w:ascii="仿宋" w:hAnsi="仿宋" w:eastAsia="仿宋"/>
        </w:rPr>
        <w:t>第三阶段为</w:t>
      </w:r>
      <w:r>
        <w:rPr>
          <w:rFonts w:hint="eastAsia" w:ascii="仿宋" w:hAnsi="仿宋" w:eastAsia="仿宋"/>
        </w:rPr>
        <w:t>5</w:t>
      </w:r>
      <w:r>
        <w:rPr>
          <w:rFonts w:ascii="仿宋" w:hAnsi="仿宋" w:eastAsia="仿宋"/>
        </w:rPr>
        <w:t>个月，完成系统测试</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hint="eastAsia" w:ascii="仿宋" w:hAnsi="仿宋" w:eastAsia="仿宋"/>
        </w:rPr>
        <w:t>、</w:t>
      </w:r>
      <w:r>
        <w:rPr>
          <w:rFonts w:ascii="仿宋" w:hAnsi="仿宋" w:eastAsia="仿宋"/>
        </w:rPr>
        <w:t>系统试运行</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w:t>
      </w:r>
    </w:p>
    <w:p>
      <w:pPr>
        <w:ind w:firstLine="560"/>
        <w:rPr>
          <w:rFonts w:hint="eastAsia" w:ascii="仿宋" w:hAnsi="仿宋" w:eastAsia="仿宋"/>
        </w:rPr>
      </w:pPr>
    </w:p>
    <w:p>
      <w:pPr>
        <w:pStyle w:val="3"/>
        <w:rPr>
          <w:rFonts w:hint="eastAsia" w:ascii="仿宋" w:hAnsi="仿宋" w:eastAsia="仿宋"/>
        </w:rPr>
      </w:pPr>
      <w:r>
        <w:rPr>
          <w:rFonts w:hint="eastAsia" w:ascii="仿宋" w:hAnsi="仿宋" w:eastAsia="仿宋"/>
        </w:rPr>
        <w:t>项目人员配置要求</w:t>
      </w:r>
    </w:p>
    <w:p>
      <w:pPr>
        <w:ind w:firstLine="560"/>
        <w:rPr>
          <w:rFonts w:hint="eastAsia" w:ascii="仿宋" w:hAnsi="仿宋" w:eastAsia="仿宋"/>
        </w:rPr>
      </w:pPr>
      <w:r>
        <w:rPr>
          <w:rFonts w:ascii="仿宋" w:hAnsi="仿宋" w:eastAsia="仿宋"/>
        </w:rPr>
        <w:t>报价人须具有稳定的在职技术保障力量，能够提供及时的技术支援或服务，应针对本项目提供不少于</w:t>
      </w:r>
      <w:r>
        <w:rPr>
          <w:rFonts w:hint="eastAsia" w:ascii="仿宋" w:hAnsi="仿宋" w:eastAsia="仿宋"/>
        </w:rPr>
        <w:t>10</w:t>
      </w:r>
      <w:r>
        <w:rPr>
          <w:rFonts w:ascii="仿宋" w:hAnsi="仿宋" w:eastAsia="仿宋"/>
        </w:rPr>
        <w:t>人的项目服务团队（包括项目经理、技术工程师、服务工程师等），报价人的相关服务人员需具备相应的服务能力，</w:t>
      </w:r>
      <w:r>
        <w:rPr>
          <w:rFonts w:ascii="仿宋" w:hAnsi="仿宋" w:eastAsia="仿宋"/>
          <w:b/>
          <w:bCs/>
        </w:rPr>
        <w:t>需提供相关证明</w:t>
      </w:r>
      <w:r>
        <w:rPr>
          <w:rFonts w:ascii="仿宋" w:hAnsi="仿宋" w:eastAsia="仿宋"/>
        </w:rPr>
        <w:t>。</w:t>
      </w:r>
    </w:p>
    <w:tbl>
      <w:tblPr>
        <w:tblStyle w:val="35"/>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1275"/>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29" w:type="dxa"/>
            <w:noWrap/>
            <w:vAlign w:val="center"/>
          </w:tcPr>
          <w:p>
            <w:pPr>
              <w:widowControl/>
              <w:ind w:firstLine="0" w:firstLineChars="0"/>
              <w:jc w:val="center"/>
              <w:rPr>
                <w:rFonts w:hint="eastAsia"/>
                <w:b/>
                <w:color w:val="000000" w:themeColor="text1"/>
                <w:szCs w:val="28"/>
                <w14:textFill>
                  <w14:solidFill>
                    <w14:schemeClr w14:val="tx1"/>
                  </w14:solidFill>
                </w14:textFill>
              </w:rPr>
            </w:pPr>
            <w:bookmarkStart w:id="51" w:name="OLE_LINK12"/>
            <w:r>
              <w:rPr>
                <w:b/>
                <w:color w:val="000000" w:themeColor="text1"/>
                <w:szCs w:val="28"/>
                <w14:textFill>
                  <w14:solidFill>
                    <w14:schemeClr w14:val="tx1"/>
                  </w14:solidFill>
                </w14:textFill>
              </w:rPr>
              <w:t>角色</w:t>
            </w:r>
          </w:p>
        </w:tc>
        <w:tc>
          <w:tcPr>
            <w:tcW w:w="2127" w:type="dxa"/>
            <w:noWrap/>
            <w:vAlign w:val="center"/>
          </w:tcPr>
          <w:p>
            <w:pPr>
              <w:widowControl/>
              <w:ind w:firstLine="0" w:firstLineChars="0"/>
              <w:jc w:val="center"/>
              <w:rPr>
                <w:rFonts w:hint="eastAsia"/>
                <w:b/>
                <w:color w:val="000000" w:themeColor="text1"/>
                <w:szCs w:val="28"/>
                <w14:textFill>
                  <w14:solidFill>
                    <w14:schemeClr w14:val="tx1"/>
                  </w14:solidFill>
                </w14:textFill>
              </w:rPr>
            </w:pPr>
            <w:r>
              <w:rPr>
                <w:b/>
                <w:color w:val="000000" w:themeColor="text1"/>
                <w:szCs w:val="28"/>
                <w14:textFill>
                  <w14:solidFill>
                    <w14:schemeClr w14:val="tx1"/>
                  </w14:solidFill>
                </w14:textFill>
              </w:rPr>
              <w:t>主要职责</w:t>
            </w:r>
          </w:p>
        </w:tc>
        <w:tc>
          <w:tcPr>
            <w:tcW w:w="1275" w:type="dxa"/>
            <w:noWrap/>
            <w:vAlign w:val="center"/>
          </w:tcPr>
          <w:p>
            <w:pPr>
              <w:widowControl/>
              <w:ind w:firstLine="0" w:firstLineChars="0"/>
              <w:jc w:val="center"/>
              <w:rPr>
                <w:rFonts w:hint="eastAsia"/>
                <w:b/>
                <w:color w:val="000000" w:themeColor="text1"/>
                <w:szCs w:val="28"/>
                <w14:textFill>
                  <w14:solidFill>
                    <w14:schemeClr w14:val="tx1"/>
                  </w14:solidFill>
                </w14:textFill>
              </w:rPr>
            </w:pPr>
            <w:r>
              <w:rPr>
                <w:b/>
                <w:color w:val="000000" w:themeColor="text1"/>
                <w:szCs w:val="28"/>
                <w14:textFill>
                  <w14:solidFill>
                    <w14:schemeClr w14:val="tx1"/>
                  </w14:solidFill>
                </w14:textFill>
              </w:rPr>
              <w:t>人员数量</w:t>
            </w:r>
          </w:p>
        </w:tc>
        <w:tc>
          <w:tcPr>
            <w:tcW w:w="3771" w:type="dxa"/>
            <w:vAlign w:val="center"/>
          </w:tcPr>
          <w:p>
            <w:pPr>
              <w:widowControl/>
              <w:ind w:firstLine="0" w:firstLineChars="0"/>
              <w:jc w:val="center"/>
              <w:rPr>
                <w:rFonts w:hint="eastAsia"/>
                <w:b/>
                <w:color w:val="000000" w:themeColor="text1"/>
                <w:szCs w:val="28"/>
                <w14:textFill>
                  <w14:solidFill>
                    <w14:schemeClr w14:val="tx1"/>
                  </w14:solidFill>
                </w14:textFill>
              </w:rPr>
            </w:pPr>
            <w:r>
              <w:rPr>
                <w:b/>
                <w:color w:val="000000" w:themeColor="text1"/>
                <w:szCs w:val="28"/>
                <w14:textFill>
                  <w14:solidFill>
                    <w14:schemeClr w14:val="tx1"/>
                  </w14:solidFill>
                </w14:textFill>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29" w:type="dxa"/>
            <w:noWrap/>
            <w:vAlign w:val="center"/>
          </w:tcPr>
          <w:p>
            <w:pPr>
              <w:widowControl/>
              <w:ind w:firstLine="0" w:firstLineChars="0"/>
              <w:rPr>
                <w:rFonts w:hint="eastAsia"/>
                <w:color w:val="000000" w:themeColor="text1"/>
                <w:szCs w:val="28"/>
                <w14:textFill>
                  <w14:solidFill>
                    <w14:schemeClr w14:val="tx1"/>
                  </w14:solidFill>
                </w14:textFill>
              </w:rPr>
            </w:pPr>
            <w:r>
              <w:rPr>
                <w:color w:val="000000" w:themeColor="text1"/>
                <w:szCs w:val="28"/>
                <w14:textFill>
                  <w14:solidFill>
                    <w14:schemeClr w14:val="tx1"/>
                  </w14:solidFill>
                </w14:textFill>
              </w:rPr>
              <w:t>项目经理</w:t>
            </w:r>
          </w:p>
        </w:tc>
        <w:tc>
          <w:tcPr>
            <w:tcW w:w="2127" w:type="dxa"/>
            <w:vAlign w:val="center"/>
          </w:tcPr>
          <w:p>
            <w:pPr>
              <w:widowControl/>
              <w:ind w:firstLine="0" w:firstLineChars="0"/>
              <w:rPr>
                <w:rFonts w:hint="eastAsia"/>
                <w:color w:val="000000" w:themeColor="text1"/>
                <w:szCs w:val="28"/>
                <w14:textFill>
                  <w14:solidFill>
                    <w14:schemeClr w14:val="tx1"/>
                  </w14:solidFill>
                </w14:textFill>
              </w:rPr>
            </w:pPr>
            <w:r>
              <w:rPr>
                <w:color w:val="000000" w:themeColor="text1"/>
                <w:szCs w:val="28"/>
                <w14:textFill>
                  <w14:solidFill>
                    <w14:schemeClr w14:val="tx1"/>
                  </w14:solidFill>
                </w14:textFill>
              </w:rPr>
              <w:t>负责项目质量和进度控制</w:t>
            </w:r>
          </w:p>
        </w:tc>
        <w:tc>
          <w:tcPr>
            <w:tcW w:w="1275" w:type="dxa"/>
            <w:noWrap/>
            <w:vAlign w:val="center"/>
          </w:tcPr>
          <w:p>
            <w:pPr>
              <w:widowControl/>
              <w:ind w:firstLine="0" w:firstLineChars="0"/>
              <w:jc w:val="center"/>
              <w:rPr>
                <w:rFonts w:hint="eastAsia"/>
                <w:color w:val="000000" w:themeColor="text1"/>
                <w:szCs w:val="28"/>
                <w14:textFill>
                  <w14:solidFill>
                    <w14:schemeClr w14:val="tx1"/>
                  </w14:solidFill>
                </w14:textFill>
              </w:rPr>
            </w:pPr>
            <w:r>
              <w:rPr>
                <w:color w:val="000000" w:themeColor="text1"/>
                <w:szCs w:val="28"/>
                <w14:textFill>
                  <w14:solidFill>
                    <w14:schemeClr w14:val="tx1"/>
                  </w14:solidFill>
                </w14:textFill>
              </w:rPr>
              <w:t>1人</w:t>
            </w:r>
          </w:p>
        </w:tc>
        <w:tc>
          <w:tcPr>
            <w:tcW w:w="3771" w:type="dxa"/>
            <w:vAlign w:val="center"/>
          </w:tcPr>
          <w:p>
            <w:pPr>
              <w:widowControl/>
              <w:ind w:firstLine="0" w:firstLineChars="0"/>
              <w:rPr>
                <w:rFonts w:hint="eastAsia"/>
                <w:color w:val="000000" w:themeColor="text1"/>
                <w:szCs w:val="28"/>
                <w14:textFill>
                  <w14:solidFill>
                    <w14:schemeClr w14:val="tx1"/>
                  </w14:solidFill>
                </w14:textFill>
              </w:rPr>
            </w:pPr>
            <w:bookmarkStart w:id="52" w:name="OLE_LINK22"/>
            <w:r>
              <w:rPr>
                <w:rFonts w:hint="eastAsia"/>
                <w:color w:val="000000" w:themeColor="text1"/>
                <w:szCs w:val="28"/>
                <w14:textFill>
                  <w14:solidFill>
                    <w14:schemeClr w14:val="tx1"/>
                  </w14:solidFill>
                </w14:textFill>
              </w:rPr>
              <w:t>需</w:t>
            </w:r>
            <w:bookmarkEnd w:id="52"/>
            <w:r>
              <w:rPr>
                <w:color w:val="000000" w:themeColor="text1"/>
                <w:szCs w:val="28"/>
                <w14:textFill>
                  <w14:solidFill>
                    <w14:schemeClr w14:val="tx1"/>
                  </w14:solidFill>
                </w14:textFill>
              </w:rPr>
              <w:t>具有</w:t>
            </w:r>
            <w:r>
              <w:rPr>
                <w:rFonts w:hint="eastAsia"/>
                <w:color w:val="000000" w:themeColor="text1"/>
                <w:szCs w:val="28"/>
                <w14:textFill>
                  <w14:solidFill>
                    <w14:schemeClr w14:val="tx1"/>
                  </w14:solidFill>
                </w14:textFill>
              </w:rPr>
              <w:t>中级</w:t>
            </w:r>
            <w:r>
              <w:rPr>
                <w:color w:val="000000" w:themeColor="text1"/>
                <w:szCs w:val="28"/>
                <w14:textFill>
                  <w14:solidFill>
                    <w14:schemeClr w14:val="tx1"/>
                  </w14:solidFill>
                </w14:textFill>
              </w:rPr>
              <w:t>工程师</w:t>
            </w:r>
            <w:r>
              <w:rPr>
                <w:rFonts w:hint="eastAsia"/>
                <w:color w:val="000000" w:themeColor="text1"/>
                <w:szCs w:val="28"/>
                <w14:textFill>
                  <w14:solidFill>
                    <w14:schemeClr w14:val="tx1"/>
                  </w14:solidFill>
                </w14:textFill>
              </w:rPr>
              <w:t>及以上职称证书、二级建造师</w:t>
            </w:r>
            <w:bookmarkStart w:id="53" w:name="OLE_LINK8"/>
            <w:r>
              <w:rPr>
                <w:rFonts w:hint="eastAsia"/>
                <w:color w:val="000000" w:themeColor="text1"/>
                <w:szCs w:val="28"/>
                <w14:textFill>
                  <w14:solidFill>
                    <w14:schemeClr w14:val="tx1"/>
                  </w14:solidFill>
                </w14:textFill>
              </w:rPr>
              <w:t>及以上</w:t>
            </w:r>
            <w:bookmarkEnd w:id="53"/>
            <w:r>
              <w:rPr>
                <w:rFonts w:hint="eastAsia"/>
                <w:color w:val="000000" w:themeColor="text1"/>
                <w:szCs w:val="28"/>
                <w14:textFill>
                  <w14:solidFill>
                    <w14:schemeClr w14:val="tx1"/>
                  </w14:solidFill>
                </w14:textFill>
              </w:rPr>
              <w:t>证书；项目经理需要提供驻场服务。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29" w:type="dxa"/>
            <w:noWrap/>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技术工程师</w:t>
            </w:r>
          </w:p>
        </w:tc>
        <w:tc>
          <w:tcPr>
            <w:tcW w:w="2127" w:type="dxa"/>
            <w:noWrap/>
            <w:vAlign w:val="center"/>
          </w:tcPr>
          <w:p>
            <w:pPr>
              <w:widowControl/>
              <w:ind w:firstLine="0" w:firstLineChars="0"/>
              <w:rPr>
                <w:rFonts w:hint="eastAsia"/>
                <w:color w:val="000000" w:themeColor="text1"/>
                <w:szCs w:val="28"/>
                <w14:textFill>
                  <w14:solidFill>
                    <w14:schemeClr w14:val="tx1"/>
                  </w14:solidFill>
                </w14:textFill>
              </w:rPr>
            </w:pPr>
            <w:r>
              <w:rPr>
                <w:color w:val="000000" w:themeColor="text1"/>
                <w:szCs w:val="28"/>
                <w14:textFill>
                  <w14:solidFill>
                    <w14:schemeClr w14:val="tx1"/>
                  </w14:solidFill>
                </w14:textFill>
              </w:rPr>
              <w:t>负责</w:t>
            </w:r>
            <w:r>
              <w:rPr>
                <w:rFonts w:hint="eastAsia"/>
                <w:color w:val="000000" w:themeColor="text1"/>
                <w:szCs w:val="28"/>
                <w14:textFill>
                  <w14:solidFill>
                    <w14:schemeClr w14:val="tx1"/>
                  </w14:solidFill>
                </w14:textFill>
              </w:rPr>
              <w:t>定制软件的</w:t>
            </w:r>
            <w:r>
              <w:rPr>
                <w:color w:val="000000" w:themeColor="text1"/>
                <w:szCs w:val="28"/>
                <w14:textFill>
                  <w14:solidFill>
                    <w14:schemeClr w14:val="tx1"/>
                  </w14:solidFill>
                </w14:textFill>
              </w:rPr>
              <w:t>具体开发与实施</w:t>
            </w:r>
          </w:p>
        </w:tc>
        <w:tc>
          <w:tcPr>
            <w:tcW w:w="1275" w:type="dxa"/>
            <w:noWrap/>
            <w:vAlign w:val="center"/>
          </w:tcPr>
          <w:p>
            <w:pPr>
              <w:widowControl/>
              <w:ind w:firstLine="0" w:firstLineChars="0"/>
              <w:jc w:val="center"/>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2</w:t>
            </w:r>
            <w:r>
              <w:rPr>
                <w:color w:val="000000" w:themeColor="text1"/>
                <w:szCs w:val="28"/>
                <w14:textFill>
                  <w14:solidFill>
                    <w14:schemeClr w14:val="tx1"/>
                  </w14:solidFill>
                </w14:textFill>
              </w:rPr>
              <w:t>人</w:t>
            </w:r>
          </w:p>
        </w:tc>
        <w:tc>
          <w:tcPr>
            <w:tcW w:w="3771" w:type="dxa"/>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需具有计算机相关专业中级工程师及以上职称证书。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29" w:type="dxa"/>
            <w:noWrap/>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实施工程师</w:t>
            </w:r>
          </w:p>
        </w:tc>
        <w:tc>
          <w:tcPr>
            <w:tcW w:w="2127" w:type="dxa"/>
            <w:noWrap/>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确保项目整体稳定、安全实施</w:t>
            </w:r>
          </w:p>
        </w:tc>
        <w:tc>
          <w:tcPr>
            <w:tcW w:w="1275" w:type="dxa"/>
            <w:noWrap/>
            <w:vAlign w:val="center"/>
          </w:tcPr>
          <w:p>
            <w:pPr>
              <w:widowControl/>
              <w:ind w:firstLine="0" w:firstLineChars="0"/>
              <w:jc w:val="center"/>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6人</w:t>
            </w:r>
          </w:p>
        </w:tc>
        <w:tc>
          <w:tcPr>
            <w:tcW w:w="3771" w:type="dxa"/>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需包含但不限于</w:t>
            </w:r>
            <w:bookmarkStart w:id="54" w:name="OLE_LINK16"/>
            <w:r>
              <w:rPr>
                <w:color w:val="000000" w:themeColor="text1"/>
                <w:szCs w:val="28"/>
                <w14:textFill>
                  <w14:solidFill>
                    <w14:schemeClr w14:val="tx1"/>
                  </w14:solidFill>
                </w14:textFill>
              </w:rPr>
              <w:t>资料员、材料员、安全员、施工员</w:t>
            </w:r>
            <w:bookmarkEnd w:id="54"/>
            <w:r>
              <w:rPr>
                <w:rFonts w:hint="eastAsia"/>
                <w:color w:val="000000" w:themeColor="text1"/>
                <w:szCs w:val="28"/>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29" w:type="dxa"/>
            <w:noWrap/>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服务工程师</w:t>
            </w:r>
          </w:p>
        </w:tc>
        <w:tc>
          <w:tcPr>
            <w:tcW w:w="2127" w:type="dxa"/>
            <w:noWrap/>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负责</w:t>
            </w:r>
            <w:bookmarkStart w:id="55" w:name="OLE_LINK9"/>
            <w:r>
              <w:rPr>
                <w:rFonts w:hint="eastAsia"/>
                <w:color w:val="000000" w:themeColor="text1"/>
                <w:szCs w:val="28"/>
                <w14:textFill>
                  <w14:solidFill>
                    <w14:schemeClr w14:val="tx1"/>
                  </w14:solidFill>
                </w14:textFill>
              </w:rPr>
              <w:t>项目</w:t>
            </w:r>
            <w:bookmarkEnd w:id="55"/>
            <w:r>
              <w:rPr>
                <w:rFonts w:hint="eastAsia"/>
                <w:color w:val="000000" w:themeColor="text1"/>
                <w:szCs w:val="28"/>
                <w14:textFill>
                  <w14:solidFill>
                    <w14:schemeClr w14:val="tx1"/>
                  </w14:solidFill>
                </w14:textFill>
              </w:rPr>
              <w:t>建设完成后的售后服务</w:t>
            </w:r>
          </w:p>
        </w:tc>
        <w:tc>
          <w:tcPr>
            <w:tcW w:w="1275" w:type="dxa"/>
            <w:noWrap/>
            <w:vAlign w:val="center"/>
          </w:tcPr>
          <w:p>
            <w:pPr>
              <w:widowControl/>
              <w:ind w:firstLine="0" w:firstLineChars="0"/>
              <w:jc w:val="center"/>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1人</w:t>
            </w:r>
          </w:p>
        </w:tc>
        <w:tc>
          <w:tcPr>
            <w:tcW w:w="3771" w:type="dxa"/>
            <w:vAlign w:val="center"/>
          </w:tcPr>
          <w:p>
            <w:pPr>
              <w:widowControl/>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需具备5年及以上的相关项目运维经验</w:t>
            </w:r>
            <w:r>
              <w:rPr>
                <w:rFonts w:hint="eastAsia"/>
                <w:color w:val="000000" w:themeColor="text1"/>
                <w:szCs w:val="28"/>
                <w:lang w:eastAsia="zh-CN"/>
                <w14:textFill>
                  <w14:solidFill>
                    <w14:schemeClr w14:val="tx1"/>
                  </w14:solidFill>
                </w14:textFill>
              </w:rPr>
              <w:t>、</w:t>
            </w:r>
            <w:r>
              <w:rPr>
                <w:rFonts w:hint="eastAsia"/>
                <w:color w:val="000000" w:themeColor="text1"/>
                <w:szCs w:val="28"/>
                <w:lang w:val="en-GB"/>
                <w14:textFill>
                  <w14:solidFill>
                    <w14:schemeClr w14:val="tx1"/>
                  </w14:solidFill>
                </w14:textFill>
              </w:rPr>
              <w:t>具有ITSS服务工程师证书</w:t>
            </w:r>
            <w:r>
              <w:rPr>
                <w:rFonts w:hint="eastAsia"/>
                <w:color w:val="000000" w:themeColor="text1"/>
                <w:szCs w:val="28"/>
                <w14:textFill>
                  <w14:solidFill>
                    <w14:schemeClr w14:val="tx1"/>
                  </w14:solidFill>
                </w14:textFill>
              </w:rPr>
              <w:t>。</w:t>
            </w:r>
            <w:bookmarkStart w:id="61" w:name="_GoBack"/>
            <w:bookmarkEnd w:id="61"/>
          </w:p>
        </w:tc>
      </w:tr>
      <w:bookmarkEnd w:id="51"/>
    </w:tbl>
    <w:p>
      <w:pPr>
        <w:ind w:firstLine="560"/>
        <w:rPr>
          <w:rFonts w:hint="eastAsia" w:ascii="仿宋" w:hAnsi="仿宋" w:eastAsia="仿宋"/>
        </w:rPr>
      </w:pPr>
      <w:r>
        <w:rPr>
          <w:rFonts w:hint="eastAsia" w:ascii="仿宋" w:hAnsi="仿宋" w:eastAsia="仿宋"/>
        </w:rPr>
        <w:t>项目组成员应为投标单位员工，</w:t>
      </w:r>
      <w:r>
        <w:rPr>
          <w:rFonts w:ascii="仿宋" w:hAnsi="仿宋" w:eastAsia="仿宋"/>
        </w:rPr>
        <w:t>需提供详细人员名单、学历证书、资格证书、社保缴纳证明等相关证明材料</w:t>
      </w:r>
      <w:r>
        <w:rPr>
          <w:rFonts w:hint="eastAsia" w:ascii="仿宋" w:hAnsi="仿宋" w:eastAsia="仿宋"/>
        </w:rPr>
        <w:t>以及最近三个月的社保缴纳证明。</w:t>
      </w:r>
    </w:p>
    <w:p>
      <w:pPr>
        <w:ind w:firstLine="560"/>
        <w:rPr>
          <w:rFonts w:hint="eastAsia" w:ascii="仿宋" w:hAnsi="仿宋" w:eastAsia="仿宋"/>
        </w:rPr>
      </w:pPr>
    </w:p>
    <w:p>
      <w:pPr>
        <w:pStyle w:val="3"/>
        <w:rPr>
          <w:rFonts w:hint="eastAsia" w:ascii="仿宋" w:hAnsi="仿宋" w:eastAsia="仿宋"/>
        </w:rPr>
      </w:pPr>
      <w:r>
        <w:rPr>
          <w:rFonts w:hint="eastAsia" w:ascii="仿宋" w:hAnsi="仿宋" w:eastAsia="仿宋"/>
        </w:rPr>
        <w:t>供应商综合能力要求</w:t>
      </w:r>
    </w:p>
    <w:p>
      <w:pPr>
        <w:ind w:firstLine="560"/>
        <w:rPr>
          <w:rFonts w:hint="eastAsia" w:ascii="仿宋" w:hAnsi="仿宋" w:eastAsia="仿宋"/>
        </w:rPr>
      </w:pPr>
      <w:r>
        <w:rPr>
          <w:rFonts w:hint="eastAsia" w:ascii="仿宋" w:hAnsi="仿宋" w:eastAsia="仿宋"/>
        </w:rPr>
        <w:t>供应商具有质量管理体系认证证书、环境管理体系认证证书、信息安全管理体系认证证书</w:t>
      </w:r>
      <w:r>
        <w:rPr>
          <w:rFonts w:ascii="仿宋" w:hAnsi="仿宋" w:eastAsia="仿宋"/>
        </w:rPr>
        <w:t>、</w:t>
      </w:r>
      <w:r>
        <w:rPr>
          <w:rFonts w:hint="eastAsia" w:ascii="仿宋" w:hAnsi="仿宋" w:eastAsia="仿宋"/>
        </w:rPr>
        <w:t>职业健康安全管理体系认证证书</w:t>
      </w:r>
      <w:r>
        <w:rPr>
          <w:rFonts w:ascii="仿宋" w:hAnsi="仿宋" w:eastAsia="仿宋"/>
        </w:rPr>
        <w:t>的</w:t>
      </w:r>
      <w:r>
        <w:rPr>
          <w:rFonts w:hint="eastAsia" w:ascii="仿宋" w:hAnsi="仿宋" w:eastAsia="仿宋"/>
        </w:rPr>
        <w:t>优先考虑。</w:t>
      </w:r>
    </w:p>
    <w:p>
      <w:pPr>
        <w:ind w:firstLine="560"/>
        <w:rPr>
          <w:rFonts w:hint="eastAsia" w:ascii="仿宋" w:hAnsi="仿宋" w:eastAsia="仿宋"/>
        </w:rPr>
      </w:pPr>
    </w:p>
    <w:p>
      <w:pPr>
        <w:pStyle w:val="3"/>
        <w:rPr>
          <w:rFonts w:hint="eastAsia" w:ascii="仿宋" w:hAnsi="仿宋" w:eastAsia="仿宋"/>
        </w:rPr>
      </w:pPr>
      <w:bookmarkStart w:id="56" w:name="_Toc63785511"/>
      <w:r>
        <w:rPr>
          <w:rFonts w:ascii="仿宋" w:hAnsi="仿宋" w:eastAsia="仿宋"/>
        </w:rPr>
        <w:t>等级保护要求</w:t>
      </w:r>
      <w:bookmarkEnd w:id="56"/>
    </w:p>
    <w:p>
      <w:pPr>
        <w:ind w:firstLine="560"/>
        <w:rPr>
          <w:rFonts w:hint="eastAsia" w:ascii="仿宋" w:hAnsi="仿宋" w:eastAsia="仿宋"/>
        </w:rPr>
      </w:pPr>
      <w:r>
        <w:rPr>
          <w:rFonts w:ascii="仿宋" w:hAnsi="仿宋" w:eastAsia="仿宋"/>
        </w:rPr>
        <w:t>本项目</w:t>
      </w:r>
      <w:r>
        <w:rPr>
          <w:rFonts w:hint="eastAsia" w:ascii="仿宋" w:hAnsi="仿宋" w:eastAsia="仿宋"/>
        </w:rPr>
        <w:t>网络安全等级保护</w:t>
      </w:r>
      <w:r>
        <w:rPr>
          <w:rFonts w:ascii="仿宋" w:hAnsi="仿宋" w:eastAsia="仿宋"/>
        </w:rPr>
        <w:t>要求：</w:t>
      </w:r>
      <w:r>
        <w:rPr>
          <w:rFonts w:hint="eastAsia" w:ascii="仿宋" w:hAnsi="仿宋" w:eastAsia="仿宋"/>
        </w:rPr>
        <w:t>三级；</w:t>
      </w:r>
    </w:p>
    <w:p>
      <w:pPr>
        <w:ind w:firstLine="560"/>
        <w:rPr>
          <w:rFonts w:hint="eastAsia" w:ascii="仿宋" w:hAnsi="仿宋" w:eastAsia="仿宋"/>
        </w:rPr>
      </w:pPr>
      <w:r>
        <w:rPr>
          <w:rFonts w:hint="eastAsia" w:ascii="仿宋" w:hAnsi="仿宋" w:eastAsia="仿宋"/>
        </w:rPr>
        <w:t>商用密码应用要求：三级。</w:t>
      </w:r>
    </w:p>
    <w:p>
      <w:pPr>
        <w:ind w:firstLine="560"/>
        <w:rPr>
          <w:rFonts w:hint="eastAsia" w:ascii="仿宋" w:hAnsi="仿宋" w:eastAsia="仿宋"/>
        </w:rPr>
      </w:pPr>
    </w:p>
    <w:p>
      <w:pPr>
        <w:pStyle w:val="3"/>
        <w:rPr>
          <w:rFonts w:hint="eastAsia" w:ascii="仿宋" w:hAnsi="仿宋" w:eastAsia="仿宋"/>
        </w:rPr>
      </w:pPr>
      <w:bookmarkStart w:id="57" w:name="_Toc63785512"/>
      <w:r>
        <w:rPr>
          <w:rFonts w:ascii="仿宋" w:hAnsi="仿宋" w:eastAsia="仿宋"/>
        </w:rPr>
        <w:t>技术文件要求</w:t>
      </w:r>
    </w:p>
    <w:p>
      <w:pPr>
        <w:ind w:firstLine="560"/>
        <w:rPr>
          <w:rFonts w:hint="eastAsia" w:ascii="仿宋" w:hAnsi="仿宋" w:eastAsia="仿宋"/>
        </w:rPr>
      </w:pPr>
      <w:r>
        <w:rPr>
          <w:rFonts w:ascii="仿宋" w:hAnsi="仿宋" w:eastAsia="仿宋"/>
        </w:rPr>
        <w:t>投标人提供的书面技术资料应能确保系统正常运行所需的管理、运营及维护有关的全套文件。技术文件应该全面、完整、详细。投标人提供的技术文件至少应包括：</w:t>
      </w:r>
    </w:p>
    <w:p>
      <w:pPr>
        <w:ind w:firstLine="560"/>
        <w:rPr>
          <w:rFonts w:hint="eastAsia" w:ascii="仿宋" w:hAnsi="仿宋" w:eastAsia="仿宋"/>
        </w:rPr>
      </w:pPr>
      <w:r>
        <w:rPr>
          <w:rFonts w:ascii="仿宋" w:hAnsi="仿宋" w:eastAsia="仿宋"/>
        </w:rPr>
        <w:t>1、系统说明文件；</w:t>
      </w:r>
    </w:p>
    <w:p>
      <w:pPr>
        <w:ind w:firstLine="560"/>
        <w:rPr>
          <w:rFonts w:hint="eastAsia" w:ascii="仿宋" w:hAnsi="仿宋" w:eastAsia="仿宋"/>
        </w:rPr>
      </w:pPr>
      <w:r>
        <w:rPr>
          <w:rFonts w:ascii="仿宋" w:hAnsi="仿宋" w:eastAsia="仿宋"/>
        </w:rPr>
        <w:t>2、技术手册（安装、测试、操作、维护、故障排除等）；</w:t>
      </w:r>
    </w:p>
    <w:p>
      <w:pPr>
        <w:ind w:firstLine="560"/>
        <w:rPr>
          <w:rFonts w:hint="eastAsia" w:ascii="仿宋" w:hAnsi="仿宋" w:eastAsia="仿宋"/>
        </w:rPr>
      </w:pPr>
      <w:r>
        <w:rPr>
          <w:rFonts w:ascii="仿宋" w:hAnsi="仿宋" w:eastAsia="仿宋"/>
        </w:rPr>
        <w:t>3、项目文档，应该包括：</w:t>
      </w:r>
    </w:p>
    <w:p>
      <w:pPr>
        <w:ind w:firstLine="560"/>
        <w:rPr>
          <w:rFonts w:hint="eastAsia" w:ascii="仿宋" w:hAnsi="仿宋" w:eastAsia="仿宋"/>
        </w:rPr>
      </w:pPr>
      <w:r>
        <w:rPr>
          <w:rFonts w:ascii="仿宋" w:hAnsi="仿宋" w:eastAsia="仿宋"/>
        </w:rPr>
        <w:t>（1）软件需求说明书</w:t>
      </w:r>
    </w:p>
    <w:p>
      <w:pPr>
        <w:ind w:firstLine="560"/>
        <w:rPr>
          <w:rFonts w:hint="eastAsia" w:ascii="仿宋" w:hAnsi="仿宋" w:eastAsia="仿宋"/>
        </w:rPr>
      </w:pPr>
      <w:r>
        <w:rPr>
          <w:rFonts w:ascii="仿宋" w:hAnsi="仿宋" w:eastAsia="仿宋"/>
        </w:rPr>
        <w:t>（2）系统总体设计说明书</w:t>
      </w:r>
    </w:p>
    <w:p>
      <w:pPr>
        <w:ind w:firstLine="560"/>
        <w:rPr>
          <w:rFonts w:hint="eastAsia" w:ascii="仿宋" w:hAnsi="仿宋" w:eastAsia="仿宋"/>
        </w:rPr>
      </w:pPr>
      <w:r>
        <w:rPr>
          <w:rFonts w:ascii="仿宋" w:hAnsi="仿宋" w:eastAsia="仿宋"/>
        </w:rPr>
        <w:t>（3）应用软件功能清单</w:t>
      </w:r>
    </w:p>
    <w:p>
      <w:pPr>
        <w:ind w:firstLine="560"/>
        <w:rPr>
          <w:rFonts w:hint="eastAsia" w:ascii="仿宋" w:hAnsi="仿宋" w:eastAsia="仿宋"/>
        </w:rPr>
      </w:pPr>
    </w:p>
    <w:p>
      <w:pPr>
        <w:pStyle w:val="2"/>
        <w:rPr>
          <w:rFonts w:hint="eastAsia" w:ascii="仿宋" w:hAnsi="仿宋" w:eastAsia="仿宋"/>
        </w:rPr>
      </w:pPr>
      <w:r>
        <w:rPr>
          <w:rFonts w:ascii="仿宋" w:hAnsi="仿宋" w:eastAsia="仿宋"/>
        </w:rPr>
        <w:t>供应商管理要求</w:t>
      </w:r>
      <w:bookmarkEnd w:id="57"/>
    </w:p>
    <w:p>
      <w:pPr>
        <w:pStyle w:val="80"/>
        <w:ind w:firstLine="560"/>
        <w:rPr>
          <w:rFonts w:hint="eastAsia" w:ascii="仿宋" w:hAnsi="仿宋" w:eastAsia="仿宋"/>
          <w:sz w:val="28"/>
          <w:szCs w:val="28"/>
        </w:rPr>
      </w:pPr>
      <w:r>
        <w:rPr>
          <w:rFonts w:ascii="仿宋" w:hAnsi="仿宋" w:eastAsia="仿宋"/>
          <w:sz w:val="28"/>
          <w:szCs w:val="28"/>
        </w:rPr>
        <w:t>1、在项目实施期间，供应商应严格执行国家、地方、行业有关本项目业务管理和安全作业的法律、法规和制度并按规定承担相应的费用。供应商因违反规定等原因造成的一切损失和责任由供应商自行承担。</w:t>
      </w:r>
    </w:p>
    <w:p>
      <w:pPr>
        <w:pStyle w:val="80"/>
        <w:ind w:firstLine="560"/>
        <w:rPr>
          <w:rFonts w:hint="eastAsia" w:ascii="仿宋" w:hAnsi="仿宋" w:eastAsia="仿宋"/>
          <w:sz w:val="28"/>
          <w:szCs w:val="28"/>
        </w:rPr>
      </w:pPr>
      <w:r>
        <w:rPr>
          <w:rFonts w:ascii="仿宋" w:hAnsi="仿宋" w:eastAsia="仿宋"/>
          <w:sz w:val="28"/>
          <w:szCs w:val="28"/>
        </w:rPr>
        <w:t>2、供应商在投标书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供应商不得调换或撤离上述人员。如采购人认为有必要，可要求供应商对上述人员中的部分人员作出更好的调整。</w:t>
      </w:r>
    </w:p>
    <w:p>
      <w:pPr>
        <w:pStyle w:val="80"/>
        <w:ind w:firstLine="560"/>
        <w:rPr>
          <w:rFonts w:hint="eastAsia" w:ascii="仿宋" w:hAnsi="仿宋" w:eastAsia="仿宋"/>
          <w:sz w:val="28"/>
          <w:szCs w:val="28"/>
        </w:rPr>
      </w:pPr>
      <w:r>
        <w:rPr>
          <w:rFonts w:ascii="仿宋" w:hAnsi="仿宋" w:eastAsia="仿宋"/>
          <w:sz w:val="28"/>
          <w:szCs w:val="28"/>
        </w:rPr>
        <w:t>3、供应商在项目实施期间，应按项目实际进度与环节落实所对应项目整体及各环节管理工作，按照规范做好项目实施期间相关管理与实施记录。</w:t>
      </w:r>
    </w:p>
    <w:p>
      <w:pPr>
        <w:pStyle w:val="80"/>
        <w:ind w:firstLine="560"/>
        <w:rPr>
          <w:rFonts w:hint="eastAsia" w:ascii="仿宋" w:hAnsi="仿宋" w:eastAsia="仿宋"/>
          <w:sz w:val="28"/>
          <w:szCs w:val="28"/>
        </w:rPr>
      </w:pPr>
      <w:r>
        <w:rPr>
          <w:rFonts w:ascii="仿宋" w:hAnsi="仿宋" w:eastAsia="仿宋"/>
          <w:sz w:val="28"/>
          <w:szCs w:val="28"/>
        </w:rPr>
        <w:t>4、参与本项目的工作人员应严格遵循采购人的安全制度，保障采购人资料和设备的安全。供应商如需进入采购人机房工作，只能在采购人规定的工作区域内对项目涉及的设备进行操作，严禁触动与项目无关的任何设备（包括任何操作行为），如需</w:t>
      </w:r>
      <w:r>
        <w:rPr>
          <w:rFonts w:hint="eastAsia" w:ascii="仿宋" w:hAnsi="仿宋" w:eastAsia="仿宋"/>
          <w:sz w:val="28"/>
          <w:szCs w:val="28"/>
        </w:rPr>
        <w:t>进行非工作区域的</w:t>
      </w:r>
      <w:r>
        <w:rPr>
          <w:rFonts w:ascii="仿宋" w:hAnsi="仿宋" w:eastAsia="仿宋"/>
          <w:sz w:val="28"/>
          <w:szCs w:val="28"/>
        </w:rPr>
        <w:t>操作必须得到采购人项目联系人确认。</w:t>
      </w:r>
    </w:p>
    <w:p>
      <w:pPr>
        <w:pStyle w:val="80"/>
        <w:ind w:firstLine="560"/>
        <w:rPr>
          <w:rFonts w:hint="eastAsia" w:ascii="仿宋" w:hAnsi="仿宋" w:eastAsia="仿宋"/>
          <w:sz w:val="28"/>
          <w:szCs w:val="28"/>
        </w:rPr>
      </w:pPr>
      <w:r>
        <w:rPr>
          <w:rFonts w:ascii="仿宋" w:hAnsi="仿宋" w:eastAsia="仿宋"/>
          <w:sz w:val="28"/>
          <w:szCs w:val="28"/>
        </w:rPr>
        <w:t>5、供应商在项目实施期间必须遵守采购人的规章制度并提供实施人员名单。</w:t>
      </w:r>
    </w:p>
    <w:p>
      <w:pPr>
        <w:pStyle w:val="80"/>
        <w:ind w:firstLine="560"/>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、本项目软件开发调试</w:t>
      </w:r>
      <w:r>
        <w:rPr>
          <w:rFonts w:hint="eastAsia" w:ascii="仿宋" w:hAnsi="仿宋" w:eastAsia="仿宋"/>
          <w:sz w:val="28"/>
          <w:szCs w:val="28"/>
        </w:rPr>
        <w:t>、硬件实施</w:t>
      </w:r>
      <w:r>
        <w:rPr>
          <w:rFonts w:ascii="仿宋" w:hAnsi="仿宋" w:eastAsia="仿宋"/>
          <w:sz w:val="28"/>
          <w:szCs w:val="28"/>
        </w:rPr>
        <w:t>将纳入采购人的管理范围，供应商在此过程中须服从</w:t>
      </w:r>
      <w:r>
        <w:rPr>
          <w:rFonts w:hint="eastAsia" w:ascii="仿宋" w:hAnsi="仿宋" w:eastAsia="仿宋"/>
          <w:sz w:val="28"/>
          <w:szCs w:val="28"/>
        </w:rPr>
        <w:t>采购人</w:t>
      </w:r>
      <w:r>
        <w:rPr>
          <w:rFonts w:ascii="仿宋" w:hAnsi="仿宋" w:eastAsia="仿宋"/>
          <w:sz w:val="28"/>
          <w:szCs w:val="28"/>
        </w:rPr>
        <w:t>的管理协调。</w:t>
      </w:r>
    </w:p>
    <w:p>
      <w:pPr>
        <w:pStyle w:val="80"/>
        <w:ind w:firstLine="440"/>
        <w:rPr>
          <w:rFonts w:hint="eastAsia" w:ascii="仿宋" w:hAnsi="仿宋" w:eastAsia="仿宋"/>
          <w:sz w:val="22"/>
          <w:szCs w:val="22"/>
        </w:rPr>
      </w:pPr>
    </w:p>
    <w:p>
      <w:pPr>
        <w:pStyle w:val="2"/>
        <w:rPr>
          <w:rFonts w:hint="eastAsia" w:ascii="仿宋" w:hAnsi="仿宋" w:eastAsia="仿宋"/>
        </w:rPr>
      </w:pPr>
      <w:bookmarkStart w:id="58" w:name="_Toc63785513"/>
      <w:r>
        <w:rPr>
          <w:rFonts w:ascii="仿宋" w:hAnsi="仿宋" w:eastAsia="仿宋"/>
        </w:rPr>
        <w:t>关于转让和分包的规定</w:t>
      </w:r>
    </w:p>
    <w:p>
      <w:pPr>
        <w:spacing w:line="560" w:lineRule="exact"/>
        <w:ind w:firstLine="560"/>
        <w:rPr>
          <w:rFonts w:hint="eastAsia" w:ascii="仿宋" w:hAnsi="仿宋" w:eastAsia="仿宋"/>
          <w:bCs/>
          <w:szCs w:val="28"/>
        </w:rPr>
      </w:pPr>
      <w:r>
        <w:rPr>
          <w:rFonts w:ascii="仿宋" w:hAnsi="仿宋" w:eastAsia="仿宋"/>
          <w:bCs/>
          <w:szCs w:val="28"/>
        </w:rPr>
        <w:t>本项目不得转让不得分包。</w:t>
      </w:r>
    </w:p>
    <w:p>
      <w:pPr>
        <w:spacing w:line="560" w:lineRule="exact"/>
        <w:ind w:firstLine="560"/>
        <w:rPr>
          <w:rFonts w:hint="eastAsia" w:ascii="仿宋" w:hAnsi="仿宋" w:eastAsia="仿宋"/>
          <w:bCs/>
          <w:szCs w:val="28"/>
        </w:rPr>
      </w:pPr>
    </w:p>
    <w:bookmarkEnd w:id="58"/>
    <w:p>
      <w:pPr>
        <w:pStyle w:val="2"/>
        <w:rPr>
          <w:rFonts w:hint="eastAsia" w:ascii="仿宋" w:hAnsi="仿宋" w:eastAsia="仿宋"/>
        </w:rPr>
      </w:pPr>
      <w:bookmarkStart w:id="59" w:name="_Toc65170093"/>
      <w:r>
        <w:rPr>
          <w:rFonts w:ascii="仿宋" w:hAnsi="仿宋" w:eastAsia="仿宋"/>
        </w:rPr>
        <w:t>项目的变更、解除和终止</w:t>
      </w:r>
    </w:p>
    <w:p>
      <w:pPr>
        <w:ind w:firstLine="560"/>
        <w:rPr>
          <w:rFonts w:hint="eastAsia" w:ascii="仿宋" w:hAnsi="仿宋" w:eastAsia="仿宋"/>
        </w:rPr>
      </w:pPr>
      <w:r>
        <w:rPr>
          <w:rFonts w:ascii="仿宋" w:hAnsi="仿宋" w:eastAsia="仿宋"/>
        </w:rPr>
        <w:t>如果供应商丧失履约能力、发生资不抵债或进入破产程序，采购人可在任何时候以书面形式通知供应商终止本项目的执行而不给予供应商补偿。该终止本项目将不损害或影响采购人已经采取或将要采取任何行动或补救措施的权利。</w:t>
      </w:r>
    </w:p>
    <w:p>
      <w:pPr>
        <w:ind w:firstLine="560"/>
        <w:rPr>
          <w:rFonts w:hint="eastAsia" w:ascii="仿宋" w:hAnsi="仿宋" w:eastAsia="仿宋"/>
        </w:rPr>
      </w:pPr>
      <w:r>
        <w:rPr>
          <w:rFonts w:ascii="仿宋" w:hAnsi="仿宋" w:eastAsia="仿宋"/>
        </w:rPr>
        <w:t>如遇国家、行业管理部门等机构的有关标准和规定调整的，导致本项目内容须做相应调整时，双方应按照公平、合理的原则共同协商修改本项目对应的合同的相关条款。</w:t>
      </w:r>
    </w:p>
    <w:p>
      <w:pPr>
        <w:ind w:firstLine="560"/>
        <w:rPr>
          <w:rFonts w:hint="eastAsia" w:ascii="仿宋" w:hAnsi="仿宋" w:eastAsia="仿宋"/>
        </w:rPr>
      </w:pPr>
    </w:p>
    <w:bookmarkEnd w:id="59"/>
    <w:p>
      <w:pPr>
        <w:pStyle w:val="2"/>
        <w:rPr>
          <w:rFonts w:hint="eastAsia" w:ascii="仿宋" w:hAnsi="仿宋" w:eastAsia="仿宋"/>
        </w:rPr>
      </w:pPr>
      <w:bookmarkStart w:id="60" w:name="_Toc63785514"/>
      <w:r>
        <w:rPr>
          <w:rFonts w:ascii="仿宋" w:hAnsi="仿宋" w:eastAsia="仿宋"/>
        </w:rPr>
        <w:t>付款</w:t>
      </w:r>
      <w:bookmarkEnd w:id="60"/>
      <w:r>
        <w:rPr>
          <w:rFonts w:ascii="仿宋" w:hAnsi="仿宋" w:eastAsia="仿宋"/>
        </w:rPr>
        <w:t>方式</w:t>
      </w:r>
    </w:p>
    <w:p>
      <w:pPr>
        <w:ind w:firstLine="560"/>
        <w:rPr>
          <w:rFonts w:hint="eastAsia" w:ascii="仿宋" w:hAnsi="仿宋" w:eastAsia="仿宋"/>
        </w:rPr>
      </w:pPr>
      <w:r>
        <w:rPr>
          <w:rFonts w:ascii="仿宋" w:hAnsi="仿宋" w:eastAsia="仿宋"/>
        </w:rPr>
        <w:t>本项目采用</w:t>
      </w:r>
      <w:r>
        <w:rPr>
          <w:rFonts w:hint="eastAsia" w:ascii="仿宋" w:hAnsi="仿宋" w:eastAsia="仿宋"/>
        </w:rPr>
        <w:t>三</w:t>
      </w:r>
      <w:r>
        <w:rPr>
          <w:rFonts w:ascii="仿宋" w:hAnsi="仿宋" w:eastAsia="仿宋"/>
        </w:rPr>
        <w:t>期付款</w:t>
      </w:r>
    </w:p>
    <w:p>
      <w:pPr>
        <w:ind w:firstLine="560"/>
        <w:rPr>
          <w:rFonts w:hint="eastAsia" w:ascii="仿宋" w:hAnsi="仿宋" w:eastAsia="仿宋"/>
        </w:rPr>
      </w:pPr>
      <w:r>
        <w:rPr>
          <w:rFonts w:ascii="仿宋" w:hAnsi="仿宋" w:eastAsia="仿宋"/>
        </w:rPr>
        <w:t>1.</w:t>
      </w:r>
      <w:r>
        <w:rPr>
          <w:rFonts w:hint="eastAsia" w:ascii="仿宋" w:hAnsi="仿宋" w:eastAsia="仿宋"/>
        </w:rPr>
        <w:t xml:space="preserve"> 合同签订生效且</w:t>
      </w:r>
      <w:r>
        <w:rPr>
          <w:rFonts w:ascii="仿宋" w:hAnsi="仿宋" w:eastAsia="仿宋"/>
        </w:rPr>
        <w:t>甲方收到乙方开具的有效发票</w:t>
      </w:r>
      <w:r>
        <w:rPr>
          <w:rFonts w:hint="eastAsia" w:ascii="仿宋" w:hAnsi="仿宋" w:eastAsia="仿宋"/>
        </w:rPr>
        <w:t>后3</w:t>
      </w:r>
      <w:r>
        <w:rPr>
          <w:rFonts w:ascii="仿宋" w:hAnsi="仿宋" w:eastAsia="仿宋"/>
        </w:rPr>
        <w:t>0个工作日内，</w:t>
      </w:r>
      <w:r>
        <w:rPr>
          <w:rFonts w:hint="eastAsia" w:ascii="仿宋" w:hAnsi="仿宋" w:eastAsia="仿宋"/>
        </w:rPr>
        <w:t>甲方向乙方支付合同总价款的40%；</w:t>
      </w:r>
    </w:p>
    <w:p>
      <w:pPr>
        <w:ind w:firstLine="560"/>
        <w:rPr>
          <w:rFonts w:hint="eastAsia"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 xml:space="preserve"> 本项目通过初级验收且甲方收到乙方开具的有效发票后30个工作日内，甲方向乙方支付合同总价款的25%。</w:t>
      </w:r>
    </w:p>
    <w:p>
      <w:pPr>
        <w:ind w:firstLine="560"/>
        <w:rPr>
          <w:rFonts w:hint="eastAsia" w:ascii="仿宋" w:hAnsi="仿宋" w:eastAsia="仿宋"/>
        </w:rPr>
      </w:pPr>
      <w:r>
        <w:rPr>
          <w:rFonts w:hint="eastAsia" w:ascii="仿宋" w:hAnsi="仿宋" w:eastAsia="仿宋"/>
        </w:rPr>
        <w:t>3. 本项目通过最终验收且甲方收到乙方开具的有效发票后30个工作日内，甲方向乙方支付合同总价款的32%</w:t>
      </w:r>
      <w:r>
        <w:rPr>
          <w:rFonts w:ascii="仿宋" w:hAnsi="仿宋" w:eastAsia="仿宋"/>
        </w:rPr>
        <w:t>。</w:t>
      </w:r>
    </w:p>
    <w:p>
      <w:pPr>
        <w:ind w:firstLine="560"/>
        <w:rPr>
          <w:rFonts w:hint="eastAsia" w:ascii="仿宋" w:hAnsi="仿宋" w:eastAsia="仿宋"/>
        </w:rPr>
      </w:pPr>
      <w:r>
        <w:rPr>
          <w:rFonts w:hint="eastAsia" w:ascii="仿宋" w:hAnsi="仿宋" w:eastAsia="仿宋"/>
        </w:rPr>
        <w:t>4.质量保证金：</w:t>
      </w:r>
      <w:r>
        <w:rPr>
          <w:rFonts w:ascii="仿宋" w:hAnsi="仿宋" w:eastAsia="仿宋"/>
        </w:rPr>
        <w:t>合同总价款的3%作为质量保证金，待质保期满且无质量问题后，按双方约定无息支付。</w:t>
      </w:r>
    </w:p>
    <w:p>
      <w:pPr>
        <w:ind w:firstLine="560"/>
        <w:rPr>
          <w:rFonts w:hint="eastAsia" w:ascii="仿宋" w:hAnsi="仿宋" w:eastAsia="仿宋"/>
        </w:rPr>
      </w:pPr>
      <w:r>
        <w:rPr>
          <w:rFonts w:ascii="仿宋" w:hAnsi="仿宋" w:eastAsia="仿宋"/>
        </w:rPr>
        <w:t>付款条件备注：服务提供方应当在采购方每次付款前提前至少</w:t>
      </w:r>
      <w:r>
        <w:rPr>
          <w:rFonts w:hint="eastAsia" w:ascii="仿宋" w:hAnsi="仿宋" w:eastAsia="仿宋"/>
        </w:rPr>
        <w:t>3</w:t>
      </w:r>
      <w:r>
        <w:rPr>
          <w:rFonts w:ascii="仿宋" w:hAnsi="仿宋" w:eastAsia="仿宋"/>
        </w:rPr>
        <w:t>0个工作日向采购方提供有效发票。</w:t>
      </w:r>
    </w:p>
    <w:p>
      <w:pPr>
        <w:ind w:firstLine="560"/>
        <w:rPr>
          <w:rFonts w:hint="eastAsia" w:ascii="仿宋" w:hAnsi="仿宋" w:eastAsia="仿宋"/>
        </w:rPr>
      </w:pPr>
    </w:p>
    <w:p>
      <w:pPr>
        <w:pStyle w:val="2"/>
        <w:rPr>
          <w:rFonts w:hint="eastAsia" w:ascii="仿宋" w:hAnsi="仿宋" w:eastAsia="仿宋"/>
        </w:rPr>
      </w:pPr>
      <w:r>
        <w:rPr>
          <w:rFonts w:hint="eastAsia" w:ascii="仿宋" w:hAnsi="仿宋" w:eastAsia="仿宋"/>
        </w:rPr>
        <w:t>保密要求</w:t>
      </w:r>
    </w:p>
    <w:p>
      <w:pPr>
        <w:ind w:firstLine="562"/>
        <w:rPr>
          <w:rFonts w:hint="eastAsia" w:ascii="仿宋" w:hAnsi="仿宋" w:eastAsia="仿宋"/>
          <w:b/>
        </w:rPr>
      </w:pPr>
      <w:r>
        <w:rPr>
          <w:rFonts w:hint="eastAsia" w:ascii="仿宋" w:hAnsi="仿宋" w:eastAsia="仿宋"/>
          <w:b/>
        </w:rPr>
        <w:t>1</w:t>
      </w:r>
      <w:r>
        <w:rPr>
          <w:rFonts w:ascii="仿宋" w:hAnsi="仿宋" w:eastAsia="仿宋"/>
          <w:b/>
        </w:rPr>
        <w:t>、项目保密要求</w:t>
      </w:r>
    </w:p>
    <w:p>
      <w:pPr>
        <w:ind w:firstLine="560"/>
        <w:rPr>
          <w:rFonts w:hint="eastAsia" w:ascii="仿宋" w:hAnsi="仿宋" w:eastAsia="仿宋"/>
        </w:rPr>
      </w:pPr>
      <w:r>
        <w:rPr>
          <w:rFonts w:ascii="仿宋" w:hAnsi="仿宋" w:eastAsia="仿宋"/>
        </w:rPr>
        <w:t>供应商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供应商不得对外泄露采购人要求保密的信息，不得用于其他用途，否则供应商需承担由此引起的法律责任和经济责任，包括但不限于直接损失、间接损失、律师费、诉讼费/仲裁费、调查费、公证费等。</w:t>
      </w:r>
    </w:p>
    <w:p>
      <w:pPr>
        <w:ind w:firstLine="560"/>
        <w:rPr>
          <w:rFonts w:hint="eastAsia" w:ascii="仿宋" w:hAnsi="仿宋" w:eastAsia="仿宋"/>
        </w:rPr>
      </w:pPr>
      <w:r>
        <w:rPr>
          <w:rFonts w:ascii="仿宋" w:hAnsi="仿宋" w:eastAsia="仿宋"/>
        </w:rPr>
        <w:t>供应商应采取必要的有效措施保证其参与本项目的人员（包括供应商聘用的人员、借调的人员、实习的人员）无论是在职或离职后，以及供应商的合作方无论是合作中或合作终止后，都能够履行本项目约定的保密义务。若供应商人员或供应商合作方违反保密规定，供应商应承担连带责任。</w:t>
      </w:r>
    </w:p>
    <w:p>
      <w:pPr>
        <w:ind w:firstLine="560"/>
        <w:rPr>
          <w:rFonts w:hint="eastAsia" w:ascii="仿宋" w:hAnsi="仿宋" w:eastAsia="仿宋"/>
        </w:rPr>
      </w:pPr>
      <w:r>
        <w:rPr>
          <w:rFonts w:ascii="仿宋" w:hAnsi="仿宋" w:eastAsia="仿宋"/>
        </w:rPr>
        <w:t>供应商（含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ind w:firstLine="560"/>
        <w:rPr>
          <w:rFonts w:hint="eastAsia" w:ascii="仿宋" w:hAnsi="仿宋" w:eastAsia="仿宋"/>
        </w:rPr>
      </w:pPr>
      <w:r>
        <w:rPr>
          <w:rFonts w:ascii="仿宋" w:hAnsi="仿宋" w:eastAsia="仿宋"/>
        </w:rPr>
        <w:t>以上内容的保密期限自供应商知悉保密信息起始至保密信息被合法公开之日止。</w:t>
      </w:r>
    </w:p>
    <w:p>
      <w:pPr>
        <w:ind w:firstLine="562"/>
        <w:rPr>
          <w:rFonts w:hint="eastAsia" w:ascii="仿宋" w:hAnsi="仿宋" w:eastAsia="仿宋"/>
          <w:b/>
        </w:rPr>
      </w:pPr>
      <w:r>
        <w:rPr>
          <w:rFonts w:hint="eastAsia" w:ascii="仿宋" w:hAnsi="仿宋" w:eastAsia="仿宋"/>
          <w:b/>
        </w:rPr>
        <w:t>2</w:t>
      </w:r>
      <w:r>
        <w:rPr>
          <w:rFonts w:ascii="仿宋" w:hAnsi="仿宋" w:eastAsia="仿宋"/>
          <w:b/>
        </w:rPr>
        <w:t>、临时账号等使用要求</w:t>
      </w:r>
    </w:p>
    <w:p>
      <w:pPr>
        <w:ind w:firstLine="560"/>
        <w:rPr>
          <w:rFonts w:hint="eastAsia" w:ascii="仿宋" w:hAnsi="仿宋" w:eastAsia="仿宋"/>
        </w:rPr>
      </w:pPr>
      <w:r>
        <w:rPr>
          <w:rFonts w:ascii="仿宋" w:hAnsi="仿宋" w:eastAsia="仿宋"/>
        </w:rPr>
        <w:t>供应商对采购人提拱的临时使用账号要保密，不得公开，对组件开发的账号密码需进行加密，避免信息安全的泄露。未经采购人的同意不得利用采购人的网络及平台进行短信、彩信、微信发送,造成的一切后果由供应商负责。</w:t>
      </w:r>
    </w:p>
    <w:p>
      <w:pPr>
        <w:ind w:firstLine="560"/>
        <w:rPr>
          <w:rFonts w:hint="eastAsia" w:ascii="仿宋" w:hAnsi="仿宋" w:eastAsia="仿宋"/>
        </w:rPr>
      </w:pPr>
    </w:p>
    <w:p>
      <w:pPr>
        <w:pStyle w:val="2"/>
        <w:rPr>
          <w:rFonts w:hint="eastAsia" w:ascii="仿宋" w:hAnsi="仿宋" w:eastAsia="仿宋"/>
        </w:rPr>
      </w:pPr>
      <w:r>
        <w:rPr>
          <w:rFonts w:ascii="仿宋" w:hAnsi="仿宋" w:eastAsia="仿宋"/>
        </w:rPr>
        <w:t>知识产权</w:t>
      </w:r>
      <w:r>
        <w:rPr>
          <w:rFonts w:hint="eastAsia" w:ascii="仿宋" w:hAnsi="仿宋" w:eastAsia="仿宋"/>
        </w:rPr>
        <w:t>要求</w:t>
      </w:r>
    </w:p>
    <w:p>
      <w:pPr>
        <w:ind w:firstLine="562"/>
        <w:rPr>
          <w:rFonts w:hint="eastAsia" w:ascii="仿宋" w:hAnsi="仿宋" w:eastAsia="仿宋"/>
          <w:b/>
        </w:rPr>
      </w:pPr>
      <w:r>
        <w:rPr>
          <w:rFonts w:ascii="仿宋" w:hAnsi="仿宋" w:eastAsia="仿宋"/>
          <w:b/>
        </w:rPr>
        <w:t>供应商数据、文件、资料知识产权</w:t>
      </w:r>
    </w:p>
    <w:p>
      <w:pPr>
        <w:ind w:firstLine="560"/>
        <w:rPr>
          <w:rFonts w:hint="eastAsia" w:ascii="仿宋" w:hAnsi="仿宋" w:eastAsia="仿宋"/>
        </w:rPr>
      </w:pPr>
      <w:r>
        <w:rPr>
          <w:rFonts w:ascii="仿宋" w:hAnsi="仿宋" w:eastAsia="仿宋"/>
        </w:rPr>
        <w:t>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供应商应负责与第三方解决纠纷，若因此导致采购人损失的，采购人有权要求供应商赔偿采购人因此遭受的全部损失，包括但不限于直接损失、间接损失、诉讼费／仲裁费、律师费、公证费、鉴定费等。</w:t>
      </w:r>
    </w:p>
    <w:p>
      <w:pPr>
        <w:ind w:firstLine="560"/>
        <w:rPr>
          <w:rFonts w:hint="eastAsia" w:ascii="仿宋" w:hAnsi="仿宋" w:eastAsia="仿宋"/>
        </w:rPr>
      </w:pPr>
      <w:r>
        <w:rPr>
          <w:rFonts w:ascii="仿宋" w:hAnsi="仿宋" w:eastAsia="仿宋"/>
        </w:rPr>
        <w:t>供应商因履行本项目而产生的所有成果的知识产权等权利均归采购人所有，供应商应配合采购人进行相关权利登记或申请。未经采购人书面同意，供应商不得以任何形式使用或许可他人使用本项目成果的相关内容，不得擅自对外公开发表或向任何第三方透露。</w:t>
      </w:r>
    </w:p>
    <w:p>
      <w:pPr>
        <w:ind w:firstLine="560"/>
        <w:rPr>
          <w:rFonts w:hint="eastAsia" w:ascii="仿宋" w:hAnsi="仿宋" w:eastAsia="仿宋"/>
        </w:rPr>
      </w:pPr>
      <w:r>
        <w:rPr>
          <w:rFonts w:ascii="仿宋" w:hAnsi="仿宋" w:eastAsia="仿宋"/>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widowControl/>
        <w:adjustRightInd/>
        <w:snapToGrid/>
        <w:spacing w:line="240" w:lineRule="auto"/>
        <w:ind w:firstLine="0" w:firstLineChars="0"/>
        <w:jc w:val="left"/>
        <w:rPr>
          <w:rFonts w:hint="eastAsia" w:ascii="仿宋" w:hAnsi="仿宋" w:eastAsia="仿宋"/>
        </w:rPr>
      </w:pPr>
      <w:r>
        <w:rPr>
          <w:rFonts w:ascii="仿宋" w:hAnsi="仿宋" w:eastAsia="仿宋"/>
        </w:rPr>
        <w:br w:type="page"/>
      </w:r>
    </w:p>
    <w:p>
      <w:pPr>
        <w:ind w:firstLine="0" w:firstLineChars="0"/>
        <w:rPr>
          <w:rFonts w:hint="eastAsia" w:ascii="仿宋" w:hAnsi="仿宋" w:eastAsia="仿宋"/>
        </w:rPr>
      </w:pPr>
    </w:p>
    <w:sectPr>
      <w:pgSz w:w="11906" w:h="16838"/>
      <w:pgMar w:top="1134" w:right="1797" w:bottom="1135" w:left="1797" w:header="340" w:footer="7" w:gutter="0"/>
      <w:cols w:space="720" w:num="1"/>
      <w:titlePg/>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ime">
    <w:altName w:val="Noto Sans SC"/>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16</w:t>
    </w:r>
    <w:r>
      <w:rPr>
        <w:rFonts w:ascii="Times New Roman" w:hAnsi="Times New Roman"/>
        <w:sz w:val="18"/>
        <w:szCs w:val="18"/>
        <w:lang w:val="zh-CN"/>
      </w:rPr>
      <w:fldChar w:fldCharType="end"/>
    </w:r>
  </w:p>
  <w:p>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rPr>
        <w:rFonts w:hint="eastAsia"/>
      </w:rPr>
    </w:pPr>
  </w:p>
  <w:p>
    <w:pPr>
      <w:ind w:firstLine="5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ascii="Times New Roman" w:hAnsi="Times New Roman"/>
        <w:sz w:val="18"/>
        <w:szCs w:val="16"/>
        <w:lang w:val="zh-CN"/>
      </w:rPr>
    </w:pPr>
    <w:r>
      <w:rPr>
        <w:rFonts w:ascii="Times New Roman" w:hAnsi="Times New Roman"/>
        <w:sz w:val="18"/>
        <w:szCs w:val="16"/>
        <w:lang w:val="zh-CN"/>
      </w:rPr>
      <w:fldChar w:fldCharType="begin"/>
    </w:r>
    <w:r>
      <w:rPr>
        <w:rFonts w:ascii="Times New Roman" w:hAnsi="Times New Roman"/>
        <w:sz w:val="18"/>
        <w:szCs w:val="16"/>
        <w:lang w:val="zh-CN"/>
      </w:rPr>
      <w:instrText xml:space="preserve">PAGE   \* MERGEFORMAT</w:instrText>
    </w:r>
    <w:r>
      <w:rPr>
        <w:rFonts w:ascii="Times New Roman" w:hAnsi="Times New Roman"/>
        <w:sz w:val="18"/>
        <w:szCs w:val="16"/>
        <w:lang w:val="zh-CN"/>
      </w:rPr>
      <w:fldChar w:fldCharType="separate"/>
    </w:r>
    <w:r>
      <w:rPr>
        <w:rFonts w:ascii="Times New Roman" w:hAnsi="Times New Roman"/>
        <w:sz w:val="18"/>
        <w:szCs w:val="16"/>
        <w:lang w:val="zh-CN"/>
      </w:rPr>
      <w:t>1</w:t>
    </w:r>
    <w:r>
      <w:rPr>
        <w:rFonts w:ascii="Times New Roman" w:hAnsi="Times New Roman"/>
        <w:sz w:val="18"/>
        <w:szCs w:val="16"/>
        <w:lang w:val="zh-CN"/>
      </w:rPr>
      <w:fldChar w:fldCharType="end"/>
    </w:r>
  </w:p>
  <w:p>
    <w:pPr>
      <w:ind w:firstLine="5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rPr>
        <w:rFonts w:hint="eastAsia"/>
      </w:rPr>
    </w:pPr>
  </w:p>
  <w:p>
    <w:pPr>
      <w:ind w:firstLine="5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left="0" w:leftChars="0" w:firstLine="0" w:firstLineChars="0"/>
      <w:jc w:val="left"/>
    </w:pPr>
    <w:r>
      <w:rPr>
        <w:rFonts w:hint="eastAsia"/>
        <w:lang w:val="en-US" w:eastAsia="zh-CN"/>
      </w:rPr>
      <w:t xml:space="preserve">ZC20260049      </w:t>
    </w:r>
    <w:r>
      <w:rPr>
        <w:rFonts w:hint="eastAsia"/>
      </w:rPr>
      <w:t>长宁区数字档案馆2026升级改造服务竞争性磋商项目</w:t>
    </w:r>
    <w:r>
      <w:rPr>
        <w:rFonts w:hint="eastAsia"/>
        <w:lang w:val="en-US" w:eastAsia="zh-CN"/>
      </w:rPr>
      <w:t xml:space="preserve">        </w:t>
    </w:r>
    <w:r>
      <w:rPr>
        <w:rFonts w:hint="eastAsia"/>
      </w:rPr>
      <w:t>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tentative="0">
      <w:start w:val="1"/>
      <w:numFmt w:val="decimal"/>
      <w:suff w:val="space"/>
      <w:lvlText w:val="第%1章"/>
      <w:lvlJc w:val="left"/>
      <w:pPr>
        <w:ind w:left="2694" w:firstLine="0"/>
      </w:pPr>
      <w:rPr>
        <w:rFonts w:hint="default" w:ascii="Times New Roman" w:hAnsi="Times New Roman" w:eastAsia="黑体"/>
        <w:b/>
        <w:i w:val="0"/>
        <w:color w:val="auto"/>
        <w:spacing w:val="0"/>
        <w:sz w:val="44"/>
        <w:lang w:val="en-US"/>
      </w:rPr>
    </w:lvl>
    <w:lvl w:ilvl="1" w:tentative="0">
      <w:start w:val="1"/>
      <w:numFmt w:val="decimal"/>
      <w:pStyle w:val="167"/>
      <w:suff w:val="space"/>
      <w:lvlText w:val="%1.%2"/>
      <w:lvlJc w:val="left"/>
      <w:pPr>
        <w:ind w:left="283" w:hanging="283"/>
      </w:pPr>
      <w:rPr>
        <w:rFonts w:hint="default" w:ascii="Times New Roman" w:hAnsi="Times New Roman" w:eastAsia="黑体"/>
        <w:b/>
        <w:i w:val="0"/>
        <w:color w:val="auto"/>
        <w:sz w:val="32"/>
      </w:rPr>
    </w:lvl>
    <w:lvl w:ilvl="2" w:tentative="0">
      <w:start w:val="1"/>
      <w:numFmt w:val="decimal"/>
      <w:pStyle w:val="168"/>
      <w:suff w:val="space"/>
      <w:lvlText w:val="%1.%2.%3"/>
      <w:lvlJc w:val="left"/>
      <w:pPr>
        <w:ind w:left="567"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28"/>
        <w:u w:val="none"/>
        <w:vertAlign w:val="baseline"/>
      </w:rPr>
    </w:lvl>
    <w:lvl w:ilvl="3" w:tentative="0">
      <w:start w:val="1"/>
      <w:numFmt w:val="decimal"/>
      <w:suff w:val="space"/>
      <w:lvlText w:val="%1.%2.%3.%4"/>
      <w:lvlJc w:val="left"/>
      <w:pPr>
        <w:ind w:left="425" w:firstLine="0"/>
      </w:pPr>
      <w:rPr>
        <w:rFonts w:hint="default" w:ascii="Times New Roman" w:hAnsi="Times New Roman" w:eastAsia="黑体" w:cs="Times New Roman"/>
        <w:b/>
        <w:bCs w:val="0"/>
        <w:i w:val="0"/>
        <w:iCs w:val="0"/>
        <w:caps w:val="0"/>
        <w:smallCaps w:val="0"/>
        <w:strike w:val="0"/>
        <w:dstrike w:val="0"/>
        <w:vanish w:val="0"/>
        <w:color w:val="000000"/>
        <w:spacing w:val="0"/>
        <w:position w:val="0"/>
        <w:sz w:val="28"/>
        <w:szCs w:val="28"/>
        <w:u w:val="none"/>
        <w:vertAlign w:val="baseline"/>
      </w:rPr>
    </w:lvl>
    <w:lvl w:ilvl="4" w:tentative="0">
      <w:start w:val="1"/>
      <w:numFmt w:val="decimal"/>
      <w:suff w:val="space"/>
      <w:lvlText w:val="%1.%2.%3.%4.%5"/>
      <w:lvlJc w:val="left"/>
      <w:pPr>
        <w:ind w:left="567" w:firstLine="0"/>
      </w:pPr>
      <w:rPr>
        <w:rFonts w:hint="default" w:ascii="Times New Roman" w:hAnsi="Times New Roman" w:eastAsia="黑体"/>
        <w:b/>
        <w:i w:val="0"/>
        <w:color w:val="auto"/>
        <w:sz w:val="28"/>
      </w:rPr>
    </w:lvl>
    <w:lvl w:ilvl="5" w:tentative="0">
      <w:start w:val="1"/>
      <w:numFmt w:val="chineseCountingThousand"/>
      <w:suff w:val="space"/>
      <w:lvlText w:val="（%6）"/>
      <w:lvlJc w:val="left"/>
      <w:pPr>
        <w:ind w:left="8363"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lvlRestart w:val="1"/>
      <w:suff w:val="space"/>
      <w:lvlText w:val="%7、"/>
      <w:lvlJc w:val="left"/>
      <w:pPr>
        <w:ind w:left="426" w:firstLine="0"/>
      </w:pPr>
      <w:rPr>
        <w:rFonts w:hint="eastAsia"/>
        <w:b w:val="0"/>
        <w:bCs w:val="0"/>
        <w:i w:val="0"/>
        <w:iCs w:val="0"/>
        <w:caps w:val="0"/>
        <w:smallCaps w:val="0"/>
        <w:strike w:val="0"/>
        <w:dstrike w:val="0"/>
        <w:vanish w:val="0"/>
        <w:color w:val="000000"/>
        <w:spacing w:val="0"/>
        <w:position w:val="0"/>
        <w:u w:val="none"/>
        <w:vertAlign w:val="baseline"/>
      </w:rPr>
    </w:lvl>
    <w:lvl w:ilvl="7" w:tentative="0">
      <w:start w:val="1"/>
      <w:numFmt w:val="decimal"/>
      <w:lvlRestart w:val="1"/>
      <w:suff w:val="space"/>
      <w:lvlText w:val="表%1-%8"/>
      <w:lvlJc w:val="left"/>
      <w:pPr>
        <w:ind w:left="0" w:firstLine="0"/>
      </w:pPr>
      <w:rPr>
        <w:rFonts w:hint="default" w:ascii="Times New Roman" w:hAnsi="Times New Roman" w:eastAsia="黑体"/>
        <w:b w:val="0"/>
        <w:i w:val="0"/>
        <w:color w:val="auto"/>
        <w:sz w:val="21"/>
      </w:rPr>
    </w:lvl>
    <w:lvl w:ilvl="8" w:tentative="0">
      <w:start w:val="1"/>
      <w:numFmt w:val="decimal"/>
      <w:lvlRestart w:val="1"/>
      <w:suff w:val="space"/>
      <w:lvlText w:val="图%1-%9"/>
      <w:lvlJc w:val="left"/>
      <w:pPr>
        <w:ind w:left="0" w:firstLine="0"/>
      </w:pPr>
      <w:rPr>
        <w:rFonts w:hint="default" w:ascii="Times New Roman" w:hAnsi="Times New Roman" w:eastAsia="黑体"/>
        <w:b w:val="0"/>
        <w:i w:val="0"/>
        <w:color w:val="auto"/>
        <w:sz w:val="21"/>
      </w:rPr>
    </w:lvl>
  </w:abstractNum>
  <w:abstractNum w:abstractNumId="1">
    <w:nsid w:val="24E81125"/>
    <w:multiLevelType w:val="multilevel"/>
    <w:tmpl w:val="24E81125"/>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29752029"/>
    <w:multiLevelType w:val="multilevel"/>
    <w:tmpl w:val="29752029"/>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2C421BFC"/>
    <w:multiLevelType w:val="multilevel"/>
    <w:tmpl w:val="2C421BFC"/>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2C44784E"/>
    <w:multiLevelType w:val="multilevel"/>
    <w:tmpl w:val="2C44784E"/>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5">
    <w:nsid w:val="2EF357CC"/>
    <w:multiLevelType w:val="multilevel"/>
    <w:tmpl w:val="2EF357CC"/>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6">
    <w:nsid w:val="38194E32"/>
    <w:multiLevelType w:val="multilevel"/>
    <w:tmpl w:val="38194E32"/>
    <w:lvl w:ilvl="0" w:tentative="0">
      <w:start w:val="1"/>
      <w:numFmt w:val="decimal"/>
      <w:pStyle w:val="138"/>
      <w:lvlText w:val="%1"/>
      <w:lvlJc w:val="left"/>
      <w:pPr>
        <w:ind w:left="420" w:hanging="420"/>
      </w:pPr>
      <w:rPr>
        <w:rFonts w:hint="eastAsia"/>
        <w:lang w:val="en-US"/>
      </w:rPr>
    </w:lvl>
    <w:lvl w:ilvl="1" w:tentative="0">
      <w:start w:val="1"/>
      <w:numFmt w:val="decimal"/>
      <w:pStyle w:val="139"/>
      <w:isLgl/>
      <w:lvlText w:val="%1.%2"/>
      <w:lvlJc w:val="left"/>
      <w:pPr>
        <w:tabs>
          <w:tab w:val="left" w:pos="851"/>
        </w:tabs>
        <w:ind w:left="0" w:firstLine="0"/>
      </w:pPr>
      <w:rPr>
        <w:rFonts w:hint="eastAsia"/>
      </w:rPr>
    </w:lvl>
    <w:lvl w:ilvl="2" w:tentative="0">
      <w:start w:val="1"/>
      <w:numFmt w:val="decimal"/>
      <w:pStyle w:val="140"/>
      <w:isLgl/>
      <w:lvlText w:val="%1.%2.%3"/>
      <w:lvlJc w:val="left"/>
      <w:pPr>
        <w:tabs>
          <w:tab w:val="left" w:pos="851"/>
        </w:tabs>
        <w:ind w:left="0" w:firstLine="0"/>
      </w:pPr>
      <w:rPr>
        <w:rFonts w:hint="eastAsia"/>
      </w:rPr>
    </w:lvl>
    <w:lvl w:ilvl="3" w:tentative="0">
      <w:start w:val="1"/>
      <w:numFmt w:val="decimal"/>
      <w:isLgl/>
      <w:lvlText w:val="%1.%2.%3.%4"/>
      <w:lvlJc w:val="left"/>
      <w:pPr>
        <w:tabs>
          <w:tab w:val="left" w:pos="851"/>
        </w:tabs>
        <w:ind w:left="0" w:firstLine="0"/>
      </w:pPr>
      <w:rPr>
        <w:rFonts w:hint="eastAsia"/>
      </w:rPr>
    </w:lvl>
    <w:lvl w:ilvl="4" w:tentative="0">
      <w:start w:val="1"/>
      <w:numFmt w:val="decimal"/>
      <w:isLgl/>
      <w:lvlText w:val="%1.%2.%3.%4.%5"/>
      <w:lvlJc w:val="left"/>
      <w:pPr>
        <w:tabs>
          <w:tab w:val="left" w:pos="1077"/>
        </w:tabs>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1D724DA"/>
    <w:multiLevelType w:val="multilevel"/>
    <w:tmpl w:val="41D724DA"/>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8">
    <w:nsid w:val="47B116BA"/>
    <w:multiLevelType w:val="multilevel"/>
    <w:tmpl w:val="47B116BA"/>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9">
    <w:nsid w:val="5E99502B"/>
    <w:multiLevelType w:val="multilevel"/>
    <w:tmpl w:val="5E99502B"/>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0">
    <w:nsid w:val="60101C51"/>
    <w:multiLevelType w:val="multilevel"/>
    <w:tmpl w:val="60101C51"/>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A2F4AB3"/>
    <w:multiLevelType w:val="multilevel"/>
    <w:tmpl w:val="6A2F4AB3"/>
    <w:lvl w:ilvl="0" w:tentative="0">
      <w:start w:val="1"/>
      <w:numFmt w:val="chineseCountingThousand"/>
      <w:pStyle w:val="2"/>
      <w:suff w:val="space"/>
      <w:lvlText w:val="%1、"/>
      <w:lvlJc w:val="left"/>
      <w:pPr>
        <w:ind w:left="0" w:firstLine="0"/>
      </w:pPr>
      <w:rPr>
        <w:rFonts w:hint="eastAsia"/>
        <w:sz w:val="32"/>
        <w:szCs w:val="32"/>
      </w:rPr>
    </w:lvl>
    <w:lvl w:ilvl="1" w:tentative="0">
      <w:start w:val="1"/>
      <w:numFmt w:val="decimal"/>
      <w:pStyle w:val="3"/>
      <w:isLgl/>
      <w:suff w:val="space"/>
      <w:lvlText w:val="%1.%2"/>
      <w:lvlJc w:val="left"/>
      <w:pPr>
        <w:ind w:left="0" w:firstLine="0"/>
      </w:pPr>
      <w:rPr>
        <w:rFonts w:hint="default" w:ascii="Times New Roman" w:hAnsi="Times New Roman" w:cs="Times New Roman"/>
      </w:rPr>
    </w:lvl>
    <w:lvl w:ilvl="2" w:tentative="0">
      <w:start w:val="1"/>
      <w:numFmt w:val="decimal"/>
      <w:pStyle w:val="4"/>
      <w:isLgl/>
      <w:suff w:val="space"/>
      <w:lvlText w:val="%1.%2.%3"/>
      <w:lvlJc w:val="left"/>
      <w:pPr>
        <w:ind w:left="0" w:firstLine="0"/>
      </w:pPr>
      <w:rPr>
        <w:rFonts w:hint="default" w:ascii="Times New Roman" w:hAnsi="Times New Roman" w:eastAsia="宋体" w:cs="Times New Roman"/>
      </w:rPr>
    </w:lvl>
    <w:lvl w:ilvl="3" w:tentative="0">
      <w:start w:val="1"/>
      <w:numFmt w:val="decimal"/>
      <w:pStyle w:val="5"/>
      <w:isLgl/>
      <w:suff w:val="space"/>
      <w:lvlText w:val="%1.%2.%3.%4"/>
      <w:lvlJc w:val="left"/>
      <w:pPr>
        <w:ind w:left="0" w:firstLine="0"/>
      </w:pPr>
      <w:rPr>
        <w:rFonts w:hint="default" w:ascii="Times New Roman" w:hAnsi="Times New Roman" w:cs="Times New Roman"/>
      </w:rPr>
    </w:lvl>
    <w:lvl w:ilvl="4" w:tentative="0">
      <w:start w:val="1"/>
      <w:numFmt w:val="decimal"/>
      <w:pStyle w:val="6"/>
      <w:isLgl/>
      <w:suff w:val="space"/>
      <w:lvlText w:val="%1.%2.%3.%4.%5"/>
      <w:lvlJc w:val="left"/>
      <w:pPr>
        <w:ind w:left="1814" w:hanging="1814"/>
      </w:pPr>
      <w:rPr>
        <w:rFonts w:hint="default" w:ascii="Times New Roman" w:hAnsi="Times New Roman" w:cs="Times New Roman"/>
      </w:rPr>
    </w:lvl>
    <w:lvl w:ilvl="5" w:tentative="0">
      <w:start w:val="1"/>
      <w:numFmt w:val="decimal"/>
      <w:pStyle w:val="7"/>
      <w:isLgl/>
      <w:suff w:val="nothing"/>
      <w:lvlText w:val="%1.%2.%3.%4.%5.%6、"/>
      <w:lvlJc w:val="left"/>
      <w:pPr>
        <w:ind w:left="0" w:firstLine="0"/>
      </w:pPr>
      <w:rPr>
        <w:rFonts w:hint="eastAsia"/>
      </w:rPr>
    </w:lvl>
    <w:lvl w:ilvl="6" w:tentative="0">
      <w:start w:val="1"/>
      <w:numFmt w:val="decimal"/>
      <w:isLgl/>
      <w:lvlText w:val="%1.%2.%3.%4.%5.%6.%7"/>
      <w:lvlJc w:val="left"/>
      <w:pPr>
        <w:tabs>
          <w:tab w:val="left" w:pos="1800"/>
        </w:tabs>
        <w:ind w:left="0" w:firstLine="0"/>
      </w:pPr>
      <w:rPr>
        <w:rFonts w:hint="eastAsia"/>
      </w:rPr>
    </w:lvl>
    <w:lvl w:ilvl="7" w:tentative="0">
      <w:start w:val="1"/>
      <w:numFmt w:val="decimal"/>
      <w:isLgl/>
      <w:lvlText w:val="%1.%2.%3.%4.%5.%6.%7.%8"/>
      <w:lvlJc w:val="left"/>
      <w:pPr>
        <w:tabs>
          <w:tab w:val="left" w:pos="1800"/>
        </w:tabs>
        <w:ind w:left="0" w:firstLine="0"/>
      </w:pPr>
      <w:rPr>
        <w:rFonts w:hint="eastAsia"/>
      </w:rPr>
    </w:lvl>
    <w:lvl w:ilvl="8" w:tentative="0">
      <w:start w:val="1"/>
      <w:numFmt w:val="decimal"/>
      <w:isLgl/>
      <w:lvlText w:val="%1.%2.%3.%4.%5.%6.%7.%8.%9"/>
      <w:lvlJc w:val="left"/>
      <w:pPr>
        <w:tabs>
          <w:tab w:val="left" w:pos="2160"/>
        </w:tabs>
        <w:ind w:left="0" w:firstLine="0"/>
      </w:pPr>
      <w:rPr>
        <w:rFonts w:hint="eastAsia"/>
      </w:rPr>
    </w:lvl>
  </w:abstractNum>
  <w:abstractNum w:abstractNumId="13">
    <w:nsid w:val="751E5B7B"/>
    <w:multiLevelType w:val="multilevel"/>
    <w:tmpl w:val="751E5B7B"/>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4">
    <w:nsid w:val="7B2632A8"/>
    <w:multiLevelType w:val="multilevel"/>
    <w:tmpl w:val="7B2632A8"/>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5">
    <w:nsid w:val="7F356B6E"/>
    <w:multiLevelType w:val="multilevel"/>
    <w:tmpl w:val="7F356B6E"/>
    <w:lvl w:ilvl="0" w:tentative="0">
      <w:start w:val="1"/>
      <w:numFmt w:val="lowerLetter"/>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2"/>
  </w:num>
  <w:num w:numId="2">
    <w:abstractNumId w:val="11"/>
  </w:num>
  <w:num w:numId="3">
    <w:abstractNumId w:val="6"/>
  </w:num>
  <w:num w:numId="4">
    <w:abstractNumId w:val="0"/>
  </w:num>
  <w:num w:numId="5">
    <w:abstractNumId w:val="4"/>
  </w:num>
  <w:num w:numId="6">
    <w:abstractNumId w:val="13"/>
  </w:num>
  <w:num w:numId="7">
    <w:abstractNumId w:val="1"/>
  </w:num>
  <w:num w:numId="8">
    <w:abstractNumId w:val="14"/>
  </w:num>
  <w:num w:numId="9">
    <w:abstractNumId w:val="10"/>
  </w:num>
  <w:num w:numId="10">
    <w:abstractNumId w:val="7"/>
  </w:num>
  <w:num w:numId="11">
    <w:abstractNumId w:val="15"/>
  </w:num>
  <w:num w:numId="12">
    <w:abstractNumId w:val="5"/>
  </w:num>
  <w:num w:numId="13">
    <w:abstractNumId w:val="2"/>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40"/>
  <w:drawingGridVerticalSpacing w:val="381"/>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38A"/>
    <w:rsid w:val="00006563"/>
    <w:rsid w:val="000074F1"/>
    <w:rsid w:val="00007A41"/>
    <w:rsid w:val="00007DA7"/>
    <w:rsid w:val="00012EF0"/>
    <w:rsid w:val="00013673"/>
    <w:rsid w:val="00013A95"/>
    <w:rsid w:val="000156DE"/>
    <w:rsid w:val="00015712"/>
    <w:rsid w:val="00015792"/>
    <w:rsid w:val="000165AD"/>
    <w:rsid w:val="000179E9"/>
    <w:rsid w:val="00020C18"/>
    <w:rsid w:val="00021EE6"/>
    <w:rsid w:val="00022596"/>
    <w:rsid w:val="0002280E"/>
    <w:rsid w:val="00022C74"/>
    <w:rsid w:val="00023F83"/>
    <w:rsid w:val="00025122"/>
    <w:rsid w:val="000252D5"/>
    <w:rsid w:val="00025B87"/>
    <w:rsid w:val="00026997"/>
    <w:rsid w:val="00027A64"/>
    <w:rsid w:val="00027BFB"/>
    <w:rsid w:val="00032D27"/>
    <w:rsid w:val="0003454B"/>
    <w:rsid w:val="00035325"/>
    <w:rsid w:val="00035D5B"/>
    <w:rsid w:val="00036015"/>
    <w:rsid w:val="000378C1"/>
    <w:rsid w:val="000378D0"/>
    <w:rsid w:val="00037F2C"/>
    <w:rsid w:val="000423C1"/>
    <w:rsid w:val="00042C2A"/>
    <w:rsid w:val="000430EC"/>
    <w:rsid w:val="000447CB"/>
    <w:rsid w:val="000472B9"/>
    <w:rsid w:val="00047915"/>
    <w:rsid w:val="00047D06"/>
    <w:rsid w:val="00050087"/>
    <w:rsid w:val="00050FBD"/>
    <w:rsid w:val="0005107A"/>
    <w:rsid w:val="0005192C"/>
    <w:rsid w:val="00051E70"/>
    <w:rsid w:val="00052929"/>
    <w:rsid w:val="0005299F"/>
    <w:rsid w:val="000541D7"/>
    <w:rsid w:val="000545C0"/>
    <w:rsid w:val="0005586D"/>
    <w:rsid w:val="00056C0E"/>
    <w:rsid w:val="000574A8"/>
    <w:rsid w:val="000574F8"/>
    <w:rsid w:val="00057A49"/>
    <w:rsid w:val="00060250"/>
    <w:rsid w:val="0006231F"/>
    <w:rsid w:val="000623ED"/>
    <w:rsid w:val="00062A05"/>
    <w:rsid w:val="00062EE6"/>
    <w:rsid w:val="0006344E"/>
    <w:rsid w:val="000649E6"/>
    <w:rsid w:val="00065808"/>
    <w:rsid w:val="00065AFD"/>
    <w:rsid w:val="00065F34"/>
    <w:rsid w:val="0006794B"/>
    <w:rsid w:val="00067DCA"/>
    <w:rsid w:val="00070063"/>
    <w:rsid w:val="0007087A"/>
    <w:rsid w:val="000710EC"/>
    <w:rsid w:val="00072237"/>
    <w:rsid w:val="00072ABE"/>
    <w:rsid w:val="00073F73"/>
    <w:rsid w:val="0007439D"/>
    <w:rsid w:val="00075918"/>
    <w:rsid w:val="000778EF"/>
    <w:rsid w:val="00080B39"/>
    <w:rsid w:val="00082191"/>
    <w:rsid w:val="000828EC"/>
    <w:rsid w:val="00083950"/>
    <w:rsid w:val="0008452F"/>
    <w:rsid w:val="00084E8E"/>
    <w:rsid w:val="00085A68"/>
    <w:rsid w:val="00090625"/>
    <w:rsid w:val="00090948"/>
    <w:rsid w:val="00091CD1"/>
    <w:rsid w:val="00092EE7"/>
    <w:rsid w:val="0009460E"/>
    <w:rsid w:val="00094AF2"/>
    <w:rsid w:val="000951D4"/>
    <w:rsid w:val="000A2146"/>
    <w:rsid w:val="000A28F0"/>
    <w:rsid w:val="000A2930"/>
    <w:rsid w:val="000A3276"/>
    <w:rsid w:val="000A3C35"/>
    <w:rsid w:val="000A3E30"/>
    <w:rsid w:val="000A551A"/>
    <w:rsid w:val="000A5876"/>
    <w:rsid w:val="000A61D0"/>
    <w:rsid w:val="000A6C67"/>
    <w:rsid w:val="000A6DB8"/>
    <w:rsid w:val="000A7596"/>
    <w:rsid w:val="000A7869"/>
    <w:rsid w:val="000B11A8"/>
    <w:rsid w:val="000B1959"/>
    <w:rsid w:val="000B2E1C"/>
    <w:rsid w:val="000B4459"/>
    <w:rsid w:val="000B4B46"/>
    <w:rsid w:val="000B4F1C"/>
    <w:rsid w:val="000B5363"/>
    <w:rsid w:val="000B53BA"/>
    <w:rsid w:val="000B642F"/>
    <w:rsid w:val="000B6C99"/>
    <w:rsid w:val="000C3F3C"/>
    <w:rsid w:val="000C5A75"/>
    <w:rsid w:val="000C75F7"/>
    <w:rsid w:val="000D0AB2"/>
    <w:rsid w:val="000D225C"/>
    <w:rsid w:val="000D22EB"/>
    <w:rsid w:val="000D36F2"/>
    <w:rsid w:val="000D4B26"/>
    <w:rsid w:val="000D4D1B"/>
    <w:rsid w:val="000D67C7"/>
    <w:rsid w:val="000D74DB"/>
    <w:rsid w:val="000E095D"/>
    <w:rsid w:val="000E24D6"/>
    <w:rsid w:val="000E371B"/>
    <w:rsid w:val="000E46D0"/>
    <w:rsid w:val="000E6072"/>
    <w:rsid w:val="000E61AF"/>
    <w:rsid w:val="000E6D61"/>
    <w:rsid w:val="000E7A23"/>
    <w:rsid w:val="000E7D31"/>
    <w:rsid w:val="000F01EC"/>
    <w:rsid w:val="000F1C29"/>
    <w:rsid w:val="000F1E9E"/>
    <w:rsid w:val="000F2B10"/>
    <w:rsid w:val="000F30B5"/>
    <w:rsid w:val="000F3C18"/>
    <w:rsid w:val="000F3F72"/>
    <w:rsid w:val="000F547F"/>
    <w:rsid w:val="000F6443"/>
    <w:rsid w:val="0010301A"/>
    <w:rsid w:val="001055B2"/>
    <w:rsid w:val="001068F0"/>
    <w:rsid w:val="00106AB8"/>
    <w:rsid w:val="00106C9E"/>
    <w:rsid w:val="00106E16"/>
    <w:rsid w:val="00107457"/>
    <w:rsid w:val="0010768B"/>
    <w:rsid w:val="00111701"/>
    <w:rsid w:val="00111BB5"/>
    <w:rsid w:val="00112A29"/>
    <w:rsid w:val="001167F6"/>
    <w:rsid w:val="00116C86"/>
    <w:rsid w:val="00121ACF"/>
    <w:rsid w:val="00121D8F"/>
    <w:rsid w:val="00122037"/>
    <w:rsid w:val="0012210C"/>
    <w:rsid w:val="00122A7F"/>
    <w:rsid w:val="00123F98"/>
    <w:rsid w:val="001242A5"/>
    <w:rsid w:val="00124531"/>
    <w:rsid w:val="00126EDF"/>
    <w:rsid w:val="00127BBE"/>
    <w:rsid w:val="00130D97"/>
    <w:rsid w:val="00131D52"/>
    <w:rsid w:val="001329C1"/>
    <w:rsid w:val="00132C16"/>
    <w:rsid w:val="001346C8"/>
    <w:rsid w:val="0013572A"/>
    <w:rsid w:val="00136320"/>
    <w:rsid w:val="001369E3"/>
    <w:rsid w:val="00136FFA"/>
    <w:rsid w:val="00137AC6"/>
    <w:rsid w:val="00142AB5"/>
    <w:rsid w:val="00145512"/>
    <w:rsid w:val="001465BD"/>
    <w:rsid w:val="00147B45"/>
    <w:rsid w:val="00150803"/>
    <w:rsid w:val="00151D83"/>
    <w:rsid w:val="00152A9C"/>
    <w:rsid w:val="001546C9"/>
    <w:rsid w:val="00154FAE"/>
    <w:rsid w:val="00155E77"/>
    <w:rsid w:val="00156A70"/>
    <w:rsid w:val="00160434"/>
    <w:rsid w:val="00160A61"/>
    <w:rsid w:val="00160FC0"/>
    <w:rsid w:val="00161591"/>
    <w:rsid w:val="001641D7"/>
    <w:rsid w:val="0016429B"/>
    <w:rsid w:val="00164525"/>
    <w:rsid w:val="00164C50"/>
    <w:rsid w:val="00165CB2"/>
    <w:rsid w:val="00166767"/>
    <w:rsid w:val="001707CB"/>
    <w:rsid w:val="0017089B"/>
    <w:rsid w:val="00171477"/>
    <w:rsid w:val="001727AD"/>
    <w:rsid w:val="00172A1A"/>
    <w:rsid w:val="00172C28"/>
    <w:rsid w:val="00173251"/>
    <w:rsid w:val="001758E0"/>
    <w:rsid w:val="00176BED"/>
    <w:rsid w:val="0017759D"/>
    <w:rsid w:val="001804A5"/>
    <w:rsid w:val="00181C94"/>
    <w:rsid w:val="00182C84"/>
    <w:rsid w:val="00186B23"/>
    <w:rsid w:val="00187031"/>
    <w:rsid w:val="00190E29"/>
    <w:rsid w:val="00191EA4"/>
    <w:rsid w:val="00192B6C"/>
    <w:rsid w:val="00192C30"/>
    <w:rsid w:val="0019381E"/>
    <w:rsid w:val="00194CF5"/>
    <w:rsid w:val="0019503C"/>
    <w:rsid w:val="00195271"/>
    <w:rsid w:val="001959FD"/>
    <w:rsid w:val="00195D94"/>
    <w:rsid w:val="001963B6"/>
    <w:rsid w:val="00196F7B"/>
    <w:rsid w:val="001971CB"/>
    <w:rsid w:val="0019795C"/>
    <w:rsid w:val="001A053A"/>
    <w:rsid w:val="001A11C0"/>
    <w:rsid w:val="001A22A2"/>
    <w:rsid w:val="001A2971"/>
    <w:rsid w:val="001A2F95"/>
    <w:rsid w:val="001A3D52"/>
    <w:rsid w:val="001A460A"/>
    <w:rsid w:val="001A4A4C"/>
    <w:rsid w:val="001A5319"/>
    <w:rsid w:val="001A68B6"/>
    <w:rsid w:val="001B0230"/>
    <w:rsid w:val="001B13AB"/>
    <w:rsid w:val="001B282C"/>
    <w:rsid w:val="001B3907"/>
    <w:rsid w:val="001B3B49"/>
    <w:rsid w:val="001B4907"/>
    <w:rsid w:val="001B4DC5"/>
    <w:rsid w:val="001B5505"/>
    <w:rsid w:val="001B7194"/>
    <w:rsid w:val="001C2180"/>
    <w:rsid w:val="001C29CC"/>
    <w:rsid w:val="001C3217"/>
    <w:rsid w:val="001C3B7D"/>
    <w:rsid w:val="001C3B98"/>
    <w:rsid w:val="001C6028"/>
    <w:rsid w:val="001C6365"/>
    <w:rsid w:val="001C7F57"/>
    <w:rsid w:val="001D0E79"/>
    <w:rsid w:val="001D462B"/>
    <w:rsid w:val="001D6049"/>
    <w:rsid w:val="001D7339"/>
    <w:rsid w:val="001E0FAB"/>
    <w:rsid w:val="001E2750"/>
    <w:rsid w:val="001E39A7"/>
    <w:rsid w:val="001E4343"/>
    <w:rsid w:val="001E52BB"/>
    <w:rsid w:val="001E5E5C"/>
    <w:rsid w:val="001E660A"/>
    <w:rsid w:val="001F05D6"/>
    <w:rsid w:val="001F5B0A"/>
    <w:rsid w:val="001F640F"/>
    <w:rsid w:val="001F6794"/>
    <w:rsid w:val="001F6F65"/>
    <w:rsid w:val="001F7395"/>
    <w:rsid w:val="001F73A3"/>
    <w:rsid w:val="002002DF"/>
    <w:rsid w:val="00201CEF"/>
    <w:rsid w:val="00203A6F"/>
    <w:rsid w:val="002051E0"/>
    <w:rsid w:val="00205646"/>
    <w:rsid w:val="002063F7"/>
    <w:rsid w:val="002129E5"/>
    <w:rsid w:val="00212AA4"/>
    <w:rsid w:val="00212E13"/>
    <w:rsid w:val="002163C8"/>
    <w:rsid w:val="002179FE"/>
    <w:rsid w:val="0022023F"/>
    <w:rsid w:val="00220CC0"/>
    <w:rsid w:val="00221A36"/>
    <w:rsid w:val="0022328A"/>
    <w:rsid w:val="00223296"/>
    <w:rsid w:val="0022329B"/>
    <w:rsid w:val="002240F7"/>
    <w:rsid w:val="0022486F"/>
    <w:rsid w:val="00225314"/>
    <w:rsid w:val="00225DF4"/>
    <w:rsid w:val="0022609C"/>
    <w:rsid w:val="00226C70"/>
    <w:rsid w:val="00230C8A"/>
    <w:rsid w:val="00231F98"/>
    <w:rsid w:val="002324F8"/>
    <w:rsid w:val="002348B0"/>
    <w:rsid w:val="00235B91"/>
    <w:rsid w:val="00235CDC"/>
    <w:rsid w:val="00237E76"/>
    <w:rsid w:val="00240BBE"/>
    <w:rsid w:val="00240EE0"/>
    <w:rsid w:val="00241525"/>
    <w:rsid w:val="00241D87"/>
    <w:rsid w:val="00242A64"/>
    <w:rsid w:val="00242B7D"/>
    <w:rsid w:val="0024350E"/>
    <w:rsid w:val="00243C55"/>
    <w:rsid w:val="00243D5E"/>
    <w:rsid w:val="002451EC"/>
    <w:rsid w:val="00245ED4"/>
    <w:rsid w:val="00246B41"/>
    <w:rsid w:val="0025002B"/>
    <w:rsid w:val="002500DE"/>
    <w:rsid w:val="00252457"/>
    <w:rsid w:val="00252581"/>
    <w:rsid w:val="002526EB"/>
    <w:rsid w:val="002529A3"/>
    <w:rsid w:val="002535B5"/>
    <w:rsid w:val="002538CB"/>
    <w:rsid w:val="002542BD"/>
    <w:rsid w:val="0025774E"/>
    <w:rsid w:val="00257D64"/>
    <w:rsid w:val="00260752"/>
    <w:rsid w:val="00261CB5"/>
    <w:rsid w:val="0026340A"/>
    <w:rsid w:val="00263476"/>
    <w:rsid w:val="002654EA"/>
    <w:rsid w:val="002704EA"/>
    <w:rsid w:val="0027061A"/>
    <w:rsid w:val="002719CC"/>
    <w:rsid w:val="00271DD8"/>
    <w:rsid w:val="00272235"/>
    <w:rsid w:val="002727D8"/>
    <w:rsid w:val="002730C5"/>
    <w:rsid w:val="0027337C"/>
    <w:rsid w:val="00273D0C"/>
    <w:rsid w:val="0027602B"/>
    <w:rsid w:val="002777F2"/>
    <w:rsid w:val="00277F07"/>
    <w:rsid w:val="00277F5E"/>
    <w:rsid w:val="00280084"/>
    <w:rsid w:val="00280490"/>
    <w:rsid w:val="00285669"/>
    <w:rsid w:val="00285971"/>
    <w:rsid w:val="002860B8"/>
    <w:rsid w:val="0029206E"/>
    <w:rsid w:val="00293382"/>
    <w:rsid w:val="00294236"/>
    <w:rsid w:val="00294F51"/>
    <w:rsid w:val="002A0081"/>
    <w:rsid w:val="002A124E"/>
    <w:rsid w:val="002A1CB1"/>
    <w:rsid w:val="002A2342"/>
    <w:rsid w:val="002A279E"/>
    <w:rsid w:val="002A4FA3"/>
    <w:rsid w:val="002A5100"/>
    <w:rsid w:val="002A59BC"/>
    <w:rsid w:val="002A7FD4"/>
    <w:rsid w:val="002B25D8"/>
    <w:rsid w:val="002B3606"/>
    <w:rsid w:val="002B3A25"/>
    <w:rsid w:val="002B3D80"/>
    <w:rsid w:val="002B4402"/>
    <w:rsid w:val="002B4946"/>
    <w:rsid w:val="002B4C41"/>
    <w:rsid w:val="002B588D"/>
    <w:rsid w:val="002B60BF"/>
    <w:rsid w:val="002C0195"/>
    <w:rsid w:val="002C170A"/>
    <w:rsid w:val="002C1839"/>
    <w:rsid w:val="002C214A"/>
    <w:rsid w:val="002C28E8"/>
    <w:rsid w:val="002C3027"/>
    <w:rsid w:val="002C5C76"/>
    <w:rsid w:val="002C674D"/>
    <w:rsid w:val="002C7648"/>
    <w:rsid w:val="002C7DC4"/>
    <w:rsid w:val="002D0821"/>
    <w:rsid w:val="002D0B54"/>
    <w:rsid w:val="002D1316"/>
    <w:rsid w:val="002D1929"/>
    <w:rsid w:val="002D1B73"/>
    <w:rsid w:val="002D392E"/>
    <w:rsid w:val="002D3CB0"/>
    <w:rsid w:val="002D4800"/>
    <w:rsid w:val="002D5B21"/>
    <w:rsid w:val="002D6F6D"/>
    <w:rsid w:val="002E1FE6"/>
    <w:rsid w:val="002E2EA7"/>
    <w:rsid w:val="002E36D2"/>
    <w:rsid w:val="002E748B"/>
    <w:rsid w:val="002F06D8"/>
    <w:rsid w:val="002F2002"/>
    <w:rsid w:val="002F335D"/>
    <w:rsid w:val="002F4E32"/>
    <w:rsid w:val="002F503F"/>
    <w:rsid w:val="002F51DD"/>
    <w:rsid w:val="002F5D08"/>
    <w:rsid w:val="002F6895"/>
    <w:rsid w:val="002F6D13"/>
    <w:rsid w:val="00300D10"/>
    <w:rsid w:val="00301E3D"/>
    <w:rsid w:val="003038D3"/>
    <w:rsid w:val="003049C7"/>
    <w:rsid w:val="00305F0E"/>
    <w:rsid w:val="0030667A"/>
    <w:rsid w:val="003106DE"/>
    <w:rsid w:val="00311530"/>
    <w:rsid w:val="00312D31"/>
    <w:rsid w:val="00314835"/>
    <w:rsid w:val="00315216"/>
    <w:rsid w:val="0031691C"/>
    <w:rsid w:val="00316DC5"/>
    <w:rsid w:val="00317AEF"/>
    <w:rsid w:val="00317F49"/>
    <w:rsid w:val="0032089B"/>
    <w:rsid w:val="00323450"/>
    <w:rsid w:val="00323D93"/>
    <w:rsid w:val="0032489B"/>
    <w:rsid w:val="00324FC9"/>
    <w:rsid w:val="0032525B"/>
    <w:rsid w:val="0032551D"/>
    <w:rsid w:val="00326A7A"/>
    <w:rsid w:val="00326FEE"/>
    <w:rsid w:val="003306A4"/>
    <w:rsid w:val="003315D7"/>
    <w:rsid w:val="0033235A"/>
    <w:rsid w:val="0033289D"/>
    <w:rsid w:val="00334DE6"/>
    <w:rsid w:val="0033536D"/>
    <w:rsid w:val="003353FF"/>
    <w:rsid w:val="003366D2"/>
    <w:rsid w:val="003371E4"/>
    <w:rsid w:val="00337C79"/>
    <w:rsid w:val="00337FEF"/>
    <w:rsid w:val="0034084C"/>
    <w:rsid w:val="00340D5E"/>
    <w:rsid w:val="003420B5"/>
    <w:rsid w:val="00343646"/>
    <w:rsid w:val="00344CCB"/>
    <w:rsid w:val="00345897"/>
    <w:rsid w:val="0034753C"/>
    <w:rsid w:val="00350E9D"/>
    <w:rsid w:val="00351A42"/>
    <w:rsid w:val="00351BFC"/>
    <w:rsid w:val="0035575E"/>
    <w:rsid w:val="003565B4"/>
    <w:rsid w:val="0035685A"/>
    <w:rsid w:val="00362E75"/>
    <w:rsid w:val="003631AA"/>
    <w:rsid w:val="003632D5"/>
    <w:rsid w:val="00363575"/>
    <w:rsid w:val="00364EF9"/>
    <w:rsid w:val="00367579"/>
    <w:rsid w:val="0036795B"/>
    <w:rsid w:val="00370A29"/>
    <w:rsid w:val="00370F81"/>
    <w:rsid w:val="003722F9"/>
    <w:rsid w:val="00372349"/>
    <w:rsid w:val="00372CBC"/>
    <w:rsid w:val="00373A61"/>
    <w:rsid w:val="00374BDE"/>
    <w:rsid w:val="003758E9"/>
    <w:rsid w:val="00376B39"/>
    <w:rsid w:val="003772C0"/>
    <w:rsid w:val="00377BAC"/>
    <w:rsid w:val="00380142"/>
    <w:rsid w:val="00380558"/>
    <w:rsid w:val="00381464"/>
    <w:rsid w:val="003819BD"/>
    <w:rsid w:val="00381D3C"/>
    <w:rsid w:val="0038223E"/>
    <w:rsid w:val="00382D92"/>
    <w:rsid w:val="00385AEF"/>
    <w:rsid w:val="003860EA"/>
    <w:rsid w:val="0038711C"/>
    <w:rsid w:val="0038781A"/>
    <w:rsid w:val="0039080B"/>
    <w:rsid w:val="00392314"/>
    <w:rsid w:val="00392ADC"/>
    <w:rsid w:val="0039326E"/>
    <w:rsid w:val="00393F6F"/>
    <w:rsid w:val="00394C2F"/>
    <w:rsid w:val="00394E22"/>
    <w:rsid w:val="003967A4"/>
    <w:rsid w:val="00396A0C"/>
    <w:rsid w:val="00397FA3"/>
    <w:rsid w:val="003A133A"/>
    <w:rsid w:val="003A1596"/>
    <w:rsid w:val="003A317E"/>
    <w:rsid w:val="003A345B"/>
    <w:rsid w:val="003A49EE"/>
    <w:rsid w:val="003A674D"/>
    <w:rsid w:val="003A7123"/>
    <w:rsid w:val="003B102E"/>
    <w:rsid w:val="003B2167"/>
    <w:rsid w:val="003B5F5D"/>
    <w:rsid w:val="003B62C8"/>
    <w:rsid w:val="003C0C62"/>
    <w:rsid w:val="003C12DC"/>
    <w:rsid w:val="003C2CDA"/>
    <w:rsid w:val="003C4136"/>
    <w:rsid w:val="003C51AF"/>
    <w:rsid w:val="003D000A"/>
    <w:rsid w:val="003D1E9D"/>
    <w:rsid w:val="003D1FE8"/>
    <w:rsid w:val="003D31E9"/>
    <w:rsid w:val="003D3574"/>
    <w:rsid w:val="003D4EDA"/>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3FDD"/>
    <w:rsid w:val="003F400E"/>
    <w:rsid w:val="003F475C"/>
    <w:rsid w:val="003F4DDD"/>
    <w:rsid w:val="003F4FDF"/>
    <w:rsid w:val="003F6F35"/>
    <w:rsid w:val="003F7768"/>
    <w:rsid w:val="00400E8C"/>
    <w:rsid w:val="004017DC"/>
    <w:rsid w:val="00401B53"/>
    <w:rsid w:val="00402668"/>
    <w:rsid w:val="004038F6"/>
    <w:rsid w:val="00404FEC"/>
    <w:rsid w:val="0040534D"/>
    <w:rsid w:val="00405FAD"/>
    <w:rsid w:val="004117AB"/>
    <w:rsid w:val="00412B2F"/>
    <w:rsid w:val="00415281"/>
    <w:rsid w:val="00415716"/>
    <w:rsid w:val="00415970"/>
    <w:rsid w:val="0041604D"/>
    <w:rsid w:val="004166B2"/>
    <w:rsid w:val="00417842"/>
    <w:rsid w:val="00417A61"/>
    <w:rsid w:val="00417A6E"/>
    <w:rsid w:val="004208B5"/>
    <w:rsid w:val="00422569"/>
    <w:rsid w:val="0042285D"/>
    <w:rsid w:val="0042346A"/>
    <w:rsid w:val="00427D2B"/>
    <w:rsid w:val="00430997"/>
    <w:rsid w:val="00430B13"/>
    <w:rsid w:val="00430CE5"/>
    <w:rsid w:val="0043153C"/>
    <w:rsid w:val="00431D0F"/>
    <w:rsid w:val="00432F99"/>
    <w:rsid w:val="004340DD"/>
    <w:rsid w:val="0043481C"/>
    <w:rsid w:val="004423CF"/>
    <w:rsid w:val="0044261C"/>
    <w:rsid w:val="00444307"/>
    <w:rsid w:val="0044436F"/>
    <w:rsid w:val="004443EB"/>
    <w:rsid w:val="00444432"/>
    <w:rsid w:val="00444673"/>
    <w:rsid w:val="0044621E"/>
    <w:rsid w:val="00447BF1"/>
    <w:rsid w:val="00450004"/>
    <w:rsid w:val="004505D0"/>
    <w:rsid w:val="00450BA4"/>
    <w:rsid w:val="004511FC"/>
    <w:rsid w:val="004525D4"/>
    <w:rsid w:val="00454384"/>
    <w:rsid w:val="00456784"/>
    <w:rsid w:val="00456DCA"/>
    <w:rsid w:val="00457B07"/>
    <w:rsid w:val="004603D5"/>
    <w:rsid w:val="00461140"/>
    <w:rsid w:val="004611DB"/>
    <w:rsid w:val="004658B0"/>
    <w:rsid w:val="0046614B"/>
    <w:rsid w:val="00466CC5"/>
    <w:rsid w:val="0046705E"/>
    <w:rsid w:val="00467FD7"/>
    <w:rsid w:val="00470073"/>
    <w:rsid w:val="004730F8"/>
    <w:rsid w:val="00473C3C"/>
    <w:rsid w:val="00474353"/>
    <w:rsid w:val="00474555"/>
    <w:rsid w:val="00474EA4"/>
    <w:rsid w:val="004750F4"/>
    <w:rsid w:val="004764C0"/>
    <w:rsid w:val="00476C1D"/>
    <w:rsid w:val="00476CB1"/>
    <w:rsid w:val="00480A48"/>
    <w:rsid w:val="00482501"/>
    <w:rsid w:val="00482786"/>
    <w:rsid w:val="00482E7D"/>
    <w:rsid w:val="00482EAB"/>
    <w:rsid w:val="00483B9A"/>
    <w:rsid w:val="00484395"/>
    <w:rsid w:val="004855A6"/>
    <w:rsid w:val="004860FB"/>
    <w:rsid w:val="004865FB"/>
    <w:rsid w:val="00486C03"/>
    <w:rsid w:val="00491AB3"/>
    <w:rsid w:val="00497A33"/>
    <w:rsid w:val="004A1112"/>
    <w:rsid w:val="004A1DA0"/>
    <w:rsid w:val="004A1F20"/>
    <w:rsid w:val="004A2393"/>
    <w:rsid w:val="004A3569"/>
    <w:rsid w:val="004A452A"/>
    <w:rsid w:val="004A4D10"/>
    <w:rsid w:val="004A5DDA"/>
    <w:rsid w:val="004A5F2C"/>
    <w:rsid w:val="004A6E4F"/>
    <w:rsid w:val="004A720D"/>
    <w:rsid w:val="004A7251"/>
    <w:rsid w:val="004B00D0"/>
    <w:rsid w:val="004B3568"/>
    <w:rsid w:val="004B4FE5"/>
    <w:rsid w:val="004B6084"/>
    <w:rsid w:val="004B7AE0"/>
    <w:rsid w:val="004C0BC4"/>
    <w:rsid w:val="004C260D"/>
    <w:rsid w:val="004C2D47"/>
    <w:rsid w:val="004C3191"/>
    <w:rsid w:val="004C350E"/>
    <w:rsid w:val="004C3799"/>
    <w:rsid w:val="004C38F4"/>
    <w:rsid w:val="004C3BF4"/>
    <w:rsid w:val="004C4357"/>
    <w:rsid w:val="004C4477"/>
    <w:rsid w:val="004C5730"/>
    <w:rsid w:val="004C6397"/>
    <w:rsid w:val="004C668F"/>
    <w:rsid w:val="004C682B"/>
    <w:rsid w:val="004D142C"/>
    <w:rsid w:val="004D29F7"/>
    <w:rsid w:val="004D347F"/>
    <w:rsid w:val="004D36D8"/>
    <w:rsid w:val="004D3968"/>
    <w:rsid w:val="004D4C5C"/>
    <w:rsid w:val="004D5AB0"/>
    <w:rsid w:val="004D5EAE"/>
    <w:rsid w:val="004D770B"/>
    <w:rsid w:val="004D7A0E"/>
    <w:rsid w:val="004E06E7"/>
    <w:rsid w:val="004E0A64"/>
    <w:rsid w:val="004E0AE3"/>
    <w:rsid w:val="004E0E99"/>
    <w:rsid w:val="004E20D3"/>
    <w:rsid w:val="004E2C82"/>
    <w:rsid w:val="004E2DB0"/>
    <w:rsid w:val="004E4FAE"/>
    <w:rsid w:val="004E62C7"/>
    <w:rsid w:val="004E68FF"/>
    <w:rsid w:val="004E7A1B"/>
    <w:rsid w:val="004F0B7F"/>
    <w:rsid w:val="004F1193"/>
    <w:rsid w:val="004F11DC"/>
    <w:rsid w:val="004F1308"/>
    <w:rsid w:val="004F2124"/>
    <w:rsid w:val="004F271B"/>
    <w:rsid w:val="004F38CE"/>
    <w:rsid w:val="004F3A52"/>
    <w:rsid w:val="004F449F"/>
    <w:rsid w:val="004F4E7E"/>
    <w:rsid w:val="004F5FF9"/>
    <w:rsid w:val="004F63AB"/>
    <w:rsid w:val="004F6B76"/>
    <w:rsid w:val="004F6C7C"/>
    <w:rsid w:val="004F7F1A"/>
    <w:rsid w:val="004F7FBB"/>
    <w:rsid w:val="005042B3"/>
    <w:rsid w:val="005045AB"/>
    <w:rsid w:val="00507D43"/>
    <w:rsid w:val="005103F2"/>
    <w:rsid w:val="00510E2C"/>
    <w:rsid w:val="00511FDC"/>
    <w:rsid w:val="005124C6"/>
    <w:rsid w:val="00513EBC"/>
    <w:rsid w:val="00514AD2"/>
    <w:rsid w:val="00514CE1"/>
    <w:rsid w:val="00517155"/>
    <w:rsid w:val="00517DB3"/>
    <w:rsid w:val="005200DC"/>
    <w:rsid w:val="005200F2"/>
    <w:rsid w:val="0052369D"/>
    <w:rsid w:val="005252DC"/>
    <w:rsid w:val="005271DB"/>
    <w:rsid w:val="00530D2F"/>
    <w:rsid w:val="00532D23"/>
    <w:rsid w:val="0053487C"/>
    <w:rsid w:val="005356E1"/>
    <w:rsid w:val="00536A8B"/>
    <w:rsid w:val="00540418"/>
    <w:rsid w:val="00541A96"/>
    <w:rsid w:val="00541C6A"/>
    <w:rsid w:val="00542A24"/>
    <w:rsid w:val="00542C54"/>
    <w:rsid w:val="005448FA"/>
    <w:rsid w:val="00546A43"/>
    <w:rsid w:val="00546C70"/>
    <w:rsid w:val="00547258"/>
    <w:rsid w:val="00550CF0"/>
    <w:rsid w:val="005559FE"/>
    <w:rsid w:val="005560D6"/>
    <w:rsid w:val="00556D07"/>
    <w:rsid w:val="00557174"/>
    <w:rsid w:val="005611F2"/>
    <w:rsid w:val="00561734"/>
    <w:rsid w:val="00561952"/>
    <w:rsid w:val="00561E15"/>
    <w:rsid w:val="00562973"/>
    <w:rsid w:val="00564B9A"/>
    <w:rsid w:val="00565694"/>
    <w:rsid w:val="00566CB9"/>
    <w:rsid w:val="00566DD6"/>
    <w:rsid w:val="005714EF"/>
    <w:rsid w:val="00571CEC"/>
    <w:rsid w:val="00572FCE"/>
    <w:rsid w:val="005750DB"/>
    <w:rsid w:val="005759FC"/>
    <w:rsid w:val="00575B85"/>
    <w:rsid w:val="00576DB9"/>
    <w:rsid w:val="0057738F"/>
    <w:rsid w:val="005805E4"/>
    <w:rsid w:val="0058202F"/>
    <w:rsid w:val="00583DEE"/>
    <w:rsid w:val="00584221"/>
    <w:rsid w:val="00584EB6"/>
    <w:rsid w:val="0058624B"/>
    <w:rsid w:val="00586B68"/>
    <w:rsid w:val="0058774E"/>
    <w:rsid w:val="005878CF"/>
    <w:rsid w:val="005908B5"/>
    <w:rsid w:val="00590CA0"/>
    <w:rsid w:val="00595B01"/>
    <w:rsid w:val="005965E3"/>
    <w:rsid w:val="00596D98"/>
    <w:rsid w:val="005970D8"/>
    <w:rsid w:val="005979A5"/>
    <w:rsid w:val="005A0021"/>
    <w:rsid w:val="005A017B"/>
    <w:rsid w:val="005A0AEC"/>
    <w:rsid w:val="005A154C"/>
    <w:rsid w:val="005A2AEC"/>
    <w:rsid w:val="005A412D"/>
    <w:rsid w:val="005A4897"/>
    <w:rsid w:val="005A4BEC"/>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2B9"/>
    <w:rsid w:val="005C774A"/>
    <w:rsid w:val="005D1256"/>
    <w:rsid w:val="005D2251"/>
    <w:rsid w:val="005D2F98"/>
    <w:rsid w:val="005D3734"/>
    <w:rsid w:val="005D4F16"/>
    <w:rsid w:val="005D5A53"/>
    <w:rsid w:val="005D5DA0"/>
    <w:rsid w:val="005D7FBD"/>
    <w:rsid w:val="005E19B4"/>
    <w:rsid w:val="005E1D6B"/>
    <w:rsid w:val="005E227A"/>
    <w:rsid w:val="005E2B05"/>
    <w:rsid w:val="005E2CF8"/>
    <w:rsid w:val="005E3126"/>
    <w:rsid w:val="005E40EA"/>
    <w:rsid w:val="005E578E"/>
    <w:rsid w:val="005E6992"/>
    <w:rsid w:val="005E7075"/>
    <w:rsid w:val="005E75A7"/>
    <w:rsid w:val="005F38E2"/>
    <w:rsid w:val="005F3EE6"/>
    <w:rsid w:val="005F6736"/>
    <w:rsid w:val="00600001"/>
    <w:rsid w:val="00602C10"/>
    <w:rsid w:val="00602EBD"/>
    <w:rsid w:val="006038FF"/>
    <w:rsid w:val="00603BA6"/>
    <w:rsid w:val="006041BB"/>
    <w:rsid w:val="00604CF2"/>
    <w:rsid w:val="00606DFF"/>
    <w:rsid w:val="00606FB7"/>
    <w:rsid w:val="00610533"/>
    <w:rsid w:val="006110F6"/>
    <w:rsid w:val="00611FA1"/>
    <w:rsid w:val="00612522"/>
    <w:rsid w:val="00612DA6"/>
    <w:rsid w:val="0061311B"/>
    <w:rsid w:val="0061365B"/>
    <w:rsid w:val="006138B6"/>
    <w:rsid w:val="00614BC6"/>
    <w:rsid w:val="00614E33"/>
    <w:rsid w:val="006158B8"/>
    <w:rsid w:val="0061706D"/>
    <w:rsid w:val="006173DA"/>
    <w:rsid w:val="0061740A"/>
    <w:rsid w:val="00617A81"/>
    <w:rsid w:val="00617EF9"/>
    <w:rsid w:val="00620295"/>
    <w:rsid w:val="00622744"/>
    <w:rsid w:val="00622F8E"/>
    <w:rsid w:val="00623C15"/>
    <w:rsid w:val="00626AC8"/>
    <w:rsid w:val="00627912"/>
    <w:rsid w:val="006313B9"/>
    <w:rsid w:val="0063195F"/>
    <w:rsid w:val="0063521F"/>
    <w:rsid w:val="00636C0A"/>
    <w:rsid w:val="00637EC6"/>
    <w:rsid w:val="0064240C"/>
    <w:rsid w:val="00642EB2"/>
    <w:rsid w:val="00642FF5"/>
    <w:rsid w:val="006430FB"/>
    <w:rsid w:val="00643992"/>
    <w:rsid w:val="00644DBC"/>
    <w:rsid w:val="00646FE6"/>
    <w:rsid w:val="006474CD"/>
    <w:rsid w:val="00647744"/>
    <w:rsid w:val="006479A0"/>
    <w:rsid w:val="006500D9"/>
    <w:rsid w:val="006532F5"/>
    <w:rsid w:val="00653B54"/>
    <w:rsid w:val="006541A3"/>
    <w:rsid w:val="00654FAD"/>
    <w:rsid w:val="00655C9F"/>
    <w:rsid w:val="006567FF"/>
    <w:rsid w:val="00656867"/>
    <w:rsid w:val="006574C6"/>
    <w:rsid w:val="0066109F"/>
    <w:rsid w:val="00664B26"/>
    <w:rsid w:val="0066596B"/>
    <w:rsid w:val="00670295"/>
    <w:rsid w:val="006704F5"/>
    <w:rsid w:val="00672894"/>
    <w:rsid w:val="00674B47"/>
    <w:rsid w:val="00676074"/>
    <w:rsid w:val="0067609E"/>
    <w:rsid w:val="00676894"/>
    <w:rsid w:val="0067739E"/>
    <w:rsid w:val="00677530"/>
    <w:rsid w:val="00677749"/>
    <w:rsid w:val="00680E07"/>
    <w:rsid w:val="00682B9D"/>
    <w:rsid w:val="00683806"/>
    <w:rsid w:val="00686AF9"/>
    <w:rsid w:val="006901EF"/>
    <w:rsid w:val="0069109A"/>
    <w:rsid w:val="006910C0"/>
    <w:rsid w:val="00691954"/>
    <w:rsid w:val="0069320E"/>
    <w:rsid w:val="00693567"/>
    <w:rsid w:val="00693636"/>
    <w:rsid w:val="00693D13"/>
    <w:rsid w:val="0069466B"/>
    <w:rsid w:val="00694F58"/>
    <w:rsid w:val="006955BC"/>
    <w:rsid w:val="006959E2"/>
    <w:rsid w:val="00696920"/>
    <w:rsid w:val="00697EB9"/>
    <w:rsid w:val="006A20D4"/>
    <w:rsid w:val="006A268D"/>
    <w:rsid w:val="006A350F"/>
    <w:rsid w:val="006A3957"/>
    <w:rsid w:val="006A39A4"/>
    <w:rsid w:val="006A41D6"/>
    <w:rsid w:val="006A669D"/>
    <w:rsid w:val="006A6E41"/>
    <w:rsid w:val="006A767E"/>
    <w:rsid w:val="006B012F"/>
    <w:rsid w:val="006B27CF"/>
    <w:rsid w:val="006B41BD"/>
    <w:rsid w:val="006B5678"/>
    <w:rsid w:val="006B5F74"/>
    <w:rsid w:val="006B62B2"/>
    <w:rsid w:val="006B6492"/>
    <w:rsid w:val="006C1C57"/>
    <w:rsid w:val="006C5760"/>
    <w:rsid w:val="006C6D6F"/>
    <w:rsid w:val="006D0D78"/>
    <w:rsid w:val="006D10BA"/>
    <w:rsid w:val="006D1128"/>
    <w:rsid w:val="006D2848"/>
    <w:rsid w:val="006D30E0"/>
    <w:rsid w:val="006D5521"/>
    <w:rsid w:val="006D5FE9"/>
    <w:rsid w:val="006D6CBB"/>
    <w:rsid w:val="006D76A9"/>
    <w:rsid w:val="006D77F4"/>
    <w:rsid w:val="006D7A1C"/>
    <w:rsid w:val="006E0898"/>
    <w:rsid w:val="006E41CD"/>
    <w:rsid w:val="006E747B"/>
    <w:rsid w:val="006E7C20"/>
    <w:rsid w:val="006F0962"/>
    <w:rsid w:val="006F2376"/>
    <w:rsid w:val="006F3BEC"/>
    <w:rsid w:val="006F6E4D"/>
    <w:rsid w:val="00702EFF"/>
    <w:rsid w:val="00703C00"/>
    <w:rsid w:val="007057CC"/>
    <w:rsid w:val="00705DEA"/>
    <w:rsid w:val="007066F2"/>
    <w:rsid w:val="00706AE5"/>
    <w:rsid w:val="0070740A"/>
    <w:rsid w:val="007113D7"/>
    <w:rsid w:val="00711F93"/>
    <w:rsid w:val="00712940"/>
    <w:rsid w:val="0071385F"/>
    <w:rsid w:val="0071428C"/>
    <w:rsid w:val="00715A16"/>
    <w:rsid w:val="007164B0"/>
    <w:rsid w:val="007166FF"/>
    <w:rsid w:val="00717BD0"/>
    <w:rsid w:val="0072351C"/>
    <w:rsid w:val="007260CC"/>
    <w:rsid w:val="00726543"/>
    <w:rsid w:val="007266D4"/>
    <w:rsid w:val="0073353E"/>
    <w:rsid w:val="00736633"/>
    <w:rsid w:val="00740172"/>
    <w:rsid w:val="00741EE7"/>
    <w:rsid w:val="00742BD2"/>
    <w:rsid w:val="00743A79"/>
    <w:rsid w:val="007444D4"/>
    <w:rsid w:val="0074594D"/>
    <w:rsid w:val="007459F3"/>
    <w:rsid w:val="00746E35"/>
    <w:rsid w:val="007470E2"/>
    <w:rsid w:val="00747F35"/>
    <w:rsid w:val="00751A94"/>
    <w:rsid w:val="0075232F"/>
    <w:rsid w:val="00753132"/>
    <w:rsid w:val="0075485C"/>
    <w:rsid w:val="00754E45"/>
    <w:rsid w:val="007550B3"/>
    <w:rsid w:val="007556C8"/>
    <w:rsid w:val="00760451"/>
    <w:rsid w:val="007610BC"/>
    <w:rsid w:val="00764F68"/>
    <w:rsid w:val="0077182A"/>
    <w:rsid w:val="00771913"/>
    <w:rsid w:val="00772718"/>
    <w:rsid w:val="00773689"/>
    <w:rsid w:val="00774E5F"/>
    <w:rsid w:val="00775BCF"/>
    <w:rsid w:val="00780E2D"/>
    <w:rsid w:val="007818AA"/>
    <w:rsid w:val="00782094"/>
    <w:rsid w:val="007827D3"/>
    <w:rsid w:val="00783140"/>
    <w:rsid w:val="007838B6"/>
    <w:rsid w:val="00783E77"/>
    <w:rsid w:val="007861F0"/>
    <w:rsid w:val="00786BDC"/>
    <w:rsid w:val="007906F1"/>
    <w:rsid w:val="007920BB"/>
    <w:rsid w:val="0079243D"/>
    <w:rsid w:val="00794A9B"/>
    <w:rsid w:val="0079583B"/>
    <w:rsid w:val="00796602"/>
    <w:rsid w:val="00797185"/>
    <w:rsid w:val="007976B7"/>
    <w:rsid w:val="00797A7E"/>
    <w:rsid w:val="00797D6F"/>
    <w:rsid w:val="007A56DA"/>
    <w:rsid w:val="007B014B"/>
    <w:rsid w:val="007B07EB"/>
    <w:rsid w:val="007B0D88"/>
    <w:rsid w:val="007B2F9A"/>
    <w:rsid w:val="007B3037"/>
    <w:rsid w:val="007B306F"/>
    <w:rsid w:val="007B4714"/>
    <w:rsid w:val="007B4E82"/>
    <w:rsid w:val="007B5EBB"/>
    <w:rsid w:val="007C1996"/>
    <w:rsid w:val="007C3773"/>
    <w:rsid w:val="007C3F1F"/>
    <w:rsid w:val="007C65F0"/>
    <w:rsid w:val="007C756A"/>
    <w:rsid w:val="007D0A27"/>
    <w:rsid w:val="007D2D0D"/>
    <w:rsid w:val="007D3325"/>
    <w:rsid w:val="007D3818"/>
    <w:rsid w:val="007D4FDE"/>
    <w:rsid w:val="007D612D"/>
    <w:rsid w:val="007D6DC5"/>
    <w:rsid w:val="007D7425"/>
    <w:rsid w:val="007E1553"/>
    <w:rsid w:val="007E320E"/>
    <w:rsid w:val="007E3280"/>
    <w:rsid w:val="007E4A02"/>
    <w:rsid w:val="007E595C"/>
    <w:rsid w:val="007E59A5"/>
    <w:rsid w:val="007F0846"/>
    <w:rsid w:val="007F3B8C"/>
    <w:rsid w:val="007F41D0"/>
    <w:rsid w:val="007F4B8B"/>
    <w:rsid w:val="007F5957"/>
    <w:rsid w:val="007F70B6"/>
    <w:rsid w:val="007F7256"/>
    <w:rsid w:val="007F74CA"/>
    <w:rsid w:val="00800F1E"/>
    <w:rsid w:val="0080195A"/>
    <w:rsid w:val="0080239C"/>
    <w:rsid w:val="00802841"/>
    <w:rsid w:val="008037D5"/>
    <w:rsid w:val="00805447"/>
    <w:rsid w:val="008054FA"/>
    <w:rsid w:val="0080717A"/>
    <w:rsid w:val="00807DFA"/>
    <w:rsid w:val="0081009F"/>
    <w:rsid w:val="00810152"/>
    <w:rsid w:val="008108D0"/>
    <w:rsid w:val="008115AB"/>
    <w:rsid w:val="0081249E"/>
    <w:rsid w:val="008149EE"/>
    <w:rsid w:val="008159F4"/>
    <w:rsid w:val="008167C1"/>
    <w:rsid w:val="008167C6"/>
    <w:rsid w:val="00816B8F"/>
    <w:rsid w:val="00816D66"/>
    <w:rsid w:val="00820331"/>
    <w:rsid w:val="00820BF5"/>
    <w:rsid w:val="008212B1"/>
    <w:rsid w:val="0082155A"/>
    <w:rsid w:val="0082209F"/>
    <w:rsid w:val="008223C2"/>
    <w:rsid w:val="00822F60"/>
    <w:rsid w:val="00823126"/>
    <w:rsid w:val="008238DF"/>
    <w:rsid w:val="00824150"/>
    <w:rsid w:val="00824360"/>
    <w:rsid w:val="008250A2"/>
    <w:rsid w:val="00825D64"/>
    <w:rsid w:val="0082650B"/>
    <w:rsid w:val="008301CE"/>
    <w:rsid w:val="008312E3"/>
    <w:rsid w:val="00831D5B"/>
    <w:rsid w:val="00832DD6"/>
    <w:rsid w:val="00832F0C"/>
    <w:rsid w:val="008336F2"/>
    <w:rsid w:val="008345D9"/>
    <w:rsid w:val="008347CB"/>
    <w:rsid w:val="008354AE"/>
    <w:rsid w:val="00835647"/>
    <w:rsid w:val="00835A7F"/>
    <w:rsid w:val="00835BDD"/>
    <w:rsid w:val="008364E4"/>
    <w:rsid w:val="00837A2E"/>
    <w:rsid w:val="00837E1A"/>
    <w:rsid w:val="00841558"/>
    <w:rsid w:val="00842A68"/>
    <w:rsid w:val="00842EC8"/>
    <w:rsid w:val="008435BA"/>
    <w:rsid w:val="0084558B"/>
    <w:rsid w:val="0084654A"/>
    <w:rsid w:val="00847113"/>
    <w:rsid w:val="00847654"/>
    <w:rsid w:val="0085034F"/>
    <w:rsid w:val="00851064"/>
    <w:rsid w:val="00853366"/>
    <w:rsid w:val="00854726"/>
    <w:rsid w:val="00855543"/>
    <w:rsid w:val="008566B3"/>
    <w:rsid w:val="0085704F"/>
    <w:rsid w:val="008576B7"/>
    <w:rsid w:val="00857F7B"/>
    <w:rsid w:val="00860A51"/>
    <w:rsid w:val="00863DA1"/>
    <w:rsid w:val="008654A6"/>
    <w:rsid w:val="00865D86"/>
    <w:rsid w:val="00870495"/>
    <w:rsid w:val="00870B8F"/>
    <w:rsid w:val="00870EA1"/>
    <w:rsid w:val="008710C5"/>
    <w:rsid w:val="008718A0"/>
    <w:rsid w:val="00874438"/>
    <w:rsid w:val="00874E75"/>
    <w:rsid w:val="008767F3"/>
    <w:rsid w:val="00876CEF"/>
    <w:rsid w:val="00877342"/>
    <w:rsid w:val="008803C3"/>
    <w:rsid w:val="00881450"/>
    <w:rsid w:val="008817C7"/>
    <w:rsid w:val="00881875"/>
    <w:rsid w:val="0088252C"/>
    <w:rsid w:val="008848A3"/>
    <w:rsid w:val="00884AF1"/>
    <w:rsid w:val="0088575A"/>
    <w:rsid w:val="00885F7A"/>
    <w:rsid w:val="00890712"/>
    <w:rsid w:val="00890D81"/>
    <w:rsid w:val="00892955"/>
    <w:rsid w:val="00893628"/>
    <w:rsid w:val="008941EB"/>
    <w:rsid w:val="0089545A"/>
    <w:rsid w:val="00895A02"/>
    <w:rsid w:val="00896177"/>
    <w:rsid w:val="008A0012"/>
    <w:rsid w:val="008A01EE"/>
    <w:rsid w:val="008A0DAC"/>
    <w:rsid w:val="008A109A"/>
    <w:rsid w:val="008A3B78"/>
    <w:rsid w:val="008A4166"/>
    <w:rsid w:val="008A7DBF"/>
    <w:rsid w:val="008B136C"/>
    <w:rsid w:val="008B168B"/>
    <w:rsid w:val="008B55EF"/>
    <w:rsid w:val="008B6910"/>
    <w:rsid w:val="008C0B5C"/>
    <w:rsid w:val="008C1343"/>
    <w:rsid w:val="008C3912"/>
    <w:rsid w:val="008C5598"/>
    <w:rsid w:val="008C69EA"/>
    <w:rsid w:val="008C6F8B"/>
    <w:rsid w:val="008C7AB7"/>
    <w:rsid w:val="008C7FB4"/>
    <w:rsid w:val="008D1DED"/>
    <w:rsid w:val="008D2C8C"/>
    <w:rsid w:val="008D3040"/>
    <w:rsid w:val="008D3ECD"/>
    <w:rsid w:val="008D4144"/>
    <w:rsid w:val="008D5C03"/>
    <w:rsid w:val="008D7580"/>
    <w:rsid w:val="008D7C35"/>
    <w:rsid w:val="008E5698"/>
    <w:rsid w:val="008E5733"/>
    <w:rsid w:val="008E77D2"/>
    <w:rsid w:val="008E78FD"/>
    <w:rsid w:val="008F199D"/>
    <w:rsid w:val="008F38A0"/>
    <w:rsid w:val="008F39C9"/>
    <w:rsid w:val="008F4F0F"/>
    <w:rsid w:val="008F5EB5"/>
    <w:rsid w:val="008F678C"/>
    <w:rsid w:val="008F75A7"/>
    <w:rsid w:val="008F7E5A"/>
    <w:rsid w:val="00900937"/>
    <w:rsid w:val="00900A7F"/>
    <w:rsid w:val="00901763"/>
    <w:rsid w:val="00901EA8"/>
    <w:rsid w:val="0090311D"/>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65C"/>
    <w:rsid w:val="0092498E"/>
    <w:rsid w:val="00925B91"/>
    <w:rsid w:val="009329B5"/>
    <w:rsid w:val="00934461"/>
    <w:rsid w:val="00934F7E"/>
    <w:rsid w:val="00936A1C"/>
    <w:rsid w:val="00936A5A"/>
    <w:rsid w:val="00937C96"/>
    <w:rsid w:val="00941BCD"/>
    <w:rsid w:val="00943E35"/>
    <w:rsid w:val="00945278"/>
    <w:rsid w:val="0094658D"/>
    <w:rsid w:val="009470A9"/>
    <w:rsid w:val="00947678"/>
    <w:rsid w:val="00947878"/>
    <w:rsid w:val="009504C2"/>
    <w:rsid w:val="0095254A"/>
    <w:rsid w:val="0095273B"/>
    <w:rsid w:val="009548CA"/>
    <w:rsid w:val="009559E1"/>
    <w:rsid w:val="009568D5"/>
    <w:rsid w:val="009569D7"/>
    <w:rsid w:val="00957CD3"/>
    <w:rsid w:val="0096269B"/>
    <w:rsid w:val="00963FB0"/>
    <w:rsid w:val="00964C86"/>
    <w:rsid w:val="00965E82"/>
    <w:rsid w:val="009664BB"/>
    <w:rsid w:val="009669F8"/>
    <w:rsid w:val="00966F89"/>
    <w:rsid w:val="0097239C"/>
    <w:rsid w:val="00973B5D"/>
    <w:rsid w:val="00973D9A"/>
    <w:rsid w:val="00974FDE"/>
    <w:rsid w:val="0097755E"/>
    <w:rsid w:val="00981467"/>
    <w:rsid w:val="009818E2"/>
    <w:rsid w:val="00981C24"/>
    <w:rsid w:val="00981C3D"/>
    <w:rsid w:val="009852F6"/>
    <w:rsid w:val="00985DE5"/>
    <w:rsid w:val="00985FCF"/>
    <w:rsid w:val="00986254"/>
    <w:rsid w:val="00986F68"/>
    <w:rsid w:val="0098729E"/>
    <w:rsid w:val="00987862"/>
    <w:rsid w:val="00990067"/>
    <w:rsid w:val="00991691"/>
    <w:rsid w:val="00992779"/>
    <w:rsid w:val="00992977"/>
    <w:rsid w:val="009937D4"/>
    <w:rsid w:val="00993C78"/>
    <w:rsid w:val="009948C7"/>
    <w:rsid w:val="00995215"/>
    <w:rsid w:val="00995850"/>
    <w:rsid w:val="0099796C"/>
    <w:rsid w:val="009A194E"/>
    <w:rsid w:val="009A1EA2"/>
    <w:rsid w:val="009A209E"/>
    <w:rsid w:val="009A2DD1"/>
    <w:rsid w:val="009A313D"/>
    <w:rsid w:val="009A3FD7"/>
    <w:rsid w:val="009A5461"/>
    <w:rsid w:val="009A6652"/>
    <w:rsid w:val="009A74FD"/>
    <w:rsid w:val="009B16FE"/>
    <w:rsid w:val="009B2260"/>
    <w:rsid w:val="009B25D8"/>
    <w:rsid w:val="009B42E3"/>
    <w:rsid w:val="009B5859"/>
    <w:rsid w:val="009B7C18"/>
    <w:rsid w:val="009C2D16"/>
    <w:rsid w:val="009C3EAB"/>
    <w:rsid w:val="009C454A"/>
    <w:rsid w:val="009C6D07"/>
    <w:rsid w:val="009C7CEC"/>
    <w:rsid w:val="009D13C8"/>
    <w:rsid w:val="009D154D"/>
    <w:rsid w:val="009D18EF"/>
    <w:rsid w:val="009D236F"/>
    <w:rsid w:val="009D3BE8"/>
    <w:rsid w:val="009D44E0"/>
    <w:rsid w:val="009D5507"/>
    <w:rsid w:val="009D573B"/>
    <w:rsid w:val="009D59A0"/>
    <w:rsid w:val="009D716A"/>
    <w:rsid w:val="009E1AC4"/>
    <w:rsid w:val="009E1B97"/>
    <w:rsid w:val="009E20B8"/>
    <w:rsid w:val="009E29A0"/>
    <w:rsid w:val="009E3445"/>
    <w:rsid w:val="009E36C0"/>
    <w:rsid w:val="009E41B5"/>
    <w:rsid w:val="009E46A1"/>
    <w:rsid w:val="009E51B7"/>
    <w:rsid w:val="009E55D7"/>
    <w:rsid w:val="009E5B8E"/>
    <w:rsid w:val="009E627C"/>
    <w:rsid w:val="009F04E5"/>
    <w:rsid w:val="009F110B"/>
    <w:rsid w:val="009F1498"/>
    <w:rsid w:val="009F19EF"/>
    <w:rsid w:val="009F1E9F"/>
    <w:rsid w:val="009F3793"/>
    <w:rsid w:val="009F4066"/>
    <w:rsid w:val="009F54F2"/>
    <w:rsid w:val="009F7199"/>
    <w:rsid w:val="00A0056B"/>
    <w:rsid w:val="00A01657"/>
    <w:rsid w:val="00A01C65"/>
    <w:rsid w:val="00A0213D"/>
    <w:rsid w:val="00A03376"/>
    <w:rsid w:val="00A04C73"/>
    <w:rsid w:val="00A0541A"/>
    <w:rsid w:val="00A0625E"/>
    <w:rsid w:val="00A06420"/>
    <w:rsid w:val="00A0679A"/>
    <w:rsid w:val="00A07A2B"/>
    <w:rsid w:val="00A10BBD"/>
    <w:rsid w:val="00A10CD1"/>
    <w:rsid w:val="00A11118"/>
    <w:rsid w:val="00A11BF3"/>
    <w:rsid w:val="00A12375"/>
    <w:rsid w:val="00A125B8"/>
    <w:rsid w:val="00A13124"/>
    <w:rsid w:val="00A1488B"/>
    <w:rsid w:val="00A15370"/>
    <w:rsid w:val="00A156AB"/>
    <w:rsid w:val="00A16B8D"/>
    <w:rsid w:val="00A21293"/>
    <w:rsid w:val="00A2134B"/>
    <w:rsid w:val="00A21623"/>
    <w:rsid w:val="00A220EB"/>
    <w:rsid w:val="00A22302"/>
    <w:rsid w:val="00A25F1B"/>
    <w:rsid w:val="00A264E6"/>
    <w:rsid w:val="00A273B5"/>
    <w:rsid w:val="00A325F3"/>
    <w:rsid w:val="00A33103"/>
    <w:rsid w:val="00A33294"/>
    <w:rsid w:val="00A34CC2"/>
    <w:rsid w:val="00A35DCB"/>
    <w:rsid w:val="00A3690E"/>
    <w:rsid w:val="00A37751"/>
    <w:rsid w:val="00A406B1"/>
    <w:rsid w:val="00A4113E"/>
    <w:rsid w:val="00A422A3"/>
    <w:rsid w:val="00A42435"/>
    <w:rsid w:val="00A438BA"/>
    <w:rsid w:val="00A446FD"/>
    <w:rsid w:val="00A46F46"/>
    <w:rsid w:val="00A46FDD"/>
    <w:rsid w:val="00A52CB6"/>
    <w:rsid w:val="00A52F99"/>
    <w:rsid w:val="00A533C6"/>
    <w:rsid w:val="00A538BB"/>
    <w:rsid w:val="00A54164"/>
    <w:rsid w:val="00A56180"/>
    <w:rsid w:val="00A56737"/>
    <w:rsid w:val="00A60002"/>
    <w:rsid w:val="00A603D8"/>
    <w:rsid w:val="00A60AE2"/>
    <w:rsid w:val="00A61834"/>
    <w:rsid w:val="00A618B0"/>
    <w:rsid w:val="00A62790"/>
    <w:rsid w:val="00A6291F"/>
    <w:rsid w:val="00A63F53"/>
    <w:rsid w:val="00A7111E"/>
    <w:rsid w:val="00A755B6"/>
    <w:rsid w:val="00A75B1A"/>
    <w:rsid w:val="00A761C7"/>
    <w:rsid w:val="00A80ED4"/>
    <w:rsid w:val="00A816C4"/>
    <w:rsid w:val="00A8239A"/>
    <w:rsid w:val="00A82981"/>
    <w:rsid w:val="00A844B9"/>
    <w:rsid w:val="00A86F10"/>
    <w:rsid w:val="00A87AF2"/>
    <w:rsid w:val="00A90B23"/>
    <w:rsid w:val="00A93193"/>
    <w:rsid w:val="00A93C2B"/>
    <w:rsid w:val="00A94556"/>
    <w:rsid w:val="00A95946"/>
    <w:rsid w:val="00A959B3"/>
    <w:rsid w:val="00A974CB"/>
    <w:rsid w:val="00AA1EAC"/>
    <w:rsid w:val="00AA45E2"/>
    <w:rsid w:val="00AA526C"/>
    <w:rsid w:val="00AA7AC1"/>
    <w:rsid w:val="00AB6327"/>
    <w:rsid w:val="00AB6B8F"/>
    <w:rsid w:val="00AC0C65"/>
    <w:rsid w:val="00AC0FB2"/>
    <w:rsid w:val="00AC25E6"/>
    <w:rsid w:val="00AC3721"/>
    <w:rsid w:val="00AC41C6"/>
    <w:rsid w:val="00AC4CB0"/>
    <w:rsid w:val="00AC70C7"/>
    <w:rsid w:val="00AC76B7"/>
    <w:rsid w:val="00AD0223"/>
    <w:rsid w:val="00AD123A"/>
    <w:rsid w:val="00AD154C"/>
    <w:rsid w:val="00AD15FF"/>
    <w:rsid w:val="00AD1AA5"/>
    <w:rsid w:val="00AD2920"/>
    <w:rsid w:val="00AD2CD5"/>
    <w:rsid w:val="00AD2DFC"/>
    <w:rsid w:val="00AD38C4"/>
    <w:rsid w:val="00AD4A4B"/>
    <w:rsid w:val="00AD5A4A"/>
    <w:rsid w:val="00AD60EE"/>
    <w:rsid w:val="00AD6A2B"/>
    <w:rsid w:val="00AD73D4"/>
    <w:rsid w:val="00AE1EA2"/>
    <w:rsid w:val="00AE2874"/>
    <w:rsid w:val="00AE2F98"/>
    <w:rsid w:val="00AE3602"/>
    <w:rsid w:val="00AE5342"/>
    <w:rsid w:val="00AE5987"/>
    <w:rsid w:val="00AE6472"/>
    <w:rsid w:val="00AE7E26"/>
    <w:rsid w:val="00AF03AD"/>
    <w:rsid w:val="00AF09F0"/>
    <w:rsid w:val="00AF1345"/>
    <w:rsid w:val="00AF16D0"/>
    <w:rsid w:val="00AF38A8"/>
    <w:rsid w:val="00AF425E"/>
    <w:rsid w:val="00AF4E18"/>
    <w:rsid w:val="00AF63EB"/>
    <w:rsid w:val="00B016D2"/>
    <w:rsid w:val="00B018EC"/>
    <w:rsid w:val="00B04666"/>
    <w:rsid w:val="00B060C7"/>
    <w:rsid w:val="00B1117F"/>
    <w:rsid w:val="00B11AB7"/>
    <w:rsid w:val="00B12213"/>
    <w:rsid w:val="00B130C8"/>
    <w:rsid w:val="00B13710"/>
    <w:rsid w:val="00B157E1"/>
    <w:rsid w:val="00B15E03"/>
    <w:rsid w:val="00B225AB"/>
    <w:rsid w:val="00B22881"/>
    <w:rsid w:val="00B23EFC"/>
    <w:rsid w:val="00B24B72"/>
    <w:rsid w:val="00B25DB8"/>
    <w:rsid w:val="00B2656C"/>
    <w:rsid w:val="00B266E6"/>
    <w:rsid w:val="00B271F9"/>
    <w:rsid w:val="00B27355"/>
    <w:rsid w:val="00B276E2"/>
    <w:rsid w:val="00B3094D"/>
    <w:rsid w:val="00B30B04"/>
    <w:rsid w:val="00B311BC"/>
    <w:rsid w:val="00B31810"/>
    <w:rsid w:val="00B31C10"/>
    <w:rsid w:val="00B32D9C"/>
    <w:rsid w:val="00B3446D"/>
    <w:rsid w:val="00B34652"/>
    <w:rsid w:val="00B34F39"/>
    <w:rsid w:val="00B34F89"/>
    <w:rsid w:val="00B358C8"/>
    <w:rsid w:val="00B360B0"/>
    <w:rsid w:val="00B36185"/>
    <w:rsid w:val="00B3662F"/>
    <w:rsid w:val="00B373CD"/>
    <w:rsid w:val="00B37636"/>
    <w:rsid w:val="00B377C8"/>
    <w:rsid w:val="00B37858"/>
    <w:rsid w:val="00B400B8"/>
    <w:rsid w:val="00B404DE"/>
    <w:rsid w:val="00B40765"/>
    <w:rsid w:val="00B41FEB"/>
    <w:rsid w:val="00B4232D"/>
    <w:rsid w:val="00B42682"/>
    <w:rsid w:val="00B42B7A"/>
    <w:rsid w:val="00B43065"/>
    <w:rsid w:val="00B445FE"/>
    <w:rsid w:val="00B44752"/>
    <w:rsid w:val="00B44784"/>
    <w:rsid w:val="00B449D0"/>
    <w:rsid w:val="00B45228"/>
    <w:rsid w:val="00B456AB"/>
    <w:rsid w:val="00B45BFE"/>
    <w:rsid w:val="00B46C2A"/>
    <w:rsid w:val="00B47E8B"/>
    <w:rsid w:val="00B51C67"/>
    <w:rsid w:val="00B51F47"/>
    <w:rsid w:val="00B53F86"/>
    <w:rsid w:val="00B53FDC"/>
    <w:rsid w:val="00B5428C"/>
    <w:rsid w:val="00B544D7"/>
    <w:rsid w:val="00B55431"/>
    <w:rsid w:val="00B55CAE"/>
    <w:rsid w:val="00B576C6"/>
    <w:rsid w:val="00B615F2"/>
    <w:rsid w:val="00B61A28"/>
    <w:rsid w:val="00B641F5"/>
    <w:rsid w:val="00B65588"/>
    <w:rsid w:val="00B65C6D"/>
    <w:rsid w:val="00B66040"/>
    <w:rsid w:val="00B66B06"/>
    <w:rsid w:val="00B67862"/>
    <w:rsid w:val="00B70634"/>
    <w:rsid w:val="00B70BE4"/>
    <w:rsid w:val="00B70F5F"/>
    <w:rsid w:val="00B73473"/>
    <w:rsid w:val="00B73880"/>
    <w:rsid w:val="00B73CF1"/>
    <w:rsid w:val="00B745B3"/>
    <w:rsid w:val="00B75871"/>
    <w:rsid w:val="00B7599D"/>
    <w:rsid w:val="00B75C07"/>
    <w:rsid w:val="00B7648F"/>
    <w:rsid w:val="00B76E13"/>
    <w:rsid w:val="00B771EE"/>
    <w:rsid w:val="00B7765B"/>
    <w:rsid w:val="00B77B4B"/>
    <w:rsid w:val="00B80ABC"/>
    <w:rsid w:val="00B814C2"/>
    <w:rsid w:val="00B845F4"/>
    <w:rsid w:val="00B847AD"/>
    <w:rsid w:val="00B900FE"/>
    <w:rsid w:val="00B9064C"/>
    <w:rsid w:val="00B90F11"/>
    <w:rsid w:val="00B91A6C"/>
    <w:rsid w:val="00B93859"/>
    <w:rsid w:val="00B97098"/>
    <w:rsid w:val="00BA0A14"/>
    <w:rsid w:val="00BA398D"/>
    <w:rsid w:val="00BA39D3"/>
    <w:rsid w:val="00BA4D95"/>
    <w:rsid w:val="00BA5C56"/>
    <w:rsid w:val="00BA6C4C"/>
    <w:rsid w:val="00BA769C"/>
    <w:rsid w:val="00BA776F"/>
    <w:rsid w:val="00BB0BB7"/>
    <w:rsid w:val="00BB0C0D"/>
    <w:rsid w:val="00BB0D69"/>
    <w:rsid w:val="00BB366E"/>
    <w:rsid w:val="00BB3AF0"/>
    <w:rsid w:val="00BB4F70"/>
    <w:rsid w:val="00BB67FF"/>
    <w:rsid w:val="00BB79C3"/>
    <w:rsid w:val="00BC11B9"/>
    <w:rsid w:val="00BC138C"/>
    <w:rsid w:val="00BC14CF"/>
    <w:rsid w:val="00BC1659"/>
    <w:rsid w:val="00BC2C91"/>
    <w:rsid w:val="00BC3A9C"/>
    <w:rsid w:val="00BC5288"/>
    <w:rsid w:val="00BC6A71"/>
    <w:rsid w:val="00BC6B2F"/>
    <w:rsid w:val="00BC772C"/>
    <w:rsid w:val="00BD0637"/>
    <w:rsid w:val="00BD08A8"/>
    <w:rsid w:val="00BD1BAC"/>
    <w:rsid w:val="00BD1FA8"/>
    <w:rsid w:val="00BD25A6"/>
    <w:rsid w:val="00BD4C95"/>
    <w:rsid w:val="00BD65FC"/>
    <w:rsid w:val="00BD7660"/>
    <w:rsid w:val="00BE0666"/>
    <w:rsid w:val="00BE24B9"/>
    <w:rsid w:val="00BE2AE8"/>
    <w:rsid w:val="00BE2D55"/>
    <w:rsid w:val="00BE38DD"/>
    <w:rsid w:val="00BE39C5"/>
    <w:rsid w:val="00BE4AB1"/>
    <w:rsid w:val="00BE7661"/>
    <w:rsid w:val="00BF16C3"/>
    <w:rsid w:val="00BF38E0"/>
    <w:rsid w:val="00BF44FA"/>
    <w:rsid w:val="00BF471E"/>
    <w:rsid w:val="00BF57E1"/>
    <w:rsid w:val="00BF6AFD"/>
    <w:rsid w:val="00C003B4"/>
    <w:rsid w:val="00C00A5F"/>
    <w:rsid w:val="00C02F20"/>
    <w:rsid w:val="00C040E3"/>
    <w:rsid w:val="00C042E0"/>
    <w:rsid w:val="00C051D9"/>
    <w:rsid w:val="00C05E79"/>
    <w:rsid w:val="00C06333"/>
    <w:rsid w:val="00C06F68"/>
    <w:rsid w:val="00C075BA"/>
    <w:rsid w:val="00C077F0"/>
    <w:rsid w:val="00C10A3A"/>
    <w:rsid w:val="00C11E20"/>
    <w:rsid w:val="00C11F95"/>
    <w:rsid w:val="00C13CCF"/>
    <w:rsid w:val="00C14B6F"/>
    <w:rsid w:val="00C14C16"/>
    <w:rsid w:val="00C15D16"/>
    <w:rsid w:val="00C20015"/>
    <w:rsid w:val="00C215DC"/>
    <w:rsid w:val="00C22844"/>
    <w:rsid w:val="00C2396B"/>
    <w:rsid w:val="00C247DD"/>
    <w:rsid w:val="00C25B43"/>
    <w:rsid w:val="00C26A54"/>
    <w:rsid w:val="00C30C17"/>
    <w:rsid w:val="00C319F1"/>
    <w:rsid w:val="00C3261C"/>
    <w:rsid w:val="00C3318B"/>
    <w:rsid w:val="00C33C20"/>
    <w:rsid w:val="00C35362"/>
    <w:rsid w:val="00C357EA"/>
    <w:rsid w:val="00C36D18"/>
    <w:rsid w:val="00C379F8"/>
    <w:rsid w:val="00C37A1C"/>
    <w:rsid w:val="00C37F5D"/>
    <w:rsid w:val="00C40202"/>
    <w:rsid w:val="00C4316E"/>
    <w:rsid w:val="00C43955"/>
    <w:rsid w:val="00C44149"/>
    <w:rsid w:val="00C453A9"/>
    <w:rsid w:val="00C465D5"/>
    <w:rsid w:val="00C4756A"/>
    <w:rsid w:val="00C47C39"/>
    <w:rsid w:val="00C50649"/>
    <w:rsid w:val="00C50E1F"/>
    <w:rsid w:val="00C51C09"/>
    <w:rsid w:val="00C5213C"/>
    <w:rsid w:val="00C52BB6"/>
    <w:rsid w:val="00C53471"/>
    <w:rsid w:val="00C55143"/>
    <w:rsid w:val="00C5611B"/>
    <w:rsid w:val="00C5695E"/>
    <w:rsid w:val="00C61528"/>
    <w:rsid w:val="00C63457"/>
    <w:rsid w:val="00C64964"/>
    <w:rsid w:val="00C6631E"/>
    <w:rsid w:val="00C66C5A"/>
    <w:rsid w:val="00C67473"/>
    <w:rsid w:val="00C67AA4"/>
    <w:rsid w:val="00C7148C"/>
    <w:rsid w:val="00C72192"/>
    <w:rsid w:val="00C72229"/>
    <w:rsid w:val="00C732E5"/>
    <w:rsid w:val="00C73D0B"/>
    <w:rsid w:val="00C742DB"/>
    <w:rsid w:val="00C75017"/>
    <w:rsid w:val="00C75C04"/>
    <w:rsid w:val="00C761D5"/>
    <w:rsid w:val="00C765B4"/>
    <w:rsid w:val="00C77792"/>
    <w:rsid w:val="00C813EA"/>
    <w:rsid w:val="00C81496"/>
    <w:rsid w:val="00C82CE6"/>
    <w:rsid w:val="00C82E22"/>
    <w:rsid w:val="00C84B9D"/>
    <w:rsid w:val="00C85144"/>
    <w:rsid w:val="00C85628"/>
    <w:rsid w:val="00C8598B"/>
    <w:rsid w:val="00C86738"/>
    <w:rsid w:val="00C86A27"/>
    <w:rsid w:val="00C87A3D"/>
    <w:rsid w:val="00C902C1"/>
    <w:rsid w:val="00C91517"/>
    <w:rsid w:val="00C929BD"/>
    <w:rsid w:val="00C93089"/>
    <w:rsid w:val="00C931A2"/>
    <w:rsid w:val="00C9651D"/>
    <w:rsid w:val="00CA02E1"/>
    <w:rsid w:val="00CA0FA3"/>
    <w:rsid w:val="00CA15DA"/>
    <w:rsid w:val="00CA2244"/>
    <w:rsid w:val="00CA224E"/>
    <w:rsid w:val="00CA41C5"/>
    <w:rsid w:val="00CA42B7"/>
    <w:rsid w:val="00CA4A53"/>
    <w:rsid w:val="00CA51F5"/>
    <w:rsid w:val="00CB218A"/>
    <w:rsid w:val="00CB225A"/>
    <w:rsid w:val="00CB519A"/>
    <w:rsid w:val="00CB69E6"/>
    <w:rsid w:val="00CB761B"/>
    <w:rsid w:val="00CC13DF"/>
    <w:rsid w:val="00CC1EEE"/>
    <w:rsid w:val="00CC562B"/>
    <w:rsid w:val="00CC6C15"/>
    <w:rsid w:val="00CC7621"/>
    <w:rsid w:val="00CC7ABF"/>
    <w:rsid w:val="00CC7FCF"/>
    <w:rsid w:val="00CD08BB"/>
    <w:rsid w:val="00CD2749"/>
    <w:rsid w:val="00CD2A60"/>
    <w:rsid w:val="00CD306F"/>
    <w:rsid w:val="00CD3971"/>
    <w:rsid w:val="00CD3DAB"/>
    <w:rsid w:val="00CE0DF1"/>
    <w:rsid w:val="00CE2CA2"/>
    <w:rsid w:val="00CE3786"/>
    <w:rsid w:val="00CE3D06"/>
    <w:rsid w:val="00CE4027"/>
    <w:rsid w:val="00CE47CC"/>
    <w:rsid w:val="00CE5B63"/>
    <w:rsid w:val="00CE643A"/>
    <w:rsid w:val="00CE68F6"/>
    <w:rsid w:val="00CE7E27"/>
    <w:rsid w:val="00CF10CE"/>
    <w:rsid w:val="00CF21AD"/>
    <w:rsid w:val="00CF22AC"/>
    <w:rsid w:val="00CF2F0A"/>
    <w:rsid w:val="00CF41C1"/>
    <w:rsid w:val="00CF455D"/>
    <w:rsid w:val="00CF79E8"/>
    <w:rsid w:val="00D015AA"/>
    <w:rsid w:val="00D021B8"/>
    <w:rsid w:val="00D03D90"/>
    <w:rsid w:val="00D04024"/>
    <w:rsid w:val="00D043EB"/>
    <w:rsid w:val="00D05085"/>
    <w:rsid w:val="00D059A9"/>
    <w:rsid w:val="00D06062"/>
    <w:rsid w:val="00D0626F"/>
    <w:rsid w:val="00D06352"/>
    <w:rsid w:val="00D06705"/>
    <w:rsid w:val="00D06A9B"/>
    <w:rsid w:val="00D0750D"/>
    <w:rsid w:val="00D07DD8"/>
    <w:rsid w:val="00D1038F"/>
    <w:rsid w:val="00D10BF7"/>
    <w:rsid w:val="00D10FEB"/>
    <w:rsid w:val="00D132C7"/>
    <w:rsid w:val="00D140A0"/>
    <w:rsid w:val="00D203D1"/>
    <w:rsid w:val="00D2057A"/>
    <w:rsid w:val="00D218D2"/>
    <w:rsid w:val="00D21B1E"/>
    <w:rsid w:val="00D21D98"/>
    <w:rsid w:val="00D21F1F"/>
    <w:rsid w:val="00D23088"/>
    <w:rsid w:val="00D2317F"/>
    <w:rsid w:val="00D231A9"/>
    <w:rsid w:val="00D24391"/>
    <w:rsid w:val="00D2472B"/>
    <w:rsid w:val="00D253DD"/>
    <w:rsid w:val="00D26914"/>
    <w:rsid w:val="00D26FFA"/>
    <w:rsid w:val="00D3215D"/>
    <w:rsid w:val="00D33352"/>
    <w:rsid w:val="00D347D9"/>
    <w:rsid w:val="00D34F07"/>
    <w:rsid w:val="00D35565"/>
    <w:rsid w:val="00D36A19"/>
    <w:rsid w:val="00D36BAC"/>
    <w:rsid w:val="00D40DCF"/>
    <w:rsid w:val="00D41075"/>
    <w:rsid w:val="00D416AF"/>
    <w:rsid w:val="00D41C19"/>
    <w:rsid w:val="00D41C76"/>
    <w:rsid w:val="00D41DD8"/>
    <w:rsid w:val="00D4222C"/>
    <w:rsid w:val="00D425CE"/>
    <w:rsid w:val="00D42F40"/>
    <w:rsid w:val="00D4396C"/>
    <w:rsid w:val="00D4446F"/>
    <w:rsid w:val="00D44B55"/>
    <w:rsid w:val="00D45490"/>
    <w:rsid w:val="00D457B8"/>
    <w:rsid w:val="00D457E1"/>
    <w:rsid w:val="00D46859"/>
    <w:rsid w:val="00D47BEB"/>
    <w:rsid w:val="00D50487"/>
    <w:rsid w:val="00D50563"/>
    <w:rsid w:val="00D50F50"/>
    <w:rsid w:val="00D5235F"/>
    <w:rsid w:val="00D525C8"/>
    <w:rsid w:val="00D52F50"/>
    <w:rsid w:val="00D5564F"/>
    <w:rsid w:val="00D55A98"/>
    <w:rsid w:val="00D56B49"/>
    <w:rsid w:val="00D6053F"/>
    <w:rsid w:val="00D6073D"/>
    <w:rsid w:val="00D618D6"/>
    <w:rsid w:val="00D62426"/>
    <w:rsid w:val="00D62804"/>
    <w:rsid w:val="00D67CD2"/>
    <w:rsid w:val="00D70CA9"/>
    <w:rsid w:val="00D70F55"/>
    <w:rsid w:val="00D70FA5"/>
    <w:rsid w:val="00D7216E"/>
    <w:rsid w:val="00D74171"/>
    <w:rsid w:val="00D7474C"/>
    <w:rsid w:val="00D74B10"/>
    <w:rsid w:val="00D8032C"/>
    <w:rsid w:val="00D80605"/>
    <w:rsid w:val="00D80CE2"/>
    <w:rsid w:val="00D8175C"/>
    <w:rsid w:val="00D83080"/>
    <w:rsid w:val="00D84D5F"/>
    <w:rsid w:val="00D851E2"/>
    <w:rsid w:val="00D87FFA"/>
    <w:rsid w:val="00D90C08"/>
    <w:rsid w:val="00D91419"/>
    <w:rsid w:val="00D92A09"/>
    <w:rsid w:val="00D92D2A"/>
    <w:rsid w:val="00D92EEC"/>
    <w:rsid w:val="00D93470"/>
    <w:rsid w:val="00D9395F"/>
    <w:rsid w:val="00D93D55"/>
    <w:rsid w:val="00D941FA"/>
    <w:rsid w:val="00D94B59"/>
    <w:rsid w:val="00D94FFD"/>
    <w:rsid w:val="00D95315"/>
    <w:rsid w:val="00D95EAB"/>
    <w:rsid w:val="00DA0B39"/>
    <w:rsid w:val="00DA1203"/>
    <w:rsid w:val="00DA2316"/>
    <w:rsid w:val="00DA25E0"/>
    <w:rsid w:val="00DA2700"/>
    <w:rsid w:val="00DA3001"/>
    <w:rsid w:val="00DA3C5D"/>
    <w:rsid w:val="00DA3EFF"/>
    <w:rsid w:val="00DA7769"/>
    <w:rsid w:val="00DB08C6"/>
    <w:rsid w:val="00DB1A6F"/>
    <w:rsid w:val="00DB1BC2"/>
    <w:rsid w:val="00DB1CBB"/>
    <w:rsid w:val="00DB1DDF"/>
    <w:rsid w:val="00DB31ED"/>
    <w:rsid w:val="00DB4124"/>
    <w:rsid w:val="00DB4511"/>
    <w:rsid w:val="00DB4F0C"/>
    <w:rsid w:val="00DB6972"/>
    <w:rsid w:val="00DC0176"/>
    <w:rsid w:val="00DC043F"/>
    <w:rsid w:val="00DC093E"/>
    <w:rsid w:val="00DC0E29"/>
    <w:rsid w:val="00DC0E7A"/>
    <w:rsid w:val="00DC139F"/>
    <w:rsid w:val="00DC1ED3"/>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170A"/>
    <w:rsid w:val="00DE3B70"/>
    <w:rsid w:val="00DE5813"/>
    <w:rsid w:val="00DE7453"/>
    <w:rsid w:val="00DF10B1"/>
    <w:rsid w:val="00DF1FDA"/>
    <w:rsid w:val="00DF3DD0"/>
    <w:rsid w:val="00DF4D50"/>
    <w:rsid w:val="00DF538C"/>
    <w:rsid w:val="00E01A8E"/>
    <w:rsid w:val="00E021C2"/>
    <w:rsid w:val="00E024A3"/>
    <w:rsid w:val="00E0423D"/>
    <w:rsid w:val="00E057B5"/>
    <w:rsid w:val="00E0581E"/>
    <w:rsid w:val="00E079C5"/>
    <w:rsid w:val="00E07CBD"/>
    <w:rsid w:val="00E07D29"/>
    <w:rsid w:val="00E07F56"/>
    <w:rsid w:val="00E10A16"/>
    <w:rsid w:val="00E10E3E"/>
    <w:rsid w:val="00E1112F"/>
    <w:rsid w:val="00E1318F"/>
    <w:rsid w:val="00E13B3B"/>
    <w:rsid w:val="00E13E29"/>
    <w:rsid w:val="00E16857"/>
    <w:rsid w:val="00E16C3A"/>
    <w:rsid w:val="00E20651"/>
    <w:rsid w:val="00E2107C"/>
    <w:rsid w:val="00E21E70"/>
    <w:rsid w:val="00E224DE"/>
    <w:rsid w:val="00E23DCE"/>
    <w:rsid w:val="00E26363"/>
    <w:rsid w:val="00E272A4"/>
    <w:rsid w:val="00E27840"/>
    <w:rsid w:val="00E305F9"/>
    <w:rsid w:val="00E306AC"/>
    <w:rsid w:val="00E325AF"/>
    <w:rsid w:val="00E332F2"/>
    <w:rsid w:val="00E33F41"/>
    <w:rsid w:val="00E34446"/>
    <w:rsid w:val="00E3633B"/>
    <w:rsid w:val="00E36870"/>
    <w:rsid w:val="00E374E1"/>
    <w:rsid w:val="00E37BEB"/>
    <w:rsid w:val="00E403D5"/>
    <w:rsid w:val="00E417AB"/>
    <w:rsid w:val="00E43D48"/>
    <w:rsid w:val="00E44A85"/>
    <w:rsid w:val="00E4542D"/>
    <w:rsid w:val="00E45BE0"/>
    <w:rsid w:val="00E4682F"/>
    <w:rsid w:val="00E46AF7"/>
    <w:rsid w:val="00E46CAD"/>
    <w:rsid w:val="00E47521"/>
    <w:rsid w:val="00E4760C"/>
    <w:rsid w:val="00E507A6"/>
    <w:rsid w:val="00E5375C"/>
    <w:rsid w:val="00E53D9F"/>
    <w:rsid w:val="00E53DE3"/>
    <w:rsid w:val="00E561AD"/>
    <w:rsid w:val="00E56A42"/>
    <w:rsid w:val="00E57FAF"/>
    <w:rsid w:val="00E600CE"/>
    <w:rsid w:val="00E60BA9"/>
    <w:rsid w:val="00E61B33"/>
    <w:rsid w:val="00E61FE9"/>
    <w:rsid w:val="00E63510"/>
    <w:rsid w:val="00E635EA"/>
    <w:rsid w:val="00E65194"/>
    <w:rsid w:val="00E655E5"/>
    <w:rsid w:val="00E65F4E"/>
    <w:rsid w:val="00E662E0"/>
    <w:rsid w:val="00E67D5D"/>
    <w:rsid w:val="00E71C7A"/>
    <w:rsid w:val="00E73119"/>
    <w:rsid w:val="00E73E1E"/>
    <w:rsid w:val="00E74BFA"/>
    <w:rsid w:val="00E767FF"/>
    <w:rsid w:val="00E76C00"/>
    <w:rsid w:val="00E825B6"/>
    <w:rsid w:val="00E84C91"/>
    <w:rsid w:val="00E84E60"/>
    <w:rsid w:val="00E8556E"/>
    <w:rsid w:val="00E86B2D"/>
    <w:rsid w:val="00E86F4D"/>
    <w:rsid w:val="00E87D08"/>
    <w:rsid w:val="00E90D0E"/>
    <w:rsid w:val="00E91B2D"/>
    <w:rsid w:val="00E92FCA"/>
    <w:rsid w:val="00E935D3"/>
    <w:rsid w:val="00E95196"/>
    <w:rsid w:val="00E95CAA"/>
    <w:rsid w:val="00EA03A4"/>
    <w:rsid w:val="00EA0A39"/>
    <w:rsid w:val="00EA0B1F"/>
    <w:rsid w:val="00EA0EB2"/>
    <w:rsid w:val="00EA236F"/>
    <w:rsid w:val="00EA3002"/>
    <w:rsid w:val="00EA3023"/>
    <w:rsid w:val="00EA37D8"/>
    <w:rsid w:val="00EA3E49"/>
    <w:rsid w:val="00EA3FC8"/>
    <w:rsid w:val="00EA5B8C"/>
    <w:rsid w:val="00EA78B9"/>
    <w:rsid w:val="00EB04ED"/>
    <w:rsid w:val="00EB0DC9"/>
    <w:rsid w:val="00EB1383"/>
    <w:rsid w:val="00EB252D"/>
    <w:rsid w:val="00EB29FA"/>
    <w:rsid w:val="00EB2CCE"/>
    <w:rsid w:val="00EB385F"/>
    <w:rsid w:val="00EB3E49"/>
    <w:rsid w:val="00EB5FC3"/>
    <w:rsid w:val="00EB6DA9"/>
    <w:rsid w:val="00EC1561"/>
    <w:rsid w:val="00EC462E"/>
    <w:rsid w:val="00EC6CD8"/>
    <w:rsid w:val="00EC786F"/>
    <w:rsid w:val="00EC7E52"/>
    <w:rsid w:val="00ED1866"/>
    <w:rsid w:val="00ED1EA0"/>
    <w:rsid w:val="00ED3134"/>
    <w:rsid w:val="00ED38E2"/>
    <w:rsid w:val="00ED5C44"/>
    <w:rsid w:val="00ED6357"/>
    <w:rsid w:val="00ED635B"/>
    <w:rsid w:val="00ED762A"/>
    <w:rsid w:val="00EE2990"/>
    <w:rsid w:val="00EE563D"/>
    <w:rsid w:val="00EE64B2"/>
    <w:rsid w:val="00EE742D"/>
    <w:rsid w:val="00EF0A22"/>
    <w:rsid w:val="00EF1267"/>
    <w:rsid w:val="00EF180C"/>
    <w:rsid w:val="00EF3B6B"/>
    <w:rsid w:val="00EF4B43"/>
    <w:rsid w:val="00EF4F05"/>
    <w:rsid w:val="00EF6750"/>
    <w:rsid w:val="00EF770B"/>
    <w:rsid w:val="00EF7DAD"/>
    <w:rsid w:val="00F02836"/>
    <w:rsid w:val="00F02FB5"/>
    <w:rsid w:val="00F0534E"/>
    <w:rsid w:val="00F05C30"/>
    <w:rsid w:val="00F06487"/>
    <w:rsid w:val="00F10F1B"/>
    <w:rsid w:val="00F125A2"/>
    <w:rsid w:val="00F12BCA"/>
    <w:rsid w:val="00F14179"/>
    <w:rsid w:val="00F15786"/>
    <w:rsid w:val="00F16703"/>
    <w:rsid w:val="00F167C5"/>
    <w:rsid w:val="00F17F50"/>
    <w:rsid w:val="00F20B5A"/>
    <w:rsid w:val="00F21F0B"/>
    <w:rsid w:val="00F236AB"/>
    <w:rsid w:val="00F24EA4"/>
    <w:rsid w:val="00F27087"/>
    <w:rsid w:val="00F2773C"/>
    <w:rsid w:val="00F300B3"/>
    <w:rsid w:val="00F30DB9"/>
    <w:rsid w:val="00F30FB8"/>
    <w:rsid w:val="00F31D68"/>
    <w:rsid w:val="00F32F3F"/>
    <w:rsid w:val="00F33152"/>
    <w:rsid w:val="00F338F2"/>
    <w:rsid w:val="00F349D3"/>
    <w:rsid w:val="00F3533E"/>
    <w:rsid w:val="00F35B3F"/>
    <w:rsid w:val="00F35B84"/>
    <w:rsid w:val="00F37DA5"/>
    <w:rsid w:val="00F402B5"/>
    <w:rsid w:val="00F4066E"/>
    <w:rsid w:val="00F4072F"/>
    <w:rsid w:val="00F40C18"/>
    <w:rsid w:val="00F42839"/>
    <w:rsid w:val="00F4495C"/>
    <w:rsid w:val="00F44CC0"/>
    <w:rsid w:val="00F450BA"/>
    <w:rsid w:val="00F4684B"/>
    <w:rsid w:val="00F46BE9"/>
    <w:rsid w:val="00F47279"/>
    <w:rsid w:val="00F47C3B"/>
    <w:rsid w:val="00F47F1B"/>
    <w:rsid w:val="00F506CA"/>
    <w:rsid w:val="00F528BB"/>
    <w:rsid w:val="00F53A7A"/>
    <w:rsid w:val="00F53BCE"/>
    <w:rsid w:val="00F5436C"/>
    <w:rsid w:val="00F54623"/>
    <w:rsid w:val="00F54FCD"/>
    <w:rsid w:val="00F553B0"/>
    <w:rsid w:val="00F56869"/>
    <w:rsid w:val="00F5785C"/>
    <w:rsid w:val="00F62D78"/>
    <w:rsid w:val="00F642B4"/>
    <w:rsid w:val="00F65E3C"/>
    <w:rsid w:val="00F67076"/>
    <w:rsid w:val="00F677FA"/>
    <w:rsid w:val="00F7115A"/>
    <w:rsid w:val="00F717AA"/>
    <w:rsid w:val="00F72714"/>
    <w:rsid w:val="00F733C0"/>
    <w:rsid w:val="00F744C3"/>
    <w:rsid w:val="00F752D0"/>
    <w:rsid w:val="00F75EE2"/>
    <w:rsid w:val="00F75F69"/>
    <w:rsid w:val="00F76014"/>
    <w:rsid w:val="00F77C95"/>
    <w:rsid w:val="00F802D3"/>
    <w:rsid w:val="00F809CC"/>
    <w:rsid w:val="00F80F94"/>
    <w:rsid w:val="00F8112C"/>
    <w:rsid w:val="00F81BA2"/>
    <w:rsid w:val="00F823A4"/>
    <w:rsid w:val="00F8412F"/>
    <w:rsid w:val="00F84791"/>
    <w:rsid w:val="00F85995"/>
    <w:rsid w:val="00F85FC5"/>
    <w:rsid w:val="00F86C22"/>
    <w:rsid w:val="00F90CB3"/>
    <w:rsid w:val="00F912A2"/>
    <w:rsid w:val="00F913A3"/>
    <w:rsid w:val="00F91AFE"/>
    <w:rsid w:val="00F925C3"/>
    <w:rsid w:val="00F93FE8"/>
    <w:rsid w:val="00FA0109"/>
    <w:rsid w:val="00FA1DEC"/>
    <w:rsid w:val="00FA458B"/>
    <w:rsid w:val="00FA5961"/>
    <w:rsid w:val="00FA5EC5"/>
    <w:rsid w:val="00FA6B8F"/>
    <w:rsid w:val="00FA7016"/>
    <w:rsid w:val="00FA7174"/>
    <w:rsid w:val="00FA793D"/>
    <w:rsid w:val="00FB020E"/>
    <w:rsid w:val="00FB0F17"/>
    <w:rsid w:val="00FB4924"/>
    <w:rsid w:val="00FB4B9D"/>
    <w:rsid w:val="00FB50ED"/>
    <w:rsid w:val="00FB6E18"/>
    <w:rsid w:val="00FC144B"/>
    <w:rsid w:val="00FC16C1"/>
    <w:rsid w:val="00FC2169"/>
    <w:rsid w:val="00FC28E2"/>
    <w:rsid w:val="00FC3BF6"/>
    <w:rsid w:val="00FC3D22"/>
    <w:rsid w:val="00FC61BA"/>
    <w:rsid w:val="00FC6FE1"/>
    <w:rsid w:val="00FC719D"/>
    <w:rsid w:val="00FD00A0"/>
    <w:rsid w:val="00FD0383"/>
    <w:rsid w:val="00FD0C3D"/>
    <w:rsid w:val="00FD0E85"/>
    <w:rsid w:val="00FD2F6B"/>
    <w:rsid w:val="00FD3BF9"/>
    <w:rsid w:val="00FD4B2D"/>
    <w:rsid w:val="00FD74ED"/>
    <w:rsid w:val="00FE064A"/>
    <w:rsid w:val="00FE0B55"/>
    <w:rsid w:val="00FE1E98"/>
    <w:rsid w:val="00FE2452"/>
    <w:rsid w:val="00FE5469"/>
    <w:rsid w:val="00FE66C2"/>
    <w:rsid w:val="00FE680F"/>
    <w:rsid w:val="00FE684A"/>
    <w:rsid w:val="00FE6F23"/>
    <w:rsid w:val="00FF0F8C"/>
    <w:rsid w:val="00FF1539"/>
    <w:rsid w:val="00FF2977"/>
    <w:rsid w:val="00FF3BEE"/>
    <w:rsid w:val="00FF408B"/>
    <w:rsid w:val="00FF43E1"/>
    <w:rsid w:val="00FF4D39"/>
    <w:rsid w:val="03430854"/>
    <w:rsid w:val="039F5FA6"/>
    <w:rsid w:val="09305ADA"/>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F1508D"/>
    <w:rsid w:val="266F634F"/>
    <w:rsid w:val="291059EA"/>
    <w:rsid w:val="2BBF12EC"/>
    <w:rsid w:val="2BC649D9"/>
    <w:rsid w:val="3515160D"/>
    <w:rsid w:val="38A86F24"/>
    <w:rsid w:val="3C7D00D8"/>
    <w:rsid w:val="3CA06C0C"/>
    <w:rsid w:val="3D0B6F6D"/>
    <w:rsid w:val="3EA25851"/>
    <w:rsid w:val="3F6C3757"/>
    <w:rsid w:val="405D6A10"/>
    <w:rsid w:val="41DA6594"/>
    <w:rsid w:val="444C1A75"/>
    <w:rsid w:val="44A3526F"/>
    <w:rsid w:val="44B032F4"/>
    <w:rsid w:val="457D25F7"/>
    <w:rsid w:val="468341CD"/>
    <w:rsid w:val="472C2589"/>
    <w:rsid w:val="4A760AEB"/>
    <w:rsid w:val="4F3162CA"/>
    <w:rsid w:val="50D95873"/>
    <w:rsid w:val="526102AF"/>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AC59115"/>
    <w:rsid w:val="6CD97953"/>
    <w:rsid w:val="6ED30FD7"/>
    <w:rsid w:val="6ED37476"/>
    <w:rsid w:val="727D78FD"/>
    <w:rsid w:val="73CC655F"/>
    <w:rsid w:val="75957445"/>
    <w:rsid w:val="75D01AE1"/>
    <w:rsid w:val="77524363"/>
    <w:rsid w:val="77B917B5"/>
    <w:rsid w:val="78703975"/>
    <w:rsid w:val="798EB877"/>
    <w:rsid w:val="7BE420FD"/>
    <w:rsid w:val="7D0D296B"/>
    <w:rsid w:val="7D4E0B54"/>
    <w:rsid w:val="7D503E78"/>
    <w:rsid w:val="7E0160D4"/>
    <w:rsid w:val="B3D78C5D"/>
    <w:rsid w:val="BBBDD352"/>
    <w:rsid w:val="F9FDC0B7"/>
    <w:rsid w:val="FF8DC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宋体" w:eastAsia="仿宋_GB2312" w:cs="Times New Roman"/>
      <w:kern w:val="2"/>
      <w:sz w:val="28"/>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Chars="0"/>
      <w:outlineLvl w:val="2"/>
    </w:pPr>
    <w:rPr>
      <w:b/>
      <w:bCs/>
      <w:szCs w:val="28"/>
    </w:rPr>
  </w:style>
  <w:style w:type="paragraph" w:styleId="5">
    <w:name w:val="heading 4"/>
    <w:basedOn w:val="1"/>
    <w:next w:val="1"/>
    <w:link w:val="58"/>
    <w:qFormat/>
    <w:uiPriority w:val="9"/>
    <w:pPr>
      <w:keepNext/>
      <w:keepLines/>
      <w:numPr>
        <w:ilvl w:val="3"/>
        <w:numId w:val="1"/>
      </w:numPr>
      <w:spacing w:before="120" w:after="120"/>
      <w:ind w:firstLineChars="0"/>
      <w:outlineLvl w:val="3"/>
    </w:pPr>
    <w:rPr>
      <w:b/>
      <w:bCs/>
      <w:sz w:val="30"/>
      <w:szCs w:val="30"/>
    </w:rPr>
  </w:style>
  <w:style w:type="paragraph" w:styleId="6">
    <w:name w:val="heading 5"/>
    <w:basedOn w:val="1"/>
    <w:next w:val="1"/>
    <w:link w:val="86"/>
    <w:qFormat/>
    <w:uiPriority w:val="9"/>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jc w:val="center"/>
    </w:pPr>
    <w:rPr>
      <w:rFonts w:ascii="Times New Roman" w:hAnsi="Times New Roman"/>
      <w:sz w:val="18"/>
      <w:szCs w:val="18"/>
    </w:rPr>
  </w:style>
  <w:style w:type="paragraph" w:styleId="25">
    <w:name w:val="header"/>
    <w:basedOn w:val="1"/>
    <w:link w:val="97"/>
    <w:qFormat/>
    <w:uiPriority w:val="0"/>
    <w:pPr>
      <w:pBdr>
        <w:bottom w:val="single" w:color="auto" w:sz="4" w:space="0"/>
      </w:pBdr>
      <w:tabs>
        <w:tab w:val="center" w:pos="4153"/>
        <w:tab w:val="right" w:pos="8306"/>
      </w:tabs>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0"/>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9"/>
    <w:rPr>
      <w:rFonts w:ascii="宋体" w:hAnsi="宋体" w:eastAsia="仿宋_GB2312"/>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9"/>
    <w:rPr>
      <w:rFonts w:ascii="宋体" w:hAnsi="宋体" w:eastAsia="仿宋_GB2312"/>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qFormat/>
    <w:uiPriority w:val="0"/>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eastAsia="仿宋_GB2312"/>
      <w:b/>
      <w:bCs/>
      <w:kern w:val="2"/>
      <w:sz w:val="28"/>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eastAsia="仿宋_GB2312"/>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eastAsia="仿宋_GB2312"/>
      <w:b/>
      <w:bCs/>
      <w:kern w:val="2"/>
      <w:sz w:val="28"/>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rPr>
      <w:rFonts w:ascii="Times New Roman" w:hAnsi="Times New Roman"/>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段落正文"/>
    <w:basedOn w:val="1"/>
    <w:link w:val="135"/>
    <w:qFormat/>
    <w:uiPriority w:val="0"/>
    <w:pPr>
      <w:adjustRightInd/>
      <w:snapToGrid/>
      <w:jc w:val="left"/>
    </w:pPr>
    <w:rPr>
      <w:rFonts w:ascii="Times New Roman" w:hAnsi="Times New Roman" w:eastAsia="宋体"/>
      <w:sz w:val="24"/>
    </w:rPr>
  </w:style>
  <w:style w:type="character" w:customStyle="1" w:styleId="135">
    <w:name w:val="段落正文 Char"/>
    <w:link w:val="134"/>
    <w:qFormat/>
    <w:uiPriority w:val="0"/>
    <w:rPr>
      <w:kern w:val="2"/>
      <w:sz w:val="24"/>
      <w:szCs w:val="24"/>
    </w:rPr>
  </w:style>
  <w:style w:type="paragraph" w:customStyle="1" w:styleId="136">
    <w:name w:val="正文内容"/>
    <w:basedOn w:val="1"/>
    <w:link w:val="137"/>
    <w:qFormat/>
    <w:uiPriority w:val="0"/>
    <w:rPr>
      <w:rFonts w:ascii="Times New Roman" w:hAnsi="Times New Roman" w:eastAsia="宋体" w:cstheme="minorBidi"/>
      <w:sz w:val="24"/>
      <w:szCs w:val="21"/>
    </w:rPr>
  </w:style>
  <w:style w:type="character" w:customStyle="1" w:styleId="137">
    <w:name w:val="正文内容 字符"/>
    <w:basedOn w:val="37"/>
    <w:link w:val="136"/>
    <w:qFormat/>
    <w:uiPriority w:val="0"/>
    <w:rPr>
      <w:rFonts w:cstheme="minorBidi"/>
      <w:kern w:val="2"/>
      <w:sz w:val="24"/>
      <w:szCs w:val="21"/>
    </w:rPr>
  </w:style>
  <w:style w:type="paragraph" w:customStyle="1" w:styleId="138">
    <w:name w:val="一级目录"/>
    <w:basedOn w:val="136"/>
    <w:next w:val="136"/>
    <w:qFormat/>
    <w:uiPriority w:val="1"/>
    <w:pPr>
      <w:numPr>
        <w:ilvl w:val="0"/>
        <w:numId w:val="3"/>
      </w:numPr>
      <w:spacing w:beforeLines="50" w:afterLines="50"/>
      <w:ind w:left="0" w:firstLine="0" w:firstLineChars="0"/>
      <w:outlineLvl w:val="0"/>
    </w:pPr>
    <w:rPr>
      <w:rFonts w:eastAsia="黑体"/>
      <w:b/>
      <w:sz w:val="32"/>
    </w:rPr>
  </w:style>
  <w:style w:type="paragraph" w:customStyle="1" w:styleId="139">
    <w:name w:val="二级目录"/>
    <w:basedOn w:val="138"/>
    <w:next w:val="136"/>
    <w:link w:val="141"/>
    <w:qFormat/>
    <w:uiPriority w:val="2"/>
    <w:pPr>
      <w:numPr>
        <w:ilvl w:val="1"/>
      </w:numPr>
      <w:spacing w:beforeLines="0" w:afterLines="0"/>
      <w:outlineLvl w:val="1"/>
    </w:pPr>
    <w:rPr>
      <w:rFonts w:eastAsia="楷体"/>
      <w:sz w:val="30"/>
    </w:rPr>
  </w:style>
  <w:style w:type="paragraph" w:customStyle="1" w:styleId="140">
    <w:name w:val="三级目录"/>
    <w:basedOn w:val="139"/>
    <w:next w:val="136"/>
    <w:link w:val="142"/>
    <w:qFormat/>
    <w:uiPriority w:val="3"/>
    <w:pPr>
      <w:numPr>
        <w:ilvl w:val="2"/>
      </w:numPr>
      <w:outlineLvl w:val="2"/>
    </w:pPr>
    <w:rPr>
      <w:rFonts w:ascii="仿宋" w:hAnsi="仿宋" w:eastAsia="仿宋"/>
      <w:sz w:val="28"/>
    </w:rPr>
  </w:style>
  <w:style w:type="character" w:customStyle="1" w:styleId="141">
    <w:name w:val="二级目录 字符"/>
    <w:basedOn w:val="37"/>
    <w:link w:val="139"/>
    <w:qFormat/>
    <w:uiPriority w:val="2"/>
    <w:rPr>
      <w:rFonts w:eastAsia="楷体" w:cstheme="minorBidi"/>
      <w:b/>
      <w:kern w:val="2"/>
      <w:sz w:val="30"/>
      <w:szCs w:val="21"/>
    </w:rPr>
  </w:style>
  <w:style w:type="character" w:customStyle="1" w:styleId="142">
    <w:name w:val="三级目录 字符"/>
    <w:basedOn w:val="141"/>
    <w:link w:val="140"/>
    <w:qFormat/>
    <w:uiPriority w:val="3"/>
    <w:rPr>
      <w:rFonts w:ascii="仿宋" w:hAnsi="仿宋" w:eastAsia="仿宋" w:cstheme="minorBidi"/>
      <w:kern w:val="2"/>
      <w:sz w:val="28"/>
      <w:szCs w:val="21"/>
    </w:rPr>
  </w:style>
  <w:style w:type="paragraph" w:customStyle="1" w:styleId="143">
    <w:name w:val="论文正文"/>
    <w:basedOn w:val="1"/>
    <w:link w:val="144"/>
    <w:qFormat/>
    <w:uiPriority w:val="0"/>
    <w:pPr>
      <w:adjustRightInd/>
    </w:pPr>
    <w:rPr>
      <w:rFonts w:asciiTheme="minorHAnsi" w:hAnsiTheme="minorHAnsi" w:cstheme="minorBidi"/>
      <w:szCs w:val="22"/>
    </w:rPr>
  </w:style>
  <w:style w:type="character" w:customStyle="1" w:styleId="144">
    <w:name w:val="论文正文 字符"/>
    <w:basedOn w:val="37"/>
    <w:link w:val="143"/>
    <w:qFormat/>
    <w:uiPriority w:val="0"/>
    <w:rPr>
      <w:rFonts w:eastAsia="仿宋_GB2312" w:asciiTheme="minorHAnsi" w:hAnsiTheme="minorHAnsi" w:cstheme="minorBidi"/>
      <w:kern w:val="2"/>
      <w:sz w:val="28"/>
      <w:szCs w:val="22"/>
    </w:rPr>
  </w:style>
  <w:style w:type="paragraph" w:customStyle="1" w:styleId="145">
    <w:name w:val="图表内容"/>
    <w:basedOn w:val="136"/>
    <w:link w:val="146"/>
    <w:qFormat/>
    <w:uiPriority w:val="0"/>
    <w:pPr>
      <w:ind w:firstLine="0" w:firstLineChars="0"/>
      <w:jc w:val="center"/>
    </w:pPr>
    <w:rPr>
      <w:snapToGrid w:val="0"/>
    </w:rPr>
  </w:style>
  <w:style w:type="character" w:customStyle="1" w:styleId="146">
    <w:name w:val="图表内容 字符"/>
    <w:basedOn w:val="137"/>
    <w:link w:val="145"/>
    <w:qFormat/>
    <w:uiPriority w:val="0"/>
    <w:rPr>
      <w:rFonts w:cstheme="minorBidi"/>
      <w:snapToGrid w:val="0"/>
      <w:kern w:val="2"/>
      <w:sz w:val="24"/>
      <w:szCs w:val="21"/>
    </w:rPr>
  </w:style>
  <w:style w:type="paragraph" w:customStyle="1" w:styleId="147">
    <w:name w:val="修订2"/>
    <w:hidden/>
    <w:unhideWhenUsed/>
    <w:qFormat/>
    <w:uiPriority w:val="99"/>
    <w:rPr>
      <w:rFonts w:ascii="宋体" w:hAnsi="宋体" w:eastAsia="仿宋_GB2312" w:cs="Times New Roman"/>
      <w:kern w:val="2"/>
      <w:sz w:val="28"/>
      <w:szCs w:val="24"/>
      <w:lang w:val="en-US" w:eastAsia="zh-CN" w:bidi="ar-SA"/>
    </w:rPr>
  </w:style>
  <w:style w:type="paragraph" w:customStyle="1" w:styleId="148">
    <w:name w:val="修订3"/>
    <w:hidden/>
    <w:unhideWhenUsed/>
    <w:qFormat/>
    <w:uiPriority w:val="99"/>
    <w:rPr>
      <w:rFonts w:ascii="宋体" w:hAnsi="宋体" w:eastAsia="仿宋_GB2312" w:cs="Times New Roman"/>
      <w:kern w:val="2"/>
      <w:sz w:val="28"/>
      <w:szCs w:val="24"/>
      <w:lang w:val="en-US" w:eastAsia="zh-CN" w:bidi="ar-SA"/>
    </w:rPr>
  </w:style>
  <w:style w:type="paragraph" w:customStyle="1" w:styleId="149">
    <w:name w:val="font5"/>
    <w:basedOn w:val="1"/>
    <w:qFormat/>
    <w:uiPriority w:val="0"/>
    <w:pPr>
      <w:widowControl/>
      <w:adjustRightInd/>
      <w:snapToGrid/>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50">
    <w:name w:val="font6"/>
    <w:basedOn w:val="1"/>
    <w:qFormat/>
    <w:uiPriority w:val="0"/>
    <w:pPr>
      <w:widowControl/>
      <w:adjustRightInd/>
      <w:snapToGrid/>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52">
    <w:name w:val="xl75"/>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53">
    <w:name w:val="xl76"/>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54">
    <w:name w:val="xl7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ind w:firstLine="0" w:firstLineChars="0"/>
      <w:jc w:val="left"/>
    </w:pPr>
    <w:rPr>
      <w:rFonts w:eastAsia="宋体" w:cs="宋体"/>
      <w:kern w:val="0"/>
      <w:sz w:val="24"/>
    </w:rPr>
  </w:style>
  <w:style w:type="paragraph" w:customStyle="1" w:styleId="156">
    <w:name w:val="xl7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57">
    <w:name w:val="xl8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eastAsia="宋体" w:cs="宋体"/>
      <w:kern w:val="0"/>
      <w:sz w:val="24"/>
    </w:rPr>
  </w:style>
  <w:style w:type="paragraph" w:customStyle="1" w:styleId="158">
    <w:name w:val="xl8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59">
    <w:name w:val="xl8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eastAsia="宋体" w:cs="宋体"/>
      <w:kern w:val="0"/>
      <w:sz w:val="24"/>
    </w:rPr>
  </w:style>
  <w:style w:type="paragraph" w:customStyle="1" w:styleId="16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61">
    <w:name w:val="xl84"/>
    <w:basedOn w:val="1"/>
    <w:qFormat/>
    <w:uiPriority w:val="0"/>
    <w:pPr>
      <w:widowControl/>
      <w:pBdr>
        <w:top w:val="single" w:color="auto" w:sz="4" w:space="0"/>
        <w:left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left"/>
    </w:pPr>
    <w:rPr>
      <w:rFonts w:eastAsia="宋体" w:cs="宋体"/>
      <w:kern w:val="0"/>
      <w:sz w:val="24"/>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64">
    <w:name w:val="xl87"/>
    <w:basedOn w:val="1"/>
    <w:qFormat/>
    <w:uiPriority w:val="0"/>
    <w:pPr>
      <w:widowControl/>
      <w:pBdr>
        <w:left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6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left"/>
    </w:pPr>
    <w:rPr>
      <w:rFonts w:eastAsia="宋体" w:cs="宋体"/>
      <w:kern w:val="0"/>
      <w:sz w:val="24"/>
    </w:rPr>
  </w:style>
  <w:style w:type="paragraph" w:customStyle="1" w:styleId="166">
    <w:name w:val="xl89"/>
    <w:basedOn w:val="1"/>
    <w:qFormat/>
    <w:uiPriority w:val="0"/>
    <w:pPr>
      <w:widowControl/>
      <w:pBdr>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eastAsia="宋体" w:cs="宋体"/>
      <w:kern w:val="0"/>
      <w:sz w:val="24"/>
    </w:rPr>
  </w:style>
  <w:style w:type="paragraph" w:customStyle="1" w:styleId="167">
    <w:name w:val="12-2级目录"/>
    <w:basedOn w:val="1"/>
    <w:next w:val="1"/>
    <w:qFormat/>
    <w:uiPriority w:val="0"/>
    <w:pPr>
      <w:widowControl/>
      <w:numPr>
        <w:ilvl w:val="1"/>
        <w:numId w:val="4"/>
      </w:numPr>
      <w:adjustRightInd/>
      <w:snapToGrid/>
      <w:spacing w:before="120"/>
      <w:ind w:firstLine="0" w:firstLineChars="0"/>
      <w:jc w:val="left"/>
      <w:outlineLvl w:val="1"/>
    </w:pPr>
    <w:rPr>
      <w:rFonts w:ascii="微软雅黑" w:hAnsi="Times New Roman" w:eastAsia="黑体"/>
      <w:b/>
      <w:sz w:val="32"/>
      <w:szCs w:val="22"/>
    </w:rPr>
  </w:style>
  <w:style w:type="paragraph" w:customStyle="1" w:styleId="168">
    <w:name w:val="21-3级目录"/>
    <w:basedOn w:val="1"/>
    <w:qFormat/>
    <w:uiPriority w:val="0"/>
    <w:pPr>
      <w:widowControl/>
      <w:numPr>
        <w:ilvl w:val="2"/>
        <w:numId w:val="4"/>
      </w:numPr>
      <w:adjustRightInd/>
      <w:snapToGrid/>
      <w:spacing w:before="120"/>
      <w:ind w:firstLineChars="0"/>
      <w:jc w:val="left"/>
      <w:outlineLvl w:val="2"/>
    </w:pPr>
    <w:rPr>
      <w:rFonts w:ascii="Times New Roman" w:hAnsi="Times New Roman" w:eastAsia="黑体"/>
      <w:b/>
      <w:szCs w:val="22"/>
    </w:rPr>
  </w:style>
  <w:style w:type="character" w:customStyle="1" w:styleId="169">
    <w:name w:val="图片 Char Char"/>
    <w:link w:val="170"/>
    <w:qFormat/>
    <w:uiPriority w:val="0"/>
    <w:rPr>
      <w:rFonts w:ascii="Calibri" w:hAnsi="Calibri"/>
      <w:kern w:val="2"/>
      <w:sz w:val="24"/>
      <w:szCs w:val="24"/>
    </w:rPr>
  </w:style>
  <w:style w:type="paragraph" w:customStyle="1" w:styleId="170">
    <w:name w:val="图片"/>
    <w:next w:val="1"/>
    <w:link w:val="169"/>
    <w:qFormat/>
    <w:uiPriority w:val="0"/>
    <w:pPr>
      <w:contextualSpacing/>
      <w:jc w:val="center"/>
    </w:pPr>
    <w:rPr>
      <w:rFonts w:ascii="Calibri" w:hAnsi="Calibri" w:eastAsia="宋体" w:cs="Times New Roman"/>
      <w:kern w:val="2"/>
      <w:sz w:val="24"/>
      <w:szCs w:val="24"/>
      <w:lang w:val="en-US" w:eastAsia="zh-CN" w:bidi="ar-SA"/>
    </w:rPr>
  </w:style>
  <w:style w:type="paragraph" w:customStyle="1" w:styleId="171">
    <w:name w:val="22-4级目录"/>
    <w:basedOn w:val="1"/>
    <w:next w:val="1"/>
    <w:qFormat/>
    <w:uiPriority w:val="0"/>
    <w:pPr>
      <w:widowControl/>
      <w:adjustRightInd/>
      <w:snapToGrid/>
      <w:spacing w:before="240" w:after="120"/>
      <w:ind w:left="425" w:firstLine="0" w:firstLineChars="0"/>
      <w:outlineLvl w:val="3"/>
    </w:pPr>
    <w:rPr>
      <w:rFonts w:ascii="微软雅黑" w:hAnsi="Times New Roman" w:eastAsia="黑体"/>
      <w:b/>
      <w:sz w:val="24"/>
      <w:szCs w:val="22"/>
    </w:rPr>
  </w:style>
  <w:style w:type="paragraph" w:customStyle="1" w:styleId="172">
    <w:name w:val="11-章级目录"/>
    <w:basedOn w:val="1"/>
    <w:next w:val="1"/>
    <w:qFormat/>
    <w:uiPriority w:val="0"/>
    <w:pPr>
      <w:pageBreakBefore/>
      <w:widowControl/>
      <w:adjustRightInd/>
      <w:snapToGrid/>
      <w:spacing w:before="480" w:after="480"/>
      <w:ind w:left="2694" w:firstLine="0" w:firstLineChars="0"/>
      <w:jc w:val="left"/>
      <w:outlineLvl w:val="0"/>
    </w:pPr>
    <w:rPr>
      <w:rFonts w:ascii="Times New Roman" w:hAnsi="Times New Roman" w:eastAsia="黑体"/>
      <w:b/>
      <w:sz w:val="44"/>
      <w:szCs w:val="22"/>
    </w:rPr>
  </w:style>
  <w:style w:type="character" w:customStyle="1" w:styleId="173">
    <w:name w:val="首行缩进2字符 1.5 字行 字符"/>
    <w:link w:val="174"/>
    <w:qFormat/>
    <w:locked/>
    <w:uiPriority w:val="0"/>
    <w:rPr>
      <w:sz w:val="24"/>
      <w:szCs w:val="24"/>
    </w:rPr>
  </w:style>
  <w:style w:type="paragraph" w:customStyle="1" w:styleId="174">
    <w:name w:val="首行缩进2字符 1.5 字行"/>
    <w:basedOn w:val="1"/>
    <w:link w:val="173"/>
    <w:qFormat/>
    <w:uiPriority w:val="0"/>
    <w:pPr>
      <w:adjustRightInd/>
      <w:snapToGrid/>
      <w:ind w:firstLine="420" w:firstLineChars="0"/>
    </w:pPr>
    <w:rPr>
      <w:rFonts w:ascii="Times New Roman" w:hAnsi="Times New Roman" w:eastAsia="宋体"/>
      <w:kern w:val="0"/>
      <w:sz w:val="24"/>
    </w:rPr>
  </w:style>
  <w:style w:type="character" w:customStyle="1" w:styleId="175">
    <w:name w:val="密评正文1 Char"/>
    <w:link w:val="176"/>
    <w:qFormat/>
    <w:uiPriority w:val="0"/>
    <w:rPr>
      <w:rFonts w:ascii="等线" w:hAnsi="等线" w:eastAsia="仿宋"/>
      <w:kern w:val="2"/>
      <w:sz w:val="28"/>
      <w:szCs w:val="22"/>
    </w:rPr>
  </w:style>
  <w:style w:type="paragraph" w:customStyle="1" w:styleId="176">
    <w:name w:val="密评正文1"/>
    <w:basedOn w:val="1"/>
    <w:link w:val="175"/>
    <w:qFormat/>
    <w:uiPriority w:val="0"/>
    <w:pPr>
      <w:widowControl/>
      <w:adjustRightInd/>
      <w:snapToGrid/>
      <w:spacing w:line="240" w:lineRule="auto"/>
      <w:ind w:firstLine="420" w:firstLineChars="0"/>
      <w:jc w:val="left"/>
    </w:pPr>
    <w:rPr>
      <w:rFonts w:ascii="等线" w:hAnsi="等线" w:eastAsia="仿宋"/>
      <w:szCs w:val="22"/>
    </w:rPr>
  </w:style>
  <w:style w:type="paragraph" w:customStyle="1" w:styleId="177">
    <w:name w:val="可研正文"/>
    <w:basedOn w:val="1"/>
    <w:link w:val="178"/>
    <w:qFormat/>
    <w:uiPriority w:val="0"/>
    <w:pPr>
      <w:adjustRightInd/>
      <w:snapToGrid/>
    </w:pPr>
    <w:rPr>
      <w:rFonts w:ascii="仿宋" w:hAnsi="仿宋" w:eastAsia="仿宋" w:cstheme="minorBidi"/>
      <w:szCs w:val="28"/>
    </w:rPr>
  </w:style>
  <w:style w:type="character" w:customStyle="1" w:styleId="178">
    <w:name w:val="可研正文 Char"/>
    <w:link w:val="177"/>
    <w:qFormat/>
    <w:uiPriority w:val="0"/>
    <w:rPr>
      <w:rFonts w:ascii="仿宋" w:hAnsi="仿宋" w:eastAsia="仿宋" w:cstheme="minorBidi"/>
      <w:kern w:val="2"/>
      <w:sz w:val="28"/>
      <w:szCs w:val="28"/>
    </w:rPr>
  </w:style>
  <w:style w:type="character" w:customStyle="1" w:styleId="179">
    <w:name w:val="未处理的提及2"/>
    <w:basedOn w:val="37"/>
    <w:semiHidden/>
    <w:unhideWhenUsed/>
    <w:qFormat/>
    <w:uiPriority w:val="99"/>
    <w:rPr>
      <w:color w:val="605E5C"/>
      <w:shd w:val="clear" w:color="auto" w:fill="E1DFDD"/>
    </w:rPr>
  </w:style>
  <w:style w:type="character" w:customStyle="1" w:styleId="180">
    <w:name w:val="Unresolved Mention"/>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5710</Words>
  <Characters>32549</Characters>
  <Lines>271</Lines>
  <Paragraphs>76</Paragraphs>
  <TotalTime>1</TotalTime>
  <ScaleCrop>false</ScaleCrop>
  <LinksUpToDate>false</LinksUpToDate>
  <CharactersWithSpaces>38183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2026-05-09T11:22:00Z</dcterms:created>
  <dc:creator>gtig_tzb</dc:creator>
  <cp:lastModifiedBy>Administrator</cp:lastModifiedBy>
  <cp:lastPrinted>2020-08-08T04:08:00Z</cp:lastPrinted>
  <dcterms:modified xsi:type="dcterms:W3CDTF">2026-06-11T08:34:44Z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eyJoZGlkIjoiZTA4NzIyN2MxYTlmMzQ1NGE2MjU5NWRkMjhlOGMxYTAiLCJ1c2VySWQiOiI2ODMzMTU3NTQifQ==</vt:lpwstr>
  </property>
  <property fmtid="{D5CDD505-2E9C-101B-9397-08002B2CF9AE}" pid="4" name="ICV">
    <vt:lpwstr>DA9CB73F47B945BA996FE045E10B5F5C_12</vt:lpwstr>
  </property>
</Properties>
</file>