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color w:val="auto"/>
          <w:sz w:val="24"/>
          <w:szCs w:val="28"/>
          <w:highlight w:val="none"/>
          <w:lang w:val="en-US"/>
        </w:rPr>
      </w:pPr>
      <w:bookmarkStart w:id="0" w:name="OLE_LINK1"/>
      <w:bookmarkStart w:id="1" w:name="OLE_LINK2"/>
      <w:r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  <w:t>上海市同仁医院所需一批灯床塔公开招标项目第二标包需求文件</w:t>
      </w:r>
    </w:p>
    <w:p>
      <w:pPr>
        <w:jc w:val="left"/>
        <w:rPr>
          <w:rFonts w:hint="eastAsia"/>
          <w:b/>
          <w:bCs/>
          <w:color w:val="auto"/>
          <w:sz w:val="24"/>
          <w:szCs w:val="28"/>
          <w:highlight w:val="none"/>
        </w:rPr>
      </w:pPr>
      <w:r>
        <w:rPr>
          <w:rFonts w:hint="eastAsia"/>
          <w:b/>
          <w:bCs/>
          <w:color w:val="auto"/>
          <w:sz w:val="24"/>
          <w:szCs w:val="28"/>
          <w:highlight w:val="none"/>
        </w:rPr>
        <w:t>包2：妇科手术室</w:t>
      </w:r>
      <w:r>
        <w:rPr>
          <w:rFonts w:hint="eastAsia"/>
          <w:b/>
          <w:bCs/>
          <w:color w:val="auto"/>
          <w:sz w:val="24"/>
          <w:szCs w:val="28"/>
          <w:highlight w:val="none"/>
          <w:lang w:val="en-US" w:eastAsia="zh-CN"/>
        </w:rPr>
        <w:t>灯塔</w:t>
      </w:r>
      <w:r>
        <w:rPr>
          <w:rFonts w:hint="eastAsia"/>
          <w:b/>
          <w:bCs/>
          <w:color w:val="auto"/>
          <w:sz w:val="24"/>
          <w:szCs w:val="28"/>
          <w:highlight w:val="none"/>
        </w:rPr>
        <w:t>，共计4间，预算共1</w:t>
      </w:r>
      <w:r>
        <w:rPr>
          <w:b/>
          <w:bCs/>
          <w:color w:val="auto"/>
          <w:sz w:val="24"/>
          <w:szCs w:val="28"/>
          <w:highlight w:val="none"/>
        </w:rPr>
        <w:t>92</w:t>
      </w:r>
      <w:r>
        <w:rPr>
          <w:rFonts w:hint="eastAsia"/>
          <w:b/>
          <w:bCs/>
          <w:color w:val="auto"/>
          <w:sz w:val="24"/>
          <w:szCs w:val="28"/>
          <w:highlight w:val="none"/>
        </w:rPr>
        <w:t>万</w:t>
      </w:r>
      <w:bookmarkStart w:id="2" w:name="_GoBack"/>
      <w:bookmarkEnd w:id="2"/>
    </w:p>
    <w:bookmarkEnd w:id="0"/>
    <w:bookmarkEnd w:id="1"/>
    <w:p>
      <w:pPr>
        <w:jc w:val="center"/>
        <w:rPr>
          <w:rFonts w:hint="eastAsia"/>
          <w:color w:val="auto"/>
          <w:highlight w:val="none"/>
        </w:rPr>
      </w:pPr>
    </w:p>
    <w:p>
      <w:pPr>
        <w:jc w:val="left"/>
        <w:rPr>
          <w:rFonts w:hint="eastAsia"/>
          <w:b/>
          <w:bCs/>
          <w:color w:val="auto"/>
          <w:highlight w:val="none"/>
        </w:rPr>
      </w:pPr>
    </w:p>
    <w:p>
      <w:pPr>
        <w:jc w:val="center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技术参数及配置清单（</w:t>
      </w:r>
      <w:r>
        <w:rPr>
          <w:rFonts w:hint="eastAsia"/>
          <w:b/>
          <w:bCs/>
          <w:color w:val="auto"/>
          <w:highlight w:val="none"/>
        </w:rPr>
        <w:t>妇科手术室灯塔，4套，预算单价48万</w:t>
      </w:r>
      <w:r>
        <w:rPr>
          <w:rFonts w:hint="eastAsia"/>
          <w:color w:val="auto"/>
          <w:highlight w:val="none"/>
        </w:rPr>
        <w:t>）</w:t>
      </w:r>
    </w:p>
    <w:p>
      <w:pPr>
        <w:numPr>
          <w:ilvl w:val="0"/>
          <w:numId w:val="1"/>
        </w:num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手术无影灯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★</w:t>
      </w:r>
      <w:r>
        <w:rPr>
          <w:rFonts w:hint="eastAsia"/>
          <w:color w:val="auto"/>
          <w:highlight w:val="none"/>
        </w:rPr>
        <w:t>1.</w:t>
      </w:r>
      <w:r>
        <w:rPr>
          <w:color w:val="auto"/>
          <w:highlight w:val="none"/>
        </w:rPr>
        <w:t>灯头采用花瓣式结构，灯头厚度≤150mm，根据TM-21:2012标准，灯泡使用寿命≥60000小时</w:t>
      </w:r>
      <w:r>
        <w:rPr>
          <w:rFonts w:hint="eastAsia"/>
          <w:color w:val="auto"/>
          <w:highlight w:val="none"/>
        </w:rPr>
        <w:t>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2.</w:t>
      </w:r>
      <w:r>
        <w:rPr>
          <w:color w:val="auto"/>
          <w:highlight w:val="none"/>
        </w:rPr>
        <w:t>在灯头触摸屏上，光斑直径可调（提供触摸控制屏操作指南证明），光斑直径d10可调范围≥20-25cm， d50可调范围≥11-14 cm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ascii="Times New Roman" w:hAnsi="Times New Roman" w:eastAsia="宋体" w:cs="Times New Roman"/>
          <w:color w:val="auto"/>
          <w:highlight w:val="none"/>
        </w:rPr>
        <w:t>▲</w:t>
      </w:r>
      <w:r>
        <w:rPr>
          <w:rFonts w:hint="eastAsia"/>
          <w:color w:val="auto"/>
          <w:highlight w:val="none"/>
        </w:rPr>
        <w:t>3.</w:t>
      </w:r>
      <w:r>
        <w:rPr>
          <w:color w:val="auto"/>
          <w:highlight w:val="none"/>
        </w:rPr>
        <w:t>灯头控制屏采用电容触摸屏设计，具有开关灯源，调节照明亮度，控制光斑大小等功能，光照度在10,000 lux~160,000 lux范围内至少六档可调（提供控制屏实拍照片）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ascii="Times New Roman" w:hAnsi="Times New Roman" w:eastAsia="宋体" w:cs="Times New Roman"/>
          <w:color w:val="auto"/>
          <w:highlight w:val="none"/>
        </w:rPr>
        <w:t>▲</w:t>
      </w:r>
      <w:r>
        <w:rPr>
          <w:rFonts w:hint="eastAsia"/>
          <w:color w:val="auto"/>
          <w:highlight w:val="none"/>
        </w:rPr>
        <w:t>4.</w:t>
      </w:r>
      <w:r>
        <w:rPr>
          <w:color w:val="auto"/>
          <w:highlight w:val="none"/>
        </w:rPr>
        <w:t>为LED</w:t>
      </w:r>
      <w:r>
        <w:rPr>
          <w:rFonts w:hint="eastAsia"/>
          <w:color w:val="auto"/>
          <w:highlight w:val="none"/>
        </w:rPr>
        <w:t>双母</w:t>
      </w:r>
      <w:r>
        <w:rPr>
          <w:color w:val="auto"/>
          <w:highlight w:val="none"/>
        </w:rPr>
        <w:t>手术无影灯，采用透镜反射原理，</w:t>
      </w:r>
      <w:r>
        <w:rPr>
          <w:rFonts w:hint="eastAsia"/>
          <w:color w:val="auto"/>
          <w:highlight w:val="none"/>
        </w:rPr>
        <w:t>母灯</w:t>
      </w:r>
      <w:r>
        <w:rPr>
          <w:color w:val="auto"/>
          <w:highlight w:val="none"/>
        </w:rPr>
        <w:t>LED灯泡</w:t>
      </w:r>
      <w:r>
        <w:rPr>
          <w:rFonts w:hint="eastAsia"/>
          <w:color w:val="auto"/>
          <w:highlight w:val="none"/>
        </w:rPr>
        <w:t>组</w:t>
      </w:r>
      <w:r>
        <w:rPr>
          <w:color w:val="auto"/>
          <w:highlight w:val="none"/>
        </w:rPr>
        <w:t>数量≤</w:t>
      </w:r>
      <w:r>
        <w:rPr>
          <w:rFonts w:hint="eastAsia"/>
          <w:color w:val="auto"/>
          <w:highlight w:val="none"/>
        </w:rPr>
        <w:t>25</w:t>
      </w:r>
      <w:r>
        <w:rPr>
          <w:color w:val="auto"/>
          <w:highlight w:val="none"/>
        </w:rPr>
        <w:t>个；</w:t>
      </w:r>
      <w:r>
        <w:rPr>
          <w:rFonts w:hint="eastAsia"/>
          <w:color w:val="auto"/>
          <w:highlight w:val="none"/>
        </w:rPr>
        <w:t>母灯</w:t>
      </w:r>
      <w:r>
        <w:rPr>
          <w:color w:val="auto"/>
          <w:highlight w:val="none"/>
        </w:rPr>
        <w:t>头发光点≥</w:t>
      </w:r>
      <w:r>
        <w:rPr>
          <w:rFonts w:hint="eastAsia"/>
          <w:color w:val="auto"/>
          <w:highlight w:val="none"/>
        </w:rPr>
        <w:t>20</w:t>
      </w:r>
      <w:r>
        <w:rPr>
          <w:color w:val="auto"/>
          <w:highlight w:val="none"/>
        </w:rPr>
        <w:t>0个</w:t>
      </w:r>
      <w:r>
        <w:rPr>
          <w:rFonts w:hint="eastAsia"/>
          <w:color w:val="auto"/>
          <w:highlight w:val="none"/>
        </w:rPr>
        <w:t>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5.</w:t>
      </w:r>
      <w:r>
        <w:rPr>
          <w:color w:val="auto"/>
          <w:highlight w:val="none"/>
        </w:rPr>
        <w:t>具有光通量稳定技术，确保 LED 升温时还能保持稳定照度，根据 LED 温度调节 LED 电流。无影灯最高接触温度：室温（19°C）时最高 40°，红外辐射能≤ 3.3mw/m²Lux（提供彩页或技术白皮书证明）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6.</w:t>
      </w:r>
      <w:r>
        <w:rPr>
          <w:color w:val="auto"/>
          <w:highlight w:val="none"/>
        </w:rPr>
        <w:t>采用绿色的LED环境灯照明系统设计（在灯头触摸屏控制面板上可进行调节），可与主照明系统一键式切换,最大光照度≤400lx且照度至少5档可调（提供触摸屏操作说明证明）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ascii="Times New Roman" w:hAnsi="Times New Roman" w:eastAsia="宋体" w:cs="Times New Roman"/>
          <w:color w:val="auto"/>
          <w:highlight w:val="none"/>
        </w:rPr>
        <w:t>▲</w:t>
      </w:r>
      <w:r>
        <w:rPr>
          <w:rFonts w:hint="eastAsia"/>
          <w:color w:val="auto"/>
          <w:highlight w:val="none"/>
        </w:rPr>
        <w:t>7.双母</w:t>
      </w:r>
      <w:r>
        <w:rPr>
          <w:color w:val="auto"/>
          <w:highlight w:val="none"/>
        </w:rPr>
        <w:t>灯头均预留无线中置全高清摄像系统安装接口，可供摄像系统随意插拔，可在不同灯头之间、以及不同无影灯之间切换，360度任意旋转。（提供灯头触摸控制屏摄像头操作标识证明）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8.</w:t>
      </w:r>
      <w:r>
        <w:rPr>
          <w:color w:val="auto"/>
          <w:highlight w:val="none"/>
        </w:rPr>
        <w:t>在灯头触摸屏控制面板上，具有色温可调功能，在触摸屏上3900K~4500K范围内至少三档可调</w:t>
      </w:r>
      <w:r>
        <w:rPr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★</w:t>
      </w:r>
      <w:r>
        <w:rPr>
          <w:rFonts w:hint="eastAsia"/>
          <w:color w:val="auto"/>
          <w:highlight w:val="none"/>
        </w:rPr>
        <w:t>9.</w:t>
      </w:r>
      <w:r>
        <w:rPr>
          <w:color w:val="auto"/>
          <w:highlight w:val="none"/>
        </w:rPr>
        <w:t>照明深度中心点上下20%光照强度点之间的工作距离≥1100mm，60%中心照度的照明深度≥50cm（提供彩页、技术白皮书或注册证附页）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10.</w:t>
      </w:r>
      <w:r>
        <w:rPr>
          <w:color w:val="auto"/>
          <w:highlight w:val="none"/>
        </w:rPr>
        <w:t>色彩还原指数：Ra≥95； R15≥95；R9≥90（提供技术白皮书证明）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11.</w:t>
      </w:r>
      <w:r>
        <w:rPr>
          <w:color w:val="auto"/>
          <w:highlight w:val="none"/>
        </w:rPr>
        <w:t>耗散能量≥215 BTU，灯头散热</w:t>
      </w:r>
      <w:r>
        <w:rPr>
          <w:rFonts w:hint="eastAsia"/>
          <w:color w:val="auto"/>
          <w:highlight w:val="none"/>
        </w:rPr>
        <w:t>效率</w:t>
      </w:r>
      <w:r>
        <w:rPr>
          <w:color w:val="auto"/>
          <w:highlight w:val="none"/>
        </w:rPr>
        <w:t>≥54 Kcal/h，电源散热≥每个模块 15 W（提供技术白皮书证明）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12.</w:t>
      </w:r>
      <w:r>
        <w:rPr>
          <w:color w:val="auto"/>
          <w:highlight w:val="none"/>
        </w:rPr>
        <w:t>所提供手术灯为2023年6月份以后上市的最新设备，配套软件版本必须为原厂最新版本（以注册证生效日期作为评估依据）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13.母</w:t>
      </w:r>
      <w:r>
        <w:rPr>
          <w:color w:val="auto"/>
          <w:highlight w:val="none"/>
        </w:rPr>
        <w:t>灯灯头直径≥</w:t>
      </w:r>
      <w:r>
        <w:rPr>
          <w:rFonts w:hint="eastAsia"/>
          <w:color w:val="auto"/>
          <w:highlight w:val="none"/>
        </w:rPr>
        <w:t>7</w:t>
      </w:r>
      <w:r>
        <w:rPr>
          <w:color w:val="auto"/>
          <w:highlight w:val="none"/>
        </w:rPr>
        <w:t>00 mm，灯头功率≤</w:t>
      </w:r>
      <w:r>
        <w:rPr>
          <w:rFonts w:hint="eastAsia"/>
          <w:color w:val="auto"/>
          <w:highlight w:val="none"/>
        </w:rPr>
        <w:t>9</w:t>
      </w:r>
      <w:r>
        <w:rPr>
          <w:color w:val="auto"/>
          <w:highlight w:val="none"/>
        </w:rPr>
        <w:t>0W</w:t>
      </w:r>
      <w:r>
        <w:rPr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14.</w:t>
      </w:r>
      <w:r>
        <w:rPr>
          <w:color w:val="auto"/>
          <w:highlight w:val="none"/>
        </w:rPr>
        <w:t>母灯最大光照强度≥160,000lx；最大光照强度下伴有指示灯闪烁提示，保障手术中照明安全</w:t>
      </w:r>
      <w:r>
        <w:rPr>
          <w:rFonts w:hint="eastAsia"/>
          <w:color w:val="auto"/>
          <w:highlight w:val="none"/>
        </w:rPr>
        <w:t>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15.</w:t>
      </w:r>
      <w:r>
        <w:rPr>
          <w:color w:val="auto"/>
          <w:highlight w:val="none"/>
        </w:rPr>
        <w:t>无影灯悬臂材质为钢，灯头和叉臂重量≥15KG,灯头防水防尘等级≥IP44</w:t>
      </w:r>
      <w:r>
        <w:rPr>
          <w:rFonts w:hint="eastAsia"/>
          <w:color w:val="auto"/>
          <w:highlight w:val="none"/>
        </w:rPr>
        <w:t>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16.双母</w:t>
      </w:r>
      <w:r>
        <w:rPr>
          <w:color w:val="auto"/>
          <w:highlight w:val="none"/>
        </w:rPr>
        <w:t>灯通过灯头中央的灭菌手柄：可调节光照度、光斑直径和色温调节。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17.</w:t>
      </w:r>
      <w:r>
        <w:rPr>
          <w:color w:val="auto"/>
          <w:highlight w:val="none"/>
        </w:rPr>
        <w:t>具备自动光亮度控制功能，灯头可根据医生站位自动调节LED发光亮度，保证术野光照度稳定</w:t>
      </w:r>
      <w:r>
        <w:rPr>
          <w:rFonts w:hint="eastAsia"/>
          <w:color w:val="auto"/>
          <w:highlight w:val="none"/>
        </w:rPr>
        <w:t>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18.</w:t>
      </w:r>
      <w:r>
        <w:rPr>
          <w:color w:val="auto"/>
          <w:highlight w:val="none"/>
        </w:rPr>
        <w:t>无影灯底座可采用卫星底座安装设计（主轴安装无影灯，左右预留两个臂位方便后续升级），即后续无需更换底座或者破坏层流即可加装第三个灯头、显示器或外置摄像系统等设备（提供灯底座安装案例照片）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二、吊塔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▲</w:t>
      </w:r>
      <w:r>
        <w:rPr>
          <w:rFonts w:hint="eastAsia"/>
          <w:color w:val="auto"/>
          <w:highlight w:val="none"/>
        </w:rPr>
        <w:t>1.</w:t>
      </w:r>
      <w:r>
        <w:rPr>
          <w:color w:val="auto"/>
          <w:highlight w:val="none"/>
        </w:rPr>
        <w:t>吊塔上连接气电箱体的轴承内径尺寸≥120mm。（提供测量照片）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▲</w:t>
      </w:r>
      <w:r>
        <w:rPr>
          <w:rFonts w:hint="eastAsia"/>
          <w:color w:val="auto"/>
          <w:highlight w:val="none"/>
        </w:rPr>
        <w:t>2.</w:t>
      </w:r>
      <w:r>
        <w:rPr>
          <w:color w:val="auto"/>
          <w:highlight w:val="none"/>
        </w:rPr>
        <w:t>所有气体终端与吊塔为同一制造商，全金属材质，气体终端内部具有≥2个插销式结构固定插头。各种气体终端均为不同颜色和不同形状,并且具有Standby (原位待接通状态)功能。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3.</w:t>
      </w:r>
      <w:r>
        <w:rPr>
          <w:color w:val="auto"/>
          <w:highlight w:val="none"/>
        </w:rPr>
        <w:t>吊塔主体材质为高强度铝合金，强度标准不低于6063-T5，要求抗拉强度≥160MPa，屈服强度≥110MPa，断后延伸率≥8%。吊塔外壳材质防火等级至少为UL94-V1级，吊塔防护等级至少IP2X。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4.</w:t>
      </w:r>
      <w:r>
        <w:rPr>
          <w:color w:val="auto"/>
          <w:highlight w:val="none"/>
        </w:rPr>
        <w:t>吊塔箱体上具有≥3个安装附件的轨道，为金属外凸式，非内凹式，长度与吊塔箱体长度一致，保证在吊塔的前、后都可以安装托盘、抽屉、输液架、显示器支臂等可承重的附件（提供实物照片）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5.</w:t>
      </w:r>
      <w:r>
        <w:rPr>
          <w:color w:val="auto"/>
          <w:highlight w:val="none"/>
        </w:rPr>
        <w:t>吊塔箱体为吊柱式多边型（≥5边）设计，可选择安装气电口、灯光的面板数量≥5个，保证气、电分离的同时，要求强电和弱电分离。电源插座中的两眼和三眼插头可同时使用（提供实物图片）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6.</w:t>
      </w:r>
      <w:r>
        <w:rPr>
          <w:color w:val="auto"/>
          <w:highlight w:val="none"/>
        </w:rPr>
        <w:t>麻醉废气排放系统采用文丘里原理，正压持续排放，以避免麻醉机新鲜气体流失。并配有专门的废</w:t>
      </w:r>
      <w:r>
        <w:rPr>
          <w:rFonts w:hint="eastAsia"/>
          <w:color w:val="auto"/>
          <w:highlight w:val="none"/>
        </w:rPr>
        <w:t>气</w:t>
      </w:r>
      <w:r>
        <w:rPr>
          <w:color w:val="auto"/>
          <w:highlight w:val="none"/>
        </w:rPr>
        <w:t>排放接头。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★</w:t>
      </w:r>
      <w:r>
        <w:rPr>
          <w:rFonts w:hint="eastAsia"/>
          <w:color w:val="auto"/>
          <w:highlight w:val="none"/>
        </w:rPr>
        <w:t>7.</w:t>
      </w:r>
      <w:r>
        <w:rPr>
          <w:color w:val="auto"/>
          <w:highlight w:val="none"/>
        </w:rPr>
        <w:t>所投吊塔不接受外购第三方品牌、贴牌代工，制造商需要有自己的工程师售后团队。（提供制造商承诺函）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8.</w:t>
      </w:r>
      <w:r>
        <w:rPr>
          <w:color w:val="auto"/>
          <w:highlight w:val="none"/>
        </w:rPr>
        <w:t>主体材料要求为铝合金，全封闭式，采用双悬臂吊塔，吊塔臂长有多种尺寸可供选择，并可自由组合，吊塔最大活动半径≥3000mm。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9.</w:t>
      </w:r>
      <w:r>
        <w:rPr>
          <w:color w:val="auto"/>
          <w:highlight w:val="none"/>
        </w:rPr>
        <w:t>托盘至少采用抗静电、防褪色铝合金材质，一体成型设计，无铆钉，四角不易脱落，至少配一个操作把手，最大承载量≥50kg。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10.</w:t>
      </w:r>
      <w:r>
        <w:rPr>
          <w:color w:val="auto"/>
          <w:highlight w:val="none"/>
        </w:rPr>
        <w:t>吊塔的医护人员可接触部件符合生物相容性GB/T 16886.23-2023要求，通过皮肤刺激测试</w:t>
      </w:r>
      <w:r>
        <w:rPr>
          <w:rFonts w:hint="eastAsia"/>
          <w:color w:val="auto"/>
          <w:highlight w:val="none"/>
        </w:rPr>
        <w:t>（</w:t>
      </w:r>
      <w:r>
        <w:rPr>
          <w:color w:val="auto"/>
          <w:highlight w:val="none"/>
        </w:rPr>
        <w:t>提供标有CMA和CNAS的第三方测试报告</w:t>
      </w:r>
      <w:r>
        <w:rPr>
          <w:rFonts w:hint="eastAsia"/>
          <w:color w:val="auto"/>
          <w:highlight w:val="none"/>
        </w:rPr>
        <w:t>）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11.</w:t>
      </w:r>
      <w:r>
        <w:rPr>
          <w:color w:val="auto"/>
          <w:highlight w:val="none"/>
        </w:rPr>
        <w:t>吊塔的医护人员可接触部件符合生物相容性GB/T 16886.5-2017要求，通过细胞毒性测试</w:t>
      </w:r>
      <w:r>
        <w:rPr>
          <w:rFonts w:hint="eastAsia"/>
          <w:color w:val="auto"/>
          <w:highlight w:val="none"/>
        </w:rPr>
        <w:t>（</w:t>
      </w:r>
      <w:r>
        <w:rPr>
          <w:color w:val="auto"/>
          <w:highlight w:val="none"/>
        </w:rPr>
        <w:t>提供标有CMA和CNAS的第三方测试报告</w:t>
      </w:r>
      <w:r>
        <w:rPr>
          <w:rFonts w:hint="eastAsia"/>
          <w:color w:val="auto"/>
          <w:highlight w:val="none"/>
        </w:rPr>
        <w:t>）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12</w:t>
      </w:r>
      <w:r>
        <w:rPr>
          <w:color w:val="auto"/>
          <w:highlight w:val="none"/>
        </w:rPr>
        <w:t>吊塔的医护人员可接触部件符合生物相容性GB/T 16886.10-2024要求，通过皮肤致敏测试</w:t>
      </w:r>
      <w:r>
        <w:rPr>
          <w:rFonts w:hint="eastAsia"/>
          <w:color w:val="auto"/>
          <w:highlight w:val="none"/>
        </w:rPr>
        <w:t>（</w:t>
      </w:r>
      <w:r>
        <w:rPr>
          <w:color w:val="auto"/>
          <w:highlight w:val="none"/>
        </w:rPr>
        <w:t>提供标有CMA和CNAS的第三方测试报告</w:t>
      </w:r>
      <w:r>
        <w:rPr>
          <w:rFonts w:hint="eastAsia"/>
          <w:color w:val="auto"/>
          <w:highlight w:val="none"/>
        </w:rPr>
        <w:t>）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★</w:t>
      </w:r>
      <w:r>
        <w:rPr>
          <w:rFonts w:hint="eastAsia"/>
          <w:color w:val="auto"/>
          <w:highlight w:val="none"/>
        </w:rPr>
        <w:t>13.</w:t>
      </w:r>
      <w:r>
        <w:rPr>
          <w:color w:val="auto"/>
          <w:highlight w:val="none"/>
        </w:rPr>
        <w:t>所有医用气体软管为PVC材质，符合ISO 5359标准</w:t>
      </w:r>
      <w:r>
        <w:rPr>
          <w:rFonts w:hint="eastAsia"/>
          <w:color w:val="auto"/>
          <w:highlight w:val="none"/>
        </w:rPr>
        <w:t>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14.</w:t>
      </w:r>
      <w:r>
        <w:rPr>
          <w:color w:val="auto"/>
          <w:highlight w:val="none"/>
        </w:rPr>
        <w:t>医用气体软管符合生物相容性 ISO 10993 要求，通过皮肤刺激测试、细胞毒性测试和致敏测试。（提供第三方检测报告）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15.</w:t>
      </w:r>
      <w:r>
        <w:rPr>
          <w:color w:val="auto"/>
          <w:highlight w:val="none"/>
        </w:rPr>
        <w:t>为保证患者安全，对于患者吸入气体时所用的所有气体通路都应满足ISO 18562医用气体软管颗粒物排放测试，避免颗粒物吸入肺部</w:t>
      </w:r>
      <w:r>
        <w:rPr>
          <w:rFonts w:hint="eastAsia"/>
          <w:color w:val="auto"/>
          <w:highlight w:val="none"/>
        </w:rPr>
        <w:t>（</w:t>
      </w:r>
      <w:r>
        <w:rPr>
          <w:color w:val="auto"/>
          <w:highlight w:val="none"/>
        </w:rPr>
        <w:t>提供标有CMA和CNAS的第三方测试报告</w:t>
      </w:r>
      <w:r>
        <w:rPr>
          <w:rFonts w:hint="eastAsia"/>
          <w:color w:val="auto"/>
          <w:highlight w:val="none"/>
        </w:rPr>
        <w:t>）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16.</w:t>
      </w:r>
      <w:r>
        <w:rPr>
          <w:color w:val="auto"/>
          <w:highlight w:val="none"/>
        </w:rPr>
        <w:t>具有抗紫外线照射性能，在使用紫外光消毒的环境下，吊塔不发黄、起泡（提供第三方检测机构出具的报告）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17.</w:t>
      </w:r>
      <w:r>
        <w:rPr>
          <w:color w:val="auto"/>
          <w:highlight w:val="none"/>
        </w:rPr>
        <w:t>电源插座、网络接口、DVI、BNC 等信号线配备耐磨防火护管，需满足旋转吊塔操作，护管防火阻燃等级≥B1 或 V1 等级（提供第三方检测机构出具的报告）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▲</w:t>
      </w:r>
      <w:r>
        <w:rPr>
          <w:rFonts w:hint="eastAsia"/>
          <w:color w:val="auto"/>
          <w:highlight w:val="none"/>
        </w:rPr>
        <w:t>18.</w:t>
      </w:r>
      <w:r>
        <w:rPr>
          <w:color w:val="auto"/>
          <w:highlight w:val="none"/>
        </w:rPr>
        <w:t>提供其他用户安装图片及3D设计方案，配置可根据临床需求调整定制。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19.麻醉塔配置要求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19.1双臂，活动范围≥1200mm(可根据实际使用需求进行调整)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19.2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吊臂（包括吊臂柱）旋转角度≥330º；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19.3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吊柱式箱体，长度≥800mm，为多边型（多边型≥5）设计；保证能安装所有的接口，并能同时使用；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19.4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仪器平台：至少2层，平台固定于垂直箱体上，侧面带导轨，承重≥50kg，其中一层带操作把手。仪器平台尺寸≥480*450mm；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19.5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抽屉：至少1个；尺寸≥480*330*120mm；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19.6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每套配置气体终端：至少包含氧气2个、负压2个、压缩空气1个；</w:t>
      </w:r>
      <w:r>
        <w:rPr>
          <w:color w:val="auto"/>
          <w:highlight w:val="none"/>
        </w:rPr>
        <w:t>麻醉废气排放终端</w:t>
      </w:r>
      <w:r>
        <w:rPr>
          <w:rFonts w:hint="eastAsia"/>
          <w:color w:val="auto"/>
          <w:highlight w:val="none"/>
        </w:rPr>
        <w:t>1个；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19.7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10A电源插座≥10个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19.8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网络接口（RJ45）至少2个；等电位接地端子至少2个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20.腔镜塔和外科塔具体配置要求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18.1双臂，活动范围≥1200mm(可根据实际使用需求进行调整)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18.2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吊臂（包括吊臂柱）旋转角度≥330º；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18.3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吊柱式箱体，长度≥800mm，为多边型（多边型≥5）设计；保证能安装所有的接口，并能同时使用；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18.4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仪器平台：至少2层，平台固定于垂直箱体上，侧面带导轨，承重≥50kg，其中一层带操作把手。仪器平台尺寸≥480*450mm；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18.5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抽屉：至少1个；尺寸≥480*330*120mm；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18.6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每套配置气体终端：至少包含氧气2个、负压2个、压缩空气2个；二氧化碳1个；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18.7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10A电源插座≥9个，16A电源插座≥ 1个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18.8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网络接口（RJ45）至少2个；视频接口至少2个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18.9 预留线孔 1个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三、配置清单</w:t>
      </w:r>
    </w:p>
    <w:tbl>
      <w:tblPr>
        <w:tblStyle w:val="5"/>
        <w:tblW w:w="64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8"/>
        <w:gridCol w:w="2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8" w:type="dxa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名称</w:t>
            </w:r>
          </w:p>
        </w:tc>
        <w:tc>
          <w:tcPr>
            <w:tcW w:w="2004" w:type="dxa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418" w:type="dxa"/>
          </w:tcPr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手术无影灯：含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双母</w:t>
            </w:r>
            <w:r>
              <w:rPr>
                <w:color w:val="auto"/>
                <w:highlight w:val="none"/>
              </w:rPr>
              <w:t>灯头*1套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悬臂系统*1套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双灯电源系统*1套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电容</w:t>
            </w:r>
            <w:r>
              <w:rPr>
                <w:color w:val="auto"/>
                <w:highlight w:val="none"/>
              </w:rPr>
              <w:t>触摸屏控制面板*1个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无线中置摄像头预留接口*</w:t>
            </w:r>
            <w:r>
              <w:rPr>
                <w:rFonts w:hint="eastAsia"/>
                <w:color w:val="auto"/>
                <w:highlight w:val="none"/>
              </w:rPr>
              <w:t>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灭菌手板*</w:t>
            </w:r>
            <w:r>
              <w:rPr>
                <w:rFonts w:hint="eastAsia"/>
                <w:color w:val="auto"/>
                <w:highlight w:val="none"/>
              </w:rPr>
              <w:t>4</w:t>
            </w:r>
            <w:r>
              <w:rPr>
                <w:color w:val="auto"/>
                <w:highlight w:val="none"/>
              </w:rPr>
              <w:t>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安装及安装组件*1套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4套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8" w:type="dxa"/>
          </w:tcPr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麻醉塔：含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电源插座  10个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网络接口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接地端子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氧气终端 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真空吸引终端 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压缩空气终端  1个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麻醉废气排放终端  1个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层板 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抽屉  1个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4套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8" w:type="dxa"/>
          </w:tcPr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腔镜塔：含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10A电源插座  9个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16A电源插座  1个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网络接口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视频接口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氧气终端 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真空吸引终端 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压缩空气终端 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二氧化碳终端  1个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层板 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抽屉  1个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预留线孔  1个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4套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8" w:type="dxa"/>
          </w:tcPr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外科塔：含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 xml:space="preserve">电源插座 </w:t>
            </w:r>
            <w:r>
              <w:rPr>
                <w:rFonts w:hint="eastAsia"/>
                <w:color w:val="auto"/>
                <w:highlight w:val="none"/>
              </w:rPr>
              <w:t>9</w:t>
            </w:r>
            <w:r>
              <w:rPr>
                <w:color w:val="auto"/>
                <w:highlight w:val="none"/>
              </w:rPr>
              <w:t>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网络接口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 xml:space="preserve">氧气终端  </w:t>
            </w:r>
            <w:r>
              <w:rPr>
                <w:rFonts w:hint="eastAsia"/>
                <w:color w:val="auto"/>
                <w:highlight w:val="none"/>
              </w:rPr>
              <w:t>1</w:t>
            </w:r>
            <w:r>
              <w:rPr>
                <w:color w:val="auto"/>
                <w:highlight w:val="none"/>
              </w:rPr>
              <w:t>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真空吸引终端 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 xml:space="preserve">压缩空气终端  </w:t>
            </w:r>
            <w:r>
              <w:rPr>
                <w:rFonts w:hint="eastAsia"/>
                <w:color w:val="auto"/>
                <w:highlight w:val="none"/>
              </w:rPr>
              <w:t>1</w:t>
            </w:r>
            <w:r>
              <w:rPr>
                <w:color w:val="auto"/>
                <w:highlight w:val="none"/>
              </w:rPr>
              <w:t>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二氧化碳终端  1个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层板 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抽屉  1个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3套</w:t>
            </w:r>
          </w:p>
        </w:tc>
      </w:tr>
    </w:tbl>
    <w:p>
      <w:pPr>
        <w:spacing w:line="300" w:lineRule="exact"/>
        <w:rPr>
          <w:rFonts w:hint="eastAsia" w:ascii="宋体" w:hAnsi="宋体" w:eastAsia="宋体" w:cs="华文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_x000B__x000C_" w:hAnsi="_x000B__x000C_" w:eastAsia="宋体" w:cs="Times New Roman"/>
          <w:color w:val="auto"/>
          <w:szCs w:val="21"/>
          <w:highlight w:val="none"/>
        </w:rPr>
        <w:t>★为必须符合项；</w:t>
      </w:r>
      <w:r>
        <w:rPr>
          <w:rFonts w:hint="eastAsia" w:ascii="_x000B__x000C_" w:hAnsi="_x000B__x000C_"/>
          <w:color w:val="auto"/>
          <w:szCs w:val="21"/>
          <w:highlight w:val="none"/>
        </w:rPr>
        <w:t>“▲”指标为重要指标参数，需提供</w:t>
      </w:r>
      <w:r>
        <w:rPr>
          <w:rFonts w:hint="eastAsia" w:ascii="_x000B__x000C_" w:hAnsi="_x000B__x000C_"/>
          <w:color w:val="auto"/>
          <w:szCs w:val="21"/>
          <w:highlight w:val="none"/>
          <w:lang w:val="en-US" w:eastAsia="zh-CN"/>
        </w:rPr>
        <w:t>技术白皮书或产品说明书等证明材料</w:t>
      </w:r>
      <w:r>
        <w:rPr>
          <w:rFonts w:hint="eastAsia" w:ascii="_x000B__x000C_" w:hAnsi="_x000B__x000C_"/>
          <w:color w:val="auto"/>
          <w:szCs w:val="21"/>
          <w:highlight w:val="none"/>
          <w:lang w:eastAsia="zh-CN"/>
        </w:rPr>
        <w:t>。</w:t>
      </w:r>
    </w:p>
    <w:p>
      <w:pPr>
        <w:jc w:val="left"/>
        <w:rPr>
          <w:rFonts w:hint="eastAsia"/>
          <w:color w:val="auto"/>
          <w:highlight w:val="none"/>
          <w:lang w:val="en-US" w:eastAsia="zh-CN"/>
        </w:rPr>
      </w:pPr>
    </w:p>
    <w:p>
      <w:pPr>
        <w:jc w:val="left"/>
        <w:rPr>
          <w:rFonts w:hint="default" w:eastAsiaTheme="minor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其他要求：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1.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交货期：合同签订后60天内到医院现场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2.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付款方式：设备验收合格之后6个月内支付100%货款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3.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安装：应按照在买方确定的时间在买方用户所在地现场免费安装调试设备，技术指标合格后，出具验收报告。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4.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培训：应派遣合格的技术人员到买方所在地培训两名以上的技术人员，培训费用由卖方承担,在仪器正常使用后，厂家免费派遣应用工程使前往培训。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5.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质保期：</w:t>
      </w:r>
      <w:r>
        <w:rPr>
          <w:rFonts w:hint="eastAsia"/>
          <w:color w:val="auto"/>
          <w:highlight w:val="none"/>
          <w:lang w:eastAsia="zh-CN"/>
        </w:rPr>
        <w:t>》</w:t>
      </w:r>
      <w:r>
        <w:rPr>
          <w:rFonts w:hint="eastAsia"/>
          <w:color w:val="auto"/>
          <w:highlight w:val="none"/>
          <w:lang w:val="en-US" w:eastAsia="zh-CN"/>
        </w:rPr>
        <w:t>5</w:t>
      </w:r>
      <w:r>
        <w:rPr>
          <w:rFonts w:hint="eastAsia"/>
          <w:color w:val="auto"/>
          <w:highlight w:val="none"/>
        </w:rPr>
        <w:t>年</w:t>
      </w:r>
    </w:p>
    <w:p>
      <w:pPr>
        <w:rPr>
          <w:color w:val="auto"/>
          <w:highlight w:val="none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_x000B__x000C_">
    <w:altName w:val="Noto Sans SC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  <w:lang w:val="en-US" w:eastAsia="zh-CN"/>
      </w:rPr>
      <w:t xml:space="preserve">ZC20260133        </w:t>
    </w:r>
    <w:r>
      <w:rPr>
        <w:rFonts w:hint="eastAsia"/>
      </w:rPr>
      <w:t>上海市同仁医院所需一批灯床塔公开招标项目第二标包</w:t>
    </w:r>
    <w:r>
      <w:rPr>
        <w:rFonts w:hint="eastAsia"/>
        <w:lang w:val="en-US" w:eastAsia="zh-CN"/>
      </w:rPr>
      <w:t xml:space="preserve">               </w:t>
    </w:r>
    <w:r>
      <w:rPr>
        <w:rFonts w:hint="eastAsia"/>
      </w:rPr>
      <w:t>需求文件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AF3FD"/>
    <w:multiLevelType w:val="singleLevel"/>
    <w:tmpl w:val="52BAF3F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24B26"/>
    <w:rsid w:val="01AE4A8E"/>
    <w:rsid w:val="1440767A"/>
    <w:rsid w:val="2D4D7CA5"/>
    <w:rsid w:val="545B0629"/>
    <w:rsid w:val="62C24B26"/>
    <w:rsid w:val="774A6CDA"/>
    <w:rsid w:val="B95F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2988</Words>
  <Characters>3486</Characters>
  <Lines>0</Lines>
  <Paragraphs>0</Paragraphs>
  <TotalTime>4</TotalTime>
  <ScaleCrop>false</ScaleCrop>
  <LinksUpToDate>false</LinksUpToDate>
  <CharactersWithSpaces>3975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2026-07-22T08:50:00Z</dcterms:created>
  <dc:creator> </dc:creator>
  <cp:lastModifiedBy>Administrator</cp:lastModifiedBy>
  <dcterms:modified xsi:type="dcterms:W3CDTF">2026-07-27T07:18:28Z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