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outlineLvl w:val="0"/>
        <w:rPr>
          <w:rFonts w:hint="eastAsia" w:asciiTheme="majorEastAsia" w:hAnsiTheme="majorEastAsia" w:eastAsiaTheme="majorEastAsia" w:cstheme="majorEastAsia"/>
          <w:b/>
          <w:sz w:val="36"/>
          <w:szCs w:val="36"/>
          <w:highlight w:val="none"/>
        </w:rPr>
      </w:pPr>
      <w:bookmarkStart w:id="0" w:name="_Toc3695"/>
      <w:bookmarkStart w:id="1" w:name="_Toc28389"/>
      <w:bookmarkStart w:id="59" w:name="_GoBack"/>
      <w:bookmarkEnd w:id="59"/>
      <w:r>
        <w:rPr>
          <w:rFonts w:hint="eastAsia" w:asciiTheme="majorEastAsia" w:hAnsiTheme="majorEastAsia" w:eastAsiaTheme="majorEastAsia" w:cstheme="majorEastAsia"/>
          <w:b/>
          <w:sz w:val="36"/>
          <w:szCs w:val="36"/>
          <w:highlight w:val="none"/>
          <w:lang w:eastAsia="zh-CN"/>
        </w:rPr>
        <w:t>上海市</w:t>
      </w:r>
      <w:r>
        <w:rPr>
          <w:rFonts w:hint="eastAsia" w:asciiTheme="majorEastAsia" w:hAnsiTheme="majorEastAsia" w:eastAsiaTheme="majorEastAsia" w:cstheme="majorEastAsia"/>
          <w:b/>
          <w:sz w:val="36"/>
          <w:szCs w:val="36"/>
          <w:highlight w:val="none"/>
        </w:rPr>
        <w:t>长宁区</w:t>
      </w:r>
      <w:r>
        <w:rPr>
          <w:rFonts w:hint="eastAsia" w:asciiTheme="majorEastAsia" w:hAnsiTheme="majorEastAsia" w:eastAsiaTheme="majorEastAsia" w:cstheme="majorEastAsia"/>
          <w:b/>
          <w:sz w:val="36"/>
          <w:szCs w:val="36"/>
          <w:highlight w:val="none"/>
          <w:lang w:eastAsia="zh-CN"/>
        </w:rPr>
        <w:t>机管局</w:t>
      </w:r>
      <w:r>
        <w:rPr>
          <w:rFonts w:hint="eastAsia" w:asciiTheme="majorEastAsia" w:hAnsiTheme="majorEastAsia" w:eastAsiaTheme="majorEastAsia" w:cstheme="majorEastAsia"/>
          <w:b/>
          <w:sz w:val="36"/>
          <w:szCs w:val="36"/>
          <w:highlight w:val="none"/>
        </w:rPr>
        <w:t>机关大院物业餐饮一体化服务</w:t>
      </w:r>
    </w:p>
    <w:p>
      <w:pPr>
        <w:spacing w:line="480" w:lineRule="auto"/>
        <w:jc w:val="center"/>
        <w:outlineLvl w:val="0"/>
        <w:rPr>
          <w:rFonts w:hint="eastAsia" w:asciiTheme="majorEastAsia" w:hAnsiTheme="majorEastAsia" w:eastAsiaTheme="majorEastAsia" w:cstheme="majorEastAsia"/>
          <w:b/>
          <w:sz w:val="36"/>
          <w:szCs w:val="36"/>
          <w:highlight w:val="none"/>
        </w:rPr>
      </w:pPr>
      <w:r>
        <w:rPr>
          <w:rFonts w:hint="eastAsia" w:asciiTheme="majorEastAsia" w:hAnsiTheme="majorEastAsia" w:eastAsiaTheme="majorEastAsia" w:cstheme="majorEastAsia"/>
          <w:b/>
          <w:sz w:val="36"/>
          <w:szCs w:val="36"/>
          <w:highlight w:val="none"/>
          <w:lang w:eastAsia="zh-CN"/>
        </w:rPr>
        <w:t>公开招标项目招标</w:t>
      </w:r>
      <w:r>
        <w:rPr>
          <w:rFonts w:hint="eastAsia" w:asciiTheme="majorEastAsia" w:hAnsiTheme="majorEastAsia" w:eastAsiaTheme="majorEastAsia" w:cstheme="majorEastAsia"/>
          <w:b/>
          <w:sz w:val="36"/>
          <w:szCs w:val="36"/>
          <w:highlight w:val="none"/>
        </w:rPr>
        <w:t>需求</w:t>
      </w:r>
      <w:r>
        <w:rPr>
          <w:rFonts w:hint="eastAsia" w:asciiTheme="majorEastAsia" w:hAnsiTheme="majorEastAsia" w:eastAsiaTheme="majorEastAsia" w:cstheme="majorEastAsia"/>
          <w:b/>
          <w:sz w:val="36"/>
          <w:szCs w:val="36"/>
          <w:highlight w:val="none"/>
          <w:lang w:eastAsia="zh-CN"/>
        </w:rPr>
        <w:t>文件</w:t>
      </w:r>
      <w:bookmarkEnd w:id="0"/>
      <w:bookmarkEnd w:id="1"/>
    </w:p>
    <w:p>
      <w:pPr>
        <w:jc w:val="center"/>
        <w:rPr>
          <w:highlight w:val="none"/>
        </w:rPr>
      </w:pPr>
    </w:p>
    <w:p>
      <w:pPr>
        <w:numPr>
          <w:ilvl w:val="0"/>
          <w:numId w:val="0"/>
        </w:numPr>
        <w:spacing w:line="480" w:lineRule="exact"/>
        <w:ind w:leftChars="0"/>
        <w:outlineLvl w:val="0"/>
        <w:rPr>
          <w:rFonts w:hint="eastAsia" w:ascii="黑体" w:hAnsi="黑体" w:eastAsia="黑体" w:cs="黑体"/>
          <w:b/>
          <w:color w:val="auto"/>
          <w:sz w:val="28"/>
          <w:szCs w:val="28"/>
          <w:highlight w:val="none"/>
        </w:rPr>
      </w:pPr>
      <w:bookmarkStart w:id="2" w:name="_Toc7073"/>
      <w:r>
        <w:rPr>
          <w:rFonts w:hint="eastAsia" w:ascii="黑体" w:hAnsi="黑体" w:eastAsia="黑体" w:cs="黑体"/>
          <w:b/>
          <w:color w:val="auto"/>
          <w:sz w:val="28"/>
          <w:szCs w:val="28"/>
          <w:highlight w:val="none"/>
          <w:lang w:eastAsia="zh-CN"/>
        </w:rPr>
        <w:t>一、</w:t>
      </w:r>
      <w:r>
        <w:rPr>
          <w:rFonts w:hint="eastAsia" w:ascii="黑体" w:hAnsi="黑体" w:eastAsia="黑体" w:cs="黑体"/>
          <w:b/>
          <w:color w:val="auto"/>
          <w:sz w:val="28"/>
          <w:szCs w:val="28"/>
          <w:highlight w:val="none"/>
        </w:rPr>
        <w:t>项目</w:t>
      </w:r>
      <w:bookmarkEnd w:id="2"/>
      <w:r>
        <w:rPr>
          <w:rFonts w:hint="eastAsia" w:ascii="黑体" w:hAnsi="黑体" w:eastAsia="黑体" w:cs="黑体"/>
          <w:b/>
          <w:color w:val="auto"/>
          <w:sz w:val="28"/>
          <w:szCs w:val="28"/>
          <w:highlight w:val="none"/>
          <w:lang w:val="en-US" w:eastAsia="zh-CN"/>
        </w:rPr>
        <w:t>地址</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本项目服务范围有：</w:t>
      </w:r>
      <w:bookmarkStart w:id="3" w:name="OLE_LINK1"/>
      <w:r>
        <w:rPr>
          <w:rFonts w:hint="eastAsia" w:ascii="仿宋" w:hAnsi="仿宋" w:eastAsia="仿宋" w:cs="仿宋"/>
          <w:color w:val="auto"/>
          <w:sz w:val="24"/>
          <w:szCs w:val="24"/>
          <w:highlight w:val="none"/>
          <w:lang w:val="en-US" w:eastAsia="zh-CN"/>
        </w:rPr>
        <w:t>长宁路599号（机关大厦、9号楼、15号楼、16号楼、17号楼）、长宁路895号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安西路35号、安西路37号</w:t>
      </w:r>
      <w:r>
        <w:rPr>
          <w:rFonts w:hint="eastAsia" w:ascii="仿宋" w:hAnsi="仿宋" w:eastAsia="仿宋" w:cs="仿宋"/>
          <w:color w:val="auto"/>
          <w:sz w:val="24"/>
          <w:szCs w:val="24"/>
          <w:highlight w:val="none"/>
        </w:rPr>
        <w:t>、愚园路1136弄60号、</w:t>
      </w:r>
      <w:r>
        <w:rPr>
          <w:rFonts w:hint="eastAsia" w:ascii="仿宋" w:hAnsi="仿宋" w:eastAsia="仿宋" w:cs="仿宋"/>
          <w:color w:val="auto"/>
          <w:sz w:val="24"/>
          <w:szCs w:val="24"/>
          <w:highlight w:val="none"/>
          <w:lang w:val="en-US" w:eastAsia="zh-CN"/>
        </w:rPr>
        <w:t>安西路23弄1-4号、长宁路626号，</w:t>
      </w:r>
      <w:bookmarkEnd w:id="3"/>
      <w:r>
        <w:rPr>
          <w:rFonts w:hint="eastAsia" w:ascii="仿宋" w:hAnsi="仿宋" w:eastAsia="仿宋" w:cs="仿宋"/>
          <w:color w:val="auto"/>
          <w:sz w:val="24"/>
          <w:szCs w:val="24"/>
          <w:highlight w:val="none"/>
          <w:lang w:val="en-US" w:eastAsia="zh-CN"/>
        </w:rPr>
        <w:t>总面积约7.1万平方米</w:t>
      </w:r>
      <w:r>
        <w:rPr>
          <w:rFonts w:hint="eastAsia" w:ascii="仿宋" w:hAnsi="仿宋" w:eastAsia="仿宋" w:cs="仿宋"/>
          <w:color w:val="auto"/>
          <w:sz w:val="24"/>
          <w:szCs w:val="24"/>
          <w:highlight w:val="none"/>
        </w:rPr>
        <w:t>。</w:t>
      </w:r>
    </w:p>
    <w:p>
      <w:pPr>
        <w:numPr>
          <w:ilvl w:val="0"/>
          <w:numId w:val="0"/>
        </w:numPr>
        <w:spacing w:line="480" w:lineRule="exact"/>
        <w:ind w:leftChars="0"/>
        <w:outlineLvl w:val="0"/>
        <w:rPr>
          <w:rFonts w:ascii="黑体" w:hAnsi="黑体" w:eastAsia="黑体" w:cs="黑体"/>
          <w:b/>
          <w:sz w:val="28"/>
          <w:szCs w:val="28"/>
          <w:highlight w:val="none"/>
        </w:rPr>
      </w:pPr>
      <w:bookmarkStart w:id="4" w:name="_Toc13564"/>
      <w:r>
        <w:rPr>
          <w:rFonts w:hint="eastAsia" w:ascii="黑体" w:hAnsi="黑体" w:eastAsia="黑体" w:cs="黑体"/>
          <w:b/>
          <w:sz w:val="28"/>
          <w:szCs w:val="28"/>
          <w:highlight w:val="none"/>
          <w:lang w:eastAsia="zh-CN"/>
        </w:rPr>
        <w:t>二、</w:t>
      </w:r>
      <w:r>
        <w:rPr>
          <w:rFonts w:hint="eastAsia" w:ascii="黑体" w:hAnsi="黑体" w:eastAsia="黑体" w:cs="黑体"/>
          <w:b/>
          <w:sz w:val="28"/>
          <w:szCs w:val="28"/>
          <w:highlight w:val="none"/>
        </w:rPr>
        <w:t>物业管理服务需求</w:t>
      </w:r>
      <w:bookmarkEnd w:id="4"/>
    </w:p>
    <w:p>
      <w:pPr>
        <w:spacing w:before="156" w:beforeLines="50" w:after="156" w:afterLines="50" w:line="360" w:lineRule="auto"/>
        <w:ind w:firstLine="482" w:firstLineChars="200"/>
        <w:outlineLvl w:val="1"/>
        <w:rPr>
          <w:rFonts w:ascii="仿宋" w:hAnsi="仿宋" w:eastAsia="仿宋" w:cs="仿宋"/>
          <w:b/>
          <w:bCs/>
          <w:i w:val="0"/>
          <w:iCs w:val="0"/>
          <w:sz w:val="24"/>
          <w:szCs w:val="24"/>
          <w:highlight w:val="none"/>
        </w:rPr>
      </w:pPr>
      <w:bookmarkStart w:id="5" w:name="_Toc18271"/>
      <w:bookmarkStart w:id="6" w:name="_Toc2191"/>
      <w:r>
        <w:rPr>
          <w:rFonts w:hint="eastAsia" w:ascii="仿宋" w:hAnsi="仿宋" w:eastAsia="仿宋" w:cs="仿宋"/>
          <w:b/>
          <w:bCs/>
          <w:i w:val="0"/>
          <w:iCs w:val="0"/>
          <w:sz w:val="24"/>
          <w:szCs w:val="24"/>
          <w:highlight w:val="none"/>
        </w:rPr>
        <w:t>（一）物业管理服务要求</w:t>
      </w:r>
      <w:bookmarkEnd w:id="5"/>
      <w:bookmarkEnd w:id="6"/>
    </w:p>
    <w:p>
      <w:pPr>
        <w:spacing w:before="156" w:beforeLines="50" w:after="156" w:afterLines="50" w:line="360" w:lineRule="auto"/>
        <w:ind w:firstLine="482" w:firstLineChars="200"/>
        <w:outlineLvl w:val="2"/>
        <w:rPr>
          <w:rFonts w:ascii="仿宋" w:hAnsi="仿宋" w:eastAsia="仿宋" w:cs="仿宋"/>
          <w:b/>
          <w:bCs/>
          <w:sz w:val="24"/>
          <w:szCs w:val="24"/>
          <w:highlight w:val="none"/>
        </w:rPr>
      </w:pPr>
      <w:r>
        <w:rPr>
          <w:rFonts w:hint="eastAsia" w:ascii="仿宋" w:hAnsi="仿宋" w:eastAsia="仿宋" w:cs="仿宋"/>
          <w:b/>
          <w:bCs/>
          <w:sz w:val="24"/>
          <w:szCs w:val="24"/>
          <w:highlight w:val="none"/>
        </w:rPr>
        <w:t>1、资质要求</w:t>
      </w:r>
    </w:p>
    <w:p>
      <w:pPr>
        <w:spacing w:before="156" w:beforeLines="50" w:after="156" w:afterLines="50"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1.1物业管理企业应</w:t>
      </w:r>
      <w:r>
        <w:rPr>
          <w:rFonts w:hint="eastAsia" w:ascii="仿宋" w:hAnsi="仿宋" w:eastAsia="仿宋" w:cs="仿宋"/>
          <w:color w:val="000000" w:themeColor="text1"/>
          <w:sz w:val="24"/>
          <w:szCs w:val="24"/>
          <w:highlight w:val="none"/>
          <w:lang w:eastAsia="zh-CN"/>
          <w14:textFill>
            <w14:solidFill>
              <w14:schemeClr w14:val="tx1"/>
            </w14:solidFill>
          </w14:textFill>
        </w:rPr>
        <w:t>符合</w:t>
      </w:r>
      <w:r>
        <w:rPr>
          <w:rFonts w:hint="eastAsia" w:ascii="仿宋" w:hAnsi="仿宋" w:eastAsia="仿宋" w:cs="仿宋"/>
          <w:color w:val="000000" w:themeColor="text1"/>
          <w:sz w:val="24"/>
          <w:szCs w:val="24"/>
          <w:highlight w:val="none"/>
          <w14:textFill>
            <w14:solidFill>
              <w14:schemeClr w14:val="tx1"/>
            </w14:solidFill>
          </w14:textFill>
        </w:rPr>
        <w:t>从事物业管理服务的</w:t>
      </w:r>
      <w:r>
        <w:rPr>
          <w:rFonts w:hint="eastAsia" w:ascii="仿宋" w:hAnsi="仿宋" w:eastAsia="仿宋" w:cs="仿宋"/>
          <w:color w:val="000000" w:themeColor="text1"/>
          <w:sz w:val="24"/>
          <w:szCs w:val="24"/>
          <w:highlight w:val="none"/>
          <w:lang w:eastAsia="zh-CN"/>
          <w14:textFill>
            <w14:solidFill>
              <w14:schemeClr w14:val="tx1"/>
            </w14:solidFill>
          </w14:textFill>
        </w:rPr>
        <w:t>要求。</w:t>
      </w:r>
    </w:p>
    <w:p>
      <w:pPr>
        <w:spacing w:before="156" w:beforeLines="50" w:after="156" w:afterLines="50" w:line="360" w:lineRule="auto"/>
        <w:ind w:firstLine="482" w:firstLineChars="200"/>
        <w:outlineLvl w:val="2"/>
        <w:rPr>
          <w:rFonts w:ascii="仿宋" w:hAnsi="仿宋" w:eastAsia="仿宋" w:cs="仿宋"/>
          <w:b/>
          <w:bCs/>
          <w:sz w:val="24"/>
          <w:szCs w:val="24"/>
          <w:highlight w:val="none"/>
        </w:rPr>
      </w:pPr>
      <w:r>
        <w:rPr>
          <w:rFonts w:hint="eastAsia" w:ascii="仿宋" w:hAnsi="仿宋" w:eastAsia="仿宋" w:cs="仿宋"/>
          <w:b/>
          <w:bCs/>
          <w:sz w:val="24"/>
          <w:szCs w:val="24"/>
          <w:highlight w:val="none"/>
        </w:rPr>
        <w:t>2、管理机构与人力资源配置要求</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2.1物业管理企业应结合业主方的需求，设置相适应的办公用房物业管理服务机构,配备管理人员和服务设施。</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2.2 管理人员应取得物业管理从业资格证书或岗位证书,专业技术、操作人员应取得相应专业技术证书或职业技能资格证书。</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2.3管理服务人员在服务过程中应保持良好的精神状态;表情自然、亲切;举止大方、有礼;用语文明、规范;提供主动、热情、耐心、周到并及时的服务。</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2.4 管理服务人员应按规定统一着装、着装整齐清洁,仪表仪容整洁端庄;在指定位置佩戴标志,站姿端正,坐姿稳重,行为规范,服务主动。</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2.5管理服务人员应及时、认真做好工作日志、交接班记录、账册等记录工作,做到字迹清晰、数据准确。</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2.6 管理服务人员应接受过相关专业技能的培训,掌握物业管理基本法律法规,熟悉办公用房的基本情况,能正确使用相关专用设备。</w:t>
      </w:r>
    </w:p>
    <w:p>
      <w:pPr>
        <w:spacing w:before="156" w:beforeLines="50" w:after="156" w:afterLines="50" w:line="360" w:lineRule="auto"/>
        <w:ind w:firstLine="480" w:firstLineChars="200"/>
        <w:outlineLvl w:val="2"/>
        <w:rPr>
          <w:rFonts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b/>
          <w:bCs/>
          <w:sz w:val="24"/>
          <w:szCs w:val="24"/>
          <w:highlight w:val="none"/>
        </w:rPr>
        <w:t>、管理服务要求</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3.1办公用房物业管理服务机构的维护保养工作,应保持房屋建筑的完好和设施设备的正常运行。</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3.2办公用房物业管理服务机构宜从实际出发,根据《上海市建筑节能管理办法》,充分考虑制定合适、有效的节约能源方案,并付诸实施。</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3.3办公用房物业管理服务机构应为办公用房提供全天候的公共秩序维护服务和安全服务,维护办公用房的人员、财产和建筑物的安全。</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3.4 办公用房物业管理服务机构应按时完成规定的环境保洁服务,为顾客提供整洁、卫生、安全、美观的环境。</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3.5 办公用房物业管理服务机构应对仓储和采购进行控制,使仓储和采购的物资及服务符合本标准及相关标准在质量、环境、安全等方面的要求。</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3.6办公用房物业管理服务机构应对自然灾害、事故灾害、公共卫生事件和社会安全事件等突发公共事件建立应急预案,并组织实施培训、演习、评价和改进,事发时按规定途径及时报告业主方、物业管理企业和有关部门,并采取相应措施。</w:t>
      </w:r>
    </w:p>
    <w:p>
      <w:pPr>
        <w:spacing w:before="156" w:beforeLines="50" w:after="156" w:afterLines="50" w:line="360" w:lineRule="auto"/>
        <w:ind w:firstLine="482" w:firstLineChars="200"/>
        <w:outlineLvl w:val="2"/>
        <w:rPr>
          <w:rFonts w:ascii="仿宋" w:hAnsi="仿宋" w:eastAsia="仿宋" w:cs="仿宋"/>
          <w:b/>
          <w:bCs/>
          <w:sz w:val="24"/>
          <w:szCs w:val="24"/>
          <w:highlight w:val="none"/>
        </w:rPr>
      </w:pPr>
      <w:r>
        <w:rPr>
          <w:rFonts w:hint="eastAsia" w:ascii="仿宋" w:hAnsi="仿宋" w:eastAsia="仿宋" w:cs="仿宋"/>
          <w:b/>
          <w:bCs/>
          <w:sz w:val="24"/>
          <w:szCs w:val="24"/>
          <w:highlight w:val="none"/>
        </w:rPr>
        <w:t>4、基础管理服务</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4.1建立完善的物业管理档案制度，比如：设备管理档案、日常管理档案等。</w:t>
      </w:r>
    </w:p>
    <w:p>
      <w:pPr>
        <w:spacing w:before="156" w:beforeLines="50" w:after="156" w:afterLines="50" w:line="360" w:lineRule="auto"/>
        <w:ind w:firstLine="482" w:firstLineChars="200"/>
        <w:outlineLvl w:val="2"/>
        <w:rPr>
          <w:rFonts w:ascii="仿宋" w:hAnsi="仿宋" w:eastAsia="仿宋" w:cs="仿宋"/>
          <w:b/>
          <w:bCs/>
          <w:sz w:val="24"/>
          <w:szCs w:val="24"/>
          <w:highlight w:val="none"/>
        </w:rPr>
      </w:pPr>
      <w:r>
        <w:rPr>
          <w:rFonts w:hint="eastAsia" w:ascii="仿宋" w:hAnsi="仿宋" w:eastAsia="仿宋" w:cs="仿宋"/>
          <w:b/>
          <w:bCs/>
          <w:sz w:val="24"/>
          <w:szCs w:val="24"/>
          <w:highlight w:val="none"/>
        </w:rPr>
        <w:t>5、检验方法</w:t>
      </w:r>
    </w:p>
    <w:p>
      <w:pPr>
        <w:spacing w:before="156" w:beforeLines="50" w:after="156" w:afterLines="50" w:line="360" w:lineRule="auto"/>
        <w:ind w:firstLine="480" w:firstLineChars="200"/>
        <w:outlineLvl w:val="3"/>
        <w:rPr>
          <w:rFonts w:ascii="仿宋" w:hAnsi="仿宋" w:eastAsia="仿宋" w:cs="仿宋"/>
          <w:sz w:val="24"/>
          <w:szCs w:val="24"/>
          <w:highlight w:val="none"/>
        </w:rPr>
      </w:pPr>
      <w:r>
        <w:rPr>
          <w:rFonts w:hint="eastAsia" w:ascii="仿宋" w:hAnsi="仿宋" w:eastAsia="仿宋" w:cs="仿宋"/>
          <w:sz w:val="24"/>
          <w:szCs w:val="24"/>
          <w:highlight w:val="none"/>
        </w:rPr>
        <w:t>5.1 自主检查</w:t>
      </w:r>
    </w:p>
    <w:p>
      <w:pPr>
        <w:spacing w:before="156" w:beforeLines="50" w:after="156" w:afterLines="50" w:line="360" w:lineRule="auto"/>
        <w:ind w:firstLine="480" w:firstLineChars="200"/>
        <w:outlineLvl w:val="4"/>
        <w:rPr>
          <w:rFonts w:ascii="仿宋" w:hAnsi="仿宋" w:eastAsia="仿宋" w:cs="仿宋"/>
          <w:sz w:val="24"/>
          <w:szCs w:val="24"/>
          <w:highlight w:val="none"/>
        </w:rPr>
      </w:pPr>
      <w:r>
        <w:rPr>
          <w:rFonts w:hint="eastAsia" w:ascii="仿宋" w:hAnsi="仿宋" w:eastAsia="仿宋" w:cs="仿宋"/>
          <w:sz w:val="24"/>
          <w:szCs w:val="24"/>
          <w:highlight w:val="none"/>
        </w:rPr>
        <w:t>5.1.1服务人员自查</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从事物业管理服务每一位员工均应对所提供的服务实施自主检查,遇质量异常或者直接投诉时,应及时纠正,如系重大或特殊异常应立即报告主管人员。</w:t>
      </w:r>
    </w:p>
    <w:p>
      <w:pPr>
        <w:spacing w:before="156" w:beforeLines="50" w:after="156" w:afterLines="50" w:line="360" w:lineRule="auto"/>
        <w:ind w:firstLine="480" w:firstLineChars="200"/>
        <w:outlineLvl w:val="4"/>
        <w:rPr>
          <w:rFonts w:ascii="仿宋" w:hAnsi="仿宋" w:eastAsia="仿宋" w:cs="仿宋"/>
          <w:sz w:val="24"/>
          <w:szCs w:val="24"/>
          <w:highlight w:val="none"/>
        </w:rPr>
      </w:pPr>
      <w:r>
        <w:rPr>
          <w:rFonts w:hint="eastAsia" w:ascii="仿宋" w:hAnsi="仿宋" w:eastAsia="仿宋" w:cs="仿宋"/>
          <w:sz w:val="24"/>
          <w:szCs w:val="24"/>
          <w:highlight w:val="none"/>
        </w:rPr>
        <w:t>5.1.2办公用房物业管理服务机构自查</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办公用房物业管理服务机构自主检查的主要方式:常规例行检查、夜间巡查、全面自查。</w:t>
      </w:r>
    </w:p>
    <w:p>
      <w:pPr>
        <w:spacing w:before="156" w:beforeLines="50" w:after="156" w:afterLines="50" w:line="360" w:lineRule="auto"/>
        <w:ind w:firstLine="480" w:firstLineChars="200"/>
        <w:outlineLvl w:val="4"/>
        <w:rPr>
          <w:rFonts w:ascii="仿宋" w:hAnsi="仿宋" w:eastAsia="仿宋" w:cs="仿宋"/>
          <w:sz w:val="24"/>
          <w:szCs w:val="24"/>
          <w:highlight w:val="none"/>
        </w:rPr>
      </w:pPr>
      <w:r>
        <w:rPr>
          <w:rFonts w:hint="eastAsia" w:ascii="仿宋" w:hAnsi="仿宋" w:eastAsia="仿宋" w:cs="仿宋"/>
          <w:sz w:val="24"/>
          <w:szCs w:val="24"/>
          <w:highlight w:val="none"/>
        </w:rPr>
        <w:t>5.1.3物业管理企业监督检查</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物业管理企业应加强对办公用房物业管理服务机构的监督检查。</w:t>
      </w:r>
    </w:p>
    <w:p>
      <w:pPr>
        <w:spacing w:before="156" w:beforeLines="50" w:after="156" w:afterLines="50" w:line="360" w:lineRule="auto"/>
        <w:ind w:firstLine="480" w:firstLineChars="200"/>
        <w:outlineLvl w:val="3"/>
        <w:rPr>
          <w:rFonts w:ascii="仿宋" w:hAnsi="仿宋" w:eastAsia="仿宋" w:cs="仿宋"/>
          <w:sz w:val="24"/>
          <w:szCs w:val="24"/>
          <w:highlight w:val="none"/>
        </w:rPr>
      </w:pPr>
      <w:r>
        <w:rPr>
          <w:rFonts w:hint="eastAsia" w:ascii="仿宋" w:hAnsi="仿宋" w:eastAsia="仿宋" w:cs="仿宋"/>
          <w:sz w:val="24"/>
          <w:szCs w:val="24"/>
          <w:highlight w:val="none"/>
        </w:rPr>
        <w:t>5.2 特种设备安全监察</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应参照《特种设备安全监察条例》规定的要求实施。</w:t>
      </w:r>
    </w:p>
    <w:p>
      <w:pPr>
        <w:rPr>
          <w:rFonts w:ascii="仿宋" w:hAnsi="仿宋" w:eastAsia="仿宋" w:cs="仿宋"/>
          <w:b/>
          <w:bCs/>
          <w:i/>
          <w:iCs/>
          <w:sz w:val="24"/>
          <w:szCs w:val="24"/>
          <w:highlight w:val="none"/>
        </w:rPr>
      </w:pPr>
    </w:p>
    <w:p>
      <w:pPr>
        <w:spacing w:before="156" w:beforeLines="50" w:after="156" w:afterLines="50" w:line="360" w:lineRule="auto"/>
        <w:ind w:firstLine="482" w:firstLineChars="200"/>
        <w:outlineLvl w:val="1"/>
        <w:rPr>
          <w:rFonts w:ascii="仿宋" w:hAnsi="仿宋" w:eastAsia="仿宋" w:cs="仿宋"/>
          <w:b/>
          <w:bCs/>
          <w:i w:val="0"/>
          <w:iCs w:val="0"/>
          <w:sz w:val="24"/>
          <w:szCs w:val="24"/>
          <w:highlight w:val="none"/>
        </w:rPr>
      </w:pPr>
      <w:bookmarkStart w:id="7" w:name="_Toc27403"/>
      <w:bookmarkStart w:id="8" w:name="_Toc12608"/>
      <w:r>
        <w:rPr>
          <w:rFonts w:hint="eastAsia" w:ascii="仿宋" w:hAnsi="仿宋" w:eastAsia="仿宋" w:cs="仿宋"/>
          <w:b/>
          <w:bCs/>
          <w:i w:val="0"/>
          <w:iCs w:val="0"/>
          <w:sz w:val="24"/>
          <w:szCs w:val="24"/>
          <w:highlight w:val="none"/>
        </w:rPr>
        <w:t>（二）物业管理服务内容</w:t>
      </w:r>
      <w:bookmarkEnd w:id="7"/>
      <w:bookmarkEnd w:id="8"/>
    </w:p>
    <w:p>
      <w:pPr>
        <w:spacing w:before="156" w:beforeLines="50" w:after="156" w:afterLines="50" w:line="360" w:lineRule="auto"/>
        <w:ind w:firstLine="480" w:firstLineChars="200"/>
        <w:rPr>
          <w:rFonts w:ascii="仿宋" w:hAnsi="仿宋" w:eastAsia="仿宋" w:cs="仿宋"/>
          <w:b/>
          <w:bCs/>
          <w:sz w:val="24"/>
          <w:szCs w:val="24"/>
          <w:highlight w:val="none"/>
        </w:rPr>
      </w:pPr>
      <w:r>
        <w:rPr>
          <w:rFonts w:hint="eastAsia" w:ascii="仿宋" w:hAnsi="仿宋" w:eastAsia="仿宋" w:cs="仿宋"/>
          <w:sz w:val="24"/>
          <w:szCs w:val="24"/>
          <w:highlight w:val="none"/>
        </w:rPr>
        <w:t>按照国家、地方、本行业最高水准的要求，结合本项目的实际情况，物业管理方应提供房屋、设施设备运行与维护服务、秩序维护与安全服务、环境保洁服务等物业管理服务内容（</w:t>
      </w:r>
      <w:r>
        <w:rPr>
          <w:rFonts w:hint="eastAsia" w:ascii="仿宋" w:hAnsi="仿宋" w:eastAsia="仿宋" w:cs="仿宋"/>
          <w:sz w:val="24"/>
          <w:szCs w:val="24"/>
          <w:highlight w:val="none"/>
          <w:lang w:val="en-US" w:eastAsia="zh-CN"/>
        </w:rPr>
        <w:t>一般</w:t>
      </w:r>
      <w:r>
        <w:rPr>
          <w:rFonts w:hint="eastAsia" w:ascii="仿宋" w:hAnsi="仿宋" w:eastAsia="仿宋" w:cs="仿宋"/>
          <w:sz w:val="24"/>
          <w:szCs w:val="24"/>
          <w:highlight w:val="none"/>
        </w:rPr>
        <w:t>不含专业维护</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另有约定的除外</w:t>
      </w:r>
      <w:r>
        <w:rPr>
          <w:rFonts w:hint="eastAsia" w:ascii="仿宋" w:hAnsi="仿宋" w:eastAsia="仿宋" w:cs="仿宋"/>
          <w:sz w:val="24"/>
          <w:szCs w:val="24"/>
          <w:highlight w:val="none"/>
        </w:rPr>
        <w:t>）。请在投标文件中对工作内容的服务标准一一响应。</w:t>
      </w:r>
    </w:p>
    <w:p>
      <w:pPr>
        <w:numPr>
          <w:ilvl w:val="0"/>
          <w:numId w:val="0"/>
        </w:numPr>
        <w:spacing w:before="156" w:beforeLines="50" w:after="156" w:afterLines="50" w:line="360" w:lineRule="auto"/>
        <w:ind w:firstLine="482" w:firstLineChars="200"/>
        <w:outlineLvl w:val="2"/>
        <w:rPr>
          <w:rFonts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主要工作内容</w:t>
      </w:r>
    </w:p>
    <w:p>
      <w:pPr>
        <w:tabs>
          <w:tab w:val="left" w:pos="540"/>
          <w:tab w:val="left" w:pos="1080"/>
        </w:tabs>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1.1房屋本体的管理与养护。</w:t>
      </w:r>
    </w:p>
    <w:p>
      <w:pPr>
        <w:tabs>
          <w:tab w:val="left" w:pos="540"/>
          <w:tab w:val="left" w:pos="1080"/>
        </w:tabs>
        <w:spacing w:before="156" w:beforeLines="50" w:after="156" w:afterLines="50" w:line="360" w:lineRule="auto"/>
        <w:ind w:firstLine="480" w:firstLineChars="200"/>
        <w:outlineLvl w:val="3"/>
        <w:rPr>
          <w:rFonts w:ascii="仿宋" w:hAnsi="仿宋" w:eastAsia="仿宋" w:cs="仿宋"/>
          <w:sz w:val="24"/>
          <w:szCs w:val="24"/>
          <w:highlight w:val="none"/>
        </w:rPr>
      </w:pPr>
      <w:r>
        <w:rPr>
          <w:rFonts w:hint="eastAsia" w:ascii="仿宋" w:hAnsi="仿宋" w:eastAsia="仿宋" w:cs="仿宋"/>
          <w:sz w:val="24"/>
          <w:szCs w:val="24"/>
          <w:highlight w:val="none"/>
        </w:rPr>
        <w:t>1.2设备设施运行与维护服务。</w:t>
      </w:r>
    </w:p>
    <w:p>
      <w:pPr>
        <w:tabs>
          <w:tab w:val="left" w:pos="540"/>
          <w:tab w:val="left" w:pos="1080"/>
        </w:tabs>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1.2.1提供变配电系统运行与维护服务；</w:t>
      </w:r>
    </w:p>
    <w:p>
      <w:pPr>
        <w:tabs>
          <w:tab w:val="left" w:pos="540"/>
          <w:tab w:val="left" w:pos="1080"/>
        </w:tabs>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1.2.2提供应急供电系统运行与维护服务；</w:t>
      </w:r>
    </w:p>
    <w:p>
      <w:pPr>
        <w:tabs>
          <w:tab w:val="left" w:pos="540"/>
          <w:tab w:val="left" w:pos="1080"/>
        </w:tabs>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1.2.3提供楼智能化设备系统运行与维护服务，主要涉及楼宇设备自动化（BA）系统、网络与通讯设备系统（网络通讯设备、广播与背景音响系统等）；</w:t>
      </w:r>
    </w:p>
    <w:p>
      <w:pPr>
        <w:tabs>
          <w:tab w:val="left" w:pos="540"/>
          <w:tab w:val="left" w:pos="1080"/>
        </w:tabs>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1.2.4提供安全防范系统运行与维护服务，主要涉及监控系统、巡更系统、周界报警器系统、对讲系统；</w:t>
      </w:r>
    </w:p>
    <w:p>
      <w:pPr>
        <w:tabs>
          <w:tab w:val="left" w:pos="540"/>
          <w:tab w:val="left" w:pos="1080"/>
        </w:tabs>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1.2.5提供车库管理系统运行与维护服务（如有）；</w:t>
      </w:r>
    </w:p>
    <w:p>
      <w:pPr>
        <w:tabs>
          <w:tab w:val="left" w:pos="540"/>
          <w:tab w:val="left" w:pos="1080"/>
        </w:tabs>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1.2.6提供门禁系统运行与维护服务；</w:t>
      </w:r>
    </w:p>
    <w:p>
      <w:pPr>
        <w:tabs>
          <w:tab w:val="left" w:pos="540"/>
          <w:tab w:val="left" w:pos="1080"/>
        </w:tabs>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1.2.7提供卫星电视系统运行与维护服务（如有）；</w:t>
      </w:r>
    </w:p>
    <w:p>
      <w:pPr>
        <w:tabs>
          <w:tab w:val="left" w:pos="540"/>
          <w:tab w:val="left" w:pos="1080"/>
        </w:tabs>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1.2.8提供消防报警与灭火系统运行与维护服务；</w:t>
      </w:r>
    </w:p>
    <w:p>
      <w:pPr>
        <w:tabs>
          <w:tab w:val="left" w:pos="540"/>
          <w:tab w:val="left" w:pos="1080"/>
        </w:tabs>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1.2.9提供升降设备系统运行与维护服务，主要涉及电梯及自动扶梯、高空作业设备、液压升降设备等；</w:t>
      </w:r>
    </w:p>
    <w:p>
      <w:pPr>
        <w:tabs>
          <w:tab w:val="left" w:pos="540"/>
          <w:tab w:val="left" w:pos="1080"/>
        </w:tabs>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1.2.10提供给排水系统运行与维护服务；</w:t>
      </w:r>
    </w:p>
    <w:p>
      <w:pPr>
        <w:tabs>
          <w:tab w:val="left" w:pos="540"/>
          <w:tab w:val="left" w:pos="1080"/>
        </w:tabs>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1.2.11提供空调系统运行与维护服务；</w:t>
      </w:r>
    </w:p>
    <w:p>
      <w:pPr>
        <w:tabs>
          <w:tab w:val="left" w:pos="540"/>
          <w:tab w:val="left" w:pos="1080"/>
        </w:tabs>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1.2.12提供锅炉系统运行与维护服务；</w:t>
      </w:r>
    </w:p>
    <w:p>
      <w:pPr>
        <w:tabs>
          <w:tab w:val="left" w:pos="540"/>
          <w:tab w:val="left" w:pos="1080"/>
        </w:tabs>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1.2.13提供公共照明系统运行与维护服务；</w:t>
      </w:r>
    </w:p>
    <w:p>
      <w:pPr>
        <w:tabs>
          <w:tab w:val="left" w:pos="540"/>
          <w:tab w:val="left" w:pos="1080"/>
        </w:tabs>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1.2.14提供避雷系统运行与维护服务；</w:t>
      </w:r>
    </w:p>
    <w:p>
      <w:pPr>
        <w:tabs>
          <w:tab w:val="left" w:pos="540"/>
          <w:tab w:val="left" w:pos="1080"/>
        </w:tabs>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1.2.15提供部位等日常维修服务；</w:t>
      </w:r>
    </w:p>
    <w:p>
      <w:pPr>
        <w:tabs>
          <w:tab w:val="left" w:pos="540"/>
          <w:tab w:val="left" w:pos="1080"/>
        </w:tabs>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1.2.16提供与业主方有关的其他设施设备运行与维护服务；</w:t>
      </w:r>
    </w:p>
    <w:p>
      <w:pPr>
        <w:tabs>
          <w:tab w:val="left" w:pos="540"/>
          <w:tab w:val="left" w:pos="1080"/>
        </w:tabs>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1.2.17提供有相关标识管理服务。</w:t>
      </w:r>
    </w:p>
    <w:p>
      <w:pPr>
        <w:tabs>
          <w:tab w:val="left" w:pos="540"/>
          <w:tab w:val="left" w:pos="1080"/>
        </w:tabs>
        <w:spacing w:before="156" w:beforeLines="50" w:after="156" w:afterLines="50" w:line="360" w:lineRule="auto"/>
        <w:ind w:firstLine="480" w:firstLineChars="200"/>
        <w:outlineLvl w:val="3"/>
        <w:rPr>
          <w:rFonts w:ascii="仿宋" w:hAnsi="仿宋" w:eastAsia="仿宋" w:cs="仿宋"/>
          <w:sz w:val="24"/>
          <w:szCs w:val="24"/>
          <w:highlight w:val="none"/>
        </w:rPr>
      </w:pPr>
      <w:r>
        <w:rPr>
          <w:rFonts w:hint="eastAsia" w:ascii="仿宋" w:hAnsi="仿宋" w:eastAsia="仿宋" w:cs="仿宋"/>
          <w:sz w:val="24"/>
          <w:szCs w:val="24"/>
          <w:highlight w:val="none"/>
        </w:rPr>
        <w:t>1.3秩序维护与安全服务。</w:t>
      </w:r>
    </w:p>
    <w:p>
      <w:pPr>
        <w:tabs>
          <w:tab w:val="left" w:pos="540"/>
          <w:tab w:val="left" w:pos="1080"/>
        </w:tabs>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1.3.1做好门卫、访客接待服务、巡视、监控、停车管理、突发公共事件处置等各项公共秩序维护工作；</w:t>
      </w:r>
    </w:p>
    <w:p>
      <w:pPr>
        <w:tabs>
          <w:tab w:val="left" w:pos="540"/>
          <w:tab w:val="left" w:pos="1080"/>
        </w:tabs>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1.3.2做好消防管理、安全生产及灾害预防等各项安全管理工作。</w:t>
      </w:r>
    </w:p>
    <w:p>
      <w:pPr>
        <w:tabs>
          <w:tab w:val="left" w:pos="540"/>
          <w:tab w:val="left" w:pos="1080"/>
        </w:tabs>
        <w:spacing w:before="156" w:beforeLines="50" w:after="156" w:afterLines="50" w:line="360" w:lineRule="auto"/>
        <w:ind w:firstLine="480" w:firstLineChars="200"/>
        <w:outlineLvl w:val="3"/>
        <w:rPr>
          <w:rFonts w:ascii="仿宋" w:hAnsi="仿宋" w:eastAsia="仿宋" w:cs="仿宋"/>
          <w:sz w:val="24"/>
          <w:szCs w:val="24"/>
          <w:highlight w:val="none"/>
        </w:rPr>
      </w:pPr>
      <w:r>
        <w:rPr>
          <w:rFonts w:hint="eastAsia" w:ascii="仿宋" w:hAnsi="仿宋" w:eastAsia="仿宋" w:cs="仿宋"/>
          <w:sz w:val="24"/>
          <w:szCs w:val="24"/>
          <w:highlight w:val="none"/>
        </w:rPr>
        <w:t>1.4环境保洁服务。</w:t>
      </w:r>
    </w:p>
    <w:p>
      <w:pPr>
        <w:tabs>
          <w:tab w:val="left" w:pos="540"/>
          <w:tab w:val="left" w:pos="1080"/>
        </w:tabs>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1.4.1根据办公用房地面、镜面和墙面的材质以及不同部位的清洁要求，结合业主方实际，提供相应的保洁服务。</w:t>
      </w:r>
    </w:p>
    <w:p>
      <w:pPr>
        <w:tabs>
          <w:tab w:val="left" w:pos="540"/>
          <w:tab w:val="left" w:pos="1080"/>
        </w:tabs>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1.4.2监管灭鼠、灭蟑、灭蚊蝇、灭白蚁等有害生物防治和消杀服务。</w:t>
      </w:r>
    </w:p>
    <w:p>
      <w:pPr>
        <w:tabs>
          <w:tab w:val="left" w:pos="540"/>
          <w:tab w:val="left" w:pos="1080"/>
        </w:tabs>
        <w:spacing w:before="156" w:beforeLines="50" w:after="156" w:afterLines="50" w:line="360" w:lineRule="auto"/>
        <w:ind w:firstLine="480" w:firstLineChars="200"/>
        <w:outlineLvl w:val="3"/>
        <w:rPr>
          <w:rFonts w:hint="eastAsia" w:ascii="仿宋" w:hAnsi="仿宋" w:eastAsia="仿宋" w:cs="仿宋"/>
          <w:sz w:val="24"/>
          <w:szCs w:val="24"/>
          <w:highlight w:val="none"/>
        </w:rPr>
      </w:pPr>
      <w:r>
        <w:rPr>
          <w:rFonts w:hint="eastAsia" w:ascii="仿宋" w:hAnsi="仿宋" w:eastAsia="仿宋" w:cs="仿宋"/>
          <w:sz w:val="24"/>
          <w:szCs w:val="24"/>
          <w:highlight w:val="none"/>
        </w:rPr>
        <w:t>1.4.3驱离办公区域的流浪猫、狗等小动物。</w:t>
      </w:r>
    </w:p>
    <w:p>
      <w:pPr>
        <w:tabs>
          <w:tab w:val="left" w:pos="540"/>
          <w:tab w:val="left" w:pos="1080"/>
        </w:tabs>
        <w:spacing w:before="156" w:beforeLines="50" w:after="156" w:afterLines="50" w:line="360" w:lineRule="auto"/>
        <w:ind w:firstLine="480" w:firstLineChars="200"/>
        <w:outlineLvl w:val="3"/>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1.4.4提供安西路23弄1-4号被子、床单及清洗等服务。</w:t>
      </w:r>
    </w:p>
    <w:p>
      <w:pPr>
        <w:tabs>
          <w:tab w:val="left" w:pos="540"/>
          <w:tab w:val="left" w:pos="1080"/>
        </w:tabs>
        <w:spacing w:before="156" w:beforeLines="50" w:after="156" w:afterLines="50" w:line="360" w:lineRule="auto"/>
        <w:ind w:firstLine="480" w:firstLineChars="200"/>
        <w:outlineLvl w:val="3"/>
        <w:rPr>
          <w:rFonts w:ascii="仿宋" w:hAnsi="仿宋" w:eastAsia="仿宋" w:cs="仿宋"/>
          <w:sz w:val="24"/>
          <w:szCs w:val="24"/>
          <w:highlight w:val="none"/>
        </w:rPr>
      </w:pPr>
      <w:r>
        <w:rPr>
          <w:rFonts w:hint="eastAsia" w:ascii="仿宋" w:hAnsi="仿宋" w:eastAsia="仿宋" w:cs="仿宋"/>
          <w:sz w:val="24"/>
          <w:szCs w:val="24"/>
          <w:highlight w:val="none"/>
        </w:rPr>
        <w:t>1.5仓储与搬运服务。</w:t>
      </w:r>
    </w:p>
    <w:p>
      <w:pPr>
        <w:tabs>
          <w:tab w:val="left" w:pos="540"/>
          <w:tab w:val="left" w:pos="1080"/>
        </w:tabs>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1.5.1做好物品物件的贮存管理，堆放整齐，账、卡、物保持一致；</w:t>
      </w:r>
    </w:p>
    <w:p>
      <w:pPr>
        <w:tabs>
          <w:tab w:val="left" w:pos="540"/>
          <w:tab w:val="left" w:pos="1080"/>
        </w:tabs>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1.5.2做好搬运堆放工作；</w:t>
      </w:r>
    </w:p>
    <w:p>
      <w:pPr>
        <w:tabs>
          <w:tab w:val="left" w:pos="540"/>
          <w:tab w:val="left" w:pos="1080"/>
        </w:tabs>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1.5.3做好库区、机房安全与环境服务。</w:t>
      </w:r>
    </w:p>
    <w:p>
      <w:pPr>
        <w:spacing w:before="156" w:beforeLines="50" w:after="156" w:afterLines="50" w:line="360" w:lineRule="auto"/>
        <w:ind w:firstLine="480" w:firstLineChars="200"/>
        <w:outlineLvl w:val="3"/>
        <w:rPr>
          <w:rFonts w:ascii="仿宋" w:hAnsi="仿宋" w:eastAsia="仿宋" w:cs="仿宋"/>
          <w:sz w:val="24"/>
          <w:szCs w:val="24"/>
          <w:highlight w:val="none"/>
        </w:rPr>
      </w:pPr>
      <w:r>
        <w:rPr>
          <w:rFonts w:hint="eastAsia" w:ascii="仿宋" w:hAnsi="仿宋" w:eastAsia="仿宋" w:cs="仿宋"/>
          <w:sz w:val="24"/>
          <w:szCs w:val="24"/>
          <w:highlight w:val="none"/>
        </w:rPr>
        <w:t>1.6其他常规物业管理服务。</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1.6.1报修接待服务：接到报修申请时，应及时受理，并在规定时间内到场，小修项目宜当天完成；</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1.6.2信报服务：正确分理邮件信件、文件等材料，认真登记报刊杂志、挂号信，正确处理特殊邮件（如退信等）；</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1.6.3配合做好通讯设施安装服务；</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1.6.4配合做好相关设备设施的年检验证工作；</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1.6.5做好电话线务维修，负责各办公场所内部电话线路的日常故障维修、因办公需要而对内部电话线路的调整、迁移等；</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1.6.6做好各办公点变配电系统（包括为机关15号楼、16号楼、17号楼供电的愚园路1320号配电站）的正常运行和维护服务；</w:t>
      </w:r>
    </w:p>
    <w:p>
      <w:pPr>
        <w:spacing w:before="156" w:beforeLines="50" w:after="156" w:afterLines="50" w:line="360" w:lineRule="auto"/>
        <w:ind w:firstLine="480" w:firstLineChars="200"/>
        <w:outlineLvl w:val="3"/>
        <w:rPr>
          <w:rFonts w:ascii="仿宋" w:hAnsi="仿宋" w:eastAsia="仿宋" w:cs="仿宋"/>
          <w:sz w:val="24"/>
          <w:szCs w:val="24"/>
          <w:highlight w:val="none"/>
        </w:rPr>
      </w:pPr>
      <w:r>
        <w:rPr>
          <w:rFonts w:hint="eastAsia" w:ascii="仿宋" w:hAnsi="仿宋" w:eastAsia="仿宋" w:cs="仿宋"/>
          <w:sz w:val="24"/>
          <w:szCs w:val="24"/>
          <w:highlight w:val="none"/>
        </w:rPr>
        <w:t>1.6.7办公用品等物品的搬运工作；</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1.6.8做好重要活动、会议保障工作，如会场的现场管理工作，以及参与会场的布置工作；</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1.6.9操作安保监控设备，对治安、车辆等动；动态实行全面密切监控，及时应付突发的异常情况；</w:t>
      </w:r>
    </w:p>
    <w:p>
      <w:pPr>
        <w:spacing w:before="156" w:beforeLines="50" w:after="156" w:afterLines="50" w:line="360" w:lineRule="auto"/>
        <w:ind w:firstLine="480" w:firstLineChars="200"/>
        <w:outlineLvl w:val="3"/>
        <w:rPr>
          <w:rFonts w:ascii="仿宋" w:hAnsi="仿宋" w:eastAsia="仿宋" w:cs="仿宋"/>
          <w:sz w:val="24"/>
          <w:szCs w:val="24"/>
          <w:highlight w:val="none"/>
        </w:rPr>
      </w:pPr>
      <w:r>
        <w:rPr>
          <w:rFonts w:hint="eastAsia" w:ascii="仿宋" w:hAnsi="仿宋" w:eastAsia="仿宋" w:cs="仿宋"/>
          <w:sz w:val="24"/>
          <w:szCs w:val="24"/>
          <w:highlight w:val="none"/>
        </w:rPr>
        <w:t>1.6.10机关大厦玻璃幕墙清洗（一年2次）；</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1.6.11 做好各物业服务点位的水箱清洗消毒并检测工作（一年2次）。</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1.6.12配合业主方做好绿化养护服务、办公用房应急维修、项目改造升级等监管工作</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配合业主方做好固定资产管理工作</w:t>
      </w:r>
      <w:r>
        <w:rPr>
          <w:rFonts w:hint="eastAsia" w:ascii="仿宋" w:hAnsi="仿宋" w:eastAsia="仿宋" w:cs="仿宋"/>
          <w:sz w:val="24"/>
          <w:szCs w:val="24"/>
          <w:highlight w:val="none"/>
        </w:rPr>
        <w:t>；</w:t>
      </w:r>
    </w:p>
    <w:p>
      <w:pPr>
        <w:spacing w:before="156" w:beforeLines="50" w:after="156" w:afterLines="5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1.6.13做好区域安全防范报警系统的维护保养。</w:t>
      </w:r>
    </w:p>
    <w:p>
      <w:pPr>
        <w:spacing w:before="156" w:beforeLines="50" w:after="156" w:afterLines="50"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1.6.14做好机关大厦可燃气体报警设备的维护保养。</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1.6.1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做好业主方交办的其他物业管理服务工作。</w:t>
      </w:r>
    </w:p>
    <w:p>
      <w:pPr>
        <w:rPr>
          <w:rFonts w:ascii="仿宋" w:hAnsi="仿宋" w:eastAsia="仿宋" w:cs="仿宋"/>
          <w:sz w:val="24"/>
          <w:szCs w:val="24"/>
          <w:highlight w:val="none"/>
        </w:rPr>
      </w:pPr>
      <w:r>
        <w:rPr>
          <w:rFonts w:hint="eastAsia" w:ascii="仿宋" w:hAnsi="仿宋" w:eastAsia="仿宋" w:cs="仿宋"/>
          <w:sz w:val="24"/>
          <w:szCs w:val="24"/>
          <w:highlight w:val="none"/>
        </w:rPr>
        <w:br w:type="page"/>
      </w:r>
    </w:p>
    <w:p>
      <w:pPr>
        <w:spacing w:before="156" w:beforeLines="50" w:after="156" w:afterLines="50" w:line="360" w:lineRule="auto"/>
        <w:ind w:firstLine="482" w:firstLineChars="200"/>
        <w:outlineLvl w:val="1"/>
        <w:rPr>
          <w:rFonts w:ascii="仿宋" w:hAnsi="仿宋" w:eastAsia="仿宋" w:cs="仿宋"/>
          <w:b/>
          <w:bCs/>
          <w:i w:val="0"/>
          <w:iCs w:val="0"/>
          <w:sz w:val="24"/>
          <w:szCs w:val="24"/>
          <w:highlight w:val="none"/>
        </w:rPr>
      </w:pPr>
      <w:bookmarkStart w:id="9" w:name="_Toc19823"/>
      <w:bookmarkStart w:id="10" w:name="_Toc22829"/>
      <w:r>
        <w:rPr>
          <w:rFonts w:hint="eastAsia" w:ascii="仿宋" w:hAnsi="仿宋" w:eastAsia="仿宋" w:cs="仿宋"/>
          <w:b/>
          <w:bCs/>
          <w:i w:val="0"/>
          <w:iCs w:val="0"/>
          <w:sz w:val="24"/>
          <w:szCs w:val="24"/>
          <w:highlight w:val="none"/>
        </w:rPr>
        <w:t>（三）物业服务标准及相关要求</w:t>
      </w:r>
      <w:bookmarkEnd w:id="9"/>
      <w:bookmarkEnd w:id="10"/>
    </w:p>
    <w:p>
      <w:pPr>
        <w:spacing w:line="360" w:lineRule="exact"/>
        <w:outlineLvl w:val="2"/>
        <w:rPr>
          <w:rFonts w:ascii="仿宋" w:hAnsi="仿宋" w:eastAsia="仿宋" w:cs="仿宋"/>
          <w:sz w:val="24"/>
          <w:szCs w:val="24"/>
          <w:highlight w:val="none"/>
        </w:rPr>
      </w:pPr>
      <w:r>
        <w:rPr>
          <w:rFonts w:hint="eastAsia" w:ascii="仿宋" w:hAnsi="仿宋" w:eastAsia="仿宋" w:cs="仿宋"/>
          <w:sz w:val="24"/>
          <w:szCs w:val="24"/>
          <w:highlight w:val="none"/>
        </w:rPr>
        <w:t>1.清洁服务标准（以机关大院为例）</w:t>
      </w:r>
    </w:p>
    <w:tbl>
      <w:tblPr>
        <w:tblStyle w:val="10"/>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084"/>
        <w:gridCol w:w="3389"/>
        <w:gridCol w:w="2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Align w:val="center"/>
          </w:tcPr>
          <w:p>
            <w:pPr>
              <w:widowControl/>
              <w:spacing w:line="360" w:lineRule="exact"/>
              <w:jc w:val="center"/>
              <w:rPr>
                <w:rFonts w:ascii="仿宋" w:hAnsi="仿宋" w:eastAsia="仿宋" w:cs="仿宋"/>
                <w:b/>
                <w:bCs/>
                <w:kern w:val="0"/>
                <w:szCs w:val="21"/>
                <w:highlight w:val="none"/>
              </w:rPr>
            </w:pPr>
            <w:r>
              <w:rPr>
                <w:rFonts w:hint="eastAsia" w:ascii="仿宋" w:hAnsi="仿宋" w:eastAsia="仿宋" w:cs="仿宋"/>
                <w:b/>
                <w:bCs/>
                <w:kern w:val="0"/>
                <w:szCs w:val="21"/>
                <w:highlight w:val="none"/>
              </w:rPr>
              <w:t>区域</w:t>
            </w:r>
          </w:p>
        </w:tc>
        <w:tc>
          <w:tcPr>
            <w:tcW w:w="1084" w:type="dxa"/>
            <w:vAlign w:val="center"/>
          </w:tcPr>
          <w:p>
            <w:pPr>
              <w:widowControl/>
              <w:spacing w:line="360" w:lineRule="exact"/>
              <w:jc w:val="center"/>
              <w:rPr>
                <w:rFonts w:ascii="仿宋" w:hAnsi="仿宋" w:eastAsia="仿宋" w:cs="仿宋"/>
                <w:b/>
                <w:bCs/>
                <w:kern w:val="0"/>
                <w:szCs w:val="21"/>
                <w:highlight w:val="none"/>
              </w:rPr>
            </w:pPr>
            <w:r>
              <w:rPr>
                <w:rFonts w:hint="eastAsia" w:ascii="仿宋" w:hAnsi="仿宋" w:eastAsia="仿宋" w:cs="仿宋"/>
                <w:b/>
                <w:bCs/>
                <w:kern w:val="0"/>
                <w:szCs w:val="21"/>
                <w:highlight w:val="none"/>
              </w:rPr>
              <w:t>频次</w:t>
            </w:r>
          </w:p>
        </w:tc>
        <w:tc>
          <w:tcPr>
            <w:tcW w:w="3389" w:type="dxa"/>
            <w:vAlign w:val="center"/>
          </w:tcPr>
          <w:p>
            <w:pPr>
              <w:widowControl/>
              <w:spacing w:line="360" w:lineRule="exact"/>
              <w:jc w:val="center"/>
              <w:rPr>
                <w:rFonts w:ascii="仿宋" w:hAnsi="仿宋" w:eastAsia="仿宋" w:cs="仿宋"/>
                <w:b/>
                <w:bCs/>
                <w:kern w:val="0"/>
                <w:szCs w:val="21"/>
                <w:highlight w:val="none"/>
              </w:rPr>
            </w:pPr>
            <w:r>
              <w:rPr>
                <w:rFonts w:hint="eastAsia" w:ascii="仿宋" w:hAnsi="仿宋" w:eastAsia="仿宋" w:cs="仿宋"/>
                <w:b/>
                <w:bCs/>
                <w:kern w:val="0"/>
                <w:szCs w:val="21"/>
                <w:highlight w:val="none"/>
              </w:rPr>
              <w:t>工作内容</w:t>
            </w:r>
          </w:p>
        </w:tc>
        <w:tc>
          <w:tcPr>
            <w:tcW w:w="2723" w:type="dxa"/>
            <w:vAlign w:val="center"/>
          </w:tcPr>
          <w:p>
            <w:pPr>
              <w:widowControl/>
              <w:spacing w:line="360" w:lineRule="exact"/>
              <w:jc w:val="center"/>
              <w:rPr>
                <w:rFonts w:ascii="仿宋" w:hAnsi="仿宋" w:eastAsia="仿宋" w:cs="仿宋"/>
                <w:b/>
                <w:bCs/>
                <w:kern w:val="0"/>
                <w:szCs w:val="21"/>
                <w:highlight w:val="none"/>
              </w:rPr>
            </w:pPr>
            <w:r>
              <w:rPr>
                <w:rFonts w:hint="eastAsia" w:ascii="仿宋" w:hAnsi="仿宋" w:eastAsia="仿宋" w:cs="仿宋"/>
                <w:b/>
                <w:bCs/>
                <w:kern w:val="0"/>
                <w:szCs w:val="21"/>
                <w:highlight w:val="none"/>
              </w:rPr>
              <w:t>工作标准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restart"/>
            <w:textDirection w:val="tbRlV"/>
            <w:vAlign w:val="center"/>
          </w:tcPr>
          <w:p>
            <w:pPr>
              <w:widowControl/>
              <w:spacing w:line="360" w:lineRule="exact"/>
              <w:ind w:left="113" w:right="113"/>
              <w:jc w:val="center"/>
              <w:rPr>
                <w:rFonts w:ascii="仿宋" w:hAnsi="仿宋" w:eastAsia="仿宋" w:cs="仿宋"/>
                <w:kern w:val="0"/>
                <w:szCs w:val="21"/>
                <w:highlight w:val="none"/>
              </w:rPr>
            </w:pPr>
            <w:r>
              <w:rPr>
                <w:rFonts w:hint="eastAsia" w:ascii="仿宋" w:hAnsi="仿宋" w:eastAsia="仿宋" w:cs="仿宋"/>
                <w:kern w:val="0"/>
                <w:szCs w:val="21"/>
                <w:highlight w:val="none"/>
              </w:rPr>
              <w:t>大院</w:t>
            </w: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经常</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花圃中散落废纸、烟蒂等清理</w:t>
            </w:r>
          </w:p>
        </w:tc>
        <w:tc>
          <w:tcPr>
            <w:tcW w:w="2723" w:type="dxa"/>
            <w:vMerge w:val="restart"/>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1、无垃圾</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2、无垃圾、积水、</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3、无灰尘、积水</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4、无灰尘、积水、污迹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5、无灰尘、积水</w:t>
            </w:r>
          </w:p>
          <w:p>
            <w:pPr>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6、无灰尘、积水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每日一次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明沟清洁</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每日一次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大门外责任区域清扫</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每周一次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各出入口处清洗</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每周一次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车道清洗</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每日二次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垃圾房周围环境清扫</w:t>
            </w:r>
          </w:p>
        </w:tc>
        <w:tc>
          <w:tcPr>
            <w:tcW w:w="2723" w:type="dxa"/>
            <w:vMerge w:val="continue"/>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每日一次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垃圾房清洁</w:t>
            </w:r>
          </w:p>
        </w:tc>
        <w:tc>
          <w:tcPr>
            <w:tcW w:w="2723" w:type="dxa"/>
            <w:vMerge w:val="restart"/>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7、无灰尘、积水、污迹、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8、无异味、污迹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9、无灰尘、污迹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10、无灰尘、污迹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11、光亮、无灰尘、污迹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12、无灰尘、污迹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13、无灰尘、积水</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14、无灰尘、积水、污迹</w:t>
            </w:r>
          </w:p>
          <w:p>
            <w:pPr>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15、无垃圾、积水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每周一次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垃圾容器清洁</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每日一次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大厦外围门前责任区域</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每日一次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门前大理石立面清抹除尘</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每周一次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进门台阶清洗</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每日一次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停车场指示牌、反光镜清抹</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每日一次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自行车停车处清扫</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每周一次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停车场车道冲洗</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每周一次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明沟阴沟冲洗</w:t>
            </w:r>
          </w:p>
        </w:tc>
        <w:tc>
          <w:tcPr>
            <w:tcW w:w="2723" w:type="dxa"/>
            <w:vMerge w:val="continue"/>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restart"/>
            <w:textDirection w:val="tbRlV"/>
            <w:vAlign w:val="center"/>
          </w:tcPr>
          <w:p>
            <w:pPr>
              <w:widowControl/>
              <w:spacing w:line="360" w:lineRule="exact"/>
              <w:ind w:left="113" w:right="113"/>
              <w:jc w:val="center"/>
              <w:rPr>
                <w:rFonts w:ascii="仿宋" w:hAnsi="仿宋" w:eastAsia="仿宋" w:cs="仿宋"/>
                <w:kern w:val="0"/>
                <w:szCs w:val="21"/>
                <w:highlight w:val="none"/>
              </w:rPr>
            </w:pPr>
            <w:r>
              <w:rPr>
                <w:rFonts w:hint="eastAsia" w:ascii="仿宋" w:hAnsi="仿宋" w:eastAsia="仿宋" w:cs="仿宋"/>
                <w:kern w:val="0"/>
                <w:szCs w:val="21"/>
                <w:highlight w:val="none"/>
              </w:rPr>
              <w:t>大堂</w:t>
            </w: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每日二次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烟缸清洗</w:t>
            </w:r>
          </w:p>
        </w:tc>
        <w:tc>
          <w:tcPr>
            <w:tcW w:w="2723" w:type="dxa"/>
            <w:vMerge w:val="restart"/>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1、无烟灰、垃圾、污迹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2、无灰尘、污迹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3、无垃圾</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4、无垃圾、积水、污迹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5、无灰尘、污迹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6、无灰尘、水渍、手指印</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7、明亮、无灰尘、手指印</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8、光亮、无灰尘、污迹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9、光亮、无灰尘、污迹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10、光亮、无灰尘、污迹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11、光亮、无灰尘、污迹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12、光亮、无灰尘、污迹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13、明亮、无灰尘、手指印</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14、无灰尘、污迹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15、无灰尘、污迹、手指印</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16、光亮、无灰尘</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17、无垃圾、灰尘、积水</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18、无垃圾、灰尘</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19、无灰尘</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20、无异味、灰尘、污迹、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21、无灰尘、污迹、积水</w:t>
            </w:r>
          </w:p>
          <w:p>
            <w:pPr>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22、无灰尘、污迹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23、无灰尘、污迹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24、灰尘、污迹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25、无灰尘、污迹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26、光亮、无灰尘、手指印</w:t>
            </w:r>
          </w:p>
          <w:p>
            <w:pPr>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27、无垃圾、污迹、灰尘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每周一次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烟缸清洗石子</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经常</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拣拾公共区域纸屑、烟蒂等</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每日二次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收集垃圾倒入指定垃圾箱(桶)内</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经常</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清倒废物箱、并抹净表面</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经常</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清扫电梯、抹挣按钮及轿厢</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每日一次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清洁玻璃大门及不锈钢把手</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每周一次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大理石地坪清洗、上蜡</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经常</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保养抛光</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每月一次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用蜡面清洁保养处理地坪</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每日一次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大理石墙身清抹</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经常</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玻璃隔断门厅清洁</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经常</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不锈钢清抹除尘</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每日一次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电梯外框、门及箱内拭抹</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每周一次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电梯不锈钢部分上钢油保养</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经常</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电梯清扫干净及拣拾垃圾</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经常</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电梯扶手清抹除尘</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经常</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厕所消毒、清洗</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每周一次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厕所外间清洗</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每周一次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天花及空调出口烟盛器清抹</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每日一次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不锈钢标示牌清抹</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每周一次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围栏清抹除尘</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每周一次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大堂墙身清抹除尘</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每日一次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玻璃墙身清抹除尘</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每日一次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监控室、保安室等拖扫干净</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每周一次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消防设备清抹除尘</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每周一次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设备房清扫</w:t>
            </w:r>
          </w:p>
        </w:tc>
        <w:tc>
          <w:tcPr>
            <w:tcW w:w="2723" w:type="dxa"/>
            <w:vMerge w:val="continue"/>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restart"/>
            <w:textDirection w:val="tbRlV"/>
            <w:vAlign w:val="center"/>
          </w:tcPr>
          <w:p>
            <w:pPr>
              <w:widowControl/>
              <w:spacing w:line="360" w:lineRule="exact"/>
              <w:ind w:left="113" w:right="113"/>
              <w:jc w:val="center"/>
              <w:rPr>
                <w:rFonts w:ascii="仿宋" w:hAnsi="仿宋" w:eastAsia="仿宋" w:cs="仿宋"/>
                <w:kern w:val="0"/>
                <w:szCs w:val="21"/>
                <w:highlight w:val="none"/>
              </w:rPr>
            </w:pPr>
            <w:r>
              <w:rPr>
                <w:rFonts w:hint="eastAsia" w:ascii="仿宋" w:hAnsi="仿宋" w:eastAsia="仿宋" w:cs="仿宋"/>
                <w:kern w:val="0"/>
                <w:szCs w:val="21"/>
                <w:highlight w:val="none"/>
              </w:rPr>
              <w:t>办公楼层</w:t>
            </w: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经常</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拣抬公共区域垃圾及杂物等</w:t>
            </w:r>
          </w:p>
        </w:tc>
        <w:tc>
          <w:tcPr>
            <w:tcW w:w="2723" w:type="dxa"/>
            <w:vMerge w:val="restart"/>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1、无垃圾</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2、无垃圾、积水、污迹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3、光亮、无灰尘、污迹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4、光亮、无灰尘、污迹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5、光亮、无灰尘、污迹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6、光亮、无灰尘、污迹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7、光亮、无灰尘、污迹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8、无灰尘、污迹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9、无灰尘、水渍、手指印</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10、光亮、无灰尘</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11、无灰尘、水渍</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12、无灰尘、污迹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13、无垃圾、灰尘、积水</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14、无垃圾、灰尘、积水</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15、无灰尘</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16、无异味、灰尘、积水、污迹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17、无灰尘、积水、污迹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18、无垃圾</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19、无灰尘、积水</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20、无灰尘、污迹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21、无垃圾、积水、</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22、无垃圾、烟灰、</w:t>
            </w:r>
          </w:p>
          <w:p>
            <w:pPr>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23、明亮、无灰尘、手指印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经常</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收集袋装垃圾倒入指定垃圾箱</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每日一次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地面推尘保洁</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每周二次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墙身清抹除尘</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经常</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推尘保洁</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每周一次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保洁抛光</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每日一次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电梯厅墙身清抹、磨光</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每日一次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电梯清抹除尘</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每周二次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电梯厅墙身清抹、磨光</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每周一次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电梯上钢油保养</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每周一次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天花灯饰清抹除尘</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每日一次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墙壁灯饰清抹除尘</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经常</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清扫干净及拣拾垃圾</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每日一次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扶手清抹除尘</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经常</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厕所消毒清洗</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每周一次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厕所外间清洗</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每日一次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天台拣拾垃圾</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每月一次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天台地坪清洗</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每周一次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消防设备清抹除尘</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经常</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清倒废物箱并抹净表面</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经常</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清倒垃圾及烟缸</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每周一次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清抹玻璃</w:t>
            </w:r>
          </w:p>
        </w:tc>
        <w:tc>
          <w:tcPr>
            <w:tcW w:w="2723" w:type="dxa"/>
            <w:vMerge w:val="continue"/>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每日多次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小便池、座厕，洗手池</w:t>
            </w:r>
          </w:p>
        </w:tc>
        <w:tc>
          <w:tcPr>
            <w:tcW w:w="2723" w:type="dxa"/>
            <w:vMerge w:val="continue"/>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trPr>
        <w:tc>
          <w:tcPr>
            <w:tcW w:w="1323" w:type="dxa"/>
            <w:vMerge w:val="restart"/>
            <w:textDirection w:val="tbRlV"/>
            <w:vAlign w:val="center"/>
          </w:tcPr>
          <w:p>
            <w:pPr>
              <w:widowControl/>
              <w:spacing w:line="360" w:lineRule="exact"/>
              <w:ind w:left="113" w:right="113"/>
              <w:jc w:val="center"/>
              <w:rPr>
                <w:rFonts w:ascii="仿宋" w:hAnsi="仿宋" w:eastAsia="仿宋" w:cs="仿宋"/>
                <w:kern w:val="0"/>
                <w:szCs w:val="21"/>
                <w:highlight w:val="none"/>
              </w:rPr>
            </w:pPr>
            <w:r>
              <w:rPr>
                <w:rFonts w:hint="eastAsia" w:ascii="仿宋" w:hAnsi="仿宋" w:eastAsia="仿宋" w:cs="仿宋"/>
                <w:kern w:val="0"/>
                <w:szCs w:val="21"/>
                <w:highlight w:val="none"/>
              </w:rPr>
              <w:t>洗手间</w:t>
            </w: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每日二次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座厕间隔墙身</w:t>
            </w:r>
          </w:p>
        </w:tc>
        <w:tc>
          <w:tcPr>
            <w:tcW w:w="2723" w:type="dxa"/>
            <w:vMerge w:val="restart"/>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1、台面、镜面、地面无水迹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2、地面、墙壁无灰尘，无污迹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3、马桶、小便池无水迹污垢、无头发</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4、洗手台，盆面、无污迹、无头发、无杂物</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5、卫生间门光亮无灰尘</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6、不锈钢设备光亮不发黑</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7、洗手露盒无污迹，不外漏，烘手器无灰尘</w:t>
            </w:r>
          </w:p>
          <w:p>
            <w:pPr>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8、各种设备完好无损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每日二次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手纸盒及厕垫纸盒</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每日二次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不锈钢开关及龙头</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经常</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玻璃镜</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每日多次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地面</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每周一次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灯盘和排风口</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经常</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墙壁、云石台面</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每日三次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干手器、喷香机、皂液盒</w:t>
            </w:r>
          </w:p>
        </w:tc>
        <w:tc>
          <w:tcPr>
            <w:tcW w:w="2723" w:type="dxa"/>
            <w:vMerge w:val="continue"/>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每日三次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厕纸篓及垃圾箱</w:t>
            </w:r>
          </w:p>
        </w:tc>
        <w:tc>
          <w:tcPr>
            <w:tcW w:w="2723" w:type="dxa"/>
            <w:vMerge w:val="continue"/>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restart"/>
            <w:textDirection w:val="tbRlV"/>
            <w:vAlign w:val="center"/>
          </w:tcPr>
          <w:p>
            <w:pPr>
              <w:widowControl/>
              <w:spacing w:line="360" w:lineRule="exact"/>
              <w:ind w:left="113" w:right="113"/>
              <w:rPr>
                <w:rFonts w:ascii="仿宋" w:hAnsi="仿宋" w:eastAsia="仿宋" w:cs="仿宋"/>
                <w:kern w:val="0"/>
                <w:szCs w:val="21"/>
                <w:highlight w:val="none"/>
              </w:rPr>
            </w:pPr>
            <w:r>
              <w:rPr>
                <w:rFonts w:hint="eastAsia" w:ascii="仿宋" w:hAnsi="仿宋" w:eastAsia="仿宋" w:cs="仿宋"/>
                <w:kern w:val="0"/>
                <w:szCs w:val="21"/>
                <w:highlight w:val="none"/>
              </w:rPr>
              <w:t>外墙</w:t>
            </w: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每年二次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幕墙玻璃及间隔大理石清洗</w:t>
            </w:r>
          </w:p>
        </w:tc>
        <w:tc>
          <w:tcPr>
            <w:tcW w:w="2723" w:type="dxa"/>
            <w:vMerge w:val="restart"/>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1、明亮、无灰尘、污迹</w:t>
            </w:r>
          </w:p>
          <w:p>
            <w:pPr>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2、无灰尘、污迹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textDirection w:val="tbRlV"/>
            <w:vAlign w:val="center"/>
          </w:tcPr>
          <w:p>
            <w:pPr>
              <w:widowControl/>
              <w:spacing w:line="360" w:lineRule="exact"/>
              <w:ind w:left="113" w:right="113"/>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每年二次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外墙大理石清洗</w:t>
            </w:r>
          </w:p>
        </w:tc>
        <w:tc>
          <w:tcPr>
            <w:tcW w:w="2723" w:type="dxa"/>
            <w:vMerge w:val="continue"/>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restart"/>
            <w:textDirection w:val="tbRlV"/>
            <w:vAlign w:val="center"/>
          </w:tcPr>
          <w:p>
            <w:pPr>
              <w:widowControl/>
              <w:spacing w:line="360" w:lineRule="exact"/>
              <w:ind w:left="113" w:right="113"/>
              <w:rPr>
                <w:rFonts w:ascii="仿宋" w:hAnsi="仿宋" w:eastAsia="仿宋" w:cs="仿宋"/>
                <w:kern w:val="0"/>
                <w:szCs w:val="21"/>
                <w:highlight w:val="none"/>
              </w:rPr>
            </w:pPr>
            <w:r>
              <w:rPr>
                <w:rFonts w:hint="eastAsia" w:ascii="仿宋" w:hAnsi="仿宋" w:eastAsia="仿宋" w:cs="仿宋"/>
                <w:kern w:val="0"/>
                <w:szCs w:val="21"/>
                <w:highlight w:val="none"/>
              </w:rPr>
              <w:t>空置楼层及单元</w:t>
            </w: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每周一次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清扫地面</w:t>
            </w:r>
          </w:p>
        </w:tc>
        <w:tc>
          <w:tcPr>
            <w:tcW w:w="2723" w:type="dxa"/>
            <w:vMerge w:val="restart"/>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1、无灰尘、垃圾</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2、无灰尘、水溃、污迹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3、无灰尘、污迹</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4、无灰尘、污迹</w:t>
            </w:r>
          </w:p>
          <w:p>
            <w:pPr>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5、无灰尘、污迹、水渍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vAlign w:val="center"/>
          </w:tcPr>
          <w:p>
            <w:pPr>
              <w:widowControl/>
              <w:spacing w:line="360" w:lineRule="exact"/>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每周一次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清洁天花灯饰及空调出风口</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vAlign w:val="center"/>
          </w:tcPr>
          <w:p>
            <w:pPr>
              <w:widowControl/>
              <w:spacing w:line="360" w:lineRule="exact"/>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每月一次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墙身清抹</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vAlign w:val="center"/>
          </w:tcPr>
          <w:p>
            <w:pPr>
              <w:widowControl/>
              <w:spacing w:line="360" w:lineRule="exact"/>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每月一次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清扫窗台</w:t>
            </w:r>
          </w:p>
        </w:tc>
        <w:tc>
          <w:tcPr>
            <w:tcW w:w="2723"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vAlign w:val="center"/>
          </w:tcPr>
          <w:p>
            <w:pPr>
              <w:widowControl/>
              <w:spacing w:line="360" w:lineRule="exact"/>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每月一次</w:t>
            </w:r>
          </w:p>
        </w:tc>
        <w:tc>
          <w:tcPr>
            <w:tcW w:w="338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清洁玻璃</w:t>
            </w:r>
          </w:p>
        </w:tc>
        <w:tc>
          <w:tcPr>
            <w:tcW w:w="2723" w:type="dxa"/>
            <w:vMerge w:val="continue"/>
            <w:vAlign w:val="center"/>
          </w:tcPr>
          <w:p>
            <w:pPr>
              <w:widowControl/>
              <w:spacing w:line="360" w:lineRule="exact"/>
              <w:rPr>
                <w:rFonts w:ascii="仿宋" w:hAnsi="仿宋" w:eastAsia="仿宋" w:cs="仿宋"/>
                <w:kern w:val="0"/>
                <w:szCs w:val="21"/>
                <w:highlight w:val="none"/>
              </w:rPr>
            </w:pPr>
          </w:p>
        </w:tc>
      </w:tr>
    </w:tbl>
    <w:p>
      <w:pPr>
        <w:spacing w:line="360" w:lineRule="exact"/>
        <w:rPr>
          <w:rFonts w:ascii="仿宋" w:hAnsi="仿宋" w:eastAsia="仿宋" w:cs="仿宋"/>
          <w:szCs w:val="21"/>
          <w:highlight w:val="none"/>
        </w:rPr>
      </w:pPr>
      <w:r>
        <w:rPr>
          <w:rFonts w:hint="eastAsia" w:ascii="仿宋" w:hAnsi="仿宋" w:eastAsia="仿宋" w:cs="仿宋"/>
          <w:sz w:val="24"/>
          <w:szCs w:val="24"/>
          <w:highlight w:val="none"/>
        </w:rPr>
        <w:t>其他服务点位参照上述标准要求。</w:t>
      </w:r>
    </w:p>
    <w:p>
      <w:pPr>
        <w:spacing w:line="360" w:lineRule="exact"/>
        <w:outlineLvl w:val="2"/>
        <w:rPr>
          <w:rFonts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保安服务的日常管理及监管标准</w:t>
      </w:r>
    </w:p>
    <w:tbl>
      <w:tblPr>
        <w:tblStyle w:val="10"/>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084"/>
        <w:gridCol w:w="2368"/>
        <w:gridCol w:w="3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区域</w:t>
            </w: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频次</w:t>
            </w:r>
          </w:p>
        </w:tc>
        <w:tc>
          <w:tcPr>
            <w:tcW w:w="2368"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工作内容</w:t>
            </w:r>
          </w:p>
        </w:tc>
        <w:tc>
          <w:tcPr>
            <w:tcW w:w="374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工作标准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8" w:hRule="atLeast"/>
        </w:trPr>
        <w:tc>
          <w:tcPr>
            <w:tcW w:w="1323" w:type="dxa"/>
            <w:vMerge w:val="restart"/>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门岗</w:t>
            </w:r>
          </w:p>
          <w:p>
            <w:pPr>
              <w:spacing w:line="360" w:lineRule="exact"/>
              <w:rPr>
                <w:rFonts w:ascii="仿宋" w:hAnsi="仿宋" w:eastAsia="仿宋" w:cs="仿宋"/>
                <w:kern w:val="0"/>
                <w:szCs w:val="21"/>
                <w:highlight w:val="none"/>
              </w:rPr>
            </w:pPr>
          </w:p>
        </w:tc>
        <w:tc>
          <w:tcPr>
            <w:tcW w:w="1084" w:type="dxa"/>
            <w:vMerge w:val="restart"/>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24小时</w:t>
            </w:r>
          </w:p>
        </w:tc>
        <w:tc>
          <w:tcPr>
            <w:tcW w:w="2368"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施工登记</w:t>
            </w:r>
          </w:p>
        </w:tc>
        <w:tc>
          <w:tcPr>
            <w:tcW w:w="3744" w:type="dxa"/>
            <w:vMerge w:val="restart"/>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1、对于来访客人，核对其所访办公室及姓名，登记进入</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2、对进、出的出租车辆做好登记、写明时间、车队名、车辆牌号</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3、检查二次装修施工出入证、并进行登记</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4、车辆驶入时应用交通指挥手势指挥车辆进出，保持门前及主干道畅通</w:t>
            </w:r>
          </w:p>
          <w:p>
            <w:pPr>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5、保持出入口人员车辆有序、畅通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323" w:type="dxa"/>
            <w:vMerge w:val="continue"/>
            <w:vAlign w:val="center"/>
          </w:tcPr>
          <w:p>
            <w:pPr>
              <w:spacing w:line="360" w:lineRule="exact"/>
              <w:rPr>
                <w:rFonts w:ascii="仿宋" w:hAnsi="仿宋" w:eastAsia="仿宋" w:cs="仿宋"/>
                <w:kern w:val="0"/>
                <w:szCs w:val="21"/>
                <w:highlight w:val="none"/>
              </w:rPr>
            </w:pPr>
          </w:p>
        </w:tc>
        <w:tc>
          <w:tcPr>
            <w:tcW w:w="1084" w:type="dxa"/>
            <w:vMerge w:val="continue"/>
            <w:vAlign w:val="center"/>
          </w:tcPr>
          <w:p>
            <w:pPr>
              <w:widowControl/>
              <w:spacing w:line="360" w:lineRule="exact"/>
              <w:rPr>
                <w:rFonts w:ascii="仿宋" w:hAnsi="仿宋" w:eastAsia="仿宋" w:cs="仿宋"/>
                <w:kern w:val="0"/>
                <w:szCs w:val="21"/>
                <w:highlight w:val="none"/>
              </w:rPr>
            </w:pPr>
          </w:p>
        </w:tc>
        <w:tc>
          <w:tcPr>
            <w:tcW w:w="2368"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车辆进出</w:t>
            </w:r>
          </w:p>
        </w:tc>
        <w:tc>
          <w:tcPr>
            <w:tcW w:w="3744"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2" w:hRule="atLeast"/>
        </w:trPr>
        <w:tc>
          <w:tcPr>
            <w:tcW w:w="1323" w:type="dxa"/>
            <w:vMerge w:val="continue"/>
            <w:vAlign w:val="center"/>
          </w:tcPr>
          <w:p>
            <w:pPr>
              <w:spacing w:line="360" w:lineRule="exact"/>
              <w:rPr>
                <w:rFonts w:ascii="仿宋" w:hAnsi="仿宋" w:eastAsia="仿宋" w:cs="仿宋"/>
                <w:kern w:val="0"/>
                <w:szCs w:val="21"/>
                <w:highlight w:val="none"/>
              </w:rPr>
            </w:pPr>
          </w:p>
        </w:tc>
        <w:tc>
          <w:tcPr>
            <w:tcW w:w="1084" w:type="dxa"/>
            <w:vMerge w:val="continue"/>
            <w:vAlign w:val="center"/>
          </w:tcPr>
          <w:p>
            <w:pPr>
              <w:widowControl/>
              <w:spacing w:line="360" w:lineRule="exact"/>
              <w:rPr>
                <w:rFonts w:ascii="仿宋" w:hAnsi="仿宋" w:eastAsia="仿宋" w:cs="仿宋"/>
                <w:kern w:val="0"/>
                <w:szCs w:val="21"/>
                <w:highlight w:val="none"/>
              </w:rPr>
            </w:pPr>
          </w:p>
        </w:tc>
        <w:tc>
          <w:tcPr>
            <w:tcW w:w="2368"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四周环境</w:t>
            </w:r>
          </w:p>
        </w:tc>
        <w:tc>
          <w:tcPr>
            <w:tcW w:w="3744"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323" w:type="dxa"/>
            <w:vMerge w:val="continue"/>
            <w:vAlign w:val="center"/>
          </w:tcPr>
          <w:p>
            <w:pPr>
              <w:spacing w:line="360" w:lineRule="exact"/>
              <w:rPr>
                <w:rFonts w:ascii="仿宋" w:hAnsi="仿宋" w:eastAsia="仿宋" w:cs="仿宋"/>
                <w:kern w:val="0"/>
                <w:szCs w:val="21"/>
                <w:highlight w:val="none"/>
              </w:rPr>
            </w:pPr>
          </w:p>
        </w:tc>
        <w:tc>
          <w:tcPr>
            <w:tcW w:w="1084" w:type="dxa"/>
            <w:vMerge w:val="continue"/>
            <w:vAlign w:val="center"/>
          </w:tcPr>
          <w:p>
            <w:pPr>
              <w:widowControl/>
              <w:spacing w:line="360" w:lineRule="exact"/>
              <w:rPr>
                <w:rFonts w:ascii="仿宋" w:hAnsi="仿宋" w:eastAsia="仿宋" w:cs="仿宋"/>
                <w:kern w:val="0"/>
                <w:szCs w:val="21"/>
                <w:highlight w:val="none"/>
              </w:rPr>
            </w:pPr>
          </w:p>
        </w:tc>
        <w:tc>
          <w:tcPr>
            <w:tcW w:w="2368"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访客登记</w:t>
            </w:r>
          </w:p>
        </w:tc>
        <w:tc>
          <w:tcPr>
            <w:tcW w:w="3744" w:type="dxa"/>
            <w:vMerge w:val="continue"/>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4" w:hRule="atLeast"/>
        </w:trPr>
        <w:tc>
          <w:tcPr>
            <w:tcW w:w="1323" w:type="dxa"/>
            <w:vMerge w:val="continue"/>
            <w:vAlign w:val="center"/>
          </w:tcPr>
          <w:p>
            <w:pPr>
              <w:widowControl/>
              <w:spacing w:line="360" w:lineRule="exact"/>
              <w:rPr>
                <w:rFonts w:ascii="仿宋" w:hAnsi="仿宋" w:eastAsia="仿宋" w:cs="仿宋"/>
                <w:kern w:val="0"/>
                <w:szCs w:val="21"/>
                <w:highlight w:val="none"/>
              </w:rPr>
            </w:pPr>
          </w:p>
        </w:tc>
        <w:tc>
          <w:tcPr>
            <w:tcW w:w="1084" w:type="dxa"/>
            <w:vMerge w:val="restart"/>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24小时</w:t>
            </w:r>
          </w:p>
        </w:tc>
        <w:tc>
          <w:tcPr>
            <w:tcW w:w="2368"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访客出入登记</w:t>
            </w:r>
          </w:p>
        </w:tc>
        <w:tc>
          <w:tcPr>
            <w:tcW w:w="3744" w:type="dxa"/>
            <w:vMerge w:val="restart"/>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1、核对访客，其所访办公室、姓名</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2、携带大件物品外出的人，请其出示出门证，核对和联系相关单位放行，并跟进监管。</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3、记录——开单——转达有关部门</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4、严禁非机动车停在门厅处，机动车无序停放堵塞车道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323" w:type="dxa"/>
            <w:vMerge w:val="continue"/>
            <w:vAlign w:val="center"/>
          </w:tcPr>
          <w:p>
            <w:pPr>
              <w:widowControl/>
              <w:spacing w:line="360" w:lineRule="exact"/>
              <w:rPr>
                <w:rFonts w:ascii="仿宋" w:hAnsi="仿宋" w:eastAsia="仿宋" w:cs="仿宋"/>
                <w:kern w:val="0"/>
                <w:szCs w:val="21"/>
                <w:highlight w:val="none"/>
              </w:rPr>
            </w:pPr>
          </w:p>
        </w:tc>
        <w:tc>
          <w:tcPr>
            <w:tcW w:w="1084" w:type="dxa"/>
            <w:vMerge w:val="continue"/>
            <w:vAlign w:val="center"/>
          </w:tcPr>
          <w:p>
            <w:pPr>
              <w:widowControl/>
              <w:spacing w:line="360" w:lineRule="exact"/>
              <w:rPr>
                <w:rFonts w:ascii="仿宋" w:hAnsi="仿宋" w:eastAsia="仿宋" w:cs="仿宋"/>
                <w:kern w:val="0"/>
                <w:szCs w:val="21"/>
                <w:highlight w:val="none"/>
              </w:rPr>
            </w:pPr>
          </w:p>
        </w:tc>
        <w:tc>
          <w:tcPr>
            <w:tcW w:w="2368"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大件物品出入</w:t>
            </w:r>
          </w:p>
        </w:tc>
        <w:tc>
          <w:tcPr>
            <w:tcW w:w="3744"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1323" w:type="dxa"/>
            <w:vMerge w:val="continue"/>
            <w:vAlign w:val="center"/>
          </w:tcPr>
          <w:p>
            <w:pPr>
              <w:widowControl/>
              <w:spacing w:line="360" w:lineRule="exact"/>
              <w:rPr>
                <w:rFonts w:ascii="仿宋" w:hAnsi="仿宋" w:eastAsia="仿宋" w:cs="仿宋"/>
                <w:kern w:val="0"/>
                <w:szCs w:val="21"/>
                <w:highlight w:val="none"/>
              </w:rPr>
            </w:pPr>
          </w:p>
        </w:tc>
        <w:tc>
          <w:tcPr>
            <w:tcW w:w="1084" w:type="dxa"/>
            <w:vMerge w:val="continue"/>
            <w:vAlign w:val="center"/>
          </w:tcPr>
          <w:p>
            <w:pPr>
              <w:widowControl/>
              <w:spacing w:line="360" w:lineRule="exact"/>
              <w:rPr>
                <w:rFonts w:ascii="仿宋" w:hAnsi="仿宋" w:eastAsia="仿宋" w:cs="仿宋"/>
                <w:kern w:val="0"/>
                <w:szCs w:val="21"/>
                <w:highlight w:val="none"/>
              </w:rPr>
            </w:pPr>
          </w:p>
        </w:tc>
        <w:tc>
          <w:tcPr>
            <w:tcW w:w="2368"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车辆管理</w:t>
            </w:r>
          </w:p>
        </w:tc>
        <w:tc>
          <w:tcPr>
            <w:tcW w:w="3744" w:type="dxa"/>
            <w:vMerge w:val="continue"/>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23" w:type="dxa"/>
            <w:vMerge w:val="restart"/>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楼层（巡逻）</w:t>
            </w:r>
          </w:p>
        </w:tc>
        <w:tc>
          <w:tcPr>
            <w:tcW w:w="1084" w:type="dxa"/>
            <w:vMerge w:val="restart"/>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12小时</w:t>
            </w:r>
          </w:p>
        </w:tc>
        <w:tc>
          <w:tcPr>
            <w:tcW w:w="2368"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检查办公门，设备房门</w:t>
            </w:r>
          </w:p>
        </w:tc>
        <w:tc>
          <w:tcPr>
            <w:tcW w:w="3744" w:type="dxa"/>
            <w:vMerge w:val="restart"/>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所有办公门、设备房门、通道、窗关闭，消防报警系统运行正常，无闲杂人员逗留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323" w:type="dxa"/>
            <w:vMerge w:val="continue"/>
            <w:vAlign w:val="center"/>
          </w:tcPr>
          <w:p>
            <w:pPr>
              <w:widowControl/>
              <w:spacing w:line="360" w:lineRule="exact"/>
              <w:rPr>
                <w:rFonts w:ascii="仿宋" w:hAnsi="仿宋" w:eastAsia="仿宋" w:cs="仿宋"/>
                <w:kern w:val="0"/>
                <w:szCs w:val="21"/>
                <w:highlight w:val="none"/>
              </w:rPr>
            </w:pPr>
          </w:p>
        </w:tc>
        <w:tc>
          <w:tcPr>
            <w:tcW w:w="1084" w:type="dxa"/>
            <w:vMerge w:val="continue"/>
            <w:vAlign w:val="center"/>
          </w:tcPr>
          <w:p>
            <w:pPr>
              <w:widowControl/>
              <w:spacing w:line="360" w:lineRule="exact"/>
              <w:rPr>
                <w:rFonts w:ascii="仿宋" w:hAnsi="仿宋" w:eastAsia="仿宋" w:cs="仿宋"/>
                <w:kern w:val="0"/>
                <w:szCs w:val="21"/>
                <w:highlight w:val="none"/>
              </w:rPr>
            </w:pPr>
          </w:p>
        </w:tc>
        <w:tc>
          <w:tcPr>
            <w:tcW w:w="2368"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检查是否有闲杂人员逗留</w:t>
            </w:r>
          </w:p>
        </w:tc>
        <w:tc>
          <w:tcPr>
            <w:tcW w:w="3744" w:type="dxa"/>
            <w:vMerge w:val="continue"/>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restart"/>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公共走道（巡逻）</w:t>
            </w: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12小时</w:t>
            </w:r>
          </w:p>
        </w:tc>
        <w:tc>
          <w:tcPr>
            <w:tcW w:w="2368"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照明是否完好，是否按规定开启或关闭</w:t>
            </w:r>
          </w:p>
        </w:tc>
        <w:tc>
          <w:tcPr>
            <w:tcW w:w="3744" w:type="dxa"/>
            <w:vMerge w:val="restart"/>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1、应留意节约能源</w:t>
            </w:r>
          </w:p>
          <w:p>
            <w:pPr>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2、如有物件阻塞通道，应予清除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323" w:type="dxa"/>
            <w:vMerge w:val="continue"/>
            <w:vAlign w:val="center"/>
          </w:tcPr>
          <w:p>
            <w:pPr>
              <w:widowControl/>
              <w:spacing w:line="360" w:lineRule="exact"/>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2小时/次</w:t>
            </w:r>
          </w:p>
        </w:tc>
        <w:tc>
          <w:tcPr>
            <w:tcW w:w="2368"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有无摆放物件阻塞通道</w:t>
            </w:r>
          </w:p>
        </w:tc>
        <w:tc>
          <w:tcPr>
            <w:tcW w:w="3744" w:type="dxa"/>
            <w:vMerge w:val="continue"/>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vAlign w:val="center"/>
          </w:tcPr>
          <w:p>
            <w:pPr>
              <w:widowControl/>
              <w:spacing w:line="360" w:lineRule="exact"/>
              <w:rPr>
                <w:rFonts w:ascii="仿宋" w:hAnsi="仿宋" w:eastAsia="仿宋" w:cs="仿宋"/>
                <w:kern w:val="0"/>
                <w:szCs w:val="21"/>
                <w:highlight w:val="none"/>
              </w:rPr>
            </w:pPr>
          </w:p>
        </w:tc>
        <w:tc>
          <w:tcPr>
            <w:tcW w:w="1084" w:type="dxa"/>
            <w:vAlign w:val="center"/>
          </w:tcPr>
          <w:p>
            <w:pPr>
              <w:widowControl/>
              <w:spacing w:line="360" w:lineRule="exact"/>
              <w:rPr>
                <w:rFonts w:ascii="仿宋" w:hAnsi="仿宋" w:eastAsia="仿宋" w:cs="仿宋"/>
                <w:kern w:val="0"/>
                <w:szCs w:val="21"/>
                <w:highlight w:val="none"/>
              </w:rPr>
            </w:pPr>
          </w:p>
        </w:tc>
        <w:tc>
          <w:tcPr>
            <w:tcW w:w="2368"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检查有否闲人逗留、串门</w:t>
            </w:r>
          </w:p>
        </w:tc>
        <w:tc>
          <w:tcPr>
            <w:tcW w:w="3744"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323" w:type="dxa"/>
            <w:vMerge w:val="restart"/>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停车场所管理</w:t>
            </w:r>
          </w:p>
        </w:tc>
        <w:tc>
          <w:tcPr>
            <w:tcW w:w="1084" w:type="dxa"/>
            <w:vMerge w:val="restart"/>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24小时</w:t>
            </w:r>
          </w:p>
        </w:tc>
        <w:tc>
          <w:tcPr>
            <w:tcW w:w="2368"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按标准对临时停放的车辆进行管理。</w:t>
            </w:r>
          </w:p>
        </w:tc>
        <w:tc>
          <w:tcPr>
            <w:tcW w:w="3744" w:type="dxa"/>
            <w:vMerge w:val="restart"/>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1、车辆停放有序</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2、车辆按指示牌驾驶</w:t>
            </w:r>
          </w:p>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vAlign w:val="center"/>
          </w:tcPr>
          <w:p>
            <w:pPr>
              <w:widowControl/>
              <w:spacing w:line="360" w:lineRule="exact"/>
              <w:rPr>
                <w:rFonts w:ascii="仿宋" w:hAnsi="仿宋" w:eastAsia="仿宋" w:cs="仿宋"/>
                <w:kern w:val="0"/>
                <w:szCs w:val="21"/>
                <w:highlight w:val="none"/>
              </w:rPr>
            </w:pPr>
          </w:p>
        </w:tc>
        <w:tc>
          <w:tcPr>
            <w:tcW w:w="1084" w:type="dxa"/>
            <w:vMerge w:val="continue"/>
            <w:vAlign w:val="center"/>
          </w:tcPr>
          <w:p>
            <w:pPr>
              <w:widowControl/>
              <w:spacing w:line="360" w:lineRule="exact"/>
              <w:rPr>
                <w:rFonts w:ascii="仿宋" w:hAnsi="仿宋" w:eastAsia="仿宋" w:cs="仿宋"/>
                <w:kern w:val="0"/>
                <w:szCs w:val="21"/>
                <w:highlight w:val="none"/>
              </w:rPr>
            </w:pPr>
          </w:p>
        </w:tc>
        <w:tc>
          <w:tcPr>
            <w:tcW w:w="2368"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对进（出）的外来车辆应协助司机进行车辆登记</w:t>
            </w:r>
          </w:p>
        </w:tc>
        <w:tc>
          <w:tcPr>
            <w:tcW w:w="3744" w:type="dxa"/>
            <w:vMerge w:val="continue"/>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323" w:type="dxa"/>
            <w:vMerge w:val="continue"/>
            <w:vAlign w:val="center"/>
          </w:tcPr>
          <w:p>
            <w:pPr>
              <w:widowControl/>
              <w:spacing w:line="360" w:lineRule="exact"/>
              <w:rPr>
                <w:rFonts w:ascii="仿宋" w:hAnsi="仿宋" w:eastAsia="仿宋" w:cs="仿宋"/>
                <w:kern w:val="0"/>
                <w:szCs w:val="21"/>
                <w:highlight w:val="none"/>
              </w:rPr>
            </w:pPr>
          </w:p>
        </w:tc>
        <w:tc>
          <w:tcPr>
            <w:tcW w:w="1084" w:type="dxa"/>
            <w:vMerge w:val="continue"/>
            <w:vAlign w:val="center"/>
          </w:tcPr>
          <w:p>
            <w:pPr>
              <w:widowControl/>
              <w:spacing w:line="360" w:lineRule="exact"/>
              <w:rPr>
                <w:rFonts w:ascii="仿宋" w:hAnsi="仿宋" w:eastAsia="仿宋" w:cs="仿宋"/>
                <w:kern w:val="0"/>
                <w:szCs w:val="21"/>
                <w:highlight w:val="none"/>
              </w:rPr>
            </w:pPr>
          </w:p>
        </w:tc>
        <w:tc>
          <w:tcPr>
            <w:tcW w:w="2368"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对车辆进行检查</w:t>
            </w:r>
          </w:p>
        </w:tc>
        <w:tc>
          <w:tcPr>
            <w:tcW w:w="3744" w:type="dxa"/>
            <w:vMerge w:val="continue"/>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Merge w:val="continue"/>
            <w:vAlign w:val="center"/>
          </w:tcPr>
          <w:p>
            <w:pPr>
              <w:widowControl/>
              <w:spacing w:line="360" w:lineRule="exact"/>
              <w:rPr>
                <w:rFonts w:ascii="仿宋" w:hAnsi="仿宋" w:eastAsia="仿宋" w:cs="仿宋"/>
                <w:kern w:val="0"/>
                <w:szCs w:val="21"/>
                <w:highlight w:val="none"/>
              </w:rPr>
            </w:pPr>
          </w:p>
        </w:tc>
        <w:tc>
          <w:tcPr>
            <w:tcW w:w="1084" w:type="dxa"/>
            <w:vMerge w:val="continue"/>
            <w:vAlign w:val="center"/>
          </w:tcPr>
          <w:p>
            <w:pPr>
              <w:widowControl/>
              <w:spacing w:line="360" w:lineRule="exact"/>
              <w:rPr>
                <w:rFonts w:ascii="仿宋" w:hAnsi="仿宋" w:eastAsia="仿宋" w:cs="仿宋"/>
                <w:kern w:val="0"/>
                <w:szCs w:val="21"/>
                <w:highlight w:val="none"/>
              </w:rPr>
            </w:pPr>
          </w:p>
        </w:tc>
        <w:tc>
          <w:tcPr>
            <w:tcW w:w="2368"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地下停车库由专人负责指挥车辆出入，按时、按要求巡更。</w:t>
            </w:r>
          </w:p>
        </w:tc>
        <w:tc>
          <w:tcPr>
            <w:tcW w:w="3744" w:type="dxa"/>
            <w:vMerge w:val="continue"/>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323" w:type="dxa"/>
            <w:vMerge w:val="continue"/>
            <w:vAlign w:val="center"/>
          </w:tcPr>
          <w:p>
            <w:pPr>
              <w:widowControl/>
              <w:spacing w:line="360" w:lineRule="exact"/>
              <w:rPr>
                <w:rFonts w:ascii="仿宋" w:hAnsi="仿宋" w:eastAsia="仿宋" w:cs="仿宋"/>
                <w:kern w:val="0"/>
                <w:szCs w:val="21"/>
                <w:highlight w:val="none"/>
              </w:rPr>
            </w:pPr>
          </w:p>
        </w:tc>
        <w:tc>
          <w:tcPr>
            <w:tcW w:w="1084" w:type="dxa"/>
            <w:vMerge w:val="continue"/>
            <w:vAlign w:val="center"/>
          </w:tcPr>
          <w:p>
            <w:pPr>
              <w:widowControl/>
              <w:spacing w:line="360" w:lineRule="exact"/>
              <w:rPr>
                <w:rFonts w:ascii="仿宋" w:hAnsi="仿宋" w:eastAsia="仿宋" w:cs="仿宋"/>
                <w:kern w:val="0"/>
                <w:szCs w:val="21"/>
                <w:highlight w:val="none"/>
              </w:rPr>
            </w:pPr>
          </w:p>
        </w:tc>
        <w:tc>
          <w:tcPr>
            <w:tcW w:w="2368"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发生交通事故后，应保护好现场</w:t>
            </w:r>
          </w:p>
        </w:tc>
        <w:tc>
          <w:tcPr>
            <w:tcW w:w="3744" w:type="dxa"/>
            <w:vMerge w:val="continue"/>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3"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紧急事件</w:t>
            </w:r>
          </w:p>
        </w:tc>
        <w:tc>
          <w:tcPr>
            <w:tcW w:w="1084" w:type="dxa"/>
            <w:vAlign w:val="center"/>
          </w:tcPr>
          <w:p>
            <w:pPr>
              <w:widowControl/>
              <w:spacing w:line="360" w:lineRule="exact"/>
              <w:rPr>
                <w:rFonts w:ascii="仿宋" w:hAnsi="仿宋" w:eastAsia="仿宋" w:cs="仿宋"/>
                <w:kern w:val="0"/>
                <w:szCs w:val="21"/>
                <w:highlight w:val="none"/>
              </w:rPr>
            </w:pPr>
          </w:p>
        </w:tc>
        <w:tc>
          <w:tcPr>
            <w:tcW w:w="2368"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及时通报</w:t>
            </w:r>
          </w:p>
        </w:tc>
        <w:tc>
          <w:tcPr>
            <w:tcW w:w="3744"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三分钟内到达现场</w:t>
            </w:r>
          </w:p>
        </w:tc>
      </w:tr>
    </w:tbl>
    <w:p>
      <w:pPr>
        <w:spacing w:line="360" w:lineRule="exact"/>
        <w:outlineLvl w:val="2"/>
        <w:rPr>
          <w:rFonts w:ascii="仿宋" w:hAnsi="仿宋" w:eastAsia="仿宋" w:cs="仿宋"/>
          <w:sz w:val="24"/>
          <w:szCs w:val="24"/>
          <w:highlight w:val="none"/>
        </w:rPr>
      </w:pPr>
      <w:r>
        <w:rPr>
          <w:rFonts w:hint="eastAsia" w:ascii="仿宋" w:hAnsi="仿宋" w:eastAsia="仿宋" w:cs="仿宋"/>
          <w:sz w:val="24"/>
          <w:szCs w:val="24"/>
          <w:highlight w:val="none"/>
        </w:rPr>
        <w:t>3.电梯的日常维护及监管标准</w:t>
      </w:r>
    </w:p>
    <w:tbl>
      <w:tblPr>
        <w:tblStyle w:val="10"/>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1169"/>
        <w:gridCol w:w="2468"/>
        <w:gridCol w:w="3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28" w:type="dxa"/>
            <w:vMerge w:val="restart"/>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电梯系统</w:t>
            </w:r>
          </w:p>
        </w:tc>
        <w:tc>
          <w:tcPr>
            <w:tcW w:w="116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每天一次</w:t>
            </w:r>
          </w:p>
        </w:tc>
        <w:tc>
          <w:tcPr>
            <w:tcW w:w="2468"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轿厢内照明、按钮、空调</w:t>
            </w:r>
          </w:p>
        </w:tc>
        <w:tc>
          <w:tcPr>
            <w:tcW w:w="3454" w:type="dxa"/>
            <w:vMerge w:val="restart"/>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1、保持完好</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2、保持机房和设备设施清洁</w:t>
            </w:r>
          </w:p>
          <w:p>
            <w:pPr>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3、保证电梯安全使用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28" w:type="dxa"/>
            <w:vMerge w:val="continue"/>
            <w:vAlign w:val="center"/>
          </w:tcPr>
          <w:p>
            <w:pPr>
              <w:widowControl/>
              <w:spacing w:line="360" w:lineRule="exact"/>
              <w:rPr>
                <w:rFonts w:ascii="仿宋" w:hAnsi="仿宋" w:eastAsia="仿宋" w:cs="仿宋"/>
                <w:kern w:val="0"/>
                <w:szCs w:val="21"/>
                <w:highlight w:val="none"/>
              </w:rPr>
            </w:pPr>
          </w:p>
        </w:tc>
        <w:tc>
          <w:tcPr>
            <w:tcW w:w="116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每周一次</w:t>
            </w:r>
          </w:p>
        </w:tc>
        <w:tc>
          <w:tcPr>
            <w:tcW w:w="2468"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清洁设施设备，清洁机房</w:t>
            </w:r>
          </w:p>
        </w:tc>
        <w:tc>
          <w:tcPr>
            <w:tcW w:w="3454"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28" w:type="dxa"/>
            <w:vMerge w:val="continue"/>
            <w:vAlign w:val="center"/>
          </w:tcPr>
          <w:p>
            <w:pPr>
              <w:widowControl/>
              <w:spacing w:line="360" w:lineRule="exact"/>
              <w:rPr>
                <w:rFonts w:ascii="仿宋" w:hAnsi="仿宋" w:eastAsia="仿宋" w:cs="仿宋"/>
                <w:kern w:val="0"/>
                <w:szCs w:val="21"/>
                <w:highlight w:val="none"/>
              </w:rPr>
            </w:pPr>
          </w:p>
        </w:tc>
        <w:tc>
          <w:tcPr>
            <w:tcW w:w="116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每月一次</w:t>
            </w:r>
          </w:p>
        </w:tc>
        <w:tc>
          <w:tcPr>
            <w:tcW w:w="2468" w:type="dxa"/>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配合检查控制屏、齿轮箱、钢丝绳刹车</w:t>
            </w:r>
          </w:p>
        </w:tc>
        <w:tc>
          <w:tcPr>
            <w:tcW w:w="3454" w:type="dxa"/>
            <w:vMerge w:val="continue"/>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28" w:type="dxa"/>
            <w:vMerge w:val="continue"/>
            <w:vAlign w:val="center"/>
          </w:tcPr>
          <w:p>
            <w:pPr>
              <w:widowControl/>
              <w:spacing w:line="360" w:lineRule="exact"/>
              <w:rPr>
                <w:rFonts w:ascii="仿宋" w:hAnsi="仿宋" w:eastAsia="仿宋" w:cs="仿宋"/>
                <w:kern w:val="0"/>
                <w:szCs w:val="21"/>
                <w:highlight w:val="none"/>
              </w:rPr>
            </w:pPr>
          </w:p>
        </w:tc>
        <w:tc>
          <w:tcPr>
            <w:tcW w:w="116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每年一次</w:t>
            </w:r>
          </w:p>
        </w:tc>
        <w:tc>
          <w:tcPr>
            <w:tcW w:w="2468"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年度安全检测</w:t>
            </w:r>
          </w:p>
        </w:tc>
        <w:tc>
          <w:tcPr>
            <w:tcW w:w="3454" w:type="dxa"/>
            <w:vMerge w:val="continue"/>
            <w:vAlign w:val="center"/>
          </w:tcPr>
          <w:p>
            <w:pPr>
              <w:widowControl/>
              <w:spacing w:line="360" w:lineRule="exact"/>
              <w:rPr>
                <w:rFonts w:ascii="仿宋" w:hAnsi="仿宋" w:eastAsia="仿宋" w:cs="仿宋"/>
                <w:kern w:val="0"/>
                <w:szCs w:val="21"/>
                <w:highlight w:val="none"/>
              </w:rPr>
            </w:pPr>
          </w:p>
        </w:tc>
      </w:tr>
    </w:tbl>
    <w:p>
      <w:pPr>
        <w:spacing w:line="360" w:lineRule="exact"/>
        <w:outlineLvl w:val="2"/>
        <w:rPr>
          <w:rFonts w:ascii="仿宋" w:hAnsi="仿宋" w:eastAsia="仿宋" w:cs="仿宋"/>
          <w:sz w:val="24"/>
          <w:szCs w:val="24"/>
          <w:highlight w:val="none"/>
        </w:rPr>
      </w:pPr>
      <w:r>
        <w:rPr>
          <w:rFonts w:hint="eastAsia" w:ascii="仿宋" w:hAnsi="仿宋" w:eastAsia="仿宋" w:cs="仿宋"/>
          <w:sz w:val="24"/>
          <w:szCs w:val="24"/>
          <w:highlight w:val="none"/>
        </w:rPr>
        <w:t>4.消防设备的日常维护及保养合同的监管标准</w:t>
      </w:r>
    </w:p>
    <w:tbl>
      <w:tblPr>
        <w:tblStyle w:val="10"/>
        <w:tblW w:w="8519" w:type="dxa"/>
        <w:tblInd w:w="0" w:type="dxa"/>
        <w:tblLayout w:type="fixed"/>
        <w:tblCellMar>
          <w:top w:w="0" w:type="dxa"/>
          <w:left w:w="108" w:type="dxa"/>
          <w:bottom w:w="0" w:type="dxa"/>
          <w:right w:w="108" w:type="dxa"/>
        </w:tblCellMar>
      </w:tblPr>
      <w:tblGrid>
        <w:gridCol w:w="1428"/>
        <w:gridCol w:w="1169"/>
        <w:gridCol w:w="2468"/>
        <w:gridCol w:w="3454"/>
      </w:tblGrid>
      <w:tr>
        <w:tblPrEx>
          <w:tblCellMar>
            <w:top w:w="0" w:type="dxa"/>
            <w:left w:w="108" w:type="dxa"/>
            <w:bottom w:w="0" w:type="dxa"/>
            <w:right w:w="108" w:type="dxa"/>
          </w:tblCellMar>
        </w:tblPrEx>
        <w:trPr>
          <w:trHeight w:val="442" w:hRule="atLeast"/>
        </w:trPr>
        <w:tc>
          <w:tcPr>
            <w:tcW w:w="1428" w:type="dxa"/>
            <w:vMerge w:val="restart"/>
            <w:tcBorders>
              <w:top w:val="single" w:color="auto" w:sz="4" w:space="0"/>
              <w:left w:val="single" w:color="auto" w:sz="4" w:space="0"/>
              <w:right w:val="single" w:color="auto" w:sz="4" w:space="0"/>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消防设备</w:t>
            </w:r>
          </w:p>
        </w:tc>
        <w:tc>
          <w:tcPr>
            <w:tcW w:w="116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每天一次</w:t>
            </w:r>
          </w:p>
        </w:tc>
        <w:tc>
          <w:tcPr>
            <w:tcW w:w="246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消防喷淋水泵</w:t>
            </w:r>
          </w:p>
        </w:tc>
        <w:tc>
          <w:tcPr>
            <w:tcW w:w="3454" w:type="dxa"/>
            <w:vMerge w:val="restart"/>
            <w:tcBorders>
              <w:top w:val="single" w:color="auto" w:sz="4" w:space="0"/>
              <w:left w:val="single" w:color="auto" w:sz="4" w:space="0"/>
              <w:right w:val="single" w:color="auto" w:sz="4" w:space="0"/>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1、运行正常</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2、水泵检修、加油、轴承维护</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3、点动、运行5~10分钟</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4、设备是否处于备用状态对设备进行日常保养</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5、上下限位，传动链与链轮加油，手动下降</w:t>
            </w:r>
          </w:p>
          <w:p>
            <w:pPr>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6、配合消防相关检测</w:t>
            </w:r>
          </w:p>
        </w:tc>
      </w:tr>
      <w:tr>
        <w:tblPrEx>
          <w:tblCellMar>
            <w:top w:w="0" w:type="dxa"/>
            <w:left w:w="108" w:type="dxa"/>
            <w:bottom w:w="0" w:type="dxa"/>
            <w:right w:w="108" w:type="dxa"/>
          </w:tblCellMar>
        </w:tblPrEx>
        <w:trPr>
          <w:trHeight w:val="442" w:hRule="atLeast"/>
        </w:trPr>
        <w:tc>
          <w:tcPr>
            <w:tcW w:w="1428" w:type="dxa"/>
            <w:vMerge w:val="continue"/>
            <w:tcBorders>
              <w:left w:val="single" w:color="auto" w:sz="4" w:space="0"/>
              <w:right w:val="single" w:color="auto" w:sz="4" w:space="0"/>
            </w:tcBorders>
            <w:vAlign w:val="center"/>
          </w:tcPr>
          <w:p>
            <w:pPr>
              <w:widowControl/>
              <w:spacing w:line="360" w:lineRule="exact"/>
              <w:rPr>
                <w:rFonts w:ascii="仿宋" w:hAnsi="仿宋" w:eastAsia="仿宋" w:cs="仿宋"/>
                <w:kern w:val="0"/>
                <w:szCs w:val="21"/>
                <w:highlight w:val="none"/>
              </w:rPr>
            </w:pPr>
          </w:p>
        </w:tc>
        <w:tc>
          <w:tcPr>
            <w:tcW w:w="116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每月一次</w:t>
            </w:r>
          </w:p>
        </w:tc>
        <w:tc>
          <w:tcPr>
            <w:tcW w:w="2468"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消防、喷淋水泵、稳压泵保养</w:t>
            </w:r>
          </w:p>
        </w:tc>
        <w:tc>
          <w:tcPr>
            <w:tcW w:w="3454" w:type="dxa"/>
            <w:vMerge w:val="continue"/>
            <w:tcBorders>
              <w:left w:val="single" w:color="auto" w:sz="4" w:space="0"/>
              <w:right w:val="single" w:color="auto" w:sz="4" w:space="0"/>
            </w:tcBorders>
            <w:vAlign w:val="center"/>
          </w:tcPr>
          <w:p>
            <w:pPr>
              <w:spacing w:line="360" w:lineRule="exact"/>
              <w:rPr>
                <w:rFonts w:ascii="仿宋" w:hAnsi="仿宋" w:eastAsia="仿宋" w:cs="仿宋"/>
                <w:kern w:val="0"/>
                <w:szCs w:val="21"/>
                <w:highlight w:val="none"/>
              </w:rPr>
            </w:pPr>
          </w:p>
        </w:tc>
      </w:tr>
      <w:tr>
        <w:tblPrEx>
          <w:tblCellMar>
            <w:top w:w="0" w:type="dxa"/>
            <w:left w:w="108" w:type="dxa"/>
            <w:bottom w:w="0" w:type="dxa"/>
            <w:right w:w="108" w:type="dxa"/>
          </w:tblCellMar>
        </w:tblPrEx>
        <w:trPr>
          <w:trHeight w:val="442" w:hRule="atLeast"/>
        </w:trPr>
        <w:tc>
          <w:tcPr>
            <w:tcW w:w="1428" w:type="dxa"/>
            <w:vMerge w:val="continue"/>
            <w:tcBorders>
              <w:left w:val="single" w:color="auto" w:sz="4" w:space="0"/>
              <w:right w:val="single" w:color="auto" w:sz="4" w:space="0"/>
            </w:tcBorders>
            <w:vAlign w:val="center"/>
          </w:tcPr>
          <w:p>
            <w:pPr>
              <w:widowControl/>
              <w:spacing w:line="360" w:lineRule="exact"/>
              <w:rPr>
                <w:rFonts w:ascii="仿宋" w:hAnsi="仿宋" w:eastAsia="仿宋" w:cs="仿宋"/>
                <w:kern w:val="0"/>
                <w:szCs w:val="21"/>
                <w:highlight w:val="none"/>
              </w:rPr>
            </w:pPr>
          </w:p>
        </w:tc>
        <w:tc>
          <w:tcPr>
            <w:tcW w:w="116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每月一次</w:t>
            </w:r>
          </w:p>
        </w:tc>
        <w:tc>
          <w:tcPr>
            <w:tcW w:w="2468"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消防、喷淋水泵、稳压泵运转</w:t>
            </w:r>
          </w:p>
        </w:tc>
        <w:tc>
          <w:tcPr>
            <w:tcW w:w="3454" w:type="dxa"/>
            <w:vMerge w:val="continue"/>
            <w:tcBorders>
              <w:left w:val="single" w:color="auto" w:sz="4" w:space="0"/>
              <w:right w:val="single" w:color="auto" w:sz="4" w:space="0"/>
            </w:tcBorders>
            <w:vAlign w:val="center"/>
          </w:tcPr>
          <w:p>
            <w:pPr>
              <w:spacing w:line="360" w:lineRule="exact"/>
              <w:rPr>
                <w:rFonts w:ascii="仿宋" w:hAnsi="仿宋" w:eastAsia="仿宋" w:cs="仿宋"/>
                <w:kern w:val="0"/>
                <w:szCs w:val="21"/>
                <w:highlight w:val="none"/>
              </w:rPr>
            </w:pPr>
          </w:p>
        </w:tc>
      </w:tr>
      <w:tr>
        <w:tblPrEx>
          <w:tblCellMar>
            <w:top w:w="0" w:type="dxa"/>
            <w:left w:w="108" w:type="dxa"/>
            <w:bottom w:w="0" w:type="dxa"/>
            <w:right w:w="108" w:type="dxa"/>
          </w:tblCellMar>
        </w:tblPrEx>
        <w:trPr>
          <w:trHeight w:val="442" w:hRule="atLeast"/>
        </w:trPr>
        <w:tc>
          <w:tcPr>
            <w:tcW w:w="1428" w:type="dxa"/>
            <w:vMerge w:val="continue"/>
            <w:tcBorders>
              <w:left w:val="single" w:color="auto" w:sz="4" w:space="0"/>
              <w:right w:val="single" w:color="auto" w:sz="4" w:space="0"/>
            </w:tcBorders>
            <w:vAlign w:val="center"/>
          </w:tcPr>
          <w:p>
            <w:pPr>
              <w:widowControl/>
              <w:spacing w:line="360" w:lineRule="exact"/>
              <w:rPr>
                <w:rFonts w:ascii="仿宋" w:hAnsi="仿宋" w:eastAsia="仿宋" w:cs="仿宋"/>
                <w:kern w:val="0"/>
                <w:szCs w:val="21"/>
                <w:highlight w:val="none"/>
              </w:rPr>
            </w:pPr>
          </w:p>
        </w:tc>
        <w:tc>
          <w:tcPr>
            <w:tcW w:w="116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每月一次</w:t>
            </w:r>
          </w:p>
        </w:tc>
        <w:tc>
          <w:tcPr>
            <w:tcW w:w="2468"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消防、喷淋水泵、稳压泵巡检</w:t>
            </w:r>
          </w:p>
        </w:tc>
        <w:tc>
          <w:tcPr>
            <w:tcW w:w="3454" w:type="dxa"/>
            <w:vMerge w:val="continue"/>
            <w:tcBorders>
              <w:left w:val="single" w:color="auto" w:sz="4" w:space="0"/>
              <w:right w:val="single" w:color="auto" w:sz="4" w:space="0"/>
            </w:tcBorders>
            <w:vAlign w:val="center"/>
          </w:tcPr>
          <w:p>
            <w:pPr>
              <w:spacing w:line="360" w:lineRule="exact"/>
              <w:rPr>
                <w:rFonts w:ascii="仿宋" w:hAnsi="仿宋" w:eastAsia="仿宋" w:cs="仿宋"/>
                <w:kern w:val="0"/>
                <w:szCs w:val="21"/>
                <w:highlight w:val="none"/>
              </w:rPr>
            </w:pPr>
          </w:p>
        </w:tc>
      </w:tr>
      <w:tr>
        <w:tblPrEx>
          <w:tblCellMar>
            <w:top w:w="0" w:type="dxa"/>
            <w:left w:w="108" w:type="dxa"/>
            <w:bottom w:w="0" w:type="dxa"/>
            <w:right w:w="108" w:type="dxa"/>
          </w:tblCellMar>
        </w:tblPrEx>
        <w:trPr>
          <w:trHeight w:val="442" w:hRule="atLeast"/>
        </w:trPr>
        <w:tc>
          <w:tcPr>
            <w:tcW w:w="1428" w:type="dxa"/>
            <w:vMerge w:val="continue"/>
            <w:tcBorders>
              <w:left w:val="single" w:color="auto" w:sz="4" w:space="0"/>
              <w:right w:val="single" w:color="auto" w:sz="4" w:space="0"/>
            </w:tcBorders>
            <w:vAlign w:val="center"/>
          </w:tcPr>
          <w:p>
            <w:pPr>
              <w:widowControl/>
              <w:spacing w:line="360" w:lineRule="exact"/>
              <w:rPr>
                <w:rFonts w:ascii="仿宋" w:hAnsi="仿宋" w:eastAsia="仿宋" w:cs="仿宋"/>
                <w:kern w:val="0"/>
                <w:szCs w:val="21"/>
                <w:highlight w:val="none"/>
              </w:rPr>
            </w:pPr>
          </w:p>
        </w:tc>
        <w:tc>
          <w:tcPr>
            <w:tcW w:w="116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每年二次</w:t>
            </w:r>
          </w:p>
        </w:tc>
        <w:tc>
          <w:tcPr>
            <w:tcW w:w="246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防火卷帘门</w:t>
            </w:r>
          </w:p>
        </w:tc>
        <w:tc>
          <w:tcPr>
            <w:tcW w:w="3454" w:type="dxa"/>
            <w:vMerge w:val="continue"/>
            <w:tcBorders>
              <w:left w:val="single" w:color="auto" w:sz="4" w:space="0"/>
              <w:right w:val="single" w:color="auto" w:sz="4" w:space="0"/>
            </w:tcBorders>
            <w:vAlign w:val="center"/>
          </w:tcPr>
          <w:p>
            <w:pPr>
              <w:spacing w:line="360" w:lineRule="exact"/>
              <w:rPr>
                <w:rFonts w:ascii="仿宋" w:hAnsi="仿宋" w:eastAsia="仿宋" w:cs="仿宋"/>
                <w:kern w:val="0"/>
                <w:szCs w:val="21"/>
                <w:highlight w:val="none"/>
              </w:rPr>
            </w:pPr>
          </w:p>
        </w:tc>
      </w:tr>
      <w:tr>
        <w:tblPrEx>
          <w:tblCellMar>
            <w:top w:w="0" w:type="dxa"/>
            <w:left w:w="108" w:type="dxa"/>
            <w:bottom w:w="0" w:type="dxa"/>
            <w:right w:w="108" w:type="dxa"/>
          </w:tblCellMar>
        </w:tblPrEx>
        <w:trPr>
          <w:trHeight w:val="442" w:hRule="atLeast"/>
        </w:trPr>
        <w:tc>
          <w:tcPr>
            <w:tcW w:w="1428" w:type="dxa"/>
            <w:vMerge w:val="continue"/>
            <w:tcBorders>
              <w:left w:val="single" w:color="auto" w:sz="4" w:space="0"/>
              <w:bottom w:val="single" w:color="auto" w:sz="4" w:space="0"/>
              <w:right w:val="single" w:color="auto" w:sz="4" w:space="0"/>
            </w:tcBorders>
            <w:vAlign w:val="center"/>
          </w:tcPr>
          <w:p>
            <w:pPr>
              <w:widowControl/>
              <w:spacing w:line="360" w:lineRule="exact"/>
              <w:rPr>
                <w:rFonts w:ascii="仿宋" w:hAnsi="仿宋" w:eastAsia="仿宋" w:cs="仿宋"/>
                <w:kern w:val="0"/>
                <w:szCs w:val="21"/>
                <w:highlight w:val="none"/>
              </w:rPr>
            </w:pPr>
          </w:p>
        </w:tc>
        <w:tc>
          <w:tcPr>
            <w:tcW w:w="116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每天一次</w:t>
            </w:r>
          </w:p>
        </w:tc>
        <w:tc>
          <w:tcPr>
            <w:tcW w:w="246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各楼层防火门巡检</w:t>
            </w:r>
          </w:p>
        </w:tc>
        <w:tc>
          <w:tcPr>
            <w:tcW w:w="3454" w:type="dxa"/>
            <w:vMerge w:val="continue"/>
            <w:tcBorders>
              <w:left w:val="single" w:color="auto" w:sz="4" w:space="0"/>
              <w:bottom w:val="single" w:color="auto" w:sz="4" w:space="0"/>
              <w:right w:val="single" w:color="auto" w:sz="4" w:space="0"/>
            </w:tcBorders>
            <w:vAlign w:val="center"/>
          </w:tcPr>
          <w:p>
            <w:pPr>
              <w:widowControl/>
              <w:spacing w:line="360" w:lineRule="exact"/>
              <w:rPr>
                <w:rFonts w:ascii="仿宋" w:hAnsi="仿宋" w:eastAsia="仿宋" w:cs="仿宋"/>
                <w:kern w:val="0"/>
                <w:szCs w:val="21"/>
                <w:highlight w:val="none"/>
              </w:rPr>
            </w:pPr>
          </w:p>
        </w:tc>
      </w:tr>
    </w:tbl>
    <w:p>
      <w:pPr>
        <w:widowControl/>
        <w:spacing w:line="360" w:lineRule="exact"/>
        <w:outlineLvl w:val="2"/>
        <w:rPr>
          <w:rFonts w:ascii="仿宋" w:hAnsi="仿宋" w:eastAsia="仿宋" w:cs="仿宋"/>
          <w:kern w:val="0"/>
          <w:sz w:val="24"/>
          <w:szCs w:val="24"/>
          <w:highlight w:val="none"/>
        </w:rPr>
      </w:pPr>
      <w:r>
        <w:rPr>
          <w:rFonts w:hint="eastAsia" w:ascii="仿宋" w:hAnsi="仿宋" w:eastAsia="仿宋" w:cs="仿宋"/>
          <w:kern w:val="0"/>
          <w:sz w:val="24"/>
          <w:szCs w:val="24"/>
          <w:highlight w:val="none"/>
        </w:rPr>
        <w:t>5.空调设备日常管理、维护及监管标准</w:t>
      </w:r>
    </w:p>
    <w:tbl>
      <w:tblPr>
        <w:tblStyle w:val="10"/>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1169"/>
        <w:gridCol w:w="2468"/>
        <w:gridCol w:w="3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28" w:type="dxa"/>
            <w:vMerge w:val="restart"/>
            <w:tcBorders>
              <w:tl2br w:val="nil"/>
              <w:tr2bl w:val="nil"/>
            </w:tcBorders>
            <w:vAlign w:val="center"/>
          </w:tcPr>
          <w:p>
            <w:pPr>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空调系统（含中央空调系统）</w:t>
            </w:r>
          </w:p>
        </w:tc>
        <w:tc>
          <w:tcPr>
            <w:tcW w:w="1169" w:type="dxa"/>
            <w:tcBorders>
              <w:tl2br w:val="nil"/>
              <w:tr2bl w:val="nil"/>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每天</w:t>
            </w:r>
          </w:p>
        </w:tc>
        <w:tc>
          <w:tcPr>
            <w:tcW w:w="2468" w:type="dxa"/>
            <w:tcBorders>
              <w:tl2br w:val="nil"/>
              <w:tr2bl w:val="nil"/>
            </w:tcBorders>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负责正常运行，按业主方规定开启和关闭</w:t>
            </w:r>
          </w:p>
        </w:tc>
        <w:tc>
          <w:tcPr>
            <w:tcW w:w="3454" w:type="dxa"/>
            <w:vMerge w:val="restart"/>
            <w:tcBorders>
              <w:tl2br w:val="nil"/>
              <w:tr2bl w:val="nil"/>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1、运行正常</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 xml:space="preserve">2、清洗冷凝器、蒸发器，压缩机保养，换冷冻油 </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3、清洗滤网、滤器</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4、清洗滤网、电加热器</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5、清洗滤网、滤器、电控柜、温控器</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6、风阀、运行状态</w:t>
            </w: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7、清扫，修补损坏保温材料、阀门加油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28" w:type="dxa"/>
            <w:vMerge w:val="continue"/>
            <w:tcBorders>
              <w:tl2br w:val="nil"/>
              <w:tr2bl w:val="nil"/>
            </w:tcBorders>
            <w:vAlign w:val="center"/>
          </w:tcPr>
          <w:p>
            <w:pPr>
              <w:widowControl/>
              <w:spacing w:line="360" w:lineRule="exact"/>
              <w:rPr>
                <w:rFonts w:ascii="仿宋" w:hAnsi="仿宋" w:eastAsia="仿宋" w:cs="仿宋"/>
                <w:kern w:val="0"/>
                <w:szCs w:val="21"/>
                <w:highlight w:val="none"/>
              </w:rPr>
            </w:pPr>
          </w:p>
        </w:tc>
        <w:tc>
          <w:tcPr>
            <w:tcW w:w="1169" w:type="dxa"/>
            <w:tcBorders>
              <w:tl2br w:val="nil"/>
              <w:tr2bl w:val="nil"/>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每年一次</w:t>
            </w:r>
          </w:p>
        </w:tc>
        <w:tc>
          <w:tcPr>
            <w:tcW w:w="2468" w:type="dxa"/>
            <w:tcBorders>
              <w:tl2br w:val="nil"/>
              <w:tr2bl w:val="nil"/>
            </w:tcBorders>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配合专业单位年度检修</w:t>
            </w:r>
          </w:p>
        </w:tc>
        <w:tc>
          <w:tcPr>
            <w:tcW w:w="3454" w:type="dxa"/>
            <w:vMerge w:val="continue"/>
            <w:tcBorders>
              <w:tl2br w:val="nil"/>
              <w:tr2bl w:val="nil"/>
            </w:tcBorders>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28" w:type="dxa"/>
            <w:vMerge w:val="continue"/>
            <w:tcBorders>
              <w:tl2br w:val="nil"/>
              <w:tr2bl w:val="nil"/>
            </w:tcBorders>
            <w:vAlign w:val="center"/>
          </w:tcPr>
          <w:p>
            <w:pPr>
              <w:widowControl/>
              <w:spacing w:line="360" w:lineRule="exact"/>
              <w:rPr>
                <w:rFonts w:ascii="仿宋" w:hAnsi="仿宋" w:eastAsia="仿宋" w:cs="仿宋"/>
                <w:kern w:val="0"/>
                <w:szCs w:val="21"/>
                <w:highlight w:val="none"/>
              </w:rPr>
            </w:pPr>
          </w:p>
        </w:tc>
        <w:tc>
          <w:tcPr>
            <w:tcW w:w="1169" w:type="dxa"/>
            <w:tcBorders>
              <w:tl2br w:val="nil"/>
              <w:tr2bl w:val="nil"/>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每天</w:t>
            </w:r>
          </w:p>
        </w:tc>
        <w:tc>
          <w:tcPr>
            <w:tcW w:w="2468" w:type="dxa"/>
            <w:tcBorders>
              <w:tl2br w:val="nil"/>
              <w:tr2bl w:val="nil"/>
            </w:tcBorders>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楼层空调机房</w:t>
            </w:r>
          </w:p>
        </w:tc>
        <w:tc>
          <w:tcPr>
            <w:tcW w:w="3454" w:type="dxa"/>
            <w:vMerge w:val="continue"/>
            <w:tcBorders>
              <w:tl2br w:val="nil"/>
              <w:tr2bl w:val="nil"/>
            </w:tcBorders>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28" w:type="dxa"/>
            <w:vMerge w:val="continue"/>
            <w:tcBorders>
              <w:tl2br w:val="nil"/>
              <w:tr2bl w:val="nil"/>
            </w:tcBorders>
            <w:vAlign w:val="center"/>
          </w:tcPr>
          <w:p>
            <w:pPr>
              <w:widowControl/>
              <w:spacing w:line="360" w:lineRule="exact"/>
              <w:rPr>
                <w:rFonts w:ascii="仿宋" w:hAnsi="仿宋" w:eastAsia="仿宋" w:cs="仿宋"/>
                <w:kern w:val="0"/>
                <w:szCs w:val="21"/>
                <w:highlight w:val="none"/>
              </w:rPr>
            </w:pPr>
          </w:p>
        </w:tc>
        <w:tc>
          <w:tcPr>
            <w:tcW w:w="1169" w:type="dxa"/>
            <w:tcBorders>
              <w:tl2br w:val="nil"/>
              <w:tr2bl w:val="nil"/>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每天</w:t>
            </w:r>
          </w:p>
        </w:tc>
        <w:tc>
          <w:tcPr>
            <w:tcW w:w="2468" w:type="dxa"/>
            <w:tcBorders>
              <w:tl2br w:val="nil"/>
              <w:tr2bl w:val="nil"/>
            </w:tcBorders>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新风机</w:t>
            </w:r>
          </w:p>
        </w:tc>
        <w:tc>
          <w:tcPr>
            <w:tcW w:w="3454" w:type="dxa"/>
            <w:vMerge w:val="continue"/>
            <w:tcBorders>
              <w:tl2br w:val="nil"/>
              <w:tr2bl w:val="nil"/>
            </w:tcBorders>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28" w:type="dxa"/>
            <w:vMerge w:val="continue"/>
            <w:tcBorders>
              <w:tl2br w:val="nil"/>
              <w:tr2bl w:val="nil"/>
            </w:tcBorders>
            <w:vAlign w:val="center"/>
          </w:tcPr>
          <w:p>
            <w:pPr>
              <w:widowControl/>
              <w:spacing w:line="360" w:lineRule="exact"/>
              <w:rPr>
                <w:rFonts w:ascii="仿宋" w:hAnsi="仿宋" w:eastAsia="仿宋" w:cs="仿宋"/>
                <w:kern w:val="0"/>
                <w:szCs w:val="21"/>
                <w:highlight w:val="none"/>
              </w:rPr>
            </w:pPr>
          </w:p>
        </w:tc>
        <w:tc>
          <w:tcPr>
            <w:tcW w:w="1169" w:type="dxa"/>
            <w:tcBorders>
              <w:tl2br w:val="nil"/>
              <w:tr2bl w:val="nil"/>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每月一次</w:t>
            </w:r>
          </w:p>
        </w:tc>
        <w:tc>
          <w:tcPr>
            <w:tcW w:w="2468" w:type="dxa"/>
            <w:tcBorders>
              <w:tl2br w:val="nil"/>
              <w:tr2bl w:val="nil"/>
            </w:tcBorders>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风机盘管月度检修</w:t>
            </w:r>
          </w:p>
        </w:tc>
        <w:tc>
          <w:tcPr>
            <w:tcW w:w="3454" w:type="dxa"/>
            <w:vMerge w:val="continue"/>
            <w:tcBorders>
              <w:tl2br w:val="nil"/>
              <w:tr2bl w:val="nil"/>
            </w:tcBorders>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28" w:type="dxa"/>
            <w:vMerge w:val="continue"/>
            <w:tcBorders>
              <w:tl2br w:val="nil"/>
              <w:tr2bl w:val="nil"/>
            </w:tcBorders>
            <w:vAlign w:val="center"/>
          </w:tcPr>
          <w:p>
            <w:pPr>
              <w:widowControl/>
              <w:spacing w:line="360" w:lineRule="exact"/>
              <w:rPr>
                <w:rFonts w:ascii="仿宋" w:hAnsi="仿宋" w:eastAsia="仿宋" w:cs="仿宋"/>
                <w:kern w:val="0"/>
                <w:szCs w:val="21"/>
                <w:highlight w:val="none"/>
              </w:rPr>
            </w:pPr>
          </w:p>
        </w:tc>
        <w:tc>
          <w:tcPr>
            <w:tcW w:w="1169" w:type="dxa"/>
            <w:tcBorders>
              <w:tl2br w:val="nil"/>
              <w:tr2bl w:val="nil"/>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每月一次</w:t>
            </w:r>
          </w:p>
        </w:tc>
        <w:tc>
          <w:tcPr>
            <w:tcW w:w="2468" w:type="dxa"/>
            <w:tcBorders>
              <w:tl2br w:val="nil"/>
              <w:tr2bl w:val="nil"/>
            </w:tcBorders>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技术层风机房（防排烟风机）</w:t>
            </w:r>
          </w:p>
        </w:tc>
        <w:tc>
          <w:tcPr>
            <w:tcW w:w="3454" w:type="dxa"/>
            <w:vMerge w:val="continue"/>
            <w:tcBorders>
              <w:tl2br w:val="nil"/>
              <w:tr2bl w:val="nil"/>
            </w:tcBorders>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28" w:type="dxa"/>
            <w:vMerge w:val="continue"/>
            <w:tcBorders>
              <w:tl2br w:val="nil"/>
              <w:tr2bl w:val="nil"/>
            </w:tcBorders>
            <w:vAlign w:val="center"/>
          </w:tcPr>
          <w:p>
            <w:pPr>
              <w:widowControl/>
              <w:spacing w:line="360" w:lineRule="exact"/>
              <w:rPr>
                <w:rFonts w:ascii="仿宋" w:hAnsi="仿宋" w:eastAsia="仿宋" w:cs="仿宋"/>
                <w:kern w:val="0"/>
                <w:szCs w:val="21"/>
                <w:highlight w:val="none"/>
              </w:rPr>
            </w:pPr>
          </w:p>
        </w:tc>
        <w:tc>
          <w:tcPr>
            <w:tcW w:w="1169" w:type="dxa"/>
            <w:tcBorders>
              <w:tl2br w:val="nil"/>
              <w:tr2bl w:val="nil"/>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每年二次</w:t>
            </w:r>
          </w:p>
        </w:tc>
        <w:tc>
          <w:tcPr>
            <w:tcW w:w="2468" w:type="dxa"/>
            <w:tcBorders>
              <w:tl2br w:val="nil"/>
              <w:tr2bl w:val="nil"/>
            </w:tcBorders>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空调系统管道保养</w:t>
            </w:r>
          </w:p>
        </w:tc>
        <w:tc>
          <w:tcPr>
            <w:tcW w:w="3454" w:type="dxa"/>
            <w:vMerge w:val="continue"/>
            <w:tcBorders>
              <w:tl2br w:val="nil"/>
              <w:tr2bl w:val="nil"/>
            </w:tcBorders>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28" w:type="dxa"/>
            <w:vMerge w:val="continue"/>
            <w:tcBorders>
              <w:tl2br w:val="nil"/>
              <w:tr2bl w:val="nil"/>
            </w:tcBorders>
            <w:vAlign w:val="center"/>
          </w:tcPr>
          <w:p>
            <w:pPr>
              <w:widowControl/>
              <w:spacing w:line="360" w:lineRule="exact"/>
              <w:rPr>
                <w:rFonts w:ascii="仿宋" w:hAnsi="仿宋" w:eastAsia="仿宋" w:cs="仿宋"/>
                <w:kern w:val="0"/>
                <w:szCs w:val="21"/>
                <w:highlight w:val="none"/>
              </w:rPr>
            </w:pPr>
          </w:p>
        </w:tc>
        <w:tc>
          <w:tcPr>
            <w:tcW w:w="1169" w:type="dxa"/>
            <w:tcBorders>
              <w:tl2br w:val="nil"/>
              <w:tr2bl w:val="nil"/>
            </w:tcBorders>
            <w:vAlign w:val="center"/>
          </w:tcPr>
          <w:p>
            <w:pPr>
              <w:widowControl/>
              <w:spacing w:line="360" w:lineRule="exact"/>
              <w:rPr>
                <w:rFonts w:ascii="仿宋" w:hAnsi="仿宋" w:eastAsia="仿宋" w:cs="仿宋"/>
                <w:kern w:val="0"/>
                <w:szCs w:val="21"/>
                <w:highlight w:val="none"/>
              </w:rPr>
            </w:pPr>
          </w:p>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定期（运行期每周）</w:t>
            </w:r>
          </w:p>
        </w:tc>
        <w:tc>
          <w:tcPr>
            <w:tcW w:w="2468" w:type="dxa"/>
            <w:tcBorders>
              <w:tl2br w:val="nil"/>
              <w:tr2bl w:val="nil"/>
            </w:tcBorders>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检查冷却塔风机变速齿轮箱、淋水装置、循环泵、电器控制箱</w:t>
            </w:r>
          </w:p>
        </w:tc>
        <w:tc>
          <w:tcPr>
            <w:tcW w:w="3454" w:type="dxa"/>
            <w:tcBorders>
              <w:tl2br w:val="nil"/>
              <w:tr2bl w:val="nil"/>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保证冷却塔及附属设施的正常运行和良好保养，提供符合要求的冷却水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28" w:type="dxa"/>
            <w:vMerge w:val="continue"/>
            <w:tcBorders>
              <w:tl2br w:val="nil"/>
              <w:tr2bl w:val="nil"/>
            </w:tcBorders>
            <w:vAlign w:val="center"/>
          </w:tcPr>
          <w:p>
            <w:pPr>
              <w:widowControl/>
              <w:spacing w:line="360" w:lineRule="exact"/>
              <w:rPr>
                <w:rFonts w:ascii="仿宋" w:hAnsi="仿宋" w:eastAsia="仿宋" w:cs="仿宋"/>
                <w:kern w:val="0"/>
                <w:szCs w:val="21"/>
                <w:highlight w:val="none"/>
              </w:rPr>
            </w:pPr>
          </w:p>
        </w:tc>
        <w:tc>
          <w:tcPr>
            <w:tcW w:w="1169" w:type="dxa"/>
            <w:tcBorders>
              <w:tl2br w:val="nil"/>
              <w:tr2bl w:val="nil"/>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定期（半年）</w:t>
            </w:r>
          </w:p>
        </w:tc>
        <w:tc>
          <w:tcPr>
            <w:tcW w:w="2468" w:type="dxa"/>
            <w:tcBorders>
              <w:tl2br w:val="nil"/>
              <w:tr2bl w:val="nil"/>
            </w:tcBorders>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对空气处理单元、新风处理单元、风机盘管、滤网、加湿器、风阀、积水盘、风机表冷器进行清洗和保养</w:t>
            </w:r>
          </w:p>
        </w:tc>
        <w:tc>
          <w:tcPr>
            <w:tcW w:w="3454" w:type="dxa"/>
            <w:tcBorders>
              <w:tl2br w:val="nil"/>
              <w:tr2bl w:val="nil"/>
            </w:tcBorders>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28" w:type="dxa"/>
            <w:vMerge w:val="continue"/>
            <w:tcBorders>
              <w:tl2br w:val="nil"/>
              <w:tr2bl w:val="nil"/>
            </w:tcBorders>
            <w:vAlign w:val="center"/>
          </w:tcPr>
          <w:p>
            <w:pPr>
              <w:widowControl/>
              <w:spacing w:line="360" w:lineRule="exact"/>
              <w:rPr>
                <w:rFonts w:ascii="仿宋" w:hAnsi="仿宋" w:eastAsia="仿宋" w:cs="仿宋"/>
                <w:kern w:val="0"/>
                <w:szCs w:val="21"/>
                <w:highlight w:val="none"/>
              </w:rPr>
            </w:pPr>
          </w:p>
        </w:tc>
        <w:tc>
          <w:tcPr>
            <w:tcW w:w="1169" w:type="dxa"/>
            <w:tcBorders>
              <w:tl2br w:val="nil"/>
              <w:tr2bl w:val="nil"/>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定期（每年）</w:t>
            </w:r>
          </w:p>
        </w:tc>
        <w:tc>
          <w:tcPr>
            <w:tcW w:w="2468" w:type="dxa"/>
            <w:tcBorders>
              <w:tl2br w:val="nil"/>
              <w:tr2bl w:val="nil"/>
            </w:tcBorders>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清洗和更换空调机组的空气过滤器</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lang w:val="en-US" w:eastAsia="zh-CN"/>
              </w:rPr>
              <w:t>清洗</w:t>
            </w:r>
            <w:r>
              <w:rPr>
                <w:rFonts w:hint="eastAsia" w:ascii="仿宋" w:hAnsi="仿宋" w:eastAsia="仿宋" w:cs="仿宋"/>
                <w:kern w:val="0"/>
                <w:szCs w:val="21"/>
                <w:highlight w:val="none"/>
              </w:rPr>
              <w:t>冷凝水积水</w:t>
            </w:r>
            <w:r>
              <w:rPr>
                <w:rFonts w:hint="eastAsia" w:ascii="仿宋" w:hAnsi="仿宋" w:eastAsia="仿宋" w:cs="仿宋"/>
                <w:kern w:val="0"/>
                <w:szCs w:val="21"/>
                <w:highlight w:val="none"/>
                <w:lang w:val="en-US" w:eastAsia="zh-CN"/>
              </w:rPr>
              <w:t>盘</w:t>
            </w:r>
            <w:r>
              <w:rPr>
                <w:rFonts w:hint="eastAsia" w:ascii="仿宋" w:hAnsi="仿宋" w:eastAsia="仿宋" w:cs="仿宋"/>
                <w:kern w:val="0"/>
                <w:szCs w:val="21"/>
                <w:highlight w:val="none"/>
              </w:rPr>
              <w:t>和冷凝水管道</w:t>
            </w:r>
          </w:p>
        </w:tc>
        <w:tc>
          <w:tcPr>
            <w:tcW w:w="3454" w:type="dxa"/>
            <w:tcBorders>
              <w:tl2br w:val="nil"/>
              <w:tr2bl w:val="nil"/>
            </w:tcBorders>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28" w:type="dxa"/>
            <w:vMerge w:val="continue"/>
            <w:tcBorders>
              <w:tl2br w:val="nil"/>
              <w:tr2bl w:val="nil"/>
            </w:tcBorders>
            <w:vAlign w:val="center"/>
          </w:tcPr>
          <w:p>
            <w:pPr>
              <w:widowControl/>
              <w:spacing w:line="360" w:lineRule="exact"/>
              <w:rPr>
                <w:rFonts w:ascii="仿宋" w:hAnsi="仿宋" w:eastAsia="仿宋" w:cs="仿宋"/>
                <w:kern w:val="0"/>
                <w:szCs w:val="21"/>
                <w:highlight w:val="none"/>
              </w:rPr>
            </w:pPr>
          </w:p>
        </w:tc>
        <w:tc>
          <w:tcPr>
            <w:tcW w:w="1169" w:type="dxa"/>
            <w:tcBorders>
              <w:tl2br w:val="nil"/>
              <w:tr2bl w:val="nil"/>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定期（运行期每月）</w:t>
            </w:r>
          </w:p>
        </w:tc>
        <w:tc>
          <w:tcPr>
            <w:tcW w:w="2468" w:type="dxa"/>
            <w:tcBorders>
              <w:tl2br w:val="nil"/>
              <w:tr2bl w:val="nil"/>
            </w:tcBorders>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进行循环泵、空调主机、冷却风机电柜主电路螺栓紧固，测试绝缘值，作好记录</w:t>
            </w:r>
          </w:p>
        </w:tc>
        <w:tc>
          <w:tcPr>
            <w:tcW w:w="3454" w:type="dxa"/>
            <w:tcBorders>
              <w:tl2br w:val="nil"/>
              <w:tr2bl w:val="nil"/>
            </w:tcBorders>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28" w:type="dxa"/>
            <w:vMerge w:val="continue"/>
            <w:tcBorders>
              <w:tl2br w:val="nil"/>
              <w:tr2bl w:val="nil"/>
            </w:tcBorders>
            <w:vAlign w:val="center"/>
          </w:tcPr>
          <w:p>
            <w:pPr>
              <w:widowControl/>
              <w:spacing w:line="360" w:lineRule="exact"/>
              <w:rPr>
                <w:rFonts w:ascii="仿宋" w:hAnsi="仿宋" w:eastAsia="仿宋" w:cs="仿宋"/>
                <w:kern w:val="0"/>
                <w:szCs w:val="21"/>
                <w:highlight w:val="none"/>
              </w:rPr>
            </w:pPr>
          </w:p>
        </w:tc>
        <w:tc>
          <w:tcPr>
            <w:tcW w:w="1169" w:type="dxa"/>
            <w:tcBorders>
              <w:tl2br w:val="nil"/>
              <w:tr2bl w:val="nil"/>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定期（运行期每月）</w:t>
            </w:r>
          </w:p>
        </w:tc>
        <w:tc>
          <w:tcPr>
            <w:tcW w:w="2468" w:type="dxa"/>
            <w:tcBorders>
              <w:tl2br w:val="nil"/>
              <w:tr2bl w:val="nil"/>
            </w:tcBorders>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对空调系统主机、水泵、电机、管道、膨胀水箱、集水器、分水器进行检查保养</w:t>
            </w:r>
          </w:p>
        </w:tc>
        <w:tc>
          <w:tcPr>
            <w:tcW w:w="3454" w:type="dxa"/>
            <w:tcBorders>
              <w:tl2br w:val="nil"/>
              <w:tr2bl w:val="nil"/>
            </w:tcBorders>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28" w:type="dxa"/>
            <w:vMerge w:val="continue"/>
            <w:tcBorders>
              <w:tl2br w:val="nil"/>
              <w:tr2bl w:val="nil"/>
            </w:tcBorders>
            <w:vAlign w:val="center"/>
          </w:tcPr>
          <w:p>
            <w:pPr>
              <w:widowControl/>
              <w:spacing w:line="360" w:lineRule="exact"/>
              <w:rPr>
                <w:rFonts w:ascii="仿宋" w:hAnsi="仿宋" w:eastAsia="仿宋" w:cs="仿宋"/>
                <w:kern w:val="0"/>
                <w:szCs w:val="21"/>
                <w:highlight w:val="none"/>
              </w:rPr>
            </w:pPr>
          </w:p>
        </w:tc>
        <w:tc>
          <w:tcPr>
            <w:tcW w:w="1169" w:type="dxa"/>
            <w:tcBorders>
              <w:tl2br w:val="nil"/>
              <w:tr2bl w:val="nil"/>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每天</w:t>
            </w:r>
          </w:p>
        </w:tc>
        <w:tc>
          <w:tcPr>
            <w:tcW w:w="2468" w:type="dxa"/>
            <w:tcBorders>
              <w:tl2br w:val="nil"/>
              <w:tr2bl w:val="nil"/>
            </w:tcBorders>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各种管道完好，阀件及仪表齐备，无跑、冒、滴、漏</w:t>
            </w:r>
          </w:p>
        </w:tc>
        <w:tc>
          <w:tcPr>
            <w:tcW w:w="3454" w:type="dxa"/>
            <w:tcBorders>
              <w:tl2br w:val="nil"/>
              <w:tr2bl w:val="nil"/>
            </w:tcBorders>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28" w:type="dxa"/>
            <w:vMerge w:val="continue"/>
            <w:tcBorders>
              <w:tl2br w:val="nil"/>
              <w:tr2bl w:val="nil"/>
            </w:tcBorders>
            <w:vAlign w:val="center"/>
          </w:tcPr>
          <w:p>
            <w:pPr>
              <w:widowControl/>
              <w:spacing w:line="360" w:lineRule="exact"/>
              <w:rPr>
                <w:rFonts w:ascii="仿宋" w:hAnsi="仿宋" w:eastAsia="仿宋" w:cs="仿宋"/>
                <w:kern w:val="0"/>
                <w:szCs w:val="21"/>
                <w:highlight w:val="none"/>
              </w:rPr>
            </w:pPr>
          </w:p>
        </w:tc>
        <w:tc>
          <w:tcPr>
            <w:tcW w:w="1169" w:type="dxa"/>
            <w:tcBorders>
              <w:tl2br w:val="nil"/>
              <w:tr2bl w:val="nil"/>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每天</w:t>
            </w:r>
          </w:p>
        </w:tc>
        <w:tc>
          <w:tcPr>
            <w:tcW w:w="2468" w:type="dxa"/>
            <w:tcBorders>
              <w:tl2br w:val="nil"/>
              <w:tr2bl w:val="nil"/>
            </w:tcBorders>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保证冷冻主机及附属设施的正常运行和良好保养，提供符合要求的冷冻水</w:t>
            </w:r>
          </w:p>
        </w:tc>
        <w:tc>
          <w:tcPr>
            <w:tcW w:w="3454" w:type="dxa"/>
            <w:tcBorders>
              <w:tl2br w:val="nil"/>
              <w:tr2bl w:val="nil"/>
            </w:tcBorders>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428" w:type="dxa"/>
            <w:vMerge w:val="continue"/>
            <w:tcBorders>
              <w:tl2br w:val="nil"/>
              <w:tr2bl w:val="nil"/>
            </w:tcBorders>
            <w:vAlign w:val="center"/>
          </w:tcPr>
          <w:p>
            <w:pPr>
              <w:widowControl/>
              <w:spacing w:line="360" w:lineRule="exact"/>
              <w:rPr>
                <w:rFonts w:ascii="仿宋" w:hAnsi="仿宋" w:eastAsia="仿宋" w:cs="仿宋"/>
                <w:kern w:val="0"/>
                <w:szCs w:val="21"/>
                <w:highlight w:val="none"/>
              </w:rPr>
            </w:pPr>
          </w:p>
        </w:tc>
        <w:tc>
          <w:tcPr>
            <w:tcW w:w="1169" w:type="dxa"/>
            <w:tcBorders>
              <w:tl2br w:val="nil"/>
              <w:tr2bl w:val="nil"/>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运行期每天</w:t>
            </w:r>
          </w:p>
        </w:tc>
        <w:tc>
          <w:tcPr>
            <w:tcW w:w="2468" w:type="dxa"/>
            <w:tcBorders>
              <w:tl2br w:val="nil"/>
              <w:tr2bl w:val="nil"/>
            </w:tcBorders>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保证采暖热水及附属设施的正常运行和良好保养，提供符合要求的采暖热水</w:t>
            </w:r>
          </w:p>
        </w:tc>
        <w:tc>
          <w:tcPr>
            <w:tcW w:w="3454" w:type="dxa"/>
            <w:tcBorders>
              <w:tl2br w:val="nil"/>
              <w:tr2bl w:val="nil"/>
            </w:tcBorders>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28" w:type="dxa"/>
            <w:vMerge w:val="continue"/>
            <w:tcBorders>
              <w:tl2br w:val="nil"/>
              <w:tr2bl w:val="nil"/>
            </w:tcBorders>
            <w:vAlign w:val="center"/>
          </w:tcPr>
          <w:p>
            <w:pPr>
              <w:widowControl/>
              <w:spacing w:line="360" w:lineRule="exact"/>
              <w:rPr>
                <w:rFonts w:ascii="仿宋" w:hAnsi="仿宋" w:eastAsia="仿宋" w:cs="仿宋"/>
                <w:kern w:val="0"/>
                <w:szCs w:val="21"/>
                <w:highlight w:val="none"/>
              </w:rPr>
            </w:pPr>
          </w:p>
        </w:tc>
        <w:tc>
          <w:tcPr>
            <w:tcW w:w="1169" w:type="dxa"/>
            <w:tcBorders>
              <w:tl2br w:val="nil"/>
              <w:tr2bl w:val="nil"/>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定期（每月）</w:t>
            </w:r>
          </w:p>
        </w:tc>
        <w:tc>
          <w:tcPr>
            <w:tcW w:w="2468" w:type="dxa"/>
            <w:tcBorders>
              <w:tl2br w:val="nil"/>
              <w:tr2bl w:val="nil"/>
            </w:tcBorders>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对空调循环水质进行保养和水质分析，保证水系统内的水质符合国家标准符合要求</w:t>
            </w:r>
          </w:p>
        </w:tc>
        <w:tc>
          <w:tcPr>
            <w:tcW w:w="3454" w:type="dxa"/>
            <w:tcBorders>
              <w:tl2br w:val="nil"/>
              <w:tr2bl w:val="nil"/>
            </w:tcBorders>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28" w:type="dxa"/>
            <w:vMerge w:val="continue"/>
            <w:tcBorders>
              <w:tl2br w:val="nil"/>
              <w:tr2bl w:val="nil"/>
            </w:tcBorders>
            <w:vAlign w:val="center"/>
          </w:tcPr>
          <w:p>
            <w:pPr>
              <w:widowControl/>
              <w:spacing w:line="360" w:lineRule="exact"/>
              <w:rPr>
                <w:rFonts w:ascii="仿宋" w:hAnsi="仿宋" w:eastAsia="仿宋" w:cs="仿宋"/>
                <w:kern w:val="0"/>
                <w:szCs w:val="21"/>
                <w:highlight w:val="none"/>
              </w:rPr>
            </w:pPr>
          </w:p>
        </w:tc>
        <w:tc>
          <w:tcPr>
            <w:tcW w:w="1169" w:type="dxa"/>
            <w:tcBorders>
              <w:tl2br w:val="nil"/>
              <w:tr2bl w:val="nil"/>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每天</w:t>
            </w:r>
          </w:p>
        </w:tc>
        <w:tc>
          <w:tcPr>
            <w:tcW w:w="2468" w:type="dxa"/>
            <w:tcBorders>
              <w:tl2br w:val="nil"/>
              <w:tr2bl w:val="nil"/>
            </w:tcBorders>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能耗计费系统处于完好状态</w:t>
            </w:r>
          </w:p>
        </w:tc>
        <w:tc>
          <w:tcPr>
            <w:tcW w:w="3454" w:type="dxa"/>
            <w:tcBorders>
              <w:tl2br w:val="nil"/>
              <w:tr2bl w:val="nil"/>
            </w:tcBorders>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28" w:type="dxa"/>
            <w:vMerge w:val="continue"/>
            <w:tcBorders>
              <w:tl2br w:val="nil"/>
              <w:tr2bl w:val="nil"/>
            </w:tcBorders>
            <w:vAlign w:val="center"/>
          </w:tcPr>
          <w:p>
            <w:pPr>
              <w:widowControl/>
              <w:spacing w:line="360" w:lineRule="exact"/>
              <w:rPr>
                <w:rFonts w:ascii="仿宋" w:hAnsi="仿宋" w:eastAsia="仿宋" w:cs="仿宋"/>
                <w:kern w:val="0"/>
                <w:szCs w:val="21"/>
                <w:highlight w:val="none"/>
              </w:rPr>
            </w:pPr>
          </w:p>
        </w:tc>
        <w:tc>
          <w:tcPr>
            <w:tcW w:w="1169" w:type="dxa"/>
            <w:tcBorders>
              <w:tl2br w:val="nil"/>
              <w:tr2bl w:val="nil"/>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定期（季度）</w:t>
            </w:r>
          </w:p>
        </w:tc>
        <w:tc>
          <w:tcPr>
            <w:tcW w:w="2468" w:type="dxa"/>
            <w:tcBorders>
              <w:tl2br w:val="nil"/>
              <w:tr2bl w:val="nil"/>
            </w:tcBorders>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定期检查空调机组马达、风机的运转情况，记录运行参数</w:t>
            </w:r>
          </w:p>
        </w:tc>
        <w:tc>
          <w:tcPr>
            <w:tcW w:w="3454" w:type="dxa"/>
            <w:tcBorders>
              <w:tl2br w:val="nil"/>
              <w:tr2bl w:val="nil"/>
            </w:tcBorders>
            <w:vAlign w:val="center"/>
          </w:tcPr>
          <w:p>
            <w:pPr>
              <w:widowControl/>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28" w:type="dxa"/>
            <w:vMerge w:val="continue"/>
            <w:tcBorders>
              <w:tl2br w:val="nil"/>
              <w:tr2bl w:val="nil"/>
            </w:tcBorders>
            <w:vAlign w:val="center"/>
          </w:tcPr>
          <w:p>
            <w:pPr>
              <w:widowControl/>
              <w:spacing w:line="360" w:lineRule="exact"/>
              <w:rPr>
                <w:rFonts w:ascii="仿宋" w:hAnsi="仿宋" w:eastAsia="仿宋" w:cs="仿宋"/>
                <w:kern w:val="0"/>
                <w:szCs w:val="21"/>
                <w:highlight w:val="none"/>
              </w:rPr>
            </w:pPr>
          </w:p>
        </w:tc>
        <w:tc>
          <w:tcPr>
            <w:tcW w:w="1169" w:type="dxa"/>
            <w:tcBorders>
              <w:tl2br w:val="nil"/>
              <w:tr2bl w:val="nil"/>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定期（每年）</w:t>
            </w:r>
          </w:p>
        </w:tc>
        <w:tc>
          <w:tcPr>
            <w:tcW w:w="2468" w:type="dxa"/>
            <w:tcBorders>
              <w:tl2br w:val="nil"/>
              <w:tr2bl w:val="nil"/>
            </w:tcBorders>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定期安排对新风量、排风量的测定</w:t>
            </w:r>
          </w:p>
        </w:tc>
        <w:tc>
          <w:tcPr>
            <w:tcW w:w="3454" w:type="dxa"/>
            <w:tcBorders>
              <w:tl2br w:val="nil"/>
              <w:tr2bl w:val="nil"/>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由业主方委托专业公司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28" w:type="dxa"/>
            <w:vMerge w:val="continue"/>
            <w:tcBorders>
              <w:tl2br w:val="nil"/>
              <w:tr2bl w:val="nil"/>
            </w:tcBorders>
            <w:vAlign w:val="center"/>
          </w:tcPr>
          <w:p>
            <w:pPr>
              <w:widowControl/>
              <w:spacing w:line="360" w:lineRule="exact"/>
              <w:rPr>
                <w:rFonts w:ascii="仿宋" w:hAnsi="仿宋" w:eastAsia="仿宋" w:cs="仿宋"/>
                <w:kern w:val="0"/>
                <w:szCs w:val="21"/>
                <w:highlight w:val="none"/>
              </w:rPr>
            </w:pPr>
          </w:p>
        </w:tc>
        <w:tc>
          <w:tcPr>
            <w:tcW w:w="1169" w:type="dxa"/>
            <w:tcBorders>
              <w:tl2br w:val="nil"/>
              <w:tr2bl w:val="nil"/>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定期（每年）</w:t>
            </w:r>
          </w:p>
        </w:tc>
        <w:tc>
          <w:tcPr>
            <w:tcW w:w="2468" w:type="dxa"/>
            <w:tcBorders>
              <w:tl2br w:val="nil"/>
              <w:tr2bl w:val="nil"/>
            </w:tcBorders>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定期安排对空气品质的测定</w:t>
            </w:r>
          </w:p>
        </w:tc>
        <w:tc>
          <w:tcPr>
            <w:tcW w:w="3454" w:type="dxa"/>
            <w:tcBorders>
              <w:tl2br w:val="nil"/>
              <w:tr2bl w:val="nil"/>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由业主方委托专业公司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28" w:type="dxa"/>
            <w:vMerge w:val="continue"/>
            <w:tcBorders>
              <w:tl2br w:val="nil"/>
              <w:tr2bl w:val="nil"/>
            </w:tcBorders>
            <w:vAlign w:val="center"/>
          </w:tcPr>
          <w:p>
            <w:pPr>
              <w:widowControl/>
              <w:spacing w:line="360" w:lineRule="exact"/>
              <w:rPr>
                <w:rFonts w:ascii="仿宋" w:hAnsi="仿宋" w:eastAsia="仿宋" w:cs="仿宋"/>
                <w:kern w:val="0"/>
                <w:szCs w:val="21"/>
                <w:highlight w:val="none"/>
              </w:rPr>
            </w:pPr>
          </w:p>
        </w:tc>
        <w:tc>
          <w:tcPr>
            <w:tcW w:w="1169" w:type="dxa"/>
            <w:tcBorders>
              <w:tl2br w:val="nil"/>
              <w:tr2bl w:val="nil"/>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定期（每年）</w:t>
            </w:r>
          </w:p>
        </w:tc>
        <w:tc>
          <w:tcPr>
            <w:tcW w:w="2468" w:type="dxa"/>
            <w:tcBorders>
              <w:tl2br w:val="nil"/>
              <w:tr2bl w:val="nil"/>
            </w:tcBorders>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定期安排对风管系统的清洗</w:t>
            </w:r>
          </w:p>
        </w:tc>
        <w:tc>
          <w:tcPr>
            <w:tcW w:w="3454" w:type="dxa"/>
            <w:tcBorders>
              <w:tl2br w:val="nil"/>
              <w:tr2bl w:val="nil"/>
            </w:tcBorders>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由业主方委托专业公司</w:t>
            </w:r>
          </w:p>
        </w:tc>
      </w:tr>
    </w:tbl>
    <w:p>
      <w:pPr>
        <w:widowControl/>
        <w:spacing w:line="360" w:lineRule="exact"/>
        <w:outlineLvl w:val="2"/>
        <w:rPr>
          <w:rFonts w:ascii="仿宋" w:hAnsi="仿宋" w:eastAsia="仿宋" w:cs="仿宋"/>
          <w:kern w:val="0"/>
          <w:sz w:val="24"/>
          <w:szCs w:val="24"/>
          <w:highlight w:val="none"/>
        </w:rPr>
      </w:pPr>
      <w:r>
        <w:rPr>
          <w:rFonts w:hint="eastAsia" w:ascii="仿宋" w:hAnsi="仿宋" w:eastAsia="仿宋" w:cs="仿宋"/>
          <w:kern w:val="0"/>
          <w:sz w:val="24"/>
          <w:szCs w:val="24"/>
          <w:highlight w:val="none"/>
        </w:rPr>
        <w:t>6.弱电系统监管标准</w:t>
      </w:r>
    </w:p>
    <w:tbl>
      <w:tblPr>
        <w:tblStyle w:val="10"/>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1169"/>
        <w:gridCol w:w="2468"/>
        <w:gridCol w:w="3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28" w:type="dxa"/>
            <w:vMerge w:val="restart"/>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弱电系统</w:t>
            </w:r>
          </w:p>
        </w:tc>
        <w:tc>
          <w:tcPr>
            <w:tcW w:w="116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每月一次</w:t>
            </w:r>
          </w:p>
        </w:tc>
        <w:tc>
          <w:tcPr>
            <w:tcW w:w="2468"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火灾报警系统</w:t>
            </w:r>
          </w:p>
        </w:tc>
        <w:tc>
          <w:tcPr>
            <w:tcW w:w="3454" w:type="dxa"/>
            <w:vMerge w:val="restart"/>
            <w:vAlign w:val="center"/>
          </w:tcPr>
          <w:p>
            <w:pPr>
              <w:numPr>
                <w:ilvl w:val="0"/>
                <w:numId w:val="1"/>
              </w:numPr>
              <w:spacing w:after="120" w:line="360" w:lineRule="exact"/>
              <w:rPr>
                <w:rFonts w:ascii="仿宋" w:hAnsi="仿宋" w:eastAsia="仿宋" w:cs="仿宋"/>
                <w:kern w:val="0"/>
                <w:szCs w:val="21"/>
                <w:highlight w:val="none"/>
              </w:rPr>
            </w:pPr>
            <w:r>
              <w:rPr>
                <w:rFonts w:hint="eastAsia" w:ascii="仿宋" w:hAnsi="仿宋" w:eastAsia="仿宋" w:cs="仿宋"/>
                <w:kern w:val="0"/>
                <w:szCs w:val="21"/>
                <w:highlight w:val="none"/>
              </w:rPr>
              <w:t>闭门器开闭灵活，自动关门时能确保门锁上</w:t>
            </w:r>
          </w:p>
          <w:p>
            <w:pPr>
              <w:numPr>
                <w:ilvl w:val="0"/>
                <w:numId w:val="1"/>
              </w:numPr>
              <w:spacing w:after="120"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电子密码锁有效</w:t>
            </w:r>
          </w:p>
          <w:p>
            <w:pPr>
              <w:numPr>
                <w:ilvl w:val="0"/>
                <w:numId w:val="1"/>
              </w:numPr>
              <w:spacing w:after="120" w:line="360" w:lineRule="exact"/>
              <w:rPr>
                <w:rFonts w:ascii="仿宋" w:hAnsi="仿宋" w:eastAsia="仿宋" w:cs="仿宋"/>
                <w:kern w:val="0"/>
                <w:szCs w:val="21"/>
                <w:highlight w:val="none"/>
              </w:rPr>
            </w:pPr>
            <w:r>
              <w:rPr>
                <w:rFonts w:hint="eastAsia" w:ascii="仿宋" w:hAnsi="仿宋" w:eastAsia="仿宋" w:cs="仿宋"/>
                <w:kern w:val="0"/>
                <w:szCs w:val="21"/>
                <w:highlight w:val="none"/>
              </w:rPr>
              <w:t>键盘按钮无损坏</w:t>
            </w:r>
          </w:p>
          <w:p>
            <w:pPr>
              <w:numPr>
                <w:ilvl w:val="0"/>
                <w:numId w:val="1"/>
              </w:numPr>
              <w:spacing w:after="120"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电源供给正常，接地保护有效</w:t>
            </w:r>
          </w:p>
          <w:p>
            <w:pPr>
              <w:numPr>
                <w:ilvl w:val="0"/>
                <w:numId w:val="1"/>
              </w:numPr>
              <w:spacing w:after="120" w:line="360" w:lineRule="exact"/>
              <w:rPr>
                <w:rFonts w:ascii="仿宋" w:hAnsi="仿宋" w:eastAsia="仿宋" w:cs="仿宋"/>
                <w:szCs w:val="21"/>
                <w:highlight w:val="none"/>
              </w:rPr>
            </w:pPr>
            <w:r>
              <w:rPr>
                <w:rFonts w:hint="eastAsia" w:ascii="仿宋" w:hAnsi="仿宋" w:eastAsia="仿宋" w:cs="仿宋"/>
                <w:kern w:val="0"/>
                <w:szCs w:val="21"/>
                <w:highlight w:val="none"/>
              </w:rPr>
              <w:t>电脑系统数据完善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28" w:type="dxa"/>
            <w:vMerge w:val="continue"/>
            <w:vAlign w:val="center"/>
          </w:tcPr>
          <w:p>
            <w:pPr>
              <w:widowControl/>
              <w:spacing w:line="360" w:lineRule="exact"/>
              <w:rPr>
                <w:rFonts w:ascii="仿宋" w:hAnsi="仿宋" w:eastAsia="仿宋" w:cs="仿宋"/>
                <w:kern w:val="0"/>
                <w:szCs w:val="21"/>
                <w:highlight w:val="none"/>
              </w:rPr>
            </w:pPr>
          </w:p>
        </w:tc>
        <w:tc>
          <w:tcPr>
            <w:tcW w:w="116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每季一次</w:t>
            </w:r>
          </w:p>
        </w:tc>
        <w:tc>
          <w:tcPr>
            <w:tcW w:w="2468"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安保监控系统</w:t>
            </w:r>
          </w:p>
        </w:tc>
        <w:tc>
          <w:tcPr>
            <w:tcW w:w="3454"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8" w:type="dxa"/>
            <w:vMerge w:val="continue"/>
            <w:vAlign w:val="center"/>
          </w:tcPr>
          <w:p>
            <w:pPr>
              <w:widowControl/>
              <w:spacing w:line="360" w:lineRule="exact"/>
              <w:rPr>
                <w:rFonts w:ascii="仿宋" w:hAnsi="仿宋" w:eastAsia="仿宋" w:cs="仿宋"/>
                <w:kern w:val="0"/>
                <w:szCs w:val="21"/>
                <w:highlight w:val="none"/>
              </w:rPr>
            </w:pPr>
          </w:p>
        </w:tc>
        <w:tc>
          <w:tcPr>
            <w:tcW w:w="116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每月一次</w:t>
            </w:r>
          </w:p>
        </w:tc>
        <w:tc>
          <w:tcPr>
            <w:tcW w:w="2468"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公共/紧急广播</w:t>
            </w:r>
          </w:p>
        </w:tc>
        <w:tc>
          <w:tcPr>
            <w:tcW w:w="3454"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28" w:type="dxa"/>
            <w:vMerge w:val="continue"/>
            <w:vAlign w:val="center"/>
          </w:tcPr>
          <w:p>
            <w:pPr>
              <w:widowControl/>
              <w:spacing w:line="360" w:lineRule="exact"/>
              <w:rPr>
                <w:rFonts w:ascii="仿宋" w:hAnsi="仿宋" w:eastAsia="仿宋" w:cs="仿宋"/>
                <w:kern w:val="0"/>
                <w:szCs w:val="21"/>
                <w:highlight w:val="none"/>
              </w:rPr>
            </w:pPr>
          </w:p>
        </w:tc>
        <w:tc>
          <w:tcPr>
            <w:tcW w:w="116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每月一次</w:t>
            </w:r>
          </w:p>
        </w:tc>
        <w:tc>
          <w:tcPr>
            <w:tcW w:w="2468"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门禁/门磁报警</w:t>
            </w:r>
          </w:p>
        </w:tc>
        <w:tc>
          <w:tcPr>
            <w:tcW w:w="3454"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428" w:type="dxa"/>
            <w:vMerge w:val="continue"/>
            <w:vAlign w:val="center"/>
          </w:tcPr>
          <w:p>
            <w:pPr>
              <w:widowControl/>
              <w:spacing w:line="360" w:lineRule="exact"/>
              <w:rPr>
                <w:rFonts w:ascii="仿宋" w:hAnsi="仿宋" w:eastAsia="仿宋" w:cs="仿宋"/>
                <w:kern w:val="0"/>
                <w:szCs w:val="21"/>
                <w:highlight w:val="none"/>
              </w:rPr>
            </w:pPr>
          </w:p>
        </w:tc>
        <w:tc>
          <w:tcPr>
            <w:tcW w:w="116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每月一次</w:t>
            </w:r>
          </w:p>
        </w:tc>
        <w:tc>
          <w:tcPr>
            <w:tcW w:w="2468"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楼宇自控系统</w:t>
            </w:r>
          </w:p>
        </w:tc>
        <w:tc>
          <w:tcPr>
            <w:tcW w:w="3454"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28" w:type="dxa"/>
            <w:vMerge w:val="continue"/>
            <w:vAlign w:val="center"/>
          </w:tcPr>
          <w:p>
            <w:pPr>
              <w:widowControl/>
              <w:spacing w:line="360" w:lineRule="exact"/>
              <w:rPr>
                <w:rFonts w:ascii="仿宋" w:hAnsi="仿宋" w:eastAsia="仿宋" w:cs="仿宋"/>
                <w:kern w:val="0"/>
                <w:szCs w:val="21"/>
                <w:highlight w:val="none"/>
              </w:rPr>
            </w:pPr>
          </w:p>
        </w:tc>
        <w:tc>
          <w:tcPr>
            <w:tcW w:w="116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每月一次</w:t>
            </w:r>
          </w:p>
        </w:tc>
        <w:tc>
          <w:tcPr>
            <w:tcW w:w="2468"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车库管理系统</w:t>
            </w:r>
          </w:p>
        </w:tc>
        <w:tc>
          <w:tcPr>
            <w:tcW w:w="3454"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428" w:type="dxa"/>
            <w:vMerge w:val="continue"/>
            <w:vAlign w:val="center"/>
          </w:tcPr>
          <w:p>
            <w:pPr>
              <w:widowControl/>
              <w:spacing w:line="360" w:lineRule="exact"/>
              <w:rPr>
                <w:rFonts w:ascii="仿宋" w:hAnsi="仿宋" w:eastAsia="仿宋" w:cs="仿宋"/>
                <w:kern w:val="0"/>
                <w:szCs w:val="21"/>
                <w:highlight w:val="none"/>
              </w:rPr>
            </w:pPr>
          </w:p>
        </w:tc>
        <w:tc>
          <w:tcPr>
            <w:tcW w:w="116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每月一次</w:t>
            </w:r>
          </w:p>
        </w:tc>
        <w:tc>
          <w:tcPr>
            <w:tcW w:w="2468"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巡更系统</w:t>
            </w:r>
          </w:p>
        </w:tc>
        <w:tc>
          <w:tcPr>
            <w:tcW w:w="3454"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28" w:type="dxa"/>
            <w:vMerge w:val="continue"/>
            <w:vAlign w:val="center"/>
          </w:tcPr>
          <w:p>
            <w:pPr>
              <w:widowControl/>
              <w:spacing w:line="360" w:lineRule="exact"/>
              <w:rPr>
                <w:rFonts w:ascii="仿宋" w:hAnsi="仿宋" w:eastAsia="仿宋" w:cs="仿宋"/>
                <w:kern w:val="0"/>
                <w:szCs w:val="21"/>
                <w:highlight w:val="none"/>
              </w:rPr>
            </w:pPr>
          </w:p>
        </w:tc>
        <w:tc>
          <w:tcPr>
            <w:tcW w:w="116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每月一次</w:t>
            </w:r>
          </w:p>
        </w:tc>
        <w:tc>
          <w:tcPr>
            <w:tcW w:w="2468"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对讲机覆盖系统</w:t>
            </w:r>
          </w:p>
        </w:tc>
        <w:tc>
          <w:tcPr>
            <w:tcW w:w="3454" w:type="dxa"/>
            <w:vMerge w:val="continue"/>
            <w:vAlign w:val="center"/>
          </w:tcPr>
          <w:p>
            <w:pPr>
              <w:spacing w:line="360" w:lineRule="exact"/>
              <w:rPr>
                <w:rFonts w:ascii="仿宋" w:hAnsi="仿宋" w:eastAsia="仿宋" w:cs="仿宋"/>
                <w:kern w:val="0"/>
                <w:szCs w:val="21"/>
                <w:highlight w:val="none"/>
              </w:rPr>
            </w:pPr>
          </w:p>
        </w:tc>
      </w:tr>
    </w:tbl>
    <w:p>
      <w:pPr>
        <w:spacing w:line="360" w:lineRule="exact"/>
        <w:outlineLvl w:val="2"/>
        <w:rPr>
          <w:rFonts w:ascii="仿宋" w:hAnsi="仿宋" w:eastAsia="仿宋" w:cs="仿宋"/>
          <w:kern w:val="0"/>
          <w:sz w:val="24"/>
          <w:szCs w:val="24"/>
          <w:highlight w:val="none"/>
        </w:rPr>
      </w:pPr>
      <w:r>
        <w:rPr>
          <w:rFonts w:hint="eastAsia" w:ascii="仿宋" w:hAnsi="仿宋" w:eastAsia="仿宋" w:cs="仿宋"/>
          <w:sz w:val="24"/>
          <w:szCs w:val="24"/>
          <w:highlight w:val="none"/>
        </w:rPr>
        <w:t>7.其他设施设备</w:t>
      </w:r>
      <w:r>
        <w:rPr>
          <w:rFonts w:hint="eastAsia" w:ascii="仿宋" w:hAnsi="仿宋" w:eastAsia="仿宋" w:cs="仿宋"/>
          <w:kern w:val="0"/>
          <w:sz w:val="24"/>
          <w:szCs w:val="24"/>
          <w:highlight w:val="none"/>
        </w:rPr>
        <w:t>监管</w:t>
      </w:r>
      <w:r>
        <w:rPr>
          <w:rFonts w:hint="eastAsia" w:ascii="仿宋" w:hAnsi="仿宋" w:eastAsia="仿宋" w:cs="仿宋"/>
          <w:sz w:val="24"/>
          <w:szCs w:val="24"/>
          <w:highlight w:val="none"/>
        </w:rPr>
        <w:t>标准</w:t>
      </w:r>
    </w:p>
    <w:tbl>
      <w:tblPr>
        <w:tblStyle w:val="10"/>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3639"/>
        <w:gridCol w:w="3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27" w:type="dxa"/>
            <w:vMerge w:val="restart"/>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其他系统</w:t>
            </w:r>
          </w:p>
        </w:tc>
        <w:tc>
          <w:tcPr>
            <w:tcW w:w="363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纯水供应系统</w:t>
            </w:r>
          </w:p>
        </w:tc>
        <w:tc>
          <w:tcPr>
            <w:tcW w:w="3454" w:type="dxa"/>
            <w:vMerge w:val="restart"/>
            <w:vAlign w:val="center"/>
          </w:tcPr>
          <w:p>
            <w:pPr>
              <w:spacing w:after="120" w:line="360" w:lineRule="exact"/>
              <w:rPr>
                <w:rFonts w:ascii="仿宋" w:hAnsi="仿宋" w:eastAsia="仿宋" w:cs="仿宋"/>
                <w:szCs w:val="21"/>
                <w:highlight w:val="none"/>
              </w:rPr>
            </w:pPr>
            <w:r>
              <w:rPr>
                <w:rFonts w:hint="eastAsia" w:ascii="仿宋" w:hAnsi="仿宋" w:eastAsia="仿宋" w:cs="仿宋"/>
                <w:szCs w:val="21"/>
                <w:highlight w:val="none"/>
              </w:rPr>
              <w:t>结合业主方实际，按照设备规定的保养要求执行，标准不低于上述相关设备的保养要求。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27" w:type="dxa"/>
            <w:vMerge w:val="continue"/>
            <w:vAlign w:val="center"/>
          </w:tcPr>
          <w:p>
            <w:pPr>
              <w:widowControl/>
              <w:spacing w:line="360" w:lineRule="exact"/>
              <w:rPr>
                <w:rFonts w:ascii="仿宋" w:hAnsi="仿宋" w:eastAsia="仿宋" w:cs="仿宋"/>
                <w:kern w:val="0"/>
                <w:szCs w:val="21"/>
                <w:highlight w:val="none"/>
              </w:rPr>
            </w:pPr>
          </w:p>
        </w:tc>
        <w:tc>
          <w:tcPr>
            <w:tcW w:w="363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高压配电系统</w:t>
            </w:r>
          </w:p>
        </w:tc>
        <w:tc>
          <w:tcPr>
            <w:tcW w:w="3454"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27" w:type="dxa"/>
            <w:vMerge w:val="continue"/>
            <w:vAlign w:val="center"/>
          </w:tcPr>
          <w:p>
            <w:pPr>
              <w:widowControl/>
              <w:spacing w:line="360" w:lineRule="exact"/>
              <w:rPr>
                <w:rFonts w:ascii="仿宋" w:hAnsi="仿宋" w:eastAsia="仿宋" w:cs="仿宋"/>
                <w:kern w:val="0"/>
                <w:szCs w:val="21"/>
                <w:highlight w:val="none"/>
              </w:rPr>
            </w:pPr>
          </w:p>
        </w:tc>
        <w:tc>
          <w:tcPr>
            <w:tcW w:w="363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水循环系统</w:t>
            </w:r>
          </w:p>
        </w:tc>
        <w:tc>
          <w:tcPr>
            <w:tcW w:w="3454"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27" w:type="dxa"/>
            <w:vMerge w:val="continue"/>
            <w:vAlign w:val="center"/>
          </w:tcPr>
          <w:p>
            <w:pPr>
              <w:widowControl/>
              <w:spacing w:line="360" w:lineRule="exact"/>
              <w:rPr>
                <w:rFonts w:ascii="仿宋" w:hAnsi="仿宋" w:eastAsia="仿宋" w:cs="仿宋"/>
                <w:kern w:val="0"/>
                <w:szCs w:val="21"/>
                <w:highlight w:val="none"/>
              </w:rPr>
            </w:pPr>
          </w:p>
        </w:tc>
        <w:tc>
          <w:tcPr>
            <w:tcW w:w="363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柴油发动机系统</w:t>
            </w:r>
          </w:p>
        </w:tc>
        <w:tc>
          <w:tcPr>
            <w:tcW w:w="3454"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427" w:type="dxa"/>
            <w:vMerge w:val="continue"/>
            <w:vAlign w:val="center"/>
          </w:tcPr>
          <w:p>
            <w:pPr>
              <w:widowControl/>
              <w:spacing w:line="360" w:lineRule="exact"/>
              <w:rPr>
                <w:rFonts w:ascii="仿宋" w:hAnsi="仿宋" w:eastAsia="仿宋" w:cs="仿宋"/>
                <w:kern w:val="0"/>
                <w:szCs w:val="21"/>
                <w:highlight w:val="none"/>
              </w:rPr>
            </w:pPr>
          </w:p>
        </w:tc>
        <w:tc>
          <w:tcPr>
            <w:tcW w:w="363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避雷系统</w:t>
            </w:r>
          </w:p>
        </w:tc>
        <w:tc>
          <w:tcPr>
            <w:tcW w:w="3454"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427" w:type="dxa"/>
            <w:vMerge w:val="continue"/>
            <w:vAlign w:val="center"/>
          </w:tcPr>
          <w:p>
            <w:pPr>
              <w:widowControl/>
              <w:spacing w:line="360" w:lineRule="exact"/>
              <w:rPr>
                <w:rFonts w:ascii="仿宋" w:hAnsi="仿宋" w:eastAsia="仿宋" w:cs="仿宋"/>
                <w:kern w:val="0"/>
                <w:szCs w:val="21"/>
                <w:highlight w:val="none"/>
              </w:rPr>
            </w:pPr>
          </w:p>
        </w:tc>
        <w:tc>
          <w:tcPr>
            <w:tcW w:w="363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高空作业设备</w:t>
            </w:r>
          </w:p>
        </w:tc>
        <w:tc>
          <w:tcPr>
            <w:tcW w:w="3454"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427" w:type="dxa"/>
            <w:vMerge w:val="continue"/>
            <w:vAlign w:val="center"/>
          </w:tcPr>
          <w:p>
            <w:pPr>
              <w:widowControl/>
              <w:spacing w:line="360" w:lineRule="exact"/>
              <w:rPr>
                <w:rFonts w:ascii="仿宋" w:hAnsi="仿宋" w:eastAsia="仿宋" w:cs="仿宋"/>
                <w:kern w:val="0"/>
                <w:szCs w:val="21"/>
                <w:highlight w:val="none"/>
              </w:rPr>
            </w:pPr>
          </w:p>
        </w:tc>
        <w:tc>
          <w:tcPr>
            <w:tcW w:w="363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液压升降设备</w:t>
            </w:r>
          </w:p>
        </w:tc>
        <w:tc>
          <w:tcPr>
            <w:tcW w:w="3454" w:type="dxa"/>
            <w:vMerge w:val="continue"/>
            <w:vAlign w:val="center"/>
          </w:tcPr>
          <w:p>
            <w:pPr>
              <w:spacing w:line="360" w:lineRule="exact"/>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427" w:type="dxa"/>
            <w:vMerge w:val="continue"/>
            <w:vAlign w:val="center"/>
          </w:tcPr>
          <w:p>
            <w:pPr>
              <w:widowControl/>
              <w:spacing w:line="360" w:lineRule="exact"/>
              <w:rPr>
                <w:rFonts w:ascii="仿宋" w:hAnsi="仿宋" w:eastAsia="仿宋" w:cs="仿宋"/>
                <w:kern w:val="0"/>
                <w:szCs w:val="21"/>
                <w:highlight w:val="none"/>
              </w:rPr>
            </w:pPr>
          </w:p>
        </w:tc>
        <w:tc>
          <w:tcPr>
            <w:tcW w:w="3639" w:type="dxa"/>
            <w:vAlign w:val="center"/>
          </w:tcPr>
          <w:p>
            <w:pPr>
              <w:widowControl/>
              <w:spacing w:line="360" w:lineRule="exact"/>
              <w:rPr>
                <w:rFonts w:ascii="仿宋" w:hAnsi="仿宋" w:eastAsia="仿宋" w:cs="仿宋"/>
                <w:kern w:val="0"/>
                <w:szCs w:val="21"/>
                <w:highlight w:val="none"/>
              </w:rPr>
            </w:pPr>
            <w:r>
              <w:rPr>
                <w:rFonts w:hint="eastAsia" w:ascii="仿宋" w:hAnsi="仿宋" w:eastAsia="仿宋" w:cs="仿宋"/>
                <w:kern w:val="0"/>
                <w:szCs w:val="21"/>
                <w:highlight w:val="none"/>
              </w:rPr>
              <w:t>锅炉等其他有关设施、设备</w:t>
            </w:r>
          </w:p>
        </w:tc>
        <w:tc>
          <w:tcPr>
            <w:tcW w:w="3454" w:type="dxa"/>
            <w:vMerge w:val="continue"/>
            <w:vAlign w:val="center"/>
          </w:tcPr>
          <w:p>
            <w:pPr>
              <w:spacing w:line="360" w:lineRule="exact"/>
              <w:rPr>
                <w:rFonts w:ascii="仿宋" w:hAnsi="仿宋" w:eastAsia="仿宋" w:cs="仿宋"/>
                <w:kern w:val="0"/>
                <w:szCs w:val="21"/>
                <w:highlight w:val="none"/>
              </w:rPr>
            </w:pP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未列举的接待服务，房屋、其他设施设备运行与维护服务，秩序维护与安全服务，环境保洁服务，仓储与搬运，按照办公楼物业管理服务规范等最新标准，结合项目实际情况，做好日常维护、保养、监管等服务。请投标文件中予以一一列举响应。</w:t>
      </w:r>
    </w:p>
    <w:p>
      <w:pPr>
        <w:numPr>
          <w:ilvl w:val="0"/>
          <w:numId w:val="0"/>
        </w:numPr>
        <w:spacing w:line="480" w:lineRule="exact"/>
        <w:ind w:leftChars="0"/>
        <w:outlineLvl w:val="0"/>
        <w:rPr>
          <w:rFonts w:ascii="黑体" w:hAnsi="黑体" w:eastAsia="黑体" w:cs="黑体"/>
          <w:b/>
          <w:sz w:val="28"/>
          <w:szCs w:val="28"/>
          <w:highlight w:val="none"/>
        </w:rPr>
      </w:pPr>
      <w:bookmarkStart w:id="11" w:name="_Toc29854"/>
      <w:r>
        <w:rPr>
          <w:rFonts w:hint="eastAsia" w:ascii="黑体" w:hAnsi="黑体" w:eastAsia="黑体" w:cs="黑体"/>
          <w:b/>
          <w:sz w:val="28"/>
          <w:szCs w:val="28"/>
          <w:highlight w:val="none"/>
          <w:lang w:eastAsia="zh-CN"/>
        </w:rPr>
        <w:t>三、</w:t>
      </w:r>
      <w:r>
        <w:rPr>
          <w:rFonts w:hint="eastAsia" w:ascii="黑体" w:hAnsi="黑体" w:eastAsia="黑体" w:cs="黑体"/>
          <w:b/>
          <w:sz w:val="28"/>
          <w:szCs w:val="28"/>
          <w:highlight w:val="none"/>
        </w:rPr>
        <w:t>食堂</w:t>
      </w:r>
      <w:r>
        <w:rPr>
          <w:rFonts w:hint="eastAsia" w:ascii="黑体" w:hAnsi="黑体" w:eastAsia="黑体" w:cs="黑体"/>
          <w:b/>
          <w:sz w:val="28"/>
          <w:szCs w:val="28"/>
          <w:highlight w:val="none"/>
          <w:lang w:eastAsia="zh-CN"/>
        </w:rPr>
        <w:t>餐饮</w:t>
      </w:r>
      <w:r>
        <w:rPr>
          <w:rFonts w:hint="eastAsia" w:ascii="黑体" w:hAnsi="黑体" w:eastAsia="黑体" w:cs="黑体"/>
          <w:b/>
          <w:sz w:val="28"/>
          <w:szCs w:val="28"/>
          <w:highlight w:val="none"/>
        </w:rPr>
        <w:t>服务需求</w:t>
      </w:r>
      <w:bookmarkEnd w:id="11"/>
    </w:p>
    <w:p>
      <w:pPr>
        <w:spacing w:before="156" w:beforeLines="50" w:after="156" w:afterLines="50" w:line="360" w:lineRule="auto"/>
        <w:ind w:firstLine="482" w:firstLineChars="200"/>
        <w:outlineLvl w:val="1"/>
        <w:rPr>
          <w:rFonts w:ascii="仿宋" w:hAnsi="仿宋" w:eastAsia="仿宋" w:cs="仿宋"/>
          <w:b/>
          <w:bCs/>
          <w:sz w:val="24"/>
          <w:szCs w:val="24"/>
          <w:highlight w:val="none"/>
        </w:rPr>
      </w:pPr>
      <w:bookmarkStart w:id="12" w:name="_Toc12358"/>
      <w:bookmarkStart w:id="13" w:name="_Toc20036"/>
      <w:r>
        <w:rPr>
          <w:rFonts w:hint="eastAsia" w:ascii="仿宋" w:hAnsi="仿宋" w:eastAsia="仿宋" w:cs="仿宋"/>
          <w:b/>
          <w:bCs/>
          <w:sz w:val="24"/>
          <w:szCs w:val="24"/>
          <w:highlight w:val="none"/>
        </w:rPr>
        <w:t>1.食堂配置情况</w:t>
      </w:r>
      <w:bookmarkEnd w:id="12"/>
      <w:bookmarkEnd w:id="13"/>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长宁路599号17号楼</w:t>
      </w:r>
      <w:r>
        <w:rPr>
          <w:rFonts w:hint="eastAsia" w:ascii="仿宋" w:hAnsi="仿宋" w:eastAsia="仿宋" w:cs="仿宋"/>
          <w:sz w:val="24"/>
          <w:szCs w:val="24"/>
          <w:highlight w:val="none"/>
          <w:lang w:val="en-US" w:eastAsia="zh-CN"/>
        </w:rPr>
        <w:t>B1F、</w:t>
      </w:r>
      <w:r>
        <w:rPr>
          <w:rFonts w:hint="eastAsia" w:ascii="仿宋" w:hAnsi="仿宋" w:eastAsia="仿宋" w:cs="仿宋"/>
          <w:sz w:val="24"/>
          <w:szCs w:val="24"/>
          <w:highlight w:val="none"/>
        </w:rPr>
        <w:t>1F、2F和3F食堂总建筑面积</w:t>
      </w:r>
      <w:r>
        <w:rPr>
          <w:rFonts w:hint="eastAsia" w:ascii="仿宋" w:hAnsi="仿宋" w:eastAsia="仿宋" w:cs="仿宋"/>
          <w:sz w:val="24"/>
          <w:szCs w:val="24"/>
          <w:highlight w:val="none"/>
          <w:lang w:val="en-US" w:eastAsia="zh-CN"/>
        </w:rPr>
        <w:t>151</w:t>
      </w:r>
      <w:r>
        <w:rPr>
          <w:rFonts w:hint="eastAsia" w:ascii="仿宋" w:hAnsi="仿宋" w:eastAsia="仿宋" w:cs="仿宋"/>
          <w:sz w:val="24"/>
          <w:szCs w:val="24"/>
          <w:highlight w:val="none"/>
        </w:rPr>
        <w:t>2㎡，厨房总面积480㎡；</w:t>
      </w:r>
      <w:r>
        <w:rPr>
          <w:rFonts w:hint="eastAsia" w:ascii="仿宋" w:hAnsi="仿宋" w:eastAsia="仿宋" w:cs="仿宋"/>
          <w:sz w:val="24"/>
          <w:szCs w:val="24"/>
          <w:highlight w:val="none"/>
          <w:lang w:val="en-US" w:eastAsia="zh-CN"/>
        </w:rPr>
        <w:t>B1F、</w:t>
      </w:r>
      <w:r>
        <w:rPr>
          <w:rFonts w:hint="eastAsia" w:ascii="仿宋" w:hAnsi="仿宋" w:eastAsia="仿宋" w:cs="仿宋"/>
          <w:sz w:val="24"/>
          <w:szCs w:val="24"/>
          <w:highlight w:val="none"/>
        </w:rPr>
        <w:t>1F、2F和3F部分为日常用餐区，餐位合计</w:t>
      </w:r>
      <w:r>
        <w:rPr>
          <w:rFonts w:hint="eastAsia" w:ascii="仿宋" w:hAnsi="仿宋" w:eastAsia="仿宋" w:cs="仿宋"/>
          <w:sz w:val="24"/>
          <w:szCs w:val="24"/>
          <w:highlight w:val="none"/>
          <w:lang w:eastAsia="zh-CN"/>
        </w:rPr>
        <w:t>约</w:t>
      </w:r>
      <w:r>
        <w:rPr>
          <w:rFonts w:hint="eastAsia" w:ascii="仿宋" w:hAnsi="仿宋" w:eastAsia="仿宋" w:cs="仿宋"/>
          <w:sz w:val="24"/>
          <w:szCs w:val="24"/>
          <w:highlight w:val="none"/>
          <w:lang w:val="en-US" w:eastAsia="zh-CN"/>
        </w:rPr>
        <w:t>552</w:t>
      </w:r>
      <w:r>
        <w:rPr>
          <w:rFonts w:hint="eastAsia" w:ascii="仿宋" w:hAnsi="仿宋" w:eastAsia="仿宋" w:cs="仿宋"/>
          <w:sz w:val="24"/>
          <w:szCs w:val="24"/>
          <w:highlight w:val="none"/>
        </w:rPr>
        <w:t>个，其中，早餐区为2F及3F，午餐区为</w:t>
      </w:r>
      <w:r>
        <w:rPr>
          <w:rFonts w:hint="eastAsia" w:ascii="仿宋" w:hAnsi="仿宋" w:eastAsia="仿宋" w:cs="仿宋"/>
          <w:sz w:val="24"/>
          <w:szCs w:val="24"/>
          <w:highlight w:val="none"/>
          <w:lang w:val="en-US" w:eastAsia="zh-CN"/>
        </w:rPr>
        <w:t>B1F、</w:t>
      </w:r>
      <w:r>
        <w:rPr>
          <w:rFonts w:hint="eastAsia" w:ascii="仿宋" w:hAnsi="仿宋" w:eastAsia="仿宋" w:cs="仿宋"/>
          <w:sz w:val="24"/>
          <w:szCs w:val="24"/>
          <w:highlight w:val="none"/>
        </w:rPr>
        <w:t>1F、2F及3F，晚餐区为2F及3F；2F配备甜品屋1间，面积为48㎡；3F部分区域为可容纳</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0人左右公务接待用餐区。机关干部职工日均就餐总人数约2000人次/天。</w:t>
      </w:r>
    </w:p>
    <w:p>
      <w:pPr>
        <w:spacing w:before="156" w:beforeLines="50" w:after="156" w:afterLines="50" w:line="360" w:lineRule="auto"/>
        <w:ind w:firstLine="480" w:firstLineChars="200"/>
        <w:outlineLvl w:val="2"/>
        <w:rPr>
          <w:rFonts w:ascii="仿宋" w:hAnsi="仿宋" w:eastAsia="仿宋" w:cs="仿宋"/>
          <w:sz w:val="24"/>
          <w:szCs w:val="24"/>
          <w:highlight w:val="none"/>
        </w:rPr>
      </w:pPr>
      <w:r>
        <w:rPr>
          <w:rFonts w:hint="eastAsia" w:ascii="仿宋" w:hAnsi="仿宋" w:eastAsia="仿宋" w:cs="仿宋"/>
          <w:sz w:val="24"/>
          <w:szCs w:val="24"/>
          <w:highlight w:val="none"/>
        </w:rPr>
        <w:t>1.1 食堂配置</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（1）机关食堂：水、电、煤气齐全。</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（2）食堂有粗细加工间、主副食加工间、主副食仓库、调料库、清洗消毒间、备餐间等。</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（3）提供办公室一间、员工更衣室一间。</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（4）配备微机智能售饭系统。</w:t>
      </w:r>
    </w:p>
    <w:p>
      <w:pPr>
        <w:spacing w:before="156" w:beforeLines="50" w:after="156" w:afterLines="50" w:line="360" w:lineRule="auto"/>
        <w:ind w:firstLine="480" w:firstLineChars="200"/>
        <w:outlineLvl w:val="2"/>
        <w:rPr>
          <w:rFonts w:ascii="仿宋" w:hAnsi="仿宋" w:eastAsia="仿宋" w:cs="仿宋"/>
          <w:sz w:val="24"/>
          <w:szCs w:val="24"/>
          <w:highlight w:val="none"/>
        </w:rPr>
      </w:pPr>
      <w:r>
        <w:rPr>
          <w:rFonts w:hint="eastAsia" w:ascii="仿宋" w:hAnsi="仿宋" w:eastAsia="仿宋" w:cs="仿宋"/>
          <w:sz w:val="24"/>
          <w:szCs w:val="24"/>
          <w:highlight w:val="none"/>
        </w:rPr>
        <w:t>1.2 食堂设备</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（1）提供设备：油烟净化设备、连体餐桌、接待用餐间圆桌椅等。</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（2）食品加工设备、清洗设备、消毒设备、餐具等配备齐全。</w:t>
      </w:r>
    </w:p>
    <w:p>
      <w:pPr>
        <w:spacing w:before="156" w:beforeLines="50" w:after="156" w:afterLines="50" w:line="360" w:lineRule="auto"/>
        <w:ind w:firstLine="482" w:firstLineChars="200"/>
        <w:outlineLvl w:val="1"/>
        <w:rPr>
          <w:rFonts w:ascii="仿宋" w:hAnsi="仿宋" w:eastAsia="仿宋" w:cs="仿宋"/>
          <w:b/>
          <w:bCs/>
          <w:sz w:val="24"/>
          <w:szCs w:val="24"/>
          <w:highlight w:val="none"/>
        </w:rPr>
      </w:pPr>
      <w:bookmarkStart w:id="14" w:name="_Toc15456"/>
      <w:bookmarkStart w:id="15" w:name="_Toc19405"/>
      <w:r>
        <w:rPr>
          <w:rFonts w:hint="eastAsia" w:ascii="仿宋" w:hAnsi="仿宋" w:eastAsia="仿宋" w:cs="仿宋"/>
          <w:b/>
          <w:bCs/>
          <w:sz w:val="24"/>
          <w:szCs w:val="24"/>
          <w:highlight w:val="none"/>
        </w:rPr>
        <w:t>2.管理范围、内容和服务标准</w:t>
      </w:r>
      <w:bookmarkEnd w:id="14"/>
      <w:bookmarkEnd w:id="15"/>
    </w:p>
    <w:p>
      <w:pPr>
        <w:spacing w:before="156" w:beforeLines="50" w:after="156" w:afterLines="50" w:line="360" w:lineRule="auto"/>
        <w:ind w:firstLine="480" w:firstLineChars="200"/>
        <w:outlineLvl w:val="2"/>
        <w:rPr>
          <w:rFonts w:ascii="仿宋" w:hAnsi="仿宋" w:eastAsia="仿宋" w:cs="仿宋"/>
          <w:sz w:val="24"/>
          <w:szCs w:val="24"/>
          <w:highlight w:val="none"/>
        </w:rPr>
      </w:pPr>
      <w:r>
        <w:rPr>
          <w:rFonts w:hint="eastAsia" w:ascii="仿宋" w:hAnsi="仿宋" w:eastAsia="仿宋" w:cs="仿宋"/>
          <w:sz w:val="24"/>
          <w:szCs w:val="24"/>
          <w:highlight w:val="none"/>
        </w:rPr>
        <w:t>2.1 委托管理的范围和内容</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 根据长宁路599号机关食堂的餐厅布局和管理要求，将此次食堂餐饮管理的服务内容设定为</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个方面。</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（1）采购管理服务</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（2）供餐方式与品种组合</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（3）节假日期间三餐服务</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（4）卫生安全管理服务</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（5）餐饮礼仪、接待服务</w:t>
      </w:r>
    </w:p>
    <w:p>
      <w:pPr>
        <w:spacing w:before="156" w:beforeLines="50" w:after="156" w:afterLines="50" w:line="360" w:lineRule="auto"/>
        <w:ind w:firstLine="480" w:firstLineChars="200"/>
        <w:rPr>
          <w:rFonts w:ascii="仿宋" w:hAnsi="仿宋" w:eastAsia="仿宋" w:cs="仿宋"/>
          <w:b/>
          <w:bCs/>
          <w:sz w:val="28"/>
          <w:szCs w:val="28"/>
          <w:highlight w:val="none"/>
        </w:rPr>
      </w:pPr>
      <w:r>
        <w:rPr>
          <w:rFonts w:hint="eastAsia" w:ascii="仿宋" w:hAnsi="仿宋" w:eastAsia="仿宋" w:cs="仿宋"/>
          <w:sz w:val="24"/>
          <w:szCs w:val="24"/>
          <w:highlight w:val="none"/>
        </w:rPr>
        <w:t>对餐饮管理采购的需求内容和标准，具体划分为19个服务项目，作为后续确定管理与服务标准的基本依据。</w:t>
      </w:r>
    </w:p>
    <w:p>
      <w:pPr>
        <w:spacing w:line="360" w:lineRule="exact"/>
        <w:ind w:firstLine="420"/>
        <w:jc w:val="center"/>
        <w:rPr>
          <w:rFonts w:ascii="仿宋" w:hAnsi="仿宋" w:eastAsia="仿宋" w:cs="仿宋"/>
          <w:b/>
          <w:bCs/>
          <w:highlight w:val="none"/>
        </w:rPr>
      </w:pPr>
      <w:r>
        <w:rPr>
          <w:rFonts w:hint="eastAsia" w:ascii="仿宋" w:hAnsi="仿宋" w:eastAsia="仿宋" w:cs="仿宋"/>
          <w:b/>
          <w:bCs/>
          <w:sz w:val="28"/>
          <w:szCs w:val="28"/>
          <w:highlight w:val="none"/>
        </w:rPr>
        <w:t>表2-1 长宁区机关食堂餐饮管理采购需求确认表</w:t>
      </w:r>
    </w:p>
    <w:tbl>
      <w:tblPr>
        <w:tblStyle w:val="10"/>
        <w:tblW w:w="8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377"/>
        <w:gridCol w:w="3928"/>
        <w:gridCol w:w="724"/>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07" w:type="dxa"/>
            <w:gridSpan w:val="2"/>
            <w:shd w:val="clear" w:color="auto" w:fill="auto"/>
            <w:vAlign w:val="center"/>
          </w:tcPr>
          <w:p>
            <w:pPr>
              <w:spacing w:line="360" w:lineRule="exact"/>
              <w:jc w:val="center"/>
              <w:rPr>
                <w:rFonts w:ascii="仿宋" w:hAnsi="仿宋" w:eastAsia="仿宋" w:cs="仿宋"/>
                <w:b/>
                <w:bCs/>
                <w:highlight w:val="none"/>
              </w:rPr>
            </w:pPr>
            <w:r>
              <w:rPr>
                <w:rFonts w:hint="eastAsia" w:ascii="仿宋" w:hAnsi="仿宋" w:eastAsia="仿宋" w:cs="仿宋"/>
                <w:b/>
                <w:bCs/>
                <w:highlight w:val="none"/>
              </w:rPr>
              <w:t>服务项目</w:t>
            </w:r>
          </w:p>
        </w:tc>
        <w:tc>
          <w:tcPr>
            <w:tcW w:w="3928" w:type="dxa"/>
            <w:shd w:val="clear" w:color="auto" w:fill="auto"/>
            <w:vAlign w:val="center"/>
          </w:tcPr>
          <w:p>
            <w:pPr>
              <w:spacing w:line="360" w:lineRule="exact"/>
              <w:jc w:val="center"/>
              <w:rPr>
                <w:rFonts w:ascii="仿宋" w:hAnsi="仿宋" w:eastAsia="仿宋" w:cs="仿宋"/>
                <w:b/>
                <w:bCs/>
                <w:highlight w:val="none"/>
              </w:rPr>
            </w:pPr>
            <w:r>
              <w:rPr>
                <w:rFonts w:hint="eastAsia" w:ascii="仿宋" w:hAnsi="仿宋" w:eastAsia="仿宋" w:cs="仿宋"/>
                <w:b/>
                <w:bCs/>
                <w:highlight w:val="none"/>
              </w:rPr>
              <w:t>服务内容</w:t>
            </w:r>
          </w:p>
        </w:tc>
        <w:tc>
          <w:tcPr>
            <w:tcW w:w="724" w:type="dxa"/>
            <w:shd w:val="clear" w:color="auto" w:fill="auto"/>
            <w:vAlign w:val="center"/>
          </w:tcPr>
          <w:p>
            <w:pPr>
              <w:spacing w:line="360" w:lineRule="exact"/>
              <w:jc w:val="center"/>
              <w:rPr>
                <w:rFonts w:ascii="仿宋" w:hAnsi="仿宋" w:eastAsia="仿宋" w:cs="仿宋"/>
                <w:b/>
                <w:bCs/>
                <w:highlight w:val="none"/>
              </w:rPr>
            </w:pPr>
            <w:r>
              <w:rPr>
                <w:rFonts w:hint="eastAsia" w:ascii="仿宋" w:hAnsi="仿宋" w:eastAsia="仿宋" w:cs="仿宋"/>
                <w:b/>
                <w:bCs/>
                <w:highlight w:val="none"/>
              </w:rPr>
              <w:t>需求确定</w:t>
            </w:r>
          </w:p>
        </w:tc>
        <w:tc>
          <w:tcPr>
            <w:tcW w:w="1726" w:type="dxa"/>
            <w:shd w:val="clear" w:color="auto" w:fill="auto"/>
            <w:vAlign w:val="center"/>
          </w:tcPr>
          <w:p>
            <w:pPr>
              <w:spacing w:line="360" w:lineRule="exact"/>
              <w:jc w:val="center"/>
              <w:rPr>
                <w:rFonts w:ascii="仿宋" w:hAnsi="仿宋" w:eastAsia="仿宋" w:cs="仿宋"/>
                <w:b/>
                <w:bCs/>
                <w:highlight w:val="none"/>
              </w:rPr>
            </w:pPr>
            <w:r>
              <w:rPr>
                <w:rFonts w:hint="eastAsia" w:ascii="仿宋" w:hAnsi="仿宋" w:eastAsia="仿宋" w:cs="仿宋"/>
                <w:b/>
                <w:bCs/>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restart"/>
            <w:shd w:val="clear" w:color="auto" w:fill="auto"/>
          </w:tcPr>
          <w:p>
            <w:pPr>
              <w:spacing w:line="360" w:lineRule="exact"/>
              <w:jc w:val="center"/>
              <w:rPr>
                <w:rFonts w:ascii="仿宋" w:hAnsi="仿宋" w:eastAsia="仿宋" w:cs="仿宋"/>
                <w:highlight w:val="none"/>
              </w:rPr>
            </w:pPr>
          </w:p>
          <w:p>
            <w:pPr>
              <w:spacing w:line="360" w:lineRule="exact"/>
              <w:jc w:val="center"/>
              <w:rPr>
                <w:rFonts w:ascii="仿宋" w:hAnsi="仿宋" w:eastAsia="仿宋" w:cs="仿宋"/>
                <w:highlight w:val="none"/>
              </w:rPr>
            </w:pPr>
          </w:p>
          <w:p>
            <w:pPr>
              <w:spacing w:line="360" w:lineRule="exact"/>
              <w:jc w:val="center"/>
              <w:rPr>
                <w:rFonts w:ascii="仿宋" w:hAnsi="仿宋" w:eastAsia="仿宋" w:cs="仿宋"/>
                <w:highlight w:val="none"/>
              </w:rPr>
            </w:pPr>
          </w:p>
          <w:p>
            <w:pPr>
              <w:spacing w:line="360" w:lineRule="exact"/>
              <w:jc w:val="center"/>
              <w:rPr>
                <w:rFonts w:ascii="仿宋" w:hAnsi="仿宋" w:eastAsia="仿宋" w:cs="仿宋"/>
                <w:highlight w:val="none"/>
              </w:rPr>
            </w:pPr>
          </w:p>
          <w:p>
            <w:pPr>
              <w:spacing w:line="360" w:lineRule="exact"/>
              <w:jc w:val="center"/>
              <w:rPr>
                <w:rFonts w:ascii="仿宋" w:hAnsi="仿宋" w:eastAsia="仿宋" w:cs="仿宋"/>
                <w:highlight w:val="none"/>
              </w:rPr>
            </w:pPr>
          </w:p>
          <w:p>
            <w:pPr>
              <w:spacing w:line="360" w:lineRule="exact"/>
              <w:jc w:val="center"/>
              <w:rPr>
                <w:rFonts w:ascii="仿宋" w:hAnsi="仿宋" w:eastAsia="仿宋" w:cs="仿宋"/>
                <w:highlight w:val="none"/>
              </w:rPr>
            </w:pPr>
            <w:r>
              <w:rPr>
                <w:rFonts w:hint="eastAsia" w:ascii="仿宋" w:hAnsi="仿宋" w:eastAsia="仿宋" w:cs="仿宋"/>
                <w:highlight w:val="none"/>
              </w:rPr>
              <w:t>食堂</w:t>
            </w:r>
          </w:p>
          <w:p>
            <w:pPr>
              <w:spacing w:line="360" w:lineRule="exact"/>
              <w:jc w:val="center"/>
              <w:rPr>
                <w:rFonts w:ascii="仿宋" w:hAnsi="仿宋" w:eastAsia="仿宋" w:cs="仿宋"/>
                <w:highlight w:val="none"/>
              </w:rPr>
            </w:pPr>
            <w:r>
              <w:rPr>
                <w:rFonts w:hint="eastAsia" w:ascii="仿宋" w:hAnsi="仿宋" w:eastAsia="仿宋" w:cs="仿宋"/>
                <w:highlight w:val="none"/>
              </w:rPr>
              <w:t>餐饮</w:t>
            </w:r>
          </w:p>
          <w:p>
            <w:pPr>
              <w:spacing w:line="360" w:lineRule="exact"/>
              <w:jc w:val="center"/>
              <w:rPr>
                <w:rFonts w:ascii="仿宋" w:hAnsi="仿宋" w:eastAsia="仿宋" w:cs="仿宋"/>
                <w:highlight w:val="none"/>
              </w:rPr>
            </w:pPr>
            <w:r>
              <w:rPr>
                <w:rFonts w:hint="eastAsia" w:ascii="仿宋" w:hAnsi="仿宋" w:eastAsia="仿宋" w:cs="仿宋"/>
                <w:highlight w:val="none"/>
              </w:rPr>
              <w:t>服务</w:t>
            </w:r>
          </w:p>
        </w:tc>
        <w:tc>
          <w:tcPr>
            <w:tcW w:w="1377" w:type="dxa"/>
            <w:vMerge w:val="restart"/>
            <w:shd w:val="clear" w:color="auto" w:fill="auto"/>
            <w:vAlign w:val="center"/>
          </w:tcPr>
          <w:p>
            <w:pPr>
              <w:spacing w:line="360" w:lineRule="exact"/>
              <w:rPr>
                <w:rFonts w:ascii="仿宋" w:hAnsi="仿宋" w:eastAsia="仿宋" w:cs="仿宋"/>
                <w:highlight w:val="none"/>
              </w:rPr>
            </w:pPr>
            <w:r>
              <w:rPr>
                <w:rFonts w:hint="eastAsia" w:ascii="仿宋" w:hAnsi="仿宋" w:eastAsia="仿宋" w:cs="仿宋"/>
                <w:highlight w:val="none"/>
              </w:rPr>
              <w:t xml:space="preserve">  采购管理</w:t>
            </w:r>
          </w:p>
          <w:p>
            <w:pPr>
              <w:spacing w:line="360" w:lineRule="exact"/>
              <w:jc w:val="center"/>
              <w:rPr>
                <w:rFonts w:ascii="仿宋" w:hAnsi="仿宋" w:eastAsia="仿宋" w:cs="仿宋"/>
                <w:highlight w:val="none"/>
              </w:rPr>
            </w:pPr>
            <w:r>
              <w:rPr>
                <w:rFonts w:hint="eastAsia" w:ascii="仿宋" w:hAnsi="仿宋" w:eastAsia="仿宋" w:cs="仿宋"/>
                <w:highlight w:val="none"/>
              </w:rPr>
              <w:t>服务</w:t>
            </w:r>
          </w:p>
        </w:tc>
        <w:tc>
          <w:tcPr>
            <w:tcW w:w="3928" w:type="dxa"/>
            <w:shd w:val="clear" w:color="auto" w:fill="auto"/>
          </w:tcPr>
          <w:p>
            <w:pPr>
              <w:spacing w:line="360" w:lineRule="exact"/>
              <w:rPr>
                <w:rFonts w:ascii="仿宋" w:hAnsi="仿宋" w:eastAsia="仿宋" w:cs="仿宋"/>
                <w:highlight w:val="none"/>
              </w:rPr>
            </w:pPr>
            <w:r>
              <w:rPr>
                <w:rFonts w:hint="eastAsia" w:ascii="仿宋" w:hAnsi="仿宋" w:eastAsia="仿宋" w:cs="仿宋"/>
                <w:highlight w:val="none"/>
              </w:rPr>
              <w:t>货物验收</w:t>
            </w:r>
          </w:p>
        </w:tc>
        <w:tc>
          <w:tcPr>
            <w:tcW w:w="724" w:type="dxa"/>
            <w:shd w:val="clear" w:color="auto" w:fill="auto"/>
          </w:tcPr>
          <w:p>
            <w:pPr>
              <w:spacing w:line="360" w:lineRule="exact"/>
              <w:jc w:val="center"/>
              <w:rPr>
                <w:rFonts w:ascii="仿宋" w:hAnsi="仿宋" w:eastAsia="仿宋" w:cs="仿宋"/>
                <w:highlight w:val="none"/>
              </w:rPr>
            </w:pPr>
            <w:r>
              <w:rPr>
                <w:rFonts w:hint="eastAsia" w:ascii="仿宋" w:hAnsi="仿宋" w:eastAsia="仿宋" w:cs="仿宋"/>
                <w:highlight w:val="none"/>
              </w:rPr>
              <w:t>√</w:t>
            </w:r>
          </w:p>
        </w:tc>
        <w:tc>
          <w:tcPr>
            <w:tcW w:w="1726" w:type="dxa"/>
            <w:shd w:val="clear" w:color="auto" w:fill="auto"/>
          </w:tcPr>
          <w:p>
            <w:pPr>
              <w:spacing w:line="360" w:lineRule="exact"/>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shd w:val="clear" w:color="auto" w:fill="auto"/>
          </w:tcPr>
          <w:p>
            <w:pPr>
              <w:spacing w:line="360" w:lineRule="exact"/>
              <w:rPr>
                <w:rFonts w:ascii="仿宋" w:hAnsi="仿宋" w:eastAsia="仿宋" w:cs="仿宋"/>
                <w:highlight w:val="none"/>
              </w:rPr>
            </w:pPr>
          </w:p>
        </w:tc>
        <w:tc>
          <w:tcPr>
            <w:tcW w:w="1377" w:type="dxa"/>
            <w:vMerge w:val="continue"/>
            <w:shd w:val="clear" w:color="auto" w:fill="auto"/>
          </w:tcPr>
          <w:p>
            <w:pPr>
              <w:spacing w:line="360" w:lineRule="exact"/>
              <w:rPr>
                <w:rFonts w:ascii="仿宋" w:hAnsi="仿宋" w:eastAsia="仿宋" w:cs="仿宋"/>
                <w:highlight w:val="none"/>
              </w:rPr>
            </w:pPr>
          </w:p>
        </w:tc>
        <w:tc>
          <w:tcPr>
            <w:tcW w:w="3928" w:type="dxa"/>
            <w:shd w:val="clear" w:color="auto" w:fill="auto"/>
          </w:tcPr>
          <w:p>
            <w:pPr>
              <w:spacing w:line="360" w:lineRule="exact"/>
              <w:rPr>
                <w:rFonts w:ascii="仿宋" w:hAnsi="仿宋" w:eastAsia="仿宋" w:cs="仿宋"/>
                <w:highlight w:val="none"/>
              </w:rPr>
            </w:pPr>
            <w:r>
              <w:rPr>
                <w:rFonts w:hint="eastAsia" w:ascii="仿宋" w:hAnsi="仿宋" w:eastAsia="仿宋" w:cs="仿宋"/>
                <w:highlight w:val="none"/>
              </w:rPr>
              <w:t>原材料、食品及调味品的储存</w:t>
            </w:r>
          </w:p>
        </w:tc>
        <w:tc>
          <w:tcPr>
            <w:tcW w:w="724" w:type="dxa"/>
            <w:shd w:val="clear" w:color="auto" w:fill="auto"/>
          </w:tcPr>
          <w:p>
            <w:pPr>
              <w:spacing w:line="360" w:lineRule="exact"/>
              <w:jc w:val="center"/>
              <w:rPr>
                <w:rFonts w:ascii="仿宋" w:hAnsi="仿宋" w:eastAsia="仿宋" w:cs="仿宋"/>
                <w:highlight w:val="none"/>
              </w:rPr>
            </w:pPr>
            <w:r>
              <w:rPr>
                <w:rFonts w:hint="eastAsia" w:ascii="仿宋" w:hAnsi="仿宋" w:eastAsia="仿宋" w:cs="仿宋"/>
                <w:highlight w:val="none"/>
              </w:rPr>
              <w:t>√</w:t>
            </w:r>
          </w:p>
        </w:tc>
        <w:tc>
          <w:tcPr>
            <w:tcW w:w="1726" w:type="dxa"/>
            <w:shd w:val="clear" w:color="auto" w:fill="auto"/>
          </w:tcPr>
          <w:p>
            <w:pPr>
              <w:spacing w:line="360" w:lineRule="exact"/>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shd w:val="clear" w:color="auto" w:fill="auto"/>
          </w:tcPr>
          <w:p>
            <w:pPr>
              <w:spacing w:line="360" w:lineRule="exact"/>
              <w:rPr>
                <w:rFonts w:ascii="仿宋" w:hAnsi="仿宋" w:eastAsia="仿宋" w:cs="仿宋"/>
                <w:highlight w:val="none"/>
              </w:rPr>
            </w:pPr>
          </w:p>
        </w:tc>
        <w:tc>
          <w:tcPr>
            <w:tcW w:w="1377" w:type="dxa"/>
            <w:vMerge w:val="continue"/>
            <w:shd w:val="clear" w:color="auto" w:fill="auto"/>
          </w:tcPr>
          <w:p>
            <w:pPr>
              <w:spacing w:line="360" w:lineRule="exact"/>
              <w:rPr>
                <w:rFonts w:ascii="仿宋" w:hAnsi="仿宋" w:eastAsia="仿宋" w:cs="仿宋"/>
                <w:highlight w:val="none"/>
              </w:rPr>
            </w:pPr>
          </w:p>
        </w:tc>
        <w:tc>
          <w:tcPr>
            <w:tcW w:w="3928" w:type="dxa"/>
            <w:shd w:val="clear" w:color="auto" w:fill="auto"/>
          </w:tcPr>
          <w:p>
            <w:pPr>
              <w:spacing w:line="360" w:lineRule="exact"/>
              <w:rPr>
                <w:rFonts w:ascii="仿宋" w:hAnsi="仿宋" w:eastAsia="仿宋" w:cs="仿宋"/>
                <w:highlight w:val="none"/>
              </w:rPr>
            </w:pPr>
            <w:r>
              <w:rPr>
                <w:rFonts w:hint="eastAsia" w:ascii="仿宋" w:hAnsi="仿宋" w:eastAsia="仿宋" w:cs="仿宋"/>
                <w:highlight w:val="none"/>
              </w:rPr>
              <w:t>收费结算系统</w:t>
            </w:r>
          </w:p>
        </w:tc>
        <w:tc>
          <w:tcPr>
            <w:tcW w:w="724" w:type="dxa"/>
            <w:shd w:val="clear" w:color="auto" w:fill="auto"/>
          </w:tcPr>
          <w:p>
            <w:pPr>
              <w:spacing w:line="360" w:lineRule="exact"/>
              <w:jc w:val="center"/>
              <w:rPr>
                <w:rFonts w:ascii="仿宋" w:hAnsi="仿宋" w:eastAsia="仿宋" w:cs="仿宋"/>
                <w:highlight w:val="none"/>
              </w:rPr>
            </w:pPr>
            <w:r>
              <w:rPr>
                <w:rFonts w:hint="eastAsia" w:ascii="仿宋" w:hAnsi="仿宋" w:eastAsia="仿宋" w:cs="仿宋"/>
                <w:highlight w:val="none"/>
              </w:rPr>
              <w:t>√</w:t>
            </w:r>
          </w:p>
        </w:tc>
        <w:tc>
          <w:tcPr>
            <w:tcW w:w="1726" w:type="dxa"/>
            <w:shd w:val="clear" w:color="auto" w:fill="auto"/>
          </w:tcPr>
          <w:p>
            <w:pPr>
              <w:spacing w:line="360" w:lineRule="exact"/>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shd w:val="clear" w:color="auto" w:fill="auto"/>
          </w:tcPr>
          <w:p>
            <w:pPr>
              <w:spacing w:line="360" w:lineRule="exact"/>
              <w:rPr>
                <w:rFonts w:ascii="仿宋" w:hAnsi="仿宋" w:eastAsia="仿宋" w:cs="仿宋"/>
                <w:highlight w:val="none"/>
              </w:rPr>
            </w:pPr>
          </w:p>
        </w:tc>
        <w:tc>
          <w:tcPr>
            <w:tcW w:w="1377" w:type="dxa"/>
            <w:vMerge w:val="restart"/>
            <w:shd w:val="clear" w:color="auto" w:fill="auto"/>
            <w:vAlign w:val="center"/>
          </w:tcPr>
          <w:p>
            <w:pPr>
              <w:spacing w:line="360" w:lineRule="exact"/>
              <w:jc w:val="center"/>
              <w:rPr>
                <w:rFonts w:ascii="仿宋" w:hAnsi="仿宋" w:eastAsia="仿宋" w:cs="仿宋"/>
                <w:highlight w:val="none"/>
              </w:rPr>
            </w:pPr>
            <w:r>
              <w:rPr>
                <w:rFonts w:hint="eastAsia" w:ascii="仿宋" w:hAnsi="仿宋" w:eastAsia="仿宋" w:cs="仿宋"/>
                <w:highlight w:val="none"/>
              </w:rPr>
              <w:t>供餐方式</w:t>
            </w:r>
          </w:p>
          <w:p>
            <w:pPr>
              <w:spacing w:line="360" w:lineRule="exact"/>
              <w:jc w:val="center"/>
              <w:rPr>
                <w:rFonts w:ascii="仿宋" w:hAnsi="仿宋" w:eastAsia="仿宋" w:cs="仿宋"/>
                <w:highlight w:val="none"/>
              </w:rPr>
            </w:pPr>
            <w:r>
              <w:rPr>
                <w:rFonts w:hint="eastAsia" w:ascii="仿宋" w:hAnsi="仿宋" w:eastAsia="仿宋" w:cs="仿宋"/>
                <w:highlight w:val="none"/>
              </w:rPr>
              <w:t>与品种组合</w:t>
            </w:r>
          </w:p>
        </w:tc>
        <w:tc>
          <w:tcPr>
            <w:tcW w:w="3928" w:type="dxa"/>
            <w:shd w:val="clear" w:color="auto" w:fill="auto"/>
          </w:tcPr>
          <w:p>
            <w:pPr>
              <w:spacing w:line="360" w:lineRule="exact"/>
              <w:rPr>
                <w:rFonts w:ascii="仿宋" w:hAnsi="仿宋" w:eastAsia="仿宋" w:cs="仿宋"/>
                <w:highlight w:val="none"/>
              </w:rPr>
            </w:pPr>
            <w:r>
              <w:rPr>
                <w:rFonts w:hint="eastAsia" w:ascii="仿宋" w:hAnsi="仿宋" w:eastAsia="仿宋" w:cs="仿宋"/>
                <w:highlight w:val="none"/>
              </w:rPr>
              <w:t>早餐提供服务</w:t>
            </w:r>
          </w:p>
        </w:tc>
        <w:tc>
          <w:tcPr>
            <w:tcW w:w="724" w:type="dxa"/>
            <w:shd w:val="clear" w:color="auto" w:fill="auto"/>
          </w:tcPr>
          <w:p>
            <w:pPr>
              <w:spacing w:line="360" w:lineRule="exact"/>
              <w:jc w:val="center"/>
              <w:rPr>
                <w:rFonts w:ascii="仿宋" w:hAnsi="仿宋" w:eastAsia="仿宋" w:cs="仿宋"/>
                <w:highlight w:val="none"/>
              </w:rPr>
            </w:pPr>
            <w:r>
              <w:rPr>
                <w:rFonts w:hint="eastAsia" w:ascii="仿宋" w:hAnsi="仿宋" w:eastAsia="仿宋" w:cs="仿宋"/>
                <w:highlight w:val="none"/>
              </w:rPr>
              <w:t>√</w:t>
            </w:r>
          </w:p>
        </w:tc>
        <w:tc>
          <w:tcPr>
            <w:tcW w:w="1726" w:type="dxa"/>
            <w:shd w:val="clear" w:color="auto" w:fill="auto"/>
          </w:tcPr>
          <w:p>
            <w:pPr>
              <w:spacing w:line="360" w:lineRule="exact"/>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shd w:val="clear" w:color="auto" w:fill="auto"/>
          </w:tcPr>
          <w:p>
            <w:pPr>
              <w:spacing w:line="360" w:lineRule="exact"/>
              <w:rPr>
                <w:rFonts w:ascii="仿宋" w:hAnsi="仿宋" w:eastAsia="仿宋" w:cs="仿宋"/>
                <w:highlight w:val="none"/>
              </w:rPr>
            </w:pPr>
          </w:p>
        </w:tc>
        <w:tc>
          <w:tcPr>
            <w:tcW w:w="1377" w:type="dxa"/>
            <w:vMerge w:val="continue"/>
            <w:shd w:val="clear" w:color="auto" w:fill="auto"/>
          </w:tcPr>
          <w:p>
            <w:pPr>
              <w:spacing w:line="360" w:lineRule="exact"/>
              <w:jc w:val="center"/>
              <w:rPr>
                <w:rFonts w:ascii="仿宋" w:hAnsi="仿宋" w:eastAsia="仿宋" w:cs="仿宋"/>
                <w:highlight w:val="none"/>
              </w:rPr>
            </w:pPr>
          </w:p>
        </w:tc>
        <w:tc>
          <w:tcPr>
            <w:tcW w:w="3928" w:type="dxa"/>
            <w:shd w:val="clear" w:color="auto" w:fill="auto"/>
          </w:tcPr>
          <w:p>
            <w:pPr>
              <w:spacing w:line="360" w:lineRule="exact"/>
              <w:rPr>
                <w:rFonts w:ascii="仿宋" w:hAnsi="仿宋" w:eastAsia="仿宋" w:cs="仿宋"/>
                <w:highlight w:val="none"/>
              </w:rPr>
            </w:pPr>
            <w:r>
              <w:rPr>
                <w:rFonts w:hint="eastAsia" w:ascii="仿宋" w:hAnsi="仿宋" w:eastAsia="仿宋" w:cs="仿宋"/>
                <w:highlight w:val="none"/>
              </w:rPr>
              <w:t>午餐提供服务</w:t>
            </w:r>
          </w:p>
        </w:tc>
        <w:tc>
          <w:tcPr>
            <w:tcW w:w="724" w:type="dxa"/>
            <w:shd w:val="clear" w:color="auto" w:fill="auto"/>
          </w:tcPr>
          <w:p>
            <w:pPr>
              <w:spacing w:line="360" w:lineRule="exact"/>
              <w:jc w:val="center"/>
              <w:rPr>
                <w:rFonts w:ascii="仿宋" w:hAnsi="仿宋" w:eastAsia="仿宋" w:cs="仿宋"/>
                <w:highlight w:val="none"/>
              </w:rPr>
            </w:pPr>
            <w:r>
              <w:rPr>
                <w:rFonts w:hint="eastAsia" w:ascii="仿宋" w:hAnsi="仿宋" w:eastAsia="仿宋" w:cs="仿宋"/>
                <w:highlight w:val="none"/>
              </w:rPr>
              <w:t>√</w:t>
            </w:r>
          </w:p>
        </w:tc>
        <w:tc>
          <w:tcPr>
            <w:tcW w:w="1726" w:type="dxa"/>
            <w:shd w:val="clear" w:color="auto" w:fill="auto"/>
          </w:tcPr>
          <w:p>
            <w:pPr>
              <w:spacing w:line="360" w:lineRule="exact"/>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shd w:val="clear" w:color="auto" w:fill="auto"/>
          </w:tcPr>
          <w:p>
            <w:pPr>
              <w:spacing w:line="360" w:lineRule="exact"/>
              <w:rPr>
                <w:rFonts w:ascii="仿宋" w:hAnsi="仿宋" w:eastAsia="仿宋" w:cs="仿宋"/>
                <w:highlight w:val="none"/>
              </w:rPr>
            </w:pPr>
          </w:p>
        </w:tc>
        <w:tc>
          <w:tcPr>
            <w:tcW w:w="1377" w:type="dxa"/>
            <w:vMerge w:val="continue"/>
            <w:shd w:val="clear" w:color="auto" w:fill="auto"/>
          </w:tcPr>
          <w:p>
            <w:pPr>
              <w:spacing w:line="360" w:lineRule="exact"/>
              <w:jc w:val="center"/>
              <w:rPr>
                <w:rFonts w:ascii="仿宋" w:hAnsi="仿宋" w:eastAsia="仿宋" w:cs="仿宋"/>
                <w:highlight w:val="none"/>
              </w:rPr>
            </w:pPr>
          </w:p>
        </w:tc>
        <w:tc>
          <w:tcPr>
            <w:tcW w:w="3928" w:type="dxa"/>
            <w:shd w:val="clear" w:color="auto" w:fill="auto"/>
          </w:tcPr>
          <w:p>
            <w:pPr>
              <w:spacing w:line="360" w:lineRule="exact"/>
              <w:rPr>
                <w:rFonts w:ascii="仿宋" w:hAnsi="仿宋" w:eastAsia="仿宋" w:cs="仿宋"/>
                <w:highlight w:val="none"/>
              </w:rPr>
            </w:pPr>
            <w:r>
              <w:rPr>
                <w:rFonts w:hint="eastAsia" w:ascii="仿宋" w:hAnsi="仿宋" w:eastAsia="仿宋" w:cs="仿宋"/>
                <w:highlight w:val="none"/>
              </w:rPr>
              <w:t>晚餐提供服务</w:t>
            </w:r>
          </w:p>
        </w:tc>
        <w:tc>
          <w:tcPr>
            <w:tcW w:w="724" w:type="dxa"/>
            <w:shd w:val="clear" w:color="auto" w:fill="auto"/>
          </w:tcPr>
          <w:p>
            <w:pPr>
              <w:spacing w:line="360" w:lineRule="exact"/>
              <w:jc w:val="center"/>
              <w:rPr>
                <w:rFonts w:ascii="仿宋" w:hAnsi="仿宋" w:eastAsia="仿宋" w:cs="仿宋"/>
                <w:highlight w:val="none"/>
              </w:rPr>
            </w:pPr>
            <w:r>
              <w:rPr>
                <w:rFonts w:hint="eastAsia" w:ascii="仿宋" w:hAnsi="仿宋" w:eastAsia="仿宋" w:cs="仿宋"/>
                <w:highlight w:val="none"/>
              </w:rPr>
              <w:t>√</w:t>
            </w:r>
          </w:p>
        </w:tc>
        <w:tc>
          <w:tcPr>
            <w:tcW w:w="1726" w:type="dxa"/>
            <w:shd w:val="clear" w:color="auto" w:fill="auto"/>
          </w:tcPr>
          <w:p>
            <w:pPr>
              <w:spacing w:line="360" w:lineRule="exact"/>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shd w:val="clear" w:color="auto" w:fill="auto"/>
          </w:tcPr>
          <w:p>
            <w:pPr>
              <w:spacing w:line="360" w:lineRule="exact"/>
              <w:rPr>
                <w:rFonts w:ascii="仿宋" w:hAnsi="仿宋" w:eastAsia="仿宋" w:cs="仿宋"/>
                <w:highlight w:val="none"/>
              </w:rPr>
            </w:pPr>
          </w:p>
        </w:tc>
        <w:tc>
          <w:tcPr>
            <w:tcW w:w="1377" w:type="dxa"/>
            <w:vMerge w:val="continue"/>
            <w:shd w:val="clear" w:color="auto" w:fill="auto"/>
          </w:tcPr>
          <w:p>
            <w:pPr>
              <w:spacing w:line="360" w:lineRule="exact"/>
              <w:jc w:val="center"/>
              <w:rPr>
                <w:rFonts w:ascii="仿宋" w:hAnsi="仿宋" w:eastAsia="仿宋" w:cs="仿宋"/>
                <w:highlight w:val="none"/>
              </w:rPr>
            </w:pPr>
          </w:p>
        </w:tc>
        <w:tc>
          <w:tcPr>
            <w:tcW w:w="3928" w:type="dxa"/>
            <w:shd w:val="clear" w:color="auto" w:fill="auto"/>
          </w:tcPr>
          <w:p>
            <w:pPr>
              <w:spacing w:line="360" w:lineRule="exact"/>
              <w:rPr>
                <w:rFonts w:ascii="仿宋" w:hAnsi="仿宋" w:eastAsia="仿宋" w:cs="仿宋"/>
                <w:highlight w:val="none"/>
              </w:rPr>
            </w:pPr>
            <w:r>
              <w:rPr>
                <w:rFonts w:hint="eastAsia" w:ascii="仿宋" w:hAnsi="仿宋" w:eastAsia="仿宋" w:cs="仿宋"/>
                <w:highlight w:val="none"/>
              </w:rPr>
              <w:t>送餐服务</w:t>
            </w:r>
          </w:p>
        </w:tc>
        <w:tc>
          <w:tcPr>
            <w:tcW w:w="724" w:type="dxa"/>
            <w:shd w:val="clear" w:color="auto" w:fill="auto"/>
          </w:tcPr>
          <w:p>
            <w:pPr>
              <w:spacing w:line="360" w:lineRule="exact"/>
              <w:jc w:val="center"/>
              <w:rPr>
                <w:rFonts w:ascii="仿宋" w:hAnsi="仿宋" w:eastAsia="仿宋" w:cs="仿宋"/>
                <w:highlight w:val="none"/>
              </w:rPr>
            </w:pPr>
            <w:r>
              <w:rPr>
                <w:rFonts w:hint="eastAsia" w:ascii="仿宋" w:hAnsi="仿宋" w:eastAsia="仿宋" w:cs="仿宋"/>
                <w:highlight w:val="none"/>
              </w:rPr>
              <w:t>√</w:t>
            </w:r>
          </w:p>
        </w:tc>
        <w:tc>
          <w:tcPr>
            <w:tcW w:w="1726" w:type="dxa"/>
            <w:shd w:val="clear" w:color="auto" w:fill="auto"/>
          </w:tcPr>
          <w:p>
            <w:pPr>
              <w:spacing w:line="360" w:lineRule="exact"/>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shd w:val="clear" w:color="auto" w:fill="auto"/>
          </w:tcPr>
          <w:p>
            <w:pPr>
              <w:spacing w:line="360" w:lineRule="exact"/>
              <w:rPr>
                <w:rFonts w:ascii="仿宋" w:hAnsi="仿宋" w:eastAsia="仿宋" w:cs="仿宋"/>
                <w:highlight w:val="none"/>
              </w:rPr>
            </w:pPr>
          </w:p>
        </w:tc>
        <w:tc>
          <w:tcPr>
            <w:tcW w:w="1377" w:type="dxa"/>
            <w:vMerge w:val="continue"/>
            <w:shd w:val="clear" w:color="auto" w:fill="auto"/>
          </w:tcPr>
          <w:p>
            <w:pPr>
              <w:spacing w:line="360" w:lineRule="exact"/>
              <w:jc w:val="center"/>
              <w:rPr>
                <w:rFonts w:ascii="仿宋" w:hAnsi="仿宋" w:eastAsia="仿宋" w:cs="仿宋"/>
                <w:highlight w:val="none"/>
              </w:rPr>
            </w:pPr>
          </w:p>
        </w:tc>
        <w:tc>
          <w:tcPr>
            <w:tcW w:w="3928" w:type="dxa"/>
            <w:shd w:val="clear" w:color="auto" w:fill="auto"/>
          </w:tcPr>
          <w:p>
            <w:pPr>
              <w:spacing w:line="360" w:lineRule="exact"/>
              <w:rPr>
                <w:rFonts w:ascii="仿宋" w:hAnsi="仿宋" w:eastAsia="仿宋" w:cs="仿宋"/>
                <w:highlight w:val="none"/>
              </w:rPr>
            </w:pPr>
            <w:r>
              <w:rPr>
                <w:rFonts w:hint="eastAsia" w:ascii="仿宋" w:hAnsi="仿宋" w:eastAsia="仿宋" w:cs="仿宋"/>
                <w:highlight w:val="none"/>
              </w:rPr>
              <w:t>公务接待服务</w:t>
            </w:r>
          </w:p>
        </w:tc>
        <w:tc>
          <w:tcPr>
            <w:tcW w:w="724" w:type="dxa"/>
            <w:shd w:val="clear" w:color="auto" w:fill="auto"/>
          </w:tcPr>
          <w:p>
            <w:pPr>
              <w:spacing w:line="360" w:lineRule="exact"/>
              <w:jc w:val="center"/>
              <w:rPr>
                <w:rFonts w:ascii="仿宋" w:hAnsi="仿宋" w:eastAsia="仿宋" w:cs="仿宋"/>
                <w:highlight w:val="none"/>
              </w:rPr>
            </w:pPr>
            <w:r>
              <w:rPr>
                <w:rFonts w:hint="eastAsia" w:ascii="仿宋" w:hAnsi="仿宋" w:eastAsia="仿宋" w:cs="仿宋"/>
                <w:highlight w:val="none"/>
              </w:rPr>
              <w:t>√</w:t>
            </w:r>
          </w:p>
        </w:tc>
        <w:tc>
          <w:tcPr>
            <w:tcW w:w="1726" w:type="dxa"/>
            <w:shd w:val="clear" w:color="auto" w:fill="auto"/>
          </w:tcPr>
          <w:p>
            <w:pPr>
              <w:spacing w:line="360" w:lineRule="exact"/>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shd w:val="clear" w:color="auto" w:fill="auto"/>
            <w:vAlign w:val="center"/>
          </w:tcPr>
          <w:p>
            <w:pPr>
              <w:spacing w:line="360" w:lineRule="exact"/>
              <w:rPr>
                <w:rFonts w:ascii="仿宋" w:hAnsi="仿宋" w:eastAsia="仿宋" w:cs="仿宋"/>
                <w:highlight w:val="none"/>
              </w:rPr>
            </w:pPr>
          </w:p>
        </w:tc>
        <w:tc>
          <w:tcPr>
            <w:tcW w:w="1377" w:type="dxa"/>
            <w:vMerge w:val="continue"/>
            <w:shd w:val="clear" w:color="auto" w:fill="auto"/>
            <w:vAlign w:val="center"/>
          </w:tcPr>
          <w:p>
            <w:pPr>
              <w:spacing w:line="360" w:lineRule="exact"/>
              <w:jc w:val="center"/>
              <w:rPr>
                <w:rFonts w:ascii="仿宋" w:hAnsi="仿宋" w:eastAsia="仿宋" w:cs="仿宋"/>
                <w:highlight w:val="none"/>
              </w:rPr>
            </w:pPr>
          </w:p>
        </w:tc>
        <w:tc>
          <w:tcPr>
            <w:tcW w:w="3928" w:type="dxa"/>
            <w:shd w:val="clear" w:color="auto" w:fill="auto"/>
            <w:vAlign w:val="center"/>
          </w:tcPr>
          <w:p>
            <w:pPr>
              <w:spacing w:line="360" w:lineRule="exact"/>
              <w:rPr>
                <w:rFonts w:ascii="仿宋" w:hAnsi="仿宋" w:eastAsia="仿宋" w:cs="仿宋"/>
                <w:highlight w:val="none"/>
              </w:rPr>
            </w:pPr>
            <w:r>
              <w:rPr>
                <w:rFonts w:hint="eastAsia" w:ascii="仿宋" w:hAnsi="仿宋" w:eastAsia="仿宋" w:cs="仿宋"/>
                <w:highlight w:val="none"/>
              </w:rPr>
              <w:t>西点、咖啡等服务</w:t>
            </w:r>
          </w:p>
        </w:tc>
        <w:tc>
          <w:tcPr>
            <w:tcW w:w="724" w:type="dxa"/>
            <w:shd w:val="clear" w:color="auto" w:fill="auto"/>
            <w:vAlign w:val="center"/>
          </w:tcPr>
          <w:p>
            <w:pPr>
              <w:spacing w:line="360" w:lineRule="exact"/>
              <w:jc w:val="center"/>
              <w:rPr>
                <w:rFonts w:ascii="仿宋" w:hAnsi="仿宋" w:eastAsia="仿宋" w:cs="仿宋"/>
                <w:highlight w:val="none"/>
              </w:rPr>
            </w:pPr>
            <w:r>
              <w:rPr>
                <w:rFonts w:hint="eastAsia" w:ascii="仿宋" w:hAnsi="仿宋" w:eastAsia="仿宋" w:cs="仿宋"/>
                <w:highlight w:val="none"/>
              </w:rPr>
              <w:t>√</w:t>
            </w:r>
          </w:p>
        </w:tc>
        <w:tc>
          <w:tcPr>
            <w:tcW w:w="1726" w:type="dxa"/>
            <w:shd w:val="clear" w:color="auto" w:fill="auto"/>
            <w:vAlign w:val="center"/>
          </w:tcPr>
          <w:p>
            <w:pPr>
              <w:spacing w:line="360" w:lineRule="exact"/>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shd w:val="clear" w:color="auto" w:fill="auto"/>
            <w:vAlign w:val="center"/>
          </w:tcPr>
          <w:p>
            <w:pPr>
              <w:spacing w:line="360" w:lineRule="exact"/>
              <w:rPr>
                <w:rFonts w:ascii="仿宋" w:hAnsi="仿宋" w:eastAsia="仿宋" w:cs="仿宋"/>
                <w:highlight w:val="none"/>
              </w:rPr>
            </w:pPr>
          </w:p>
        </w:tc>
        <w:tc>
          <w:tcPr>
            <w:tcW w:w="1377" w:type="dxa"/>
            <w:shd w:val="clear" w:color="auto" w:fill="auto"/>
            <w:vAlign w:val="center"/>
          </w:tcPr>
          <w:p>
            <w:pPr>
              <w:spacing w:line="360" w:lineRule="exact"/>
              <w:jc w:val="center"/>
              <w:rPr>
                <w:rFonts w:ascii="仿宋" w:hAnsi="仿宋" w:eastAsia="仿宋" w:cs="仿宋"/>
                <w:highlight w:val="none"/>
              </w:rPr>
            </w:pPr>
            <w:r>
              <w:rPr>
                <w:rFonts w:hint="eastAsia" w:ascii="仿宋" w:hAnsi="仿宋" w:eastAsia="仿宋" w:cs="仿宋"/>
                <w:highlight w:val="none"/>
              </w:rPr>
              <w:t>节假日服务</w:t>
            </w:r>
          </w:p>
        </w:tc>
        <w:tc>
          <w:tcPr>
            <w:tcW w:w="3928" w:type="dxa"/>
            <w:shd w:val="clear" w:color="auto" w:fill="auto"/>
            <w:vAlign w:val="center"/>
          </w:tcPr>
          <w:p>
            <w:pPr>
              <w:spacing w:line="360" w:lineRule="exact"/>
              <w:rPr>
                <w:rFonts w:ascii="仿宋" w:hAnsi="仿宋" w:eastAsia="仿宋" w:cs="仿宋"/>
                <w:highlight w:val="none"/>
              </w:rPr>
            </w:pPr>
            <w:r>
              <w:rPr>
                <w:rFonts w:hint="eastAsia" w:ascii="仿宋" w:hAnsi="仿宋" w:eastAsia="仿宋" w:cs="仿宋"/>
                <w:highlight w:val="none"/>
              </w:rPr>
              <w:t>早、中、晚三餐服务</w:t>
            </w:r>
          </w:p>
        </w:tc>
        <w:tc>
          <w:tcPr>
            <w:tcW w:w="724" w:type="dxa"/>
            <w:shd w:val="clear" w:color="auto" w:fill="auto"/>
            <w:vAlign w:val="center"/>
          </w:tcPr>
          <w:p>
            <w:pPr>
              <w:spacing w:line="360" w:lineRule="exact"/>
              <w:jc w:val="center"/>
              <w:rPr>
                <w:rFonts w:ascii="仿宋" w:hAnsi="仿宋" w:eastAsia="仿宋" w:cs="仿宋"/>
                <w:highlight w:val="none"/>
              </w:rPr>
            </w:pPr>
            <w:r>
              <w:rPr>
                <w:rFonts w:hint="eastAsia" w:ascii="仿宋" w:hAnsi="仿宋" w:eastAsia="仿宋" w:cs="仿宋"/>
                <w:highlight w:val="none"/>
              </w:rPr>
              <w:t>√</w:t>
            </w:r>
          </w:p>
        </w:tc>
        <w:tc>
          <w:tcPr>
            <w:tcW w:w="1726" w:type="dxa"/>
            <w:shd w:val="clear" w:color="auto" w:fill="auto"/>
            <w:vAlign w:val="center"/>
          </w:tcPr>
          <w:p>
            <w:pPr>
              <w:spacing w:line="360" w:lineRule="exact"/>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shd w:val="clear" w:color="auto" w:fill="auto"/>
            <w:vAlign w:val="center"/>
          </w:tcPr>
          <w:p>
            <w:pPr>
              <w:spacing w:line="360" w:lineRule="exact"/>
              <w:jc w:val="center"/>
              <w:rPr>
                <w:rFonts w:ascii="仿宋" w:hAnsi="仿宋" w:eastAsia="仿宋" w:cs="仿宋"/>
                <w:highlight w:val="none"/>
              </w:rPr>
            </w:pPr>
          </w:p>
        </w:tc>
        <w:tc>
          <w:tcPr>
            <w:tcW w:w="1377" w:type="dxa"/>
            <w:vMerge w:val="restart"/>
            <w:shd w:val="clear" w:color="auto" w:fill="auto"/>
            <w:vAlign w:val="center"/>
          </w:tcPr>
          <w:p>
            <w:pPr>
              <w:spacing w:line="360" w:lineRule="exact"/>
              <w:jc w:val="center"/>
              <w:rPr>
                <w:rFonts w:ascii="仿宋" w:hAnsi="仿宋" w:eastAsia="仿宋" w:cs="仿宋"/>
                <w:highlight w:val="none"/>
              </w:rPr>
            </w:pPr>
            <w:r>
              <w:rPr>
                <w:rFonts w:hint="eastAsia" w:ascii="仿宋" w:hAnsi="仿宋" w:eastAsia="仿宋" w:cs="仿宋"/>
                <w:highlight w:val="none"/>
              </w:rPr>
              <w:t>卫生安全</w:t>
            </w:r>
          </w:p>
          <w:p>
            <w:pPr>
              <w:spacing w:line="360" w:lineRule="exact"/>
              <w:jc w:val="center"/>
              <w:rPr>
                <w:rFonts w:ascii="仿宋" w:hAnsi="仿宋" w:eastAsia="仿宋" w:cs="仿宋"/>
                <w:highlight w:val="none"/>
              </w:rPr>
            </w:pPr>
            <w:r>
              <w:rPr>
                <w:rFonts w:hint="eastAsia" w:ascii="仿宋" w:hAnsi="仿宋" w:eastAsia="仿宋" w:cs="仿宋"/>
                <w:highlight w:val="none"/>
              </w:rPr>
              <w:t>管理服务</w:t>
            </w:r>
          </w:p>
        </w:tc>
        <w:tc>
          <w:tcPr>
            <w:tcW w:w="3928" w:type="dxa"/>
            <w:shd w:val="clear" w:color="auto" w:fill="auto"/>
          </w:tcPr>
          <w:p>
            <w:pPr>
              <w:spacing w:line="360" w:lineRule="exact"/>
              <w:rPr>
                <w:rFonts w:ascii="仿宋" w:hAnsi="仿宋" w:eastAsia="仿宋" w:cs="仿宋"/>
                <w:highlight w:val="none"/>
              </w:rPr>
            </w:pPr>
            <w:r>
              <w:rPr>
                <w:rFonts w:hint="eastAsia" w:ascii="仿宋" w:hAnsi="仿宋" w:eastAsia="仿宋" w:cs="仿宋"/>
                <w:highlight w:val="none"/>
              </w:rPr>
              <w:t>厨房、甜品屋卫生管理</w:t>
            </w:r>
          </w:p>
        </w:tc>
        <w:tc>
          <w:tcPr>
            <w:tcW w:w="724" w:type="dxa"/>
            <w:shd w:val="clear" w:color="auto" w:fill="auto"/>
          </w:tcPr>
          <w:p>
            <w:pPr>
              <w:spacing w:line="360" w:lineRule="exact"/>
              <w:jc w:val="center"/>
              <w:rPr>
                <w:rFonts w:ascii="仿宋" w:hAnsi="仿宋" w:eastAsia="仿宋" w:cs="仿宋"/>
                <w:highlight w:val="none"/>
              </w:rPr>
            </w:pPr>
            <w:r>
              <w:rPr>
                <w:rFonts w:hint="eastAsia" w:ascii="仿宋" w:hAnsi="仿宋" w:eastAsia="仿宋" w:cs="仿宋"/>
                <w:highlight w:val="none"/>
              </w:rPr>
              <w:t>√</w:t>
            </w:r>
          </w:p>
        </w:tc>
        <w:tc>
          <w:tcPr>
            <w:tcW w:w="1726" w:type="dxa"/>
            <w:shd w:val="clear" w:color="auto" w:fill="auto"/>
          </w:tcPr>
          <w:p>
            <w:pPr>
              <w:spacing w:line="360" w:lineRule="exact"/>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shd w:val="clear" w:color="auto" w:fill="auto"/>
          </w:tcPr>
          <w:p>
            <w:pPr>
              <w:spacing w:line="360" w:lineRule="exact"/>
              <w:rPr>
                <w:rFonts w:ascii="仿宋" w:hAnsi="仿宋" w:eastAsia="仿宋" w:cs="仿宋"/>
                <w:highlight w:val="none"/>
              </w:rPr>
            </w:pPr>
          </w:p>
        </w:tc>
        <w:tc>
          <w:tcPr>
            <w:tcW w:w="1377" w:type="dxa"/>
            <w:vMerge w:val="continue"/>
            <w:shd w:val="clear" w:color="auto" w:fill="auto"/>
          </w:tcPr>
          <w:p>
            <w:pPr>
              <w:spacing w:line="360" w:lineRule="exact"/>
              <w:rPr>
                <w:rFonts w:ascii="仿宋" w:hAnsi="仿宋" w:eastAsia="仿宋" w:cs="仿宋"/>
                <w:highlight w:val="none"/>
              </w:rPr>
            </w:pPr>
          </w:p>
        </w:tc>
        <w:tc>
          <w:tcPr>
            <w:tcW w:w="3928" w:type="dxa"/>
            <w:shd w:val="clear" w:color="auto" w:fill="auto"/>
          </w:tcPr>
          <w:p>
            <w:pPr>
              <w:spacing w:line="360" w:lineRule="exact"/>
              <w:rPr>
                <w:rFonts w:ascii="仿宋" w:hAnsi="仿宋" w:eastAsia="仿宋" w:cs="仿宋"/>
                <w:highlight w:val="none"/>
              </w:rPr>
            </w:pPr>
            <w:r>
              <w:rPr>
                <w:rFonts w:hint="eastAsia" w:ascii="仿宋" w:hAnsi="仿宋" w:eastAsia="仿宋" w:cs="仿宋"/>
                <w:highlight w:val="none"/>
              </w:rPr>
              <w:t>就餐区域、甜品屋环境卫生管理</w:t>
            </w:r>
          </w:p>
        </w:tc>
        <w:tc>
          <w:tcPr>
            <w:tcW w:w="724" w:type="dxa"/>
            <w:shd w:val="clear" w:color="auto" w:fill="auto"/>
          </w:tcPr>
          <w:p>
            <w:pPr>
              <w:spacing w:line="360" w:lineRule="exact"/>
              <w:jc w:val="center"/>
              <w:rPr>
                <w:rFonts w:ascii="仿宋" w:hAnsi="仿宋" w:eastAsia="仿宋" w:cs="仿宋"/>
                <w:highlight w:val="none"/>
              </w:rPr>
            </w:pPr>
            <w:r>
              <w:rPr>
                <w:rFonts w:hint="eastAsia" w:ascii="仿宋" w:hAnsi="仿宋" w:eastAsia="仿宋" w:cs="仿宋"/>
                <w:highlight w:val="none"/>
              </w:rPr>
              <w:t>√</w:t>
            </w:r>
          </w:p>
        </w:tc>
        <w:tc>
          <w:tcPr>
            <w:tcW w:w="1726" w:type="dxa"/>
            <w:shd w:val="clear" w:color="auto" w:fill="auto"/>
          </w:tcPr>
          <w:p>
            <w:pPr>
              <w:spacing w:line="360" w:lineRule="exact"/>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shd w:val="clear" w:color="auto" w:fill="auto"/>
          </w:tcPr>
          <w:p>
            <w:pPr>
              <w:spacing w:line="360" w:lineRule="exact"/>
              <w:rPr>
                <w:rFonts w:ascii="仿宋" w:hAnsi="仿宋" w:eastAsia="仿宋" w:cs="仿宋"/>
                <w:highlight w:val="none"/>
              </w:rPr>
            </w:pPr>
          </w:p>
        </w:tc>
        <w:tc>
          <w:tcPr>
            <w:tcW w:w="1377" w:type="dxa"/>
            <w:vMerge w:val="continue"/>
            <w:shd w:val="clear" w:color="auto" w:fill="auto"/>
          </w:tcPr>
          <w:p>
            <w:pPr>
              <w:spacing w:line="360" w:lineRule="exact"/>
              <w:rPr>
                <w:rFonts w:ascii="仿宋" w:hAnsi="仿宋" w:eastAsia="仿宋" w:cs="仿宋"/>
                <w:highlight w:val="none"/>
              </w:rPr>
            </w:pPr>
          </w:p>
        </w:tc>
        <w:tc>
          <w:tcPr>
            <w:tcW w:w="3928" w:type="dxa"/>
            <w:shd w:val="clear" w:color="auto" w:fill="auto"/>
          </w:tcPr>
          <w:p>
            <w:pPr>
              <w:spacing w:line="360" w:lineRule="exact"/>
              <w:rPr>
                <w:rFonts w:ascii="仿宋" w:hAnsi="仿宋" w:eastAsia="仿宋" w:cs="仿宋"/>
                <w:highlight w:val="none"/>
              </w:rPr>
            </w:pPr>
            <w:r>
              <w:rPr>
                <w:rFonts w:hint="eastAsia" w:ascii="仿宋" w:hAnsi="仿宋" w:eastAsia="仿宋" w:cs="仿宋"/>
                <w:highlight w:val="none"/>
              </w:rPr>
              <w:t>餐具卫生消毒管理及厨房设备设施安全管理</w:t>
            </w:r>
          </w:p>
        </w:tc>
        <w:tc>
          <w:tcPr>
            <w:tcW w:w="724" w:type="dxa"/>
            <w:shd w:val="clear" w:color="auto" w:fill="auto"/>
          </w:tcPr>
          <w:p>
            <w:pPr>
              <w:spacing w:line="360" w:lineRule="exact"/>
              <w:jc w:val="center"/>
              <w:rPr>
                <w:rFonts w:ascii="仿宋" w:hAnsi="仿宋" w:eastAsia="仿宋" w:cs="仿宋"/>
                <w:highlight w:val="none"/>
              </w:rPr>
            </w:pPr>
            <w:r>
              <w:rPr>
                <w:rFonts w:hint="eastAsia" w:ascii="仿宋" w:hAnsi="仿宋" w:eastAsia="仿宋" w:cs="仿宋"/>
                <w:highlight w:val="none"/>
              </w:rPr>
              <w:t>√</w:t>
            </w:r>
          </w:p>
        </w:tc>
        <w:tc>
          <w:tcPr>
            <w:tcW w:w="1726" w:type="dxa"/>
            <w:shd w:val="clear" w:color="auto" w:fill="auto"/>
          </w:tcPr>
          <w:p>
            <w:pPr>
              <w:spacing w:line="360" w:lineRule="exact"/>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shd w:val="clear" w:color="auto" w:fill="auto"/>
          </w:tcPr>
          <w:p>
            <w:pPr>
              <w:spacing w:line="360" w:lineRule="exact"/>
              <w:rPr>
                <w:rFonts w:ascii="仿宋" w:hAnsi="仿宋" w:eastAsia="仿宋" w:cs="仿宋"/>
                <w:highlight w:val="none"/>
              </w:rPr>
            </w:pPr>
          </w:p>
        </w:tc>
        <w:tc>
          <w:tcPr>
            <w:tcW w:w="1377" w:type="dxa"/>
            <w:vMerge w:val="continue"/>
            <w:shd w:val="clear" w:color="auto" w:fill="auto"/>
          </w:tcPr>
          <w:p>
            <w:pPr>
              <w:spacing w:line="360" w:lineRule="exact"/>
              <w:rPr>
                <w:rFonts w:ascii="仿宋" w:hAnsi="仿宋" w:eastAsia="仿宋" w:cs="仿宋"/>
                <w:highlight w:val="none"/>
              </w:rPr>
            </w:pPr>
          </w:p>
        </w:tc>
        <w:tc>
          <w:tcPr>
            <w:tcW w:w="3928" w:type="dxa"/>
            <w:shd w:val="clear" w:color="auto" w:fill="auto"/>
          </w:tcPr>
          <w:p>
            <w:pPr>
              <w:spacing w:line="360" w:lineRule="exact"/>
              <w:rPr>
                <w:rFonts w:ascii="仿宋" w:hAnsi="仿宋" w:eastAsia="仿宋" w:cs="仿宋"/>
                <w:highlight w:val="none"/>
              </w:rPr>
            </w:pPr>
            <w:r>
              <w:rPr>
                <w:rFonts w:hint="eastAsia" w:ascii="仿宋" w:hAnsi="仿宋" w:eastAsia="仿宋" w:cs="仿宋"/>
                <w:highlight w:val="none"/>
              </w:rPr>
              <w:t>食品安全管理</w:t>
            </w:r>
          </w:p>
        </w:tc>
        <w:tc>
          <w:tcPr>
            <w:tcW w:w="724" w:type="dxa"/>
            <w:shd w:val="clear" w:color="auto" w:fill="auto"/>
          </w:tcPr>
          <w:p>
            <w:pPr>
              <w:spacing w:line="360" w:lineRule="exact"/>
              <w:jc w:val="center"/>
              <w:rPr>
                <w:rFonts w:ascii="仿宋" w:hAnsi="仿宋" w:eastAsia="仿宋" w:cs="仿宋"/>
                <w:highlight w:val="none"/>
              </w:rPr>
            </w:pPr>
            <w:r>
              <w:rPr>
                <w:rFonts w:hint="eastAsia" w:ascii="仿宋" w:hAnsi="仿宋" w:eastAsia="仿宋" w:cs="仿宋"/>
                <w:highlight w:val="none"/>
              </w:rPr>
              <w:t>√</w:t>
            </w:r>
          </w:p>
        </w:tc>
        <w:tc>
          <w:tcPr>
            <w:tcW w:w="1726" w:type="dxa"/>
            <w:shd w:val="clear" w:color="auto" w:fill="auto"/>
          </w:tcPr>
          <w:p>
            <w:pPr>
              <w:spacing w:line="360" w:lineRule="exact"/>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shd w:val="clear" w:color="auto" w:fill="auto"/>
          </w:tcPr>
          <w:p>
            <w:pPr>
              <w:spacing w:line="360" w:lineRule="exact"/>
              <w:rPr>
                <w:rFonts w:ascii="仿宋" w:hAnsi="仿宋" w:eastAsia="仿宋" w:cs="仿宋"/>
                <w:highlight w:val="none"/>
              </w:rPr>
            </w:pPr>
          </w:p>
        </w:tc>
        <w:tc>
          <w:tcPr>
            <w:tcW w:w="1377" w:type="dxa"/>
            <w:shd w:val="clear" w:color="auto" w:fill="auto"/>
          </w:tcPr>
          <w:p>
            <w:pPr>
              <w:spacing w:line="360" w:lineRule="exact"/>
              <w:jc w:val="center"/>
              <w:rPr>
                <w:rFonts w:ascii="仿宋" w:hAnsi="仿宋" w:eastAsia="仿宋" w:cs="仿宋"/>
                <w:highlight w:val="none"/>
              </w:rPr>
            </w:pPr>
            <w:r>
              <w:rPr>
                <w:rFonts w:hint="eastAsia" w:ascii="仿宋" w:hAnsi="仿宋" w:eastAsia="仿宋" w:cs="仿宋"/>
                <w:highlight w:val="none"/>
              </w:rPr>
              <w:t>餐饮礼仪</w:t>
            </w:r>
          </w:p>
          <w:p>
            <w:pPr>
              <w:spacing w:line="360" w:lineRule="exact"/>
              <w:jc w:val="center"/>
              <w:rPr>
                <w:rFonts w:ascii="仿宋" w:hAnsi="仿宋" w:eastAsia="仿宋" w:cs="仿宋"/>
                <w:highlight w:val="none"/>
              </w:rPr>
            </w:pPr>
            <w:r>
              <w:rPr>
                <w:rFonts w:hint="eastAsia" w:ascii="仿宋" w:hAnsi="仿宋" w:eastAsia="仿宋" w:cs="仿宋"/>
                <w:highlight w:val="none"/>
              </w:rPr>
              <w:t>接待服务</w:t>
            </w:r>
          </w:p>
        </w:tc>
        <w:tc>
          <w:tcPr>
            <w:tcW w:w="3928" w:type="dxa"/>
            <w:shd w:val="clear" w:color="auto" w:fill="auto"/>
            <w:vAlign w:val="center"/>
          </w:tcPr>
          <w:p>
            <w:pPr>
              <w:spacing w:line="360" w:lineRule="exact"/>
              <w:rPr>
                <w:rFonts w:ascii="仿宋" w:hAnsi="仿宋" w:eastAsia="仿宋" w:cs="仿宋"/>
                <w:highlight w:val="none"/>
              </w:rPr>
            </w:pPr>
            <w:r>
              <w:rPr>
                <w:rFonts w:hint="eastAsia" w:ascii="仿宋" w:hAnsi="仿宋" w:eastAsia="仿宋" w:cs="仿宋"/>
                <w:highlight w:val="none"/>
              </w:rPr>
              <w:t>餐厅服务</w:t>
            </w:r>
          </w:p>
        </w:tc>
        <w:tc>
          <w:tcPr>
            <w:tcW w:w="724" w:type="dxa"/>
            <w:shd w:val="clear" w:color="auto" w:fill="auto"/>
          </w:tcPr>
          <w:p>
            <w:pPr>
              <w:spacing w:line="360" w:lineRule="exact"/>
              <w:jc w:val="center"/>
              <w:rPr>
                <w:rFonts w:ascii="仿宋" w:hAnsi="仿宋" w:eastAsia="仿宋" w:cs="仿宋"/>
                <w:highlight w:val="none"/>
              </w:rPr>
            </w:pPr>
            <w:r>
              <w:rPr>
                <w:rFonts w:hint="eastAsia" w:ascii="仿宋" w:hAnsi="仿宋" w:eastAsia="仿宋" w:cs="仿宋"/>
                <w:highlight w:val="none"/>
              </w:rPr>
              <w:t>√</w:t>
            </w:r>
          </w:p>
        </w:tc>
        <w:tc>
          <w:tcPr>
            <w:tcW w:w="1726" w:type="dxa"/>
            <w:shd w:val="clear" w:color="auto" w:fill="auto"/>
          </w:tcPr>
          <w:p>
            <w:pPr>
              <w:spacing w:line="360" w:lineRule="exact"/>
              <w:rPr>
                <w:rFonts w:ascii="仿宋" w:hAnsi="仿宋" w:eastAsia="仿宋" w:cs="仿宋"/>
                <w:highlight w:val="none"/>
              </w:rPr>
            </w:pPr>
          </w:p>
        </w:tc>
      </w:tr>
    </w:tbl>
    <w:p>
      <w:pPr>
        <w:tabs>
          <w:tab w:val="left" w:pos="1080"/>
        </w:tabs>
        <w:spacing w:line="360" w:lineRule="auto"/>
        <w:ind w:right="32"/>
        <w:rPr>
          <w:rFonts w:ascii="仿宋" w:hAnsi="仿宋" w:eastAsia="仿宋" w:cs="仿宋"/>
          <w:sz w:val="24"/>
          <w:szCs w:val="24"/>
          <w:highlight w:val="none"/>
        </w:rPr>
      </w:pPr>
    </w:p>
    <w:p>
      <w:pPr>
        <w:tabs>
          <w:tab w:val="left" w:pos="1080"/>
        </w:tabs>
        <w:spacing w:before="156" w:beforeLines="50" w:after="156" w:afterLines="50" w:line="360" w:lineRule="auto"/>
        <w:ind w:firstLine="482" w:firstLineChars="200"/>
        <w:jc w:val="left"/>
        <w:outlineLvl w:val="1"/>
        <w:rPr>
          <w:rFonts w:ascii="仿宋" w:hAnsi="仿宋" w:eastAsia="仿宋" w:cs="仿宋"/>
          <w:b/>
          <w:bCs/>
          <w:sz w:val="24"/>
          <w:szCs w:val="24"/>
          <w:highlight w:val="none"/>
        </w:rPr>
      </w:pPr>
      <w:bookmarkStart w:id="16" w:name="_Toc18564"/>
      <w:bookmarkStart w:id="17" w:name="_Toc8910"/>
      <w:r>
        <w:rPr>
          <w:rFonts w:hint="eastAsia" w:ascii="仿宋" w:hAnsi="仿宋" w:eastAsia="仿宋" w:cs="仿宋"/>
          <w:b/>
          <w:bCs/>
          <w:sz w:val="24"/>
          <w:szCs w:val="24"/>
          <w:highlight w:val="none"/>
        </w:rPr>
        <w:t>3.食堂管理与服务人员配置：</w:t>
      </w:r>
      <w:bookmarkEnd w:id="16"/>
      <w:bookmarkEnd w:id="17"/>
    </w:p>
    <w:p>
      <w:pPr>
        <w:spacing w:before="156" w:beforeLines="50" w:after="156" w:afterLines="50"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长宁路599号的服务人员配置，主要按照以下三个方面的原则:</w:t>
      </w:r>
    </w:p>
    <w:p>
      <w:pPr>
        <w:spacing w:before="156" w:beforeLines="50" w:after="156" w:afterLines="50"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（1）人员设置遵循“合理、必须、安全”的基本原则；</w:t>
      </w:r>
    </w:p>
    <w:p>
      <w:pPr>
        <w:spacing w:before="156" w:beforeLines="50" w:after="156" w:afterLines="50"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（2）基于相应法律法规、行政规范的规定要求，行业和餐饮管理行业的通行准则；</w:t>
      </w:r>
    </w:p>
    <w:p>
      <w:pPr>
        <w:spacing w:before="156" w:beforeLines="50" w:after="156" w:afterLines="50"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（3）基于长宁路599号的工作时间和工作要求。</w:t>
      </w:r>
    </w:p>
    <w:p>
      <w:pPr>
        <w:spacing w:before="156" w:beforeLines="50" w:after="156" w:afterLines="50"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a、机关办公时间：周一至周五8:30-17:30，国定节假日及平时值班另计。</w:t>
      </w:r>
    </w:p>
    <w:p>
      <w:pPr>
        <w:spacing w:before="156" w:beforeLines="50" w:after="156" w:afterLines="50"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b、食堂餐饮要求：法定工作日内保障一日三餐的供应、点心的供应。重大节假日的送餐服务。</w:t>
      </w:r>
    </w:p>
    <w:p>
      <w:pPr>
        <w:spacing w:before="156" w:beforeLines="50" w:after="156" w:afterLines="50"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c、食堂开放时间及用餐人数</w:t>
      </w:r>
    </w:p>
    <w:p>
      <w:pPr>
        <w:spacing w:before="156" w:beforeLines="50" w:after="156" w:afterLines="50"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-早餐时间：07:15-08:25(用餐人数约400人）</w:t>
      </w:r>
    </w:p>
    <w:p>
      <w:pPr>
        <w:spacing w:before="156" w:beforeLines="50" w:after="156" w:afterLines="50"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-午餐时间：11:1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-13:00（用餐人数约1300人）</w:t>
      </w:r>
    </w:p>
    <w:p>
      <w:pPr>
        <w:spacing w:before="156" w:beforeLines="50" w:after="156" w:afterLines="50"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-晚餐时间：17:30-19:00（用餐人数约300人）</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textAlignment w:val="auto"/>
        <w:outlineLvl w:val="1"/>
        <w:rPr>
          <w:rFonts w:ascii="仿宋" w:hAnsi="仿宋" w:eastAsia="仿宋" w:cs="仿宋"/>
          <w:sz w:val="24"/>
          <w:szCs w:val="24"/>
          <w:highlight w:val="none"/>
        </w:rPr>
      </w:pPr>
      <w:bookmarkStart w:id="18" w:name="_Toc23000"/>
      <w:bookmarkStart w:id="19" w:name="_Toc14207"/>
      <w:r>
        <w:rPr>
          <w:rFonts w:hint="eastAsia" w:ascii="仿宋" w:hAnsi="仿宋" w:eastAsia="仿宋" w:cs="仿宋"/>
          <w:b/>
          <w:bCs/>
          <w:sz w:val="24"/>
          <w:szCs w:val="24"/>
          <w:highlight w:val="none"/>
        </w:rPr>
        <w:t>4.餐饮管理与服务的标准</w:t>
      </w:r>
      <w:bookmarkEnd w:id="18"/>
      <w:bookmarkEnd w:id="19"/>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textAlignment w:val="auto"/>
        <w:rPr>
          <w:rFonts w:ascii="仿宋" w:hAnsi="仿宋" w:eastAsia="仿宋" w:cs="仿宋"/>
          <w:b/>
          <w:bCs/>
          <w:sz w:val="24"/>
          <w:szCs w:val="24"/>
          <w:highlight w:val="none"/>
        </w:rPr>
      </w:pPr>
      <w:r>
        <w:rPr>
          <w:rFonts w:hint="eastAsia" w:ascii="仿宋" w:hAnsi="仿宋" w:eastAsia="仿宋" w:cs="仿宋"/>
          <w:sz w:val="24"/>
          <w:szCs w:val="24"/>
          <w:highlight w:val="none"/>
        </w:rPr>
        <w:t xml:space="preserve">    根据《长宁区机关食堂餐饮管理采购需求确认表》（表2-1），参照上海市政府有关法律、法规要求，为餐饮管理设定了相应服务内容的具体质量标准和要求，为餐饮管理的采购以及今后对餐饮服务企业的考核评价提供准则和依据。</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ascii="仿宋" w:hAnsi="仿宋" w:eastAsia="仿宋" w:cs="仿宋"/>
          <w:sz w:val="24"/>
          <w:szCs w:val="24"/>
          <w:highlight w:val="none"/>
        </w:rPr>
      </w:pPr>
      <w:r>
        <w:rPr>
          <w:rFonts w:hint="eastAsia" w:ascii="仿宋" w:hAnsi="仿宋" w:eastAsia="仿宋" w:cs="仿宋"/>
          <w:b/>
          <w:bCs/>
          <w:sz w:val="24"/>
          <w:szCs w:val="24"/>
          <w:highlight w:val="none"/>
        </w:rPr>
        <w:t>表2-2长宁区机关食堂餐饮管理服务标准一览表</w:t>
      </w:r>
    </w:p>
    <w:tbl>
      <w:tblPr>
        <w:tblStyle w:val="10"/>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449"/>
        <w:gridCol w:w="6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7" w:type="dxa"/>
            <w:shd w:val="clear" w:color="auto" w:fill="auto"/>
            <w:vAlign w:val="center"/>
          </w:tcPr>
          <w:p>
            <w:pPr>
              <w:spacing w:line="360" w:lineRule="exact"/>
              <w:jc w:val="center"/>
              <w:rPr>
                <w:rFonts w:ascii="仿宋" w:hAnsi="仿宋" w:eastAsia="仿宋" w:cs="仿宋"/>
                <w:highlight w:val="none"/>
              </w:rPr>
            </w:pPr>
            <w:r>
              <w:rPr>
                <w:rFonts w:hint="eastAsia" w:ascii="仿宋" w:hAnsi="仿宋" w:eastAsia="仿宋" w:cs="仿宋"/>
                <w:highlight w:val="none"/>
              </w:rPr>
              <w:t>服务</w:t>
            </w:r>
          </w:p>
          <w:p>
            <w:pPr>
              <w:spacing w:line="360" w:lineRule="exact"/>
              <w:jc w:val="center"/>
              <w:rPr>
                <w:rFonts w:ascii="仿宋" w:hAnsi="仿宋" w:eastAsia="仿宋" w:cs="仿宋"/>
                <w:highlight w:val="none"/>
              </w:rPr>
            </w:pPr>
            <w:r>
              <w:rPr>
                <w:rFonts w:hint="eastAsia" w:ascii="仿宋" w:hAnsi="仿宋" w:eastAsia="仿宋" w:cs="仿宋"/>
                <w:highlight w:val="none"/>
              </w:rPr>
              <w:t>项目</w:t>
            </w:r>
          </w:p>
        </w:tc>
        <w:tc>
          <w:tcPr>
            <w:tcW w:w="1449" w:type="dxa"/>
            <w:shd w:val="clear" w:color="auto" w:fill="auto"/>
            <w:vAlign w:val="center"/>
          </w:tcPr>
          <w:p>
            <w:pPr>
              <w:spacing w:line="360" w:lineRule="exact"/>
              <w:jc w:val="center"/>
              <w:rPr>
                <w:rFonts w:ascii="仿宋" w:hAnsi="仿宋" w:eastAsia="仿宋" w:cs="仿宋"/>
                <w:highlight w:val="none"/>
              </w:rPr>
            </w:pPr>
            <w:r>
              <w:rPr>
                <w:rFonts w:hint="eastAsia" w:ascii="仿宋" w:hAnsi="仿宋" w:eastAsia="仿宋" w:cs="仿宋"/>
                <w:highlight w:val="none"/>
              </w:rPr>
              <w:t>服务内容</w:t>
            </w:r>
          </w:p>
        </w:tc>
        <w:tc>
          <w:tcPr>
            <w:tcW w:w="6193" w:type="dxa"/>
            <w:shd w:val="clear" w:color="auto" w:fill="auto"/>
            <w:vAlign w:val="center"/>
          </w:tcPr>
          <w:p>
            <w:pPr>
              <w:spacing w:line="360" w:lineRule="exact"/>
              <w:jc w:val="center"/>
              <w:rPr>
                <w:rFonts w:ascii="仿宋" w:hAnsi="仿宋" w:eastAsia="仿宋" w:cs="仿宋"/>
                <w:highlight w:val="none"/>
              </w:rPr>
            </w:pPr>
            <w:r>
              <w:rPr>
                <w:rFonts w:hint="eastAsia" w:ascii="仿宋" w:hAnsi="仿宋" w:eastAsia="仿宋" w:cs="仿宋"/>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877" w:type="dxa"/>
            <w:vMerge w:val="restart"/>
            <w:shd w:val="clear" w:color="auto" w:fill="auto"/>
            <w:vAlign w:val="center"/>
          </w:tcPr>
          <w:p>
            <w:pPr>
              <w:spacing w:line="360" w:lineRule="exact"/>
              <w:jc w:val="center"/>
              <w:rPr>
                <w:rFonts w:ascii="仿宋" w:hAnsi="仿宋" w:eastAsia="仿宋" w:cs="仿宋"/>
                <w:highlight w:val="none"/>
              </w:rPr>
            </w:pPr>
            <w:r>
              <w:rPr>
                <w:rFonts w:hint="eastAsia" w:ascii="仿宋" w:hAnsi="仿宋" w:eastAsia="仿宋" w:cs="仿宋"/>
                <w:highlight w:val="none"/>
              </w:rPr>
              <w:t>采购管理</w:t>
            </w:r>
          </w:p>
          <w:p>
            <w:pPr>
              <w:spacing w:line="360" w:lineRule="exact"/>
              <w:jc w:val="center"/>
              <w:rPr>
                <w:rFonts w:ascii="仿宋" w:hAnsi="仿宋" w:eastAsia="仿宋" w:cs="仿宋"/>
                <w:highlight w:val="none"/>
              </w:rPr>
            </w:pPr>
            <w:r>
              <w:rPr>
                <w:rFonts w:hint="eastAsia" w:ascii="仿宋" w:hAnsi="仿宋" w:eastAsia="仿宋" w:cs="仿宋"/>
                <w:highlight w:val="none"/>
              </w:rPr>
              <w:t>服务</w:t>
            </w:r>
          </w:p>
        </w:tc>
        <w:tc>
          <w:tcPr>
            <w:tcW w:w="1449" w:type="dxa"/>
            <w:shd w:val="clear" w:color="auto" w:fill="auto"/>
            <w:vAlign w:val="center"/>
          </w:tcPr>
          <w:p>
            <w:pPr>
              <w:spacing w:line="360" w:lineRule="exact"/>
              <w:jc w:val="center"/>
              <w:rPr>
                <w:rFonts w:ascii="仿宋" w:hAnsi="仿宋" w:eastAsia="仿宋" w:cs="仿宋"/>
                <w:highlight w:val="none"/>
              </w:rPr>
            </w:pPr>
            <w:r>
              <w:rPr>
                <w:rFonts w:hint="eastAsia" w:ascii="仿宋" w:hAnsi="仿宋" w:eastAsia="仿宋" w:cs="仿宋"/>
                <w:highlight w:val="none"/>
              </w:rPr>
              <w:t>货物验收</w:t>
            </w:r>
          </w:p>
        </w:tc>
        <w:tc>
          <w:tcPr>
            <w:tcW w:w="6193" w:type="dxa"/>
            <w:shd w:val="clear" w:color="auto" w:fill="auto"/>
            <w:vAlign w:val="center"/>
          </w:tcPr>
          <w:p>
            <w:pPr>
              <w:numPr>
                <w:ilvl w:val="0"/>
                <w:numId w:val="2"/>
              </w:numPr>
              <w:spacing w:line="360" w:lineRule="exact"/>
              <w:rPr>
                <w:rFonts w:ascii="仿宋" w:hAnsi="仿宋" w:eastAsia="仿宋" w:cs="仿宋"/>
                <w:highlight w:val="none"/>
              </w:rPr>
            </w:pPr>
            <w:r>
              <w:rPr>
                <w:rFonts w:hint="eastAsia" w:ascii="仿宋" w:hAnsi="仿宋" w:eastAsia="仿宋" w:cs="仿宋"/>
                <w:highlight w:val="none"/>
              </w:rPr>
              <w:t>制定规范的进货验收制度，严格验收食堂采购的各类食材，不得接受：有毒、有害、腐烂、酸败、生虫、污秽不洁、混有异物或者其他感官性状异常的食品；无品名、产地、生产厂商、生产日期、批号或者代号、规格、配方或者主要成份、保质期限、食用或使用方法等标识的定型包装食品和食品添加剂；无检验合格证明的肉类食品或注水、掺水肉禽；国家明令禁止的野生动植物；使用食品的农药残留量不得超过国家规定标准（提倡使用绿色食品等食材）；来源不明的食品，禁止使用超过保质期或腐败变质的食品。</w:t>
            </w:r>
          </w:p>
          <w:p>
            <w:pPr>
              <w:numPr>
                <w:ilvl w:val="0"/>
                <w:numId w:val="2"/>
              </w:numPr>
              <w:spacing w:line="360" w:lineRule="exact"/>
              <w:rPr>
                <w:rFonts w:ascii="仿宋" w:hAnsi="仿宋" w:eastAsia="仿宋" w:cs="仿宋"/>
                <w:highlight w:val="none"/>
              </w:rPr>
            </w:pPr>
            <w:r>
              <w:rPr>
                <w:rFonts w:hint="eastAsia" w:ascii="仿宋" w:hAnsi="仿宋" w:eastAsia="仿宋" w:cs="仿宋"/>
                <w:highlight w:val="none"/>
              </w:rPr>
              <w:t>验收人员要专业、专职，责任心强，验收要有记录，保存被验资料以被查验，确保食品安全、优质绿色。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877" w:type="dxa"/>
            <w:vMerge w:val="continue"/>
            <w:shd w:val="clear" w:color="auto" w:fill="auto"/>
            <w:vAlign w:val="center"/>
          </w:tcPr>
          <w:p>
            <w:pPr>
              <w:spacing w:line="360" w:lineRule="exact"/>
              <w:jc w:val="center"/>
              <w:rPr>
                <w:rFonts w:ascii="仿宋" w:hAnsi="仿宋" w:eastAsia="仿宋" w:cs="仿宋"/>
                <w:highlight w:val="none"/>
              </w:rPr>
            </w:pPr>
          </w:p>
        </w:tc>
        <w:tc>
          <w:tcPr>
            <w:tcW w:w="1449" w:type="dxa"/>
            <w:shd w:val="clear" w:color="auto" w:fill="auto"/>
            <w:vAlign w:val="center"/>
          </w:tcPr>
          <w:p>
            <w:pPr>
              <w:spacing w:line="360" w:lineRule="exact"/>
              <w:jc w:val="center"/>
              <w:rPr>
                <w:rFonts w:ascii="仿宋" w:hAnsi="仿宋" w:eastAsia="仿宋" w:cs="仿宋"/>
                <w:highlight w:val="none"/>
              </w:rPr>
            </w:pPr>
            <w:r>
              <w:rPr>
                <w:rFonts w:hint="eastAsia" w:ascii="仿宋" w:hAnsi="仿宋" w:eastAsia="仿宋" w:cs="仿宋"/>
                <w:highlight w:val="none"/>
              </w:rPr>
              <w:t>原材料、食品及调味品的储存</w:t>
            </w:r>
          </w:p>
        </w:tc>
        <w:tc>
          <w:tcPr>
            <w:tcW w:w="6193" w:type="dxa"/>
            <w:shd w:val="clear" w:color="auto" w:fill="auto"/>
            <w:vAlign w:val="center"/>
          </w:tcPr>
          <w:p>
            <w:pPr>
              <w:numPr>
                <w:ilvl w:val="0"/>
                <w:numId w:val="3"/>
              </w:numPr>
              <w:spacing w:line="360" w:lineRule="exact"/>
              <w:rPr>
                <w:rFonts w:ascii="仿宋" w:hAnsi="仿宋" w:eastAsia="仿宋" w:cs="仿宋"/>
                <w:highlight w:val="none"/>
              </w:rPr>
            </w:pPr>
            <w:r>
              <w:rPr>
                <w:rFonts w:hint="eastAsia" w:ascii="仿宋" w:hAnsi="仿宋" w:eastAsia="仿宋" w:cs="仿宋"/>
                <w:highlight w:val="none"/>
              </w:rPr>
              <w:t>食品要按规定妥善保管、分类保存，半成品与原料存放，生熟严格分开。</w:t>
            </w:r>
          </w:p>
          <w:p>
            <w:pPr>
              <w:numPr>
                <w:ilvl w:val="0"/>
                <w:numId w:val="3"/>
              </w:numPr>
              <w:spacing w:line="360" w:lineRule="exact"/>
              <w:rPr>
                <w:rFonts w:ascii="仿宋" w:hAnsi="仿宋" w:eastAsia="仿宋" w:cs="仿宋"/>
                <w:highlight w:val="none"/>
              </w:rPr>
            </w:pPr>
            <w:r>
              <w:rPr>
                <w:rFonts w:hint="eastAsia" w:ascii="仿宋" w:hAnsi="仿宋" w:eastAsia="仿宋" w:cs="仿宋"/>
                <w:highlight w:val="none"/>
              </w:rPr>
              <w:t>冰箱或冷库由专人负责检查定期化霜，保持霜薄气足，使其无异味、臭味。</w:t>
            </w:r>
          </w:p>
          <w:p>
            <w:pPr>
              <w:numPr>
                <w:ilvl w:val="0"/>
                <w:numId w:val="3"/>
              </w:numPr>
              <w:spacing w:line="360" w:lineRule="exact"/>
              <w:rPr>
                <w:rFonts w:ascii="仿宋" w:hAnsi="仿宋" w:eastAsia="仿宋" w:cs="仿宋"/>
                <w:highlight w:val="none"/>
              </w:rPr>
            </w:pPr>
            <w:r>
              <w:rPr>
                <w:rFonts w:hint="eastAsia" w:ascii="仿宋" w:hAnsi="仿宋" w:eastAsia="仿宋" w:cs="仿宋"/>
                <w:highlight w:val="none"/>
              </w:rPr>
              <w:t>需特别注意食品、调味品的有效期，按期使用（先进先出），保证质量，防止浪费。</w:t>
            </w:r>
          </w:p>
          <w:p>
            <w:pPr>
              <w:numPr>
                <w:ilvl w:val="0"/>
                <w:numId w:val="3"/>
              </w:numPr>
              <w:spacing w:line="360" w:lineRule="exact"/>
              <w:rPr>
                <w:rFonts w:ascii="仿宋" w:hAnsi="仿宋" w:eastAsia="仿宋" w:cs="仿宋"/>
                <w:highlight w:val="none"/>
              </w:rPr>
            </w:pPr>
            <w:r>
              <w:rPr>
                <w:rFonts w:hint="eastAsia" w:ascii="仿宋" w:hAnsi="仿宋" w:eastAsia="仿宋" w:cs="仿宋"/>
                <w:highlight w:val="none"/>
              </w:rPr>
              <w:t>食品不得与非食品一起存放，已变质或不新鲜的食品、调味品不得放入库或冰箱内，私人食品不准放入冰箱或冷库。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trPr>
        <w:tc>
          <w:tcPr>
            <w:tcW w:w="877" w:type="dxa"/>
            <w:vMerge w:val="continue"/>
            <w:shd w:val="clear" w:color="auto" w:fill="auto"/>
            <w:vAlign w:val="center"/>
          </w:tcPr>
          <w:p>
            <w:pPr>
              <w:spacing w:line="360" w:lineRule="exact"/>
              <w:jc w:val="center"/>
              <w:rPr>
                <w:rFonts w:ascii="仿宋" w:hAnsi="仿宋" w:eastAsia="仿宋" w:cs="仿宋"/>
                <w:highlight w:val="none"/>
              </w:rPr>
            </w:pPr>
          </w:p>
        </w:tc>
        <w:tc>
          <w:tcPr>
            <w:tcW w:w="1449" w:type="dxa"/>
            <w:shd w:val="clear" w:color="auto" w:fill="auto"/>
            <w:vAlign w:val="center"/>
          </w:tcPr>
          <w:p>
            <w:pPr>
              <w:spacing w:line="360" w:lineRule="exact"/>
              <w:jc w:val="center"/>
              <w:rPr>
                <w:rFonts w:ascii="仿宋" w:hAnsi="仿宋" w:eastAsia="仿宋" w:cs="仿宋"/>
                <w:highlight w:val="none"/>
              </w:rPr>
            </w:pPr>
            <w:r>
              <w:rPr>
                <w:rFonts w:hint="eastAsia" w:ascii="仿宋" w:hAnsi="仿宋" w:eastAsia="仿宋" w:cs="仿宋"/>
                <w:highlight w:val="none"/>
              </w:rPr>
              <w:t>收费结算系统</w:t>
            </w:r>
          </w:p>
        </w:tc>
        <w:tc>
          <w:tcPr>
            <w:tcW w:w="6193" w:type="dxa"/>
            <w:shd w:val="clear" w:color="auto" w:fill="auto"/>
            <w:vAlign w:val="center"/>
          </w:tcPr>
          <w:p>
            <w:pPr>
              <w:numPr>
                <w:ilvl w:val="0"/>
                <w:numId w:val="4"/>
              </w:numPr>
              <w:spacing w:line="360" w:lineRule="exact"/>
              <w:rPr>
                <w:rFonts w:ascii="仿宋" w:hAnsi="仿宋" w:eastAsia="仿宋" w:cs="仿宋"/>
                <w:highlight w:val="none"/>
              </w:rPr>
            </w:pPr>
            <w:r>
              <w:rPr>
                <w:rFonts w:hint="eastAsia" w:ascii="仿宋" w:hAnsi="仿宋" w:eastAsia="仿宋" w:cs="仿宋"/>
                <w:highlight w:val="none"/>
              </w:rPr>
              <w:t>应指定专人负责食堂日常管理工作，以及</w:t>
            </w:r>
            <w:r>
              <w:rPr>
                <w:rFonts w:hint="eastAsia" w:ascii="仿宋" w:hAnsi="仿宋" w:eastAsia="仿宋" w:cs="仿宋"/>
                <w:highlight w:val="none"/>
                <w:lang w:eastAsia="zh-CN"/>
              </w:rPr>
              <w:t>用餐收费</w:t>
            </w:r>
            <w:r>
              <w:rPr>
                <w:rFonts w:hint="eastAsia" w:ascii="仿宋" w:hAnsi="仿宋" w:eastAsia="仿宋" w:cs="仿宋"/>
                <w:highlight w:val="none"/>
              </w:rPr>
              <w:t>的结算工作，按规定做好食品各类</w:t>
            </w:r>
            <w:r>
              <w:rPr>
                <w:rFonts w:hint="eastAsia" w:ascii="仿宋" w:hAnsi="仿宋" w:eastAsia="仿宋" w:cs="仿宋"/>
                <w:highlight w:val="none"/>
                <w:lang w:eastAsia="zh-CN"/>
              </w:rPr>
              <w:t>记录</w:t>
            </w:r>
            <w:r>
              <w:rPr>
                <w:rFonts w:hint="eastAsia" w:ascii="仿宋" w:hAnsi="仿宋" w:eastAsia="仿宋" w:cs="仿宋"/>
                <w:highlight w:val="none"/>
              </w:rPr>
              <w:t>。每月分析食堂成本、运行情况</w:t>
            </w:r>
            <w:r>
              <w:rPr>
                <w:rFonts w:hint="eastAsia" w:ascii="仿宋" w:hAnsi="仿宋" w:eastAsia="仿宋" w:cs="仿宋"/>
                <w:highlight w:val="none"/>
                <w:lang w:eastAsia="zh-CN"/>
              </w:rPr>
              <w:t>，</w:t>
            </w:r>
            <w:r>
              <w:rPr>
                <w:rFonts w:hint="eastAsia" w:ascii="仿宋" w:hAnsi="仿宋" w:eastAsia="仿宋" w:cs="仿宋"/>
                <w:highlight w:val="none"/>
              </w:rPr>
              <w:t>交招标人主管部门审核。</w:t>
            </w:r>
            <w:r>
              <w:rPr>
                <w:rFonts w:hint="eastAsia" w:ascii="仿宋" w:hAnsi="仿宋" w:eastAsia="仿宋" w:cs="仿宋"/>
                <w:highlight w:val="none"/>
                <w:lang w:eastAsia="zh-CN"/>
              </w:rPr>
              <w:t>智能计价结算系统</w:t>
            </w:r>
          </w:p>
          <w:p>
            <w:pPr>
              <w:numPr>
                <w:ilvl w:val="0"/>
                <w:numId w:val="4"/>
              </w:numPr>
              <w:spacing w:line="360" w:lineRule="exact"/>
              <w:rPr>
                <w:rFonts w:ascii="仿宋" w:hAnsi="仿宋" w:eastAsia="仿宋" w:cs="仿宋"/>
                <w:highlight w:val="none"/>
              </w:rPr>
            </w:pPr>
            <w:r>
              <w:rPr>
                <w:rFonts w:hint="eastAsia" w:ascii="仿宋" w:hAnsi="仿宋" w:eastAsia="仿宋" w:cs="仿宋"/>
                <w:highlight w:val="none"/>
              </w:rPr>
              <w:t>妥善保管各类原始凭证，以备招标人主管部门审核。</w:t>
            </w:r>
          </w:p>
          <w:p>
            <w:pPr>
              <w:numPr>
                <w:ilvl w:val="0"/>
                <w:numId w:val="4"/>
              </w:numPr>
              <w:spacing w:line="360" w:lineRule="exact"/>
              <w:rPr>
                <w:rFonts w:ascii="仿宋" w:hAnsi="仿宋" w:eastAsia="仿宋" w:cs="仿宋"/>
                <w:highlight w:val="none"/>
              </w:rPr>
            </w:pPr>
            <w:r>
              <w:rPr>
                <w:rFonts w:hint="eastAsia" w:ascii="仿宋" w:hAnsi="仿宋" w:eastAsia="仿宋" w:cs="仿宋"/>
                <w:highlight w:val="none"/>
              </w:rPr>
              <w:t>管理人员应每日制作当天餐饮原材料消耗、明天餐饮原材料购买清单，以备招标人主管部门审核。</w:t>
            </w:r>
          </w:p>
          <w:p>
            <w:pPr>
              <w:numPr>
                <w:ilvl w:val="0"/>
                <w:numId w:val="4"/>
              </w:numPr>
              <w:spacing w:line="360" w:lineRule="exact"/>
              <w:rPr>
                <w:rFonts w:ascii="仿宋" w:hAnsi="仿宋" w:eastAsia="仿宋" w:cs="仿宋"/>
                <w:highlight w:val="none"/>
              </w:rPr>
            </w:pPr>
            <w:r>
              <w:rPr>
                <w:rFonts w:hint="eastAsia" w:ascii="仿宋" w:hAnsi="仿宋" w:eastAsia="仿宋" w:cs="仿宋"/>
                <w:highlight w:val="none"/>
              </w:rPr>
              <w:t>协助招标人对</w:t>
            </w:r>
            <w:r>
              <w:rPr>
                <w:rFonts w:hint="eastAsia" w:ascii="仿宋" w:hAnsi="仿宋" w:eastAsia="仿宋" w:cs="仿宋"/>
                <w:highlight w:val="none"/>
                <w:lang w:eastAsia="zh-CN"/>
              </w:rPr>
              <w:t>用餐收费</w:t>
            </w:r>
            <w:r>
              <w:rPr>
                <w:rFonts w:hint="eastAsia" w:ascii="仿宋" w:hAnsi="仿宋" w:eastAsia="仿宋" w:cs="仿宋"/>
                <w:highlight w:val="none"/>
              </w:rPr>
              <w:t>系统的维护工作和监督工作。</w:t>
            </w:r>
          </w:p>
          <w:p>
            <w:pPr>
              <w:numPr>
                <w:ilvl w:val="0"/>
                <w:numId w:val="4"/>
              </w:numPr>
              <w:spacing w:line="360" w:lineRule="exact"/>
              <w:rPr>
                <w:rFonts w:ascii="仿宋" w:hAnsi="仿宋" w:eastAsia="仿宋" w:cs="仿宋"/>
                <w:highlight w:val="none"/>
              </w:rPr>
            </w:pPr>
            <w:r>
              <w:rPr>
                <w:rFonts w:hint="eastAsia" w:ascii="仿宋" w:hAnsi="仿宋" w:eastAsia="仿宋" w:cs="仿宋"/>
                <w:highlight w:val="none"/>
              </w:rPr>
              <w:t>做好成本控制与核算工作。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877" w:type="dxa"/>
            <w:vMerge w:val="restart"/>
            <w:shd w:val="clear" w:color="auto" w:fill="auto"/>
            <w:vAlign w:val="center"/>
          </w:tcPr>
          <w:p>
            <w:pPr>
              <w:spacing w:line="360" w:lineRule="exact"/>
              <w:jc w:val="center"/>
              <w:rPr>
                <w:rFonts w:ascii="仿宋" w:hAnsi="仿宋" w:eastAsia="仿宋" w:cs="仿宋"/>
                <w:highlight w:val="none"/>
              </w:rPr>
            </w:pPr>
            <w:r>
              <w:rPr>
                <w:rFonts w:hint="eastAsia" w:ascii="仿宋" w:hAnsi="仿宋" w:eastAsia="仿宋" w:cs="仿宋"/>
                <w:highlight w:val="none"/>
              </w:rPr>
              <w:t>供餐方式与（1）品种组合</w:t>
            </w:r>
          </w:p>
        </w:tc>
        <w:tc>
          <w:tcPr>
            <w:tcW w:w="1449" w:type="dxa"/>
            <w:shd w:val="clear" w:color="auto" w:fill="auto"/>
            <w:vAlign w:val="center"/>
          </w:tcPr>
          <w:p>
            <w:pPr>
              <w:spacing w:line="360" w:lineRule="exact"/>
              <w:jc w:val="center"/>
              <w:rPr>
                <w:rFonts w:ascii="仿宋" w:hAnsi="仿宋" w:eastAsia="仿宋" w:cs="仿宋"/>
                <w:highlight w:val="none"/>
              </w:rPr>
            </w:pPr>
            <w:r>
              <w:rPr>
                <w:rFonts w:hint="eastAsia" w:ascii="仿宋" w:hAnsi="仿宋" w:eastAsia="仿宋" w:cs="仿宋"/>
                <w:highlight w:val="none"/>
              </w:rPr>
              <w:t>总体要求</w:t>
            </w:r>
          </w:p>
        </w:tc>
        <w:tc>
          <w:tcPr>
            <w:tcW w:w="6193" w:type="dxa"/>
            <w:shd w:val="clear" w:color="auto" w:fill="auto"/>
          </w:tcPr>
          <w:p>
            <w:pPr>
              <w:numPr>
                <w:ilvl w:val="0"/>
                <w:numId w:val="5"/>
              </w:numPr>
              <w:spacing w:line="360" w:lineRule="exact"/>
              <w:rPr>
                <w:rFonts w:ascii="仿宋" w:hAnsi="仿宋" w:eastAsia="仿宋" w:cs="仿宋"/>
                <w:highlight w:val="none"/>
              </w:rPr>
            </w:pPr>
            <w:r>
              <w:rPr>
                <w:rFonts w:hint="eastAsia" w:ascii="仿宋" w:hAnsi="仿宋" w:eastAsia="仿宋" w:cs="仿宋"/>
                <w:highlight w:val="none"/>
              </w:rPr>
              <w:t>按市场监督管理局要求，每餐做好留样封存。</w:t>
            </w:r>
          </w:p>
          <w:p>
            <w:pPr>
              <w:numPr>
                <w:ilvl w:val="0"/>
                <w:numId w:val="5"/>
              </w:numPr>
              <w:spacing w:line="360" w:lineRule="exact"/>
              <w:rPr>
                <w:rFonts w:ascii="仿宋" w:hAnsi="仿宋" w:eastAsia="仿宋" w:cs="仿宋"/>
                <w:highlight w:val="none"/>
              </w:rPr>
            </w:pPr>
            <w:r>
              <w:rPr>
                <w:rFonts w:hint="eastAsia" w:ascii="仿宋" w:hAnsi="仿宋" w:eastAsia="仿宋" w:cs="仿宋"/>
                <w:highlight w:val="none"/>
              </w:rPr>
              <w:t>根据菜肴的特色和成菜要求，合理配菜、搭配营养，符合色、形、质、养、器的配菜原则，准确调味并选用正确的烹饪方法合理烹饪，使之成熟度达到规定的质量要求。</w:t>
            </w:r>
          </w:p>
          <w:p>
            <w:pPr>
              <w:numPr>
                <w:ilvl w:val="0"/>
                <w:numId w:val="5"/>
              </w:numPr>
              <w:spacing w:line="360" w:lineRule="exact"/>
              <w:rPr>
                <w:rFonts w:ascii="仿宋" w:hAnsi="仿宋" w:eastAsia="仿宋" w:cs="仿宋"/>
                <w:highlight w:val="none"/>
              </w:rPr>
            </w:pPr>
            <w:r>
              <w:rPr>
                <w:rFonts w:hint="eastAsia" w:ascii="仿宋" w:hAnsi="仿宋" w:eastAsia="仿宋" w:cs="仿宋"/>
                <w:highlight w:val="none"/>
              </w:rPr>
              <w:t>菜肴的荤素搭配合理，每天不重复，每周重复率不高于15%。</w:t>
            </w:r>
          </w:p>
          <w:p>
            <w:pPr>
              <w:numPr>
                <w:ilvl w:val="0"/>
                <w:numId w:val="5"/>
              </w:numPr>
              <w:spacing w:line="360" w:lineRule="exact"/>
              <w:rPr>
                <w:rFonts w:ascii="仿宋" w:hAnsi="仿宋" w:eastAsia="仿宋" w:cs="仿宋"/>
                <w:highlight w:val="none"/>
              </w:rPr>
            </w:pPr>
            <w:r>
              <w:rPr>
                <w:rFonts w:hint="eastAsia" w:ascii="仿宋" w:hAnsi="仿宋" w:eastAsia="仿宋" w:cs="仿宋"/>
                <w:highlight w:val="none"/>
              </w:rPr>
              <w:t>根据季节变化和招标人反馈信息、意见，及时更换菜肴的口味、调整食品品种。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77" w:type="dxa"/>
            <w:vMerge w:val="continue"/>
            <w:shd w:val="clear" w:color="auto" w:fill="auto"/>
            <w:vAlign w:val="center"/>
          </w:tcPr>
          <w:p>
            <w:pPr>
              <w:spacing w:line="360" w:lineRule="exact"/>
              <w:jc w:val="center"/>
              <w:rPr>
                <w:rFonts w:ascii="仿宋" w:hAnsi="仿宋" w:eastAsia="仿宋" w:cs="仿宋"/>
                <w:highlight w:val="none"/>
              </w:rPr>
            </w:pPr>
          </w:p>
        </w:tc>
        <w:tc>
          <w:tcPr>
            <w:tcW w:w="1449" w:type="dxa"/>
            <w:shd w:val="clear" w:color="auto" w:fill="auto"/>
            <w:vAlign w:val="center"/>
          </w:tcPr>
          <w:p>
            <w:pPr>
              <w:spacing w:line="360" w:lineRule="exact"/>
              <w:jc w:val="center"/>
              <w:rPr>
                <w:rFonts w:ascii="仿宋" w:hAnsi="仿宋" w:eastAsia="仿宋" w:cs="仿宋"/>
                <w:highlight w:val="none"/>
              </w:rPr>
            </w:pPr>
            <w:r>
              <w:rPr>
                <w:rFonts w:hint="eastAsia" w:ascii="仿宋" w:hAnsi="仿宋" w:eastAsia="仿宋" w:cs="仿宋"/>
                <w:highlight w:val="none"/>
              </w:rPr>
              <w:t>早餐提供服务</w:t>
            </w:r>
          </w:p>
        </w:tc>
        <w:tc>
          <w:tcPr>
            <w:tcW w:w="6193" w:type="dxa"/>
            <w:shd w:val="clear" w:color="auto" w:fill="auto"/>
          </w:tcPr>
          <w:p>
            <w:pPr>
              <w:numPr>
                <w:ilvl w:val="0"/>
                <w:numId w:val="6"/>
              </w:numPr>
              <w:spacing w:line="360" w:lineRule="exact"/>
              <w:rPr>
                <w:rFonts w:ascii="仿宋" w:hAnsi="仿宋" w:eastAsia="仿宋" w:cs="仿宋"/>
                <w:highlight w:val="none"/>
              </w:rPr>
            </w:pPr>
            <w:r>
              <w:rPr>
                <w:rFonts w:hint="eastAsia" w:ascii="仿宋" w:hAnsi="仿宋" w:eastAsia="仿宋" w:cs="仿宋"/>
                <w:highlight w:val="none"/>
              </w:rPr>
              <w:t>就餐人数：400人次/天。</w:t>
            </w:r>
          </w:p>
          <w:p>
            <w:pPr>
              <w:numPr>
                <w:ilvl w:val="0"/>
                <w:numId w:val="6"/>
              </w:numPr>
              <w:spacing w:line="360" w:lineRule="exact"/>
              <w:rPr>
                <w:rFonts w:ascii="仿宋" w:hAnsi="仿宋" w:eastAsia="仿宋" w:cs="仿宋"/>
                <w:highlight w:val="none"/>
              </w:rPr>
            </w:pPr>
            <w:r>
              <w:rPr>
                <w:rFonts w:hint="eastAsia" w:ascii="仿宋" w:hAnsi="仿宋" w:eastAsia="仿宋" w:cs="仿宋"/>
                <w:highlight w:val="none"/>
              </w:rPr>
              <w:t>饭菜种类：各类面点、汤粥、干点、小炒菜等不少于16个品种。</w:t>
            </w:r>
          </w:p>
          <w:p>
            <w:pPr>
              <w:numPr>
                <w:ilvl w:val="0"/>
                <w:numId w:val="6"/>
              </w:numPr>
              <w:spacing w:line="360" w:lineRule="exact"/>
              <w:rPr>
                <w:rFonts w:ascii="仿宋" w:hAnsi="仿宋" w:eastAsia="仿宋" w:cs="仿宋"/>
                <w:highlight w:val="none"/>
              </w:rPr>
            </w:pPr>
            <w:r>
              <w:rPr>
                <w:rFonts w:hint="eastAsia" w:ascii="仿宋" w:hAnsi="仿宋" w:eastAsia="仿宋" w:cs="仿宋"/>
                <w:highlight w:val="none"/>
              </w:rPr>
              <w:t>服务方式：开设不少于2个服务窗口。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77" w:type="dxa"/>
            <w:vMerge w:val="continue"/>
            <w:shd w:val="clear" w:color="auto" w:fill="auto"/>
            <w:vAlign w:val="center"/>
          </w:tcPr>
          <w:p>
            <w:pPr>
              <w:spacing w:line="360" w:lineRule="exact"/>
              <w:rPr>
                <w:rFonts w:ascii="仿宋" w:hAnsi="仿宋" w:eastAsia="仿宋" w:cs="仿宋"/>
                <w:highlight w:val="none"/>
              </w:rPr>
            </w:pPr>
            <w:r>
              <w:rPr>
                <w:rFonts w:hint="eastAsia" w:ascii="仿宋" w:hAnsi="仿宋" w:eastAsia="仿宋" w:cs="仿宋"/>
                <w:highlight w:val="none"/>
              </w:rPr>
              <w:t>AN</w:t>
            </w:r>
          </w:p>
        </w:tc>
        <w:tc>
          <w:tcPr>
            <w:tcW w:w="1449" w:type="dxa"/>
            <w:shd w:val="clear" w:color="auto" w:fill="auto"/>
            <w:vAlign w:val="center"/>
          </w:tcPr>
          <w:p>
            <w:pPr>
              <w:spacing w:line="360" w:lineRule="exact"/>
              <w:jc w:val="center"/>
              <w:rPr>
                <w:rFonts w:ascii="仿宋" w:hAnsi="仿宋" w:eastAsia="仿宋" w:cs="仿宋"/>
                <w:highlight w:val="none"/>
              </w:rPr>
            </w:pPr>
            <w:r>
              <w:rPr>
                <w:rFonts w:hint="eastAsia" w:ascii="仿宋" w:hAnsi="仿宋" w:eastAsia="仿宋" w:cs="仿宋"/>
                <w:highlight w:val="none"/>
              </w:rPr>
              <w:t>午餐提供服务</w:t>
            </w:r>
          </w:p>
        </w:tc>
        <w:tc>
          <w:tcPr>
            <w:tcW w:w="6193" w:type="dxa"/>
            <w:shd w:val="clear" w:color="auto" w:fill="auto"/>
          </w:tcPr>
          <w:p>
            <w:pPr>
              <w:numPr>
                <w:ilvl w:val="0"/>
                <w:numId w:val="7"/>
              </w:numPr>
              <w:spacing w:line="360" w:lineRule="exact"/>
              <w:rPr>
                <w:rFonts w:ascii="仿宋" w:hAnsi="仿宋" w:eastAsia="仿宋" w:cs="仿宋"/>
                <w:highlight w:val="none"/>
              </w:rPr>
            </w:pPr>
            <w:r>
              <w:rPr>
                <w:rFonts w:hint="eastAsia" w:ascii="仿宋" w:hAnsi="仿宋" w:eastAsia="仿宋" w:cs="仿宋"/>
                <w:highlight w:val="none"/>
              </w:rPr>
              <w:t>就餐人数：1300人次/天。</w:t>
            </w:r>
          </w:p>
          <w:p>
            <w:pPr>
              <w:spacing w:line="360" w:lineRule="exact"/>
              <w:rPr>
                <w:rFonts w:ascii="仿宋" w:hAnsi="仿宋" w:eastAsia="仿宋" w:cs="仿宋"/>
                <w:highlight w:val="none"/>
              </w:rPr>
            </w:pPr>
            <w:r>
              <w:rPr>
                <w:rFonts w:hint="eastAsia" w:ascii="仿宋" w:hAnsi="仿宋" w:eastAsia="仿宋" w:cs="仿宋"/>
                <w:highlight w:val="none"/>
              </w:rPr>
              <w:t>饭菜种类：一楼餐厅提供大荤、小荤、素菜等不得少于1</w:t>
            </w:r>
            <w:r>
              <w:rPr>
                <w:rFonts w:hint="eastAsia" w:ascii="仿宋" w:hAnsi="仿宋" w:eastAsia="仿宋" w:cs="仿宋"/>
                <w:highlight w:val="none"/>
                <w:lang w:val="en-US" w:eastAsia="zh-CN"/>
              </w:rPr>
              <w:t>2</w:t>
            </w:r>
            <w:r>
              <w:rPr>
                <w:rFonts w:hint="eastAsia" w:ascii="仿宋" w:hAnsi="仿宋" w:eastAsia="仿宋" w:cs="仿宋"/>
                <w:highlight w:val="none"/>
              </w:rPr>
              <w:t>个品种：大荤4~5个、小荤4~5个、素菜4~5个、米饭、汤、水果或酸奶。二楼餐厅提供套餐饭、面点、砂锅、麻辣烫和风味小食等。</w:t>
            </w:r>
          </w:p>
          <w:p>
            <w:pPr>
              <w:numPr>
                <w:ilvl w:val="0"/>
                <w:numId w:val="7"/>
              </w:numPr>
              <w:spacing w:line="360" w:lineRule="exact"/>
              <w:rPr>
                <w:rFonts w:ascii="仿宋" w:hAnsi="仿宋" w:eastAsia="仿宋" w:cs="仿宋"/>
                <w:highlight w:val="none"/>
              </w:rPr>
            </w:pPr>
            <w:r>
              <w:rPr>
                <w:rFonts w:hint="eastAsia" w:ascii="仿宋" w:hAnsi="仿宋" w:eastAsia="仿宋" w:cs="仿宋"/>
                <w:highlight w:val="none"/>
              </w:rPr>
              <w:t>服务方式：开设</w:t>
            </w:r>
            <w:r>
              <w:rPr>
                <w:rFonts w:hint="eastAsia" w:ascii="仿宋" w:hAnsi="仿宋" w:eastAsia="仿宋" w:cs="仿宋"/>
                <w:highlight w:val="none"/>
                <w:lang w:val="en-US" w:eastAsia="zh-CN"/>
              </w:rPr>
              <w:t>7</w:t>
            </w:r>
            <w:r>
              <w:rPr>
                <w:rFonts w:hint="eastAsia" w:ascii="仿宋" w:hAnsi="仿宋" w:eastAsia="仿宋" w:cs="仿宋"/>
                <w:highlight w:val="none"/>
              </w:rPr>
              <w:t>个服务窗口（面点1个、套餐1个、风味小食1个、自选2个）。</w:t>
            </w:r>
          </w:p>
          <w:p>
            <w:pPr>
              <w:numPr>
                <w:ilvl w:val="0"/>
                <w:numId w:val="7"/>
              </w:numPr>
              <w:spacing w:line="360" w:lineRule="exact"/>
              <w:rPr>
                <w:rFonts w:ascii="仿宋" w:hAnsi="仿宋" w:eastAsia="仿宋" w:cs="仿宋"/>
                <w:highlight w:val="none"/>
              </w:rPr>
            </w:pPr>
            <w:r>
              <w:rPr>
                <w:rFonts w:hint="eastAsia" w:ascii="仿宋" w:hAnsi="仿宋" w:eastAsia="仿宋" w:cs="仿宋"/>
                <w:highlight w:val="none"/>
              </w:rPr>
              <w:t>其他：应具备临时应急供餐的能力。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77" w:type="dxa"/>
            <w:vMerge w:val="continue"/>
            <w:shd w:val="clear" w:color="auto" w:fill="auto"/>
          </w:tcPr>
          <w:p>
            <w:pPr>
              <w:spacing w:line="360" w:lineRule="exact"/>
              <w:rPr>
                <w:rFonts w:ascii="仿宋" w:hAnsi="仿宋" w:eastAsia="仿宋" w:cs="仿宋"/>
                <w:highlight w:val="none"/>
              </w:rPr>
            </w:pPr>
          </w:p>
        </w:tc>
        <w:tc>
          <w:tcPr>
            <w:tcW w:w="1449" w:type="dxa"/>
            <w:shd w:val="clear" w:color="auto" w:fill="auto"/>
            <w:vAlign w:val="center"/>
          </w:tcPr>
          <w:p>
            <w:pPr>
              <w:spacing w:line="360" w:lineRule="exact"/>
              <w:jc w:val="center"/>
              <w:rPr>
                <w:rFonts w:ascii="仿宋" w:hAnsi="仿宋" w:eastAsia="仿宋" w:cs="仿宋"/>
                <w:highlight w:val="none"/>
              </w:rPr>
            </w:pPr>
            <w:r>
              <w:rPr>
                <w:rFonts w:hint="eastAsia" w:ascii="仿宋" w:hAnsi="仿宋" w:eastAsia="仿宋" w:cs="仿宋"/>
                <w:highlight w:val="none"/>
              </w:rPr>
              <w:t>晚餐提供服务</w:t>
            </w:r>
          </w:p>
        </w:tc>
        <w:tc>
          <w:tcPr>
            <w:tcW w:w="6193" w:type="dxa"/>
            <w:shd w:val="clear" w:color="auto" w:fill="auto"/>
          </w:tcPr>
          <w:p>
            <w:pPr>
              <w:numPr>
                <w:ilvl w:val="0"/>
                <w:numId w:val="8"/>
              </w:numPr>
              <w:spacing w:line="360" w:lineRule="exact"/>
              <w:rPr>
                <w:rFonts w:ascii="仿宋" w:hAnsi="仿宋" w:eastAsia="仿宋" w:cs="仿宋"/>
                <w:highlight w:val="none"/>
              </w:rPr>
            </w:pPr>
            <w:r>
              <w:rPr>
                <w:rFonts w:hint="eastAsia" w:ascii="仿宋" w:hAnsi="仿宋" w:eastAsia="仿宋" w:cs="仿宋"/>
                <w:highlight w:val="none"/>
              </w:rPr>
              <w:t>就餐人数：300人次/天。</w:t>
            </w:r>
          </w:p>
          <w:p>
            <w:pPr>
              <w:numPr>
                <w:ilvl w:val="0"/>
                <w:numId w:val="8"/>
              </w:numPr>
              <w:spacing w:line="360" w:lineRule="exact"/>
              <w:rPr>
                <w:rFonts w:ascii="仿宋" w:hAnsi="仿宋" w:eastAsia="仿宋" w:cs="仿宋"/>
                <w:highlight w:val="none"/>
              </w:rPr>
            </w:pPr>
            <w:r>
              <w:rPr>
                <w:rFonts w:hint="eastAsia" w:ascii="仿宋" w:hAnsi="仿宋" w:eastAsia="仿宋" w:cs="仿宋"/>
                <w:highlight w:val="none"/>
              </w:rPr>
              <w:t>饭菜种类：二楼餐厅各类荤素菜肴、面点。</w:t>
            </w:r>
          </w:p>
          <w:p>
            <w:pPr>
              <w:numPr>
                <w:ilvl w:val="0"/>
                <w:numId w:val="8"/>
              </w:numPr>
              <w:spacing w:line="360" w:lineRule="exact"/>
              <w:rPr>
                <w:rFonts w:ascii="仿宋" w:hAnsi="仿宋" w:eastAsia="仿宋" w:cs="仿宋"/>
                <w:highlight w:val="none"/>
              </w:rPr>
            </w:pPr>
            <w:r>
              <w:rPr>
                <w:rFonts w:hint="eastAsia" w:ascii="仿宋" w:hAnsi="仿宋" w:eastAsia="仿宋" w:cs="仿宋"/>
                <w:highlight w:val="none"/>
              </w:rPr>
              <w:t>服务方式：开设不少于2个服务窗口。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77" w:type="dxa"/>
            <w:vMerge w:val="continue"/>
            <w:shd w:val="clear" w:color="auto" w:fill="auto"/>
          </w:tcPr>
          <w:p>
            <w:pPr>
              <w:spacing w:line="360" w:lineRule="exact"/>
              <w:rPr>
                <w:rFonts w:ascii="仿宋" w:hAnsi="仿宋" w:eastAsia="仿宋" w:cs="仿宋"/>
                <w:highlight w:val="none"/>
              </w:rPr>
            </w:pPr>
          </w:p>
        </w:tc>
        <w:tc>
          <w:tcPr>
            <w:tcW w:w="1449" w:type="dxa"/>
            <w:shd w:val="clear" w:color="auto" w:fill="auto"/>
            <w:vAlign w:val="center"/>
          </w:tcPr>
          <w:p>
            <w:pPr>
              <w:spacing w:line="360" w:lineRule="exact"/>
              <w:jc w:val="center"/>
              <w:rPr>
                <w:rFonts w:ascii="仿宋" w:hAnsi="仿宋" w:eastAsia="仿宋" w:cs="仿宋"/>
                <w:highlight w:val="none"/>
              </w:rPr>
            </w:pPr>
            <w:r>
              <w:rPr>
                <w:rFonts w:hint="eastAsia" w:ascii="仿宋" w:hAnsi="仿宋" w:eastAsia="仿宋" w:cs="仿宋"/>
                <w:highlight w:val="none"/>
              </w:rPr>
              <w:t>送餐服务</w:t>
            </w:r>
          </w:p>
        </w:tc>
        <w:tc>
          <w:tcPr>
            <w:tcW w:w="6193" w:type="dxa"/>
            <w:shd w:val="clear" w:color="auto" w:fill="auto"/>
          </w:tcPr>
          <w:p>
            <w:pPr>
              <w:numPr>
                <w:ilvl w:val="0"/>
                <w:numId w:val="9"/>
              </w:numPr>
              <w:spacing w:line="360" w:lineRule="exact"/>
              <w:rPr>
                <w:rFonts w:ascii="仿宋" w:hAnsi="仿宋" w:eastAsia="仿宋" w:cs="仿宋"/>
                <w:highlight w:val="none"/>
              </w:rPr>
            </w:pPr>
            <w:r>
              <w:rPr>
                <w:rFonts w:hint="eastAsia" w:ascii="仿宋" w:hAnsi="仿宋" w:eastAsia="仿宋" w:cs="仿宋"/>
                <w:highlight w:val="none"/>
              </w:rPr>
              <w:t>送餐种类：点心、客饭等。</w:t>
            </w:r>
          </w:p>
          <w:p>
            <w:pPr>
              <w:numPr>
                <w:ilvl w:val="0"/>
                <w:numId w:val="9"/>
              </w:numPr>
              <w:spacing w:line="360" w:lineRule="exact"/>
              <w:rPr>
                <w:rFonts w:ascii="仿宋" w:hAnsi="仿宋" w:eastAsia="仿宋" w:cs="仿宋"/>
                <w:highlight w:val="none"/>
              </w:rPr>
            </w:pPr>
            <w:r>
              <w:rPr>
                <w:rFonts w:hint="eastAsia" w:ascii="仿宋" w:hAnsi="仿宋" w:eastAsia="仿宋" w:cs="仿宋"/>
                <w:highlight w:val="none"/>
              </w:rPr>
              <w:t>服务方式：日常每周一至五中午接受预定、每天下班后领取，开设不少于1个服务窗口。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7" w:type="dxa"/>
            <w:vMerge w:val="continue"/>
            <w:shd w:val="clear" w:color="auto" w:fill="auto"/>
          </w:tcPr>
          <w:p>
            <w:pPr>
              <w:spacing w:line="360" w:lineRule="exact"/>
              <w:rPr>
                <w:rFonts w:ascii="仿宋" w:hAnsi="仿宋" w:eastAsia="仿宋" w:cs="仿宋"/>
                <w:highlight w:val="none"/>
              </w:rPr>
            </w:pPr>
          </w:p>
        </w:tc>
        <w:tc>
          <w:tcPr>
            <w:tcW w:w="1449" w:type="dxa"/>
            <w:shd w:val="clear" w:color="auto" w:fill="auto"/>
            <w:vAlign w:val="center"/>
          </w:tcPr>
          <w:p>
            <w:pPr>
              <w:spacing w:line="360" w:lineRule="exact"/>
              <w:jc w:val="center"/>
              <w:rPr>
                <w:rFonts w:ascii="仿宋" w:hAnsi="仿宋" w:eastAsia="仿宋" w:cs="仿宋"/>
                <w:highlight w:val="none"/>
              </w:rPr>
            </w:pPr>
            <w:r>
              <w:rPr>
                <w:rFonts w:hint="eastAsia" w:ascii="仿宋" w:hAnsi="仿宋" w:eastAsia="仿宋" w:cs="仿宋"/>
                <w:highlight w:val="none"/>
              </w:rPr>
              <w:t>公务接待服务</w:t>
            </w:r>
          </w:p>
        </w:tc>
        <w:tc>
          <w:tcPr>
            <w:tcW w:w="6193" w:type="dxa"/>
            <w:shd w:val="clear" w:color="auto" w:fill="auto"/>
          </w:tcPr>
          <w:p>
            <w:pPr>
              <w:spacing w:line="360" w:lineRule="exact"/>
              <w:rPr>
                <w:rFonts w:ascii="仿宋" w:hAnsi="仿宋" w:eastAsia="仿宋" w:cs="仿宋"/>
                <w:highlight w:val="none"/>
              </w:rPr>
            </w:pPr>
            <w:r>
              <w:rPr>
                <w:rFonts w:hint="eastAsia" w:ascii="仿宋" w:hAnsi="仿宋" w:eastAsia="仿宋" w:cs="仿宋"/>
                <w:highlight w:val="none"/>
              </w:rPr>
              <w:t>根据招标人要求，提供政府相关标准的公务接待、客饭接待服务。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77" w:type="dxa"/>
            <w:vMerge w:val="continue"/>
            <w:shd w:val="clear" w:color="auto" w:fill="auto"/>
          </w:tcPr>
          <w:p>
            <w:pPr>
              <w:spacing w:line="360" w:lineRule="exact"/>
              <w:rPr>
                <w:rFonts w:ascii="仿宋" w:hAnsi="仿宋" w:eastAsia="仿宋" w:cs="仿宋"/>
                <w:highlight w:val="none"/>
              </w:rPr>
            </w:pPr>
          </w:p>
        </w:tc>
        <w:tc>
          <w:tcPr>
            <w:tcW w:w="1449" w:type="dxa"/>
            <w:shd w:val="clear" w:color="auto" w:fill="auto"/>
            <w:vAlign w:val="center"/>
          </w:tcPr>
          <w:p>
            <w:pPr>
              <w:spacing w:line="360" w:lineRule="exact"/>
              <w:jc w:val="center"/>
              <w:rPr>
                <w:rFonts w:ascii="仿宋" w:hAnsi="仿宋" w:eastAsia="仿宋" w:cs="仿宋"/>
                <w:highlight w:val="none"/>
              </w:rPr>
            </w:pPr>
            <w:r>
              <w:rPr>
                <w:rFonts w:hint="eastAsia" w:ascii="仿宋" w:hAnsi="仿宋" w:eastAsia="仿宋" w:cs="仿宋"/>
                <w:highlight w:val="none"/>
              </w:rPr>
              <w:t>西点、咖啡等服务</w:t>
            </w:r>
          </w:p>
        </w:tc>
        <w:tc>
          <w:tcPr>
            <w:tcW w:w="6193" w:type="dxa"/>
            <w:shd w:val="clear" w:color="auto" w:fill="auto"/>
          </w:tcPr>
          <w:p>
            <w:pPr>
              <w:spacing w:line="360" w:lineRule="exact"/>
              <w:rPr>
                <w:rFonts w:ascii="仿宋" w:hAnsi="仿宋" w:eastAsia="仿宋" w:cs="仿宋"/>
                <w:highlight w:val="none"/>
              </w:rPr>
            </w:pPr>
            <w:r>
              <w:rPr>
                <w:rFonts w:hint="eastAsia" w:ascii="仿宋" w:hAnsi="仿宋" w:eastAsia="仿宋" w:cs="仿宋"/>
                <w:highlight w:val="none"/>
              </w:rPr>
              <w:t>1)提供品类：各类西点、咖啡、鲜榨果汁、关东煮、冰淇淋及各类小吃等。</w:t>
            </w:r>
          </w:p>
          <w:p>
            <w:pPr>
              <w:spacing w:line="360" w:lineRule="exact"/>
              <w:rPr>
                <w:rFonts w:ascii="仿宋" w:hAnsi="仿宋" w:eastAsia="仿宋" w:cs="仿宋"/>
                <w:highlight w:val="none"/>
              </w:rPr>
            </w:pPr>
            <w:r>
              <w:rPr>
                <w:rFonts w:hint="eastAsia" w:ascii="仿宋" w:hAnsi="仿宋" w:eastAsia="仿宋" w:cs="仿宋"/>
                <w:highlight w:val="none"/>
              </w:rPr>
              <w:t>2)服务方式：开设5个服务窗口（西点1个、咖啡1个、鲜榨果汁1个、冰淇淋1个、关东煮1个）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877" w:type="dxa"/>
            <w:shd w:val="clear" w:color="auto" w:fill="auto"/>
          </w:tcPr>
          <w:p>
            <w:pPr>
              <w:spacing w:line="360" w:lineRule="exact"/>
              <w:rPr>
                <w:rFonts w:ascii="仿宋" w:hAnsi="仿宋" w:eastAsia="仿宋" w:cs="仿宋"/>
                <w:highlight w:val="none"/>
              </w:rPr>
            </w:pPr>
            <w:r>
              <w:rPr>
                <w:rFonts w:hint="eastAsia" w:ascii="仿宋" w:hAnsi="仿宋" w:eastAsia="仿宋" w:cs="仿宋"/>
                <w:highlight w:val="none"/>
              </w:rPr>
              <w:t>节假日服务</w:t>
            </w:r>
          </w:p>
        </w:tc>
        <w:tc>
          <w:tcPr>
            <w:tcW w:w="1449" w:type="dxa"/>
            <w:shd w:val="clear" w:color="auto" w:fill="auto"/>
            <w:vAlign w:val="center"/>
          </w:tcPr>
          <w:p>
            <w:pPr>
              <w:spacing w:line="360" w:lineRule="exact"/>
              <w:jc w:val="center"/>
              <w:rPr>
                <w:rFonts w:ascii="仿宋" w:hAnsi="仿宋" w:eastAsia="仿宋" w:cs="仿宋"/>
                <w:highlight w:val="none"/>
              </w:rPr>
            </w:pPr>
            <w:r>
              <w:rPr>
                <w:rFonts w:hint="eastAsia" w:ascii="仿宋" w:hAnsi="仿宋" w:eastAsia="仿宋" w:cs="仿宋"/>
                <w:highlight w:val="none"/>
              </w:rPr>
              <w:t>早、中、晚三餐提供服务</w:t>
            </w:r>
          </w:p>
        </w:tc>
        <w:tc>
          <w:tcPr>
            <w:tcW w:w="6193" w:type="dxa"/>
            <w:shd w:val="clear" w:color="auto" w:fill="auto"/>
          </w:tcPr>
          <w:p>
            <w:pPr>
              <w:spacing w:line="360" w:lineRule="exact"/>
              <w:rPr>
                <w:rFonts w:ascii="仿宋" w:hAnsi="仿宋" w:eastAsia="仿宋" w:cs="仿宋"/>
                <w:highlight w:val="none"/>
              </w:rPr>
            </w:pPr>
            <w:r>
              <w:rPr>
                <w:rFonts w:hint="eastAsia" w:ascii="仿宋" w:hAnsi="仿宋" w:eastAsia="仿宋" w:cs="仿宋"/>
                <w:highlight w:val="none"/>
              </w:rPr>
              <w:t>1）就餐人数：5至20人不等，不同节日值班人员和人数不同。</w:t>
            </w:r>
          </w:p>
          <w:p>
            <w:pPr>
              <w:spacing w:line="360" w:lineRule="exact"/>
              <w:rPr>
                <w:rFonts w:ascii="仿宋" w:hAnsi="仿宋" w:eastAsia="仿宋" w:cs="仿宋"/>
                <w:highlight w:val="none"/>
              </w:rPr>
            </w:pPr>
            <w:r>
              <w:rPr>
                <w:rFonts w:hint="eastAsia" w:ascii="仿宋" w:hAnsi="仿宋" w:eastAsia="仿宋" w:cs="仿宋"/>
                <w:highlight w:val="none"/>
              </w:rPr>
              <w:t>2）饭菜种类：与平时基本相同。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7" w:type="dxa"/>
            <w:vMerge w:val="restart"/>
            <w:shd w:val="clear" w:color="auto" w:fill="auto"/>
            <w:vAlign w:val="center"/>
          </w:tcPr>
          <w:p>
            <w:pPr>
              <w:spacing w:line="360" w:lineRule="exact"/>
              <w:jc w:val="center"/>
              <w:rPr>
                <w:rFonts w:ascii="仿宋" w:hAnsi="仿宋" w:eastAsia="仿宋" w:cs="仿宋"/>
                <w:highlight w:val="none"/>
              </w:rPr>
            </w:pPr>
            <w:r>
              <w:rPr>
                <w:rFonts w:hint="eastAsia" w:ascii="仿宋" w:hAnsi="仿宋" w:eastAsia="仿宋" w:cs="仿宋"/>
                <w:highlight w:val="none"/>
              </w:rPr>
              <w:t>卫生安全</w:t>
            </w:r>
          </w:p>
          <w:p>
            <w:pPr>
              <w:spacing w:line="360" w:lineRule="exact"/>
              <w:jc w:val="center"/>
              <w:rPr>
                <w:rFonts w:ascii="仿宋" w:hAnsi="仿宋" w:eastAsia="仿宋" w:cs="仿宋"/>
                <w:highlight w:val="none"/>
              </w:rPr>
            </w:pPr>
            <w:r>
              <w:rPr>
                <w:rFonts w:hint="eastAsia" w:ascii="仿宋" w:hAnsi="仿宋" w:eastAsia="仿宋" w:cs="仿宋"/>
                <w:highlight w:val="none"/>
              </w:rPr>
              <w:t>管理服务</w:t>
            </w:r>
          </w:p>
        </w:tc>
        <w:tc>
          <w:tcPr>
            <w:tcW w:w="1449" w:type="dxa"/>
            <w:shd w:val="clear" w:color="auto" w:fill="auto"/>
            <w:vAlign w:val="center"/>
          </w:tcPr>
          <w:p>
            <w:pPr>
              <w:spacing w:line="360" w:lineRule="exact"/>
              <w:jc w:val="center"/>
              <w:rPr>
                <w:rFonts w:ascii="仿宋" w:hAnsi="仿宋" w:eastAsia="仿宋" w:cs="仿宋"/>
                <w:highlight w:val="none"/>
              </w:rPr>
            </w:pPr>
            <w:r>
              <w:rPr>
                <w:rFonts w:hint="eastAsia" w:ascii="仿宋" w:hAnsi="仿宋" w:eastAsia="仿宋" w:cs="仿宋"/>
                <w:highlight w:val="none"/>
              </w:rPr>
              <w:t>厨房、甜品屋的卫生管理</w:t>
            </w:r>
          </w:p>
        </w:tc>
        <w:tc>
          <w:tcPr>
            <w:tcW w:w="6193" w:type="dxa"/>
            <w:shd w:val="clear" w:color="auto" w:fill="auto"/>
          </w:tcPr>
          <w:p>
            <w:pPr>
              <w:spacing w:line="360" w:lineRule="exact"/>
              <w:rPr>
                <w:rFonts w:ascii="仿宋" w:hAnsi="仿宋" w:eastAsia="仿宋" w:cs="仿宋"/>
                <w:highlight w:val="none"/>
              </w:rPr>
            </w:pPr>
            <w:r>
              <w:rPr>
                <w:rFonts w:hint="eastAsia" w:ascii="仿宋" w:hAnsi="仿宋" w:eastAsia="仿宋" w:cs="仿宋"/>
                <w:highlight w:val="none"/>
              </w:rPr>
              <w:t>1）厨房、甜品屋操作区域布局合理，墙壁、天花板、照明灯、室内玻璃窗无明显污垢、积灰、蜘蛛网等。</w:t>
            </w:r>
          </w:p>
          <w:p>
            <w:pPr>
              <w:spacing w:line="360" w:lineRule="exact"/>
              <w:rPr>
                <w:rFonts w:ascii="仿宋" w:hAnsi="仿宋" w:eastAsia="仿宋" w:cs="仿宋"/>
                <w:highlight w:val="none"/>
              </w:rPr>
            </w:pPr>
            <w:r>
              <w:rPr>
                <w:rFonts w:hint="eastAsia" w:ascii="仿宋" w:hAnsi="仿宋" w:eastAsia="仿宋" w:cs="仿宋"/>
                <w:highlight w:val="none"/>
              </w:rPr>
              <w:t>2）厨房炊事结束、甜品屋结束后，应及时清理现场，关闭厨房燃气开关、甜品屋设备，地面无垃圾、杂物、无明显积水，水渠畅通。</w:t>
            </w:r>
          </w:p>
          <w:p>
            <w:pPr>
              <w:spacing w:line="360" w:lineRule="exact"/>
              <w:rPr>
                <w:rFonts w:ascii="仿宋" w:hAnsi="仿宋" w:eastAsia="仿宋" w:cs="仿宋"/>
                <w:highlight w:val="none"/>
              </w:rPr>
            </w:pPr>
            <w:r>
              <w:rPr>
                <w:rFonts w:hint="eastAsia" w:ascii="仿宋" w:hAnsi="仿宋" w:eastAsia="仿宋" w:cs="仿宋"/>
                <w:highlight w:val="none"/>
              </w:rPr>
              <w:t>3)应当定期清理、清洁、维护食品加工、贮藏、成列、消毒、保洁、保温等设备与设施，采取必要的防护措施，并做好标识，确保正常运转。</w:t>
            </w:r>
          </w:p>
          <w:p>
            <w:pPr>
              <w:spacing w:line="360" w:lineRule="exact"/>
              <w:rPr>
                <w:rFonts w:ascii="仿宋" w:hAnsi="仿宋" w:eastAsia="仿宋" w:cs="仿宋"/>
                <w:highlight w:val="none"/>
              </w:rPr>
            </w:pPr>
            <w:r>
              <w:rPr>
                <w:rFonts w:hint="eastAsia" w:ascii="仿宋" w:hAnsi="仿宋" w:eastAsia="仿宋" w:cs="仿宋"/>
                <w:highlight w:val="none"/>
              </w:rPr>
              <w:t>4)餐厨废物桶应加盖，当天清除；餐饮废弃物处置单位应有合法资质。</w:t>
            </w:r>
          </w:p>
          <w:p>
            <w:pPr>
              <w:spacing w:line="360" w:lineRule="exact"/>
              <w:rPr>
                <w:rFonts w:ascii="仿宋" w:hAnsi="仿宋" w:eastAsia="仿宋" w:cs="仿宋"/>
                <w:highlight w:val="none"/>
              </w:rPr>
            </w:pPr>
            <w:r>
              <w:rPr>
                <w:rFonts w:hint="eastAsia" w:ascii="仿宋" w:hAnsi="仿宋" w:eastAsia="仿宋" w:cs="仿宋"/>
                <w:highlight w:val="none"/>
              </w:rPr>
              <w:t>5)厨房有消除老鼠、蟑螂、苍蝇和其他有害昆虫及滋生条件的方案，现场所采取措施，应符合方案规定要求，并能提供实时资料和记录。</w:t>
            </w:r>
          </w:p>
          <w:p>
            <w:pPr>
              <w:spacing w:line="360" w:lineRule="exact"/>
              <w:rPr>
                <w:rFonts w:ascii="仿宋" w:hAnsi="仿宋" w:eastAsia="仿宋" w:cs="仿宋"/>
                <w:highlight w:val="none"/>
              </w:rPr>
            </w:pPr>
            <w:r>
              <w:rPr>
                <w:rFonts w:hint="eastAsia" w:ascii="仿宋" w:hAnsi="仿宋" w:eastAsia="仿宋" w:cs="仿宋"/>
                <w:highlight w:val="none"/>
              </w:rPr>
              <w:t>6)应制定专间管理制度，制作凉菜应当专人负责、专室制作、工具专用、消毒专用和冷藏专用。熟食专间要设置二次更衣室。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877" w:type="dxa"/>
            <w:vMerge w:val="continue"/>
            <w:shd w:val="clear" w:color="auto" w:fill="auto"/>
            <w:vAlign w:val="center"/>
          </w:tcPr>
          <w:p>
            <w:pPr>
              <w:spacing w:line="360" w:lineRule="exact"/>
              <w:jc w:val="center"/>
              <w:rPr>
                <w:rFonts w:ascii="仿宋" w:hAnsi="仿宋" w:eastAsia="仿宋" w:cs="仿宋"/>
                <w:highlight w:val="none"/>
              </w:rPr>
            </w:pPr>
          </w:p>
        </w:tc>
        <w:tc>
          <w:tcPr>
            <w:tcW w:w="1449" w:type="dxa"/>
            <w:shd w:val="clear" w:color="auto" w:fill="auto"/>
            <w:vAlign w:val="center"/>
          </w:tcPr>
          <w:p>
            <w:pPr>
              <w:spacing w:line="360" w:lineRule="exact"/>
              <w:jc w:val="center"/>
              <w:rPr>
                <w:rFonts w:ascii="仿宋" w:hAnsi="仿宋" w:eastAsia="仿宋" w:cs="仿宋"/>
                <w:highlight w:val="none"/>
              </w:rPr>
            </w:pPr>
            <w:r>
              <w:rPr>
                <w:rFonts w:hint="eastAsia" w:ascii="仿宋" w:hAnsi="仿宋" w:eastAsia="仿宋" w:cs="仿宋"/>
                <w:highlight w:val="none"/>
              </w:rPr>
              <w:t>就餐区域、甜品屋环境卫生管理</w:t>
            </w:r>
          </w:p>
        </w:tc>
        <w:tc>
          <w:tcPr>
            <w:tcW w:w="6193" w:type="dxa"/>
            <w:shd w:val="clear" w:color="auto" w:fill="auto"/>
          </w:tcPr>
          <w:p>
            <w:pPr>
              <w:spacing w:line="360" w:lineRule="exact"/>
              <w:rPr>
                <w:rFonts w:ascii="仿宋" w:hAnsi="仿宋" w:eastAsia="仿宋" w:cs="仿宋"/>
                <w:highlight w:val="none"/>
              </w:rPr>
            </w:pPr>
            <w:r>
              <w:rPr>
                <w:rFonts w:hint="eastAsia" w:ascii="仿宋" w:hAnsi="仿宋" w:eastAsia="仿宋" w:cs="仿宋"/>
                <w:highlight w:val="none"/>
              </w:rPr>
              <w:t>1）餐厅、甜品屋墙壁、门、室内窗玻璃无积灰、污迹、蜘蛛网，空气清新无异味，温度舒适。</w:t>
            </w:r>
          </w:p>
          <w:p>
            <w:pPr>
              <w:spacing w:line="360" w:lineRule="exact"/>
              <w:rPr>
                <w:rFonts w:ascii="仿宋" w:hAnsi="仿宋" w:eastAsia="仿宋" w:cs="仿宋"/>
                <w:highlight w:val="none"/>
              </w:rPr>
            </w:pPr>
            <w:r>
              <w:rPr>
                <w:rFonts w:hint="eastAsia" w:ascii="仿宋" w:hAnsi="仿宋" w:eastAsia="仿宋" w:cs="仿宋"/>
                <w:highlight w:val="none"/>
              </w:rPr>
              <w:t>2）餐厅、甜品屋地面无垃圾、污迹、烟头、积水。</w:t>
            </w:r>
          </w:p>
          <w:p>
            <w:pPr>
              <w:spacing w:line="360" w:lineRule="exact"/>
              <w:rPr>
                <w:rFonts w:ascii="仿宋" w:hAnsi="仿宋" w:eastAsia="仿宋" w:cs="仿宋"/>
                <w:highlight w:val="none"/>
              </w:rPr>
            </w:pPr>
            <w:r>
              <w:rPr>
                <w:rFonts w:hint="eastAsia" w:ascii="仿宋" w:hAnsi="仿宋" w:eastAsia="仿宋" w:cs="仿宋"/>
                <w:highlight w:val="none"/>
              </w:rPr>
              <w:t>3）餐厅内座椅摆放整齐，无积灰、污迹、水迹等。</w:t>
            </w:r>
          </w:p>
          <w:p>
            <w:pPr>
              <w:spacing w:line="360" w:lineRule="exact"/>
              <w:rPr>
                <w:rFonts w:ascii="仿宋" w:hAnsi="仿宋" w:eastAsia="仿宋" w:cs="仿宋"/>
                <w:highlight w:val="none"/>
              </w:rPr>
            </w:pPr>
            <w:r>
              <w:rPr>
                <w:rFonts w:hint="eastAsia" w:ascii="仿宋" w:hAnsi="仿宋" w:eastAsia="仿宋" w:cs="仿宋"/>
                <w:highlight w:val="none"/>
              </w:rPr>
              <w:t>4）售餐区干净整洁，饭菜、点心、餐具摆放整齐有序、甜品屋台面、柜面干净、整洁，所售食品摆放整齐有序。</w:t>
            </w:r>
          </w:p>
          <w:p>
            <w:pPr>
              <w:spacing w:line="360" w:lineRule="exact"/>
              <w:rPr>
                <w:rFonts w:ascii="仿宋" w:hAnsi="仿宋" w:eastAsia="仿宋" w:cs="仿宋"/>
                <w:highlight w:val="none"/>
              </w:rPr>
            </w:pPr>
            <w:r>
              <w:rPr>
                <w:rFonts w:hint="eastAsia" w:ascii="仿宋" w:hAnsi="仿宋" w:eastAsia="仿宋" w:cs="仿宋"/>
                <w:highlight w:val="none"/>
              </w:rPr>
              <w:t>5）就餐人员用餐完毕离开后，及时清除桌面残留物，并用干净抹布擦拭餐桌桌面，保持桌面干净、无污迹。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877" w:type="dxa"/>
            <w:vMerge w:val="continue"/>
            <w:shd w:val="clear" w:color="auto" w:fill="auto"/>
          </w:tcPr>
          <w:p>
            <w:pPr>
              <w:spacing w:line="360" w:lineRule="exact"/>
              <w:rPr>
                <w:rFonts w:ascii="仿宋" w:hAnsi="仿宋" w:eastAsia="仿宋" w:cs="仿宋"/>
                <w:highlight w:val="none"/>
              </w:rPr>
            </w:pPr>
          </w:p>
        </w:tc>
        <w:tc>
          <w:tcPr>
            <w:tcW w:w="1449" w:type="dxa"/>
            <w:shd w:val="clear" w:color="auto" w:fill="auto"/>
            <w:vAlign w:val="center"/>
          </w:tcPr>
          <w:p>
            <w:pPr>
              <w:spacing w:line="360" w:lineRule="exact"/>
              <w:jc w:val="center"/>
              <w:rPr>
                <w:rFonts w:ascii="仿宋" w:hAnsi="仿宋" w:eastAsia="仿宋" w:cs="仿宋"/>
                <w:highlight w:val="none"/>
              </w:rPr>
            </w:pPr>
            <w:r>
              <w:rPr>
                <w:rFonts w:hint="eastAsia" w:ascii="仿宋" w:hAnsi="仿宋" w:eastAsia="仿宋" w:cs="仿宋"/>
                <w:highlight w:val="none"/>
              </w:rPr>
              <w:t>餐具卫生消毒管理及厨房设施安全管理</w:t>
            </w:r>
          </w:p>
        </w:tc>
        <w:tc>
          <w:tcPr>
            <w:tcW w:w="6193" w:type="dxa"/>
            <w:shd w:val="clear" w:color="auto" w:fill="auto"/>
          </w:tcPr>
          <w:p>
            <w:pPr>
              <w:numPr>
                <w:ilvl w:val="0"/>
                <w:numId w:val="10"/>
              </w:numPr>
              <w:spacing w:line="360" w:lineRule="exact"/>
              <w:rPr>
                <w:rFonts w:ascii="仿宋" w:hAnsi="仿宋" w:eastAsia="仿宋" w:cs="仿宋"/>
                <w:highlight w:val="none"/>
              </w:rPr>
            </w:pPr>
            <w:r>
              <w:rPr>
                <w:rFonts w:hint="eastAsia" w:ascii="仿宋" w:hAnsi="仿宋" w:eastAsia="仿宋" w:cs="仿宋"/>
                <w:highlight w:val="none"/>
              </w:rPr>
              <w:t>用于原材料、半成品、成品的砧板、刀具、案台、盆、筐、抹布及其他工具必须标识明显，定位放置，分开使用，用后清洁，保持清洁、无异味，接触直接入口食品的工具、设备应当在使用前进行消毒并记录。</w:t>
            </w:r>
          </w:p>
          <w:p>
            <w:pPr>
              <w:numPr>
                <w:ilvl w:val="0"/>
                <w:numId w:val="10"/>
              </w:numPr>
              <w:spacing w:line="360" w:lineRule="exact"/>
              <w:rPr>
                <w:rFonts w:ascii="仿宋" w:hAnsi="仿宋" w:eastAsia="仿宋" w:cs="仿宋"/>
                <w:highlight w:val="none"/>
              </w:rPr>
            </w:pPr>
            <w:r>
              <w:rPr>
                <w:rFonts w:hint="eastAsia" w:ascii="仿宋" w:hAnsi="仿宋" w:eastAsia="仿宋" w:cs="仿宋"/>
                <w:highlight w:val="none"/>
              </w:rPr>
              <w:t>清洗池应有明显标识，餐饮器具、蔬菜、肉类和水产品应分池清洗，不能混用水池。</w:t>
            </w:r>
          </w:p>
          <w:p>
            <w:pPr>
              <w:numPr>
                <w:ilvl w:val="0"/>
                <w:numId w:val="10"/>
              </w:numPr>
              <w:spacing w:line="360" w:lineRule="exact"/>
              <w:rPr>
                <w:rFonts w:ascii="仿宋" w:hAnsi="仿宋" w:eastAsia="仿宋" w:cs="仿宋"/>
                <w:highlight w:val="none"/>
              </w:rPr>
            </w:pPr>
            <w:r>
              <w:rPr>
                <w:rFonts w:hint="eastAsia" w:ascii="仿宋" w:hAnsi="仿宋" w:eastAsia="仿宋" w:cs="仿宋"/>
                <w:highlight w:val="none"/>
              </w:rPr>
              <w:t>餐饮具使用前必须清洗消毒，消毒后及时放入保洁柜待用，保持干净、无油腻、无积水，并保存相关消毒记录。</w:t>
            </w:r>
          </w:p>
          <w:p>
            <w:pPr>
              <w:numPr>
                <w:ilvl w:val="0"/>
                <w:numId w:val="10"/>
              </w:numPr>
              <w:spacing w:line="360" w:lineRule="exact"/>
              <w:rPr>
                <w:rFonts w:ascii="仿宋" w:hAnsi="仿宋" w:eastAsia="仿宋" w:cs="仿宋"/>
                <w:highlight w:val="none"/>
              </w:rPr>
            </w:pPr>
            <w:r>
              <w:rPr>
                <w:rFonts w:hint="eastAsia" w:ascii="仿宋" w:hAnsi="仿宋" w:eastAsia="仿宋" w:cs="仿宋"/>
                <w:highlight w:val="none"/>
              </w:rPr>
              <w:t>调味品用后加盖，防止污染。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7" w:type="dxa"/>
            <w:vMerge w:val="continue"/>
            <w:shd w:val="clear" w:color="auto" w:fill="auto"/>
            <w:vAlign w:val="center"/>
          </w:tcPr>
          <w:p>
            <w:pPr>
              <w:spacing w:line="360" w:lineRule="exact"/>
              <w:jc w:val="center"/>
              <w:rPr>
                <w:rFonts w:ascii="仿宋" w:hAnsi="仿宋" w:eastAsia="仿宋" w:cs="仿宋"/>
                <w:highlight w:val="none"/>
              </w:rPr>
            </w:pPr>
          </w:p>
        </w:tc>
        <w:tc>
          <w:tcPr>
            <w:tcW w:w="1449" w:type="dxa"/>
            <w:shd w:val="clear" w:color="auto" w:fill="auto"/>
            <w:vAlign w:val="center"/>
          </w:tcPr>
          <w:p>
            <w:pPr>
              <w:spacing w:line="360" w:lineRule="exact"/>
              <w:jc w:val="center"/>
              <w:rPr>
                <w:rFonts w:ascii="仿宋" w:hAnsi="仿宋" w:eastAsia="仿宋" w:cs="仿宋"/>
                <w:highlight w:val="none"/>
              </w:rPr>
            </w:pPr>
            <w:r>
              <w:rPr>
                <w:rFonts w:hint="eastAsia" w:ascii="仿宋" w:hAnsi="仿宋" w:eastAsia="仿宋" w:cs="仿宋"/>
                <w:highlight w:val="none"/>
              </w:rPr>
              <w:t>食品生产安全管理</w:t>
            </w:r>
          </w:p>
        </w:tc>
        <w:tc>
          <w:tcPr>
            <w:tcW w:w="6193" w:type="dxa"/>
            <w:shd w:val="clear" w:color="auto" w:fill="auto"/>
          </w:tcPr>
          <w:p>
            <w:pPr>
              <w:numPr>
                <w:ilvl w:val="0"/>
                <w:numId w:val="11"/>
              </w:numPr>
              <w:spacing w:line="360" w:lineRule="exact"/>
              <w:rPr>
                <w:rFonts w:ascii="仿宋" w:hAnsi="仿宋" w:eastAsia="仿宋" w:cs="仿宋"/>
                <w:highlight w:val="none"/>
              </w:rPr>
            </w:pPr>
            <w:r>
              <w:rPr>
                <w:rFonts w:hint="eastAsia" w:ascii="仿宋" w:hAnsi="仿宋" w:eastAsia="仿宋" w:cs="仿宋"/>
                <w:highlight w:val="none"/>
              </w:rPr>
              <w:t>各种食品原料在使用前，应严格建立清洗制度，禽蛋应洗净外壳，蔬菜应与肉类、水产品分池清洗。</w:t>
            </w:r>
          </w:p>
          <w:p>
            <w:pPr>
              <w:numPr>
                <w:ilvl w:val="0"/>
                <w:numId w:val="11"/>
              </w:numPr>
              <w:spacing w:line="360" w:lineRule="exact"/>
              <w:rPr>
                <w:rFonts w:ascii="仿宋" w:hAnsi="仿宋" w:eastAsia="仿宋" w:cs="仿宋"/>
                <w:highlight w:val="none"/>
              </w:rPr>
            </w:pPr>
            <w:r>
              <w:rPr>
                <w:rFonts w:hint="eastAsia" w:ascii="仿宋" w:hAnsi="仿宋" w:eastAsia="仿宋" w:cs="仿宋"/>
                <w:highlight w:val="none"/>
              </w:rPr>
              <w:t>严禁加工和提供“回锅菜”服务。</w:t>
            </w:r>
          </w:p>
          <w:p>
            <w:pPr>
              <w:numPr>
                <w:ilvl w:val="0"/>
                <w:numId w:val="11"/>
              </w:numPr>
              <w:spacing w:line="360" w:lineRule="exact"/>
              <w:rPr>
                <w:rFonts w:ascii="仿宋" w:hAnsi="仿宋" w:eastAsia="仿宋" w:cs="仿宋"/>
                <w:highlight w:val="none"/>
              </w:rPr>
            </w:pPr>
            <w:r>
              <w:rPr>
                <w:rFonts w:hint="eastAsia" w:ascii="仿宋" w:hAnsi="仿宋" w:eastAsia="仿宋" w:cs="仿宋"/>
                <w:highlight w:val="none"/>
              </w:rPr>
              <w:t>工作人员上岗前要进行必要的消毒（制作、出售冷食品工作人员的手必须洗净消毒）。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77" w:type="dxa"/>
            <w:shd w:val="clear" w:color="auto" w:fill="auto"/>
            <w:vAlign w:val="center"/>
          </w:tcPr>
          <w:p>
            <w:pPr>
              <w:spacing w:line="360" w:lineRule="exact"/>
              <w:jc w:val="center"/>
              <w:rPr>
                <w:rFonts w:ascii="仿宋" w:hAnsi="仿宋" w:eastAsia="仿宋" w:cs="仿宋"/>
                <w:highlight w:val="none"/>
              </w:rPr>
            </w:pPr>
            <w:r>
              <w:rPr>
                <w:rFonts w:hint="eastAsia" w:ascii="仿宋" w:hAnsi="仿宋" w:eastAsia="仿宋" w:cs="仿宋"/>
                <w:highlight w:val="none"/>
              </w:rPr>
              <w:t>餐饮礼仪</w:t>
            </w:r>
          </w:p>
          <w:p>
            <w:pPr>
              <w:spacing w:line="360" w:lineRule="exact"/>
              <w:jc w:val="center"/>
              <w:rPr>
                <w:rFonts w:ascii="仿宋" w:hAnsi="仿宋" w:eastAsia="仿宋" w:cs="仿宋"/>
                <w:highlight w:val="none"/>
              </w:rPr>
            </w:pPr>
            <w:r>
              <w:rPr>
                <w:rFonts w:hint="eastAsia" w:ascii="仿宋" w:hAnsi="仿宋" w:eastAsia="仿宋" w:cs="仿宋"/>
                <w:highlight w:val="none"/>
              </w:rPr>
              <w:t>接待服务</w:t>
            </w:r>
          </w:p>
        </w:tc>
        <w:tc>
          <w:tcPr>
            <w:tcW w:w="1449" w:type="dxa"/>
            <w:shd w:val="clear" w:color="auto" w:fill="auto"/>
            <w:vAlign w:val="center"/>
          </w:tcPr>
          <w:p>
            <w:pPr>
              <w:spacing w:line="360" w:lineRule="exact"/>
              <w:jc w:val="center"/>
              <w:rPr>
                <w:rFonts w:ascii="仿宋" w:hAnsi="仿宋" w:eastAsia="仿宋" w:cs="仿宋"/>
                <w:highlight w:val="none"/>
              </w:rPr>
            </w:pPr>
            <w:r>
              <w:rPr>
                <w:rFonts w:hint="eastAsia" w:ascii="仿宋" w:hAnsi="仿宋" w:eastAsia="仿宋" w:cs="仿宋"/>
                <w:highlight w:val="none"/>
              </w:rPr>
              <w:t>餐厅、甜品屋服务</w:t>
            </w:r>
          </w:p>
        </w:tc>
        <w:tc>
          <w:tcPr>
            <w:tcW w:w="6193" w:type="dxa"/>
            <w:shd w:val="clear" w:color="auto" w:fill="auto"/>
          </w:tcPr>
          <w:p>
            <w:pPr>
              <w:numPr>
                <w:ilvl w:val="0"/>
                <w:numId w:val="12"/>
              </w:numPr>
              <w:spacing w:line="360" w:lineRule="exact"/>
              <w:rPr>
                <w:rFonts w:ascii="仿宋" w:hAnsi="仿宋" w:eastAsia="仿宋" w:cs="仿宋"/>
                <w:highlight w:val="none"/>
              </w:rPr>
            </w:pPr>
            <w:r>
              <w:rPr>
                <w:rFonts w:hint="eastAsia" w:ascii="仿宋" w:hAnsi="仿宋" w:eastAsia="仿宋" w:cs="仿宋"/>
                <w:highlight w:val="none"/>
              </w:rPr>
              <w:t>根据就餐者需求提供服务，并配备相应的厨师、西点师、咖啡师、食堂工作人员和服务人员。</w:t>
            </w:r>
          </w:p>
          <w:p>
            <w:pPr>
              <w:numPr>
                <w:ilvl w:val="0"/>
                <w:numId w:val="12"/>
              </w:numPr>
              <w:spacing w:line="360" w:lineRule="exact"/>
              <w:rPr>
                <w:rFonts w:ascii="仿宋" w:hAnsi="仿宋" w:eastAsia="仿宋" w:cs="仿宋"/>
                <w:highlight w:val="none"/>
              </w:rPr>
            </w:pPr>
            <w:r>
              <w:rPr>
                <w:rFonts w:hint="eastAsia" w:ascii="仿宋" w:hAnsi="仿宋" w:eastAsia="仿宋" w:cs="仿宋"/>
                <w:highlight w:val="none"/>
              </w:rPr>
              <w:t>各餐品品种丰富、卫生、可口，环境卫生、整洁、舒适。窗口、菜单标识明确。</w:t>
            </w:r>
          </w:p>
          <w:p>
            <w:pPr>
              <w:numPr>
                <w:ilvl w:val="0"/>
                <w:numId w:val="12"/>
              </w:numPr>
              <w:spacing w:line="360" w:lineRule="exact"/>
              <w:rPr>
                <w:rFonts w:ascii="仿宋" w:hAnsi="仿宋" w:eastAsia="仿宋" w:cs="仿宋"/>
                <w:highlight w:val="none"/>
              </w:rPr>
            </w:pPr>
            <w:r>
              <w:rPr>
                <w:rFonts w:hint="eastAsia" w:ascii="仿宋" w:hAnsi="仿宋" w:eastAsia="仿宋" w:cs="仿宋"/>
                <w:highlight w:val="none"/>
              </w:rPr>
              <w:t>服务员形象得体，能按照主办方要求制作席位卡、菜单。</w:t>
            </w:r>
          </w:p>
          <w:p>
            <w:pPr>
              <w:numPr>
                <w:ilvl w:val="0"/>
                <w:numId w:val="12"/>
              </w:numPr>
              <w:spacing w:line="360" w:lineRule="exact"/>
              <w:rPr>
                <w:rFonts w:ascii="仿宋" w:hAnsi="仿宋" w:eastAsia="仿宋" w:cs="仿宋"/>
                <w:highlight w:val="none"/>
              </w:rPr>
            </w:pPr>
            <w:r>
              <w:rPr>
                <w:rFonts w:hint="eastAsia" w:ascii="仿宋" w:hAnsi="仿宋" w:eastAsia="仿宋" w:cs="仿宋"/>
                <w:highlight w:val="none"/>
              </w:rPr>
              <w:t>餐厅、配送菜肴的服务员上岗时应将长发盘起，并佩戴口罩，厨师应将头发置入帽中。</w:t>
            </w:r>
          </w:p>
          <w:p>
            <w:pPr>
              <w:numPr>
                <w:ilvl w:val="0"/>
                <w:numId w:val="12"/>
              </w:numPr>
              <w:spacing w:line="360" w:lineRule="exact"/>
              <w:rPr>
                <w:rFonts w:ascii="仿宋" w:hAnsi="仿宋" w:eastAsia="仿宋" w:cs="仿宋"/>
                <w:highlight w:val="none"/>
              </w:rPr>
            </w:pPr>
            <w:r>
              <w:rPr>
                <w:rFonts w:hint="eastAsia" w:ascii="仿宋" w:hAnsi="仿宋" w:eastAsia="仿宋" w:cs="仿宋"/>
                <w:highlight w:val="none"/>
              </w:rPr>
              <w:t>与食品接触的服务员，不得佩戴戒指、手链等影响食品卫生的饰物，不得涂指甲油。</w:t>
            </w:r>
          </w:p>
          <w:p>
            <w:pPr>
              <w:numPr>
                <w:ilvl w:val="0"/>
                <w:numId w:val="12"/>
              </w:numPr>
              <w:spacing w:line="360" w:lineRule="exact"/>
              <w:rPr>
                <w:rFonts w:ascii="仿宋" w:hAnsi="仿宋" w:eastAsia="仿宋" w:cs="仿宋"/>
                <w:highlight w:val="none"/>
              </w:rPr>
            </w:pPr>
            <w:r>
              <w:rPr>
                <w:rFonts w:hint="eastAsia" w:ascii="仿宋" w:hAnsi="仿宋" w:eastAsia="仿宋" w:cs="仿宋"/>
                <w:highlight w:val="none"/>
              </w:rPr>
              <w:t>严格遵守约定时间，快速准确。因客观原因不能按时提供或完成服务的，应及时向用餐人员解释并致歉。</w:t>
            </w:r>
          </w:p>
          <w:p>
            <w:pPr>
              <w:numPr>
                <w:ilvl w:val="0"/>
                <w:numId w:val="12"/>
              </w:numPr>
              <w:spacing w:line="360" w:lineRule="exact"/>
              <w:rPr>
                <w:rFonts w:ascii="仿宋" w:hAnsi="仿宋" w:eastAsia="仿宋" w:cs="仿宋"/>
                <w:highlight w:val="none"/>
              </w:rPr>
            </w:pPr>
            <w:r>
              <w:rPr>
                <w:rFonts w:hint="eastAsia" w:ascii="仿宋" w:hAnsi="仿宋" w:eastAsia="仿宋" w:cs="仿宋"/>
                <w:highlight w:val="none"/>
              </w:rPr>
              <w:t>一旦发生服务失误，应及时采取补救措施。</w:t>
            </w:r>
          </w:p>
          <w:p>
            <w:pPr>
              <w:numPr>
                <w:ilvl w:val="0"/>
                <w:numId w:val="12"/>
              </w:numPr>
              <w:spacing w:line="360" w:lineRule="exact"/>
              <w:rPr>
                <w:rFonts w:ascii="仿宋" w:hAnsi="仿宋" w:eastAsia="仿宋" w:cs="仿宋"/>
                <w:highlight w:val="none"/>
              </w:rPr>
            </w:pPr>
            <w:r>
              <w:rPr>
                <w:rFonts w:hint="eastAsia" w:ascii="仿宋" w:hAnsi="仿宋" w:eastAsia="仿宋" w:cs="仿宋"/>
                <w:highlight w:val="none"/>
              </w:rPr>
              <w:t>加强对餐饮服务人员食品安全法律法规知识的培训并建立培训档案，配备专职或者兼职食品安全管理人员。</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480" w:firstLineChars="200"/>
        <w:jc w:val="both"/>
        <w:textAlignment w:val="auto"/>
        <w:outlineLvl w:val="9"/>
        <w:rPr>
          <w:rFonts w:ascii="仿宋" w:hAnsi="仿宋" w:eastAsia="仿宋" w:cs="仿宋"/>
          <w:highlight w:val="none"/>
        </w:rPr>
      </w:pPr>
      <w:r>
        <w:rPr>
          <w:rFonts w:hint="eastAsia" w:ascii="仿宋" w:hAnsi="仿宋" w:eastAsia="仿宋" w:cs="仿宋"/>
          <w:sz w:val="24"/>
          <w:szCs w:val="24"/>
          <w:highlight w:val="none"/>
        </w:rPr>
        <w:t>未列举的接待服务，房屋、其他设施设备运行与维护服务，秩序维护与安全服务，环境保洁服务，仓储与搬运，员工食堂餐饮服务等其他物业管理服务内容，按照办公楼物业管理服务规范等最新标准，结合项目实际情况，做好日常维护、保养、监管等服务。请投标文件中予以一一列举响应</w:t>
      </w:r>
      <w:r>
        <w:rPr>
          <w:rFonts w:hint="eastAsia" w:ascii="仿宋" w:hAnsi="仿宋" w:eastAsia="仿宋" w:cs="仿宋"/>
          <w:highlight w:val="none"/>
        </w:rPr>
        <w:t>。</w:t>
      </w:r>
    </w:p>
    <w:p>
      <w:pPr>
        <w:rPr>
          <w:rFonts w:ascii="黑体" w:hAnsi="黑体" w:eastAsia="黑体" w:cs="黑体"/>
          <w:b/>
          <w:sz w:val="28"/>
          <w:szCs w:val="28"/>
          <w:highlight w:val="none"/>
        </w:rPr>
      </w:pPr>
      <w:bookmarkStart w:id="20" w:name="_Toc10476"/>
      <w:r>
        <w:rPr>
          <w:rFonts w:hint="eastAsia" w:ascii="黑体" w:hAnsi="黑体" w:eastAsia="黑体" w:cs="黑体"/>
          <w:b/>
          <w:sz w:val="28"/>
          <w:szCs w:val="28"/>
          <w:highlight w:val="none"/>
          <w:lang w:eastAsia="zh-CN"/>
        </w:rPr>
        <w:t>四、</w:t>
      </w:r>
      <w:r>
        <w:rPr>
          <w:rFonts w:hint="eastAsia" w:ascii="黑体" w:hAnsi="黑体" w:eastAsia="黑体" w:cs="黑体"/>
          <w:b/>
          <w:sz w:val="28"/>
          <w:szCs w:val="28"/>
          <w:highlight w:val="none"/>
        </w:rPr>
        <w:t>重要事项说明</w:t>
      </w:r>
      <w:bookmarkEnd w:id="20"/>
    </w:p>
    <w:p>
      <w:pPr>
        <w:spacing w:before="156" w:beforeLines="50" w:after="156" w:afterLines="50" w:line="360" w:lineRule="auto"/>
        <w:ind w:right="3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1、鉴于政府机关办公用房管理的特殊性，请各投标单位注意以下内容：</w:t>
      </w:r>
    </w:p>
    <w:p>
      <w:pPr>
        <w:numPr>
          <w:ilvl w:val="0"/>
          <w:numId w:val="13"/>
        </w:numPr>
        <w:spacing w:before="156" w:beforeLines="50" w:after="156" w:afterLines="50" w:line="360" w:lineRule="auto"/>
        <w:ind w:firstLine="420" w:firstLineChars="175"/>
        <w:outlineLvl w:val="1"/>
        <w:rPr>
          <w:rFonts w:ascii="仿宋" w:hAnsi="仿宋" w:eastAsia="仿宋" w:cs="仿宋"/>
          <w:sz w:val="24"/>
          <w:szCs w:val="24"/>
          <w:highlight w:val="none"/>
        </w:rPr>
      </w:pPr>
      <w:bookmarkStart w:id="21" w:name="_Toc28633"/>
      <w:bookmarkStart w:id="22" w:name="_Toc9284"/>
      <w:r>
        <w:rPr>
          <w:rFonts w:hint="eastAsia" w:ascii="仿宋" w:hAnsi="仿宋" w:eastAsia="仿宋" w:cs="仿宋"/>
          <w:sz w:val="24"/>
          <w:szCs w:val="24"/>
          <w:highlight w:val="none"/>
        </w:rPr>
        <w:t>鉴于区机关办公用房的某些区域有较高的保密性及安全要求，因而服务单位的安保部门的工作需要受区机关事务管理局的业务指导及监督，请各投标单位提出有关的管理架构图的设想。</w:t>
      </w:r>
      <w:bookmarkEnd w:id="21"/>
      <w:bookmarkEnd w:id="22"/>
    </w:p>
    <w:p>
      <w:pPr>
        <w:numPr>
          <w:ilvl w:val="0"/>
          <w:numId w:val="13"/>
        </w:numPr>
        <w:spacing w:before="156" w:beforeLines="50" w:after="156" w:afterLines="50" w:line="360" w:lineRule="auto"/>
        <w:ind w:firstLine="420" w:firstLineChars="175"/>
        <w:outlineLvl w:val="1"/>
        <w:rPr>
          <w:rFonts w:ascii="仿宋" w:hAnsi="仿宋" w:eastAsia="仿宋" w:cs="仿宋"/>
          <w:sz w:val="24"/>
          <w:szCs w:val="24"/>
          <w:highlight w:val="none"/>
        </w:rPr>
      </w:pPr>
      <w:bookmarkStart w:id="23" w:name="_Toc3173"/>
      <w:bookmarkStart w:id="24" w:name="_Toc32507"/>
      <w:r>
        <w:rPr>
          <w:rFonts w:hint="eastAsia" w:ascii="仿宋" w:hAnsi="仿宋" w:eastAsia="仿宋" w:cs="仿宋"/>
          <w:sz w:val="24"/>
          <w:szCs w:val="24"/>
          <w:highlight w:val="none"/>
        </w:rPr>
        <w:t>鉴于区机关办公用房的保密性要求，各投标单位在领取招标文件时应签订保密承诺书；中标单位须与业主方签订保密协议；所聘用员工均应政审合格,并做好将所有聘用人员资料（包括身份证复印件）、岗位等相关材料信息的名册和资料管理，统一报机管局审核备案。</w:t>
      </w:r>
      <w:bookmarkEnd w:id="23"/>
      <w:bookmarkEnd w:id="24"/>
    </w:p>
    <w:p>
      <w:pPr>
        <w:numPr>
          <w:ilvl w:val="0"/>
          <w:numId w:val="13"/>
        </w:numPr>
        <w:spacing w:before="156" w:beforeLines="50" w:after="156" w:afterLines="50" w:line="360" w:lineRule="auto"/>
        <w:ind w:firstLine="420" w:firstLineChars="175"/>
        <w:outlineLvl w:val="1"/>
        <w:rPr>
          <w:rFonts w:ascii="仿宋" w:hAnsi="仿宋" w:eastAsia="仿宋" w:cs="仿宋"/>
          <w:sz w:val="24"/>
          <w:szCs w:val="24"/>
          <w:highlight w:val="none"/>
        </w:rPr>
      </w:pPr>
      <w:bookmarkStart w:id="25" w:name="_Toc13604"/>
      <w:bookmarkStart w:id="26" w:name="_Toc23029"/>
      <w:r>
        <w:rPr>
          <w:rFonts w:hint="eastAsia" w:ascii="仿宋" w:hAnsi="仿宋" w:eastAsia="仿宋" w:cs="仿宋"/>
          <w:sz w:val="24"/>
          <w:szCs w:val="24"/>
          <w:highlight w:val="none"/>
        </w:rPr>
        <w:t>根据招标文件要求，业主方的现场实际情况以及自身经验能力、提供具有针对性的服务管理方案、措施、标准、质量保证以及达到管理目标的具体内容，标书具有可操作性和针对性。同时，针对服务对象的特殊性，投标单位可以提出其它特色服务的设想及建议。</w:t>
      </w:r>
      <w:bookmarkEnd w:id="25"/>
      <w:bookmarkEnd w:id="26"/>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投标单位应认真踏勘现场，熟悉本招标项目范围的周边地形，交通道路等情况，以获得一切可能影响投标报价及投标方案的其他情况。踏勘后如有疑问，可提问，放弃踏勘的投标单位将被视为已确认所有现场条件和预计到了可能发生的异常情况。投标单位成交后，不得以不了解或不完全了解现场为理由而提出额外费用，对此业主方一律不予考虑。</w:t>
      </w:r>
    </w:p>
    <w:p>
      <w:pPr>
        <w:spacing w:before="156" w:beforeLines="50" w:after="156" w:afterLines="5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3、投标单位应为本项目配备一个有实力的服务团队，本项目总负责人与各专业管理、技术负责人须承担过类似规模</w:t>
      </w:r>
      <w:r>
        <w:rPr>
          <w:rFonts w:hint="eastAsia" w:ascii="仿宋" w:hAnsi="仿宋" w:eastAsia="仿宋" w:cs="仿宋"/>
          <w:sz w:val="24"/>
          <w:szCs w:val="24"/>
          <w:highlight w:val="none"/>
          <w:lang w:val="en-US" w:eastAsia="zh-CN"/>
        </w:rPr>
        <w:t>项目的</w:t>
      </w:r>
      <w:r>
        <w:rPr>
          <w:rFonts w:hint="eastAsia" w:ascii="仿宋" w:hAnsi="仿宋" w:eastAsia="仿宋" w:cs="仿宋"/>
          <w:sz w:val="24"/>
          <w:szCs w:val="24"/>
          <w:highlight w:val="none"/>
        </w:rPr>
        <w:t>同类职位三年以上；特殊岗位工作人员应具备相应的上岗证书（特种作业操作证如低压电工作业等）；从事服务岗位人员均需持健康证明，且服务单位有检查该岗位人员健康状况的管理措施。</w:t>
      </w:r>
    </w:p>
    <w:p>
      <w:pPr>
        <w:spacing w:before="156" w:beforeLines="50" w:after="156" w:afterLines="50" w:line="360" w:lineRule="auto"/>
        <w:ind w:right="3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4、管理方式、责任等：</w:t>
      </w:r>
    </w:p>
    <w:p>
      <w:pPr>
        <w:spacing w:before="156" w:beforeLines="50" w:after="156" w:afterLines="50" w:line="360" w:lineRule="auto"/>
        <w:ind w:right="3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（1）中标单位根据《中华人民共和国民法典》、新颁布实施的《物业管理条例》以及国家、省、市的有关法律、法规与业主方签订合同，进行统一管理、专业服务、自负盈亏。</w:t>
      </w:r>
    </w:p>
    <w:p>
      <w:pPr>
        <w:spacing w:before="156" w:beforeLines="50" w:after="156" w:afterLines="50" w:line="360" w:lineRule="auto"/>
        <w:ind w:right="3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中标单位应加强内部管理控制，针对招标项目，制定相应管理、工作流程、服务方案、人员培训、安全防范、应急预案、巡查监督、考核奖励等制度，建立适应业主方的管理机制，确保管理运作正常，良好有效、无事故。如遇管理、巡查、责任不到位，发生各类事故，应追究相关人员责任。</w:t>
      </w:r>
    </w:p>
    <w:p>
      <w:pPr>
        <w:spacing w:before="156" w:beforeLines="50" w:after="156" w:afterLines="50" w:line="360" w:lineRule="auto"/>
        <w:ind w:right="3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（3）中标单位为此项目所聘用的全部人员的生、老、病、死或事故原因、劳资纠纷，刑、民事案件等均与业主无关。</w:t>
      </w:r>
    </w:p>
    <w:p>
      <w:pPr>
        <w:spacing w:before="156" w:beforeLines="50" w:after="156" w:afterLines="50" w:line="360" w:lineRule="auto"/>
        <w:ind w:right="3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（4）中标单位应购买员工险、责任险、设备险等保险，应充分考虑到因工作疏忽或意外事故可能导致的人身伤害或财产损失，可在投标文件中列出相关保险费用，业主方不在本项目经费外另行支付费用。</w:t>
      </w:r>
    </w:p>
    <w:p>
      <w:pPr>
        <w:spacing w:before="156" w:beforeLines="50" w:after="156" w:afterLines="50" w:line="360" w:lineRule="auto"/>
        <w:ind w:right="3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5、业主方定期对中标单位进行考核，发现问题，业主方将发整改通知书，</w:t>
      </w:r>
      <w:r>
        <w:rPr>
          <w:rFonts w:hint="eastAsia" w:ascii="仿宋" w:hAnsi="仿宋" w:eastAsia="仿宋" w:cs="仿宋"/>
          <w:color w:val="000000" w:themeColor="text1"/>
          <w:sz w:val="24"/>
          <w:szCs w:val="24"/>
          <w:highlight w:val="none"/>
          <w14:textFill>
            <w14:solidFill>
              <w14:schemeClr w14:val="tx1"/>
            </w14:solidFill>
          </w14:textFill>
        </w:rPr>
        <w:t>中标单位</w:t>
      </w:r>
      <w:r>
        <w:rPr>
          <w:rFonts w:hint="eastAsia" w:ascii="仿宋" w:hAnsi="仿宋" w:eastAsia="仿宋" w:cs="仿宋"/>
          <w:sz w:val="24"/>
          <w:szCs w:val="24"/>
          <w:highlight w:val="none"/>
        </w:rPr>
        <w:t>应及时整改，若第一次整改不合格或1个月内业主方发出2次整改通知书的，扣除当月服务费用3％以作惩戒；若第二次整改仍不合格或连续2个月内业主方发出3次以上（包括3次）整改通知书的，业主方有权解除服务合同。</w:t>
      </w:r>
    </w:p>
    <w:p>
      <w:pPr>
        <w:numPr>
          <w:ilvl w:val="0"/>
          <w:numId w:val="0"/>
        </w:numPr>
        <w:spacing w:line="480" w:lineRule="exact"/>
        <w:ind w:leftChars="0"/>
        <w:outlineLvl w:val="0"/>
        <w:rPr>
          <w:rFonts w:ascii="黑体" w:hAnsi="黑体" w:eastAsia="黑体" w:cs="黑体"/>
          <w:b/>
          <w:sz w:val="28"/>
          <w:szCs w:val="28"/>
          <w:highlight w:val="none"/>
        </w:rPr>
      </w:pPr>
      <w:bookmarkStart w:id="27" w:name="_Toc25115"/>
      <w:r>
        <w:rPr>
          <w:rFonts w:hint="eastAsia" w:ascii="黑体" w:hAnsi="黑体" w:eastAsia="黑体" w:cs="黑体"/>
          <w:b/>
          <w:sz w:val="28"/>
          <w:szCs w:val="28"/>
          <w:highlight w:val="none"/>
          <w:lang w:eastAsia="zh-CN"/>
        </w:rPr>
        <w:t>五、</w:t>
      </w:r>
      <w:r>
        <w:rPr>
          <w:rFonts w:hint="eastAsia" w:ascii="黑体" w:hAnsi="黑体" w:eastAsia="黑体" w:cs="黑体"/>
          <w:b/>
          <w:sz w:val="28"/>
          <w:szCs w:val="28"/>
          <w:highlight w:val="none"/>
        </w:rPr>
        <w:t>报价要求</w:t>
      </w:r>
      <w:bookmarkEnd w:id="27"/>
    </w:p>
    <w:p>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本次项目委托管理期限为2年（202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年5月1日起至202</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年4月30日止，含试用期3个月）。中标单位</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如更换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应于202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年4月进场交接，并积极配合业主方做好服务衔接、员工续用等工作。</w:t>
      </w:r>
    </w:p>
    <w:p>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 xml:space="preserve">本次投标价为管理范围、管理期限内，除业主方自主承担部分以外的费用，包括但不限于人工、工具、用品等费用。在此特别说明：（1）机关大院在节假日、双休日除正常服务保障人员外，因业主方工作需要增加人员时，增加人员的加班费在合同价内统筹；（2）投标方在投标报价时，需充分考虑到区政府机关工作的特殊性，业主方不会因机关节假日、双休日及日常工作需要加班服务，而再追加员工的加班费用；（3）本项目中设备用房包括但不限于服务房屋的物理地址，其属于房屋的附属部分，均统一纳入本次管理服务范围。 </w:t>
      </w:r>
    </w:p>
    <w:p>
      <w:pPr>
        <w:numPr>
          <w:ilvl w:val="0"/>
          <w:numId w:val="14"/>
        </w:numPr>
        <w:spacing w:line="360" w:lineRule="auto"/>
        <w:ind w:hanging="5"/>
        <w:outlineLvl w:val="1"/>
        <w:rPr>
          <w:rFonts w:ascii="仿宋" w:hAnsi="仿宋" w:eastAsia="仿宋" w:cs="仿宋"/>
          <w:sz w:val="24"/>
          <w:szCs w:val="24"/>
          <w:highlight w:val="none"/>
        </w:rPr>
      </w:pPr>
      <w:bookmarkStart w:id="28" w:name="_Toc10203"/>
      <w:bookmarkStart w:id="29" w:name="_Toc21269"/>
      <w:r>
        <w:rPr>
          <w:rFonts w:hint="eastAsia" w:ascii="仿宋" w:hAnsi="仿宋" w:eastAsia="仿宋" w:cs="仿宋"/>
          <w:sz w:val="24"/>
          <w:szCs w:val="24"/>
          <w:highlight w:val="none"/>
        </w:rPr>
        <w:t>下列费用由业主方承担：</w:t>
      </w:r>
      <w:bookmarkEnd w:id="28"/>
      <w:bookmarkEnd w:id="29"/>
    </w:p>
    <w:p>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（1）食堂所有原材料（包括调味品等）费用；</w:t>
      </w:r>
    </w:p>
    <w:p>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（2）水电煤等能源消耗费用由业主方自行支付；</w:t>
      </w:r>
    </w:p>
    <w:p>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（3）日常维修中的公共区域更换材料费用。单价100元以下的修理，备品由</w:t>
      </w:r>
      <w:r>
        <w:rPr>
          <w:rFonts w:hint="eastAsia" w:ascii="仿宋" w:hAnsi="仿宋" w:eastAsia="仿宋" w:cs="仿宋"/>
          <w:sz w:val="24"/>
          <w:szCs w:val="24"/>
          <w:highlight w:val="none"/>
          <w:lang w:val="en-US" w:eastAsia="zh-CN"/>
        </w:rPr>
        <w:t>中标单位</w:t>
      </w:r>
      <w:r>
        <w:rPr>
          <w:rFonts w:hint="eastAsia" w:ascii="仿宋" w:hAnsi="仿宋" w:eastAsia="仿宋" w:cs="仿宋"/>
          <w:sz w:val="24"/>
          <w:szCs w:val="24"/>
          <w:highlight w:val="none"/>
        </w:rPr>
        <w:t>承担，超过100元的材料由机管局保障，若为急需抢修材料，经业主方同意后可以采购。</w:t>
      </w:r>
    </w:p>
    <w:p>
      <w:pPr>
        <w:numPr>
          <w:ilvl w:val="0"/>
          <w:numId w:val="14"/>
        </w:numPr>
        <w:spacing w:line="360" w:lineRule="auto"/>
        <w:ind w:hanging="5"/>
        <w:outlineLvl w:val="1"/>
        <w:rPr>
          <w:rFonts w:ascii="仿宋" w:hAnsi="仿宋" w:eastAsia="仿宋" w:cs="仿宋"/>
          <w:sz w:val="24"/>
          <w:szCs w:val="24"/>
          <w:highlight w:val="none"/>
        </w:rPr>
      </w:pPr>
      <w:bookmarkStart w:id="30" w:name="_Toc25521"/>
      <w:bookmarkStart w:id="31" w:name="_Toc27122"/>
      <w:r>
        <w:rPr>
          <w:rFonts w:hint="eastAsia" w:ascii="仿宋" w:hAnsi="仿宋" w:eastAsia="仿宋" w:cs="仿宋"/>
          <w:sz w:val="24"/>
          <w:szCs w:val="24"/>
          <w:highlight w:val="none"/>
        </w:rPr>
        <w:t>投标单位在投标书中对所有项目（包括单元项目）的报价要详细列出。</w:t>
      </w:r>
      <w:bookmarkEnd w:id="30"/>
      <w:bookmarkEnd w:id="31"/>
    </w:p>
    <w:p>
      <w:pPr>
        <w:numPr>
          <w:ilvl w:val="0"/>
          <w:numId w:val="14"/>
        </w:numPr>
        <w:spacing w:line="360" w:lineRule="auto"/>
        <w:ind w:hanging="5"/>
        <w:outlineLvl w:val="1"/>
        <w:rPr>
          <w:rFonts w:ascii="仿宋" w:hAnsi="仿宋" w:eastAsia="仿宋" w:cs="仿宋"/>
          <w:sz w:val="24"/>
          <w:szCs w:val="24"/>
          <w:highlight w:val="none"/>
        </w:rPr>
      </w:pPr>
      <w:bookmarkStart w:id="32" w:name="_Toc26059"/>
      <w:bookmarkStart w:id="33" w:name="_Toc8151"/>
      <w:r>
        <w:rPr>
          <w:rFonts w:hint="eastAsia" w:ascii="仿宋" w:hAnsi="仿宋" w:eastAsia="仿宋" w:cs="仿宋"/>
          <w:sz w:val="24"/>
          <w:szCs w:val="24"/>
          <w:highlight w:val="none"/>
        </w:rPr>
        <w:t>投标单位在投标书中要明确承诺：在整个服务过程中，加强节能减排的管理和措施，并提出节能减排的方法、措施；明确节能效果应达到的指标数，根据指标数的完成情况，由业主对服务方进行奖惩等内容 。</w:t>
      </w:r>
      <w:bookmarkEnd w:id="32"/>
      <w:bookmarkEnd w:id="33"/>
    </w:p>
    <w:p>
      <w:pPr>
        <w:numPr>
          <w:ilvl w:val="0"/>
          <w:numId w:val="14"/>
        </w:numPr>
        <w:spacing w:line="360" w:lineRule="auto"/>
        <w:ind w:hanging="5"/>
        <w:outlineLvl w:val="1"/>
        <w:rPr>
          <w:rFonts w:ascii="仿宋" w:hAnsi="仿宋" w:eastAsia="仿宋" w:cs="仿宋"/>
          <w:sz w:val="24"/>
          <w:szCs w:val="24"/>
          <w:highlight w:val="none"/>
        </w:rPr>
      </w:pPr>
      <w:bookmarkStart w:id="34" w:name="_Toc2913"/>
      <w:bookmarkStart w:id="35" w:name="_Toc10013"/>
      <w:r>
        <w:rPr>
          <w:rFonts w:hint="eastAsia" w:ascii="仿宋" w:hAnsi="仿宋" w:eastAsia="仿宋" w:cs="仿宋"/>
          <w:sz w:val="24"/>
          <w:szCs w:val="24"/>
          <w:highlight w:val="none"/>
        </w:rPr>
        <w:t>投标单位应具备自行招聘安保人员的能力且符合国家有关规定，所聘用的安保人员须具备公安部门核发的保安员上岗证及本市居住证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或本市居民身份证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bookmarkEnd w:id="34"/>
      <w:bookmarkEnd w:id="35"/>
    </w:p>
    <w:p>
      <w:pPr>
        <w:numPr>
          <w:ilvl w:val="0"/>
          <w:numId w:val="14"/>
        </w:numPr>
        <w:spacing w:line="360" w:lineRule="auto"/>
        <w:ind w:hanging="5"/>
        <w:outlineLvl w:val="1"/>
        <w:rPr>
          <w:rFonts w:ascii="仿宋" w:hAnsi="仿宋" w:eastAsia="仿宋" w:cs="仿宋"/>
          <w:sz w:val="24"/>
          <w:szCs w:val="24"/>
          <w:highlight w:val="none"/>
        </w:rPr>
      </w:pPr>
      <w:bookmarkStart w:id="36" w:name="_Toc32282"/>
      <w:bookmarkStart w:id="37" w:name="_Toc32734"/>
      <w:r>
        <w:rPr>
          <w:rFonts w:hint="eastAsia" w:ascii="仿宋" w:hAnsi="仿宋" w:eastAsia="仿宋" w:cs="仿宋"/>
          <w:sz w:val="24"/>
          <w:szCs w:val="24"/>
          <w:highlight w:val="none"/>
        </w:rPr>
        <w:t>付款方式：每季度结算一次。</w:t>
      </w:r>
      <w:bookmarkEnd w:id="36"/>
      <w:bookmarkEnd w:id="37"/>
      <w:r>
        <w:rPr>
          <w:rFonts w:hint="eastAsia" w:ascii="仿宋" w:hAnsi="仿宋" w:eastAsia="仿宋" w:cs="仿宋"/>
          <w:sz w:val="24"/>
          <w:szCs w:val="24"/>
          <w:highlight w:val="none"/>
          <w:lang w:eastAsia="zh-CN"/>
        </w:rPr>
        <w:t>如出现逾期支付相关费用等情况，采购人将支付中标单位相应利息，如对中标单位造成损失的，依法给予中标单位相关补偿。</w:t>
      </w:r>
    </w:p>
    <w:p>
      <w:pPr>
        <w:numPr>
          <w:ilvl w:val="0"/>
          <w:numId w:val="14"/>
        </w:numPr>
        <w:spacing w:line="360" w:lineRule="auto"/>
        <w:ind w:hanging="5"/>
        <w:outlineLvl w:val="1"/>
        <w:rPr>
          <w:rFonts w:ascii="仿宋" w:hAnsi="仿宋" w:eastAsia="仿宋" w:cs="仿宋"/>
          <w:sz w:val="24"/>
          <w:szCs w:val="24"/>
          <w:highlight w:val="none"/>
        </w:rPr>
      </w:pPr>
      <w:bookmarkStart w:id="38" w:name="_Toc30681"/>
      <w:bookmarkStart w:id="39" w:name="_Toc15274"/>
      <w:r>
        <w:rPr>
          <w:rFonts w:hint="eastAsia" w:ascii="仿宋" w:hAnsi="仿宋" w:eastAsia="仿宋" w:cs="仿宋"/>
          <w:sz w:val="24"/>
          <w:szCs w:val="24"/>
          <w:highlight w:val="none"/>
        </w:rPr>
        <w:t>履约保函：签订合同时中标公司需向业主方出具履约保函（2</w:t>
      </w:r>
      <w:r>
        <w:rPr>
          <w:rFonts w:hint="eastAsia" w:ascii="仿宋" w:hAnsi="仿宋" w:eastAsia="仿宋" w:cs="仿宋"/>
          <w:sz w:val="24"/>
          <w:szCs w:val="24"/>
          <w:highlight w:val="none"/>
          <w:lang w:val="en-US" w:eastAsia="zh-CN"/>
        </w:rPr>
        <w:t>50,000</w:t>
      </w:r>
      <w:r>
        <w:rPr>
          <w:rFonts w:hint="eastAsia" w:ascii="仿宋" w:hAnsi="仿宋" w:eastAsia="仿宋" w:cs="仿宋"/>
          <w:sz w:val="24"/>
          <w:szCs w:val="24"/>
          <w:highlight w:val="none"/>
        </w:rPr>
        <w:t>元）。</w:t>
      </w:r>
      <w:bookmarkEnd w:id="38"/>
      <w:bookmarkEnd w:id="39"/>
    </w:p>
    <w:p>
      <w:pPr>
        <w:numPr>
          <w:ilvl w:val="0"/>
          <w:numId w:val="14"/>
        </w:numPr>
        <w:spacing w:line="360" w:lineRule="auto"/>
        <w:ind w:hanging="5"/>
        <w:outlineLvl w:val="1"/>
        <w:rPr>
          <w:rFonts w:ascii="仿宋" w:hAnsi="仿宋" w:eastAsia="仿宋" w:cs="仿宋"/>
          <w:sz w:val="24"/>
          <w:szCs w:val="24"/>
          <w:highlight w:val="none"/>
        </w:rPr>
      </w:pPr>
      <w:bookmarkStart w:id="40" w:name="_Toc16386"/>
      <w:bookmarkStart w:id="41" w:name="_Toc24722"/>
      <w:r>
        <w:rPr>
          <w:rFonts w:hint="eastAsia" w:ascii="仿宋" w:hAnsi="仿宋" w:eastAsia="仿宋" w:cs="仿宋"/>
          <w:sz w:val="24"/>
          <w:szCs w:val="24"/>
          <w:highlight w:val="none"/>
        </w:rPr>
        <w:t>报价要求：</w:t>
      </w:r>
      <w:bookmarkEnd w:id="40"/>
      <w:bookmarkEnd w:id="41"/>
    </w:p>
    <w:p>
      <w:pPr>
        <w:numPr>
          <w:ilvl w:val="0"/>
          <w:numId w:val="15"/>
        </w:numPr>
        <w:spacing w:line="360" w:lineRule="auto"/>
        <w:ind w:firstLine="420" w:firstLineChars="175"/>
        <w:outlineLvl w:val="1"/>
        <w:rPr>
          <w:rFonts w:ascii="仿宋" w:hAnsi="仿宋" w:eastAsia="仿宋" w:cs="仿宋"/>
          <w:sz w:val="24"/>
          <w:szCs w:val="24"/>
          <w:highlight w:val="none"/>
        </w:rPr>
      </w:pPr>
      <w:bookmarkStart w:id="42" w:name="_Toc10622"/>
      <w:bookmarkStart w:id="43" w:name="_Toc1508"/>
      <w:r>
        <w:rPr>
          <w:rFonts w:hint="eastAsia" w:ascii="仿宋" w:hAnsi="仿宋" w:eastAsia="仿宋" w:cs="仿宋"/>
          <w:sz w:val="24"/>
          <w:szCs w:val="24"/>
          <w:highlight w:val="none"/>
        </w:rPr>
        <w:t>本次招标服务期限为2年（含试管期3个月），按一年服务进行报价，最高费用为</w:t>
      </w:r>
      <w:r>
        <w:rPr>
          <w:rFonts w:hint="eastAsia" w:ascii="仿宋" w:hAnsi="仿宋" w:eastAsia="仿宋" w:cs="仿宋"/>
          <w:sz w:val="24"/>
          <w:szCs w:val="24"/>
          <w:highlight w:val="none"/>
          <w:lang w:val="en-US" w:eastAsia="zh-CN"/>
        </w:rPr>
        <w:t>22,440,518.27元</w:t>
      </w:r>
      <w:r>
        <w:rPr>
          <w:rFonts w:hint="eastAsia" w:ascii="仿宋" w:hAnsi="仿宋" w:eastAsia="仿宋" w:cs="仿宋"/>
          <w:sz w:val="24"/>
          <w:szCs w:val="24"/>
          <w:highlight w:val="none"/>
        </w:rPr>
        <w:t>（投标价超出此预算金额的作为无效投标处理）。第二年经费待财政预算批复后才能实施（费用标准不得超出第一年的费用标准），根据合同约定的时间与方式支付费用。</w:t>
      </w:r>
      <w:bookmarkEnd w:id="42"/>
      <w:bookmarkEnd w:id="43"/>
      <w:bookmarkStart w:id="44" w:name="_Toc3356"/>
      <w:bookmarkStart w:id="45" w:name="_Toc30334"/>
    </w:p>
    <w:p>
      <w:pPr>
        <w:numPr>
          <w:ilvl w:val="0"/>
          <w:numId w:val="15"/>
        </w:numPr>
        <w:spacing w:line="360" w:lineRule="auto"/>
        <w:ind w:firstLine="420" w:firstLineChars="175"/>
        <w:outlineLvl w:val="1"/>
        <w:rPr>
          <w:rFonts w:ascii="仿宋" w:hAnsi="仿宋" w:eastAsia="仿宋" w:cs="仿宋"/>
          <w:sz w:val="24"/>
          <w:szCs w:val="24"/>
          <w:highlight w:val="none"/>
        </w:rPr>
      </w:pPr>
      <w:r>
        <w:rPr>
          <w:rFonts w:hint="eastAsia" w:ascii="仿宋" w:hAnsi="仿宋" w:eastAsia="仿宋" w:cs="仿宋"/>
          <w:sz w:val="24"/>
          <w:szCs w:val="24"/>
          <w:highlight w:val="none"/>
        </w:rPr>
        <w:t>投标单位在投标报价时，需充分考虑到国家调整职工最低工资保障线的情况以及物价上涨等因素。业主方不会因国家调整职工最顶工资保障线以及物价上涨等因素，而追加</w:t>
      </w:r>
      <w:r>
        <w:rPr>
          <w:rFonts w:hint="eastAsia" w:ascii="仿宋" w:hAnsi="仿宋" w:eastAsia="仿宋" w:cs="仿宋"/>
          <w:sz w:val="24"/>
          <w:szCs w:val="24"/>
          <w:highlight w:val="none"/>
          <w:lang w:eastAsia="zh-CN"/>
        </w:rPr>
        <w:t>服务费用</w:t>
      </w:r>
      <w:r>
        <w:rPr>
          <w:rFonts w:hint="eastAsia" w:ascii="仿宋" w:hAnsi="仿宋" w:eastAsia="仿宋" w:cs="仿宋"/>
          <w:sz w:val="24"/>
          <w:szCs w:val="24"/>
          <w:highlight w:val="none"/>
        </w:rPr>
        <w:t>。</w:t>
      </w:r>
      <w:bookmarkEnd w:id="44"/>
      <w:bookmarkEnd w:id="45"/>
    </w:p>
    <w:p>
      <w:pPr>
        <w:numPr>
          <w:ilvl w:val="0"/>
          <w:numId w:val="14"/>
        </w:numPr>
        <w:spacing w:line="360" w:lineRule="auto"/>
        <w:ind w:hanging="5"/>
        <w:outlineLvl w:val="1"/>
        <w:rPr>
          <w:rFonts w:ascii="仿宋" w:hAnsi="仿宋" w:eastAsia="仿宋" w:cs="仿宋"/>
          <w:sz w:val="24"/>
          <w:szCs w:val="24"/>
          <w:highlight w:val="none"/>
        </w:rPr>
      </w:pPr>
      <w:bookmarkStart w:id="46" w:name="_Toc4369"/>
      <w:bookmarkStart w:id="47" w:name="_Toc27683"/>
      <w:r>
        <w:rPr>
          <w:rFonts w:hint="eastAsia" w:ascii="仿宋" w:hAnsi="仿宋" w:eastAsia="仿宋" w:cs="仿宋"/>
          <w:sz w:val="24"/>
          <w:szCs w:val="24"/>
          <w:highlight w:val="none"/>
        </w:rPr>
        <w:t>列出开办费清单。</w:t>
      </w:r>
      <w:bookmarkEnd w:id="46"/>
      <w:bookmarkEnd w:id="47"/>
    </w:p>
    <w:p>
      <w:pPr>
        <w:numPr>
          <w:ilvl w:val="0"/>
          <w:numId w:val="14"/>
        </w:numPr>
        <w:spacing w:line="360" w:lineRule="auto"/>
        <w:ind w:hanging="5"/>
        <w:outlineLvl w:val="1"/>
        <w:rPr>
          <w:rFonts w:ascii="仿宋" w:hAnsi="仿宋" w:eastAsia="仿宋" w:cs="仿宋"/>
          <w:sz w:val="24"/>
          <w:szCs w:val="24"/>
          <w:highlight w:val="none"/>
        </w:rPr>
      </w:pPr>
      <w:bookmarkStart w:id="48" w:name="_Toc3015"/>
      <w:bookmarkStart w:id="49" w:name="_Toc14713"/>
      <w:r>
        <w:rPr>
          <w:rFonts w:hint="eastAsia" w:ascii="仿宋" w:hAnsi="仿宋" w:eastAsia="仿宋" w:cs="仿宋"/>
          <w:sz w:val="24"/>
          <w:szCs w:val="24"/>
          <w:highlight w:val="none"/>
        </w:rPr>
        <w:t>中标</w:t>
      </w:r>
      <w:r>
        <w:rPr>
          <w:rFonts w:hint="eastAsia" w:ascii="仿宋" w:hAnsi="仿宋" w:eastAsia="仿宋" w:cs="仿宋"/>
          <w:sz w:val="24"/>
          <w:szCs w:val="24"/>
          <w:highlight w:val="none"/>
          <w:lang w:eastAsia="zh-CN"/>
        </w:rPr>
        <w:t>单位</w:t>
      </w:r>
      <w:r>
        <w:rPr>
          <w:rFonts w:hint="eastAsia" w:ascii="仿宋" w:hAnsi="仿宋" w:eastAsia="仿宋" w:cs="仿宋"/>
          <w:sz w:val="24"/>
          <w:szCs w:val="24"/>
          <w:highlight w:val="none"/>
        </w:rPr>
        <w:t>需配合业主方上传合同、缴费凭证、照片等至资产动态管理信息系统。</w:t>
      </w:r>
      <w:bookmarkEnd w:id="48"/>
      <w:bookmarkEnd w:id="49"/>
    </w:p>
    <w:p>
      <w:pPr>
        <w:numPr>
          <w:ilvl w:val="0"/>
          <w:numId w:val="14"/>
        </w:numPr>
        <w:spacing w:line="360" w:lineRule="auto"/>
        <w:ind w:hanging="5"/>
        <w:outlineLvl w:val="1"/>
        <w:rPr>
          <w:rFonts w:ascii="仿宋" w:hAnsi="仿宋" w:eastAsia="仿宋" w:cs="仿宋"/>
          <w:sz w:val="24"/>
          <w:szCs w:val="24"/>
          <w:highlight w:val="none"/>
        </w:rPr>
      </w:pPr>
      <w:bookmarkStart w:id="50" w:name="_Toc19861"/>
      <w:bookmarkStart w:id="51" w:name="_Toc14868"/>
      <w:r>
        <w:rPr>
          <w:rFonts w:hint="eastAsia" w:ascii="仿宋" w:hAnsi="仿宋" w:eastAsia="仿宋" w:cs="仿宋"/>
          <w:sz w:val="24"/>
          <w:szCs w:val="24"/>
          <w:highlight w:val="none"/>
        </w:rPr>
        <w:t>投标方案应充分考虑政府机关工作的特殊性，充分考虑节假日、双休日和重大事件、重大活动及日常工作需要加班服务的因素。</w:t>
      </w:r>
      <w:bookmarkEnd w:id="50"/>
      <w:bookmarkEnd w:id="51"/>
    </w:p>
    <w:p>
      <w:pPr>
        <w:numPr>
          <w:ilvl w:val="0"/>
          <w:numId w:val="14"/>
        </w:numPr>
        <w:spacing w:line="360" w:lineRule="auto"/>
        <w:ind w:hanging="5"/>
        <w:outlineLvl w:val="1"/>
        <w:rPr>
          <w:rFonts w:ascii="仿宋" w:hAnsi="仿宋" w:eastAsia="仿宋" w:cs="仿宋"/>
          <w:sz w:val="24"/>
          <w:szCs w:val="24"/>
          <w:highlight w:val="none"/>
        </w:rPr>
      </w:pPr>
      <w:bookmarkStart w:id="52" w:name="_Toc25627"/>
      <w:bookmarkStart w:id="53" w:name="_Toc24908"/>
      <w:bookmarkStart w:id="54" w:name="_Toc29041"/>
      <w:r>
        <w:rPr>
          <w:rFonts w:hint="eastAsia" w:ascii="仿宋" w:hAnsi="仿宋" w:eastAsia="仿宋" w:cs="仿宋"/>
          <w:sz w:val="24"/>
          <w:szCs w:val="24"/>
          <w:highlight w:val="none"/>
        </w:rPr>
        <w:t>中标方需提供食堂使用自助结算设备。</w:t>
      </w:r>
      <w:bookmarkEnd w:id="52"/>
      <w:bookmarkEnd w:id="53"/>
    </w:p>
    <w:p>
      <w:pPr>
        <w:numPr>
          <w:ilvl w:val="0"/>
          <w:numId w:val="14"/>
        </w:numPr>
        <w:spacing w:line="360" w:lineRule="auto"/>
        <w:ind w:hanging="5"/>
        <w:outlineLvl w:val="1"/>
        <w:rPr>
          <w:rFonts w:ascii="仿宋" w:hAnsi="仿宋" w:eastAsia="仿宋" w:cs="仿宋"/>
          <w:sz w:val="24"/>
          <w:szCs w:val="24"/>
          <w:highlight w:val="none"/>
        </w:rPr>
      </w:pPr>
      <w:r>
        <w:rPr>
          <w:rFonts w:hint="eastAsia" w:ascii="仿宋" w:hAnsi="仿宋" w:eastAsia="仿宋" w:cs="仿宋"/>
          <w:sz w:val="24"/>
          <w:szCs w:val="24"/>
          <w:highlight w:val="none"/>
        </w:rPr>
        <w:t>投标方需提供移交方案。</w:t>
      </w:r>
    </w:p>
    <w:p>
      <w:pPr>
        <w:rPr>
          <w:rFonts w:ascii="仿宋" w:hAnsi="仿宋" w:eastAsia="仿宋" w:cs="仿宋"/>
          <w:b/>
          <w:bCs/>
          <w:sz w:val="24"/>
          <w:szCs w:val="24"/>
          <w:highlight w:val="none"/>
        </w:rPr>
      </w:pPr>
      <w:r>
        <w:rPr>
          <w:rFonts w:hint="eastAsia" w:ascii="黑体" w:hAnsi="黑体" w:eastAsia="黑体" w:cs="黑体"/>
          <w:b/>
          <w:sz w:val="28"/>
          <w:szCs w:val="28"/>
          <w:highlight w:val="none"/>
          <w:lang w:eastAsia="zh-CN"/>
        </w:rPr>
        <w:t>六、</w:t>
      </w:r>
      <w:r>
        <w:rPr>
          <w:rFonts w:hint="eastAsia" w:ascii="黑体" w:hAnsi="黑体" w:eastAsia="黑体" w:cs="黑体"/>
          <w:b/>
          <w:sz w:val="28"/>
          <w:szCs w:val="28"/>
          <w:highlight w:val="none"/>
        </w:rPr>
        <w:t>人员要求</w:t>
      </w:r>
      <w:bookmarkEnd w:id="54"/>
    </w:p>
    <w:p>
      <w:pPr>
        <w:numPr>
          <w:ilvl w:val="0"/>
          <w:numId w:val="16"/>
        </w:numPr>
        <w:tabs>
          <w:tab w:val="left" w:pos="540"/>
          <w:tab w:val="left" w:pos="840"/>
        </w:tabs>
        <w:spacing w:before="156" w:beforeLines="50" w:after="156" w:afterLines="50" w:line="360" w:lineRule="auto"/>
        <w:ind w:hanging="5"/>
        <w:outlineLvl w:val="1"/>
        <w:rPr>
          <w:rFonts w:ascii="仿宋" w:hAnsi="仿宋" w:eastAsia="仿宋" w:cs="仿宋"/>
          <w:b/>
          <w:bCs/>
          <w:sz w:val="24"/>
          <w:szCs w:val="24"/>
          <w:highlight w:val="none"/>
        </w:rPr>
      </w:pPr>
      <w:bookmarkStart w:id="55" w:name="_Toc14941"/>
      <w:bookmarkStart w:id="56" w:name="_Toc14110"/>
      <w:r>
        <w:rPr>
          <w:rFonts w:hint="eastAsia" w:ascii="仿宋" w:hAnsi="仿宋" w:eastAsia="仿宋" w:cs="仿宋"/>
          <w:b/>
          <w:bCs/>
          <w:sz w:val="24"/>
          <w:szCs w:val="24"/>
          <w:highlight w:val="none"/>
        </w:rPr>
        <w:t>人员配备最低要求</w:t>
      </w:r>
      <w:bookmarkEnd w:id="55"/>
      <w:bookmarkEnd w:id="56"/>
    </w:p>
    <w:p>
      <w:pPr>
        <w:numPr>
          <w:ilvl w:val="1"/>
          <w:numId w:val="17"/>
        </w:numPr>
        <w:tabs>
          <w:tab w:val="left" w:pos="1080"/>
        </w:tabs>
        <w:spacing w:before="156" w:beforeLines="50" w:after="156" w:afterLines="50" w:line="360" w:lineRule="auto"/>
        <w:ind w:left="0" w:firstLine="42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长宁路599号</w:t>
      </w:r>
      <w:r>
        <w:rPr>
          <w:rFonts w:hint="eastAsia" w:ascii="仿宋" w:hAnsi="仿宋" w:eastAsia="仿宋" w:cs="仿宋"/>
          <w:sz w:val="24"/>
          <w:szCs w:val="24"/>
          <w:highlight w:val="none"/>
        </w:rPr>
        <w:t>：保安</w:t>
      </w:r>
      <w:r>
        <w:rPr>
          <w:rFonts w:hint="eastAsia" w:ascii="仿宋" w:hAnsi="仿宋" w:eastAsia="仿宋" w:cs="仿宋"/>
          <w:sz w:val="24"/>
          <w:szCs w:val="24"/>
          <w:highlight w:val="none"/>
          <w:lang w:val="en-US" w:eastAsia="zh-CN"/>
        </w:rPr>
        <w:t>56</w:t>
      </w:r>
      <w:r>
        <w:rPr>
          <w:rFonts w:hint="eastAsia" w:ascii="仿宋" w:hAnsi="仿宋" w:eastAsia="仿宋" w:cs="仿宋"/>
          <w:sz w:val="24"/>
          <w:szCs w:val="24"/>
          <w:highlight w:val="none"/>
        </w:rPr>
        <w:t>人，保洁</w:t>
      </w:r>
      <w:r>
        <w:rPr>
          <w:rFonts w:hint="eastAsia" w:ascii="仿宋" w:hAnsi="仿宋" w:eastAsia="仿宋" w:cs="仿宋"/>
          <w:sz w:val="24"/>
          <w:szCs w:val="24"/>
          <w:highlight w:val="none"/>
          <w:lang w:val="en-US" w:eastAsia="zh-CN"/>
        </w:rPr>
        <w:t>34</w:t>
      </w:r>
      <w:r>
        <w:rPr>
          <w:rFonts w:hint="eastAsia" w:ascii="仿宋" w:hAnsi="仿宋" w:eastAsia="仿宋" w:cs="仿宋"/>
          <w:sz w:val="24"/>
          <w:szCs w:val="24"/>
          <w:highlight w:val="none"/>
        </w:rPr>
        <w:t>人，维修21人，管理3人，收发室3人。</w:t>
      </w:r>
    </w:p>
    <w:p>
      <w:pPr>
        <w:numPr>
          <w:ilvl w:val="1"/>
          <w:numId w:val="17"/>
        </w:numPr>
        <w:tabs>
          <w:tab w:val="left" w:pos="1080"/>
        </w:tabs>
        <w:spacing w:before="156" w:beforeLines="50" w:after="156" w:afterLines="50" w:line="360" w:lineRule="auto"/>
        <w:ind w:left="0" w:firstLine="420"/>
        <w:rPr>
          <w:rFonts w:ascii="仿宋" w:hAnsi="仿宋" w:eastAsia="仿宋" w:cs="仿宋"/>
          <w:sz w:val="24"/>
          <w:szCs w:val="24"/>
          <w:highlight w:val="none"/>
        </w:rPr>
      </w:pPr>
      <w:r>
        <w:rPr>
          <w:rFonts w:hint="eastAsia" w:ascii="仿宋" w:hAnsi="仿宋" w:eastAsia="仿宋" w:cs="仿宋"/>
          <w:sz w:val="24"/>
          <w:szCs w:val="24"/>
          <w:highlight w:val="none"/>
        </w:rPr>
        <w:t>安西路37号：保安</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人，保洁2人。</w:t>
      </w:r>
    </w:p>
    <w:p>
      <w:pPr>
        <w:numPr>
          <w:ilvl w:val="1"/>
          <w:numId w:val="17"/>
        </w:numPr>
        <w:tabs>
          <w:tab w:val="left" w:pos="1080"/>
        </w:tabs>
        <w:spacing w:before="156" w:beforeLines="50" w:after="156" w:afterLines="50" w:line="360" w:lineRule="auto"/>
        <w:ind w:left="0" w:firstLine="420"/>
        <w:rPr>
          <w:rFonts w:ascii="仿宋" w:hAnsi="仿宋" w:eastAsia="仿宋" w:cs="仿宋"/>
          <w:sz w:val="24"/>
          <w:szCs w:val="24"/>
          <w:highlight w:val="none"/>
        </w:rPr>
      </w:pPr>
      <w:r>
        <w:rPr>
          <w:rFonts w:hint="eastAsia" w:ascii="仿宋" w:hAnsi="仿宋" w:eastAsia="仿宋" w:cs="仿宋"/>
          <w:sz w:val="24"/>
          <w:szCs w:val="24"/>
          <w:highlight w:val="none"/>
        </w:rPr>
        <w:t>愚园路1136弄60号：保安8人，保洁4人。</w:t>
      </w:r>
    </w:p>
    <w:p>
      <w:pPr>
        <w:numPr>
          <w:ilvl w:val="1"/>
          <w:numId w:val="17"/>
        </w:numPr>
        <w:tabs>
          <w:tab w:val="left" w:pos="1080"/>
        </w:tabs>
        <w:spacing w:before="156" w:beforeLines="50" w:after="156" w:afterLines="50" w:line="360" w:lineRule="auto"/>
        <w:ind w:left="0" w:firstLine="420"/>
        <w:rPr>
          <w:rFonts w:ascii="仿宋" w:hAnsi="仿宋" w:eastAsia="仿宋" w:cs="仿宋"/>
          <w:sz w:val="24"/>
          <w:szCs w:val="24"/>
          <w:highlight w:val="none"/>
        </w:rPr>
      </w:pPr>
      <w:r>
        <w:rPr>
          <w:rFonts w:hint="eastAsia" w:ascii="仿宋" w:hAnsi="仿宋" w:eastAsia="仿宋" w:cs="仿宋"/>
          <w:sz w:val="24"/>
          <w:szCs w:val="24"/>
          <w:highlight w:val="none"/>
        </w:rPr>
        <w:t>长宁路895号：保安5人，保洁2人，维修1人。</w:t>
      </w:r>
    </w:p>
    <w:p>
      <w:pPr>
        <w:numPr>
          <w:ilvl w:val="1"/>
          <w:numId w:val="17"/>
        </w:numPr>
        <w:tabs>
          <w:tab w:val="left" w:pos="1080"/>
        </w:tabs>
        <w:spacing w:before="156" w:beforeLines="50" w:after="156" w:afterLines="50" w:line="360" w:lineRule="auto"/>
        <w:ind w:left="0" w:firstLine="420"/>
        <w:rPr>
          <w:rFonts w:ascii="仿宋" w:hAnsi="仿宋" w:eastAsia="仿宋" w:cs="仿宋"/>
          <w:sz w:val="24"/>
          <w:szCs w:val="24"/>
          <w:highlight w:val="none"/>
        </w:rPr>
      </w:pPr>
      <w:r>
        <w:rPr>
          <w:rFonts w:hint="eastAsia" w:ascii="仿宋" w:hAnsi="仿宋" w:eastAsia="仿宋" w:cs="仿宋"/>
          <w:sz w:val="24"/>
          <w:szCs w:val="24"/>
          <w:highlight w:val="none"/>
        </w:rPr>
        <w:t>安西路35号：保安4人，保洁2人。</w:t>
      </w:r>
    </w:p>
    <w:p>
      <w:pPr>
        <w:numPr>
          <w:ilvl w:val="1"/>
          <w:numId w:val="17"/>
        </w:numPr>
        <w:tabs>
          <w:tab w:val="left" w:pos="1080"/>
        </w:tabs>
        <w:spacing w:before="156" w:beforeLines="50" w:after="156" w:afterLines="50" w:line="360" w:lineRule="auto"/>
        <w:ind w:left="0" w:firstLine="420"/>
        <w:rPr>
          <w:rFonts w:ascii="仿宋" w:hAnsi="仿宋" w:eastAsia="仿宋" w:cs="仿宋"/>
          <w:sz w:val="24"/>
          <w:szCs w:val="24"/>
          <w:highlight w:val="none"/>
        </w:rPr>
      </w:pPr>
      <w:r>
        <w:rPr>
          <w:rFonts w:hint="eastAsia" w:ascii="仿宋" w:hAnsi="仿宋" w:eastAsia="仿宋" w:cs="仿宋"/>
          <w:sz w:val="24"/>
          <w:szCs w:val="24"/>
          <w:highlight w:val="none"/>
        </w:rPr>
        <w:t>安西路23弄1-4号：保洁1人。</w:t>
      </w:r>
    </w:p>
    <w:p>
      <w:pPr>
        <w:numPr>
          <w:ilvl w:val="1"/>
          <w:numId w:val="17"/>
        </w:numPr>
        <w:tabs>
          <w:tab w:val="left" w:pos="1080"/>
        </w:tabs>
        <w:spacing w:before="156" w:beforeLines="50" w:after="156" w:afterLines="50" w:line="360" w:lineRule="auto"/>
        <w:ind w:left="0" w:firstLine="420"/>
        <w:rPr>
          <w:rFonts w:ascii="仿宋" w:hAnsi="仿宋" w:eastAsia="仿宋" w:cs="仿宋"/>
          <w:sz w:val="24"/>
          <w:szCs w:val="24"/>
          <w:highlight w:val="none"/>
        </w:rPr>
      </w:pPr>
      <w:r>
        <w:rPr>
          <w:rFonts w:hint="eastAsia" w:ascii="仿宋" w:hAnsi="仿宋" w:eastAsia="仿宋" w:cs="仿宋"/>
          <w:sz w:val="24"/>
          <w:szCs w:val="24"/>
          <w:highlight w:val="none"/>
          <w:lang w:eastAsia="zh-CN"/>
        </w:rPr>
        <w:t>长宁路</w:t>
      </w:r>
      <w:r>
        <w:rPr>
          <w:rFonts w:hint="eastAsia" w:ascii="仿宋" w:hAnsi="仿宋" w:eastAsia="仿宋" w:cs="仿宋"/>
          <w:sz w:val="24"/>
          <w:szCs w:val="24"/>
          <w:highlight w:val="none"/>
          <w:lang w:val="en-US" w:eastAsia="zh-CN"/>
        </w:rPr>
        <w:t>626号：</w:t>
      </w:r>
      <w:r>
        <w:rPr>
          <w:rFonts w:hint="eastAsia" w:ascii="仿宋" w:hAnsi="仿宋" w:eastAsia="仿宋" w:cs="仿宋"/>
          <w:sz w:val="24"/>
          <w:szCs w:val="24"/>
          <w:highlight w:val="none"/>
        </w:rPr>
        <w:t>保安</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人，保洁2人</w:t>
      </w:r>
      <w:r>
        <w:rPr>
          <w:rFonts w:hint="eastAsia" w:ascii="仿宋" w:hAnsi="仿宋" w:eastAsia="仿宋" w:cs="仿宋"/>
          <w:sz w:val="24"/>
          <w:szCs w:val="24"/>
          <w:highlight w:val="none"/>
          <w:lang w:eastAsia="zh-CN"/>
        </w:rPr>
        <w:t>。</w:t>
      </w:r>
    </w:p>
    <w:p>
      <w:pPr>
        <w:numPr>
          <w:ilvl w:val="1"/>
          <w:numId w:val="17"/>
        </w:numPr>
        <w:tabs>
          <w:tab w:val="left" w:pos="1080"/>
        </w:tabs>
        <w:spacing w:before="156" w:beforeLines="50" w:after="156" w:afterLines="50" w:line="360" w:lineRule="auto"/>
        <w:ind w:left="0" w:firstLine="420"/>
        <w:rPr>
          <w:rFonts w:ascii="仿宋" w:hAnsi="仿宋" w:eastAsia="仿宋" w:cs="仿宋"/>
          <w:sz w:val="24"/>
          <w:szCs w:val="24"/>
          <w:highlight w:val="none"/>
        </w:rPr>
      </w:pPr>
      <w:r>
        <w:rPr>
          <w:rFonts w:hint="eastAsia" w:ascii="仿宋" w:hAnsi="仿宋" w:eastAsia="仿宋" w:cs="仿宋"/>
          <w:sz w:val="24"/>
          <w:szCs w:val="24"/>
          <w:highlight w:val="none"/>
        </w:rPr>
        <w:t>消防监控室人员具有建（构）筑物消防员证书</w:t>
      </w:r>
      <w:r>
        <w:rPr>
          <w:rFonts w:hint="eastAsia" w:ascii="仿宋" w:hAnsi="仿宋" w:eastAsia="仿宋" w:cs="仿宋"/>
          <w:sz w:val="24"/>
          <w:szCs w:val="24"/>
          <w:highlight w:val="none"/>
          <w:lang w:val="en-US" w:eastAsia="zh-CN"/>
        </w:rPr>
        <w:t>或消防设施操作员证书（四级及以上）</w:t>
      </w:r>
      <w:r>
        <w:rPr>
          <w:rFonts w:hint="eastAsia" w:ascii="仿宋" w:hAnsi="仿宋" w:eastAsia="仿宋" w:cs="仿宋"/>
          <w:sz w:val="24"/>
          <w:szCs w:val="24"/>
          <w:highlight w:val="none"/>
        </w:rPr>
        <w:t>，配备专人24小时值班。</w:t>
      </w:r>
    </w:p>
    <w:p>
      <w:pPr>
        <w:numPr>
          <w:ilvl w:val="1"/>
          <w:numId w:val="17"/>
        </w:numPr>
        <w:tabs>
          <w:tab w:val="left" w:pos="1080"/>
        </w:tabs>
        <w:spacing w:before="156" w:beforeLines="50" w:after="156" w:afterLines="50" w:line="360" w:lineRule="auto"/>
        <w:ind w:left="0" w:firstLine="420"/>
        <w:rPr>
          <w:rFonts w:ascii="仿宋" w:hAnsi="仿宋" w:eastAsia="仿宋" w:cs="仿宋"/>
          <w:sz w:val="24"/>
          <w:szCs w:val="24"/>
          <w:highlight w:val="none"/>
        </w:rPr>
      </w:pPr>
      <w:r>
        <w:rPr>
          <w:rFonts w:hint="eastAsia" w:ascii="仿宋" w:hAnsi="仿宋" w:eastAsia="仿宋" w:cs="仿宋"/>
          <w:sz w:val="24"/>
          <w:szCs w:val="24"/>
          <w:highlight w:val="none"/>
        </w:rPr>
        <w:t>食堂：</w:t>
      </w:r>
      <w:r>
        <w:rPr>
          <w:rFonts w:hint="eastAsia" w:ascii="仿宋" w:hAnsi="仿宋" w:eastAsia="仿宋" w:cs="仿宋"/>
          <w:sz w:val="24"/>
          <w:szCs w:val="24"/>
          <w:highlight w:val="none"/>
          <w:lang w:eastAsia="zh-CN"/>
        </w:rPr>
        <w:t>餐饮经理</w:t>
      </w:r>
      <w:r>
        <w:rPr>
          <w:rFonts w:hint="eastAsia" w:ascii="仿宋" w:hAnsi="仿宋" w:eastAsia="仿宋" w:cs="仿宋"/>
          <w:sz w:val="24"/>
          <w:szCs w:val="24"/>
          <w:highlight w:val="none"/>
        </w:rPr>
        <w:t>1人，厨师长1人，厨师</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人，</w:t>
      </w:r>
      <w:r>
        <w:rPr>
          <w:rFonts w:hint="eastAsia" w:ascii="仿宋" w:hAnsi="仿宋" w:eastAsia="仿宋" w:cs="仿宋"/>
          <w:sz w:val="24"/>
          <w:szCs w:val="24"/>
          <w:highlight w:val="none"/>
          <w:lang w:eastAsia="zh-CN"/>
        </w:rPr>
        <w:t>冷菜师</w:t>
      </w:r>
      <w:r>
        <w:rPr>
          <w:rFonts w:hint="eastAsia" w:ascii="仿宋" w:hAnsi="仿宋" w:eastAsia="仿宋" w:cs="仿宋"/>
          <w:sz w:val="24"/>
          <w:szCs w:val="24"/>
          <w:highlight w:val="none"/>
          <w:lang w:val="en-US" w:eastAsia="zh-CN"/>
        </w:rPr>
        <w:t>1人，</w:t>
      </w:r>
      <w:r>
        <w:rPr>
          <w:rFonts w:hint="eastAsia" w:ascii="仿宋" w:hAnsi="仿宋" w:eastAsia="仿宋" w:cs="仿宋"/>
          <w:sz w:val="24"/>
          <w:szCs w:val="24"/>
          <w:highlight w:val="none"/>
          <w:lang w:eastAsia="zh-CN"/>
        </w:rPr>
        <w:t>中点领班</w:t>
      </w:r>
      <w:r>
        <w:rPr>
          <w:rFonts w:hint="eastAsia" w:ascii="仿宋" w:hAnsi="仿宋" w:eastAsia="仿宋" w:cs="仿宋"/>
          <w:sz w:val="24"/>
          <w:szCs w:val="24"/>
          <w:highlight w:val="none"/>
          <w:lang w:val="en-US" w:eastAsia="zh-CN"/>
        </w:rPr>
        <w:t>1人，</w:t>
      </w:r>
      <w:r>
        <w:rPr>
          <w:rFonts w:hint="eastAsia" w:ascii="仿宋" w:hAnsi="仿宋" w:eastAsia="仿宋" w:cs="仿宋"/>
          <w:sz w:val="24"/>
          <w:szCs w:val="24"/>
          <w:highlight w:val="none"/>
        </w:rPr>
        <w:t>点心师</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人，</w:t>
      </w:r>
      <w:r>
        <w:rPr>
          <w:rFonts w:hint="eastAsia" w:ascii="仿宋" w:hAnsi="仿宋" w:eastAsia="仿宋" w:cs="仿宋"/>
          <w:sz w:val="24"/>
          <w:szCs w:val="24"/>
          <w:highlight w:val="none"/>
          <w:lang w:eastAsia="zh-CN"/>
        </w:rPr>
        <w:t>西点师</w:t>
      </w:r>
      <w:r>
        <w:rPr>
          <w:rFonts w:hint="eastAsia" w:ascii="仿宋" w:hAnsi="仿宋" w:eastAsia="仿宋" w:cs="仿宋"/>
          <w:sz w:val="24"/>
          <w:szCs w:val="24"/>
          <w:highlight w:val="none"/>
          <w:lang w:val="en-US" w:eastAsia="zh-CN"/>
        </w:rPr>
        <w:t>1人，咖啡师1人，</w:t>
      </w:r>
      <w:r>
        <w:rPr>
          <w:rFonts w:hint="eastAsia" w:ascii="仿宋" w:hAnsi="仿宋" w:eastAsia="仿宋" w:cs="仿宋"/>
          <w:sz w:val="24"/>
          <w:szCs w:val="24"/>
          <w:highlight w:val="none"/>
        </w:rPr>
        <w:t>切配及勤杂工</w:t>
      </w:r>
      <w:r>
        <w:rPr>
          <w:rFonts w:hint="eastAsia" w:ascii="仿宋" w:hAnsi="仿宋" w:eastAsia="仿宋" w:cs="仿宋"/>
          <w:sz w:val="24"/>
          <w:szCs w:val="24"/>
          <w:highlight w:val="none"/>
          <w:lang w:val="en-US" w:eastAsia="zh-CN"/>
        </w:rPr>
        <w:t>21</w:t>
      </w:r>
      <w:r>
        <w:rPr>
          <w:rFonts w:hint="eastAsia" w:ascii="仿宋" w:hAnsi="仿宋" w:eastAsia="仿宋" w:cs="仿宋"/>
          <w:sz w:val="24"/>
          <w:szCs w:val="24"/>
          <w:highlight w:val="none"/>
        </w:rPr>
        <w:t>人，服务领班2人，服务员</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人</w:t>
      </w:r>
      <w:r>
        <w:rPr>
          <w:rFonts w:hint="eastAsia" w:ascii="仿宋" w:hAnsi="仿宋" w:eastAsia="仿宋" w:cs="仿宋"/>
          <w:sz w:val="24"/>
          <w:szCs w:val="24"/>
          <w:highlight w:val="none"/>
          <w:lang w:eastAsia="zh-CN"/>
        </w:rPr>
        <w:t>。</w:t>
      </w:r>
    </w:p>
    <w:p>
      <w:pPr>
        <w:numPr>
          <w:ilvl w:val="1"/>
          <w:numId w:val="17"/>
        </w:numPr>
        <w:tabs>
          <w:tab w:val="left" w:pos="1080"/>
        </w:tabs>
        <w:spacing w:before="156" w:beforeLines="50" w:after="156" w:afterLines="50" w:line="360" w:lineRule="auto"/>
        <w:ind w:left="0" w:firstLine="420"/>
        <w:rPr>
          <w:rFonts w:ascii="仿宋" w:hAnsi="仿宋" w:eastAsia="仿宋" w:cs="仿宋"/>
          <w:sz w:val="24"/>
          <w:szCs w:val="24"/>
          <w:highlight w:val="none"/>
        </w:rPr>
      </w:pPr>
      <w:r>
        <w:rPr>
          <w:rFonts w:hint="eastAsia" w:ascii="仿宋" w:hAnsi="仿宋" w:eastAsia="仿宋" w:cs="仿宋"/>
          <w:sz w:val="24"/>
          <w:szCs w:val="24"/>
          <w:highlight w:val="none"/>
        </w:rPr>
        <w:t>投入本项目的保安员</w:t>
      </w:r>
      <w:r>
        <w:rPr>
          <w:rFonts w:hint="eastAsia" w:ascii="仿宋" w:hAnsi="仿宋" w:eastAsia="仿宋" w:cs="仿宋"/>
          <w:sz w:val="24"/>
          <w:szCs w:val="24"/>
          <w:highlight w:val="none"/>
          <w:lang w:val="en-US" w:eastAsia="zh-CN"/>
        </w:rPr>
        <w:t>须持保安员证上岗、</w:t>
      </w:r>
      <w:r>
        <w:rPr>
          <w:rFonts w:hint="eastAsia" w:ascii="仿宋" w:hAnsi="仿宋" w:eastAsia="仿宋" w:cs="仿宋"/>
          <w:sz w:val="24"/>
          <w:szCs w:val="24"/>
          <w:highlight w:val="none"/>
        </w:rPr>
        <w:t>基础信息（含指纹等）采集率需达到90%以上，投入本项目的工程技术人员需符合相应的执业资格要求。投标文件需对上述要求作出明确承诺。</w:t>
      </w:r>
    </w:p>
    <w:p>
      <w:pPr>
        <w:numPr>
          <w:ilvl w:val="1"/>
          <w:numId w:val="17"/>
        </w:numPr>
        <w:tabs>
          <w:tab w:val="left" w:pos="1080"/>
        </w:tabs>
        <w:spacing w:before="156" w:beforeLines="50" w:after="156" w:afterLines="50" w:line="360" w:lineRule="auto"/>
        <w:ind w:left="0" w:firstLine="42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物业及餐饮服务的负责人不得随意更换，如需更换，须征得采购人的同意。</w:t>
      </w:r>
    </w:p>
    <w:p>
      <w:pPr>
        <w:numPr>
          <w:ilvl w:val="0"/>
          <w:numId w:val="16"/>
        </w:numPr>
        <w:tabs>
          <w:tab w:val="left" w:pos="540"/>
          <w:tab w:val="left" w:pos="840"/>
        </w:tabs>
        <w:spacing w:before="156" w:beforeLines="50" w:after="156" w:afterLines="50" w:line="360" w:lineRule="auto"/>
        <w:ind w:hanging="5"/>
        <w:outlineLvl w:val="1"/>
        <w:rPr>
          <w:rFonts w:ascii="仿宋" w:hAnsi="仿宋" w:eastAsia="仿宋" w:cs="仿宋"/>
          <w:b/>
          <w:bCs/>
          <w:sz w:val="24"/>
          <w:szCs w:val="24"/>
          <w:highlight w:val="none"/>
        </w:rPr>
      </w:pPr>
      <w:bookmarkStart w:id="57" w:name="_Toc4925"/>
      <w:bookmarkStart w:id="58" w:name="_Toc15089"/>
      <w:r>
        <w:rPr>
          <w:rFonts w:hint="eastAsia" w:ascii="仿宋" w:hAnsi="仿宋" w:eastAsia="仿宋" w:cs="仿宋"/>
          <w:b/>
          <w:bCs/>
          <w:sz w:val="24"/>
          <w:szCs w:val="24"/>
          <w:highlight w:val="none"/>
        </w:rPr>
        <w:t>服务人员任职要求</w:t>
      </w:r>
      <w:bookmarkEnd w:id="57"/>
      <w:bookmarkEnd w:id="58"/>
    </w:p>
    <w:p>
      <w:pPr>
        <w:snapToGrid w:val="0"/>
        <w:spacing w:line="360" w:lineRule="auto"/>
        <w:ind w:firstLine="480" w:firstLineChars="200"/>
        <w:jc w:val="left"/>
        <w:rPr>
          <w:rFonts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鉴于保密性要求，各投标方在投标书中应有保密工作相关方案和措施，所有餐饮服务人员均应政审合格，并做好相关名册和资料的管理，统一交业主方审核备案。中标方为此项目所聘用的全部人员的生、老、病、死或事故原因、劳资纠纷，刑、民事案件等均与业主方无关。</w:t>
      </w:r>
    </w:p>
    <w:p>
      <w:pPr>
        <w:snapToGrid w:val="0"/>
        <w:spacing w:line="360" w:lineRule="auto"/>
        <w:ind w:firstLine="480" w:firstLineChars="200"/>
        <w:jc w:val="left"/>
        <w:rPr>
          <w:rFonts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（1）主要管理岗位人员应取得相应的职业资质证书或岗位证书、专业技术证书；操作/服务岗位人员应取得相应的专业技术技能证书或职业技能资格证书。</w:t>
      </w:r>
    </w:p>
    <w:p>
      <w:pPr>
        <w:snapToGrid w:val="0"/>
        <w:spacing w:line="360" w:lineRule="auto"/>
        <w:ind w:firstLine="480" w:firstLineChars="200"/>
        <w:jc w:val="left"/>
        <w:rPr>
          <w:rFonts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（2）现场管理与服务人员应符合入职审核的相关规定，均应通过政治审核，无刑事犯罪记录。</w:t>
      </w:r>
    </w:p>
    <w:p>
      <w:pPr>
        <w:snapToGrid w:val="0"/>
        <w:spacing w:line="360" w:lineRule="auto"/>
        <w:ind w:firstLine="480" w:firstLineChars="200"/>
        <w:jc w:val="left"/>
        <w:rPr>
          <w:rFonts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（3）管理和服务人员应按规定统一着装、着装整齐清洁，仪表仪容整洁，佩戴标志、站姿端正、坐姿稳重，行为规范、服务主动。</w:t>
      </w:r>
    </w:p>
    <w:p>
      <w:pPr>
        <w:snapToGrid w:val="0"/>
        <w:spacing w:line="360" w:lineRule="auto"/>
        <w:ind w:firstLine="480" w:firstLineChars="200"/>
        <w:jc w:val="left"/>
        <w:rPr>
          <w:rFonts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（4）管理和服务人员在工作中应保持良好的精神状态，表情自然、亲切，举止大方、有礼，用语文明、规范，对待使用单位（部门）主动、热情、耐心、周到并及时为使用单位（部门）提供服务。</w:t>
      </w:r>
    </w:p>
    <w:p>
      <w:pPr>
        <w:snapToGrid w:val="0"/>
        <w:spacing w:line="360" w:lineRule="auto"/>
        <w:ind w:firstLine="480" w:firstLineChars="200"/>
        <w:jc w:val="left"/>
        <w:rPr>
          <w:rFonts w:ascii="仿宋" w:hAnsi="仿宋" w:eastAsia="仿宋" w:cs="仿宋"/>
          <w:highlight w:val="none"/>
        </w:rPr>
      </w:pPr>
      <w:r>
        <w:rPr>
          <w:rFonts w:hint="eastAsia" w:ascii="仿宋" w:hAnsi="仿宋" w:eastAsia="仿宋" w:cs="仿宋"/>
          <w:b w:val="0"/>
          <w:bCs w:val="0"/>
          <w:sz w:val="24"/>
          <w:szCs w:val="24"/>
          <w:highlight w:val="none"/>
        </w:rPr>
        <w:t>（5）建立对现场管理和服务人员的考评和奖惩制度，并提供具体的考评和奖惩的实施措施和办法，通过合理的激励机制，促使员工队伍优胜劣汰。</w:t>
      </w:r>
    </w:p>
    <w:p>
      <w:pPr>
        <w:numPr>
          <w:ilvl w:val="0"/>
          <w:numId w:val="0"/>
        </w:numPr>
        <w:spacing w:line="480" w:lineRule="exact"/>
        <w:ind w:leftChars="0"/>
        <w:outlineLvl w:val="0"/>
        <w:rPr>
          <w:rFonts w:ascii="黑体" w:hAnsi="黑体" w:eastAsia="黑体" w:cs="黑体"/>
          <w:b/>
          <w:sz w:val="28"/>
          <w:szCs w:val="28"/>
          <w:highlight w:val="none"/>
        </w:rPr>
      </w:pPr>
      <w:r>
        <w:rPr>
          <w:rFonts w:hint="eastAsia" w:ascii="黑体" w:hAnsi="黑体" w:eastAsia="黑体" w:cs="黑体"/>
          <w:b/>
          <w:sz w:val="28"/>
          <w:szCs w:val="28"/>
          <w:highlight w:val="none"/>
          <w:lang w:eastAsia="zh-CN"/>
        </w:rPr>
        <w:t>七、</w:t>
      </w:r>
      <w:r>
        <w:rPr>
          <w:rFonts w:hint="eastAsia" w:ascii="黑体" w:hAnsi="黑体" w:eastAsia="黑体" w:cs="黑体"/>
          <w:b/>
          <w:sz w:val="28"/>
          <w:szCs w:val="28"/>
          <w:highlight w:val="none"/>
        </w:rPr>
        <w:t>考核办法</w:t>
      </w:r>
    </w:p>
    <w:p>
      <w:pPr>
        <w:ind w:left="360"/>
        <w:rPr>
          <w:rFonts w:ascii="仿宋" w:hAnsi="仿宋" w:eastAsia="仿宋" w:cs="仿宋"/>
          <w:highlight w:val="none"/>
        </w:rPr>
      </w:pPr>
    </w:p>
    <w:p>
      <w:pPr>
        <w:numPr>
          <w:ilvl w:val="0"/>
          <w:numId w:val="0"/>
        </w:numPr>
        <w:tabs>
          <w:tab w:val="left" w:pos="540"/>
          <w:tab w:val="left" w:pos="840"/>
        </w:tabs>
        <w:spacing w:before="156" w:beforeLines="50" w:after="156" w:afterLines="50" w:line="360" w:lineRule="auto"/>
        <w:ind w:leftChars="0"/>
        <w:outlineLvl w:val="1"/>
        <w:rPr>
          <w:rFonts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考核方式</w:t>
      </w:r>
    </w:p>
    <w:p>
      <w:pPr>
        <w:numPr>
          <w:ilvl w:val="0"/>
          <w:numId w:val="0"/>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采购人以季度定期或随机抽查的形式进行日常检查考评，对考评中发现的问题投标人必须即知即改，其中重要问题将开具整改单，如不及时整改将影响供应商考核及项目履约验收；</w:t>
      </w:r>
    </w:p>
    <w:p>
      <w:pPr>
        <w:numPr>
          <w:ilvl w:val="0"/>
          <w:numId w:val="0"/>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项目履约验收的依据主要包括采购项目招标文件、供应商投标文件、中标通知书、合同及合同履约过程中产生的阶段成果等文本；</w:t>
      </w:r>
    </w:p>
    <w:p>
      <w:pPr>
        <w:numPr>
          <w:ilvl w:val="0"/>
          <w:numId w:val="0"/>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项目履约验收的验收组织形式为验收小组验收。中标单位应按照招标文件与合同的要求及相关标准履行管理服务职责，验收时提供相应服务成果，包含且不限于日常运行记录、保养记录、维修记录、固定人员和工时岗位考勤记录、第三方检测报告、系统运行及数据对接情况，供采购人或审计机构查阅。投标人定期制作并递交运维报告，及时完成强制性执行标准及第三方检测报告。无记录和报告，或记录不实的，视作未完成工作</w:t>
      </w:r>
      <w:r>
        <w:rPr>
          <w:rFonts w:hint="eastAsia" w:ascii="仿宋" w:hAnsi="仿宋" w:eastAsia="仿宋" w:cs="仿宋"/>
          <w:sz w:val="24"/>
          <w:szCs w:val="24"/>
          <w:highlight w:val="none"/>
          <w:lang w:eastAsia="zh-CN"/>
        </w:rPr>
        <w:t>。</w:t>
      </w:r>
    </w:p>
    <w:p>
      <w:pPr>
        <w:numPr>
          <w:ilvl w:val="0"/>
          <w:numId w:val="0"/>
        </w:numPr>
        <w:tabs>
          <w:tab w:val="left" w:pos="540"/>
          <w:tab w:val="left" w:pos="840"/>
        </w:tabs>
        <w:spacing w:before="156" w:beforeLines="50" w:after="156" w:afterLines="50" w:line="360" w:lineRule="auto"/>
        <w:ind w:leftChars="0"/>
        <w:outlineLvl w:val="1"/>
        <w:rPr>
          <w:rFonts w:hint="eastAsia" w:ascii="仿宋" w:hAnsi="仿宋" w:eastAsia="仿宋" w:cs="仿宋"/>
          <w:sz w:val="22"/>
          <w:szCs w:val="22"/>
          <w:highlight w:val="none"/>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考核指标</w:t>
      </w:r>
    </w:p>
    <w:p>
      <w:pPr>
        <w:pStyle w:val="17"/>
        <w:tabs>
          <w:tab w:val="left" w:pos="426"/>
          <w:tab w:val="left" w:pos="567"/>
        </w:tabs>
        <w:spacing w:line="36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考核指标以每年采购方制定实际指标为准，参考考核指标如下：</w:t>
      </w:r>
    </w:p>
    <w:tbl>
      <w:tblPr>
        <w:tblStyle w:val="10"/>
        <w:tblW w:w="8536" w:type="dxa"/>
        <w:jc w:val="center"/>
        <w:tblLayout w:type="fixed"/>
        <w:tblCellMar>
          <w:top w:w="0" w:type="dxa"/>
          <w:left w:w="108" w:type="dxa"/>
          <w:bottom w:w="0" w:type="dxa"/>
          <w:right w:w="108" w:type="dxa"/>
        </w:tblCellMar>
      </w:tblPr>
      <w:tblGrid>
        <w:gridCol w:w="1335"/>
        <w:gridCol w:w="1332"/>
        <w:gridCol w:w="2004"/>
        <w:gridCol w:w="2662"/>
        <w:gridCol w:w="1203"/>
      </w:tblGrid>
      <w:tr>
        <w:tblPrEx>
          <w:tblCellMar>
            <w:top w:w="0" w:type="dxa"/>
            <w:left w:w="108" w:type="dxa"/>
            <w:bottom w:w="0" w:type="dxa"/>
            <w:right w:w="108" w:type="dxa"/>
          </w:tblCellMar>
        </w:tblPrEx>
        <w:trPr>
          <w:trHeight w:val="321"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sz w:val="22"/>
                <w:szCs w:val="22"/>
                <w:highlight w:val="none"/>
              </w:rPr>
            </w:pPr>
            <w:r>
              <w:rPr>
                <w:rFonts w:hint="eastAsia" w:ascii="仿宋" w:hAnsi="仿宋" w:eastAsia="仿宋" w:cs="仿宋"/>
                <w:b/>
                <w:bCs/>
                <w:kern w:val="0"/>
                <w:sz w:val="22"/>
                <w:szCs w:val="22"/>
                <w:highlight w:val="none"/>
                <w:lang w:bidi="ar"/>
              </w:rPr>
              <w:t>一级指标</w:t>
            </w:r>
          </w:p>
        </w:tc>
        <w:tc>
          <w:tcPr>
            <w:tcW w:w="13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仿宋" w:hAnsi="仿宋" w:eastAsia="仿宋" w:cs="仿宋"/>
                <w:b/>
                <w:bCs/>
                <w:sz w:val="22"/>
                <w:szCs w:val="22"/>
                <w:highlight w:val="none"/>
              </w:rPr>
            </w:pPr>
            <w:r>
              <w:rPr>
                <w:rFonts w:hint="eastAsia" w:ascii="仿宋" w:hAnsi="仿宋" w:eastAsia="仿宋" w:cs="仿宋"/>
                <w:b/>
                <w:bCs/>
                <w:kern w:val="0"/>
                <w:sz w:val="22"/>
                <w:szCs w:val="22"/>
                <w:highlight w:val="none"/>
                <w:lang w:bidi="ar"/>
              </w:rPr>
              <w:t>二级指标</w:t>
            </w:r>
          </w:p>
        </w:tc>
        <w:tc>
          <w:tcPr>
            <w:tcW w:w="2004" w:type="dxa"/>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仿宋" w:hAnsi="仿宋" w:eastAsia="仿宋" w:cs="仿宋"/>
                <w:b/>
                <w:bCs/>
                <w:sz w:val="22"/>
                <w:szCs w:val="22"/>
                <w:highlight w:val="none"/>
              </w:rPr>
            </w:pPr>
            <w:r>
              <w:rPr>
                <w:rFonts w:hint="eastAsia" w:ascii="仿宋" w:hAnsi="仿宋" w:eastAsia="仿宋" w:cs="仿宋"/>
                <w:b/>
                <w:bCs/>
                <w:kern w:val="0"/>
                <w:sz w:val="22"/>
                <w:szCs w:val="22"/>
                <w:highlight w:val="none"/>
                <w:lang w:bidi="ar"/>
              </w:rPr>
              <w:t>三级指标</w:t>
            </w:r>
          </w:p>
        </w:tc>
        <w:tc>
          <w:tcPr>
            <w:tcW w:w="266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仿宋" w:hAnsi="仿宋" w:eastAsia="仿宋" w:cs="仿宋"/>
                <w:b/>
                <w:bCs/>
                <w:sz w:val="22"/>
                <w:szCs w:val="22"/>
                <w:highlight w:val="none"/>
              </w:rPr>
            </w:pPr>
            <w:r>
              <w:rPr>
                <w:rFonts w:hint="eastAsia" w:ascii="仿宋" w:hAnsi="仿宋" w:eastAsia="仿宋" w:cs="仿宋"/>
                <w:b/>
                <w:bCs/>
                <w:kern w:val="0"/>
                <w:sz w:val="22"/>
                <w:szCs w:val="22"/>
                <w:highlight w:val="none"/>
                <w:lang w:bidi="ar"/>
              </w:rPr>
              <w:t>指标解释</w:t>
            </w:r>
          </w:p>
        </w:tc>
        <w:tc>
          <w:tcPr>
            <w:tcW w:w="120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仿宋" w:hAnsi="仿宋" w:eastAsia="仿宋" w:cs="仿宋"/>
                <w:b/>
                <w:bCs/>
                <w:sz w:val="22"/>
                <w:szCs w:val="22"/>
                <w:highlight w:val="none"/>
              </w:rPr>
            </w:pPr>
            <w:r>
              <w:rPr>
                <w:rFonts w:hint="eastAsia" w:ascii="仿宋" w:hAnsi="仿宋" w:eastAsia="仿宋" w:cs="仿宋"/>
                <w:b/>
                <w:bCs/>
                <w:kern w:val="0"/>
                <w:sz w:val="22"/>
                <w:szCs w:val="22"/>
                <w:highlight w:val="none"/>
                <w:lang w:bidi="ar"/>
              </w:rPr>
              <w:t>年度指标值</w:t>
            </w:r>
          </w:p>
        </w:tc>
      </w:tr>
      <w:tr>
        <w:tblPrEx>
          <w:tblCellMar>
            <w:top w:w="0" w:type="dxa"/>
            <w:left w:w="108" w:type="dxa"/>
            <w:bottom w:w="0" w:type="dxa"/>
            <w:right w:w="108" w:type="dxa"/>
          </w:tblCellMar>
        </w:tblPrEx>
        <w:trPr>
          <w:trHeight w:val="321" w:hRule="atLeast"/>
          <w:jc w:val="center"/>
        </w:trPr>
        <w:tc>
          <w:tcPr>
            <w:tcW w:w="1335"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产出指标</w:t>
            </w:r>
          </w:p>
        </w:tc>
        <w:tc>
          <w:tcPr>
            <w:tcW w:w="133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数量指标</w:t>
            </w:r>
          </w:p>
        </w:tc>
        <w:tc>
          <w:tcPr>
            <w:tcW w:w="2004" w:type="dxa"/>
            <w:tcBorders>
              <w:top w:val="single" w:color="000000" w:sz="4" w:space="0"/>
              <w:left w:val="nil"/>
              <w:bottom w:val="single" w:color="000000" w:sz="4" w:space="0"/>
              <w:right w:val="single" w:color="000000" w:sz="4" w:space="0"/>
            </w:tcBorders>
            <w:vAlign w:val="center"/>
          </w:tcPr>
          <w:p>
            <w:pPr>
              <w:widowControl/>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物业日常维修完成率</w:t>
            </w:r>
          </w:p>
        </w:tc>
        <w:tc>
          <w:tcPr>
            <w:tcW w:w="2662" w:type="dxa"/>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反映园区物业日常维修情况</w:t>
            </w:r>
          </w:p>
        </w:tc>
        <w:tc>
          <w:tcPr>
            <w:tcW w:w="120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=100%</w:t>
            </w:r>
          </w:p>
        </w:tc>
      </w:tr>
      <w:tr>
        <w:tblPrEx>
          <w:tblCellMar>
            <w:top w:w="0" w:type="dxa"/>
            <w:left w:w="108" w:type="dxa"/>
            <w:bottom w:w="0" w:type="dxa"/>
            <w:right w:w="108" w:type="dxa"/>
          </w:tblCellMar>
        </w:tblPrEx>
        <w:trPr>
          <w:trHeight w:val="631" w:hRule="atLeast"/>
          <w:jc w:val="center"/>
        </w:trPr>
        <w:tc>
          <w:tcPr>
            <w:tcW w:w="1335" w:type="dxa"/>
            <w:vMerge w:val="continue"/>
            <w:tcBorders>
              <w:top w:val="nil"/>
              <w:left w:val="single" w:color="000000" w:sz="4" w:space="0"/>
              <w:bottom w:val="single" w:color="000000" w:sz="4" w:space="0"/>
              <w:right w:val="single" w:color="000000" w:sz="4" w:space="0"/>
            </w:tcBorders>
            <w:vAlign w:val="center"/>
          </w:tcPr>
          <w:p>
            <w:pPr>
              <w:rPr>
                <w:rFonts w:hint="eastAsia" w:ascii="仿宋" w:hAnsi="仿宋" w:eastAsia="仿宋" w:cs="仿宋"/>
                <w:sz w:val="21"/>
                <w:szCs w:val="21"/>
                <w:highlight w:val="none"/>
              </w:rPr>
            </w:pPr>
          </w:p>
        </w:tc>
        <w:tc>
          <w:tcPr>
            <w:tcW w:w="1332" w:type="dxa"/>
            <w:vMerge w:val="continue"/>
            <w:tcBorders>
              <w:top w:val="nil"/>
              <w:left w:val="nil"/>
              <w:bottom w:val="single" w:color="000000" w:sz="4" w:space="0"/>
              <w:right w:val="single" w:color="000000" w:sz="4" w:space="0"/>
            </w:tcBorders>
            <w:vAlign w:val="center"/>
          </w:tcPr>
          <w:p>
            <w:pPr>
              <w:rPr>
                <w:rFonts w:hint="eastAsia" w:ascii="仿宋" w:hAnsi="仿宋" w:eastAsia="仿宋" w:cs="仿宋"/>
                <w:sz w:val="21"/>
                <w:szCs w:val="21"/>
                <w:highlight w:val="none"/>
              </w:rPr>
            </w:pPr>
          </w:p>
        </w:tc>
        <w:tc>
          <w:tcPr>
            <w:tcW w:w="2004" w:type="dxa"/>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物业餐饮保障任务完成率</w:t>
            </w:r>
          </w:p>
        </w:tc>
        <w:tc>
          <w:tcPr>
            <w:tcW w:w="2662" w:type="dxa"/>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反映合同约定的物业保障任务模块各项服务完成情况</w:t>
            </w:r>
          </w:p>
        </w:tc>
        <w:tc>
          <w:tcPr>
            <w:tcW w:w="120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=100%</w:t>
            </w:r>
          </w:p>
        </w:tc>
      </w:tr>
      <w:tr>
        <w:trPr>
          <w:trHeight w:val="329" w:hRule="atLeast"/>
          <w:jc w:val="center"/>
        </w:trPr>
        <w:tc>
          <w:tcPr>
            <w:tcW w:w="1335" w:type="dxa"/>
            <w:vMerge w:val="continue"/>
            <w:tcBorders>
              <w:top w:val="nil"/>
              <w:left w:val="single" w:color="000000" w:sz="4" w:space="0"/>
              <w:bottom w:val="single" w:color="000000" w:sz="4" w:space="0"/>
              <w:right w:val="single" w:color="000000" w:sz="4" w:space="0"/>
            </w:tcBorders>
            <w:vAlign w:val="center"/>
          </w:tcPr>
          <w:p>
            <w:pPr>
              <w:rPr>
                <w:rFonts w:hint="eastAsia" w:ascii="仿宋" w:hAnsi="仿宋" w:eastAsia="仿宋" w:cs="仿宋"/>
                <w:sz w:val="21"/>
                <w:szCs w:val="21"/>
                <w:highlight w:val="none"/>
              </w:rPr>
            </w:pPr>
          </w:p>
        </w:tc>
        <w:tc>
          <w:tcPr>
            <w:tcW w:w="1332" w:type="dxa"/>
            <w:vMerge w:val="continue"/>
            <w:tcBorders>
              <w:top w:val="nil"/>
              <w:left w:val="nil"/>
              <w:bottom w:val="single" w:color="000000" w:sz="4" w:space="0"/>
              <w:right w:val="single" w:color="000000" w:sz="4" w:space="0"/>
            </w:tcBorders>
            <w:vAlign w:val="center"/>
          </w:tcPr>
          <w:p>
            <w:pPr>
              <w:rPr>
                <w:rFonts w:hint="eastAsia" w:ascii="仿宋" w:hAnsi="仿宋" w:eastAsia="仿宋" w:cs="仿宋"/>
                <w:sz w:val="21"/>
                <w:szCs w:val="21"/>
                <w:highlight w:val="none"/>
              </w:rPr>
            </w:pPr>
          </w:p>
        </w:tc>
        <w:tc>
          <w:tcPr>
            <w:tcW w:w="2004" w:type="dxa"/>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人员到岗率</w:t>
            </w:r>
          </w:p>
        </w:tc>
        <w:tc>
          <w:tcPr>
            <w:tcW w:w="2662" w:type="dxa"/>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反映物业餐饮人员到岗情况</w:t>
            </w:r>
          </w:p>
        </w:tc>
        <w:tc>
          <w:tcPr>
            <w:tcW w:w="120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=100%</w:t>
            </w:r>
          </w:p>
        </w:tc>
      </w:tr>
      <w:tr>
        <w:tblPrEx>
          <w:tblCellMar>
            <w:top w:w="0" w:type="dxa"/>
            <w:left w:w="108" w:type="dxa"/>
            <w:bottom w:w="0" w:type="dxa"/>
            <w:right w:w="108" w:type="dxa"/>
          </w:tblCellMar>
        </w:tblPrEx>
        <w:trPr>
          <w:trHeight w:val="631" w:hRule="atLeast"/>
          <w:jc w:val="center"/>
        </w:trPr>
        <w:tc>
          <w:tcPr>
            <w:tcW w:w="1335" w:type="dxa"/>
            <w:vMerge w:val="continue"/>
            <w:tcBorders>
              <w:top w:val="nil"/>
              <w:left w:val="single" w:color="000000" w:sz="4" w:space="0"/>
              <w:bottom w:val="single" w:color="000000" w:sz="4" w:space="0"/>
              <w:right w:val="single" w:color="000000" w:sz="4" w:space="0"/>
            </w:tcBorders>
            <w:vAlign w:val="center"/>
          </w:tcPr>
          <w:p>
            <w:pPr>
              <w:rPr>
                <w:rFonts w:hint="eastAsia" w:ascii="仿宋" w:hAnsi="仿宋" w:eastAsia="仿宋" w:cs="仿宋"/>
                <w:sz w:val="21"/>
                <w:szCs w:val="21"/>
                <w:highlight w:val="none"/>
              </w:rPr>
            </w:pPr>
          </w:p>
        </w:tc>
        <w:tc>
          <w:tcPr>
            <w:tcW w:w="1332" w:type="dxa"/>
            <w:vMerge w:val="restart"/>
            <w:tcBorders>
              <w:top w:val="nil"/>
              <w:left w:val="nil"/>
              <w:bottom w:val="single" w:color="000000" w:sz="4" w:space="0"/>
              <w:right w:val="single" w:color="000000" w:sz="4" w:space="0"/>
            </w:tcBorders>
            <w:vAlign w:val="center"/>
          </w:tcPr>
          <w:p>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质量指标</w:t>
            </w:r>
          </w:p>
        </w:tc>
        <w:tc>
          <w:tcPr>
            <w:tcW w:w="2004" w:type="dxa"/>
            <w:tcBorders>
              <w:top w:val="single" w:color="000000" w:sz="4" w:space="0"/>
              <w:left w:val="nil"/>
              <w:bottom w:val="single" w:color="000000" w:sz="4" w:space="0"/>
              <w:right w:val="single" w:color="000000" w:sz="4" w:space="0"/>
            </w:tcBorders>
            <w:vAlign w:val="center"/>
          </w:tcPr>
          <w:p>
            <w:pPr>
              <w:widowControl/>
              <w:ind w:left="220" w:hanging="210" w:hangingChars="10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基础物业项目验收合格率</w:t>
            </w:r>
          </w:p>
        </w:tc>
        <w:tc>
          <w:tcPr>
            <w:tcW w:w="2662" w:type="dxa"/>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反映基础物业服务质量标准达标情况</w:t>
            </w:r>
          </w:p>
        </w:tc>
        <w:tc>
          <w:tcPr>
            <w:tcW w:w="120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=100%</w:t>
            </w:r>
          </w:p>
        </w:tc>
      </w:tr>
      <w:tr>
        <w:tblPrEx>
          <w:tblCellMar>
            <w:top w:w="0" w:type="dxa"/>
            <w:left w:w="108" w:type="dxa"/>
            <w:bottom w:w="0" w:type="dxa"/>
            <w:right w:w="108" w:type="dxa"/>
          </w:tblCellMar>
        </w:tblPrEx>
        <w:trPr>
          <w:trHeight w:val="631" w:hRule="atLeast"/>
          <w:jc w:val="center"/>
        </w:trPr>
        <w:tc>
          <w:tcPr>
            <w:tcW w:w="1335" w:type="dxa"/>
            <w:vMerge w:val="continue"/>
            <w:tcBorders>
              <w:top w:val="nil"/>
              <w:left w:val="single" w:color="000000" w:sz="4" w:space="0"/>
              <w:bottom w:val="single" w:color="000000" w:sz="4" w:space="0"/>
              <w:right w:val="single" w:color="000000" w:sz="4" w:space="0"/>
            </w:tcBorders>
            <w:vAlign w:val="center"/>
          </w:tcPr>
          <w:p>
            <w:pPr>
              <w:rPr>
                <w:rFonts w:hint="eastAsia" w:ascii="仿宋" w:hAnsi="仿宋" w:eastAsia="仿宋" w:cs="仿宋"/>
                <w:sz w:val="21"/>
                <w:szCs w:val="21"/>
                <w:highlight w:val="none"/>
              </w:rPr>
            </w:pPr>
          </w:p>
        </w:tc>
        <w:tc>
          <w:tcPr>
            <w:tcW w:w="1332" w:type="dxa"/>
            <w:vMerge w:val="continue"/>
            <w:tcBorders>
              <w:top w:val="nil"/>
              <w:left w:val="nil"/>
              <w:bottom w:val="single" w:color="000000" w:sz="4" w:space="0"/>
              <w:right w:val="single" w:color="000000" w:sz="4" w:space="0"/>
            </w:tcBorders>
            <w:vAlign w:val="center"/>
          </w:tcPr>
          <w:p>
            <w:pPr>
              <w:jc w:val="center"/>
              <w:rPr>
                <w:rFonts w:hint="eastAsia" w:ascii="仿宋" w:hAnsi="仿宋" w:eastAsia="仿宋" w:cs="仿宋"/>
                <w:sz w:val="21"/>
                <w:szCs w:val="21"/>
                <w:highlight w:val="none"/>
                <w:lang w:bidi="ar"/>
              </w:rPr>
            </w:pPr>
          </w:p>
        </w:tc>
        <w:tc>
          <w:tcPr>
            <w:tcW w:w="2004" w:type="dxa"/>
            <w:tcBorders>
              <w:top w:val="single" w:color="000000" w:sz="4" w:space="0"/>
              <w:left w:val="nil"/>
              <w:bottom w:val="single" w:color="000000" w:sz="4" w:space="0"/>
              <w:right w:val="single" w:color="000000" w:sz="4" w:space="0"/>
            </w:tcBorders>
            <w:vAlign w:val="center"/>
          </w:tcPr>
          <w:p>
            <w:pPr>
              <w:widowControl/>
              <w:ind w:left="220" w:hanging="210" w:hangingChars="100"/>
              <w:jc w:val="left"/>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基础餐饮项目验收合格率</w:t>
            </w:r>
          </w:p>
        </w:tc>
        <w:tc>
          <w:tcPr>
            <w:tcW w:w="2662" w:type="dxa"/>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反映基础餐饮服务质量标准达标情况</w:t>
            </w:r>
          </w:p>
        </w:tc>
        <w:tc>
          <w:tcPr>
            <w:tcW w:w="120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bidi="ar"/>
              </w:rPr>
              <w:t>=100%</w:t>
            </w:r>
          </w:p>
        </w:tc>
      </w:tr>
      <w:tr>
        <w:tblPrEx>
          <w:tblCellMar>
            <w:top w:w="0" w:type="dxa"/>
            <w:left w:w="108" w:type="dxa"/>
            <w:bottom w:w="0" w:type="dxa"/>
            <w:right w:w="108" w:type="dxa"/>
          </w:tblCellMar>
        </w:tblPrEx>
        <w:trPr>
          <w:trHeight w:val="631" w:hRule="atLeast"/>
          <w:jc w:val="center"/>
        </w:trPr>
        <w:tc>
          <w:tcPr>
            <w:tcW w:w="1335" w:type="dxa"/>
            <w:vMerge w:val="continue"/>
            <w:tcBorders>
              <w:top w:val="nil"/>
              <w:left w:val="single" w:color="000000" w:sz="4" w:space="0"/>
              <w:bottom w:val="single" w:color="000000" w:sz="4" w:space="0"/>
              <w:right w:val="single" w:color="000000" w:sz="4" w:space="0"/>
            </w:tcBorders>
            <w:vAlign w:val="center"/>
          </w:tcPr>
          <w:p>
            <w:pPr>
              <w:rPr>
                <w:rFonts w:hint="eastAsia" w:ascii="仿宋" w:hAnsi="仿宋" w:eastAsia="仿宋" w:cs="仿宋"/>
                <w:sz w:val="21"/>
                <w:szCs w:val="21"/>
                <w:highlight w:val="none"/>
              </w:rPr>
            </w:pPr>
          </w:p>
        </w:tc>
        <w:tc>
          <w:tcPr>
            <w:tcW w:w="1332" w:type="dxa"/>
            <w:vMerge w:val="continue"/>
            <w:tcBorders>
              <w:top w:val="nil"/>
              <w:left w:val="nil"/>
              <w:bottom w:val="single" w:color="000000" w:sz="4" w:space="0"/>
              <w:right w:val="single" w:color="000000" w:sz="4" w:space="0"/>
            </w:tcBorders>
            <w:vAlign w:val="center"/>
          </w:tcPr>
          <w:p>
            <w:pPr>
              <w:rPr>
                <w:rFonts w:hint="eastAsia" w:ascii="仿宋" w:hAnsi="仿宋" w:eastAsia="仿宋" w:cs="仿宋"/>
                <w:sz w:val="21"/>
                <w:szCs w:val="21"/>
                <w:highlight w:val="none"/>
              </w:rPr>
            </w:pPr>
          </w:p>
        </w:tc>
        <w:tc>
          <w:tcPr>
            <w:tcW w:w="2004" w:type="dxa"/>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人员资质匹配度</w:t>
            </w:r>
          </w:p>
        </w:tc>
        <w:tc>
          <w:tcPr>
            <w:tcW w:w="2662" w:type="dxa"/>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反映物业餐饮工作人员相应岗位资质匹配情况</w:t>
            </w:r>
          </w:p>
        </w:tc>
        <w:tc>
          <w:tcPr>
            <w:tcW w:w="120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=100%</w:t>
            </w:r>
          </w:p>
        </w:tc>
      </w:tr>
      <w:tr>
        <w:trPr>
          <w:trHeight w:val="941" w:hRule="atLeast"/>
          <w:jc w:val="center"/>
        </w:trPr>
        <w:tc>
          <w:tcPr>
            <w:tcW w:w="1335" w:type="dxa"/>
            <w:vMerge w:val="continue"/>
            <w:tcBorders>
              <w:top w:val="nil"/>
              <w:left w:val="single" w:color="000000" w:sz="4" w:space="0"/>
              <w:bottom w:val="single" w:color="000000" w:sz="4" w:space="0"/>
              <w:right w:val="single" w:color="000000" w:sz="4" w:space="0"/>
            </w:tcBorders>
            <w:vAlign w:val="center"/>
          </w:tcPr>
          <w:p>
            <w:pPr>
              <w:rPr>
                <w:rFonts w:hint="eastAsia" w:ascii="仿宋" w:hAnsi="仿宋" w:eastAsia="仿宋" w:cs="仿宋"/>
                <w:sz w:val="21"/>
                <w:szCs w:val="21"/>
                <w:highlight w:val="none"/>
              </w:rPr>
            </w:pPr>
          </w:p>
        </w:tc>
        <w:tc>
          <w:tcPr>
            <w:tcW w:w="1332" w:type="dxa"/>
            <w:tcBorders>
              <w:top w:val="nil"/>
              <w:left w:val="nil"/>
              <w:bottom w:val="single" w:color="000000" w:sz="4" w:space="0"/>
              <w:right w:val="single" w:color="000000" w:sz="4" w:space="0"/>
            </w:tcBorders>
            <w:vAlign w:val="center"/>
          </w:tcPr>
          <w:p>
            <w:pPr>
              <w:widowControl/>
              <w:jc w:val="center"/>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时效指标</w:t>
            </w:r>
          </w:p>
        </w:tc>
        <w:tc>
          <w:tcPr>
            <w:tcW w:w="2004" w:type="dxa"/>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生活垃圾及时清运率</w:t>
            </w:r>
          </w:p>
        </w:tc>
        <w:tc>
          <w:tcPr>
            <w:tcW w:w="2662" w:type="dxa"/>
            <w:tcBorders>
              <w:top w:val="single" w:color="000000" w:sz="4" w:space="0"/>
              <w:left w:val="nil"/>
              <w:bottom w:val="single" w:color="000000" w:sz="4" w:space="0"/>
              <w:right w:val="single" w:color="000000" w:sz="4" w:space="0"/>
            </w:tcBorders>
            <w:vAlign w:val="center"/>
          </w:tcPr>
          <w:p>
            <w:pPr>
              <w:widowControl/>
              <w:ind w:left="31" w:leftChars="15"/>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反映垃圾清运及时性</w:t>
            </w:r>
          </w:p>
        </w:tc>
        <w:tc>
          <w:tcPr>
            <w:tcW w:w="120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=100%</w:t>
            </w:r>
          </w:p>
        </w:tc>
      </w:tr>
      <w:tr>
        <w:tblPrEx>
          <w:tblCellMar>
            <w:top w:w="0" w:type="dxa"/>
            <w:left w:w="108" w:type="dxa"/>
            <w:bottom w:w="0" w:type="dxa"/>
            <w:right w:w="108" w:type="dxa"/>
          </w:tblCellMar>
        </w:tblPrEx>
        <w:trPr>
          <w:trHeight w:val="631" w:hRule="atLeast"/>
          <w:jc w:val="center"/>
        </w:trPr>
        <w:tc>
          <w:tcPr>
            <w:tcW w:w="1335" w:type="dxa"/>
            <w:vMerge w:val="restart"/>
            <w:tcBorders>
              <w:top w:val="nil"/>
              <w:left w:val="single" w:color="000000" w:sz="4" w:space="0"/>
              <w:right w:val="single" w:color="000000" w:sz="4" w:space="0"/>
            </w:tcBorders>
            <w:vAlign w:val="center"/>
          </w:tcPr>
          <w:p>
            <w:pPr>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效益指标</w:t>
            </w:r>
          </w:p>
        </w:tc>
        <w:tc>
          <w:tcPr>
            <w:tcW w:w="133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社会效益指标</w:t>
            </w:r>
          </w:p>
        </w:tc>
        <w:tc>
          <w:tcPr>
            <w:tcW w:w="2004" w:type="dxa"/>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有责投诉情况</w:t>
            </w:r>
          </w:p>
        </w:tc>
        <w:tc>
          <w:tcPr>
            <w:tcW w:w="2662" w:type="dxa"/>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反映物业及餐饮服务的有责投诉情况</w:t>
            </w:r>
          </w:p>
        </w:tc>
        <w:tc>
          <w:tcPr>
            <w:tcW w:w="120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=0次</w:t>
            </w:r>
          </w:p>
        </w:tc>
      </w:tr>
      <w:tr>
        <w:tblPrEx>
          <w:tblCellMar>
            <w:top w:w="0" w:type="dxa"/>
            <w:left w:w="108" w:type="dxa"/>
            <w:bottom w:w="0" w:type="dxa"/>
            <w:right w:w="108" w:type="dxa"/>
          </w:tblCellMar>
        </w:tblPrEx>
        <w:trPr>
          <w:trHeight w:val="321" w:hRule="atLeast"/>
          <w:jc w:val="center"/>
        </w:trPr>
        <w:tc>
          <w:tcPr>
            <w:tcW w:w="1335" w:type="dxa"/>
            <w:vMerge w:val="continue"/>
            <w:tcBorders>
              <w:top w:val="nil"/>
              <w:left w:val="single" w:color="000000" w:sz="4" w:space="0"/>
              <w:bottom w:val="single" w:color="000000" w:sz="4" w:space="0"/>
              <w:right w:val="single" w:color="000000" w:sz="4" w:space="0"/>
            </w:tcBorders>
            <w:vAlign w:val="center"/>
          </w:tcPr>
          <w:p>
            <w:pPr>
              <w:rPr>
                <w:rFonts w:hint="eastAsia" w:ascii="仿宋" w:hAnsi="仿宋" w:eastAsia="仿宋" w:cs="仿宋"/>
                <w:sz w:val="21"/>
                <w:szCs w:val="21"/>
                <w:highlight w:val="none"/>
              </w:rPr>
            </w:pPr>
          </w:p>
        </w:tc>
        <w:tc>
          <w:tcPr>
            <w:tcW w:w="1332" w:type="dxa"/>
            <w:vMerge w:val="continue"/>
            <w:tcBorders>
              <w:top w:val="nil"/>
              <w:left w:val="nil"/>
              <w:bottom w:val="single" w:color="000000" w:sz="4" w:space="0"/>
              <w:right w:val="single" w:color="000000" w:sz="4" w:space="0"/>
            </w:tcBorders>
            <w:vAlign w:val="center"/>
          </w:tcPr>
          <w:p>
            <w:pPr>
              <w:rPr>
                <w:rFonts w:hint="eastAsia" w:ascii="仿宋" w:hAnsi="仿宋" w:eastAsia="仿宋" w:cs="仿宋"/>
                <w:sz w:val="21"/>
                <w:szCs w:val="21"/>
                <w:highlight w:val="none"/>
              </w:rPr>
            </w:pPr>
          </w:p>
        </w:tc>
        <w:tc>
          <w:tcPr>
            <w:tcW w:w="2004" w:type="dxa"/>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安全事故数</w:t>
            </w:r>
          </w:p>
        </w:tc>
        <w:tc>
          <w:tcPr>
            <w:tcW w:w="2662" w:type="dxa"/>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反映物业餐饮安全事故发生情况</w:t>
            </w:r>
          </w:p>
        </w:tc>
        <w:tc>
          <w:tcPr>
            <w:tcW w:w="120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=0次</w:t>
            </w:r>
          </w:p>
        </w:tc>
      </w:tr>
      <w:tr>
        <w:tblPrEx>
          <w:tblCellMar>
            <w:top w:w="0" w:type="dxa"/>
            <w:left w:w="108" w:type="dxa"/>
            <w:bottom w:w="0" w:type="dxa"/>
            <w:right w:w="108" w:type="dxa"/>
          </w:tblCellMar>
        </w:tblPrEx>
        <w:trPr>
          <w:trHeight w:val="641"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满意度指标</w:t>
            </w:r>
          </w:p>
        </w:tc>
        <w:tc>
          <w:tcPr>
            <w:tcW w:w="13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服务对象满意度指标</w:t>
            </w:r>
          </w:p>
        </w:tc>
        <w:tc>
          <w:tcPr>
            <w:tcW w:w="2004" w:type="dxa"/>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相关方满意度</w:t>
            </w:r>
          </w:p>
        </w:tc>
        <w:tc>
          <w:tcPr>
            <w:tcW w:w="2662" w:type="dxa"/>
            <w:tcBorders>
              <w:top w:val="single" w:color="000000" w:sz="4" w:space="0"/>
              <w:left w:val="nil"/>
              <w:bottom w:val="single" w:color="000000" w:sz="4" w:space="0"/>
              <w:right w:val="single" w:color="000000" w:sz="4" w:space="0"/>
            </w:tcBorders>
            <w:vAlign w:val="center"/>
          </w:tcPr>
          <w:p>
            <w:pPr>
              <w:widowControl/>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反映相关方项目的满意度</w:t>
            </w:r>
          </w:p>
        </w:tc>
        <w:tc>
          <w:tcPr>
            <w:tcW w:w="120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bidi="ar"/>
              </w:rPr>
              <w:t>≥90%</w:t>
            </w:r>
          </w:p>
        </w:tc>
      </w:tr>
    </w:tbl>
    <w:p>
      <w:pPr>
        <w:rPr>
          <w:rFonts w:hint="eastAsia" w:ascii="仿宋" w:hAnsi="仿宋" w:eastAsia="仿宋" w:cs="仿宋"/>
          <w:sz w:val="21"/>
          <w:szCs w:val="21"/>
          <w:highlight w:val="none"/>
        </w:rPr>
      </w:pPr>
    </w:p>
    <w:p>
      <w:pPr>
        <w:rPr>
          <w:rFonts w:hint="eastAsia" w:ascii="仿宋" w:hAnsi="仿宋" w:eastAsia="仿宋" w:cs="仿宋"/>
          <w:sz w:val="21"/>
          <w:szCs w:val="21"/>
          <w:highlight w:val="none"/>
        </w:rPr>
      </w:pPr>
      <w:r>
        <w:rPr>
          <w:rFonts w:hint="eastAsia" w:ascii="仿宋" w:hAnsi="仿宋" w:eastAsia="仿宋" w:cs="仿宋"/>
          <w:sz w:val="21"/>
          <w:szCs w:val="21"/>
          <w:highlight w:val="none"/>
        </w:rPr>
        <w:t>注：如出现逾期支付相关费用等情况，采购人将支付中标单位相应利息，如对中标单位造成损失的，依法给予中标单位相关补偿。</w:t>
      </w:r>
    </w:p>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moder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roma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5C5EA"/>
    <w:multiLevelType w:val="singleLevel"/>
    <w:tmpl w:val="A3D5C5EA"/>
    <w:lvl w:ilvl="0" w:tentative="0">
      <w:start w:val="1"/>
      <w:numFmt w:val="decimal"/>
      <w:lvlText w:val="%1."/>
      <w:lvlJc w:val="left"/>
      <w:pPr>
        <w:ind w:left="425" w:hanging="425"/>
      </w:pPr>
      <w:rPr>
        <w:rFonts w:hint="default"/>
      </w:rPr>
    </w:lvl>
  </w:abstractNum>
  <w:abstractNum w:abstractNumId="1">
    <w:nsid w:val="CFD75A34"/>
    <w:multiLevelType w:val="singleLevel"/>
    <w:tmpl w:val="CFD75A34"/>
    <w:lvl w:ilvl="0" w:tentative="0">
      <w:start w:val="1"/>
      <w:numFmt w:val="decimal"/>
      <w:suff w:val="nothing"/>
      <w:lvlText w:val="（%1）"/>
      <w:lvlJc w:val="left"/>
    </w:lvl>
  </w:abstractNum>
  <w:abstractNum w:abstractNumId="2">
    <w:nsid w:val="DB147A00"/>
    <w:multiLevelType w:val="singleLevel"/>
    <w:tmpl w:val="DB147A00"/>
    <w:lvl w:ilvl="0" w:tentative="0">
      <w:start w:val="1"/>
      <w:numFmt w:val="decimal"/>
      <w:suff w:val="nothing"/>
      <w:lvlText w:val="（%1）"/>
      <w:lvlJc w:val="left"/>
    </w:lvl>
  </w:abstractNum>
  <w:abstractNum w:abstractNumId="3">
    <w:nsid w:val="025C9CE6"/>
    <w:multiLevelType w:val="multilevel"/>
    <w:tmpl w:val="025C9CE6"/>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3C830EF0"/>
    <w:multiLevelType w:val="singleLevel"/>
    <w:tmpl w:val="3C830EF0"/>
    <w:lvl w:ilvl="0" w:tentative="0">
      <w:start w:val="1"/>
      <w:numFmt w:val="decimal"/>
      <w:lvlText w:val="%1."/>
      <w:lvlJc w:val="left"/>
      <w:pPr>
        <w:ind w:left="425" w:hanging="425"/>
      </w:pPr>
      <w:rPr>
        <w:rFonts w:hint="default"/>
      </w:rPr>
    </w:lvl>
  </w:abstractNum>
  <w:abstractNum w:abstractNumId="5">
    <w:nsid w:val="540A54A9"/>
    <w:multiLevelType w:val="multilevel"/>
    <w:tmpl w:val="540A54A9"/>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57D769CA"/>
    <w:multiLevelType w:val="singleLevel"/>
    <w:tmpl w:val="57D769CA"/>
    <w:lvl w:ilvl="0" w:tentative="0">
      <w:start w:val="1"/>
      <w:numFmt w:val="decimal"/>
      <w:suff w:val="nothing"/>
      <w:lvlText w:val="%1)"/>
      <w:lvlJc w:val="left"/>
    </w:lvl>
  </w:abstractNum>
  <w:abstractNum w:abstractNumId="7">
    <w:nsid w:val="57D76A70"/>
    <w:multiLevelType w:val="singleLevel"/>
    <w:tmpl w:val="57D76A70"/>
    <w:lvl w:ilvl="0" w:tentative="0">
      <w:start w:val="1"/>
      <w:numFmt w:val="decimal"/>
      <w:suff w:val="nothing"/>
      <w:lvlText w:val="%1）"/>
      <w:lvlJc w:val="left"/>
    </w:lvl>
  </w:abstractNum>
  <w:abstractNum w:abstractNumId="8">
    <w:nsid w:val="57D76C2E"/>
    <w:multiLevelType w:val="singleLevel"/>
    <w:tmpl w:val="57D76C2E"/>
    <w:lvl w:ilvl="0" w:tentative="0">
      <w:start w:val="1"/>
      <w:numFmt w:val="decimal"/>
      <w:suff w:val="nothing"/>
      <w:lvlText w:val="%1）"/>
      <w:lvlJc w:val="left"/>
    </w:lvl>
  </w:abstractNum>
  <w:abstractNum w:abstractNumId="9">
    <w:nsid w:val="57D79399"/>
    <w:multiLevelType w:val="singleLevel"/>
    <w:tmpl w:val="57D79399"/>
    <w:lvl w:ilvl="0" w:tentative="0">
      <w:start w:val="1"/>
      <w:numFmt w:val="decimal"/>
      <w:suff w:val="nothing"/>
      <w:lvlText w:val="%1)"/>
      <w:lvlJc w:val="left"/>
    </w:lvl>
  </w:abstractNum>
  <w:abstractNum w:abstractNumId="10">
    <w:nsid w:val="57D7963F"/>
    <w:multiLevelType w:val="singleLevel"/>
    <w:tmpl w:val="57D7963F"/>
    <w:lvl w:ilvl="0" w:tentative="0">
      <w:start w:val="1"/>
      <w:numFmt w:val="decimal"/>
      <w:suff w:val="nothing"/>
      <w:lvlText w:val="%1）"/>
      <w:lvlJc w:val="left"/>
    </w:lvl>
  </w:abstractNum>
  <w:abstractNum w:abstractNumId="11">
    <w:nsid w:val="57D79743"/>
    <w:multiLevelType w:val="singleLevel"/>
    <w:tmpl w:val="57D79743"/>
    <w:lvl w:ilvl="0" w:tentative="0">
      <w:start w:val="1"/>
      <w:numFmt w:val="decimal"/>
      <w:suff w:val="nothing"/>
      <w:lvlText w:val="%1）"/>
      <w:lvlJc w:val="left"/>
    </w:lvl>
  </w:abstractNum>
  <w:abstractNum w:abstractNumId="12">
    <w:nsid w:val="57D799D0"/>
    <w:multiLevelType w:val="singleLevel"/>
    <w:tmpl w:val="57D799D0"/>
    <w:lvl w:ilvl="0" w:tentative="0">
      <w:start w:val="1"/>
      <w:numFmt w:val="decimal"/>
      <w:suff w:val="nothing"/>
      <w:lvlText w:val="%1）"/>
      <w:lvlJc w:val="left"/>
    </w:lvl>
  </w:abstractNum>
  <w:abstractNum w:abstractNumId="13">
    <w:nsid w:val="57D79A77"/>
    <w:multiLevelType w:val="singleLevel"/>
    <w:tmpl w:val="57D79A77"/>
    <w:lvl w:ilvl="0" w:tentative="0">
      <w:start w:val="1"/>
      <w:numFmt w:val="decimal"/>
      <w:suff w:val="nothing"/>
      <w:lvlText w:val="%1）"/>
      <w:lvlJc w:val="left"/>
    </w:lvl>
  </w:abstractNum>
  <w:abstractNum w:abstractNumId="14">
    <w:nsid w:val="57D7B1B5"/>
    <w:multiLevelType w:val="singleLevel"/>
    <w:tmpl w:val="57D7B1B5"/>
    <w:lvl w:ilvl="0" w:tentative="0">
      <w:start w:val="1"/>
      <w:numFmt w:val="decimal"/>
      <w:suff w:val="nothing"/>
      <w:lvlText w:val="%1）"/>
      <w:lvlJc w:val="left"/>
    </w:lvl>
  </w:abstractNum>
  <w:abstractNum w:abstractNumId="15">
    <w:nsid w:val="57D8A558"/>
    <w:multiLevelType w:val="singleLevel"/>
    <w:tmpl w:val="57D8A558"/>
    <w:lvl w:ilvl="0" w:tentative="0">
      <w:start w:val="1"/>
      <w:numFmt w:val="decimal"/>
      <w:suff w:val="nothing"/>
      <w:lvlText w:val="%1）"/>
      <w:lvlJc w:val="left"/>
    </w:lvl>
  </w:abstractNum>
  <w:abstractNum w:abstractNumId="16">
    <w:nsid w:val="57D8A744"/>
    <w:multiLevelType w:val="singleLevel"/>
    <w:tmpl w:val="57D8A744"/>
    <w:lvl w:ilvl="0" w:tentative="0">
      <w:start w:val="1"/>
      <w:numFmt w:val="decimal"/>
      <w:suff w:val="nothing"/>
      <w:lvlText w:val="%1）"/>
      <w:lvlJc w:val="left"/>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13"/>
  </w:num>
  <w:num w:numId="10">
    <w:abstractNumId w:val="14"/>
  </w:num>
  <w:num w:numId="11">
    <w:abstractNumId w:val="15"/>
  </w:num>
  <w:num w:numId="12">
    <w:abstractNumId w:val="16"/>
  </w:num>
  <w:num w:numId="13">
    <w:abstractNumId w:val="1"/>
  </w:num>
  <w:num w:numId="14">
    <w:abstractNumId w:val="0"/>
  </w:num>
  <w:num w:numId="15">
    <w:abstractNumId w:val="2"/>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iYTA4NDM3ZTczZmRkYjhkY2JhZTIxZDI0NDI0YjgifQ=="/>
    <w:docVar w:name="KSO_WPS_MARK_KEY" w:val="c2194ae0-aaa7-44ff-91d0-5e7fa3102c44"/>
  </w:docVars>
  <w:rsids>
    <w:rsidRoot w:val="BFFF877E"/>
    <w:rsid w:val="00134A14"/>
    <w:rsid w:val="00246997"/>
    <w:rsid w:val="0029470E"/>
    <w:rsid w:val="004A07D4"/>
    <w:rsid w:val="006B3E4E"/>
    <w:rsid w:val="008E53D3"/>
    <w:rsid w:val="00AE6B7C"/>
    <w:rsid w:val="00BF7497"/>
    <w:rsid w:val="00C32E01"/>
    <w:rsid w:val="00CB4B91"/>
    <w:rsid w:val="00DD53A3"/>
    <w:rsid w:val="00E60754"/>
    <w:rsid w:val="00E619CF"/>
    <w:rsid w:val="00EC1E61"/>
    <w:rsid w:val="00F55471"/>
    <w:rsid w:val="04CA78DD"/>
    <w:rsid w:val="05B03C91"/>
    <w:rsid w:val="090F6925"/>
    <w:rsid w:val="09913981"/>
    <w:rsid w:val="0B76038F"/>
    <w:rsid w:val="0C775959"/>
    <w:rsid w:val="0C8278CB"/>
    <w:rsid w:val="0C863AE7"/>
    <w:rsid w:val="0D9A3035"/>
    <w:rsid w:val="0E277403"/>
    <w:rsid w:val="0E4803FE"/>
    <w:rsid w:val="0FE04E79"/>
    <w:rsid w:val="101B3268"/>
    <w:rsid w:val="11A803C5"/>
    <w:rsid w:val="122006A8"/>
    <w:rsid w:val="12EF8F24"/>
    <w:rsid w:val="15190FE8"/>
    <w:rsid w:val="1A096361"/>
    <w:rsid w:val="1BB6301F"/>
    <w:rsid w:val="1BED2FD7"/>
    <w:rsid w:val="1CB349E1"/>
    <w:rsid w:val="1D4D182F"/>
    <w:rsid w:val="1F081F98"/>
    <w:rsid w:val="1F7F29E0"/>
    <w:rsid w:val="215F2E47"/>
    <w:rsid w:val="23972843"/>
    <w:rsid w:val="25854B25"/>
    <w:rsid w:val="26211AAB"/>
    <w:rsid w:val="26937EF5"/>
    <w:rsid w:val="27CD20D0"/>
    <w:rsid w:val="27EB0281"/>
    <w:rsid w:val="29423FA6"/>
    <w:rsid w:val="2A2945EB"/>
    <w:rsid w:val="2A974E75"/>
    <w:rsid w:val="2C537874"/>
    <w:rsid w:val="2CF40F7B"/>
    <w:rsid w:val="2E0221C2"/>
    <w:rsid w:val="2EC54B3D"/>
    <w:rsid w:val="2EF96C2C"/>
    <w:rsid w:val="2F577A9C"/>
    <w:rsid w:val="2FD31A52"/>
    <w:rsid w:val="30013FCA"/>
    <w:rsid w:val="32EF6DAE"/>
    <w:rsid w:val="34512ECD"/>
    <w:rsid w:val="3A8E081F"/>
    <w:rsid w:val="3C10781A"/>
    <w:rsid w:val="3C453B67"/>
    <w:rsid w:val="3E0B30FC"/>
    <w:rsid w:val="3E1A5671"/>
    <w:rsid w:val="3E7D6131"/>
    <w:rsid w:val="3E834CBF"/>
    <w:rsid w:val="3EEBF5B1"/>
    <w:rsid w:val="3EEFA2A9"/>
    <w:rsid w:val="3F7D3FF4"/>
    <w:rsid w:val="3FF58D3C"/>
    <w:rsid w:val="40083A72"/>
    <w:rsid w:val="402F7DA8"/>
    <w:rsid w:val="40E96A82"/>
    <w:rsid w:val="42494D90"/>
    <w:rsid w:val="450669D1"/>
    <w:rsid w:val="47CC2AE3"/>
    <w:rsid w:val="47D44BCC"/>
    <w:rsid w:val="48C83072"/>
    <w:rsid w:val="49B47F98"/>
    <w:rsid w:val="4A517E0A"/>
    <w:rsid w:val="4D924876"/>
    <w:rsid w:val="4DD260D0"/>
    <w:rsid w:val="528F19C6"/>
    <w:rsid w:val="54246A55"/>
    <w:rsid w:val="556F71AA"/>
    <w:rsid w:val="56BD59B4"/>
    <w:rsid w:val="57AD745F"/>
    <w:rsid w:val="59191290"/>
    <w:rsid w:val="5A8251C9"/>
    <w:rsid w:val="5AB66F90"/>
    <w:rsid w:val="5BBB382C"/>
    <w:rsid w:val="5C4A7F6D"/>
    <w:rsid w:val="5CFB86C4"/>
    <w:rsid w:val="5D4F365E"/>
    <w:rsid w:val="5F7A8700"/>
    <w:rsid w:val="5F905CA9"/>
    <w:rsid w:val="5FB5FC22"/>
    <w:rsid w:val="61423320"/>
    <w:rsid w:val="61CE09A5"/>
    <w:rsid w:val="63BF523E"/>
    <w:rsid w:val="65FF5919"/>
    <w:rsid w:val="66FF7D59"/>
    <w:rsid w:val="677D31E2"/>
    <w:rsid w:val="6990421F"/>
    <w:rsid w:val="6C315D17"/>
    <w:rsid w:val="6CB44D3C"/>
    <w:rsid w:val="6CC30793"/>
    <w:rsid w:val="6CDF37D4"/>
    <w:rsid w:val="6E3FA4BD"/>
    <w:rsid w:val="6EF249B0"/>
    <w:rsid w:val="7476434F"/>
    <w:rsid w:val="74864175"/>
    <w:rsid w:val="74D16B5A"/>
    <w:rsid w:val="77265221"/>
    <w:rsid w:val="777A199B"/>
    <w:rsid w:val="77BF1560"/>
    <w:rsid w:val="77DE76BB"/>
    <w:rsid w:val="77FD252A"/>
    <w:rsid w:val="77FF5A52"/>
    <w:rsid w:val="784C7571"/>
    <w:rsid w:val="7896714B"/>
    <w:rsid w:val="789B0BC0"/>
    <w:rsid w:val="79285D7C"/>
    <w:rsid w:val="7B6F4C2E"/>
    <w:rsid w:val="7B843EC8"/>
    <w:rsid w:val="7C4F1479"/>
    <w:rsid w:val="7D7A06D7"/>
    <w:rsid w:val="7DCBD97E"/>
    <w:rsid w:val="7E5D7E3C"/>
    <w:rsid w:val="7ECFC934"/>
    <w:rsid w:val="7F3A6709"/>
    <w:rsid w:val="7F733B30"/>
    <w:rsid w:val="7F9DDAC2"/>
    <w:rsid w:val="82FDFFAF"/>
    <w:rsid w:val="9DFF4643"/>
    <w:rsid w:val="ACDD115C"/>
    <w:rsid w:val="B7EA4232"/>
    <w:rsid w:val="BCBFB9DC"/>
    <w:rsid w:val="BDB304B4"/>
    <w:rsid w:val="BFBF9DCF"/>
    <w:rsid w:val="BFD74CBD"/>
    <w:rsid w:val="BFFF877E"/>
    <w:rsid w:val="C3EF48F8"/>
    <w:rsid w:val="D3BA55FF"/>
    <w:rsid w:val="D70B5228"/>
    <w:rsid w:val="DBE5737C"/>
    <w:rsid w:val="DBFFE10A"/>
    <w:rsid w:val="DEDB20F7"/>
    <w:rsid w:val="DF3E5FAC"/>
    <w:rsid w:val="DFFF29D6"/>
    <w:rsid w:val="E7ECCFAB"/>
    <w:rsid w:val="E97FDFBA"/>
    <w:rsid w:val="EE7E4D8E"/>
    <w:rsid w:val="EFD78535"/>
    <w:rsid w:val="EFFF2ECB"/>
    <w:rsid w:val="F3DFB9E5"/>
    <w:rsid w:val="F6530126"/>
    <w:rsid w:val="F66F4A19"/>
    <w:rsid w:val="F731A042"/>
    <w:rsid w:val="F7F2591C"/>
    <w:rsid w:val="F7FD9210"/>
    <w:rsid w:val="FBB83B2B"/>
    <w:rsid w:val="FEBF6BE6"/>
    <w:rsid w:val="FEDF2AE2"/>
    <w:rsid w:val="FF7526F8"/>
    <w:rsid w:val="FFDBD7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link w:val="15"/>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Body Text First Indent 2"/>
    <w:basedOn w:val="4"/>
    <w:link w:val="16"/>
    <w:unhideWhenUsed/>
    <w:qFormat/>
    <w:uiPriority w:val="99"/>
    <w:pPr>
      <w:ind w:firstLine="420"/>
    </w:pPr>
    <w:rPr>
      <w:szCs w:val="24"/>
    </w:rPr>
  </w:style>
  <w:style w:type="paragraph" w:customStyle="1" w:styleId="12">
    <w:name w:val="WPSOffice手动目录 1"/>
    <w:qFormat/>
    <w:uiPriority w:val="0"/>
    <w:rPr>
      <w:rFonts w:ascii="Times New Roman" w:hAnsi="Times New Roman" w:eastAsia="宋体" w:cs="Times New Roman"/>
      <w:lang w:val="en-US" w:eastAsia="zh-CN" w:bidi="ar-SA"/>
    </w:rPr>
  </w:style>
  <w:style w:type="paragraph" w:customStyle="1" w:styleId="1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4">
    <w:name w:val="标题 2 字符"/>
    <w:basedOn w:val="11"/>
    <w:link w:val="2"/>
    <w:semiHidden/>
    <w:qFormat/>
    <w:uiPriority w:val="0"/>
    <w:rPr>
      <w:rFonts w:asciiTheme="majorHAnsi" w:hAnsiTheme="majorHAnsi" w:eastAsiaTheme="majorEastAsia" w:cstheme="majorBidi"/>
      <w:b/>
      <w:bCs/>
      <w:kern w:val="2"/>
      <w:sz w:val="32"/>
      <w:szCs w:val="32"/>
    </w:rPr>
  </w:style>
  <w:style w:type="character" w:customStyle="1" w:styleId="15">
    <w:name w:val="正文文本缩进 字符"/>
    <w:basedOn w:val="11"/>
    <w:link w:val="4"/>
    <w:qFormat/>
    <w:uiPriority w:val="0"/>
    <w:rPr>
      <w:kern w:val="2"/>
      <w:sz w:val="21"/>
    </w:rPr>
  </w:style>
  <w:style w:type="character" w:customStyle="1" w:styleId="16">
    <w:name w:val="正文文本首行缩进 2 字符"/>
    <w:basedOn w:val="15"/>
    <w:link w:val="9"/>
    <w:qFormat/>
    <w:uiPriority w:val="99"/>
    <w:rPr>
      <w:kern w:val="2"/>
      <w:sz w:val="21"/>
      <w:szCs w:val="24"/>
    </w:rPr>
  </w:style>
  <w:style w:type="paragraph" w:customStyle="1" w:styleId="17">
    <w:name w:val="_Style 15"/>
    <w:basedOn w:val="1"/>
    <w:next w:val="18"/>
    <w:qFormat/>
    <w:uiPriority w:val="34"/>
    <w:pPr>
      <w:ind w:firstLine="420" w:firstLineChars="200"/>
    </w:pPr>
    <w:rPr>
      <w:szCs w:val="24"/>
    </w:rPr>
  </w:style>
  <w:style w:type="paragraph" w:customStyle="1"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13672</Words>
  <Characters>14207</Characters>
  <Lines>128</Lines>
  <Paragraphs>36</Paragraphs>
  <TotalTime>10</TotalTime>
  <ScaleCrop>false</ScaleCrop>
  <LinksUpToDate>false</LinksUpToDate>
  <CharactersWithSpaces>14233</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2024-03-01T22:23:00Z</dcterms:created>
  <dc:creator>user</dc:creator>
  <cp:lastModifiedBy>user</cp:lastModifiedBy>
  <cp:lastPrinted>2026-03-03T02:09:00Z</cp:lastPrinted>
  <dcterms:modified xsi:type="dcterms:W3CDTF">2026-03-06T10:14:17Z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658B2FDEF81B4BB881CDD50D00BC8099_13</vt:lpwstr>
  </property>
  <property fmtid="{D5CDD505-2E9C-101B-9397-08002B2CF9AE}" pid="4" name="KSOTemplateDocerSaveRecord">
    <vt:lpwstr>eyJoZGlkIjoiZjc5OWZhYzg3YTllZTM2OTQyZDc0ZDU5MmNlYWMyOTgiLCJ1c2VySWQiOiI1NDQ2Nzk3NzUifQ==</vt:lpwstr>
  </property>
</Properties>
</file>