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DF59">
      <w:pPr>
        <w:spacing w:line="360" w:lineRule="auto"/>
        <w:jc w:val="center"/>
        <w:rPr>
          <w:rFonts w:hint="eastAsia" w:ascii="黑体" w:hAnsi="黑体" w:eastAsia="黑体"/>
          <w:b/>
          <w:bCs/>
          <w:color w:val="auto"/>
          <w:sz w:val="44"/>
          <w:szCs w:val="48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z w:val="44"/>
          <w:szCs w:val="48"/>
        </w:rPr>
        <w:t>长宁区绿化市容系统数字化监管平台</w:t>
      </w:r>
      <w:r>
        <w:rPr>
          <w:rFonts w:hint="eastAsia" w:ascii="黑体" w:hAnsi="黑体" w:eastAsia="黑体"/>
          <w:b/>
          <w:bCs/>
          <w:color w:val="auto"/>
          <w:sz w:val="44"/>
          <w:szCs w:val="48"/>
          <w:lang w:val="en-US" w:eastAsia="zh-CN"/>
        </w:rPr>
        <w:t>建设</w:t>
      </w:r>
    </w:p>
    <w:p w14:paraId="3CB73BB7">
      <w:pPr>
        <w:spacing w:line="360" w:lineRule="auto"/>
        <w:jc w:val="center"/>
        <w:rPr>
          <w:rFonts w:hint="eastAsia" w:ascii="黑体" w:hAnsi="黑体" w:eastAsia="黑体"/>
          <w:b/>
          <w:bCs/>
          <w:color w:val="auto"/>
          <w:sz w:val="44"/>
          <w:szCs w:val="48"/>
        </w:rPr>
      </w:pPr>
      <w:r>
        <w:rPr>
          <w:rFonts w:hint="eastAsia" w:ascii="黑体" w:hAnsi="黑体" w:eastAsia="黑体"/>
          <w:b/>
          <w:bCs/>
          <w:color w:val="auto"/>
          <w:sz w:val="44"/>
          <w:szCs w:val="48"/>
          <w:lang w:val="en-US" w:eastAsia="zh-CN"/>
        </w:rPr>
        <w:t>采购</w:t>
      </w:r>
      <w:r>
        <w:rPr>
          <w:rFonts w:hint="eastAsia" w:ascii="黑体" w:hAnsi="黑体" w:eastAsia="黑体"/>
          <w:b/>
          <w:bCs/>
          <w:color w:val="auto"/>
          <w:sz w:val="44"/>
          <w:szCs w:val="48"/>
        </w:rPr>
        <w:t>需求文件</w:t>
      </w:r>
    </w:p>
    <w:p w14:paraId="5C7AA1E9">
      <w:pPr>
        <w:pStyle w:val="3"/>
        <w:spacing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项目概述</w:t>
      </w:r>
    </w:p>
    <w:p w14:paraId="67A25DF4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次项目建设，通过区绿容指挥调度平台作为指挥系统，实现与区城运平台双向数据互通、单兵可视化调度、AI语音外呼及移动端小程序协同作业；通过区绿容业务管理平台作为专业系统，整合废弃物处置数字化系统、环卫数据归集应用库、生活垃圾清费云三大模块，分别实现场站运营管控、行业数据治理、垃圾收费线上化管理，全面覆盖绿化市容环卫全链条业务。</w:t>
      </w:r>
      <w:r>
        <w:rPr>
          <w:rFonts w:ascii="宋体" w:hAnsi="宋体" w:eastAsia="宋体"/>
          <w:color w:val="auto"/>
        </w:rPr>
        <w:t>两大平台协同联动，打通指挥调度与业务办理环节，形成“统一指挥、专业履职、闭环管理”的现代化绿化市容治理体系。</w:t>
      </w:r>
    </w:p>
    <w:p w14:paraId="5AFB5293">
      <w:pPr>
        <w:spacing w:line="360" w:lineRule="auto"/>
        <w:rPr>
          <w:rFonts w:hint="eastAsia"/>
          <w:color w:val="auto"/>
        </w:rPr>
      </w:pPr>
    </w:p>
    <w:p w14:paraId="769BB1AF">
      <w:pPr>
        <w:pStyle w:val="3"/>
        <w:spacing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建设内容需求</w:t>
      </w:r>
    </w:p>
    <w:p w14:paraId="4DFC7013">
      <w:pPr>
        <w:pStyle w:val="4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区绿容指挥调度平台（指挥系统）</w:t>
      </w:r>
    </w:p>
    <w:p w14:paraId="68645926">
      <w:pPr>
        <w:pStyle w:val="5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绿容数字一张图</w:t>
      </w:r>
    </w:p>
    <w:p w14:paraId="6CBCF53F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须推进绿容“一张图”建设，汇聚市容、环卫、景观灯光等业务要素上图可视化，搭建应急值守模块、对接12345热线全流程管控，打通业务链路，提升行业智慧精细化管理能力。</w:t>
      </w:r>
    </w:p>
    <w:p w14:paraId="2819680D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与区城运一张图平台对接</w:t>
      </w:r>
    </w:p>
    <w:p w14:paraId="71B97F6E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须深度对接长宁区城市治理一张图平台，复用其GIS底座、地图服务及图层能力，标准化互通数据，实现治理要素落图可视化，降本提速，保障全区地理标准统一、数据同源。</w:t>
      </w:r>
    </w:p>
    <w:p w14:paraId="745A8E74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绿容“一张图”</w:t>
      </w:r>
    </w:p>
    <w:p w14:paraId="5117DCC5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市容要素上图</w:t>
      </w:r>
    </w:p>
    <w:p w14:paraId="1B7D494F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须对接区级城市治理一张图平台，将沿街商铺、占道点位等市容全要素空间落图，归集巡查整改数据，可视化展示全域市容管控态势，实现市容问题全流程数字化管控。</w:t>
      </w:r>
    </w:p>
    <w:p w14:paraId="30722A13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环卫要素上图</w:t>
      </w:r>
    </w:p>
    <w:p w14:paraId="26C4F498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应复用平台GIS能力，完成环卫路段、车辆、公厕、中转站等资源上图，动态更新作业清运运维数据，实时展示作业态势，精准识别管控薄弱区域，实现环卫精细化数字管理。</w:t>
      </w:r>
    </w:p>
    <w:p w14:paraId="6CE82EF4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景观灯光要素上图</w:t>
      </w:r>
    </w:p>
    <w:p w14:paraId="225E2846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需依托统一地理底座实现全区亮化设施全覆盖上图，实时展示设施启闭、故障、运维信息，具备故障预警、运维派单功能，全过程管控节假日景观亮化保障工作。</w:t>
      </w:r>
    </w:p>
    <w:p w14:paraId="113BD2FC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应急值守保障</w:t>
      </w:r>
    </w:p>
    <w:p w14:paraId="3F19C0F3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须落实市级应急文件要求，依托一张图搭建值守态势模块，归集各类值守人员数据，实现应急值守数字化闭环调度。</w:t>
      </w:r>
    </w:p>
    <w:p w14:paraId="5A0BF4FB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12345热线情况</w:t>
      </w:r>
    </w:p>
    <w:p w14:paraId="17C21EB2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须对接12345热线全流程工单数据，实现业务数据上图可视化，支持工单指标统计、超时预警与问题研判，配套多类数据组件展示核心民生工单数据。</w:t>
      </w:r>
    </w:p>
    <w:p w14:paraId="0D206085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</w:p>
    <w:p w14:paraId="2E23773B">
      <w:pPr>
        <w:pStyle w:val="5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绿容派单枢纽（上报处置、信息汇聚流转）</w:t>
      </w:r>
    </w:p>
    <w:p w14:paraId="21A1CCA8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须对接区级城运派单平台实现双向数据互通，支持工单下发与结果回传，具备多级审核、智能派单、消息推送、全流程跟踪能力，依托移动端实现现场处置上报，构建完整工单闭环管理体系。</w:t>
      </w:r>
    </w:p>
    <w:p w14:paraId="573501AD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与区城运平台对接</w:t>
      </w:r>
    </w:p>
    <w:p w14:paraId="278E2FFA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下发对接</w:t>
      </w:r>
    </w:p>
    <w:p w14:paraId="14D35367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依托现有政务网络及标准化接口，对接区级城运派单平台，实时接收市容绿化巡查、问题处置、应急保障等工单及调度指令，同步推送至系统后台及前端单兵终端，自动解析、落地分派任务，保障上级调度指令高效直达一线，实现统一指挥调度。</w:t>
      </w:r>
    </w:p>
    <w:p w14:paraId="0A335822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上传对接</w:t>
      </w:r>
    </w:p>
    <w:p w14:paraId="6EC8CF4A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依托现有通信链路，完成现场处置、巡查核查、人员状态等数据归集，向区级城运派单平台实时回传单兵定位、现场音视频、工单处置结果、整改素材、在岗状态等全量数据，实现处置态势实时上报，支撑平台事件闭环、态势研判及监管考核工作。</w:t>
      </w:r>
    </w:p>
    <w:p w14:paraId="28C539E7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业务审核流转</w:t>
      </w:r>
    </w:p>
    <w:p w14:paraId="314B1BAD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信息汇聚</w:t>
      </w:r>
    </w:p>
    <w:p w14:paraId="29717DA3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建设一体化信息汇聚能力，整合市民投诉举报、一线巡查图文上报、跨部门共享数据等各类市容绿化业务资源，适配随申办政务云上报场景，建立标准化跨部门数据共享机制。系统须按行业业务类型对汇聚数据进行精准分类、结构化规整及规范化存储，支持多维度查询与数据溯源，为工单审核流转、业务复盘分析提供标准化数据底座支撑。</w:t>
      </w:r>
    </w:p>
    <w:p w14:paraId="01ED9C21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审核流程</w:t>
      </w:r>
    </w:p>
    <w:p w14:paraId="138B3D29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建立完善的工单审核处置机制，融合智能自动审核分派与人工复核分派模式。针对常规工单依托预设规则自动审核分派，针对跨区域、权责不清、场景复杂的特殊工单支持人工研判分派。同时完整记录每笔工单的受理人员、受理时间、校验过程及受理结果，形成全流程留痕台账，保障工单审核分派合规精准、可查可溯。</w:t>
      </w:r>
    </w:p>
    <w:p w14:paraId="5FB616F3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自动分派</w:t>
      </w:r>
    </w:p>
    <w:p w14:paraId="679B5CF0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具备多维度智能自动分派能力，可根据工单问题类型、事发地理位置、紧急轻重等级完成精准智能派单，实现专业问题对口处置、就近点位快速处置、紧急问题优先处置。同时支持与现有绿化市容行业专项业务系统联动，通过标准化接口完成跨系统工单分派，构建精细化、高效率、全覆盖的智能派单体系。</w:t>
      </w:r>
    </w:p>
    <w:p w14:paraId="4E495C45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分派通知</w:t>
      </w:r>
    </w:p>
    <w:p w14:paraId="6F65B149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搭建完备的工单分派通知闭环机制，支持移动端实时推送工单详情、处置要求、办理时限等核心信息，确保任务精准触达一线处置人员。支持工作人员在线确认接单或退回工单并备注缘由，接单状态实时同步更新。工单分派完成后，须自动向区城运中心反馈分派结果与处置启动状态，实现上下联动闭环管控。</w:t>
      </w:r>
    </w:p>
    <w:p w14:paraId="2B4F1EC7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流转跟踪</w:t>
      </w:r>
    </w:p>
    <w:p w14:paraId="155C8971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实现工单全生命周期流转跟踪管控，实时监控工单分配、接收、处置、审核、办结、退回等全流程状态，可视化展示处置进度。支持按工单等级差异化设置处置时限，对超时工单自动触发预警提醒。全程留存处置过程资料与操作轨迹，同时建立分级督办机制，支持流程规则、权限时限等参数灵活配置，适配业务动态调整需求。</w:t>
      </w:r>
    </w:p>
    <w:p w14:paraId="1A118307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移动端处置</w:t>
      </w:r>
    </w:p>
    <w:p w14:paraId="2CDC6841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信息上报</w:t>
      </w:r>
    </w:p>
    <w:p w14:paraId="1E984EBF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提供便捷、多渠道的市容问题信息上报能力，支持移动端、网页端双端上报。巡查人员可随时随地通过设备完成问题上报，支持选择标准问题类型、编辑文字描述、精准GPS定位或地图选点定位，并可上传现场照片、视频等附件资料，实现市容问题采集真实、精准、可佐证，全面满足日常巡查发现问题的快速归集上报需求。</w:t>
      </w:r>
    </w:p>
    <w:p w14:paraId="5411B3A7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任务接收</w:t>
      </w:r>
    </w:p>
    <w:p w14:paraId="4625E556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具备完善的工单任务接收能力，可完整展示工单问题类型、事发地点、紧急程度、处置时限等核心信息，支持地图导航定位现场，可查看工单原始影像附件及派单意见，便于处置人员全面掌握任务详情。支持工作人员一键接单、状态自动更新，针对权责不符、无法处置的工单，支持在线提交退回申请并备注理由，提交信息同步回传派单枢纽等待审核。</w:t>
      </w:r>
    </w:p>
    <w:p w14:paraId="36DBDBA6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任务处置</w:t>
      </w:r>
    </w:p>
    <w:p w14:paraId="2B864D1E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支持处置人员规范完成工单全流程处置操作，处置完成后可填报处置措施、处置结果及整改成效，同步上传完工影像凭证资料。支持工单处置状态自动更新并实时回传至派单枢纽，进入待审核环节。针对现场特殊情况，支持在线申请任务延期或工单退回，可上传佐证材料并说明原因。全过程操作记录、处置进展、影像资料实时同步留存，实现处置全程留痕、可查可溯，形成完整处置闭环管理。</w:t>
      </w:r>
    </w:p>
    <w:p w14:paraId="5A493B42">
      <w:pPr>
        <w:pStyle w:val="5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绿容派单枢纽（Ai语音外呼）</w:t>
      </w:r>
    </w:p>
    <w:p w14:paraId="46733821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搭建绿容智能派单枢纽，集成AI语音外呼能力，实现智能化语音交互与智能提醒。对接区级城运平台并复用现有接口能力，打通业务与数据互通通道。结合绿容业务场景，实现清运超时提醒、门责三包协议告知、工单语音催告、签约收费提醒等智能应用，优化工单流转与消息提醒全流程，降低人工成本，提升工单处置效率与业务管控水平，实现绿容管理服务数字化、智能化升级。</w:t>
      </w:r>
    </w:p>
    <w:p w14:paraId="4D3D2C12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与区城运平台对接</w:t>
      </w:r>
    </w:p>
    <w:p w14:paraId="3ED07F76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须复用城运平台AI语音外呼全套能力，直接调用参数话术开展自动呼叫，归集呼叫数据统一分析，不重复搭建模块，实现外呼一体化管控。</w:t>
      </w:r>
    </w:p>
    <w:p w14:paraId="5FB6B24C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绿容业务场景建设</w:t>
      </w:r>
    </w:p>
    <w:p w14:paraId="7EE3050B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清运超时提醒</w:t>
      </w:r>
    </w:p>
    <w:p w14:paraId="6645655D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须搭建垃圾清运超时自动提醒功能，任务超预设时限自动触发提醒，便于工作人员及时督办，保障垃圾清运工作高效有序开展。</w:t>
      </w:r>
    </w:p>
    <w:p w14:paraId="0F4E900F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门责三包协议告知</w:t>
      </w:r>
    </w:p>
    <w:p w14:paraId="53F938CF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应配置商铺门前三包语音告知功能，定向推送协议条款、责任范围与履约要求，引导沿街商户落实市容环境主体责任。</w:t>
      </w:r>
    </w:p>
    <w:p w14:paraId="1B05413B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派单语音催告</w:t>
      </w:r>
    </w:p>
    <w:p w14:paraId="33A43AB8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需设置工单语音自动催告机制，对紧急处置工单发起语音提醒，督促责任人员加快处置进度，防止工单逾期积压。</w:t>
      </w:r>
    </w:p>
    <w:p w14:paraId="3E6D66DB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签约和收费提醒</w:t>
      </w:r>
    </w:p>
    <w:p w14:paraId="060FBA60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须实现垃圾处理费年度签约、缴费节点自动语音提醒，定向推送告知相关主体，保障签约、收费工作按期完成。</w:t>
      </w:r>
    </w:p>
    <w:p w14:paraId="246DAE0C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工单自动回访</w:t>
      </w:r>
    </w:p>
    <w:p w14:paraId="1EBACC8A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应开发工单AI自动回访功能，通过标准化语音对话采集群众处置满意度与问题整改反馈，为业务优化提供数据支撑。</w:t>
      </w:r>
    </w:p>
    <w:p w14:paraId="7F459D3A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</w:p>
    <w:p w14:paraId="2CADA4C5">
      <w:pPr>
        <w:pStyle w:val="5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绿容单兵调度子系统</w:t>
      </w:r>
    </w:p>
    <w:p w14:paraId="1C96E638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须搭建绿容单兵调度子系统，对接区级城运平台实现数据互通，接入5G单兵设备完成人员定位与音视频可视化监管。依托随申办部署智视通小程序，构建全域可视、统一调度的移动应急管控体系。</w:t>
      </w:r>
    </w:p>
    <w:p w14:paraId="640AC536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与区城运平台对接</w:t>
      </w:r>
    </w:p>
    <w:p w14:paraId="0C3CA4C7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须对接区城运平台复用政务传输链路，依托其全IP调度底座实现5G单兵定位、对讲、音视频回传调取，打通两平台数据共享。</w:t>
      </w:r>
    </w:p>
    <w:p w14:paraId="0D8A18F3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5G可视化监管单兵接入</w:t>
      </w:r>
    </w:p>
    <w:p w14:paraId="05EBCDAA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</w:t>
      </w:r>
      <w:r>
        <w:rPr>
          <w:rFonts w:ascii="宋体" w:hAnsi="宋体" w:eastAsia="宋体"/>
          <w:color w:val="auto"/>
        </w:rPr>
        <w:t>依托现有政务数据链路接入单兵定位、音视频、状态数据，实现对讲调度、定位签到，构建扁平化一体化多媒体指挥调度体系。</w:t>
      </w:r>
    </w:p>
    <w:p w14:paraId="423DACC1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随申办政务云</w:t>
      </w:r>
    </w:p>
    <w:p w14:paraId="53193237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需</w:t>
      </w:r>
      <w:r>
        <w:rPr>
          <w:rFonts w:ascii="宋体" w:hAnsi="宋体" w:eastAsia="宋体"/>
          <w:color w:val="auto"/>
        </w:rPr>
        <w:t>在随申办政务云部署智视通小程序，免安装适配双端，支持音视频会商、定位上报、指令收发，实现全域移动可视调度。</w:t>
      </w:r>
    </w:p>
    <w:p w14:paraId="08A85A79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</w:p>
    <w:p w14:paraId="3DA39C6A">
      <w:pPr>
        <w:pStyle w:val="4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区绿容业务管理平台（专业系统）</w:t>
      </w:r>
    </w:p>
    <w:p w14:paraId="48B45AC9">
      <w:pPr>
        <w:pStyle w:val="5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长宁区废弃物综合处置中心生产运营数字化系统（一期）</w:t>
      </w:r>
    </w:p>
    <w:p w14:paraId="4A0BA769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须搭建综合管理驾驶舱，汇聚安全、设备、能源、报警等可视化态势，实现能耗预警、警情处置、隐患整改、智能巡检全流程闭环智能化管控。</w:t>
      </w:r>
    </w:p>
    <w:p w14:paraId="3C22518B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管理驾驶舱</w:t>
      </w:r>
    </w:p>
    <w:p w14:paraId="0B9F18A4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须建设安全、设备、能源、报警四类管理看板，归集对应指标、告警数据可视化展示，支撑风险识别、运维管控、能耗优化及事件闭环处置。</w:t>
      </w:r>
    </w:p>
    <w:p w14:paraId="71810891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能源管理</w:t>
      </w:r>
    </w:p>
    <w:p w14:paraId="7E329D54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须搭建能源监控、分析预警、优化闭环三大模块，多维度展示能耗数据，开展趋势对标分析、异常预警，实现能耗问题整改跟踪、成效校验与经验沉淀全流程闭环管理。</w:t>
      </w:r>
    </w:p>
    <w:p w14:paraId="76CAAD0D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报警管理</w:t>
      </w:r>
    </w:p>
    <w:p w14:paraId="585DD092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须实现各类设备、环境报警数据自动采集解析、分类标记，支持多渠道告警推送、一键工单闭环处置，具备报警趋势分析、重复合并、优先级优化功能，支持报警规则阈值变更审批与历史留痕管理。</w:t>
      </w:r>
    </w:p>
    <w:p w14:paraId="22174CD4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须实现设备、充电桩、环境监测等各类报警数据自动采集、解析与分类，自动标记报警类型、等级及关联对象，打通数据孤岛，实现报警信息集中规范化管理。</w:t>
      </w:r>
    </w:p>
    <w:p w14:paraId="72EB280B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隐患管理</w:t>
      </w:r>
    </w:p>
    <w:p w14:paraId="426C35B1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搭建全流程隐患闭环管理模块，联动绿容派单枢纽，支持多渠道隐患图文上报、分级评估、限时派单、进度跟踪、线上验收，整改数据双向互通；配套隐患台账查询导出、多维度统计分析功能，支撑精细化安全管控决策。</w:t>
      </w:r>
    </w:p>
    <w:p w14:paraId="4C549F57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设备巡检</w:t>
      </w:r>
    </w:p>
    <w:p w14:paraId="6571B6DA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建立设备电子档案，支持设备分类标签化管理、信息维护与快速查询。系统可按设备类型、巡检周期自动生成常态化巡检计划，支持手动调整及紧急任务新增，巡检人员可线上接单、现场影像留存、打卡签到，实现设备巡检数字化、全流程精细化管控。</w:t>
      </w:r>
    </w:p>
    <w:p w14:paraId="5680B8C3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</w:p>
    <w:p w14:paraId="233CFC70">
      <w:pPr>
        <w:pStyle w:val="5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长宁区绿化市容环卫数据归集应用库（一期）</w:t>
      </w:r>
    </w:p>
    <w:p w14:paraId="75AD283B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搭建绿容一体化数据应用体系，支持绿化、环卫、市容多方式数据接入，完成数据规整、去重补全、合规校验与统一汇聚。支持多条件检索、统计导出、图表地图可视化，配套接口运维管控，支撑业务精细化数据分析应用。</w:t>
      </w:r>
    </w:p>
    <w:p w14:paraId="0EED4D95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数据采集</w:t>
      </w:r>
    </w:p>
    <w:p w14:paraId="40C60134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须支持绿化、环卫、市容三类行业结构化数据接入，提供离线导入、增量抽取、API接口等多元采集方式，完成各条线业务原始数据统一归集。</w:t>
      </w:r>
    </w:p>
    <w:p w14:paraId="07290AF3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数据处理</w:t>
      </w:r>
    </w:p>
    <w:p w14:paraId="4C95C4B3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须对多源数据标准化加工，完成格式统一、缺失值补全、异常数据校验清理、重复记录去重、编码规整，保障数据完整、规范、可用。</w:t>
      </w:r>
    </w:p>
    <w:p w14:paraId="28A7D840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数据资源中心</w:t>
      </w:r>
    </w:p>
    <w:p w14:paraId="4A1FE531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搭建绿化、环卫、市容三大专题数据库，分别汇聚对应行业设施、作业、人员、处置全量业务数据，支撑行业精细化监管与数据分析应用。</w:t>
      </w:r>
    </w:p>
    <w:p w14:paraId="44A86FC1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接口服务</w:t>
      </w:r>
    </w:p>
    <w:p w14:paraId="0CD4089F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配套三类标准化接口：</w:t>
      </w:r>
    </w:p>
    <w:p w14:paraId="3D5B7682">
      <w:pPr>
        <w:pStyle w:val="48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接入类实现多源数据同步入库；</w:t>
      </w:r>
    </w:p>
    <w:p w14:paraId="78DE1C49">
      <w:pPr>
        <w:pStyle w:val="48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服务类对外提供数据查询调取能力；</w:t>
      </w:r>
    </w:p>
    <w:p w14:paraId="7BF00C29">
      <w:pPr>
        <w:pStyle w:val="48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运维类支撑平台监控、权限、调度等后台管理。</w:t>
      </w:r>
    </w:p>
    <w:p w14:paraId="430F739C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数据展示</w:t>
      </w:r>
    </w:p>
    <w:p w14:paraId="42D3051C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需</w:t>
      </w:r>
      <w:r>
        <w:rPr>
          <w:rFonts w:ascii="宋体" w:hAnsi="宋体" w:eastAsia="宋体"/>
          <w:color w:val="auto"/>
        </w:rPr>
        <w:t>支持台账、点位地图可视化展示，提供多条件交互式检索、数据导出、多维度指标统计对比功能，直观呈现行业资源与作业运行态势。</w:t>
      </w:r>
    </w:p>
    <w:p w14:paraId="3477CA0E">
      <w:pPr>
        <w:spacing w:line="360" w:lineRule="auto"/>
        <w:rPr>
          <w:rFonts w:hint="eastAsia"/>
          <w:color w:val="auto"/>
        </w:rPr>
      </w:pPr>
    </w:p>
    <w:p w14:paraId="728F4E7A">
      <w:pPr>
        <w:pStyle w:val="5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长宁区“长宁生活垃圾清费云”平台服务项目</w:t>
      </w:r>
    </w:p>
    <w:p w14:paraId="7EC2A4E3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通过</w:t>
      </w:r>
      <w:r>
        <w:rPr>
          <w:rFonts w:ascii="宋体" w:hAnsi="宋体" w:eastAsia="宋体"/>
          <w:color w:val="auto"/>
        </w:rPr>
        <w:t>整合</w:t>
      </w:r>
      <w:r>
        <w:rPr>
          <w:rFonts w:hint="eastAsia" w:ascii="宋体" w:hAnsi="宋体" w:eastAsia="宋体"/>
          <w:color w:val="auto"/>
        </w:rPr>
        <w:t>长宁生活垃圾清费</w:t>
      </w:r>
      <w:r>
        <w:rPr>
          <w:rFonts w:ascii="宋体" w:hAnsi="宋体" w:eastAsia="宋体"/>
          <w:color w:val="auto"/>
        </w:rPr>
        <w:t>全流程业务能力，涵盖基础信息、申报、合同、账单支付、发票、清运作业、对账核销、接口及系统管理，并配套数据统计分析功能，同时支持移动端便捷办理核心业务，实现生活垃圾收费业务线上化、一体化管控。</w:t>
      </w:r>
    </w:p>
    <w:p w14:paraId="0C3CA15D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“长宁生活垃圾清费云”平台（服务端）</w:t>
      </w:r>
    </w:p>
    <w:p w14:paraId="0D071ADF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基本信息管理</w:t>
      </w:r>
    </w:p>
    <w:p w14:paraId="649E8552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须实现垃圾产生单位、征费人员信息数字化管控，支持信息增删改查维护，留存单位、人员、收运点位等核心资料，筑牢征费申报业务数据基础。</w:t>
      </w:r>
    </w:p>
    <w:p w14:paraId="306D905A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申报管理</w:t>
      </w:r>
    </w:p>
    <w:p w14:paraId="7647A64E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系统支持生活垃圾产生量线上自主申报与台账留存，支持数据编辑、多条件查询。管理人员可线上审核申报信息，审核通过自动生成清运收费合同，实现申报审批一体化闭环。</w:t>
      </w:r>
    </w:p>
    <w:p w14:paraId="35C407D5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合同管理</w:t>
      </w:r>
    </w:p>
    <w:p w14:paraId="3C6D35D8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系统实现清运收费合同全生命周期管理，支持申报数据自动生成标准化合同，提供合同台账、多条件查询、详情查看功能，留存合同核心信息，实现合同规范化、可追溯管理。</w:t>
      </w:r>
    </w:p>
    <w:p w14:paraId="44B7738A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接口管理</w:t>
      </w:r>
    </w:p>
    <w:p w14:paraId="4CD84754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须搭建标准化对接接口，对接银行系统与数电票平台，实现缴费凭证获取、账单对账销账、开票推送及结果回传，保障收费、开票业务闭环运行。</w:t>
      </w:r>
    </w:p>
    <w:p w14:paraId="20354553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账单支付管理</w:t>
      </w:r>
    </w:p>
    <w:p w14:paraId="36B13288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系统支持全量缴费账单分类展示、详情查询，优化线上支付功能，锁定缴费主体与金额，保障票款数据一致，打通银企数据链路，简化对账流程，实现支付精细化管控。</w:t>
      </w:r>
    </w:p>
    <w:p w14:paraId="46EC59C8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发票管理</w:t>
      </w:r>
    </w:p>
    <w:p w14:paraId="743D2758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系统可依据合同、账单自动生成开票数据，对接数电票平台实现自动开票，支持发票台账检索、查看、下载，完整留存开票信息，实现发票全流程规范管理。</w:t>
      </w:r>
    </w:p>
    <w:p w14:paraId="691B4511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清运作业管理</w:t>
      </w:r>
    </w:p>
    <w:p w14:paraId="56357ECE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系统支持自动生成并下发清运作业工单，供企业线上接单，支持批量上传实际收运量。可多维度统计对比合同量与实际清运量，对超量数据高亮预警，实现清运作业全流程监管。</w:t>
      </w:r>
    </w:p>
    <w:p w14:paraId="5D4E98AC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统计分析</w:t>
      </w:r>
    </w:p>
    <w:p w14:paraId="2B43F7A5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系统具备多维度统计分析能力，可对合同、到账、开票等核心数据进行分类统计，支持多条件筛选、数据导出打印，直观呈现业务态势，支撑精细化管理决策。</w:t>
      </w:r>
    </w:p>
    <w:p w14:paraId="698043C4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对账核销</w:t>
      </w:r>
    </w:p>
    <w:p w14:paraId="78B49356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系统支持依托合同、账单、发票、缴费凭证实现自动对账核销，支持台账查询导出。针对核销异常场景，提供人工手动匹配调整功能，保障账款核对精准无误。</w:t>
      </w:r>
    </w:p>
    <w:p w14:paraId="428541FA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系统管理</w:t>
      </w:r>
    </w:p>
    <w:p w14:paraId="0D40F7DA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系统支持用户账号运维、角色权限精细化分配，针对缴费、对账等核心业务，搭建全流程操作日志，实现操作全程留痕，保障系统安全可控、可查可溯。</w:t>
      </w:r>
    </w:p>
    <w:p w14:paraId="10712C7B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</w:p>
    <w:p w14:paraId="60C42CB2">
      <w:pPr>
        <w:pStyle w:val="6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“长宁生活垃圾清费云”平台（移动端）</w:t>
      </w:r>
    </w:p>
    <w:p w14:paraId="60F3837A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首页</w:t>
      </w:r>
    </w:p>
    <w:p w14:paraId="7907BEDA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首页汇聚系统核心功能与待办任务，支持点击跳转对应业务详情页面，同时支持用户个人信息在线查看、编辑与保存，提升操作便捷性。</w:t>
      </w:r>
    </w:p>
    <w:p w14:paraId="3931A1BD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申报管理</w:t>
      </w:r>
    </w:p>
    <w:p w14:paraId="4016A2E8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系统支持垃圾产生单位线上自主申报生活垃圾产生量，支持管理部门对申报信息开展审核、派工及审批操作，政企两端均可按条件查询申报台账信息。</w:t>
      </w:r>
    </w:p>
    <w:p w14:paraId="3F74708E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合同管理</w:t>
      </w:r>
    </w:p>
    <w:p w14:paraId="710EBBFE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支持企业及管理部门在线查看、打印清运服务合同，配套发票管理能力，允许企业在线查询、下载对应合同发票，实现合同票据一体化管理。</w:t>
      </w:r>
    </w:p>
    <w:p w14:paraId="5D4EF941">
      <w:pPr>
        <w:pStyle w:val="48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账单支付管理</w:t>
      </w:r>
    </w:p>
    <w:p w14:paraId="39BD27BA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支持政企两端账单信息查询展示，提供标准化线上支付功能，锁定缴费主体与固定缴费金额，支持企业一键线上缴款，规范缴费流程、保障支付数据准确。</w:t>
      </w:r>
    </w:p>
    <w:p w14:paraId="28A9E0BD">
      <w:pPr>
        <w:spacing w:line="360" w:lineRule="auto"/>
        <w:rPr>
          <w:rFonts w:hint="eastAsia"/>
          <w:color w:val="auto"/>
        </w:rPr>
      </w:pPr>
    </w:p>
    <w:p w14:paraId="181F8828">
      <w:pPr>
        <w:pStyle w:val="3"/>
        <w:spacing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项目建设需求</w:t>
      </w:r>
    </w:p>
    <w:p w14:paraId="0CB723AD">
      <w:pPr>
        <w:pStyle w:val="4"/>
        <w:spacing w:line="360" w:lineRule="auto"/>
        <w:rPr>
          <w:rFonts w:hint="eastAsia"/>
          <w:color w:val="auto"/>
        </w:rPr>
      </w:pPr>
      <w:r>
        <w:rPr>
          <w:color w:val="auto"/>
        </w:rPr>
        <w:t>时间进度要求</w:t>
      </w:r>
    </w:p>
    <w:p w14:paraId="68E05FB7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本项目拟建设周期约为3个月，其中项目启动及设计阶段0.5个月，系统开发部署共2.5个月。完成后项目进入为期1个月的试运行阶段，试运行期间无重大缺陷、无重大故障，则项目可进入验收阶段。</w:t>
      </w:r>
    </w:p>
    <w:p w14:paraId="02C4CE58">
      <w:pPr>
        <w:pStyle w:val="4"/>
        <w:spacing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项目管理</w:t>
      </w:r>
      <w:r>
        <w:rPr>
          <w:color w:val="auto"/>
          <w:sz w:val="28"/>
          <w:szCs w:val="28"/>
        </w:rPr>
        <w:t>要求</w:t>
      </w:r>
    </w:p>
    <w:p w14:paraId="532CB7CC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投标人需有相关领域项目建设经验（投标人需提供相关业绩证明材料）。</w:t>
      </w:r>
    </w:p>
    <w:p w14:paraId="7593DEEE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投标人的服务体系需符合相关标准，包括</w:t>
      </w:r>
      <w:r>
        <w:rPr>
          <w:rFonts w:ascii="宋体" w:hAnsi="宋体" w:eastAsia="宋体"/>
          <w:color w:val="auto"/>
        </w:rPr>
        <w:t>ISO20000信息技术服务管理标准、ISO27001信息安全管理体系等。</w:t>
      </w:r>
    </w:p>
    <w:p w14:paraId="44DC4ECA">
      <w:pPr>
        <w:pStyle w:val="4"/>
        <w:spacing w:line="360" w:lineRule="auto"/>
        <w:rPr>
          <w:rFonts w:hint="eastAsia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售后服务要求</w:t>
      </w:r>
    </w:p>
    <w:p w14:paraId="52C77ED0">
      <w:pPr>
        <w:pStyle w:val="5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服务期限</w:t>
      </w:r>
    </w:p>
    <w:p w14:paraId="4A58CCD3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从系统验收通过之日起1年内提供5</w:t>
      </w:r>
      <w:r>
        <w:rPr>
          <w:rFonts w:ascii="宋体" w:hAnsi="宋体" w:eastAsia="宋体"/>
          <w:color w:val="auto"/>
        </w:rPr>
        <w:t>*8</w:t>
      </w:r>
      <w:r>
        <w:rPr>
          <w:rFonts w:hint="eastAsia" w:ascii="宋体" w:hAnsi="宋体" w:eastAsia="宋体"/>
          <w:color w:val="auto"/>
        </w:rPr>
        <w:t>小时免费技术支持和售后服务。</w:t>
      </w:r>
    </w:p>
    <w:p w14:paraId="4BB69DA2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免维期满</w:t>
      </w:r>
      <w:r>
        <w:rPr>
          <w:rFonts w:ascii="宋体" w:hAnsi="宋体" w:eastAsia="宋体"/>
          <w:color w:val="auto"/>
        </w:rPr>
        <w:t>后进入有偿维护期</w:t>
      </w:r>
      <w:r>
        <w:rPr>
          <w:rFonts w:hint="eastAsia" w:ascii="宋体" w:hAnsi="宋体" w:eastAsia="宋体"/>
          <w:color w:val="auto"/>
        </w:rPr>
        <w:t>，供应商须以优惠价提供优质服务。</w:t>
      </w:r>
    </w:p>
    <w:p w14:paraId="37CA27AB">
      <w:pPr>
        <w:pStyle w:val="5"/>
        <w:spacing w:line="360" w:lineRule="auto"/>
        <w:rPr>
          <w:rFonts w:hint="eastAsia"/>
          <w:color w:val="auto"/>
        </w:rPr>
      </w:pPr>
      <w:bookmarkStart w:id="0" w:name="_Toc63785506"/>
      <w:r>
        <w:rPr>
          <w:rFonts w:hint="eastAsia"/>
          <w:color w:val="auto"/>
        </w:rPr>
        <w:t>售后响应</w:t>
      </w:r>
      <w:bookmarkEnd w:id="0"/>
    </w:p>
    <w:p w14:paraId="6160A076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应对设备系统故障，供应商能及时响应，接到通知后能按照故障级别及对应的应急响应要求进行及时响应。特殊故障与客户沟通协商后，按照协商的方式制定解决方案并进行处理。</w:t>
      </w:r>
    </w:p>
    <w:p w14:paraId="52F8CACC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具体故障级别及对应的应急响应要求如下：</w:t>
      </w:r>
    </w:p>
    <w:p w14:paraId="2D88DE95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一级故障：在</w:t>
      </w:r>
      <w:r>
        <w:rPr>
          <w:rFonts w:ascii="宋体" w:hAnsi="宋体" w:eastAsia="宋体"/>
          <w:color w:val="auto"/>
        </w:rPr>
        <w:t>1小时内确诊，总故障解决时间不超过4小时。</w:t>
      </w:r>
    </w:p>
    <w:p w14:paraId="76CFD83C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二级故障：在</w:t>
      </w:r>
      <w:r>
        <w:rPr>
          <w:rFonts w:ascii="宋体" w:hAnsi="宋体" w:eastAsia="宋体"/>
          <w:color w:val="auto"/>
        </w:rPr>
        <w:t>2小时内确诊，并在4小时内由专家到达现场确诊并解决，总故障解决时间不超过8小时；</w:t>
      </w:r>
    </w:p>
    <w:p w14:paraId="1EA77B65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三、四级故障：在</w:t>
      </w:r>
      <w:r>
        <w:rPr>
          <w:rFonts w:ascii="宋体" w:hAnsi="宋体" w:eastAsia="宋体"/>
          <w:color w:val="auto"/>
        </w:rPr>
        <w:t>4小时内确诊故障，总故障解决时间不超过16小时。</w:t>
      </w:r>
    </w:p>
    <w:p w14:paraId="1A35A670">
      <w:pPr>
        <w:pStyle w:val="5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售后内容</w:t>
      </w:r>
    </w:p>
    <w:p w14:paraId="173EDAE0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在</w:t>
      </w:r>
      <w:r>
        <w:rPr>
          <w:rFonts w:ascii="宋体" w:hAnsi="宋体" w:eastAsia="宋体"/>
          <w:color w:val="auto"/>
        </w:rPr>
        <w:t>免费维护期</w:t>
      </w:r>
      <w:r>
        <w:rPr>
          <w:rFonts w:hint="eastAsia" w:ascii="宋体" w:hAnsi="宋体" w:eastAsia="宋体"/>
          <w:color w:val="auto"/>
        </w:rPr>
        <w:t>内，供应商负责信息系统的运行维护工作，确保信息系统安全、稳定、可靠地运行。本项目涉及的运行维护工作范围为：负责软件的后期维护，对所有不符合要求的部分予以修正，在合同界定的功能范围内适时进行软件的修改、升级工作并持续跟进系统运行情况，及时解决运行中的问题。</w:t>
      </w:r>
    </w:p>
    <w:p w14:paraId="615F8217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本项目在建设过程以及免费维护期中，若遇到与本项目相关的技术问题，中标人提供无推诿服务。</w:t>
      </w:r>
    </w:p>
    <w:p w14:paraId="280E8778">
      <w:pPr>
        <w:pStyle w:val="4"/>
        <w:spacing w:line="360" w:lineRule="auto"/>
        <w:rPr>
          <w:rFonts w:hint="eastAsia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培训服务要求</w:t>
      </w:r>
    </w:p>
    <w:p w14:paraId="506FDBA3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中标人须为采购人提供多方面、多层次的培训。培训内容包括：针对业务操作人员、技术维护人员的培训。</w:t>
      </w:r>
    </w:p>
    <w:p w14:paraId="6E49DC45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（</w:t>
      </w:r>
      <w:r>
        <w:rPr>
          <w:rFonts w:ascii="宋体" w:hAnsi="宋体" w:eastAsia="宋体"/>
          <w:color w:val="auto"/>
        </w:rPr>
        <w:t>1）投标人应详细制定人员培训方案，培训方案包括培训目的、培训时间安排、人员层次、人数、次数、培训课程、主要内容、培训组织形式等；</w:t>
      </w:r>
    </w:p>
    <w:p w14:paraId="22943E07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（</w:t>
      </w:r>
      <w:r>
        <w:rPr>
          <w:rFonts w:ascii="宋体" w:hAnsi="宋体" w:eastAsia="宋体"/>
          <w:color w:val="auto"/>
        </w:rPr>
        <w:t>3）中标人应保证提供最有经验的教员，使采购人相关人员在培训后能对系统进行管理、使用、维护等基本操作。</w:t>
      </w:r>
    </w:p>
    <w:p w14:paraId="2C1C48DE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（</w:t>
      </w:r>
      <w:r>
        <w:rPr>
          <w:rFonts w:ascii="宋体" w:hAnsi="宋体" w:eastAsia="宋体"/>
          <w:color w:val="auto"/>
        </w:rPr>
        <w:t>4）培训内容应包括所提供产品的性能、使用、维护等各个方面，并提供全套培训教材和培训课程计划表。</w:t>
      </w:r>
    </w:p>
    <w:p w14:paraId="54243A93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（</w:t>
      </w:r>
      <w:r>
        <w:rPr>
          <w:rFonts w:ascii="宋体" w:hAnsi="宋体" w:eastAsia="宋体"/>
          <w:color w:val="auto"/>
        </w:rPr>
        <w:t>5）培训教材应使用标准中文（如有）。</w:t>
      </w:r>
    </w:p>
    <w:p w14:paraId="0CE7EFA6">
      <w:pPr>
        <w:pStyle w:val="4"/>
        <w:spacing w:line="360" w:lineRule="auto"/>
        <w:rPr>
          <w:rFonts w:hint="eastAsia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项目验收要求</w:t>
      </w:r>
    </w:p>
    <w:p w14:paraId="38E16967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中标人应负责系统及系统设备在实施现场就位安装和调试、操作培训等的全部工作，按照合同文件工作与管理要求负责对项目进度的安排、现场的安全文明施工统一管理和协调，严格遵守国家、本市安全生产有关管理规定，严格按安全标准组织项目实施，采取必要的安全防护措施，消除安全事故隐患。由于中标人管理与安全措施不力造成事故的责任和因此发生的费用，由中标人承担。</w:t>
      </w:r>
    </w:p>
    <w:p w14:paraId="3A9573CD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采购人根据项目建设的技术规格要求和质量标准，对项目实现验收工作，验收合格签署验收意见。</w:t>
      </w:r>
    </w:p>
    <w:p w14:paraId="12886215">
      <w:pPr>
        <w:pStyle w:val="4"/>
        <w:spacing w:line="360" w:lineRule="auto"/>
        <w:rPr>
          <w:rFonts w:hint="eastAsia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其他相关要求</w:t>
      </w:r>
    </w:p>
    <w:p w14:paraId="1527749B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1、投标人明确申报应用软件开发费的具体金额，投标总价包括完成本包件内容所需的所有费用，包括但不仅限于税费、人员费、交通费、餐费、保险费、培训费、功能性能测评费、售后服务费等。</w:t>
      </w:r>
    </w:p>
    <w:p w14:paraId="25B121E5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2、投标人具备完善的项目管理和风险控制体系。</w:t>
      </w:r>
    </w:p>
    <w:p w14:paraId="176E21E4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3、投标人不得将本技术规格中的任何内容透露给第三方。</w:t>
      </w:r>
    </w:p>
    <w:p w14:paraId="7716D72E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4、投标人需配合业主方完成项目的安全测评工作。</w:t>
      </w:r>
    </w:p>
    <w:p w14:paraId="4249F81F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5、中标方在项目实施过程中需接受业主指定监理机构的全过程监理。</w:t>
      </w:r>
    </w:p>
    <w:p w14:paraId="2AC09335">
      <w:pPr>
        <w:pStyle w:val="3"/>
        <w:spacing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合同支付方式及比例</w:t>
      </w:r>
    </w:p>
    <w:p w14:paraId="38DC18D8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1、合同签订后，支付合同总额的50%；</w:t>
      </w:r>
    </w:p>
    <w:p w14:paraId="6EB1DFF9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2、项目</w:t>
      </w:r>
      <w:r>
        <w:rPr>
          <w:rFonts w:hint="eastAsia" w:ascii="宋体" w:hAnsi="宋体" w:eastAsia="宋体"/>
          <w:color w:val="auto"/>
        </w:rPr>
        <w:t>建设完成进入试运行</w:t>
      </w:r>
      <w:r>
        <w:rPr>
          <w:rFonts w:ascii="宋体" w:hAnsi="宋体" w:eastAsia="宋体"/>
          <w:color w:val="auto"/>
        </w:rPr>
        <w:t>，支付合同总额的</w:t>
      </w:r>
      <w:r>
        <w:rPr>
          <w:rFonts w:hint="eastAsia" w:ascii="宋体" w:hAnsi="宋体" w:eastAsia="宋体"/>
          <w:color w:val="auto"/>
        </w:rPr>
        <w:t>40</w:t>
      </w:r>
      <w:r>
        <w:rPr>
          <w:rFonts w:ascii="宋体" w:hAnsi="宋体" w:eastAsia="宋体"/>
          <w:color w:val="auto"/>
        </w:rPr>
        <w:t>%</w:t>
      </w:r>
      <w:r>
        <w:rPr>
          <w:rFonts w:hint="eastAsia" w:ascii="宋体" w:hAnsi="宋体" w:eastAsia="宋体"/>
          <w:color w:val="auto"/>
        </w:rPr>
        <w:t>；</w:t>
      </w:r>
    </w:p>
    <w:p w14:paraId="38EA3491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3、项目验收后通过，</w:t>
      </w:r>
      <w:r>
        <w:rPr>
          <w:rFonts w:ascii="宋体" w:hAnsi="宋体" w:eastAsia="宋体"/>
          <w:color w:val="auto"/>
        </w:rPr>
        <w:t>支付合同总额的</w:t>
      </w:r>
      <w:r>
        <w:rPr>
          <w:rFonts w:hint="eastAsia" w:ascii="宋体" w:hAnsi="宋体" w:eastAsia="宋体"/>
          <w:color w:val="auto"/>
        </w:rPr>
        <w:t>5</w:t>
      </w:r>
      <w:r>
        <w:rPr>
          <w:rFonts w:ascii="宋体" w:hAnsi="宋体" w:eastAsia="宋体"/>
          <w:color w:val="auto"/>
        </w:rPr>
        <w:t>%</w:t>
      </w:r>
      <w:r>
        <w:rPr>
          <w:rFonts w:hint="eastAsia" w:ascii="宋体" w:hAnsi="宋体" w:eastAsia="宋体"/>
          <w:color w:val="auto"/>
        </w:rPr>
        <w:t>；</w:t>
      </w:r>
    </w:p>
    <w:p w14:paraId="0BEF61BD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4、</w:t>
      </w:r>
      <w:r>
        <w:rPr>
          <w:rFonts w:ascii="宋体" w:hAnsi="宋体" w:eastAsia="宋体"/>
          <w:color w:val="auto"/>
        </w:rPr>
        <w:t>免费维护期</w:t>
      </w:r>
      <w:r>
        <w:rPr>
          <w:rFonts w:hint="eastAsia" w:ascii="宋体" w:hAnsi="宋体" w:eastAsia="宋体"/>
          <w:color w:val="auto"/>
        </w:rPr>
        <w:t>满后，支付剩余费用。</w:t>
      </w:r>
    </w:p>
    <w:p w14:paraId="798558F0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具体根据合同约定条款进行支付；采购合同应明确资金支付的方式、时间和条件，明确逾期支付资金的违约责任。</w:t>
      </w:r>
    </w:p>
    <w:p w14:paraId="0BB1E1C2">
      <w:pPr>
        <w:pStyle w:val="3"/>
        <w:spacing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项目组人员要求</w:t>
      </w:r>
    </w:p>
    <w:p w14:paraId="2B154598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本项目为保障信息化系统建设、落地实施、质量管控及长效运维全流程工作平稳、高效、有序推进，杜绝人员流动、岗位空岗、兼职顶岗等影响项目进度与质量的问题，投标人须组建</w:t>
      </w:r>
      <w:r>
        <w:rPr>
          <w:rFonts w:hint="eastAsia" w:ascii="宋体" w:hAnsi="宋体" w:eastAsia="宋体"/>
          <w:color w:val="auto"/>
        </w:rPr>
        <w:t>稳定的</w:t>
      </w:r>
      <w:r>
        <w:rPr>
          <w:rFonts w:ascii="宋体" w:hAnsi="宋体" w:eastAsia="宋体"/>
          <w:color w:val="auto"/>
        </w:rPr>
        <w:t>实施团队。团队配置</w:t>
      </w:r>
      <w:r>
        <w:rPr>
          <w:rFonts w:hint="eastAsia" w:ascii="宋体" w:hAnsi="宋体" w:eastAsia="宋体"/>
          <w:color w:val="auto"/>
        </w:rPr>
        <w:t>不少于25</w:t>
      </w:r>
      <w:r>
        <w:rPr>
          <w:rFonts w:ascii="宋体" w:hAnsi="宋体" w:eastAsia="宋体"/>
          <w:color w:val="auto"/>
        </w:rPr>
        <w:t>名。团队具体岗位配置及详细任职要求如下：</w:t>
      </w:r>
    </w:p>
    <w:p w14:paraId="6A1BA278">
      <w:pPr>
        <w:spacing w:line="360" w:lineRule="auto"/>
        <w:rPr>
          <w:rFonts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（1）</w:t>
      </w:r>
      <w:r>
        <w:rPr>
          <w:rFonts w:ascii="宋体" w:hAnsi="宋体" w:eastAsia="宋体"/>
          <w:b/>
          <w:bCs/>
          <w:color w:val="auto"/>
        </w:rPr>
        <w:t>项目经理（1人）</w:t>
      </w:r>
    </w:p>
    <w:p w14:paraId="4134D605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本项目</w:t>
      </w:r>
      <w:r>
        <w:rPr>
          <w:rFonts w:hint="eastAsia" w:ascii="宋体" w:hAnsi="宋体" w:eastAsia="宋体"/>
          <w:color w:val="auto"/>
        </w:rPr>
        <w:t>须配置</w:t>
      </w:r>
      <w:r>
        <w:rPr>
          <w:rFonts w:ascii="宋体" w:hAnsi="宋体" w:eastAsia="宋体"/>
          <w:color w:val="auto"/>
        </w:rPr>
        <w:t>1名专职项目经理全权统筹项目整体建设、实施、协调、管控及收尾全流程工作，负责本项目所有管理工作，不兼任任何其他项目岗位。</w:t>
      </w:r>
    </w:p>
    <w:p w14:paraId="23036465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岗位要求：</w:t>
      </w:r>
    </w:p>
    <w:p w14:paraId="542F43B7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1.持有国家认证的信息系统项目管理师（高级）资格证书，证书可查可验，同时具备项目全过程管理、信息化项目风险管控专业能力。</w:t>
      </w:r>
    </w:p>
    <w:p w14:paraId="3445B932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2.具备</w:t>
      </w:r>
      <w:r>
        <w:rPr>
          <w:rFonts w:hint="eastAsia" w:ascii="宋体" w:hAnsi="宋体" w:eastAsia="宋体"/>
          <w:color w:val="auto"/>
        </w:rPr>
        <w:t>3</w:t>
      </w:r>
      <w:r>
        <w:rPr>
          <w:rFonts w:ascii="宋体" w:hAnsi="宋体" w:eastAsia="宋体"/>
          <w:color w:val="auto"/>
        </w:rPr>
        <w:t>年及以上政务信息化、数字化平台建设项目全职管理经验，主导过同规模、同类型政务数字化平台、智慧政务、信息系统集成建设项目，熟悉政务行业业务逻辑、审批流程及政企对接规范。</w:t>
      </w:r>
    </w:p>
    <w:p w14:paraId="71DE7459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3.精通信息化项目全生命周期管理，涵盖项目立项、需求调研、方案设计、开发实施、测试验收、上线交付、运维移交全流程管控；具备统筹规划、进度管控、成本管控、质量管控能力，可科学制定项目实施计划、阶段性节点目标及应急预案。</w:t>
      </w:r>
    </w:p>
    <w:p w14:paraId="7E227B94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4.责任心、执行力、抗压能力强，具备政企沟通、多方协调、问题处置能力，可高效对接招标人、使用单位、监管单位及各协作单位，统筹协调各方需求、化解项目分歧；能够精准识别项目建设、技术落地、流程推进中的各类风险，提前预判、及时处置突发问题，按期保质交付。</w:t>
      </w:r>
    </w:p>
    <w:p w14:paraId="747191DA">
      <w:pPr>
        <w:spacing w:line="360" w:lineRule="auto"/>
        <w:rPr>
          <w:rFonts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（2）</w:t>
      </w:r>
      <w:r>
        <w:rPr>
          <w:rFonts w:ascii="宋体" w:hAnsi="宋体" w:eastAsia="宋体"/>
          <w:b/>
          <w:bCs/>
          <w:color w:val="auto"/>
        </w:rPr>
        <w:t>需求分析及设计人员（</w:t>
      </w:r>
      <w:r>
        <w:rPr>
          <w:rFonts w:hint="eastAsia" w:ascii="宋体" w:hAnsi="宋体" w:eastAsia="宋体"/>
          <w:b/>
          <w:bCs/>
          <w:color w:val="auto"/>
        </w:rPr>
        <w:t>2</w:t>
      </w:r>
      <w:r>
        <w:rPr>
          <w:rFonts w:ascii="宋体" w:hAnsi="宋体" w:eastAsia="宋体"/>
          <w:b/>
          <w:bCs/>
          <w:color w:val="auto"/>
        </w:rPr>
        <w:t>人）</w:t>
      </w:r>
    </w:p>
    <w:p w14:paraId="43F554E0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本项目须</w:t>
      </w:r>
      <w:r>
        <w:rPr>
          <w:rFonts w:ascii="宋体" w:hAnsi="宋体" w:eastAsia="宋体"/>
          <w:color w:val="auto"/>
        </w:rPr>
        <w:t>配置</w:t>
      </w:r>
      <w:r>
        <w:rPr>
          <w:rFonts w:hint="eastAsia" w:ascii="宋体" w:hAnsi="宋体" w:eastAsia="宋体"/>
          <w:color w:val="auto"/>
        </w:rPr>
        <w:t>2</w:t>
      </w:r>
      <w:r>
        <w:rPr>
          <w:rFonts w:ascii="宋体" w:hAnsi="宋体" w:eastAsia="宋体"/>
          <w:color w:val="auto"/>
        </w:rPr>
        <w:t>名专职需求分析及设计岗位人员，负责项目需求调研、需求梳理、需求确认、系统架构设计、功能模块设计、界面设计、方案编制等核心工作，人员固定无变动，全面支撑项目前期规划与方案落地设计工作。</w:t>
      </w:r>
    </w:p>
    <w:p w14:paraId="35C5F8CE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岗位要求：</w:t>
      </w:r>
    </w:p>
    <w:p w14:paraId="06E6D21A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1.具备政务信息化项目需求分析与系统设计从业经验，持有系统架构设计师、软件设计师等相关专业证书者优先。</w:t>
      </w:r>
    </w:p>
    <w:p w14:paraId="6016EC10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2.精通政务行业业务场景，熟悉政务数字化平台建设业务逻辑，可深入各业务科室开展全维度需求调研，精准梳理用户核心需求、隐性需求及个性化需求，规范编制需求调研报告、需求规格说明书，确保需求内容真实、完整、可落地，杜绝需求偏差、需求遗漏问题。</w:t>
      </w:r>
    </w:p>
    <w:p w14:paraId="6A6AF9A0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3.熟练掌握主流信息化系统架构设计、数据库设计、模块功能设计、UI/UE界面设计规范，能够结合项目建设目标、政务行业标准及用户需求，独立完成项目总体建设方案、系统架构方案、功能设计方案、数据交互方案、接口适配方案的编制与优化，设计成果符合政务信息化建设规范、安全标准及行业技术标准。</w:t>
      </w:r>
    </w:p>
    <w:p w14:paraId="24F76AD5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 xml:space="preserve">4. </w:t>
      </w:r>
      <w:r>
        <w:rPr>
          <w:rFonts w:hint="eastAsia" w:ascii="宋体" w:hAnsi="宋体" w:eastAsia="宋体"/>
          <w:color w:val="auto"/>
        </w:rPr>
        <w:t>能够</w:t>
      </w:r>
      <w:r>
        <w:rPr>
          <w:rFonts w:ascii="宋体" w:hAnsi="宋体" w:eastAsia="宋体"/>
          <w:color w:val="auto"/>
        </w:rPr>
        <w:t>精准对接开发、测试、实施团队，完成设计方案交底、需求答疑、设计优化调整工作，全程跟进设计成果落地落地，及时解决开发实施过程中的设计适配问题；同时负责对接招标人完成需求及设计方案的评审、确认、迭代优化工作。</w:t>
      </w:r>
    </w:p>
    <w:p w14:paraId="64772863">
      <w:pPr>
        <w:spacing w:line="360" w:lineRule="auto"/>
        <w:rPr>
          <w:rFonts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（3）</w:t>
      </w:r>
      <w:r>
        <w:rPr>
          <w:rFonts w:ascii="宋体" w:hAnsi="宋体" w:eastAsia="宋体"/>
          <w:b/>
          <w:bCs/>
          <w:color w:val="auto"/>
        </w:rPr>
        <w:t>开发及实施人员（</w:t>
      </w:r>
      <w:r>
        <w:rPr>
          <w:rFonts w:hint="eastAsia" w:ascii="宋体" w:hAnsi="宋体" w:eastAsia="宋体"/>
          <w:b/>
          <w:bCs/>
          <w:color w:val="auto"/>
        </w:rPr>
        <w:t>15</w:t>
      </w:r>
      <w:r>
        <w:rPr>
          <w:rFonts w:ascii="宋体" w:hAnsi="宋体" w:eastAsia="宋体"/>
          <w:b/>
          <w:bCs/>
          <w:color w:val="auto"/>
        </w:rPr>
        <w:t>人）</w:t>
      </w:r>
    </w:p>
    <w:p w14:paraId="4A553C13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本项目须</w:t>
      </w:r>
      <w:r>
        <w:rPr>
          <w:rFonts w:ascii="宋体" w:hAnsi="宋体" w:eastAsia="宋体"/>
          <w:color w:val="auto"/>
        </w:rPr>
        <w:t>配置</w:t>
      </w:r>
      <w:r>
        <w:rPr>
          <w:rFonts w:hint="eastAsia" w:ascii="宋体" w:hAnsi="宋体" w:eastAsia="宋体"/>
          <w:color w:val="auto"/>
        </w:rPr>
        <w:t>15</w:t>
      </w:r>
      <w:r>
        <w:rPr>
          <w:rFonts w:ascii="宋体" w:hAnsi="宋体" w:eastAsia="宋体"/>
          <w:color w:val="auto"/>
        </w:rPr>
        <w:t>名专职开发及实施人员，为项目核心执行团队，细分后端开发、前端开发、数据开发、系统部署、现场实施等细分岗位，固定在岗履职，负责项目系统代码开发、功能实现、数据搭建、系统部署、现场落地、功能调试、上线适配等全流程落地工作，保障项目开发高效推进、实施落地到位。</w:t>
      </w:r>
    </w:p>
    <w:p w14:paraId="42EE8423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岗位要求：</w:t>
      </w:r>
    </w:p>
    <w:p w14:paraId="53500762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1.计算机、软件工程、大数据、信息技术等相关专业专科及以上学历，全员具备政务信息化系统开发、实施从业经验，熟练掌握项目所需主流开发语言、框架、技术架构及部署工具。</w:t>
      </w:r>
    </w:p>
    <w:p w14:paraId="40381E2E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2.团队人员技术配置均衡，涵盖前端、后端、数据、部署全维度技术人才。前端人员熟练掌握Vue、React、Uni-app等主流框架，精通页面开发、适配优化、交互实现；后端人员熟练掌握Java、Python、PHP等主流开发语言，精通微服务架构、接口开发、功能模块开发、系统对接适配；数据开发人员精通数据库搭建、数据清洗、数据建模、数据同步、数据交互；实施人员精通信息化系统部署、服务器配置、环境搭建、软硬件适配、现场调试。</w:t>
      </w:r>
    </w:p>
    <w:p w14:paraId="43EAB3E9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3.熟悉政务信息化平台建设流程及行业规范，能够严格按照设计方案、需求文档、技术标准开展开发实施工作，精准落地各项功能模块，高效完成系统开发、迭代优化、BUG修复、现场部署、环境调试、上线试运行等工作；具备独立解决开发、部署、适配过程中各类技术问题的能力，保障系统功能稳定、运行流畅。</w:t>
      </w:r>
    </w:p>
    <w:p w14:paraId="5AA3D3EB">
      <w:pPr>
        <w:spacing w:line="360" w:lineRule="auto"/>
        <w:rPr>
          <w:rFonts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（4）</w:t>
      </w:r>
      <w:r>
        <w:rPr>
          <w:rFonts w:ascii="宋体" w:hAnsi="宋体" w:eastAsia="宋体"/>
          <w:b/>
          <w:bCs/>
          <w:color w:val="auto"/>
        </w:rPr>
        <w:t>测试及质量管控人员（</w:t>
      </w:r>
      <w:r>
        <w:rPr>
          <w:rFonts w:hint="eastAsia" w:ascii="宋体" w:hAnsi="宋体" w:eastAsia="宋体"/>
          <w:b/>
          <w:bCs/>
          <w:color w:val="auto"/>
        </w:rPr>
        <w:t>2</w:t>
      </w:r>
      <w:r>
        <w:rPr>
          <w:rFonts w:ascii="宋体" w:hAnsi="宋体" w:eastAsia="宋体"/>
          <w:b/>
          <w:bCs/>
          <w:color w:val="auto"/>
        </w:rPr>
        <w:t>人）</w:t>
      </w:r>
    </w:p>
    <w:p w14:paraId="5A05D774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本项目须</w:t>
      </w:r>
      <w:r>
        <w:rPr>
          <w:rFonts w:ascii="宋体" w:hAnsi="宋体" w:eastAsia="宋体"/>
          <w:color w:val="auto"/>
        </w:rPr>
        <w:t>配置</w:t>
      </w:r>
      <w:r>
        <w:rPr>
          <w:rFonts w:hint="eastAsia" w:ascii="宋体" w:hAnsi="宋体" w:eastAsia="宋体"/>
          <w:color w:val="auto"/>
        </w:rPr>
        <w:t>2</w:t>
      </w:r>
      <w:r>
        <w:rPr>
          <w:rFonts w:ascii="宋体" w:hAnsi="宋体" w:eastAsia="宋体"/>
          <w:color w:val="auto"/>
        </w:rPr>
        <w:t>名专职测试及质量管控人员，负责项目全流程测试、质量监督、成果校验、合规管控、问题整改督办等工作，独立开展质量管控与测试工作，全面筑牢项目建设质量防线，保障系统稳定、合规、达标交付。</w:t>
      </w:r>
    </w:p>
    <w:p w14:paraId="2D276B5D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岗位要求：</w:t>
      </w:r>
    </w:p>
    <w:p w14:paraId="5C4E89AD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1. 资质经验要求：具备信息化项目软件测试、质量管控从业经验，熟悉政务信息化项目质量验收标准、行业规范。</w:t>
      </w:r>
    </w:p>
    <w:p w14:paraId="4C04A935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2. 测试能力要求：精通软件测试全流程，熟练开展功能测试、性能测试、兼容性测试、安全测试、接口测试、压力测试、回归测试等各类测试工作；熟练使用主流测试工具，能够根据项目需求、设计方案、行业标准制定完善的测试计划、测试用例、测试报告，精准排查系统BUG、功能缺陷、性能隐患、安全漏洞。</w:t>
      </w:r>
    </w:p>
    <w:p w14:paraId="69DC3DA7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3. 质量管控能力：熟悉政务信息化项目建设质量管控体系，能够对项目需求设计、开发实施、系统部署、上线交付各阶段工作进行全程质量监督、流程合规检查、成果质量校验；严格落实项目质量管控标准，针对建设过程中的不规范操作、质量隐患、功能缺陷，及时提出整改意见，全程跟踪督办整改落地，形成完整的质量管控台账。</w:t>
      </w:r>
    </w:p>
    <w:p w14:paraId="413622FC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4. 合规验收能力：熟</w:t>
      </w:r>
      <w:bookmarkStart w:id="1" w:name="_GoBack"/>
      <w:bookmarkEnd w:id="1"/>
      <w:r>
        <w:rPr>
          <w:rFonts w:ascii="宋体" w:hAnsi="宋体" w:eastAsia="宋体"/>
          <w:color w:val="auto"/>
        </w:rPr>
        <w:t>悉政务项目验收规范、资料归档标准，能够配合完成项目阶段性验收、整体竣工验收工作，整理汇总测试报告、质量自查报告、整改台账等验收资料，保障项目质量完全达标、验收合规顺利。</w:t>
      </w:r>
    </w:p>
    <w:p w14:paraId="54E8E5ED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5. 履职要求：全程专职在岗，独立开展测试与质控工作，坚持客观、严谨、全面的管控原则，不放过任何质量隐患与技术缺陷，定期向项目经理及招标人汇报项目质量情况，保障项目整体建设质量符合招标文件、合同约定及行业标准。</w:t>
      </w:r>
    </w:p>
    <w:p w14:paraId="05C9A0C6">
      <w:pPr>
        <w:spacing w:line="360" w:lineRule="auto"/>
        <w:jc w:val="left"/>
        <w:rPr>
          <w:rFonts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（5）</w:t>
      </w:r>
      <w:r>
        <w:rPr>
          <w:rFonts w:ascii="宋体" w:hAnsi="宋体" w:eastAsia="宋体"/>
          <w:b/>
          <w:bCs/>
          <w:color w:val="auto"/>
        </w:rPr>
        <w:t>运维服务人员（</w:t>
      </w:r>
      <w:r>
        <w:rPr>
          <w:rFonts w:hint="eastAsia" w:ascii="宋体" w:hAnsi="宋体" w:eastAsia="宋体"/>
          <w:b/>
          <w:bCs/>
          <w:color w:val="auto"/>
        </w:rPr>
        <w:t>5</w:t>
      </w:r>
      <w:r>
        <w:rPr>
          <w:rFonts w:ascii="宋体" w:hAnsi="宋体" w:eastAsia="宋体"/>
          <w:b/>
          <w:bCs/>
          <w:color w:val="auto"/>
        </w:rPr>
        <w:t>人，专职定岗）</w:t>
      </w:r>
    </w:p>
    <w:p w14:paraId="23298015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配置</w:t>
      </w:r>
      <w:r>
        <w:rPr>
          <w:rFonts w:hint="eastAsia" w:ascii="宋体" w:hAnsi="宋体" w:eastAsia="宋体"/>
          <w:color w:val="auto"/>
        </w:rPr>
        <w:t>5</w:t>
      </w:r>
      <w:r>
        <w:rPr>
          <w:rFonts w:ascii="宋体" w:hAnsi="宋体" w:eastAsia="宋体"/>
          <w:color w:val="auto"/>
        </w:rPr>
        <w:t>名专职运维服务人员，全程负责项目系统上线后的试运行保障、日常运维、故障处置、技术支撑、用户培训、长效服务等工作，项目实施及质保期内全程驻场，固定人员履职，为系统稳定运行和用户正常使用提供全方位运维保障。</w:t>
      </w:r>
    </w:p>
    <w:p w14:paraId="0A23694B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岗位核心要求：</w:t>
      </w:r>
    </w:p>
    <w:p w14:paraId="0B8B168D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1.具备政务信息化系统运维服务从业经验，熟悉政务数字化平台、信息系统的运维体系、故障处置流程，精通服务器运维、系统运维、数据运维、网络运维相关技能。</w:t>
      </w:r>
    </w:p>
    <w:p w14:paraId="71ECCA74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2.能够全面负责系统上线试运行、正式运行后的日常监控、故障排查、隐患巡检、系统优化、数据备份、漏洞修复等运维工作；具备快速响应故障处置能力，针对系统卡顿、功能异常、数据错误、访问故障等各类问题，可做到即时响应、快速排查、高效修复，保障系统7×24小时稳定运行。</w:t>
      </w:r>
    </w:p>
    <w:p w14:paraId="241FBCED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3.具备良好的服务意识与沟通能力，负责对接各使用单位开展操作培训、技术答疑、使用指导工作，编制运维手册、操作手册、培训课件；常态化收集用户使用反馈，梳理使用问题，联动开发团队完成系统优化迭代，持续提升系统实用性、稳定性。</w:t>
      </w:r>
    </w:p>
    <w:p w14:paraId="709FA271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4.规范建立运维台账、故障处置台账、培训记录、巡检记录，做到运维工作全程留痕、可查可溯；定期开展系统全面巡检、安全自查、数据备份，提前排查运行隐患，规避系统故障与安全风险。</w:t>
      </w:r>
    </w:p>
    <w:p w14:paraId="3727BACB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5.项目全周期及质保期内专职驻场运维，人员固定稳定，不随意调换离岗，全程提供常态化、专业化、高效化的运维服务保障，确保系统长效稳定运行、用户使用体验良好。</w:t>
      </w:r>
    </w:p>
    <w:p w14:paraId="0A35CD66">
      <w:pPr>
        <w:spacing w:line="360" w:lineRule="auto"/>
        <w:jc w:val="left"/>
        <w:rPr>
          <w:rFonts w:ascii="宋体" w:hAnsi="宋体" w:eastAsia="宋体"/>
          <w:b/>
          <w:bCs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（6）</w:t>
      </w:r>
      <w:r>
        <w:rPr>
          <w:rFonts w:ascii="宋体" w:hAnsi="宋体" w:eastAsia="宋体"/>
          <w:b/>
          <w:bCs/>
          <w:color w:val="auto"/>
        </w:rPr>
        <w:t>团队整体管理要求</w:t>
      </w:r>
    </w:p>
    <w:p w14:paraId="4D1578C0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1.本项目所有岗位人员均为投标人</w:t>
      </w:r>
      <w:r>
        <w:rPr>
          <w:rFonts w:hint="eastAsia" w:ascii="宋体" w:hAnsi="宋体" w:eastAsia="宋体"/>
          <w:color w:val="auto"/>
        </w:rPr>
        <w:t>正式人员</w:t>
      </w:r>
      <w:r>
        <w:rPr>
          <w:rFonts w:ascii="宋体" w:hAnsi="宋体" w:eastAsia="宋体"/>
          <w:color w:val="auto"/>
        </w:rPr>
        <w:t>，无兼职、挂靠、跨项目任职情况，项目实施全周期内人员固定，未经招标人书面许可，不得擅自更换、调离、离岗。</w:t>
      </w:r>
    </w:p>
    <w:p w14:paraId="11BF05F5">
      <w:pPr>
        <w:spacing w:line="360" w:lineRule="auto"/>
        <w:ind w:firstLine="420" w:firstLineChars="20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2</w:t>
      </w:r>
      <w:r>
        <w:rPr>
          <w:rFonts w:ascii="宋体" w:hAnsi="宋体" w:eastAsia="宋体"/>
          <w:color w:val="auto"/>
        </w:rPr>
        <w:t>.团队整体具备丰富的政务信息化项目建设经验，熟悉政务行业政策规范、建设标准、验收要求，能够精准适配本项目数字化平台建设全流程工作需求，高效完成项目建设、交付、运维全周期工作。</w:t>
      </w:r>
    </w:p>
    <w:p w14:paraId="0F5D2E63">
      <w:pPr>
        <w:spacing w:line="360" w:lineRule="auto"/>
        <w:ind w:firstLine="420" w:firstLineChars="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3</w:t>
      </w:r>
      <w:r>
        <w:rPr>
          <w:rFonts w:ascii="宋体" w:hAnsi="宋体" w:eastAsia="宋体"/>
          <w:color w:val="auto"/>
        </w:rPr>
        <w:t>.投标人建立完善的项目人员管理、考核、保障机制，杜绝人员流失、岗位空缺问题，若因特殊情况需人员调整，将提前向招标人报备，经同意后完成同等资质、同等经验人员无缝交接，确保项目工作不中断、质量不下降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rmonyOS Sans SC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6341A">
    <w:pPr>
      <w:pStyle w:val="2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9550B">
                          <w:pPr>
                            <w:pStyle w:val="2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69550B">
                    <w:pPr>
                      <w:pStyle w:val="2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6E55">
    <w:pPr>
      <w:pStyle w:val="21"/>
      <w:jc w:val="both"/>
      <w:rPr>
        <w:rFonts w:hint="eastAsia"/>
      </w:rPr>
    </w:pPr>
    <w:r>
      <w:rPr>
        <w:rFonts w:hint="eastAsia"/>
      </w:rPr>
      <w:t>ZC20260137       长宁区绿化市容系统数字化监管平台</w:t>
    </w:r>
    <w:r>
      <w:rPr>
        <w:rFonts w:hint="eastAsia"/>
        <w:lang w:val="en-US" w:eastAsia="zh-CN"/>
      </w:rPr>
      <w:t>建设</w:t>
    </w:r>
    <w:r>
      <w:rPr>
        <w:rFonts w:hint="eastAsia"/>
      </w:rPr>
      <w:t>竞争性磋商项目         采购需求文件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C32FF"/>
    <w:multiLevelType w:val="multilevel"/>
    <w:tmpl w:val="038C32FF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  <w:sz w:val="28"/>
      </w:rPr>
    </w:lvl>
    <w:lvl w:ilvl="1" w:tentative="0">
      <w:start w:val="1"/>
      <w:numFmt w:val="decimal"/>
      <w:pStyle w:val="4"/>
      <w:lvlText w:val="%1.%2"/>
      <w:lvlJc w:val="left"/>
      <w:pPr>
        <w:ind w:left="992" w:hanging="567"/>
      </w:pPr>
      <w:rPr>
        <w:rFonts w:hint="eastAsia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701" w:hanging="567"/>
      </w:pPr>
      <w:rPr>
        <w:rFonts w:hint="eastAsia"/>
        <w:sz w:val="21"/>
      </w:rPr>
    </w:lvl>
    <w:lvl w:ilvl="3" w:tentative="0">
      <w:start w:val="1"/>
      <w:numFmt w:val="decimal"/>
      <w:pStyle w:val="6"/>
      <w:lvlText w:val="%1.%2.%3.%4"/>
      <w:lvlJc w:val="left"/>
      <w:pPr>
        <w:ind w:left="1984" w:hanging="708"/>
      </w:pPr>
      <w:rPr>
        <w:rFonts w:hint="eastAsia"/>
        <w:sz w:val="21"/>
      </w:rPr>
    </w:lvl>
    <w:lvl w:ilvl="4" w:tentative="0">
      <w:start w:val="1"/>
      <w:numFmt w:val="decimal"/>
      <w:pStyle w:val="7"/>
      <w:lvlText w:val="%1.%2.%3.%4.%5"/>
      <w:lvlJc w:val="left"/>
      <w:pPr>
        <w:ind w:left="2551" w:hanging="850"/>
      </w:pPr>
      <w:rPr>
        <w:rFonts w:hint="eastAsia"/>
        <w:sz w:val="21"/>
      </w:rPr>
    </w:lvl>
    <w:lvl w:ilvl="5" w:tentative="0">
      <w:start w:val="1"/>
      <w:numFmt w:val="decimal"/>
      <w:pStyle w:val="2"/>
      <w:lvlText w:val="%1.%2.%3.%4.%5.%6"/>
      <w:lvlJc w:val="left"/>
      <w:pPr>
        <w:ind w:left="3260" w:hanging="1134"/>
      </w:pPr>
      <w:rPr>
        <w:rFonts w:hint="eastAsia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36724C5"/>
    <w:multiLevelType w:val="multilevel"/>
    <w:tmpl w:val="636724C5"/>
    <w:lvl w:ilvl="0" w:tentative="0">
      <w:start w:val="1"/>
      <w:numFmt w:val="bullet"/>
      <w:lvlText w:val="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2">
    <w:nsid w:val="7AE8675F"/>
    <w:multiLevelType w:val="multilevel"/>
    <w:tmpl w:val="7AE8675F"/>
    <w:lvl w:ilvl="0" w:tentative="0">
      <w:start w:val="1"/>
      <w:numFmt w:val="bullet"/>
      <w:lvlText w:val="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CC"/>
    <w:rsid w:val="00000DC2"/>
    <w:rsid w:val="00001A1C"/>
    <w:rsid w:val="00003A1E"/>
    <w:rsid w:val="0000502F"/>
    <w:rsid w:val="000057CF"/>
    <w:rsid w:val="00006970"/>
    <w:rsid w:val="00010A37"/>
    <w:rsid w:val="0001624F"/>
    <w:rsid w:val="00016F7D"/>
    <w:rsid w:val="0001750F"/>
    <w:rsid w:val="00017B62"/>
    <w:rsid w:val="00021836"/>
    <w:rsid w:val="00021A9D"/>
    <w:rsid w:val="000244FE"/>
    <w:rsid w:val="000308A3"/>
    <w:rsid w:val="00032043"/>
    <w:rsid w:val="00032A8E"/>
    <w:rsid w:val="000348C2"/>
    <w:rsid w:val="000358AB"/>
    <w:rsid w:val="00036412"/>
    <w:rsid w:val="000365CB"/>
    <w:rsid w:val="000365DF"/>
    <w:rsid w:val="000372A2"/>
    <w:rsid w:val="00037842"/>
    <w:rsid w:val="00041755"/>
    <w:rsid w:val="00041988"/>
    <w:rsid w:val="00042167"/>
    <w:rsid w:val="0004399A"/>
    <w:rsid w:val="00045FE1"/>
    <w:rsid w:val="00046048"/>
    <w:rsid w:val="00046A96"/>
    <w:rsid w:val="000475E7"/>
    <w:rsid w:val="00053163"/>
    <w:rsid w:val="00055695"/>
    <w:rsid w:val="00055DC4"/>
    <w:rsid w:val="00060281"/>
    <w:rsid w:val="000608F6"/>
    <w:rsid w:val="00060D28"/>
    <w:rsid w:val="00061820"/>
    <w:rsid w:val="00062E7F"/>
    <w:rsid w:val="000633E3"/>
    <w:rsid w:val="00063988"/>
    <w:rsid w:val="0006414F"/>
    <w:rsid w:val="000655FA"/>
    <w:rsid w:val="00065ED3"/>
    <w:rsid w:val="00080638"/>
    <w:rsid w:val="00082236"/>
    <w:rsid w:val="00082A8F"/>
    <w:rsid w:val="000849DA"/>
    <w:rsid w:val="000A0A98"/>
    <w:rsid w:val="000A13C0"/>
    <w:rsid w:val="000A1F3B"/>
    <w:rsid w:val="000A26CD"/>
    <w:rsid w:val="000A5EB2"/>
    <w:rsid w:val="000A61D9"/>
    <w:rsid w:val="000B1095"/>
    <w:rsid w:val="000B177B"/>
    <w:rsid w:val="000B304B"/>
    <w:rsid w:val="000B5974"/>
    <w:rsid w:val="000B62A2"/>
    <w:rsid w:val="000B73FE"/>
    <w:rsid w:val="000C1D48"/>
    <w:rsid w:val="000C47A2"/>
    <w:rsid w:val="000D2253"/>
    <w:rsid w:val="000D2C48"/>
    <w:rsid w:val="000D53A9"/>
    <w:rsid w:val="000D6FAA"/>
    <w:rsid w:val="000E1336"/>
    <w:rsid w:val="000E285C"/>
    <w:rsid w:val="000F3372"/>
    <w:rsid w:val="000F3379"/>
    <w:rsid w:val="000F33FD"/>
    <w:rsid w:val="000F3E47"/>
    <w:rsid w:val="000F7837"/>
    <w:rsid w:val="001000CE"/>
    <w:rsid w:val="00100274"/>
    <w:rsid w:val="00102C26"/>
    <w:rsid w:val="00102FA9"/>
    <w:rsid w:val="001047AB"/>
    <w:rsid w:val="00104F04"/>
    <w:rsid w:val="00106C17"/>
    <w:rsid w:val="00111B1B"/>
    <w:rsid w:val="00112B61"/>
    <w:rsid w:val="00116812"/>
    <w:rsid w:val="00116986"/>
    <w:rsid w:val="001203B1"/>
    <w:rsid w:val="001249E3"/>
    <w:rsid w:val="0012585B"/>
    <w:rsid w:val="001259F8"/>
    <w:rsid w:val="00125BB4"/>
    <w:rsid w:val="00127D4C"/>
    <w:rsid w:val="00130FA3"/>
    <w:rsid w:val="001322F5"/>
    <w:rsid w:val="00132D68"/>
    <w:rsid w:val="0013548B"/>
    <w:rsid w:val="00137057"/>
    <w:rsid w:val="0013720C"/>
    <w:rsid w:val="00137829"/>
    <w:rsid w:val="0013791D"/>
    <w:rsid w:val="00137E25"/>
    <w:rsid w:val="00140891"/>
    <w:rsid w:val="00143D6B"/>
    <w:rsid w:val="001450F4"/>
    <w:rsid w:val="00146C68"/>
    <w:rsid w:val="0015139F"/>
    <w:rsid w:val="00152EBC"/>
    <w:rsid w:val="001537C9"/>
    <w:rsid w:val="00153AB3"/>
    <w:rsid w:val="00155691"/>
    <w:rsid w:val="00156CA3"/>
    <w:rsid w:val="00156DDE"/>
    <w:rsid w:val="001578ED"/>
    <w:rsid w:val="00160B56"/>
    <w:rsid w:val="00160BC0"/>
    <w:rsid w:val="00162316"/>
    <w:rsid w:val="00165AD3"/>
    <w:rsid w:val="00165DFF"/>
    <w:rsid w:val="00166359"/>
    <w:rsid w:val="00167AE9"/>
    <w:rsid w:val="00170DA7"/>
    <w:rsid w:val="00174639"/>
    <w:rsid w:val="00176E5E"/>
    <w:rsid w:val="00177A56"/>
    <w:rsid w:val="001807EA"/>
    <w:rsid w:val="0018168F"/>
    <w:rsid w:val="0018174B"/>
    <w:rsid w:val="00193C5A"/>
    <w:rsid w:val="00194C1F"/>
    <w:rsid w:val="001959DE"/>
    <w:rsid w:val="00195B56"/>
    <w:rsid w:val="00197B75"/>
    <w:rsid w:val="001A3002"/>
    <w:rsid w:val="001A31A8"/>
    <w:rsid w:val="001A4E38"/>
    <w:rsid w:val="001B21CD"/>
    <w:rsid w:val="001B277E"/>
    <w:rsid w:val="001B5653"/>
    <w:rsid w:val="001C5696"/>
    <w:rsid w:val="001C65DF"/>
    <w:rsid w:val="001D002A"/>
    <w:rsid w:val="001D07EE"/>
    <w:rsid w:val="001D0953"/>
    <w:rsid w:val="001D198A"/>
    <w:rsid w:val="001D376F"/>
    <w:rsid w:val="001D5EBC"/>
    <w:rsid w:val="001D6BE6"/>
    <w:rsid w:val="001D731C"/>
    <w:rsid w:val="001E01AD"/>
    <w:rsid w:val="001E52E3"/>
    <w:rsid w:val="001E56A0"/>
    <w:rsid w:val="001E69DB"/>
    <w:rsid w:val="001F30BE"/>
    <w:rsid w:val="001F3143"/>
    <w:rsid w:val="001F3607"/>
    <w:rsid w:val="001F3D8E"/>
    <w:rsid w:val="001F6079"/>
    <w:rsid w:val="001F64F5"/>
    <w:rsid w:val="001F716C"/>
    <w:rsid w:val="001F77C3"/>
    <w:rsid w:val="001F7FB3"/>
    <w:rsid w:val="00200563"/>
    <w:rsid w:val="00201798"/>
    <w:rsid w:val="00202B97"/>
    <w:rsid w:val="0020312C"/>
    <w:rsid w:val="00203DE8"/>
    <w:rsid w:val="00210041"/>
    <w:rsid w:val="00210B93"/>
    <w:rsid w:val="00210CC3"/>
    <w:rsid w:val="00211E75"/>
    <w:rsid w:val="00212A1C"/>
    <w:rsid w:val="002136F4"/>
    <w:rsid w:val="0021421A"/>
    <w:rsid w:val="00214F40"/>
    <w:rsid w:val="002166C1"/>
    <w:rsid w:val="002172AA"/>
    <w:rsid w:val="0022197A"/>
    <w:rsid w:val="00226430"/>
    <w:rsid w:val="0022700D"/>
    <w:rsid w:val="00230905"/>
    <w:rsid w:val="00232D40"/>
    <w:rsid w:val="00236E21"/>
    <w:rsid w:val="00240812"/>
    <w:rsid w:val="0024116B"/>
    <w:rsid w:val="00241384"/>
    <w:rsid w:val="002427E9"/>
    <w:rsid w:val="0024682C"/>
    <w:rsid w:val="00251BB6"/>
    <w:rsid w:val="00252DB1"/>
    <w:rsid w:val="00253C7E"/>
    <w:rsid w:val="00253CE5"/>
    <w:rsid w:val="00254005"/>
    <w:rsid w:val="00260E17"/>
    <w:rsid w:val="002615AB"/>
    <w:rsid w:val="00261B96"/>
    <w:rsid w:val="00263929"/>
    <w:rsid w:val="002710E5"/>
    <w:rsid w:val="002710F8"/>
    <w:rsid w:val="002715C5"/>
    <w:rsid w:val="0027180B"/>
    <w:rsid w:val="00273DB1"/>
    <w:rsid w:val="0027414F"/>
    <w:rsid w:val="002767A6"/>
    <w:rsid w:val="00276E77"/>
    <w:rsid w:val="002831CF"/>
    <w:rsid w:val="0028734A"/>
    <w:rsid w:val="00287951"/>
    <w:rsid w:val="0029035D"/>
    <w:rsid w:val="00291484"/>
    <w:rsid w:val="00295388"/>
    <w:rsid w:val="002953B0"/>
    <w:rsid w:val="002962BC"/>
    <w:rsid w:val="0029798E"/>
    <w:rsid w:val="002A1DF3"/>
    <w:rsid w:val="002B416A"/>
    <w:rsid w:val="002B5B49"/>
    <w:rsid w:val="002B6BA2"/>
    <w:rsid w:val="002B794D"/>
    <w:rsid w:val="002C3914"/>
    <w:rsid w:val="002C5285"/>
    <w:rsid w:val="002D1379"/>
    <w:rsid w:val="002D51EE"/>
    <w:rsid w:val="002D61D2"/>
    <w:rsid w:val="002D6211"/>
    <w:rsid w:val="002D6BB8"/>
    <w:rsid w:val="002E04D7"/>
    <w:rsid w:val="002E0B3B"/>
    <w:rsid w:val="002E1291"/>
    <w:rsid w:val="002E2210"/>
    <w:rsid w:val="002E36D2"/>
    <w:rsid w:val="002F345C"/>
    <w:rsid w:val="002F60C5"/>
    <w:rsid w:val="002F6A7B"/>
    <w:rsid w:val="00300DE1"/>
    <w:rsid w:val="0030283D"/>
    <w:rsid w:val="00303965"/>
    <w:rsid w:val="00304BC1"/>
    <w:rsid w:val="00304FED"/>
    <w:rsid w:val="00306EE1"/>
    <w:rsid w:val="00307048"/>
    <w:rsid w:val="003070B2"/>
    <w:rsid w:val="003132D0"/>
    <w:rsid w:val="0031609E"/>
    <w:rsid w:val="00320519"/>
    <w:rsid w:val="003211B8"/>
    <w:rsid w:val="00324D08"/>
    <w:rsid w:val="00326BF7"/>
    <w:rsid w:val="00327016"/>
    <w:rsid w:val="003300DA"/>
    <w:rsid w:val="00330B8F"/>
    <w:rsid w:val="00337F9A"/>
    <w:rsid w:val="003410A9"/>
    <w:rsid w:val="0034199C"/>
    <w:rsid w:val="00341C72"/>
    <w:rsid w:val="00342F02"/>
    <w:rsid w:val="0034395D"/>
    <w:rsid w:val="003466CF"/>
    <w:rsid w:val="00351CFB"/>
    <w:rsid w:val="00356183"/>
    <w:rsid w:val="00356D03"/>
    <w:rsid w:val="0036455F"/>
    <w:rsid w:val="00366257"/>
    <w:rsid w:val="0036692A"/>
    <w:rsid w:val="00367DC5"/>
    <w:rsid w:val="003720AC"/>
    <w:rsid w:val="003726D6"/>
    <w:rsid w:val="00376716"/>
    <w:rsid w:val="003819FD"/>
    <w:rsid w:val="00382EB8"/>
    <w:rsid w:val="00386B11"/>
    <w:rsid w:val="00391E6C"/>
    <w:rsid w:val="003921AA"/>
    <w:rsid w:val="003934C1"/>
    <w:rsid w:val="003938DE"/>
    <w:rsid w:val="0039495D"/>
    <w:rsid w:val="003A2F0A"/>
    <w:rsid w:val="003A5501"/>
    <w:rsid w:val="003A6210"/>
    <w:rsid w:val="003A6A02"/>
    <w:rsid w:val="003A779A"/>
    <w:rsid w:val="003B0230"/>
    <w:rsid w:val="003B0490"/>
    <w:rsid w:val="003B1A3F"/>
    <w:rsid w:val="003B3C77"/>
    <w:rsid w:val="003B4B6D"/>
    <w:rsid w:val="003B7F9F"/>
    <w:rsid w:val="003C073F"/>
    <w:rsid w:val="003C1493"/>
    <w:rsid w:val="003C2AFC"/>
    <w:rsid w:val="003C331B"/>
    <w:rsid w:val="003C3C44"/>
    <w:rsid w:val="003C3F9C"/>
    <w:rsid w:val="003C5CE6"/>
    <w:rsid w:val="003C6192"/>
    <w:rsid w:val="003C6376"/>
    <w:rsid w:val="003C71DA"/>
    <w:rsid w:val="003D5D60"/>
    <w:rsid w:val="003D766B"/>
    <w:rsid w:val="003D7B9A"/>
    <w:rsid w:val="003E162A"/>
    <w:rsid w:val="003E30DE"/>
    <w:rsid w:val="003F641D"/>
    <w:rsid w:val="003F7155"/>
    <w:rsid w:val="004001CC"/>
    <w:rsid w:val="004005E7"/>
    <w:rsid w:val="00400892"/>
    <w:rsid w:val="004009E2"/>
    <w:rsid w:val="00403B2B"/>
    <w:rsid w:val="00403CD6"/>
    <w:rsid w:val="00404933"/>
    <w:rsid w:val="00405AD3"/>
    <w:rsid w:val="00406C20"/>
    <w:rsid w:val="00407150"/>
    <w:rsid w:val="0040758F"/>
    <w:rsid w:val="00407C35"/>
    <w:rsid w:val="00410371"/>
    <w:rsid w:val="004110E7"/>
    <w:rsid w:val="00411DB3"/>
    <w:rsid w:val="004147AD"/>
    <w:rsid w:val="00417AF8"/>
    <w:rsid w:val="00422280"/>
    <w:rsid w:val="004231AB"/>
    <w:rsid w:val="0042631C"/>
    <w:rsid w:val="004276B3"/>
    <w:rsid w:val="004276C3"/>
    <w:rsid w:val="004315FA"/>
    <w:rsid w:val="004322ED"/>
    <w:rsid w:val="004326AB"/>
    <w:rsid w:val="004363D1"/>
    <w:rsid w:val="00436923"/>
    <w:rsid w:val="00440520"/>
    <w:rsid w:val="004420FC"/>
    <w:rsid w:val="004429AF"/>
    <w:rsid w:val="00444963"/>
    <w:rsid w:val="00444F7D"/>
    <w:rsid w:val="0044629A"/>
    <w:rsid w:val="004542AD"/>
    <w:rsid w:val="00454CFE"/>
    <w:rsid w:val="0045575A"/>
    <w:rsid w:val="00456553"/>
    <w:rsid w:val="004619AC"/>
    <w:rsid w:val="00461B9C"/>
    <w:rsid w:val="00462755"/>
    <w:rsid w:val="00463937"/>
    <w:rsid w:val="00464C62"/>
    <w:rsid w:val="00467D13"/>
    <w:rsid w:val="00475AE3"/>
    <w:rsid w:val="00476CCD"/>
    <w:rsid w:val="00476EAA"/>
    <w:rsid w:val="00477473"/>
    <w:rsid w:val="0048159E"/>
    <w:rsid w:val="00482B5D"/>
    <w:rsid w:val="00484636"/>
    <w:rsid w:val="00484E15"/>
    <w:rsid w:val="00485C29"/>
    <w:rsid w:val="00486B47"/>
    <w:rsid w:val="00491754"/>
    <w:rsid w:val="004919EC"/>
    <w:rsid w:val="0049380A"/>
    <w:rsid w:val="0049387F"/>
    <w:rsid w:val="00494EE1"/>
    <w:rsid w:val="004A2062"/>
    <w:rsid w:val="004A35DE"/>
    <w:rsid w:val="004A4D48"/>
    <w:rsid w:val="004A54CC"/>
    <w:rsid w:val="004A794F"/>
    <w:rsid w:val="004A7CA9"/>
    <w:rsid w:val="004B1784"/>
    <w:rsid w:val="004B3717"/>
    <w:rsid w:val="004B4F0E"/>
    <w:rsid w:val="004B53B3"/>
    <w:rsid w:val="004B63D9"/>
    <w:rsid w:val="004B7AE2"/>
    <w:rsid w:val="004B7C5C"/>
    <w:rsid w:val="004C007C"/>
    <w:rsid w:val="004C0710"/>
    <w:rsid w:val="004C12EA"/>
    <w:rsid w:val="004C1DD0"/>
    <w:rsid w:val="004C3756"/>
    <w:rsid w:val="004C6A6D"/>
    <w:rsid w:val="004D00D8"/>
    <w:rsid w:val="004D03D0"/>
    <w:rsid w:val="004D35EB"/>
    <w:rsid w:val="004D427A"/>
    <w:rsid w:val="004D54C6"/>
    <w:rsid w:val="004D5EB5"/>
    <w:rsid w:val="004E10BD"/>
    <w:rsid w:val="004E131B"/>
    <w:rsid w:val="004E19CF"/>
    <w:rsid w:val="004E2E8D"/>
    <w:rsid w:val="004E32B7"/>
    <w:rsid w:val="004E44C4"/>
    <w:rsid w:val="004E583A"/>
    <w:rsid w:val="004E63DD"/>
    <w:rsid w:val="004E71D8"/>
    <w:rsid w:val="004F0568"/>
    <w:rsid w:val="004F14A9"/>
    <w:rsid w:val="004F6700"/>
    <w:rsid w:val="0050175F"/>
    <w:rsid w:val="00501F03"/>
    <w:rsid w:val="005036C9"/>
    <w:rsid w:val="00503AE2"/>
    <w:rsid w:val="00503D20"/>
    <w:rsid w:val="00504B67"/>
    <w:rsid w:val="005057A6"/>
    <w:rsid w:val="00505894"/>
    <w:rsid w:val="00505DC8"/>
    <w:rsid w:val="00511DA1"/>
    <w:rsid w:val="005139C5"/>
    <w:rsid w:val="00514718"/>
    <w:rsid w:val="0051489A"/>
    <w:rsid w:val="00514981"/>
    <w:rsid w:val="005151D7"/>
    <w:rsid w:val="00515215"/>
    <w:rsid w:val="0051563C"/>
    <w:rsid w:val="00516800"/>
    <w:rsid w:val="0051681B"/>
    <w:rsid w:val="00516E85"/>
    <w:rsid w:val="005201D5"/>
    <w:rsid w:val="00524AA8"/>
    <w:rsid w:val="00525BFF"/>
    <w:rsid w:val="00527A6B"/>
    <w:rsid w:val="00533C28"/>
    <w:rsid w:val="00536AC8"/>
    <w:rsid w:val="00537AFC"/>
    <w:rsid w:val="00537D8C"/>
    <w:rsid w:val="00542D07"/>
    <w:rsid w:val="00543212"/>
    <w:rsid w:val="00547784"/>
    <w:rsid w:val="00550783"/>
    <w:rsid w:val="005518FA"/>
    <w:rsid w:val="00553C2B"/>
    <w:rsid w:val="005554FE"/>
    <w:rsid w:val="00555C1A"/>
    <w:rsid w:val="005561F8"/>
    <w:rsid w:val="00557C15"/>
    <w:rsid w:val="00560638"/>
    <w:rsid w:val="00561422"/>
    <w:rsid w:val="00565DF4"/>
    <w:rsid w:val="00566D26"/>
    <w:rsid w:val="005679A8"/>
    <w:rsid w:val="005703BF"/>
    <w:rsid w:val="005730B6"/>
    <w:rsid w:val="00575FA2"/>
    <w:rsid w:val="00576855"/>
    <w:rsid w:val="005771F5"/>
    <w:rsid w:val="00582821"/>
    <w:rsid w:val="00582E30"/>
    <w:rsid w:val="00586C97"/>
    <w:rsid w:val="005910B0"/>
    <w:rsid w:val="0059139B"/>
    <w:rsid w:val="005913C3"/>
    <w:rsid w:val="0059219D"/>
    <w:rsid w:val="00593A06"/>
    <w:rsid w:val="0059400B"/>
    <w:rsid w:val="00594AAF"/>
    <w:rsid w:val="005965C7"/>
    <w:rsid w:val="00597435"/>
    <w:rsid w:val="00597DCF"/>
    <w:rsid w:val="005A0CB9"/>
    <w:rsid w:val="005A0FF4"/>
    <w:rsid w:val="005A1676"/>
    <w:rsid w:val="005A6D10"/>
    <w:rsid w:val="005B0F9D"/>
    <w:rsid w:val="005B2724"/>
    <w:rsid w:val="005B3310"/>
    <w:rsid w:val="005B5937"/>
    <w:rsid w:val="005C0ADD"/>
    <w:rsid w:val="005C1DC9"/>
    <w:rsid w:val="005C48A6"/>
    <w:rsid w:val="005C4F1D"/>
    <w:rsid w:val="005C531A"/>
    <w:rsid w:val="005C5797"/>
    <w:rsid w:val="005C7C17"/>
    <w:rsid w:val="005D374E"/>
    <w:rsid w:val="005D63F9"/>
    <w:rsid w:val="005D7C57"/>
    <w:rsid w:val="005E2D34"/>
    <w:rsid w:val="005F0901"/>
    <w:rsid w:val="005F0D2E"/>
    <w:rsid w:val="005F1206"/>
    <w:rsid w:val="005F1BCB"/>
    <w:rsid w:val="005F336A"/>
    <w:rsid w:val="005F352E"/>
    <w:rsid w:val="005F4AF6"/>
    <w:rsid w:val="005F5DCF"/>
    <w:rsid w:val="005F6713"/>
    <w:rsid w:val="0060233E"/>
    <w:rsid w:val="006037A2"/>
    <w:rsid w:val="00605EAE"/>
    <w:rsid w:val="00606A2E"/>
    <w:rsid w:val="00612976"/>
    <w:rsid w:val="006151F6"/>
    <w:rsid w:val="00620441"/>
    <w:rsid w:val="006205E5"/>
    <w:rsid w:val="00620760"/>
    <w:rsid w:val="00622997"/>
    <w:rsid w:val="006237E5"/>
    <w:rsid w:val="00623E58"/>
    <w:rsid w:val="006251D3"/>
    <w:rsid w:val="006258BD"/>
    <w:rsid w:val="006277A3"/>
    <w:rsid w:val="006335DC"/>
    <w:rsid w:val="00635A79"/>
    <w:rsid w:val="006360C6"/>
    <w:rsid w:val="00637B1F"/>
    <w:rsid w:val="00640619"/>
    <w:rsid w:val="00640B78"/>
    <w:rsid w:val="00642584"/>
    <w:rsid w:val="00642710"/>
    <w:rsid w:val="00643F42"/>
    <w:rsid w:val="006452A5"/>
    <w:rsid w:val="0064655B"/>
    <w:rsid w:val="00651E83"/>
    <w:rsid w:val="006561F0"/>
    <w:rsid w:val="0065665D"/>
    <w:rsid w:val="0065705B"/>
    <w:rsid w:val="006579E6"/>
    <w:rsid w:val="00660814"/>
    <w:rsid w:val="006618A2"/>
    <w:rsid w:val="00661C82"/>
    <w:rsid w:val="00663598"/>
    <w:rsid w:val="00664003"/>
    <w:rsid w:val="00664235"/>
    <w:rsid w:val="00665030"/>
    <w:rsid w:val="006650E1"/>
    <w:rsid w:val="00671A0A"/>
    <w:rsid w:val="00676285"/>
    <w:rsid w:val="006766BC"/>
    <w:rsid w:val="00677E56"/>
    <w:rsid w:val="00681ADE"/>
    <w:rsid w:val="00682C2B"/>
    <w:rsid w:val="00684474"/>
    <w:rsid w:val="00684E6C"/>
    <w:rsid w:val="006855CF"/>
    <w:rsid w:val="00687259"/>
    <w:rsid w:val="00687D4B"/>
    <w:rsid w:val="00687E4B"/>
    <w:rsid w:val="006908A6"/>
    <w:rsid w:val="00693232"/>
    <w:rsid w:val="00695AFD"/>
    <w:rsid w:val="00697A3D"/>
    <w:rsid w:val="006A1BF4"/>
    <w:rsid w:val="006B0C6A"/>
    <w:rsid w:val="006B2567"/>
    <w:rsid w:val="006B3FA5"/>
    <w:rsid w:val="006B43E7"/>
    <w:rsid w:val="006B4EE3"/>
    <w:rsid w:val="006B549F"/>
    <w:rsid w:val="006B5A86"/>
    <w:rsid w:val="006B642A"/>
    <w:rsid w:val="006D0684"/>
    <w:rsid w:val="006D1378"/>
    <w:rsid w:val="006D178F"/>
    <w:rsid w:val="006D2363"/>
    <w:rsid w:val="006D4533"/>
    <w:rsid w:val="006D4CBD"/>
    <w:rsid w:val="006D5F49"/>
    <w:rsid w:val="006E24C6"/>
    <w:rsid w:val="006E6773"/>
    <w:rsid w:val="006E7081"/>
    <w:rsid w:val="006E7CBE"/>
    <w:rsid w:val="006E7DDE"/>
    <w:rsid w:val="006F1520"/>
    <w:rsid w:val="00700146"/>
    <w:rsid w:val="00703607"/>
    <w:rsid w:val="00703AD0"/>
    <w:rsid w:val="00703ED8"/>
    <w:rsid w:val="007048C6"/>
    <w:rsid w:val="007049A0"/>
    <w:rsid w:val="00706A2F"/>
    <w:rsid w:val="0070761E"/>
    <w:rsid w:val="00715799"/>
    <w:rsid w:val="00724081"/>
    <w:rsid w:val="007249C7"/>
    <w:rsid w:val="007317E2"/>
    <w:rsid w:val="007331AE"/>
    <w:rsid w:val="00735ABE"/>
    <w:rsid w:val="007373D9"/>
    <w:rsid w:val="00740361"/>
    <w:rsid w:val="00740549"/>
    <w:rsid w:val="00741AF5"/>
    <w:rsid w:val="00741B9E"/>
    <w:rsid w:val="0074409C"/>
    <w:rsid w:val="00744C38"/>
    <w:rsid w:val="007464DD"/>
    <w:rsid w:val="00747695"/>
    <w:rsid w:val="007476A8"/>
    <w:rsid w:val="00753E58"/>
    <w:rsid w:val="007544F0"/>
    <w:rsid w:val="007566B0"/>
    <w:rsid w:val="00757025"/>
    <w:rsid w:val="00760027"/>
    <w:rsid w:val="00761190"/>
    <w:rsid w:val="00761204"/>
    <w:rsid w:val="007614A7"/>
    <w:rsid w:val="00761740"/>
    <w:rsid w:val="007632E9"/>
    <w:rsid w:val="0076388B"/>
    <w:rsid w:val="00766C0D"/>
    <w:rsid w:val="00766D4D"/>
    <w:rsid w:val="00771350"/>
    <w:rsid w:val="00771B77"/>
    <w:rsid w:val="00772534"/>
    <w:rsid w:val="00774E45"/>
    <w:rsid w:val="00776F4B"/>
    <w:rsid w:val="00780501"/>
    <w:rsid w:val="00781D8D"/>
    <w:rsid w:val="00781F71"/>
    <w:rsid w:val="00784ED7"/>
    <w:rsid w:val="00787B88"/>
    <w:rsid w:val="007909DB"/>
    <w:rsid w:val="0079146B"/>
    <w:rsid w:val="007951F2"/>
    <w:rsid w:val="007965B9"/>
    <w:rsid w:val="00797F46"/>
    <w:rsid w:val="007A1525"/>
    <w:rsid w:val="007A420F"/>
    <w:rsid w:val="007A6204"/>
    <w:rsid w:val="007A74BB"/>
    <w:rsid w:val="007A7987"/>
    <w:rsid w:val="007B03AA"/>
    <w:rsid w:val="007B1A0C"/>
    <w:rsid w:val="007B4C5F"/>
    <w:rsid w:val="007B53FC"/>
    <w:rsid w:val="007B63FA"/>
    <w:rsid w:val="007C03DF"/>
    <w:rsid w:val="007C0909"/>
    <w:rsid w:val="007C221D"/>
    <w:rsid w:val="007C4CB4"/>
    <w:rsid w:val="007C568C"/>
    <w:rsid w:val="007C5839"/>
    <w:rsid w:val="007C5C73"/>
    <w:rsid w:val="007C6074"/>
    <w:rsid w:val="007D0076"/>
    <w:rsid w:val="007D1A31"/>
    <w:rsid w:val="007D32A8"/>
    <w:rsid w:val="007D5B36"/>
    <w:rsid w:val="007E0584"/>
    <w:rsid w:val="007E0747"/>
    <w:rsid w:val="007E17DB"/>
    <w:rsid w:val="007E4931"/>
    <w:rsid w:val="007E5491"/>
    <w:rsid w:val="007F0754"/>
    <w:rsid w:val="007F1233"/>
    <w:rsid w:val="007F465E"/>
    <w:rsid w:val="007F7E75"/>
    <w:rsid w:val="0080080F"/>
    <w:rsid w:val="00803760"/>
    <w:rsid w:val="0080424F"/>
    <w:rsid w:val="00804ED2"/>
    <w:rsid w:val="008050B0"/>
    <w:rsid w:val="00807458"/>
    <w:rsid w:val="008076F9"/>
    <w:rsid w:val="00814760"/>
    <w:rsid w:val="0082085B"/>
    <w:rsid w:val="00820ADC"/>
    <w:rsid w:val="00822759"/>
    <w:rsid w:val="00826529"/>
    <w:rsid w:val="0083006E"/>
    <w:rsid w:val="00833F2E"/>
    <w:rsid w:val="008344E8"/>
    <w:rsid w:val="00834C5F"/>
    <w:rsid w:val="008433CC"/>
    <w:rsid w:val="00845793"/>
    <w:rsid w:val="00846520"/>
    <w:rsid w:val="00850726"/>
    <w:rsid w:val="00855EA0"/>
    <w:rsid w:val="0085652B"/>
    <w:rsid w:val="00857536"/>
    <w:rsid w:val="00860CB3"/>
    <w:rsid w:val="00861322"/>
    <w:rsid w:val="008614CD"/>
    <w:rsid w:val="008618DF"/>
    <w:rsid w:val="00863299"/>
    <w:rsid w:val="00863E71"/>
    <w:rsid w:val="0086674B"/>
    <w:rsid w:val="0087067C"/>
    <w:rsid w:val="00873419"/>
    <w:rsid w:val="0087570A"/>
    <w:rsid w:val="00877E55"/>
    <w:rsid w:val="008803A9"/>
    <w:rsid w:val="00883ACC"/>
    <w:rsid w:val="00884395"/>
    <w:rsid w:val="00885E0F"/>
    <w:rsid w:val="00886293"/>
    <w:rsid w:val="00886B40"/>
    <w:rsid w:val="0088717B"/>
    <w:rsid w:val="00894526"/>
    <w:rsid w:val="008951CC"/>
    <w:rsid w:val="00896997"/>
    <w:rsid w:val="008A55BE"/>
    <w:rsid w:val="008B0B5A"/>
    <w:rsid w:val="008B10B3"/>
    <w:rsid w:val="008B1843"/>
    <w:rsid w:val="008B7944"/>
    <w:rsid w:val="008B7C8B"/>
    <w:rsid w:val="008C0FF9"/>
    <w:rsid w:val="008C1FCD"/>
    <w:rsid w:val="008C6021"/>
    <w:rsid w:val="008C670D"/>
    <w:rsid w:val="008C6CCA"/>
    <w:rsid w:val="008D20C7"/>
    <w:rsid w:val="008D20F1"/>
    <w:rsid w:val="008D32AE"/>
    <w:rsid w:val="008D6027"/>
    <w:rsid w:val="008D7318"/>
    <w:rsid w:val="008E1C13"/>
    <w:rsid w:val="008F0735"/>
    <w:rsid w:val="008F07F8"/>
    <w:rsid w:val="008F570B"/>
    <w:rsid w:val="008F599C"/>
    <w:rsid w:val="008F648B"/>
    <w:rsid w:val="008F704C"/>
    <w:rsid w:val="008F7EC1"/>
    <w:rsid w:val="008F7F3C"/>
    <w:rsid w:val="00903FA2"/>
    <w:rsid w:val="009044CD"/>
    <w:rsid w:val="00904620"/>
    <w:rsid w:val="00904CDB"/>
    <w:rsid w:val="00910608"/>
    <w:rsid w:val="0091119F"/>
    <w:rsid w:val="00911F03"/>
    <w:rsid w:val="009124A7"/>
    <w:rsid w:val="00913930"/>
    <w:rsid w:val="00913ABF"/>
    <w:rsid w:val="00914FA2"/>
    <w:rsid w:val="0091599D"/>
    <w:rsid w:val="00915D0A"/>
    <w:rsid w:val="009162A3"/>
    <w:rsid w:val="00917A06"/>
    <w:rsid w:val="0092010C"/>
    <w:rsid w:val="00923EBC"/>
    <w:rsid w:val="009244DC"/>
    <w:rsid w:val="00931474"/>
    <w:rsid w:val="00932761"/>
    <w:rsid w:val="00932B0E"/>
    <w:rsid w:val="00933E28"/>
    <w:rsid w:val="00934195"/>
    <w:rsid w:val="009421E0"/>
    <w:rsid w:val="009453C8"/>
    <w:rsid w:val="0095254B"/>
    <w:rsid w:val="00953282"/>
    <w:rsid w:val="009536F8"/>
    <w:rsid w:val="00954FB1"/>
    <w:rsid w:val="00955C7F"/>
    <w:rsid w:val="009560FC"/>
    <w:rsid w:val="00962AF7"/>
    <w:rsid w:val="009631E7"/>
    <w:rsid w:val="00963CBB"/>
    <w:rsid w:val="009652AF"/>
    <w:rsid w:val="0097442D"/>
    <w:rsid w:val="0097663C"/>
    <w:rsid w:val="009809C1"/>
    <w:rsid w:val="00980C66"/>
    <w:rsid w:val="00982B2C"/>
    <w:rsid w:val="00986188"/>
    <w:rsid w:val="0098656E"/>
    <w:rsid w:val="00986A3F"/>
    <w:rsid w:val="009910EC"/>
    <w:rsid w:val="00991D8D"/>
    <w:rsid w:val="00991DF8"/>
    <w:rsid w:val="00992190"/>
    <w:rsid w:val="009922DF"/>
    <w:rsid w:val="00992E02"/>
    <w:rsid w:val="00995F42"/>
    <w:rsid w:val="00996374"/>
    <w:rsid w:val="009974FB"/>
    <w:rsid w:val="009975EA"/>
    <w:rsid w:val="00997B81"/>
    <w:rsid w:val="009A08C0"/>
    <w:rsid w:val="009A0912"/>
    <w:rsid w:val="009A2A88"/>
    <w:rsid w:val="009B20F7"/>
    <w:rsid w:val="009B2979"/>
    <w:rsid w:val="009B29B3"/>
    <w:rsid w:val="009B2E13"/>
    <w:rsid w:val="009B4058"/>
    <w:rsid w:val="009B54F4"/>
    <w:rsid w:val="009B5E8A"/>
    <w:rsid w:val="009B6604"/>
    <w:rsid w:val="009B72B7"/>
    <w:rsid w:val="009C0393"/>
    <w:rsid w:val="009C08E8"/>
    <w:rsid w:val="009C558A"/>
    <w:rsid w:val="009C7290"/>
    <w:rsid w:val="009C771D"/>
    <w:rsid w:val="009D0CFD"/>
    <w:rsid w:val="009D2EB8"/>
    <w:rsid w:val="009D31E0"/>
    <w:rsid w:val="009D36F9"/>
    <w:rsid w:val="009D465F"/>
    <w:rsid w:val="009D6BF8"/>
    <w:rsid w:val="009D7324"/>
    <w:rsid w:val="009D77FD"/>
    <w:rsid w:val="009D7B3A"/>
    <w:rsid w:val="009E0081"/>
    <w:rsid w:val="009E2F79"/>
    <w:rsid w:val="009E48B9"/>
    <w:rsid w:val="009E6AEE"/>
    <w:rsid w:val="009E6DD9"/>
    <w:rsid w:val="00A00287"/>
    <w:rsid w:val="00A014F7"/>
    <w:rsid w:val="00A03906"/>
    <w:rsid w:val="00A06639"/>
    <w:rsid w:val="00A10378"/>
    <w:rsid w:val="00A1043D"/>
    <w:rsid w:val="00A14D5C"/>
    <w:rsid w:val="00A17CB6"/>
    <w:rsid w:val="00A17D79"/>
    <w:rsid w:val="00A17E64"/>
    <w:rsid w:val="00A20593"/>
    <w:rsid w:val="00A20E36"/>
    <w:rsid w:val="00A22C06"/>
    <w:rsid w:val="00A230E7"/>
    <w:rsid w:val="00A242A0"/>
    <w:rsid w:val="00A24367"/>
    <w:rsid w:val="00A26D49"/>
    <w:rsid w:val="00A27978"/>
    <w:rsid w:val="00A3240D"/>
    <w:rsid w:val="00A43BB0"/>
    <w:rsid w:val="00A4477A"/>
    <w:rsid w:val="00A45178"/>
    <w:rsid w:val="00A46045"/>
    <w:rsid w:val="00A46092"/>
    <w:rsid w:val="00A52137"/>
    <w:rsid w:val="00A552D0"/>
    <w:rsid w:val="00A56E92"/>
    <w:rsid w:val="00A570BF"/>
    <w:rsid w:val="00A604B7"/>
    <w:rsid w:val="00A61DEC"/>
    <w:rsid w:val="00A63D64"/>
    <w:rsid w:val="00A649ED"/>
    <w:rsid w:val="00A6603A"/>
    <w:rsid w:val="00A669B9"/>
    <w:rsid w:val="00A70D13"/>
    <w:rsid w:val="00A72AE5"/>
    <w:rsid w:val="00A73704"/>
    <w:rsid w:val="00A73C3E"/>
    <w:rsid w:val="00A751CA"/>
    <w:rsid w:val="00A7702B"/>
    <w:rsid w:val="00A77E7C"/>
    <w:rsid w:val="00A807EE"/>
    <w:rsid w:val="00A80A3E"/>
    <w:rsid w:val="00A83331"/>
    <w:rsid w:val="00A83356"/>
    <w:rsid w:val="00A85F05"/>
    <w:rsid w:val="00A91392"/>
    <w:rsid w:val="00A947CC"/>
    <w:rsid w:val="00AA1BD8"/>
    <w:rsid w:val="00AA2235"/>
    <w:rsid w:val="00AA5D85"/>
    <w:rsid w:val="00AA6537"/>
    <w:rsid w:val="00AA67DE"/>
    <w:rsid w:val="00AA79CD"/>
    <w:rsid w:val="00AA7EAD"/>
    <w:rsid w:val="00AB1175"/>
    <w:rsid w:val="00AB31FB"/>
    <w:rsid w:val="00AB5FAF"/>
    <w:rsid w:val="00AB7352"/>
    <w:rsid w:val="00AC1BAF"/>
    <w:rsid w:val="00AC670C"/>
    <w:rsid w:val="00AD06AD"/>
    <w:rsid w:val="00AD0859"/>
    <w:rsid w:val="00AD1A9E"/>
    <w:rsid w:val="00AD1D70"/>
    <w:rsid w:val="00AD27DF"/>
    <w:rsid w:val="00AD2C49"/>
    <w:rsid w:val="00AD30F2"/>
    <w:rsid w:val="00AD3441"/>
    <w:rsid w:val="00AD3903"/>
    <w:rsid w:val="00AD6243"/>
    <w:rsid w:val="00AE0027"/>
    <w:rsid w:val="00AE1B86"/>
    <w:rsid w:val="00AE418C"/>
    <w:rsid w:val="00AE4E65"/>
    <w:rsid w:val="00AE53FB"/>
    <w:rsid w:val="00AE7502"/>
    <w:rsid w:val="00AE7D33"/>
    <w:rsid w:val="00AF4B07"/>
    <w:rsid w:val="00AF512E"/>
    <w:rsid w:val="00B01F5B"/>
    <w:rsid w:val="00B02A63"/>
    <w:rsid w:val="00B05A41"/>
    <w:rsid w:val="00B130C0"/>
    <w:rsid w:val="00B14D85"/>
    <w:rsid w:val="00B15E4A"/>
    <w:rsid w:val="00B17656"/>
    <w:rsid w:val="00B1770A"/>
    <w:rsid w:val="00B20842"/>
    <w:rsid w:val="00B213F1"/>
    <w:rsid w:val="00B23A90"/>
    <w:rsid w:val="00B24ADD"/>
    <w:rsid w:val="00B251AF"/>
    <w:rsid w:val="00B25D6E"/>
    <w:rsid w:val="00B26F21"/>
    <w:rsid w:val="00B27013"/>
    <w:rsid w:val="00B305ED"/>
    <w:rsid w:val="00B30F01"/>
    <w:rsid w:val="00B31D6D"/>
    <w:rsid w:val="00B31DD5"/>
    <w:rsid w:val="00B34F77"/>
    <w:rsid w:val="00B402E0"/>
    <w:rsid w:val="00B4271C"/>
    <w:rsid w:val="00B4291A"/>
    <w:rsid w:val="00B441CF"/>
    <w:rsid w:val="00B44AFD"/>
    <w:rsid w:val="00B5070D"/>
    <w:rsid w:val="00B50F0F"/>
    <w:rsid w:val="00B518F2"/>
    <w:rsid w:val="00B526ED"/>
    <w:rsid w:val="00B53A3B"/>
    <w:rsid w:val="00B54712"/>
    <w:rsid w:val="00B54C68"/>
    <w:rsid w:val="00B56CCA"/>
    <w:rsid w:val="00B70EE0"/>
    <w:rsid w:val="00B710AA"/>
    <w:rsid w:val="00B71879"/>
    <w:rsid w:val="00B72190"/>
    <w:rsid w:val="00B7423F"/>
    <w:rsid w:val="00B778C9"/>
    <w:rsid w:val="00B826BF"/>
    <w:rsid w:val="00B847F8"/>
    <w:rsid w:val="00B8553D"/>
    <w:rsid w:val="00B85A0B"/>
    <w:rsid w:val="00B96419"/>
    <w:rsid w:val="00B974D1"/>
    <w:rsid w:val="00BA1B5E"/>
    <w:rsid w:val="00BA324C"/>
    <w:rsid w:val="00BA35CB"/>
    <w:rsid w:val="00BA4928"/>
    <w:rsid w:val="00BA6D37"/>
    <w:rsid w:val="00BA6DBB"/>
    <w:rsid w:val="00BA712E"/>
    <w:rsid w:val="00BA7C54"/>
    <w:rsid w:val="00BA7CD4"/>
    <w:rsid w:val="00BB0A46"/>
    <w:rsid w:val="00BB1328"/>
    <w:rsid w:val="00BB13D2"/>
    <w:rsid w:val="00BB1798"/>
    <w:rsid w:val="00BB1EBA"/>
    <w:rsid w:val="00BB4397"/>
    <w:rsid w:val="00BB4B6F"/>
    <w:rsid w:val="00BB6FFA"/>
    <w:rsid w:val="00BB78FD"/>
    <w:rsid w:val="00BC2A79"/>
    <w:rsid w:val="00BC2CEC"/>
    <w:rsid w:val="00BC5258"/>
    <w:rsid w:val="00BC5A8A"/>
    <w:rsid w:val="00BC6BF6"/>
    <w:rsid w:val="00BC6C03"/>
    <w:rsid w:val="00BC735C"/>
    <w:rsid w:val="00BD254D"/>
    <w:rsid w:val="00BE0425"/>
    <w:rsid w:val="00BE17B9"/>
    <w:rsid w:val="00BE480A"/>
    <w:rsid w:val="00BE520A"/>
    <w:rsid w:val="00BE54F9"/>
    <w:rsid w:val="00BE5A85"/>
    <w:rsid w:val="00BE7252"/>
    <w:rsid w:val="00BF195B"/>
    <w:rsid w:val="00BF1FBA"/>
    <w:rsid w:val="00BF3666"/>
    <w:rsid w:val="00BF414C"/>
    <w:rsid w:val="00BF4684"/>
    <w:rsid w:val="00C01C82"/>
    <w:rsid w:val="00C01E1E"/>
    <w:rsid w:val="00C06DED"/>
    <w:rsid w:val="00C06E1B"/>
    <w:rsid w:val="00C11810"/>
    <w:rsid w:val="00C12DCB"/>
    <w:rsid w:val="00C14574"/>
    <w:rsid w:val="00C147A3"/>
    <w:rsid w:val="00C151AF"/>
    <w:rsid w:val="00C155A1"/>
    <w:rsid w:val="00C1618A"/>
    <w:rsid w:val="00C20BD7"/>
    <w:rsid w:val="00C24637"/>
    <w:rsid w:val="00C24D00"/>
    <w:rsid w:val="00C26007"/>
    <w:rsid w:val="00C30F87"/>
    <w:rsid w:val="00C318FE"/>
    <w:rsid w:val="00C35D32"/>
    <w:rsid w:val="00C35E05"/>
    <w:rsid w:val="00C40342"/>
    <w:rsid w:val="00C430BF"/>
    <w:rsid w:val="00C43B1C"/>
    <w:rsid w:val="00C43F52"/>
    <w:rsid w:val="00C44480"/>
    <w:rsid w:val="00C446E8"/>
    <w:rsid w:val="00C44E81"/>
    <w:rsid w:val="00C45E82"/>
    <w:rsid w:val="00C4662C"/>
    <w:rsid w:val="00C501C5"/>
    <w:rsid w:val="00C50D1C"/>
    <w:rsid w:val="00C5200A"/>
    <w:rsid w:val="00C52186"/>
    <w:rsid w:val="00C5702A"/>
    <w:rsid w:val="00C5764B"/>
    <w:rsid w:val="00C57DE1"/>
    <w:rsid w:val="00C61FC6"/>
    <w:rsid w:val="00C629E1"/>
    <w:rsid w:val="00C642ED"/>
    <w:rsid w:val="00C64944"/>
    <w:rsid w:val="00C654CD"/>
    <w:rsid w:val="00C67BF9"/>
    <w:rsid w:val="00C70875"/>
    <w:rsid w:val="00C717E2"/>
    <w:rsid w:val="00C73088"/>
    <w:rsid w:val="00C74D86"/>
    <w:rsid w:val="00C761BE"/>
    <w:rsid w:val="00C776CD"/>
    <w:rsid w:val="00C81B78"/>
    <w:rsid w:val="00C81E98"/>
    <w:rsid w:val="00C83CA1"/>
    <w:rsid w:val="00C842C4"/>
    <w:rsid w:val="00C85A07"/>
    <w:rsid w:val="00C85EAA"/>
    <w:rsid w:val="00C87382"/>
    <w:rsid w:val="00C87F75"/>
    <w:rsid w:val="00C91B95"/>
    <w:rsid w:val="00C9273D"/>
    <w:rsid w:val="00C94CA6"/>
    <w:rsid w:val="00CA3F30"/>
    <w:rsid w:val="00CA63F9"/>
    <w:rsid w:val="00CB1944"/>
    <w:rsid w:val="00CB4A6D"/>
    <w:rsid w:val="00CC04B1"/>
    <w:rsid w:val="00CC05F9"/>
    <w:rsid w:val="00CC1001"/>
    <w:rsid w:val="00CC189F"/>
    <w:rsid w:val="00CC5AAC"/>
    <w:rsid w:val="00CD1CB2"/>
    <w:rsid w:val="00CD2E0F"/>
    <w:rsid w:val="00CD310C"/>
    <w:rsid w:val="00CD35B6"/>
    <w:rsid w:val="00CD7590"/>
    <w:rsid w:val="00CD7EE8"/>
    <w:rsid w:val="00CE0575"/>
    <w:rsid w:val="00CE20AB"/>
    <w:rsid w:val="00CE40C4"/>
    <w:rsid w:val="00CE47EA"/>
    <w:rsid w:val="00CE77B1"/>
    <w:rsid w:val="00CF1549"/>
    <w:rsid w:val="00D0539E"/>
    <w:rsid w:val="00D057A1"/>
    <w:rsid w:val="00D058A5"/>
    <w:rsid w:val="00D06D38"/>
    <w:rsid w:val="00D0715F"/>
    <w:rsid w:val="00D1062D"/>
    <w:rsid w:val="00D10A14"/>
    <w:rsid w:val="00D12DAB"/>
    <w:rsid w:val="00D135F9"/>
    <w:rsid w:val="00D144B1"/>
    <w:rsid w:val="00D179ED"/>
    <w:rsid w:val="00D217C3"/>
    <w:rsid w:val="00D21F98"/>
    <w:rsid w:val="00D22EB9"/>
    <w:rsid w:val="00D24A3C"/>
    <w:rsid w:val="00D25C85"/>
    <w:rsid w:val="00D33566"/>
    <w:rsid w:val="00D34005"/>
    <w:rsid w:val="00D34BAD"/>
    <w:rsid w:val="00D35946"/>
    <w:rsid w:val="00D37A16"/>
    <w:rsid w:val="00D46511"/>
    <w:rsid w:val="00D47D5F"/>
    <w:rsid w:val="00D53247"/>
    <w:rsid w:val="00D53883"/>
    <w:rsid w:val="00D53B2C"/>
    <w:rsid w:val="00D54110"/>
    <w:rsid w:val="00D543E0"/>
    <w:rsid w:val="00D57149"/>
    <w:rsid w:val="00D57B30"/>
    <w:rsid w:val="00D60656"/>
    <w:rsid w:val="00D60A1B"/>
    <w:rsid w:val="00D6138C"/>
    <w:rsid w:val="00D62229"/>
    <w:rsid w:val="00D629D1"/>
    <w:rsid w:val="00D638BB"/>
    <w:rsid w:val="00D63C9C"/>
    <w:rsid w:val="00D64AE9"/>
    <w:rsid w:val="00D66C85"/>
    <w:rsid w:val="00D6744E"/>
    <w:rsid w:val="00D67FDE"/>
    <w:rsid w:val="00D71D8A"/>
    <w:rsid w:val="00D72039"/>
    <w:rsid w:val="00D77094"/>
    <w:rsid w:val="00D81CE7"/>
    <w:rsid w:val="00D82C91"/>
    <w:rsid w:val="00D8564A"/>
    <w:rsid w:val="00D91136"/>
    <w:rsid w:val="00D93C7E"/>
    <w:rsid w:val="00DA14C2"/>
    <w:rsid w:val="00DA27E7"/>
    <w:rsid w:val="00DA2EE2"/>
    <w:rsid w:val="00DA3FC7"/>
    <w:rsid w:val="00DA48CE"/>
    <w:rsid w:val="00DA4E2E"/>
    <w:rsid w:val="00DA6D69"/>
    <w:rsid w:val="00DB4BC1"/>
    <w:rsid w:val="00DB5357"/>
    <w:rsid w:val="00DB577F"/>
    <w:rsid w:val="00DB76CA"/>
    <w:rsid w:val="00DB76F9"/>
    <w:rsid w:val="00DC207D"/>
    <w:rsid w:val="00DC25CC"/>
    <w:rsid w:val="00DC3883"/>
    <w:rsid w:val="00DC5726"/>
    <w:rsid w:val="00DC6B43"/>
    <w:rsid w:val="00DD0D7C"/>
    <w:rsid w:val="00DD2DD7"/>
    <w:rsid w:val="00DD3A51"/>
    <w:rsid w:val="00DD3CEA"/>
    <w:rsid w:val="00DD797A"/>
    <w:rsid w:val="00DD7DA0"/>
    <w:rsid w:val="00DE0CFF"/>
    <w:rsid w:val="00DE1514"/>
    <w:rsid w:val="00DE32D4"/>
    <w:rsid w:val="00DE3583"/>
    <w:rsid w:val="00DE4360"/>
    <w:rsid w:val="00DE438C"/>
    <w:rsid w:val="00DF1B07"/>
    <w:rsid w:val="00DF4A76"/>
    <w:rsid w:val="00DF6801"/>
    <w:rsid w:val="00DF6D25"/>
    <w:rsid w:val="00DF70E1"/>
    <w:rsid w:val="00DF7926"/>
    <w:rsid w:val="00E00996"/>
    <w:rsid w:val="00E00A12"/>
    <w:rsid w:val="00E00C37"/>
    <w:rsid w:val="00E03250"/>
    <w:rsid w:val="00E03B44"/>
    <w:rsid w:val="00E04E4C"/>
    <w:rsid w:val="00E0579B"/>
    <w:rsid w:val="00E109C4"/>
    <w:rsid w:val="00E11569"/>
    <w:rsid w:val="00E12CE3"/>
    <w:rsid w:val="00E12D39"/>
    <w:rsid w:val="00E13CED"/>
    <w:rsid w:val="00E141F8"/>
    <w:rsid w:val="00E1516D"/>
    <w:rsid w:val="00E15938"/>
    <w:rsid w:val="00E16D0D"/>
    <w:rsid w:val="00E1788E"/>
    <w:rsid w:val="00E20792"/>
    <w:rsid w:val="00E20840"/>
    <w:rsid w:val="00E22737"/>
    <w:rsid w:val="00E25058"/>
    <w:rsid w:val="00E254AE"/>
    <w:rsid w:val="00E27862"/>
    <w:rsid w:val="00E27E9E"/>
    <w:rsid w:val="00E30446"/>
    <w:rsid w:val="00E31CA7"/>
    <w:rsid w:val="00E32C57"/>
    <w:rsid w:val="00E42B92"/>
    <w:rsid w:val="00E42C93"/>
    <w:rsid w:val="00E436DB"/>
    <w:rsid w:val="00E45790"/>
    <w:rsid w:val="00E46BEB"/>
    <w:rsid w:val="00E47004"/>
    <w:rsid w:val="00E4790C"/>
    <w:rsid w:val="00E50141"/>
    <w:rsid w:val="00E53246"/>
    <w:rsid w:val="00E541B1"/>
    <w:rsid w:val="00E54F3F"/>
    <w:rsid w:val="00E6097C"/>
    <w:rsid w:val="00E60C1B"/>
    <w:rsid w:val="00E615F9"/>
    <w:rsid w:val="00E61C64"/>
    <w:rsid w:val="00E6287C"/>
    <w:rsid w:val="00E633FF"/>
    <w:rsid w:val="00E651C0"/>
    <w:rsid w:val="00E672BD"/>
    <w:rsid w:val="00E67A89"/>
    <w:rsid w:val="00E712C4"/>
    <w:rsid w:val="00E72283"/>
    <w:rsid w:val="00E73D74"/>
    <w:rsid w:val="00E747E0"/>
    <w:rsid w:val="00E747FF"/>
    <w:rsid w:val="00E77FFC"/>
    <w:rsid w:val="00E824BE"/>
    <w:rsid w:val="00E84E1A"/>
    <w:rsid w:val="00E850CE"/>
    <w:rsid w:val="00E86719"/>
    <w:rsid w:val="00E9048B"/>
    <w:rsid w:val="00E90F18"/>
    <w:rsid w:val="00E91C95"/>
    <w:rsid w:val="00E9241B"/>
    <w:rsid w:val="00E92DA8"/>
    <w:rsid w:val="00E940B8"/>
    <w:rsid w:val="00EA0BFF"/>
    <w:rsid w:val="00EA11E0"/>
    <w:rsid w:val="00EA1453"/>
    <w:rsid w:val="00EA1A0C"/>
    <w:rsid w:val="00EA3E9E"/>
    <w:rsid w:val="00EA5C3A"/>
    <w:rsid w:val="00EA69AB"/>
    <w:rsid w:val="00EA70D5"/>
    <w:rsid w:val="00EB0F16"/>
    <w:rsid w:val="00EB14B6"/>
    <w:rsid w:val="00EB1752"/>
    <w:rsid w:val="00EB1AE9"/>
    <w:rsid w:val="00EB26FE"/>
    <w:rsid w:val="00EB530F"/>
    <w:rsid w:val="00EB677D"/>
    <w:rsid w:val="00EB6FE0"/>
    <w:rsid w:val="00EC1D7D"/>
    <w:rsid w:val="00EC6096"/>
    <w:rsid w:val="00EC76CA"/>
    <w:rsid w:val="00ED19E2"/>
    <w:rsid w:val="00ED310F"/>
    <w:rsid w:val="00ED3EA0"/>
    <w:rsid w:val="00ED67BF"/>
    <w:rsid w:val="00ED710D"/>
    <w:rsid w:val="00ED7EFF"/>
    <w:rsid w:val="00EE03EB"/>
    <w:rsid w:val="00EE0C91"/>
    <w:rsid w:val="00EE2710"/>
    <w:rsid w:val="00EE415D"/>
    <w:rsid w:val="00EE4A72"/>
    <w:rsid w:val="00EE7225"/>
    <w:rsid w:val="00EF18A2"/>
    <w:rsid w:val="00EF6569"/>
    <w:rsid w:val="00EF7D39"/>
    <w:rsid w:val="00F0189B"/>
    <w:rsid w:val="00F01CAC"/>
    <w:rsid w:val="00F01E1D"/>
    <w:rsid w:val="00F04F56"/>
    <w:rsid w:val="00F0577C"/>
    <w:rsid w:val="00F10A1D"/>
    <w:rsid w:val="00F11CA8"/>
    <w:rsid w:val="00F14F9B"/>
    <w:rsid w:val="00F1779E"/>
    <w:rsid w:val="00F24E01"/>
    <w:rsid w:val="00F2747E"/>
    <w:rsid w:val="00F30254"/>
    <w:rsid w:val="00F32786"/>
    <w:rsid w:val="00F35354"/>
    <w:rsid w:val="00F40149"/>
    <w:rsid w:val="00F405CB"/>
    <w:rsid w:val="00F4109F"/>
    <w:rsid w:val="00F4390F"/>
    <w:rsid w:val="00F46018"/>
    <w:rsid w:val="00F463AF"/>
    <w:rsid w:val="00F4714A"/>
    <w:rsid w:val="00F4737E"/>
    <w:rsid w:val="00F47863"/>
    <w:rsid w:val="00F47B70"/>
    <w:rsid w:val="00F50B0D"/>
    <w:rsid w:val="00F51D9F"/>
    <w:rsid w:val="00F54A66"/>
    <w:rsid w:val="00F56826"/>
    <w:rsid w:val="00F573F1"/>
    <w:rsid w:val="00F574B0"/>
    <w:rsid w:val="00F60165"/>
    <w:rsid w:val="00F60233"/>
    <w:rsid w:val="00F61CC6"/>
    <w:rsid w:val="00F630CA"/>
    <w:rsid w:val="00F63518"/>
    <w:rsid w:val="00F6492F"/>
    <w:rsid w:val="00F66E19"/>
    <w:rsid w:val="00F7200B"/>
    <w:rsid w:val="00F72602"/>
    <w:rsid w:val="00F735BA"/>
    <w:rsid w:val="00F76E40"/>
    <w:rsid w:val="00F80A25"/>
    <w:rsid w:val="00F81100"/>
    <w:rsid w:val="00F817B4"/>
    <w:rsid w:val="00F81D33"/>
    <w:rsid w:val="00F822D6"/>
    <w:rsid w:val="00F84E2D"/>
    <w:rsid w:val="00F871AD"/>
    <w:rsid w:val="00F875E7"/>
    <w:rsid w:val="00F9219C"/>
    <w:rsid w:val="00F92EC3"/>
    <w:rsid w:val="00F93ED0"/>
    <w:rsid w:val="00F940D3"/>
    <w:rsid w:val="00F95522"/>
    <w:rsid w:val="00F95B2D"/>
    <w:rsid w:val="00F97C31"/>
    <w:rsid w:val="00FA01D8"/>
    <w:rsid w:val="00FA023E"/>
    <w:rsid w:val="00FA1441"/>
    <w:rsid w:val="00FA2E6D"/>
    <w:rsid w:val="00FA4441"/>
    <w:rsid w:val="00FB4A00"/>
    <w:rsid w:val="00FC2E4D"/>
    <w:rsid w:val="00FC3D96"/>
    <w:rsid w:val="00FC691A"/>
    <w:rsid w:val="00FC7506"/>
    <w:rsid w:val="00FD2594"/>
    <w:rsid w:val="00FD302F"/>
    <w:rsid w:val="00FD33AE"/>
    <w:rsid w:val="00FD3D70"/>
    <w:rsid w:val="00FD3DA1"/>
    <w:rsid w:val="00FD460D"/>
    <w:rsid w:val="00FE1D5B"/>
    <w:rsid w:val="00FE3F16"/>
    <w:rsid w:val="00FE3F8A"/>
    <w:rsid w:val="00FE47DA"/>
    <w:rsid w:val="00FE6B71"/>
    <w:rsid w:val="00FE75FA"/>
    <w:rsid w:val="00FE78EA"/>
    <w:rsid w:val="00FF24AC"/>
    <w:rsid w:val="00FF5D02"/>
    <w:rsid w:val="00FF6C2C"/>
    <w:rsid w:val="00FF7943"/>
    <w:rsid w:val="01B75B65"/>
    <w:rsid w:val="05CF1AFF"/>
    <w:rsid w:val="0A4C1F5D"/>
    <w:rsid w:val="0B896BF3"/>
    <w:rsid w:val="0D442DD2"/>
    <w:rsid w:val="0FB0474F"/>
    <w:rsid w:val="11C72224"/>
    <w:rsid w:val="151B120E"/>
    <w:rsid w:val="15A00DC2"/>
    <w:rsid w:val="17E70043"/>
    <w:rsid w:val="1A534654"/>
    <w:rsid w:val="1AD03EF7"/>
    <w:rsid w:val="1E6F3A27"/>
    <w:rsid w:val="22943A5C"/>
    <w:rsid w:val="26E90CFB"/>
    <w:rsid w:val="29E51041"/>
    <w:rsid w:val="3361798A"/>
    <w:rsid w:val="3A953CDE"/>
    <w:rsid w:val="3BB6283D"/>
    <w:rsid w:val="3C9C1A33"/>
    <w:rsid w:val="3D347EBE"/>
    <w:rsid w:val="3E6E73FF"/>
    <w:rsid w:val="40302BBE"/>
    <w:rsid w:val="45637592"/>
    <w:rsid w:val="467B6B5D"/>
    <w:rsid w:val="46CF1487"/>
    <w:rsid w:val="48345216"/>
    <w:rsid w:val="48C83770"/>
    <w:rsid w:val="49053C33"/>
    <w:rsid w:val="4A11580F"/>
    <w:rsid w:val="4B636820"/>
    <w:rsid w:val="57DE2A39"/>
    <w:rsid w:val="58D04AE7"/>
    <w:rsid w:val="5FFA441C"/>
    <w:rsid w:val="65284AE2"/>
    <w:rsid w:val="65C15EE3"/>
    <w:rsid w:val="685C7E46"/>
    <w:rsid w:val="6B084947"/>
    <w:rsid w:val="6DC81DD9"/>
    <w:rsid w:val="6E54661A"/>
    <w:rsid w:val="6EBD7464"/>
    <w:rsid w:val="70C60851"/>
    <w:rsid w:val="746D7236"/>
    <w:rsid w:val="79F006ED"/>
    <w:rsid w:val="7A4B29B6"/>
    <w:rsid w:val="7CB1171D"/>
    <w:rsid w:val="7EB62310"/>
    <w:rsid w:val="F56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4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42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43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2">
    <w:name w:val="heading 6"/>
    <w:basedOn w:val="1"/>
    <w:next w:val="1"/>
    <w:link w:val="44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240" w:after="64" w:line="320" w:lineRule="auto"/>
      <w:ind w:left="3827" w:hanging="1276"/>
      <w:outlineLvl w:val="6"/>
    </w:pPr>
    <w:rPr>
      <w:rFonts w:ascii="Calibri" w:hAnsi="Calibri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240" w:after="64" w:line="320" w:lineRule="auto"/>
      <w:ind w:left="4394" w:hanging="1418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240" w:after="64" w:line="320" w:lineRule="auto"/>
      <w:ind w:left="5102" w:hanging="170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2">
    <w:name w:val="Default Paragraph Font"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14:ligatures w14:val="standardContextual"/>
    </w:rPr>
  </w:style>
  <w:style w:type="paragraph" w:styleId="12">
    <w:name w:val="Normal Indent"/>
    <w:basedOn w:val="1"/>
    <w:qFormat/>
    <w:uiPriority w:val="0"/>
    <w:pPr>
      <w:tabs>
        <w:tab w:val="left" w:pos="840"/>
      </w:tabs>
      <w:adjustRightInd w:val="0"/>
      <w:snapToGrid w:val="0"/>
      <w:spacing w:line="360" w:lineRule="auto"/>
      <w:ind w:firstLine="480" w:firstLineChars="200"/>
    </w:pPr>
    <w:rPr>
      <w:rFonts w:ascii="宋体" w:hAnsi="Times New Roman" w:eastAsia="宋体" w:cs="Times New Roman"/>
      <w:color w:val="FF0000"/>
      <w:sz w:val="24"/>
      <w:szCs w:val="20"/>
    </w:rPr>
  </w:style>
  <w:style w:type="paragraph" w:styleId="13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4">
    <w:name w:val="annotation text"/>
    <w:basedOn w:val="1"/>
    <w:link w:val="49"/>
    <w:unhideWhenUsed/>
    <w:qFormat/>
    <w:uiPriority w:val="99"/>
    <w:pPr>
      <w:jc w:val="left"/>
    </w:pPr>
  </w:style>
  <w:style w:type="paragraph" w:styleId="15">
    <w:name w:val="toc 5"/>
    <w:basedOn w:val="1"/>
    <w:next w:val="1"/>
    <w:unhideWhenUsed/>
    <w:qFormat/>
    <w:uiPriority w:val="39"/>
    <w:pPr>
      <w:ind w:left="1680" w:leftChars="800"/>
    </w:pPr>
    <w:rPr>
      <w14:ligatures w14:val="standardContextual"/>
    </w:rPr>
  </w:style>
  <w:style w:type="paragraph" w:styleId="1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7">
    <w:name w:val="toc 8"/>
    <w:basedOn w:val="1"/>
    <w:next w:val="1"/>
    <w:unhideWhenUsed/>
    <w:qFormat/>
    <w:uiPriority w:val="39"/>
    <w:pPr>
      <w:ind w:left="2940" w:leftChars="1400"/>
    </w:pPr>
    <w:rPr>
      <w14:ligatures w14:val="standardContextual"/>
    </w:rPr>
  </w:style>
  <w:style w:type="paragraph" w:styleId="18">
    <w:name w:val="Date"/>
    <w:basedOn w:val="1"/>
    <w:next w:val="1"/>
    <w:link w:val="64"/>
    <w:semiHidden/>
    <w:unhideWhenUsed/>
    <w:qFormat/>
    <w:uiPriority w:val="99"/>
    <w:pPr>
      <w:ind w:left="100" w:leftChars="2500"/>
    </w:pPr>
  </w:style>
  <w:style w:type="paragraph" w:styleId="19">
    <w:name w:val="endnote text"/>
    <w:basedOn w:val="1"/>
    <w:link w:val="65"/>
    <w:semiHidden/>
    <w:unhideWhenUsed/>
    <w:qFormat/>
    <w:uiPriority w:val="99"/>
    <w:pPr>
      <w:snapToGrid w:val="0"/>
      <w:jc w:val="left"/>
    </w:pPr>
  </w:style>
  <w:style w:type="paragraph" w:styleId="20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</w:style>
  <w:style w:type="paragraph" w:styleId="23">
    <w:name w:val="toc 4"/>
    <w:basedOn w:val="1"/>
    <w:next w:val="1"/>
    <w:unhideWhenUsed/>
    <w:qFormat/>
    <w:uiPriority w:val="39"/>
    <w:pPr>
      <w:ind w:left="1260" w:leftChars="600"/>
    </w:pPr>
    <w:rPr>
      <w14:ligatures w14:val="standardContextual"/>
    </w:rPr>
  </w:style>
  <w:style w:type="paragraph" w:styleId="24">
    <w:name w:val="toc 6"/>
    <w:basedOn w:val="1"/>
    <w:next w:val="1"/>
    <w:unhideWhenUsed/>
    <w:qFormat/>
    <w:uiPriority w:val="39"/>
    <w:pPr>
      <w:ind w:left="2100" w:leftChars="1000"/>
    </w:pPr>
    <w:rPr>
      <w14:ligatures w14:val="standardContextual"/>
    </w:r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unhideWhenUsed/>
    <w:qFormat/>
    <w:uiPriority w:val="39"/>
    <w:pPr>
      <w:ind w:left="3360" w:leftChars="1600"/>
    </w:pPr>
    <w:rPr>
      <w14:ligatures w14:val="standardContextual"/>
    </w:r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8">
    <w:name w:val="Title"/>
    <w:basedOn w:val="1"/>
    <w:next w:val="1"/>
    <w:link w:val="6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9">
    <w:name w:val="annotation subject"/>
    <w:basedOn w:val="14"/>
    <w:next w:val="14"/>
    <w:link w:val="50"/>
    <w:semiHidden/>
    <w:unhideWhenUsed/>
    <w:qFormat/>
    <w:uiPriority w:val="99"/>
    <w:rPr>
      <w:b/>
      <w:bCs/>
    </w:rPr>
  </w:style>
  <w:style w:type="table" w:styleId="31">
    <w:name w:val="Table Grid"/>
    <w:basedOn w:val="3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qFormat/>
    <w:uiPriority w:val="0"/>
    <w:rPr>
      <w:b/>
    </w:rPr>
  </w:style>
  <w:style w:type="character" w:styleId="34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5">
    <w:name w:val="FollowedHyperlink"/>
    <w:basedOn w:val="32"/>
    <w:semiHidden/>
    <w:unhideWhenUsed/>
    <w:qFormat/>
    <w:uiPriority w:val="99"/>
    <w:rPr>
      <w:color w:val="7E1FAD"/>
      <w:u w:val="single"/>
    </w:rPr>
  </w:style>
  <w:style w:type="character" w:styleId="36">
    <w:name w:val="Hyperlink"/>
    <w:basedOn w:val="3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annotation reference"/>
    <w:basedOn w:val="32"/>
    <w:unhideWhenUsed/>
    <w:qFormat/>
    <w:uiPriority w:val="99"/>
    <w:rPr>
      <w:sz w:val="21"/>
      <w:szCs w:val="21"/>
    </w:rPr>
  </w:style>
  <w:style w:type="character" w:styleId="38">
    <w:name w:val="HTML Sample"/>
    <w:qFormat/>
    <w:uiPriority w:val="0"/>
    <w:rPr>
      <w:rFonts w:ascii="Courier New" w:hAnsi="Courier New"/>
    </w:rPr>
  </w:style>
  <w:style w:type="character" w:customStyle="1" w:styleId="39">
    <w:name w:val="标题 1 字符"/>
    <w:basedOn w:val="32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40">
    <w:name w:val="标题 2 字符"/>
    <w:basedOn w:val="32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1">
    <w:name w:val="标题 3 字符"/>
    <w:basedOn w:val="32"/>
    <w:link w:val="5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2">
    <w:name w:val="标题 4 字符"/>
    <w:basedOn w:val="32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3">
    <w:name w:val="标题 5 字符"/>
    <w:basedOn w:val="32"/>
    <w:link w:val="7"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44">
    <w:name w:val="标题 6 字符"/>
    <w:basedOn w:val="32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5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6">
    <w:name w:val="页脚 字符"/>
    <w:basedOn w:val="32"/>
    <w:link w:val="20"/>
    <w:qFormat/>
    <w:uiPriority w:val="99"/>
    <w:rPr>
      <w:sz w:val="18"/>
      <w:szCs w:val="18"/>
    </w:rPr>
  </w:style>
  <w:style w:type="paragraph" w:styleId="4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link w:val="51"/>
    <w:qFormat/>
    <w:uiPriority w:val="34"/>
    <w:pPr>
      <w:ind w:firstLine="420" w:firstLineChars="200"/>
    </w:pPr>
  </w:style>
  <w:style w:type="character" w:customStyle="1" w:styleId="49">
    <w:name w:val="批注文字 字符"/>
    <w:basedOn w:val="32"/>
    <w:link w:val="14"/>
    <w:qFormat/>
    <w:uiPriority w:val="99"/>
  </w:style>
  <w:style w:type="character" w:customStyle="1" w:styleId="50">
    <w:name w:val="批注主题 字符"/>
    <w:basedOn w:val="49"/>
    <w:link w:val="29"/>
    <w:semiHidden/>
    <w:qFormat/>
    <w:uiPriority w:val="99"/>
    <w:rPr>
      <w:b/>
      <w:bCs/>
    </w:rPr>
  </w:style>
  <w:style w:type="character" w:customStyle="1" w:styleId="51">
    <w:name w:val="列表段落 字符"/>
    <w:link w:val="48"/>
    <w:qFormat/>
    <w:uiPriority w:val="34"/>
  </w:style>
  <w:style w:type="paragraph" w:customStyle="1" w:styleId="52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53">
    <w:name w:val="_Style 2"/>
    <w:basedOn w:val="1"/>
    <w:qFormat/>
    <w:uiPriority w:val="34"/>
    <w:pPr>
      <w:ind w:firstLine="420" w:firstLineChars="200"/>
    </w:pPr>
  </w:style>
  <w:style w:type="paragraph" w:customStyle="1" w:styleId="54">
    <w:name w:val="表格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table" w:customStyle="1" w:styleId="55">
    <w:name w:val="网格型1"/>
    <w:basedOn w:val="3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6">
    <w:name w:val="列出段落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5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表格标题"/>
    <w:basedOn w:val="1"/>
    <w:qFormat/>
    <w:uiPriority w:val="0"/>
    <w:pPr>
      <w:jc w:val="center"/>
    </w:pPr>
    <w:rPr>
      <w:rFonts w:ascii="Calibri" w:hAnsi="Calibri" w:eastAsia="宋体" w:cs="Times New Roman"/>
      <w:szCs w:val="21"/>
    </w:rPr>
  </w:style>
  <w:style w:type="paragraph" w:customStyle="1" w:styleId="5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表格样式"/>
    <w:basedOn w:val="1"/>
    <w:qFormat/>
    <w:uiPriority w:val="0"/>
    <w:pPr>
      <w:keepNext/>
      <w:keepLines/>
      <w:spacing w:line="360" w:lineRule="auto"/>
      <w:jc w:val="center"/>
    </w:pPr>
    <w:rPr>
      <w:rFonts w:hint="eastAsia" w:ascii="等线 Light" w:hAnsi="等线 Light" w:eastAsia="宋体" w:cs="Times New Roman"/>
      <w:bCs/>
      <w:szCs w:val="28"/>
    </w:rPr>
  </w:style>
  <w:style w:type="character" w:customStyle="1" w:styleId="61">
    <w:name w:val="标题 7 字符"/>
    <w:basedOn w:val="32"/>
    <w:link w:val="8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62">
    <w:name w:val="标题 8 字符"/>
    <w:basedOn w:val="32"/>
    <w:link w:val="9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63">
    <w:name w:val="标题 9 字符"/>
    <w:basedOn w:val="32"/>
    <w:link w:val="10"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64">
    <w:name w:val="日期 字符"/>
    <w:basedOn w:val="32"/>
    <w:link w:val="18"/>
    <w:semiHidden/>
    <w:qFormat/>
    <w:uiPriority w:val="99"/>
  </w:style>
  <w:style w:type="character" w:customStyle="1" w:styleId="65">
    <w:name w:val="尾注文本 字符"/>
    <w:basedOn w:val="32"/>
    <w:link w:val="19"/>
    <w:semiHidden/>
    <w:qFormat/>
    <w:uiPriority w:val="99"/>
  </w:style>
  <w:style w:type="character" w:customStyle="1" w:styleId="66">
    <w:name w:val="标题 字符"/>
    <w:basedOn w:val="32"/>
    <w:link w:val="2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67">
    <w:name w:val="TOC 标题1"/>
    <w:basedOn w:val="3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68">
    <w:name w:val="0可研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仿宋" w:hAnsi="仿宋" w:eastAsia="宋体"/>
      <w:kern w:val="0"/>
      <w:sz w:val="24"/>
      <w:szCs w:val="28"/>
    </w:rPr>
  </w:style>
  <w:style w:type="table" w:customStyle="1" w:styleId="69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  <w:style w:type="paragraph" w:customStyle="1" w:styleId="71">
    <w:name w:val="可研正文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paragraph" w:customStyle="1" w:styleId="72">
    <w:name w:val="正文样式6"/>
    <w:basedOn w:val="1"/>
    <w:qFormat/>
    <w:uiPriority w:val="0"/>
    <w:pPr>
      <w:widowControl/>
      <w:spacing w:beforeLines="50" w:afterLines="50" w:line="360" w:lineRule="auto"/>
      <w:ind w:firstLine="200" w:firstLineChars="200"/>
      <w:jc w:val="left"/>
    </w:pPr>
    <w:rPr>
      <w:rFonts w:ascii="Times New Roman" w:hAnsi="Times New Roman" w:eastAsia="宋体" w:cs="Times New Roman"/>
      <w:sz w:val="28"/>
    </w:rPr>
  </w:style>
  <w:style w:type="paragraph" w:customStyle="1" w:styleId="73">
    <w:name w:val="0表格"/>
    <w:basedOn w:val="1"/>
    <w:qFormat/>
    <w:uiPriority w:val="0"/>
    <w:pPr>
      <w:widowControl/>
      <w:spacing w:line="360" w:lineRule="auto"/>
      <w:jc w:val="left"/>
    </w:pPr>
    <w:rPr>
      <w:rFonts w:ascii="仿宋" w:eastAsia="仿宋"/>
      <w:kern w:val="0"/>
      <w:sz w:val="24"/>
    </w:rPr>
  </w:style>
  <w:style w:type="character" w:customStyle="1" w:styleId="74">
    <w:name w:val="未处理的提及1"/>
    <w:basedOn w:val="3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5">
    <w:name w:val="图例编号"/>
    <w:basedOn w:val="1"/>
    <w:next w:val="12"/>
    <w:qFormat/>
    <w:uiPriority w:val="0"/>
    <w:pPr>
      <w:spacing w:after="156" w:afterLines="50" w:line="300" w:lineRule="auto"/>
      <w:jc w:val="center"/>
    </w:pPr>
    <w:rPr>
      <w:rFonts w:ascii="Times New Roman" w:hAnsi="Times New Roman" w:eastAsia="宋体" w:cs="Times New Roman"/>
      <w:sz w:val="24"/>
      <w:szCs w:val="20"/>
    </w:rPr>
  </w:style>
  <w:style w:type="paragraph" w:customStyle="1" w:styleId="76">
    <w:name w:val="标题7"/>
    <w:basedOn w:val="8"/>
    <w:next w:val="12"/>
    <w:qFormat/>
    <w:uiPriority w:val="0"/>
    <w:pPr>
      <w:tabs>
        <w:tab w:val="left" w:pos="360"/>
      </w:tabs>
      <w:ind w:left="0" w:firstLine="0"/>
    </w:pPr>
    <w:rPr>
      <w:rFonts w:ascii="黑体" w:hAnsi="Times New Roman" w:eastAsia="黑体"/>
    </w:rPr>
  </w:style>
  <w:style w:type="paragraph" w:customStyle="1" w:styleId="77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8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0CECE"/>
      <w:spacing w:before="100" w:beforeAutospacing="1" w:after="100" w:afterAutospacing="1"/>
      <w:jc w:val="left"/>
    </w:pPr>
    <w:rPr>
      <w:rFonts w:ascii="HarmonyOS Sans SC" w:hAnsi="HarmonyOS Sans SC" w:eastAsia="HarmonyOS Sans SC" w:cs="宋体"/>
      <w:b/>
      <w:bCs/>
      <w:kern w:val="0"/>
      <w:sz w:val="18"/>
      <w:szCs w:val="18"/>
    </w:rPr>
  </w:style>
  <w:style w:type="paragraph" w:customStyle="1" w:styleId="8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3">
    <w:name w:val="xl6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4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0CECE"/>
      <w:spacing w:before="100" w:beforeAutospacing="1" w:after="100" w:afterAutospacing="1"/>
      <w:jc w:val="center"/>
    </w:pPr>
    <w:rPr>
      <w:rFonts w:ascii="HarmonyOS Sans SC" w:hAnsi="HarmonyOS Sans SC" w:eastAsia="HarmonyOS Sans SC" w:cs="宋体"/>
      <w:b/>
      <w:bCs/>
      <w:kern w:val="0"/>
      <w:sz w:val="18"/>
      <w:szCs w:val="18"/>
    </w:rPr>
  </w:style>
  <w:style w:type="paragraph" w:customStyle="1" w:styleId="8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HarmonyOS Sans SC" w:hAnsi="HarmonyOS Sans SC" w:eastAsia="HarmonyOS Sans SC" w:cs="宋体"/>
      <w:kern w:val="0"/>
      <w:sz w:val="18"/>
      <w:szCs w:val="18"/>
    </w:rPr>
  </w:style>
  <w:style w:type="paragraph" w:customStyle="1" w:styleId="88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9">
    <w:name w:val="3"/>
    <w:basedOn w:val="1"/>
    <w:link w:val="90"/>
    <w:qFormat/>
    <w:uiPriority w:val="0"/>
    <w:pPr>
      <w:tabs>
        <w:tab w:val="left" w:pos="851"/>
      </w:tabs>
      <w:spacing w:line="360" w:lineRule="auto"/>
      <w:ind w:left="809" w:leftChars="100" w:hanging="709"/>
      <w:outlineLvl w:val="2"/>
    </w:pPr>
    <w:rPr>
      <w:rFonts w:ascii="仿宋" w:hAnsi="仿宋" w:eastAsia="仿宋" w:cs="Times New Roman"/>
      <w:b/>
      <w:bCs/>
      <w:sz w:val="28"/>
      <w:szCs w:val="28"/>
    </w:rPr>
  </w:style>
  <w:style w:type="character" w:customStyle="1" w:styleId="90">
    <w:name w:val="3 字符"/>
    <w:link w:val="89"/>
    <w:qFormat/>
    <w:uiPriority w:val="0"/>
    <w:rPr>
      <w:rFonts w:ascii="仿宋" w:hAnsi="仿宋" w:eastAsia="仿宋" w:cs="Times New Roman"/>
      <w:b/>
      <w:bCs/>
      <w:sz w:val="28"/>
      <w:szCs w:val="28"/>
    </w:rPr>
  </w:style>
  <w:style w:type="paragraph" w:customStyle="1" w:styleId="91">
    <w:name w:val="吉奥正文"/>
    <w:basedOn w:val="1"/>
    <w:link w:val="92"/>
    <w:qFormat/>
    <w:uiPriority w:val="0"/>
    <w:pPr>
      <w:adjustRightInd w:val="0"/>
      <w:snapToGrid w:val="0"/>
      <w:spacing w:line="360" w:lineRule="auto"/>
      <w:ind w:firstLine="200"/>
      <w:textAlignment w:val="baseline"/>
    </w:pPr>
    <w:rPr>
      <w:rFonts w:ascii="Times New Roman" w:hAnsi="Times New Roman" w:eastAsia="仿宋_GB2312" w:cs="Times New Roman"/>
      <w:sz w:val="28"/>
      <w:szCs w:val="20"/>
    </w:rPr>
  </w:style>
  <w:style w:type="character" w:customStyle="1" w:styleId="92">
    <w:name w:val="吉奥正文 Char"/>
    <w:link w:val="91"/>
    <w:qFormat/>
    <w:uiPriority w:val="0"/>
    <w:rPr>
      <w:rFonts w:ascii="Times New Roman" w:hAnsi="Times New Roman" w:eastAsia="仿宋_GB2312" w:cs="Times New Roman"/>
      <w:sz w:val="28"/>
      <w:szCs w:val="20"/>
    </w:rPr>
  </w:style>
  <w:style w:type="character" w:customStyle="1" w:styleId="93">
    <w:name w:val="未处理的提及2"/>
    <w:basedOn w:val="3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eastAsia="宋体" w:cs="宋体"/>
      <w:kern w:val="0"/>
      <w:sz w:val="24"/>
      <w:szCs w:val="20"/>
      <w:lang w:val="zh-CN"/>
    </w:rPr>
  </w:style>
  <w:style w:type="paragraph" w:customStyle="1" w:styleId="9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10071</Words>
  <Characters>10184</Characters>
  <Lines>379</Lines>
  <Paragraphs>306</Paragraphs>
  <TotalTime>38</TotalTime>
  <ScaleCrop>false</ScaleCrop>
  <LinksUpToDate>false</LinksUpToDate>
  <CharactersWithSpaces>10190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2026-06-29T16:51:00Z</dcterms:created>
  <dc:creator>10519</dc:creator>
  <cp:lastModifiedBy>Better Me</cp:lastModifiedBy>
  <cp:lastPrinted>2024-03-04T15:23:00Z</cp:lastPrinted>
  <dcterms:modified xsi:type="dcterms:W3CDTF">2026-07-10T06:35:38Z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eyJoZGlkIjoiMzU0NjM0ZTczNzA1Yzg4MDM3NTQ1ZjUwNTljOWY0ZDkiLCJ1c2VySWQiOiI1Njk1NTUzMTgifQ==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324E5D47433142D88490122B6696B950_13</vt:lpwstr>
  </property>
</Properties>
</file>