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C61DB">
      <w:pPr>
        <w:jc w:val="center"/>
        <w:rPr>
          <w:rFonts w:ascii="Calibri" w:hAnsi="Calibri" w:eastAsia="宋体" w:cs="Times New Roman"/>
          <w:color w:val="auto"/>
          <w:sz w:val="36"/>
          <w:szCs w:val="44"/>
        </w:rPr>
      </w:pPr>
    </w:p>
    <w:p w14:paraId="7126193D">
      <w:pPr>
        <w:jc w:val="center"/>
        <w:rPr>
          <w:rFonts w:hint="eastAsia" w:ascii="Calibri" w:hAnsi="Calibri" w:eastAsia="宋体" w:cs="Times New Roman"/>
          <w:b/>
          <w:bCs/>
          <w:color w:val="auto"/>
          <w:sz w:val="36"/>
          <w:szCs w:val="44"/>
        </w:rPr>
      </w:pPr>
      <w:r>
        <w:rPr>
          <w:rFonts w:hint="eastAsia" w:ascii="Calibri" w:hAnsi="Calibri" w:eastAsia="宋体" w:cs="Times New Roman"/>
          <w:b/>
          <w:bCs/>
          <w:color w:val="auto"/>
          <w:sz w:val="36"/>
          <w:szCs w:val="44"/>
        </w:rPr>
        <w:t>上海市公安局长宁分局新一代视频联网设备配套</w:t>
      </w:r>
    </w:p>
    <w:p w14:paraId="2451407F">
      <w:pPr>
        <w:jc w:val="center"/>
        <w:rPr>
          <w:rFonts w:hint="eastAsia" w:ascii="仿宋" w:hAnsi="仿宋" w:eastAsia="仿宋" w:cs="仿宋"/>
          <w:color w:val="auto"/>
          <w:sz w:val="27"/>
          <w:szCs w:val="27"/>
        </w:rPr>
      </w:pPr>
      <w:r>
        <w:rPr>
          <w:rFonts w:hint="eastAsia" w:ascii="Calibri" w:hAnsi="Calibri" w:eastAsia="宋体" w:cs="Times New Roman"/>
          <w:b/>
          <w:bCs/>
          <w:color w:val="auto"/>
          <w:sz w:val="36"/>
          <w:szCs w:val="44"/>
        </w:rPr>
        <w:t>升级改造</w:t>
      </w:r>
      <w:r>
        <w:rPr>
          <w:rFonts w:hint="eastAsia" w:ascii="Calibri" w:hAnsi="Calibri" w:eastAsia="宋体" w:cs="Times New Roman"/>
          <w:b/>
          <w:bCs/>
          <w:color w:val="auto"/>
          <w:sz w:val="36"/>
          <w:szCs w:val="44"/>
          <w:lang w:eastAsia="zh-CN"/>
        </w:rPr>
        <w:t>项目招标</w:t>
      </w:r>
      <w:r>
        <w:rPr>
          <w:rFonts w:hint="eastAsia" w:ascii="Calibri" w:hAnsi="Calibri" w:eastAsia="宋体" w:cs="Times New Roman"/>
          <w:b/>
          <w:bCs/>
          <w:color w:val="auto"/>
          <w:sz w:val="36"/>
          <w:szCs w:val="44"/>
        </w:rPr>
        <w:t>需求</w:t>
      </w:r>
      <w:r>
        <w:rPr>
          <w:rFonts w:hint="eastAsia" w:ascii="Calibri" w:hAnsi="Calibri" w:eastAsia="宋体" w:cs="Times New Roman"/>
          <w:b/>
          <w:bCs/>
          <w:color w:val="auto"/>
          <w:sz w:val="36"/>
          <w:szCs w:val="44"/>
          <w:lang w:eastAsia="zh-CN"/>
        </w:rPr>
        <w:t>文件</w:t>
      </w:r>
    </w:p>
    <w:p w14:paraId="004EFCE2">
      <w:pPr>
        <w:widowControl w:val="0"/>
        <w:numPr>
          <w:ilvl w:val="0"/>
          <w:numId w:val="1"/>
        </w:numPr>
        <w:tabs>
          <w:tab w:val="left" w:pos="426"/>
        </w:tabs>
        <w:spacing w:before="80" w:after="80" w:line="360" w:lineRule="auto"/>
        <w:ind w:left="0" w:firstLine="0" w:firstLineChars="0"/>
        <w:jc w:val="left"/>
        <w:outlineLvl w:val="0"/>
        <w:rPr>
          <w:rFonts w:hint="eastAsia" w:ascii="宋体" w:hAnsi="宋体" w:eastAsia="宋体" w:cs="Times New Roman"/>
          <w:b/>
          <w:color w:val="auto"/>
          <w:kern w:val="2"/>
          <w:sz w:val="28"/>
          <w:szCs w:val="22"/>
          <w:lang w:val="en-US" w:eastAsia="zh-CN" w:bidi="ar-SA"/>
        </w:rPr>
      </w:pPr>
      <w:r>
        <w:rPr>
          <w:rFonts w:hint="eastAsia" w:ascii="宋体" w:hAnsi="宋体" w:eastAsia="宋体" w:cs="Times New Roman"/>
          <w:b/>
          <w:color w:val="auto"/>
          <w:kern w:val="2"/>
          <w:sz w:val="28"/>
          <w:szCs w:val="22"/>
          <w:lang w:val="en-US" w:eastAsia="zh-CN" w:bidi="ar-SA"/>
        </w:rPr>
        <w:t>项目概况</w:t>
      </w:r>
    </w:p>
    <w:p w14:paraId="2A794A4E">
      <w:pPr>
        <w:widowControl/>
        <w:spacing w:line="360" w:lineRule="auto"/>
        <w:ind w:firstLine="482"/>
        <w:jc w:val="left"/>
        <w:rPr>
          <w:rFonts w:hint="eastAsia" w:ascii="宋体" w:hAnsi="宋体" w:eastAsia="宋体" w:cs="Times New Roman"/>
          <w:color w:val="auto"/>
          <w:sz w:val="24"/>
        </w:rPr>
      </w:pPr>
      <w:r>
        <w:rPr>
          <w:rFonts w:hint="eastAsia" w:ascii="宋体" w:hAnsi="宋体" w:eastAsia="宋体" w:cs="Times New Roman"/>
          <w:color w:val="auto"/>
          <w:sz w:val="24"/>
        </w:rPr>
        <w:t>当前上海市公安局长宁分局部署的新一代视频监控联网系统，主要完成公安专网内的自建资源的整合，其视频接收与共享能力局限于公安专网内，不具备社会面视频点位接入能力和对政务外网共享能力不足；同时，在公安信息网侧，其并发性能及实战支撑方面需提升以满足实战需求，并需构建可靠备份机制以保障业务连续性。</w:t>
      </w:r>
    </w:p>
    <w:p w14:paraId="1D9DEFA8">
      <w:pPr>
        <w:widowControl/>
        <w:spacing w:line="360" w:lineRule="auto"/>
        <w:ind w:firstLine="482"/>
        <w:jc w:val="left"/>
        <w:rPr>
          <w:rFonts w:hint="eastAsia" w:ascii="宋体" w:hAnsi="宋体" w:eastAsia="宋体" w:cs="Times New Roman"/>
          <w:color w:val="auto"/>
          <w:sz w:val="24"/>
        </w:rPr>
      </w:pPr>
      <w:r>
        <w:rPr>
          <w:rFonts w:hint="eastAsia" w:ascii="宋体" w:hAnsi="宋体" w:eastAsia="宋体" w:cs="Times New Roman"/>
          <w:color w:val="auto"/>
          <w:sz w:val="24"/>
        </w:rPr>
        <w:t>本项目为落实《上海公安新一代视频监控联网系统建设指导意见》及《上海公安新一代视频监控联网系统部署迁移方案》，对长宁区新一代视频监控联网系统进行能力优化建设，旨在社会化视频资源接入、政务外网共享能力拓展、公安信息网侧性能与可靠性增强。</w:t>
      </w:r>
    </w:p>
    <w:p w14:paraId="62958DA7">
      <w:pPr>
        <w:widowControl w:val="0"/>
        <w:numPr>
          <w:ilvl w:val="0"/>
          <w:numId w:val="1"/>
        </w:numPr>
        <w:tabs>
          <w:tab w:val="left" w:pos="426"/>
        </w:tabs>
        <w:spacing w:before="80" w:after="80" w:line="360" w:lineRule="auto"/>
        <w:ind w:left="0" w:firstLine="0" w:firstLineChars="0"/>
        <w:jc w:val="left"/>
        <w:outlineLvl w:val="0"/>
        <w:rPr>
          <w:rFonts w:hint="eastAsia" w:ascii="宋体" w:hAnsi="宋体" w:eastAsia="宋体" w:cs="Times New Roman"/>
          <w:b/>
          <w:color w:val="auto"/>
          <w:kern w:val="2"/>
          <w:sz w:val="28"/>
          <w:szCs w:val="22"/>
          <w:lang w:val="en-US" w:eastAsia="zh-CN" w:bidi="ar-SA"/>
        </w:rPr>
      </w:pPr>
      <w:r>
        <w:rPr>
          <w:rFonts w:hint="eastAsia" w:ascii="宋体" w:hAnsi="宋体" w:eastAsia="宋体" w:cs="Times New Roman"/>
          <w:b/>
          <w:color w:val="auto"/>
          <w:kern w:val="2"/>
          <w:sz w:val="28"/>
          <w:szCs w:val="22"/>
          <w:lang w:val="en-US" w:eastAsia="zh-CN" w:bidi="ar-SA"/>
        </w:rPr>
        <w:t>建设内容及要求</w:t>
      </w:r>
    </w:p>
    <w:p w14:paraId="4DD3A890">
      <w:pPr>
        <w:widowControl w:val="0"/>
        <w:numPr>
          <w:ilvl w:val="1"/>
          <w:numId w:val="1"/>
        </w:numPr>
        <w:spacing w:before="120" w:after="120" w:line="360" w:lineRule="auto"/>
        <w:ind w:left="0" w:firstLine="0" w:firstLineChars="0"/>
        <w:jc w:val="left"/>
        <w:outlineLvl w:val="1"/>
        <w:rPr>
          <w:rFonts w:hint="eastAsia" w:ascii="宋体" w:hAnsi="宋体" w:eastAsia="宋体" w:cs="Times New Roman"/>
          <w:b/>
          <w:color w:val="auto"/>
          <w:kern w:val="2"/>
          <w:sz w:val="28"/>
          <w:szCs w:val="24"/>
          <w:lang w:val="en-US" w:eastAsia="zh-CN" w:bidi="ar-SA"/>
        </w:rPr>
      </w:pPr>
      <w:r>
        <w:rPr>
          <w:rFonts w:hint="eastAsia" w:ascii="宋体" w:hAnsi="宋体" w:eastAsia="宋体" w:cs="Times New Roman"/>
          <w:b/>
          <w:color w:val="auto"/>
          <w:kern w:val="2"/>
          <w:sz w:val="28"/>
          <w:szCs w:val="24"/>
          <w:lang w:val="en-US" w:eastAsia="zh-CN" w:bidi="ar-SA"/>
        </w:rPr>
        <w:t>建设内容</w:t>
      </w:r>
    </w:p>
    <w:p w14:paraId="55BF6B1B">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本项目具体建设内容如下：</w:t>
      </w:r>
    </w:p>
    <w:p w14:paraId="4058DD36">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（1）构建社会面视频接入体系</w:t>
      </w:r>
    </w:p>
    <w:p w14:paraId="119DE447">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新增视频联网汇聚单元，实现社会面点位的标准化接入。</w:t>
      </w:r>
    </w:p>
    <w:p w14:paraId="33D0E7BC">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（2）搭建政务外网视频共享能力</w:t>
      </w:r>
    </w:p>
    <w:p w14:paraId="71B5423D">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部署视频共享管理单元和安全管控网关，建立与长宁区区级“雪亮平台”的视频共享通道。</w:t>
      </w:r>
    </w:p>
    <w:p w14:paraId="371B4369">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（3）公安信息网侧性能与可靠性提升</w:t>
      </w:r>
    </w:p>
    <w:p w14:paraId="33E06DA2">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在公安信息网侧部署新增视频联网转发网关，扩充视频并发能力至2250路；部署视频联网系统管理单元，构建管理设备双机热备架构，从而保证公安信息网侧的视频调阅、实战应用需求和高可靠性。</w:t>
      </w:r>
    </w:p>
    <w:p w14:paraId="1083A598">
      <w:pPr>
        <w:widowControl w:val="0"/>
        <w:numPr>
          <w:ilvl w:val="1"/>
          <w:numId w:val="1"/>
        </w:numPr>
        <w:spacing w:before="120" w:after="120" w:line="360" w:lineRule="auto"/>
        <w:ind w:left="0" w:firstLine="0" w:firstLineChars="0"/>
        <w:jc w:val="left"/>
        <w:outlineLvl w:val="1"/>
        <w:rPr>
          <w:rFonts w:hint="eastAsia" w:ascii="宋体" w:hAnsi="宋体" w:eastAsia="宋体" w:cs="Times New Roman"/>
          <w:b/>
          <w:color w:val="auto"/>
          <w:kern w:val="2"/>
          <w:sz w:val="28"/>
          <w:szCs w:val="24"/>
          <w:lang w:val="en-US" w:eastAsia="zh-CN" w:bidi="ar-SA"/>
        </w:rPr>
      </w:pPr>
      <w:r>
        <w:rPr>
          <w:rFonts w:hint="eastAsia" w:ascii="宋体" w:hAnsi="宋体" w:eastAsia="宋体" w:cs="Times New Roman"/>
          <w:b/>
          <w:color w:val="auto"/>
          <w:kern w:val="2"/>
          <w:sz w:val="28"/>
          <w:szCs w:val="24"/>
          <w:lang w:val="en-US" w:eastAsia="zh-CN" w:bidi="ar-SA"/>
        </w:rPr>
        <w:t>系统现状及建成后系统功能性能要求</w:t>
      </w:r>
    </w:p>
    <w:p w14:paraId="50BBC50E">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（一）公安视频传输网侧</w:t>
      </w:r>
    </w:p>
    <w:p w14:paraId="41B41AF0">
      <w:pPr>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已部署新一代PVG视频联网系统，该系统遵循</w:t>
      </w:r>
      <w:r>
        <w:rPr>
          <w:rFonts w:ascii="宋体" w:hAnsi="宋体" w:eastAsia="宋体" w:cs="Times New Roman"/>
          <w:color w:val="auto"/>
          <w:sz w:val="24"/>
        </w:rPr>
        <w:t>GB/T 28181</w:t>
      </w:r>
      <w:r>
        <w:rPr>
          <w:rFonts w:hint="eastAsia" w:ascii="宋体" w:hAnsi="宋体" w:eastAsia="宋体" w:cs="Times New Roman"/>
          <w:color w:val="auto"/>
          <w:sz w:val="24"/>
        </w:rPr>
        <w:t>实现了公安自建点位的标准化接入</w:t>
      </w:r>
      <w:r>
        <w:rPr>
          <w:rFonts w:ascii="宋体" w:hAnsi="宋体" w:eastAsia="宋体" w:cs="Times New Roman"/>
          <w:color w:val="auto"/>
          <w:sz w:val="24"/>
        </w:rPr>
        <w:t>，具备百万路资源管理能力，并通过流媒体池化与单级转发技术</w:t>
      </w:r>
      <w:r>
        <w:rPr>
          <w:rFonts w:hint="eastAsia" w:ascii="宋体" w:hAnsi="宋体" w:eastAsia="宋体" w:cs="Times New Roman"/>
          <w:color w:val="auto"/>
          <w:sz w:val="24"/>
        </w:rPr>
        <w:t>实现</w:t>
      </w:r>
      <w:r>
        <w:rPr>
          <w:rFonts w:ascii="宋体" w:hAnsi="宋体" w:eastAsia="宋体" w:cs="Times New Roman"/>
          <w:color w:val="auto"/>
          <w:sz w:val="24"/>
        </w:rPr>
        <w:t>高清视频的低延迟并发传输</w:t>
      </w:r>
      <w:r>
        <w:rPr>
          <w:rFonts w:hint="eastAsia" w:ascii="宋体" w:hAnsi="宋体" w:eastAsia="宋体" w:cs="Times New Roman"/>
          <w:color w:val="auto"/>
          <w:sz w:val="24"/>
        </w:rPr>
        <w:t>，具备3</w:t>
      </w:r>
      <w:r>
        <w:rPr>
          <w:rFonts w:ascii="宋体" w:hAnsi="宋体" w:eastAsia="宋体" w:cs="Times New Roman"/>
          <w:color w:val="auto"/>
          <w:sz w:val="24"/>
        </w:rPr>
        <w:t>000</w:t>
      </w:r>
      <w:r>
        <w:rPr>
          <w:rFonts w:hint="eastAsia" w:ascii="宋体" w:hAnsi="宋体" w:eastAsia="宋体" w:cs="Times New Roman"/>
          <w:color w:val="auto"/>
          <w:sz w:val="24"/>
        </w:rPr>
        <w:t>路视频流并发能力</w:t>
      </w:r>
      <w:r>
        <w:rPr>
          <w:rFonts w:ascii="宋体" w:hAnsi="宋体" w:eastAsia="宋体" w:cs="Times New Roman"/>
          <w:color w:val="auto"/>
          <w:sz w:val="24"/>
        </w:rPr>
        <w:t>。系统提供设备统一编码、用户权限分级、优先级抢占机制等精细化管理功能，同时通过关键设备冗余备份、故障秒级恢复和平台级备份保障高可靠性，并支持动态扩缩容、开机自启动等高效运维特性。安全方面</w:t>
      </w:r>
      <w:r>
        <w:rPr>
          <w:rFonts w:hint="eastAsia" w:ascii="宋体" w:hAnsi="宋体" w:eastAsia="宋体" w:cs="Times New Roman"/>
          <w:color w:val="auto"/>
          <w:sz w:val="24"/>
        </w:rPr>
        <w:t>提供</w:t>
      </w:r>
      <w:r>
        <w:rPr>
          <w:rFonts w:ascii="宋体" w:hAnsi="宋体" w:eastAsia="宋体" w:cs="Times New Roman"/>
          <w:color w:val="auto"/>
          <w:sz w:val="24"/>
        </w:rPr>
        <w:t>HTTPS加密及操作日志存储，并可向第三方平台提供视频调阅服务，全面满足大规模视频</w:t>
      </w:r>
      <w:r>
        <w:rPr>
          <w:rFonts w:hint="eastAsia" w:ascii="宋体" w:hAnsi="宋体" w:eastAsia="宋体" w:cs="Times New Roman"/>
          <w:color w:val="auto"/>
          <w:sz w:val="24"/>
        </w:rPr>
        <w:t>监控场景下的高效、安全与可扩展需求。</w:t>
      </w:r>
    </w:p>
    <w:p w14:paraId="33E4C108">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在已部署基础上，本项目配置1台视频共享管理单元和2台安全管控网关一体机，实现社会面视频资源接入和跨网共享能力：</w:t>
      </w:r>
    </w:p>
    <w:p w14:paraId="73AA3749">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社会面资源接入方面，通过部署1台视频联网汇聚单元实现社会面资源的标准化接入，完成长宁区全域视频资源统一汇聚；</w:t>
      </w:r>
    </w:p>
    <w:p w14:paraId="42B7B795">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在跨网共享能力方面，应延续原有共享能力（对上级市级平台的共享能力、对公安信息网本级平台的共享能力），新增专项共享能力，即通过部署1台视频共享管理单元，实现对政务外网长宁区区级“雪亮平台”的共享能力；</w:t>
      </w:r>
    </w:p>
    <w:p w14:paraId="67423726">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同时，部署2台安全管控网关一体机，应实现对长宁区区级“雪亮平台”共享的512路视频流水印叠加能力，从而确保该共享链路全程可溯、安全可控。</w:t>
      </w:r>
    </w:p>
    <w:p w14:paraId="6AF8AD3A">
      <w:pPr>
        <w:widowControl/>
        <w:spacing w:line="360" w:lineRule="auto"/>
        <w:ind w:firstLine="482" w:firstLineChars="200"/>
        <w:jc w:val="left"/>
        <w:rPr>
          <w:rFonts w:hint="eastAsia" w:ascii="宋体" w:hAnsi="宋体" w:eastAsia="宋体" w:cs="Times New Roman"/>
          <w:color w:val="auto"/>
          <w:sz w:val="24"/>
        </w:rPr>
      </w:pPr>
      <w:r>
        <w:rPr>
          <w:rFonts w:hint="eastAsia" w:ascii="宋体" w:hAnsi="宋体" w:eastAsia="宋体" w:cs="Times New Roman"/>
          <w:b/>
          <w:bCs/>
          <w:color w:val="auto"/>
          <w:sz w:val="24"/>
          <w:u w:val="single"/>
        </w:rPr>
        <w:t>对接要求：本部分新增设备应无缝对接长宁分局在公安视频传输网内已部署的新一代视频监控联网系统。</w:t>
      </w:r>
    </w:p>
    <w:p w14:paraId="289DAD22">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（二）公安信息网侧</w:t>
      </w:r>
    </w:p>
    <w:p w14:paraId="224D6D98">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已部署新一代PVG视频联网系统，该系统具备100万路视频监控资源管理能力和10万路符合GB/T 28181标准的设备接入能力，具备750路高清视频流并发能力，实现对分局视频资源的统一接入与管理。系统具备视频调阅、云台控制、预案轮巡、点位收藏、用户与权限管理及运维管理等功能，同时支持通过API接口实现设备点位共享、视频播放控制等能力。</w:t>
      </w:r>
    </w:p>
    <w:p w14:paraId="70CF9BE8">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在已部署基础上，本项目部署1台高性能视频联网系统管理单元和2台视频联网转发网关，实现公安信息网侧的性能与可靠性提升：</w:t>
      </w:r>
    </w:p>
    <w:p w14:paraId="778682C3">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部署1台高性能视频联网系统管理单元，与现网设备构建双机热备体系。当主管理设备发生故障时，核心服务应能快速切换至副管理设备，保证视频管理业务高可靠连续运行。</w:t>
      </w:r>
    </w:p>
    <w:p w14:paraId="6D1D1B39">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新部署2台视频联网转发网关，配合已有的1台（750路）视频联网转发网关，实现公安信息网侧2250路视频高并发能力，保证公安信息网侧的视频调阅、实战应用需求。</w:t>
      </w:r>
    </w:p>
    <w:p w14:paraId="49DE711D">
      <w:pPr>
        <w:widowControl/>
        <w:spacing w:line="360" w:lineRule="auto"/>
        <w:ind w:firstLine="482" w:firstLineChars="200"/>
        <w:jc w:val="left"/>
        <w:rPr>
          <w:rFonts w:hint="eastAsia" w:ascii="宋体" w:hAnsi="宋体" w:eastAsia="宋体" w:cs="Times New Roman"/>
          <w:color w:val="auto"/>
          <w:sz w:val="24"/>
        </w:rPr>
      </w:pPr>
      <w:r>
        <w:rPr>
          <w:rFonts w:hint="eastAsia" w:ascii="宋体" w:hAnsi="宋体" w:eastAsia="宋体" w:cs="Times New Roman"/>
          <w:b/>
          <w:bCs/>
          <w:color w:val="auto"/>
          <w:sz w:val="24"/>
          <w:u w:val="single"/>
        </w:rPr>
        <w:t>对接要求：本部分新增设备应无缝对接长宁分局在公安信息网内已部署的新一代视频监控联网平台。</w:t>
      </w:r>
    </w:p>
    <w:p w14:paraId="3358A8AD">
      <w:pPr>
        <w:widowControl w:val="0"/>
        <w:numPr>
          <w:ilvl w:val="1"/>
          <w:numId w:val="1"/>
        </w:numPr>
        <w:spacing w:before="120" w:after="120" w:line="360" w:lineRule="auto"/>
        <w:ind w:left="0" w:firstLine="0" w:firstLineChars="0"/>
        <w:jc w:val="left"/>
        <w:outlineLvl w:val="1"/>
        <w:rPr>
          <w:rFonts w:hint="eastAsia" w:ascii="宋体" w:hAnsi="宋体" w:eastAsia="宋体" w:cs="Times New Roman"/>
          <w:b/>
          <w:color w:val="auto"/>
          <w:kern w:val="2"/>
          <w:sz w:val="28"/>
          <w:szCs w:val="24"/>
          <w:lang w:val="en-US" w:eastAsia="zh-CN" w:bidi="ar-SA"/>
        </w:rPr>
      </w:pPr>
      <w:r>
        <w:rPr>
          <w:rFonts w:hint="eastAsia" w:ascii="宋体" w:hAnsi="宋体" w:eastAsia="宋体" w:cs="Times New Roman"/>
          <w:b/>
          <w:color w:val="auto"/>
          <w:kern w:val="2"/>
          <w:sz w:val="28"/>
          <w:szCs w:val="24"/>
          <w:lang w:val="en-US" w:eastAsia="zh-CN" w:bidi="ar-SA"/>
        </w:rPr>
        <w:t>设备功能性能要求</w:t>
      </w:r>
    </w:p>
    <w:p w14:paraId="0B026181">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（一）公安视频传输网侧设备功能性能指标需求</w:t>
      </w:r>
    </w:p>
    <w:p w14:paraId="3A684953">
      <w:pPr>
        <w:widowControl/>
        <w:numPr>
          <w:ilvl w:val="0"/>
          <w:numId w:val="3"/>
        </w:numPr>
        <w:spacing w:line="360" w:lineRule="auto"/>
        <w:ind w:left="425" w:hanging="425"/>
        <w:jc w:val="left"/>
        <w:rPr>
          <w:rFonts w:hint="eastAsia" w:ascii="宋体" w:hAnsi="宋体" w:eastAsia="宋体" w:cs="Times New Roman"/>
          <w:b/>
          <w:bCs/>
          <w:color w:val="auto"/>
          <w:sz w:val="24"/>
        </w:rPr>
      </w:pPr>
      <w:r>
        <w:rPr>
          <w:rFonts w:ascii="宋体" w:hAnsi="宋体" w:eastAsia="宋体" w:cs="Times New Roman"/>
          <w:b/>
          <w:bCs/>
          <w:color w:val="auto"/>
          <w:sz w:val="24"/>
        </w:rPr>
        <w:t>视频共享管理单元</w:t>
      </w:r>
      <w:r>
        <w:rPr>
          <w:rFonts w:hint="eastAsia" w:ascii="宋体" w:hAnsi="宋体" w:eastAsia="宋体" w:cs="Times New Roman"/>
          <w:b/>
          <w:bCs/>
          <w:color w:val="auto"/>
          <w:sz w:val="24"/>
        </w:rPr>
        <w:t>设备</w:t>
      </w:r>
    </w:p>
    <w:p w14:paraId="354CD7D9">
      <w:pPr>
        <w:widowControl/>
        <w:spacing w:line="360" w:lineRule="auto"/>
        <w:ind w:left="420" w:left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设备功能指标：</w:t>
      </w:r>
    </w:p>
    <w:p w14:paraId="7156A1D9">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设备应支持视频通用标准协议（GB/T 28181）与外域平台互联互通</w:t>
      </w:r>
      <w:r>
        <w:rPr>
          <w:rFonts w:hint="eastAsia" w:ascii="宋体" w:hAnsi="宋体" w:eastAsia="宋体" w:cs="Times New Roman"/>
          <w:color w:val="auto"/>
          <w:sz w:val="24"/>
        </w:rPr>
        <w:t>；</w:t>
      </w:r>
    </w:p>
    <w:p w14:paraId="70C3580A">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设备应支持从视频联网系统管理单元级联点位资源，共享点位资源给第三方平台</w:t>
      </w:r>
      <w:r>
        <w:rPr>
          <w:rFonts w:hint="eastAsia" w:ascii="宋体" w:hAnsi="宋体" w:eastAsia="宋体" w:cs="Times New Roman"/>
          <w:color w:val="auto"/>
          <w:sz w:val="24"/>
        </w:rPr>
        <w:t>；</w:t>
      </w:r>
    </w:p>
    <w:p w14:paraId="3EF7712C">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设备应支持为上级域提供浏览回放、云台控制等功能</w:t>
      </w:r>
      <w:r>
        <w:rPr>
          <w:rFonts w:hint="eastAsia" w:ascii="宋体" w:hAnsi="宋体" w:eastAsia="宋体" w:cs="Times New Roman"/>
          <w:color w:val="auto"/>
          <w:sz w:val="24"/>
        </w:rPr>
        <w:t>；</w:t>
      </w:r>
    </w:p>
    <w:p w14:paraId="76D25E57">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▲设备应支持对共享的视频监控资源进行细化到摄像机颗粒度的授权管理</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需</w:t>
      </w:r>
      <w:r>
        <w:rPr>
          <w:rFonts w:hint="eastAsia" w:ascii="宋体" w:hAnsi="宋体" w:eastAsia="宋体" w:cs="Times New Roman"/>
          <w:color w:val="auto"/>
          <w:sz w:val="24"/>
        </w:rPr>
        <w:t>提供</w:t>
      </w:r>
      <w:r>
        <w:rPr>
          <w:rFonts w:hint="eastAsia" w:ascii="宋体" w:hAnsi="宋体" w:eastAsia="宋体" w:cs="Times New Roman"/>
          <w:color w:val="auto"/>
          <w:sz w:val="24"/>
          <w:lang w:val="en-US" w:eastAsia="zh-CN"/>
        </w:rPr>
        <w:t>第三方</w:t>
      </w:r>
      <w:r>
        <w:rPr>
          <w:rFonts w:hint="eastAsia" w:ascii="宋体" w:hAnsi="宋体" w:eastAsia="宋体" w:cs="Times New Roman"/>
          <w:color w:val="auto"/>
          <w:sz w:val="24"/>
        </w:rPr>
        <w:t>检测报告）</w:t>
      </w:r>
    </w:p>
    <w:p w14:paraId="37E98457">
      <w:pPr>
        <w:widowControl/>
        <w:spacing w:line="360" w:lineRule="auto"/>
        <w:ind w:left="420" w:left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设备性能指标：</w:t>
      </w:r>
    </w:p>
    <w:p w14:paraId="7FFBB797">
      <w:pPr>
        <w:widowControl/>
        <w:spacing w:line="360" w:lineRule="auto"/>
        <w:ind w:firstLine="480" w:firstLineChars="200"/>
        <w:jc w:val="left"/>
        <w:rPr>
          <w:rFonts w:hint="default" w:ascii="宋体" w:hAnsi="宋体" w:eastAsia="宋体" w:cs="Times New Roman"/>
          <w:b/>
          <w:bCs/>
          <w:color w:val="auto"/>
          <w:sz w:val="24"/>
          <w:lang w:val="en-US" w:eastAsia="zh-CN"/>
        </w:rPr>
      </w:pPr>
      <w:r>
        <w:rPr>
          <w:rFonts w:ascii="宋体" w:hAnsi="宋体" w:eastAsia="宋体" w:cs="Times New Roman"/>
          <w:color w:val="auto"/>
          <w:sz w:val="24"/>
        </w:rPr>
        <w:t>应配置</w:t>
      </w:r>
      <w:r>
        <w:rPr>
          <w:rFonts w:hint="eastAsia" w:ascii="宋体" w:hAnsi="宋体" w:eastAsia="宋体" w:cs="Times New Roman"/>
          <w:color w:val="auto"/>
          <w:sz w:val="24"/>
        </w:rPr>
        <w:t>不少于</w:t>
      </w:r>
      <w:r>
        <w:rPr>
          <w:rFonts w:ascii="宋体" w:hAnsi="宋体" w:eastAsia="宋体" w:cs="Times New Roman"/>
          <w:color w:val="auto"/>
          <w:sz w:val="24"/>
        </w:rPr>
        <w:t>2颗高性能处理单元</w:t>
      </w:r>
      <w:r>
        <w:rPr>
          <w:rFonts w:hint="eastAsia" w:ascii="宋体" w:hAnsi="宋体" w:eastAsia="宋体" w:cs="Times New Roman"/>
          <w:color w:val="auto"/>
          <w:sz w:val="24"/>
        </w:rPr>
        <w:t>；</w:t>
      </w:r>
      <w:r>
        <w:rPr>
          <w:rFonts w:ascii="宋体" w:hAnsi="宋体" w:eastAsia="宋体" w:cs="Times New Roman"/>
          <w:color w:val="auto"/>
          <w:sz w:val="24"/>
        </w:rPr>
        <w:t>应配置不少于128G内存</w:t>
      </w:r>
      <w:r>
        <w:rPr>
          <w:rFonts w:hint="eastAsia" w:ascii="宋体" w:hAnsi="宋体" w:eastAsia="宋体" w:cs="Times New Roman"/>
          <w:color w:val="auto"/>
          <w:sz w:val="24"/>
        </w:rPr>
        <w:t>；</w:t>
      </w:r>
      <w:r>
        <w:rPr>
          <w:rFonts w:ascii="宋体" w:hAnsi="宋体" w:eastAsia="宋体" w:cs="Times New Roman"/>
          <w:color w:val="auto"/>
          <w:sz w:val="24"/>
        </w:rPr>
        <w:t>应配置不少于8T存储</w:t>
      </w:r>
      <w:r>
        <w:rPr>
          <w:rFonts w:hint="eastAsia" w:ascii="宋体" w:hAnsi="宋体" w:eastAsia="宋体" w:cs="Times New Roman"/>
          <w:color w:val="auto"/>
          <w:sz w:val="24"/>
        </w:rPr>
        <w:t>；</w:t>
      </w:r>
      <w:r>
        <w:rPr>
          <w:rFonts w:ascii="宋体" w:hAnsi="宋体" w:eastAsia="宋体" w:cs="Times New Roman"/>
          <w:color w:val="auto"/>
          <w:sz w:val="24"/>
        </w:rPr>
        <w:t>应配置不少于2个千兆网口、2个万兆网口</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 xml:space="preserve"> </w:t>
      </w:r>
      <w:r>
        <w:rPr>
          <w:rFonts w:hint="eastAsia" w:ascii="宋体" w:hAnsi="宋体" w:eastAsia="宋体" w:cs="Times New Roman"/>
          <w:b/>
          <w:bCs/>
          <w:color w:val="auto"/>
          <w:sz w:val="24"/>
          <w:lang w:val="en-US" w:eastAsia="zh-CN"/>
        </w:rPr>
        <w:t xml:space="preserve"> </w:t>
      </w:r>
    </w:p>
    <w:p w14:paraId="1AD3F459">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兼容性能指标：</w:t>
      </w:r>
    </w:p>
    <w:p w14:paraId="17F74909">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可与长宁分局公安视频传输网内已部署的新一代视频监控联网系统进行无缝对接。（提供无缝对接承诺函，格式自拟）</w:t>
      </w:r>
    </w:p>
    <w:p w14:paraId="4381C8E7">
      <w:pPr>
        <w:widowControl/>
        <w:numPr>
          <w:ilvl w:val="0"/>
          <w:numId w:val="3"/>
        </w:numPr>
        <w:spacing w:line="360" w:lineRule="auto"/>
        <w:ind w:left="425" w:hanging="425"/>
        <w:jc w:val="left"/>
        <w:rPr>
          <w:rFonts w:hint="eastAsia" w:ascii="宋体" w:hAnsi="宋体" w:eastAsia="宋体" w:cs="Times New Roman"/>
          <w:b/>
          <w:bCs/>
          <w:color w:val="auto"/>
          <w:sz w:val="24"/>
        </w:rPr>
      </w:pPr>
      <w:r>
        <w:rPr>
          <w:rFonts w:ascii="宋体" w:hAnsi="宋体" w:eastAsia="宋体" w:cs="Times New Roman"/>
          <w:b/>
          <w:bCs/>
          <w:color w:val="auto"/>
          <w:sz w:val="24"/>
        </w:rPr>
        <w:t>安全管控网关一体机</w:t>
      </w:r>
    </w:p>
    <w:p w14:paraId="73EFEB89">
      <w:pPr>
        <w:widowControl/>
        <w:spacing w:line="360" w:lineRule="auto"/>
        <w:ind w:left="420" w:left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设备功能指标：</w:t>
      </w:r>
    </w:p>
    <w:p w14:paraId="16F0D535">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▲设备应支持不少于256路1080P，30fps，4Mbps的视频叠加水印</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需</w:t>
      </w:r>
      <w:r>
        <w:rPr>
          <w:rFonts w:hint="eastAsia" w:ascii="宋体" w:hAnsi="宋体" w:eastAsia="宋体" w:cs="Times New Roman"/>
          <w:color w:val="auto"/>
          <w:sz w:val="24"/>
        </w:rPr>
        <w:t>提供</w:t>
      </w:r>
      <w:r>
        <w:rPr>
          <w:rFonts w:hint="eastAsia" w:ascii="宋体" w:hAnsi="宋体" w:eastAsia="宋体" w:cs="Times New Roman"/>
          <w:color w:val="auto"/>
          <w:sz w:val="24"/>
          <w:lang w:val="en-US" w:eastAsia="zh-CN"/>
        </w:rPr>
        <w:t>第三方</w:t>
      </w:r>
      <w:r>
        <w:rPr>
          <w:rFonts w:hint="eastAsia" w:ascii="宋体" w:hAnsi="宋体" w:eastAsia="宋体" w:cs="Times New Roman"/>
          <w:color w:val="auto"/>
          <w:sz w:val="24"/>
        </w:rPr>
        <w:t>检测报告）；</w:t>
      </w:r>
    </w:p>
    <w:p w14:paraId="28B04EE1">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设备应支持视频脱敏预案管理，包含新增、编辑、删除、复制、禁/启用操作</w:t>
      </w:r>
      <w:r>
        <w:rPr>
          <w:rFonts w:hint="eastAsia" w:ascii="宋体" w:hAnsi="宋体" w:eastAsia="宋体" w:cs="Times New Roman"/>
          <w:color w:val="auto"/>
          <w:sz w:val="24"/>
        </w:rPr>
        <w:t>；</w:t>
      </w:r>
    </w:p>
    <w:p w14:paraId="4D2BF340">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▲应支持自定义水印位置、水印布局、水印字体、透明度、水印颜色、旋转角度</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需</w:t>
      </w:r>
      <w:r>
        <w:rPr>
          <w:rFonts w:hint="eastAsia" w:ascii="宋体" w:hAnsi="宋体" w:eastAsia="宋体" w:cs="Times New Roman"/>
          <w:color w:val="auto"/>
          <w:sz w:val="24"/>
        </w:rPr>
        <w:t>提供</w:t>
      </w:r>
      <w:r>
        <w:rPr>
          <w:rFonts w:hint="eastAsia" w:ascii="宋体" w:hAnsi="宋体" w:eastAsia="宋体" w:cs="Times New Roman"/>
          <w:color w:val="auto"/>
          <w:sz w:val="24"/>
          <w:lang w:val="en-US" w:eastAsia="zh-CN"/>
        </w:rPr>
        <w:t>第三方</w:t>
      </w:r>
      <w:r>
        <w:rPr>
          <w:rFonts w:hint="eastAsia" w:ascii="宋体" w:hAnsi="宋体" w:eastAsia="宋体" w:cs="Times New Roman"/>
          <w:color w:val="auto"/>
          <w:sz w:val="24"/>
        </w:rPr>
        <w:t>检测报告）；</w:t>
      </w:r>
    </w:p>
    <w:p w14:paraId="41E5D883">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设备应支持对视频调阅方的权限管理和取流路数、取流时长、使用期限的配置</w:t>
      </w:r>
      <w:r>
        <w:rPr>
          <w:rFonts w:hint="eastAsia" w:ascii="宋体" w:hAnsi="宋体" w:eastAsia="宋体" w:cs="Times New Roman"/>
          <w:color w:val="auto"/>
          <w:sz w:val="24"/>
        </w:rPr>
        <w:t>；</w:t>
      </w:r>
    </w:p>
    <w:p w14:paraId="0DF77471">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设备应支持实时记录视频调阅方的实时预览、录像回放、录像下载、云台控制等业务操作，对异常的调用数据进行统计分析并进行展示</w:t>
      </w:r>
      <w:r>
        <w:rPr>
          <w:rFonts w:hint="eastAsia" w:ascii="宋体" w:hAnsi="宋体" w:eastAsia="宋体" w:cs="Times New Roman"/>
          <w:color w:val="auto"/>
          <w:sz w:val="24"/>
        </w:rPr>
        <w:t>。</w:t>
      </w:r>
    </w:p>
    <w:p w14:paraId="1B767D46">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设备性能指标：</w:t>
      </w:r>
    </w:p>
    <w:p w14:paraId="279ABF1E">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应配置</w:t>
      </w:r>
      <w:r>
        <w:rPr>
          <w:rFonts w:hint="eastAsia" w:ascii="宋体" w:hAnsi="宋体" w:eastAsia="宋体" w:cs="Times New Roman"/>
          <w:color w:val="auto"/>
          <w:sz w:val="24"/>
        </w:rPr>
        <w:t>不少于1</w:t>
      </w:r>
      <w:r>
        <w:rPr>
          <w:rFonts w:ascii="宋体" w:hAnsi="宋体" w:eastAsia="宋体" w:cs="Times New Roman"/>
          <w:color w:val="auto"/>
          <w:sz w:val="24"/>
        </w:rPr>
        <w:t>颗高性能处理单元</w:t>
      </w:r>
      <w:r>
        <w:rPr>
          <w:rFonts w:hint="eastAsia" w:ascii="宋体" w:hAnsi="宋体" w:eastAsia="宋体" w:cs="Times New Roman"/>
          <w:color w:val="auto"/>
          <w:sz w:val="24"/>
        </w:rPr>
        <w:t>；</w:t>
      </w:r>
      <w:r>
        <w:rPr>
          <w:rFonts w:ascii="宋体" w:hAnsi="宋体" w:eastAsia="宋体" w:cs="Times New Roman"/>
          <w:color w:val="auto"/>
          <w:sz w:val="24"/>
        </w:rPr>
        <w:t>应配置不少于</w:t>
      </w:r>
      <w:r>
        <w:rPr>
          <w:rFonts w:hint="eastAsia" w:ascii="宋体" w:hAnsi="宋体" w:eastAsia="宋体" w:cs="Times New Roman"/>
          <w:color w:val="auto"/>
          <w:sz w:val="24"/>
        </w:rPr>
        <w:t>32G</w:t>
      </w:r>
      <w:r>
        <w:rPr>
          <w:rFonts w:ascii="宋体" w:hAnsi="宋体" w:eastAsia="宋体" w:cs="Times New Roman"/>
          <w:color w:val="auto"/>
          <w:sz w:val="24"/>
        </w:rPr>
        <w:t>内存</w:t>
      </w:r>
      <w:r>
        <w:rPr>
          <w:rFonts w:hint="eastAsia" w:ascii="宋体" w:hAnsi="宋体" w:eastAsia="宋体" w:cs="Times New Roman"/>
          <w:color w:val="auto"/>
          <w:sz w:val="24"/>
        </w:rPr>
        <w:t>；</w:t>
      </w:r>
      <w:r>
        <w:rPr>
          <w:rFonts w:ascii="宋体" w:hAnsi="宋体" w:eastAsia="宋体" w:cs="Times New Roman"/>
          <w:color w:val="auto"/>
          <w:sz w:val="24"/>
        </w:rPr>
        <w:t>应配置不少于</w:t>
      </w:r>
      <w:r>
        <w:rPr>
          <w:rFonts w:hint="eastAsia" w:ascii="宋体" w:hAnsi="宋体" w:eastAsia="宋体" w:cs="Times New Roman"/>
          <w:color w:val="auto"/>
          <w:sz w:val="24"/>
        </w:rPr>
        <w:t>256GB</w:t>
      </w:r>
      <w:r>
        <w:rPr>
          <w:rFonts w:ascii="宋体" w:hAnsi="宋体" w:eastAsia="宋体" w:cs="Times New Roman"/>
          <w:color w:val="auto"/>
          <w:sz w:val="24"/>
        </w:rPr>
        <w:t>存储</w:t>
      </w:r>
      <w:r>
        <w:rPr>
          <w:rFonts w:hint="eastAsia" w:ascii="宋体" w:hAnsi="宋体" w:eastAsia="宋体" w:cs="Times New Roman"/>
          <w:color w:val="auto"/>
          <w:sz w:val="24"/>
        </w:rPr>
        <w:t>；</w:t>
      </w:r>
      <w:r>
        <w:rPr>
          <w:rFonts w:ascii="宋体" w:hAnsi="宋体" w:eastAsia="宋体" w:cs="Times New Roman"/>
          <w:color w:val="auto"/>
          <w:sz w:val="24"/>
        </w:rPr>
        <w:t>应配置不少于2个千兆</w:t>
      </w:r>
      <w:r>
        <w:rPr>
          <w:rFonts w:hint="eastAsia" w:ascii="宋体" w:hAnsi="宋体" w:eastAsia="宋体" w:cs="Times New Roman"/>
          <w:color w:val="auto"/>
          <w:sz w:val="24"/>
        </w:rPr>
        <w:t>光</w:t>
      </w:r>
      <w:r>
        <w:rPr>
          <w:rFonts w:ascii="宋体" w:hAnsi="宋体" w:eastAsia="宋体" w:cs="Times New Roman"/>
          <w:color w:val="auto"/>
          <w:sz w:val="24"/>
        </w:rPr>
        <w:t>口</w:t>
      </w:r>
      <w:r>
        <w:rPr>
          <w:rFonts w:hint="eastAsia" w:ascii="宋体" w:hAnsi="宋体" w:eastAsia="宋体" w:cs="Times New Roman"/>
          <w:color w:val="auto"/>
          <w:sz w:val="24"/>
        </w:rPr>
        <w:t>，7个自适应千兆网口。</w:t>
      </w:r>
    </w:p>
    <w:p w14:paraId="3DF04DD5">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兼容性能指标：</w:t>
      </w:r>
    </w:p>
    <w:p w14:paraId="56BCBFDC">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可与长宁分局公安视频传输网内已部署的新一代视频监控联网系统进行无缝对接。（提供无缝对接承诺函，格式自拟）</w:t>
      </w:r>
    </w:p>
    <w:p w14:paraId="08A0EB6A">
      <w:pPr>
        <w:widowControl/>
        <w:numPr>
          <w:ilvl w:val="0"/>
          <w:numId w:val="3"/>
        </w:numPr>
        <w:spacing w:line="360" w:lineRule="auto"/>
        <w:ind w:left="425" w:hanging="425"/>
        <w:jc w:val="left"/>
        <w:rPr>
          <w:rFonts w:hint="eastAsia" w:ascii="宋体" w:hAnsi="宋体" w:eastAsia="宋体" w:cs="Times New Roman"/>
          <w:b/>
          <w:bCs/>
          <w:color w:val="auto"/>
          <w:sz w:val="24"/>
        </w:rPr>
      </w:pPr>
      <w:r>
        <w:rPr>
          <w:rFonts w:ascii="宋体" w:hAnsi="宋体" w:eastAsia="宋体" w:cs="Times New Roman"/>
          <w:b/>
          <w:bCs/>
          <w:color w:val="auto"/>
          <w:sz w:val="24"/>
        </w:rPr>
        <w:t>视频联网汇聚单元</w:t>
      </w:r>
    </w:p>
    <w:p w14:paraId="233C5AC6">
      <w:pPr>
        <w:widowControl/>
        <w:spacing w:line="360" w:lineRule="auto"/>
        <w:ind w:left="420" w:leftChars="200"/>
        <w:jc w:val="left"/>
        <w:rPr>
          <w:rFonts w:hint="eastAsia" w:ascii="宋体" w:hAnsi="宋体" w:eastAsia="宋体" w:cs="Times New Roman"/>
          <w:color w:val="auto"/>
          <w:sz w:val="24"/>
        </w:rPr>
      </w:pPr>
      <w:r>
        <w:rPr>
          <w:rFonts w:hint="eastAsia" w:ascii="宋体" w:hAnsi="宋体" w:eastAsia="宋体" w:cs="Times New Roman"/>
          <w:b/>
          <w:bCs/>
          <w:color w:val="auto"/>
          <w:sz w:val="24"/>
        </w:rPr>
        <w:t>设备功能指标：</w:t>
      </w:r>
    </w:p>
    <w:p w14:paraId="5548C0BC">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设备应支持视频通用标准协议（GB/T 28181）与外域平台互联互通</w:t>
      </w:r>
      <w:r>
        <w:rPr>
          <w:rFonts w:hint="eastAsia" w:ascii="宋体" w:hAnsi="宋体" w:eastAsia="宋体" w:cs="Times New Roman"/>
          <w:color w:val="auto"/>
          <w:sz w:val="24"/>
        </w:rPr>
        <w:t>；</w:t>
      </w:r>
    </w:p>
    <w:p w14:paraId="2FF1D2A1">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设备应支持从下级平台级联接入点位资源并推送给视频联网系统关系单元</w:t>
      </w:r>
      <w:r>
        <w:rPr>
          <w:rFonts w:hint="eastAsia" w:ascii="宋体" w:hAnsi="宋体" w:eastAsia="宋体" w:cs="Times New Roman"/>
          <w:color w:val="auto"/>
          <w:sz w:val="24"/>
        </w:rPr>
        <w:t>；</w:t>
      </w:r>
    </w:p>
    <w:p w14:paraId="0E1635BD">
      <w:pPr>
        <w:widowControl/>
        <w:spacing w:line="360" w:lineRule="auto"/>
        <w:ind w:firstLine="480" w:firstLineChars="200"/>
        <w:jc w:val="left"/>
        <w:rPr>
          <w:rFonts w:hint="eastAsia" w:ascii="宋体" w:hAnsi="宋体" w:eastAsia="宋体" w:cs="Times New Roman"/>
          <w:color w:val="auto"/>
          <w:sz w:val="24"/>
          <w:lang w:eastAsia="zh-CN"/>
        </w:rPr>
      </w:pPr>
      <w:r>
        <w:rPr>
          <w:rFonts w:hint="eastAsia" w:ascii="宋体" w:hAnsi="宋体" w:eastAsia="宋体" w:cs="Times New Roman"/>
          <w:color w:val="auto"/>
          <w:sz w:val="24"/>
        </w:rPr>
        <w:t>▲设备应支持不少于50万路视频监控资源的接入；（</w:t>
      </w:r>
      <w:r>
        <w:rPr>
          <w:rFonts w:hint="eastAsia" w:ascii="宋体" w:hAnsi="宋体" w:eastAsia="宋体" w:cs="Times New Roman"/>
          <w:color w:val="auto"/>
          <w:sz w:val="24"/>
          <w:lang w:val="en-US" w:eastAsia="zh-CN"/>
        </w:rPr>
        <w:t>需</w:t>
      </w:r>
      <w:r>
        <w:rPr>
          <w:rFonts w:hint="eastAsia" w:ascii="宋体" w:hAnsi="宋体" w:eastAsia="宋体" w:cs="Times New Roman"/>
          <w:color w:val="auto"/>
          <w:sz w:val="24"/>
        </w:rPr>
        <w:t>提供</w:t>
      </w:r>
      <w:r>
        <w:rPr>
          <w:rFonts w:hint="eastAsia" w:ascii="宋体" w:hAnsi="宋体" w:eastAsia="宋体" w:cs="Times New Roman"/>
          <w:color w:val="auto"/>
          <w:sz w:val="24"/>
          <w:lang w:val="en-US" w:eastAsia="zh-CN"/>
        </w:rPr>
        <w:t>第三方</w:t>
      </w:r>
      <w:r>
        <w:rPr>
          <w:rFonts w:hint="eastAsia" w:ascii="宋体" w:hAnsi="宋体" w:eastAsia="宋体" w:cs="Times New Roman"/>
          <w:color w:val="auto"/>
          <w:sz w:val="24"/>
        </w:rPr>
        <w:t>检测报告）</w:t>
      </w:r>
      <w:r>
        <w:rPr>
          <w:rFonts w:hint="eastAsia" w:ascii="宋体" w:hAnsi="宋体" w:eastAsia="宋体" w:cs="Times New Roman"/>
          <w:color w:val="auto"/>
          <w:sz w:val="24"/>
          <w:lang w:eastAsia="zh-CN"/>
        </w:rPr>
        <w:t>。</w:t>
      </w:r>
    </w:p>
    <w:p w14:paraId="7EA22BF7">
      <w:pPr>
        <w:widowControl/>
        <w:spacing w:line="360" w:lineRule="auto"/>
        <w:ind w:firstLine="482" w:firstLineChars="200"/>
        <w:jc w:val="left"/>
        <w:rPr>
          <w:rFonts w:hint="eastAsia" w:ascii="宋体" w:hAnsi="宋体" w:eastAsia="宋体" w:cs="Times New Roman"/>
          <w:color w:val="auto"/>
          <w:sz w:val="24"/>
        </w:rPr>
      </w:pPr>
      <w:r>
        <w:rPr>
          <w:rFonts w:hint="eastAsia" w:ascii="宋体" w:hAnsi="宋体" w:eastAsia="宋体" w:cs="Times New Roman"/>
          <w:b/>
          <w:bCs/>
          <w:color w:val="auto"/>
          <w:sz w:val="24"/>
        </w:rPr>
        <w:t>设备性能指标：</w:t>
      </w:r>
    </w:p>
    <w:p w14:paraId="78B3BE79">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应配置</w:t>
      </w:r>
      <w:r>
        <w:rPr>
          <w:rFonts w:hint="eastAsia" w:ascii="宋体" w:hAnsi="宋体" w:eastAsia="宋体" w:cs="Times New Roman"/>
          <w:color w:val="auto"/>
          <w:sz w:val="24"/>
        </w:rPr>
        <w:t>不少于</w:t>
      </w:r>
      <w:r>
        <w:rPr>
          <w:rFonts w:ascii="宋体" w:hAnsi="宋体" w:eastAsia="宋体" w:cs="Times New Roman"/>
          <w:color w:val="auto"/>
          <w:sz w:val="24"/>
        </w:rPr>
        <w:t>2颗高性能处理单元</w:t>
      </w:r>
      <w:r>
        <w:rPr>
          <w:rFonts w:hint="eastAsia" w:ascii="宋体" w:hAnsi="宋体" w:eastAsia="宋体" w:cs="Times New Roman"/>
          <w:color w:val="auto"/>
          <w:sz w:val="24"/>
        </w:rPr>
        <w:t>；</w:t>
      </w:r>
      <w:r>
        <w:rPr>
          <w:rFonts w:ascii="宋体" w:hAnsi="宋体" w:eastAsia="宋体" w:cs="Times New Roman"/>
          <w:color w:val="auto"/>
          <w:sz w:val="24"/>
        </w:rPr>
        <w:t>应配置不少于128G内存</w:t>
      </w:r>
      <w:r>
        <w:rPr>
          <w:rFonts w:hint="eastAsia" w:ascii="宋体" w:hAnsi="宋体" w:eastAsia="宋体" w:cs="Times New Roman"/>
          <w:color w:val="auto"/>
          <w:sz w:val="24"/>
        </w:rPr>
        <w:t>；</w:t>
      </w:r>
      <w:r>
        <w:rPr>
          <w:rFonts w:ascii="宋体" w:hAnsi="宋体" w:eastAsia="宋体" w:cs="Times New Roman"/>
          <w:color w:val="auto"/>
          <w:sz w:val="24"/>
        </w:rPr>
        <w:t>应配置不少于8T存储</w:t>
      </w:r>
      <w:r>
        <w:rPr>
          <w:rFonts w:hint="eastAsia" w:ascii="宋体" w:hAnsi="宋体" w:eastAsia="宋体" w:cs="Times New Roman"/>
          <w:color w:val="auto"/>
          <w:sz w:val="24"/>
        </w:rPr>
        <w:t>；</w:t>
      </w:r>
      <w:r>
        <w:rPr>
          <w:rFonts w:ascii="宋体" w:hAnsi="宋体" w:eastAsia="宋体" w:cs="Times New Roman"/>
          <w:color w:val="auto"/>
          <w:sz w:val="24"/>
        </w:rPr>
        <w:t>应配置不少于2个千兆网口、2个万兆网口</w:t>
      </w:r>
      <w:r>
        <w:rPr>
          <w:rFonts w:hint="eastAsia" w:ascii="宋体" w:hAnsi="宋体" w:eastAsia="宋体" w:cs="Times New Roman"/>
          <w:color w:val="auto"/>
          <w:sz w:val="24"/>
        </w:rPr>
        <w:t>。</w:t>
      </w:r>
    </w:p>
    <w:p w14:paraId="3DDB20CB">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（二）公安信息网侧设备功能性能指标需求</w:t>
      </w:r>
    </w:p>
    <w:p w14:paraId="728719C0">
      <w:pPr>
        <w:widowControl/>
        <w:numPr>
          <w:ilvl w:val="0"/>
          <w:numId w:val="4"/>
        </w:numPr>
        <w:spacing w:line="360" w:lineRule="auto"/>
        <w:ind w:left="425" w:hanging="425"/>
        <w:jc w:val="left"/>
        <w:rPr>
          <w:rFonts w:hint="eastAsia" w:ascii="宋体" w:hAnsi="宋体" w:eastAsia="宋体" w:cs="Times New Roman"/>
          <w:b/>
          <w:bCs/>
          <w:color w:val="auto"/>
          <w:sz w:val="24"/>
        </w:rPr>
      </w:pPr>
      <w:r>
        <w:rPr>
          <w:rFonts w:ascii="宋体" w:hAnsi="宋体" w:eastAsia="宋体" w:cs="Times New Roman"/>
          <w:b/>
          <w:bCs/>
          <w:color w:val="auto"/>
          <w:sz w:val="24"/>
        </w:rPr>
        <w:t>视频联网系统管理单元</w:t>
      </w:r>
    </w:p>
    <w:p w14:paraId="5A82E5B1">
      <w:pPr>
        <w:widowControl/>
        <w:spacing w:line="360" w:lineRule="auto"/>
        <w:ind w:left="420" w:leftChars="200"/>
        <w:jc w:val="left"/>
        <w:rPr>
          <w:rFonts w:hint="eastAsia" w:ascii="宋体" w:hAnsi="宋体" w:eastAsia="宋体" w:cs="Times New Roman"/>
          <w:color w:val="auto"/>
          <w:sz w:val="24"/>
        </w:rPr>
      </w:pPr>
      <w:r>
        <w:rPr>
          <w:rFonts w:hint="eastAsia" w:ascii="宋体" w:hAnsi="宋体" w:eastAsia="宋体" w:cs="Times New Roman"/>
          <w:b/>
          <w:bCs/>
          <w:color w:val="auto"/>
          <w:sz w:val="24"/>
        </w:rPr>
        <w:t>设备功能指标：</w:t>
      </w:r>
    </w:p>
    <w:p w14:paraId="5A9BAF03">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支持设备统一接入管理，支持100万路视频点位资源管理；</w:t>
      </w:r>
    </w:p>
    <w:p w14:paraId="4FF1ADD9">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提供平台接入服务，支持SDK和RTSP等协议，支持相机、NVR、编码器等视频图像设备的接入和管理，实现跨区域、跨机构的视频联网和管理支持GB/T 28181-2022协议，支持对外赋能；</w:t>
      </w:r>
    </w:p>
    <w:p w14:paraId="4E00195C">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支持10万路GB/T 28181设备通道注册；</w:t>
      </w:r>
    </w:p>
    <w:p w14:paraId="11C2978D">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支持用户管理权限管理、部门管理、门户管理；</w:t>
      </w:r>
    </w:p>
    <w:p w14:paraId="5BCB0DD8">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支持实时视频、录像回放、云台控制、权限控制等功能，支持高清和标清资源统一在配置中心进行管理；</w:t>
      </w:r>
    </w:p>
    <w:p w14:paraId="4995E2FA">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支持热备，支持平台组件高可用；</w:t>
      </w:r>
    </w:p>
    <w:p w14:paraId="3E759CD0">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▲应支持H.264、H.265、SVAC编码格式的视频码流转发，并支持300路1920×1080高清视频码流并发，支持信令与视频码流负载均衡</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需</w:t>
      </w:r>
      <w:r>
        <w:rPr>
          <w:rFonts w:hint="eastAsia" w:ascii="宋体" w:hAnsi="宋体" w:eastAsia="宋体" w:cs="Times New Roman"/>
          <w:color w:val="auto"/>
          <w:sz w:val="24"/>
        </w:rPr>
        <w:t>提供</w:t>
      </w:r>
      <w:r>
        <w:rPr>
          <w:rFonts w:hint="eastAsia" w:ascii="宋体" w:hAnsi="宋体" w:eastAsia="宋体" w:cs="Times New Roman"/>
          <w:color w:val="auto"/>
          <w:sz w:val="24"/>
          <w:lang w:val="en-US" w:eastAsia="zh-CN"/>
        </w:rPr>
        <w:t>第三方</w:t>
      </w:r>
      <w:r>
        <w:rPr>
          <w:rFonts w:hint="eastAsia" w:ascii="宋体" w:hAnsi="宋体" w:eastAsia="宋体" w:cs="Times New Roman"/>
          <w:color w:val="auto"/>
          <w:sz w:val="24"/>
        </w:rPr>
        <w:t>检测报告）</w:t>
      </w:r>
      <w:r>
        <w:rPr>
          <w:rFonts w:ascii="宋体" w:hAnsi="宋体" w:eastAsia="宋体" w:cs="Times New Roman"/>
          <w:color w:val="auto"/>
          <w:sz w:val="24"/>
        </w:rPr>
        <w:t>。</w:t>
      </w:r>
    </w:p>
    <w:p w14:paraId="668E902F">
      <w:pPr>
        <w:widowControl/>
        <w:spacing w:line="360" w:lineRule="auto"/>
        <w:ind w:firstLine="482" w:firstLineChars="200"/>
        <w:jc w:val="left"/>
        <w:rPr>
          <w:rFonts w:hint="eastAsia" w:ascii="宋体" w:hAnsi="宋体" w:eastAsia="宋体" w:cs="Times New Roman"/>
          <w:color w:val="auto"/>
          <w:sz w:val="24"/>
        </w:rPr>
      </w:pPr>
      <w:r>
        <w:rPr>
          <w:rFonts w:hint="eastAsia" w:ascii="宋体" w:hAnsi="宋体" w:eastAsia="宋体" w:cs="Times New Roman"/>
          <w:b/>
          <w:bCs/>
          <w:color w:val="auto"/>
          <w:sz w:val="24"/>
        </w:rPr>
        <w:t>设备性能指标：</w:t>
      </w:r>
    </w:p>
    <w:p w14:paraId="457BFA8D">
      <w:pPr>
        <w:widowControl/>
        <w:spacing w:line="360" w:lineRule="auto"/>
        <w:ind w:firstLine="480" w:firstLineChars="200"/>
        <w:jc w:val="left"/>
        <w:rPr>
          <w:rFonts w:ascii="宋体" w:hAnsi="宋体" w:eastAsia="宋体" w:cs="Times New Roman"/>
          <w:color w:val="auto"/>
          <w:sz w:val="24"/>
        </w:rPr>
      </w:pPr>
      <w:r>
        <w:rPr>
          <w:rFonts w:hint="eastAsia" w:ascii="宋体" w:hAnsi="宋体" w:eastAsia="宋体" w:cs="Times New Roman"/>
          <w:color w:val="auto"/>
          <w:sz w:val="24"/>
        </w:rPr>
        <w:t>应配置不少于</w:t>
      </w:r>
      <w:r>
        <w:rPr>
          <w:rFonts w:ascii="宋体" w:hAnsi="宋体" w:eastAsia="宋体" w:cs="Times New Roman"/>
          <w:color w:val="auto"/>
          <w:sz w:val="24"/>
        </w:rPr>
        <w:t>2颗高性能处理器；</w:t>
      </w:r>
      <w:r>
        <w:rPr>
          <w:rFonts w:hint="eastAsia" w:ascii="宋体" w:hAnsi="宋体" w:eastAsia="宋体" w:cs="Times New Roman"/>
          <w:color w:val="auto"/>
          <w:sz w:val="24"/>
        </w:rPr>
        <w:t>应配置不少于1</w:t>
      </w:r>
      <w:r>
        <w:rPr>
          <w:rFonts w:ascii="宋体" w:hAnsi="宋体" w:eastAsia="宋体" w:cs="Times New Roman"/>
          <w:color w:val="auto"/>
          <w:sz w:val="24"/>
        </w:rPr>
        <w:t>28GB</w:t>
      </w:r>
      <w:r>
        <w:rPr>
          <w:rFonts w:hint="eastAsia" w:ascii="宋体" w:hAnsi="宋体" w:eastAsia="宋体" w:cs="Times New Roman"/>
          <w:color w:val="auto"/>
          <w:sz w:val="24"/>
        </w:rPr>
        <w:t>内存</w:t>
      </w:r>
      <w:r>
        <w:rPr>
          <w:rFonts w:ascii="宋体" w:hAnsi="宋体" w:eastAsia="宋体" w:cs="Times New Roman"/>
          <w:color w:val="auto"/>
          <w:sz w:val="24"/>
        </w:rPr>
        <w:t>；</w:t>
      </w:r>
      <w:r>
        <w:rPr>
          <w:rFonts w:hint="eastAsia" w:ascii="宋体" w:hAnsi="宋体" w:eastAsia="宋体" w:cs="Times New Roman"/>
          <w:color w:val="auto"/>
          <w:sz w:val="24"/>
        </w:rPr>
        <w:t>应配置</w:t>
      </w:r>
      <w:r>
        <w:rPr>
          <w:rFonts w:ascii="宋体" w:hAnsi="宋体" w:eastAsia="宋体" w:cs="Times New Roman"/>
          <w:color w:val="auto"/>
          <w:sz w:val="24"/>
        </w:rPr>
        <w:t>不低于2块480GB SSD，不低于12TB HDD。</w:t>
      </w:r>
    </w:p>
    <w:p w14:paraId="4853C17B">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兼容性能指标：</w:t>
      </w:r>
    </w:p>
    <w:p w14:paraId="6E5EBEC1">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可与长宁分局公安信息网内已部署的新一代视频监控联网平台进行无缝对接。（提供无缝对接承诺函，格式自拟）</w:t>
      </w:r>
    </w:p>
    <w:p w14:paraId="47E197BB">
      <w:pPr>
        <w:widowControl/>
        <w:numPr>
          <w:ilvl w:val="0"/>
          <w:numId w:val="4"/>
        </w:numPr>
        <w:spacing w:line="360" w:lineRule="auto"/>
        <w:ind w:left="425" w:hanging="425"/>
        <w:jc w:val="left"/>
        <w:rPr>
          <w:rFonts w:hint="eastAsia" w:ascii="宋体" w:hAnsi="宋体" w:eastAsia="宋体" w:cs="Times New Roman"/>
          <w:b/>
          <w:bCs/>
          <w:color w:val="auto"/>
          <w:sz w:val="24"/>
        </w:rPr>
      </w:pPr>
      <w:r>
        <w:rPr>
          <w:rFonts w:ascii="宋体" w:hAnsi="宋体" w:eastAsia="宋体" w:cs="Times New Roman"/>
          <w:b/>
          <w:bCs/>
          <w:color w:val="auto"/>
          <w:sz w:val="24"/>
        </w:rPr>
        <w:t>视频联网转发网关</w:t>
      </w:r>
    </w:p>
    <w:p w14:paraId="569BE31A">
      <w:pPr>
        <w:widowControl/>
        <w:spacing w:line="360" w:lineRule="auto"/>
        <w:ind w:left="420" w:leftChars="200"/>
        <w:jc w:val="left"/>
        <w:rPr>
          <w:rFonts w:hint="eastAsia" w:ascii="宋体" w:hAnsi="宋体" w:eastAsia="宋体" w:cs="Times New Roman"/>
          <w:color w:val="auto"/>
          <w:sz w:val="24"/>
        </w:rPr>
      </w:pPr>
      <w:r>
        <w:rPr>
          <w:rFonts w:hint="eastAsia" w:ascii="宋体" w:hAnsi="宋体" w:eastAsia="宋体" w:cs="Times New Roman"/>
          <w:b/>
          <w:bCs/>
          <w:color w:val="auto"/>
          <w:sz w:val="24"/>
        </w:rPr>
        <w:t>设备功能指标：</w:t>
      </w:r>
    </w:p>
    <w:p w14:paraId="4E068DB8">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支持连接视频图像设备或对接视频联网平台，汇聚前端视频，共享至客户端、解码设备，上级联网平台等多类目标；</w:t>
      </w:r>
    </w:p>
    <w:p w14:paraId="1F973ED4">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支持负载均衡和集群管理(配置、停止、启动)；</w:t>
      </w:r>
    </w:p>
    <w:p w14:paraId="66656F65">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支持750 路1080P高清视频码流并发转发；</w:t>
      </w:r>
    </w:p>
    <w:p w14:paraId="5D24EAE5">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支持视频复制分发，支持同一视频流分发给不同的用户；</w:t>
      </w:r>
    </w:p>
    <w:p w14:paraId="75DD1A17">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设备应</w:t>
      </w:r>
      <w:r>
        <w:rPr>
          <w:rFonts w:ascii="宋体" w:hAnsi="宋体" w:eastAsia="宋体" w:cs="Times New Roman"/>
          <w:color w:val="auto"/>
          <w:sz w:val="24"/>
        </w:rPr>
        <w:t>支持控制流媒体并发数。</w:t>
      </w:r>
    </w:p>
    <w:p w14:paraId="2B401279">
      <w:pPr>
        <w:widowControl/>
        <w:spacing w:line="360" w:lineRule="auto"/>
        <w:ind w:firstLine="480" w:firstLineChars="200"/>
        <w:jc w:val="left"/>
        <w:rPr>
          <w:rFonts w:hint="eastAsia" w:ascii="宋体" w:hAnsi="宋体" w:eastAsia="宋体" w:cs="Times New Roman"/>
          <w:color w:val="auto"/>
          <w:sz w:val="24"/>
        </w:rPr>
      </w:pPr>
      <w:r>
        <w:rPr>
          <w:rFonts w:ascii="宋体" w:hAnsi="宋体" w:eastAsia="宋体" w:cs="Times New Roman"/>
          <w:color w:val="auto"/>
          <w:sz w:val="24"/>
        </w:rPr>
        <w:t>▲</w:t>
      </w:r>
      <w:r>
        <w:rPr>
          <w:rFonts w:hint="eastAsia" w:ascii="宋体" w:hAnsi="宋体" w:eastAsia="宋体" w:cs="Times New Roman"/>
          <w:color w:val="auto"/>
          <w:sz w:val="24"/>
        </w:rPr>
        <w:t>设备</w:t>
      </w:r>
      <w:r>
        <w:rPr>
          <w:rFonts w:ascii="宋体" w:hAnsi="宋体" w:eastAsia="宋体" w:cs="Times New Roman"/>
          <w:color w:val="auto"/>
          <w:sz w:val="24"/>
        </w:rPr>
        <w:t>应支持对接入视频流进行协议转换，支持FLV、HLS、RTMP、RTSP等多种协议流转换输出</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需</w:t>
      </w:r>
      <w:r>
        <w:rPr>
          <w:rFonts w:hint="eastAsia" w:ascii="宋体" w:hAnsi="宋体" w:eastAsia="宋体" w:cs="Times New Roman"/>
          <w:color w:val="auto"/>
          <w:sz w:val="24"/>
        </w:rPr>
        <w:t>提供</w:t>
      </w:r>
      <w:r>
        <w:rPr>
          <w:rFonts w:hint="eastAsia" w:ascii="宋体" w:hAnsi="宋体" w:eastAsia="宋体" w:cs="Times New Roman"/>
          <w:color w:val="auto"/>
          <w:sz w:val="24"/>
          <w:lang w:val="en-US" w:eastAsia="zh-CN"/>
        </w:rPr>
        <w:t>第三方</w:t>
      </w:r>
      <w:r>
        <w:rPr>
          <w:rFonts w:hint="eastAsia" w:ascii="宋体" w:hAnsi="宋体" w:eastAsia="宋体" w:cs="Times New Roman"/>
          <w:color w:val="auto"/>
          <w:sz w:val="24"/>
        </w:rPr>
        <w:t>检测报告）</w:t>
      </w:r>
      <w:r>
        <w:rPr>
          <w:rFonts w:ascii="宋体" w:hAnsi="宋体" w:eastAsia="宋体" w:cs="Times New Roman"/>
          <w:color w:val="auto"/>
          <w:sz w:val="24"/>
        </w:rPr>
        <w:t>。</w:t>
      </w:r>
    </w:p>
    <w:p w14:paraId="2CA6E170">
      <w:pPr>
        <w:widowControl/>
        <w:spacing w:line="360" w:lineRule="auto"/>
        <w:ind w:firstLine="482" w:firstLineChars="200"/>
        <w:jc w:val="left"/>
        <w:rPr>
          <w:rFonts w:hint="eastAsia" w:ascii="宋体" w:hAnsi="宋体" w:eastAsia="宋体" w:cs="Times New Roman"/>
          <w:color w:val="auto"/>
          <w:sz w:val="24"/>
        </w:rPr>
      </w:pPr>
      <w:r>
        <w:rPr>
          <w:rFonts w:hint="eastAsia" w:ascii="宋体" w:hAnsi="宋体" w:eastAsia="宋体" w:cs="Times New Roman"/>
          <w:b/>
          <w:bCs/>
          <w:color w:val="auto"/>
          <w:sz w:val="24"/>
        </w:rPr>
        <w:t>设备性能指标：</w:t>
      </w:r>
    </w:p>
    <w:p w14:paraId="754165D6">
      <w:pPr>
        <w:widowControl/>
        <w:spacing w:line="360" w:lineRule="auto"/>
        <w:ind w:firstLine="480" w:firstLineChars="200"/>
        <w:jc w:val="left"/>
        <w:rPr>
          <w:rFonts w:ascii="宋体" w:hAnsi="宋体" w:eastAsia="宋体" w:cs="Times New Roman"/>
          <w:color w:val="auto"/>
          <w:sz w:val="24"/>
        </w:rPr>
      </w:pPr>
      <w:r>
        <w:rPr>
          <w:rFonts w:hint="eastAsia" w:ascii="宋体" w:hAnsi="宋体" w:eastAsia="宋体" w:cs="Times New Roman"/>
          <w:color w:val="auto"/>
          <w:sz w:val="24"/>
        </w:rPr>
        <w:t>应配置不少于</w:t>
      </w:r>
      <w:r>
        <w:rPr>
          <w:rFonts w:ascii="宋体" w:hAnsi="宋体" w:eastAsia="宋体" w:cs="Times New Roman"/>
          <w:color w:val="auto"/>
          <w:sz w:val="24"/>
        </w:rPr>
        <w:t>2颗高性能处理器；</w:t>
      </w:r>
      <w:r>
        <w:rPr>
          <w:rFonts w:hint="eastAsia" w:ascii="宋体" w:hAnsi="宋体" w:eastAsia="宋体" w:cs="Times New Roman"/>
          <w:color w:val="auto"/>
          <w:sz w:val="24"/>
        </w:rPr>
        <w:t>应配置不少于</w:t>
      </w:r>
      <w:r>
        <w:rPr>
          <w:rFonts w:ascii="宋体" w:hAnsi="宋体" w:eastAsia="宋体" w:cs="Times New Roman"/>
          <w:color w:val="auto"/>
          <w:sz w:val="24"/>
        </w:rPr>
        <w:t>128GB</w:t>
      </w:r>
      <w:r>
        <w:rPr>
          <w:rFonts w:hint="eastAsia" w:ascii="宋体" w:hAnsi="宋体" w:eastAsia="宋体" w:cs="Times New Roman"/>
          <w:color w:val="auto"/>
          <w:sz w:val="24"/>
        </w:rPr>
        <w:t>内存</w:t>
      </w:r>
      <w:r>
        <w:rPr>
          <w:rFonts w:ascii="宋体" w:hAnsi="宋体" w:eastAsia="宋体" w:cs="Times New Roman"/>
          <w:color w:val="auto"/>
          <w:sz w:val="24"/>
        </w:rPr>
        <w:t>；</w:t>
      </w:r>
      <w:r>
        <w:rPr>
          <w:rFonts w:hint="eastAsia" w:ascii="宋体" w:hAnsi="宋体" w:eastAsia="宋体" w:cs="Times New Roman"/>
          <w:color w:val="auto"/>
          <w:sz w:val="24"/>
        </w:rPr>
        <w:t>应配置</w:t>
      </w:r>
      <w:r>
        <w:rPr>
          <w:rFonts w:ascii="宋体" w:hAnsi="宋体" w:eastAsia="宋体" w:cs="Times New Roman"/>
          <w:color w:val="auto"/>
          <w:sz w:val="24"/>
        </w:rPr>
        <w:t>不低于2块480GB SSD，不低于12TB HDD；</w:t>
      </w:r>
      <w:r>
        <w:rPr>
          <w:rFonts w:hint="eastAsia" w:ascii="宋体" w:hAnsi="宋体" w:eastAsia="宋体" w:cs="Times New Roman"/>
          <w:color w:val="auto"/>
          <w:sz w:val="24"/>
        </w:rPr>
        <w:t>应配置不少于</w:t>
      </w:r>
      <w:r>
        <w:rPr>
          <w:rFonts w:ascii="宋体" w:hAnsi="宋体" w:eastAsia="宋体" w:cs="Times New Roman"/>
          <w:color w:val="auto"/>
          <w:sz w:val="24"/>
        </w:rPr>
        <w:t>1块RAID卡，(支持RAID 0/1/10/5)；</w:t>
      </w:r>
      <w:r>
        <w:rPr>
          <w:rFonts w:hint="eastAsia" w:ascii="宋体" w:hAnsi="宋体" w:eastAsia="宋体" w:cs="Times New Roman"/>
          <w:color w:val="auto"/>
          <w:sz w:val="24"/>
        </w:rPr>
        <w:t>应配置不少于</w:t>
      </w:r>
      <w:r>
        <w:rPr>
          <w:rFonts w:hint="eastAsia" w:ascii="宋体" w:hAnsi="宋体" w:eastAsia="宋体" w:cs="Times New Roman"/>
          <w:color w:val="auto"/>
          <w:sz w:val="24"/>
          <w:lang w:val="en-US" w:eastAsia="zh-CN"/>
        </w:rPr>
        <w:t>2</w:t>
      </w:r>
      <w:r>
        <w:rPr>
          <w:rFonts w:ascii="宋体" w:hAnsi="宋体" w:eastAsia="宋体" w:cs="Times New Roman"/>
          <w:color w:val="auto"/>
          <w:sz w:val="24"/>
        </w:rPr>
        <w:t>个万兆光口。</w:t>
      </w:r>
    </w:p>
    <w:p w14:paraId="12DD3C4F">
      <w:pPr>
        <w:widowControl/>
        <w:spacing w:line="360" w:lineRule="auto"/>
        <w:ind w:firstLine="482" w:firstLineChars="200"/>
        <w:jc w:val="left"/>
        <w:rPr>
          <w:rFonts w:hint="eastAsia" w:ascii="宋体" w:hAnsi="宋体" w:eastAsia="宋体" w:cs="Times New Roman"/>
          <w:b/>
          <w:bCs/>
          <w:color w:val="auto"/>
          <w:sz w:val="24"/>
        </w:rPr>
      </w:pPr>
      <w:r>
        <w:rPr>
          <w:rFonts w:hint="eastAsia" w:ascii="宋体" w:hAnsi="宋体" w:eastAsia="宋体" w:cs="Times New Roman"/>
          <w:b/>
          <w:bCs/>
          <w:color w:val="auto"/>
          <w:sz w:val="24"/>
        </w:rPr>
        <w:t>兼容性能指标：</w:t>
      </w:r>
    </w:p>
    <w:p w14:paraId="4E9FCAD2">
      <w:pPr>
        <w:widowControl/>
        <w:spacing w:line="360" w:lineRule="auto"/>
        <w:ind w:firstLine="480" w:firstLineChars="200"/>
        <w:jc w:val="left"/>
        <w:rPr>
          <w:rFonts w:hint="eastAsia" w:ascii="宋体" w:hAnsi="宋体" w:eastAsia="宋体" w:cs="Times New Roman"/>
          <w:color w:val="auto"/>
          <w:sz w:val="24"/>
        </w:rPr>
      </w:pPr>
      <w:r>
        <w:rPr>
          <w:rFonts w:hint="eastAsia" w:ascii="宋体" w:hAnsi="宋体" w:eastAsia="宋体" w:cs="Times New Roman"/>
          <w:color w:val="auto"/>
          <w:sz w:val="24"/>
        </w:rPr>
        <w:t>可与长宁分局公安信息网内已部署的新一代视频监控联网平台进行无缝对接。（提供无缝对接承诺函，格式自拟）</w:t>
      </w:r>
    </w:p>
    <w:p w14:paraId="357CFC87">
      <w:pPr>
        <w:widowControl w:val="0"/>
        <w:numPr>
          <w:ilvl w:val="0"/>
          <w:numId w:val="1"/>
        </w:numPr>
        <w:tabs>
          <w:tab w:val="left" w:pos="426"/>
        </w:tabs>
        <w:spacing w:before="80" w:after="80" w:line="360" w:lineRule="auto"/>
        <w:ind w:left="0" w:firstLine="0" w:firstLineChars="0"/>
        <w:jc w:val="left"/>
        <w:outlineLvl w:val="0"/>
        <w:rPr>
          <w:rFonts w:hint="eastAsia" w:ascii="宋体" w:hAnsi="宋体" w:eastAsia="宋体" w:cs="Times New Roman"/>
          <w:b/>
          <w:color w:val="auto"/>
          <w:kern w:val="2"/>
          <w:sz w:val="28"/>
          <w:szCs w:val="22"/>
          <w:lang w:val="en-US" w:eastAsia="zh-CN" w:bidi="ar-SA"/>
        </w:rPr>
      </w:pPr>
      <w:bookmarkStart w:id="0" w:name="_Toc167116762"/>
      <w:bookmarkStart w:id="1" w:name="_Toc167116763"/>
      <w:r>
        <w:rPr>
          <w:rFonts w:hint="eastAsia" w:ascii="宋体" w:hAnsi="宋体" w:eastAsia="宋体" w:cs="Times New Roman"/>
          <w:b/>
          <w:color w:val="auto"/>
          <w:kern w:val="2"/>
          <w:sz w:val="28"/>
          <w:szCs w:val="22"/>
          <w:lang w:val="en-US" w:eastAsia="zh-CN" w:bidi="ar-SA"/>
        </w:rPr>
        <w:t>保密要求、知识产权、工作纪律要求</w:t>
      </w:r>
    </w:p>
    <w:p w14:paraId="77A8AB4C">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3.1  合同签订时，甲乙双方应签订保密协议，双方均有保密义务。</w:t>
      </w:r>
    </w:p>
    <w:p w14:paraId="4CFA8240">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3.2  保密期限由保密内容提供方确定，保密期限届满后，保密内容公开时，应书面征得保密内容提供方同意。</w:t>
      </w:r>
    </w:p>
    <w:p w14:paraId="6C608C92">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3.3  委托开发软件的知识产权归委托方所有。供应商交付使用的信息系统已享有知识产权的，使用方可在合同文件明确的范围内自主使用。信息系统中所有文档资料和数据、收集和储存的个人信息所有权均属于使用方，未经使用方允许不得访问、修改、披露、利用、转让、销毁。</w:t>
      </w:r>
    </w:p>
    <w:p w14:paraId="30C071CA">
      <w:pPr>
        <w:spacing w:line="360" w:lineRule="auto"/>
        <w:ind w:firstLine="482"/>
        <w:rPr>
          <w:rFonts w:hint="eastAsia" w:ascii="宋体" w:hAnsi="宋体" w:eastAsia="宋体" w:cs="宋体"/>
          <w:color w:val="auto"/>
          <w:kern w:val="0"/>
          <w:sz w:val="24"/>
        </w:rPr>
      </w:pPr>
      <w:bookmarkStart w:id="2" w:name="_Toc134435581"/>
      <w:bookmarkStart w:id="3" w:name="_Toc727073087"/>
      <w:r>
        <w:rPr>
          <w:rFonts w:hint="eastAsia" w:ascii="宋体" w:hAnsi="宋体" w:eastAsia="宋体" w:cs="宋体"/>
          <w:color w:val="auto"/>
          <w:kern w:val="0"/>
          <w:sz w:val="24"/>
        </w:rPr>
        <w:t>3.4</w:t>
      </w:r>
      <w:bookmarkEnd w:id="2"/>
      <w:bookmarkEnd w:id="3"/>
      <w:r>
        <w:rPr>
          <w:rFonts w:hint="eastAsia" w:ascii="宋体" w:hAnsi="宋体" w:eastAsia="宋体" w:cs="宋体"/>
          <w:color w:val="auto"/>
          <w:kern w:val="0"/>
          <w:sz w:val="24"/>
        </w:rPr>
        <w:t xml:space="preserve">  供应商应在建设工作期间保证参与项目的技术人员的相对固定，不得随意调换。如确有原因需要调换的，需提前一个月向业主方提出并备案，经业主方同意后方可调换。供应商应对技术人员调换的交接工作进行严格管理，确保数据不外泄、工作界面不留空白。</w:t>
      </w:r>
    </w:p>
    <w:p w14:paraId="0426418E">
      <w:pPr>
        <w:spacing w:line="360" w:lineRule="auto"/>
        <w:ind w:firstLine="482"/>
        <w:rPr>
          <w:rFonts w:hint="eastAsia" w:ascii="宋体" w:hAnsi="宋体" w:eastAsia="宋体" w:cs="宋体"/>
          <w:color w:val="auto"/>
          <w:kern w:val="0"/>
          <w:sz w:val="24"/>
        </w:rPr>
      </w:pPr>
      <w:bookmarkStart w:id="4" w:name="_Toc134435582"/>
      <w:bookmarkStart w:id="5" w:name="_Toc956178045"/>
      <w:r>
        <w:rPr>
          <w:rFonts w:hint="eastAsia" w:ascii="宋体" w:hAnsi="宋体" w:eastAsia="宋体" w:cs="宋体"/>
          <w:color w:val="auto"/>
          <w:kern w:val="0"/>
          <w:sz w:val="24"/>
        </w:rPr>
        <w:t xml:space="preserve">3.5  </w:t>
      </w:r>
      <w:bookmarkEnd w:id="4"/>
      <w:bookmarkEnd w:id="5"/>
      <w:r>
        <w:rPr>
          <w:rFonts w:hint="eastAsia" w:ascii="宋体" w:hAnsi="宋体" w:eastAsia="宋体" w:cs="宋体"/>
          <w:color w:val="auto"/>
          <w:kern w:val="0"/>
          <w:sz w:val="24"/>
        </w:rPr>
        <w:t>供应商应参加业主方组织项目负责人及相关技术人员进行安全保密教育，并记录学习情况。所有参与项目的技术人员均应参加学习并在学习记录上签字。</w:t>
      </w:r>
    </w:p>
    <w:p w14:paraId="17AAF332">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3.6  遵守以下相关条款：</w:t>
      </w:r>
    </w:p>
    <w:p w14:paraId="3BAD7D4A">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（场所管理）合作单位及其技术人员未经允许，不得擅自进入民警办公区域、业务机房等重要场所。</w:t>
      </w:r>
    </w:p>
    <w:p w14:paraId="56BD25C1">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（设备管理）合作单位及其技术人员未经允许，不得使用公安网计算机和涉密计算机单机，严禁将自己携带的计算机联入公安网络和可存储警务秘密（含）以上密级信息的各类计算机、复印机、速印机等设备。</w:t>
      </w:r>
    </w:p>
    <w:p w14:paraId="7F6526A5">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（禁止行为）合作单位及其技术人员获得民警授权使用指定的公安网计算机时，须由民警全程陪同，并严格遵守以下规定：</w:t>
      </w:r>
    </w:p>
    <w:p w14:paraId="7D081143">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（一）不得违反禁止“一机两用”的有关规定，不得擅自删除监控程序、逃避监控、扰乱上网注册工作。</w:t>
      </w:r>
    </w:p>
    <w:p w14:paraId="0A4698F7">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（二）不得使用民警的数字身份证书访问公安业务系统，如确需使用的，必须由民警亲自使用证书进行操作。</w:t>
      </w:r>
    </w:p>
    <w:p w14:paraId="4EC7FE8A">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（三）不得擅自使用自带的移动存储介质或擅自开设FTP、共享文件夹在公安网计算机上进行文件拷贝与传递。</w:t>
      </w:r>
    </w:p>
    <w:p w14:paraId="37F8780E">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（四）不得使用公安网计算机玩游戏、聊天或从事其它与本职工作无关的活动。</w:t>
      </w:r>
    </w:p>
    <w:p w14:paraId="07B32D91">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（五）不得浏览、访问与本职工作无关的公安信息网站（页），不得尝试登录或使用与本职工作无关的公安业务系统。</w:t>
      </w:r>
    </w:p>
    <w:p w14:paraId="63440E6C">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（六）严禁将公安网上发布的各类警务信息通过下载、打印等方式带出公安机关。</w:t>
      </w:r>
    </w:p>
    <w:p w14:paraId="4DC8F5E0">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（七）禁止使用点对点（P2P）文件共享类软件（如BitTorrent、BitComet、BitSpirit、eMule、eDonkey、Kazaa、WinMx、迅雷等软件）进行数据下载。</w:t>
      </w:r>
    </w:p>
    <w:p w14:paraId="30F2D42A">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（八）不得擅自对公安业务用计算机重新安装或加装操作系统，不得安装黑客类工具。</w:t>
      </w:r>
    </w:p>
    <w:p w14:paraId="5501373D">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（九）不得编制或故意传播破坏计算机功能、破坏信息数据的病毒，或者恶意攻击、删改各类信息网站和信息系统数据。</w:t>
      </w:r>
    </w:p>
    <w:p w14:paraId="310CA12A">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（十）不得有其它违反党纪、政纪、社会公德、职业道德的网上行为。</w:t>
      </w:r>
    </w:p>
    <w:p w14:paraId="308F7EC2">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（操作管理）合作单位及其技术人员不得使用远程拨号上公安网方式进行系统维护、软件开发、设备调试等工作，只允许在项目建设单位指定的区域内使用专用设备进行操作，并由公安民警全程陪同。</w:t>
      </w:r>
    </w:p>
    <w:p w14:paraId="06876EAA">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（保密责任）对于警务工作秘密（含）以上的事项，合作单位及其技术人员应当做到不该问的不问，不该说的不说，并且在知悉秘密事项的情况下自觉负有保密义务，不得以任何形式泄露给无关人员。</w:t>
      </w:r>
    </w:p>
    <w:p w14:paraId="6716C618">
      <w:pPr>
        <w:widowControl w:val="0"/>
        <w:numPr>
          <w:ilvl w:val="0"/>
          <w:numId w:val="1"/>
        </w:numPr>
        <w:tabs>
          <w:tab w:val="left" w:pos="426"/>
        </w:tabs>
        <w:spacing w:before="80" w:after="80" w:line="360" w:lineRule="auto"/>
        <w:ind w:left="0" w:firstLine="0" w:firstLineChars="0"/>
        <w:jc w:val="left"/>
        <w:outlineLvl w:val="0"/>
        <w:rPr>
          <w:rFonts w:hint="eastAsia" w:ascii="宋体" w:hAnsi="宋体" w:eastAsia="宋体" w:cs="Times New Roman"/>
          <w:b/>
          <w:color w:val="auto"/>
          <w:kern w:val="2"/>
          <w:sz w:val="28"/>
          <w:szCs w:val="22"/>
          <w:lang w:val="en-US" w:eastAsia="zh-CN" w:bidi="ar-SA"/>
        </w:rPr>
      </w:pPr>
      <w:r>
        <w:rPr>
          <w:rFonts w:hint="eastAsia" w:ascii="宋体" w:hAnsi="宋体" w:eastAsia="宋体" w:cs="Times New Roman"/>
          <w:b/>
          <w:color w:val="auto"/>
          <w:kern w:val="2"/>
          <w:sz w:val="28"/>
          <w:szCs w:val="22"/>
          <w:lang w:val="en-US" w:eastAsia="zh-CN" w:bidi="ar-SA"/>
        </w:rPr>
        <w:t>项目工期、人员、售后服务、培训、验收及质保要求</w:t>
      </w:r>
    </w:p>
    <w:p w14:paraId="633F9AE6">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本项目整体建设工期为6个月，含试运行期1个月。免费质保期为最终竣工验收日期起免费维保3年。</w:t>
      </w:r>
    </w:p>
    <w:p w14:paraId="2708AA67">
      <w:pPr>
        <w:numPr>
          <w:ilvl w:val="0"/>
          <w:numId w:val="5"/>
        </w:numPr>
        <w:spacing w:line="360" w:lineRule="auto"/>
        <w:ind w:left="0" w:leftChars="0" w:firstLine="0" w:firstLineChars="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投标人需有固定的经营场所、维护人员和故障报修电话，且能提供良好的技术支持。投标人应提供人员稳定、素质和技能水平良好的项目管理和运维服务团队，为本项目提供 7× 24小时应急抢修的服务响应。中标人在项目建设周期内安排1名专职项目经理（</w:t>
      </w:r>
      <w:r>
        <w:rPr>
          <w:rFonts w:hint="eastAsia" w:ascii="宋体" w:hAnsi="宋体" w:eastAsia="宋体" w:cs="宋体"/>
          <w:color w:val="auto"/>
          <w:kern w:val="0"/>
          <w:sz w:val="24"/>
          <w:lang w:eastAsia="zh-CN"/>
        </w:rPr>
        <w:t>须</w:t>
      </w:r>
      <w:r>
        <w:rPr>
          <w:rFonts w:hint="eastAsia" w:ascii="宋体" w:hAnsi="宋体" w:eastAsia="宋体" w:cs="宋体"/>
          <w:color w:val="auto"/>
          <w:kern w:val="0"/>
          <w:sz w:val="24"/>
          <w:lang w:val="en-US" w:eastAsia="zh-CN"/>
        </w:rPr>
        <w:t>具备</w:t>
      </w:r>
      <w:r>
        <w:rPr>
          <w:rFonts w:hint="default" w:ascii="宋体" w:hAnsi="宋体" w:eastAsia="宋体" w:cs="宋体"/>
          <w:color w:val="auto"/>
          <w:kern w:val="0"/>
          <w:sz w:val="24"/>
          <w:lang w:val="en-US"/>
        </w:rPr>
        <w:t>系统集成项目管理工程师或PMP</w:t>
      </w:r>
      <w:r>
        <w:rPr>
          <w:rFonts w:hint="eastAsia" w:ascii="宋体" w:hAnsi="宋体" w:eastAsia="宋体" w:cs="宋体"/>
          <w:color w:val="auto"/>
          <w:kern w:val="0"/>
          <w:sz w:val="24"/>
          <w:lang w:val="en-US" w:eastAsia="zh-CN"/>
        </w:rPr>
        <w:t>类项目管理</w:t>
      </w:r>
      <w:r>
        <w:rPr>
          <w:rFonts w:hint="eastAsia" w:ascii="宋体" w:hAnsi="宋体" w:eastAsia="宋体" w:cs="宋体"/>
          <w:color w:val="auto"/>
          <w:kern w:val="0"/>
          <w:sz w:val="24"/>
        </w:rPr>
        <w:t>证书）负责整个项目的过程管理和进度质量把控。项目经理组建的项目团队中相关技术、实施成员</w:t>
      </w:r>
      <w:r>
        <w:rPr>
          <w:rFonts w:hint="eastAsia" w:ascii="宋体" w:hAnsi="宋体" w:eastAsia="宋体" w:cs="宋体"/>
          <w:color w:val="auto"/>
          <w:kern w:val="0"/>
          <w:sz w:val="24"/>
          <w:lang w:eastAsia="zh-CN"/>
        </w:rPr>
        <w:t>须</w:t>
      </w:r>
      <w:r>
        <w:rPr>
          <w:rFonts w:hint="eastAsia" w:ascii="宋体" w:hAnsi="宋体" w:eastAsia="宋体" w:cs="宋体"/>
          <w:color w:val="auto"/>
          <w:kern w:val="0"/>
          <w:sz w:val="24"/>
          <w:lang w:val="en-US" w:eastAsia="zh-CN"/>
        </w:rPr>
        <w:t>具备运维、风险管理、集成类证书</w:t>
      </w:r>
      <w:r>
        <w:rPr>
          <w:rFonts w:hint="eastAsia" w:ascii="宋体" w:hAnsi="宋体" w:eastAsia="宋体" w:cs="宋体"/>
          <w:color w:val="auto"/>
          <w:kern w:val="0"/>
          <w:sz w:val="24"/>
        </w:rPr>
        <w:t>资格证书，</w:t>
      </w:r>
      <w:r>
        <w:rPr>
          <w:rFonts w:hint="eastAsia" w:ascii="宋体" w:hAnsi="宋体" w:eastAsia="宋体" w:cs="宋体"/>
          <w:color w:val="auto"/>
          <w:kern w:val="0"/>
          <w:sz w:val="24"/>
          <w:lang w:val="en-US" w:eastAsia="zh-CN"/>
        </w:rPr>
        <w:t>团队人员不少于5人，</w:t>
      </w:r>
      <w:r>
        <w:rPr>
          <w:rFonts w:hint="eastAsia" w:ascii="宋体" w:hAnsi="宋体" w:eastAsia="宋体" w:cs="宋体"/>
          <w:color w:val="auto"/>
          <w:kern w:val="0"/>
          <w:sz w:val="24"/>
        </w:rPr>
        <w:t>确保能高效顺利</w:t>
      </w:r>
      <w:r>
        <w:rPr>
          <w:rFonts w:hint="eastAsia" w:ascii="宋体" w:hAnsi="宋体" w:eastAsia="宋体" w:cs="宋体"/>
          <w:color w:val="auto"/>
          <w:kern w:val="0"/>
          <w:sz w:val="24"/>
          <w:lang w:eastAsia="zh-CN"/>
        </w:rPr>
        <w:t>地</w:t>
      </w:r>
      <w:r>
        <w:rPr>
          <w:rFonts w:hint="eastAsia" w:ascii="宋体" w:hAnsi="宋体" w:eastAsia="宋体" w:cs="宋体"/>
          <w:color w:val="auto"/>
          <w:kern w:val="0"/>
          <w:sz w:val="24"/>
        </w:rPr>
        <w:t>开展项目各项建设任务。</w:t>
      </w:r>
      <w:r>
        <w:rPr>
          <w:rFonts w:hint="eastAsia" w:ascii="宋体" w:hAnsi="宋体" w:eastAsia="宋体" w:cs="宋体"/>
          <w:color w:val="auto"/>
          <w:kern w:val="0"/>
          <w:sz w:val="24"/>
          <w:lang w:val="en-US" w:eastAsia="zh-CN"/>
        </w:rPr>
        <w:t xml:space="preserve">      </w:t>
      </w:r>
    </w:p>
    <w:p w14:paraId="68B30C95">
      <w:pPr>
        <w:numPr>
          <w:ilvl w:val="0"/>
          <w:numId w:val="5"/>
        </w:numPr>
        <w:spacing w:line="360" w:lineRule="auto"/>
        <w:ind w:left="0" w:leftChars="0" w:firstLine="0" w:firstLineChars="0"/>
        <w:rPr>
          <w:rFonts w:hint="eastAsia" w:ascii="宋体" w:hAnsi="宋体" w:eastAsia="宋体" w:cs="宋体"/>
          <w:color w:val="auto"/>
          <w:kern w:val="0"/>
          <w:sz w:val="24"/>
          <w:lang w:eastAsia="zh-CN"/>
        </w:rPr>
      </w:pPr>
      <w:r>
        <w:rPr>
          <w:rFonts w:hint="eastAsia" w:ascii="宋体" w:hAnsi="宋体" w:eastAsia="宋体" w:cs="宋体"/>
          <w:color w:val="auto"/>
          <w:kern w:val="0"/>
          <w:sz w:val="24"/>
        </w:rPr>
        <w:t>投标人拟派专职项目经理，除须具备系统集成项目管理工程师证书或 PMP 类项目管理证书外，还需具备至少3年及以上相关系统集成、项目管理或运维服务项目经验，且近3年内（自投标截止之日起倒算）至少牵头完成过1个及以上同类项目，须在投标文件中提供该项目经理的资质证书扫描件、项目合同关键页、项目验收证明等相关佐证材料</w:t>
      </w:r>
      <w:r>
        <w:rPr>
          <w:rFonts w:hint="eastAsia" w:ascii="宋体" w:hAnsi="宋体" w:eastAsia="宋体" w:cs="宋体"/>
          <w:color w:val="auto"/>
          <w:kern w:val="0"/>
          <w:sz w:val="24"/>
          <w:lang w:eastAsia="zh-CN"/>
        </w:rPr>
        <w:t>。</w:t>
      </w:r>
    </w:p>
    <w:p w14:paraId="3857B39A">
      <w:pPr>
        <w:numPr>
          <w:ilvl w:val="0"/>
          <w:numId w:val="5"/>
        </w:numPr>
        <w:spacing w:line="360" w:lineRule="auto"/>
        <w:ind w:left="0" w:leftChars="0" w:firstLine="0" w:firstLineChars="0"/>
        <w:rPr>
          <w:rFonts w:hint="eastAsia" w:ascii="宋体" w:hAnsi="宋体" w:eastAsia="宋体" w:cs="宋体"/>
          <w:color w:val="auto"/>
          <w:kern w:val="0"/>
          <w:sz w:val="24"/>
          <w:lang w:eastAsia="zh-CN"/>
        </w:rPr>
      </w:pPr>
      <w:r>
        <w:rPr>
          <w:rFonts w:hint="eastAsia" w:ascii="宋体" w:hAnsi="宋体" w:eastAsia="宋体" w:cs="宋体"/>
          <w:color w:val="auto"/>
          <w:kern w:val="0"/>
          <w:sz w:val="24"/>
        </w:rPr>
        <w:t>投标人拟派不少于1名驻场服务人员，该服务人员除具备驻场服务经验外，还需具备至少2年及以上系统运维等相关工作经验，须在投标文件中提供相关资质证书及服务证明材料</w:t>
      </w:r>
      <w:r>
        <w:rPr>
          <w:rFonts w:hint="eastAsia" w:ascii="宋体" w:hAnsi="宋体" w:eastAsia="宋体" w:cs="宋体"/>
          <w:color w:val="auto"/>
          <w:kern w:val="0"/>
          <w:sz w:val="24"/>
          <w:lang w:eastAsia="zh-CN"/>
        </w:rPr>
        <w:t>。</w:t>
      </w:r>
    </w:p>
    <w:p w14:paraId="4A027075">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中标供应商需承诺提供全天候7×24 小时的故障维护服务和技术业务咨询服务，有至少一名工程师常驻上海市公安局长宁分局，在常规工作时间内对系统进行检查和运维，若有特殊任务应听从上海市公安局长宁分局的安排，并有专业的技术人员负责及时解决系统出现的任何故障。在接到故障报修后，中标供应商须在30 分钟内响应，技术工程师1 小时内到达现场。到达现场后4 小时内排除设备故障（遇到自然灾害等不可抗拒事故除外）。对于一时无法按时排除故障，要求在24 小时内提供备件更换解决（对于特殊情况经双方协商决定排除故障时间，如基础设备损坏等），由此产生的费用由中标供应商承担。</w:t>
      </w:r>
    </w:p>
    <w:p w14:paraId="2C1AD8F4">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如有重大活动，中标供应商提前对重点设备进行检修，排除故障隐患，随时准备启动备品备件库，并在活动期间免费提供技术保障。确保系统正常运行，协助完成活动任务。</w:t>
      </w:r>
    </w:p>
    <w:p w14:paraId="4067A7FE">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中标供应商每月安排技术人员对设备开展巡检一次，并提供详细巡检报告。</w:t>
      </w:r>
    </w:p>
    <w:p w14:paraId="5CED8BC9">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中标供应商每年开展一次对相关性能指标的自测，并提交自测报告。</w:t>
      </w:r>
    </w:p>
    <w:p w14:paraId="13CEC8DA">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除不可抗力外，质保期内设备和设施由于雷击、被盗、被破坏和其他等因素所造成的损失由中标供应商自行解决。</w:t>
      </w:r>
    </w:p>
    <w:p w14:paraId="21F554EA">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在免费质保期内，中标人日常需提供至少</w:t>
      </w:r>
      <w:r>
        <w:rPr>
          <w:rFonts w:ascii="宋体" w:hAnsi="宋体" w:eastAsia="宋体" w:cs="宋体"/>
          <w:color w:val="auto"/>
          <w:kern w:val="0"/>
          <w:sz w:val="24"/>
        </w:rPr>
        <w:t>1</w:t>
      </w:r>
      <w:r>
        <w:rPr>
          <w:rFonts w:hint="eastAsia" w:ascii="宋体" w:hAnsi="宋体" w:eastAsia="宋体" w:cs="宋体"/>
          <w:color w:val="auto"/>
          <w:kern w:val="0"/>
          <w:sz w:val="24"/>
        </w:rPr>
        <w:t>名运维工程师常驻分局提供驻场服务，常驻工程师需熟悉本项目系统软硬件系统架构、功能、性能、常见问题的基本处置操作等。重大活动期间应根据用户具体活动任务安排，视情况再增派相关保障人员提供现场值守服务。维护维修人员须具备一定的图像监控类信息化系统维护维修经验，各系统核心部件应由专业工程师维护。在免费维保期内，设备故障自报修起24小时内完成排故，</w:t>
      </w:r>
      <w:r>
        <w:rPr>
          <w:rFonts w:hint="eastAsia" w:ascii="Calibri" w:hAnsi="Calibri" w:eastAsia="宋体" w:cs="Times New Roman"/>
          <w:color w:val="auto"/>
        </w:rPr>
        <w:t>若</w:t>
      </w:r>
      <w:r>
        <w:rPr>
          <w:rFonts w:hint="eastAsia" w:ascii="宋体" w:hAnsi="宋体" w:eastAsia="宋体" w:cs="宋体"/>
          <w:color w:val="auto"/>
          <w:kern w:val="0"/>
          <w:sz w:val="24"/>
        </w:rPr>
        <w:t>发生非常见基础故障需更换相应配件才能解决的，需及时上报用户并尽快联系相关厂家调配部件、跟进解决。</w:t>
      </w:r>
    </w:p>
    <w:p w14:paraId="666862D8">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中标公司在免费质保期间内，必须保证提供充足的备品备件用来保证业主方完成运维目标。</w:t>
      </w:r>
    </w:p>
    <w:p w14:paraId="23FB75EC">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本项目设备涉及的故障硬盘维护，采取硬盘介质保留、直接换新方式。如果有被替换的硬盘介质，将被采购方留存，不予返还给成交方。</w:t>
      </w:r>
    </w:p>
    <w:p w14:paraId="1C92BB51">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中标人在项目交付时应针对平台及系统提供至少为期3天的详细技术培训服务。使培训后的相关人员能够快速熟练的掌握相关的基础知识和系统操作，能够熟练查询各种手册和资料，能够熟练的进行日常技术维护，能够对系统的各级提示和告警进行初步判断，能够独立安装、调试供应商提供的产品，同时对单位人员进行相关培训。针对培训服务的具体要求包括：</w:t>
      </w:r>
    </w:p>
    <w:p w14:paraId="0463ABC4">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1）培训教师必须具有专业的培训经历和经验，所讲内容要有针对性和操作系统。</w:t>
      </w:r>
    </w:p>
    <w:p w14:paraId="0AE8447C">
      <w:pPr>
        <w:spacing w:line="360" w:lineRule="auto"/>
        <w:ind w:firstLine="482"/>
        <w:rPr>
          <w:rFonts w:hint="eastAsia" w:ascii="宋体" w:hAnsi="宋体" w:eastAsia="宋体" w:cs="宋体"/>
          <w:color w:val="auto"/>
          <w:kern w:val="0"/>
          <w:sz w:val="24"/>
        </w:rPr>
      </w:pPr>
      <w:r>
        <w:rPr>
          <w:rFonts w:ascii="宋体" w:hAnsi="宋体" w:eastAsia="宋体" w:cs="宋体"/>
          <w:color w:val="auto"/>
          <w:kern w:val="0"/>
          <w:sz w:val="24"/>
        </w:rPr>
        <w:t>2</w:t>
      </w:r>
      <w:r>
        <w:rPr>
          <w:rFonts w:hint="eastAsia" w:ascii="宋体" w:hAnsi="宋体" w:eastAsia="宋体" w:cs="宋体"/>
          <w:color w:val="auto"/>
          <w:kern w:val="0"/>
          <w:sz w:val="24"/>
        </w:rPr>
        <w:t>）培训对象按照领导、业务人员和技术人员进行分类培训。</w:t>
      </w:r>
    </w:p>
    <w:p w14:paraId="6190C1F3">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3）培训课件和培训教材：包括培训课件和培训教材。</w:t>
      </w:r>
    </w:p>
    <w:p w14:paraId="35066666">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4）根据用户的工作安排，详细制定人员培训方案，包括培训的详细课程、培训方式、培训教材安排、培训时间安排等内容。</w:t>
      </w:r>
    </w:p>
    <w:p w14:paraId="483650AA">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5）培训人数应满足招标人的实际需求。</w:t>
      </w:r>
    </w:p>
    <w:p w14:paraId="74DE37A9">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本项目具有一定的保密性，中标公司要注意加强对项目资料、网络拓扑、作业文件等内容的保密，不得以任何理由任何名义有意或无意提供给第三方。</w:t>
      </w:r>
    </w:p>
    <w:p w14:paraId="143E5294">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中</w:t>
      </w:r>
      <w:r>
        <w:rPr>
          <w:rFonts w:ascii="宋体" w:hAnsi="宋体" w:eastAsia="宋体" w:cs="宋体"/>
          <w:color w:val="auto"/>
          <w:kern w:val="0"/>
          <w:sz w:val="24"/>
        </w:rPr>
        <w:t>标</w:t>
      </w:r>
      <w:r>
        <w:rPr>
          <w:rFonts w:hint="eastAsia" w:ascii="宋体" w:hAnsi="宋体" w:eastAsia="宋体" w:cs="宋体"/>
          <w:color w:val="auto"/>
          <w:kern w:val="0"/>
          <w:sz w:val="24"/>
        </w:rPr>
        <w:t>公司在本项目建设及执行作业过程中要加强注意自身人员及周围人员的安全，对具有危险性的作业要采取必要的防护措施。中</w:t>
      </w:r>
      <w:r>
        <w:rPr>
          <w:rFonts w:ascii="宋体" w:hAnsi="宋体" w:eastAsia="宋体" w:cs="宋体"/>
          <w:color w:val="auto"/>
          <w:kern w:val="0"/>
          <w:sz w:val="24"/>
        </w:rPr>
        <w:t>标</w:t>
      </w:r>
      <w:r>
        <w:rPr>
          <w:rFonts w:hint="eastAsia" w:ascii="宋体" w:hAnsi="宋体" w:eastAsia="宋体" w:cs="宋体"/>
          <w:color w:val="auto"/>
          <w:kern w:val="0"/>
          <w:sz w:val="24"/>
        </w:rPr>
        <w:t>公司需自行承担维护作业过程中因防护不周全而引起的损害责任。</w:t>
      </w:r>
    </w:p>
    <w:p w14:paraId="40C1669C">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本项目的报价须包含向招标人提供的为服务于本项目所发生的全部费用（含车辆等一切交通工具延展费用）、人员食宿、远程及现场技术协助、培训、技术指导等其他全部必须或视同必须提供的关联费用等。</w:t>
      </w:r>
    </w:p>
    <w:p w14:paraId="380FA414">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投标方在投标报价时需充分考虑，节假日、双休日除正常服务保障人员外，因业主方工作需要需增加人员的情况，中标方必须全力配合。</w:t>
      </w:r>
    </w:p>
    <w:p w14:paraId="0F988CF2">
      <w:pPr>
        <w:numPr>
          <w:ilvl w:val="0"/>
          <w:numId w:val="5"/>
        </w:numPr>
        <w:spacing w:line="360" w:lineRule="auto"/>
        <w:ind w:left="0" w:leftChars="0" w:firstLine="0" w:firstLineChars="0"/>
        <w:rPr>
          <w:rFonts w:hint="eastAsia" w:ascii="宋体" w:hAnsi="宋体" w:eastAsia="宋体" w:cs="宋体"/>
          <w:color w:val="auto"/>
          <w:kern w:val="0"/>
          <w:sz w:val="24"/>
        </w:rPr>
      </w:pPr>
      <w:r>
        <w:rPr>
          <w:rFonts w:hint="eastAsia" w:ascii="宋体" w:hAnsi="宋体" w:eastAsia="宋体" w:cs="宋体"/>
          <w:color w:val="auto"/>
          <w:kern w:val="0"/>
          <w:sz w:val="24"/>
        </w:rPr>
        <w:t>投标方在投标报价时，需充分考虑到国家调整职工最低工资保障线的情况以及物价上涨等因素。业主方不会因国家调整职工最低工资保障线以及物价上涨等因素，而另行支付任何费用。</w:t>
      </w:r>
    </w:p>
    <w:p w14:paraId="7BF456DF">
      <w:pPr>
        <w:numPr>
          <w:ilvl w:val="0"/>
          <w:numId w:val="5"/>
        </w:numPr>
        <w:spacing w:line="360" w:lineRule="auto"/>
        <w:ind w:left="0" w:leftChars="0" w:firstLine="0" w:firstLineChars="0"/>
        <w:rPr>
          <w:rFonts w:hint="eastAsia"/>
          <w:color w:val="auto"/>
        </w:rPr>
      </w:pP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项目履约验收工作由采购人按照相应方案组织验收。具体依据项目合同中的履约验收方案执行，合同中的履约验收方案将明确履约验收的主体、时间、方式、程序、内容和验收标准等事项。</w:t>
      </w:r>
    </w:p>
    <w:bookmarkEnd w:id="0"/>
    <w:bookmarkEnd w:id="1"/>
    <w:p w14:paraId="1DE17DB7">
      <w:pPr>
        <w:widowControl w:val="0"/>
        <w:numPr>
          <w:ilvl w:val="0"/>
          <w:numId w:val="1"/>
        </w:numPr>
        <w:tabs>
          <w:tab w:val="left" w:pos="426"/>
        </w:tabs>
        <w:spacing w:before="80" w:after="80" w:line="360" w:lineRule="auto"/>
        <w:ind w:left="0" w:firstLine="0" w:firstLineChars="0"/>
        <w:jc w:val="left"/>
        <w:outlineLvl w:val="0"/>
        <w:rPr>
          <w:rFonts w:hint="eastAsia" w:ascii="宋体" w:hAnsi="宋体" w:eastAsia="宋体" w:cs="Times New Roman"/>
          <w:b/>
          <w:color w:val="auto"/>
          <w:kern w:val="2"/>
          <w:sz w:val="28"/>
          <w:szCs w:val="22"/>
          <w:lang w:val="en-US" w:eastAsia="zh-CN" w:bidi="ar-SA"/>
        </w:rPr>
      </w:pPr>
      <w:r>
        <w:rPr>
          <w:rFonts w:hint="eastAsia" w:ascii="宋体" w:hAnsi="宋体" w:eastAsia="宋体" w:cs="Times New Roman"/>
          <w:b/>
          <w:color w:val="auto"/>
          <w:kern w:val="2"/>
          <w:sz w:val="28"/>
          <w:szCs w:val="22"/>
          <w:lang w:val="en-US" w:eastAsia="zh-CN" w:bidi="ar-SA"/>
        </w:rPr>
        <w:t>付款方式</w:t>
      </w:r>
    </w:p>
    <w:p w14:paraId="11AFFF9E">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本项目采取分期</w:t>
      </w:r>
      <w:r>
        <w:rPr>
          <w:rFonts w:ascii="宋体" w:hAnsi="宋体" w:eastAsia="宋体" w:cs="宋体"/>
          <w:color w:val="auto"/>
          <w:kern w:val="0"/>
          <w:sz w:val="24"/>
        </w:rPr>
        <w:t>付款</w:t>
      </w:r>
      <w:r>
        <w:rPr>
          <w:rFonts w:hint="eastAsia" w:ascii="宋体" w:hAnsi="宋体" w:eastAsia="宋体" w:cs="宋体"/>
          <w:color w:val="auto"/>
          <w:kern w:val="0"/>
          <w:sz w:val="24"/>
        </w:rPr>
        <w:t>方式，具体要求如下</w:t>
      </w:r>
      <w:r>
        <w:rPr>
          <w:rFonts w:ascii="宋体" w:hAnsi="宋体" w:eastAsia="宋体" w:cs="宋体"/>
          <w:color w:val="auto"/>
          <w:kern w:val="0"/>
          <w:sz w:val="24"/>
        </w:rPr>
        <w:t>：</w:t>
      </w:r>
    </w:p>
    <w:p w14:paraId="4405C1FA">
      <w:pPr>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ascii="宋体" w:hAnsi="宋体" w:eastAsia="宋体" w:cs="宋体"/>
          <w:color w:val="auto"/>
          <w:kern w:val="0"/>
          <w:sz w:val="24"/>
        </w:rPr>
        <w:t>合同签订后</w:t>
      </w:r>
      <w:r>
        <w:rPr>
          <w:rFonts w:hint="eastAsia" w:ascii="宋体" w:hAnsi="宋体" w:eastAsia="宋体" w:cs="宋体"/>
          <w:color w:val="auto"/>
          <w:kern w:val="0"/>
          <w:sz w:val="24"/>
        </w:rPr>
        <w:t>30天</w:t>
      </w:r>
      <w:r>
        <w:rPr>
          <w:rFonts w:ascii="宋体" w:hAnsi="宋体" w:eastAsia="宋体" w:cs="宋体"/>
          <w:color w:val="auto"/>
          <w:kern w:val="0"/>
          <w:sz w:val="24"/>
        </w:rPr>
        <w:t>内支付</w:t>
      </w:r>
      <w:r>
        <w:rPr>
          <w:rFonts w:hint="eastAsia" w:ascii="宋体" w:hAnsi="宋体" w:eastAsia="宋体" w:cs="宋体"/>
          <w:color w:val="auto"/>
          <w:kern w:val="0"/>
          <w:sz w:val="24"/>
        </w:rPr>
        <w:t>预付款为合同金额的44万</w:t>
      </w:r>
      <w:r>
        <w:rPr>
          <w:rFonts w:ascii="宋体" w:hAnsi="宋体" w:eastAsia="宋体" w:cs="宋体"/>
          <w:color w:val="auto"/>
          <w:kern w:val="0"/>
          <w:sz w:val="24"/>
        </w:rPr>
        <w:t>；</w:t>
      </w:r>
    </w:p>
    <w:p w14:paraId="29B12376">
      <w:pPr>
        <w:spacing w:line="360" w:lineRule="auto"/>
        <w:ind w:firstLine="482"/>
        <w:rPr>
          <w:rFonts w:hint="eastAsia" w:ascii="宋体" w:hAnsi="宋体" w:eastAsia="宋体" w:cs="宋体"/>
          <w:color w:val="auto"/>
          <w:kern w:val="0"/>
          <w:sz w:val="24"/>
        </w:rPr>
      </w:pPr>
      <w:r>
        <w:rPr>
          <w:rFonts w:ascii="宋体" w:hAnsi="宋体" w:eastAsia="宋体" w:cs="宋体"/>
          <w:color w:val="auto"/>
          <w:kern w:val="0"/>
          <w:sz w:val="24"/>
        </w:rPr>
        <w:t>2</w:t>
      </w:r>
      <w:r>
        <w:rPr>
          <w:rFonts w:hint="eastAsia" w:ascii="宋体" w:hAnsi="宋体" w:eastAsia="宋体" w:cs="宋体"/>
          <w:color w:val="auto"/>
          <w:kern w:val="0"/>
          <w:sz w:val="24"/>
        </w:rPr>
        <w:t>、</w:t>
      </w:r>
      <w:r>
        <w:rPr>
          <w:rFonts w:ascii="宋体" w:hAnsi="宋体" w:eastAsia="宋体" w:cs="宋体"/>
          <w:color w:val="auto"/>
          <w:kern w:val="0"/>
          <w:sz w:val="24"/>
        </w:rPr>
        <w:t>在完成主要</w:t>
      </w:r>
      <w:r>
        <w:rPr>
          <w:rFonts w:hint="eastAsia" w:ascii="宋体" w:hAnsi="宋体" w:eastAsia="宋体" w:cs="宋体"/>
          <w:color w:val="auto"/>
          <w:kern w:val="0"/>
          <w:sz w:val="24"/>
        </w:rPr>
        <w:t>设</w:t>
      </w:r>
      <w:r>
        <w:rPr>
          <w:rFonts w:hint="eastAsia" w:ascii="宋体" w:hAnsi="宋体" w:eastAsia="宋体" w:cs="宋体"/>
          <w:color w:val="auto"/>
          <w:kern w:val="0"/>
          <w:sz w:val="24"/>
          <w:lang w:eastAsia="zh-CN"/>
        </w:rPr>
        <w:t>采购需求</w:t>
      </w:r>
      <w:r>
        <w:rPr>
          <w:rFonts w:hint="eastAsia" w:ascii="宋体" w:hAnsi="宋体" w:eastAsia="宋体" w:cs="宋体"/>
          <w:color w:val="auto"/>
          <w:kern w:val="0"/>
          <w:sz w:val="24"/>
        </w:rPr>
        <w:t>备</w:t>
      </w:r>
      <w:r>
        <w:rPr>
          <w:rFonts w:ascii="宋体" w:hAnsi="宋体" w:eastAsia="宋体" w:cs="宋体"/>
          <w:color w:val="auto"/>
          <w:kern w:val="0"/>
          <w:sz w:val="24"/>
        </w:rPr>
        <w:t>到货</w:t>
      </w:r>
      <w:r>
        <w:rPr>
          <w:rFonts w:hint="eastAsia" w:ascii="宋体" w:hAnsi="宋体" w:eastAsia="宋体" w:cs="宋体"/>
          <w:color w:val="auto"/>
          <w:kern w:val="0"/>
          <w:sz w:val="24"/>
        </w:rPr>
        <w:t>验收</w:t>
      </w:r>
      <w:r>
        <w:rPr>
          <w:rFonts w:ascii="宋体" w:hAnsi="宋体" w:eastAsia="宋体" w:cs="宋体"/>
          <w:color w:val="auto"/>
          <w:kern w:val="0"/>
          <w:sz w:val="24"/>
        </w:rPr>
        <w:t>确认后，支付合同金额的50%；</w:t>
      </w:r>
    </w:p>
    <w:p w14:paraId="1839A28C">
      <w:pPr>
        <w:spacing w:line="360" w:lineRule="auto"/>
        <w:ind w:firstLine="482"/>
        <w:rPr>
          <w:rFonts w:hint="eastAsia"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rPr>
        <w:t>、</w:t>
      </w:r>
      <w:r>
        <w:rPr>
          <w:rFonts w:ascii="宋体" w:hAnsi="宋体" w:eastAsia="宋体" w:cs="宋体"/>
          <w:color w:val="auto"/>
          <w:kern w:val="0"/>
          <w:sz w:val="24"/>
        </w:rPr>
        <w:t>项目</w:t>
      </w:r>
      <w:r>
        <w:rPr>
          <w:rFonts w:hint="eastAsia" w:ascii="宋体" w:hAnsi="宋体" w:eastAsia="宋体" w:cs="宋体"/>
          <w:color w:val="auto"/>
          <w:kern w:val="0"/>
          <w:sz w:val="24"/>
        </w:rPr>
        <w:t>验收通过</w:t>
      </w:r>
      <w:r>
        <w:rPr>
          <w:rFonts w:ascii="宋体" w:hAnsi="宋体" w:eastAsia="宋体" w:cs="宋体"/>
          <w:color w:val="auto"/>
          <w:kern w:val="0"/>
          <w:sz w:val="24"/>
        </w:rPr>
        <w:t>后支付合同金额的20%；</w:t>
      </w:r>
    </w:p>
    <w:p w14:paraId="0D025FB4">
      <w:pPr>
        <w:spacing w:line="360" w:lineRule="auto"/>
        <w:ind w:firstLine="482"/>
        <w:rPr>
          <w:rFonts w:hint="eastAsia" w:ascii="宋体" w:hAnsi="宋体" w:eastAsia="宋体" w:cs="宋体"/>
          <w:color w:val="auto"/>
          <w:kern w:val="0"/>
          <w:sz w:val="24"/>
        </w:rPr>
      </w:pPr>
      <w:r>
        <w:rPr>
          <w:rFonts w:ascii="宋体" w:hAnsi="宋体" w:eastAsia="宋体" w:cs="宋体"/>
          <w:color w:val="auto"/>
          <w:kern w:val="0"/>
          <w:sz w:val="24"/>
        </w:rPr>
        <w:t>4</w:t>
      </w:r>
      <w:r>
        <w:rPr>
          <w:rFonts w:hint="eastAsia" w:ascii="宋体" w:hAnsi="宋体" w:eastAsia="宋体" w:cs="宋体"/>
          <w:color w:val="auto"/>
          <w:kern w:val="0"/>
          <w:sz w:val="24"/>
        </w:rPr>
        <w:t>、</w:t>
      </w:r>
      <w:r>
        <w:rPr>
          <w:rFonts w:ascii="宋体" w:hAnsi="宋体" w:eastAsia="宋体" w:cs="宋体"/>
          <w:color w:val="auto"/>
          <w:kern w:val="0"/>
          <w:sz w:val="24"/>
        </w:rPr>
        <w:t>项目</w:t>
      </w:r>
      <w:r>
        <w:rPr>
          <w:rFonts w:hint="eastAsia" w:ascii="宋体" w:hAnsi="宋体" w:eastAsia="宋体" w:cs="宋体"/>
          <w:color w:val="auto"/>
          <w:kern w:val="0"/>
          <w:sz w:val="24"/>
        </w:rPr>
        <w:t>审计</w:t>
      </w:r>
      <w:r>
        <w:rPr>
          <w:rFonts w:ascii="宋体" w:hAnsi="宋体" w:eastAsia="宋体" w:cs="宋体"/>
          <w:color w:val="auto"/>
          <w:kern w:val="0"/>
          <w:sz w:val="24"/>
        </w:rPr>
        <w:t>后，</w:t>
      </w:r>
      <w:r>
        <w:rPr>
          <w:rFonts w:hint="eastAsia" w:ascii="宋体" w:hAnsi="宋体" w:eastAsia="宋体" w:cs="宋体"/>
          <w:color w:val="auto"/>
          <w:kern w:val="0"/>
          <w:sz w:val="24"/>
        </w:rPr>
        <w:t>经审价</w:t>
      </w:r>
      <w:r>
        <w:rPr>
          <w:rFonts w:ascii="宋体" w:hAnsi="宋体" w:eastAsia="宋体" w:cs="宋体"/>
          <w:color w:val="auto"/>
          <w:kern w:val="0"/>
          <w:sz w:val="24"/>
        </w:rPr>
        <w:t>支付</w:t>
      </w:r>
      <w:r>
        <w:rPr>
          <w:rFonts w:hint="eastAsia" w:ascii="宋体" w:hAnsi="宋体" w:eastAsia="宋体" w:cs="宋体"/>
          <w:color w:val="auto"/>
          <w:kern w:val="0"/>
          <w:sz w:val="24"/>
        </w:rPr>
        <w:t>经审定的余款</w:t>
      </w:r>
      <w:r>
        <w:rPr>
          <w:rFonts w:ascii="宋体" w:hAnsi="宋体" w:eastAsia="宋体" w:cs="宋体"/>
          <w:color w:val="auto"/>
          <w:kern w:val="0"/>
          <w:sz w:val="24"/>
        </w:rPr>
        <w:t>。</w:t>
      </w:r>
    </w:p>
    <w:p w14:paraId="452D89DD">
      <w:pPr>
        <w:spacing w:line="360" w:lineRule="auto"/>
        <w:ind w:firstLine="482"/>
        <w:rPr>
          <w:rFonts w:hint="eastAsia" w:ascii="宋体" w:hAnsi="宋体" w:eastAsia="宋体" w:cs="宋体"/>
          <w:color w:val="auto"/>
          <w:kern w:val="0"/>
          <w:sz w:val="24"/>
        </w:rPr>
      </w:pPr>
      <w:r>
        <w:rPr>
          <w:rFonts w:ascii="宋体" w:hAnsi="宋体" w:eastAsia="宋体" w:cs="宋体"/>
          <w:color w:val="auto"/>
          <w:kern w:val="0"/>
          <w:sz w:val="24"/>
        </w:rPr>
        <w:t>5</w:t>
      </w:r>
      <w:r>
        <w:rPr>
          <w:rFonts w:hint="eastAsia" w:ascii="宋体" w:hAnsi="宋体" w:eastAsia="宋体" w:cs="宋体"/>
          <w:color w:val="auto"/>
          <w:kern w:val="0"/>
          <w:sz w:val="24"/>
        </w:rPr>
        <w:t>、项目付款要求具体根据合同约定条款进行支付；采购合同应明确资金支付的方式、时间和条件，明确逾期支付资金的违约责任。</w:t>
      </w:r>
    </w:p>
    <w:p w14:paraId="3C7A0A11">
      <w:pPr>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合同履约事宜：采购人和成交供应商应通过完善内部流程缩短合同签订期限，在中标、成交通知书发出之日起30日内，按照采购文件确定的事项签订政府采购合同，在合同中约定资金支付的方式、时间和条件，明确逾期支付资金的违约责任。）</w:t>
      </w:r>
    </w:p>
    <w:p w14:paraId="46E062B6">
      <w:pPr>
        <w:widowControl w:val="0"/>
        <w:numPr>
          <w:ilvl w:val="0"/>
          <w:numId w:val="1"/>
        </w:numPr>
        <w:tabs>
          <w:tab w:val="left" w:pos="426"/>
        </w:tabs>
        <w:spacing w:before="80" w:after="80" w:line="360" w:lineRule="auto"/>
        <w:ind w:left="0" w:firstLine="0" w:firstLineChars="0"/>
        <w:jc w:val="left"/>
        <w:outlineLvl w:val="0"/>
        <w:rPr>
          <w:rFonts w:hint="eastAsia" w:ascii="宋体" w:hAnsi="宋体" w:eastAsia="宋体" w:cs="Times New Roman"/>
          <w:b w:val="0"/>
          <w:bCs/>
          <w:color w:val="auto"/>
          <w:kern w:val="2"/>
          <w:sz w:val="24"/>
          <w:szCs w:val="21"/>
          <w:lang w:val="en-US" w:eastAsia="zh-CN" w:bidi="ar-SA"/>
        </w:rPr>
      </w:pPr>
      <w:r>
        <w:rPr>
          <w:rFonts w:hint="eastAsia" w:ascii="宋体" w:hAnsi="宋体" w:eastAsia="宋体" w:cs="Times New Roman"/>
          <w:b/>
          <w:color w:val="auto"/>
          <w:kern w:val="2"/>
          <w:sz w:val="28"/>
          <w:szCs w:val="22"/>
          <w:lang w:val="en-US" w:eastAsia="zh-CN" w:bidi="ar-SA"/>
        </w:rPr>
        <w:t>说明：</w:t>
      </w:r>
      <w:r>
        <w:rPr>
          <w:rFonts w:hint="eastAsia" w:ascii="宋体" w:hAnsi="宋体" w:eastAsia="宋体" w:cs="Times New Roman"/>
          <w:b w:val="0"/>
          <w:bCs/>
          <w:color w:val="auto"/>
          <w:kern w:val="2"/>
          <w:sz w:val="24"/>
          <w:szCs w:val="21"/>
          <w:lang w:val="en-US" w:eastAsia="zh-CN" w:bidi="ar-SA"/>
        </w:rPr>
        <w:t>本项目属于服务类招标项目，本招标项目核心产品有：</w:t>
      </w:r>
      <w:bookmarkStart w:id="6" w:name="_GoBack"/>
      <w:r>
        <w:rPr>
          <w:rFonts w:hint="eastAsia" w:ascii="宋体" w:hAnsi="宋体" w:eastAsia="宋体" w:cs="Times New Roman"/>
          <w:b w:val="0"/>
          <w:bCs/>
          <w:color w:val="auto"/>
          <w:kern w:val="2"/>
          <w:sz w:val="24"/>
          <w:szCs w:val="21"/>
          <w:lang w:val="en-US" w:eastAsia="zh-CN" w:bidi="ar-SA"/>
        </w:rPr>
        <w:t>本次</w:t>
      </w:r>
      <w:r>
        <w:rPr>
          <w:rFonts w:hint="eastAsia" w:ascii="宋体" w:hAnsi="宋体" w:eastAsia="宋体" w:cs="Times New Roman"/>
          <w:b w:val="0"/>
          <w:bCs/>
          <w:color w:val="auto"/>
          <w:kern w:val="2"/>
          <w:sz w:val="24"/>
          <w:szCs w:val="21"/>
          <w:lang w:val="en-US" w:eastAsia="zh-CN" w:bidi="ar-SA"/>
        </w:rPr>
        <w:t>招标所需的服务及</w:t>
      </w:r>
      <w:r>
        <w:rPr>
          <w:rFonts w:hint="eastAsia" w:ascii="宋体" w:hAnsi="宋体" w:eastAsia="宋体" w:cs="Times New Roman"/>
          <w:b w:val="0"/>
          <w:bCs/>
          <w:color w:val="auto"/>
          <w:kern w:val="2"/>
          <w:sz w:val="24"/>
          <w:szCs w:val="21"/>
          <w:lang w:val="en-US" w:eastAsia="zh-CN" w:bidi="ar-SA"/>
        </w:rPr>
        <w:t>安全管控网关一体机</w:t>
      </w:r>
      <w:bookmarkEnd w:id="6"/>
      <w:r>
        <w:rPr>
          <w:rFonts w:hint="eastAsia" w:ascii="宋体" w:hAnsi="宋体" w:eastAsia="宋体" w:cs="Times New Roman"/>
          <w:b w:val="0"/>
          <w:bCs/>
          <w:color w:val="auto"/>
          <w:kern w:val="2"/>
          <w:sz w:val="24"/>
          <w:szCs w:val="21"/>
          <w:lang w:val="en-US" w:eastAsia="zh-CN" w:bidi="ar-SA"/>
        </w:rPr>
        <w:t>。</w:t>
      </w:r>
    </w:p>
    <w:p w14:paraId="20A9E254">
      <w:pPr>
        <w:rPr>
          <w:rFonts w:hint="eastAsia" w:ascii="宋体" w:hAnsi="宋体" w:eastAsia="宋体" w:cs="Times New Roman"/>
          <w:b/>
          <w:color w:val="auto"/>
          <w:kern w:val="2"/>
          <w:sz w:val="28"/>
          <w:szCs w:val="22"/>
          <w:lang w:val="en-US" w:eastAsia="zh-CN" w:bidi="ar-SA"/>
        </w:rPr>
      </w:pPr>
      <w:r>
        <w:rPr>
          <w:rFonts w:hint="eastAsia" w:ascii="宋体" w:hAnsi="宋体" w:eastAsia="宋体" w:cs="Times New Roman"/>
          <w:b/>
          <w:color w:val="auto"/>
          <w:kern w:val="2"/>
          <w:sz w:val="28"/>
          <w:szCs w:val="22"/>
          <w:lang w:val="en-US" w:eastAsia="zh-CN" w:bidi="ar-SA"/>
        </w:rPr>
        <w:br w:type="page"/>
      </w:r>
    </w:p>
    <w:p w14:paraId="2FB1AF4E">
      <w:pPr>
        <w:widowControl w:val="0"/>
        <w:numPr>
          <w:ilvl w:val="0"/>
          <w:numId w:val="1"/>
        </w:numPr>
        <w:tabs>
          <w:tab w:val="left" w:pos="426"/>
        </w:tabs>
        <w:spacing w:before="80" w:after="80" w:line="360" w:lineRule="auto"/>
        <w:ind w:left="0" w:firstLine="0" w:firstLineChars="0"/>
        <w:jc w:val="left"/>
        <w:outlineLvl w:val="0"/>
        <w:rPr>
          <w:rFonts w:hint="eastAsia" w:ascii="宋体" w:hAnsi="宋体" w:eastAsia="宋体" w:cs="Times New Roman"/>
          <w:b/>
          <w:color w:val="auto"/>
          <w:kern w:val="2"/>
          <w:sz w:val="28"/>
          <w:szCs w:val="22"/>
          <w:lang w:val="en-US" w:eastAsia="zh-CN" w:bidi="ar-SA"/>
        </w:rPr>
      </w:pPr>
      <w:r>
        <w:rPr>
          <w:rFonts w:hint="eastAsia" w:ascii="宋体" w:hAnsi="宋体" w:eastAsia="宋体" w:cs="Times New Roman"/>
          <w:b/>
          <w:color w:val="auto"/>
          <w:kern w:val="2"/>
          <w:sz w:val="28"/>
          <w:szCs w:val="22"/>
          <w:lang w:val="en-US" w:eastAsia="zh-CN" w:bidi="ar-SA"/>
        </w:rPr>
        <w:t>项目工作量清单</w:t>
      </w:r>
    </w:p>
    <w:tbl>
      <w:tblPr>
        <w:tblStyle w:val="11"/>
        <w:tblW w:w="8519" w:type="dxa"/>
        <w:jc w:val="center"/>
        <w:tblLayout w:type="fixed"/>
        <w:tblCellMar>
          <w:top w:w="0" w:type="dxa"/>
          <w:left w:w="108" w:type="dxa"/>
          <w:bottom w:w="0" w:type="dxa"/>
          <w:right w:w="108" w:type="dxa"/>
        </w:tblCellMar>
      </w:tblPr>
      <w:tblGrid>
        <w:gridCol w:w="832"/>
        <w:gridCol w:w="3014"/>
        <w:gridCol w:w="3509"/>
        <w:gridCol w:w="581"/>
        <w:gridCol w:w="583"/>
      </w:tblGrid>
      <w:tr w14:paraId="64DB4284">
        <w:tblPrEx>
          <w:tblCellMar>
            <w:top w:w="0" w:type="dxa"/>
            <w:left w:w="108" w:type="dxa"/>
            <w:bottom w:w="0" w:type="dxa"/>
            <w:right w:w="108" w:type="dxa"/>
          </w:tblCellMar>
        </w:tblPrEx>
        <w:trPr>
          <w:trHeight w:val="467" w:hRule="atLeast"/>
          <w:tblHeader/>
          <w:jc w:val="center"/>
        </w:trPr>
        <w:tc>
          <w:tcPr>
            <w:tcW w:w="832" w:type="dxa"/>
            <w:vMerge w:val="restart"/>
            <w:tcBorders>
              <w:top w:val="single" w:color="000000" w:sz="4" w:space="0"/>
              <w:left w:val="single" w:color="000000" w:sz="4" w:space="0"/>
              <w:bottom w:val="single" w:color="000000" w:sz="4" w:space="0"/>
              <w:right w:val="single" w:color="000000" w:sz="4" w:space="0"/>
            </w:tcBorders>
            <w:vAlign w:val="center"/>
          </w:tcPr>
          <w:p w14:paraId="225538C7">
            <w:pPr>
              <w:widowControl/>
              <w:snapToGrid w:val="0"/>
              <w:spacing w:line="360" w:lineRule="auto"/>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3014" w:type="dxa"/>
            <w:vMerge w:val="restart"/>
            <w:tcBorders>
              <w:top w:val="single" w:color="000000" w:sz="4" w:space="0"/>
              <w:left w:val="single" w:color="000000" w:sz="4" w:space="0"/>
              <w:bottom w:val="single" w:color="000000" w:sz="4" w:space="0"/>
              <w:right w:val="single" w:color="000000" w:sz="4" w:space="0"/>
            </w:tcBorders>
            <w:vAlign w:val="center"/>
          </w:tcPr>
          <w:p w14:paraId="40EA8BF1">
            <w:pPr>
              <w:widowControl/>
              <w:snapToGrid w:val="0"/>
              <w:spacing w:line="360" w:lineRule="auto"/>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设备名称</w:t>
            </w:r>
          </w:p>
        </w:tc>
        <w:tc>
          <w:tcPr>
            <w:tcW w:w="3509" w:type="dxa"/>
            <w:vMerge w:val="restart"/>
            <w:tcBorders>
              <w:top w:val="single" w:color="000000" w:sz="4" w:space="0"/>
              <w:left w:val="single" w:color="000000" w:sz="4" w:space="0"/>
              <w:bottom w:val="single" w:color="000000" w:sz="4" w:space="0"/>
              <w:right w:val="single" w:color="000000" w:sz="4" w:space="0"/>
            </w:tcBorders>
            <w:vAlign w:val="center"/>
          </w:tcPr>
          <w:p w14:paraId="0DBB701E">
            <w:pPr>
              <w:widowControl/>
              <w:snapToGrid w:val="0"/>
              <w:spacing w:line="360" w:lineRule="auto"/>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功能简述</w:t>
            </w:r>
          </w:p>
        </w:tc>
        <w:tc>
          <w:tcPr>
            <w:tcW w:w="581" w:type="dxa"/>
            <w:vMerge w:val="restart"/>
            <w:tcBorders>
              <w:top w:val="single" w:color="000000" w:sz="4" w:space="0"/>
              <w:left w:val="single" w:color="000000" w:sz="4" w:space="0"/>
              <w:bottom w:val="single" w:color="000000" w:sz="4" w:space="0"/>
              <w:right w:val="single" w:color="000000" w:sz="4" w:space="0"/>
            </w:tcBorders>
            <w:vAlign w:val="center"/>
          </w:tcPr>
          <w:p w14:paraId="4E7D65FD">
            <w:pPr>
              <w:widowControl/>
              <w:snapToGrid w:val="0"/>
              <w:spacing w:line="360" w:lineRule="auto"/>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单位</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14:paraId="6F7F572D">
            <w:pPr>
              <w:widowControl/>
              <w:snapToGrid w:val="0"/>
              <w:spacing w:line="360" w:lineRule="auto"/>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数量</w:t>
            </w:r>
          </w:p>
        </w:tc>
      </w:tr>
      <w:tr w14:paraId="0B3E1941">
        <w:tblPrEx>
          <w:tblCellMar>
            <w:top w:w="0" w:type="dxa"/>
            <w:left w:w="108" w:type="dxa"/>
            <w:bottom w:w="0" w:type="dxa"/>
            <w:right w:w="108" w:type="dxa"/>
          </w:tblCellMar>
        </w:tblPrEx>
        <w:trPr>
          <w:trHeight w:val="467" w:hRule="atLeast"/>
          <w:tblHeader/>
          <w:jc w:val="center"/>
        </w:trPr>
        <w:tc>
          <w:tcPr>
            <w:tcW w:w="832" w:type="dxa"/>
            <w:vMerge w:val="continue"/>
            <w:tcBorders>
              <w:top w:val="single" w:color="000000" w:sz="4" w:space="0"/>
              <w:left w:val="single" w:color="000000" w:sz="4" w:space="0"/>
              <w:bottom w:val="single" w:color="000000" w:sz="4" w:space="0"/>
              <w:right w:val="single" w:color="000000" w:sz="4" w:space="0"/>
            </w:tcBorders>
            <w:vAlign w:val="center"/>
          </w:tcPr>
          <w:p w14:paraId="5871A09E">
            <w:pPr>
              <w:snapToGrid w:val="0"/>
              <w:spacing w:line="360" w:lineRule="auto"/>
              <w:jc w:val="center"/>
              <w:rPr>
                <w:rFonts w:hint="eastAsia" w:ascii="宋体" w:hAnsi="宋体" w:eastAsia="宋体" w:cs="宋体"/>
                <w:b/>
                <w:bCs/>
                <w:color w:val="auto"/>
                <w:sz w:val="24"/>
              </w:rPr>
            </w:pPr>
          </w:p>
        </w:tc>
        <w:tc>
          <w:tcPr>
            <w:tcW w:w="3014" w:type="dxa"/>
            <w:vMerge w:val="continue"/>
            <w:tcBorders>
              <w:top w:val="single" w:color="000000" w:sz="4" w:space="0"/>
              <w:left w:val="single" w:color="000000" w:sz="4" w:space="0"/>
              <w:bottom w:val="single" w:color="000000" w:sz="4" w:space="0"/>
              <w:right w:val="single" w:color="000000" w:sz="4" w:space="0"/>
            </w:tcBorders>
            <w:vAlign w:val="center"/>
          </w:tcPr>
          <w:p w14:paraId="0156CAD0">
            <w:pPr>
              <w:snapToGrid w:val="0"/>
              <w:spacing w:line="360" w:lineRule="auto"/>
              <w:jc w:val="center"/>
              <w:rPr>
                <w:rFonts w:hint="eastAsia" w:ascii="宋体" w:hAnsi="宋体" w:eastAsia="宋体" w:cs="宋体"/>
                <w:b/>
                <w:bCs/>
                <w:color w:val="auto"/>
                <w:sz w:val="24"/>
              </w:rPr>
            </w:pPr>
          </w:p>
        </w:tc>
        <w:tc>
          <w:tcPr>
            <w:tcW w:w="3509" w:type="dxa"/>
            <w:vMerge w:val="continue"/>
            <w:tcBorders>
              <w:top w:val="single" w:color="000000" w:sz="4" w:space="0"/>
              <w:left w:val="single" w:color="000000" w:sz="4" w:space="0"/>
              <w:bottom w:val="single" w:color="000000" w:sz="4" w:space="0"/>
              <w:right w:val="single" w:color="000000" w:sz="4" w:space="0"/>
            </w:tcBorders>
            <w:vAlign w:val="center"/>
          </w:tcPr>
          <w:p w14:paraId="30B6011E">
            <w:pPr>
              <w:snapToGrid w:val="0"/>
              <w:spacing w:line="360" w:lineRule="auto"/>
              <w:jc w:val="center"/>
              <w:rPr>
                <w:rFonts w:hint="eastAsia" w:ascii="宋体" w:hAnsi="宋体" w:eastAsia="宋体" w:cs="宋体"/>
                <w:b/>
                <w:bCs/>
                <w:color w:val="auto"/>
                <w:sz w:val="24"/>
              </w:rPr>
            </w:pPr>
          </w:p>
        </w:tc>
        <w:tc>
          <w:tcPr>
            <w:tcW w:w="581" w:type="dxa"/>
            <w:vMerge w:val="continue"/>
            <w:tcBorders>
              <w:top w:val="single" w:color="000000" w:sz="4" w:space="0"/>
              <w:left w:val="single" w:color="000000" w:sz="4" w:space="0"/>
              <w:bottom w:val="single" w:color="000000" w:sz="4" w:space="0"/>
              <w:right w:val="single" w:color="000000" w:sz="4" w:space="0"/>
            </w:tcBorders>
            <w:vAlign w:val="center"/>
          </w:tcPr>
          <w:p w14:paraId="0E4191FF">
            <w:pPr>
              <w:snapToGrid w:val="0"/>
              <w:spacing w:line="360" w:lineRule="auto"/>
              <w:jc w:val="center"/>
              <w:rPr>
                <w:rFonts w:hint="eastAsia" w:ascii="宋体" w:hAnsi="宋体" w:eastAsia="宋体" w:cs="宋体"/>
                <w:b/>
                <w:bCs/>
                <w:color w:val="auto"/>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14:paraId="612B1F72">
            <w:pPr>
              <w:snapToGrid w:val="0"/>
              <w:spacing w:line="360" w:lineRule="auto"/>
              <w:jc w:val="center"/>
              <w:rPr>
                <w:rFonts w:hint="eastAsia" w:ascii="宋体" w:hAnsi="宋体" w:eastAsia="宋体" w:cs="宋体"/>
                <w:b/>
                <w:bCs/>
                <w:color w:val="auto"/>
                <w:sz w:val="24"/>
              </w:rPr>
            </w:pPr>
          </w:p>
        </w:tc>
      </w:tr>
      <w:tr w14:paraId="71BA663C">
        <w:tblPrEx>
          <w:tblCellMar>
            <w:top w:w="0" w:type="dxa"/>
            <w:left w:w="108" w:type="dxa"/>
            <w:bottom w:w="0" w:type="dxa"/>
            <w:right w:w="108" w:type="dxa"/>
          </w:tblCellMar>
        </w:tblPrEx>
        <w:trPr>
          <w:jc w:val="center"/>
        </w:trPr>
        <w:tc>
          <w:tcPr>
            <w:tcW w:w="7355" w:type="dxa"/>
            <w:gridSpan w:val="3"/>
            <w:tcBorders>
              <w:top w:val="single" w:color="000000" w:sz="4" w:space="0"/>
              <w:left w:val="single" w:color="000000" w:sz="4" w:space="0"/>
              <w:bottom w:val="single" w:color="000000" w:sz="4" w:space="0"/>
              <w:right w:val="single" w:color="000000" w:sz="4" w:space="0"/>
            </w:tcBorders>
            <w:vAlign w:val="center"/>
          </w:tcPr>
          <w:p w14:paraId="5B976DF1">
            <w:pPr>
              <w:widowControl/>
              <w:snapToGrid w:val="0"/>
              <w:spacing w:line="360" w:lineRule="auto"/>
              <w:jc w:val="left"/>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一、公安视频传输网侧</w:t>
            </w:r>
          </w:p>
        </w:tc>
        <w:tc>
          <w:tcPr>
            <w:tcW w:w="1164" w:type="dxa"/>
            <w:gridSpan w:val="2"/>
            <w:tcBorders>
              <w:top w:val="single" w:color="000000" w:sz="4" w:space="0"/>
              <w:left w:val="single" w:color="000000" w:sz="4" w:space="0"/>
              <w:bottom w:val="single" w:color="000000" w:sz="4" w:space="0"/>
              <w:right w:val="single" w:color="000000" w:sz="4" w:space="0"/>
            </w:tcBorders>
            <w:vAlign w:val="center"/>
          </w:tcPr>
          <w:p w14:paraId="2B9376A7">
            <w:pPr>
              <w:snapToGrid w:val="0"/>
              <w:spacing w:line="360" w:lineRule="auto"/>
              <w:jc w:val="center"/>
              <w:rPr>
                <w:rFonts w:hint="eastAsia" w:ascii="宋体" w:hAnsi="宋体" w:eastAsia="宋体" w:cs="宋体"/>
                <w:b/>
                <w:bCs/>
                <w:color w:val="auto"/>
                <w:sz w:val="24"/>
              </w:rPr>
            </w:pPr>
          </w:p>
        </w:tc>
      </w:tr>
      <w:tr w14:paraId="4D21A7DC">
        <w:tblPrEx>
          <w:tblCellMar>
            <w:top w:w="0" w:type="dxa"/>
            <w:left w:w="108" w:type="dxa"/>
            <w:bottom w:w="0" w:type="dxa"/>
            <w:right w:w="108" w:type="dxa"/>
          </w:tblCellMar>
        </w:tblPrEx>
        <w:trPr>
          <w:jc w:val="center"/>
        </w:trPr>
        <w:tc>
          <w:tcPr>
            <w:tcW w:w="7355" w:type="dxa"/>
            <w:gridSpan w:val="3"/>
            <w:tcBorders>
              <w:top w:val="single" w:color="000000" w:sz="4" w:space="0"/>
              <w:left w:val="single" w:color="000000" w:sz="4" w:space="0"/>
              <w:bottom w:val="single" w:color="000000" w:sz="4" w:space="0"/>
              <w:right w:val="single" w:color="000000" w:sz="4" w:space="0"/>
            </w:tcBorders>
            <w:vAlign w:val="center"/>
          </w:tcPr>
          <w:p w14:paraId="30CB0FBA">
            <w:pPr>
              <w:widowControl/>
              <w:snapToGrid w:val="0"/>
              <w:spacing w:line="360" w:lineRule="auto"/>
              <w:jc w:val="left"/>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（一）对外共享节点</w:t>
            </w:r>
          </w:p>
        </w:tc>
        <w:tc>
          <w:tcPr>
            <w:tcW w:w="581" w:type="dxa"/>
            <w:tcBorders>
              <w:top w:val="single" w:color="000000" w:sz="4" w:space="0"/>
              <w:left w:val="single" w:color="000000" w:sz="4" w:space="0"/>
              <w:bottom w:val="single" w:color="000000" w:sz="4" w:space="0"/>
              <w:right w:val="single" w:color="000000" w:sz="4" w:space="0"/>
            </w:tcBorders>
            <w:vAlign w:val="center"/>
          </w:tcPr>
          <w:p w14:paraId="5875CDA4">
            <w:pPr>
              <w:snapToGrid w:val="0"/>
              <w:spacing w:line="360" w:lineRule="auto"/>
              <w:jc w:val="center"/>
              <w:rPr>
                <w:rFonts w:hint="eastAsia" w:ascii="宋体" w:hAnsi="宋体" w:eastAsia="宋体" w:cs="宋体"/>
                <w:b/>
                <w:bCs/>
                <w:color w:val="auto"/>
                <w:sz w:val="24"/>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4198A462">
            <w:pPr>
              <w:snapToGrid w:val="0"/>
              <w:spacing w:line="360" w:lineRule="auto"/>
              <w:jc w:val="center"/>
              <w:rPr>
                <w:rFonts w:hint="eastAsia" w:ascii="宋体" w:hAnsi="宋体" w:eastAsia="宋体" w:cs="宋体"/>
                <w:b/>
                <w:bCs/>
                <w:color w:val="auto"/>
                <w:sz w:val="24"/>
              </w:rPr>
            </w:pPr>
          </w:p>
        </w:tc>
      </w:tr>
      <w:tr w14:paraId="099698E8">
        <w:tblPrEx>
          <w:tblCellMar>
            <w:top w:w="0" w:type="dxa"/>
            <w:left w:w="108" w:type="dxa"/>
            <w:bottom w:w="0" w:type="dxa"/>
            <w:right w:w="108" w:type="dxa"/>
          </w:tblCellMar>
        </w:tblPrEx>
        <w:trPr>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5737209F">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1</w:t>
            </w:r>
          </w:p>
        </w:tc>
        <w:tc>
          <w:tcPr>
            <w:tcW w:w="3014" w:type="dxa"/>
            <w:tcBorders>
              <w:top w:val="single" w:color="000000" w:sz="4" w:space="0"/>
              <w:left w:val="single" w:color="000000" w:sz="4" w:space="0"/>
              <w:bottom w:val="single" w:color="000000" w:sz="4" w:space="0"/>
              <w:right w:val="single" w:color="000000" w:sz="4" w:space="0"/>
            </w:tcBorders>
            <w:vAlign w:val="center"/>
          </w:tcPr>
          <w:p w14:paraId="2F1B8479">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视频共享管理单元</w:t>
            </w:r>
          </w:p>
        </w:tc>
        <w:tc>
          <w:tcPr>
            <w:tcW w:w="3509" w:type="dxa"/>
            <w:tcBorders>
              <w:top w:val="single" w:color="000000" w:sz="4" w:space="0"/>
              <w:left w:val="single" w:color="000000" w:sz="4" w:space="0"/>
              <w:bottom w:val="single" w:color="000000" w:sz="4" w:space="0"/>
              <w:right w:val="single" w:color="000000" w:sz="4" w:space="0"/>
            </w:tcBorders>
            <w:vAlign w:val="center"/>
          </w:tcPr>
          <w:p w14:paraId="4BE6761D">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对雪亮平台实现视频共享和权限管控　</w:t>
            </w:r>
          </w:p>
        </w:tc>
        <w:tc>
          <w:tcPr>
            <w:tcW w:w="581" w:type="dxa"/>
            <w:tcBorders>
              <w:top w:val="single" w:color="000000" w:sz="4" w:space="0"/>
              <w:left w:val="single" w:color="000000" w:sz="4" w:space="0"/>
              <w:bottom w:val="single" w:color="000000" w:sz="4" w:space="0"/>
              <w:right w:val="single" w:color="000000" w:sz="4" w:space="0"/>
            </w:tcBorders>
            <w:noWrap/>
            <w:vAlign w:val="center"/>
          </w:tcPr>
          <w:p w14:paraId="0F5F4BCA">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台</w:t>
            </w:r>
          </w:p>
        </w:tc>
        <w:tc>
          <w:tcPr>
            <w:tcW w:w="583" w:type="dxa"/>
            <w:tcBorders>
              <w:top w:val="single" w:color="000000" w:sz="4" w:space="0"/>
              <w:left w:val="single" w:color="000000" w:sz="4" w:space="0"/>
              <w:bottom w:val="single" w:color="000000" w:sz="4" w:space="0"/>
              <w:right w:val="single" w:color="000000" w:sz="4" w:space="0"/>
            </w:tcBorders>
            <w:noWrap/>
            <w:vAlign w:val="center"/>
          </w:tcPr>
          <w:p w14:paraId="32C653FD">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1</w:t>
            </w:r>
          </w:p>
        </w:tc>
      </w:tr>
      <w:tr w14:paraId="73304B12">
        <w:tblPrEx>
          <w:tblCellMar>
            <w:top w:w="0" w:type="dxa"/>
            <w:left w:w="108" w:type="dxa"/>
            <w:bottom w:w="0" w:type="dxa"/>
            <w:right w:w="108" w:type="dxa"/>
          </w:tblCellMar>
        </w:tblPrEx>
        <w:trPr>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64BF0053">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2</w:t>
            </w:r>
          </w:p>
        </w:tc>
        <w:tc>
          <w:tcPr>
            <w:tcW w:w="3014" w:type="dxa"/>
            <w:tcBorders>
              <w:top w:val="single" w:color="000000" w:sz="4" w:space="0"/>
              <w:left w:val="single" w:color="000000" w:sz="4" w:space="0"/>
              <w:bottom w:val="single" w:color="000000" w:sz="4" w:space="0"/>
              <w:right w:val="single" w:color="000000" w:sz="4" w:space="0"/>
            </w:tcBorders>
            <w:vAlign w:val="center"/>
          </w:tcPr>
          <w:p w14:paraId="684C1577">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安全管控网关一体机</w:t>
            </w:r>
          </w:p>
        </w:tc>
        <w:tc>
          <w:tcPr>
            <w:tcW w:w="3509" w:type="dxa"/>
            <w:tcBorders>
              <w:top w:val="single" w:color="000000" w:sz="4" w:space="0"/>
              <w:left w:val="single" w:color="000000" w:sz="4" w:space="0"/>
              <w:bottom w:val="single" w:color="000000" w:sz="4" w:space="0"/>
              <w:right w:val="single" w:color="000000" w:sz="4" w:space="0"/>
            </w:tcBorders>
            <w:vAlign w:val="center"/>
          </w:tcPr>
          <w:p w14:paraId="6FFA0734">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单台设备流媒体并发性能256路1080P视频流　　</w:t>
            </w:r>
          </w:p>
        </w:tc>
        <w:tc>
          <w:tcPr>
            <w:tcW w:w="581" w:type="dxa"/>
            <w:tcBorders>
              <w:top w:val="single" w:color="000000" w:sz="4" w:space="0"/>
              <w:left w:val="single" w:color="000000" w:sz="4" w:space="0"/>
              <w:bottom w:val="single" w:color="000000" w:sz="4" w:space="0"/>
              <w:right w:val="single" w:color="000000" w:sz="4" w:space="0"/>
            </w:tcBorders>
            <w:noWrap/>
            <w:vAlign w:val="center"/>
          </w:tcPr>
          <w:p w14:paraId="5A41878E">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台</w:t>
            </w:r>
          </w:p>
        </w:tc>
        <w:tc>
          <w:tcPr>
            <w:tcW w:w="583" w:type="dxa"/>
            <w:tcBorders>
              <w:top w:val="single" w:color="000000" w:sz="4" w:space="0"/>
              <w:left w:val="single" w:color="000000" w:sz="4" w:space="0"/>
              <w:bottom w:val="single" w:color="000000" w:sz="4" w:space="0"/>
              <w:right w:val="single" w:color="000000" w:sz="4" w:space="0"/>
            </w:tcBorders>
            <w:noWrap/>
            <w:vAlign w:val="center"/>
          </w:tcPr>
          <w:p w14:paraId="330295EA">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2</w:t>
            </w:r>
          </w:p>
        </w:tc>
      </w:tr>
      <w:tr w14:paraId="1623A7A1">
        <w:tblPrEx>
          <w:tblCellMar>
            <w:top w:w="0" w:type="dxa"/>
            <w:left w:w="108" w:type="dxa"/>
            <w:bottom w:w="0" w:type="dxa"/>
            <w:right w:w="108" w:type="dxa"/>
          </w:tblCellMar>
        </w:tblPrEx>
        <w:trPr>
          <w:jc w:val="center"/>
        </w:trPr>
        <w:tc>
          <w:tcPr>
            <w:tcW w:w="7355" w:type="dxa"/>
            <w:gridSpan w:val="3"/>
            <w:tcBorders>
              <w:top w:val="single" w:color="000000" w:sz="4" w:space="0"/>
              <w:left w:val="single" w:color="000000" w:sz="4" w:space="0"/>
              <w:bottom w:val="single" w:color="000000" w:sz="4" w:space="0"/>
              <w:right w:val="single" w:color="000000" w:sz="4" w:space="0"/>
            </w:tcBorders>
            <w:vAlign w:val="center"/>
          </w:tcPr>
          <w:p w14:paraId="27EC7660">
            <w:pPr>
              <w:widowControl/>
              <w:snapToGrid w:val="0"/>
              <w:spacing w:line="360" w:lineRule="auto"/>
              <w:jc w:val="left"/>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（二）接入汇聚节点</w:t>
            </w:r>
          </w:p>
        </w:tc>
        <w:tc>
          <w:tcPr>
            <w:tcW w:w="581" w:type="dxa"/>
            <w:tcBorders>
              <w:top w:val="single" w:color="000000" w:sz="4" w:space="0"/>
              <w:left w:val="single" w:color="000000" w:sz="4" w:space="0"/>
              <w:bottom w:val="single" w:color="000000" w:sz="4" w:space="0"/>
              <w:right w:val="single" w:color="000000" w:sz="4" w:space="0"/>
            </w:tcBorders>
            <w:vAlign w:val="center"/>
          </w:tcPr>
          <w:p w14:paraId="1C1C2022">
            <w:pPr>
              <w:snapToGrid w:val="0"/>
              <w:spacing w:line="360" w:lineRule="auto"/>
              <w:jc w:val="center"/>
              <w:rPr>
                <w:rFonts w:hint="eastAsia" w:ascii="宋体" w:hAnsi="宋体" w:eastAsia="宋体" w:cs="宋体"/>
                <w:b/>
                <w:bCs/>
                <w:color w:val="auto"/>
                <w:sz w:val="24"/>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53192A1D">
            <w:pPr>
              <w:snapToGrid w:val="0"/>
              <w:spacing w:line="360" w:lineRule="auto"/>
              <w:jc w:val="center"/>
              <w:rPr>
                <w:rFonts w:hint="eastAsia" w:ascii="宋体" w:hAnsi="宋体" w:eastAsia="宋体" w:cs="宋体"/>
                <w:b/>
                <w:bCs/>
                <w:color w:val="auto"/>
                <w:sz w:val="24"/>
              </w:rPr>
            </w:pPr>
          </w:p>
        </w:tc>
      </w:tr>
      <w:tr w14:paraId="72CD428A">
        <w:tblPrEx>
          <w:tblCellMar>
            <w:top w:w="0" w:type="dxa"/>
            <w:left w:w="108" w:type="dxa"/>
            <w:bottom w:w="0" w:type="dxa"/>
            <w:right w:w="108" w:type="dxa"/>
          </w:tblCellMar>
        </w:tblPrEx>
        <w:trPr>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2844D85E">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1</w:t>
            </w:r>
          </w:p>
        </w:tc>
        <w:tc>
          <w:tcPr>
            <w:tcW w:w="3014" w:type="dxa"/>
            <w:tcBorders>
              <w:top w:val="single" w:color="000000" w:sz="4" w:space="0"/>
              <w:left w:val="single" w:color="000000" w:sz="4" w:space="0"/>
              <w:bottom w:val="single" w:color="000000" w:sz="4" w:space="0"/>
              <w:right w:val="single" w:color="000000" w:sz="4" w:space="0"/>
            </w:tcBorders>
            <w:vAlign w:val="center"/>
          </w:tcPr>
          <w:p w14:paraId="29F62D3B">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视频联网汇聚单元</w:t>
            </w:r>
          </w:p>
        </w:tc>
        <w:tc>
          <w:tcPr>
            <w:tcW w:w="3509" w:type="dxa"/>
            <w:tcBorders>
              <w:top w:val="single" w:color="000000" w:sz="4" w:space="0"/>
              <w:left w:val="single" w:color="000000" w:sz="4" w:space="0"/>
              <w:bottom w:val="single" w:color="000000" w:sz="4" w:space="0"/>
              <w:right w:val="single" w:color="000000" w:sz="4" w:space="0"/>
            </w:tcBorders>
            <w:vAlign w:val="center"/>
          </w:tcPr>
          <w:p w14:paraId="49CC1B2B">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社会面视频监控点位接入</w:t>
            </w:r>
          </w:p>
        </w:tc>
        <w:tc>
          <w:tcPr>
            <w:tcW w:w="581" w:type="dxa"/>
            <w:tcBorders>
              <w:top w:val="single" w:color="000000" w:sz="4" w:space="0"/>
              <w:left w:val="single" w:color="000000" w:sz="4" w:space="0"/>
              <w:bottom w:val="single" w:color="000000" w:sz="4" w:space="0"/>
              <w:right w:val="single" w:color="000000" w:sz="4" w:space="0"/>
            </w:tcBorders>
            <w:noWrap/>
            <w:vAlign w:val="center"/>
          </w:tcPr>
          <w:p w14:paraId="3ECF0141">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台</w:t>
            </w:r>
          </w:p>
        </w:tc>
        <w:tc>
          <w:tcPr>
            <w:tcW w:w="583" w:type="dxa"/>
            <w:tcBorders>
              <w:top w:val="single" w:color="000000" w:sz="4" w:space="0"/>
              <w:left w:val="single" w:color="000000" w:sz="4" w:space="0"/>
              <w:bottom w:val="single" w:color="000000" w:sz="4" w:space="0"/>
              <w:right w:val="single" w:color="000000" w:sz="4" w:space="0"/>
            </w:tcBorders>
            <w:noWrap/>
            <w:vAlign w:val="center"/>
          </w:tcPr>
          <w:p w14:paraId="4AE87194">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1</w:t>
            </w:r>
          </w:p>
        </w:tc>
      </w:tr>
      <w:tr w14:paraId="434E9B7D">
        <w:tblPrEx>
          <w:tblCellMar>
            <w:top w:w="0" w:type="dxa"/>
            <w:left w:w="108" w:type="dxa"/>
            <w:bottom w:w="0" w:type="dxa"/>
            <w:right w:w="108" w:type="dxa"/>
          </w:tblCellMar>
        </w:tblPrEx>
        <w:trPr>
          <w:jc w:val="center"/>
        </w:trPr>
        <w:tc>
          <w:tcPr>
            <w:tcW w:w="7355" w:type="dxa"/>
            <w:gridSpan w:val="3"/>
            <w:tcBorders>
              <w:top w:val="single" w:color="000000" w:sz="4" w:space="0"/>
              <w:left w:val="single" w:color="000000" w:sz="4" w:space="0"/>
              <w:bottom w:val="single" w:color="000000" w:sz="4" w:space="0"/>
              <w:right w:val="single" w:color="000000" w:sz="4" w:space="0"/>
            </w:tcBorders>
            <w:vAlign w:val="center"/>
          </w:tcPr>
          <w:p w14:paraId="304FD7E1">
            <w:pPr>
              <w:widowControl/>
              <w:tabs>
                <w:tab w:val="left" w:pos="0"/>
              </w:tabs>
              <w:snapToGrid w:val="0"/>
              <w:spacing w:line="360" w:lineRule="auto"/>
              <w:jc w:val="left"/>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二、公安信息网</w:t>
            </w:r>
          </w:p>
        </w:tc>
        <w:tc>
          <w:tcPr>
            <w:tcW w:w="1164" w:type="dxa"/>
            <w:gridSpan w:val="2"/>
            <w:tcBorders>
              <w:top w:val="single" w:color="000000" w:sz="4" w:space="0"/>
              <w:left w:val="single" w:color="000000" w:sz="4" w:space="0"/>
              <w:bottom w:val="single" w:color="000000" w:sz="4" w:space="0"/>
              <w:right w:val="single" w:color="000000" w:sz="4" w:space="0"/>
            </w:tcBorders>
            <w:vAlign w:val="center"/>
          </w:tcPr>
          <w:p w14:paraId="3A54B911">
            <w:pPr>
              <w:snapToGrid w:val="0"/>
              <w:spacing w:line="360" w:lineRule="auto"/>
              <w:jc w:val="center"/>
              <w:rPr>
                <w:rFonts w:hint="eastAsia" w:ascii="宋体" w:hAnsi="宋体" w:eastAsia="宋体" w:cs="宋体"/>
                <w:b/>
                <w:bCs/>
                <w:color w:val="auto"/>
                <w:sz w:val="24"/>
              </w:rPr>
            </w:pPr>
          </w:p>
        </w:tc>
      </w:tr>
      <w:tr w14:paraId="14014F58">
        <w:tblPrEx>
          <w:tblCellMar>
            <w:top w:w="0" w:type="dxa"/>
            <w:left w:w="108" w:type="dxa"/>
            <w:bottom w:w="0" w:type="dxa"/>
            <w:right w:w="108" w:type="dxa"/>
          </w:tblCellMar>
        </w:tblPrEx>
        <w:trPr>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510F6380">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1</w:t>
            </w:r>
          </w:p>
        </w:tc>
        <w:tc>
          <w:tcPr>
            <w:tcW w:w="3014" w:type="dxa"/>
            <w:tcBorders>
              <w:top w:val="single" w:color="000000" w:sz="4" w:space="0"/>
              <w:left w:val="single" w:color="000000" w:sz="4" w:space="0"/>
              <w:bottom w:val="single" w:color="000000" w:sz="4" w:space="0"/>
              <w:right w:val="single" w:color="000000" w:sz="4" w:space="0"/>
            </w:tcBorders>
            <w:vAlign w:val="center"/>
          </w:tcPr>
          <w:p w14:paraId="39D92736">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视频联网系统管理单元</w:t>
            </w:r>
          </w:p>
        </w:tc>
        <w:tc>
          <w:tcPr>
            <w:tcW w:w="3509" w:type="dxa"/>
            <w:tcBorders>
              <w:top w:val="single" w:color="000000" w:sz="4" w:space="0"/>
              <w:left w:val="single" w:color="000000" w:sz="4" w:space="0"/>
              <w:bottom w:val="single" w:color="000000" w:sz="4" w:space="0"/>
              <w:right w:val="single" w:color="000000" w:sz="4" w:space="0"/>
            </w:tcBorders>
            <w:vAlign w:val="center"/>
          </w:tcPr>
          <w:p w14:paraId="5A333779">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单台设备支持100万路视频点位资源管理，10万路国标通道注册.</w:t>
            </w:r>
          </w:p>
        </w:tc>
        <w:tc>
          <w:tcPr>
            <w:tcW w:w="581" w:type="dxa"/>
            <w:tcBorders>
              <w:top w:val="single" w:color="000000" w:sz="4" w:space="0"/>
              <w:left w:val="single" w:color="000000" w:sz="4" w:space="0"/>
              <w:bottom w:val="single" w:color="000000" w:sz="4" w:space="0"/>
              <w:right w:val="single" w:color="000000" w:sz="4" w:space="0"/>
            </w:tcBorders>
            <w:noWrap/>
            <w:vAlign w:val="center"/>
          </w:tcPr>
          <w:p w14:paraId="0526405D">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台</w:t>
            </w:r>
          </w:p>
        </w:tc>
        <w:tc>
          <w:tcPr>
            <w:tcW w:w="583" w:type="dxa"/>
            <w:tcBorders>
              <w:top w:val="single" w:color="000000" w:sz="4" w:space="0"/>
              <w:left w:val="single" w:color="000000" w:sz="4" w:space="0"/>
              <w:bottom w:val="single" w:color="000000" w:sz="4" w:space="0"/>
              <w:right w:val="single" w:color="000000" w:sz="4" w:space="0"/>
            </w:tcBorders>
            <w:noWrap/>
            <w:vAlign w:val="center"/>
          </w:tcPr>
          <w:p w14:paraId="1D85F8C5">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1</w:t>
            </w:r>
          </w:p>
        </w:tc>
      </w:tr>
      <w:tr w14:paraId="4620D936">
        <w:tblPrEx>
          <w:tblCellMar>
            <w:top w:w="0" w:type="dxa"/>
            <w:left w:w="108" w:type="dxa"/>
            <w:bottom w:w="0" w:type="dxa"/>
            <w:right w:w="108" w:type="dxa"/>
          </w:tblCellMar>
        </w:tblPrEx>
        <w:trPr>
          <w:jc w:val="center"/>
        </w:trPr>
        <w:tc>
          <w:tcPr>
            <w:tcW w:w="832" w:type="dxa"/>
            <w:tcBorders>
              <w:top w:val="single" w:color="000000" w:sz="4" w:space="0"/>
              <w:left w:val="single" w:color="000000" w:sz="4" w:space="0"/>
              <w:bottom w:val="single" w:color="000000" w:sz="4" w:space="0"/>
              <w:right w:val="single" w:color="000000" w:sz="4" w:space="0"/>
            </w:tcBorders>
            <w:vAlign w:val="center"/>
          </w:tcPr>
          <w:p w14:paraId="58A5689E">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2</w:t>
            </w:r>
          </w:p>
        </w:tc>
        <w:tc>
          <w:tcPr>
            <w:tcW w:w="3014" w:type="dxa"/>
            <w:tcBorders>
              <w:top w:val="single" w:color="000000" w:sz="4" w:space="0"/>
              <w:left w:val="single" w:color="000000" w:sz="4" w:space="0"/>
              <w:bottom w:val="single" w:color="000000" w:sz="4" w:space="0"/>
              <w:right w:val="single" w:color="000000" w:sz="4" w:space="0"/>
            </w:tcBorders>
            <w:vAlign w:val="center"/>
          </w:tcPr>
          <w:p w14:paraId="4622B182">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视频联网转发网关</w:t>
            </w:r>
          </w:p>
        </w:tc>
        <w:tc>
          <w:tcPr>
            <w:tcW w:w="3509" w:type="dxa"/>
            <w:tcBorders>
              <w:top w:val="single" w:color="000000" w:sz="4" w:space="0"/>
              <w:left w:val="single" w:color="000000" w:sz="4" w:space="0"/>
              <w:bottom w:val="single" w:color="000000" w:sz="4" w:space="0"/>
              <w:right w:val="single" w:color="000000" w:sz="4" w:space="0"/>
            </w:tcBorders>
            <w:vAlign w:val="center"/>
          </w:tcPr>
          <w:p w14:paraId="2A4CBC60">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单台设备流媒体并发性能750路1080P视频流　</w:t>
            </w:r>
          </w:p>
        </w:tc>
        <w:tc>
          <w:tcPr>
            <w:tcW w:w="581" w:type="dxa"/>
            <w:tcBorders>
              <w:top w:val="single" w:color="000000" w:sz="4" w:space="0"/>
              <w:left w:val="single" w:color="000000" w:sz="4" w:space="0"/>
              <w:bottom w:val="single" w:color="000000" w:sz="4" w:space="0"/>
              <w:right w:val="single" w:color="000000" w:sz="4" w:space="0"/>
            </w:tcBorders>
            <w:noWrap/>
            <w:vAlign w:val="center"/>
          </w:tcPr>
          <w:p w14:paraId="1252A3E3">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台</w:t>
            </w:r>
          </w:p>
        </w:tc>
        <w:tc>
          <w:tcPr>
            <w:tcW w:w="583" w:type="dxa"/>
            <w:tcBorders>
              <w:top w:val="single" w:color="000000" w:sz="4" w:space="0"/>
              <w:left w:val="single" w:color="000000" w:sz="4" w:space="0"/>
              <w:bottom w:val="single" w:color="000000" w:sz="4" w:space="0"/>
              <w:right w:val="single" w:color="000000" w:sz="4" w:space="0"/>
            </w:tcBorders>
            <w:noWrap/>
            <w:vAlign w:val="center"/>
          </w:tcPr>
          <w:p w14:paraId="5E676B35">
            <w:pPr>
              <w:widowControl/>
              <w:snapToGrid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2</w:t>
            </w:r>
          </w:p>
        </w:tc>
      </w:tr>
    </w:tbl>
    <w:p w14:paraId="6EDC9323">
      <w:pPr>
        <w:tabs>
          <w:tab w:val="left" w:pos="1804"/>
        </w:tabs>
        <w:rPr>
          <w:rFonts w:hint="eastAsia"/>
          <w:color w:val="auto"/>
          <w:lang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B06040200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3FEEA">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951"/>
                          </w:sdtPr>
                          <w:sdtContent>
                            <w:p w14:paraId="49AD9DA8">
                              <w:pPr>
                                <w:pStyle w:val="8"/>
                                <w:jc w:val="center"/>
                              </w:pPr>
                              <w:r>
                                <w:fldChar w:fldCharType="begin"/>
                              </w:r>
                              <w:r>
                                <w:instrText xml:space="preserve">PAGE   \* MERGEFORMAT</w:instrText>
                              </w:r>
                              <w:r>
                                <w:fldChar w:fldCharType="separate"/>
                              </w:r>
                              <w:r>
                                <w:rPr>
                                  <w:lang w:val="zh-CN"/>
                                </w:rPr>
                                <w:t>2</w:t>
                              </w:r>
                              <w:r>
                                <w:fldChar w:fldCharType="end"/>
                              </w:r>
                            </w:p>
                          </w:sdtContent>
                        </w:sdt>
                        <w:p w14:paraId="1B9AB86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6951"/>
                    </w:sdtPr>
                    <w:sdtContent>
                      <w:p w14:paraId="49AD9DA8">
                        <w:pPr>
                          <w:pStyle w:val="8"/>
                          <w:jc w:val="center"/>
                        </w:pPr>
                        <w:r>
                          <w:fldChar w:fldCharType="begin"/>
                        </w:r>
                        <w:r>
                          <w:instrText xml:space="preserve">PAGE   \* MERGEFORMAT</w:instrText>
                        </w:r>
                        <w:r>
                          <w:fldChar w:fldCharType="separate"/>
                        </w:r>
                        <w:r>
                          <w:rPr>
                            <w:lang w:val="zh-CN"/>
                          </w:rPr>
                          <w:t>2</w:t>
                        </w:r>
                        <w:r>
                          <w:fldChar w:fldCharType="end"/>
                        </w:r>
                      </w:p>
                    </w:sdtContent>
                  </w:sdt>
                  <w:p w14:paraId="1B9AB860"/>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6AC29">
    <w:pPr>
      <w:pStyle w:val="9"/>
      <w:pBdr>
        <w:bottom w:val="single" w:color="auto" w:sz="4" w:space="0"/>
      </w:pBdr>
      <w:rPr>
        <w:rFonts w:hint="default" w:eastAsiaTheme="minorEastAsia"/>
        <w:color w:val="auto"/>
        <w:lang w:val="en-US" w:eastAsia="zh-CN"/>
      </w:rPr>
    </w:pPr>
    <w:r>
      <w:rPr>
        <w:rFonts w:hint="eastAsia"/>
        <w:lang w:val="en-US" w:eastAsia="zh-CN"/>
      </w:rPr>
      <w:t xml:space="preserve">ZC20260139   </w:t>
    </w:r>
    <w:r>
      <w:rPr>
        <w:rFonts w:hint="eastAsia"/>
        <w:color w:val="auto"/>
        <w:lang w:val="en-US" w:eastAsia="zh-CN"/>
      </w:rPr>
      <w:t xml:space="preserve"> </w:t>
    </w:r>
    <w:r>
      <w:rPr>
        <w:rFonts w:hint="eastAsia" w:ascii="宋体" w:hAnsi="宋体"/>
        <w:color w:val="auto"/>
        <w:szCs w:val="21"/>
        <w:highlight w:val="none"/>
        <w:lang w:eastAsia="zh-CN"/>
      </w:rPr>
      <w:t>上海市公安局长宁分局新一代视频联网设备配套升级改造公开招标项目</w:t>
    </w:r>
    <w:r>
      <w:rPr>
        <w:rFonts w:hint="eastAsia" w:ascii="宋体" w:hAnsi="宋体"/>
        <w:color w:val="auto"/>
        <w:szCs w:val="21"/>
        <w:highlight w:val="none"/>
        <w:lang w:val="en-US" w:eastAsia="zh-CN"/>
      </w:rPr>
      <w:t xml:space="preserve">  招标需求文件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FC89D"/>
    <w:multiLevelType w:val="multilevel"/>
    <w:tmpl w:val="B66FC89D"/>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2048" w:hanging="1008"/>
      </w:pPr>
      <w:rPr>
        <w:rFonts w:hint="default"/>
      </w:rPr>
    </w:lvl>
    <w:lvl w:ilvl="5" w:tentative="0">
      <w:start w:val="1"/>
      <w:numFmt w:val="decimal"/>
      <w:pStyle w:val="2"/>
      <w:lvlText w:val="%1.%2.%3.%4.%5.%6."/>
      <w:lvlJc w:val="left"/>
      <w:pPr>
        <w:ind w:left="1571" w:hanging="1151"/>
      </w:pPr>
      <w:rPr>
        <w:rFonts w:hint="default"/>
      </w:rPr>
    </w:lvl>
    <w:lvl w:ilvl="6" w:tentative="0">
      <w:start w:val="1"/>
      <w:numFmt w:val="decimal"/>
      <w:lvlText w:val="%1.%2.%3.%4.%5.%6.%7."/>
      <w:lvlJc w:val="left"/>
      <w:pPr>
        <w:ind w:left="1716" w:hanging="1296"/>
      </w:pPr>
      <w:rPr>
        <w:rFonts w:hint="default"/>
      </w:rPr>
    </w:lvl>
    <w:lvl w:ilvl="7" w:tentative="0">
      <w:start w:val="1"/>
      <w:numFmt w:val="decimal"/>
      <w:lvlText w:val="%1.%2.%3.%4.%5.%6.%7.%8."/>
      <w:lvlJc w:val="left"/>
      <w:pPr>
        <w:ind w:left="1860" w:hanging="1440"/>
      </w:pPr>
      <w:rPr>
        <w:rFonts w:hint="default"/>
      </w:rPr>
    </w:lvl>
    <w:lvl w:ilvl="8" w:tentative="0">
      <w:start w:val="1"/>
      <w:numFmt w:val="decimal"/>
      <w:lvlText w:val="%1.%2.%3.%4.%5.%6.%7.%8.%9."/>
      <w:lvlJc w:val="left"/>
      <w:pPr>
        <w:ind w:left="2003" w:hanging="1583"/>
      </w:pPr>
      <w:rPr>
        <w:rFonts w:hint="default"/>
      </w:rPr>
    </w:lvl>
  </w:abstractNum>
  <w:abstractNum w:abstractNumId="1">
    <w:nsid w:val="075879D8"/>
    <w:multiLevelType w:val="multilevel"/>
    <w:tmpl w:val="075879D8"/>
    <w:lvl w:ilvl="0" w:tentative="0">
      <w:start w:val="1"/>
      <w:numFmt w:val="decimal"/>
      <w:lvlText w:val="%1、"/>
      <w:lvlJc w:val="left"/>
      <w:pPr>
        <w:ind w:left="425" w:hanging="425"/>
      </w:pPr>
      <w:rPr>
        <w:rFonts w:hint="default"/>
      </w:rPr>
    </w:lvl>
    <w:lvl w:ilvl="1" w:tentative="0">
      <w:start w:val="1"/>
      <w:numFmt w:val="decimal"/>
      <w:pStyle w:val="5"/>
      <w:lvlText w:val="%1.%2."/>
      <w:lvlJc w:val="left"/>
      <w:pPr>
        <w:ind w:left="567" w:hanging="567"/>
      </w:pPr>
    </w:lvl>
    <w:lvl w:ilvl="2" w:tentative="0">
      <w:start w:val="1"/>
      <w:numFmt w:val="decimal"/>
      <w:lvlText w:val="%1.%2.%3."/>
      <w:lvlJc w:val="left"/>
      <w:pPr>
        <w:ind w:left="709" w:hanging="709"/>
      </w:pPr>
      <w:rPr>
        <w:rFonts w:hint="default"/>
        <w:b/>
        <w:bCs/>
      </w:rPr>
    </w:lvl>
    <w:lvl w:ilvl="3" w:tentative="0">
      <w:start w:val="1"/>
      <w:numFmt w:val="decimal"/>
      <w:lvlText w:val="%1.%2.%3.%4."/>
      <w:lvlJc w:val="left"/>
      <w:pPr>
        <w:ind w:left="850" w:hanging="850"/>
      </w:pPr>
      <w:rPr>
        <w:rFonts w:hint="default"/>
        <w:b/>
        <w:bCs w:val="0"/>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19BF7CD2"/>
    <w:multiLevelType w:val="singleLevel"/>
    <w:tmpl w:val="19BF7CD2"/>
    <w:lvl w:ilvl="0" w:tentative="0">
      <w:start w:val="1"/>
      <w:numFmt w:val="decimal"/>
      <w:lvlText w:val="(%1)"/>
      <w:lvlJc w:val="left"/>
      <w:pPr>
        <w:ind w:left="0" w:leftChars="0" w:firstLine="0" w:firstLineChars="0"/>
      </w:pPr>
      <w:rPr>
        <w:rFonts w:hint="default" w:ascii="宋体" w:hAnsi="宋体" w:eastAsia="宋体" w:cs="宋体"/>
        <w:sz w:val="24"/>
        <w:szCs w:val="24"/>
      </w:rPr>
    </w:lvl>
  </w:abstractNum>
  <w:abstractNum w:abstractNumId="3">
    <w:nsid w:val="21696BCF"/>
    <w:multiLevelType w:val="singleLevel"/>
    <w:tmpl w:val="21696BCF"/>
    <w:lvl w:ilvl="0" w:tentative="0">
      <w:start w:val="1"/>
      <w:numFmt w:val="decimal"/>
      <w:lvlText w:val="%1."/>
      <w:lvlJc w:val="left"/>
      <w:pPr>
        <w:ind w:left="425" w:hanging="425"/>
      </w:pPr>
      <w:rPr>
        <w:rFonts w:hint="default"/>
      </w:rPr>
    </w:lvl>
  </w:abstractNum>
  <w:abstractNum w:abstractNumId="4">
    <w:nsid w:val="2E5FBC05"/>
    <w:multiLevelType w:val="singleLevel"/>
    <w:tmpl w:val="2E5FBC05"/>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B1AE1"/>
    <w:rsid w:val="0275675C"/>
    <w:rsid w:val="042868A4"/>
    <w:rsid w:val="075E7136"/>
    <w:rsid w:val="0AEB04A3"/>
    <w:rsid w:val="0D62090C"/>
    <w:rsid w:val="106F0EC2"/>
    <w:rsid w:val="148A4AFB"/>
    <w:rsid w:val="15984662"/>
    <w:rsid w:val="17415850"/>
    <w:rsid w:val="17DB34F6"/>
    <w:rsid w:val="19CD7872"/>
    <w:rsid w:val="1A217CEE"/>
    <w:rsid w:val="1DF0454D"/>
    <w:rsid w:val="1E735E02"/>
    <w:rsid w:val="20793C05"/>
    <w:rsid w:val="22774677"/>
    <w:rsid w:val="24F6488F"/>
    <w:rsid w:val="26150BC2"/>
    <w:rsid w:val="2BAD2A8B"/>
    <w:rsid w:val="2BE772CF"/>
    <w:rsid w:val="2F5B216B"/>
    <w:rsid w:val="30731BBC"/>
    <w:rsid w:val="336407B5"/>
    <w:rsid w:val="34126ED7"/>
    <w:rsid w:val="3506425D"/>
    <w:rsid w:val="3557793D"/>
    <w:rsid w:val="35944780"/>
    <w:rsid w:val="36020FB1"/>
    <w:rsid w:val="369B36B0"/>
    <w:rsid w:val="392418AA"/>
    <w:rsid w:val="3F5A04F0"/>
    <w:rsid w:val="42380F9F"/>
    <w:rsid w:val="42E523D4"/>
    <w:rsid w:val="48F37B27"/>
    <w:rsid w:val="49902E1F"/>
    <w:rsid w:val="4C917F0E"/>
    <w:rsid w:val="4E9A5272"/>
    <w:rsid w:val="54DF5AAB"/>
    <w:rsid w:val="56846D94"/>
    <w:rsid w:val="57B06D14"/>
    <w:rsid w:val="5AC23B86"/>
    <w:rsid w:val="5ADB2E24"/>
    <w:rsid w:val="5C6E2CDC"/>
    <w:rsid w:val="5E325922"/>
    <w:rsid w:val="5F6C6F86"/>
    <w:rsid w:val="619C3FC3"/>
    <w:rsid w:val="683319F7"/>
    <w:rsid w:val="686E206C"/>
    <w:rsid w:val="68993BAF"/>
    <w:rsid w:val="6D91254C"/>
    <w:rsid w:val="6E8A2459"/>
    <w:rsid w:val="77012E7E"/>
    <w:rsid w:val="78405BE0"/>
    <w:rsid w:val="7C0F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4"/>
    <w:next w:val="1"/>
    <w:link w:val="14"/>
    <w:qFormat/>
    <w:uiPriority w:val="0"/>
    <w:pPr>
      <w:keepNext/>
      <w:keepLines/>
      <w:spacing w:before="50" w:beforeLines="50" w:after="50" w:afterLines="50" w:line="360" w:lineRule="auto"/>
      <w:jc w:val="center"/>
      <w:outlineLvl w:val="0"/>
    </w:pPr>
    <w:rPr>
      <w:rFonts w:ascii="Times New Roman" w:hAnsi="Times New Roman" w:cs="Times New Roman" w:eastAsiaTheme="majorEastAsia"/>
      <w:b/>
      <w:bCs/>
      <w:snapToGrid w:val="0"/>
      <w:color w:val="000000"/>
      <w:spacing w:val="23"/>
      <w:kern w:val="44"/>
      <w:sz w:val="36"/>
      <w:szCs w:val="20"/>
      <w:lang w:eastAsia="en-US"/>
    </w:rPr>
  </w:style>
  <w:style w:type="paragraph" w:styleId="5">
    <w:name w:val="heading 2"/>
    <w:basedOn w:val="4"/>
    <w:next w:val="1"/>
    <w:unhideWhenUsed/>
    <w:qFormat/>
    <w:uiPriority w:val="9"/>
    <w:pPr>
      <w:numPr>
        <w:ilvl w:val="1"/>
        <w:numId w:val="1"/>
      </w:numPr>
      <w:spacing w:before="120" w:after="120"/>
      <w:ind w:left="0" w:firstLine="0" w:firstLineChars="0"/>
      <w:jc w:val="left"/>
      <w:outlineLvl w:val="1"/>
    </w:pPr>
    <w:rPr>
      <w:b/>
      <w:sz w:val="28"/>
    </w:rPr>
  </w:style>
  <w:style w:type="paragraph" w:styleId="2">
    <w:name w:val="heading 6"/>
    <w:basedOn w:val="1"/>
    <w:next w:val="1"/>
    <w:unhideWhenUsed/>
    <w:qFormat/>
    <w:uiPriority w:val="0"/>
    <w:pPr>
      <w:keepNext/>
      <w:keepLines/>
      <w:numPr>
        <w:ilvl w:val="5"/>
        <w:numId w:val="2"/>
      </w:numPr>
      <w:tabs>
        <w:tab w:val="left" w:pos="420"/>
      </w:tabs>
      <w:spacing w:before="240" w:beforeLines="0" w:beforeAutospacing="0" w:after="64" w:afterLines="0" w:afterAutospacing="0" w:line="317" w:lineRule="auto"/>
      <w:ind w:left="1571" w:hanging="1151"/>
      <w:outlineLvl w:val="5"/>
    </w:pPr>
    <w:rPr>
      <w:rFonts w:ascii="Arial" w:hAnsi="Arial" w:eastAsia="黑体"/>
      <w:b/>
      <w:sz w:val="24"/>
      <w:szCs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4">
    <w:name w:val="*正文"/>
    <w:basedOn w:val="1"/>
    <w:qFormat/>
    <w:uiPriority w:val="0"/>
    <w:pPr>
      <w:spacing w:line="360" w:lineRule="auto"/>
      <w:ind w:firstLine="200" w:firstLineChars="200"/>
    </w:pPr>
    <w:rPr>
      <w:rFonts w:ascii="宋体" w:hAnsi="宋体"/>
      <w:sz w:val="24"/>
    </w:rPr>
  </w:style>
  <w:style w:type="paragraph" w:styleId="6">
    <w:name w:val="Body Text"/>
    <w:basedOn w:val="1"/>
    <w:next w:val="7"/>
    <w:qFormat/>
    <w:uiPriority w:val="0"/>
    <w:pPr>
      <w:spacing w:line="360" w:lineRule="auto"/>
    </w:pPr>
    <w:rPr>
      <w:rFonts w:ascii="楷体_GB2312" w:eastAsia="楷体_GB2312"/>
      <w:sz w:val="32"/>
    </w:rPr>
  </w:style>
  <w:style w:type="paragraph" w:styleId="7">
    <w:name w:val="Body Text First Indent"/>
    <w:basedOn w:val="6"/>
    <w:qFormat/>
    <w:uiPriority w:val="0"/>
    <w:pPr>
      <w:ind w:firstLine="420" w:firstLineChars="100"/>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HTML Sample"/>
    <w:basedOn w:val="12"/>
    <w:qFormat/>
    <w:uiPriority w:val="0"/>
    <w:rPr>
      <w:rFonts w:ascii="Courier New" w:hAnsi="Courier New"/>
    </w:rPr>
  </w:style>
  <w:style w:type="character" w:customStyle="1" w:styleId="14">
    <w:name w:val="标题 1字符"/>
    <w:link w:val="3"/>
    <w:qFormat/>
    <w:uiPriority w:val="0"/>
    <w:rPr>
      <w:rFonts w:ascii="Times New Roman" w:hAnsi="Times New Roman" w:eastAsia="宋体" w:cs="Times New Roman"/>
      <w:b/>
      <w:snapToGrid w:val="0"/>
      <w:color w:val="000000"/>
      <w:spacing w:val="23"/>
      <w:kern w:val="2"/>
      <w:sz w:val="32"/>
      <w:szCs w:val="24"/>
      <w:lang w:eastAsia="en-US"/>
    </w:rPr>
  </w:style>
  <w:style w:type="paragraph" w:customStyle="1" w:styleId="15">
    <w:name w:val="正文 New New New New New New New New New New New New New New New1"/>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16">
    <w:name w:val="样式"/>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6902</Words>
  <Characters>7184</Characters>
  <DocSecurity>0</DocSecurity>
  <Lines>0</Lines>
  <Paragraphs>0</Paragraphs>
  <ScaleCrop>false</ScaleCrop>
  <LinksUpToDate>false</LinksUpToDate>
  <CharactersWithSpaces>7230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2023-12-04T03:57:00Z</dcterms:created>
  <dcterms:modified xsi:type="dcterms:W3CDTF">2026-07-23T08:27:34Z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ECB40684078743B780B9A847C347C442_12</vt:lpwstr>
  </property>
  <property fmtid="{D5CDD505-2E9C-101B-9397-08002B2CF9AE}" pid="4" name="KSOTemplateDocerSaveRecord">
    <vt:lpwstr>eyJoZGlkIjoiOTM4YjIyY2Q3YmE4MDU5NmQyYjg1Yjk5NjQzNDc2MjAiLCJ1c2VySWQiOiI1Njk1NTUzMTgifQ==</vt:lpwstr>
  </property>
</Properties>
</file>