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C27C1">
      <w:pPr>
        <w:widowControl/>
        <w:spacing w:before="75" w:after="75"/>
        <w:jc w:val="center"/>
        <w:rPr>
          <w:rFonts w:hint="eastAsia" w:ascii="宋体" w:hAnsi="宋体" w:eastAsia="宋体" w:cs="宋体"/>
          <w:b/>
          <w:color w:val="auto"/>
          <w:sz w:val="28"/>
          <w:szCs w:val="28"/>
        </w:rPr>
      </w:pPr>
      <w:r>
        <w:rPr>
          <w:rFonts w:ascii="宋体" w:hAnsi="宋体" w:eastAsia="宋体" w:cs="宋体"/>
          <w:b/>
          <w:color w:val="auto"/>
          <w:sz w:val="28"/>
          <w:szCs w:val="28"/>
        </w:rPr>
        <w:t>上海市光华中西医结合医院所需手术室、特检、眼科等一批医疗设备</w:t>
      </w:r>
      <w:r>
        <w:rPr>
          <w:rFonts w:hint="eastAsia" w:ascii="宋体" w:hAnsi="宋体" w:eastAsia="宋体" w:cs="宋体"/>
          <w:b/>
          <w:color w:val="auto"/>
          <w:sz w:val="28"/>
          <w:szCs w:val="28"/>
        </w:rPr>
        <w:t>公开招标项目招标需求文件</w:t>
      </w:r>
    </w:p>
    <w:p w14:paraId="4A5E78C5">
      <w:pPr>
        <w:widowControl/>
        <w:spacing w:before="75" w:after="75"/>
        <w:jc w:val="center"/>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rPr>
        <w:t>第三标包：眼科设备</w:t>
      </w:r>
      <w:r>
        <w:rPr>
          <w:rFonts w:hint="eastAsia" w:ascii="宋体" w:hAnsi="宋体" w:eastAsia="宋体" w:cs="宋体"/>
          <w:b/>
          <w:color w:val="auto"/>
          <w:sz w:val="28"/>
          <w:szCs w:val="28"/>
          <w:lang w:val="en-US" w:eastAsia="zh-CN"/>
        </w:rPr>
        <w:t>1</w:t>
      </w:r>
    </w:p>
    <w:p w14:paraId="5D3BB547">
      <w:pPr>
        <w:rPr>
          <w:rFonts w:hint="eastAsia" w:ascii="宋体" w:hAnsi="宋体" w:eastAsia="宋体" w:cs="宋体"/>
          <w:b/>
          <w:bCs/>
          <w:color w:val="auto"/>
          <w:kern w:val="0"/>
          <w:sz w:val="24"/>
        </w:rPr>
      </w:pPr>
      <w:r>
        <w:rPr>
          <w:rFonts w:hint="eastAsia" w:ascii="宋体" w:hAnsi="宋体" w:eastAsia="宋体" w:cs="宋体"/>
          <w:b/>
          <w:bCs/>
          <w:color w:val="auto"/>
          <w:kern w:val="0"/>
          <w:sz w:val="24"/>
        </w:rPr>
        <w:t>一、项目概况</w:t>
      </w:r>
    </w:p>
    <w:p w14:paraId="004FD204">
      <w:pPr>
        <w:pStyle w:val="2"/>
        <w:numPr>
          <w:ilvl w:val="0"/>
          <w:numId w:val="1"/>
        </w:numPr>
        <w:rPr>
          <w:rFonts w:hint="eastAsia" w:ascii="宋体" w:hAnsi="宋体" w:eastAsia="宋体" w:cs="宋体"/>
          <w:color w:val="auto"/>
          <w:sz w:val="24"/>
        </w:rPr>
      </w:pPr>
      <w:r>
        <w:rPr>
          <w:rFonts w:hint="eastAsia" w:ascii="宋体" w:hAnsi="宋体" w:eastAsia="宋体" w:cs="宋体"/>
          <w:color w:val="auto"/>
          <w:sz w:val="24"/>
        </w:rPr>
        <w:t>设备数量</w:t>
      </w:r>
    </w:p>
    <w:tbl>
      <w:tblPr>
        <w:tblStyle w:val="6"/>
        <w:tblW w:w="8603" w:type="dxa"/>
        <w:tblInd w:w="0" w:type="dxa"/>
        <w:tblLayout w:type="autofit"/>
        <w:tblCellMar>
          <w:top w:w="0" w:type="dxa"/>
          <w:left w:w="108" w:type="dxa"/>
          <w:bottom w:w="0" w:type="dxa"/>
          <w:right w:w="108" w:type="dxa"/>
        </w:tblCellMar>
      </w:tblPr>
      <w:tblGrid>
        <w:gridCol w:w="675"/>
        <w:gridCol w:w="3078"/>
        <w:gridCol w:w="1400"/>
        <w:gridCol w:w="1717"/>
        <w:gridCol w:w="1733"/>
      </w:tblGrid>
      <w:tr w14:paraId="0A6D6ADA">
        <w:tblPrEx>
          <w:tblCellMar>
            <w:top w:w="0" w:type="dxa"/>
            <w:left w:w="108" w:type="dxa"/>
            <w:bottom w:w="0" w:type="dxa"/>
            <w:right w:w="108" w:type="dxa"/>
          </w:tblCellMar>
        </w:tblPrEx>
        <w:trPr>
          <w:trHeight w:val="905" w:hRule="atLeast"/>
        </w:trPr>
        <w:tc>
          <w:tcPr>
            <w:tcW w:w="675" w:type="dxa"/>
            <w:tcBorders>
              <w:top w:val="single" w:color="000000" w:sz="4" w:space="0"/>
              <w:left w:val="single" w:color="000000" w:sz="4" w:space="0"/>
              <w:bottom w:val="single" w:color="000000" w:sz="4" w:space="0"/>
              <w:right w:val="single" w:color="000000" w:sz="4" w:space="0"/>
            </w:tcBorders>
            <w:vAlign w:val="center"/>
          </w:tcPr>
          <w:p w14:paraId="385F2B8D">
            <w:pPr>
              <w:widowControl/>
              <w:jc w:val="center"/>
              <w:textAlignment w:val="center"/>
              <w:rPr>
                <w:rFonts w:hint="eastAsia" w:ascii="宋体" w:hAnsi="宋体" w:eastAsia="宋体" w:cs="宋体"/>
                <w:b/>
                <w:bCs/>
                <w:color w:val="auto"/>
                <w:sz w:val="24"/>
              </w:rPr>
            </w:pPr>
            <w:r>
              <w:rPr>
                <w:rFonts w:hint="eastAsia" w:ascii="宋体" w:hAnsi="宋体" w:eastAsia="宋体" w:cs="宋体"/>
                <w:b/>
                <w:bCs/>
                <w:color w:val="auto"/>
                <w:sz w:val="24"/>
              </w:rPr>
              <w:t>序号</w:t>
            </w:r>
          </w:p>
        </w:tc>
        <w:tc>
          <w:tcPr>
            <w:tcW w:w="3078" w:type="dxa"/>
            <w:tcBorders>
              <w:top w:val="single" w:color="000000" w:sz="4" w:space="0"/>
              <w:left w:val="single" w:color="000000" w:sz="4" w:space="0"/>
              <w:bottom w:val="single" w:color="000000" w:sz="4" w:space="0"/>
              <w:right w:val="single" w:color="000000" w:sz="4" w:space="0"/>
            </w:tcBorders>
            <w:vAlign w:val="center"/>
          </w:tcPr>
          <w:p w14:paraId="335CF228">
            <w:pPr>
              <w:widowControl/>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设备名称</w:t>
            </w:r>
          </w:p>
        </w:tc>
        <w:tc>
          <w:tcPr>
            <w:tcW w:w="1400" w:type="dxa"/>
            <w:tcBorders>
              <w:top w:val="single" w:color="000000" w:sz="4" w:space="0"/>
              <w:left w:val="single" w:color="000000" w:sz="4" w:space="0"/>
              <w:bottom w:val="single" w:color="000000" w:sz="4" w:space="0"/>
              <w:right w:val="single" w:color="000000" w:sz="4" w:space="0"/>
            </w:tcBorders>
            <w:vAlign w:val="center"/>
          </w:tcPr>
          <w:p w14:paraId="277D2398">
            <w:pPr>
              <w:widowControl/>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数量</w:t>
            </w:r>
          </w:p>
        </w:tc>
        <w:tc>
          <w:tcPr>
            <w:tcW w:w="1717" w:type="dxa"/>
            <w:tcBorders>
              <w:top w:val="single" w:color="000000" w:sz="4" w:space="0"/>
              <w:left w:val="single" w:color="000000" w:sz="4" w:space="0"/>
              <w:bottom w:val="single" w:color="000000" w:sz="4" w:space="0"/>
              <w:right w:val="single" w:color="000000" w:sz="4" w:space="0"/>
            </w:tcBorders>
            <w:vAlign w:val="center"/>
          </w:tcPr>
          <w:p w14:paraId="5AF09DCF">
            <w:pPr>
              <w:widowControl/>
              <w:jc w:val="center"/>
              <w:textAlignment w:val="center"/>
              <w:rPr>
                <w:rFonts w:hint="eastAsia" w:ascii="宋体" w:hAnsi="宋体" w:eastAsia="宋体" w:cs="宋体"/>
                <w:b/>
                <w:bCs/>
                <w:color w:val="auto"/>
                <w:kern w:val="0"/>
                <w:sz w:val="24"/>
                <w:lang w:bidi="ar"/>
              </w:rPr>
            </w:pPr>
            <w:r>
              <w:rPr>
                <w:rFonts w:hint="eastAsia" w:ascii="宋体" w:hAnsi="宋体" w:eastAsia="宋体" w:cs="宋体"/>
                <w:b/>
                <w:bCs/>
                <w:color w:val="auto"/>
                <w:kern w:val="0"/>
                <w:sz w:val="24"/>
                <w:lang w:bidi="ar"/>
              </w:rPr>
              <w:t>设备</w:t>
            </w:r>
          </w:p>
          <w:p w14:paraId="1E9AF666">
            <w:pPr>
              <w:widowControl/>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单价限价</w:t>
            </w:r>
            <w:r>
              <w:rPr>
                <w:rFonts w:hint="eastAsia" w:ascii="宋体" w:hAnsi="宋体" w:eastAsia="宋体" w:cs="宋体"/>
                <w:b/>
                <w:bCs/>
                <w:color w:val="auto"/>
                <w:kern w:val="0"/>
                <w:sz w:val="24"/>
                <w:lang w:bidi="ar"/>
              </w:rPr>
              <w:br w:type="textWrapping"/>
            </w:r>
            <w:r>
              <w:rPr>
                <w:rFonts w:hint="eastAsia" w:ascii="宋体" w:hAnsi="宋体" w:eastAsia="宋体" w:cs="宋体"/>
                <w:b/>
                <w:bCs/>
                <w:color w:val="auto"/>
                <w:kern w:val="0"/>
                <w:sz w:val="24"/>
                <w:lang w:bidi="ar"/>
              </w:rPr>
              <w:t>（万元）</w:t>
            </w:r>
          </w:p>
        </w:tc>
        <w:tc>
          <w:tcPr>
            <w:tcW w:w="1733" w:type="dxa"/>
            <w:tcBorders>
              <w:top w:val="single" w:color="000000" w:sz="4" w:space="0"/>
              <w:left w:val="single" w:color="000000" w:sz="4" w:space="0"/>
              <w:bottom w:val="single" w:color="000000" w:sz="4" w:space="0"/>
              <w:right w:val="single" w:color="000000" w:sz="4" w:space="0"/>
            </w:tcBorders>
            <w:vAlign w:val="center"/>
          </w:tcPr>
          <w:p w14:paraId="2CC9DD00">
            <w:pPr>
              <w:widowControl/>
              <w:jc w:val="center"/>
              <w:textAlignment w:val="center"/>
              <w:rPr>
                <w:rFonts w:hint="eastAsia" w:ascii="宋体" w:hAnsi="宋体" w:eastAsia="宋体" w:cs="宋体"/>
                <w:b/>
                <w:bCs/>
                <w:color w:val="auto"/>
                <w:sz w:val="24"/>
              </w:rPr>
            </w:pPr>
            <w:r>
              <w:rPr>
                <w:rFonts w:hint="eastAsia" w:ascii="宋体" w:hAnsi="宋体" w:eastAsia="宋体" w:cs="宋体"/>
                <w:b/>
                <w:bCs/>
                <w:color w:val="auto"/>
                <w:kern w:val="0"/>
                <w:sz w:val="24"/>
                <w:lang w:bidi="ar"/>
              </w:rPr>
              <w:t>设备核价限价</w:t>
            </w:r>
            <w:r>
              <w:rPr>
                <w:rFonts w:hint="eastAsia" w:ascii="宋体" w:hAnsi="宋体" w:eastAsia="宋体" w:cs="宋体"/>
                <w:b/>
                <w:bCs/>
                <w:color w:val="auto"/>
                <w:kern w:val="0"/>
                <w:sz w:val="24"/>
                <w:lang w:bidi="ar"/>
              </w:rPr>
              <w:br w:type="textWrapping"/>
            </w:r>
            <w:r>
              <w:rPr>
                <w:rFonts w:hint="eastAsia" w:ascii="宋体" w:hAnsi="宋体" w:eastAsia="宋体" w:cs="宋体"/>
                <w:b/>
                <w:bCs/>
                <w:color w:val="auto"/>
                <w:kern w:val="0"/>
                <w:sz w:val="24"/>
                <w:lang w:bidi="ar"/>
              </w:rPr>
              <w:t>（万元）</w:t>
            </w:r>
          </w:p>
        </w:tc>
      </w:tr>
      <w:tr w14:paraId="43A2ECB5">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9EA7F0">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A79E9F6">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强脉冲光干眼治疗仪</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5119B4">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95444D8">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100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764E8C">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100</w:t>
            </w:r>
          </w:p>
        </w:tc>
      </w:tr>
      <w:tr w14:paraId="1387A158">
        <w:tblPrEx>
          <w:tblCellMar>
            <w:top w:w="0" w:type="dxa"/>
            <w:left w:w="108" w:type="dxa"/>
            <w:bottom w:w="0" w:type="dxa"/>
            <w:right w:w="108" w:type="dxa"/>
          </w:tblCellMar>
        </w:tblPrEx>
        <w:trPr>
          <w:trHeight w:val="436"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750DF3E">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4AF27C4">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电脑非接触眼压计</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95864FE">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381C09F">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66059BD">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10</w:t>
            </w:r>
          </w:p>
        </w:tc>
      </w:tr>
      <w:tr w14:paraId="3AD31001">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D077CA9">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3</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036331D">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综合检查台（含裂隙灯）一</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F3FF135">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01A03E">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7A1121">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20</w:t>
            </w:r>
          </w:p>
        </w:tc>
      </w:tr>
      <w:tr w14:paraId="4978C824">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BC2273">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4</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9CB01E6">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综合检查台（含裂隙灯）二</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89BC7FD">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sz w:val="24"/>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5248DDA">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sz w:val="24"/>
              </w:rPr>
              <w:t>20</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B607B71">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sz w:val="24"/>
              </w:rPr>
              <w:t>20</w:t>
            </w:r>
          </w:p>
        </w:tc>
      </w:tr>
      <w:tr w14:paraId="61045F1B">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A3690E3">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5</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C7EB097">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视力表灯箱</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29BBDDC">
            <w:pPr>
              <w:widowControl/>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2</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473FA6E">
            <w:pPr>
              <w:widowControl/>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0.05</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968094">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0.1</w:t>
            </w:r>
          </w:p>
        </w:tc>
      </w:tr>
      <w:tr w14:paraId="0A15A665">
        <w:tblPrEx>
          <w:tblCellMar>
            <w:top w:w="0" w:type="dxa"/>
            <w:left w:w="108" w:type="dxa"/>
            <w:bottom w:w="0" w:type="dxa"/>
            <w:right w:w="108" w:type="dxa"/>
          </w:tblCellMar>
        </w:tblPrEx>
        <w:trPr>
          <w:trHeight w:val="431" w:hRule="atLeast"/>
        </w:trPr>
        <w:tc>
          <w:tcPr>
            <w:tcW w:w="67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1763CE6">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6</w:t>
            </w:r>
          </w:p>
        </w:tc>
        <w:tc>
          <w:tcPr>
            <w:tcW w:w="3078"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A0E2F08">
            <w:pPr>
              <w:widowControl/>
              <w:jc w:val="center"/>
              <w:textAlignment w:val="center"/>
              <w:rPr>
                <w:rFonts w:hint="eastAsia" w:ascii="宋体" w:hAnsi="宋体" w:eastAsia="宋体" w:cs="宋体"/>
                <w:color w:val="auto"/>
                <w:kern w:val="0"/>
                <w:sz w:val="24"/>
                <w:lang w:bidi="ar"/>
              </w:rPr>
            </w:pPr>
            <w:r>
              <w:rPr>
                <w:rFonts w:hint="eastAsia" w:ascii="宋体" w:hAnsi="宋体" w:eastAsia="宋体" w:cs="宋体"/>
                <w:color w:val="auto"/>
                <w:kern w:val="0"/>
                <w:sz w:val="24"/>
                <w:lang w:bidi="ar"/>
              </w:rPr>
              <w:t>验光镜片箱</w:t>
            </w:r>
          </w:p>
        </w:tc>
        <w:tc>
          <w:tcPr>
            <w:tcW w:w="140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D89EC8E">
            <w:pPr>
              <w:widowControl/>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1</w:t>
            </w:r>
          </w:p>
        </w:tc>
        <w:tc>
          <w:tcPr>
            <w:tcW w:w="1717"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E221E14">
            <w:pPr>
              <w:widowControl/>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0.3</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07E7C38">
            <w:pPr>
              <w:widowControl/>
              <w:jc w:val="center"/>
              <w:textAlignment w:val="center"/>
              <w:rPr>
                <w:rFonts w:hint="eastAsia" w:ascii="宋体" w:hAnsi="宋体" w:eastAsia="宋体" w:cs="宋体"/>
                <w:color w:val="auto"/>
                <w:sz w:val="24"/>
              </w:rPr>
            </w:pPr>
            <w:r>
              <w:rPr>
                <w:rFonts w:hint="eastAsia" w:ascii="宋体" w:hAnsi="宋体" w:eastAsia="宋体" w:cs="宋体"/>
                <w:color w:val="auto"/>
                <w:kern w:val="0"/>
                <w:sz w:val="24"/>
                <w:lang w:bidi="ar"/>
              </w:rPr>
              <w:t>0.3</w:t>
            </w:r>
          </w:p>
        </w:tc>
      </w:tr>
      <w:tr w14:paraId="199328EE">
        <w:tblPrEx>
          <w:tblCellMar>
            <w:top w:w="0" w:type="dxa"/>
            <w:left w:w="108" w:type="dxa"/>
            <w:bottom w:w="0" w:type="dxa"/>
            <w:right w:w="108" w:type="dxa"/>
          </w:tblCellMar>
        </w:tblPrEx>
        <w:trPr>
          <w:trHeight w:val="450" w:hRule="atLeast"/>
        </w:trPr>
        <w:tc>
          <w:tcPr>
            <w:tcW w:w="6870" w:type="dxa"/>
            <w:gridSpan w:val="4"/>
            <w:tcBorders>
              <w:top w:val="single" w:color="000000" w:sz="4" w:space="0"/>
              <w:left w:val="single" w:color="000000" w:sz="4" w:space="0"/>
              <w:bottom w:val="single" w:color="000000" w:sz="4" w:space="0"/>
              <w:right w:val="single" w:color="000000" w:sz="4" w:space="0"/>
            </w:tcBorders>
            <w:shd w:val="clear" w:color="auto" w:fill="F2F2F2"/>
            <w:vAlign w:val="center"/>
          </w:tcPr>
          <w:p w14:paraId="7B0CDA18">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合计</w:t>
            </w:r>
          </w:p>
        </w:tc>
        <w:tc>
          <w:tcPr>
            <w:tcW w:w="1733"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5DF41CC">
            <w:pPr>
              <w:widowControl/>
              <w:jc w:val="center"/>
              <w:textAlignment w:val="center"/>
              <w:rPr>
                <w:rFonts w:hint="eastAsia" w:ascii="宋体" w:hAnsi="宋体" w:eastAsia="宋体" w:cs="宋体"/>
                <w:color w:val="auto"/>
                <w:sz w:val="24"/>
              </w:rPr>
            </w:pPr>
            <w:r>
              <w:rPr>
                <w:rFonts w:hint="eastAsia" w:ascii="宋体" w:hAnsi="宋体" w:eastAsia="宋体" w:cs="宋体"/>
                <w:color w:val="auto"/>
                <w:sz w:val="24"/>
              </w:rPr>
              <w:t>150.4</w:t>
            </w:r>
          </w:p>
        </w:tc>
      </w:tr>
    </w:tbl>
    <w:p w14:paraId="1FE62EBB">
      <w:pPr>
        <w:rPr>
          <w:rFonts w:hint="eastAsia" w:ascii="宋体" w:hAnsi="宋体" w:eastAsia="宋体" w:cs="宋体"/>
          <w:b/>
          <w:bCs/>
          <w:color w:val="auto"/>
          <w:kern w:val="0"/>
          <w:sz w:val="24"/>
        </w:rPr>
      </w:pPr>
    </w:p>
    <w:p w14:paraId="4684B12E">
      <w:pPr>
        <w:pStyle w:val="10"/>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2、交货期限及交货地点：合同签订后45天内完成所有设备的交付、安装、调试。交货地点为上海市光华中西医结合医院。</w:t>
      </w:r>
    </w:p>
    <w:p w14:paraId="279838D2">
      <w:pPr>
        <w:pStyle w:val="10"/>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3、付款方式：合同签订后支付合同金额的30%，设备交付、安装、调试完成后支付合同的金额的60%，质保期满一年支付合同剩余金额；实际支付以财政批复为准，具体支付节点及金额以财政最终核定为准。若财政批复金额低于合同暂定金额，双方应依据批复金额对合同价款进行相应调整；若财政未批复或批复延迟，付款期限相应顺延，采购人不承担违约责任。</w:t>
      </w:r>
    </w:p>
    <w:p w14:paraId="0AA4EE29">
      <w:pPr>
        <w:pStyle w:val="10"/>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具体根据合同约定条款进行支付；采购合同应明确资金支付的方式、时间和条件，明确逾期支付资金的违约责任。</w:t>
      </w:r>
    </w:p>
    <w:p w14:paraId="5B359BAC">
      <w:pPr>
        <w:pStyle w:val="10"/>
        <w:spacing w:line="360" w:lineRule="auto"/>
        <w:ind w:firstLine="0" w:firstLineChars="0"/>
        <w:jc w:val="left"/>
        <w:rPr>
          <w:rFonts w:hint="eastAsia" w:ascii="宋体" w:hAnsi="宋体" w:eastAsia="宋体" w:cs="宋体"/>
          <w:color w:val="auto"/>
          <w:sz w:val="24"/>
          <w:lang w:eastAsia="zh-CN"/>
        </w:rPr>
      </w:pPr>
      <w:r>
        <w:rPr>
          <w:rFonts w:hint="eastAsia" w:ascii="宋体" w:hAnsi="宋体" w:eastAsia="宋体" w:cs="宋体"/>
          <w:color w:val="auto"/>
          <w:sz w:val="24"/>
        </w:rPr>
        <w:t>4、本标包属于货物类招标项目。本标包核心产品有：</w:t>
      </w:r>
      <w:r>
        <w:rPr>
          <w:rFonts w:ascii="宋体" w:hAnsi="宋体" w:eastAsia="宋体" w:cs="宋体"/>
          <w:color w:val="auto"/>
          <w:kern w:val="0"/>
          <w:sz w:val="24"/>
          <w:lang w:bidi="ar"/>
        </w:rPr>
        <w:t>强脉冲光干眼治疗仪</w:t>
      </w:r>
      <w:r>
        <w:rPr>
          <w:rFonts w:hint="eastAsia" w:ascii="宋体" w:hAnsi="宋体" w:eastAsia="宋体" w:cs="宋体"/>
          <w:color w:val="auto"/>
          <w:kern w:val="0"/>
          <w:sz w:val="24"/>
          <w:lang w:eastAsia="zh-CN" w:bidi="ar"/>
        </w:rPr>
        <w:t>。</w:t>
      </w:r>
    </w:p>
    <w:p w14:paraId="3462CD48">
      <w:pPr>
        <w:pStyle w:val="10"/>
        <w:spacing w:line="360" w:lineRule="auto"/>
        <w:ind w:firstLine="0" w:firstLineChars="0"/>
        <w:jc w:val="left"/>
        <w:rPr>
          <w:rFonts w:hint="eastAsia" w:ascii="宋体" w:hAnsi="宋体" w:eastAsia="宋体" w:cs="宋体"/>
          <w:color w:val="auto"/>
          <w:sz w:val="24"/>
        </w:rPr>
      </w:pPr>
      <w:r>
        <w:rPr>
          <w:rFonts w:hint="eastAsia" w:ascii="宋体" w:hAnsi="宋体" w:eastAsia="宋体" w:cs="宋体"/>
          <w:color w:val="auto"/>
          <w:sz w:val="24"/>
        </w:rPr>
        <w:t>5、本标包中带“★”的为关键指标，未响应按无效处理；“▲”的为重要指标，其他为一般指标。“★”与“▲”指标需提供技术支撑材料。</w:t>
      </w:r>
    </w:p>
    <w:p w14:paraId="048F067B">
      <w:pPr>
        <w:rPr>
          <w:rFonts w:hint="eastAsia" w:ascii="宋体" w:hAnsi="宋体" w:eastAsia="宋体" w:cs="宋体"/>
          <w:b/>
          <w:bCs/>
          <w:color w:val="auto"/>
          <w:kern w:val="0"/>
          <w:sz w:val="24"/>
        </w:rPr>
      </w:pPr>
      <w:r>
        <w:rPr>
          <w:rFonts w:hint="eastAsia" w:ascii="宋体" w:hAnsi="宋体" w:eastAsia="宋体" w:cs="宋体"/>
          <w:b/>
          <w:color w:val="auto"/>
          <w:sz w:val="24"/>
        </w:rPr>
        <w:br w:type="page"/>
      </w:r>
    </w:p>
    <w:p w14:paraId="6416624F">
      <w:pPr>
        <w:widowControl/>
        <w:numPr>
          <w:ilvl w:val="0"/>
          <w:numId w:val="2"/>
        </w:numPr>
        <w:spacing w:before="75" w:after="75"/>
        <w:jc w:val="left"/>
        <w:rPr>
          <w:rFonts w:hint="eastAsia" w:ascii="宋体" w:hAnsi="宋体" w:eastAsia="宋体" w:cs="宋体"/>
          <w:b/>
          <w:bCs/>
          <w:color w:val="auto"/>
          <w:kern w:val="0"/>
          <w:sz w:val="24"/>
        </w:rPr>
      </w:pPr>
      <w:r>
        <w:rPr>
          <w:rFonts w:hint="eastAsia" w:ascii="宋体" w:hAnsi="宋体" w:eastAsia="宋体" w:cs="宋体"/>
          <w:b/>
          <w:color w:val="auto"/>
          <w:sz w:val="24"/>
        </w:rPr>
        <w:t>产品技术指标要求</w:t>
      </w:r>
    </w:p>
    <w:p w14:paraId="5A809E64">
      <w:pPr>
        <w:spacing w:line="360" w:lineRule="auto"/>
        <w:jc w:val="center"/>
        <w:rPr>
          <w:rFonts w:hint="eastAsia" w:ascii="宋体" w:hAnsi="宋体" w:eastAsia="宋体" w:cs="宋体"/>
          <w:b/>
          <w:bCs/>
          <w:color w:val="auto"/>
          <w:sz w:val="24"/>
        </w:rPr>
      </w:pPr>
      <w:r>
        <w:rPr>
          <w:rFonts w:hint="eastAsia" w:ascii="宋体" w:hAnsi="宋体" w:eastAsia="宋体" w:cs="宋体"/>
          <w:b/>
          <w:bCs/>
          <w:color w:val="auto"/>
          <w:kern w:val="0"/>
          <w:sz w:val="24"/>
        </w:rPr>
        <w:t>1、</w:t>
      </w:r>
      <w:bookmarkStart w:id="0" w:name="OLE_LINK3"/>
      <w:r>
        <w:rPr>
          <w:rFonts w:hint="eastAsia" w:ascii="宋体" w:hAnsi="宋体" w:eastAsia="宋体" w:cs="宋体"/>
          <w:b/>
          <w:bCs/>
          <w:color w:val="auto"/>
          <w:sz w:val="24"/>
        </w:rPr>
        <w:t>强脉冲光干眼治疗仪技术参数</w:t>
      </w:r>
      <w:bookmarkStart w:id="1" w:name="OLE_LINK4"/>
      <w:r>
        <w:rPr>
          <w:rFonts w:hint="eastAsia" w:ascii="宋体" w:hAnsi="宋体" w:eastAsia="宋体" w:cs="宋体"/>
          <w:b/>
          <w:bCs/>
          <w:color w:val="auto"/>
          <w:sz w:val="24"/>
        </w:rPr>
        <w:t>要求</w:t>
      </w:r>
      <w:bookmarkEnd w:id="1"/>
    </w:p>
    <w:p w14:paraId="13495439">
      <w:pPr>
        <w:spacing w:line="360" w:lineRule="auto"/>
        <w:rPr>
          <w:rFonts w:hint="eastAsia" w:ascii="宋体" w:hAnsi="宋体" w:eastAsia="宋体" w:cs="宋体"/>
          <w:color w:val="auto"/>
          <w:sz w:val="24"/>
        </w:rPr>
      </w:pPr>
      <w:r>
        <w:rPr>
          <w:rFonts w:hint="eastAsia" w:ascii="宋体" w:hAnsi="宋体" w:eastAsia="宋体" w:cs="宋体"/>
          <w:color w:val="auto"/>
          <w:sz w:val="24"/>
        </w:rPr>
        <w:t>1、光源：强脉冲光</w:t>
      </w:r>
    </w:p>
    <w:p w14:paraId="7F30C5C7">
      <w:pPr>
        <w:spacing w:line="360" w:lineRule="auto"/>
        <w:rPr>
          <w:rFonts w:hint="eastAsia" w:ascii="宋体" w:hAnsi="宋体" w:eastAsia="宋体" w:cs="宋体"/>
          <w:color w:val="auto"/>
          <w:sz w:val="24"/>
        </w:rPr>
      </w:pPr>
      <w:r>
        <w:rPr>
          <w:rFonts w:hint="eastAsia" w:ascii="宋体" w:hAnsi="宋体" w:eastAsia="宋体" w:cs="宋体"/>
          <w:color w:val="auto"/>
          <w:sz w:val="24"/>
        </w:rPr>
        <w:t>2、安全性：消除脉冲起始部分的能量峰</w:t>
      </w:r>
    </w:p>
    <w:p w14:paraId="0D20508B">
      <w:pPr>
        <w:spacing w:line="360" w:lineRule="auto"/>
        <w:rPr>
          <w:rFonts w:hint="eastAsia" w:ascii="宋体" w:hAnsi="宋体" w:eastAsia="宋体" w:cs="宋体"/>
          <w:color w:val="auto"/>
          <w:sz w:val="24"/>
        </w:rPr>
      </w:pPr>
      <w:r>
        <w:rPr>
          <w:rFonts w:hint="eastAsia" w:ascii="宋体" w:hAnsi="宋体" w:eastAsia="宋体" w:cs="宋体"/>
          <w:color w:val="auto"/>
          <w:sz w:val="24"/>
        </w:rPr>
        <w:t>3、有效性：避免脉冲末端能量衰减的无效</w:t>
      </w:r>
    </w:p>
    <w:p w14:paraId="2BBE91AE">
      <w:pPr>
        <w:spacing w:line="360" w:lineRule="auto"/>
        <w:rPr>
          <w:rFonts w:hint="eastAsia" w:ascii="宋体" w:hAnsi="宋体" w:eastAsia="宋体" w:cs="宋体"/>
          <w:color w:val="auto"/>
          <w:sz w:val="24"/>
        </w:rPr>
      </w:pPr>
      <w:r>
        <w:rPr>
          <w:rFonts w:hint="eastAsia" w:ascii="宋体" w:hAnsi="宋体" w:eastAsia="宋体" w:cs="宋体"/>
          <w:color w:val="auto"/>
          <w:sz w:val="24"/>
        </w:rPr>
        <w:t>4、重复性：均一的“方形波”均匀分布</w:t>
      </w:r>
    </w:p>
    <w:p w14:paraId="48E787FE">
      <w:pPr>
        <w:spacing w:line="360" w:lineRule="auto"/>
        <w:rPr>
          <w:rFonts w:hint="eastAsia" w:ascii="宋体" w:hAnsi="宋体" w:eastAsia="宋体" w:cs="宋体"/>
          <w:color w:val="auto"/>
          <w:sz w:val="24"/>
        </w:rPr>
      </w:pPr>
      <w:r>
        <w:rPr>
          <w:rFonts w:hint="eastAsia" w:ascii="宋体" w:hAnsi="宋体" w:eastAsia="宋体" w:cs="宋体"/>
          <w:color w:val="auto"/>
          <w:sz w:val="24"/>
        </w:rPr>
        <w:t>5、强脉冲光波长：包含400-1200nm</w:t>
      </w:r>
    </w:p>
    <w:p w14:paraId="7558F58F">
      <w:pPr>
        <w:spacing w:line="360" w:lineRule="auto"/>
        <w:rPr>
          <w:rFonts w:hint="eastAsia" w:ascii="宋体" w:hAnsi="宋体" w:eastAsia="宋体" w:cs="宋体"/>
          <w:color w:val="auto"/>
          <w:sz w:val="24"/>
        </w:rPr>
      </w:pPr>
      <w:r>
        <w:rPr>
          <w:rFonts w:hint="eastAsia" w:ascii="宋体" w:hAnsi="宋体" w:eastAsia="宋体" w:cs="宋体"/>
          <w:color w:val="auto"/>
          <w:sz w:val="24"/>
        </w:rPr>
        <w:t>6、治疗光波长：包含515-1200 nm</w:t>
      </w:r>
    </w:p>
    <w:p w14:paraId="70D16A6E">
      <w:pPr>
        <w:spacing w:line="360" w:lineRule="auto"/>
        <w:rPr>
          <w:rFonts w:hint="eastAsia" w:ascii="宋体" w:hAnsi="宋体" w:eastAsia="宋体" w:cs="宋体"/>
          <w:color w:val="auto"/>
          <w:sz w:val="24"/>
        </w:rPr>
      </w:pPr>
      <w:r>
        <w:rPr>
          <w:rFonts w:hint="eastAsia" w:ascii="宋体" w:hAnsi="宋体" w:eastAsia="宋体" w:cs="宋体"/>
          <w:color w:val="auto"/>
          <w:sz w:val="24"/>
        </w:rPr>
        <w:t>7、最大能量密度：≥35 J/cm²</w:t>
      </w:r>
    </w:p>
    <w:p w14:paraId="2CECE4FD">
      <w:pPr>
        <w:spacing w:line="360" w:lineRule="auto"/>
        <w:rPr>
          <w:rFonts w:hint="eastAsia" w:ascii="宋体" w:hAnsi="宋体" w:eastAsia="宋体" w:cs="宋体"/>
          <w:color w:val="auto"/>
          <w:sz w:val="24"/>
        </w:rPr>
      </w:pPr>
      <w:r>
        <w:rPr>
          <w:rFonts w:hint="eastAsia" w:ascii="宋体" w:hAnsi="宋体" w:eastAsia="宋体" w:cs="宋体"/>
          <w:color w:val="auto"/>
          <w:sz w:val="24"/>
        </w:rPr>
        <w:t>▲8、治疗能量密度： 包含10~35 J/cm²（即最小≤10 J/cm²，最大≥35 J/cm²</w:t>
      </w:r>
    </w:p>
    <w:p w14:paraId="17198E76">
      <w:pPr>
        <w:spacing w:line="360" w:lineRule="auto"/>
        <w:rPr>
          <w:rFonts w:hint="eastAsia" w:ascii="宋体" w:hAnsi="宋体" w:eastAsia="宋体" w:cs="宋体"/>
          <w:color w:val="auto"/>
          <w:sz w:val="24"/>
        </w:rPr>
      </w:pPr>
      <w:r>
        <w:rPr>
          <w:rFonts w:hint="eastAsia" w:ascii="宋体" w:hAnsi="宋体" w:eastAsia="宋体" w:cs="宋体"/>
          <w:color w:val="auto"/>
          <w:sz w:val="24"/>
        </w:rPr>
        <w:t>9、脉宽: 4-20 ms范围可调，非固定脉宽</w:t>
      </w:r>
    </w:p>
    <w:p w14:paraId="4A7B0275">
      <w:pPr>
        <w:spacing w:line="360" w:lineRule="auto"/>
        <w:rPr>
          <w:rFonts w:hint="eastAsia" w:ascii="宋体" w:hAnsi="宋体" w:eastAsia="宋体" w:cs="宋体"/>
          <w:color w:val="auto"/>
          <w:sz w:val="24"/>
        </w:rPr>
      </w:pPr>
      <w:r>
        <w:rPr>
          <w:rFonts w:hint="eastAsia" w:ascii="宋体" w:hAnsi="宋体" w:eastAsia="宋体" w:cs="宋体"/>
          <w:color w:val="auto"/>
          <w:sz w:val="24"/>
        </w:rPr>
        <w:t>10、脉冲延迟：5-150ms范围可调</w:t>
      </w:r>
    </w:p>
    <w:p w14:paraId="6C1A282E">
      <w:pPr>
        <w:spacing w:line="360" w:lineRule="auto"/>
        <w:rPr>
          <w:rFonts w:hint="eastAsia" w:ascii="宋体" w:hAnsi="宋体" w:eastAsia="宋体" w:cs="宋体"/>
          <w:color w:val="auto"/>
          <w:sz w:val="24"/>
        </w:rPr>
      </w:pPr>
      <w:r>
        <w:rPr>
          <w:rFonts w:hint="eastAsia" w:ascii="宋体" w:hAnsi="宋体" w:eastAsia="宋体" w:cs="宋体"/>
          <w:color w:val="auto"/>
          <w:sz w:val="24"/>
        </w:rPr>
        <w:t>11、脉冲方式：包含多个同步脉冲，子脉冲间有脉冲延迟</w:t>
      </w:r>
    </w:p>
    <w:p w14:paraId="42845935">
      <w:pPr>
        <w:spacing w:line="360" w:lineRule="auto"/>
        <w:rPr>
          <w:rFonts w:hint="eastAsia" w:ascii="宋体" w:hAnsi="宋体" w:eastAsia="宋体" w:cs="宋体"/>
          <w:color w:val="auto"/>
          <w:sz w:val="24"/>
        </w:rPr>
      </w:pPr>
      <w:r>
        <w:rPr>
          <w:rFonts w:hint="eastAsia" w:ascii="宋体" w:hAnsi="宋体" w:eastAsia="宋体" w:cs="宋体"/>
          <w:color w:val="auto"/>
          <w:sz w:val="24"/>
        </w:rPr>
        <w:t>12、脉冲调节方式：子脉冲可选单脉冲，双脉冲，三脉冲方式</w:t>
      </w:r>
    </w:p>
    <w:p w14:paraId="6A5F20B1">
      <w:pPr>
        <w:spacing w:line="360" w:lineRule="auto"/>
        <w:rPr>
          <w:rFonts w:hint="eastAsia" w:ascii="宋体" w:hAnsi="宋体" w:eastAsia="宋体" w:cs="宋体"/>
          <w:color w:val="auto"/>
          <w:sz w:val="24"/>
        </w:rPr>
      </w:pPr>
      <w:r>
        <w:rPr>
          <w:rFonts w:hint="eastAsia" w:ascii="宋体" w:hAnsi="宋体" w:eastAsia="宋体" w:cs="宋体"/>
          <w:color w:val="auto"/>
          <w:sz w:val="24"/>
        </w:rPr>
        <w:t>13、子脉冲脉宽可视可调</w:t>
      </w:r>
    </w:p>
    <w:p w14:paraId="5E76095B">
      <w:pPr>
        <w:spacing w:line="360" w:lineRule="auto"/>
        <w:rPr>
          <w:rFonts w:hint="eastAsia" w:ascii="宋体" w:hAnsi="宋体" w:eastAsia="宋体" w:cs="宋体"/>
          <w:color w:val="auto"/>
          <w:sz w:val="24"/>
        </w:rPr>
      </w:pPr>
      <w:r>
        <w:rPr>
          <w:rFonts w:hint="eastAsia" w:ascii="宋体" w:hAnsi="宋体" w:eastAsia="宋体" w:cs="宋体"/>
          <w:color w:val="auto"/>
          <w:sz w:val="24"/>
        </w:rPr>
        <w:t>14、频率：≥1HZ</w:t>
      </w:r>
    </w:p>
    <w:p w14:paraId="7151C6D7">
      <w:pPr>
        <w:spacing w:line="360" w:lineRule="auto"/>
        <w:rPr>
          <w:rFonts w:hint="eastAsia" w:ascii="宋体" w:hAnsi="宋体" w:eastAsia="宋体" w:cs="宋体"/>
          <w:color w:val="auto"/>
          <w:sz w:val="24"/>
        </w:rPr>
      </w:pPr>
      <w:r>
        <w:rPr>
          <w:rFonts w:hint="eastAsia" w:ascii="宋体" w:hAnsi="宋体" w:eastAsia="宋体" w:cs="宋体"/>
          <w:color w:val="auto"/>
          <w:sz w:val="24"/>
        </w:rPr>
        <w:t>15、光导晶体规格：数量≥3种</w:t>
      </w:r>
    </w:p>
    <w:p w14:paraId="69461DB0">
      <w:pPr>
        <w:spacing w:line="360" w:lineRule="auto"/>
        <w:rPr>
          <w:rFonts w:hint="eastAsia" w:ascii="宋体" w:hAnsi="宋体" w:eastAsia="宋体" w:cs="宋体"/>
          <w:color w:val="auto"/>
          <w:sz w:val="24"/>
        </w:rPr>
      </w:pPr>
      <w:r>
        <w:rPr>
          <w:rFonts w:hint="eastAsia" w:ascii="宋体" w:hAnsi="宋体" w:eastAsia="宋体" w:cs="宋体"/>
          <w:color w:val="auto"/>
          <w:sz w:val="24"/>
        </w:rPr>
        <w:t>▲16、光导晶体尺寸：大光导面积≥525mm²，小光导面积≤36 mm²</w:t>
      </w:r>
    </w:p>
    <w:p w14:paraId="41EDE53E">
      <w:pPr>
        <w:spacing w:line="360" w:lineRule="auto"/>
        <w:rPr>
          <w:rFonts w:hint="eastAsia" w:ascii="宋体" w:hAnsi="宋体" w:eastAsia="宋体" w:cs="宋体"/>
          <w:color w:val="auto"/>
          <w:sz w:val="24"/>
        </w:rPr>
      </w:pPr>
      <w:r>
        <w:rPr>
          <w:rFonts w:hint="eastAsia" w:ascii="宋体" w:hAnsi="宋体" w:eastAsia="宋体" w:cs="宋体"/>
          <w:color w:val="auto"/>
          <w:sz w:val="24"/>
        </w:rPr>
        <w:t>17、冷却方式：蓝宝石冷却光导晶体，持续接触式冷却</w:t>
      </w:r>
    </w:p>
    <w:p w14:paraId="5E806279">
      <w:pPr>
        <w:spacing w:line="360" w:lineRule="auto"/>
        <w:rPr>
          <w:rFonts w:hint="eastAsia" w:ascii="宋体" w:hAnsi="宋体" w:eastAsia="宋体" w:cs="宋体"/>
          <w:color w:val="auto"/>
          <w:sz w:val="24"/>
        </w:rPr>
      </w:pPr>
      <w:r>
        <w:rPr>
          <w:rFonts w:hint="eastAsia" w:ascii="宋体" w:hAnsi="宋体" w:eastAsia="宋体" w:cs="宋体"/>
          <w:color w:val="auto"/>
          <w:sz w:val="24"/>
        </w:rPr>
        <w:t>18、冷却系统：外置冷却水循环系统</w:t>
      </w:r>
    </w:p>
    <w:p w14:paraId="7E4EABD2">
      <w:pPr>
        <w:spacing w:line="360" w:lineRule="auto"/>
        <w:rPr>
          <w:rFonts w:hint="eastAsia" w:ascii="宋体" w:hAnsi="宋体" w:eastAsia="宋体" w:cs="宋体"/>
          <w:color w:val="auto"/>
          <w:sz w:val="24"/>
        </w:rPr>
      </w:pPr>
      <w:r>
        <w:rPr>
          <w:rFonts w:hint="eastAsia" w:ascii="宋体" w:hAnsi="宋体" w:eastAsia="宋体" w:cs="宋体"/>
          <w:color w:val="auto"/>
          <w:sz w:val="24"/>
        </w:rPr>
        <w:t>19、冷却水箱位置：外置式可视技术</w:t>
      </w:r>
    </w:p>
    <w:p w14:paraId="2B229EC3">
      <w:pPr>
        <w:spacing w:line="360" w:lineRule="auto"/>
        <w:rPr>
          <w:rFonts w:hint="eastAsia" w:ascii="宋体" w:hAnsi="宋体" w:eastAsia="宋体" w:cs="宋体"/>
          <w:color w:val="auto"/>
          <w:sz w:val="24"/>
        </w:rPr>
      </w:pPr>
      <w:r>
        <w:rPr>
          <w:rFonts w:hint="eastAsia" w:ascii="宋体" w:hAnsi="宋体" w:eastAsia="宋体" w:cs="宋体"/>
          <w:color w:val="auto"/>
          <w:sz w:val="24"/>
        </w:rPr>
        <w:t>20、脉冲技术：可控输出的，形态均一方形波脉冲</w:t>
      </w:r>
    </w:p>
    <w:p w14:paraId="6A3161E6">
      <w:pPr>
        <w:spacing w:line="360" w:lineRule="auto"/>
        <w:rPr>
          <w:rFonts w:hint="eastAsia" w:ascii="宋体" w:hAnsi="宋体" w:eastAsia="宋体" w:cs="宋体"/>
          <w:color w:val="auto"/>
          <w:sz w:val="24"/>
        </w:rPr>
      </w:pPr>
      <w:r>
        <w:rPr>
          <w:rFonts w:hint="eastAsia" w:ascii="宋体" w:hAnsi="宋体" w:eastAsia="宋体" w:cs="宋体"/>
          <w:color w:val="auto"/>
          <w:sz w:val="24"/>
        </w:rPr>
        <w:t>▲21、多种滤光片选择：包含但不限于515nm,560nm,590nm,615nm,640nm,695nm</w:t>
      </w:r>
    </w:p>
    <w:p w14:paraId="0385A434">
      <w:pPr>
        <w:spacing w:line="360" w:lineRule="auto"/>
        <w:rPr>
          <w:rFonts w:hint="eastAsia" w:ascii="宋体" w:hAnsi="宋体" w:eastAsia="宋体" w:cs="宋体"/>
          <w:color w:val="auto"/>
          <w:sz w:val="24"/>
        </w:rPr>
      </w:pPr>
      <w:r>
        <w:rPr>
          <w:rFonts w:hint="eastAsia" w:ascii="宋体" w:hAnsi="宋体" w:eastAsia="宋体" w:cs="宋体"/>
          <w:color w:val="auto"/>
          <w:sz w:val="24"/>
        </w:rPr>
        <w:t>22、滤光片：具备560nm,590nm滤光片用于治疗睑板腺功能障碍引起的干眼症。</w:t>
      </w:r>
    </w:p>
    <w:p w14:paraId="38F904BB">
      <w:pPr>
        <w:spacing w:line="360" w:lineRule="auto"/>
        <w:rPr>
          <w:rFonts w:hint="eastAsia" w:ascii="宋体" w:hAnsi="宋体" w:eastAsia="宋体" w:cs="宋体"/>
          <w:color w:val="auto"/>
          <w:sz w:val="24"/>
        </w:rPr>
      </w:pPr>
      <w:r>
        <w:rPr>
          <w:rFonts w:hint="eastAsia" w:ascii="宋体" w:hAnsi="宋体" w:eastAsia="宋体" w:cs="宋体"/>
          <w:color w:val="auto"/>
          <w:sz w:val="24"/>
        </w:rPr>
        <w:t>23、更换滤光片方式：单手具更换滤光片，滤光片采用热插拔更换技术</w:t>
      </w:r>
    </w:p>
    <w:p w14:paraId="4437495C">
      <w:pPr>
        <w:spacing w:line="360" w:lineRule="auto"/>
        <w:rPr>
          <w:rFonts w:hint="eastAsia" w:ascii="宋体" w:hAnsi="宋体" w:eastAsia="宋体" w:cs="宋体"/>
          <w:color w:val="auto"/>
          <w:sz w:val="24"/>
        </w:rPr>
      </w:pPr>
      <w:r>
        <w:rPr>
          <w:rFonts w:hint="eastAsia" w:ascii="宋体" w:hAnsi="宋体" w:eastAsia="宋体" w:cs="宋体"/>
          <w:color w:val="auto"/>
          <w:sz w:val="24"/>
        </w:rPr>
        <w:t>▲24、治疗手具脉冲发射按钮：多位置设置，≥3个，方便操作</w:t>
      </w:r>
    </w:p>
    <w:p w14:paraId="18061695">
      <w:pPr>
        <w:spacing w:line="360" w:lineRule="auto"/>
        <w:rPr>
          <w:rFonts w:hint="eastAsia" w:ascii="宋体" w:hAnsi="宋体" w:eastAsia="宋体" w:cs="宋体"/>
          <w:color w:val="auto"/>
          <w:sz w:val="24"/>
        </w:rPr>
      </w:pPr>
      <w:r>
        <w:rPr>
          <w:rFonts w:hint="eastAsia" w:ascii="宋体" w:hAnsi="宋体" w:eastAsia="宋体" w:cs="宋体"/>
          <w:color w:val="auto"/>
          <w:sz w:val="24"/>
        </w:rPr>
        <w:t>25、治疗睑板腺功能障碍（MGD）：提供最优化和安全的脉冲治疗，在保护表皮同时封闭异常毛细血管，阻止炎症扩散</w:t>
      </w:r>
    </w:p>
    <w:p w14:paraId="3C9D0288">
      <w:pPr>
        <w:spacing w:line="360" w:lineRule="auto"/>
        <w:rPr>
          <w:rFonts w:hint="eastAsia" w:ascii="宋体" w:hAnsi="宋体" w:eastAsia="宋体" w:cs="宋体"/>
          <w:color w:val="auto"/>
          <w:sz w:val="24"/>
        </w:rPr>
      </w:pPr>
      <w:r>
        <w:rPr>
          <w:rFonts w:hint="eastAsia" w:ascii="宋体" w:hAnsi="宋体" w:eastAsia="宋体" w:cs="宋体"/>
          <w:color w:val="auto"/>
          <w:sz w:val="24"/>
        </w:rPr>
        <w:t>26、配置清单：</w:t>
      </w:r>
    </w:p>
    <w:p w14:paraId="6E770248">
      <w:pPr>
        <w:spacing w:line="360" w:lineRule="auto"/>
        <w:rPr>
          <w:rFonts w:hint="eastAsia" w:ascii="宋体" w:hAnsi="宋体" w:eastAsia="宋体" w:cs="宋体"/>
          <w:color w:val="auto"/>
          <w:sz w:val="24"/>
        </w:rPr>
      </w:pPr>
      <w:r>
        <w:rPr>
          <w:rFonts w:hint="eastAsia" w:ascii="宋体" w:hAnsi="宋体" w:eastAsia="宋体" w:cs="宋体"/>
          <w:color w:val="auto"/>
          <w:sz w:val="24"/>
        </w:rPr>
        <w:t>（1）强脉冲光干眼治疗仪主机一台</w:t>
      </w:r>
    </w:p>
    <w:p w14:paraId="669F6D0E">
      <w:pPr>
        <w:spacing w:line="360" w:lineRule="auto"/>
        <w:rPr>
          <w:rFonts w:hint="eastAsia" w:ascii="宋体" w:hAnsi="宋体" w:eastAsia="宋体" w:cs="宋体"/>
          <w:color w:val="auto"/>
          <w:sz w:val="24"/>
        </w:rPr>
      </w:pPr>
      <w:r>
        <w:rPr>
          <w:rFonts w:hint="eastAsia" w:ascii="宋体" w:hAnsi="宋体" w:eastAsia="宋体" w:cs="宋体"/>
          <w:color w:val="auto"/>
          <w:sz w:val="24"/>
        </w:rPr>
        <w:t>（2）强脉冲光治疗头一个</w:t>
      </w:r>
    </w:p>
    <w:p w14:paraId="0D279751">
      <w:pPr>
        <w:spacing w:line="360" w:lineRule="auto"/>
        <w:rPr>
          <w:rFonts w:hint="eastAsia" w:ascii="宋体" w:hAnsi="宋体" w:eastAsia="宋体" w:cs="宋体"/>
          <w:color w:val="auto"/>
          <w:sz w:val="24"/>
        </w:rPr>
      </w:pPr>
      <w:r>
        <w:rPr>
          <w:rFonts w:hint="eastAsia" w:ascii="宋体" w:hAnsi="宋体" w:eastAsia="宋体" w:cs="宋体"/>
          <w:color w:val="auto"/>
          <w:sz w:val="24"/>
        </w:rPr>
        <w:t>（3）滤光器515nm,560nm,590nm,615nm,640nm,695nm 各1个</w:t>
      </w:r>
    </w:p>
    <w:p w14:paraId="42E4C11D">
      <w:pPr>
        <w:spacing w:line="360" w:lineRule="auto"/>
        <w:rPr>
          <w:rFonts w:hint="eastAsia" w:ascii="宋体" w:hAnsi="宋体" w:eastAsia="宋体" w:cs="宋体"/>
          <w:color w:val="auto"/>
          <w:sz w:val="24"/>
        </w:rPr>
      </w:pPr>
      <w:r>
        <w:rPr>
          <w:rFonts w:hint="eastAsia" w:ascii="宋体" w:hAnsi="宋体" w:eastAsia="宋体" w:cs="宋体"/>
          <w:color w:val="auto"/>
          <w:sz w:val="24"/>
        </w:rPr>
        <w:t>（4）可拆卸的蓝宝石冷却光导晶体3个</w:t>
      </w:r>
    </w:p>
    <w:p w14:paraId="5CD14256">
      <w:pPr>
        <w:spacing w:line="360" w:lineRule="auto"/>
        <w:rPr>
          <w:rFonts w:hint="eastAsia" w:ascii="宋体" w:hAnsi="宋体" w:eastAsia="宋体" w:cs="宋体"/>
          <w:color w:val="auto"/>
          <w:sz w:val="24"/>
        </w:rPr>
      </w:pPr>
      <w:r>
        <w:rPr>
          <w:rFonts w:hint="eastAsia" w:ascii="宋体" w:hAnsi="宋体" w:eastAsia="宋体" w:cs="宋体"/>
          <w:color w:val="auto"/>
          <w:sz w:val="24"/>
        </w:rPr>
        <w:t>（5）移动/存贮平台一台</w:t>
      </w:r>
    </w:p>
    <w:p w14:paraId="62EABE0C">
      <w:pPr>
        <w:spacing w:line="360" w:lineRule="auto"/>
        <w:rPr>
          <w:rFonts w:hint="eastAsia" w:ascii="宋体" w:hAnsi="宋体" w:eastAsia="宋体" w:cs="宋体"/>
          <w:color w:val="auto"/>
          <w:sz w:val="24"/>
        </w:rPr>
      </w:pPr>
      <w:r>
        <w:rPr>
          <w:rFonts w:hint="eastAsia" w:ascii="宋体" w:hAnsi="宋体" w:eastAsia="宋体" w:cs="宋体"/>
          <w:color w:val="auto"/>
          <w:sz w:val="24"/>
        </w:rPr>
        <w:t>（6）医生防护眼镜一副</w:t>
      </w:r>
    </w:p>
    <w:p w14:paraId="6289C646">
      <w:pPr>
        <w:spacing w:line="360" w:lineRule="auto"/>
        <w:rPr>
          <w:rFonts w:hint="eastAsia" w:ascii="宋体" w:hAnsi="宋体" w:eastAsia="宋体" w:cs="宋体"/>
          <w:color w:val="auto"/>
          <w:sz w:val="24"/>
        </w:rPr>
      </w:pPr>
      <w:r>
        <w:rPr>
          <w:rFonts w:hint="eastAsia" w:ascii="宋体" w:hAnsi="宋体" w:eastAsia="宋体" w:cs="宋体"/>
          <w:color w:val="auto"/>
          <w:sz w:val="24"/>
        </w:rPr>
        <w:t>（7）患者防护眼镜一副</w:t>
      </w:r>
    </w:p>
    <w:p w14:paraId="5A884531">
      <w:pPr>
        <w:spacing w:line="360" w:lineRule="auto"/>
        <w:rPr>
          <w:rFonts w:hint="eastAsia" w:ascii="宋体" w:hAnsi="宋体" w:eastAsia="宋体" w:cs="宋体"/>
          <w:color w:val="auto"/>
          <w:sz w:val="24"/>
        </w:rPr>
      </w:pPr>
      <w:r>
        <w:rPr>
          <w:rFonts w:hint="eastAsia" w:ascii="宋体" w:hAnsi="宋体" w:eastAsia="宋体" w:cs="宋体"/>
          <w:color w:val="auto"/>
          <w:sz w:val="24"/>
        </w:rPr>
        <w:t>（8）视觉训练仪一套</w:t>
      </w:r>
    </w:p>
    <w:p w14:paraId="38D359DE">
      <w:pPr>
        <w:spacing w:line="360" w:lineRule="auto"/>
        <w:rPr>
          <w:rFonts w:hint="eastAsia" w:ascii="宋体" w:hAnsi="宋体" w:eastAsia="宋体" w:cs="宋体"/>
          <w:color w:val="auto"/>
          <w:sz w:val="24"/>
        </w:rPr>
      </w:pPr>
      <w:r>
        <w:rPr>
          <w:rFonts w:hint="eastAsia" w:ascii="宋体" w:hAnsi="宋体" w:eastAsia="宋体" w:cs="宋体"/>
          <w:color w:val="auto"/>
          <w:sz w:val="24"/>
        </w:rPr>
        <w:t>（9）角膜内皮镜一套</w:t>
      </w:r>
    </w:p>
    <w:p w14:paraId="1F2B7729">
      <w:pPr>
        <w:spacing w:line="360" w:lineRule="auto"/>
        <w:rPr>
          <w:rFonts w:hint="eastAsia" w:ascii="宋体" w:hAnsi="宋体" w:eastAsia="宋体" w:cs="宋体"/>
          <w:color w:val="auto"/>
          <w:sz w:val="24"/>
        </w:rPr>
      </w:pPr>
      <w:r>
        <w:rPr>
          <w:rFonts w:hint="eastAsia" w:ascii="宋体" w:hAnsi="宋体" w:eastAsia="宋体" w:cs="宋体"/>
          <w:color w:val="auto"/>
          <w:sz w:val="24"/>
        </w:rPr>
        <w:t>（10）眼科AB超一套</w:t>
      </w:r>
    </w:p>
    <w:p w14:paraId="5D188B48">
      <w:pPr>
        <w:spacing w:line="360" w:lineRule="auto"/>
        <w:rPr>
          <w:rFonts w:hint="eastAsia" w:ascii="宋体" w:hAnsi="宋体" w:eastAsia="宋体" w:cs="宋体"/>
          <w:color w:val="auto"/>
          <w:sz w:val="24"/>
        </w:rPr>
      </w:pPr>
    </w:p>
    <w:bookmarkEnd w:id="0"/>
    <w:p w14:paraId="19F2C7AA">
      <w:pPr>
        <w:widowControl/>
        <w:spacing w:line="480" w:lineRule="auto"/>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2、电脑非接触眼压计技术参数</w:t>
      </w:r>
      <w:r>
        <w:rPr>
          <w:rFonts w:hint="eastAsia" w:ascii="宋体" w:hAnsi="宋体" w:eastAsia="宋体" w:cs="宋体"/>
          <w:b/>
          <w:bCs/>
          <w:color w:val="auto"/>
          <w:sz w:val="24"/>
        </w:rPr>
        <w:t>要求</w:t>
      </w:r>
    </w:p>
    <w:p w14:paraId="11E27EF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1、眼压测量范围：1mmHg至60mmHg（1mmHg精度）</w:t>
      </w:r>
    </w:p>
    <w:p w14:paraId="392E1BD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2、平均值显示：1mmHg/0.1mmHg精度可调</w:t>
      </w:r>
    </w:p>
    <w:p w14:paraId="38EE7A2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3、测量模式：1-30mmHg/1-60mmHg</w:t>
      </w:r>
    </w:p>
    <w:p w14:paraId="2FD0A70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4、操控方式：触摸屏和操作杆</w:t>
      </w:r>
    </w:p>
    <w:p w14:paraId="72A452E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5、定位方式至少包含：自动拍摄模式、半自动模式、手动模式</w:t>
      </w:r>
    </w:p>
    <w:p w14:paraId="250CDA2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▲6、人工晶体眼测量模式校准点亮度调整范围：0-100%</w:t>
      </w:r>
    </w:p>
    <w:p w14:paraId="7919140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★7、眼内压补偿调整：内置计算公式可计算基于不同的中央角膜厚度为测量出的眼内压提供相应的补偿值</w:t>
      </w:r>
    </w:p>
    <w:p w14:paraId="5221596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8、打印机切纸方式：内置热敏打印机，自动切纸</w:t>
      </w:r>
    </w:p>
    <w:p w14:paraId="646FCC1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▲9、显示器：≥8.5寸WVGA彩色LED显示器，触摸屏</w:t>
      </w:r>
    </w:p>
    <w:p w14:paraId="2FF64C8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10、安全性：通过安全制动器可以设置安全距离</w:t>
      </w:r>
    </w:p>
    <w:p w14:paraId="16E1ADC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11、数据传输方式至少包含三种：USB（输入），RS232C（输出），LAN（输出）</w:t>
      </w:r>
    </w:p>
    <w:p w14:paraId="6AD49EF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12、配置清单：</w:t>
      </w:r>
    </w:p>
    <w:p w14:paraId="79E3EE6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（1）电脑非接触眼压计主机一台</w:t>
      </w:r>
    </w:p>
    <w:p w14:paraId="383DE2E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（2）打印纸两包</w:t>
      </w:r>
    </w:p>
    <w:p w14:paraId="39375B2A">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（3）颌托纸一包</w:t>
      </w:r>
    </w:p>
    <w:p w14:paraId="1BB1358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（4）说明书一本</w:t>
      </w:r>
    </w:p>
    <w:p w14:paraId="785F124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（5）防尘罩一个</w:t>
      </w:r>
    </w:p>
    <w:p w14:paraId="724DC56C">
      <w:pPr>
        <w:snapToGrid w:val="0"/>
        <w:spacing w:line="360" w:lineRule="auto"/>
        <w:jc w:val="left"/>
        <w:rPr>
          <w:rFonts w:hint="eastAsia" w:ascii="宋体" w:hAnsi="宋体" w:cs="Arial"/>
          <w:b/>
          <w:color w:val="auto"/>
          <w:sz w:val="28"/>
          <w:szCs w:val="28"/>
        </w:rPr>
      </w:pPr>
      <w:r>
        <w:rPr>
          <w:rFonts w:hint="eastAsia" w:ascii="宋体" w:hAnsi="宋体" w:eastAsia="宋体" w:cs="宋体"/>
          <w:color w:val="auto"/>
          <w:sz w:val="24"/>
        </w:rPr>
        <w:t>（6）电动升降桌一台</w:t>
      </w:r>
    </w:p>
    <w:p w14:paraId="2C9BBBF1">
      <w:pPr>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3、综合检查台（含裂隙灯）一 技术参数</w:t>
      </w:r>
      <w:r>
        <w:rPr>
          <w:rFonts w:hint="eastAsia" w:ascii="宋体" w:hAnsi="宋体" w:eastAsia="宋体" w:cs="宋体"/>
          <w:b/>
          <w:bCs/>
          <w:color w:val="auto"/>
          <w:sz w:val="24"/>
        </w:rPr>
        <w:t>要求</w:t>
      </w:r>
    </w:p>
    <w:p w14:paraId="6D85E23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1、显微镜类型：伽利略式</w:t>
      </w:r>
    </w:p>
    <w:p w14:paraId="4443633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▲2、放大倍率至少包含：6 X、10X、16 X、25 X、40 X</w:t>
      </w:r>
    </w:p>
    <w:p w14:paraId="68431BA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3、目镜：12.5X</w:t>
      </w:r>
    </w:p>
    <w:p w14:paraId="71890FF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4、放大倍率调节方式：5档鼓式旋纽</w:t>
      </w:r>
    </w:p>
    <w:p w14:paraId="3235597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5、瞳距调节范围：55~78mm</w:t>
      </w:r>
    </w:p>
    <w:p w14:paraId="43B5AD4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6、目镜屈光度调节范围：-5D~+5D</w:t>
      </w:r>
    </w:p>
    <w:p w14:paraId="2BC64DF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7、一体化设计：主体与轨道一体设计，操作更稳定；一体设计减小安装人为因素影响</w:t>
      </w:r>
    </w:p>
    <w:p w14:paraId="71AA0B9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8、裂隙照明宽度：可在0~14mm之间连续可调</w:t>
      </w:r>
    </w:p>
    <w:p w14:paraId="238C952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9、裂隙照明长度：可在1~14mm之间连续可调</w:t>
      </w:r>
    </w:p>
    <w:p w14:paraId="6342AA3F">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▲10、</w:t>
      </w:r>
      <w:r>
        <w:rPr>
          <w:rFonts w:hint="eastAsia" w:ascii="宋体" w:hAnsi="宋体" w:eastAsia="宋体" w:cs="宋体"/>
          <w:color w:val="auto"/>
          <w:sz w:val="24"/>
        </w:rPr>
        <w:t>裂隙照明</w:t>
      </w:r>
      <w:r>
        <w:rPr>
          <w:rFonts w:hint="eastAsia" w:ascii="宋体" w:hAnsi="宋体" w:eastAsia="宋体" w:cs="宋体"/>
          <w:color w:val="auto"/>
          <w:sz w:val="24"/>
        </w:rPr>
        <w:t>最小光斑直径≤0.2mm</w:t>
      </w:r>
    </w:p>
    <w:p w14:paraId="0F8A0BC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11、裂隙角度：0°~180°</w:t>
      </w:r>
    </w:p>
    <w:p w14:paraId="3DF1AEE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12、裂隙倾斜角度包含但不限于：5°、10°、15°、20°</w:t>
      </w:r>
    </w:p>
    <w:p w14:paraId="7BD07C5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13、照明光路滤光片包含但不限于：蓝色滤光片、无赤光滤光片</w:t>
      </w:r>
    </w:p>
    <w:p w14:paraId="083EB89A">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▲14、光源： LED或卤素灯</w:t>
      </w:r>
    </w:p>
    <w:p w14:paraId="693C98D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15、相机类型：内嵌式数码相机，无须另外安装分光器</w:t>
      </w:r>
    </w:p>
    <w:p w14:paraId="54BFCF4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16、采集方式：图片、视频、多张连拍</w:t>
      </w:r>
    </w:p>
    <w:p w14:paraId="5D800E4A">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▲17、具有睑板腺拍摄功能</w:t>
      </w:r>
    </w:p>
    <w:p w14:paraId="14B126D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18、具有自动调整曝光参数功能</w:t>
      </w:r>
    </w:p>
    <w:p w14:paraId="6B2CE16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▲19、左右眼识别：可以自动识别</w:t>
      </w:r>
    </w:p>
    <w:p w14:paraId="33CFDC3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20、采集触发方式：使用裂隙灯手柄按键触发采集</w:t>
      </w:r>
    </w:p>
    <w:p w14:paraId="48404C5A">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21、配置清单：</w:t>
      </w:r>
    </w:p>
    <w:p w14:paraId="65BDE3C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（1）裂隙灯显微镜主机一台 </w:t>
      </w:r>
    </w:p>
    <w:p w14:paraId="40D7FCE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（2）彩照红外一体数码照相机一个</w:t>
      </w:r>
    </w:p>
    <w:p w14:paraId="390EA2F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（3）干眼检查分析系统软件一套 </w:t>
      </w:r>
    </w:p>
    <w:p w14:paraId="018F485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（4）干眼投射照明装置一套 </w:t>
      </w:r>
    </w:p>
    <w:p w14:paraId="70D6B3DA">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（5）图像采集系统一套 </w:t>
      </w:r>
    </w:p>
    <w:p w14:paraId="77BE9D4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（6）电脑工作站一套</w:t>
      </w:r>
    </w:p>
    <w:p w14:paraId="66A434CF">
      <w:pPr>
        <w:tabs>
          <w:tab w:val="left" w:pos="3295"/>
        </w:tabs>
        <w:snapToGrid w:val="0"/>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rPr>
        <w:t>（7）彩色打印机一台</w:t>
      </w:r>
      <w:r>
        <w:rPr>
          <w:rFonts w:hint="eastAsia" w:ascii="宋体" w:hAnsi="宋体" w:eastAsia="宋体" w:cs="宋体"/>
          <w:color w:val="auto"/>
          <w:sz w:val="24"/>
          <w:lang w:eastAsia="zh-CN"/>
        </w:rPr>
        <w:tab/>
      </w:r>
      <w:bookmarkStart w:id="2" w:name="_GoBack"/>
      <w:bookmarkEnd w:id="2"/>
    </w:p>
    <w:p w14:paraId="448AD3D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（8）专用诊疗桌一台</w:t>
      </w:r>
    </w:p>
    <w:p w14:paraId="1CED0B57">
      <w:pPr>
        <w:spacing w:after="156" w:afterLines="50"/>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4、综合检查台（含裂隙灯）二 技术参数</w:t>
      </w:r>
      <w:r>
        <w:rPr>
          <w:rFonts w:hint="eastAsia" w:ascii="宋体" w:hAnsi="宋体" w:eastAsia="宋体" w:cs="宋体"/>
          <w:b/>
          <w:bCs/>
          <w:color w:val="auto"/>
          <w:sz w:val="24"/>
        </w:rPr>
        <w:t>要求</w:t>
      </w:r>
    </w:p>
    <w:p w14:paraId="4CD8B93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1、光源：白色LED/红外LED</w:t>
      </w:r>
    </w:p>
    <w:p w14:paraId="3147083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2、显微镜类型：伽利略型</w:t>
      </w:r>
    </w:p>
    <w:p w14:paraId="0D13028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3、目镜：12.5X  水平联动装置</w:t>
      </w:r>
    </w:p>
    <w:p w14:paraId="2D54684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▲4、显微镜放大倍率至少包含：6X、10X、16X、25X、40X五种</w:t>
      </w:r>
    </w:p>
    <w:p w14:paraId="1A3256D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5、屈光度调节：+7D ~--7D</w:t>
      </w:r>
    </w:p>
    <w:p w14:paraId="18399201">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6、裂隙高度： 1mm ～ 14mm连续可调</w:t>
      </w:r>
    </w:p>
    <w:p w14:paraId="73A2F06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7、裂隙宽度： 0mm ～ 14mm连续可调</w:t>
      </w:r>
    </w:p>
    <w:p w14:paraId="4CEE6B0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8、裂隙角度：0°</w:t>
      </w:r>
      <w:r>
        <w:rPr>
          <w:rFonts w:hint="eastAsia" w:ascii="宋体" w:hAnsi="宋体" w:eastAsia="宋体" w:cs="宋体"/>
          <w:color w:val="auto"/>
          <w:sz w:val="24"/>
        </w:rPr>
        <w:t>～</w:t>
      </w:r>
      <w:r>
        <w:rPr>
          <w:rFonts w:hint="eastAsia" w:ascii="宋体" w:hAnsi="宋体" w:eastAsia="宋体" w:cs="宋体"/>
          <w:color w:val="auto"/>
          <w:sz w:val="24"/>
        </w:rPr>
        <w:t>180°可旋转</w:t>
      </w:r>
    </w:p>
    <w:p w14:paraId="718DA97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9、裂隙前倾包含但不限于：0°、5°、10°、15°、20°</w:t>
      </w:r>
    </w:p>
    <w:p w14:paraId="62AB089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10、滤光片包含但不限于：无色片、 隔热片、减光片、无赤片、钴蓝片</w:t>
      </w:r>
    </w:p>
    <w:p w14:paraId="5675FC2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▲11、干眼装置：二环合一检查时，无需来回切换或者拆卸组合。</w:t>
      </w:r>
    </w:p>
    <w:p w14:paraId="07570F7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▲12、采集器：高清采集器，像素≥2400万。</w:t>
      </w:r>
    </w:p>
    <w:p w14:paraId="31F994B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13、眼前节综合分析：具有泪河高度测量、泪膜破裂时间测量、脂质层等级评估、眼红分析、角膜染色观察、检查螨虫功能</w:t>
      </w:r>
    </w:p>
    <w:p w14:paraId="4ECAD85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14、具有干眼治疗进展管理系统功能</w:t>
      </w:r>
    </w:p>
    <w:p w14:paraId="56DA73B8">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15、配置清单：</w:t>
      </w:r>
    </w:p>
    <w:p w14:paraId="15964C3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（1）裂隙灯显微镜主机一台 </w:t>
      </w:r>
    </w:p>
    <w:p w14:paraId="41F587F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（2）彩色照相图像采集系统一套 </w:t>
      </w:r>
    </w:p>
    <w:p w14:paraId="036D968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（3）干眼检查分析系统软件一套</w:t>
      </w:r>
    </w:p>
    <w:p w14:paraId="1E346853">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（4）干眼投射照明装置一套</w:t>
      </w:r>
    </w:p>
    <w:p w14:paraId="5B93033B">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（5）电脑工作站一套</w:t>
      </w:r>
    </w:p>
    <w:p w14:paraId="31EFC86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（6）彩色打印机一台</w:t>
      </w:r>
    </w:p>
    <w:p w14:paraId="2819798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（7）电动升降桌一台</w:t>
      </w:r>
    </w:p>
    <w:p w14:paraId="38BB4D9E">
      <w:pPr>
        <w:snapToGrid w:val="0"/>
        <w:spacing w:line="480" w:lineRule="auto"/>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5、视力表灯箱技术参数</w:t>
      </w:r>
      <w:r>
        <w:rPr>
          <w:rFonts w:hint="eastAsia" w:ascii="宋体" w:hAnsi="宋体" w:eastAsia="宋体" w:cs="宋体"/>
          <w:b/>
          <w:bCs/>
          <w:color w:val="auto"/>
          <w:sz w:val="24"/>
        </w:rPr>
        <w:t>要求</w:t>
      </w:r>
    </w:p>
    <w:p w14:paraId="049D756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1、每行由5个大小和阅读难度一致的Sloan字母组成，共14行。</w:t>
      </w:r>
    </w:p>
    <w:p w14:paraId="27ACA896">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2、从第一个字起，按“从左到右、从上向下”的顺序阅读，至某行至少3个字母不能读出，取前一个正确读出的字母为视力检查记录值。</w:t>
      </w:r>
    </w:p>
    <w:p w14:paraId="25CC4BA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3、从第一个字起，向下读每一行的第一个字，至能够正确读出字母的最后一行。然后从左到右读出本行(必要时连读下一行)的字母，至某行至少3个字母不能读出。取前一个正确读出的字母为视力检查记录值。</w:t>
      </w:r>
    </w:p>
    <w:p w14:paraId="297DF76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4、距离:5米或2.5米。</w:t>
      </w:r>
    </w:p>
    <w:p w14:paraId="60888EF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5、单套配置:</w:t>
      </w:r>
    </w:p>
    <w:p w14:paraId="71E2940A">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（1）视力表灯箱1个</w:t>
      </w:r>
    </w:p>
    <w:p w14:paraId="5C50698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（2）电源线 1根</w:t>
      </w:r>
    </w:p>
    <w:p w14:paraId="690A5986">
      <w:pPr>
        <w:widowControl/>
        <w:spacing w:line="480" w:lineRule="auto"/>
        <w:jc w:val="center"/>
        <w:rPr>
          <w:rFonts w:hint="eastAsia" w:ascii="宋体" w:hAnsi="宋体" w:eastAsia="宋体" w:cs="宋体"/>
          <w:b/>
          <w:bCs/>
          <w:color w:val="auto"/>
          <w:kern w:val="0"/>
          <w:sz w:val="24"/>
        </w:rPr>
      </w:pPr>
      <w:r>
        <w:rPr>
          <w:rFonts w:hint="eastAsia" w:ascii="宋体" w:hAnsi="宋体" w:eastAsia="宋体" w:cs="宋体"/>
          <w:b/>
          <w:bCs/>
          <w:color w:val="auto"/>
          <w:kern w:val="0"/>
          <w:sz w:val="24"/>
        </w:rPr>
        <w:t>6、验光镜片箱技术参数</w:t>
      </w:r>
      <w:r>
        <w:rPr>
          <w:rFonts w:hint="eastAsia" w:ascii="宋体" w:hAnsi="宋体" w:eastAsia="宋体" w:cs="宋体"/>
          <w:b/>
          <w:bCs/>
          <w:color w:val="auto"/>
          <w:sz w:val="24"/>
        </w:rPr>
        <w:t>要求</w:t>
      </w:r>
    </w:p>
    <w:p w14:paraId="4D1960F7">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1、镜片：浮法玻璃，塑料边框，皮箱包装。</w:t>
      </w:r>
    </w:p>
    <w:p w14:paraId="61A9C42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2、通光大孔径：≥26mm，外径≥38mm</w:t>
      </w:r>
    </w:p>
    <w:p w14:paraId="48D7505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3、标准装箱数：≥232pcs</w:t>
      </w:r>
    </w:p>
    <w:p w14:paraId="073194E4">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4、测量范围：球镜0.12-20.00DS</w:t>
      </w:r>
    </w:p>
    <w:p w14:paraId="1429914C">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柱镜0.12-6.00DC</w:t>
      </w:r>
    </w:p>
    <w:p w14:paraId="19B7D95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棱镜0.5-8.0△</w:t>
      </w:r>
    </w:p>
    <w:p w14:paraId="3D1AACF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5、配置清单：</w:t>
      </w:r>
    </w:p>
    <w:p w14:paraId="43693919">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（1）验光球镜（+）68片</w:t>
      </w:r>
    </w:p>
    <w:p w14:paraId="36C0399E">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（2）验光球镜（-）70片</w:t>
      </w:r>
    </w:p>
    <w:p w14:paraId="076F2B75">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（3）柱镜片（+）34片</w:t>
      </w:r>
    </w:p>
    <w:p w14:paraId="4EE2DECD">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（4）柱镜片（-）34片</w:t>
      </w:r>
    </w:p>
    <w:p w14:paraId="708A3A42">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（5）棱镜片：12片</w:t>
      </w:r>
    </w:p>
    <w:p w14:paraId="01E9E360">
      <w:pPr>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（6）辅助镜片：10片</w:t>
      </w:r>
    </w:p>
    <w:p w14:paraId="4273CDF6">
      <w:pPr>
        <w:widowControl/>
        <w:jc w:val="left"/>
        <w:rPr>
          <w:rFonts w:hint="eastAsia" w:ascii="宋体" w:hAnsi="宋体" w:eastAsia="宋体" w:cs="宋体"/>
          <w:b/>
          <w:bCs/>
          <w:color w:val="auto"/>
          <w:kern w:val="0"/>
          <w:sz w:val="24"/>
        </w:rPr>
      </w:pPr>
      <w:r>
        <w:rPr>
          <w:rFonts w:hint="eastAsia" w:ascii="宋体" w:hAnsi="宋体" w:cs="Arial"/>
          <w:b/>
          <w:color w:val="auto"/>
          <w:sz w:val="28"/>
          <w:szCs w:val="28"/>
        </w:rPr>
        <w:t>三、售后服务要求</w:t>
      </w:r>
    </w:p>
    <w:p w14:paraId="13FD7832">
      <w:pPr>
        <w:widowControl/>
        <w:numPr>
          <w:ilvl w:val="0"/>
          <w:numId w:val="3"/>
        </w:numPr>
        <w:jc w:val="left"/>
        <w:rPr>
          <w:rFonts w:hint="eastAsia" w:ascii="宋体" w:hAnsi="宋体" w:cs="Arial"/>
          <w:bCs/>
          <w:color w:val="auto"/>
          <w:sz w:val="24"/>
        </w:rPr>
      </w:pPr>
      <w:r>
        <w:rPr>
          <w:rFonts w:hint="eastAsia" w:ascii="宋体" w:hAnsi="宋体" w:cs="Arial"/>
          <w:bCs/>
          <w:color w:val="auto"/>
          <w:sz w:val="24"/>
        </w:rPr>
        <w:t>供应商或原厂在国内设立专业的维修机构。</w:t>
      </w:r>
    </w:p>
    <w:p w14:paraId="7DF8D780">
      <w:pPr>
        <w:numPr>
          <w:ilvl w:val="0"/>
          <w:numId w:val="3"/>
        </w:numPr>
        <w:spacing w:line="400" w:lineRule="exact"/>
        <w:rPr>
          <w:rFonts w:hint="eastAsia" w:ascii="宋体" w:hAnsi="宋体" w:cs="Arial"/>
          <w:bCs/>
          <w:color w:val="auto"/>
          <w:sz w:val="24"/>
        </w:rPr>
      </w:pPr>
      <w:r>
        <w:rPr>
          <w:rFonts w:hint="eastAsia" w:ascii="宋体" w:hAnsi="宋体" w:cs="Arial"/>
          <w:bCs/>
          <w:color w:val="auto"/>
          <w:sz w:val="24"/>
        </w:rPr>
        <w:t>质保期限要求：如无特殊要求，本标包所有投标产品交付采购人并经验收通过后不少于3年。</w:t>
      </w:r>
    </w:p>
    <w:p w14:paraId="4E703253">
      <w:pPr>
        <w:numPr>
          <w:ilvl w:val="0"/>
          <w:numId w:val="3"/>
        </w:numPr>
        <w:spacing w:line="400" w:lineRule="exact"/>
        <w:rPr>
          <w:rFonts w:hint="eastAsia" w:ascii="宋体" w:hAnsi="宋体" w:cs="Arial"/>
          <w:bCs/>
          <w:color w:val="auto"/>
          <w:sz w:val="24"/>
        </w:rPr>
      </w:pPr>
      <w:r>
        <w:rPr>
          <w:rFonts w:hint="eastAsia" w:ascii="宋体" w:hAnsi="宋体" w:cs="Arial"/>
          <w:bCs/>
          <w:color w:val="auto"/>
          <w:sz w:val="24"/>
        </w:rPr>
        <w:t>履约验收要求：项目履约验收工作具体依据项目合同中的履约验收方案执行。合同中的履约验收方案将明确履约验收的主体、时间、方式、程序、内容和验收标准等事项。</w:t>
      </w:r>
    </w:p>
    <w:p w14:paraId="4147787D">
      <w:pPr>
        <w:numPr>
          <w:ilvl w:val="0"/>
          <w:numId w:val="3"/>
        </w:numPr>
        <w:spacing w:line="400" w:lineRule="exact"/>
        <w:rPr>
          <w:rFonts w:hint="eastAsia" w:ascii="宋体" w:hAnsi="宋体" w:cs="Arial"/>
          <w:bCs/>
          <w:color w:val="auto"/>
          <w:sz w:val="24"/>
        </w:rPr>
      </w:pPr>
      <w:r>
        <w:rPr>
          <w:rFonts w:hint="eastAsia" w:ascii="宋体" w:hAnsi="宋体" w:cs="Arial"/>
          <w:bCs/>
          <w:color w:val="auto"/>
          <w:sz w:val="24"/>
        </w:rPr>
        <w:t>供应商需提供设备安装需要的基建要求，包括场地面积、承重、层高、用电等情况（如有）。设备安装验收后提供免费培训服务，提供与设备相关的操作手册和使用说明书。</w:t>
      </w:r>
    </w:p>
    <w:p w14:paraId="6DE6212F">
      <w:pPr>
        <w:numPr>
          <w:ilvl w:val="0"/>
          <w:numId w:val="3"/>
        </w:numPr>
        <w:spacing w:line="400" w:lineRule="exact"/>
        <w:rPr>
          <w:rFonts w:hint="eastAsia" w:ascii="宋体" w:hAnsi="宋体" w:cs="Arial"/>
          <w:bCs/>
          <w:color w:val="auto"/>
          <w:sz w:val="24"/>
        </w:rPr>
      </w:pPr>
      <w:r>
        <w:rPr>
          <w:rFonts w:hint="eastAsia" w:ascii="宋体" w:hAnsi="宋体" w:cs="Arial"/>
          <w:bCs/>
          <w:color w:val="auto"/>
          <w:sz w:val="24"/>
        </w:rPr>
        <w:t>供应商需承诺设备接口免费开放，免费接入医院综合运营系统，如有端口费用由中标方承担。</w:t>
      </w:r>
    </w:p>
    <w:p w14:paraId="3093F6BF">
      <w:pPr>
        <w:numPr>
          <w:ilvl w:val="0"/>
          <w:numId w:val="3"/>
        </w:numPr>
        <w:spacing w:line="400" w:lineRule="exact"/>
        <w:rPr>
          <w:rFonts w:hint="eastAsia" w:ascii="宋体" w:hAnsi="宋体" w:cs="Arial"/>
          <w:bCs/>
          <w:color w:val="auto"/>
          <w:sz w:val="24"/>
        </w:rPr>
      </w:pPr>
      <w:r>
        <w:rPr>
          <w:rFonts w:hint="eastAsia" w:ascii="宋体" w:hAnsi="宋体" w:cs="Arial"/>
          <w:bCs/>
          <w:color w:val="auto"/>
          <w:sz w:val="24"/>
        </w:rPr>
        <w:t>本次报价包含设备费用、安装调试费、运输费、包装费、税金等完成本项目所需要的所有费用。</w:t>
      </w:r>
    </w:p>
    <w:p w14:paraId="376DBBCE">
      <w:pPr>
        <w:numPr>
          <w:ilvl w:val="0"/>
          <w:numId w:val="3"/>
        </w:numPr>
        <w:spacing w:line="360" w:lineRule="auto"/>
        <w:rPr>
          <w:rFonts w:hint="eastAsia" w:ascii="宋体" w:hAnsi="宋体" w:cs="Arial"/>
          <w:bCs/>
          <w:color w:val="auto"/>
          <w:sz w:val="24"/>
        </w:rPr>
      </w:pPr>
      <w:r>
        <w:rPr>
          <w:rFonts w:hint="eastAsia" w:ascii="宋体" w:hAnsi="宋体" w:cs="Arial"/>
          <w:bCs/>
          <w:color w:val="auto"/>
          <w:sz w:val="24"/>
        </w:rPr>
        <w:t>后续的全生命周期成本及备品备件采购价格情况等相关说明。</w:t>
      </w:r>
    </w:p>
    <w:p w14:paraId="02B8437C">
      <w:pPr>
        <w:numPr>
          <w:ilvl w:val="0"/>
          <w:numId w:val="3"/>
        </w:numPr>
        <w:spacing w:line="400" w:lineRule="exact"/>
        <w:rPr>
          <w:rFonts w:hint="eastAsia" w:ascii="宋体" w:hAnsi="宋体" w:eastAsia="宋体" w:cs="宋体"/>
          <w:color w:val="auto"/>
          <w:sz w:val="24"/>
        </w:rPr>
      </w:pPr>
      <w:r>
        <w:rPr>
          <w:rFonts w:hint="eastAsia" w:ascii="宋体" w:hAnsi="宋体" w:cs="Arial"/>
          <w:bCs/>
          <w:color w:val="auto"/>
          <w:sz w:val="24"/>
        </w:rPr>
        <w:t>本项目需由供应商提供设计方案、解决方案或者组织方案以及技术支持资料。</w:t>
      </w: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B821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35A891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35A891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F985B">
    <w:pPr>
      <w:pStyle w:val="4"/>
      <w:pBdr>
        <w:bottom w:val="none" w:color="auto" w:sz="0" w:space="0"/>
      </w:pBdr>
      <w:jc w:val="both"/>
      <w:rPr>
        <w:rFonts w:hint="eastAsia"/>
        <w:lang w:val="en-US" w:eastAsia="zh-CN"/>
      </w:rPr>
    </w:pPr>
    <w:r>
      <w:rPr>
        <w:rFonts w:hint="eastAsia"/>
        <w:lang w:val="en-US" w:eastAsia="zh-CN"/>
      </w:rPr>
      <w:t>ZC20260146      上海市光华中西医结合医院所需手术室、特检、眼科等一批医疗设备公开招标项目</w:t>
    </w:r>
  </w:p>
  <w:p w14:paraId="05E5B57A">
    <w:pPr>
      <w:pStyle w:val="4"/>
      <w:pBdr>
        <w:bottom w:val="single" w:color="auto" w:sz="4" w:space="0"/>
      </w:pBdr>
    </w:pPr>
    <w:r>
      <w:rPr>
        <w:rFonts w:hint="eastAsia"/>
        <w:lang w:val="en-US" w:eastAsia="zh-CN"/>
      </w:rPr>
      <w:tab/>
    </w:r>
    <w:r>
      <w:rPr>
        <w:rFonts w:hint="eastAsia"/>
        <w:lang w:val="en-US" w:eastAsia="zh-CN"/>
      </w:rPr>
      <w:t>招标需求文件 第三标包</w:t>
    </w:r>
    <w:r>
      <w:rPr>
        <w:rFonts w:hint="eastAsia"/>
        <w:lang w:val="en-US"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361D5D"/>
    <w:multiLevelType w:val="singleLevel"/>
    <w:tmpl w:val="C8361D5D"/>
    <w:lvl w:ilvl="0" w:tentative="0">
      <w:start w:val="2"/>
      <w:numFmt w:val="chineseCounting"/>
      <w:suff w:val="nothing"/>
      <w:lvlText w:val="%1、"/>
      <w:lvlJc w:val="left"/>
      <w:rPr>
        <w:rFonts w:hint="eastAsia"/>
      </w:rPr>
    </w:lvl>
  </w:abstractNum>
  <w:abstractNum w:abstractNumId="1">
    <w:nsid w:val="1932B0C3"/>
    <w:multiLevelType w:val="singleLevel"/>
    <w:tmpl w:val="1932B0C3"/>
    <w:lvl w:ilvl="0" w:tentative="0">
      <w:start w:val="1"/>
      <w:numFmt w:val="decimal"/>
      <w:suff w:val="nothing"/>
      <w:lvlText w:val="%1、"/>
      <w:lvlJc w:val="left"/>
    </w:lvl>
  </w:abstractNum>
  <w:abstractNum w:abstractNumId="2">
    <w:nsid w:val="7F87FA6D"/>
    <w:multiLevelType w:val="singleLevel"/>
    <w:tmpl w:val="7F87FA6D"/>
    <w:lvl w:ilvl="0" w:tentative="0">
      <w:start w:val="1"/>
      <w:numFmt w:val="decimal"/>
      <w:lvlText w:val="%1."/>
      <w:lvlJc w:val="left"/>
      <w:pPr>
        <w:ind w:left="425" w:hanging="425"/>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6E405B"/>
    <w:rsid w:val="00022EFA"/>
    <w:rsid w:val="00035EAC"/>
    <w:rsid w:val="00042DF9"/>
    <w:rsid w:val="0004742D"/>
    <w:rsid w:val="00072908"/>
    <w:rsid w:val="00081CFA"/>
    <w:rsid w:val="000976DF"/>
    <w:rsid w:val="000A1166"/>
    <w:rsid w:val="000C5E21"/>
    <w:rsid w:val="000D3A93"/>
    <w:rsid w:val="000E7EC1"/>
    <w:rsid w:val="001F552B"/>
    <w:rsid w:val="001F6B12"/>
    <w:rsid w:val="00225695"/>
    <w:rsid w:val="00247581"/>
    <w:rsid w:val="002805D6"/>
    <w:rsid w:val="002A03E7"/>
    <w:rsid w:val="00342C2F"/>
    <w:rsid w:val="003C23E7"/>
    <w:rsid w:val="003E5968"/>
    <w:rsid w:val="00400925"/>
    <w:rsid w:val="00437DCC"/>
    <w:rsid w:val="00465DC9"/>
    <w:rsid w:val="004719D3"/>
    <w:rsid w:val="00490201"/>
    <w:rsid w:val="00541888"/>
    <w:rsid w:val="00560C8E"/>
    <w:rsid w:val="00580B8F"/>
    <w:rsid w:val="00590F92"/>
    <w:rsid w:val="005A1228"/>
    <w:rsid w:val="005C13A2"/>
    <w:rsid w:val="0063001F"/>
    <w:rsid w:val="0063053C"/>
    <w:rsid w:val="00650DFB"/>
    <w:rsid w:val="0067676E"/>
    <w:rsid w:val="006D19F8"/>
    <w:rsid w:val="006D218B"/>
    <w:rsid w:val="0072541A"/>
    <w:rsid w:val="007376D1"/>
    <w:rsid w:val="007531BC"/>
    <w:rsid w:val="0079342F"/>
    <w:rsid w:val="00806425"/>
    <w:rsid w:val="008455F1"/>
    <w:rsid w:val="00877189"/>
    <w:rsid w:val="00886D84"/>
    <w:rsid w:val="008A72D5"/>
    <w:rsid w:val="008E4BC5"/>
    <w:rsid w:val="008F0017"/>
    <w:rsid w:val="008F5826"/>
    <w:rsid w:val="00922D26"/>
    <w:rsid w:val="00995408"/>
    <w:rsid w:val="009A103B"/>
    <w:rsid w:val="009B53A8"/>
    <w:rsid w:val="009F725A"/>
    <w:rsid w:val="00A3280E"/>
    <w:rsid w:val="00AB3546"/>
    <w:rsid w:val="00AE7981"/>
    <w:rsid w:val="00AF5F2D"/>
    <w:rsid w:val="00B36B0B"/>
    <w:rsid w:val="00B44E25"/>
    <w:rsid w:val="00B50461"/>
    <w:rsid w:val="00B54471"/>
    <w:rsid w:val="00B96C5A"/>
    <w:rsid w:val="00BA2013"/>
    <w:rsid w:val="00BB4911"/>
    <w:rsid w:val="00BD08B4"/>
    <w:rsid w:val="00C10A28"/>
    <w:rsid w:val="00C27F0A"/>
    <w:rsid w:val="00C50CD7"/>
    <w:rsid w:val="00C975FE"/>
    <w:rsid w:val="00D24B9E"/>
    <w:rsid w:val="00D62816"/>
    <w:rsid w:val="00D81FC4"/>
    <w:rsid w:val="00D860BF"/>
    <w:rsid w:val="00DE11FD"/>
    <w:rsid w:val="00DE7ACF"/>
    <w:rsid w:val="00E0598D"/>
    <w:rsid w:val="00E336B3"/>
    <w:rsid w:val="00EA3583"/>
    <w:rsid w:val="00ED031B"/>
    <w:rsid w:val="00EE0C54"/>
    <w:rsid w:val="00F32C80"/>
    <w:rsid w:val="00F72342"/>
    <w:rsid w:val="00F8122D"/>
    <w:rsid w:val="00F83FBF"/>
    <w:rsid w:val="00FB7DAC"/>
    <w:rsid w:val="00FD1C22"/>
    <w:rsid w:val="01311D17"/>
    <w:rsid w:val="04FA17D2"/>
    <w:rsid w:val="06EA7FE5"/>
    <w:rsid w:val="0BEB51B8"/>
    <w:rsid w:val="1AD05D20"/>
    <w:rsid w:val="20757F3E"/>
    <w:rsid w:val="20F024D5"/>
    <w:rsid w:val="21FA7AAB"/>
    <w:rsid w:val="22EF5136"/>
    <w:rsid w:val="26753C6A"/>
    <w:rsid w:val="26C568DA"/>
    <w:rsid w:val="32195D2C"/>
    <w:rsid w:val="37CB7AC8"/>
    <w:rsid w:val="3842636B"/>
    <w:rsid w:val="384F24A7"/>
    <w:rsid w:val="39567866"/>
    <w:rsid w:val="3C8B40B8"/>
    <w:rsid w:val="44D3620E"/>
    <w:rsid w:val="46E95125"/>
    <w:rsid w:val="48A831A4"/>
    <w:rsid w:val="48E11085"/>
    <w:rsid w:val="492A6786"/>
    <w:rsid w:val="4ACE3700"/>
    <w:rsid w:val="4D335E5A"/>
    <w:rsid w:val="5108561A"/>
    <w:rsid w:val="5814071D"/>
    <w:rsid w:val="59102330"/>
    <w:rsid w:val="598938B1"/>
    <w:rsid w:val="5A625C12"/>
    <w:rsid w:val="5F8A1E93"/>
    <w:rsid w:val="614B7400"/>
    <w:rsid w:val="623B3F16"/>
    <w:rsid w:val="628232F6"/>
    <w:rsid w:val="64AB3741"/>
    <w:rsid w:val="746740F9"/>
    <w:rsid w:val="74A964C0"/>
    <w:rsid w:val="754272F6"/>
    <w:rsid w:val="756E405B"/>
    <w:rsid w:val="779F7C32"/>
    <w:rsid w:val="78FE2B52"/>
    <w:rsid w:val="7A0F6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rPr>
      <w:sz w:val="32"/>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1"/>
    <w:uiPriority w:val="0"/>
    <w:pPr>
      <w:tabs>
        <w:tab w:val="center" w:pos="4153"/>
        <w:tab w:val="right" w:pos="8306"/>
      </w:tabs>
      <w:snapToGrid w:val="0"/>
      <w:jc w:val="center"/>
    </w:pPr>
    <w:rPr>
      <w:sz w:val="18"/>
      <w:szCs w:val="18"/>
    </w:rPr>
  </w:style>
  <w:style w:type="paragraph" w:styleId="5">
    <w:name w:val="Normal (Web)"/>
    <w:basedOn w:val="1"/>
    <w:qFormat/>
    <w:uiPriority w:val="0"/>
    <w:pPr>
      <w:spacing w:before="100" w:beforeAutospacing="1" w:after="100" w:afterAutospacing="1"/>
      <w:jc w:val="left"/>
    </w:pPr>
    <w:rPr>
      <w:rFonts w:cs="Times New Roman"/>
      <w:kern w:val="0"/>
      <w:sz w:val="24"/>
    </w:rPr>
  </w:style>
  <w:style w:type="character" w:styleId="8">
    <w:name w:val="Hyperlink"/>
    <w:basedOn w:val="7"/>
    <w:qFormat/>
    <w:uiPriority w:val="0"/>
    <w:rPr>
      <w:color w:val="0000FF"/>
      <w:u w:val="single"/>
    </w:rPr>
  </w:style>
  <w:style w:type="character" w:styleId="9">
    <w:name w:val="HTML Sample"/>
    <w:basedOn w:val="7"/>
    <w:qFormat/>
    <w:uiPriority w:val="0"/>
    <w:rPr>
      <w:rFonts w:ascii="Courier New" w:hAnsi="Courier New"/>
    </w:rPr>
  </w:style>
  <w:style w:type="paragraph" w:styleId="10">
    <w:name w:val="List Paragraph"/>
    <w:basedOn w:val="1"/>
    <w:qFormat/>
    <w:uiPriority w:val="99"/>
    <w:pPr>
      <w:ind w:firstLine="420" w:firstLineChars="200"/>
    </w:pPr>
  </w:style>
  <w:style w:type="character" w:customStyle="1" w:styleId="11">
    <w:name w:val="页眉 字符"/>
    <w:basedOn w:val="7"/>
    <w:link w:val="4"/>
    <w:uiPriority w:val="0"/>
    <w:rPr>
      <w:kern w:val="2"/>
      <w:sz w:val="18"/>
      <w:szCs w:val="18"/>
    </w:rPr>
  </w:style>
  <w:style w:type="character" w:customStyle="1" w:styleId="12">
    <w:name w:val="页脚 字符"/>
    <w:basedOn w:val="7"/>
    <w:link w:val="3"/>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3127</Words>
  <Characters>3534</Characters>
  <Lines>124</Lines>
  <Paragraphs>198</Paragraphs>
  <TotalTime>2</TotalTime>
  <ScaleCrop>false</ScaleCrop>
  <LinksUpToDate>false</LinksUpToDate>
  <CharactersWithSpaces>3568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2026-03-02T03:14:00Z</dcterms:created>
  <dc:creator>Tony匡</dc:creator>
  <cp:lastModifiedBy>Better Me</cp:lastModifiedBy>
  <cp:lastPrinted>2026-03-02T07:38:00Z</cp:lastPrinted>
  <dcterms:modified xsi:type="dcterms:W3CDTF">2026-08-11T02:07:33Z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2BF47EB13E3244DEB6CA390BA2AB5444_13</vt:lpwstr>
  </property>
  <property fmtid="{D5CDD505-2E9C-101B-9397-08002B2CF9AE}" pid="4" name="KSOTemplateDocerSaveRecord">
    <vt:lpwstr>eyJoZGlkIjoiMmYxOTc0NjYzMzU2ODA4YjU4NTcyYWU1MWU4OGU4MTIiLCJ1c2VySWQiOiI1Njk1NTUzMTgifQ==</vt:lpwstr>
  </property>
</Properties>
</file>