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C27C1">
      <w:pPr>
        <w:widowControl/>
        <w:spacing w:before="75" w:after="75"/>
        <w:jc w:val="center"/>
        <w:rPr>
          <w:rFonts w:ascii="宋体" w:hAnsi="宋体" w:eastAsia="宋体" w:cs="宋体"/>
          <w:b/>
          <w:color w:val="auto"/>
          <w:sz w:val="28"/>
          <w:szCs w:val="28"/>
        </w:rPr>
      </w:pPr>
      <w:r>
        <w:rPr>
          <w:rFonts w:ascii="宋体" w:hAnsi="宋体" w:eastAsia="宋体" w:cs="宋体"/>
          <w:b/>
          <w:color w:val="auto"/>
          <w:sz w:val="28"/>
          <w:szCs w:val="28"/>
        </w:rPr>
        <w:t>上海市光华中西医结合医院所需手术室、特检、眼科等一批医疗设备</w:t>
      </w:r>
      <w:r>
        <w:rPr>
          <w:rFonts w:hint="eastAsia" w:ascii="宋体" w:hAnsi="宋体" w:eastAsia="宋体" w:cs="宋体"/>
          <w:b/>
          <w:color w:val="auto"/>
          <w:sz w:val="28"/>
          <w:szCs w:val="28"/>
        </w:rPr>
        <w:t>公开招标项目招标需求文件</w:t>
      </w:r>
    </w:p>
    <w:p w14:paraId="0686F49C">
      <w:pPr>
        <w:widowControl/>
        <w:spacing w:before="75" w:after="75"/>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第一标包：手术室设备</w:t>
      </w:r>
    </w:p>
    <w:p w14:paraId="7E3EF242">
      <w:pPr>
        <w:widowControl/>
        <w:jc w:val="left"/>
        <w:rPr>
          <w:rStyle w:val="13"/>
          <w:rFonts w:hint="eastAsia" w:ascii="仿宋" w:hAnsi="仿宋" w:eastAsia="仿宋" w:cs="仿宋"/>
          <w:color w:val="auto"/>
          <w:sz w:val="27"/>
          <w:szCs w:val="27"/>
        </w:rPr>
      </w:pPr>
    </w:p>
    <w:p w14:paraId="5D3BB547">
      <w:pPr>
        <w:rPr>
          <w:rFonts w:hint="eastAsia" w:ascii="宋体" w:hAnsi="宋体" w:eastAsia="宋体" w:cs="宋体"/>
          <w:b/>
          <w:bCs/>
          <w:color w:val="auto"/>
          <w:kern w:val="0"/>
          <w:sz w:val="24"/>
        </w:rPr>
      </w:pPr>
      <w:r>
        <w:rPr>
          <w:rFonts w:hint="eastAsia" w:ascii="宋体" w:hAnsi="宋体" w:eastAsia="宋体" w:cs="宋体"/>
          <w:b/>
          <w:bCs/>
          <w:color w:val="auto"/>
          <w:kern w:val="0"/>
          <w:sz w:val="24"/>
        </w:rPr>
        <w:t>一、项目概况</w:t>
      </w:r>
    </w:p>
    <w:p w14:paraId="004FD204">
      <w:pPr>
        <w:pStyle w:val="3"/>
        <w:numPr>
          <w:ilvl w:val="0"/>
          <w:numId w:val="1"/>
        </w:numPr>
        <w:rPr>
          <w:rFonts w:hint="eastAsia" w:ascii="宋体" w:hAnsi="宋体" w:eastAsia="宋体" w:cs="宋体"/>
          <w:color w:val="auto"/>
          <w:sz w:val="24"/>
        </w:rPr>
      </w:pPr>
      <w:r>
        <w:rPr>
          <w:rFonts w:hint="eastAsia" w:ascii="宋体" w:hAnsi="宋体" w:eastAsia="宋体" w:cs="宋体"/>
          <w:color w:val="auto"/>
          <w:sz w:val="24"/>
        </w:rPr>
        <w:t>设备数量</w:t>
      </w:r>
    </w:p>
    <w:tbl>
      <w:tblPr>
        <w:tblStyle w:val="8"/>
        <w:tblW w:w="8603" w:type="dxa"/>
        <w:tblInd w:w="0" w:type="dxa"/>
        <w:tblLayout w:type="autofit"/>
        <w:tblCellMar>
          <w:top w:w="0" w:type="dxa"/>
          <w:left w:w="108" w:type="dxa"/>
          <w:bottom w:w="0" w:type="dxa"/>
          <w:right w:w="108" w:type="dxa"/>
        </w:tblCellMar>
      </w:tblPr>
      <w:tblGrid>
        <w:gridCol w:w="675"/>
        <w:gridCol w:w="3078"/>
        <w:gridCol w:w="1400"/>
        <w:gridCol w:w="1717"/>
        <w:gridCol w:w="1733"/>
      </w:tblGrid>
      <w:tr w14:paraId="0A6D6ADA">
        <w:tblPrEx>
          <w:tblCellMar>
            <w:top w:w="0" w:type="dxa"/>
            <w:left w:w="108" w:type="dxa"/>
            <w:bottom w:w="0" w:type="dxa"/>
            <w:right w:w="108" w:type="dxa"/>
          </w:tblCellMar>
        </w:tblPrEx>
        <w:trPr>
          <w:trHeight w:val="905"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385F2B8D">
            <w:pPr>
              <w:widowControl/>
              <w:jc w:val="center"/>
              <w:textAlignment w:val="center"/>
              <w:rPr>
                <w:rFonts w:hint="eastAsia" w:ascii="宋体" w:hAnsi="宋体" w:eastAsia="宋体" w:cs="宋体"/>
                <w:b/>
                <w:bCs/>
                <w:color w:val="auto"/>
                <w:sz w:val="24"/>
              </w:rPr>
            </w:pPr>
            <w:r>
              <w:rPr>
                <w:rFonts w:hint="eastAsia" w:ascii="宋体" w:hAnsi="宋体" w:eastAsia="宋体" w:cs="宋体"/>
                <w:b/>
                <w:bCs/>
                <w:color w:val="auto"/>
                <w:sz w:val="24"/>
              </w:rPr>
              <w:t>序号</w:t>
            </w:r>
          </w:p>
        </w:tc>
        <w:tc>
          <w:tcPr>
            <w:tcW w:w="3078" w:type="dxa"/>
            <w:tcBorders>
              <w:top w:val="single" w:color="000000" w:sz="4" w:space="0"/>
              <w:left w:val="single" w:color="000000" w:sz="4" w:space="0"/>
              <w:bottom w:val="single" w:color="000000" w:sz="4" w:space="0"/>
              <w:right w:val="single" w:color="000000" w:sz="4" w:space="0"/>
            </w:tcBorders>
            <w:vAlign w:val="center"/>
          </w:tcPr>
          <w:p w14:paraId="335CF228">
            <w:pPr>
              <w:widowControl/>
              <w:jc w:val="center"/>
              <w:textAlignment w:val="center"/>
              <w:rPr>
                <w:rFonts w:hint="eastAsia" w:ascii="宋体" w:hAnsi="宋体" w:eastAsia="宋体" w:cs="宋体"/>
                <w:b/>
                <w:bCs/>
                <w:color w:val="auto"/>
                <w:sz w:val="24"/>
              </w:rPr>
            </w:pPr>
            <w:r>
              <w:rPr>
                <w:rFonts w:hint="eastAsia" w:ascii="宋体" w:hAnsi="宋体" w:eastAsia="宋体" w:cs="宋体"/>
                <w:b/>
                <w:bCs/>
                <w:color w:val="auto"/>
                <w:kern w:val="0"/>
                <w:sz w:val="24"/>
                <w:lang w:bidi="ar"/>
              </w:rPr>
              <w:t>设备名称</w:t>
            </w:r>
          </w:p>
        </w:tc>
        <w:tc>
          <w:tcPr>
            <w:tcW w:w="1400" w:type="dxa"/>
            <w:tcBorders>
              <w:top w:val="single" w:color="000000" w:sz="4" w:space="0"/>
              <w:left w:val="single" w:color="000000" w:sz="4" w:space="0"/>
              <w:bottom w:val="single" w:color="000000" w:sz="4" w:space="0"/>
              <w:right w:val="single" w:color="000000" w:sz="4" w:space="0"/>
            </w:tcBorders>
            <w:vAlign w:val="center"/>
          </w:tcPr>
          <w:p w14:paraId="277D2398">
            <w:pPr>
              <w:widowControl/>
              <w:jc w:val="center"/>
              <w:textAlignment w:val="center"/>
              <w:rPr>
                <w:rFonts w:hint="eastAsia" w:ascii="宋体" w:hAnsi="宋体" w:eastAsia="宋体" w:cs="宋体"/>
                <w:b/>
                <w:bCs/>
                <w:color w:val="auto"/>
                <w:sz w:val="24"/>
              </w:rPr>
            </w:pPr>
            <w:r>
              <w:rPr>
                <w:rFonts w:hint="eastAsia" w:ascii="宋体" w:hAnsi="宋体" w:eastAsia="宋体" w:cs="宋体"/>
                <w:b/>
                <w:bCs/>
                <w:color w:val="auto"/>
                <w:kern w:val="0"/>
                <w:sz w:val="24"/>
                <w:lang w:bidi="ar"/>
              </w:rPr>
              <w:t>数量</w:t>
            </w:r>
          </w:p>
        </w:tc>
        <w:tc>
          <w:tcPr>
            <w:tcW w:w="1717" w:type="dxa"/>
            <w:tcBorders>
              <w:top w:val="single" w:color="000000" w:sz="4" w:space="0"/>
              <w:left w:val="single" w:color="000000" w:sz="4" w:space="0"/>
              <w:bottom w:val="single" w:color="000000" w:sz="4" w:space="0"/>
              <w:right w:val="single" w:color="000000" w:sz="4" w:space="0"/>
            </w:tcBorders>
            <w:vAlign w:val="center"/>
          </w:tcPr>
          <w:p w14:paraId="5AF09DCF">
            <w:pPr>
              <w:widowControl/>
              <w:jc w:val="center"/>
              <w:textAlignment w:val="center"/>
              <w:rPr>
                <w:rFonts w:hint="eastAsia" w:ascii="宋体" w:hAnsi="宋体" w:eastAsia="宋体" w:cs="宋体"/>
                <w:b/>
                <w:bCs/>
                <w:color w:val="auto"/>
                <w:kern w:val="0"/>
                <w:sz w:val="24"/>
                <w:lang w:bidi="ar"/>
              </w:rPr>
            </w:pPr>
            <w:r>
              <w:rPr>
                <w:rFonts w:hint="eastAsia" w:ascii="宋体" w:hAnsi="宋体" w:eastAsia="宋体" w:cs="宋体"/>
                <w:b/>
                <w:bCs/>
                <w:color w:val="auto"/>
                <w:kern w:val="0"/>
                <w:sz w:val="24"/>
                <w:lang w:bidi="ar"/>
              </w:rPr>
              <w:t>设备</w:t>
            </w:r>
          </w:p>
          <w:p w14:paraId="1E9AF666">
            <w:pPr>
              <w:widowControl/>
              <w:jc w:val="center"/>
              <w:textAlignment w:val="center"/>
              <w:rPr>
                <w:rFonts w:hint="eastAsia" w:ascii="宋体" w:hAnsi="宋体" w:eastAsia="宋体" w:cs="宋体"/>
                <w:b/>
                <w:bCs/>
                <w:color w:val="auto"/>
                <w:sz w:val="24"/>
              </w:rPr>
            </w:pPr>
            <w:r>
              <w:rPr>
                <w:rFonts w:hint="eastAsia" w:ascii="宋体" w:hAnsi="宋体" w:eastAsia="宋体" w:cs="宋体"/>
                <w:b/>
                <w:bCs/>
                <w:color w:val="auto"/>
                <w:kern w:val="0"/>
                <w:sz w:val="24"/>
                <w:lang w:bidi="ar"/>
              </w:rPr>
              <w:t>单价限价</w:t>
            </w:r>
            <w:r>
              <w:rPr>
                <w:rFonts w:hint="eastAsia" w:ascii="宋体" w:hAnsi="宋体" w:eastAsia="宋体" w:cs="宋体"/>
                <w:b/>
                <w:bCs/>
                <w:color w:val="auto"/>
                <w:kern w:val="0"/>
                <w:sz w:val="24"/>
                <w:lang w:bidi="ar"/>
              </w:rPr>
              <w:br w:type="textWrapping"/>
            </w:r>
            <w:r>
              <w:rPr>
                <w:rFonts w:hint="eastAsia" w:ascii="宋体" w:hAnsi="宋体" w:eastAsia="宋体" w:cs="宋体"/>
                <w:b/>
                <w:bCs/>
                <w:color w:val="auto"/>
                <w:kern w:val="0"/>
                <w:sz w:val="24"/>
                <w:lang w:bidi="ar"/>
              </w:rPr>
              <w:t>（万元）</w:t>
            </w:r>
          </w:p>
        </w:tc>
        <w:tc>
          <w:tcPr>
            <w:tcW w:w="1733" w:type="dxa"/>
            <w:tcBorders>
              <w:top w:val="single" w:color="000000" w:sz="4" w:space="0"/>
              <w:left w:val="single" w:color="000000" w:sz="4" w:space="0"/>
              <w:bottom w:val="single" w:color="000000" w:sz="4" w:space="0"/>
              <w:right w:val="single" w:color="000000" w:sz="4" w:space="0"/>
            </w:tcBorders>
            <w:vAlign w:val="center"/>
          </w:tcPr>
          <w:p w14:paraId="2CC9DD00">
            <w:pPr>
              <w:widowControl/>
              <w:jc w:val="center"/>
              <w:textAlignment w:val="center"/>
              <w:rPr>
                <w:rFonts w:hint="eastAsia" w:ascii="宋体" w:hAnsi="宋体" w:eastAsia="宋体" w:cs="宋体"/>
                <w:b/>
                <w:bCs/>
                <w:color w:val="auto"/>
                <w:sz w:val="24"/>
              </w:rPr>
            </w:pPr>
            <w:r>
              <w:rPr>
                <w:rFonts w:hint="eastAsia" w:ascii="宋体" w:hAnsi="宋体" w:eastAsia="宋体" w:cs="宋体"/>
                <w:b/>
                <w:bCs/>
                <w:color w:val="auto"/>
                <w:kern w:val="0"/>
                <w:sz w:val="24"/>
                <w:lang w:bidi="ar"/>
              </w:rPr>
              <w:t>设备核价限价</w:t>
            </w:r>
            <w:r>
              <w:rPr>
                <w:rFonts w:hint="eastAsia" w:ascii="宋体" w:hAnsi="宋体" w:eastAsia="宋体" w:cs="宋体"/>
                <w:b/>
                <w:bCs/>
                <w:color w:val="auto"/>
                <w:kern w:val="0"/>
                <w:sz w:val="24"/>
                <w:lang w:bidi="ar"/>
              </w:rPr>
              <w:br w:type="textWrapping"/>
            </w:r>
            <w:r>
              <w:rPr>
                <w:rFonts w:hint="eastAsia" w:ascii="宋体" w:hAnsi="宋体" w:eastAsia="宋体" w:cs="宋体"/>
                <w:b/>
                <w:bCs/>
                <w:color w:val="auto"/>
                <w:kern w:val="0"/>
                <w:sz w:val="24"/>
                <w:lang w:bidi="ar"/>
              </w:rPr>
              <w:t>（万元）</w:t>
            </w:r>
          </w:p>
        </w:tc>
      </w:tr>
      <w:tr w14:paraId="43A2ECB5">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D9EA7F0">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A79E9F6">
            <w:pPr>
              <w:widowControl/>
              <w:jc w:val="center"/>
              <w:textAlignment w:val="center"/>
              <w:rPr>
                <w:rFonts w:hint="eastAsia" w:ascii="宋体" w:hAnsi="宋体" w:eastAsia="宋体" w:cs="宋体"/>
                <w:color w:val="auto"/>
                <w:kern w:val="0"/>
                <w:sz w:val="24"/>
                <w:lang w:bidi="ar"/>
              </w:rPr>
            </w:pPr>
            <w:bookmarkStart w:id="0" w:name="OLE_LINK1"/>
            <w:r>
              <w:rPr>
                <w:rFonts w:ascii="宋体" w:hAnsi="宋体" w:eastAsia="宋体" w:cs="宋体"/>
                <w:color w:val="auto"/>
                <w:kern w:val="0"/>
                <w:sz w:val="24"/>
                <w:lang w:bidi="ar"/>
              </w:rPr>
              <w:t>高频电刀</w:t>
            </w:r>
            <w:bookmarkEnd w:id="0"/>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D5119B4">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2</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95444D8">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10</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C764E8C">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20</w:t>
            </w:r>
          </w:p>
        </w:tc>
      </w:tr>
      <w:tr w14:paraId="1387A158">
        <w:tblPrEx>
          <w:tblCellMar>
            <w:top w:w="0" w:type="dxa"/>
            <w:left w:w="108" w:type="dxa"/>
            <w:bottom w:w="0" w:type="dxa"/>
            <w:right w:w="108" w:type="dxa"/>
          </w:tblCellMar>
        </w:tblPrEx>
        <w:trPr>
          <w:trHeight w:val="436"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750DF3E">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2</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4AF27C4">
            <w:pPr>
              <w:widowControl/>
              <w:jc w:val="center"/>
              <w:textAlignment w:val="center"/>
              <w:rPr>
                <w:rFonts w:hint="eastAsia" w:ascii="宋体" w:hAnsi="宋体" w:eastAsia="宋体" w:cs="宋体"/>
                <w:color w:val="auto"/>
                <w:kern w:val="0"/>
                <w:sz w:val="24"/>
                <w:lang w:bidi="ar"/>
              </w:rPr>
            </w:pPr>
            <w:r>
              <w:rPr>
                <w:rFonts w:ascii="宋体" w:hAnsi="宋体" w:eastAsia="宋体" w:cs="宋体"/>
                <w:color w:val="auto"/>
                <w:kern w:val="0"/>
                <w:sz w:val="24"/>
                <w:lang w:bidi="ar"/>
              </w:rPr>
              <w:t>升温毯</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95864FE">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2</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381C09F">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8</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66059BD">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16</w:t>
            </w:r>
          </w:p>
        </w:tc>
      </w:tr>
      <w:tr w14:paraId="3AD31001">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D077CA9">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3</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036331D">
            <w:pPr>
              <w:widowControl/>
              <w:jc w:val="center"/>
              <w:textAlignment w:val="center"/>
              <w:rPr>
                <w:rFonts w:hint="eastAsia" w:ascii="宋体" w:hAnsi="宋体" w:eastAsia="宋体" w:cs="宋体"/>
                <w:color w:val="auto"/>
                <w:kern w:val="0"/>
                <w:sz w:val="24"/>
                <w:lang w:bidi="ar"/>
              </w:rPr>
            </w:pPr>
            <w:r>
              <w:rPr>
                <w:rFonts w:ascii="宋体" w:hAnsi="宋体" w:eastAsia="宋体" w:cs="宋体"/>
                <w:color w:val="auto"/>
                <w:kern w:val="0"/>
                <w:sz w:val="24"/>
                <w:lang w:bidi="ar"/>
              </w:rPr>
              <w:t>保冷柜</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F3FF135">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4</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C01A03E">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07A1121">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4</w:t>
            </w:r>
          </w:p>
        </w:tc>
      </w:tr>
      <w:tr w14:paraId="4978C824">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CBC2273">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4</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9CB01E6">
            <w:pPr>
              <w:widowControl/>
              <w:jc w:val="center"/>
              <w:textAlignment w:val="center"/>
              <w:rPr>
                <w:rFonts w:hint="eastAsia" w:ascii="宋体" w:hAnsi="宋体" w:eastAsia="宋体" w:cs="宋体"/>
                <w:color w:val="auto"/>
                <w:kern w:val="0"/>
                <w:sz w:val="24"/>
                <w:lang w:bidi="ar"/>
              </w:rPr>
            </w:pPr>
            <w:r>
              <w:rPr>
                <w:rFonts w:ascii="宋体" w:hAnsi="宋体" w:eastAsia="宋体" w:cs="宋体"/>
                <w:color w:val="auto"/>
                <w:kern w:val="0"/>
                <w:sz w:val="24"/>
                <w:lang w:bidi="ar"/>
              </w:rPr>
              <w:t>保温柜</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89BC7FD">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sz w:val="24"/>
              </w:rPr>
              <w:t>4</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5248DDA">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sz w:val="24"/>
              </w:rPr>
              <w:t>1</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B607B71">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sz w:val="24"/>
              </w:rPr>
              <w:t>4</w:t>
            </w:r>
          </w:p>
        </w:tc>
      </w:tr>
      <w:tr w14:paraId="61045F1B">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A3690E3">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5</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C7EB097">
            <w:pPr>
              <w:widowControl/>
              <w:jc w:val="center"/>
              <w:textAlignment w:val="center"/>
              <w:rPr>
                <w:rFonts w:hint="eastAsia" w:ascii="宋体" w:hAnsi="宋体" w:eastAsia="宋体" w:cs="宋体"/>
                <w:color w:val="auto"/>
                <w:kern w:val="0"/>
                <w:sz w:val="24"/>
                <w:lang w:bidi="ar"/>
              </w:rPr>
            </w:pPr>
            <w:r>
              <w:rPr>
                <w:rFonts w:ascii="宋体" w:hAnsi="宋体" w:eastAsia="宋体" w:cs="宋体"/>
                <w:color w:val="auto"/>
                <w:kern w:val="0"/>
                <w:sz w:val="24"/>
                <w:lang w:bidi="ar"/>
              </w:rPr>
              <w:t>高压灭菌锅</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29BBDDC">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473FA6E">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3</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C968094">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3</w:t>
            </w:r>
          </w:p>
        </w:tc>
      </w:tr>
      <w:tr w14:paraId="0A15A665">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1763CE6">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6</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A0E2F08">
            <w:pPr>
              <w:widowControl/>
              <w:jc w:val="center"/>
              <w:textAlignment w:val="center"/>
              <w:rPr>
                <w:rFonts w:hint="eastAsia" w:ascii="宋体" w:hAnsi="宋体" w:eastAsia="宋体" w:cs="宋体"/>
                <w:color w:val="auto"/>
                <w:kern w:val="0"/>
                <w:sz w:val="24"/>
                <w:lang w:bidi="ar"/>
              </w:rPr>
            </w:pPr>
            <w:r>
              <w:rPr>
                <w:rFonts w:ascii="宋体" w:hAnsi="宋体" w:eastAsia="宋体" w:cs="宋体"/>
                <w:color w:val="auto"/>
                <w:kern w:val="0"/>
                <w:sz w:val="24"/>
                <w:lang w:bidi="ar"/>
              </w:rPr>
              <w:t>可视化麻醉插管镜</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D89EC8E">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4</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E221E14">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5</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07E7C38">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20</w:t>
            </w:r>
          </w:p>
        </w:tc>
      </w:tr>
      <w:tr w14:paraId="0DFD634C">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56771C4">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7</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C8428BE">
            <w:pPr>
              <w:widowControl/>
              <w:jc w:val="center"/>
              <w:textAlignment w:val="center"/>
              <w:rPr>
                <w:rFonts w:hint="eastAsia" w:ascii="宋体" w:hAnsi="宋体" w:eastAsia="宋体" w:cs="宋体"/>
                <w:color w:val="auto"/>
                <w:kern w:val="0"/>
                <w:sz w:val="24"/>
                <w:lang w:bidi="ar"/>
              </w:rPr>
            </w:pPr>
            <w:r>
              <w:rPr>
                <w:rFonts w:ascii="宋体" w:hAnsi="宋体" w:eastAsia="宋体" w:cs="宋体"/>
                <w:color w:val="auto"/>
                <w:kern w:val="0"/>
                <w:sz w:val="24"/>
                <w:lang w:bidi="ar"/>
              </w:rPr>
              <w:t>麻醉输注泵</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51BF83C">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6</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D0EEF56">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5</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1009268">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30</w:t>
            </w:r>
          </w:p>
        </w:tc>
      </w:tr>
      <w:tr w14:paraId="2BE0A9D1">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5559FEA">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8</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0E4BC4F">
            <w:pPr>
              <w:widowControl/>
              <w:jc w:val="center"/>
              <w:textAlignment w:val="center"/>
              <w:rPr>
                <w:rFonts w:hint="eastAsia" w:ascii="宋体" w:hAnsi="宋体" w:eastAsia="宋体" w:cs="宋体"/>
                <w:color w:val="auto"/>
                <w:kern w:val="0"/>
                <w:sz w:val="24"/>
                <w:lang w:bidi="ar"/>
              </w:rPr>
            </w:pPr>
            <w:r>
              <w:rPr>
                <w:rFonts w:ascii="宋体" w:hAnsi="宋体" w:eastAsia="宋体" w:cs="宋体"/>
                <w:color w:val="auto"/>
                <w:kern w:val="0"/>
                <w:sz w:val="24"/>
                <w:lang w:bidi="ar"/>
              </w:rPr>
              <w:t>血气分析仪</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218F68B">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2B71627">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8</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4D9A020">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8</w:t>
            </w:r>
          </w:p>
        </w:tc>
      </w:tr>
      <w:tr w14:paraId="43D7A6A8">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6652AA9">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9</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222505E">
            <w:pPr>
              <w:widowControl/>
              <w:jc w:val="center"/>
              <w:textAlignment w:val="center"/>
              <w:rPr>
                <w:rFonts w:hint="eastAsia" w:ascii="宋体" w:hAnsi="宋体" w:eastAsia="宋体" w:cs="宋体"/>
                <w:color w:val="auto"/>
                <w:kern w:val="0"/>
                <w:sz w:val="24"/>
                <w:lang w:bidi="ar"/>
              </w:rPr>
            </w:pPr>
            <w:r>
              <w:rPr>
                <w:rFonts w:ascii="宋体" w:hAnsi="宋体" w:eastAsia="宋体" w:cs="宋体"/>
                <w:color w:val="auto"/>
                <w:kern w:val="0"/>
                <w:sz w:val="24"/>
                <w:lang w:bidi="ar"/>
              </w:rPr>
              <w:t>麻醉机</w:t>
            </w:r>
            <w:r>
              <w:rPr>
                <w:rFonts w:hint="eastAsia" w:ascii="宋体" w:hAnsi="宋体" w:eastAsia="宋体" w:cs="宋体"/>
                <w:color w:val="auto"/>
                <w:kern w:val="0"/>
                <w:sz w:val="24"/>
                <w:lang w:bidi="ar"/>
              </w:rPr>
              <w:t>1</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971D7C0">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2</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F6EC408">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30</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763343B">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60</w:t>
            </w:r>
          </w:p>
        </w:tc>
      </w:tr>
      <w:tr w14:paraId="362DE4E7">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571B07D">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10</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58C93DC">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麻醉监护仪1</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D1140B3">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2</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9EC14CE">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15</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0E6ED65">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30</w:t>
            </w:r>
          </w:p>
        </w:tc>
      </w:tr>
      <w:tr w14:paraId="1C46C092">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BEB8198">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11</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4D78A92">
            <w:pPr>
              <w:widowControl/>
              <w:jc w:val="center"/>
              <w:textAlignment w:val="center"/>
              <w:rPr>
                <w:rFonts w:hint="eastAsia" w:ascii="宋体" w:hAnsi="宋体" w:eastAsia="宋体" w:cs="宋体"/>
                <w:color w:val="auto"/>
                <w:kern w:val="0"/>
                <w:sz w:val="24"/>
                <w:lang w:bidi="ar"/>
              </w:rPr>
            </w:pPr>
            <w:r>
              <w:rPr>
                <w:rFonts w:ascii="宋体" w:hAnsi="宋体" w:eastAsia="宋体" w:cs="宋体"/>
                <w:color w:val="auto"/>
                <w:kern w:val="0"/>
                <w:sz w:val="24"/>
                <w:lang w:bidi="ar"/>
              </w:rPr>
              <w:t>麻醉机</w:t>
            </w:r>
            <w:r>
              <w:rPr>
                <w:rFonts w:hint="eastAsia" w:ascii="宋体" w:hAnsi="宋体" w:eastAsia="宋体" w:cs="宋体"/>
                <w:color w:val="auto"/>
                <w:kern w:val="0"/>
                <w:sz w:val="24"/>
                <w:lang w:bidi="ar"/>
              </w:rPr>
              <w:t>2</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BEBE185">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2</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337AD64">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30</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A03BBC2">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60</w:t>
            </w:r>
          </w:p>
        </w:tc>
      </w:tr>
      <w:tr w14:paraId="0C1CE2DA">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443948B">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12</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FA65DA7">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麻醉监护仪2</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C63C29C">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2</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A2DA6BA">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15</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461EF10">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30</w:t>
            </w:r>
          </w:p>
        </w:tc>
      </w:tr>
      <w:tr w14:paraId="199328EE">
        <w:tblPrEx>
          <w:tblCellMar>
            <w:top w:w="0" w:type="dxa"/>
            <w:left w:w="108" w:type="dxa"/>
            <w:bottom w:w="0" w:type="dxa"/>
            <w:right w:w="108" w:type="dxa"/>
          </w:tblCellMar>
        </w:tblPrEx>
        <w:trPr>
          <w:trHeight w:val="450" w:hRule="atLeast"/>
        </w:trPr>
        <w:tc>
          <w:tcPr>
            <w:tcW w:w="6870" w:type="dxa"/>
            <w:gridSpan w:val="4"/>
            <w:tcBorders>
              <w:top w:val="single" w:color="000000" w:sz="4" w:space="0"/>
              <w:left w:val="single" w:color="000000" w:sz="4" w:space="0"/>
              <w:bottom w:val="single" w:color="000000" w:sz="4" w:space="0"/>
              <w:right w:val="single" w:color="000000" w:sz="4" w:space="0"/>
            </w:tcBorders>
            <w:shd w:val="clear" w:color="auto" w:fill="F2F2F2"/>
          </w:tcPr>
          <w:p w14:paraId="7B0CDA18">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合计</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5DF41CC">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285</w:t>
            </w:r>
          </w:p>
        </w:tc>
      </w:tr>
    </w:tbl>
    <w:p w14:paraId="1FE62EBB">
      <w:pPr>
        <w:rPr>
          <w:rFonts w:hint="eastAsia" w:ascii="宋体" w:hAnsi="宋体" w:eastAsia="宋体" w:cs="宋体"/>
          <w:b/>
          <w:bCs/>
          <w:color w:val="auto"/>
          <w:kern w:val="0"/>
          <w:sz w:val="24"/>
        </w:rPr>
      </w:pPr>
    </w:p>
    <w:p w14:paraId="4684B12E">
      <w:pPr>
        <w:pStyle w:val="14"/>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2、交货期限及交货地点：合同签订后45天内完成所有设备的交付、安装、调试。交货地点为上海市光华中西医结合医院。</w:t>
      </w:r>
    </w:p>
    <w:p w14:paraId="279838D2">
      <w:pPr>
        <w:pStyle w:val="14"/>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3、付款方式：合同签订后支付合同金额的30%，设备交付、安装、调试完成后支付合同的金额的60%，质保期满一年支付合同剩余金额；实际支付以财政批复为准，具体支付节点及金额以财政最终核定为准。若财政批复金额低于合同暂定金额，双方应依据批复金额对合同价款进行相应调整；若财政未批复或批复延迟，付款期限相应顺延，采购人不承担违约责任。</w:t>
      </w:r>
    </w:p>
    <w:p w14:paraId="0AA4EE29">
      <w:pPr>
        <w:pStyle w:val="14"/>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具体根据合同约定条款进行支付；采购合同应明确资金支付的方式、时间和条件，明确逾期支付资金的违约责任。</w:t>
      </w:r>
    </w:p>
    <w:p w14:paraId="5B359BAC">
      <w:pPr>
        <w:pStyle w:val="14"/>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4、本标包属于货物类招标项目。本标包核心产品有：</w:t>
      </w:r>
      <w:r>
        <w:rPr>
          <w:rFonts w:ascii="宋体" w:hAnsi="宋体" w:eastAsia="宋体" w:cs="宋体"/>
          <w:color w:val="auto"/>
          <w:kern w:val="0"/>
          <w:sz w:val="24"/>
          <w:lang w:bidi="ar"/>
        </w:rPr>
        <w:t>麻醉机</w:t>
      </w:r>
      <w:r>
        <w:rPr>
          <w:rFonts w:hint="eastAsia" w:ascii="宋体" w:hAnsi="宋体" w:eastAsia="宋体" w:cs="宋体"/>
          <w:color w:val="auto"/>
          <w:kern w:val="0"/>
          <w:sz w:val="24"/>
          <w:lang w:bidi="ar"/>
        </w:rPr>
        <w:t>、麻醉监护仪。</w:t>
      </w:r>
    </w:p>
    <w:p w14:paraId="3462CD48">
      <w:pPr>
        <w:pStyle w:val="14"/>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5、本标包中带“★”的为关键指标，未响应按无效处理；“▲”的为重要指标，其他为一般指标。“★”与“▲”指标需提供技术支撑材料。</w:t>
      </w:r>
    </w:p>
    <w:p w14:paraId="048F067B">
      <w:pPr>
        <w:rPr>
          <w:rFonts w:hint="eastAsia" w:ascii="宋体" w:hAnsi="宋体" w:eastAsia="宋体" w:cs="宋体"/>
          <w:b/>
          <w:bCs/>
          <w:color w:val="auto"/>
          <w:kern w:val="0"/>
          <w:sz w:val="24"/>
        </w:rPr>
      </w:pPr>
      <w:r>
        <w:rPr>
          <w:rFonts w:hint="eastAsia" w:ascii="宋体" w:hAnsi="宋体" w:eastAsia="宋体" w:cs="宋体"/>
          <w:b/>
          <w:color w:val="auto"/>
          <w:sz w:val="24"/>
        </w:rPr>
        <w:br w:type="page"/>
      </w:r>
    </w:p>
    <w:p w14:paraId="6416624F">
      <w:pPr>
        <w:widowControl/>
        <w:numPr>
          <w:ilvl w:val="0"/>
          <w:numId w:val="2"/>
        </w:numPr>
        <w:spacing w:before="75" w:after="75"/>
        <w:jc w:val="left"/>
        <w:rPr>
          <w:rFonts w:hint="eastAsia" w:ascii="宋体" w:hAnsi="宋体" w:eastAsia="宋体" w:cs="宋体"/>
          <w:b/>
          <w:bCs/>
          <w:color w:val="auto"/>
          <w:kern w:val="0"/>
          <w:sz w:val="24"/>
        </w:rPr>
      </w:pPr>
      <w:r>
        <w:rPr>
          <w:rFonts w:hint="eastAsia" w:ascii="宋体" w:hAnsi="宋体" w:eastAsia="宋体" w:cs="宋体"/>
          <w:b/>
          <w:color w:val="auto"/>
          <w:sz w:val="24"/>
        </w:rPr>
        <w:t>产品技术指标要求</w:t>
      </w:r>
    </w:p>
    <w:p w14:paraId="5A809E64">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kern w:val="0"/>
          <w:sz w:val="24"/>
        </w:rPr>
        <w:t>1、</w:t>
      </w:r>
      <w:bookmarkStart w:id="1" w:name="OLE_LINK3"/>
      <w:r>
        <w:rPr>
          <w:rFonts w:ascii="宋体" w:hAnsi="宋体" w:eastAsia="宋体" w:cs="宋体"/>
          <w:b/>
          <w:bCs/>
          <w:color w:val="auto"/>
          <w:sz w:val="24"/>
        </w:rPr>
        <w:t>高频电刀</w:t>
      </w:r>
    </w:p>
    <w:p w14:paraId="0095C841">
      <w:pPr>
        <w:spacing w:line="360" w:lineRule="auto"/>
        <w:rPr>
          <w:rFonts w:hint="eastAsia" w:ascii="宋体" w:hAnsi="宋体" w:eastAsia="宋体" w:cs="宋体"/>
          <w:color w:val="auto"/>
          <w:sz w:val="24"/>
        </w:rPr>
      </w:pPr>
      <w:r>
        <w:rPr>
          <w:rFonts w:hint="eastAsia" w:ascii="宋体" w:hAnsi="宋体" w:eastAsia="宋体" w:cs="宋体"/>
          <w:color w:val="auto"/>
          <w:sz w:val="24"/>
        </w:rPr>
        <w:t>▲1、适用范围：用于需要切割和/或凝血的各类外科手术，包括普外、骨科、胸腹外科、心胸外科、泌尿外科、妇科、神经外科、五官科、手外、肛肠、肿瘤等科别，配以合适附件可应用于各类内窥镜手术，如腹腔镜、膀胱镜、宫腔镜等。双极模式为射频级工作频率，凝血精准有效，低功率下对周围组织的损伤能降到最低限度,配以专用的电凝镊和电极，可以完成神经内镜下的各种微创手术。配双极电切镜可做双极生理盐水电切（等离子电切）等</w:t>
      </w:r>
    </w:p>
    <w:p w14:paraId="0D30071C">
      <w:pPr>
        <w:spacing w:line="360" w:lineRule="auto"/>
        <w:rPr>
          <w:rFonts w:hint="eastAsia" w:ascii="宋体" w:hAnsi="宋体" w:eastAsia="宋体" w:cs="宋体"/>
          <w:color w:val="auto"/>
          <w:sz w:val="24"/>
        </w:rPr>
      </w:pPr>
      <w:r>
        <w:rPr>
          <w:rFonts w:hint="eastAsia" w:ascii="宋体" w:hAnsi="宋体" w:eastAsia="宋体" w:cs="宋体"/>
          <w:color w:val="auto"/>
          <w:sz w:val="24"/>
        </w:rPr>
        <w:t>2、输出特性：</w:t>
      </w:r>
      <w:r>
        <w:rPr>
          <w:rFonts w:hint="eastAsia" w:ascii="宋体" w:hAnsi="宋体" w:eastAsia="宋体" w:cs="宋体"/>
          <w:color w:val="auto"/>
          <w:sz w:val="24"/>
        </w:rPr>
        <w:t>应采用</w:t>
      </w:r>
      <w:r>
        <w:rPr>
          <w:rFonts w:hint="eastAsia" w:ascii="宋体" w:hAnsi="宋体" w:eastAsia="宋体" w:cs="宋体"/>
          <w:color w:val="auto"/>
          <w:sz w:val="24"/>
        </w:rPr>
        <w:t>全悬浮</w:t>
      </w:r>
      <w:r>
        <w:rPr>
          <w:rFonts w:hint="eastAsia" w:ascii="宋体" w:hAnsi="宋体" w:eastAsia="宋体" w:cs="宋体"/>
          <w:color w:val="auto"/>
          <w:sz w:val="24"/>
        </w:rPr>
        <w:t>输出</w:t>
      </w:r>
      <w:r>
        <w:rPr>
          <w:rFonts w:hint="eastAsia" w:ascii="宋体" w:hAnsi="宋体" w:eastAsia="宋体" w:cs="宋体"/>
          <w:color w:val="auto"/>
          <w:sz w:val="24"/>
        </w:rPr>
        <w:t>，具有两个相互独立和隔离的CF型防除颤应用部分（单极和双极）</w:t>
      </w:r>
    </w:p>
    <w:p w14:paraId="068D7812">
      <w:pPr>
        <w:spacing w:line="360" w:lineRule="auto"/>
        <w:rPr>
          <w:rFonts w:hint="eastAsia" w:ascii="宋体" w:hAnsi="宋体" w:eastAsia="宋体" w:cs="宋体"/>
          <w:color w:val="auto"/>
          <w:sz w:val="24"/>
        </w:rPr>
      </w:pPr>
      <w:r>
        <w:rPr>
          <w:rFonts w:hint="eastAsia" w:ascii="宋体" w:hAnsi="宋体" w:eastAsia="宋体" w:cs="宋体"/>
          <w:color w:val="auto"/>
          <w:sz w:val="24"/>
        </w:rPr>
        <w:t>3、</w:t>
      </w:r>
      <w:r>
        <w:rPr>
          <w:rFonts w:hint="eastAsia" w:ascii="宋体" w:hAnsi="宋体" w:eastAsia="宋体" w:cs="宋体"/>
          <w:color w:val="auto"/>
          <w:sz w:val="24"/>
        </w:rPr>
        <w:t>应</w:t>
      </w:r>
      <w:r>
        <w:rPr>
          <w:rFonts w:hint="eastAsia" w:ascii="宋体" w:hAnsi="宋体" w:eastAsia="宋体" w:cs="宋体"/>
          <w:color w:val="auto"/>
          <w:sz w:val="24"/>
        </w:rPr>
        <w:t>具有五路输出：两路单极手控输出，两路单极脚控输出（具有插入识别功能，防止插错误用），一路双极脚控输出</w:t>
      </w:r>
    </w:p>
    <w:p w14:paraId="7C4400AC">
      <w:pPr>
        <w:spacing w:line="360" w:lineRule="auto"/>
        <w:rPr>
          <w:rFonts w:hint="eastAsia" w:ascii="宋体" w:hAnsi="宋体" w:eastAsia="宋体" w:cs="宋体"/>
          <w:color w:val="auto"/>
          <w:sz w:val="24"/>
        </w:rPr>
      </w:pPr>
      <w:r>
        <w:rPr>
          <w:rFonts w:hint="eastAsia" w:ascii="宋体" w:hAnsi="宋体" w:eastAsia="宋体" w:cs="宋体"/>
          <w:color w:val="auto"/>
          <w:sz w:val="24"/>
        </w:rPr>
        <w:t>★4、</w:t>
      </w:r>
      <w:r>
        <w:rPr>
          <w:rFonts w:hint="eastAsia" w:ascii="宋体" w:hAnsi="宋体" w:eastAsia="宋体" w:cs="宋体"/>
          <w:color w:val="auto"/>
          <w:sz w:val="24"/>
        </w:rPr>
        <w:t>应</w:t>
      </w:r>
      <w:r>
        <w:rPr>
          <w:rFonts w:hint="eastAsia" w:ascii="宋体" w:hAnsi="宋体" w:eastAsia="宋体" w:cs="宋体"/>
          <w:color w:val="auto"/>
          <w:sz w:val="24"/>
        </w:rPr>
        <w:t>采用CPU控制，记忆上次手术所用功率，当再次开机时可复现上次功率设定值</w:t>
      </w:r>
    </w:p>
    <w:p w14:paraId="57DABC88">
      <w:pPr>
        <w:spacing w:line="360" w:lineRule="auto"/>
        <w:rPr>
          <w:rFonts w:hint="eastAsia" w:ascii="宋体" w:hAnsi="宋体" w:eastAsia="宋体" w:cs="宋体"/>
          <w:color w:val="auto"/>
          <w:sz w:val="24"/>
        </w:rPr>
      </w:pPr>
      <w:r>
        <w:rPr>
          <w:rFonts w:hint="eastAsia" w:ascii="宋体" w:hAnsi="宋体" w:eastAsia="宋体" w:cs="宋体"/>
          <w:color w:val="auto"/>
          <w:sz w:val="24"/>
        </w:rPr>
        <w:t>▲5、输出频率：单极512KHZ，双极标准凝512KHZ，其他三种双极模式为1024KHZ</w:t>
      </w:r>
    </w:p>
    <w:p w14:paraId="7D7FA12B">
      <w:pPr>
        <w:spacing w:line="360" w:lineRule="auto"/>
        <w:rPr>
          <w:rFonts w:hint="eastAsia" w:ascii="宋体" w:hAnsi="宋体" w:eastAsia="宋体" w:cs="宋体"/>
          <w:color w:val="auto"/>
          <w:sz w:val="24"/>
        </w:rPr>
      </w:pPr>
      <w:r>
        <w:rPr>
          <w:rFonts w:hint="eastAsia" w:ascii="宋体" w:hAnsi="宋体" w:eastAsia="宋体" w:cs="宋体"/>
          <w:color w:val="auto"/>
          <w:sz w:val="24"/>
        </w:rPr>
        <w:t>6、输出控制：可选择手控和脚控两种方式</w:t>
      </w:r>
    </w:p>
    <w:p w14:paraId="2456E0D0">
      <w:pPr>
        <w:spacing w:line="360" w:lineRule="auto"/>
        <w:rPr>
          <w:rFonts w:hint="eastAsia" w:ascii="宋体" w:hAnsi="宋体" w:eastAsia="宋体" w:cs="宋体"/>
          <w:color w:val="auto"/>
          <w:sz w:val="24"/>
        </w:rPr>
      </w:pPr>
      <w:r>
        <w:rPr>
          <w:rFonts w:hint="eastAsia" w:ascii="宋体" w:hAnsi="宋体" w:eastAsia="宋体" w:cs="宋体"/>
          <w:color w:val="auto"/>
          <w:sz w:val="24"/>
        </w:rPr>
        <w:t>7、输出功率：单极≥350W，双极≥200W</w:t>
      </w:r>
    </w:p>
    <w:p w14:paraId="33FB5E82">
      <w:pPr>
        <w:spacing w:line="360" w:lineRule="auto"/>
        <w:rPr>
          <w:rFonts w:hint="eastAsia" w:ascii="宋体" w:hAnsi="宋体" w:eastAsia="宋体" w:cs="宋体"/>
          <w:color w:val="auto"/>
          <w:sz w:val="24"/>
        </w:rPr>
      </w:pPr>
      <w:r>
        <w:rPr>
          <w:rFonts w:hint="eastAsia" w:ascii="宋体" w:hAnsi="宋体" w:eastAsia="宋体" w:cs="宋体"/>
          <w:color w:val="auto"/>
          <w:sz w:val="24"/>
        </w:rPr>
        <w:t>8、</w:t>
      </w:r>
      <w:r>
        <w:rPr>
          <w:rFonts w:hint="eastAsia" w:ascii="宋体" w:hAnsi="宋体" w:eastAsia="宋体" w:cs="宋体"/>
          <w:color w:val="auto"/>
          <w:sz w:val="24"/>
        </w:rPr>
        <w:t>具有</w:t>
      </w:r>
      <w:r>
        <w:rPr>
          <w:rFonts w:hint="eastAsia" w:ascii="宋体" w:hAnsi="宋体" w:eastAsia="宋体" w:cs="宋体"/>
          <w:color w:val="auto"/>
          <w:sz w:val="24"/>
        </w:rPr>
        <w:t>单极切、凝和双极凝具有独立的功率设定和显示装置，手术过程中不必进行单极、双极模式转换</w:t>
      </w:r>
    </w:p>
    <w:p w14:paraId="4D657DFD">
      <w:pPr>
        <w:spacing w:line="360" w:lineRule="auto"/>
        <w:rPr>
          <w:rFonts w:hint="eastAsia" w:ascii="宋体" w:hAnsi="宋体" w:eastAsia="宋体" w:cs="宋体"/>
          <w:color w:val="auto"/>
          <w:sz w:val="24"/>
        </w:rPr>
      </w:pPr>
      <w:r>
        <w:rPr>
          <w:rFonts w:hint="eastAsia" w:ascii="宋体" w:hAnsi="宋体" w:eastAsia="宋体" w:cs="宋体"/>
          <w:color w:val="auto"/>
          <w:sz w:val="24"/>
        </w:rPr>
        <w:t>▲9、</w:t>
      </w:r>
      <w:r>
        <w:rPr>
          <w:rFonts w:hint="eastAsia" w:ascii="宋体" w:hAnsi="宋体" w:eastAsia="宋体" w:cs="宋体"/>
          <w:color w:val="auto"/>
          <w:sz w:val="24"/>
        </w:rPr>
        <w:t>应采用</w:t>
      </w:r>
      <w:r>
        <w:rPr>
          <w:rFonts w:hint="eastAsia" w:ascii="宋体" w:hAnsi="宋体" w:eastAsia="宋体" w:cs="宋体"/>
          <w:color w:val="auto"/>
          <w:sz w:val="24"/>
        </w:rPr>
        <w:t>单极低电压设计</w:t>
      </w:r>
    </w:p>
    <w:p w14:paraId="499F27CE">
      <w:pPr>
        <w:spacing w:line="360" w:lineRule="auto"/>
        <w:rPr>
          <w:rFonts w:hint="eastAsia" w:ascii="宋体" w:hAnsi="宋体" w:eastAsia="宋体" w:cs="宋体"/>
          <w:color w:val="auto"/>
          <w:sz w:val="24"/>
        </w:rPr>
      </w:pPr>
      <w:r>
        <w:rPr>
          <w:rFonts w:hint="eastAsia" w:ascii="宋体" w:hAnsi="宋体" w:eastAsia="宋体" w:cs="宋体"/>
          <w:color w:val="auto"/>
          <w:sz w:val="24"/>
        </w:rPr>
        <w:t>▲10、具有面板按键、手控和脚踏启动按键防粘连识别</w:t>
      </w:r>
    </w:p>
    <w:p w14:paraId="79C6DBF4">
      <w:pPr>
        <w:spacing w:line="360" w:lineRule="auto"/>
        <w:rPr>
          <w:rFonts w:hint="eastAsia" w:ascii="宋体" w:hAnsi="宋体" w:eastAsia="宋体" w:cs="宋体"/>
          <w:color w:val="auto"/>
          <w:sz w:val="24"/>
        </w:rPr>
      </w:pPr>
      <w:r>
        <w:rPr>
          <w:rFonts w:hint="eastAsia" w:ascii="宋体" w:hAnsi="宋体" w:eastAsia="宋体" w:cs="宋体"/>
          <w:color w:val="auto"/>
          <w:sz w:val="24"/>
        </w:rPr>
        <w:t>▲11、具有主机故障识别功能，即主机一旦无输出，面板会有相应代码提示。</w:t>
      </w:r>
    </w:p>
    <w:p w14:paraId="5CF122D7">
      <w:pPr>
        <w:spacing w:line="360" w:lineRule="auto"/>
        <w:rPr>
          <w:rFonts w:hint="eastAsia" w:ascii="宋体" w:hAnsi="宋体" w:eastAsia="宋体" w:cs="宋体"/>
          <w:color w:val="auto"/>
          <w:sz w:val="24"/>
        </w:rPr>
      </w:pPr>
      <w:r>
        <w:rPr>
          <w:rFonts w:hint="eastAsia" w:ascii="宋体" w:hAnsi="宋体" w:eastAsia="宋体" w:cs="宋体"/>
          <w:color w:val="auto"/>
          <w:sz w:val="24"/>
        </w:rPr>
        <w:t>12、每次开机时，内设软件检测系统</w:t>
      </w:r>
      <w:r>
        <w:rPr>
          <w:rFonts w:hint="eastAsia" w:ascii="宋体" w:hAnsi="宋体" w:eastAsia="宋体" w:cs="宋体"/>
          <w:color w:val="auto"/>
          <w:sz w:val="24"/>
        </w:rPr>
        <w:t>应</w:t>
      </w:r>
      <w:r>
        <w:rPr>
          <w:rFonts w:hint="eastAsia" w:ascii="宋体" w:hAnsi="宋体" w:eastAsia="宋体" w:cs="宋体"/>
          <w:color w:val="auto"/>
          <w:sz w:val="24"/>
        </w:rPr>
        <w:t>对设备参数进行自检，视情形进行自修复，如不能修复则禁止输出</w:t>
      </w:r>
    </w:p>
    <w:p w14:paraId="29D26E0B">
      <w:pPr>
        <w:spacing w:line="360" w:lineRule="auto"/>
        <w:rPr>
          <w:rFonts w:hint="eastAsia" w:ascii="宋体" w:hAnsi="宋体" w:eastAsia="宋体" w:cs="宋体"/>
          <w:color w:val="auto"/>
          <w:sz w:val="24"/>
        </w:rPr>
      </w:pPr>
      <w:r>
        <w:rPr>
          <w:rFonts w:hint="eastAsia" w:ascii="宋体" w:hAnsi="宋体" w:eastAsia="宋体" w:cs="宋体"/>
          <w:color w:val="auto"/>
          <w:sz w:val="24"/>
        </w:rPr>
        <w:t>13、</w:t>
      </w:r>
      <w:r>
        <w:rPr>
          <w:rFonts w:hint="eastAsia" w:ascii="宋体" w:hAnsi="宋体" w:eastAsia="宋体" w:cs="宋体"/>
          <w:color w:val="auto"/>
          <w:sz w:val="24"/>
        </w:rPr>
        <w:t>应</w:t>
      </w:r>
      <w:r>
        <w:rPr>
          <w:rFonts w:hint="eastAsia" w:ascii="宋体" w:hAnsi="宋体" w:eastAsia="宋体" w:cs="宋体"/>
          <w:color w:val="auto"/>
          <w:sz w:val="24"/>
        </w:rPr>
        <w:t>采用断线自检技术，全程对极板连线进行检测，一旦发现断线情况，立即发出声光报警</w:t>
      </w:r>
    </w:p>
    <w:p w14:paraId="08D470F8">
      <w:pPr>
        <w:spacing w:line="360" w:lineRule="auto"/>
        <w:rPr>
          <w:rFonts w:hint="eastAsia" w:ascii="宋体" w:hAnsi="宋体" w:eastAsia="宋体" w:cs="宋体"/>
          <w:color w:val="auto"/>
          <w:sz w:val="24"/>
        </w:rPr>
      </w:pPr>
      <w:r>
        <w:rPr>
          <w:rFonts w:hint="eastAsia" w:ascii="宋体" w:hAnsi="宋体" w:eastAsia="宋体" w:cs="宋体"/>
          <w:color w:val="auto"/>
          <w:sz w:val="24"/>
        </w:rPr>
        <w:t>▲14、</w:t>
      </w:r>
      <w:r>
        <w:rPr>
          <w:rFonts w:hint="eastAsia" w:ascii="宋体" w:hAnsi="宋体" w:eastAsia="宋体" w:cs="宋体"/>
          <w:color w:val="auto"/>
          <w:sz w:val="24"/>
        </w:rPr>
        <w:t>应</w:t>
      </w:r>
      <w:r>
        <w:rPr>
          <w:rFonts w:hint="eastAsia" w:ascii="宋体" w:hAnsi="宋体" w:eastAsia="宋体" w:cs="宋体"/>
          <w:color w:val="auto"/>
          <w:sz w:val="24"/>
        </w:rPr>
        <w:t>采用极板接触质量检测系统对双片极板接触质量进行全程动态监测，一旦发现短路、开路或接触质量降低情况，立即发出声光报警，切断输出，可防止患者高频灼伤,监测范围7.5-150欧姆。同时监测接触电阻增幅超过30%时停止输出，发出声光报警。</w:t>
      </w:r>
    </w:p>
    <w:p w14:paraId="58FE8CD2">
      <w:pPr>
        <w:spacing w:line="360" w:lineRule="auto"/>
        <w:rPr>
          <w:rFonts w:hint="eastAsia" w:ascii="宋体" w:hAnsi="宋体" w:eastAsia="宋体" w:cs="宋体"/>
          <w:color w:val="auto"/>
          <w:sz w:val="24"/>
        </w:rPr>
      </w:pPr>
      <w:r>
        <w:rPr>
          <w:rFonts w:hint="eastAsia" w:ascii="宋体" w:hAnsi="宋体" w:eastAsia="宋体" w:cs="宋体"/>
          <w:color w:val="auto"/>
          <w:sz w:val="24"/>
        </w:rPr>
        <w:t>15、输出功率</w:t>
      </w:r>
      <w:r>
        <w:rPr>
          <w:rFonts w:hint="eastAsia" w:ascii="宋体" w:hAnsi="宋体" w:eastAsia="宋体" w:cs="宋体"/>
          <w:color w:val="auto"/>
          <w:sz w:val="24"/>
        </w:rPr>
        <w:t>应</w:t>
      </w:r>
      <w:r>
        <w:rPr>
          <w:rFonts w:hint="eastAsia" w:ascii="宋体" w:hAnsi="宋体" w:eastAsia="宋体" w:cs="宋体"/>
          <w:color w:val="auto"/>
          <w:sz w:val="24"/>
        </w:rPr>
        <w:t>实行双重采样和双重控制（双重闭环控制）。</w:t>
      </w:r>
    </w:p>
    <w:p w14:paraId="386D2D01">
      <w:pPr>
        <w:spacing w:line="360" w:lineRule="auto"/>
        <w:rPr>
          <w:rFonts w:hint="eastAsia" w:ascii="宋体" w:hAnsi="宋体" w:eastAsia="宋体" w:cs="宋体"/>
          <w:color w:val="auto"/>
          <w:sz w:val="24"/>
        </w:rPr>
      </w:pPr>
      <w:r>
        <w:rPr>
          <w:rFonts w:hint="eastAsia" w:ascii="宋体" w:hAnsi="宋体" w:eastAsia="宋体" w:cs="宋体"/>
          <w:color w:val="auto"/>
          <w:sz w:val="24"/>
        </w:rPr>
        <w:t>16、主机</w:t>
      </w:r>
      <w:r>
        <w:rPr>
          <w:rFonts w:hint="eastAsia" w:ascii="宋体" w:hAnsi="宋体" w:eastAsia="宋体" w:cs="宋体"/>
          <w:color w:val="auto"/>
          <w:sz w:val="24"/>
        </w:rPr>
        <w:t>应</w:t>
      </w:r>
      <w:r>
        <w:rPr>
          <w:rFonts w:hint="eastAsia" w:ascii="宋体" w:hAnsi="宋体" w:eastAsia="宋体" w:cs="宋体"/>
          <w:color w:val="auto"/>
          <w:sz w:val="24"/>
        </w:rPr>
        <w:t>具有开路、短路、过功率、过电流自动保护功能</w:t>
      </w:r>
    </w:p>
    <w:p w14:paraId="4F645B99">
      <w:pPr>
        <w:spacing w:line="360" w:lineRule="auto"/>
        <w:rPr>
          <w:rFonts w:hint="eastAsia" w:ascii="宋体" w:hAnsi="宋体" w:eastAsia="宋体" w:cs="宋体"/>
          <w:color w:val="auto"/>
          <w:sz w:val="24"/>
        </w:rPr>
      </w:pPr>
      <w:r>
        <w:rPr>
          <w:rFonts w:hint="eastAsia" w:ascii="宋体" w:hAnsi="宋体" w:eastAsia="宋体" w:cs="宋体"/>
          <w:color w:val="auto"/>
          <w:sz w:val="24"/>
        </w:rPr>
        <w:t>★17、冷却方式: 自然冷却，无风扇</w:t>
      </w:r>
    </w:p>
    <w:p w14:paraId="581AED6C">
      <w:pPr>
        <w:spacing w:line="360" w:lineRule="auto"/>
        <w:rPr>
          <w:rFonts w:hint="eastAsia" w:ascii="宋体" w:hAnsi="宋体" w:eastAsia="宋体" w:cs="宋体"/>
          <w:color w:val="auto"/>
          <w:sz w:val="24"/>
        </w:rPr>
      </w:pPr>
      <w:r>
        <w:rPr>
          <w:rFonts w:hint="eastAsia" w:ascii="宋体" w:hAnsi="宋体" w:eastAsia="宋体" w:cs="宋体"/>
          <w:color w:val="auto"/>
          <w:sz w:val="24"/>
        </w:rPr>
        <w:t>18、间歇加载允许连续使用，允许长时间开路和短路</w:t>
      </w:r>
    </w:p>
    <w:p w14:paraId="2839A01B">
      <w:pPr>
        <w:spacing w:line="360" w:lineRule="auto"/>
        <w:rPr>
          <w:rFonts w:hint="eastAsia" w:ascii="宋体" w:hAnsi="宋体" w:eastAsia="宋体" w:cs="宋体"/>
          <w:color w:val="auto"/>
          <w:sz w:val="24"/>
        </w:rPr>
      </w:pPr>
      <w:r>
        <w:rPr>
          <w:rFonts w:hint="eastAsia" w:ascii="宋体" w:hAnsi="宋体" w:eastAsia="宋体" w:cs="宋体"/>
          <w:color w:val="auto"/>
          <w:sz w:val="24"/>
        </w:rPr>
        <w:t>▲19、可选用同品牌附件（包括各种中性极板、可高温复消型单双极手术电极等），适应各种手术需求</w:t>
      </w:r>
    </w:p>
    <w:p w14:paraId="45BFF9F5">
      <w:pPr>
        <w:spacing w:line="360" w:lineRule="auto"/>
        <w:rPr>
          <w:rFonts w:hint="eastAsia" w:ascii="宋体" w:hAnsi="宋体" w:eastAsia="宋体" w:cs="宋体"/>
          <w:color w:val="auto"/>
          <w:sz w:val="24"/>
        </w:rPr>
      </w:pPr>
      <w:r>
        <w:rPr>
          <w:rFonts w:hint="eastAsia" w:ascii="宋体" w:hAnsi="宋体" w:eastAsia="宋体" w:cs="宋体"/>
          <w:color w:val="auto"/>
          <w:sz w:val="24"/>
        </w:rPr>
        <w:t>▲20、脚踏开关连接：可连接单联脚踏开关和双联脚踏开关，脚踏开关防水等级</w:t>
      </w:r>
      <w:r>
        <w:rPr>
          <w:rFonts w:hint="eastAsia" w:ascii="宋体" w:hAnsi="宋体" w:eastAsia="宋体" w:cs="宋体"/>
          <w:color w:val="auto"/>
          <w:sz w:val="24"/>
        </w:rPr>
        <w:t>不低于</w:t>
      </w:r>
      <w:r>
        <w:rPr>
          <w:rFonts w:hint="eastAsia" w:ascii="宋体" w:hAnsi="宋体" w:eastAsia="宋体" w:cs="宋体"/>
          <w:color w:val="auto"/>
          <w:sz w:val="24"/>
        </w:rPr>
        <w:t>IPX8级</w:t>
      </w:r>
    </w:p>
    <w:p w14:paraId="70E51726">
      <w:pPr>
        <w:spacing w:line="360" w:lineRule="auto"/>
        <w:rPr>
          <w:rFonts w:hint="eastAsia" w:ascii="宋体" w:hAnsi="宋体" w:eastAsia="宋体" w:cs="宋体"/>
          <w:color w:val="auto"/>
          <w:sz w:val="24"/>
        </w:rPr>
      </w:pPr>
      <w:r>
        <w:rPr>
          <w:rFonts w:hint="eastAsia" w:ascii="宋体" w:hAnsi="宋体" w:eastAsia="宋体" w:cs="宋体"/>
          <w:color w:val="auto"/>
          <w:sz w:val="24"/>
        </w:rPr>
        <w:t>21、排烟系统：具备排烟系统连接功能</w:t>
      </w:r>
    </w:p>
    <w:p w14:paraId="1FB60345">
      <w:pPr>
        <w:spacing w:line="360" w:lineRule="auto"/>
        <w:rPr>
          <w:rFonts w:hint="eastAsia" w:ascii="宋体" w:hAnsi="宋体" w:eastAsia="宋体" w:cs="宋体"/>
          <w:color w:val="auto"/>
          <w:sz w:val="24"/>
        </w:rPr>
      </w:pPr>
      <w:r>
        <w:rPr>
          <w:rFonts w:hint="eastAsia" w:ascii="宋体" w:hAnsi="宋体" w:eastAsia="宋体" w:cs="宋体"/>
          <w:color w:val="auto"/>
          <w:sz w:val="24"/>
        </w:rPr>
        <w:t>▲22、具备连接同品牌氩气控制仪的功能</w:t>
      </w:r>
    </w:p>
    <w:p w14:paraId="24A8284A">
      <w:pPr>
        <w:spacing w:line="360" w:lineRule="auto"/>
        <w:rPr>
          <w:rFonts w:hint="eastAsia" w:ascii="宋体" w:hAnsi="宋体" w:eastAsia="宋体" w:cs="宋体"/>
          <w:color w:val="auto"/>
          <w:sz w:val="24"/>
        </w:rPr>
      </w:pPr>
      <w:r>
        <w:rPr>
          <w:rFonts w:hint="eastAsia" w:ascii="宋体" w:hAnsi="宋体" w:eastAsia="宋体" w:cs="宋体"/>
          <w:color w:val="auto"/>
          <w:sz w:val="24"/>
        </w:rPr>
        <w:t>▲23、输出模式</w:t>
      </w:r>
      <w:r>
        <w:rPr>
          <w:rFonts w:hint="eastAsia" w:ascii="宋体" w:hAnsi="宋体" w:eastAsia="宋体" w:cs="宋体"/>
          <w:color w:val="auto"/>
          <w:sz w:val="24"/>
        </w:rPr>
        <w:t>应至少包含</w:t>
      </w:r>
      <w:r>
        <w:rPr>
          <w:rFonts w:hint="eastAsia" w:ascii="宋体" w:hAnsi="宋体" w:eastAsia="宋体" w:cs="宋体"/>
          <w:color w:val="auto"/>
          <w:sz w:val="24"/>
        </w:rPr>
        <w:t>：七种单极模式，四种双极模式，共十一种模式</w:t>
      </w:r>
    </w:p>
    <w:p w14:paraId="621E5787">
      <w:pPr>
        <w:spacing w:line="360" w:lineRule="auto"/>
        <w:rPr>
          <w:rFonts w:hint="eastAsia" w:ascii="宋体" w:hAnsi="宋体" w:eastAsia="宋体" w:cs="宋体"/>
          <w:color w:val="auto"/>
          <w:sz w:val="24"/>
        </w:rPr>
      </w:pPr>
      <w:r>
        <w:rPr>
          <w:rFonts w:hint="eastAsia" w:ascii="宋体" w:hAnsi="宋体" w:eastAsia="宋体" w:cs="宋体"/>
          <w:color w:val="auto"/>
          <w:sz w:val="24"/>
        </w:rPr>
        <w:t>24、单极切割模式≥四种</w:t>
      </w:r>
    </w:p>
    <w:p w14:paraId="4110BC2C">
      <w:pPr>
        <w:spacing w:line="360" w:lineRule="auto"/>
        <w:rPr>
          <w:rFonts w:hint="eastAsia" w:ascii="宋体" w:hAnsi="宋体" w:eastAsia="宋体" w:cs="宋体"/>
          <w:color w:val="auto"/>
          <w:sz w:val="24"/>
        </w:rPr>
      </w:pPr>
      <w:r>
        <w:rPr>
          <w:rFonts w:hint="eastAsia" w:ascii="宋体" w:hAnsi="宋体" w:eastAsia="宋体" w:cs="宋体"/>
          <w:color w:val="auto"/>
          <w:sz w:val="24"/>
        </w:rPr>
        <w:t>24.1、纯切：功率0-350W 工作频率512KHZ 负载500Ω 峰值电压≤2500V</w:t>
      </w:r>
    </w:p>
    <w:p w14:paraId="3A0FAD91">
      <w:pPr>
        <w:spacing w:line="360" w:lineRule="auto"/>
        <w:rPr>
          <w:rFonts w:hint="eastAsia" w:ascii="宋体" w:hAnsi="宋体" w:eastAsia="宋体" w:cs="宋体"/>
          <w:color w:val="auto"/>
          <w:sz w:val="24"/>
        </w:rPr>
      </w:pPr>
      <w:r>
        <w:rPr>
          <w:rFonts w:hint="eastAsia" w:ascii="宋体" w:hAnsi="宋体" w:eastAsia="宋体" w:cs="宋体"/>
          <w:color w:val="auto"/>
          <w:sz w:val="24"/>
        </w:rPr>
        <w:t>24.2、混切1：功率0-250W 工作频率512KHZ负载500Ω 峰值电压≤4000V</w:t>
      </w:r>
    </w:p>
    <w:p w14:paraId="06825564">
      <w:pPr>
        <w:spacing w:line="360" w:lineRule="auto"/>
        <w:rPr>
          <w:rFonts w:hint="eastAsia" w:ascii="宋体" w:hAnsi="宋体" w:eastAsia="宋体" w:cs="宋体"/>
          <w:color w:val="auto"/>
          <w:sz w:val="24"/>
        </w:rPr>
      </w:pPr>
      <w:r>
        <w:rPr>
          <w:rFonts w:hint="eastAsia" w:ascii="宋体" w:hAnsi="宋体" w:eastAsia="宋体" w:cs="宋体"/>
          <w:color w:val="auto"/>
          <w:sz w:val="24"/>
        </w:rPr>
        <w:t>24.3、混切2：功率0-200W 工作频率512KHZ负载500Ω 峰值电压≤4000V</w:t>
      </w:r>
    </w:p>
    <w:p w14:paraId="51129C44">
      <w:pPr>
        <w:spacing w:line="360" w:lineRule="auto"/>
        <w:rPr>
          <w:rFonts w:hint="eastAsia" w:ascii="宋体" w:hAnsi="宋体" w:eastAsia="宋体" w:cs="宋体"/>
          <w:color w:val="auto"/>
          <w:sz w:val="24"/>
        </w:rPr>
      </w:pPr>
      <w:r>
        <w:rPr>
          <w:rFonts w:hint="eastAsia" w:ascii="宋体" w:hAnsi="宋体" w:eastAsia="宋体" w:cs="宋体"/>
          <w:color w:val="auto"/>
          <w:sz w:val="24"/>
        </w:rPr>
        <w:t>24.4、混切3：功率0-120W 工作频率512KHZ负载500Ω 峰值电压≤4000V</w:t>
      </w:r>
    </w:p>
    <w:p w14:paraId="5201CCB8">
      <w:pPr>
        <w:spacing w:line="360" w:lineRule="auto"/>
        <w:rPr>
          <w:rFonts w:hint="eastAsia" w:ascii="宋体" w:hAnsi="宋体" w:eastAsia="宋体" w:cs="宋体"/>
          <w:color w:val="auto"/>
          <w:sz w:val="24"/>
        </w:rPr>
      </w:pPr>
      <w:r>
        <w:rPr>
          <w:rFonts w:hint="eastAsia" w:ascii="宋体" w:hAnsi="宋体" w:eastAsia="宋体" w:cs="宋体"/>
          <w:color w:val="auto"/>
          <w:sz w:val="24"/>
        </w:rPr>
        <w:t>25、单极凝血模式≥三种</w:t>
      </w:r>
    </w:p>
    <w:p w14:paraId="2A179DE4">
      <w:pPr>
        <w:spacing w:line="360" w:lineRule="auto"/>
        <w:rPr>
          <w:rFonts w:hint="eastAsia" w:ascii="宋体" w:hAnsi="宋体" w:eastAsia="宋体" w:cs="宋体"/>
          <w:color w:val="auto"/>
          <w:sz w:val="24"/>
        </w:rPr>
      </w:pPr>
      <w:r>
        <w:rPr>
          <w:rFonts w:hint="eastAsia" w:ascii="宋体" w:hAnsi="宋体" w:eastAsia="宋体" w:cs="宋体"/>
          <w:color w:val="auto"/>
          <w:sz w:val="24"/>
        </w:rPr>
        <w:t>25.1、软凝：功率0-150W 工作频率512KHZ 负载200Ω 峰值电压≤1000V</w:t>
      </w:r>
    </w:p>
    <w:p w14:paraId="6710EEA5">
      <w:pPr>
        <w:spacing w:line="360" w:lineRule="auto"/>
        <w:rPr>
          <w:rFonts w:hint="eastAsia" w:ascii="宋体" w:hAnsi="宋体" w:eastAsia="宋体" w:cs="宋体"/>
          <w:color w:val="auto"/>
          <w:sz w:val="24"/>
        </w:rPr>
      </w:pPr>
      <w:r>
        <w:rPr>
          <w:rFonts w:hint="eastAsia" w:ascii="宋体" w:hAnsi="宋体" w:eastAsia="宋体" w:cs="宋体"/>
          <w:color w:val="auto"/>
          <w:sz w:val="24"/>
        </w:rPr>
        <w:t>25.2、点凝：功率0-120W 工作频率512KHZ 负载500Ω 峰值电压≤4000V</w:t>
      </w:r>
    </w:p>
    <w:p w14:paraId="0FA02056">
      <w:pPr>
        <w:spacing w:line="360" w:lineRule="auto"/>
        <w:rPr>
          <w:rFonts w:hint="eastAsia" w:ascii="宋体" w:hAnsi="宋体" w:eastAsia="宋体" w:cs="宋体"/>
          <w:color w:val="auto"/>
          <w:sz w:val="24"/>
        </w:rPr>
      </w:pPr>
      <w:r>
        <w:rPr>
          <w:rFonts w:hint="eastAsia" w:ascii="宋体" w:hAnsi="宋体" w:eastAsia="宋体" w:cs="宋体"/>
          <w:color w:val="auto"/>
          <w:sz w:val="24"/>
        </w:rPr>
        <w:t>25.3、面凝：功率0-100W 工作频率512KHZ 负载1000Ω 峰值电压≤5000V</w:t>
      </w:r>
    </w:p>
    <w:p w14:paraId="0D054868">
      <w:pPr>
        <w:spacing w:line="360" w:lineRule="auto"/>
        <w:rPr>
          <w:rFonts w:hint="eastAsia" w:ascii="宋体" w:hAnsi="宋体" w:eastAsia="宋体" w:cs="宋体"/>
          <w:color w:val="auto"/>
          <w:sz w:val="24"/>
        </w:rPr>
      </w:pPr>
      <w:r>
        <w:rPr>
          <w:rFonts w:hint="eastAsia" w:ascii="宋体" w:hAnsi="宋体" w:eastAsia="宋体" w:cs="宋体"/>
          <w:color w:val="auto"/>
          <w:sz w:val="24"/>
        </w:rPr>
        <w:t>▲25.4、双路输出面凝：功率0-100W，峰值电压≤5000V</w:t>
      </w:r>
    </w:p>
    <w:p w14:paraId="1EB763FF">
      <w:pPr>
        <w:spacing w:line="360" w:lineRule="auto"/>
        <w:rPr>
          <w:rFonts w:hint="eastAsia" w:ascii="宋体" w:hAnsi="宋体" w:eastAsia="宋体" w:cs="宋体"/>
          <w:color w:val="auto"/>
          <w:sz w:val="24"/>
        </w:rPr>
      </w:pPr>
      <w:bookmarkStart w:id="2" w:name="OLE_LINK2"/>
      <w:r>
        <w:rPr>
          <w:rFonts w:hint="eastAsia" w:ascii="宋体" w:hAnsi="宋体" w:eastAsia="宋体" w:cs="宋体"/>
          <w:color w:val="auto"/>
          <w:sz w:val="24"/>
        </w:rPr>
        <w:t>▲2</w:t>
      </w:r>
      <w:bookmarkEnd w:id="2"/>
      <w:r>
        <w:rPr>
          <w:rFonts w:hint="eastAsia" w:ascii="宋体" w:hAnsi="宋体" w:eastAsia="宋体" w:cs="宋体"/>
          <w:color w:val="auto"/>
          <w:sz w:val="24"/>
        </w:rPr>
        <w:t>6、双极模式≥四种</w:t>
      </w:r>
    </w:p>
    <w:p w14:paraId="7C83F989">
      <w:pPr>
        <w:spacing w:line="360" w:lineRule="auto"/>
        <w:rPr>
          <w:rFonts w:hint="eastAsia" w:ascii="宋体" w:hAnsi="宋体" w:eastAsia="宋体" w:cs="宋体"/>
          <w:color w:val="auto"/>
          <w:sz w:val="24"/>
        </w:rPr>
      </w:pPr>
      <w:r>
        <w:rPr>
          <w:rFonts w:hint="eastAsia" w:ascii="宋体" w:hAnsi="宋体" w:eastAsia="宋体" w:cs="宋体"/>
          <w:color w:val="auto"/>
          <w:sz w:val="24"/>
        </w:rPr>
        <w:t>26.1、双极标准凝：功率0-200W 工作频率512KHZ 负载100Ω 峰值电压≤400V</w:t>
      </w:r>
    </w:p>
    <w:p w14:paraId="6E08FD0B">
      <w:pPr>
        <w:spacing w:line="360" w:lineRule="auto"/>
        <w:rPr>
          <w:rFonts w:hint="eastAsia" w:ascii="宋体" w:hAnsi="宋体" w:eastAsia="宋体" w:cs="宋体"/>
          <w:color w:val="auto"/>
          <w:sz w:val="24"/>
        </w:rPr>
      </w:pPr>
      <w:r>
        <w:rPr>
          <w:rFonts w:hint="eastAsia" w:ascii="宋体" w:hAnsi="宋体" w:eastAsia="宋体" w:cs="宋体"/>
          <w:color w:val="auto"/>
          <w:sz w:val="24"/>
        </w:rPr>
        <w:t>26.2、双极普凝（精确）：功率0-200W 工作频率1024KHZ 负载100Ω 峰值电压≤400V</w:t>
      </w:r>
    </w:p>
    <w:p w14:paraId="69E08DFF">
      <w:pPr>
        <w:spacing w:line="360" w:lineRule="auto"/>
        <w:rPr>
          <w:rFonts w:hint="eastAsia" w:ascii="宋体" w:hAnsi="宋体" w:eastAsia="宋体" w:cs="宋体"/>
          <w:color w:val="auto"/>
          <w:sz w:val="24"/>
        </w:rPr>
      </w:pPr>
      <w:r>
        <w:rPr>
          <w:rFonts w:hint="eastAsia" w:ascii="宋体" w:hAnsi="宋体" w:eastAsia="宋体" w:cs="宋体"/>
          <w:color w:val="auto"/>
          <w:sz w:val="24"/>
        </w:rPr>
        <w:t>26.3、双极强凝：功率0-200W 工作频率1024KHZ 负载100Ω 峰值电压≤500V</w:t>
      </w:r>
    </w:p>
    <w:p w14:paraId="66B46B57">
      <w:pPr>
        <w:spacing w:line="360" w:lineRule="auto"/>
        <w:rPr>
          <w:rFonts w:hint="eastAsia" w:ascii="宋体" w:hAnsi="宋体" w:eastAsia="宋体" w:cs="宋体"/>
          <w:color w:val="auto"/>
          <w:sz w:val="24"/>
        </w:rPr>
      </w:pPr>
      <w:r>
        <w:rPr>
          <w:rFonts w:hint="eastAsia" w:ascii="宋体" w:hAnsi="宋体" w:eastAsia="宋体" w:cs="宋体"/>
          <w:color w:val="auto"/>
          <w:sz w:val="24"/>
        </w:rPr>
        <w:t>▲26.4、宏双极：功率0-200W 工作频率1024KHZ 负载200Ω 峰值电压≤800</w:t>
      </w:r>
    </w:p>
    <w:p w14:paraId="3286E48A">
      <w:pPr>
        <w:spacing w:line="360" w:lineRule="auto"/>
        <w:rPr>
          <w:rFonts w:hint="eastAsia" w:ascii="宋体" w:hAnsi="宋体" w:eastAsia="宋体" w:cs="宋体"/>
          <w:color w:val="auto"/>
          <w:sz w:val="24"/>
        </w:rPr>
      </w:pPr>
      <w:r>
        <w:rPr>
          <w:rFonts w:hint="eastAsia" w:ascii="宋体" w:hAnsi="宋体" w:eastAsia="宋体" w:cs="宋体"/>
          <w:color w:val="auto"/>
          <w:sz w:val="24"/>
        </w:rPr>
        <w:t>27、基本配置</w:t>
      </w:r>
    </w:p>
    <w:p w14:paraId="7BFA463D">
      <w:pPr>
        <w:spacing w:line="360" w:lineRule="auto"/>
        <w:rPr>
          <w:rFonts w:hint="eastAsia" w:ascii="宋体" w:hAnsi="宋体" w:eastAsia="宋体" w:cs="宋体"/>
          <w:color w:val="auto"/>
          <w:sz w:val="24"/>
        </w:rPr>
      </w:pPr>
      <w:r>
        <w:rPr>
          <w:rFonts w:hint="eastAsia" w:ascii="宋体" w:hAnsi="宋体" w:eastAsia="宋体" w:cs="宋体"/>
          <w:color w:val="auto"/>
          <w:sz w:val="24"/>
        </w:rPr>
        <w:t>27.1、主机 1套</w:t>
      </w:r>
    </w:p>
    <w:p w14:paraId="4B6596A2">
      <w:pPr>
        <w:spacing w:line="360" w:lineRule="auto"/>
        <w:rPr>
          <w:rFonts w:hint="eastAsia" w:ascii="宋体" w:hAnsi="宋体" w:eastAsia="宋体" w:cs="宋体"/>
          <w:color w:val="auto"/>
          <w:sz w:val="24"/>
        </w:rPr>
      </w:pPr>
      <w:r>
        <w:rPr>
          <w:rFonts w:hint="eastAsia" w:ascii="宋体" w:hAnsi="宋体" w:eastAsia="宋体" w:cs="宋体"/>
          <w:color w:val="auto"/>
          <w:sz w:val="24"/>
        </w:rPr>
        <w:t>27.2、每套包含：电缆1根、说明书、保修卡、合格证、保险丝等</w:t>
      </w:r>
    </w:p>
    <w:p w14:paraId="1350A417">
      <w:pPr>
        <w:spacing w:line="360" w:lineRule="auto"/>
        <w:rPr>
          <w:rFonts w:hint="eastAsia" w:ascii="宋体" w:hAnsi="宋体" w:eastAsia="宋体" w:cs="宋体"/>
          <w:color w:val="auto"/>
          <w:sz w:val="24"/>
        </w:rPr>
      </w:pPr>
      <w:r>
        <w:rPr>
          <w:rFonts w:hint="eastAsia" w:ascii="宋体" w:hAnsi="宋体" w:eastAsia="宋体" w:cs="宋体"/>
          <w:color w:val="auto"/>
          <w:sz w:val="24"/>
        </w:rPr>
        <w:t>27.3、单联脚踏开关1只</w:t>
      </w:r>
    </w:p>
    <w:p w14:paraId="17B3B4AA">
      <w:pPr>
        <w:spacing w:line="360" w:lineRule="auto"/>
        <w:rPr>
          <w:rFonts w:hint="eastAsia" w:ascii="宋体" w:hAnsi="宋体" w:eastAsia="宋体" w:cs="宋体"/>
          <w:color w:val="auto"/>
          <w:sz w:val="24"/>
        </w:rPr>
      </w:pPr>
      <w:r>
        <w:rPr>
          <w:rFonts w:hint="eastAsia" w:ascii="宋体" w:hAnsi="宋体" w:eastAsia="宋体" w:cs="宋体"/>
          <w:color w:val="auto"/>
          <w:sz w:val="24"/>
        </w:rPr>
        <w:t>27.4、双联脚踏开关1只</w:t>
      </w:r>
    </w:p>
    <w:p w14:paraId="64269AF9">
      <w:pPr>
        <w:spacing w:line="360" w:lineRule="auto"/>
        <w:rPr>
          <w:rFonts w:hint="eastAsia" w:ascii="宋体" w:hAnsi="宋体" w:eastAsia="宋体" w:cs="宋体"/>
          <w:color w:val="auto"/>
          <w:sz w:val="24"/>
        </w:rPr>
      </w:pPr>
      <w:r>
        <w:rPr>
          <w:rFonts w:hint="eastAsia" w:ascii="宋体" w:hAnsi="宋体" w:eastAsia="宋体" w:cs="宋体"/>
          <w:color w:val="auto"/>
          <w:sz w:val="24"/>
        </w:rPr>
        <w:t>27.5、可高温消毒手控刀1把</w:t>
      </w:r>
    </w:p>
    <w:p w14:paraId="38142BA8">
      <w:pPr>
        <w:spacing w:line="360" w:lineRule="auto"/>
        <w:rPr>
          <w:rFonts w:hint="eastAsia" w:ascii="宋体" w:hAnsi="宋体" w:eastAsia="宋体" w:cs="宋体"/>
          <w:color w:val="auto"/>
          <w:sz w:val="24"/>
        </w:rPr>
      </w:pPr>
      <w:r>
        <w:rPr>
          <w:rFonts w:hint="eastAsia" w:ascii="宋体" w:hAnsi="宋体" w:eastAsia="宋体" w:cs="宋体"/>
          <w:color w:val="auto"/>
          <w:sz w:val="24"/>
        </w:rPr>
        <w:t>27.6、可高温消毒双极电凝镊1套</w:t>
      </w:r>
    </w:p>
    <w:p w14:paraId="78DBA6C4">
      <w:pPr>
        <w:spacing w:line="360" w:lineRule="auto"/>
        <w:rPr>
          <w:rFonts w:hint="eastAsia" w:ascii="宋体" w:hAnsi="宋体" w:eastAsia="宋体" w:cs="宋体"/>
          <w:color w:val="auto"/>
          <w:sz w:val="24"/>
        </w:rPr>
      </w:pPr>
      <w:r>
        <w:rPr>
          <w:rFonts w:hint="eastAsia" w:ascii="宋体" w:hAnsi="宋体" w:eastAsia="宋体" w:cs="宋体"/>
          <w:color w:val="auto"/>
          <w:sz w:val="24"/>
        </w:rPr>
        <w:t>27.7、绝缘容器1只</w:t>
      </w:r>
    </w:p>
    <w:p w14:paraId="5D188B48">
      <w:pPr>
        <w:spacing w:line="360" w:lineRule="auto"/>
        <w:rPr>
          <w:rFonts w:hint="eastAsia" w:ascii="宋体" w:hAnsi="宋体" w:eastAsia="宋体" w:cs="宋体"/>
          <w:color w:val="auto"/>
          <w:sz w:val="24"/>
        </w:rPr>
      </w:pPr>
      <w:r>
        <w:rPr>
          <w:rFonts w:hint="eastAsia" w:ascii="宋体" w:hAnsi="宋体" w:eastAsia="宋体" w:cs="宋体"/>
          <w:color w:val="auto"/>
          <w:sz w:val="24"/>
        </w:rPr>
        <w:t>28.8、配套设备：电动止血带（双路）一台</w:t>
      </w:r>
    </w:p>
    <w:bookmarkEnd w:id="1"/>
    <w:p w14:paraId="19F2C7AA">
      <w:pPr>
        <w:widowControl/>
        <w:spacing w:line="480" w:lineRule="auto"/>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2、</w:t>
      </w:r>
      <w:r>
        <w:rPr>
          <w:rFonts w:ascii="宋体" w:hAnsi="宋体" w:eastAsia="宋体" w:cs="宋体"/>
          <w:b/>
          <w:bCs/>
          <w:color w:val="auto"/>
          <w:kern w:val="0"/>
          <w:sz w:val="24"/>
        </w:rPr>
        <w:t>升温毯</w:t>
      </w:r>
    </w:p>
    <w:p w14:paraId="11F06E73">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一、产品组成：</w:t>
      </w:r>
    </w:p>
    <w:p w14:paraId="4FC9E926">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 xml:space="preserve">▲1、由恒温器(主机)、毯子和体温传感器(体温探头)三部分组成，其中：主机、毯子、体温传感器为产品的标准配附件。 </w:t>
      </w:r>
    </w:p>
    <w:p w14:paraId="10023990">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2、额定电源电压和频率：交流220V，50Hz</w:t>
      </w:r>
    </w:p>
    <w:p w14:paraId="40670C3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二、恒温器加温性能</w:t>
      </w:r>
    </w:p>
    <w:p w14:paraId="4C4CC86A">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1、加温模式：具备手动和自动两种加温模式</w:t>
      </w:r>
    </w:p>
    <w:p w14:paraId="38B15EF4">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2、温度设置范围：33.0℃~39.0℃，步进：0.1℃</w:t>
      </w:r>
    </w:p>
    <w:p w14:paraId="0794855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3、温度显示范围：20.0℃~42.0℃，分辨率：0.1℃</w:t>
      </w:r>
    </w:p>
    <w:p w14:paraId="67CB439F">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4、最大表面温度：正常状态下，毯子接触表面温度不超过41℃；单一故障状态下，毯子表面温度不超过42℃。</w:t>
      </w:r>
    </w:p>
    <w:p w14:paraId="7BEE2AB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5、温控及过载保护：除温度调节装置外，设有完全独立的过温保护安全装置，保证接触表面在正常工作条件下，最高温度 &lt; 41℃。</w:t>
      </w:r>
    </w:p>
    <w:p w14:paraId="7AEA77C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▲6、系统报警：提供</w:t>
      </w:r>
      <w:r>
        <w:rPr>
          <w:rFonts w:hint="eastAsia" w:ascii="宋体" w:hAnsi="宋体" w:eastAsia="宋体" w:cs="宋体"/>
          <w:color w:val="auto"/>
          <w:sz w:val="24"/>
        </w:rPr>
        <w:t>不少于</w:t>
      </w:r>
      <w:r>
        <w:rPr>
          <w:rFonts w:hint="eastAsia" w:ascii="宋体" w:hAnsi="宋体" w:eastAsia="宋体" w:cs="宋体"/>
          <w:color w:val="auto"/>
          <w:sz w:val="24"/>
        </w:rPr>
        <w:t>5种系统报警。</w:t>
      </w:r>
    </w:p>
    <w:p w14:paraId="1002663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三、毯子性能参数</w:t>
      </w:r>
    </w:p>
    <w:p w14:paraId="4717F9C3">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1、毯子内置碳纤维加热层，加热均匀，并配有多个温度控制传感器进行毯面温度的采样</w:t>
      </w:r>
    </w:p>
    <w:p w14:paraId="7DD58700">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★2、毯子</w:t>
      </w:r>
      <w:r>
        <w:rPr>
          <w:rFonts w:hint="eastAsia" w:ascii="宋体" w:hAnsi="宋体" w:eastAsia="宋体" w:cs="宋体"/>
          <w:color w:val="auto"/>
          <w:sz w:val="24"/>
        </w:rPr>
        <w:t>应</w:t>
      </w:r>
      <w:r>
        <w:rPr>
          <w:rFonts w:hint="eastAsia" w:ascii="宋体" w:hAnsi="宋体" w:eastAsia="宋体" w:cs="宋体"/>
          <w:color w:val="auto"/>
          <w:sz w:val="24"/>
        </w:rPr>
        <w:t>采用低压直流24V供电，无机械旋转装置，无工作噪音</w:t>
      </w:r>
    </w:p>
    <w:p w14:paraId="03A9110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▲3、毯子</w:t>
      </w:r>
      <w:r>
        <w:rPr>
          <w:rFonts w:hint="eastAsia" w:ascii="宋体" w:hAnsi="宋体" w:eastAsia="宋体" w:cs="宋体"/>
          <w:color w:val="auto"/>
          <w:sz w:val="24"/>
        </w:rPr>
        <w:t>应为四层结构</w:t>
      </w:r>
      <w:r>
        <w:rPr>
          <w:rFonts w:hint="eastAsia" w:ascii="宋体" w:hAnsi="宋体" w:eastAsia="宋体" w:cs="宋体"/>
          <w:color w:val="auto"/>
          <w:sz w:val="24"/>
        </w:rPr>
        <w:t>：碳纤维加热层，导热绝缘布保护层，阻燃记忆海绵缓冲层，TPU复合布接触层</w:t>
      </w:r>
    </w:p>
    <w:p w14:paraId="07FFD18E">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4、毯子两侧</w:t>
      </w:r>
      <w:r>
        <w:rPr>
          <w:rFonts w:hint="eastAsia" w:ascii="宋体" w:hAnsi="宋体" w:eastAsia="宋体" w:cs="宋体"/>
          <w:color w:val="auto"/>
          <w:sz w:val="24"/>
        </w:rPr>
        <w:t>应配备</w:t>
      </w:r>
      <w:r>
        <w:rPr>
          <w:rFonts w:hint="eastAsia" w:ascii="宋体" w:hAnsi="宋体" w:eastAsia="宋体" w:cs="宋体"/>
          <w:color w:val="auto"/>
          <w:sz w:val="24"/>
        </w:rPr>
        <w:t>固定用绑带，可固定于手术床</w:t>
      </w:r>
    </w:p>
    <w:p w14:paraId="7C16E00A">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四、体温传感器</w:t>
      </w:r>
    </w:p>
    <w:p w14:paraId="149DED53">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▲1、采用成品医用温度探头，全封闭设计，可重复使用。</w:t>
      </w:r>
    </w:p>
    <w:p w14:paraId="09A64F3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2、测量范围：25～45℃，最大误差：±0.3℃。</w:t>
      </w:r>
    </w:p>
    <w:p w14:paraId="4C399E16">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五、安全特性</w:t>
      </w:r>
    </w:p>
    <w:p w14:paraId="4B8126D1">
      <w:pPr>
        <w:snapToGrid w:val="0"/>
        <w:spacing w:line="360" w:lineRule="auto"/>
        <w:jc w:val="left"/>
        <w:rPr>
          <w:rFonts w:hint="eastAsia" w:ascii="宋体" w:hAnsi="宋体" w:cs="Arial"/>
          <w:b/>
          <w:color w:val="auto"/>
          <w:sz w:val="28"/>
          <w:szCs w:val="28"/>
        </w:rPr>
      </w:pPr>
      <w:r>
        <w:rPr>
          <w:rFonts w:hint="eastAsia" w:ascii="宋体" w:hAnsi="宋体" w:eastAsia="宋体" w:cs="宋体"/>
          <w:color w:val="auto"/>
          <w:sz w:val="24"/>
        </w:rPr>
        <w:t>1、毯子防护等级：</w:t>
      </w:r>
      <w:r>
        <w:rPr>
          <w:rFonts w:hint="eastAsia" w:ascii="宋体" w:hAnsi="宋体" w:eastAsia="宋体" w:cs="宋体"/>
          <w:color w:val="auto"/>
          <w:sz w:val="24"/>
        </w:rPr>
        <w:t>不低于</w:t>
      </w:r>
      <w:r>
        <w:rPr>
          <w:rFonts w:hint="eastAsia" w:ascii="宋体" w:hAnsi="宋体" w:eastAsia="宋体" w:cs="宋体"/>
          <w:color w:val="auto"/>
          <w:sz w:val="24"/>
        </w:rPr>
        <w:t>IPX4</w:t>
      </w:r>
    </w:p>
    <w:p w14:paraId="2C9BBBF1">
      <w:pPr>
        <w:snapToGrid w:val="0"/>
        <w:spacing w:line="360" w:lineRule="auto"/>
        <w:jc w:val="center"/>
        <w:rPr>
          <w:rFonts w:hint="eastAsia" w:ascii="宋体" w:hAnsi="宋体" w:cs="Arial"/>
          <w:b/>
          <w:color w:val="auto"/>
          <w:sz w:val="28"/>
          <w:szCs w:val="28"/>
        </w:rPr>
      </w:pPr>
      <w:r>
        <w:rPr>
          <w:rFonts w:hint="eastAsia" w:ascii="宋体" w:hAnsi="宋体" w:eastAsia="宋体" w:cs="宋体"/>
          <w:b/>
          <w:bCs/>
          <w:color w:val="auto"/>
          <w:kern w:val="0"/>
          <w:sz w:val="24"/>
        </w:rPr>
        <w:t>3、</w:t>
      </w:r>
      <w:r>
        <w:rPr>
          <w:rFonts w:ascii="宋体" w:hAnsi="宋体" w:eastAsia="宋体" w:cs="宋体"/>
          <w:b/>
          <w:bCs/>
          <w:color w:val="auto"/>
          <w:kern w:val="0"/>
          <w:sz w:val="24"/>
        </w:rPr>
        <w:t>保冷柜</w:t>
      </w:r>
      <w:r>
        <w:rPr>
          <w:rFonts w:hint="eastAsia" w:ascii="宋体" w:hAnsi="宋体" w:eastAsia="宋体" w:cs="宋体"/>
          <w:b/>
          <w:bCs/>
          <w:color w:val="auto"/>
          <w:kern w:val="0"/>
          <w:sz w:val="24"/>
        </w:rPr>
        <w:t>技术参数</w:t>
      </w:r>
      <w:r>
        <w:rPr>
          <w:rFonts w:hint="eastAsia" w:ascii="宋体" w:hAnsi="宋体" w:eastAsia="宋体" w:cs="宋体"/>
          <w:b/>
          <w:bCs/>
          <w:color w:val="auto"/>
          <w:sz w:val="24"/>
        </w:rPr>
        <w:t>要求</w:t>
      </w:r>
    </w:p>
    <w:p w14:paraId="13097C24">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1、工作条件：环境温度10-32℃，环境湿度≤80%，电压：220V±10%，频率50±1Hz。</w:t>
      </w:r>
    </w:p>
    <w:p w14:paraId="6DEC3C4E">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2、样式：立式，双门</w:t>
      </w:r>
    </w:p>
    <w:p w14:paraId="1AD26444">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3、有效容积</w:t>
      </w:r>
      <w:r>
        <w:rPr>
          <w:rFonts w:hint="eastAsia" w:ascii="宋体" w:hAnsi="宋体" w:eastAsia="宋体" w:cs="宋体"/>
          <w:color w:val="auto"/>
          <w:sz w:val="24"/>
        </w:rPr>
        <w:t>不低于</w:t>
      </w:r>
      <w:r>
        <w:rPr>
          <w:rFonts w:ascii="宋体" w:hAnsi="宋体" w:eastAsia="宋体" w:cs="宋体"/>
          <w:color w:val="auto"/>
          <w:sz w:val="24"/>
        </w:rPr>
        <w:t>31</w:t>
      </w:r>
      <w:r>
        <w:rPr>
          <w:rFonts w:hint="eastAsia" w:ascii="宋体" w:hAnsi="宋体" w:eastAsia="宋体" w:cs="宋体"/>
          <w:color w:val="auto"/>
          <w:sz w:val="24"/>
        </w:rPr>
        <w:t>0</w:t>
      </w:r>
      <w:r>
        <w:rPr>
          <w:rFonts w:ascii="宋体" w:hAnsi="宋体" w:eastAsia="宋体" w:cs="宋体"/>
          <w:color w:val="auto"/>
          <w:sz w:val="24"/>
        </w:rPr>
        <w:t>L(冷藏</w:t>
      </w:r>
      <w:r>
        <w:rPr>
          <w:rFonts w:hint="eastAsia" w:ascii="宋体" w:hAnsi="宋体" w:eastAsia="宋体" w:cs="宋体"/>
          <w:color w:val="auto"/>
          <w:sz w:val="24"/>
        </w:rPr>
        <w:t>不低于</w:t>
      </w:r>
      <w:r>
        <w:rPr>
          <w:rFonts w:ascii="宋体" w:hAnsi="宋体" w:eastAsia="宋体" w:cs="宋体"/>
          <w:color w:val="auto"/>
          <w:sz w:val="24"/>
        </w:rPr>
        <w:t>21</w:t>
      </w:r>
      <w:r>
        <w:rPr>
          <w:rFonts w:hint="eastAsia" w:ascii="宋体" w:hAnsi="宋体" w:eastAsia="宋体" w:cs="宋体"/>
          <w:color w:val="auto"/>
          <w:sz w:val="24"/>
        </w:rPr>
        <w:t>0</w:t>
      </w:r>
      <w:r>
        <w:rPr>
          <w:rFonts w:ascii="宋体" w:hAnsi="宋体" w:eastAsia="宋体" w:cs="宋体"/>
          <w:color w:val="auto"/>
          <w:sz w:val="24"/>
        </w:rPr>
        <w:t>L，冷冻</w:t>
      </w:r>
      <w:r>
        <w:rPr>
          <w:rFonts w:hint="eastAsia" w:ascii="宋体" w:hAnsi="宋体" w:eastAsia="宋体" w:cs="宋体"/>
          <w:color w:val="auto"/>
          <w:sz w:val="24"/>
        </w:rPr>
        <w:t>不低于</w:t>
      </w:r>
      <w:r>
        <w:rPr>
          <w:rFonts w:ascii="宋体" w:hAnsi="宋体" w:eastAsia="宋体" w:cs="宋体"/>
          <w:color w:val="auto"/>
          <w:sz w:val="24"/>
        </w:rPr>
        <w:t>100L)。</w:t>
      </w:r>
    </w:p>
    <w:p w14:paraId="145D35C9">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▲4、冷藏温度2~8℃，冷冻温度-10~-30℃（可调）</w:t>
      </w:r>
    </w:p>
    <w:p w14:paraId="56E51285">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▲5、温度控制：冷藏显示分辨率</w:t>
      </w:r>
      <w:r>
        <w:rPr>
          <w:rFonts w:hint="eastAsia" w:ascii="宋体" w:hAnsi="宋体" w:eastAsia="宋体" w:cs="宋体"/>
          <w:color w:val="auto"/>
          <w:sz w:val="24"/>
        </w:rPr>
        <w:t>不低于</w:t>
      </w:r>
      <w:r>
        <w:rPr>
          <w:rFonts w:ascii="宋体" w:hAnsi="宋体" w:eastAsia="宋体" w:cs="宋体"/>
          <w:color w:val="auto"/>
          <w:sz w:val="24"/>
        </w:rPr>
        <w:t>0.1℃，冷冻显示分辨率</w:t>
      </w:r>
      <w:r>
        <w:rPr>
          <w:rFonts w:hint="eastAsia" w:ascii="宋体" w:hAnsi="宋体" w:eastAsia="宋体" w:cs="宋体"/>
          <w:color w:val="auto"/>
          <w:sz w:val="24"/>
        </w:rPr>
        <w:t>不低于</w:t>
      </w:r>
      <w:r>
        <w:rPr>
          <w:rFonts w:ascii="宋体" w:hAnsi="宋体" w:eastAsia="宋体" w:cs="宋体"/>
          <w:color w:val="auto"/>
          <w:sz w:val="24"/>
        </w:rPr>
        <w:t>0.1℃</w:t>
      </w:r>
    </w:p>
    <w:p w14:paraId="2D04627E">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6、上下门</w:t>
      </w:r>
      <w:r>
        <w:rPr>
          <w:rFonts w:hint="eastAsia" w:ascii="宋体" w:hAnsi="宋体" w:eastAsia="宋体" w:cs="宋体"/>
          <w:color w:val="auto"/>
          <w:sz w:val="24"/>
        </w:rPr>
        <w:t>应</w:t>
      </w:r>
      <w:r>
        <w:rPr>
          <w:rFonts w:ascii="宋体" w:hAnsi="宋体" w:eastAsia="宋体" w:cs="宋体"/>
          <w:color w:val="auto"/>
          <w:sz w:val="24"/>
        </w:rPr>
        <w:t>配备独立锁扣</w:t>
      </w:r>
    </w:p>
    <w:p w14:paraId="1C433E03">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7、报警功能</w:t>
      </w:r>
      <w:r>
        <w:rPr>
          <w:rFonts w:hint="eastAsia" w:ascii="宋体" w:hAnsi="宋体" w:eastAsia="宋体" w:cs="宋体"/>
          <w:color w:val="auto"/>
          <w:sz w:val="24"/>
        </w:rPr>
        <w:t>应至少包括</w:t>
      </w:r>
      <w:r>
        <w:rPr>
          <w:rFonts w:ascii="宋体" w:hAnsi="宋体" w:eastAsia="宋体" w:cs="宋体"/>
          <w:color w:val="auto"/>
          <w:sz w:val="24"/>
        </w:rPr>
        <w:t>：高低温报警、开门报警、断电报警、环温报警、电池电量低报警、通讯故障报警、传感器故障报警</w:t>
      </w:r>
      <w:r>
        <w:rPr>
          <w:rFonts w:hint="eastAsia" w:ascii="宋体" w:hAnsi="宋体" w:eastAsia="宋体" w:cs="宋体"/>
          <w:color w:val="auto"/>
          <w:sz w:val="24"/>
        </w:rPr>
        <w:t>等</w:t>
      </w:r>
    </w:p>
    <w:p w14:paraId="5AAEC271">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8、</w:t>
      </w:r>
      <w:r>
        <w:rPr>
          <w:rFonts w:hint="eastAsia" w:ascii="宋体" w:hAnsi="宋体" w:eastAsia="宋体" w:cs="宋体"/>
          <w:color w:val="auto"/>
          <w:sz w:val="24"/>
        </w:rPr>
        <w:t>不少于</w:t>
      </w:r>
      <w:r>
        <w:rPr>
          <w:rFonts w:ascii="宋体" w:hAnsi="宋体" w:eastAsia="宋体" w:cs="宋体"/>
          <w:color w:val="auto"/>
          <w:sz w:val="24"/>
        </w:rPr>
        <w:t>两种报警方式：声音蜂鸣器报警、闪烁报警</w:t>
      </w:r>
    </w:p>
    <w:p w14:paraId="7D666295">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▲9、存储安全：双压缩机独立制冷系统，冷藏冷冻单独显示，可独立开关</w:t>
      </w:r>
    </w:p>
    <w:p w14:paraId="5BE0DFCB">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▲10、采用名牌压缩机，碳氢制冷剂；EC低噪音风机</w:t>
      </w:r>
    </w:p>
    <w:p w14:paraId="5CF65DB7">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11、</w:t>
      </w:r>
      <w:r>
        <w:rPr>
          <w:rFonts w:hint="eastAsia" w:ascii="宋体" w:hAnsi="宋体" w:eastAsia="宋体" w:cs="宋体"/>
          <w:color w:val="auto"/>
          <w:sz w:val="24"/>
        </w:rPr>
        <w:t>具备</w:t>
      </w:r>
      <w:r>
        <w:rPr>
          <w:rFonts w:ascii="宋体" w:hAnsi="宋体" w:eastAsia="宋体" w:cs="宋体"/>
          <w:color w:val="auto"/>
          <w:sz w:val="24"/>
        </w:rPr>
        <w:t>按键屏功能：可同时显示冷藏室温度和冷冻室温度，能设定箱内温度、高低温报警，具有故障指示灯，出现报警或故障时指示灯显示红色</w:t>
      </w:r>
    </w:p>
    <w:p w14:paraId="72760FB1">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1</w:t>
      </w:r>
      <w:r>
        <w:rPr>
          <w:rFonts w:hint="eastAsia" w:ascii="宋体" w:hAnsi="宋体" w:eastAsia="宋体" w:cs="宋体"/>
          <w:color w:val="auto"/>
          <w:sz w:val="24"/>
        </w:rPr>
        <w:t>2</w:t>
      </w:r>
      <w:r>
        <w:rPr>
          <w:rFonts w:ascii="宋体" w:hAnsi="宋体" w:eastAsia="宋体" w:cs="宋体"/>
          <w:color w:val="auto"/>
          <w:sz w:val="24"/>
        </w:rPr>
        <w:t>、</w:t>
      </w:r>
      <w:r>
        <w:rPr>
          <w:rFonts w:hint="eastAsia" w:ascii="宋体" w:hAnsi="宋体" w:eastAsia="宋体" w:cs="宋体"/>
          <w:color w:val="auto"/>
          <w:sz w:val="24"/>
        </w:rPr>
        <w:t>应采用</w:t>
      </w:r>
      <w:r>
        <w:rPr>
          <w:rFonts w:ascii="宋体" w:hAnsi="宋体" w:eastAsia="宋体" w:cs="宋体"/>
          <w:color w:val="auto"/>
          <w:sz w:val="24"/>
        </w:rPr>
        <w:t>脚轮加底脚设计（4个脚轮/2个底脚）</w:t>
      </w:r>
    </w:p>
    <w:p w14:paraId="3644EDD1">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▲1</w:t>
      </w:r>
      <w:r>
        <w:rPr>
          <w:rFonts w:hint="eastAsia" w:ascii="宋体" w:hAnsi="宋体" w:eastAsia="宋体" w:cs="宋体"/>
          <w:color w:val="auto"/>
          <w:sz w:val="24"/>
        </w:rPr>
        <w:t>3</w:t>
      </w:r>
      <w:r>
        <w:rPr>
          <w:rFonts w:ascii="宋体" w:hAnsi="宋体" w:eastAsia="宋体" w:cs="宋体"/>
          <w:color w:val="auto"/>
          <w:sz w:val="24"/>
        </w:rPr>
        <w:t>、</w:t>
      </w:r>
      <w:r>
        <w:rPr>
          <w:rFonts w:hint="eastAsia" w:ascii="宋体" w:hAnsi="宋体" w:eastAsia="宋体" w:cs="宋体"/>
          <w:color w:val="auto"/>
          <w:sz w:val="24"/>
        </w:rPr>
        <w:t>应</w:t>
      </w:r>
      <w:r>
        <w:rPr>
          <w:rFonts w:ascii="宋体" w:hAnsi="宋体" w:eastAsia="宋体" w:cs="宋体"/>
          <w:color w:val="auto"/>
          <w:sz w:val="24"/>
        </w:rPr>
        <w:t>标配蓄电池，断电后可为屏幕供电≥72小时</w:t>
      </w:r>
    </w:p>
    <w:p w14:paraId="0D642FCA">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▲1</w:t>
      </w:r>
      <w:r>
        <w:rPr>
          <w:rFonts w:hint="eastAsia" w:ascii="宋体" w:hAnsi="宋体" w:eastAsia="宋体" w:cs="宋体"/>
          <w:color w:val="auto"/>
          <w:sz w:val="24"/>
        </w:rPr>
        <w:t>4</w:t>
      </w:r>
      <w:r>
        <w:rPr>
          <w:rFonts w:ascii="宋体" w:hAnsi="宋体" w:eastAsia="宋体" w:cs="宋体"/>
          <w:color w:val="auto"/>
          <w:sz w:val="24"/>
        </w:rPr>
        <w:t xml:space="preserve">、整机噪音≤41db(A) </w:t>
      </w:r>
    </w:p>
    <w:p w14:paraId="1CED0B57">
      <w:pPr>
        <w:spacing w:after="156" w:afterLines="50"/>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4、</w:t>
      </w:r>
      <w:r>
        <w:rPr>
          <w:rFonts w:ascii="宋体" w:hAnsi="宋体" w:eastAsia="宋体" w:cs="宋体"/>
          <w:b/>
          <w:bCs/>
          <w:color w:val="auto"/>
          <w:kern w:val="0"/>
          <w:sz w:val="24"/>
        </w:rPr>
        <w:t>保温柜</w:t>
      </w:r>
      <w:r>
        <w:rPr>
          <w:rFonts w:hint="eastAsia" w:ascii="宋体" w:hAnsi="宋体" w:eastAsia="宋体" w:cs="宋体"/>
          <w:b/>
          <w:bCs/>
          <w:color w:val="auto"/>
          <w:kern w:val="0"/>
          <w:sz w:val="24"/>
        </w:rPr>
        <w:t>技术参数</w:t>
      </w:r>
      <w:r>
        <w:rPr>
          <w:rFonts w:hint="eastAsia" w:ascii="宋体" w:hAnsi="宋体" w:eastAsia="宋体" w:cs="宋体"/>
          <w:b/>
          <w:bCs/>
          <w:color w:val="auto"/>
          <w:sz w:val="24"/>
        </w:rPr>
        <w:t>要求</w:t>
      </w:r>
    </w:p>
    <w:p w14:paraId="3137A1E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1、工作条件：环境温度10-32℃，环境湿度≤70%，电压：220V±10%，频率50±1Hz。</w:t>
      </w:r>
    </w:p>
    <w:p w14:paraId="3E4B3D70">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2、样式：立式，单门</w:t>
      </w:r>
    </w:p>
    <w:p w14:paraId="6780CAB3">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▲3、有效容积≥100L。</w:t>
      </w:r>
    </w:p>
    <w:p w14:paraId="52ED2D23">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4、箱内温度范围：20℃～55℃。</w:t>
      </w:r>
    </w:p>
    <w:p w14:paraId="6FE9781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5、箱体材料：高品质不锈钢。</w:t>
      </w:r>
    </w:p>
    <w:p w14:paraId="6AB03B01">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6、内胆材料：高品质不锈钢。</w:t>
      </w:r>
    </w:p>
    <w:p w14:paraId="05D487EF">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7、保温材料：无CFC聚氨酯发泡。</w:t>
      </w:r>
    </w:p>
    <w:p w14:paraId="456F84E3">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8、温度控制：范围在20℃～55℃范围内，显示分辨率</w:t>
      </w:r>
      <w:r>
        <w:rPr>
          <w:rFonts w:hint="eastAsia" w:ascii="宋体" w:hAnsi="宋体" w:eastAsia="宋体" w:cs="宋体"/>
          <w:color w:val="auto"/>
          <w:sz w:val="24"/>
        </w:rPr>
        <w:t>不低于</w:t>
      </w:r>
      <w:r>
        <w:rPr>
          <w:rFonts w:hint="eastAsia" w:ascii="宋体" w:hAnsi="宋体" w:eastAsia="宋体" w:cs="宋体"/>
          <w:color w:val="auto"/>
          <w:sz w:val="24"/>
        </w:rPr>
        <w:t>0.1℃。</w:t>
      </w:r>
    </w:p>
    <w:p w14:paraId="6249C09E">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9、</w:t>
      </w:r>
      <w:r>
        <w:rPr>
          <w:rFonts w:hint="eastAsia" w:ascii="宋体" w:hAnsi="宋体" w:eastAsia="宋体" w:cs="宋体"/>
          <w:color w:val="auto"/>
          <w:sz w:val="24"/>
        </w:rPr>
        <w:t>应</w:t>
      </w:r>
      <w:r>
        <w:rPr>
          <w:rFonts w:hint="eastAsia" w:ascii="宋体" w:hAnsi="宋体" w:eastAsia="宋体" w:cs="宋体"/>
          <w:color w:val="auto"/>
          <w:sz w:val="24"/>
        </w:rPr>
        <w:t>采用一体式把手，单手实现开关门，更加省力。</w:t>
      </w:r>
    </w:p>
    <w:p w14:paraId="426F6A8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10、按键屏功能：彩色触摸屏，可显示箱内温度、设定温度温度等，能设工作温度、工作温差值等参数。</w:t>
      </w:r>
    </w:p>
    <w:p w14:paraId="4756A3E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11、采用高性能保温材料。</w:t>
      </w:r>
    </w:p>
    <w:p w14:paraId="61DB5745">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▲12、</w:t>
      </w:r>
      <w:r>
        <w:rPr>
          <w:rFonts w:hint="eastAsia" w:ascii="宋体" w:hAnsi="宋体" w:eastAsia="宋体" w:cs="宋体"/>
          <w:color w:val="auto"/>
          <w:sz w:val="24"/>
        </w:rPr>
        <w:t>应采用</w:t>
      </w:r>
      <w:r>
        <w:rPr>
          <w:rFonts w:hint="eastAsia" w:ascii="宋体" w:hAnsi="宋体" w:eastAsia="宋体" w:cs="宋体"/>
          <w:color w:val="auto"/>
          <w:sz w:val="24"/>
        </w:rPr>
        <w:t>双系统设计：电控系统+备用机械控制系统。</w:t>
      </w:r>
    </w:p>
    <w:p w14:paraId="36AFD74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▲13、</w:t>
      </w:r>
      <w:r>
        <w:rPr>
          <w:rFonts w:hint="eastAsia" w:ascii="宋体" w:hAnsi="宋体" w:eastAsia="宋体" w:cs="宋体"/>
          <w:color w:val="auto"/>
          <w:sz w:val="24"/>
        </w:rPr>
        <w:t>应</w:t>
      </w:r>
      <w:r>
        <w:rPr>
          <w:rFonts w:hint="eastAsia" w:ascii="宋体" w:hAnsi="宋体" w:eastAsia="宋体" w:cs="宋体"/>
          <w:color w:val="auto"/>
          <w:sz w:val="24"/>
        </w:rPr>
        <w:t>采用PTC陶瓷复合加热技术，加温迅速，PTC具备过热保护器，温度过高时自动断电（PTC保护器表面温度超过110℃）。</w:t>
      </w:r>
    </w:p>
    <w:p w14:paraId="12E3414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14、</w:t>
      </w:r>
      <w:r>
        <w:rPr>
          <w:rFonts w:hint="eastAsia" w:ascii="宋体" w:hAnsi="宋体" w:eastAsia="宋体" w:cs="宋体"/>
          <w:color w:val="auto"/>
          <w:sz w:val="24"/>
        </w:rPr>
        <w:t>应采用</w:t>
      </w:r>
      <w:r>
        <w:rPr>
          <w:rFonts w:hint="eastAsia" w:ascii="宋体" w:hAnsi="宋体" w:eastAsia="宋体" w:cs="宋体"/>
          <w:color w:val="auto"/>
          <w:sz w:val="24"/>
        </w:rPr>
        <w:t>新式C型风道设计，箱内温度更均一稳定。</w:t>
      </w:r>
    </w:p>
    <w:p w14:paraId="334CCD6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15、箱体底部</w:t>
      </w:r>
      <w:r>
        <w:rPr>
          <w:rFonts w:hint="eastAsia" w:ascii="宋体" w:hAnsi="宋体" w:eastAsia="宋体" w:cs="宋体"/>
          <w:color w:val="auto"/>
          <w:sz w:val="24"/>
        </w:rPr>
        <w:t>应</w:t>
      </w:r>
      <w:r>
        <w:rPr>
          <w:rFonts w:hint="eastAsia" w:ascii="宋体" w:hAnsi="宋体" w:eastAsia="宋体" w:cs="宋体"/>
          <w:color w:val="auto"/>
          <w:sz w:val="24"/>
        </w:rPr>
        <w:t>配4个万向轮+2个底脚，便于移动和安放。</w:t>
      </w:r>
    </w:p>
    <w:p w14:paraId="36746CA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16、配置2层浸塑搁架。</w:t>
      </w:r>
    </w:p>
    <w:p w14:paraId="38BB4D9E">
      <w:pPr>
        <w:widowControl/>
        <w:spacing w:line="480" w:lineRule="auto"/>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5、</w:t>
      </w:r>
      <w:r>
        <w:rPr>
          <w:rFonts w:ascii="宋体" w:hAnsi="宋体" w:eastAsia="宋体" w:cs="宋体"/>
          <w:b/>
          <w:bCs/>
          <w:color w:val="auto"/>
          <w:kern w:val="0"/>
          <w:sz w:val="24"/>
        </w:rPr>
        <w:t>高压灭菌锅</w:t>
      </w:r>
      <w:r>
        <w:rPr>
          <w:rFonts w:hint="eastAsia" w:ascii="宋体" w:hAnsi="宋体" w:eastAsia="宋体" w:cs="宋体"/>
          <w:b/>
          <w:bCs/>
          <w:color w:val="auto"/>
          <w:kern w:val="0"/>
          <w:sz w:val="24"/>
        </w:rPr>
        <w:t>技术参数要求</w:t>
      </w:r>
    </w:p>
    <w:p w14:paraId="1457D086">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1、非包裹灭菌全过程时间10-12分钟。</w:t>
      </w:r>
    </w:p>
    <w:p w14:paraId="4FEEB68F">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2、灭菌腔尺寸</w:t>
      </w:r>
      <w:r>
        <w:rPr>
          <w:rFonts w:hint="eastAsia" w:ascii="宋体" w:hAnsi="宋体" w:eastAsia="宋体" w:cs="宋体"/>
          <w:color w:val="auto"/>
          <w:sz w:val="24"/>
        </w:rPr>
        <w:t>长宽高不低于</w:t>
      </w:r>
      <w:r>
        <w:rPr>
          <w:rFonts w:ascii="宋体" w:hAnsi="宋体" w:eastAsia="宋体" w:cs="宋体"/>
          <w:color w:val="auto"/>
          <w:sz w:val="24"/>
        </w:rPr>
        <w:t>:38CM*18CM*7.8CM；</w:t>
      </w:r>
    </w:p>
    <w:p w14:paraId="55726DE0">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3、系统运行情况</w:t>
      </w:r>
      <w:r>
        <w:rPr>
          <w:rFonts w:hint="eastAsia" w:ascii="宋体" w:hAnsi="宋体" w:eastAsia="宋体" w:cs="宋体"/>
          <w:color w:val="auto"/>
          <w:sz w:val="24"/>
        </w:rPr>
        <w:t>可</w:t>
      </w:r>
      <w:r>
        <w:rPr>
          <w:rFonts w:ascii="宋体" w:hAnsi="宋体" w:eastAsia="宋体" w:cs="宋体"/>
          <w:color w:val="auto"/>
          <w:sz w:val="24"/>
        </w:rPr>
        <w:t>显示于屏幕</w:t>
      </w:r>
      <w:r>
        <w:rPr>
          <w:rFonts w:hint="eastAsia" w:ascii="宋体" w:hAnsi="宋体" w:eastAsia="宋体" w:cs="宋体"/>
          <w:color w:val="auto"/>
          <w:sz w:val="24"/>
        </w:rPr>
        <w:t>；</w:t>
      </w:r>
      <w:r>
        <w:rPr>
          <w:rFonts w:ascii="宋体" w:hAnsi="宋体" w:eastAsia="宋体" w:cs="宋体"/>
          <w:color w:val="auto"/>
          <w:sz w:val="24"/>
        </w:rPr>
        <w:t>可以随时安全地中断灭菌程序。</w:t>
      </w:r>
    </w:p>
    <w:p w14:paraId="21EDFD66">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4、具备自我检测系统,一旦在运行过程中出现问题,系统自动中止运作,并将故障代码显示于屏幕。</w:t>
      </w:r>
    </w:p>
    <w:p w14:paraId="421EEF6C">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5、</w:t>
      </w:r>
      <w:r>
        <w:rPr>
          <w:rFonts w:hint="eastAsia" w:ascii="宋体" w:hAnsi="宋体" w:eastAsia="宋体" w:cs="宋体"/>
          <w:color w:val="auto"/>
          <w:sz w:val="24"/>
        </w:rPr>
        <w:t>应</w:t>
      </w:r>
      <w:r>
        <w:rPr>
          <w:rFonts w:ascii="宋体" w:hAnsi="宋体" w:eastAsia="宋体" w:cs="宋体"/>
          <w:color w:val="auto"/>
          <w:sz w:val="24"/>
        </w:rPr>
        <w:t>适用于含腔器械和实心器械灭菌,可以进行非包裹灭菌。</w:t>
      </w:r>
    </w:p>
    <w:p w14:paraId="37D3D302">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6、主要性能指标：</w:t>
      </w:r>
    </w:p>
    <w:p w14:paraId="5452C639">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6.1最高工作压力</w:t>
      </w:r>
      <w:r>
        <w:rPr>
          <w:rFonts w:hint="eastAsia" w:ascii="宋体" w:hAnsi="宋体" w:eastAsia="宋体" w:cs="宋体"/>
          <w:color w:val="auto"/>
          <w:sz w:val="24"/>
        </w:rPr>
        <w:t>可达</w:t>
      </w:r>
      <w:r>
        <w:rPr>
          <w:rFonts w:ascii="宋体" w:hAnsi="宋体" w:eastAsia="宋体" w:cs="宋体"/>
          <w:color w:val="auto"/>
          <w:sz w:val="24"/>
        </w:rPr>
        <w:t>24</w:t>
      </w:r>
      <w:r>
        <w:rPr>
          <w:rFonts w:hint="eastAsia" w:ascii="宋体" w:hAnsi="宋体" w:eastAsia="宋体" w:cs="宋体"/>
          <w:color w:val="auto"/>
          <w:sz w:val="24"/>
        </w:rPr>
        <w:t>0</w:t>
      </w:r>
      <w:r>
        <w:rPr>
          <w:rFonts w:ascii="宋体" w:hAnsi="宋体" w:eastAsia="宋体" w:cs="宋体"/>
          <w:color w:val="auto"/>
          <w:sz w:val="24"/>
        </w:rPr>
        <w:t>kPa</w:t>
      </w:r>
      <w:r>
        <w:rPr>
          <w:rFonts w:hint="eastAsia" w:ascii="宋体" w:hAnsi="宋体" w:eastAsia="宋体" w:cs="宋体"/>
          <w:color w:val="auto"/>
          <w:sz w:val="24"/>
        </w:rPr>
        <w:t>以上</w:t>
      </w:r>
      <w:r>
        <w:rPr>
          <w:rFonts w:ascii="宋体" w:hAnsi="宋体" w:eastAsia="宋体" w:cs="宋体"/>
          <w:color w:val="auto"/>
          <w:sz w:val="24"/>
        </w:rPr>
        <w:t>。</w:t>
      </w:r>
    </w:p>
    <w:p w14:paraId="068B5206">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6.2工作压力范围：69kPa～212kPa。</w:t>
      </w:r>
    </w:p>
    <w:p w14:paraId="29D67770">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6.3最高工作温度</w:t>
      </w:r>
      <w:r>
        <w:rPr>
          <w:rFonts w:hint="eastAsia" w:ascii="宋体" w:hAnsi="宋体" w:eastAsia="宋体" w:cs="宋体"/>
          <w:color w:val="auto"/>
          <w:sz w:val="24"/>
        </w:rPr>
        <w:t>可达</w:t>
      </w:r>
      <w:r>
        <w:rPr>
          <w:rFonts w:ascii="宋体" w:hAnsi="宋体" w:eastAsia="宋体" w:cs="宋体"/>
          <w:color w:val="auto"/>
          <w:sz w:val="24"/>
        </w:rPr>
        <w:t>13</w:t>
      </w:r>
      <w:r>
        <w:rPr>
          <w:rFonts w:hint="eastAsia" w:ascii="宋体" w:hAnsi="宋体" w:eastAsia="宋体" w:cs="宋体"/>
          <w:color w:val="auto"/>
          <w:sz w:val="24"/>
        </w:rPr>
        <w:t>5</w:t>
      </w:r>
      <w:r>
        <w:rPr>
          <w:rFonts w:ascii="宋体" w:hAnsi="宋体" w:eastAsia="宋体" w:cs="宋体"/>
          <w:color w:val="auto"/>
          <w:sz w:val="24"/>
        </w:rPr>
        <w:t>℃</w:t>
      </w:r>
      <w:r>
        <w:rPr>
          <w:rFonts w:hint="eastAsia" w:ascii="宋体" w:hAnsi="宋体" w:eastAsia="宋体" w:cs="宋体"/>
          <w:color w:val="auto"/>
          <w:sz w:val="24"/>
        </w:rPr>
        <w:t>以上</w:t>
      </w:r>
      <w:r>
        <w:rPr>
          <w:rFonts w:ascii="宋体" w:hAnsi="宋体" w:eastAsia="宋体" w:cs="宋体"/>
          <w:color w:val="auto"/>
          <w:sz w:val="24"/>
        </w:rPr>
        <w:t>。</w:t>
      </w:r>
    </w:p>
    <w:p w14:paraId="23B0D390">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6.4工作温度：121℃</w:t>
      </w:r>
      <w:r>
        <w:rPr>
          <w:rFonts w:hint="eastAsia" w:ascii="宋体" w:hAnsi="宋体" w:eastAsia="宋体" w:cs="宋体"/>
          <w:color w:val="auto"/>
          <w:sz w:val="24"/>
        </w:rPr>
        <w:t>-</w:t>
      </w:r>
      <w:r>
        <w:rPr>
          <w:rFonts w:ascii="宋体" w:hAnsi="宋体" w:eastAsia="宋体" w:cs="宋体"/>
          <w:color w:val="auto"/>
          <w:sz w:val="24"/>
        </w:rPr>
        <w:t>135℃</w:t>
      </w:r>
      <w:r>
        <w:rPr>
          <w:rFonts w:hint="eastAsia" w:ascii="宋体" w:hAnsi="宋体" w:eastAsia="宋体" w:cs="宋体"/>
          <w:color w:val="auto"/>
          <w:sz w:val="24"/>
        </w:rPr>
        <w:t>。</w:t>
      </w:r>
    </w:p>
    <w:p w14:paraId="51B106EA">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6.5灭菌容积：</w:t>
      </w:r>
      <w:r>
        <w:rPr>
          <w:rFonts w:hint="eastAsia" w:ascii="宋体" w:hAnsi="宋体" w:eastAsia="宋体" w:cs="宋体"/>
          <w:color w:val="auto"/>
          <w:sz w:val="24"/>
        </w:rPr>
        <w:t>≥</w:t>
      </w:r>
      <w:r>
        <w:rPr>
          <w:rFonts w:ascii="宋体" w:hAnsi="宋体" w:eastAsia="宋体" w:cs="宋体"/>
          <w:color w:val="auto"/>
          <w:sz w:val="24"/>
        </w:rPr>
        <w:t>5.</w:t>
      </w:r>
      <w:r>
        <w:rPr>
          <w:rFonts w:hint="eastAsia" w:ascii="宋体" w:hAnsi="宋体" w:eastAsia="宋体" w:cs="宋体"/>
          <w:color w:val="auto"/>
          <w:sz w:val="24"/>
        </w:rPr>
        <w:t>0</w:t>
      </w:r>
      <w:r>
        <w:rPr>
          <w:rFonts w:ascii="宋体" w:hAnsi="宋体" w:eastAsia="宋体" w:cs="宋体"/>
          <w:color w:val="auto"/>
          <w:sz w:val="24"/>
        </w:rPr>
        <w:t>升</w:t>
      </w:r>
      <w:r>
        <w:rPr>
          <w:rFonts w:ascii="宋体" w:hAnsi="宋体" w:eastAsia="宋体" w:cs="宋体"/>
          <w:color w:val="auto"/>
          <w:sz w:val="24"/>
        </w:rPr>
        <w:t>。</w:t>
      </w:r>
    </w:p>
    <w:p w14:paraId="0F63236A">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6.6水箱容积：</w:t>
      </w:r>
      <w:r>
        <w:rPr>
          <w:rFonts w:hint="eastAsia" w:ascii="宋体" w:hAnsi="宋体" w:eastAsia="宋体" w:cs="宋体"/>
          <w:color w:val="auto"/>
          <w:sz w:val="24"/>
        </w:rPr>
        <w:t>≥</w:t>
      </w:r>
      <w:r>
        <w:rPr>
          <w:rFonts w:ascii="宋体" w:hAnsi="宋体" w:eastAsia="宋体" w:cs="宋体"/>
          <w:color w:val="auto"/>
          <w:sz w:val="24"/>
        </w:rPr>
        <w:t>3.</w:t>
      </w:r>
      <w:r>
        <w:rPr>
          <w:rFonts w:hint="eastAsia" w:ascii="宋体" w:hAnsi="宋体" w:eastAsia="宋体" w:cs="宋体"/>
          <w:color w:val="auto"/>
          <w:sz w:val="24"/>
        </w:rPr>
        <w:t>0</w:t>
      </w:r>
      <w:r>
        <w:rPr>
          <w:rFonts w:ascii="宋体" w:hAnsi="宋体" w:eastAsia="宋体" w:cs="宋体"/>
          <w:color w:val="auto"/>
          <w:sz w:val="24"/>
        </w:rPr>
        <w:t>升</w:t>
      </w:r>
      <w:r>
        <w:rPr>
          <w:rFonts w:hint="eastAsia" w:ascii="宋体" w:hAnsi="宋体" w:eastAsia="宋体" w:cs="宋体"/>
          <w:color w:val="auto"/>
          <w:sz w:val="24"/>
        </w:rPr>
        <w:t>。</w:t>
      </w:r>
    </w:p>
    <w:p w14:paraId="69525C44">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 xml:space="preserve">6.7水源：超纯水、去离子水、实验室用水、蒸馏水、纯净水                                </w:t>
      </w:r>
    </w:p>
    <w:p w14:paraId="17AA96D7">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 xml:space="preserve">6.8电源电压：AC 220V±22V。 </w:t>
      </w:r>
    </w:p>
    <w:p w14:paraId="06696C6F">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 xml:space="preserve">6.9电源频率：50Hz±1Hz。 </w:t>
      </w:r>
    </w:p>
    <w:p w14:paraId="157185E4">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 xml:space="preserve">6.10输入功率：≤1.3kVA。 </w:t>
      </w:r>
    </w:p>
    <w:p w14:paraId="3F2A2BB5">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6.11大气压力范围：70.0kPa～106.0kPa</w:t>
      </w:r>
    </w:p>
    <w:p w14:paraId="4FDB9B37">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6.12环境温度范围：+5℃~+40℃。</w:t>
      </w:r>
    </w:p>
    <w:p w14:paraId="36DE6C5D">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6.13蒸汽发生器功率：1.2kVA±5%。</w:t>
      </w:r>
    </w:p>
    <w:p w14:paraId="0DF00E65">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 xml:space="preserve">6.14熔断器： F8AL250V φ5×20mm  </w:t>
      </w:r>
    </w:p>
    <w:p w14:paraId="4D64EDAA">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6.15安全阀整定压力：0.25MPa。</w:t>
      </w:r>
    </w:p>
    <w:p w14:paraId="33FE7CB5">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6.16设备工作介质：水蒸汽。</w:t>
      </w:r>
    </w:p>
    <w:p w14:paraId="4502FF73">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6.17工作相对湿度：≤85%。</w:t>
      </w:r>
    </w:p>
    <w:p w14:paraId="1F0EB47F">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6.18正常使用场所：工作室内</w:t>
      </w:r>
    </w:p>
    <w:p w14:paraId="122F3E30">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6.19工作方式：间歇运行。（≤6 周期/小时）</w:t>
      </w:r>
    </w:p>
    <w:p w14:paraId="690A5986">
      <w:pPr>
        <w:widowControl/>
        <w:spacing w:line="480" w:lineRule="auto"/>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6、</w:t>
      </w:r>
      <w:r>
        <w:rPr>
          <w:rFonts w:ascii="宋体" w:hAnsi="宋体" w:eastAsia="宋体" w:cs="宋体"/>
          <w:b/>
          <w:bCs/>
          <w:color w:val="auto"/>
          <w:kern w:val="0"/>
          <w:sz w:val="24"/>
        </w:rPr>
        <w:t>可视化麻醉插管镜</w:t>
      </w:r>
      <w:r>
        <w:rPr>
          <w:rFonts w:hint="eastAsia" w:ascii="宋体" w:hAnsi="宋体" w:eastAsia="宋体" w:cs="宋体"/>
          <w:b/>
          <w:bCs/>
          <w:color w:val="auto"/>
          <w:kern w:val="0"/>
          <w:sz w:val="24"/>
        </w:rPr>
        <w:t>技术参数</w:t>
      </w:r>
      <w:r>
        <w:rPr>
          <w:rFonts w:hint="eastAsia" w:ascii="宋体" w:hAnsi="宋体" w:eastAsia="宋体" w:cs="宋体"/>
          <w:b/>
          <w:bCs/>
          <w:color w:val="auto"/>
          <w:sz w:val="24"/>
        </w:rPr>
        <w:t>要求</w:t>
      </w:r>
    </w:p>
    <w:p w14:paraId="3DCD884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w:t>
      </w:r>
      <w:r>
        <w:rPr>
          <w:rFonts w:hint="eastAsia" w:ascii="宋体" w:hAnsi="宋体" w:eastAsia="宋体" w:cs="宋体"/>
          <w:color w:val="auto"/>
          <w:sz w:val="24"/>
        </w:rPr>
        <w:t>1、镜体结构为全包型结构设计</w:t>
      </w:r>
    </w:p>
    <w:p w14:paraId="10F2D2D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w:t>
      </w:r>
      <w:r>
        <w:rPr>
          <w:rFonts w:hint="eastAsia" w:ascii="宋体" w:hAnsi="宋体" w:eastAsia="宋体" w:cs="宋体"/>
          <w:color w:val="auto"/>
          <w:sz w:val="24"/>
        </w:rPr>
        <w:t>2、搭载一次性使用全包喉镜片</w:t>
      </w:r>
    </w:p>
    <w:p w14:paraId="4E8FF014">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w:t>
      </w:r>
      <w:r>
        <w:rPr>
          <w:rFonts w:hint="eastAsia" w:ascii="宋体" w:hAnsi="宋体" w:eastAsia="宋体" w:cs="宋体"/>
          <w:color w:val="auto"/>
          <w:sz w:val="24"/>
        </w:rPr>
        <w:t>3、显示屏尺寸≤3″TFT</w:t>
      </w:r>
    </w:p>
    <w:p w14:paraId="02FA04EA">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4、显示器有触摸/WiFi功能</w:t>
      </w:r>
    </w:p>
    <w:p w14:paraId="4C9B29B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5、显示器前后转动角度110°±10%</w:t>
      </w:r>
    </w:p>
    <w:p w14:paraId="779C783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6、显示器左右转动角度270°±10%</w:t>
      </w:r>
    </w:p>
    <w:p w14:paraId="48BC0CC6">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7、充电时间＜3h</w:t>
      </w:r>
    </w:p>
    <w:p w14:paraId="7142F67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8、待机时长＞3.5h</w:t>
      </w:r>
    </w:p>
    <w:p w14:paraId="30F5708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9、软管长度（儿童及成人）：115±5mm</w:t>
      </w:r>
    </w:p>
    <w:p w14:paraId="52EB6B86">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10、软管直径（儿童及成人）：5.3±2mm</w:t>
      </w:r>
    </w:p>
    <w:p w14:paraId="2C88C42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11、头端长度（儿童及成人）：6±1mm</w:t>
      </w:r>
    </w:p>
    <w:p w14:paraId="15D9E928">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12、镜片支架部件防水等级 IPX7</w:t>
      </w:r>
    </w:p>
    <w:p w14:paraId="63D266F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13、连接方式：直插式</w:t>
      </w:r>
    </w:p>
    <w:p w14:paraId="19C4FDD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14、观察视角60°±15%</w:t>
      </w:r>
    </w:p>
    <w:p w14:paraId="354B7228">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15、光照度≥150Lux</w:t>
      </w:r>
    </w:p>
    <w:p w14:paraId="2A6739D5">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16、摄像头分辨率≥7.87lp/mm</w:t>
      </w:r>
    </w:p>
    <w:p w14:paraId="552256E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17、景深5-100mm</w:t>
      </w:r>
    </w:p>
    <w:p w14:paraId="216DA4EE">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18、可分辨灰阶度≥32</w:t>
      </w:r>
    </w:p>
    <w:p w14:paraId="065D0858">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19、储存空间≥32G</w:t>
      </w:r>
    </w:p>
    <w:p w14:paraId="3A15CF31">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20、可储存照片数量＞30万张，照片格式为JPG，像素为1088*720</w:t>
      </w:r>
    </w:p>
    <w:p w14:paraId="71BA5F9E">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21、可储存录像时长＞16小时，视频格式为AVI，像素为1088*720</w:t>
      </w:r>
    </w:p>
    <w:p w14:paraId="15F321E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w:t>
      </w:r>
      <w:r>
        <w:rPr>
          <w:rFonts w:hint="eastAsia" w:ascii="宋体" w:hAnsi="宋体" w:eastAsia="宋体" w:cs="宋体"/>
          <w:color w:val="auto"/>
          <w:sz w:val="24"/>
        </w:rPr>
        <w:t>22、支持低电量提示功能：电量不足时橙灯亮</w:t>
      </w:r>
    </w:p>
    <w:p w14:paraId="2B68EF0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23、喉镜片和喉镜配合后具备防雾性能</w:t>
      </w:r>
    </w:p>
    <w:p w14:paraId="73A73516">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24、充电次数＞300 次</w:t>
      </w:r>
    </w:p>
    <w:p w14:paraId="70AC80C1">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25、使用期限6年或戊二醛3000个消毒周期</w:t>
      </w:r>
    </w:p>
    <w:p w14:paraId="299A5F62">
      <w:pPr>
        <w:snapToGrid w:val="0"/>
        <w:spacing w:line="360" w:lineRule="auto"/>
        <w:jc w:val="center"/>
        <w:rPr>
          <w:rFonts w:hint="eastAsia" w:ascii="宋体" w:hAnsi="宋体" w:eastAsia="宋体" w:cs="宋体"/>
          <w:b/>
          <w:bCs/>
          <w:color w:val="auto"/>
          <w:sz w:val="24"/>
        </w:rPr>
      </w:pPr>
      <w:r>
        <w:rPr>
          <w:rFonts w:hint="eastAsia" w:ascii="宋体" w:hAnsi="宋体" w:eastAsia="宋体" w:cs="宋体"/>
          <w:b/>
          <w:bCs/>
          <w:color w:val="auto"/>
          <w:kern w:val="0"/>
          <w:sz w:val="24"/>
        </w:rPr>
        <w:t>7、</w:t>
      </w:r>
      <w:r>
        <w:rPr>
          <w:rFonts w:ascii="宋体" w:hAnsi="宋体" w:eastAsia="宋体" w:cs="宋体"/>
          <w:b/>
          <w:bCs/>
          <w:color w:val="auto"/>
          <w:kern w:val="0"/>
          <w:sz w:val="24"/>
        </w:rPr>
        <w:t>麻醉输注泵</w:t>
      </w:r>
      <w:r>
        <w:rPr>
          <w:rFonts w:hint="eastAsia" w:ascii="宋体" w:hAnsi="宋体" w:eastAsia="宋体" w:cs="宋体"/>
          <w:b/>
          <w:bCs/>
          <w:color w:val="auto"/>
          <w:kern w:val="0"/>
          <w:sz w:val="24"/>
        </w:rPr>
        <w:t>技术参数</w:t>
      </w:r>
      <w:r>
        <w:rPr>
          <w:rFonts w:hint="eastAsia" w:ascii="宋体" w:hAnsi="宋体" w:eastAsia="宋体" w:cs="宋体"/>
          <w:b/>
          <w:bCs/>
          <w:color w:val="auto"/>
          <w:sz w:val="24"/>
        </w:rPr>
        <w:t>要求</w:t>
      </w:r>
    </w:p>
    <w:p w14:paraId="68F9CFD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1、基本要求：</w:t>
      </w:r>
    </w:p>
    <w:p w14:paraId="52A6995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1.1、单套标准配置：一拖三；</w:t>
      </w:r>
    </w:p>
    <w:p w14:paraId="5C5631BE">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1.2、产品必须通过CFDA和CE等多家机构认证；</w:t>
      </w:r>
    </w:p>
    <w:p w14:paraId="71BF1F43">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1.3、质保期：≧5年，终身维护；</w:t>
      </w:r>
    </w:p>
    <w:p w14:paraId="4C1F33FE">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2、主要技术参数及配置：</w:t>
      </w:r>
    </w:p>
    <w:p w14:paraId="641A6B6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2.1、多通道工作站参数：</w:t>
      </w:r>
    </w:p>
    <w:p w14:paraId="6497C10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2.1.1、输液工作站的每个组架能插入不少于3个输注模块，即插即用,注射模块和输液模块的个数、位置可任意组合。</w:t>
      </w:r>
    </w:p>
    <w:p w14:paraId="2CD555F4">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▲2.1.2、扩展性：每2-5个组架之间可自由组合在一起，无需辅助工具和任何附件，组合后单列最多可安装15台输注泵；</w:t>
      </w:r>
    </w:p>
    <w:p w14:paraId="0F4F49C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2.1.3、组架应满足一根电源线中央集中供电；</w:t>
      </w:r>
    </w:p>
    <w:p w14:paraId="6FCD6254">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2.1.4、组架外侧</w:t>
      </w:r>
      <w:r>
        <w:rPr>
          <w:rFonts w:hint="eastAsia" w:ascii="宋体" w:hAnsi="宋体" w:eastAsia="宋体" w:cs="宋体"/>
          <w:color w:val="auto"/>
          <w:sz w:val="24"/>
        </w:rPr>
        <w:t>应</w:t>
      </w:r>
      <w:r>
        <w:rPr>
          <w:rFonts w:hint="eastAsia" w:ascii="宋体" w:hAnsi="宋体" w:eastAsia="宋体" w:cs="宋体"/>
          <w:color w:val="auto"/>
          <w:sz w:val="24"/>
        </w:rPr>
        <w:t>具有输液管路和延长管路管理夹，避免管路缠绕；</w:t>
      </w:r>
    </w:p>
    <w:p w14:paraId="35421BF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2.1.5、</w:t>
      </w:r>
      <w:r>
        <w:rPr>
          <w:rFonts w:hint="eastAsia" w:ascii="宋体" w:hAnsi="宋体" w:eastAsia="宋体" w:cs="宋体"/>
          <w:color w:val="auto"/>
          <w:sz w:val="24"/>
        </w:rPr>
        <w:t>应</w:t>
      </w:r>
      <w:r>
        <w:rPr>
          <w:rFonts w:hint="eastAsia" w:ascii="宋体" w:hAnsi="宋体" w:eastAsia="宋体" w:cs="宋体"/>
          <w:color w:val="auto"/>
          <w:sz w:val="24"/>
        </w:rPr>
        <w:t>具有声、光及明确的闪动符号报警功能；</w:t>
      </w:r>
    </w:p>
    <w:p w14:paraId="4437987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2.1.6、应配备有独立把手，安装固定快捷简单；</w:t>
      </w:r>
    </w:p>
    <w:p w14:paraId="23E1D15F">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2.1.7、工作站组架内任意输注模块之间具备级联功能，满足连续输液功能需求；</w:t>
      </w:r>
    </w:p>
    <w:p w14:paraId="4A87B41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2.2、注射泵模块参数:</w:t>
      </w:r>
    </w:p>
    <w:p w14:paraId="53157900">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2.2.1、自动识别注射器规格应包含：10ml、20ml、30ml、50ml所有符合标准的注射器；</w:t>
      </w:r>
    </w:p>
    <w:p w14:paraId="79CFE53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★2.2.2、≥5种输液模式可选：速度模式、时间模式、体重模式、序列模式、级联模式（配合多通道输液工作站）；</w:t>
      </w:r>
    </w:p>
    <w:p w14:paraId="379A591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2.2.3、速率范围：0.1-2000ml/h，以0.1 ml/h递增；</w:t>
      </w:r>
    </w:p>
    <w:p w14:paraId="37595C11">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2.2.4、注射精度：≤±2%</w:t>
      </w:r>
    </w:p>
    <w:p w14:paraId="7A2DCA4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2.2.5、KVO速度:0.1-5.0mL/h可调；</w:t>
      </w:r>
    </w:p>
    <w:p w14:paraId="49B6A27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2.2.6、可以动态显示管路的压力状态；</w:t>
      </w:r>
    </w:p>
    <w:p w14:paraId="7E82CB5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2.2.7、触摸屏操作，全中文显示；</w:t>
      </w:r>
    </w:p>
    <w:p w14:paraId="7AC010A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2.2.8、更改速速时完全不需要中断输液；</w:t>
      </w:r>
    </w:p>
    <w:p w14:paraId="0C8B1D74">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2.2.9、报警</w:t>
      </w:r>
      <w:r>
        <w:rPr>
          <w:rFonts w:hint="eastAsia" w:ascii="宋体" w:hAnsi="宋体" w:eastAsia="宋体" w:cs="宋体"/>
          <w:color w:val="auto"/>
          <w:sz w:val="24"/>
        </w:rPr>
        <w:t>应包含</w:t>
      </w:r>
      <w:r>
        <w:rPr>
          <w:rFonts w:hint="eastAsia" w:ascii="宋体" w:hAnsi="宋体" w:eastAsia="宋体" w:cs="宋体"/>
          <w:color w:val="auto"/>
          <w:sz w:val="24"/>
        </w:rPr>
        <w:t>：输注即将完成、输注完成、输注完成、注射器排空、注射器即将排空、输注阻塞、电池电量低、电池耗竭、无电池、无外部电源、注射器无法识别、注射器安装错误、待机结束、级联序号重复、无法启动注射、遗忘操作、阻塞预警、管路脱落</w:t>
      </w:r>
    </w:p>
    <w:p w14:paraId="44E7775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2.2.10</w:t>
      </w:r>
      <w:bookmarkStart w:id="3" w:name="OLE_LINK4"/>
      <w:r>
        <w:rPr>
          <w:rFonts w:hint="eastAsia" w:ascii="宋体" w:hAnsi="宋体" w:eastAsia="宋体" w:cs="宋体"/>
          <w:color w:val="auto"/>
          <w:sz w:val="24"/>
        </w:rPr>
        <w:t>、</w:t>
      </w:r>
      <w:r>
        <w:rPr>
          <w:rFonts w:hint="eastAsia" w:ascii="宋体" w:hAnsi="宋体" w:eastAsia="宋体" w:cs="宋体"/>
          <w:color w:val="auto"/>
          <w:sz w:val="24"/>
        </w:rPr>
        <w:t>具备</w:t>
      </w:r>
      <w:bookmarkEnd w:id="3"/>
      <w:r>
        <w:rPr>
          <w:rFonts w:hint="eastAsia" w:ascii="宋体" w:hAnsi="宋体" w:eastAsia="宋体" w:cs="宋体"/>
          <w:color w:val="auto"/>
          <w:sz w:val="24"/>
        </w:rPr>
        <w:t>阻塞降压功能：智能降压防止过量输液；</w:t>
      </w:r>
    </w:p>
    <w:p w14:paraId="7EDB05BF">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2.2.11、</w:t>
      </w:r>
      <w:r>
        <w:rPr>
          <w:rFonts w:hint="eastAsia" w:ascii="宋体" w:hAnsi="宋体" w:eastAsia="宋体" w:cs="宋体"/>
          <w:color w:val="auto"/>
          <w:sz w:val="24"/>
        </w:rPr>
        <w:t>具备</w:t>
      </w:r>
      <w:r>
        <w:rPr>
          <w:rFonts w:hint="eastAsia" w:ascii="宋体" w:hAnsi="宋体" w:eastAsia="宋体" w:cs="宋体"/>
          <w:color w:val="auto"/>
          <w:sz w:val="24"/>
        </w:rPr>
        <w:t>夜间模式：可自动降低亮度和报警音量，时间段可调；</w:t>
      </w:r>
    </w:p>
    <w:p w14:paraId="33785DD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2.2.12、能够存储、回放≥2000组历史信息记录；</w:t>
      </w:r>
    </w:p>
    <w:p w14:paraId="2BB582EF">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▲2.2.13、界面背景颜色：可选择7种颜色的界面风格，用于区分不同的药物危重等级；</w:t>
      </w:r>
    </w:p>
    <w:p w14:paraId="6D6CE5A3">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▲2.2.14、具备字体放大功能：运行时可一键放大显示输液速度字体倍数；</w:t>
      </w:r>
    </w:p>
    <w:p w14:paraId="05B27DC1">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2.2.15、报警音量10级可调；</w:t>
      </w:r>
    </w:p>
    <w:p w14:paraId="2B8EF901">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2.2.16、模块化插装结构设计，泵与泵之间可以方便组合成多道泵；可升级为多通道输注工作站，即插即用，可热插拔；</w:t>
      </w:r>
    </w:p>
    <w:p w14:paraId="26F3756E">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2.2.17、具有USB接口；</w:t>
      </w:r>
    </w:p>
    <w:p w14:paraId="64ECBD2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2.2.18、</w:t>
      </w:r>
      <w:r>
        <w:rPr>
          <w:rFonts w:hint="eastAsia" w:ascii="宋体" w:hAnsi="宋体" w:eastAsia="宋体" w:cs="宋体"/>
          <w:color w:val="auto"/>
          <w:sz w:val="24"/>
        </w:rPr>
        <w:t>应</w:t>
      </w:r>
      <w:r>
        <w:rPr>
          <w:rFonts w:hint="eastAsia" w:ascii="宋体" w:hAnsi="宋体" w:eastAsia="宋体" w:cs="宋体"/>
          <w:color w:val="auto"/>
          <w:sz w:val="24"/>
        </w:rPr>
        <w:t>内置锂电池在中速（5ml/h）状态下，工作时间不小于6个小时；</w:t>
      </w:r>
    </w:p>
    <w:p w14:paraId="3494718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3、配套设备:5台带加温功能的肠内营养泵</w:t>
      </w:r>
    </w:p>
    <w:p w14:paraId="1700FD9F">
      <w:pPr>
        <w:snapToGrid w:val="0"/>
        <w:spacing w:line="360" w:lineRule="auto"/>
        <w:jc w:val="center"/>
        <w:rPr>
          <w:rFonts w:hint="eastAsia" w:ascii="宋体" w:hAnsi="宋体" w:eastAsia="宋体" w:cs="宋体"/>
          <w:b/>
          <w:bCs/>
          <w:color w:val="auto"/>
          <w:kern w:val="0"/>
          <w:sz w:val="24"/>
        </w:rPr>
      </w:pPr>
    </w:p>
    <w:p w14:paraId="482FE7BA">
      <w:pPr>
        <w:snapToGrid w:val="0"/>
        <w:spacing w:line="360" w:lineRule="auto"/>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8、</w:t>
      </w:r>
      <w:r>
        <w:rPr>
          <w:rFonts w:ascii="宋体" w:hAnsi="宋体" w:eastAsia="宋体" w:cs="宋体"/>
          <w:b/>
          <w:bCs/>
          <w:color w:val="auto"/>
          <w:kern w:val="0"/>
          <w:sz w:val="24"/>
        </w:rPr>
        <w:t>血气分析仪</w:t>
      </w:r>
      <w:r>
        <w:rPr>
          <w:rFonts w:hint="eastAsia" w:ascii="宋体" w:hAnsi="宋体" w:eastAsia="宋体" w:cs="宋体"/>
          <w:b/>
          <w:bCs/>
          <w:color w:val="auto"/>
          <w:kern w:val="0"/>
          <w:sz w:val="24"/>
        </w:rPr>
        <w:t>技术参数要求</w:t>
      </w:r>
    </w:p>
    <w:p w14:paraId="15B7250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▲1、方法学：干式电化学法/交流阻抗法</w:t>
      </w:r>
    </w:p>
    <w:p w14:paraId="2E150943">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▲2、电极测量方式：免维护微电极技术</w:t>
      </w:r>
    </w:p>
    <w:p w14:paraId="78112940">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 xml:space="preserve">3、进样方式：自动平行进样 </w:t>
      </w:r>
    </w:p>
    <w:p w14:paraId="45687B41">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▲4、测试时间：从自动吸样到显示结果≤55秒</w:t>
      </w:r>
    </w:p>
    <w:p w14:paraId="544D41F5">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▲5、测试参数：PH、PO2、PCO2、Na＋、K＋，CL-,Ca++, Hct，Lac，Glu，一张测试卡可同时检测≥10项实测参数，至少可提供两种9项卡试剂盒，试剂盒种类≥40种</w:t>
      </w:r>
    </w:p>
    <w:p w14:paraId="32E82993">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6、计算参数：cH+，HCO3-act，HCO3-std，BE(ecf)，BE(B)，BB(B)，ctCO2，sO2(est)，Ca++(7.4)，AnGap等,实测和计算参数≥33项</w:t>
      </w:r>
    </w:p>
    <w:p w14:paraId="0F8FB084">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7、标本类型：可适用于动脉血、静脉血、毛细血管血、混合动静脉血等≥6种</w:t>
      </w:r>
    </w:p>
    <w:p w14:paraId="16736FB4">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8、定标方式：液体定标，测量前单点定标</w:t>
      </w:r>
    </w:p>
    <w:p w14:paraId="6591054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▲9、试剂盒：试剂盒内含血气测试卡，单人份设计，独立包装，常温或冷藏保存，即取即用，单人份测试卡常温有效期不少于210天。</w:t>
      </w:r>
    </w:p>
    <w:p w14:paraId="0783B003">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10、质量控制：提供原厂配套三级液体质控品</w:t>
      </w:r>
    </w:p>
    <w:p w14:paraId="6204204E">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11、操作界面：≥7英寸彩色触摸屏操作,中英文语言自由切换，内置多媒体操作教程</w:t>
      </w:r>
    </w:p>
    <w:p w14:paraId="5358398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12、内置高容量充电电池，断电后仍可待机时间≥24h</w:t>
      </w:r>
    </w:p>
    <w:p w14:paraId="7AA41781">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 xml:space="preserve">13、仪器内置热敏打印机 </w:t>
      </w:r>
    </w:p>
    <w:p w14:paraId="5B0C703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14、数据接口：串口、网络接口、USB口，有线、无线网络链接，可直接连接LIS、HIS系统，仪器可自动存储≥10000个病人结果</w:t>
      </w:r>
    </w:p>
    <w:p w14:paraId="79C33780">
      <w:pPr>
        <w:snapToGrid w:val="0"/>
        <w:spacing w:line="360" w:lineRule="auto"/>
        <w:jc w:val="center"/>
        <w:rPr>
          <w:rFonts w:hint="eastAsia" w:ascii="宋体" w:hAnsi="宋体" w:eastAsia="宋体" w:cs="宋体"/>
          <w:b/>
          <w:bCs/>
          <w:color w:val="auto"/>
          <w:sz w:val="24"/>
        </w:rPr>
      </w:pPr>
      <w:r>
        <w:rPr>
          <w:rFonts w:hint="eastAsia" w:ascii="宋体" w:hAnsi="宋体" w:eastAsia="宋体" w:cs="宋体"/>
          <w:b/>
          <w:bCs/>
          <w:color w:val="auto"/>
          <w:kern w:val="0"/>
          <w:sz w:val="24"/>
        </w:rPr>
        <w:t>9、</w:t>
      </w:r>
      <w:r>
        <w:rPr>
          <w:rFonts w:ascii="宋体" w:hAnsi="宋体" w:eastAsia="宋体" w:cs="宋体"/>
          <w:b/>
          <w:bCs/>
          <w:color w:val="auto"/>
          <w:kern w:val="0"/>
          <w:sz w:val="24"/>
        </w:rPr>
        <w:t>麻醉机</w:t>
      </w:r>
      <w:r>
        <w:rPr>
          <w:rFonts w:hint="eastAsia" w:ascii="宋体" w:hAnsi="宋体" w:eastAsia="宋体" w:cs="宋体"/>
          <w:b/>
          <w:bCs/>
          <w:color w:val="auto"/>
          <w:kern w:val="0"/>
          <w:sz w:val="24"/>
        </w:rPr>
        <w:t>1技术参数</w:t>
      </w:r>
      <w:r>
        <w:rPr>
          <w:rFonts w:hint="eastAsia" w:ascii="宋体" w:hAnsi="宋体" w:eastAsia="宋体" w:cs="宋体"/>
          <w:b/>
          <w:bCs/>
          <w:color w:val="auto"/>
          <w:sz w:val="24"/>
        </w:rPr>
        <w:t>要求</w:t>
      </w:r>
    </w:p>
    <w:p w14:paraId="3F04DE0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1、基本要求</w:t>
      </w:r>
    </w:p>
    <w:p w14:paraId="4ABBDCBA">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1.1、操作环境，温度：10°至40°C，湿度：15至95%，大气压：500至800 mmHg</w:t>
      </w:r>
    </w:p>
    <w:p w14:paraId="240FB958">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1.2、电源：220V (±10%), 50Hz(±2%)</w:t>
      </w:r>
    </w:p>
    <w:p w14:paraId="0A461C6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1.3、后备电池使用时间：90分钟</w:t>
      </w:r>
    </w:p>
    <w:p w14:paraId="3EBCF83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1.4、机架：带推车，前扶手，三个大抽屉，中央脚刹</w:t>
      </w:r>
    </w:p>
    <w:p w14:paraId="728BD496">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1.5、工作台双层灯光亮度可调，全金属台面</w:t>
      </w:r>
    </w:p>
    <w:p w14:paraId="7967609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1.6、标配气体模块侧插槽</w:t>
      </w:r>
    </w:p>
    <w:p w14:paraId="0DF0B86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1.7、标配RS232接口，以太网络接口，投影仪分屏VGA接口。</w:t>
      </w:r>
    </w:p>
    <w:p w14:paraId="66DF088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1.8</w:t>
      </w:r>
      <w:r>
        <w:rPr>
          <w:rFonts w:hint="eastAsia" w:ascii="宋体" w:hAnsi="宋体" w:eastAsia="宋体" w:cs="宋体"/>
          <w:color w:val="auto"/>
          <w:sz w:val="24"/>
        </w:rPr>
        <w:tab/>
      </w:r>
      <w:r>
        <w:rPr>
          <w:rFonts w:hint="eastAsia" w:ascii="宋体" w:hAnsi="宋体" w:eastAsia="宋体" w:cs="宋体"/>
          <w:color w:val="auto"/>
          <w:sz w:val="24"/>
        </w:rPr>
        <w:t>、标配缆线防缠绕功能，防止在推动机器过程中脚轮被环境中线缆缠绕。</w:t>
      </w:r>
    </w:p>
    <w:p w14:paraId="15571D54">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1.9</w:t>
      </w:r>
      <w:r>
        <w:rPr>
          <w:rFonts w:hint="eastAsia" w:ascii="宋体" w:hAnsi="宋体" w:eastAsia="宋体" w:cs="宋体"/>
          <w:color w:val="auto"/>
          <w:sz w:val="24"/>
        </w:rPr>
        <w:tab/>
      </w:r>
      <w:r>
        <w:rPr>
          <w:rFonts w:hint="eastAsia" w:ascii="宋体" w:hAnsi="宋体" w:eastAsia="宋体" w:cs="宋体"/>
          <w:color w:val="auto"/>
          <w:sz w:val="24"/>
        </w:rPr>
        <w:t>、配原厂侧台板</w:t>
      </w:r>
    </w:p>
    <w:p w14:paraId="4A0CE3C6">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2、气源</w:t>
      </w:r>
    </w:p>
    <w:p w14:paraId="6B8B0EF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2.1、氧气：具备安全保护装置，在供氧压低于252Kpa时报警</w:t>
      </w:r>
    </w:p>
    <w:p w14:paraId="50CA63D0">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2.2、笑气：当氧气供应失灵时，具有笑气自动切断装置；Link-25笑氧联动，保证笑氧混合时，氧浓度不低于25%</w:t>
      </w:r>
    </w:p>
    <w:p w14:paraId="7F63F80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2.3、具有空气气源及接口</w:t>
      </w:r>
    </w:p>
    <w:p w14:paraId="3930149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2.4、快速充氧范围25-75L/min</w:t>
      </w:r>
    </w:p>
    <w:p w14:paraId="0492C71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2.5、可选配三气源</w:t>
      </w:r>
    </w:p>
    <w:p w14:paraId="0DEC75D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3、流量计</w:t>
      </w:r>
    </w:p>
    <w:p w14:paraId="43720463">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3.1、电子流量计，氧气、空气，流量通过呼吸机屏幕及数码管两种方式电子显示；流量范围0.1-15 l/min</w:t>
      </w:r>
    </w:p>
    <w:p w14:paraId="081F1BCA">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3.2、具备备用机械流量管，流量范围1-10 l/min，保证在停电时能正常工作</w:t>
      </w:r>
    </w:p>
    <w:p w14:paraId="2C79D55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4、挥发罐</w:t>
      </w:r>
    </w:p>
    <w:p w14:paraId="58FA7D50">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4.1、内置一体化双罐位，标配一个七氟醚挥发罐，可选配原厂同品牌地氟醚挥发罐。提供材料证明</w:t>
      </w:r>
    </w:p>
    <w:p w14:paraId="1CA658EE">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4.2、自检程序中包含一键式挥发罐自动监测，避免长期使用橡胶圈老化带来的麻药泄露风险</w:t>
      </w:r>
    </w:p>
    <w:p w14:paraId="34AE6765">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4.3、罐位上排灯设计，方便腔镜手术昏暗环境下精准调控挥发罐。</w:t>
      </w:r>
    </w:p>
    <w:p w14:paraId="21C16BB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▲4.4、标配2个挥发罐的位置，具有互锁功能，无需手动选择使用罐，标配一个七氟醚挥发罐</w:t>
      </w:r>
    </w:p>
    <w:p w14:paraId="144E96D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5、呼吸回路</w:t>
      </w:r>
    </w:p>
    <w:p w14:paraId="25FD688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5.1、3L极小的回路容积，手动皮襄不参与机械通气，为快速调节新鲜气体流量以及输出麻药浓度提供了保障。</w:t>
      </w:r>
    </w:p>
    <w:p w14:paraId="05A00C9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▲5.2、所有与外部气体或患者气体接触部分呼吸回路（含标配流量传感器、风箱折叠皮囊）可耐受134℃高温高压消毒避免院内交叉感染，流量传感器上必须具有134℃国际认证标识。</w:t>
      </w:r>
    </w:p>
    <w:p w14:paraId="6810A964">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5.3、模块化呼吸回路，所有传感器及连接电缆内置在回路内(提供图片）；所有回路模块不用任何工具可以拆卸、安装</w:t>
      </w:r>
    </w:p>
    <w:p w14:paraId="623F50A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5.4、标配可重复使用具备干湿分离功能的二氧化碳吸收罐</w:t>
      </w:r>
    </w:p>
    <w:p w14:paraId="3206AD2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5.5、标配内置二氧化碳旁路功能，支持术中更换钠石灰，无需关停机械通气，可方便直接更换，不会产生漏气</w:t>
      </w:r>
    </w:p>
    <w:p w14:paraId="452E774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5.6、使用备用电池时回路仍可部分加热解决回路积水问题</w:t>
      </w:r>
    </w:p>
    <w:p w14:paraId="22A1E5A3">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5.7、智能回路系统，能识别和显示：正在使用回路类型、正在使用呼吸模式以及CO2吸收罐状态</w:t>
      </w:r>
    </w:p>
    <w:p w14:paraId="37F35CB5">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5.8、</w:t>
      </w:r>
      <w:r>
        <w:rPr>
          <w:rFonts w:hint="eastAsia" w:ascii="宋体" w:hAnsi="宋体" w:eastAsia="宋体" w:cs="宋体"/>
          <w:color w:val="auto"/>
          <w:sz w:val="24"/>
        </w:rPr>
        <w:t>应</w:t>
      </w:r>
      <w:r>
        <w:rPr>
          <w:rFonts w:hint="eastAsia" w:ascii="宋体" w:hAnsi="宋体" w:eastAsia="宋体" w:cs="宋体"/>
          <w:color w:val="auto"/>
          <w:sz w:val="24"/>
        </w:rPr>
        <w:t>采用水管理回路构造，智能引导水行进方向，保证回路不受积水影响</w:t>
      </w:r>
    </w:p>
    <w:p w14:paraId="0E3851F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5.9、上升式风箱，可以直接观察病人实际呼吸状态，保证安全</w:t>
      </w:r>
    </w:p>
    <w:p w14:paraId="21AD2BC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5.10、鹅颈式手动皮襄支架可不同角度及高度的调整，且不参与通气，不存在回路漏气风险。</w:t>
      </w:r>
    </w:p>
    <w:p w14:paraId="0B7529DE">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 xml:space="preserve">6、呼吸机 </w:t>
      </w:r>
    </w:p>
    <w:p w14:paraId="28D3E272">
      <w:pPr>
        <w:snapToGrid w:val="0"/>
        <w:spacing w:line="360" w:lineRule="auto"/>
        <w:jc w:val="left"/>
        <w:rPr>
          <w:rFonts w:hint="eastAsia" w:ascii="宋体" w:hAnsi="宋体" w:eastAsia="宋体" w:cs="宋体"/>
          <w:color w:val="auto"/>
          <w:sz w:val="24"/>
        </w:rPr>
      </w:pPr>
      <w:bookmarkStart w:id="4" w:name="OLE_LINK8"/>
      <w:r>
        <w:rPr>
          <w:rFonts w:hint="eastAsia" w:ascii="宋体" w:hAnsi="宋体" w:eastAsia="宋体" w:cs="宋体"/>
          <w:color w:val="auto"/>
          <w:sz w:val="24"/>
        </w:rPr>
        <w:t>★</w:t>
      </w:r>
      <w:bookmarkEnd w:id="4"/>
      <w:r>
        <w:rPr>
          <w:rFonts w:hint="eastAsia" w:ascii="宋体" w:hAnsi="宋体" w:eastAsia="宋体" w:cs="宋体"/>
          <w:color w:val="auto"/>
          <w:sz w:val="24"/>
        </w:rPr>
        <w:t>6.1、气动电控呼吸机，支持中英文界面</w:t>
      </w:r>
    </w:p>
    <w:p w14:paraId="63A2FD1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▲6.2、应用范围：新生儿、儿童及成人等所有病人通气，提供注册证证明</w:t>
      </w:r>
    </w:p>
    <w:p w14:paraId="7ED5293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6.3、可以提供CE、FDA</w:t>
      </w:r>
    </w:p>
    <w:p w14:paraId="529BCB9F">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★6.4、15英寸彩色可180度平面旋转及可调节倾斜度的玻璃触摸显示屏幕，具备双分屏显示功能.当触屏失灵,手动可调.</w:t>
      </w:r>
    </w:p>
    <w:p w14:paraId="3DDF711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▲6.5、用户可选择的全自检或部分自检功能，既能保证安全的使用，又能保证紧急抢救时的快速启动，可无限次跳过自检。</w:t>
      </w:r>
    </w:p>
    <w:p w14:paraId="400299D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▲6.6、提供辅助/控制/支持通气模式，标配: VCV、PCV、SIMV PCV、SIMV VCV、PSV Pro、PCV-VG、SIMV PCVVG、手动通气、电子PEEP。</w:t>
      </w:r>
    </w:p>
    <w:p w14:paraId="3ED5553A">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▲6.7、配VCV心脏旁路功能，并可在VCV模式下进行机械通气；容量、呼吸暂停、低浓度麻药、二氧化碳、低气道压和呼吸频率报警都暂停。</w:t>
      </w:r>
    </w:p>
    <w:p w14:paraId="193376C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6.8</w:t>
      </w:r>
      <w:r>
        <w:rPr>
          <w:rFonts w:hint="eastAsia" w:ascii="宋体" w:hAnsi="宋体" w:eastAsia="宋体" w:cs="宋体"/>
          <w:color w:val="auto"/>
          <w:sz w:val="24"/>
        </w:rPr>
        <w:tab/>
      </w:r>
      <w:r>
        <w:rPr>
          <w:rFonts w:hint="eastAsia" w:ascii="宋体" w:hAnsi="宋体" w:eastAsia="宋体" w:cs="宋体"/>
          <w:color w:val="auto"/>
          <w:sz w:val="24"/>
        </w:rPr>
        <w:t>标配气流暂停功能，适用于机械通气，通过一键式操作即可实现暂停新鲜气流和报警，方便术中吸痰，管位调整等操作</w:t>
      </w:r>
    </w:p>
    <w:p w14:paraId="66606890">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▲6.9、配两种以上肺复张解决方案，支持术中执行单次膨肺和PEEP递增循环法等肺复张的临床决策。</w:t>
      </w:r>
    </w:p>
    <w:p w14:paraId="1B9845F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★6.10、标配单宽度气体模块采用旁路式气体监测：O2、N2O、CO2及五种麻醉气体吸入和呼出浓度，有病人顺应性监测；MAC值计算及年龄校正</w:t>
      </w:r>
    </w:p>
    <w:p w14:paraId="3BC0CC8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6.11、潮气量范围:5-1500ml（VCV、SIMV PCV-VG模式下：20ml-1500ml，PCV模式下5ml-1500ml）</w:t>
      </w:r>
    </w:p>
    <w:p w14:paraId="6E74236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6.12、呼吸频率：4-100 次/分钟</w:t>
      </w:r>
    </w:p>
    <w:p w14:paraId="787FDD24">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6.13、吸呼比：2:1到1:8</w:t>
      </w:r>
    </w:p>
    <w:p w14:paraId="5C53B878">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6.14、最大吸气流速：120 l/min+新鲜气体流量</w:t>
      </w:r>
    </w:p>
    <w:p w14:paraId="12D8C051">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6.15、压力范围（压力模式）： 5 到 60 cmH2O</w:t>
      </w:r>
    </w:p>
    <w:p w14:paraId="2056AC68">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6.16、压力限制范围：12到 100 cmH2O</w:t>
      </w:r>
    </w:p>
    <w:p w14:paraId="3820E87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6.17、标配SIMV模式：流速触发，触发范围: 0.2–10 L/min；触发窗范围: 关，5%–80% 呼气时间；机械通气呼吸频率为：2-60次/分钟、吸气时间：0.2-5.0秒；压力支持：2-40cmH2O</w:t>
      </w:r>
    </w:p>
    <w:p w14:paraId="618349D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6.18、标配具备窒息保护的PSVpro模式：流速触发；终末吸气流速调节吸、呼转换：吸气暂停：关，5%-60%时间；吸气终止水平：5%-75%；压力范围：0，2-40cmH2O；窒息发生后10—30秒范围内可调启动SIMV-PCV安全模式；当患者触发的呼吸次数的达到“退出后备”中设置的参数后，呼吸机将自动恢复 PSVPro 模式。</w:t>
      </w:r>
    </w:p>
    <w:p w14:paraId="04B5904F">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6.19、具备具备吸入端，呼出端双流量传感器；具备流量静态以及动态实时自动补偿功能，补偿新鲜气体变化、气体压缩、回路顺应性变化以及小的回路泄漏造成的吸入潮气量和设置潮气量的误差.</w:t>
      </w:r>
    </w:p>
    <w:p w14:paraId="446DE531">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▲6.20、标配预测体重计算功能，即通过输入患者身高计算显示理想体重，再基于理想体重计算值完成自动潮气量TV设定，可根据理想体重进行自动调节呼吸频率（RR）。 也可选择不依赖于患者身高独立设定PBW，再基于便于初始通气设置，以节省病例启动时间。在对VCV、PCV VG、SIMV VC和SIMV PCV-VG（VC容量通气模式）下。</w:t>
      </w:r>
    </w:p>
    <w:p w14:paraId="46FE4F0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▲6.21、标配支持驱动压测量，可实时显示驱动压监测数值</w:t>
      </w:r>
    </w:p>
    <w:p w14:paraId="2529E123">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6.22、智能化呼吸机，有防止错误设置功能，保证麻醉安全</w:t>
      </w:r>
    </w:p>
    <w:p w14:paraId="52AEB44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6.23、标配三种工作模式：通气模式、待机模式和心脏手术模式</w:t>
      </w:r>
    </w:p>
    <w:p w14:paraId="134733AE">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6.24、30分钟迷你趋势图，可手术中与其他呼吸机参数同屏分屏显示。</w:t>
      </w:r>
    </w:p>
    <w:p w14:paraId="2D9667EA">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6.25、标配被动排污系统,可选配内置主动排污。</w:t>
      </w:r>
    </w:p>
    <w:p w14:paraId="7E1D3D58">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7、数字和波形监测</w:t>
      </w:r>
    </w:p>
    <w:p w14:paraId="42C741C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7.1、监测参数：吸入氧、空气流量、可选笑气、潮气量、分钟通气量、气道压（峰压、平台压、平均压、PEEP）；实时压力时间、流速时间呼吸波形描记并同屏显示。</w:t>
      </w:r>
    </w:p>
    <w:p w14:paraId="7133E714">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▲7.2、标配的回路呼吸环监测功能，可监测描记：压力容量环、流量容量环和压力流量环，并可与波形同屏显示；回路顺应性；气体流速。可冻结六个呼吸环，用于不同手术期间肺顺应性监测对比。</w:t>
      </w:r>
    </w:p>
    <w:p w14:paraId="6F34DE6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7.3、报警参数：氧浓度、低驱动压、气道压、潮气量、分钟通气量、窒息</w:t>
      </w:r>
    </w:p>
    <w:p w14:paraId="5A45043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7.4、内置插件槽，可支持热插拔模块，无需关机重启，开机状态下即可更换，气体模块与监护仪互用节约成本</w:t>
      </w:r>
    </w:p>
    <w:p w14:paraId="24C06484">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7.5、智能报警限设置功能，可以根据手术参数运行情况智能给出报警限值参考，智能节约操作，提高效率。</w:t>
      </w:r>
    </w:p>
    <w:p w14:paraId="03DCD2F4">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7.6、可选配同品牌监护仪屏幕+插件箱安装方案 ，监护仪显示器与垂直放置，方便麻醉医生快速浏览患者监测信息。</w:t>
      </w:r>
    </w:p>
    <w:p w14:paraId="49959A8E">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8、传感器</w:t>
      </w:r>
    </w:p>
    <w:p w14:paraId="0B57111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8.1、抗变型可变孔口自加热流量传感器</w:t>
      </w:r>
    </w:p>
    <w:p w14:paraId="2637F248">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8.2、吸入和呼出端双高精度流量传感器，保证流量自动实时补偿，流量补偿范围：200ml/min-15L/min；保证SIMV、PSV功能的实施</w:t>
      </w:r>
    </w:p>
    <w:p w14:paraId="4B5673D8">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8.3</w:t>
      </w:r>
      <w:r>
        <w:rPr>
          <w:rFonts w:hint="eastAsia" w:ascii="宋体" w:hAnsi="宋体" w:eastAsia="宋体" w:cs="宋体"/>
          <w:color w:val="auto"/>
          <w:sz w:val="24"/>
        </w:rPr>
        <w:tab/>
      </w:r>
      <w:r>
        <w:rPr>
          <w:rFonts w:hint="eastAsia" w:ascii="宋体" w:hAnsi="宋体" w:eastAsia="宋体" w:cs="宋体"/>
          <w:color w:val="auto"/>
          <w:sz w:val="24"/>
        </w:rPr>
        <w:t>、选配一个近端流量传感器，位于患者口鼻端，适用于新生儿等潮气量监测精度较高的麻醉通气。</w:t>
      </w:r>
    </w:p>
    <w:p w14:paraId="79E1F13E">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▲8.4、流量传感器为非耗材设计，可重复性使用</w:t>
      </w:r>
      <w:r>
        <w:rPr>
          <w:rFonts w:ascii="宋体" w:hAnsi="宋体" w:eastAsia="宋体" w:cs="宋体"/>
          <w:color w:val="auto"/>
          <w:sz w:val="24"/>
        </w:rPr>
        <w:tab/>
      </w:r>
    </w:p>
    <w:p w14:paraId="6BF0E2D0">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9、备件，资料及技术服务</w:t>
      </w:r>
    </w:p>
    <w:p w14:paraId="133A392E">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9.1</w:t>
      </w:r>
      <w:r>
        <w:rPr>
          <w:rFonts w:hint="eastAsia" w:ascii="宋体" w:hAnsi="宋体" w:eastAsia="宋体" w:cs="宋体"/>
          <w:color w:val="auto"/>
          <w:sz w:val="24"/>
        </w:rPr>
        <w:tab/>
      </w:r>
      <w:r>
        <w:rPr>
          <w:rFonts w:hint="eastAsia" w:ascii="宋体" w:hAnsi="宋体" w:eastAsia="宋体" w:cs="宋体"/>
          <w:color w:val="auto"/>
          <w:sz w:val="24"/>
        </w:rPr>
        <w:t>、为保证设备正常运行，卖方应在中国境内方便的地点设置备件库，存入所有必须的备件</w:t>
      </w:r>
    </w:p>
    <w:p w14:paraId="3BB057A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9.2、</w:t>
      </w:r>
      <w:r>
        <w:rPr>
          <w:rFonts w:hint="eastAsia" w:ascii="宋体" w:hAnsi="宋体" w:eastAsia="宋体" w:cs="宋体"/>
          <w:color w:val="auto"/>
          <w:sz w:val="24"/>
        </w:rPr>
        <w:t>中标人</w:t>
      </w:r>
      <w:r>
        <w:rPr>
          <w:rFonts w:hint="eastAsia" w:ascii="宋体" w:hAnsi="宋体" w:eastAsia="宋体" w:cs="宋体"/>
          <w:color w:val="auto"/>
          <w:sz w:val="24"/>
        </w:rPr>
        <w:t>须向买方提供操作手册一套。</w:t>
      </w:r>
    </w:p>
    <w:p w14:paraId="77206A00">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9.3、</w:t>
      </w:r>
      <w:r>
        <w:rPr>
          <w:rFonts w:hint="eastAsia" w:ascii="宋体" w:hAnsi="宋体" w:eastAsia="宋体" w:cs="宋体"/>
          <w:color w:val="auto"/>
          <w:sz w:val="24"/>
        </w:rPr>
        <w:t>中标人</w:t>
      </w:r>
      <w:r>
        <w:rPr>
          <w:rFonts w:hint="eastAsia" w:ascii="宋体" w:hAnsi="宋体" w:eastAsia="宋体" w:cs="宋体"/>
          <w:color w:val="auto"/>
          <w:sz w:val="24"/>
        </w:rPr>
        <w:t>须向买方提供设备的运行、安装、使用环境要求</w:t>
      </w:r>
    </w:p>
    <w:p w14:paraId="318F8041">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9.4</w:t>
      </w:r>
      <w:r>
        <w:rPr>
          <w:rFonts w:hint="eastAsia" w:ascii="宋体" w:hAnsi="宋体" w:eastAsia="宋体" w:cs="宋体"/>
          <w:color w:val="auto"/>
          <w:sz w:val="24"/>
        </w:rPr>
        <w:tab/>
      </w:r>
      <w:r>
        <w:rPr>
          <w:rFonts w:hint="eastAsia" w:ascii="宋体" w:hAnsi="宋体" w:eastAsia="宋体" w:cs="宋体"/>
          <w:color w:val="auto"/>
          <w:sz w:val="24"/>
        </w:rPr>
        <w:t>、在货物到达使用单位后，卖方应在7天内派工程技术人员到达现场，在买方技术人员在场的情况下开箱清点货物，组织安装调试，并承担因此发生的一切费用。</w:t>
      </w:r>
    </w:p>
    <w:p w14:paraId="693819FF">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9.5</w:t>
      </w:r>
      <w:r>
        <w:rPr>
          <w:rFonts w:hint="eastAsia" w:ascii="宋体" w:hAnsi="宋体" w:eastAsia="宋体" w:cs="宋体"/>
          <w:color w:val="auto"/>
          <w:sz w:val="24"/>
        </w:rPr>
        <w:tab/>
      </w:r>
      <w:r>
        <w:rPr>
          <w:rFonts w:hint="eastAsia" w:ascii="宋体" w:hAnsi="宋体" w:eastAsia="宋体" w:cs="宋体"/>
          <w:color w:val="auto"/>
          <w:sz w:val="24"/>
        </w:rPr>
        <w:t>、设备安装后，医院按国际和国家标准及厂方标准进行质量验收。</w:t>
      </w:r>
    </w:p>
    <w:p w14:paraId="284A4A6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9.6</w:t>
      </w:r>
      <w:r>
        <w:rPr>
          <w:rFonts w:hint="eastAsia" w:ascii="宋体" w:hAnsi="宋体" w:eastAsia="宋体" w:cs="宋体"/>
          <w:color w:val="auto"/>
          <w:sz w:val="24"/>
        </w:rPr>
        <w:tab/>
      </w:r>
      <w:r>
        <w:rPr>
          <w:rFonts w:hint="eastAsia" w:ascii="宋体" w:hAnsi="宋体" w:eastAsia="宋体" w:cs="宋体"/>
          <w:color w:val="auto"/>
          <w:sz w:val="24"/>
        </w:rPr>
        <w:t>、在中国境内有相应的零配件保税库和维修机构。</w:t>
      </w:r>
    </w:p>
    <w:p w14:paraId="4515AB3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10、技术培训要求</w:t>
      </w:r>
    </w:p>
    <w:p w14:paraId="7D60C82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10.1、</w:t>
      </w:r>
      <w:r>
        <w:rPr>
          <w:rFonts w:hint="eastAsia" w:ascii="宋体" w:hAnsi="宋体" w:eastAsia="宋体" w:cs="宋体"/>
          <w:color w:val="auto"/>
          <w:sz w:val="24"/>
        </w:rPr>
        <w:t>中标人应提供现场或网络培训。</w:t>
      </w:r>
    </w:p>
    <w:p w14:paraId="686B0D85">
      <w:pPr>
        <w:snapToGrid w:val="0"/>
        <w:spacing w:line="360" w:lineRule="auto"/>
        <w:jc w:val="center"/>
        <w:rPr>
          <w:rFonts w:hint="eastAsia" w:ascii="宋体" w:hAnsi="宋体" w:eastAsia="宋体" w:cs="宋体"/>
          <w:b/>
          <w:bCs/>
          <w:color w:val="auto"/>
          <w:sz w:val="24"/>
        </w:rPr>
      </w:pPr>
      <w:r>
        <w:rPr>
          <w:rFonts w:hint="eastAsia" w:ascii="宋体" w:hAnsi="宋体" w:eastAsia="宋体" w:cs="宋体"/>
          <w:b/>
          <w:bCs/>
          <w:color w:val="auto"/>
          <w:kern w:val="0"/>
          <w:sz w:val="24"/>
        </w:rPr>
        <w:t>10、</w:t>
      </w:r>
      <w:r>
        <w:rPr>
          <w:rFonts w:ascii="宋体" w:hAnsi="宋体" w:eastAsia="宋体" w:cs="宋体"/>
          <w:b/>
          <w:bCs/>
          <w:color w:val="auto"/>
          <w:kern w:val="0"/>
          <w:sz w:val="24"/>
        </w:rPr>
        <w:t>麻醉监护仪1</w:t>
      </w:r>
      <w:r>
        <w:rPr>
          <w:rFonts w:hint="eastAsia" w:ascii="宋体" w:hAnsi="宋体" w:eastAsia="宋体" w:cs="宋体"/>
          <w:b/>
          <w:bCs/>
          <w:color w:val="auto"/>
          <w:kern w:val="0"/>
          <w:sz w:val="24"/>
        </w:rPr>
        <w:t>技术参数</w:t>
      </w:r>
      <w:r>
        <w:rPr>
          <w:rFonts w:hint="eastAsia" w:ascii="宋体" w:hAnsi="宋体" w:eastAsia="宋体" w:cs="宋体"/>
          <w:b/>
          <w:bCs/>
          <w:color w:val="auto"/>
          <w:sz w:val="24"/>
        </w:rPr>
        <w:t>要求</w:t>
      </w:r>
    </w:p>
    <w:p w14:paraId="036BF5C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1、基本要求</w:t>
      </w:r>
    </w:p>
    <w:p w14:paraId="60EF6B0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1.1</w:t>
      </w:r>
      <w:r>
        <w:rPr>
          <w:rFonts w:hint="eastAsia" w:ascii="宋体" w:hAnsi="宋体" w:eastAsia="宋体" w:cs="宋体"/>
          <w:color w:val="auto"/>
          <w:sz w:val="24"/>
        </w:rPr>
        <w:tab/>
      </w:r>
      <w:r>
        <w:rPr>
          <w:rFonts w:hint="eastAsia" w:ascii="宋体" w:hAnsi="宋体" w:eastAsia="宋体" w:cs="宋体"/>
          <w:color w:val="auto"/>
          <w:sz w:val="24"/>
        </w:rPr>
        <w:t>、主机：低功耗、无风扇设计，模块化插件式监护仪，适用范围：成人、儿童、新生儿</w:t>
      </w:r>
    </w:p>
    <w:p w14:paraId="5BEAC09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1.2</w:t>
      </w:r>
      <w:r>
        <w:rPr>
          <w:rFonts w:hint="eastAsia" w:ascii="宋体" w:hAnsi="宋体" w:eastAsia="宋体" w:cs="宋体"/>
          <w:color w:val="auto"/>
          <w:sz w:val="24"/>
        </w:rPr>
        <w:tab/>
      </w:r>
      <w:r>
        <w:rPr>
          <w:rFonts w:hint="eastAsia" w:ascii="宋体" w:hAnsi="宋体" w:eastAsia="宋体" w:cs="宋体"/>
          <w:color w:val="auto"/>
          <w:sz w:val="24"/>
        </w:rPr>
        <w:t>、≥15.6英寸彩色医用级电容彩色触摸宽屏（16:10），显示器分辨率：1366 x 768像素，一键操作模式：触屏、屏幕快捷键</w:t>
      </w:r>
    </w:p>
    <w:p w14:paraId="57EC40A5">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1.3、可扩展模块插槽，监测参数模块可直接插入，支持热插拔操作</w:t>
      </w:r>
    </w:p>
    <w:p w14:paraId="1D78CC3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1.4</w:t>
      </w:r>
      <w:r>
        <w:rPr>
          <w:rFonts w:hint="eastAsia" w:ascii="宋体" w:hAnsi="宋体" w:eastAsia="宋体" w:cs="宋体"/>
          <w:color w:val="auto"/>
          <w:sz w:val="24"/>
        </w:rPr>
        <w:tab/>
      </w:r>
      <w:r>
        <w:rPr>
          <w:rFonts w:hint="eastAsia" w:ascii="宋体" w:hAnsi="宋体" w:eastAsia="宋体" w:cs="宋体"/>
          <w:color w:val="auto"/>
          <w:sz w:val="24"/>
        </w:rPr>
        <w:t>、具备大字体界面显示：可根据临床需求选择4个或6个参数分别在四个/六个区域显示，每个区域均包含大字体数据、实时波形（无波形参数除外）和报警界限等信息，便于医护远距离观察</w:t>
      </w:r>
    </w:p>
    <w:p w14:paraId="167DB5F3">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▲1.5、具有</w:t>
      </w:r>
      <w:r>
        <w:rPr>
          <w:rFonts w:hint="eastAsia" w:ascii="宋体" w:hAnsi="宋体" w:eastAsia="宋体" w:cs="宋体"/>
          <w:color w:val="auto"/>
          <w:sz w:val="24"/>
        </w:rPr>
        <w:t>不少于</w:t>
      </w:r>
      <w:r>
        <w:rPr>
          <w:rFonts w:hint="eastAsia" w:ascii="宋体" w:hAnsi="宋体" w:eastAsia="宋体" w:cs="宋体"/>
          <w:color w:val="auto"/>
          <w:sz w:val="24"/>
        </w:rPr>
        <w:t>168小时趋势及图表回顾及</w:t>
      </w:r>
      <w:r>
        <w:rPr>
          <w:rFonts w:hint="eastAsia" w:ascii="宋体" w:hAnsi="宋体" w:eastAsia="宋体" w:cs="宋体"/>
          <w:color w:val="auto"/>
          <w:sz w:val="24"/>
        </w:rPr>
        <w:t>不少于</w:t>
      </w:r>
      <w:r>
        <w:rPr>
          <w:rFonts w:hint="eastAsia" w:ascii="宋体" w:hAnsi="宋体" w:eastAsia="宋体" w:cs="宋体"/>
          <w:color w:val="auto"/>
          <w:sz w:val="24"/>
        </w:rPr>
        <w:t>72小时全息回顾功能</w:t>
      </w:r>
    </w:p>
    <w:p w14:paraId="6FB9FA06">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1.6</w:t>
      </w:r>
      <w:r>
        <w:rPr>
          <w:rFonts w:hint="eastAsia" w:ascii="宋体" w:hAnsi="宋体" w:eastAsia="宋体" w:cs="宋体"/>
          <w:color w:val="auto"/>
          <w:sz w:val="24"/>
        </w:rPr>
        <w:tab/>
      </w:r>
      <w:r>
        <w:rPr>
          <w:rFonts w:hint="eastAsia" w:ascii="宋体" w:hAnsi="宋体" w:eastAsia="宋体" w:cs="宋体"/>
          <w:color w:val="auto"/>
          <w:sz w:val="24"/>
        </w:rPr>
        <w:t>、具有屏幕快照功能，支持手动创建或报警自动触发，可存储至少200幅快照</w:t>
      </w:r>
    </w:p>
    <w:p w14:paraId="4CB9B4B6">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1.7</w:t>
      </w:r>
      <w:r>
        <w:rPr>
          <w:rFonts w:ascii="宋体" w:hAnsi="宋体" w:eastAsia="宋体" w:cs="宋体"/>
          <w:color w:val="auto"/>
          <w:sz w:val="24"/>
        </w:rPr>
        <w:tab/>
      </w:r>
      <w:r>
        <w:rPr>
          <w:rFonts w:hint="eastAsia" w:ascii="宋体" w:hAnsi="宋体" w:eastAsia="宋体" w:cs="宋体"/>
          <w:color w:val="auto"/>
          <w:sz w:val="24"/>
        </w:rPr>
        <w:t>、中文化操作界面，可自定义设置参数波形及数字位置，窗口大小自动调节，屏幕显示波形通道数≥</w:t>
      </w:r>
      <w:r>
        <w:rPr>
          <w:rFonts w:ascii="宋体" w:hAnsi="宋体" w:eastAsia="宋体" w:cs="宋体"/>
          <w:color w:val="auto"/>
          <w:sz w:val="24"/>
        </w:rPr>
        <w:t>12</w:t>
      </w:r>
      <w:r>
        <w:rPr>
          <w:rFonts w:hint="eastAsia" w:ascii="宋体" w:hAnsi="宋体" w:eastAsia="宋体" w:cs="宋体"/>
          <w:color w:val="auto"/>
          <w:sz w:val="24"/>
        </w:rPr>
        <w:t>，数字区</w:t>
      </w:r>
      <w:r>
        <w:rPr>
          <w:rFonts w:ascii="宋体" w:hAnsi="宋体" w:eastAsia="宋体" w:cs="宋体"/>
          <w:color w:val="auto"/>
          <w:sz w:val="24"/>
        </w:rPr>
        <w:t>4</w:t>
      </w:r>
    </w:p>
    <w:p w14:paraId="0B567FC4">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1.8</w:t>
      </w:r>
      <w:r>
        <w:rPr>
          <w:rFonts w:hint="eastAsia" w:ascii="宋体" w:hAnsi="宋体" w:eastAsia="宋体" w:cs="宋体"/>
          <w:color w:val="auto"/>
          <w:sz w:val="24"/>
        </w:rPr>
        <w:tab/>
      </w:r>
      <w:r>
        <w:rPr>
          <w:rFonts w:hint="eastAsia" w:ascii="宋体" w:hAnsi="宋体" w:eastAsia="宋体" w:cs="宋体"/>
          <w:color w:val="auto"/>
          <w:sz w:val="24"/>
        </w:rPr>
        <w:t>、标配电池槽，可配置内置式高性能锂电池，续航时间&gt;4小时</w:t>
      </w:r>
    </w:p>
    <w:p w14:paraId="107026E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1.9</w:t>
      </w:r>
      <w:r>
        <w:rPr>
          <w:rFonts w:hint="eastAsia" w:ascii="宋体" w:hAnsi="宋体" w:eastAsia="宋体" w:cs="宋体"/>
          <w:color w:val="auto"/>
          <w:sz w:val="24"/>
        </w:rPr>
        <w:tab/>
      </w:r>
      <w:r>
        <w:rPr>
          <w:rFonts w:hint="eastAsia" w:ascii="宋体" w:hAnsi="宋体" w:eastAsia="宋体" w:cs="宋体"/>
          <w:color w:val="auto"/>
          <w:sz w:val="24"/>
        </w:rPr>
        <w:t>、报警功能：四级文字和三级声、光报警递进式报警系统，多种报警界限设置</w:t>
      </w:r>
    </w:p>
    <w:p w14:paraId="3991DF5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2、设备技术参数要求</w:t>
      </w:r>
    </w:p>
    <w:p w14:paraId="2C32AC08">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2.1、基本参数</w:t>
      </w:r>
      <w:r>
        <w:rPr>
          <w:rFonts w:hint="eastAsia" w:ascii="宋体" w:hAnsi="宋体" w:eastAsia="宋体" w:cs="宋体"/>
          <w:color w:val="auto"/>
          <w:sz w:val="24"/>
        </w:rPr>
        <w:t>至少包含</w:t>
      </w:r>
      <w:r>
        <w:rPr>
          <w:rFonts w:hint="eastAsia" w:ascii="宋体" w:hAnsi="宋体" w:eastAsia="宋体" w:cs="宋体"/>
          <w:color w:val="auto"/>
          <w:sz w:val="24"/>
        </w:rPr>
        <w:t>：心电、心率、血氧饱和度、无创血压、呼吸、脉率、双体温、双有创</w:t>
      </w:r>
    </w:p>
    <w:p w14:paraId="2EFE800E">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可选配参数：麻醉气体、心排量、熵指数或BIS、肌松监测</w:t>
      </w:r>
    </w:p>
    <w:p w14:paraId="7483680F">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2.1.1、心电监测</w:t>
      </w:r>
    </w:p>
    <w:p w14:paraId="703BF285">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2.1.1.1、同步多导联心律失常分析，可同时对≥4道ECG心电导联进行分析（须提供相关技术文件）</w:t>
      </w:r>
    </w:p>
    <w:p w14:paraId="46D3C7E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2.1.1.2、ST段测量功能可用于新生儿、儿童及成人，需提供注册证等证明文件</w:t>
      </w:r>
    </w:p>
    <w:p w14:paraId="45A814C6">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2.1.1.3、心率测量范围：20-300bpm</w:t>
      </w:r>
    </w:p>
    <w:p w14:paraId="5C31CA71">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★2.2、无创血压监测：监测范围：10-290mmHg；采用双管路双脉冲步进式放气振荡法</w:t>
      </w:r>
    </w:p>
    <w:p w14:paraId="7D303B1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2.3、有创压力监测：测量范围：-40 ~ 320 mmHg</w:t>
      </w:r>
    </w:p>
    <w:p w14:paraId="3E572291">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▲2.4、监测同一个有创压力时，可同屏同时显示收缩压变异率（SPV）和脉压变异率（PPV），须提供截图证明</w:t>
      </w:r>
    </w:p>
    <w:p w14:paraId="2FD5E66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▲2.5、神经肌电传导监测模块（NMT）</w:t>
      </w:r>
    </w:p>
    <w:p w14:paraId="58AB9A5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2.5.1、刺激模式：四个成串刺激（TOF）、双短强直刺激（DBS）、单次肌颤搐刺激（ST）、强直刺激后单刺激肌颤搐计数（PTC）。</w:t>
      </w:r>
    </w:p>
    <w:p w14:paraId="6798489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2.5.2、监测项目：TOF%、DBS%、Count计数、PTC</w:t>
      </w:r>
    </w:p>
    <w:p w14:paraId="58267B50">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▲2.5.3、可提供机械传感器和电子传感器。电子传感器适用于2岁以下儿童，可以放置于手部或者脚部等多部位。满足临床和科研需求，具有机械和电传感器.</w:t>
      </w:r>
    </w:p>
    <w:p w14:paraId="57558274">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▲2.6、监护仪可实现熵指数模块或BIS模块评估大脑状态或意识水平的监测功能</w:t>
      </w:r>
    </w:p>
    <w:p w14:paraId="067A868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3、网络功能</w:t>
      </w:r>
    </w:p>
    <w:p w14:paraId="2588334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3.1、支持HL7标准输出协议，可将数据传输到CIS、HIS等系统，标配网口，支持与中央监护系统的数据传输</w:t>
      </w:r>
    </w:p>
    <w:p w14:paraId="7523E7C8">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3.2、支持同网络内1023台设备隔床跨视，且支持远程报警自动查看（AVOA）具备WPA-Enterprise、WPA2-Enterprise企业级加密认证，提升无线网络安全</w:t>
      </w:r>
    </w:p>
    <w:p w14:paraId="7D7FDE4F">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3.3、设备配置要求：主机*1个、熵指数模块或BIS模块*1个、神经肌电传导监测模块*1个</w:t>
      </w:r>
    </w:p>
    <w:p w14:paraId="2D808A3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4、验收及培训</w:t>
      </w:r>
    </w:p>
    <w:p w14:paraId="42C69793">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4.1、</w:t>
      </w:r>
      <w:r>
        <w:rPr>
          <w:rFonts w:ascii="宋体" w:hAnsi="宋体" w:eastAsia="宋体" w:cs="宋体"/>
          <w:color w:val="auto"/>
          <w:sz w:val="24"/>
        </w:rPr>
        <w:t>中标人应提供现场或网络培训</w:t>
      </w:r>
      <w:r>
        <w:rPr>
          <w:rFonts w:hint="eastAsia" w:ascii="宋体" w:hAnsi="宋体" w:eastAsia="宋体" w:cs="宋体"/>
          <w:color w:val="auto"/>
          <w:sz w:val="24"/>
        </w:rPr>
        <w:t>。</w:t>
      </w:r>
    </w:p>
    <w:p w14:paraId="57B1C934">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5、售后服务要求</w:t>
      </w:r>
    </w:p>
    <w:p w14:paraId="5A80B1D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5.1、保修期≥3年</w:t>
      </w:r>
    </w:p>
    <w:p w14:paraId="7977FFC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5.2、在设备整个使用期内，供应商应确保设备的正常使用。在接到用户维修要求后应立即作出回应，并在24小时内派员到达买方现场实施维修。零配件在该设备停产后仍需保证十年的供应</w:t>
      </w:r>
    </w:p>
    <w:p w14:paraId="6FFD84E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6、配置清单</w:t>
      </w:r>
    </w:p>
    <w:tbl>
      <w:tblPr>
        <w:tblStyle w:val="8"/>
        <w:tblW w:w="8424" w:type="dxa"/>
        <w:tblInd w:w="-29" w:type="dxa"/>
        <w:tblLayout w:type="fixed"/>
        <w:tblCellMar>
          <w:top w:w="0" w:type="dxa"/>
          <w:left w:w="108" w:type="dxa"/>
          <w:bottom w:w="0" w:type="dxa"/>
          <w:right w:w="108" w:type="dxa"/>
        </w:tblCellMar>
      </w:tblPr>
      <w:tblGrid>
        <w:gridCol w:w="1464"/>
        <w:gridCol w:w="6180"/>
        <w:gridCol w:w="780"/>
      </w:tblGrid>
      <w:tr w14:paraId="7B0C0C64">
        <w:tblPrEx>
          <w:tblCellMar>
            <w:top w:w="0" w:type="dxa"/>
            <w:left w:w="108" w:type="dxa"/>
            <w:bottom w:w="0" w:type="dxa"/>
            <w:right w:w="108" w:type="dxa"/>
          </w:tblCellMar>
        </w:tblPrEx>
        <w:trPr>
          <w:trHeight w:val="276" w:hRule="atLeast"/>
        </w:trPr>
        <w:tc>
          <w:tcPr>
            <w:tcW w:w="1464" w:type="dxa"/>
            <w:tcBorders>
              <w:top w:val="single" w:color="000000" w:sz="4" w:space="0"/>
              <w:left w:val="single" w:color="000000" w:sz="4" w:space="0"/>
              <w:bottom w:val="single" w:color="000000" w:sz="4" w:space="0"/>
              <w:right w:val="single" w:color="000000" w:sz="4" w:space="0"/>
            </w:tcBorders>
            <w:vAlign w:val="center"/>
          </w:tcPr>
          <w:p w14:paraId="644E8B2C">
            <w:pPr>
              <w:widowControl/>
              <w:jc w:val="center"/>
              <w:rPr>
                <w:rFonts w:hint="eastAsia" w:ascii="宋体" w:hAnsi="宋体" w:eastAsia="宋体" w:cs="宋体"/>
                <w:b/>
                <w:bCs/>
                <w:color w:val="auto"/>
                <w:kern w:val="0"/>
                <w:sz w:val="24"/>
                <w:lang w:bidi="th-TH"/>
              </w:rPr>
            </w:pPr>
            <w:r>
              <w:rPr>
                <w:rFonts w:ascii="宋体" w:hAnsi="宋体" w:eastAsia="宋体" w:cs="宋体"/>
                <w:b/>
                <w:bCs/>
                <w:color w:val="auto"/>
                <w:kern w:val="0"/>
                <w:sz w:val="24"/>
                <w:lang w:bidi="th-TH"/>
              </w:rPr>
              <w:t>主机</w:t>
            </w:r>
          </w:p>
        </w:tc>
        <w:tc>
          <w:tcPr>
            <w:tcW w:w="6180" w:type="dxa"/>
            <w:tcBorders>
              <w:top w:val="single" w:color="000000" w:sz="4" w:space="0"/>
              <w:left w:val="single" w:color="000000" w:sz="4" w:space="0"/>
              <w:bottom w:val="single" w:color="000000" w:sz="4" w:space="0"/>
              <w:right w:val="single" w:color="000000" w:sz="4" w:space="0"/>
            </w:tcBorders>
            <w:noWrap/>
            <w:vAlign w:val="center"/>
          </w:tcPr>
          <w:p w14:paraId="64219144">
            <w:pPr>
              <w:widowControl/>
              <w:rPr>
                <w:rFonts w:hint="eastAsia" w:ascii="宋体" w:hAnsi="宋体" w:eastAsia="宋体" w:cs="宋体"/>
                <w:color w:val="auto"/>
                <w:kern w:val="0"/>
                <w:sz w:val="24"/>
                <w:lang w:bidi="th-TH"/>
              </w:rPr>
            </w:pPr>
            <w:r>
              <w:rPr>
                <w:rFonts w:hint="eastAsia" w:ascii="宋体" w:hAnsi="宋体" w:eastAsia="宋体" w:cs="宋体"/>
                <w:color w:val="auto"/>
                <w:kern w:val="0"/>
                <w:sz w:val="24"/>
                <w:lang w:bidi="th-TH"/>
              </w:rPr>
              <w:t>病人监护仪</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70EAF964">
            <w:pPr>
              <w:widowControl/>
              <w:jc w:val="center"/>
              <w:rPr>
                <w:rFonts w:hint="eastAsia" w:ascii="宋体" w:hAnsi="宋体" w:eastAsia="宋体" w:cs="宋体"/>
                <w:color w:val="auto"/>
                <w:kern w:val="0"/>
                <w:sz w:val="24"/>
                <w:lang w:bidi="th-TH"/>
              </w:rPr>
            </w:pPr>
            <w:r>
              <w:rPr>
                <w:rFonts w:hint="eastAsia" w:ascii="宋体" w:hAnsi="宋体" w:eastAsia="宋体"/>
                <w:color w:val="auto"/>
                <w:sz w:val="24"/>
              </w:rPr>
              <w:t>2</w:t>
            </w:r>
          </w:p>
        </w:tc>
      </w:tr>
      <w:tr w14:paraId="68111F9D">
        <w:tblPrEx>
          <w:tblCellMar>
            <w:top w:w="0" w:type="dxa"/>
            <w:left w:w="108" w:type="dxa"/>
            <w:bottom w:w="0" w:type="dxa"/>
            <w:right w:w="108" w:type="dxa"/>
          </w:tblCellMar>
        </w:tblPrEx>
        <w:trPr>
          <w:trHeight w:val="528" w:hRule="atLeast"/>
        </w:trPr>
        <w:tc>
          <w:tcPr>
            <w:tcW w:w="1464" w:type="dxa"/>
            <w:vMerge w:val="restart"/>
            <w:tcBorders>
              <w:top w:val="single" w:color="000000" w:sz="4" w:space="0"/>
              <w:left w:val="single" w:color="000000" w:sz="4" w:space="0"/>
              <w:bottom w:val="single" w:color="000000" w:sz="4" w:space="0"/>
              <w:right w:val="single" w:color="000000" w:sz="4" w:space="0"/>
            </w:tcBorders>
            <w:vAlign w:val="center"/>
          </w:tcPr>
          <w:p w14:paraId="5C725F2A">
            <w:pPr>
              <w:widowControl/>
              <w:jc w:val="center"/>
              <w:rPr>
                <w:rFonts w:hint="eastAsia" w:ascii="宋体" w:hAnsi="宋体" w:eastAsia="宋体" w:cs="宋体"/>
                <w:b/>
                <w:bCs/>
                <w:color w:val="auto"/>
                <w:kern w:val="0"/>
                <w:sz w:val="24"/>
                <w:lang w:bidi="th-TH"/>
              </w:rPr>
            </w:pPr>
            <w:r>
              <w:rPr>
                <w:rFonts w:ascii="宋体" w:hAnsi="宋体" w:eastAsia="宋体" w:cs="宋体"/>
                <w:b/>
                <w:bCs/>
                <w:color w:val="auto"/>
                <w:kern w:val="0"/>
                <w:sz w:val="24"/>
                <w:lang w:bidi="th-TH"/>
              </w:rPr>
              <w:t>5导心电</w:t>
            </w:r>
          </w:p>
        </w:tc>
        <w:tc>
          <w:tcPr>
            <w:tcW w:w="6180" w:type="dxa"/>
            <w:tcBorders>
              <w:top w:val="single" w:color="000000" w:sz="4" w:space="0"/>
              <w:left w:val="single" w:color="000000" w:sz="4" w:space="0"/>
              <w:bottom w:val="single" w:color="000000" w:sz="4" w:space="0"/>
              <w:right w:val="single" w:color="000000" w:sz="4" w:space="0"/>
            </w:tcBorders>
            <w:vAlign w:val="center"/>
          </w:tcPr>
          <w:p w14:paraId="477528F6">
            <w:pPr>
              <w:widowControl/>
              <w:rPr>
                <w:rFonts w:hint="eastAsia" w:ascii="宋体" w:hAnsi="宋体" w:eastAsia="宋体" w:cs="宋体"/>
                <w:color w:val="auto"/>
                <w:kern w:val="0"/>
                <w:sz w:val="24"/>
                <w:lang w:bidi="th-TH"/>
              </w:rPr>
            </w:pPr>
            <w:r>
              <w:rPr>
                <w:rFonts w:ascii="宋体" w:hAnsi="宋体" w:eastAsia="宋体" w:cs="宋体"/>
                <w:color w:val="auto"/>
                <w:kern w:val="0"/>
                <w:sz w:val="24"/>
                <w:lang w:bidi="th-TH"/>
              </w:rPr>
              <w:t xml:space="preserve">3/5 导联 </w:t>
            </w:r>
            <w:r>
              <w:rPr>
                <w:rFonts w:hint="eastAsia" w:ascii="宋体" w:hAnsi="宋体" w:eastAsia="宋体" w:cs="宋体"/>
                <w:color w:val="auto"/>
                <w:kern w:val="0"/>
                <w:sz w:val="24"/>
                <w:lang w:bidi="th-TH"/>
              </w:rPr>
              <w:t>心电</w:t>
            </w:r>
            <w:r>
              <w:rPr>
                <w:rFonts w:ascii="宋体" w:hAnsi="宋体" w:eastAsia="宋体" w:cs="宋体"/>
                <w:color w:val="auto"/>
                <w:kern w:val="0"/>
                <w:sz w:val="24"/>
                <w:lang w:bidi="th-TH"/>
              </w:rPr>
              <w:t>监护电缆，带 ESU 滤波器</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4CAFBA1E">
            <w:pPr>
              <w:jc w:val="center"/>
              <w:rPr>
                <w:rFonts w:hint="eastAsia" w:ascii="宋体" w:hAnsi="宋体" w:eastAsia="宋体"/>
                <w:color w:val="auto"/>
                <w:sz w:val="24"/>
              </w:rPr>
            </w:pPr>
            <w:r>
              <w:rPr>
                <w:rFonts w:hint="eastAsia" w:ascii="宋体" w:hAnsi="宋体" w:eastAsia="宋体"/>
                <w:color w:val="auto"/>
                <w:sz w:val="24"/>
              </w:rPr>
              <w:t>2</w:t>
            </w:r>
          </w:p>
        </w:tc>
      </w:tr>
      <w:tr w14:paraId="0CD49B1C">
        <w:tblPrEx>
          <w:tblCellMar>
            <w:top w:w="0" w:type="dxa"/>
            <w:left w:w="108" w:type="dxa"/>
            <w:bottom w:w="0" w:type="dxa"/>
            <w:right w:w="108" w:type="dxa"/>
          </w:tblCellMar>
        </w:tblPrEx>
        <w:trPr>
          <w:trHeight w:val="528" w:hRule="atLeast"/>
        </w:trPr>
        <w:tc>
          <w:tcPr>
            <w:tcW w:w="1464" w:type="dxa"/>
            <w:vMerge w:val="continue"/>
            <w:tcBorders>
              <w:top w:val="single" w:color="000000" w:sz="4" w:space="0"/>
              <w:left w:val="single" w:color="000000" w:sz="4" w:space="0"/>
              <w:bottom w:val="single" w:color="000000" w:sz="4" w:space="0"/>
              <w:right w:val="single" w:color="000000" w:sz="4" w:space="0"/>
            </w:tcBorders>
            <w:vAlign w:val="center"/>
          </w:tcPr>
          <w:p w14:paraId="5EFE012F">
            <w:pPr>
              <w:widowControl/>
              <w:jc w:val="center"/>
              <w:rPr>
                <w:rFonts w:hint="eastAsia" w:ascii="宋体" w:hAnsi="宋体" w:eastAsia="宋体" w:cs="宋体"/>
                <w:b/>
                <w:bCs/>
                <w:color w:val="auto"/>
                <w:kern w:val="0"/>
                <w:sz w:val="24"/>
                <w:lang w:bidi="th-TH"/>
              </w:rPr>
            </w:pPr>
          </w:p>
        </w:tc>
        <w:tc>
          <w:tcPr>
            <w:tcW w:w="6180" w:type="dxa"/>
            <w:tcBorders>
              <w:top w:val="single" w:color="000000" w:sz="4" w:space="0"/>
              <w:left w:val="single" w:color="000000" w:sz="4" w:space="0"/>
              <w:bottom w:val="single" w:color="000000" w:sz="4" w:space="0"/>
              <w:right w:val="single" w:color="000000" w:sz="4" w:space="0"/>
            </w:tcBorders>
            <w:vAlign w:val="center"/>
          </w:tcPr>
          <w:p w14:paraId="44697025">
            <w:pPr>
              <w:widowControl/>
              <w:rPr>
                <w:rFonts w:hint="eastAsia" w:ascii="宋体" w:hAnsi="宋体" w:eastAsia="宋体" w:cs="宋体"/>
                <w:color w:val="auto"/>
                <w:kern w:val="0"/>
                <w:sz w:val="24"/>
                <w:lang w:bidi="th-TH"/>
              </w:rPr>
            </w:pPr>
            <w:r>
              <w:rPr>
                <w:rFonts w:hint="eastAsia" w:ascii="宋体" w:hAnsi="宋体" w:eastAsia="宋体" w:cs="宋体"/>
                <w:color w:val="auto"/>
                <w:kern w:val="0"/>
                <w:sz w:val="24"/>
                <w:lang w:bidi="th-TH"/>
              </w:rPr>
              <w:t>心电</w:t>
            </w:r>
            <w:r>
              <w:rPr>
                <w:rFonts w:ascii="宋体" w:hAnsi="宋体" w:eastAsia="宋体" w:cs="宋体"/>
                <w:color w:val="auto"/>
                <w:kern w:val="0"/>
                <w:sz w:val="24"/>
                <w:lang w:bidi="th-TH"/>
              </w:rPr>
              <w:t>导联线组，5 导联，夹式</w:t>
            </w:r>
            <w:r>
              <w:rPr>
                <w:rFonts w:hint="eastAsia" w:ascii="宋体" w:hAnsi="宋体" w:eastAsia="宋体" w:cs="宋体"/>
                <w:color w:val="auto"/>
                <w:kern w:val="0"/>
                <w:sz w:val="24"/>
                <w:lang w:bidi="th-TH"/>
              </w:rPr>
              <w:t xml:space="preserve"> </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2B0F783A">
            <w:pPr>
              <w:jc w:val="center"/>
              <w:rPr>
                <w:rFonts w:hint="eastAsia" w:ascii="宋体" w:hAnsi="宋体" w:eastAsia="宋体"/>
                <w:color w:val="auto"/>
                <w:sz w:val="24"/>
              </w:rPr>
            </w:pPr>
            <w:r>
              <w:rPr>
                <w:rFonts w:hint="eastAsia" w:ascii="宋体" w:hAnsi="宋体" w:eastAsia="宋体"/>
                <w:color w:val="auto"/>
                <w:sz w:val="24"/>
              </w:rPr>
              <w:t>2</w:t>
            </w:r>
          </w:p>
        </w:tc>
      </w:tr>
      <w:tr w14:paraId="224070AB">
        <w:tblPrEx>
          <w:tblCellMar>
            <w:top w:w="0" w:type="dxa"/>
            <w:left w:w="108" w:type="dxa"/>
            <w:bottom w:w="0" w:type="dxa"/>
            <w:right w:w="108" w:type="dxa"/>
          </w:tblCellMar>
        </w:tblPrEx>
        <w:trPr>
          <w:trHeight w:val="528" w:hRule="atLeast"/>
        </w:trPr>
        <w:tc>
          <w:tcPr>
            <w:tcW w:w="1464" w:type="dxa"/>
            <w:vMerge w:val="restart"/>
            <w:tcBorders>
              <w:top w:val="single" w:color="000000" w:sz="4" w:space="0"/>
              <w:left w:val="single" w:color="000000" w:sz="4" w:space="0"/>
              <w:bottom w:val="single" w:color="000000" w:sz="4" w:space="0"/>
              <w:right w:val="single" w:color="000000" w:sz="4" w:space="0"/>
            </w:tcBorders>
            <w:vAlign w:val="center"/>
          </w:tcPr>
          <w:p w14:paraId="2FB200D9">
            <w:pPr>
              <w:widowControl/>
              <w:jc w:val="center"/>
              <w:rPr>
                <w:rFonts w:hint="eastAsia" w:ascii="宋体" w:hAnsi="宋体" w:eastAsia="宋体" w:cs="宋体"/>
                <w:b/>
                <w:bCs/>
                <w:color w:val="auto"/>
                <w:kern w:val="0"/>
                <w:sz w:val="24"/>
                <w:lang w:bidi="th-TH"/>
              </w:rPr>
            </w:pPr>
            <w:r>
              <w:rPr>
                <w:rFonts w:ascii="宋体" w:hAnsi="宋体" w:eastAsia="宋体" w:cs="宋体"/>
                <w:b/>
                <w:bCs/>
                <w:color w:val="auto"/>
                <w:kern w:val="0"/>
                <w:sz w:val="24"/>
                <w:lang w:bidi="th-TH"/>
              </w:rPr>
              <w:t>无创血压</w:t>
            </w:r>
            <w:r>
              <w:rPr>
                <w:rFonts w:ascii="宋体" w:hAnsi="宋体" w:eastAsia="宋体" w:cs="宋体"/>
                <w:b/>
                <w:bCs/>
                <w:color w:val="auto"/>
                <w:kern w:val="0"/>
                <w:sz w:val="24"/>
                <w:lang w:bidi="th-TH"/>
              </w:rPr>
              <w:br w:type="textWrapping"/>
            </w:r>
            <w:r>
              <w:rPr>
                <w:rFonts w:ascii="宋体" w:hAnsi="宋体" w:eastAsia="宋体" w:cs="宋体"/>
                <w:b/>
                <w:bCs/>
                <w:color w:val="auto"/>
                <w:kern w:val="0"/>
                <w:sz w:val="24"/>
                <w:lang w:bidi="th-TH"/>
              </w:rPr>
              <w:t>附件</w:t>
            </w:r>
          </w:p>
        </w:tc>
        <w:tc>
          <w:tcPr>
            <w:tcW w:w="6180" w:type="dxa"/>
            <w:tcBorders>
              <w:top w:val="single" w:color="000000" w:sz="4" w:space="0"/>
              <w:left w:val="single" w:color="000000" w:sz="4" w:space="0"/>
              <w:bottom w:val="single" w:color="000000" w:sz="4" w:space="0"/>
              <w:right w:val="single" w:color="000000" w:sz="4" w:space="0"/>
            </w:tcBorders>
            <w:vAlign w:val="center"/>
          </w:tcPr>
          <w:p w14:paraId="7CED1265">
            <w:pPr>
              <w:widowControl/>
              <w:rPr>
                <w:rFonts w:hint="eastAsia" w:ascii="宋体" w:hAnsi="宋体" w:eastAsia="宋体" w:cs="宋体"/>
                <w:color w:val="auto"/>
                <w:kern w:val="0"/>
                <w:sz w:val="24"/>
                <w:lang w:bidi="th-TH"/>
              </w:rPr>
            </w:pPr>
            <w:r>
              <w:rPr>
                <w:rFonts w:ascii="宋体" w:hAnsi="宋体" w:eastAsia="宋体" w:cs="宋体"/>
                <w:color w:val="auto"/>
                <w:kern w:val="0"/>
                <w:sz w:val="24"/>
                <w:lang w:bidi="th-TH"/>
              </w:rPr>
              <w:t>空气软管，NIBP，成人/小儿型，DinaClick 接口，3.6 米</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7F6C7672">
            <w:pPr>
              <w:jc w:val="center"/>
              <w:rPr>
                <w:rFonts w:hint="eastAsia" w:ascii="宋体" w:hAnsi="宋体" w:eastAsia="宋体"/>
                <w:color w:val="auto"/>
                <w:sz w:val="24"/>
              </w:rPr>
            </w:pPr>
            <w:r>
              <w:rPr>
                <w:rFonts w:hint="eastAsia" w:ascii="宋体" w:hAnsi="宋体" w:eastAsia="宋体"/>
                <w:color w:val="auto"/>
                <w:sz w:val="24"/>
              </w:rPr>
              <w:t>2</w:t>
            </w:r>
          </w:p>
        </w:tc>
      </w:tr>
      <w:tr w14:paraId="00E89F34">
        <w:tblPrEx>
          <w:tblCellMar>
            <w:top w:w="0" w:type="dxa"/>
            <w:left w:w="108" w:type="dxa"/>
            <w:bottom w:w="0" w:type="dxa"/>
            <w:right w:w="108" w:type="dxa"/>
          </w:tblCellMar>
        </w:tblPrEx>
        <w:trPr>
          <w:trHeight w:val="528" w:hRule="atLeast"/>
        </w:trPr>
        <w:tc>
          <w:tcPr>
            <w:tcW w:w="1464" w:type="dxa"/>
            <w:vMerge w:val="continue"/>
            <w:tcBorders>
              <w:top w:val="single" w:color="000000" w:sz="4" w:space="0"/>
              <w:left w:val="single" w:color="000000" w:sz="4" w:space="0"/>
              <w:bottom w:val="single" w:color="000000" w:sz="4" w:space="0"/>
              <w:right w:val="single" w:color="000000" w:sz="4" w:space="0"/>
            </w:tcBorders>
            <w:vAlign w:val="center"/>
          </w:tcPr>
          <w:p w14:paraId="4A466577">
            <w:pPr>
              <w:widowControl/>
              <w:jc w:val="center"/>
              <w:rPr>
                <w:rFonts w:hint="eastAsia" w:ascii="宋体" w:hAnsi="宋体" w:eastAsia="宋体" w:cs="宋体"/>
                <w:b/>
                <w:bCs/>
                <w:color w:val="auto"/>
                <w:kern w:val="0"/>
                <w:sz w:val="24"/>
                <w:lang w:bidi="th-TH"/>
              </w:rPr>
            </w:pPr>
          </w:p>
        </w:tc>
        <w:tc>
          <w:tcPr>
            <w:tcW w:w="6180" w:type="dxa"/>
            <w:tcBorders>
              <w:top w:val="single" w:color="000000" w:sz="4" w:space="0"/>
              <w:left w:val="single" w:color="000000" w:sz="4" w:space="0"/>
              <w:bottom w:val="single" w:color="000000" w:sz="4" w:space="0"/>
              <w:right w:val="single" w:color="000000" w:sz="4" w:space="0"/>
            </w:tcBorders>
            <w:vAlign w:val="center"/>
          </w:tcPr>
          <w:p w14:paraId="2FCACAB6">
            <w:pPr>
              <w:widowControl/>
              <w:rPr>
                <w:rFonts w:hint="eastAsia" w:ascii="宋体" w:hAnsi="宋体" w:eastAsia="宋体" w:cs="宋体"/>
                <w:color w:val="auto"/>
                <w:kern w:val="0"/>
                <w:sz w:val="24"/>
                <w:lang w:bidi="th-TH"/>
              </w:rPr>
            </w:pPr>
            <w:r>
              <w:rPr>
                <w:rFonts w:ascii="宋体" w:hAnsi="宋体" w:eastAsia="宋体" w:cs="宋体"/>
                <w:color w:val="auto"/>
                <w:kern w:val="0"/>
                <w:sz w:val="24"/>
                <w:lang w:bidi="th-TH"/>
              </w:rPr>
              <w:t>血压袖带/成人型/DinaClick 接口/23 - 33 CM/5个</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1B64ED0A">
            <w:pPr>
              <w:jc w:val="center"/>
              <w:rPr>
                <w:rFonts w:hint="eastAsia" w:ascii="宋体" w:hAnsi="宋体" w:eastAsia="宋体"/>
                <w:color w:val="auto"/>
                <w:sz w:val="24"/>
              </w:rPr>
            </w:pPr>
            <w:r>
              <w:rPr>
                <w:rFonts w:hint="eastAsia" w:ascii="宋体" w:hAnsi="宋体" w:eastAsia="宋体"/>
                <w:color w:val="auto"/>
                <w:sz w:val="24"/>
              </w:rPr>
              <w:t>2</w:t>
            </w:r>
          </w:p>
        </w:tc>
      </w:tr>
      <w:tr w14:paraId="32F0E819">
        <w:tblPrEx>
          <w:tblCellMar>
            <w:top w:w="0" w:type="dxa"/>
            <w:left w:w="108" w:type="dxa"/>
            <w:bottom w:w="0" w:type="dxa"/>
            <w:right w:w="108" w:type="dxa"/>
          </w:tblCellMar>
        </w:tblPrEx>
        <w:trPr>
          <w:trHeight w:val="528" w:hRule="atLeast"/>
        </w:trPr>
        <w:tc>
          <w:tcPr>
            <w:tcW w:w="1464" w:type="dxa"/>
            <w:tcBorders>
              <w:top w:val="single" w:color="000000" w:sz="4" w:space="0"/>
              <w:left w:val="single" w:color="000000" w:sz="4" w:space="0"/>
              <w:bottom w:val="single" w:color="000000" w:sz="4" w:space="0"/>
              <w:right w:val="single" w:color="000000" w:sz="4" w:space="0"/>
            </w:tcBorders>
            <w:vAlign w:val="center"/>
          </w:tcPr>
          <w:p w14:paraId="076C185D">
            <w:pPr>
              <w:widowControl/>
              <w:jc w:val="center"/>
              <w:rPr>
                <w:rFonts w:hint="eastAsia" w:ascii="宋体" w:hAnsi="宋体" w:eastAsia="宋体" w:cs="宋体"/>
                <w:b/>
                <w:bCs/>
                <w:color w:val="auto"/>
                <w:kern w:val="0"/>
                <w:sz w:val="24"/>
                <w:lang w:bidi="th-TH"/>
              </w:rPr>
            </w:pPr>
            <w:r>
              <w:rPr>
                <w:rFonts w:ascii="宋体" w:hAnsi="宋体" w:eastAsia="宋体" w:cs="宋体"/>
                <w:b/>
                <w:bCs/>
                <w:color w:val="auto"/>
                <w:kern w:val="0"/>
                <w:sz w:val="24"/>
                <w:lang w:bidi="th-TH"/>
              </w:rPr>
              <w:t>血氧</w:t>
            </w:r>
          </w:p>
        </w:tc>
        <w:tc>
          <w:tcPr>
            <w:tcW w:w="6180" w:type="dxa"/>
            <w:tcBorders>
              <w:top w:val="single" w:color="000000" w:sz="4" w:space="0"/>
              <w:left w:val="single" w:color="000000" w:sz="4" w:space="0"/>
              <w:bottom w:val="single" w:color="000000" w:sz="4" w:space="0"/>
              <w:right w:val="single" w:color="000000" w:sz="4" w:space="0"/>
            </w:tcBorders>
            <w:vAlign w:val="center"/>
          </w:tcPr>
          <w:p w14:paraId="10DA56B6">
            <w:pPr>
              <w:widowControl/>
              <w:rPr>
                <w:rFonts w:hint="eastAsia" w:ascii="宋体" w:hAnsi="宋体" w:eastAsia="宋体" w:cs="宋体"/>
                <w:color w:val="auto"/>
                <w:kern w:val="0"/>
                <w:sz w:val="24"/>
                <w:lang w:bidi="th-TH"/>
              </w:rPr>
            </w:pPr>
            <w:r>
              <w:rPr>
                <w:rFonts w:ascii="宋体" w:hAnsi="宋体" w:eastAsia="宋体" w:cs="宋体"/>
                <w:color w:val="auto"/>
                <w:kern w:val="0"/>
                <w:sz w:val="24"/>
                <w:lang w:bidi="th-TH"/>
              </w:rPr>
              <w:t>一体化指夹式传感器</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0E4BF989">
            <w:pPr>
              <w:jc w:val="center"/>
              <w:rPr>
                <w:rFonts w:hint="eastAsia" w:ascii="宋体" w:hAnsi="宋体" w:eastAsia="宋体"/>
                <w:color w:val="auto"/>
                <w:sz w:val="24"/>
              </w:rPr>
            </w:pPr>
            <w:r>
              <w:rPr>
                <w:rFonts w:hint="eastAsia" w:ascii="宋体" w:hAnsi="宋体" w:eastAsia="宋体"/>
                <w:color w:val="auto"/>
                <w:sz w:val="24"/>
              </w:rPr>
              <w:t>2</w:t>
            </w:r>
          </w:p>
        </w:tc>
      </w:tr>
      <w:tr w14:paraId="56022076">
        <w:tblPrEx>
          <w:tblCellMar>
            <w:top w:w="0" w:type="dxa"/>
            <w:left w:w="108" w:type="dxa"/>
            <w:bottom w:w="0" w:type="dxa"/>
            <w:right w:w="108" w:type="dxa"/>
          </w:tblCellMar>
        </w:tblPrEx>
        <w:trPr>
          <w:trHeight w:val="528" w:hRule="atLeast"/>
        </w:trPr>
        <w:tc>
          <w:tcPr>
            <w:tcW w:w="1464" w:type="dxa"/>
            <w:vMerge w:val="restart"/>
            <w:tcBorders>
              <w:top w:val="single" w:color="000000" w:sz="4" w:space="0"/>
              <w:left w:val="single" w:color="000000" w:sz="4" w:space="0"/>
              <w:bottom w:val="single" w:color="000000" w:sz="4" w:space="0"/>
              <w:right w:val="single" w:color="000000" w:sz="4" w:space="0"/>
            </w:tcBorders>
            <w:noWrap/>
            <w:vAlign w:val="center"/>
          </w:tcPr>
          <w:p w14:paraId="3E3B8D4A">
            <w:pPr>
              <w:widowControl/>
              <w:jc w:val="center"/>
              <w:rPr>
                <w:rFonts w:hint="eastAsia" w:ascii="宋体" w:hAnsi="宋体" w:eastAsia="宋体" w:cs="宋体"/>
                <w:b/>
                <w:bCs/>
                <w:color w:val="auto"/>
                <w:kern w:val="0"/>
                <w:sz w:val="24"/>
                <w:lang w:bidi="th-TH"/>
              </w:rPr>
            </w:pPr>
            <w:r>
              <w:rPr>
                <w:rFonts w:ascii="宋体" w:hAnsi="宋体" w:eastAsia="宋体" w:cs="宋体"/>
                <w:b/>
                <w:bCs/>
                <w:color w:val="auto"/>
                <w:kern w:val="0"/>
                <w:sz w:val="24"/>
                <w:lang w:bidi="th-TH"/>
              </w:rPr>
              <w:t>体温</w:t>
            </w:r>
          </w:p>
        </w:tc>
        <w:tc>
          <w:tcPr>
            <w:tcW w:w="6180" w:type="dxa"/>
            <w:tcBorders>
              <w:top w:val="single" w:color="000000" w:sz="4" w:space="0"/>
              <w:left w:val="single" w:color="000000" w:sz="4" w:space="0"/>
              <w:bottom w:val="single" w:color="000000" w:sz="4" w:space="0"/>
              <w:right w:val="single" w:color="000000" w:sz="4" w:space="0"/>
            </w:tcBorders>
            <w:vAlign w:val="center"/>
          </w:tcPr>
          <w:p w14:paraId="469862E6">
            <w:pPr>
              <w:widowControl/>
              <w:rPr>
                <w:rFonts w:hint="eastAsia" w:ascii="宋体" w:hAnsi="宋体" w:eastAsia="宋体" w:cs="宋体"/>
                <w:color w:val="auto"/>
                <w:kern w:val="0"/>
                <w:sz w:val="24"/>
                <w:lang w:bidi="th-TH"/>
              </w:rPr>
            </w:pPr>
            <w:r>
              <w:rPr>
                <w:rFonts w:ascii="宋体" w:hAnsi="宋体" w:eastAsia="宋体" w:cs="宋体"/>
                <w:color w:val="auto"/>
                <w:kern w:val="0"/>
                <w:sz w:val="24"/>
                <w:lang w:bidi="th-TH"/>
              </w:rPr>
              <w:t>双路温度监护电缆</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5DB3E12D">
            <w:pPr>
              <w:jc w:val="center"/>
              <w:rPr>
                <w:rFonts w:hint="eastAsia" w:ascii="宋体" w:hAnsi="宋体" w:eastAsia="宋体"/>
                <w:color w:val="auto"/>
                <w:sz w:val="24"/>
              </w:rPr>
            </w:pPr>
            <w:r>
              <w:rPr>
                <w:rFonts w:hint="eastAsia" w:ascii="宋体" w:hAnsi="宋体" w:eastAsia="宋体"/>
                <w:color w:val="auto"/>
                <w:sz w:val="24"/>
              </w:rPr>
              <w:t>2</w:t>
            </w:r>
          </w:p>
        </w:tc>
      </w:tr>
      <w:tr w14:paraId="2CC7DEF9">
        <w:tblPrEx>
          <w:tblCellMar>
            <w:top w:w="0" w:type="dxa"/>
            <w:left w:w="108" w:type="dxa"/>
            <w:bottom w:w="0" w:type="dxa"/>
            <w:right w:w="108" w:type="dxa"/>
          </w:tblCellMar>
        </w:tblPrEx>
        <w:trPr>
          <w:trHeight w:val="276" w:hRule="atLeast"/>
        </w:trPr>
        <w:tc>
          <w:tcPr>
            <w:tcW w:w="1464" w:type="dxa"/>
            <w:vMerge w:val="continue"/>
            <w:tcBorders>
              <w:top w:val="single" w:color="000000" w:sz="4" w:space="0"/>
              <w:left w:val="single" w:color="000000" w:sz="4" w:space="0"/>
              <w:bottom w:val="single" w:color="000000" w:sz="4" w:space="0"/>
              <w:right w:val="single" w:color="000000" w:sz="4" w:space="0"/>
            </w:tcBorders>
            <w:vAlign w:val="center"/>
          </w:tcPr>
          <w:p w14:paraId="19626178">
            <w:pPr>
              <w:widowControl/>
              <w:jc w:val="center"/>
              <w:rPr>
                <w:rFonts w:hint="eastAsia" w:ascii="宋体" w:hAnsi="宋体" w:eastAsia="宋体" w:cs="宋体"/>
                <w:b/>
                <w:bCs/>
                <w:color w:val="auto"/>
                <w:kern w:val="0"/>
                <w:sz w:val="24"/>
                <w:lang w:bidi="th-TH"/>
              </w:rPr>
            </w:pPr>
          </w:p>
        </w:tc>
        <w:tc>
          <w:tcPr>
            <w:tcW w:w="6180" w:type="dxa"/>
            <w:tcBorders>
              <w:top w:val="single" w:color="000000" w:sz="4" w:space="0"/>
              <w:left w:val="single" w:color="000000" w:sz="4" w:space="0"/>
              <w:bottom w:val="single" w:color="000000" w:sz="4" w:space="0"/>
              <w:right w:val="single" w:color="000000" w:sz="4" w:space="0"/>
            </w:tcBorders>
            <w:vAlign w:val="center"/>
          </w:tcPr>
          <w:p w14:paraId="5FB48944">
            <w:pPr>
              <w:widowControl/>
              <w:rPr>
                <w:rFonts w:hint="eastAsia" w:ascii="宋体" w:hAnsi="宋体" w:eastAsia="宋体" w:cs="宋体"/>
                <w:color w:val="auto"/>
                <w:kern w:val="0"/>
                <w:sz w:val="24"/>
                <w:lang w:bidi="th-TH"/>
              </w:rPr>
            </w:pPr>
            <w:r>
              <w:rPr>
                <w:rFonts w:ascii="宋体" w:hAnsi="宋体" w:eastAsia="宋体" w:cs="宋体"/>
                <w:color w:val="auto"/>
                <w:kern w:val="0"/>
                <w:sz w:val="24"/>
                <w:lang w:bidi="th-TH"/>
              </w:rPr>
              <w:t>可重复使用温度探头 – 食道/直肠 (成人型)</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515811F9">
            <w:pPr>
              <w:jc w:val="center"/>
              <w:rPr>
                <w:rFonts w:hint="eastAsia" w:ascii="宋体" w:hAnsi="宋体" w:eastAsia="宋体"/>
                <w:color w:val="auto"/>
                <w:sz w:val="24"/>
              </w:rPr>
            </w:pPr>
            <w:r>
              <w:rPr>
                <w:rFonts w:hint="eastAsia" w:ascii="宋体" w:hAnsi="宋体" w:eastAsia="宋体"/>
                <w:color w:val="auto"/>
                <w:sz w:val="24"/>
              </w:rPr>
              <w:t>2</w:t>
            </w:r>
          </w:p>
        </w:tc>
      </w:tr>
      <w:tr w14:paraId="3AB18E75">
        <w:tblPrEx>
          <w:tblCellMar>
            <w:top w:w="0" w:type="dxa"/>
            <w:left w:w="108" w:type="dxa"/>
            <w:bottom w:w="0" w:type="dxa"/>
            <w:right w:w="108" w:type="dxa"/>
          </w:tblCellMar>
        </w:tblPrEx>
        <w:trPr>
          <w:trHeight w:val="528" w:hRule="atLeast"/>
        </w:trPr>
        <w:tc>
          <w:tcPr>
            <w:tcW w:w="1464" w:type="dxa"/>
            <w:tcBorders>
              <w:top w:val="single" w:color="000000" w:sz="4" w:space="0"/>
              <w:left w:val="single" w:color="000000" w:sz="4" w:space="0"/>
              <w:bottom w:val="single" w:color="000000" w:sz="4" w:space="0"/>
              <w:right w:val="single" w:color="000000" w:sz="4" w:space="0"/>
            </w:tcBorders>
            <w:noWrap/>
            <w:vAlign w:val="center"/>
          </w:tcPr>
          <w:p w14:paraId="05FAC949">
            <w:pPr>
              <w:widowControl/>
              <w:jc w:val="center"/>
              <w:rPr>
                <w:rFonts w:hint="eastAsia" w:ascii="宋体" w:hAnsi="宋体" w:eastAsia="宋体" w:cs="宋体"/>
                <w:b/>
                <w:bCs/>
                <w:color w:val="auto"/>
                <w:kern w:val="0"/>
                <w:sz w:val="24"/>
                <w:lang w:bidi="th-TH"/>
              </w:rPr>
            </w:pPr>
            <w:r>
              <w:rPr>
                <w:rFonts w:ascii="宋体" w:hAnsi="宋体" w:eastAsia="宋体" w:cs="宋体"/>
                <w:b/>
                <w:bCs/>
                <w:color w:val="auto"/>
                <w:kern w:val="0"/>
                <w:sz w:val="24"/>
                <w:lang w:bidi="th-TH"/>
              </w:rPr>
              <w:t>有创压</w:t>
            </w:r>
          </w:p>
        </w:tc>
        <w:tc>
          <w:tcPr>
            <w:tcW w:w="6180" w:type="dxa"/>
            <w:tcBorders>
              <w:top w:val="single" w:color="000000" w:sz="4" w:space="0"/>
              <w:left w:val="single" w:color="000000" w:sz="4" w:space="0"/>
              <w:bottom w:val="single" w:color="000000" w:sz="4" w:space="0"/>
              <w:right w:val="single" w:color="000000" w:sz="4" w:space="0"/>
            </w:tcBorders>
            <w:vAlign w:val="center"/>
          </w:tcPr>
          <w:p w14:paraId="4F6AEDDA">
            <w:pPr>
              <w:widowControl/>
              <w:rPr>
                <w:rFonts w:hint="eastAsia" w:ascii="宋体" w:hAnsi="宋体" w:eastAsia="宋体" w:cs="宋体"/>
                <w:color w:val="auto"/>
                <w:kern w:val="0"/>
                <w:sz w:val="24"/>
                <w:lang w:bidi="th-TH"/>
              </w:rPr>
            </w:pPr>
            <w:r>
              <w:rPr>
                <w:rFonts w:ascii="宋体" w:hAnsi="宋体" w:eastAsia="宋体" w:cs="宋体"/>
                <w:color w:val="auto"/>
                <w:kern w:val="0"/>
                <w:sz w:val="24"/>
                <w:lang w:bidi="th-TH"/>
              </w:rPr>
              <w:t>IBP 适配器双路电缆30 cm/1 ft</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23528FFB">
            <w:pPr>
              <w:jc w:val="center"/>
              <w:rPr>
                <w:rFonts w:hint="eastAsia" w:ascii="宋体" w:hAnsi="宋体" w:eastAsia="宋体"/>
                <w:color w:val="auto"/>
                <w:sz w:val="24"/>
              </w:rPr>
            </w:pPr>
            <w:r>
              <w:rPr>
                <w:rFonts w:hint="eastAsia" w:ascii="宋体" w:hAnsi="宋体" w:eastAsia="宋体"/>
                <w:color w:val="auto"/>
                <w:sz w:val="24"/>
              </w:rPr>
              <w:t>2</w:t>
            </w:r>
          </w:p>
        </w:tc>
      </w:tr>
      <w:tr w14:paraId="55EC8BDE">
        <w:tblPrEx>
          <w:tblCellMar>
            <w:top w:w="0" w:type="dxa"/>
            <w:left w:w="108" w:type="dxa"/>
            <w:bottom w:w="0" w:type="dxa"/>
            <w:right w:w="108" w:type="dxa"/>
          </w:tblCellMar>
        </w:tblPrEx>
        <w:trPr>
          <w:trHeight w:val="528" w:hRule="atLeast"/>
        </w:trPr>
        <w:tc>
          <w:tcPr>
            <w:tcW w:w="1464" w:type="dxa"/>
            <w:vMerge w:val="restart"/>
            <w:tcBorders>
              <w:top w:val="single" w:color="000000" w:sz="4" w:space="0"/>
              <w:left w:val="single" w:color="000000" w:sz="4" w:space="0"/>
              <w:bottom w:val="single" w:color="000000" w:sz="4" w:space="0"/>
              <w:right w:val="single" w:color="000000" w:sz="4" w:space="0"/>
            </w:tcBorders>
            <w:vAlign w:val="center"/>
          </w:tcPr>
          <w:p w14:paraId="25BB8DE7">
            <w:pPr>
              <w:widowControl/>
              <w:jc w:val="center"/>
              <w:rPr>
                <w:rFonts w:hint="eastAsia" w:ascii="宋体" w:hAnsi="宋体" w:eastAsia="宋体" w:cs="宋体"/>
                <w:b/>
                <w:bCs/>
                <w:color w:val="auto"/>
                <w:kern w:val="0"/>
                <w:sz w:val="24"/>
                <w:lang w:bidi="th-TH"/>
              </w:rPr>
            </w:pPr>
            <w:r>
              <w:rPr>
                <w:rFonts w:ascii="宋体" w:hAnsi="宋体" w:eastAsia="宋体" w:cs="宋体"/>
                <w:color w:val="auto"/>
                <w:kern w:val="0"/>
                <w:sz w:val="24"/>
                <w:lang w:bidi="th-TH"/>
              </w:rPr>
              <w:t>意识深度监测模块</w:t>
            </w:r>
          </w:p>
        </w:tc>
        <w:tc>
          <w:tcPr>
            <w:tcW w:w="6180" w:type="dxa"/>
            <w:tcBorders>
              <w:top w:val="single" w:color="000000" w:sz="4" w:space="0"/>
              <w:left w:val="single" w:color="000000" w:sz="4" w:space="0"/>
              <w:bottom w:val="single" w:color="000000" w:sz="4" w:space="0"/>
              <w:right w:val="single" w:color="000000" w:sz="4" w:space="0"/>
            </w:tcBorders>
            <w:vAlign w:val="center"/>
          </w:tcPr>
          <w:p w14:paraId="65062BF3">
            <w:pPr>
              <w:widowControl/>
              <w:rPr>
                <w:rFonts w:hint="eastAsia" w:ascii="宋体" w:hAnsi="宋体" w:eastAsia="宋体" w:cs="宋体"/>
                <w:color w:val="auto"/>
                <w:kern w:val="0"/>
                <w:sz w:val="24"/>
                <w:lang w:bidi="th-TH"/>
              </w:rPr>
            </w:pPr>
            <w:r>
              <w:rPr>
                <w:rFonts w:ascii="宋体" w:hAnsi="宋体" w:eastAsia="宋体" w:cs="宋体"/>
                <w:color w:val="auto"/>
                <w:kern w:val="0"/>
                <w:sz w:val="24"/>
                <w:lang w:bidi="th-TH"/>
              </w:rPr>
              <w:t>意识深度监测模块</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0EB24219">
            <w:pPr>
              <w:jc w:val="center"/>
              <w:rPr>
                <w:rFonts w:hint="eastAsia" w:ascii="宋体" w:hAnsi="宋体" w:eastAsia="宋体"/>
                <w:color w:val="auto"/>
                <w:sz w:val="24"/>
              </w:rPr>
            </w:pPr>
            <w:r>
              <w:rPr>
                <w:rFonts w:hint="eastAsia" w:ascii="宋体" w:hAnsi="宋体" w:eastAsia="宋体"/>
                <w:color w:val="auto"/>
                <w:sz w:val="24"/>
              </w:rPr>
              <w:t>2</w:t>
            </w:r>
          </w:p>
        </w:tc>
      </w:tr>
      <w:tr w14:paraId="01FC63B9">
        <w:tblPrEx>
          <w:tblCellMar>
            <w:top w:w="0" w:type="dxa"/>
            <w:left w:w="108" w:type="dxa"/>
            <w:bottom w:w="0" w:type="dxa"/>
            <w:right w:w="108" w:type="dxa"/>
          </w:tblCellMar>
        </w:tblPrEx>
        <w:trPr>
          <w:trHeight w:val="528" w:hRule="atLeast"/>
        </w:trPr>
        <w:tc>
          <w:tcPr>
            <w:tcW w:w="1464" w:type="dxa"/>
            <w:vMerge w:val="continue"/>
            <w:tcBorders>
              <w:top w:val="single" w:color="000000" w:sz="4" w:space="0"/>
              <w:left w:val="single" w:color="000000" w:sz="4" w:space="0"/>
              <w:bottom w:val="single" w:color="000000" w:sz="4" w:space="0"/>
              <w:right w:val="single" w:color="000000" w:sz="4" w:space="0"/>
            </w:tcBorders>
            <w:vAlign w:val="center"/>
          </w:tcPr>
          <w:p w14:paraId="0F61B728">
            <w:pPr>
              <w:widowControl/>
              <w:jc w:val="center"/>
              <w:rPr>
                <w:rFonts w:hint="eastAsia" w:ascii="宋体" w:hAnsi="宋体" w:eastAsia="宋体" w:cs="宋体"/>
                <w:b/>
                <w:bCs/>
                <w:color w:val="auto"/>
                <w:kern w:val="0"/>
                <w:sz w:val="24"/>
                <w:lang w:bidi="th-TH"/>
              </w:rPr>
            </w:pPr>
          </w:p>
        </w:tc>
        <w:tc>
          <w:tcPr>
            <w:tcW w:w="6180" w:type="dxa"/>
            <w:tcBorders>
              <w:top w:val="single" w:color="000000" w:sz="4" w:space="0"/>
              <w:left w:val="single" w:color="000000" w:sz="4" w:space="0"/>
              <w:bottom w:val="single" w:color="000000" w:sz="4" w:space="0"/>
              <w:right w:val="single" w:color="000000" w:sz="4" w:space="0"/>
            </w:tcBorders>
            <w:vAlign w:val="center"/>
          </w:tcPr>
          <w:p w14:paraId="358F1D5F">
            <w:pPr>
              <w:widowControl/>
              <w:rPr>
                <w:rFonts w:hint="eastAsia" w:ascii="宋体" w:hAnsi="宋体" w:eastAsia="宋体" w:cs="宋体"/>
                <w:color w:val="auto"/>
                <w:kern w:val="0"/>
                <w:sz w:val="24"/>
                <w:lang w:bidi="th-TH"/>
              </w:rPr>
            </w:pPr>
            <w:r>
              <w:rPr>
                <w:rFonts w:ascii="宋体" w:hAnsi="宋体" w:eastAsia="宋体" w:cs="宋体"/>
                <w:color w:val="auto"/>
                <w:kern w:val="0"/>
                <w:sz w:val="24"/>
                <w:lang w:bidi="th-TH"/>
              </w:rPr>
              <w:t>意识深度监测传感器电缆</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6F016EDE">
            <w:pPr>
              <w:jc w:val="center"/>
              <w:rPr>
                <w:rFonts w:hint="eastAsia" w:ascii="宋体" w:hAnsi="宋体" w:eastAsia="宋体"/>
                <w:color w:val="auto"/>
                <w:sz w:val="24"/>
              </w:rPr>
            </w:pPr>
            <w:r>
              <w:rPr>
                <w:rFonts w:hint="eastAsia" w:ascii="宋体" w:hAnsi="宋体" w:eastAsia="宋体"/>
                <w:color w:val="auto"/>
                <w:sz w:val="24"/>
              </w:rPr>
              <w:t>2</w:t>
            </w:r>
          </w:p>
        </w:tc>
      </w:tr>
      <w:tr w14:paraId="76EFF559">
        <w:tblPrEx>
          <w:tblCellMar>
            <w:top w:w="0" w:type="dxa"/>
            <w:left w:w="108" w:type="dxa"/>
            <w:bottom w:w="0" w:type="dxa"/>
            <w:right w:w="108" w:type="dxa"/>
          </w:tblCellMar>
        </w:tblPrEx>
        <w:trPr>
          <w:trHeight w:val="528" w:hRule="atLeast"/>
        </w:trPr>
        <w:tc>
          <w:tcPr>
            <w:tcW w:w="1464" w:type="dxa"/>
            <w:vMerge w:val="continue"/>
            <w:tcBorders>
              <w:top w:val="single" w:color="000000" w:sz="4" w:space="0"/>
              <w:left w:val="single" w:color="000000" w:sz="4" w:space="0"/>
              <w:bottom w:val="single" w:color="000000" w:sz="4" w:space="0"/>
              <w:right w:val="single" w:color="000000" w:sz="4" w:space="0"/>
            </w:tcBorders>
            <w:vAlign w:val="center"/>
          </w:tcPr>
          <w:p w14:paraId="626FC678">
            <w:pPr>
              <w:widowControl/>
              <w:jc w:val="center"/>
              <w:rPr>
                <w:rFonts w:hint="eastAsia" w:ascii="宋体" w:hAnsi="宋体" w:eastAsia="宋体" w:cs="宋体"/>
                <w:b/>
                <w:bCs/>
                <w:color w:val="auto"/>
                <w:kern w:val="0"/>
                <w:sz w:val="24"/>
                <w:lang w:bidi="th-TH"/>
              </w:rPr>
            </w:pPr>
          </w:p>
        </w:tc>
        <w:tc>
          <w:tcPr>
            <w:tcW w:w="6180" w:type="dxa"/>
            <w:tcBorders>
              <w:top w:val="single" w:color="000000" w:sz="4" w:space="0"/>
              <w:left w:val="single" w:color="000000" w:sz="4" w:space="0"/>
              <w:bottom w:val="single" w:color="000000" w:sz="4" w:space="0"/>
              <w:right w:val="single" w:color="000000" w:sz="4" w:space="0"/>
            </w:tcBorders>
            <w:vAlign w:val="center"/>
          </w:tcPr>
          <w:p w14:paraId="1837BD64">
            <w:pPr>
              <w:widowControl/>
              <w:rPr>
                <w:rFonts w:hint="eastAsia" w:ascii="宋体" w:hAnsi="宋体" w:eastAsia="宋体" w:cs="宋体"/>
                <w:color w:val="auto"/>
                <w:kern w:val="0"/>
                <w:sz w:val="24"/>
                <w:lang w:bidi="th-TH"/>
              </w:rPr>
            </w:pPr>
            <w:r>
              <w:rPr>
                <w:rFonts w:ascii="宋体" w:hAnsi="宋体" w:eastAsia="宋体" w:cs="宋体"/>
                <w:color w:val="auto"/>
                <w:kern w:val="0"/>
                <w:sz w:val="24"/>
                <w:lang w:bidi="th-TH"/>
              </w:rPr>
              <w:t>意识深度监测传感器/独立型/数量25枚</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15DFF20D">
            <w:pPr>
              <w:jc w:val="center"/>
              <w:rPr>
                <w:rFonts w:hint="eastAsia" w:ascii="宋体" w:hAnsi="宋体" w:eastAsia="宋体"/>
                <w:color w:val="auto"/>
                <w:sz w:val="24"/>
              </w:rPr>
            </w:pPr>
            <w:r>
              <w:rPr>
                <w:rFonts w:hint="eastAsia" w:ascii="宋体" w:hAnsi="宋体" w:eastAsia="宋体"/>
                <w:color w:val="auto"/>
                <w:sz w:val="24"/>
              </w:rPr>
              <w:t>2</w:t>
            </w:r>
          </w:p>
        </w:tc>
      </w:tr>
      <w:tr w14:paraId="32BC09C1">
        <w:tblPrEx>
          <w:tblCellMar>
            <w:top w:w="0" w:type="dxa"/>
            <w:left w:w="108" w:type="dxa"/>
            <w:bottom w:w="0" w:type="dxa"/>
            <w:right w:w="108" w:type="dxa"/>
          </w:tblCellMar>
        </w:tblPrEx>
        <w:trPr>
          <w:trHeight w:val="506" w:hRule="atLeast"/>
        </w:trPr>
        <w:tc>
          <w:tcPr>
            <w:tcW w:w="1464" w:type="dxa"/>
            <w:vMerge w:val="restart"/>
            <w:tcBorders>
              <w:top w:val="single" w:color="000000" w:sz="4" w:space="0"/>
              <w:left w:val="single" w:color="000000" w:sz="4" w:space="0"/>
              <w:bottom w:val="single" w:color="000000" w:sz="4" w:space="0"/>
              <w:right w:val="single" w:color="000000" w:sz="4" w:space="0"/>
            </w:tcBorders>
            <w:vAlign w:val="center"/>
          </w:tcPr>
          <w:p w14:paraId="1315686F">
            <w:pPr>
              <w:widowControl/>
              <w:jc w:val="center"/>
              <w:rPr>
                <w:rFonts w:hint="eastAsia" w:ascii="宋体" w:hAnsi="宋体" w:eastAsia="宋体" w:cs="宋体"/>
                <w:b/>
                <w:bCs/>
                <w:color w:val="auto"/>
                <w:kern w:val="0"/>
                <w:sz w:val="24"/>
                <w:lang w:bidi="th-TH"/>
              </w:rPr>
            </w:pPr>
            <w:r>
              <w:rPr>
                <w:rFonts w:ascii="宋体" w:hAnsi="宋体" w:eastAsia="宋体" w:cs="宋体"/>
                <w:color w:val="auto"/>
                <w:kern w:val="0"/>
                <w:sz w:val="24"/>
                <w:lang w:bidi="th-TH"/>
              </w:rPr>
              <w:t>神经肌电</w:t>
            </w:r>
            <w:r>
              <w:rPr>
                <w:rFonts w:ascii="宋体" w:hAnsi="宋体" w:eastAsia="宋体" w:cs="宋体"/>
                <w:b/>
                <w:bCs/>
                <w:color w:val="auto"/>
                <w:kern w:val="0"/>
                <w:sz w:val="24"/>
                <w:lang w:bidi="th-TH"/>
              </w:rPr>
              <w:t>模块</w:t>
            </w:r>
          </w:p>
        </w:tc>
        <w:tc>
          <w:tcPr>
            <w:tcW w:w="6180" w:type="dxa"/>
            <w:tcBorders>
              <w:top w:val="single" w:color="000000" w:sz="4" w:space="0"/>
              <w:left w:val="single" w:color="000000" w:sz="4" w:space="0"/>
              <w:bottom w:val="single" w:color="000000" w:sz="4" w:space="0"/>
              <w:right w:val="single" w:color="000000" w:sz="4" w:space="0"/>
            </w:tcBorders>
            <w:vAlign w:val="center"/>
          </w:tcPr>
          <w:p w14:paraId="6210AC6E">
            <w:pPr>
              <w:widowControl/>
              <w:rPr>
                <w:rFonts w:hint="eastAsia" w:ascii="宋体" w:hAnsi="宋体" w:eastAsia="宋体" w:cs="宋体"/>
                <w:color w:val="auto"/>
                <w:kern w:val="0"/>
                <w:sz w:val="24"/>
                <w:lang w:bidi="th-TH"/>
              </w:rPr>
            </w:pPr>
            <w:r>
              <w:rPr>
                <w:rFonts w:ascii="宋体" w:hAnsi="宋体" w:eastAsia="宋体" w:cs="宋体"/>
                <w:color w:val="auto"/>
                <w:kern w:val="0"/>
                <w:sz w:val="24"/>
                <w:lang w:bidi="th-TH"/>
              </w:rPr>
              <w:t>神经肌电传导监测模块</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239E089B">
            <w:pPr>
              <w:jc w:val="center"/>
              <w:rPr>
                <w:rFonts w:hint="eastAsia" w:ascii="宋体" w:hAnsi="宋体" w:eastAsia="宋体"/>
                <w:color w:val="auto"/>
                <w:sz w:val="24"/>
              </w:rPr>
            </w:pPr>
            <w:r>
              <w:rPr>
                <w:rFonts w:hint="eastAsia" w:ascii="宋体" w:hAnsi="宋体" w:eastAsia="宋体"/>
                <w:color w:val="auto"/>
                <w:sz w:val="24"/>
              </w:rPr>
              <w:t>2</w:t>
            </w:r>
          </w:p>
        </w:tc>
      </w:tr>
      <w:tr w14:paraId="129A4403">
        <w:tblPrEx>
          <w:tblCellMar>
            <w:top w:w="0" w:type="dxa"/>
            <w:left w:w="108" w:type="dxa"/>
            <w:bottom w:w="0" w:type="dxa"/>
            <w:right w:w="108" w:type="dxa"/>
          </w:tblCellMar>
        </w:tblPrEx>
        <w:trPr>
          <w:trHeight w:val="482" w:hRule="atLeast"/>
        </w:trPr>
        <w:tc>
          <w:tcPr>
            <w:tcW w:w="1464" w:type="dxa"/>
            <w:vMerge w:val="continue"/>
            <w:tcBorders>
              <w:top w:val="single" w:color="000000" w:sz="4" w:space="0"/>
              <w:left w:val="single" w:color="000000" w:sz="4" w:space="0"/>
              <w:bottom w:val="single" w:color="000000" w:sz="4" w:space="0"/>
              <w:right w:val="single" w:color="000000" w:sz="4" w:space="0"/>
            </w:tcBorders>
            <w:vAlign w:val="center"/>
          </w:tcPr>
          <w:p w14:paraId="49368912">
            <w:pPr>
              <w:widowControl/>
              <w:jc w:val="center"/>
              <w:rPr>
                <w:rFonts w:hint="eastAsia" w:ascii="宋体" w:hAnsi="宋体" w:eastAsia="宋体" w:cs="宋体"/>
                <w:b/>
                <w:bCs/>
                <w:color w:val="auto"/>
                <w:kern w:val="0"/>
                <w:sz w:val="24"/>
                <w:lang w:bidi="th-TH"/>
              </w:rPr>
            </w:pPr>
          </w:p>
        </w:tc>
        <w:tc>
          <w:tcPr>
            <w:tcW w:w="6180" w:type="dxa"/>
            <w:tcBorders>
              <w:top w:val="single" w:color="000000" w:sz="4" w:space="0"/>
              <w:left w:val="single" w:color="000000" w:sz="4" w:space="0"/>
              <w:bottom w:val="single" w:color="000000" w:sz="4" w:space="0"/>
              <w:right w:val="single" w:color="000000" w:sz="4" w:space="0"/>
            </w:tcBorders>
            <w:vAlign w:val="center"/>
          </w:tcPr>
          <w:p w14:paraId="1ECE5B12">
            <w:pPr>
              <w:widowControl/>
              <w:rPr>
                <w:rFonts w:hint="eastAsia" w:ascii="宋体" w:hAnsi="宋体" w:eastAsia="宋体" w:cs="宋体"/>
                <w:color w:val="auto"/>
                <w:kern w:val="0"/>
                <w:sz w:val="24"/>
                <w:lang w:bidi="th-TH"/>
              </w:rPr>
            </w:pPr>
            <w:r>
              <w:rPr>
                <w:rFonts w:ascii="宋体" w:hAnsi="宋体" w:eastAsia="宋体" w:cs="宋体"/>
                <w:color w:val="auto"/>
                <w:kern w:val="0"/>
                <w:sz w:val="24"/>
                <w:lang w:bidi="th-TH"/>
              </w:rPr>
              <w:t>神经肌电传导监测电缆</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7FD62511">
            <w:pPr>
              <w:jc w:val="center"/>
              <w:rPr>
                <w:rFonts w:hint="eastAsia" w:ascii="宋体" w:hAnsi="宋体" w:eastAsia="宋体"/>
                <w:color w:val="auto"/>
                <w:sz w:val="24"/>
              </w:rPr>
            </w:pPr>
            <w:r>
              <w:rPr>
                <w:rFonts w:hint="eastAsia" w:ascii="宋体" w:hAnsi="宋体" w:eastAsia="宋体"/>
                <w:color w:val="auto"/>
                <w:sz w:val="24"/>
              </w:rPr>
              <w:t>2</w:t>
            </w:r>
          </w:p>
        </w:tc>
      </w:tr>
      <w:tr w14:paraId="7B0A81E0">
        <w:tblPrEx>
          <w:tblCellMar>
            <w:top w:w="0" w:type="dxa"/>
            <w:left w:w="108" w:type="dxa"/>
            <w:bottom w:w="0" w:type="dxa"/>
            <w:right w:w="108" w:type="dxa"/>
          </w:tblCellMar>
        </w:tblPrEx>
        <w:trPr>
          <w:trHeight w:val="446" w:hRule="atLeast"/>
        </w:trPr>
        <w:tc>
          <w:tcPr>
            <w:tcW w:w="1464" w:type="dxa"/>
            <w:vMerge w:val="continue"/>
            <w:tcBorders>
              <w:top w:val="single" w:color="000000" w:sz="4" w:space="0"/>
              <w:left w:val="single" w:color="000000" w:sz="4" w:space="0"/>
              <w:bottom w:val="single" w:color="000000" w:sz="4" w:space="0"/>
              <w:right w:val="single" w:color="000000" w:sz="4" w:space="0"/>
            </w:tcBorders>
            <w:vAlign w:val="center"/>
          </w:tcPr>
          <w:p w14:paraId="08ACF0A6">
            <w:pPr>
              <w:widowControl/>
              <w:jc w:val="center"/>
              <w:rPr>
                <w:rFonts w:hint="eastAsia" w:ascii="宋体" w:hAnsi="宋体" w:eastAsia="宋体" w:cs="宋体"/>
                <w:b/>
                <w:bCs/>
                <w:color w:val="auto"/>
                <w:kern w:val="0"/>
                <w:sz w:val="24"/>
                <w:lang w:bidi="th-TH"/>
              </w:rPr>
            </w:pPr>
          </w:p>
        </w:tc>
        <w:tc>
          <w:tcPr>
            <w:tcW w:w="6180" w:type="dxa"/>
            <w:tcBorders>
              <w:top w:val="single" w:color="000000" w:sz="4" w:space="0"/>
              <w:left w:val="single" w:color="000000" w:sz="4" w:space="0"/>
              <w:bottom w:val="single" w:color="000000" w:sz="4" w:space="0"/>
              <w:right w:val="single" w:color="000000" w:sz="4" w:space="0"/>
            </w:tcBorders>
            <w:vAlign w:val="center"/>
          </w:tcPr>
          <w:p w14:paraId="77DB68E5">
            <w:pPr>
              <w:widowControl/>
              <w:rPr>
                <w:rFonts w:hint="eastAsia" w:ascii="宋体" w:hAnsi="宋体" w:eastAsia="宋体" w:cs="宋体"/>
                <w:color w:val="auto"/>
                <w:kern w:val="0"/>
                <w:sz w:val="24"/>
                <w:lang w:bidi="th-TH"/>
              </w:rPr>
            </w:pPr>
            <w:r>
              <w:rPr>
                <w:rFonts w:ascii="宋体" w:hAnsi="宋体" w:eastAsia="宋体" w:cs="宋体"/>
                <w:color w:val="auto"/>
                <w:kern w:val="0"/>
                <w:sz w:val="24"/>
                <w:lang w:bidi="th-TH"/>
              </w:rPr>
              <w:t>神经肌电传导监测传感器</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2D6E7095">
            <w:pPr>
              <w:jc w:val="center"/>
              <w:rPr>
                <w:rFonts w:hint="eastAsia" w:ascii="宋体" w:hAnsi="宋体" w:eastAsia="宋体"/>
                <w:color w:val="auto"/>
                <w:sz w:val="24"/>
              </w:rPr>
            </w:pPr>
            <w:r>
              <w:rPr>
                <w:rFonts w:hint="eastAsia" w:ascii="宋体" w:hAnsi="宋体" w:eastAsia="宋体"/>
                <w:color w:val="auto"/>
                <w:sz w:val="24"/>
              </w:rPr>
              <w:t>2</w:t>
            </w:r>
          </w:p>
        </w:tc>
      </w:tr>
      <w:tr w14:paraId="2B6F0215">
        <w:tblPrEx>
          <w:tblCellMar>
            <w:top w:w="0" w:type="dxa"/>
            <w:left w:w="108" w:type="dxa"/>
            <w:bottom w:w="0" w:type="dxa"/>
            <w:right w:w="108" w:type="dxa"/>
          </w:tblCellMar>
        </w:tblPrEx>
        <w:trPr>
          <w:trHeight w:val="482" w:hRule="atLeast"/>
        </w:trPr>
        <w:tc>
          <w:tcPr>
            <w:tcW w:w="1464" w:type="dxa"/>
            <w:vMerge w:val="continue"/>
            <w:tcBorders>
              <w:top w:val="single" w:color="000000" w:sz="4" w:space="0"/>
              <w:left w:val="single" w:color="000000" w:sz="4" w:space="0"/>
              <w:bottom w:val="single" w:color="000000" w:sz="4" w:space="0"/>
              <w:right w:val="single" w:color="000000" w:sz="4" w:space="0"/>
            </w:tcBorders>
            <w:vAlign w:val="center"/>
          </w:tcPr>
          <w:p w14:paraId="45D772FB">
            <w:pPr>
              <w:widowControl/>
              <w:jc w:val="center"/>
              <w:rPr>
                <w:rFonts w:hint="eastAsia" w:ascii="宋体" w:hAnsi="宋体" w:eastAsia="宋体" w:cs="宋体"/>
                <w:b/>
                <w:bCs/>
                <w:color w:val="auto"/>
                <w:kern w:val="0"/>
                <w:sz w:val="24"/>
                <w:lang w:bidi="th-TH"/>
              </w:rPr>
            </w:pPr>
          </w:p>
        </w:tc>
        <w:tc>
          <w:tcPr>
            <w:tcW w:w="6180" w:type="dxa"/>
            <w:tcBorders>
              <w:top w:val="single" w:color="000000" w:sz="4" w:space="0"/>
              <w:left w:val="single" w:color="000000" w:sz="4" w:space="0"/>
              <w:bottom w:val="single" w:color="000000" w:sz="4" w:space="0"/>
              <w:right w:val="single" w:color="000000" w:sz="4" w:space="0"/>
            </w:tcBorders>
            <w:vAlign w:val="center"/>
          </w:tcPr>
          <w:p w14:paraId="4E94DE0F">
            <w:pPr>
              <w:widowControl/>
              <w:rPr>
                <w:rFonts w:hint="eastAsia" w:ascii="宋体" w:hAnsi="宋体" w:eastAsia="宋体" w:cs="宋体"/>
                <w:color w:val="auto"/>
                <w:kern w:val="0"/>
                <w:sz w:val="24"/>
                <w:lang w:bidi="th-TH"/>
              </w:rPr>
            </w:pPr>
            <w:r>
              <w:rPr>
                <w:rFonts w:ascii="宋体" w:hAnsi="宋体" w:eastAsia="宋体" w:cs="宋体"/>
                <w:color w:val="auto"/>
                <w:kern w:val="0"/>
                <w:sz w:val="24"/>
                <w:lang w:bidi="th-TH"/>
              </w:rPr>
              <w:t>神经肌电传导监测电极片/数量30枚</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16A97EE3">
            <w:pPr>
              <w:jc w:val="center"/>
              <w:rPr>
                <w:rFonts w:hint="eastAsia" w:ascii="宋体" w:hAnsi="宋体" w:eastAsia="宋体"/>
                <w:color w:val="auto"/>
                <w:sz w:val="24"/>
              </w:rPr>
            </w:pPr>
            <w:r>
              <w:rPr>
                <w:rFonts w:hint="eastAsia" w:ascii="宋体" w:hAnsi="宋体" w:eastAsia="宋体"/>
                <w:color w:val="auto"/>
                <w:sz w:val="24"/>
              </w:rPr>
              <w:t>2</w:t>
            </w:r>
          </w:p>
        </w:tc>
      </w:tr>
      <w:tr w14:paraId="59B07F5C">
        <w:tblPrEx>
          <w:tblCellMar>
            <w:top w:w="0" w:type="dxa"/>
            <w:left w:w="108" w:type="dxa"/>
            <w:bottom w:w="0" w:type="dxa"/>
            <w:right w:w="108" w:type="dxa"/>
          </w:tblCellMar>
        </w:tblPrEx>
        <w:trPr>
          <w:trHeight w:val="506" w:hRule="atLeast"/>
        </w:trPr>
        <w:tc>
          <w:tcPr>
            <w:tcW w:w="1464" w:type="dxa"/>
            <w:tcBorders>
              <w:top w:val="single" w:color="000000" w:sz="4" w:space="0"/>
              <w:left w:val="single" w:color="000000" w:sz="4" w:space="0"/>
              <w:bottom w:val="single" w:color="000000" w:sz="4" w:space="0"/>
              <w:right w:val="single" w:color="000000" w:sz="4" w:space="0"/>
            </w:tcBorders>
            <w:vAlign w:val="center"/>
          </w:tcPr>
          <w:p w14:paraId="0B5902D9">
            <w:pPr>
              <w:widowControl/>
              <w:jc w:val="center"/>
              <w:rPr>
                <w:rFonts w:hint="eastAsia" w:ascii="宋体" w:hAnsi="宋体" w:eastAsia="宋体" w:cs="宋体"/>
                <w:b/>
                <w:bCs/>
                <w:color w:val="auto"/>
                <w:kern w:val="0"/>
                <w:sz w:val="24"/>
                <w:lang w:bidi="th-TH"/>
              </w:rPr>
            </w:pPr>
            <w:r>
              <w:rPr>
                <w:rFonts w:hint="eastAsia" w:ascii="宋体" w:hAnsi="宋体" w:eastAsia="宋体" w:cs="宋体"/>
                <w:b/>
                <w:bCs/>
                <w:color w:val="auto"/>
                <w:kern w:val="0"/>
                <w:sz w:val="24"/>
                <w:lang w:bidi="th-TH"/>
              </w:rPr>
              <w:t>配套设备</w:t>
            </w:r>
          </w:p>
        </w:tc>
        <w:tc>
          <w:tcPr>
            <w:tcW w:w="6180" w:type="dxa"/>
            <w:tcBorders>
              <w:top w:val="single" w:color="000000" w:sz="4" w:space="0"/>
              <w:left w:val="single" w:color="000000" w:sz="4" w:space="0"/>
              <w:bottom w:val="single" w:color="000000" w:sz="4" w:space="0"/>
              <w:right w:val="single" w:color="000000" w:sz="4" w:space="0"/>
            </w:tcBorders>
            <w:vAlign w:val="center"/>
          </w:tcPr>
          <w:p w14:paraId="3A82D908">
            <w:pPr>
              <w:widowControl/>
              <w:rPr>
                <w:rFonts w:hint="eastAsia" w:ascii="宋体" w:hAnsi="宋体" w:eastAsia="宋体" w:cs="宋体"/>
                <w:color w:val="auto"/>
                <w:kern w:val="0"/>
                <w:sz w:val="24"/>
                <w:lang w:bidi="th-TH"/>
              </w:rPr>
            </w:pPr>
            <w:r>
              <w:rPr>
                <w:rFonts w:hint="eastAsia" w:ascii="宋体" w:hAnsi="宋体" w:eastAsia="宋体" w:cs="宋体"/>
                <w:color w:val="auto"/>
                <w:kern w:val="0"/>
                <w:sz w:val="24"/>
                <w:lang w:bidi="th-TH"/>
              </w:rPr>
              <w:t>转运用小监护仪</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498C4885">
            <w:pPr>
              <w:jc w:val="center"/>
              <w:rPr>
                <w:rFonts w:hint="eastAsia" w:ascii="宋体" w:hAnsi="宋体" w:eastAsia="宋体"/>
                <w:color w:val="auto"/>
                <w:sz w:val="24"/>
              </w:rPr>
            </w:pPr>
            <w:r>
              <w:rPr>
                <w:rFonts w:hint="eastAsia" w:ascii="宋体" w:hAnsi="宋体" w:eastAsia="宋体"/>
                <w:color w:val="auto"/>
                <w:sz w:val="24"/>
              </w:rPr>
              <w:t>2</w:t>
            </w:r>
          </w:p>
        </w:tc>
      </w:tr>
      <w:tr w14:paraId="58C388A4">
        <w:tblPrEx>
          <w:tblCellMar>
            <w:top w:w="0" w:type="dxa"/>
            <w:left w:w="108" w:type="dxa"/>
            <w:bottom w:w="0" w:type="dxa"/>
            <w:right w:w="108" w:type="dxa"/>
          </w:tblCellMar>
        </w:tblPrEx>
        <w:trPr>
          <w:trHeight w:val="504" w:hRule="atLeast"/>
        </w:trPr>
        <w:tc>
          <w:tcPr>
            <w:tcW w:w="1464" w:type="dxa"/>
            <w:tcBorders>
              <w:top w:val="single" w:color="000000" w:sz="4" w:space="0"/>
              <w:left w:val="single" w:color="000000" w:sz="4" w:space="0"/>
              <w:bottom w:val="single" w:color="000000" w:sz="4" w:space="0"/>
              <w:right w:val="single" w:color="000000" w:sz="4" w:space="0"/>
            </w:tcBorders>
            <w:vAlign w:val="center"/>
          </w:tcPr>
          <w:p w14:paraId="38AEB193">
            <w:pPr>
              <w:widowControl/>
              <w:jc w:val="center"/>
              <w:rPr>
                <w:rFonts w:hint="eastAsia" w:ascii="宋体" w:hAnsi="宋体" w:eastAsia="宋体" w:cs="宋体"/>
                <w:b/>
                <w:bCs/>
                <w:color w:val="auto"/>
                <w:kern w:val="0"/>
                <w:sz w:val="24"/>
                <w:lang w:bidi="th-TH"/>
              </w:rPr>
            </w:pPr>
            <w:r>
              <w:rPr>
                <w:rFonts w:hint="eastAsia" w:ascii="宋体" w:hAnsi="宋体" w:eastAsia="宋体" w:cs="宋体"/>
                <w:b/>
                <w:bCs/>
                <w:color w:val="auto"/>
                <w:kern w:val="0"/>
                <w:sz w:val="24"/>
                <w:lang w:bidi="th-TH"/>
              </w:rPr>
              <w:t>配套设备</w:t>
            </w:r>
          </w:p>
        </w:tc>
        <w:tc>
          <w:tcPr>
            <w:tcW w:w="6180" w:type="dxa"/>
            <w:tcBorders>
              <w:top w:val="single" w:color="000000" w:sz="4" w:space="0"/>
              <w:left w:val="single" w:color="000000" w:sz="4" w:space="0"/>
              <w:bottom w:val="single" w:color="000000" w:sz="4" w:space="0"/>
              <w:right w:val="single" w:color="000000" w:sz="4" w:space="0"/>
            </w:tcBorders>
            <w:vAlign w:val="center"/>
          </w:tcPr>
          <w:p w14:paraId="65376E62">
            <w:pPr>
              <w:widowControl/>
              <w:rPr>
                <w:rFonts w:hint="eastAsia" w:ascii="宋体" w:hAnsi="宋体" w:eastAsia="宋体" w:cs="宋体"/>
                <w:color w:val="auto"/>
                <w:kern w:val="0"/>
                <w:sz w:val="24"/>
                <w:lang w:bidi="th-TH"/>
              </w:rPr>
            </w:pPr>
            <w:r>
              <w:rPr>
                <w:rFonts w:hint="eastAsia" w:ascii="宋体" w:hAnsi="宋体" w:eastAsia="宋体" w:cs="宋体"/>
                <w:color w:val="auto"/>
                <w:kern w:val="0"/>
                <w:sz w:val="24"/>
                <w:lang w:bidi="th-TH"/>
              </w:rPr>
              <w:t>主机监护仪的显示器</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4485C613">
            <w:pPr>
              <w:jc w:val="center"/>
              <w:rPr>
                <w:rFonts w:hint="eastAsia" w:ascii="宋体" w:hAnsi="宋体" w:eastAsia="宋体"/>
                <w:color w:val="auto"/>
                <w:sz w:val="24"/>
              </w:rPr>
            </w:pPr>
            <w:r>
              <w:rPr>
                <w:rFonts w:hint="eastAsia" w:ascii="宋体" w:hAnsi="宋体" w:eastAsia="宋体"/>
                <w:color w:val="auto"/>
                <w:sz w:val="24"/>
              </w:rPr>
              <w:t>1</w:t>
            </w:r>
          </w:p>
        </w:tc>
      </w:tr>
    </w:tbl>
    <w:p w14:paraId="712E6636">
      <w:pPr>
        <w:snapToGrid w:val="0"/>
        <w:spacing w:line="360" w:lineRule="auto"/>
        <w:jc w:val="left"/>
        <w:rPr>
          <w:rFonts w:hint="eastAsia" w:ascii="宋体" w:hAnsi="宋体" w:eastAsia="宋体" w:cs="宋体"/>
          <w:color w:val="auto"/>
          <w:sz w:val="24"/>
        </w:rPr>
      </w:pPr>
    </w:p>
    <w:p w14:paraId="7BE35E77">
      <w:pPr>
        <w:snapToGrid w:val="0"/>
        <w:spacing w:line="360" w:lineRule="auto"/>
        <w:jc w:val="left"/>
        <w:rPr>
          <w:rFonts w:hint="eastAsia" w:ascii="宋体" w:hAnsi="宋体" w:eastAsia="宋体" w:cs="宋体"/>
          <w:color w:val="auto"/>
          <w:sz w:val="24"/>
        </w:rPr>
      </w:pPr>
    </w:p>
    <w:p w14:paraId="72731AC9">
      <w:pPr>
        <w:snapToGrid w:val="0"/>
        <w:spacing w:line="360" w:lineRule="auto"/>
        <w:jc w:val="center"/>
        <w:rPr>
          <w:rFonts w:hint="eastAsia" w:ascii="宋体" w:hAnsi="宋体" w:eastAsia="宋体" w:cs="宋体"/>
          <w:b/>
          <w:bCs/>
          <w:color w:val="auto"/>
          <w:sz w:val="24"/>
        </w:rPr>
      </w:pPr>
      <w:r>
        <w:rPr>
          <w:rFonts w:hint="eastAsia" w:ascii="宋体" w:hAnsi="宋体" w:eastAsia="宋体" w:cs="宋体"/>
          <w:b/>
          <w:bCs/>
          <w:color w:val="auto"/>
          <w:kern w:val="0"/>
          <w:sz w:val="24"/>
        </w:rPr>
        <w:t>11、麻醉机2技术参数</w:t>
      </w:r>
      <w:r>
        <w:rPr>
          <w:rFonts w:hint="eastAsia" w:ascii="宋体" w:hAnsi="宋体" w:eastAsia="宋体" w:cs="宋体"/>
          <w:b/>
          <w:bCs/>
          <w:color w:val="auto"/>
          <w:sz w:val="24"/>
        </w:rPr>
        <w:t>要求</w:t>
      </w:r>
    </w:p>
    <w:p w14:paraId="1B73CBD5">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1、主要规格和系统概述</w:t>
      </w:r>
    </w:p>
    <w:p w14:paraId="445F65F2">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1.1、适用于成人、儿童和新生儿麻醉。</w:t>
      </w:r>
    </w:p>
    <w:p w14:paraId="1AD6DE44">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1.2、整机技术标准按麻醉工作站设计：所有参数、波形由一体化彩色大屏幕同屏显示，无须外接屏幕。</w:t>
      </w:r>
    </w:p>
    <w:p w14:paraId="40199904">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1.3、配置第二状态显示屏：显示气源，主电源和电池，气道压力和时间等信息。</w:t>
      </w:r>
    </w:p>
    <w:p w14:paraId="310FFEC7">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1.4、标配备用手动通气模式：触摸屏或呼吸机故障时，可直接切换到手动通气，在保留新鲜气体和麻药持续输送的同时还能继续气体和通气的监测。</w:t>
      </w:r>
    </w:p>
    <w:p w14:paraId="4DADE758">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1.5、麻醉安全：气源故障时麻醉保障：在中央气源和钢瓶供气中断的情况下可抽取室内空气，呼吸机继续进行机械通气，保证病人安全</w:t>
      </w:r>
    </w:p>
    <w:p w14:paraId="2390E6A6">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2、技术参数</w:t>
      </w:r>
    </w:p>
    <w:p w14:paraId="08ED3351">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2.1、气体输送系统</w:t>
      </w:r>
    </w:p>
    <w:p w14:paraId="0ED66912">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2.1.1电子流量监测装置，数值和虚拟流量计显示，总流量管可显示所有新鲜气体的总流量</w:t>
      </w:r>
      <w:r>
        <w:rPr>
          <w:rFonts w:ascii="宋体" w:hAnsi="宋体" w:cs="宋体"/>
          <w:color w:val="auto"/>
        </w:rPr>
        <w:t>；</w:t>
      </w:r>
    </w:p>
    <w:p w14:paraId="52898552">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2.1.2 可分别设置每种新鲜气体的流量，新鲜气体流量的设置范围：0–15 L/min。</w:t>
      </w:r>
    </w:p>
    <w:p w14:paraId="00CC73F5">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2.1.3电子流量监测装置在关机时也能输送氧气和麻药用于进行手动通气</w:t>
      </w:r>
      <w:r>
        <w:rPr>
          <w:rFonts w:ascii="宋体" w:hAnsi="宋体" w:cs="宋体"/>
          <w:color w:val="auto"/>
        </w:rPr>
        <w:t>。</w:t>
      </w:r>
    </w:p>
    <w:p w14:paraId="3E893753">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2.2、麻醉呼吸机</w:t>
      </w:r>
    </w:p>
    <w:p w14:paraId="311C4345">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w:t>
      </w:r>
      <w:r>
        <w:rPr>
          <w:rFonts w:ascii="宋体" w:hAnsi="宋体" w:eastAsia="宋体" w:cs="宋体"/>
          <w:color w:val="auto"/>
          <w:sz w:val="24"/>
        </w:rPr>
        <w:t xml:space="preserve">2.2.1、驱动方式：非风箱式驱动，保障潮气量的精准 </w:t>
      </w:r>
    </w:p>
    <w:p w14:paraId="244D8463">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2.2.2、采用新鲜气体隔离技术，确保潮气量输送不受新鲜气体流量变化的影响。</w:t>
      </w:r>
    </w:p>
    <w:p w14:paraId="4CDC8708">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2.2.3、呼吸机使用时无需驱动气体，节省科室成本</w:t>
      </w:r>
    </w:p>
    <w:p w14:paraId="4335192B">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2.2.4、呼吸机在中央气源故障和气源失控的极端条件下可继续工作，帮助医生从容应对突发事件，保证患者安全</w:t>
      </w:r>
    </w:p>
    <w:p w14:paraId="67136999">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2.2.5、通气模式：手动/自主、容量控制模式、压力控制模式，待机和暂停模式（一键暂停，便于术中操作），SIMV-VC、SIMV-PC、、CPAP/PSV（带后备窒息通气）以及 SIMV-VC/PS、 SIMV-PC/PS 模式。</w:t>
      </w:r>
    </w:p>
    <w:p w14:paraId="6EC710C2">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2.2.6、暂停模式：独立的通气模式，可一键暂停新鲜气体和麻药的输送。通过“计时器”功能还能设置暂停持续的时间，到时及时报警提示医生切换通气模式。在术中进行吸痰，调整插管位置，移动患者等操作时，可防止麻醉气体通过开放的Y 型接头对室内空气的污染。</w:t>
      </w:r>
    </w:p>
    <w:p w14:paraId="65DADE2E">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2.2.7、容量控制模式下潮气量设定范围: 5 - 1500 ml</w:t>
      </w:r>
    </w:p>
    <w:p w14:paraId="188A86B8">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2.2.8、可升级容量控制下最小设置潮气量5ml，支持小潮气量手术</w:t>
      </w:r>
    </w:p>
    <w:p w14:paraId="155F0BED">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2.2.9、吸气压力Pinsp : (PEEP + 5) - 80 cmH2O（压力模式下）</w:t>
      </w:r>
    </w:p>
    <w:p w14:paraId="7A5936B8">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2.2.10、呼气末正压PEEP：关，2 - 35 cmH2O</w:t>
      </w:r>
    </w:p>
    <w:p w14:paraId="4B9536D1">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2.2.11、呼吸频率: 3 - 100 次/分</w:t>
      </w:r>
    </w:p>
    <w:p w14:paraId="3664C113">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2.2.12、吸气时间：0.2 - 10 秒</w:t>
      </w:r>
    </w:p>
    <w:p w14:paraId="524FC4E0">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w:t>
      </w:r>
      <w:r>
        <w:rPr>
          <w:rFonts w:ascii="宋体" w:hAnsi="宋体" w:eastAsia="宋体" w:cs="宋体"/>
          <w:color w:val="auto"/>
          <w:sz w:val="24"/>
        </w:rPr>
        <w:t>2.2.13、吸呼比：1:49 - 49:1（源于频率和吸气时间）</w:t>
      </w:r>
    </w:p>
    <w:p w14:paraId="5940B072">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2.2.14、最大吸气流速：电动电控式驱动≥160 L/min 或非风箱式驱动≥200 L/min，保障患者的氧合和肺泡充分打开</w:t>
      </w:r>
    </w:p>
    <w:p w14:paraId="21BDF4E9">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 xml:space="preserve">2.2.15、麻醉师可以在麻醉机直接输入病人的身高，麻醉机自动计算理想体重并据此自动预设相关的通气参数和报警阈值； </w:t>
      </w:r>
    </w:p>
    <w:p w14:paraId="0F694CEA">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2.2.16、主动式电子PEEP阀，呼气相维持稳定PEEP，避免肺泡塌陷</w:t>
      </w:r>
    </w:p>
    <w:p w14:paraId="55B85E4F">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3、呼吸回路：</w:t>
      </w:r>
    </w:p>
    <w:p w14:paraId="1D06EA79">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3.1、集成呼吸回路，耐137℃高温蒸汽灭菌；所有回路模块不含天然乳胶。</w:t>
      </w:r>
    </w:p>
    <w:p w14:paraId="2D5DDB68">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3.2</w:t>
      </w:r>
      <w:r>
        <w:rPr>
          <w:rFonts w:hint="eastAsia" w:ascii="宋体" w:hAnsi="宋体" w:eastAsia="宋体" w:cs="宋体"/>
          <w:color w:val="auto"/>
          <w:sz w:val="24"/>
        </w:rPr>
        <w:t>、</w:t>
      </w:r>
      <w:r>
        <w:rPr>
          <w:rFonts w:ascii="宋体" w:hAnsi="宋体" w:eastAsia="宋体" w:cs="宋体"/>
          <w:color w:val="auto"/>
          <w:sz w:val="24"/>
        </w:rPr>
        <w:t>呼吸系统总容量：≤ 3.6 升</w:t>
      </w:r>
      <w:bookmarkStart w:id="5" w:name="_GoBack"/>
      <w:bookmarkEnd w:id="5"/>
      <w:r>
        <w:rPr>
          <w:rFonts w:ascii="宋体" w:hAnsi="宋体" w:eastAsia="宋体" w:cs="宋体"/>
          <w:color w:val="auto"/>
          <w:sz w:val="24"/>
        </w:rPr>
        <w:t>（包括可重复使用钠石灰罐容量1.5 升）</w:t>
      </w:r>
    </w:p>
    <w:p w14:paraId="04B6E825">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3.3、一体化的回路主动加热系统（可关闭），防止呼吸回路积水。</w:t>
      </w:r>
    </w:p>
    <w:p w14:paraId="77F4923A">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3.4、组件少，拆装无需工具，机器内部流量传感器≤2 个。</w:t>
      </w:r>
    </w:p>
    <w:p w14:paraId="7C9AC383">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3.5</w:t>
      </w:r>
      <w:r>
        <w:rPr>
          <w:rFonts w:hint="eastAsia" w:ascii="宋体" w:hAnsi="宋体" w:eastAsia="宋体" w:cs="宋体"/>
          <w:color w:val="auto"/>
          <w:sz w:val="24"/>
        </w:rPr>
        <w:t>、</w:t>
      </w:r>
      <w:r>
        <w:rPr>
          <w:rFonts w:ascii="宋体" w:hAnsi="宋体" w:eastAsia="宋体" w:cs="宋体"/>
          <w:color w:val="auto"/>
          <w:sz w:val="24"/>
        </w:rPr>
        <w:t>手动和机械通气无需专用手动切换装置，APL 阀调节范围：开放，5 - 70 cmH2O 。</w:t>
      </w:r>
    </w:p>
    <w:p w14:paraId="584B6FF3">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★3.6、标配5 个高精度非压差式流量传感器，全自动标定，流量传感器徒手可拆卸，无需工具。</w:t>
      </w:r>
    </w:p>
    <w:p w14:paraId="6112A4C0">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3.7、手术过程中，医生可直接更换流量传感器，保障手术的安全性。</w:t>
      </w:r>
    </w:p>
    <w:p w14:paraId="23475409">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3.8、流量传感器故障时，也能确保准确的容量输送，保障麻醉的安全性</w:t>
      </w:r>
    </w:p>
    <w:p w14:paraId="026FA189">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3.9、同一品牌 CO2 吸收罐容量1.5 升</w:t>
      </w:r>
    </w:p>
    <w:p w14:paraId="0F94A418">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3.10、标配主动式麻醉废气排放装置（AGSS），可监测负压吸引的状态（过高，合适，过低），具有采样气体排放接口便于使用第三方气体监测设备。</w:t>
      </w:r>
    </w:p>
    <w:p w14:paraId="5467DD59">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4、麻醉气体挥发罐</w:t>
      </w:r>
    </w:p>
    <w:p w14:paraId="2FA38BC1">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4.1、挥发罐与麻醉机主机为同一厂家生产。</w:t>
      </w:r>
    </w:p>
    <w:p w14:paraId="30353E96">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4.2、挥发罐具有压力、流量、温度自动补偿；密闭性好，无需排空转运。</w:t>
      </w:r>
    </w:p>
    <w:p w14:paraId="05AEC14F">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★4.3、配置一个原厂同品牌七氟醚挥发罐（加药量≥360 毫升），可选配原厂同品牌地氟醚挥发罐。</w:t>
      </w:r>
    </w:p>
    <w:p w14:paraId="1C3AABC0">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4.4、只需出厂一次定标，终身免维护。</w:t>
      </w:r>
    </w:p>
    <w:p w14:paraId="11DB9322">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4.5、能够满足低/微流量麻醉对挥发罐精确度的要求，流量补偿范围在0.2 - 15L/min。</w:t>
      </w:r>
    </w:p>
    <w:p w14:paraId="2FA8438A">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5、监测和报警</w:t>
      </w:r>
    </w:p>
    <w:p w14:paraId="6533C3D9">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5.1、一体化内置式≥15 英寸彩色触摸幕（非外挂），可快捷切换3 种配置视图；</w:t>
      </w:r>
    </w:p>
    <w:p w14:paraId="0DED36F3">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5.2</w:t>
      </w:r>
      <w:r>
        <w:rPr>
          <w:rFonts w:hint="eastAsia" w:ascii="宋体" w:hAnsi="宋体" w:eastAsia="宋体" w:cs="宋体"/>
          <w:color w:val="auto"/>
          <w:sz w:val="24"/>
        </w:rPr>
        <w:t>、</w:t>
      </w:r>
      <w:r>
        <w:rPr>
          <w:rFonts w:ascii="宋体" w:hAnsi="宋体" w:eastAsia="宋体" w:cs="宋体"/>
          <w:color w:val="auto"/>
          <w:sz w:val="24"/>
        </w:rPr>
        <w:t>全自动的开机自检，用户可选择全或部分自检功能，既能保证安全的使用，又能保证紧急抢救时的快速启动。</w:t>
      </w:r>
    </w:p>
    <w:p w14:paraId="6061B6F5">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5.3、全自动的顺应性和泄漏测试，自动标定所有传感器。</w:t>
      </w:r>
    </w:p>
    <w:p w14:paraId="1FB4B510">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5.4</w:t>
      </w:r>
      <w:r>
        <w:rPr>
          <w:rFonts w:hint="eastAsia" w:ascii="宋体" w:hAnsi="宋体" w:eastAsia="宋体" w:cs="宋体"/>
          <w:color w:val="auto"/>
          <w:sz w:val="24"/>
        </w:rPr>
        <w:t>、</w:t>
      </w:r>
      <w:r>
        <w:rPr>
          <w:rFonts w:ascii="宋体" w:hAnsi="宋体" w:eastAsia="宋体" w:cs="宋体"/>
          <w:color w:val="auto"/>
          <w:sz w:val="24"/>
        </w:rPr>
        <w:t>实时显示3 道波形。</w:t>
      </w:r>
    </w:p>
    <w:p w14:paraId="7292FB67">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5.5</w:t>
      </w:r>
      <w:r>
        <w:rPr>
          <w:rFonts w:hint="eastAsia" w:ascii="宋体" w:hAnsi="宋体" w:eastAsia="宋体" w:cs="宋体"/>
          <w:color w:val="auto"/>
          <w:sz w:val="24"/>
        </w:rPr>
        <w:t>、</w:t>
      </w:r>
      <w:r>
        <w:rPr>
          <w:rFonts w:ascii="宋体" w:hAnsi="宋体" w:eastAsia="宋体" w:cs="宋体"/>
          <w:color w:val="auto"/>
          <w:sz w:val="24"/>
        </w:rPr>
        <w:t>日志中最多可保存20000 个条目，关机后再开机或出现电源故障后，日志中的条目仍然保留不会被删除。</w:t>
      </w:r>
    </w:p>
    <w:p w14:paraId="0BC3A165">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5.6、通气监测参数：分钟通气量（MV）和潮气量（VT 和ΔVT）；呼吸频率；气道压（峰压、平台压、平均压、PEEP）；动态顺应性（Cdyn）；阻力（R）；弹性（E）。</w:t>
      </w:r>
    </w:p>
    <w:p w14:paraId="6B1366A5">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5.7、监测范围：压力：-20 - 99 cmH2O；潮气量监测范围：0 - 2500 mL；顺应性: 0 -200 mL/ cmH2O；阻力：0 - 100 cmH2O/L/s；弹性：0.005 - 10 mL/ cmH2O。</w:t>
      </w:r>
    </w:p>
    <w:p w14:paraId="6255C8AB">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5.8、报警参数：氧浓度、潮气量、分钟通气量、窒息报警、气道压力报警等。</w:t>
      </w:r>
    </w:p>
    <w:p w14:paraId="1000245C">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5.9、自动设置报警限值功能：可一键自动调节所有报警的设置限值。按压相应按键后，机器自动根据预先设定的百分比对报警的上下限进行调整，便于医生方便，快速，适当地调节报警限值。</w:t>
      </w:r>
    </w:p>
    <w:p w14:paraId="707FA7E6">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5.10、CBM 模式（心脏旁路模式）用于在使用体外循环机时抑制相应报警。</w:t>
      </w:r>
    </w:p>
    <w:p w14:paraId="6C591185">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6、其它要求</w:t>
      </w:r>
    </w:p>
    <w:p w14:paraId="30021BF8">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6.1、内置后备电池，断电情况下麻醉机可继续工作。</w:t>
      </w:r>
    </w:p>
    <w:p w14:paraId="5BF7CE49">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★6.2</w:t>
      </w:r>
      <w:r>
        <w:rPr>
          <w:rFonts w:hint="eastAsia" w:ascii="宋体" w:hAnsi="宋体" w:eastAsia="宋体" w:cs="宋体"/>
          <w:color w:val="auto"/>
          <w:sz w:val="24"/>
        </w:rPr>
        <w:t>、</w:t>
      </w:r>
      <w:r>
        <w:rPr>
          <w:rFonts w:ascii="宋体" w:hAnsi="宋体" w:eastAsia="宋体" w:cs="宋体"/>
          <w:color w:val="auto"/>
          <w:sz w:val="24"/>
        </w:rPr>
        <w:t>电源：100-240伏特。</w:t>
      </w:r>
    </w:p>
    <w:p w14:paraId="4CB1B484">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6.3</w:t>
      </w:r>
      <w:r>
        <w:rPr>
          <w:rFonts w:hint="eastAsia" w:ascii="宋体" w:hAnsi="宋体" w:eastAsia="宋体" w:cs="宋体"/>
          <w:color w:val="auto"/>
          <w:sz w:val="24"/>
        </w:rPr>
        <w:t>、</w:t>
      </w:r>
      <w:r>
        <w:rPr>
          <w:rFonts w:ascii="宋体" w:hAnsi="宋体" w:eastAsia="宋体" w:cs="宋体"/>
          <w:color w:val="auto"/>
          <w:sz w:val="24"/>
        </w:rPr>
        <w:t>传输协议：Medibus X。</w:t>
      </w:r>
    </w:p>
    <w:p w14:paraId="5866F84E">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6.4</w:t>
      </w:r>
      <w:r>
        <w:rPr>
          <w:rFonts w:hint="eastAsia" w:ascii="宋体" w:hAnsi="宋体" w:eastAsia="宋体" w:cs="宋体"/>
          <w:color w:val="auto"/>
          <w:sz w:val="24"/>
        </w:rPr>
        <w:t>、</w:t>
      </w:r>
      <w:r>
        <w:rPr>
          <w:rFonts w:ascii="宋体" w:hAnsi="宋体" w:eastAsia="宋体" w:cs="宋体"/>
          <w:color w:val="auto"/>
          <w:sz w:val="24"/>
        </w:rPr>
        <w:t>接口</w:t>
      </w:r>
      <w:r>
        <w:rPr>
          <w:rFonts w:hint="eastAsia" w:ascii="宋体" w:hAnsi="宋体" w:eastAsia="宋体" w:cs="宋体"/>
          <w:color w:val="auto"/>
          <w:sz w:val="24"/>
        </w:rPr>
        <w:t>至少包含</w:t>
      </w:r>
      <w:r>
        <w:rPr>
          <w:rFonts w:ascii="宋体" w:hAnsi="宋体" w:eastAsia="宋体" w:cs="宋体"/>
          <w:color w:val="auto"/>
          <w:sz w:val="24"/>
        </w:rPr>
        <w:t>：标配2个RS232，1个USB，1个RJ45。</w:t>
      </w:r>
    </w:p>
    <w:p w14:paraId="44D786A8">
      <w:pPr>
        <w:snapToGrid w:val="0"/>
        <w:spacing w:line="360" w:lineRule="auto"/>
        <w:jc w:val="center"/>
        <w:rPr>
          <w:rFonts w:hint="eastAsia" w:ascii="宋体" w:hAnsi="宋体" w:eastAsia="宋体" w:cs="宋体"/>
          <w:color w:val="auto"/>
          <w:sz w:val="24"/>
        </w:rPr>
      </w:pPr>
      <w:r>
        <w:rPr>
          <w:rFonts w:hint="eastAsia" w:ascii="宋体" w:hAnsi="宋体" w:eastAsia="宋体" w:cs="宋体"/>
          <w:b/>
          <w:bCs/>
          <w:color w:val="auto"/>
          <w:kern w:val="0"/>
          <w:sz w:val="24"/>
        </w:rPr>
        <w:t>12、</w:t>
      </w:r>
      <w:r>
        <w:rPr>
          <w:rFonts w:ascii="宋体" w:hAnsi="宋体" w:eastAsia="宋体" w:cs="宋体"/>
          <w:b/>
          <w:bCs/>
          <w:color w:val="auto"/>
          <w:kern w:val="0"/>
          <w:sz w:val="24"/>
        </w:rPr>
        <w:t>可麻</w:t>
      </w:r>
      <w:r>
        <w:rPr>
          <w:rFonts w:hint="eastAsia" w:ascii="宋体" w:hAnsi="宋体" w:eastAsia="宋体" w:cs="宋体"/>
          <w:b/>
          <w:bCs/>
          <w:color w:val="auto"/>
          <w:kern w:val="0"/>
          <w:sz w:val="24"/>
        </w:rPr>
        <w:t>监护仪2技术参数</w:t>
      </w:r>
      <w:r>
        <w:rPr>
          <w:rFonts w:hint="eastAsia" w:ascii="宋体" w:hAnsi="宋体" w:eastAsia="宋体" w:cs="宋体"/>
          <w:b/>
          <w:bCs/>
          <w:color w:val="auto"/>
          <w:sz w:val="24"/>
        </w:rPr>
        <w:t>要求</w:t>
      </w:r>
    </w:p>
    <w:p w14:paraId="7A345B6A">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≥15英寸彩色TFT触摸屏，≥10通道，提供大字体显示功能，同屏支持≥12道波形显示</w:t>
      </w:r>
    </w:p>
    <w:p w14:paraId="45A3E713">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w:t>
      </w:r>
      <w:r>
        <w:rPr>
          <w:rFonts w:ascii="宋体" w:hAnsi="宋体" w:eastAsia="宋体" w:cs="宋体"/>
          <w:color w:val="auto"/>
          <w:sz w:val="24"/>
        </w:rPr>
        <w:t>单个通道可至少同时显示趋势、波形和参数</w:t>
      </w:r>
    </w:p>
    <w:p w14:paraId="3BE48E28">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3、</w:t>
      </w:r>
      <w:r>
        <w:rPr>
          <w:rFonts w:ascii="宋体" w:hAnsi="宋体" w:eastAsia="宋体" w:cs="宋体"/>
          <w:color w:val="auto"/>
          <w:sz w:val="24"/>
        </w:rPr>
        <w:t>提供屏幕布局自定义功能，可同屏显示NIBP测量历史记录</w:t>
      </w:r>
    </w:p>
    <w:p w14:paraId="4A2E6E98">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4、</w:t>
      </w:r>
      <w:r>
        <w:rPr>
          <w:rFonts w:ascii="宋体" w:hAnsi="宋体" w:eastAsia="宋体" w:cs="宋体"/>
          <w:color w:val="auto"/>
          <w:sz w:val="24"/>
        </w:rPr>
        <w:t>提供新生儿呼吸氧合图（OxyCRG）</w:t>
      </w:r>
    </w:p>
    <w:p w14:paraId="7255A3C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w:t>
      </w:r>
      <w:r>
        <w:rPr>
          <w:rFonts w:ascii="宋体" w:hAnsi="宋体" w:eastAsia="宋体" w:cs="宋体"/>
          <w:color w:val="auto"/>
          <w:sz w:val="24"/>
        </w:rPr>
        <w:t>数据存储：可存储≥240小时趋势数据，所有参数均可以表格或图形格式存储同时支持≥1200 个NIBP 测量数据、≥200 个参数报警事件和≥200个心律失常事件的存储</w:t>
      </w:r>
    </w:p>
    <w:p w14:paraId="5A79962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w:t>
      </w:r>
      <w:r>
        <w:rPr>
          <w:rFonts w:ascii="宋体" w:hAnsi="宋体" w:eastAsia="宋体" w:cs="宋体"/>
          <w:color w:val="auto"/>
          <w:sz w:val="24"/>
        </w:rPr>
        <w:t>数据回顾：提供全部监护参数≥144小时趋势数据回顾，≥1200 个NIBP 测量数据、≥200 个参数报警事件和≥200个心律失常事件的回顾</w:t>
      </w:r>
    </w:p>
    <w:p w14:paraId="05818C11">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7、</w:t>
      </w:r>
      <w:r>
        <w:rPr>
          <w:rFonts w:ascii="宋体" w:hAnsi="宋体" w:eastAsia="宋体" w:cs="宋体"/>
          <w:color w:val="auto"/>
          <w:sz w:val="24"/>
        </w:rPr>
        <w:t>全息波形回顾：提供≥96小时全息波形回顾功能</w:t>
      </w:r>
    </w:p>
    <w:p w14:paraId="660EBAA5">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8、</w:t>
      </w:r>
      <w:r>
        <w:rPr>
          <w:rFonts w:ascii="宋体" w:hAnsi="宋体" w:eastAsia="宋体" w:cs="宋体"/>
          <w:color w:val="auto"/>
          <w:sz w:val="24"/>
        </w:rPr>
        <w:t>各类接口：至少提供1个VGA输出接口、1个Medibus/X接口、1个AG scio模块接口、1个以太网口、2个USB接口、1个模拟输出、护士呼叫系统和同步除颤接口</w:t>
      </w:r>
    </w:p>
    <w:p w14:paraId="202AAFA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9、</w:t>
      </w:r>
      <w:r>
        <w:rPr>
          <w:rFonts w:ascii="宋体" w:hAnsi="宋体" w:eastAsia="宋体" w:cs="宋体"/>
          <w:color w:val="auto"/>
          <w:sz w:val="24"/>
        </w:rPr>
        <w:t>提供参数报警记录、趋势记录、药物计算、滴定表记录和回顾记录。</w:t>
      </w:r>
    </w:p>
    <w:p w14:paraId="20A23FF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10、</w:t>
      </w:r>
      <w:r>
        <w:rPr>
          <w:rFonts w:ascii="宋体" w:hAnsi="宋体" w:eastAsia="宋体" w:cs="宋体"/>
          <w:color w:val="auto"/>
          <w:sz w:val="24"/>
        </w:rPr>
        <w:t>心电监测：提供ECG 5导联、标配3/5导联ST段分析，同时标注ST段改变程度，≥5道心电波形同屏显示；心率测量范围：成人：15 bpm 到 300 bpm，小儿/新生儿：15 bpm 到 350 bpm、提供≥15种高级心律失常分析</w:t>
      </w:r>
    </w:p>
    <w:p w14:paraId="0B7D92F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11、</w:t>
      </w:r>
      <w:r>
        <w:rPr>
          <w:rFonts w:ascii="宋体" w:hAnsi="宋体" w:eastAsia="宋体" w:cs="宋体"/>
          <w:color w:val="auto"/>
          <w:sz w:val="24"/>
        </w:rPr>
        <w:t>呼吸监测：呼吸导联：I 或 II、测量方法：胸阻抗法</w:t>
      </w:r>
    </w:p>
    <w:p w14:paraId="6B7C0790">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12、</w:t>
      </w:r>
      <w:r>
        <w:rPr>
          <w:rFonts w:ascii="宋体" w:hAnsi="宋体" w:eastAsia="宋体" w:cs="宋体"/>
          <w:color w:val="auto"/>
          <w:sz w:val="24"/>
        </w:rPr>
        <w:t>无创血压监测：采用示波法或科氏音法；测量模式包括手动、自动、连续；参数显示包括收缩压、舒张压、平均压</w:t>
      </w:r>
    </w:p>
    <w:p w14:paraId="103B067E">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13、</w:t>
      </w:r>
      <w:r>
        <w:rPr>
          <w:rFonts w:ascii="宋体" w:hAnsi="宋体" w:eastAsia="宋体" w:cs="宋体"/>
          <w:color w:val="auto"/>
          <w:sz w:val="24"/>
        </w:rPr>
        <w:t>体温监测：提供双通道体温支持温差测量；可测量位置：皮肤、口腔、直肠；测量范围：0 ℃到 45 ℃</w:t>
      </w:r>
    </w:p>
    <w:p w14:paraId="4374C7E5">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14、</w:t>
      </w:r>
      <w:r>
        <w:rPr>
          <w:rFonts w:ascii="宋体" w:hAnsi="宋体" w:eastAsia="宋体" w:cs="宋体"/>
          <w:color w:val="auto"/>
          <w:sz w:val="24"/>
        </w:rPr>
        <w:t>脉搏血氧饱和度：测量范围：0% 到 100%、可测量灌注指数（PI），测量范围：0-10、SPO2灵敏度可调</w:t>
      </w:r>
    </w:p>
    <w:p w14:paraId="722577E7">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w:t>
      </w:r>
      <w:r>
        <w:rPr>
          <w:rFonts w:hint="eastAsia" w:ascii="宋体" w:hAnsi="宋体" w:eastAsia="宋体" w:cs="宋体"/>
          <w:color w:val="auto"/>
          <w:sz w:val="24"/>
        </w:rPr>
        <w:t>15、标配</w:t>
      </w:r>
      <w:r>
        <w:rPr>
          <w:rFonts w:ascii="宋体" w:hAnsi="宋体" w:eastAsia="宋体" w:cs="宋体"/>
          <w:color w:val="auto"/>
          <w:sz w:val="24"/>
        </w:rPr>
        <w:t>≥</w:t>
      </w:r>
      <w:r>
        <w:rPr>
          <w:rFonts w:hint="eastAsia" w:ascii="宋体" w:hAnsi="宋体" w:eastAsia="宋体" w:cs="宋体"/>
          <w:color w:val="auto"/>
          <w:sz w:val="24"/>
        </w:rPr>
        <w:t>3道</w:t>
      </w:r>
      <w:r>
        <w:rPr>
          <w:rFonts w:ascii="宋体" w:hAnsi="宋体" w:eastAsia="宋体" w:cs="宋体"/>
          <w:color w:val="auto"/>
          <w:sz w:val="24"/>
        </w:rPr>
        <w:t>有创血压集成于主机一体，</w:t>
      </w:r>
      <w:r>
        <w:rPr>
          <w:rFonts w:hint="eastAsia" w:ascii="宋体" w:hAnsi="宋体" w:eastAsia="宋体" w:cs="宋体"/>
          <w:color w:val="auto"/>
          <w:sz w:val="24"/>
        </w:rPr>
        <w:t>非模块化。</w:t>
      </w:r>
    </w:p>
    <w:p w14:paraId="2275BF5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16、有创血压</w:t>
      </w:r>
      <w:r>
        <w:rPr>
          <w:rFonts w:ascii="宋体" w:hAnsi="宋体" w:eastAsia="宋体" w:cs="宋体"/>
          <w:color w:val="auto"/>
          <w:sz w:val="24"/>
        </w:rPr>
        <w:t>测量范围：-50 — 300 mmHg、压力标签至少包括 ART动脉压，PA肺动脉压，CVP中心静脉压，RAP右心房压， LAP左心房压， ICP颅内压</w:t>
      </w:r>
    </w:p>
    <w:p w14:paraId="1A3A7880">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17</w:t>
      </w:r>
      <w:r>
        <w:rPr>
          <w:rFonts w:hint="eastAsia" w:ascii="宋体" w:hAnsi="宋体" w:eastAsia="宋体" w:cs="宋体"/>
          <w:color w:val="auto"/>
          <w:sz w:val="24"/>
        </w:rPr>
        <w:t>、</w:t>
      </w:r>
      <w:r>
        <w:rPr>
          <w:rFonts w:ascii="宋体" w:hAnsi="宋体" w:eastAsia="宋体" w:cs="宋体"/>
          <w:color w:val="auto"/>
          <w:sz w:val="24"/>
        </w:rPr>
        <w:t>呼末二氧化碳：主流etCO2、测量方法  红外吸收技术、测量范围 主流etCO2: 0mmHg至 150mmHg、可测量etCO2呼末二氧化碳浓度，FiCO2吸入二氧化碳浓度，AwRR呼吸速率</w:t>
      </w:r>
    </w:p>
    <w:p w14:paraId="502D7EB2">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18</w:t>
      </w:r>
      <w:r>
        <w:rPr>
          <w:rFonts w:hint="eastAsia" w:ascii="宋体" w:hAnsi="宋体" w:eastAsia="宋体" w:cs="宋体"/>
          <w:color w:val="auto"/>
          <w:sz w:val="24"/>
        </w:rPr>
        <w:t>、</w:t>
      </w:r>
      <w:r>
        <w:rPr>
          <w:rFonts w:ascii="宋体" w:hAnsi="宋体" w:eastAsia="宋体" w:cs="宋体"/>
          <w:color w:val="auto"/>
          <w:sz w:val="24"/>
        </w:rPr>
        <w:t>可设定大气压补偿，氧气补偿，平衡气体补偿和麻醉气体补偿</w:t>
      </w:r>
    </w:p>
    <w:p w14:paraId="7C625557">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19</w:t>
      </w:r>
      <w:r>
        <w:rPr>
          <w:rFonts w:hint="eastAsia" w:ascii="宋体" w:hAnsi="宋体" w:eastAsia="宋体" w:cs="宋体"/>
          <w:color w:val="auto"/>
          <w:sz w:val="24"/>
        </w:rPr>
        <w:t>、</w:t>
      </w:r>
      <w:r>
        <w:rPr>
          <w:rFonts w:ascii="宋体" w:hAnsi="宋体" w:eastAsia="宋体" w:cs="宋体"/>
          <w:color w:val="auto"/>
          <w:sz w:val="24"/>
        </w:rPr>
        <w:t>提供监护仪显示麻醉机辅助下呼吸力学功能：至少包括平均气道压，呼气末正压，吸气峰压，呼吸频率，吸气潮气量，潮气量，吸气分钟通气量，分钟通气量，呼气末二氧化碳，吸入二氧化碳浓度，呼出氧浓度，吸入氧浓度 ，最低肺泡浓度、显示麻醉机波形：气道压力，流量，二氧化碳，氧气、包含呼吸环信息：流量-容积环，压力-容积环≥15.6英寸医用级电容彩色触摸宽屏（16:10），显示器分辨率：≥1366 x 768像素。</w:t>
      </w:r>
    </w:p>
    <w:p w14:paraId="716414E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20、</w:t>
      </w:r>
      <w:r>
        <w:rPr>
          <w:rFonts w:ascii="宋体" w:hAnsi="宋体" w:eastAsia="宋体" w:cs="宋体"/>
          <w:color w:val="auto"/>
          <w:sz w:val="24"/>
        </w:rPr>
        <w:t>配置清单</w:t>
      </w:r>
    </w:p>
    <w:p w14:paraId="2F5D7A0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20</w:t>
      </w:r>
      <w:r>
        <w:rPr>
          <w:rFonts w:ascii="宋体" w:hAnsi="宋体" w:eastAsia="宋体" w:cs="宋体"/>
          <w:color w:val="auto"/>
          <w:sz w:val="24"/>
        </w:rPr>
        <w:t>.1麻醉工作站：1台</w:t>
      </w:r>
    </w:p>
    <w:p w14:paraId="301FF0B5">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20</w:t>
      </w:r>
      <w:r>
        <w:rPr>
          <w:rFonts w:ascii="宋体" w:hAnsi="宋体" w:eastAsia="宋体" w:cs="宋体"/>
          <w:color w:val="auto"/>
          <w:sz w:val="24"/>
        </w:rPr>
        <w:t>.2车架：1台</w:t>
      </w:r>
    </w:p>
    <w:p w14:paraId="54621B21">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20</w:t>
      </w:r>
      <w:r>
        <w:rPr>
          <w:rFonts w:ascii="宋体" w:hAnsi="宋体" w:eastAsia="宋体" w:cs="宋体"/>
          <w:color w:val="auto"/>
          <w:sz w:val="24"/>
        </w:rPr>
        <w:t>.3主动式麻醉废气排放系统：1个</w:t>
      </w:r>
    </w:p>
    <w:p w14:paraId="52B7B6DA">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20</w:t>
      </w:r>
      <w:r>
        <w:rPr>
          <w:rFonts w:ascii="宋体" w:hAnsi="宋体" w:eastAsia="宋体" w:cs="宋体"/>
          <w:color w:val="auto"/>
          <w:sz w:val="24"/>
        </w:rPr>
        <w:t>.4流量传感器：1盒（5个/盒）</w:t>
      </w:r>
    </w:p>
    <w:p w14:paraId="6CEE9851">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20</w:t>
      </w:r>
      <w:r>
        <w:rPr>
          <w:rFonts w:ascii="宋体" w:hAnsi="宋体" w:eastAsia="宋体" w:cs="宋体"/>
          <w:color w:val="auto"/>
          <w:sz w:val="24"/>
        </w:rPr>
        <w:t>.5一次性麻醉回路含一次性皮囊：1箱</w:t>
      </w:r>
    </w:p>
    <w:p w14:paraId="18565470">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20</w:t>
      </w:r>
      <w:r>
        <w:rPr>
          <w:rFonts w:ascii="宋体" w:hAnsi="宋体" w:eastAsia="宋体" w:cs="宋体"/>
          <w:color w:val="auto"/>
          <w:sz w:val="24"/>
        </w:rPr>
        <w:t>.6一体化气体监测模块：1个</w:t>
      </w:r>
    </w:p>
    <w:p w14:paraId="42F20DA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20</w:t>
      </w:r>
      <w:r>
        <w:rPr>
          <w:rFonts w:ascii="宋体" w:hAnsi="宋体" w:eastAsia="宋体" w:cs="宋体"/>
          <w:color w:val="auto"/>
          <w:sz w:val="24"/>
        </w:rPr>
        <w:t>.7麻醉气体挥发罐：</w:t>
      </w:r>
      <w:r>
        <w:rPr>
          <w:rFonts w:hint="eastAsia" w:ascii="宋体" w:hAnsi="宋体" w:eastAsia="宋体" w:cs="宋体"/>
          <w:color w:val="auto"/>
          <w:sz w:val="24"/>
        </w:rPr>
        <w:t>1</w:t>
      </w:r>
      <w:r>
        <w:rPr>
          <w:rFonts w:ascii="宋体" w:hAnsi="宋体" w:eastAsia="宋体" w:cs="宋体"/>
          <w:color w:val="auto"/>
          <w:sz w:val="24"/>
        </w:rPr>
        <w:t>套</w:t>
      </w:r>
    </w:p>
    <w:p w14:paraId="5B0285A6">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20</w:t>
      </w:r>
      <w:r>
        <w:rPr>
          <w:rFonts w:ascii="宋体" w:hAnsi="宋体" w:eastAsia="宋体" w:cs="宋体"/>
          <w:color w:val="auto"/>
          <w:sz w:val="24"/>
        </w:rPr>
        <w:t>.8生命监护仪：1套</w:t>
      </w:r>
    </w:p>
    <w:p w14:paraId="6442D1AF">
      <w:pPr>
        <w:snapToGrid w:val="0"/>
        <w:spacing w:line="360" w:lineRule="auto"/>
        <w:rPr>
          <w:rFonts w:hint="eastAsia" w:ascii="宋体" w:hAnsi="宋体" w:eastAsia="宋体" w:cs="宋体"/>
          <w:color w:val="auto"/>
          <w:sz w:val="24"/>
        </w:rPr>
      </w:pPr>
    </w:p>
    <w:p w14:paraId="4273CDF6">
      <w:pPr>
        <w:widowControl/>
        <w:jc w:val="left"/>
        <w:rPr>
          <w:rFonts w:hint="eastAsia" w:ascii="宋体" w:hAnsi="宋体" w:eastAsia="宋体" w:cs="宋体"/>
          <w:b/>
          <w:bCs/>
          <w:color w:val="auto"/>
          <w:kern w:val="0"/>
          <w:sz w:val="24"/>
        </w:rPr>
      </w:pPr>
      <w:r>
        <w:rPr>
          <w:rFonts w:hint="eastAsia" w:ascii="宋体" w:hAnsi="宋体" w:cs="Arial"/>
          <w:b/>
          <w:color w:val="auto"/>
          <w:sz w:val="28"/>
          <w:szCs w:val="28"/>
        </w:rPr>
        <w:t>三、售后服务要求</w:t>
      </w:r>
    </w:p>
    <w:p w14:paraId="1505E021">
      <w:pPr>
        <w:widowControl/>
        <w:numPr>
          <w:ilvl w:val="0"/>
          <w:numId w:val="3"/>
        </w:numPr>
        <w:jc w:val="left"/>
        <w:rPr>
          <w:rFonts w:hint="eastAsia" w:ascii="宋体" w:hAnsi="宋体" w:cs="Arial"/>
          <w:bCs/>
          <w:color w:val="auto"/>
          <w:sz w:val="24"/>
        </w:rPr>
      </w:pPr>
      <w:r>
        <w:rPr>
          <w:rFonts w:hint="eastAsia" w:ascii="宋体" w:hAnsi="宋体" w:cs="Arial"/>
          <w:bCs/>
          <w:color w:val="auto"/>
          <w:sz w:val="24"/>
        </w:rPr>
        <w:t>供应商或原厂在国内设立专业的维修机构。</w:t>
      </w:r>
    </w:p>
    <w:p w14:paraId="57A6F337">
      <w:pPr>
        <w:numPr>
          <w:ilvl w:val="0"/>
          <w:numId w:val="3"/>
        </w:numPr>
        <w:spacing w:line="400" w:lineRule="exact"/>
        <w:rPr>
          <w:rFonts w:hint="eastAsia" w:ascii="宋体" w:hAnsi="宋体" w:cs="Arial"/>
          <w:bCs/>
          <w:color w:val="auto"/>
          <w:sz w:val="24"/>
        </w:rPr>
      </w:pPr>
      <w:r>
        <w:rPr>
          <w:rFonts w:hint="eastAsia" w:ascii="宋体" w:hAnsi="宋体" w:cs="Arial"/>
          <w:bCs/>
          <w:color w:val="auto"/>
          <w:sz w:val="24"/>
        </w:rPr>
        <w:t>质保期限要求：如无特殊要求，本标包所有投标产品交付采购人并经验收通过后3年。</w:t>
      </w:r>
    </w:p>
    <w:p w14:paraId="7E28D43B">
      <w:pPr>
        <w:numPr>
          <w:ilvl w:val="0"/>
          <w:numId w:val="3"/>
        </w:numPr>
        <w:spacing w:line="400" w:lineRule="exact"/>
        <w:rPr>
          <w:rFonts w:hint="eastAsia" w:ascii="宋体" w:hAnsi="宋体" w:cs="Arial"/>
          <w:bCs/>
          <w:color w:val="auto"/>
          <w:sz w:val="24"/>
        </w:rPr>
      </w:pPr>
      <w:r>
        <w:rPr>
          <w:rFonts w:hint="eastAsia" w:ascii="宋体" w:hAnsi="宋体" w:cs="Arial"/>
          <w:bCs/>
          <w:color w:val="auto"/>
          <w:sz w:val="24"/>
        </w:rPr>
        <w:t>履约验收要求：项目履约验收工作具体依据项目合同中的履约验收方案执行。合同中的履约验收方案将明确履约验收的主体、时间、方式、程序、内容和验收标准等事项。</w:t>
      </w:r>
    </w:p>
    <w:p w14:paraId="5F753E29">
      <w:pPr>
        <w:numPr>
          <w:ilvl w:val="0"/>
          <w:numId w:val="3"/>
        </w:numPr>
        <w:spacing w:line="400" w:lineRule="exact"/>
        <w:rPr>
          <w:rFonts w:hint="eastAsia" w:ascii="宋体" w:hAnsi="宋体" w:cs="Arial"/>
          <w:bCs/>
          <w:color w:val="auto"/>
          <w:sz w:val="24"/>
        </w:rPr>
      </w:pPr>
      <w:r>
        <w:rPr>
          <w:rFonts w:hint="eastAsia" w:ascii="宋体" w:hAnsi="宋体" w:cs="Arial"/>
          <w:bCs/>
          <w:color w:val="auto"/>
          <w:sz w:val="24"/>
        </w:rPr>
        <w:t>供应商需提供设备安装需要的基建要求，包括场地面积、承重、层高、用电等情况（如有）。设备安装验收后提供免费培训服务，提供与设备相关的操作手册和使用说明书。</w:t>
      </w:r>
    </w:p>
    <w:p w14:paraId="1816AFB8">
      <w:pPr>
        <w:numPr>
          <w:ilvl w:val="0"/>
          <w:numId w:val="3"/>
        </w:numPr>
        <w:spacing w:line="400" w:lineRule="exact"/>
        <w:rPr>
          <w:rFonts w:hint="eastAsia" w:ascii="宋体" w:hAnsi="宋体" w:cs="Arial"/>
          <w:bCs/>
          <w:color w:val="auto"/>
          <w:sz w:val="24"/>
        </w:rPr>
      </w:pPr>
      <w:r>
        <w:rPr>
          <w:rFonts w:hint="eastAsia" w:ascii="宋体" w:hAnsi="宋体" w:cs="Arial"/>
          <w:bCs/>
          <w:color w:val="auto"/>
          <w:sz w:val="24"/>
        </w:rPr>
        <w:t>供应商需承诺设备接口免费开放，免费接入医院综合运营系统，如有端口费用由中标方承担。</w:t>
      </w:r>
    </w:p>
    <w:p w14:paraId="35D45E5D">
      <w:pPr>
        <w:numPr>
          <w:ilvl w:val="0"/>
          <w:numId w:val="3"/>
        </w:numPr>
        <w:spacing w:line="400" w:lineRule="exact"/>
        <w:rPr>
          <w:rFonts w:hint="eastAsia" w:ascii="宋体" w:hAnsi="宋体" w:cs="Arial"/>
          <w:bCs/>
          <w:color w:val="auto"/>
          <w:sz w:val="24"/>
        </w:rPr>
      </w:pPr>
      <w:r>
        <w:rPr>
          <w:rFonts w:hint="eastAsia" w:ascii="宋体" w:hAnsi="宋体" w:cs="Arial"/>
          <w:bCs/>
          <w:color w:val="auto"/>
          <w:sz w:val="24"/>
        </w:rPr>
        <w:t>本次报价包含设备费用、安装调试费、运输费、包装费、税金等完成本项目所需要的所有费用。</w:t>
      </w:r>
    </w:p>
    <w:p w14:paraId="38BCBDEA">
      <w:pPr>
        <w:numPr>
          <w:ilvl w:val="0"/>
          <w:numId w:val="3"/>
        </w:numPr>
        <w:spacing w:line="360" w:lineRule="auto"/>
        <w:rPr>
          <w:rFonts w:hint="eastAsia" w:ascii="宋体" w:hAnsi="宋体" w:cs="Arial"/>
          <w:bCs/>
          <w:color w:val="auto"/>
          <w:sz w:val="24"/>
        </w:rPr>
      </w:pPr>
      <w:r>
        <w:rPr>
          <w:rFonts w:hint="eastAsia" w:ascii="宋体" w:hAnsi="宋体" w:cs="Arial"/>
          <w:bCs/>
          <w:color w:val="auto"/>
          <w:sz w:val="24"/>
        </w:rPr>
        <w:t>后续的全生命周期成本及备品备件采购价格情况等相关说明。</w:t>
      </w:r>
    </w:p>
    <w:p w14:paraId="02B8437C">
      <w:pPr>
        <w:numPr>
          <w:ilvl w:val="0"/>
          <w:numId w:val="3"/>
        </w:numPr>
        <w:spacing w:line="400" w:lineRule="exact"/>
        <w:rPr>
          <w:rFonts w:hint="eastAsia" w:ascii="宋体" w:hAnsi="宋体" w:eastAsia="宋体" w:cs="宋体"/>
          <w:color w:val="auto"/>
          <w:sz w:val="24"/>
        </w:rPr>
      </w:pPr>
      <w:r>
        <w:rPr>
          <w:rFonts w:hint="eastAsia" w:ascii="宋体" w:hAnsi="宋体" w:cs="Arial"/>
          <w:bCs/>
          <w:color w:val="auto"/>
          <w:sz w:val="24"/>
        </w:rPr>
        <w:t>本项目需由供应商提供设计方案、解决方案或者组织方案以及技术支持资料。</w:t>
      </w:r>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B377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2089C2">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52089C2">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F985B">
    <w:pPr>
      <w:pStyle w:val="5"/>
      <w:pBdr>
        <w:bottom w:val="none" w:color="auto" w:sz="0" w:space="0"/>
      </w:pBdr>
      <w:jc w:val="both"/>
      <w:rPr>
        <w:rFonts w:hint="eastAsia"/>
        <w:lang w:val="en-US" w:eastAsia="zh-CN"/>
      </w:rPr>
    </w:pPr>
    <w:r>
      <w:rPr>
        <w:rFonts w:hint="eastAsia"/>
        <w:lang w:val="en-US" w:eastAsia="zh-CN"/>
      </w:rPr>
      <w:t>ZC20260146      上海市光华中西医结合医院所需手术室、特检、眼科等一批医疗设备公开招标项目</w:t>
    </w:r>
  </w:p>
  <w:p w14:paraId="0D34208A">
    <w:pPr>
      <w:pStyle w:val="5"/>
      <w:pBdr>
        <w:bottom w:val="single" w:color="auto" w:sz="4" w:space="0"/>
      </w:pBdr>
      <w:tabs>
        <w:tab w:val="center" w:pos="4213"/>
        <w:tab w:val="left" w:pos="5725"/>
      </w:tabs>
      <w:jc w:val="left"/>
      <w:rPr>
        <w:rFonts w:hint="default" w:eastAsiaTheme="minorEastAsia"/>
        <w:lang w:val="en-US" w:eastAsia="zh-CN"/>
      </w:rPr>
    </w:pPr>
    <w:r>
      <w:rPr>
        <w:rFonts w:hint="eastAsia"/>
        <w:lang w:val="en-US" w:eastAsia="zh-CN"/>
      </w:rPr>
      <w:tab/>
    </w:r>
    <w:r>
      <w:rPr>
        <w:rFonts w:hint="eastAsia"/>
        <w:lang w:val="en-US" w:eastAsia="zh-CN"/>
      </w:rPr>
      <w:t>招标需求文件 第一标包</w:t>
    </w:r>
    <w:r>
      <w:rPr>
        <w:rFonts w:hint="eastAsia"/>
        <w:lang w:val="en-US"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361D5D"/>
    <w:multiLevelType w:val="singleLevel"/>
    <w:tmpl w:val="C8361D5D"/>
    <w:lvl w:ilvl="0" w:tentative="0">
      <w:start w:val="2"/>
      <w:numFmt w:val="chineseCounting"/>
      <w:suff w:val="nothing"/>
      <w:lvlText w:val="%1、"/>
      <w:lvlJc w:val="left"/>
      <w:rPr>
        <w:rFonts w:hint="eastAsia"/>
      </w:rPr>
    </w:lvl>
  </w:abstractNum>
  <w:abstractNum w:abstractNumId="1">
    <w:nsid w:val="1932B0C3"/>
    <w:multiLevelType w:val="singleLevel"/>
    <w:tmpl w:val="1932B0C3"/>
    <w:lvl w:ilvl="0" w:tentative="0">
      <w:start w:val="1"/>
      <w:numFmt w:val="decimal"/>
      <w:suff w:val="nothing"/>
      <w:lvlText w:val="%1、"/>
      <w:lvlJc w:val="left"/>
    </w:lvl>
  </w:abstractNum>
  <w:abstractNum w:abstractNumId="2">
    <w:nsid w:val="7F87FA6D"/>
    <w:multiLevelType w:val="singleLevel"/>
    <w:tmpl w:val="7F87FA6D"/>
    <w:lvl w:ilvl="0" w:tentative="0">
      <w:start w:val="1"/>
      <w:numFmt w:val="decimal"/>
      <w:lvlText w:val="%1."/>
      <w:lvlJc w:val="left"/>
      <w:pPr>
        <w:ind w:left="425" w:hanging="425"/>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6E405B"/>
    <w:rsid w:val="000318FD"/>
    <w:rsid w:val="00035EAC"/>
    <w:rsid w:val="00042DF9"/>
    <w:rsid w:val="0004742D"/>
    <w:rsid w:val="00067786"/>
    <w:rsid w:val="00072908"/>
    <w:rsid w:val="00081CFA"/>
    <w:rsid w:val="000976DF"/>
    <w:rsid w:val="000A1166"/>
    <w:rsid w:val="000A1378"/>
    <w:rsid w:val="000B42FC"/>
    <w:rsid w:val="000C5E21"/>
    <w:rsid w:val="000D3A93"/>
    <w:rsid w:val="000D3D38"/>
    <w:rsid w:val="0013350F"/>
    <w:rsid w:val="00191EA9"/>
    <w:rsid w:val="001D6197"/>
    <w:rsid w:val="001F552B"/>
    <w:rsid w:val="001F6B12"/>
    <w:rsid w:val="00222E5C"/>
    <w:rsid w:val="0024381A"/>
    <w:rsid w:val="00247581"/>
    <w:rsid w:val="002805D6"/>
    <w:rsid w:val="002A03E7"/>
    <w:rsid w:val="00316980"/>
    <w:rsid w:val="00342C2F"/>
    <w:rsid w:val="00345C40"/>
    <w:rsid w:val="003556D2"/>
    <w:rsid w:val="00376391"/>
    <w:rsid w:val="00384A2B"/>
    <w:rsid w:val="003A48D3"/>
    <w:rsid w:val="003B0560"/>
    <w:rsid w:val="003C23E7"/>
    <w:rsid w:val="003E5968"/>
    <w:rsid w:val="00400925"/>
    <w:rsid w:val="00405D47"/>
    <w:rsid w:val="00417831"/>
    <w:rsid w:val="00422D4E"/>
    <w:rsid w:val="00437DCC"/>
    <w:rsid w:val="0044217E"/>
    <w:rsid w:val="0045255B"/>
    <w:rsid w:val="00455344"/>
    <w:rsid w:val="004719D3"/>
    <w:rsid w:val="00485627"/>
    <w:rsid w:val="00490201"/>
    <w:rsid w:val="004D2079"/>
    <w:rsid w:val="00503242"/>
    <w:rsid w:val="00541888"/>
    <w:rsid w:val="00543DDE"/>
    <w:rsid w:val="005542C7"/>
    <w:rsid w:val="00560C8E"/>
    <w:rsid w:val="00561526"/>
    <w:rsid w:val="00590F92"/>
    <w:rsid w:val="005A1228"/>
    <w:rsid w:val="005A5FC2"/>
    <w:rsid w:val="005C13A2"/>
    <w:rsid w:val="005F37C0"/>
    <w:rsid w:val="00610033"/>
    <w:rsid w:val="0063001F"/>
    <w:rsid w:val="0063053C"/>
    <w:rsid w:val="00644207"/>
    <w:rsid w:val="00650DFB"/>
    <w:rsid w:val="0067676E"/>
    <w:rsid w:val="00680D21"/>
    <w:rsid w:val="006908A3"/>
    <w:rsid w:val="00692868"/>
    <w:rsid w:val="006A62FA"/>
    <w:rsid w:val="006C6F82"/>
    <w:rsid w:val="006D19F8"/>
    <w:rsid w:val="006D218B"/>
    <w:rsid w:val="0072541A"/>
    <w:rsid w:val="00736102"/>
    <w:rsid w:val="007376D1"/>
    <w:rsid w:val="007451CD"/>
    <w:rsid w:val="007531BC"/>
    <w:rsid w:val="0079342F"/>
    <w:rsid w:val="007C1F91"/>
    <w:rsid w:val="007F22E8"/>
    <w:rsid w:val="00806425"/>
    <w:rsid w:val="008538BC"/>
    <w:rsid w:val="00886D84"/>
    <w:rsid w:val="008A4359"/>
    <w:rsid w:val="008A72D5"/>
    <w:rsid w:val="008C6CCA"/>
    <w:rsid w:val="008D36C9"/>
    <w:rsid w:val="008E4BC5"/>
    <w:rsid w:val="008F0017"/>
    <w:rsid w:val="008F5826"/>
    <w:rsid w:val="008F75F4"/>
    <w:rsid w:val="00904282"/>
    <w:rsid w:val="00922D26"/>
    <w:rsid w:val="00931689"/>
    <w:rsid w:val="00940CE9"/>
    <w:rsid w:val="009438F6"/>
    <w:rsid w:val="00943BF4"/>
    <w:rsid w:val="009534F4"/>
    <w:rsid w:val="00954FD9"/>
    <w:rsid w:val="00977479"/>
    <w:rsid w:val="00995408"/>
    <w:rsid w:val="009A103B"/>
    <w:rsid w:val="009B53A8"/>
    <w:rsid w:val="009C7411"/>
    <w:rsid w:val="009E314C"/>
    <w:rsid w:val="009F4989"/>
    <w:rsid w:val="009F725A"/>
    <w:rsid w:val="00A01E30"/>
    <w:rsid w:val="00A1188E"/>
    <w:rsid w:val="00A3280E"/>
    <w:rsid w:val="00A73E8B"/>
    <w:rsid w:val="00A947F7"/>
    <w:rsid w:val="00AB1F33"/>
    <w:rsid w:val="00AB6BC7"/>
    <w:rsid w:val="00AE7981"/>
    <w:rsid w:val="00AF3E8D"/>
    <w:rsid w:val="00AF5A97"/>
    <w:rsid w:val="00AF5F2D"/>
    <w:rsid w:val="00B01819"/>
    <w:rsid w:val="00B12F0A"/>
    <w:rsid w:val="00B32777"/>
    <w:rsid w:val="00B36B0B"/>
    <w:rsid w:val="00B42EB7"/>
    <w:rsid w:val="00B44E25"/>
    <w:rsid w:val="00B54471"/>
    <w:rsid w:val="00B568F2"/>
    <w:rsid w:val="00B6461F"/>
    <w:rsid w:val="00B7199C"/>
    <w:rsid w:val="00B81F05"/>
    <w:rsid w:val="00B92324"/>
    <w:rsid w:val="00B95BF9"/>
    <w:rsid w:val="00B96C5A"/>
    <w:rsid w:val="00BA2013"/>
    <w:rsid w:val="00BA4064"/>
    <w:rsid w:val="00BB4911"/>
    <w:rsid w:val="00BD08B4"/>
    <w:rsid w:val="00BD5EC8"/>
    <w:rsid w:val="00C20E85"/>
    <w:rsid w:val="00C27F0A"/>
    <w:rsid w:val="00C35375"/>
    <w:rsid w:val="00C443F6"/>
    <w:rsid w:val="00C4504F"/>
    <w:rsid w:val="00C50CD7"/>
    <w:rsid w:val="00C66D8D"/>
    <w:rsid w:val="00C975FE"/>
    <w:rsid w:val="00CA5D13"/>
    <w:rsid w:val="00CE5307"/>
    <w:rsid w:val="00D24B9E"/>
    <w:rsid w:val="00D530C2"/>
    <w:rsid w:val="00D817B1"/>
    <w:rsid w:val="00D81FC4"/>
    <w:rsid w:val="00D844EA"/>
    <w:rsid w:val="00D864D8"/>
    <w:rsid w:val="00DD0581"/>
    <w:rsid w:val="00DD28D4"/>
    <w:rsid w:val="00E0598D"/>
    <w:rsid w:val="00E36DE5"/>
    <w:rsid w:val="00E556A2"/>
    <w:rsid w:val="00E71CC1"/>
    <w:rsid w:val="00E8617F"/>
    <w:rsid w:val="00E96654"/>
    <w:rsid w:val="00EA275A"/>
    <w:rsid w:val="00EA3583"/>
    <w:rsid w:val="00EA692C"/>
    <w:rsid w:val="00ED031B"/>
    <w:rsid w:val="00EE0C54"/>
    <w:rsid w:val="00F32C80"/>
    <w:rsid w:val="00F50846"/>
    <w:rsid w:val="00F72342"/>
    <w:rsid w:val="00F8122D"/>
    <w:rsid w:val="00F83FBF"/>
    <w:rsid w:val="00FB7DAC"/>
    <w:rsid w:val="00FD1C22"/>
    <w:rsid w:val="00FE2548"/>
    <w:rsid w:val="00FE4299"/>
    <w:rsid w:val="01311D17"/>
    <w:rsid w:val="030D0562"/>
    <w:rsid w:val="04FA17D2"/>
    <w:rsid w:val="05DB4C7E"/>
    <w:rsid w:val="06EA7FE5"/>
    <w:rsid w:val="0B494C6F"/>
    <w:rsid w:val="0BEB51B8"/>
    <w:rsid w:val="0DB95B0B"/>
    <w:rsid w:val="17712A16"/>
    <w:rsid w:val="1AD05D20"/>
    <w:rsid w:val="20F024D5"/>
    <w:rsid w:val="21FA7AAB"/>
    <w:rsid w:val="22EF5136"/>
    <w:rsid w:val="26C568DA"/>
    <w:rsid w:val="26FF4645"/>
    <w:rsid w:val="2D5F3C3C"/>
    <w:rsid w:val="32195D2C"/>
    <w:rsid w:val="328F1C80"/>
    <w:rsid w:val="361B6516"/>
    <w:rsid w:val="37CB7AC8"/>
    <w:rsid w:val="384F24A7"/>
    <w:rsid w:val="39567866"/>
    <w:rsid w:val="3C8B40B8"/>
    <w:rsid w:val="3F3B3785"/>
    <w:rsid w:val="44D3620E"/>
    <w:rsid w:val="45B9408D"/>
    <w:rsid w:val="46E95125"/>
    <w:rsid w:val="471A479E"/>
    <w:rsid w:val="48A831A4"/>
    <w:rsid w:val="48E11085"/>
    <w:rsid w:val="492A6786"/>
    <w:rsid w:val="4ACE3700"/>
    <w:rsid w:val="4B9306BD"/>
    <w:rsid w:val="4D335E5A"/>
    <w:rsid w:val="4E8A7EF1"/>
    <w:rsid w:val="5108561A"/>
    <w:rsid w:val="55F10BEA"/>
    <w:rsid w:val="59102330"/>
    <w:rsid w:val="598938B1"/>
    <w:rsid w:val="5A625C12"/>
    <w:rsid w:val="5F8A1E93"/>
    <w:rsid w:val="60AB1EB8"/>
    <w:rsid w:val="614B7400"/>
    <w:rsid w:val="622E175C"/>
    <w:rsid w:val="623B3F16"/>
    <w:rsid w:val="63B219B9"/>
    <w:rsid w:val="64AB3741"/>
    <w:rsid w:val="69F47F81"/>
    <w:rsid w:val="73C80980"/>
    <w:rsid w:val="746740F9"/>
    <w:rsid w:val="74A964C0"/>
    <w:rsid w:val="74AF4F66"/>
    <w:rsid w:val="754272F6"/>
    <w:rsid w:val="756E405B"/>
    <w:rsid w:val="779F7C32"/>
    <w:rsid w:val="78FE2B52"/>
    <w:rsid w:val="7A0F6212"/>
    <w:rsid w:val="7A1F5D44"/>
    <w:rsid w:val="7B1D25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qFormat/>
    <w:uiPriority w:val="0"/>
    <w:pPr>
      <w:jc w:val="left"/>
    </w:pPr>
  </w:style>
  <w:style w:type="paragraph" w:styleId="3">
    <w:name w:val="Body Text"/>
    <w:basedOn w:val="1"/>
    <w:next w:val="1"/>
    <w:qFormat/>
    <w:uiPriority w:val="0"/>
    <w:rPr>
      <w:sz w:val="32"/>
    </w:rPr>
  </w:style>
  <w:style w:type="paragraph" w:styleId="4">
    <w:name w:val="footer"/>
    <w:basedOn w:val="1"/>
    <w:link w:val="16"/>
    <w:qFormat/>
    <w:uiPriority w:val="0"/>
    <w:pPr>
      <w:tabs>
        <w:tab w:val="center" w:pos="4153"/>
        <w:tab w:val="right" w:pos="8306"/>
      </w:tabs>
      <w:snapToGrid w:val="0"/>
      <w:jc w:val="left"/>
    </w:pPr>
    <w:rPr>
      <w:sz w:val="18"/>
      <w:szCs w:val="18"/>
    </w:rPr>
  </w:style>
  <w:style w:type="paragraph" w:styleId="5">
    <w:name w:val="header"/>
    <w:basedOn w:val="1"/>
    <w:link w:val="15"/>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rFonts w:cs="Times New Roman"/>
      <w:kern w:val="0"/>
      <w:sz w:val="24"/>
    </w:rPr>
  </w:style>
  <w:style w:type="paragraph" w:styleId="7">
    <w:name w:val="annotation subject"/>
    <w:basedOn w:val="2"/>
    <w:next w:val="2"/>
    <w:link w:val="18"/>
    <w:qFormat/>
    <w:uiPriority w:val="0"/>
    <w:rPr>
      <w:b/>
      <w:bCs/>
    </w:rPr>
  </w:style>
  <w:style w:type="character" w:styleId="10">
    <w:name w:val="page number"/>
    <w:qFormat/>
    <w:uiPriority w:val="0"/>
    <w:rPr>
      <w:rFonts w:cs="Times New Roman"/>
    </w:rPr>
  </w:style>
  <w:style w:type="character" w:styleId="11">
    <w:name w:val="Hyperlink"/>
    <w:basedOn w:val="9"/>
    <w:qFormat/>
    <w:uiPriority w:val="0"/>
    <w:rPr>
      <w:color w:val="0000FF"/>
      <w:u w:val="single"/>
    </w:rPr>
  </w:style>
  <w:style w:type="character" w:styleId="12">
    <w:name w:val="annotation reference"/>
    <w:basedOn w:val="9"/>
    <w:qFormat/>
    <w:uiPriority w:val="0"/>
    <w:rPr>
      <w:sz w:val="21"/>
      <w:szCs w:val="21"/>
    </w:rPr>
  </w:style>
  <w:style w:type="character" w:styleId="13">
    <w:name w:val="HTML Sample"/>
    <w:basedOn w:val="9"/>
    <w:qFormat/>
    <w:uiPriority w:val="0"/>
    <w:rPr>
      <w:rFonts w:ascii="Courier New" w:hAnsi="Courier New"/>
    </w:rPr>
  </w:style>
  <w:style w:type="paragraph" w:styleId="14">
    <w:name w:val="List Paragraph"/>
    <w:basedOn w:val="1"/>
    <w:qFormat/>
    <w:uiPriority w:val="99"/>
    <w:pPr>
      <w:ind w:firstLine="420" w:firstLineChars="200"/>
    </w:pPr>
  </w:style>
  <w:style w:type="character" w:customStyle="1" w:styleId="15">
    <w:name w:val="页眉 字符"/>
    <w:basedOn w:val="9"/>
    <w:link w:val="5"/>
    <w:qFormat/>
    <w:uiPriority w:val="0"/>
    <w:rPr>
      <w:kern w:val="2"/>
      <w:sz w:val="18"/>
      <w:szCs w:val="18"/>
    </w:rPr>
  </w:style>
  <w:style w:type="character" w:customStyle="1" w:styleId="16">
    <w:name w:val="页脚 字符"/>
    <w:basedOn w:val="9"/>
    <w:link w:val="4"/>
    <w:qFormat/>
    <w:uiPriority w:val="0"/>
    <w:rPr>
      <w:kern w:val="2"/>
      <w:sz w:val="18"/>
      <w:szCs w:val="18"/>
    </w:rPr>
  </w:style>
  <w:style w:type="character" w:customStyle="1" w:styleId="17">
    <w:name w:val="批注文字 字符"/>
    <w:basedOn w:val="9"/>
    <w:link w:val="2"/>
    <w:qFormat/>
    <w:uiPriority w:val="0"/>
    <w:rPr>
      <w:kern w:val="2"/>
      <w:sz w:val="21"/>
      <w:szCs w:val="24"/>
    </w:rPr>
  </w:style>
  <w:style w:type="character" w:customStyle="1" w:styleId="18">
    <w:name w:val="批注主题 字符"/>
    <w:basedOn w:val="17"/>
    <w:link w:val="7"/>
    <w:qFormat/>
    <w:uiPriority w:val="0"/>
    <w:rPr>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10803</Words>
  <Characters>12745</Characters>
  <Lines>439</Lines>
  <Paragraphs>579</Paragraphs>
  <TotalTime>26</TotalTime>
  <ScaleCrop>false</ScaleCrop>
  <LinksUpToDate>false</LinksUpToDate>
  <CharactersWithSpaces>12946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2026-03-02T03:14:00Z</dcterms:created>
  <dc:creator>Tony匡</dc:creator>
  <cp:lastModifiedBy>Better Me</cp:lastModifiedBy>
  <cp:lastPrinted>2026-03-02T07:38:00Z</cp:lastPrinted>
  <dcterms:modified xsi:type="dcterms:W3CDTF">2026-08-11T02:08:36Z</dcterms:modified>
  <cp:revision>121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2BF47EB13E3244DEB6CA390BA2AB5444_13</vt:lpwstr>
  </property>
  <property fmtid="{D5CDD505-2E9C-101B-9397-08002B2CF9AE}" pid="4" name="KSOTemplateDocerSaveRecord">
    <vt:lpwstr>eyJoZGlkIjoiMmYxOTc0NjYzMzU2ODA4YjU4NTcyYWU1MWU4OGU4MTIiLCJ1c2VySWQiOiI1Njk1NTUzMTgifQ==</vt:lpwstr>
  </property>
</Properties>
</file>