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4A946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ascii="宋体" w:hAnsi="宋体" w:eastAsia="宋体" w:cs="宋体"/>
          <w:b/>
          <w:color w:val="auto"/>
          <w:sz w:val="28"/>
          <w:szCs w:val="28"/>
        </w:rPr>
        <w:t>上海市光华中西医结合医院所需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检验科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、</w:t>
      </w:r>
      <w:r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  <w:t>手术室、特检、眼科等一批医疗设备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公开招标项目招标需求文件</w:t>
      </w:r>
    </w:p>
    <w:p w14:paraId="2D2EB108">
      <w:pPr>
        <w:widowControl/>
        <w:spacing w:before="75" w:after="75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第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标包：</w:t>
      </w:r>
      <w:r>
        <w:rPr>
          <w:rFonts w:ascii="宋体" w:hAnsi="宋体" w:eastAsia="宋体" w:cs="宋体"/>
          <w:b/>
          <w:color w:val="auto"/>
          <w:sz w:val="28"/>
          <w:szCs w:val="28"/>
        </w:rPr>
        <w:t>眼科手术显微镜</w:t>
      </w:r>
      <w:bookmarkStart w:id="1" w:name="_GoBack"/>
      <w:bookmarkEnd w:id="1"/>
    </w:p>
    <w:p w14:paraId="3417FB50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一、项目概况</w:t>
      </w:r>
    </w:p>
    <w:p w14:paraId="0FB17339">
      <w:pPr>
        <w:pStyle w:val="3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1、设备数量  1套</w:t>
      </w:r>
    </w:p>
    <w:tbl>
      <w:tblPr>
        <w:tblStyle w:val="8"/>
        <w:tblW w:w="78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2959"/>
        <w:gridCol w:w="800"/>
        <w:gridCol w:w="1700"/>
        <w:gridCol w:w="1340"/>
      </w:tblGrid>
      <w:tr w14:paraId="31501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726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0CD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DB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151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</w:t>
            </w:r>
          </w:p>
          <w:p w14:paraId="32254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0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设备核价限价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（万元）</w:t>
            </w:r>
          </w:p>
        </w:tc>
      </w:tr>
      <w:tr w14:paraId="58C6B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948EA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116B1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眼科手术显微镜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9D316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1套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6DE962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CFF11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150</w:t>
            </w:r>
            <w:bookmarkEnd w:id="0"/>
          </w:p>
        </w:tc>
      </w:tr>
      <w:tr w14:paraId="56A4B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</w:tcPr>
          <w:p w14:paraId="0CCD30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合计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29B895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150</w:t>
            </w:r>
          </w:p>
        </w:tc>
      </w:tr>
    </w:tbl>
    <w:p w14:paraId="4684B12E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2、交货期限及交货地点：合同签订后45天内完成所有设备的交付、安装、调试。交货地点为招标人指定地址。</w:t>
      </w:r>
    </w:p>
    <w:p w14:paraId="279838D2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、付款方式：合同签订后支付合同金额的30%，设备交付、安装、调试完成后支付合同的金额的60%，质保期满一年支付合同剩余金额；实际支付以财政批复为准，具体支付节点及金额以财政最终核定为准。若财政批复金额低于合同暂定金额，双方应依据批复金额对合同价款进行相应调整；若财政未批复或批复延迟，付款期限相应顺延，采购人不承担违约责任。</w:t>
      </w:r>
    </w:p>
    <w:p w14:paraId="0AA4EE29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具体根据合同约定条款进行支付；采购合同应明确资金支付的方式、时间和条件，明确逾期支付资金的违约责任。</w:t>
      </w:r>
    </w:p>
    <w:p w14:paraId="5B359BAC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4、本标包属于货物类招标项目。本标包核心产品有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：眼科手术显微镜。</w:t>
      </w:r>
    </w:p>
    <w:p w14:paraId="3462CD48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5、本标包中带“▲”的为重要指标，其他为一般指标。“▲”指标需提供技术支撑材料。</w:t>
      </w:r>
    </w:p>
    <w:p w14:paraId="6BC772A9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6、本标包接受进口产品。</w:t>
      </w:r>
    </w:p>
    <w:p w14:paraId="64D5E490">
      <w:pPr>
        <w:pStyle w:val="14"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6416624F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二、产品技术指标要求</w:t>
      </w:r>
    </w:p>
    <w:p w14:paraId="3A41F69C"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一、眼科手术显微镜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</w:rPr>
        <w:t>技术参数要求</w:t>
      </w:r>
    </w:p>
    <w:p w14:paraId="62B4AF65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1、镜体</w:t>
      </w:r>
    </w:p>
    <w:p w14:paraId="48B9978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1.1、光学系统：复消色差光学系统</w:t>
      </w:r>
    </w:p>
    <w:p w14:paraId="12F7B83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1.2、变倍系统：电动连续调节</w:t>
      </w:r>
    </w:p>
    <w:p w14:paraId="4463E8F5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▲1.3、主刀镜双目镜筒：≥210度倾斜角可调</w:t>
      </w:r>
    </w:p>
    <w:p w14:paraId="47ECCEF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1.4、目镜：10ⅹ或12.5ⅹ</w:t>
      </w:r>
    </w:p>
    <w:p w14:paraId="62CC393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▲1.5、目镜屈光补偿至少满足：+8D到-8D</w:t>
      </w:r>
    </w:p>
    <w:p w14:paraId="4FBBACE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1.6、物镜：f=200毫米</w:t>
      </w:r>
    </w:p>
    <w:p w14:paraId="6DE4DD0D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▲1.7、红光反射至少满足：6倍红光反射区域</w:t>
      </w:r>
    </w:p>
    <w:p w14:paraId="0001325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1.8、助手镜系统：0度助手镜，独立调焦变倍</w:t>
      </w:r>
    </w:p>
    <w:p w14:paraId="48F4D56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▲1.9、助手镜双目镜筒：≥215度倾斜角可调</w:t>
      </w:r>
    </w:p>
    <w:p w14:paraId="73AB80D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2、XY水平移动</w:t>
      </w:r>
    </w:p>
    <w:p w14:paraId="1579ED0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2.1、平移范围：≥60mmx60mm</w:t>
      </w:r>
    </w:p>
    <w:p w14:paraId="0186FF63">
      <w:pPr>
        <w:spacing w:line="360" w:lineRule="auto"/>
        <w:ind w:left="480" w:hanging="480" w:hanging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2.2、复位功能：具备一键复位，X-Y水平移动系统自动复位至中心位置，也可XY与聚焦分开复位。</w:t>
      </w:r>
    </w:p>
    <w:p w14:paraId="3300244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2.3、具备智能待机功能</w:t>
      </w:r>
    </w:p>
    <w:p w14:paraId="277C6AD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3、照明系统</w:t>
      </w:r>
    </w:p>
    <w:p w14:paraId="6B1AD40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3.1、照明方式：非光纤传导</w:t>
      </w:r>
    </w:p>
    <w:p w14:paraId="75E2F65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▲3.2、光源：LED光源，至少有暖白、冷白、混合三种不同色温的模块可选</w:t>
      </w:r>
    </w:p>
    <w:p w14:paraId="00B6D91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3.3、同轴光和倾斜光照明控制系统：可通过脚踏单独调节主照明和红光反射照明的亮度，并且可自定义设计个性化参数</w:t>
      </w:r>
    </w:p>
    <w:p w14:paraId="01B1FFD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3.4、景深增强：具备</w:t>
      </w:r>
    </w:p>
    <w:p w14:paraId="24B0004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4、光学部件倾斜</w:t>
      </w:r>
    </w:p>
    <w:p w14:paraId="0F081CE5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4.1、倾斜角度至少满足-90°~+30°</w:t>
      </w:r>
    </w:p>
    <w:p w14:paraId="454927A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5、控制单元</w:t>
      </w:r>
    </w:p>
    <w:p w14:paraId="2282816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5.1、双触摸显示屏</w:t>
      </w:r>
    </w:p>
    <w:p w14:paraId="03AA2A4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5.2、原厂多功能触控彩色显示屏：≥18英寸LCD内置一体化触控彩色显示屏，可同时显示≥14个工作单元情况</w:t>
      </w:r>
    </w:p>
    <w:p w14:paraId="32249693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5.3、控制面板：配备抬头彩色显示面板，可提供放大倍数、照明亮度、红反亮度信息，方便主刀术中观察。并且可调节照明亮度,具备一键复位及XY与聚焦分开复位功能</w:t>
      </w:r>
    </w:p>
    <w:p w14:paraId="2F067914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5.4、用户自定义设置：可存储≥40组个性化手术医生参数</w:t>
      </w:r>
    </w:p>
    <w:p w14:paraId="6B4CF0F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5.5、具有全封闭防水无线脚踏</w:t>
      </w:r>
    </w:p>
    <w:p w14:paraId="01C5DAA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6、支架系统</w:t>
      </w:r>
    </w:p>
    <w:p w14:paraId="1E61E9C0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6.1、支架类型：电磁锁支架</w:t>
      </w:r>
    </w:p>
    <w:p w14:paraId="5C2C640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6.2、内置不间断电源，关机后依然可解锁支架，并可进行无线脚踏充电</w:t>
      </w:r>
    </w:p>
    <w:p w14:paraId="1BDC216E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7、非接触广角镜</w:t>
      </w:r>
    </w:p>
    <w:p w14:paraId="66FB322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7.1、前置镜表面材料：石英玻璃制</w:t>
      </w:r>
    </w:p>
    <w:p w14:paraId="691A970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7.2、观察范围至少满足60--130 度，眼底观察清晰，并且有防雾透气功能</w:t>
      </w:r>
    </w:p>
    <w:p w14:paraId="20932D90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7.3、无需内调焦，无论是观察后极部还是大视野范围，术中均无需更换镜片</w:t>
      </w:r>
    </w:p>
    <w:p w14:paraId="6EC46932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8、倒像镜</w:t>
      </w:r>
    </w:p>
    <w:p w14:paraId="0004962F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8.1、倒像镜居中跳动小于5%。</w:t>
      </w:r>
    </w:p>
    <w:p w14:paraId="4B0235A8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9、高清摄录像系统</w:t>
      </w:r>
    </w:p>
    <w:p w14:paraId="2ED14AC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9.1、动态氛围：≥85db</w:t>
      </w:r>
    </w:p>
    <w:p w14:paraId="2E2F3081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9.2、显示屏尺寸≥55英寸：分辨率≥3840*2160</w:t>
      </w:r>
    </w:p>
    <w:p w14:paraId="636487C6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9.3、摄像头曝光：自动曝光控制</w:t>
      </w:r>
    </w:p>
    <w:p w14:paraId="4E329CAF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9.4、视频叠加功能：可与玻切设备进行数据融合，影像实时叠加手术参数，实现一体化智能手术平台，提供完整手术解决方案</w:t>
      </w:r>
    </w:p>
    <w:p w14:paraId="452179A9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10、可升级模块</w:t>
      </w:r>
    </w:p>
    <w:p w14:paraId="719C01C7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10.1、可升级术中导航系统，用于眼科白内障晶体植入规划引导</w:t>
      </w:r>
    </w:p>
    <w:p w14:paraId="65DF942C">
      <w:pPr>
        <w:spacing w:line="360" w:lineRule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11、附件配置清单要求</w:t>
      </w:r>
    </w:p>
    <w:tbl>
      <w:tblPr>
        <w:tblStyle w:val="9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5120"/>
        <w:gridCol w:w="2209"/>
      </w:tblGrid>
      <w:tr w14:paraId="34D8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59179C3B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  <w:tc>
          <w:tcPr>
            <w:tcW w:w="5120" w:type="dxa"/>
          </w:tcPr>
          <w:p w14:paraId="79D17792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4"/>
              </w:rPr>
              <w:t>主镜</w:t>
            </w:r>
            <w:r>
              <w:rPr>
                <w:rFonts w:ascii="宋体" w:hAnsi="宋体" w:eastAsia="宋体"/>
                <w:color w:val="auto"/>
                <w:spacing w:val="-19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pacing w:val="4"/>
              </w:rPr>
              <w:t>（</w:t>
            </w:r>
            <w:r>
              <w:rPr>
                <w:rFonts w:ascii="宋体" w:hAnsi="宋体" w:eastAsia="宋体"/>
                <w:color w:val="auto"/>
                <w:spacing w:val="4"/>
              </w:rPr>
              <w:t>包括调焦</w:t>
            </w:r>
            <w:r>
              <w:rPr>
                <w:rFonts w:ascii="宋体" w:hAnsi="宋体" w:eastAsia="宋体"/>
                <w:color w:val="auto"/>
                <w:spacing w:val="-32"/>
              </w:rPr>
              <w:t xml:space="preserve"> </w:t>
            </w:r>
            <w:r>
              <w:rPr>
                <w:rFonts w:ascii="宋体" w:hAnsi="宋体" w:eastAsia="宋体"/>
                <w:color w:val="auto"/>
                <w:spacing w:val="4"/>
              </w:rPr>
              <w:t>、倾斜</w:t>
            </w:r>
            <w:r>
              <w:rPr>
                <w:rFonts w:hint="eastAsia" w:ascii="宋体" w:hAnsi="宋体" w:eastAsia="宋体"/>
                <w:color w:val="auto"/>
                <w:spacing w:val="4"/>
              </w:rPr>
              <w:t>调节</w:t>
            </w:r>
            <w:r>
              <w:rPr>
                <w:rFonts w:ascii="宋体" w:hAnsi="宋体" w:eastAsia="宋体"/>
                <w:color w:val="auto"/>
                <w:spacing w:val="4"/>
              </w:rPr>
              <w:t>和</w:t>
            </w:r>
            <w:r>
              <w:rPr>
                <w:rFonts w:ascii="宋体" w:hAnsi="宋体" w:eastAsia="宋体"/>
                <w:color w:val="auto"/>
              </w:rPr>
              <w:t>XY</w:t>
            </w:r>
            <w:r>
              <w:rPr>
                <w:rFonts w:ascii="宋体" w:hAnsi="宋体" w:eastAsia="宋体"/>
                <w:color w:val="auto"/>
                <w:spacing w:val="4"/>
              </w:rPr>
              <w:t>水平移动系统</w:t>
            </w:r>
            <w:r>
              <w:rPr>
                <w:rFonts w:ascii="宋体" w:hAnsi="宋体" w:eastAsia="宋体"/>
                <w:color w:val="auto"/>
                <w:spacing w:val="-20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pacing w:val="4"/>
              </w:rPr>
              <w:t>）</w:t>
            </w:r>
          </w:p>
        </w:tc>
        <w:tc>
          <w:tcPr>
            <w:tcW w:w="2209" w:type="dxa"/>
          </w:tcPr>
          <w:p w14:paraId="73E50AB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3"/>
              </w:rPr>
              <w:t>1</w:t>
            </w:r>
            <w:r>
              <w:rPr>
                <w:rFonts w:ascii="宋体" w:hAnsi="宋体" w:eastAsia="宋体"/>
                <w:color w:val="auto"/>
                <w:spacing w:val="3"/>
              </w:rPr>
              <w:fldChar w:fldCharType="end"/>
            </w:r>
          </w:p>
        </w:tc>
      </w:tr>
      <w:tr w14:paraId="35CC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7679951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</w:t>
            </w:r>
          </w:p>
        </w:tc>
        <w:tc>
          <w:tcPr>
            <w:tcW w:w="5120" w:type="dxa"/>
          </w:tcPr>
          <w:p w14:paraId="31593320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2"/>
              </w:rPr>
              <w:t>落地式</w:t>
            </w:r>
            <w:r>
              <w:rPr>
                <w:rFonts w:hint="eastAsia" w:ascii="宋体" w:hAnsi="宋体" w:eastAsia="宋体"/>
                <w:color w:val="auto"/>
                <w:spacing w:val="2"/>
              </w:rPr>
              <w:t>电磁锁</w:t>
            </w:r>
            <w:r>
              <w:rPr>
                <w:rFonts w:ascii="宋体" w:hAnsi="宋体" w:eastAsia="宋体"/>
                <w:color w:val="auto"/>
                <w:spacing w:val="2"/>
              </w:rPr>
              <w:t>支架</w:t>
            </w:r>
          </w:p>
        </w:tc>
        <w:tc>
          <w:tcPr>
            <w:tcW w:w="2209" w:type="dxa"/>
          </w:tcPr>
          <w:p w14:paraId="460B2D10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1"/>
              </w:rPr>
              <w:t>1</w:t>
            </w:r>
            <w:r>
              <w:rPr>
                <w:rFonts w:ascii="宋体" w:hAnsi="宋体" w:eastAsia="宋体"/>
                <w:color w:val="auto"/>
                <w:spacing w:val="1"/>
              </w:rPr>
              <w:fldChar w:fldCharType="end"/>
            </w:r>
          </w:p>
        </w:tc>
      </w:tr>
      <w:tr w14:paraId="1D6F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066AA070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3</w:t>
            </w:r>
          </w:p>
        </w:tc>
        <w:tc>
          <w:tcPr>
            <w:tcW w:w="5120" w:type="dxa"/>
          </w:tcPr>
          <w:p w14:paraId="4399938C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6"/>
              </w:rPr>
              <w:t>标准电源线</w:t>
            </w:r>
          </w:p>
        </w:tc>
        <w:tc>
          <w:tcPr>
            <w:tcW w:w="2209" w:type="dxa"/>
          </w:tcPr>
          <w:p w14:paraId="75BE37CD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6"/>
              </w:rPr>
              <w:t>1</w:t>
            </w:r>
            <w:r>
              <w:rPr>
                <w:rFonts w:ascii="宋体" w:hAnsi="宋体" w:eastAsia="宋体"/>
                <w:color w:val="auto"/>
                <w:spacing w:val="6"/>
              </w:rPr>
              <w:fldChar w:fldCharType="end"/>
            </w:r>
          </w:p>
        </w:tc>
      </w:tr>
      <w:tr w14:paraId="6ACD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5D841140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4</w:t>
            </w:r>
          </w:p>
        </w:tc>
        <w:tc>
          <w:tcPr>
            <w:tcW w:w="5120" w:type="dxa"/>
          </w:tcPr>
          <w:p w14:paraId="2E96B34C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5"/>
              </w:rPr>
              <w:t>防尘罩</w:t>
            </w:r>
            <w:r>
              <w:rPr>
                <w:rFonts w:ascii="宋体" w:hAnsi="宋体" w:eastAsia="宋体"/>
                <w:color w:val="auto"/>
                <w:spacing w:val="1"/>
              </w:rPr>
              <w:t xml:space="preserve">  </w:t>
            </w:r>
          </w:p>
        </w:tc>
        <w:tc>
          <w:tcPr>
            <w:tcW w:w="2209" w:type="dxa"/>
          </w:tcPr>
          <w:p w14:paraId="6669256D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5"/>
              </w:rPr>
              <w:t>1</w:t>
            </w:r>
            <w:r>
              <w:rPr>
                <w:rFonts w:ascii="宋体" w:hAnsi="宋体" w:eastAsia="宋体"/>
                <w:color w:val="auto"/>
                <w:spacing w:val="5"/>
              </w:rPr>
              <w:fldChar w:fldCharType="end"/>
            </w:r>
          </w:p>
        </w:tc>
      </w:tr>
      <w:tr w14:paraId="0D27D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70F1F36E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5</w:t>
            </w:r>
          </w:p>
        </w:tc>
        <w:tc>
          <w:tcPr>
            <w:tcW w:w="5120" w:type="dxa"/>
          </w:tcPr>
          <w:p w14:paraId="0D14B5FB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</w:rPr>
              <w:t>术者触控显示</w:t>
            </w:r>
            <w:r>
              <w:rPr>
                <w:rFonts w:ascii="宋体" w:hAnsi="宋体" w:eastAsia="宋体"/>
                <w:color w:val="auto"/>
                <w:spacing w:val="2"/>
              </w:rPr>
              <w:t>面板</w:t>
            </w:r>
          </w:p>
        </w:tc>
        <w:tc>
          <w:tcPr>
            <w:tcW w:w="2209" w:type="dxa"/>
          </w:tcPr>
          <w:p w14:paraId="6E960AC3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5"/>
              </w:rPr>
              <w:t>1</w:t>
            </w:r>
            <w:r>
              <w:rPr>
                <w:rFonts w:ascii="宋体" w:hAnsi="宋体" w:eastAsia="宋体"/>
                <w:color w:val="auto"/>
                <w:spacing w:val="5"/>
              </w:rPr>
              <w:fldChar w:fldCharType="end"/>
            </w:r>
          </w:p>
        </w:tc>
      </w:tr>
      <w:tr w14:paraId="5EF8F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4D7B21C6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6</w:t>
            </w:r>
          </w:p>
        </w:tc>
        <w:tc>
          <w:tcPr>
            <w:tcW w:w="5120" w:type="dxa"/>
          </w:tcPr>
          <w:p w14:paraId="07CB88FE">
            <w:pPr>
              <w:rPr>
                <w:rFonts w:hint="eastAsia" w:ascii="宋体" w:hAnsi="宋体" w:eastAsia="宋体"/>
                <w:color w:val="auto"/>
                <w:spacing w:val="3"/>
              </w:rPr>
            </w:pPr>
            <w:r>
              <w:rPr>
                <w:rFonts w:hint="eastAsia" w:ascii="宋体" w:hAnsi="宋体" w:eastAsia="宋体"/>
                <w:color w:val="auto"/>
                <w:spacing w:val="3"/>
              </w:rPr>
              <w:t>彩色抬头显示屏</w:t>
            </w:r>
          </w:p>
        </w:tc>
        <w:tc>
          <w:tcPr>
            <w:tcW w:w="2209" w:type="dxa"/>
          </w:tcPr>
          <w:p w14:paraId="26532682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1D06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116DB248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7</w:t>
            </w:r>
          </w:p>
        </w:tc>
        <w:tc>
          <w:tcPr>
            <w:tcW w:w="5120" w:type="dxa"/>
          </w:tcPr>
          <w:p w14:paraId="385D2828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2"/>
              </w:rPr>
              <w:t>1</w:t>
            </w:r>
            <w:r>
              <w:rPr>
                <w:rFonts w:hint="eastAsia" w:ascii="宋体" w:hAnsi="宋体" w:eastAsia="宋体"/>
                <w:color w:val="auto"/>
                <w:spacing w:val="2"/>
              </w:rPr>
              <w:t>6</w:t>
            </w:r>
            <w:r>
              <w:rPr>
                <w:rFonts w:ascii="宋体" w:hAnsi="宋体" w:eastAsia="宋体"/>
                <w:color w:val="auto"/>
                <w:spacing w:val="2"/>
              </w:rPr>
              <w:t>功能无线</w:t>
            </w:r>
            <w:r>
              <w:rPr>
                <w:rFonts w:hint="eastAsia" w:ascii="宋体" w:hAnsi="宋体" w:eastAsia="宋体"/>
                <w:color w:val="auto"/>
                <w:spacing w:val="2"/>
              </w:rPr>
              <w:t>充电</w:t>
            </w:r>
            <w:r>
              <w:rPr>
                <w:rFonts w:ascii="宋体" w:hAnsi="宋体" w:eastAsia="宋体"/>
                <w:color w:val="auto"/>
                <w:spacing w:val="2"/>
              </w:rPr>
              <w:t>脚</w:t>
            </w:r>
            <w:r>
              <w:rPr>
                <w:rFonts w:hint="eastAsia" w:ascii="宋体" w:hAnsi="宋体" w:eastAsia="宋体"/>
                <w:color w:val="auto"/>
                <w:spacing w:val="2"/>
              </w:rPr>
              <w:t>踏</w:t>
            </w:r>
          </w:p>
        </w:tc>
        <w:tc>
          <w:tcPr>
            <w:tcW w:w="2209" w:type="dxa"/>
          </w:tcPr>
          <w:p w14:paraId="68DA629E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1"/>
              </w:rPr>
              <w:t>1</w:t>
            </w:r>
            <w:r>
              <w:rPr>
                <w:rFonts w:ascii="宋体" w:hAnsi="宋体" w:eastAsia="宋体"/>
                <w:color w:val="auto"/>
                <w:spacing w:val="1"/>
              </w:rPr>
              <w:fldChar w:fldCharType="end"/>
            </w:r>
          </w:p>
        </w:tc>
      </w:tr>
      <w:tr w14:paraId="69DAC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1091C330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8</w:t>
            </w:r>
          </w:p>
        </w:tc>
        <w:tc>
          <w:tcPr>
            <w:tcW w:w="5120" w:type="dxa"/>
          </w:tcPr>
          <w:p w14:paraId="42F9BB8A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3"/>
              </w:rPr>
              <w:t>物镜</w:t>
            </w:r>
            <w:r>
              <w:rPr>
                <w:rFonts w:ascii="宋体" w:hAnsi="宋体" w:eastAsia="宋体"/>
                <w:color w:val="auto"/>
                <w:spacing w:val="-19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pacing w:val="-19"/>
              </w:rPr>
              <w:t xml:space="preserve"> </w:t>
            </w:r>
            <w:r>
              <w:rPr>
                <w:rFonts w:ascii="宋体" w:hAnsi="宋体" w:eastAsia="宋体"/>
                <w:color w:val="auto"/>
                <w:spacing w:val="3"/>
              </w:rPr>
              <w:t xml:space="preserve">工作距离 </w:t>
            </w:r>
            <w:r>
              <w:rPr>
                <w:rFonts w:ascii="宋体" w:hAnsi="宋体" w:eastAsia="宋体"/>
                <w:color w:val="auto"/>
              </w:rPr>
              <w:t>WD</w:t>
            </w:r>
            <w:r>
              <w:rPr>
                <w:rFonts w:ascii="宋体" w:hAnsi="宋体" w:eastAsia="宋体"/>
                <w:color w:val="auto"/>
                <w:spacing w:val="3"/>
              </w:rPr>
              <w:t>=200</w:t>
            </w:r>
            <w:r>
              <w:rPr>
                <w:rFonts w:ascii="宋体" w:hAnsi="宋体" w:eastAsia="宋体"/>
                <w:color w:val="auto"/>
              </w:rPr>
              <w:t>mm</w:t>
            </w:r>
            <w:r>
              <w:rPr>
                <w:rFonts w:ascii="宋体" w:hAnsi="宋体" w:eastAsia="宋体"/>
                <w:color w:val="auto"/>
                <w:spacing w:val="3"/>
              </w:rPr>
              <w:t xml:space="preserve"> </w:t>
            </w:r>
          </w:p>
        </w:tc>
        <w:tc>
          <w:tcPr>
            <w:tcW w:w="2209" w:type="dxa"/>
          </w:tcPr>
          <w:p w14:paraId="019C725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2"/>
              </w:rPr>
              <w:t>1</w:t>
            </w:r>
            <w:r>
              <w:rPr>
                <w:rFonts w:ascii="宋体" w:hAnsi="宋体" w:eastAsia="宋体"/>
                <w:color w:val="auto"/>
                <w:spacing w:val="2"/>
              </w:rPr>
              <w:fldChar w:fldCharType="end"/>
            </w:r>
          </w:p>
        </w:tc>
      </w:tr>
      <w:tr w14:paraId="3824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093D2629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9</w:t>
            </w:r>
          </w:p>
        </w:tc>
        <w:tc>
          <w:tcPr>
            <w:tcW w:w="5120" w:type="dxa"/>
          </w:tcPr>
          <w:p w14:paraId="09EDB55C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2"/>
              </w:rPr>
              <w:t>主刀</w:t>
            </w:r>
            <w:r>
              <w:rPr>
                <w:rFonts w:ascii="宋体" w:hAnsi="宋体" w:eastAsia="宋体"/>
                <w:color w:val="auto"/>
                <w:spacing w:val="2"/>
              </w:rPr>
              <w:t>手柄</w:t>
            </w:r>
            <w:r>
              <w:rPr>
                <w:rFonts w:hint="eastAsia" w:ascii="宋体" w:hAnsi="宋体" w:eastAsia="宋体"/>
                <w:color w:val="auto"/>
                <w:spacing w:val="2"/>
              </w:rPr>
              <w:t>消毒套</w:t>
            </w:r>
            <w:r>
              <w:rPr>
                <w:rFonts w:ascii="宋体" w:hAnsi="宋体" w:eastAsia="宋体"/>
                <w:color w:val="auto"/>
                <w:spacing w:val="1"/>
              </w:rPr>
              <w:t xml:space="preserve">  </w:t>
            </w:r>
          </w:p>
        </w:tc>
        <w:tc>
          <w:tcPr>
            <w:tcW w:w="2209" w:type="dxa"/>
          </w:tcPr>
          <w:p w14:paraId="7F534251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5"/>
              </w:rPr>
              <w:t>6</w:t>
            </w:r>
          </w:p>
        </w:tc>
      </w:tr>
      <w:tr w14:paraId="0A12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59B75C1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0</w:t>
            </w:r>
          </w:p>
        </w:tc>
        <w:tc>
          <w:tcPr>
            <w:tcW w:w="5120" w:type="dxa"/>
          </w:tcPr>
          <w:p w14:paraId="6A547CED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2"/>
              </w:rPr>
              <w:t>双面镜筒旋钮帽</w:t>
            </w:r>
          </w:p>
        </w:tc>
        <w:tc>
          <w:tcPr>
            <w:tcW w:w="2209" w:type="dxa"/>
          </w:tcPr>
          <w:p w14:paraId="46496E22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ascii="宋体" w:hAnsi="宋体" w:eastAsia="宋体"/>
                <w:color w:val="auto"/>
                <w:spacing w:val="2"/>
              </w:rPr>
              <w:t>12</w:t>
            </w:r>
          </w:p>
        </w:tc>
      </w:tr>
      <w:tr w14:paraId="209DE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12261431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1</w:t>
            </w:r>
          </w:p>
        </w:tc>
        <w:tc>
          <w:tcPr>
            <w:tcW w:w="5120" w:type="dxa"/>
          </w:tcPr>
          <w:p w14:paraId="59E158A4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2"/>
              </w:rPr>
              <w:t>215</w:t>
            </w:r>
            <w:r>
              <w:rPr>
                <w:rFonts w:ascii="宋体" w:hAnsi="宋体" w:eastAsia="宋体"/>
                <w:color w:val="auto"/>
                <w:spacing w:val="2"/>
              </w:rPr>
              <w:t>°倾角可调</w:t>
            </w:r>
            <w:r>
              <w:rPr>
                <w:rFonts w:hint="eastAsia" w:ascii="宋体" w:hAnsi="宋体" w:eastAsia="宋体"/>
                <w:color w:val="auto"/>
                <w:spacing w:val="2"/>
              </w:rPr>
              <w:t>主刀</w:t>
            </w:r>
            <w:r>
              <w:rPr>
                <w:rFonts w:ascii="宋体" w:hAnsi="宋体" w:eastAsia="宋体"/>
                <w:color w:val="auto"/>
                <w:spacing w:val="2"/>
              </w:rPr>
              <w:t xml:space="preserve">镜  </w:t>
            </w:r>
          </w:p>
        </w:tc>
        <w:tc>
          <w:tcPr>
            <w:tcW w:w="2209" w:type="dxa"/>
          </w:tcPr>
          <w:p w14:paraId="3512784D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  <w:spacing w:val="1"/>
              </w:rPr>
              <w:t>1</w:t>
            </w:r>
            <w:r>
              <w:rPr>
                <w:rFonts w:ascii="宋体" w:hAnsi="宋体" w:eastAsia="宋体"/>
                <w:color w:val="auto"/>
                <w:spacing w:val="1"/>
              </w:rPr>
              <w:fldChar w:fldCharType="end"/>
            </w:r>
          </w:p>
        </w:tc>
      </w:tr>
      <w:tr w14:paraId="6042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654B695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2</w:t>
            </w:r>
          </w:p>
        </w:tc>
        <w:tc>
          <w:tcPr>
            <w:tcW w:w="5120" w:type="dxa"/>
          </w:tcPr>
          <w:p w14:paraId="1914C1CA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6"/>
              </w:rPr>
              <w:t>10</w:t>
            </w:r>
            <w:r>
              <w:rPr>
                <w:rFonts w:ascii="宋体" w:hAnsi="宋体" w:eastAsia="宋体"/>
                <w:color w:val="auto"/>
                <w:spacing w:val="6"/>
              </w:rPr>
              <w:t>X目镜</w:t>
            </w:r>
          </w:p>
        </w:tc>
        <w:tc>
          <w:tcPr>
            <w:tcW w:w="2209" w:type="dxa"/>
          </w:tcPr>
          <w:p w14:paraId="4C5B290A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1"/>
              </w:rPr>
              <w:t>4</w:t>
            </w:r>
          </w:p>
        </w:tc>
      </w:tr>
      <w:tr w14:paraId="0F87A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6A0A069E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3</w:t>
            </w:r>
          </w:p>
        </w:tc>
        <w:tc>
          <w:tcPr>
            <w:tcW w:w="5120" w:type="dxa"/>
          </w:tcPr>
          <w:p w14:paraId="1DACBCCF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5"/>
              </w:rPr>
              <w:t xml:space="preserve">独立变倍调焦助手镜 </w:t>
            </w:r>
          </w:p>
        </w:tc>
        <w:tc>
          <w:tcPr>
            <w:tcW w:w="2209" w:type="dxa"/>
          </w:tcPr>
          <w:p w14:paraId="06D409C6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\l "bookmark1" </w:instrText>
            </w:r>
            <w:r>
              <w:rPr>
                <w:color w:val="auto"/>
              </w:rPr>
              <w:fldChar w:fldCharType="separate"/>
            </w:r>
            <w:r>
              <w:rPr>
                <w:rFonts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fldChar w:fldCharType="end"/>
            </w:r>
          </w:p>
        </w:tc>
      </w:tr>
      <w:tr w14:paraId="38D3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01" w:type="dxa"/>
          </w:tcPr>
          <w:p w14:paraId="6287124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4</w:t>
            </w:r>
          </w:p>
        </w:tc>
        <w:tc>
          <w:tcPr>
            <w:tcW w:w="5120" w:type="dxa"/>
          </w:tcPr>
          <w:p w14:paraId="72D4C8C4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5"/>
              </w:rPr>
              <w:t>倒像</w:t>
            </w:r>
            <w:r>
              <w:rPr>
                <w:rFonts w:ascii="宋体" w:hAnsi="宋体" w:eastAsia="宋体"/>
                <w:color w:val="auto"/>
                <w:spacing w:val="5"/>
              </w:rPr>
              <w:t>镜系统</w:t>
            </w:r>
          </w:p>
        </w:tc>
        <w:tc>
          <w:tcPr>
            <w:tcW w:w="2209" w:type="dxa"/>
          </w:tcPr>
          <w:p w14:paraId="6826F007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2D9D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15BAF784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5</w:t>
            </w:r>
          </w:p>
        </w:tc>
        <w:tc>
          <w:tcPr>
            <w:tcW w:w="5120" w:type="dxa"/>
          </w:tcPr>
          <w:p w14:paraId="40B64B42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5"/>
              </w:rPr>
              <w:t>LED光源模块</w:t>
            </w:r>
          </w:p>
        </w:tc>
        <w:tc>
          <w:tcPr>
            <w:tcW w:w="2209" w:type="dxa"/>
          </w:tcPr>
          <w:p w14:paraId="2C7207AF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21866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0DCB541F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6</w:t>
            </w:r>
          </w:p>
        </w:tc>
        <w:tc>
          <w:tcPr>
            <w:tcW w:w="5120" w:type="dxa"/>
          </w:tcPr>
          <w:p w14:paraId="4C66E115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2"/>
              </w:rPr>
              <w:t>高清摄像头</w:t>
            </w:r>
          </w:p>
        </w:tc>
        <w:tc>
          <w:tcPr>
            <w:tcW w:w="2209" w:type="dxa"/>
          </w:tcPr>
          <w:p w14:paraId="21D5C8D5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621C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3BB45F0D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7</w:t>
            </w:r>
          </w:p>
        </w:tc>
        <w:tc>
          <w:tcPr>
            <w:tcW w:w="5120" w:type="dxa"/>
          </w:tcPr>
          <w:p w14:paraId="11AF5B67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5"/>
              </w:rPr>
              <w:t>非接触</w:t>
            </w:r>
            <w:r>
              <w:rPr>
                <w:rFonts w:hint="eastAsia" w:ascii="宋体" w:hAnsi="宋体" w:eastAsia="宋体" w:cs="宋体"/>
                <w:color w:val="auto"/>
                <w:spacing w:val="5"/>
              </w:rPr>
              <w:t>式眼底</w:t>
            </w:r>
            <w:r>
              <w:rPr>
                <w:rFonts w:hint="eastAsia" w:ascii="宋体" w:hAnsi="宋体" w:eastAsia="宋体"/>
                <w:color w:val="auto"/>
                <w:spacing w:val="5"/>
              </w:rPr>
              <w:t>广角</w:t>
            </w:r>
            <w:r>
              <w:rPr>
                <w:rFonts w:hint="eastAsia" w:ascii="宋体" w:hAnsi="宋体" w:eastAsia="宋体" w:cs="宋体"/>
                <w:color w:val="auto"/>
                <w:spacing w:val="5"/>
              </w:rPr>
              <w:t>观察</w:t>
            </w:r>
            <w:r>
              <w:rPr>
                <w:rFonts w:hint="eastAsia" w:ascii="宋体" w:hAnsi="宋体" w:eastAsia="宋体"/>
                <w:color w:val="auto"/>
                <w:spacing w:val="5"/>
              </w:rPr>
              <w:t>系统</w:t>
            </w:r>
          </w:p>
        </w:tc>
        <w:tc>
          <w:tcPr>
            <w:tcW w:w="2209" w:type="dxa"/>
          </w:tcPr>
          <w:p w14:paraId="0F52448E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</w:t>
            </w:r>
          </w:p>
        </w:tc>
      </w:tr>
      <w:tr w14:paraId="6335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018BC974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8</w:t>
            </w:r>
          </w:p>
        </w:tc>
        <w:tc>
          <w:tcPr>
            <w:tcW w:w="5120" w:type="dxa"/>
          </w:tcPr>
          <w:p w14:paraId="6ABC1F8F">
            <w:pPr>
              <w:rPr>
                <w:rFonts w:hint="eastAsia" w:ascii="宋体" w:hAnsi="宋体" w:eastAsia="宋体"/>
                <w:color w:val="auto"/>
                <w:spacing w:val="5"/>
              </w:rPr>
            </w:pPr>
            <w:r>
              <w:rPr>
                <w:rFonts w:hint="eastAsia" w:ascii="宋体" w:hAnsi="宋体" w:eastAsia="宋体"/>
                <w:color w:val="auto"/>
                <w:spacing w:val="5"/>
              </w:rPr>
              <w:t>眼底镜</w:t>
            </w:r>
          </w:p>
        </w:tc>
        <w:tc>
          <w:tcPr>
            <w:tcW w:w="2209" w:type="dxa"/>
          </w:tcPr>
          <w:p w14:paraId="4E13A889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</w:t>
            </w:r>
          </w:p>
        </w:tc>
      </w:tr>
      <w:tr w14:paraId="5B62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1443AA49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  <w:r>
              <w:rPr>
                <w:rFonts w:ascii="宋体" w:hAnsi="宋体" w:eastAsia="宋体"/>
                <w:color w:val="auto"/>
              </w:rPr>
              <w:t>9</w:t>
            </w:r>
          </w:p>
        </w:tc>
        <w:tc>
          <w:tcPr>
            <w:tcW w:w="5120" w:type="dxa"/>
          </w:tcPr>
          <w:p w14:paraId="02E86B52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</w:rPr>
              <w:t>高清</w:t>
            </w:r>
            <w:r>
              <w:rPr>
                <w:rFonts w:hint="eastAsia" w:ascii="宋体" w:hAnsi="宋体" w:eastAsia="宋体"/>
                <w:color w:val="auto"/>
                <w:spacing w:val="5"/>
              </w:rPr>
              <w:t>摄录像系统</w:t>
            </w:r>
          </w:p>
        </w:tc>
        <w:tc>
          <w:tcPr>
            <w:tcW w:w="2209" w:type="dxa"/>
          </w:tcPr>
          <w:p w14:paraId="2969D021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pacing w:val="1"/>
              </w:rPr>
              <w:t>1</w:t>
            </w:r>
          </w:p>
        </w:tc>
      </w:tr>
      <w:tr w14:paraId="1024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63BDC6FA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</w:t>
            </w:r>
            <w:r>
              <w:rPr>
                <w:rFonts w:ascii="宋体" w:hAnsi="宋体" w:eastAsia="宋体"/>
                <w:color w:val="auto"/>
              </w:rPr>
              <w:t>0</w:t>
            </w:r>
          </w:p>
        </w:tc>
        <w:tc>
          <w:tcPr>
            <w:tcW w:w="5120" w:type="dxa"/>
          </w:tcPr>
          <w:p w14:paraId="02876062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不间断</w:t>
            </w:r>
            <w:r>
              <w:rPr>
                <w:rFonts w:hint="eastAsia" w:ascii="宋体" w:hAnsi="宋体" w:eastAsia="宋体" w:cs="宋体"/>
                <w:color w:val="auto"/>
              </w:rPr>
              <w:t>电源</w:t>
            </w:r>
          </w:p>
        </w:tc>
        <w:tc>
          <w:tcPr>
            <w:tcW w:w="2209" w:type="dxa"/>
          </w:tcPr>
          <w:p w14:paraId="1E8930DF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56BC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69358F26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21</w:t>
            </w:r>
          </w:p>
        </w:tc>
        <w:tc>
          <w:tcPr>
            <w:tcW w:w="5120" w:type="dxa"/>
          </w:tcPr>
          <w:p w14:paraId="46C18204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后节观察系统</w:t>
            </w:r>
          </w:p>
        </w:tc>
        <w:tc>
          <w:tcPr>
            <w:tcW w:w="2209" w:type="dxa"/>
          </w:tcPr>
          <w:p w14:paraId="08A5ABCC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35FD3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154EB5F3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22</w:t>
            </w:r>
          </w:p>
        </w:tc>
        <w:tc>
          <w:tcPr>
            <w:tcW w:w="5120" w:type="dxa"/>
          </w:tcPr>
          <w:p w14:paraId="07A6F203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无线脚踏连接线</w:t>
            </w:r>
          </w:p>
        </w:tc>
        <w:tc>
          <w:tcPr>
            <w:tcW w:w="2209" w:type="dxa"/>
          </w:tcPr>
          <w:p w14:paraId="2A9F228D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  <w:tr w14:paraId="6C1D2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dxa"/>
          </w:tcPr>
          <w:p w14:paraId="3BC10217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23</w:t>
            </w:r>
          </w:p>
        </w:tc>
        <w:tc>
          <w:tcPr>
            <w:tcW w:w="5120" w:type="dxa"/>
          </w:tcPr>
          <w:p w14:paraId="767A01FF">
            <w:pPr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术中导航系统</w:t>
            </w:r>
          </w:p>
        </w:tc>
        <w:tc>
          <w:tcPr>
            <w:tcW w:w="2209" w:type="dxa"/>
          </w:tcPr>
          <w:p w14:paraId="41AB8514">
            <w:pPr>
              <w:jc w:val="center"/>
              <w:rPr>
                <w:rFonts w:hint="eastAsia"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1</w:t>
            </w:r>
          </w:p>
        </w:tc>
      </w:tr>
    </w:tbl>
    <w:p w14:paraId="62997586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</w:rPr>
      </w:pPr>
    </w:p>
    <w:p w14:paraId="723FE29C">
      <w:pPr>
        <w:widowControl/>
        <w:spacing w:before="75" w:after="75"/>
        <w:jc w:val="left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三、售后服务要求</w:t>
      </w:r>
    </w:p>
    <w:p w14:paraId="17E564EC">
      <w:pPr>
        <w:widowControl/>
        <w:numPr>
          <w:ilvl w:val="0"/>
          <w:numId w:val="1"/>
        </w:numPr>
        <w:jc w:val="lef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供应商或原厂在国内设立专业的维修机构。</w:t>
      </w:r>
    </w:p>
    <w:p w14:paraId="565D7B17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质保期限要求：如无特殊要求，本标包所有投标产品交付采购人并经验收通过后不少于3年。</w:t>
      </w:r>
    </w:p>
    <w:p w14:paraId="5B47F486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履约验收要求：项目履约验收工作具体依据项目合同中的履约验收方案执行。合同中的履约验收方案将明确履约验收的主体、时间、方式、程序、内容和验收标准等事项。</w:t>
      </w:r>
    </w:p>
    <w:p w14:paraId="727CAA58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供应商需提供设备安装需要的基建要求，包括场地面积、承重、层高、用电等情况（如有）。设备安装验收后提供免费培训服务，提供与设备相关的操作手册和使用说明书。</w:t>
      </w:r>
    </w:p>
    <w:p w14:paraId="339FE0DD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供应商需承诺设备接口免费开放，免费接入医院综合运营系统，如有端口费用由中标方承担。</w:t>
      </w:r>
    </w:p>
    <w:p w14:paraId="17825189">
      <w:pPr>
        <w:numPr>
          <w:ilvl w:val="0"/>
          <w:numId w:val="1"/>
        </w:numPr>
        <w:spacing w:line="400" w:lineRule="exact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本次报价包含设备费用、安装调试费、运输费、包装费、税金等完成本项目所需要的所有费用。</w:t>
      </w:r>
    </w:p>
    <w:p w14:paraId="7D7EA0AD">
      <w:pPr>
        <w:numPr>
          <w:ilvl w:val="0"/>
          <w:numId w:val="1"/>
        </w:numPr>
        <w:spacing w:line="360" w:lineRule="auto"/>
        <w:rPr>
          <w:rFonts w:hint="eastAsia" w:ascii="宋体" w:hAnsi="宋体" w:cs="Arial"/>
          <w:bCs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后续的全生命周期成本及备品备件采购价格情况等相关说明。</w:t>
      </w:r>
    </w:p>
    <w:p w14:paraId="7DE6F79E">
      <w:pPr>
        <w:numPr>
          <w:ilvl w:val="0"/>
          <w:numId w:val="1"/>
        </w:numPr>
        <w:spacing w:line="40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cs="Arial"/>
          <w:bCs/>
          <w:color w:val="auto"/>
          <w:sz w:val="24"/>
        </w:rPr>
        <w:t>本项目需由供应商提供设计方案、解决方案或者组织方案以及技术支持资料。</w:t>
      </w:r>
    </w:p>
    <w:p w14:paraId="244B27BA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578A8">
    <w:pPr>
      <w:pStyle w:val="5"/>
      <w:pBdr>
        <w:bottom w:val="none" w:color="auto" w:sz="0" w:space="0"/>
      </w:pBdr>
      <w:rPr>
        <w:rFonts w:hint="eastAsia"/>
        <w:lang w:val="en-US" w:eastAsia="zh-CN"/>
      </w:rPr>
    </w:pPr>
    <w:r>
      <w:rPr>
        <w:rFonts w:hint="eastAsia"/>
        <w:lang w:val="en-US" w:eastAsia="zh-CN"/>
      </w:rPr>
      <w:t>ZC20260135 上海市光华中西医结合医院所需检验科、手术室、特检、眼科等一批医疗设备公开招标项目</w:t>
    </w:r>
  </w:p>
  <w:p w14:paraId="1FD3FE1E">
    <w:pPr>
      <w:pStyle w:val="5"/>
      <w:pBdr>
        <w:bottom w:val="single" w:color="auto" w:sz="4" w:space="0"/>
      </w:pBdr>
    </w:pPr>
    <w:r>
      <w:rPr>
        <w:rFonts w:hint="eastAsia"/>
        <w:lang w:val="en-US" w:eastAsia="zh-CN"/>
      </w:rPr>
      <w:t>招标需求文件 第三标包</w:t>
    </w:r>
  </w:p>
  <w:p w14:paraId="4C26354F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87FA6D"/>
    <w:multiLevelType w:val="singleLevel"/>
    <w:tmpl w:val="7F87FA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E405B"/>
    <w:rsid w:val="000150BA"/>
    <w:rsid w:val="00031935"/>
    <w:rsid w:val="00066671"/>
    <w:rsid w:val="000D6B8F"/>
    <w:rsid w:val="001B09F5"/>
    <w:rsid w:val="001D7603"/>
    <w:rsid w:val="00284F41"/>
    <w:rsid w:val="002A6620"/>
    <w:rsid w:val="002D7B90"/>
    <w:rsid w:val="002E45A6"/>
    <w:rsid w:val="003237BE"/>
    <w:rsid w:val="003B46D2"/>
    <w:rsid w:val="003C1029"/>
    <w:rsid w:val="003E7893"/>
    <w:rsid w:val="00401777"/>
    <w:rsid w:val="00470A02"/>
    <w:rsid w:val="00487167"/>
    <w:rsid w:val="004F3E96"/>
    <w:rsid w:val="00502A98"/>
    <w:rsid w:val="00536B5F"/>
    <w:rsid w:val="00591D66"/>
    <w:rsid w:val="005C5C8E"/>
    <w:rsid w:val="006231B4"/>
    <w:rsid w:val="00635BFB"/>
    <w:rsid w:val="006B0587"/>
    <w:rsid w:val="006B0752"/>
    <w:rsid w:val="007C272B"/>
    <w:rsid w:val="007E5FFA"/>
    <w:rsid w:val="008749B5"/>
    <w:rsid w:val="00891C43"/>
    <w:rsid w:val="00892F2C"/>
    <w:rsid w:val="008957A6"/>
    <w:rsid w:val="008A5DC0"/>
    <w:rsid w:val="009608DA"/>
    <w:rsid w:val="00996F00"/>
    <w:rsid w:val="009D6EDB"/>
    <w:rsid w:val="00A41BBF"/>
    <w:rsid w:val="00A527EE"/>
    <w:rsid w:val="00A73AC1"/>
    <w:rsid w:val="00B618A8"/>
    <w:rsid w:val="00B63F9E"/>
    <w:rsid w:val="00B70016"/>
    <w:rsid w:val="00B85E93"/>
    <w:rsid w:val="00D25D35"/>
    <w:rsid w:val="00D35FCD"/>
    <w:rsid w:val="00D74415"/>
    <w:rsid w:val="00D766FE"/>
    <w:rsid w:val="00DD5B12"/>
    <w:rsid w:val="00E0066B"/>
    <w:rsid w:val="00E020ED"/>
    <w:rsid w:val="00E059C8"/>
    <w:rsid w:val="00E16D83"/>
    <w:rsid w:val="00E20B0A"/>
    <w:rsid w:val="00E36E99"/>
    <w:rsid w:val="00E40DFF"/>
    <w:rsid w:val="00E75534"/>
    <w:rsid w:val="00E824FC"/>
    <w:rsid w:val="00ED22D1"/>
    <w:rsid w:val="00F12124"/>
    <w:rsid w:val="00F92F4C"/>
    <w:rsid w:val="00FE2B82"/>
    <w:rsid w:val="01311D17"/>
    <w:rsid w:val="06EA7FE5"/>
    <w:rsid w:val="09F558AC"/>
    <w:rsid w:val="0BEB51B8"/>
    <w:rsid w:val="1AD05D20"/>
    <w:rsid w:val="1CCD7A54"/>
    <w:rsid w:val="20F024D5"/>
    <w:rsid w:val="21FA7AAB"/>
    <w:rsid w:val="22EF5136"/>
    <w:rsid w:val="22F639DF"/>
    <w:rsid w:val="24D171E9"/>
    <w:rsid w:val="26C568DA"/>
    <w:rsid w:val="2FF04BCF"/>
    <w:rsid w:val="305556AB"/>
    <w:rsid w:val="32195D2C"/>
    <w:rsid w:val="37CB7AC8"/>
    <w:rsid w:val="384F24A7"/>
    <w:rsid w:val="39567866"/>
    <w:rsid w:val="44D3620E"/>
    <w:rsid w:val="46E95125"/>
    <w:rsid w:val="48A831A4"/>
    <w:rsid w:val="48E11085"/>
    <w:rsid w:val="4ACE3700"/>
    <w:rsid w:val="511146A5"/>
    <w:rsid w:val="58BD77DC"/>
    <w:rsid w:val="59102330"/>
    <w:rsid w:val="598938B1"/>
    <w:rsid w:val="5A625C12"/>
    <w:rsid w:val="5B4F35FA"/>
    <w:rsid w:val="5F8A1E93"/>
    <w:rsid w:val="614B7400"/>
    <w:rsid w:val="64AB3741"/>
    <w:rsid w:val="6DCD21CC"/>
    <w:rsid w:val="738F67F1"/>
    <w:rsid w:val="746740F9"/>
    <w:rsid w:val="74A964C0"/>
    <w:rsid w:val="754272F6"/>
    <w:rsid w:val="756E405B"/>
    <w:rsid w:val="78FE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rPr>
      <w:sz w:val="32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styleId="13">
    <w:name w:val="HTML Sample"/>
    <w:basedOn w:val="10"/>
    <w:qFormat/>
    <w:uiPriority w:val="0"/>
    <w:rPr>
      <w:rFonts w:ascii="Courier New" w:hAnsi="Courier New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主题 字符"/>
    <w:basedOn w:val="18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1872</Words>
  <Characters>2044</Characters>
  <Lines>108</Lines>
  <Paragraphs>166</Paragraphs>
  <TotalTime>2</TotalTime>
  <ScaleCrop>false</ScaleCrop>
  <LinksUpToDate>false</LinksUpToDate>
  <CharactersWithSpaces>2061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2026-03-02T03:14:00Z</dcterms:created>
  <dc:creator>mayn</dc:creator>
  <cp:lastModifiedBy>Better Me</cp:lastModifiedBy>
  <cp:lastPrinted>2026-03-02T07:38:00Z</cp:lastPrinted>
  <dcterms:modified xsi:type="dcterms:W3CDTF">2026-08-20T01:56:28Z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D8C803697DF44A33AFE45954BBAE2561_11</vt:lpwstr>
  </property>
  <property fmtid="{D5CDD505-2E9C-101B-9397-08002B2CF9AE}" pid="4" name="KSOTemplateDocerSaveRecord">
    <vt:lpwstr>eyJoZGlkIjoiMzIyZGIzOGY5Mzk5ZDhkNTdlMDM5NzI1NjBiNmIzODciLCJ1c2VySWQiOiI1Njk1NTUzMTgifQ==</vt:lpwstr>
  </property>
</Properties>
</file>