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B4FC1">
      <w:pPr>
        <w:widowControl/>
        <w:spacing w:before="75" w:after="75"/>
        <w:jc w:val="center"/>
        <w:rPr>
          <w:rFonts w:ascii="宋体" w:hAnsi="宋体" w:eastAsia="宋体" w:cs="宋体"/>
          <w:b/>
          <w:sz w:val="28"/>
          <w:szCs w:val="28"/>
          <w:highlight w:val="none"/>
        </w:rPr>
      </w:pPr>
      <w:bookmarkStart w:id="0" w:name="_GoBack"/>
      <w:r>
        <w:rPr>
          <w:rFonts w:ascii="宋体" w:hAnsi="宋体" w:eastAsia="宋体" w:cs="宋体"/>
          <w:b/>
          <w:sz w:val="28"/>
          <w:szCs w:val="28"/>
          <w:highlight w:val="none"/>
        </w:rPr>
        <w:t>上海市光华中西医结合医院所需检验科等一批医疗设备</w:t>
      </w:r>
    </w:p>
    <w:p w14:paraId="3D6C27C1">
      <w:pPr>
        <w:widowControl/>
        <w:spacing w:before="75" w:after="75"/>
        <w:jc w:val="center"/>
        <w:rPr>
          <w:rFonts w:hint="eastAsia" w:ascii="宋体" w:hAnsi="宋体" w:eastAsia="宋体" w:cs="宋体"/>
          <w:b/>
          <w:sz w:val="28"/>
          <w:szCs w:val="28"/>
          <w:highlight w:val="none"/>
        </w:rPr>
      </w:pPr>
      <w:r>
        <w:rPr>
          <w:rFonts w:ascii="宋体" w:hAnsi="宋体" w:eastAsia="宋体" w:cs="宋体"/>
          <w:b/>
          <w:sz w:val="28"/>
          <w:szCs w:val="28"/>
          <w:highlight w:val="none"/>
        </w:rPr>
        <w:t>公开招标项目招标需求文件</w:t>
      </w:r>
    </w:p>
    <w:p w14:paraId="4A5E78C5">
      <w:pPr>
        <w:widowControl/>
        <w:spacing w:before="75" w:after="75"/>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第二标包：</w:t>
      </w:r>
      <w:r>
        <w:rPr>
          <w:rFonts w:ascii="宋体" w:hAnsi="宋体" w:eastAsia="宋体" w:cs="宋体"/>
          <w:b/>
          <w:sz w:val="28"/>
          <w:szCs w:val="28"/>
          <w:highlight w:val="none"/>
        </w:rPr>
        <w:t>全自动化学发光测定仪</w:t>
      </w:r>
      <w:r>
        <w:rPr>
          <w:rFonts w:hint="eastAsia" w:ascii="宋体" w:hAnsi="宋体" w:eastAsia="宋体" w:cs="宋体"/>
          <w:b/>
          <w:sz w:val="28"/>
          <w:szCs w:val="28"/>
          <w:highlight w:val="none"/>
        </w:rPr>
        <w:t>等</w:t>
      </w:r>
    </w:p>
    <w:p w14:paraId="5D3BB547">
      <w:pPr>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一、项目概况</w:t>
      </w:r>
    </w:p>
    <w:p w14:paraId="69795099">
      <w:pPr>
        <w:pStyle w:val="3"/>
        <w:numPr>
          <w:ilvl w:val="0"/>
          <w:numId w:val="1"/>
        </w:numPr>
        <w:spacing w:line="360" w:lineRule="auto"/>
        <w:rPr>
          <w:rFonts w:hint="eastAsia" w:ascii="宋体" w:hAnsi="宋体" w:eastAsia="宋体" w:cs="宋体"/>
          <w:sz w:val="24"/>
          <w:highlight w:val="none"/>
        </w:rPr>
      </w:pPr>
      <w:r>
        <w:rPr>
          <w:rFonts w:hint="eastAsia" w:ascii="宋体" w:hAnsi="宋体" w:eastAsia="宋体" w:cs="宋体"/>
          <w:sz w:val="24"/>
          <w:highlight w:val="none"/>
        </w:rPr>
        <w:t>设备数量</w:t>
      </w:r>
    </w:p>
    <w:tbl>
      <w:tblPr>
        <w:tblStyle w:val="8"/>
        <w:tblW w:w="8789" w:type="dxa"/>
        <w:jc w:val="center"/>
        <w:tblLayout w:type="autofit"/>
        <w:tblCellMar>
          <w:top w:w="0" w:type="dxa"/>
          <w:left w:w="108" w:type="dxa"/>
          <w:bottom w:w="0" w:type="dxa"/>
          <w:right w:w="108" w:type="dxa"/>
        </w:tblCellMar>
      </w:tblPr>
      <w:tblGrid>
        <w:gridCol w:w="861"/>
        <w:gridCol w:w="3652"/>
        <w:gridCol w:w="760"/>
        <w:gridCol w:w="1783"/>
        <w:gridCol w:w="1733"/>
      </w:tblGrid>
      <w:tr w14:paraId="0A6D6ADA">
        <w:tblPrEx>
          <w:tblCellMar>
            <w:top w:w="0" w:type="dxa"/>
            <w:left w:w="108" w:type="dxa"/>
            <w:bottom w:w="0" w:type="dxa"/>
            <w:right w:w="108" w:type="dxa"/>
          </w:tblCellMar>
        </w:tblPrEx>
        <w:trPr>
          <w:trHeight w:val="703" w:hRule="atLeast"/>
          <w:tblHeader/>
          <w:jc w:val="center"/>
        </w:trPr>
        <w:tc>
          <w:tcPr>
            <w:tcW w:w="861" w:type="dxa"/>
            <w:tcBorders>
              <w:top w:val="single" w:color="000000" w:sz="4" w:space="0"/>
              <w:left w:val="single" w:color="000000" w:sz="4" w:space="0"/>
              <w:bottom w:val="single" w:color="000000" w:sz="4" w:space="0"/>
              <w:right w:val="single" w:color="000000" w:sz="4" w:space="0"/>
            </w:tcBorders>
            <w:vAlign w:val="center"/>
          </w:tcPr>
          <w:p w14:paraId="385F2B8D">
            <w:pPr>
              <w:widowControl/>
              <w:jc w:val="center"/>
              <w:textAlignment w:val="center"/>
              <w:rPr>
                <w:rFonts w:hint="eastAsia" w:ascii="宋体" w:hAnsi="宋体" w:eastAsia="宋体" w:cs="宋体"/>
                <w:b/>
                <w:bCs/>
                <w:sz w:val="24"/>
                <w:highlight w:val="none"/>
              </w:rPr>
            </w:pPr>
            <w:r>
              <w:rPr>
                <w:rFonts w:hint="eastAsia" w:ascii="宋体" w:hAnsi="宋体" w:eastAsia="宋体" w:cs="宋体"/>
                <w:b/>
                <w:bCs/>
                <w:sz w:val="24"/>
                <w:highlight w:val="none"/>
              </w:rPr>
              <w:t>序号</w:t>
            </w:r>
          </w:p>
        </w:tc>
        <w:tc>
          <w:tcPr>
            <w:tcW w:w="3652" w:type="dxa"/>
            <w:tcBorders>
              <w:top w:val="single" w:color="000000" w:sz="4" w:space="0"/>
              <w:left w:val="single" w:color="000000" w:sz="4" w:space="0"/>
              <w:bottom w:val="single" w:color="000000" w:sz="4" w:space="0"/>
              <w:right w:val="single" w:color="000000" w:sz="4" w:space="0"/>
            </w:tcBorders>
            <w:vAlign w:val="center"/>
          </w:tcPr>
          <w:p w14:paraId="335CF228">
            <w:pPr>
              <w:widowControl/>
              <w:jc w:val="center"/>
              <w:textAlignment w:val="center"/>
              <w:rPr>
                <w:rFonts w:hint="eastAsia" w:ascii="宋体" w:hAnsi="宋体" w:eastAsia="宋体" w:cs="宋体"/>
                <w:b/>
                <w:bCs/>
                <w:sz w:val="24"/>
                <w:highlight w:val="none"/>
              </w:rPr>
            </w:pPr>
            <w:r>
              <w:rPr>
                <w:rFonts w:hint="eastAsia" w:ascii="宋体" w:hAnsi="宋体" w:eastAsia="宋体" w:cs="宋体"/>
                <w:b/>
                <w:bCs/>
                <w:kern w:val="0"/>
                <w:sz w:val="24"/>
                <w:highlight w:val="none"/>
                <w:lang w:bidi="ar"/>
              </w:rPr>
              <w:t>设备名称</w:t>
            </w:r>
          </w:p>
        </w:tc>
        <w:tc>
          <w:tcPr>
            <w:tcW w:w="760" w:type="dxa"/>
            <w:tcBorders>
              <w:top w:val="single" w:color="000000" w:sz="4" w:space="0"/>
              <w:left w:val="single" w:color="000000" w:sz="4" w:space="0"/>
              <w:bottom w:val="single" w:color="000000" w:sz="4" w:space="0"/>
              <w:right w:val="single" w:color="000000" w:sz="4" w:space="0"/>
            </w:tcBorders>
            <w:vAlign w:val="center"/>
          </w:tcPr>
          <w:p w14:paraId="277D2398">
            <w:pPr>
              <w:widowControl/>
              <w:jc w:val="center"/>
              <w:textAlignment w:val="center"/>
              <w:rPr>
                <w:rFonts w:hint="eastAsia" w:ascii="宋体" w:hAnsi="宋体" w:eastAsia="宋体" w:cs="宋体"/>
                <w:b/>
                <w:bCs/>
                <w:sz w:val="24"/>
                <w:highlight w:val="none"/>
              </w:rPr>
            </w:pPr>
            <w:r>
              <w:rPr>
                <w:rFonts w:hint="eastAsia" w:ascii="宋体" w:hAnsi="宋体" w:eastAsia="宋体" w:cs="宋体"/>
                <w:b/>
                <w:bCs/>
                <w:kern w:val="0"/>
                <w:sz w:val="24"/>
                <w:highlight w:val="none"/>
                <w:lang w:bidi="ar"/>
              </w:rPr>
              <w:t>数量</w:t>
            </w:r>
          </w:p>
        </w:tc>
        <w:tc>
          <w:tcPr>
            <w:tcW w:w="1783" w:type="dxa"/>
            <w:tcBorders>
              <w:top w:val="single" w:color="000000" w:sz="4" w:space="0"/>
              <w:left w:val="single" w:color="000000" w:sz="4" w:space="0"/>
              <w:bottom w:val="single" w:color="000000" w:sz="4" w:space="0"/>
              <w:right w:val="single" w:color="000000" w:sz="4" w:space="0"/>
            </w:tcBorders>
            <w:vAlign w:val="center"/>
          </w:tcPr>
          <w:p w14:paraId="1E9AF666">
            <w:pPr>
              <w:widowControl/>
              <w:jc w:val="center"/>
              <w:textAlignment w:val="center"/>
              <w:rPr>
                <w:rFonts w:hint="eastAsia" w:ascii="宋体" w:hAnsi="宋体" w:eastAsia="宋体" w:cs="宋体"/>
                <w:b/>
                <w:bCs/>
                <w:sz w:val="24"/>
                <w:highlight w:val="none"/>
              </w:rPr>
            </w:pPr>
            <w:r>
              <w:rPr>
                <w:rFonts w:hint="eastAsia" w:ascii="宋体" w:hAnsi="宋体" w:eastAsia="宋体" w:cs="宋体"/>
                <w:b/>
                <w:bCs/>
                <w:kern w:val="0"/>
                <w:sz w:val="24"/>
                <w:highlight w:val="none"/>
                <w:lang w:bidi="ar"/>
              </w:rPr>
              <w:t>设备单价限价</w:t>
            </w:r>
            <w:r>
              <w:rPr>
                <w:rFonts w:hint="eastAsia" w:ascii="宋体" w:hAnsi="宋体" w:eastAsia="宋体" w:cs="宋体"/>
                <w:b/>
                <w:bCs/>
                <w:kern w:val="0"/>
                <w:sz w:val="24"/>
                <w:highlight w:val="none"/>
                <w:lang w:bidi="ar"/>
              </w:rPr>
              <w:br w:type="textWrapping"/>
            </w:r>
            <w:r>
              <w:rPr>
                <w:rFonts w:hint="eastAsia" w:ascii="宋体" w:hAnsi="宋体" w:eastAsia="宋体" w:cs="宋体"/>
                <w:b/>
                <w:bCs/>
                <w:kern w:val="0"/>
                <w:sz w:val="24"/>
                <w:highlight w:val="none"/>
                <w:lang w:bidi="ar"/>
              </w:rPr>
              <w:t>（万元）</w:t>
            </w:r>
          </w:p>
        </w:tc>
        <w:tc>
          <w:tcPr>
            <w:tcW w:w="1733" w:type="dxa"/>
            <w:tcBorders>
              <w:top w:val="single" w:color="000000" w:sz="4" w:space="0"/>
              <w:left w:val="single" w:color="000000" w:sz="4" w:space="0"/>
              <w:bottom w:val="single" w:color="000000" w:sz="4" w:space="0"/>
              <w:right w:val="single" w:color="000000" w:sz="4" w:space="0"/>
            </w:tcBorders>
            <w:vAlign w:val="center"/>
          </w:tcPr>
          <w:p w14:paraId="2CC9DD00">
            <w:pPr>
              <w:widowControl/>
              <w:jc w:val="center"/>
              <w:textAlignment w:val="center"/>
              <w:rPr>
                <w:rFonts w:hint="eastAsia" w:ascii="宋体" w:hAnsi="宋体" w:eastAsia="宋体" w:cs="宋体"/>
                <w:b/>
                <w:bCs/>
                <w:sz w:val="24"/>
                <w:highlight w:val="none"/>
              </w:rPr>
            </w:pPr>
            <w:r>
              <w:rPr>
                <w:rFonts w:hint="eastAsia" w:ascii="宋体" w:hAnsi="宋体" w:eastAsia="宋体" w:cs="宋体"/>
                <w:b/>
                <w:bCs/>
                <w:kern w:val="0"/>
                <w:sz w:val="24"/>
                <w:highlight w:val="none"/>
                <w:lang w:bidi="ar"/>
              </w:rPr>
              <w:t>设备核价限价</w:t>
            </w:r>
            <w:r>
              <w:rPr>
                <w:rFonts w:hint="eastAsia" w:ascii="宋体" w:hAnsi="宋体" w:eastAsia="宋体" w:cs="宋体"/>
                <w:b/>
                <w:bCs/>
                <w:kern w:val="0"/>
                <w:sz w:val="24"/>
                <w:highlight w:val="none"/>
                <w:lang w:bidi="ar"/>
              </w:rPr>
              <w:br w:type="textWrapping"/>
            </w:r>
            <w:r>
              <w:rPr>
                <w:rFonts w:hint="eastAsia" w:ascii="宋体" w:hAnsi="宋体" w:eastAsia="宋体" w:cs="宋体"/>
                <w:b/>
                <w:bCs/>
                <w:kern w:val="0"/>
                <w:sz w:val="24"/>
                <w:highlight w:val="none"/>
                <w:lang w:bidi="ar"/>
              </w:rPr>
              <w:t>（万元）</w:t>
            </w:r>
          </w:p>
        </w:tc>
      </w:tr>
      <w:tr w14:paraId="43A2ECB5">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9EA7F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79E9F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全自动化学发光免疫分析仪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5119B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5444D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64E8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60</w:t>
            </w:r>
          </w:p>
        </w:tc>
      </w:tr>
      <w:tr w14:paraId="1387A158">
        <w:tblPrEx>
          <w:tblCellMar>
            <w:top w:w="0" w:type="dxa"/>
            <w:left w:w="108" w:type="dxa"/>
            <w:bottom w:w="0" w:type="dxa"/>
            <w:right w:w="108" w:type="dxa"/>
          </w:tblCellMar>
        </w:tblPrEx>
        <w:trPr>
          <w:trHeight w:val="43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50DF3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AF27C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微生物培养监测仪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5864F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81C09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70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6059B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70</w:t>
            </w:r>
          </w:p>
        </w:tc>
      </w:tr>
      <w:tr w14:paraId="3AD31001">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077CA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36331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全自动微生物鉴定药敏分析仪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3FF13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1A03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A112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50</w:t>
            </w:r>
          </w:p>
        </w:tc>
      </w:tr>
      <w:tr w14:paraId="4978C824">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BC227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CB01E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全自动微生物质谱检测系统</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9BC7F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248DD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607B7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200</w:t>
            </w:r>
          </w:p>
        </w:tc>
      </w:tr>
      <w:tr w14:paraId="61045F1B">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3690E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7EB09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智慧标本管理解决方案</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9BBDD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73FA6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320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96809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320</w:t>
            </w:r>
          </w:p>
        </w:tc>
      </w:tr>
      <w:tr w14:paraId="0A15A665">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763CE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0E2F0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全自动凝血分析仪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89EC8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221E1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E7C3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30</w:t>
            </w:r>
          </w:p>
        </w:tc>
      </w:tr>
      <w:tr w14:paraId="0DFD634C">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6771C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7</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8428B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全自动粪便分析仪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1BF83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0EEF5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00926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r>
      <w:tr w14:paraId="2BE0A9D1">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559FE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0E4BC4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生物安全柜B2型</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18F68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B7162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D9A02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r>
      <w:tr w14:paraId="43D7A6A8">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652AA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9</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22505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生物安全柜A2型</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71D7C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F6EC40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763343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16</w:t>
            </w:r>
          </w:p>
        </w:tc>
      </w:tr>
      <w:tr w14:paraId="362DE4E7">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71B07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10</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8C93D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二氧化碳细胞培养箱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1140B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EC14C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E6ED6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10</w:t>
            </w:r>
          </w:p>
        </w:tc>
      </w:tr>
      <w:tr w14:paraId="1C46C092">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EB819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11</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D78A9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电热恒温培养箱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EBE18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37AD6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03BBC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w:t>
            </w:r>
          </w:p>
        </w:tc>
      </w:tr>
      <w:tr w14:paraId="0C1CE2DA">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43948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12</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A65DA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低温生化培养箱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63C29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2DA6B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61EF1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r>
      <w:tr w14:paraId="1852565F">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361C4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13</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53315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电子天平</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623DEE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9549E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3000A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r>
      <w:tr w14:paraId="6B96A3B2">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07391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14</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CF301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气瓶柜</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E7B20A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20BC47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17FDC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r>
      <w:tr w14:paraId="33D8DD99">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83D3FE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D5C803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医用冷藏冷冻箱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52C4A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938AC0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1.7</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FD29C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3.4</w:t>
            </w:r>
          </w:p>
        </w:tc>
      </w:tr>
      <w:tr w14:paraId="254CC6B6">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D12C0E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16</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62B25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医用冷藏冰箱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106584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4EF20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1B88D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3.6</w:t>
            </w:r>
          </w:p>
        </w:tc>
      </w:tr>
      <w:tr w14:paraId="7203EDFF">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1273B5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17</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DBAF0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医用冷冻冰箱</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2A337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9F505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FADDA8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7.6</w:t>
            </w:r>
          </w:p>
        </w:tc>
      </w:tr>
      <w:tr w14:paraId="6D894C0F">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0682A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18</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E0BF1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震荡器</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AD7FF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9A75D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5A658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0.5</w:t>
            </w:r>
          </w:p>
        </w:tc>
      </w:tr>
      <w:tr w14:paraId="090BA652">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37457E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19</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CFDF6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微型离心机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9406D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F76CB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85B6B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0.5</w:t>
            </w:r>
          </w:p>
        </w:tc>
      </w:tr>
      <w:tr w14:paraId="4789967B">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85EE0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23B4D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医用洁净工作台</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252D8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CFB3D6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21917A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1.6</w:t>
            </w:r>
          </w:p>
        </w:tc>
      </w:tr>
      <w:tr w14:paraId="706FD865">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03677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21</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CD53B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移液器</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D4413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EA7AC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1.4</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4989F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28</w:t>
            </w:r>
          </w:p>
        </w:tc>
      </w:tr>
      <w:tr w14:paraId="43093813">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817A8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22</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B3EE64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基因测序仪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17F15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73DFB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A7392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80</w:t>
            </w:r>
          </w:p>
        </w:tc>
      </w:tr>
      <w:tr w14:paraId="259658B2">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B09893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23</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ECB53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基因测序文库制备仪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B0E55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18F159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92DDE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r>
      <w:tr w14:paraId="6B67A1EF">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E2BF7F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24</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727F09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核酸提取及实时荧光分析</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8DBD0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BA23D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AC984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20</w:t>
            </w:r>
          </w:p>
        </w:tc>
      </w:tr>
      <w:tr w14:paraId="1CCF7EAC">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F57927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25</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2AF19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组织研磨低温质谱仪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6B5842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B737E0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36109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6.6</w:t>
            </w:r>
          </w:p>
        </w:tc>
      </w:tr>
      <w:tr w14:paraId="5A2C133D">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E60DF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26</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1D385B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恒温震荡金属浴</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4D846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DE35E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0.96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94558D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1.92</w:t>
            </w:r>
          </w:p>
        </w:tc>
      </w:tr>
      <w:tr w14:paraId="29DFF347">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C9CF4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27</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C1011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冷冻高速离心机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B1F58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631365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EC2C0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w:t>
            </w:r>
          </w:p>
        </w:tc>
      </w:tr>
      <w:tr w14:paraId="01F04213">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8A940B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28</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1662E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全自动核酸提取仪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8A6C7A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30EA0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96C46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4.8</w:t>
            </w:r>
          </w:p>
        </w:tc>
      </w:tr>
      <w:tr w14:paraId="49657133">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C5EAC0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29</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798B4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全自动核酸提取仪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03344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15727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CDA2D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12</w:t>
            </w:r>
          </w:p>
        </w:tc>
      </w:tr>
      <w:tr w14:paraId="0C212442">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D8CE6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30</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1A211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冷冻离心机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365D9A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4437E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B1283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r>
      <w:tr w14:paraId="3FEC3260">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E079F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31</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71AB5D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涡旋混匀器</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26751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A887D5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404BF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0.45</w:t>
            </w:r>
          </w:p>
        </w:tc>
      </w:tr>
      <w:tr w14:paraId="5B9B3013">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BDA0E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32</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36A97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磁力架</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F4D69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4BF0EE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6201D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0.8</w:t>
            </w:r>
          </w:p>
        </w:tc>
      </w:tr>
      <w:tr w14:paraId="580BAE07">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3D959F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33</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DB2B7F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高速离心机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4F59F4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50819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1ED4E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w:t>
            </w:r>
          </w:p>
        </w:tc>
      </w:tr>
      <w:tr w14:paraId="6CF6050E">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AD71E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34</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4CBD5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恒温振荡器</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8451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7AC3B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978E5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r>
      <w:tr w14:paraId="05F5926A">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66072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35</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2C4C1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手动8通道移液器</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F03AC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03156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7B956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3.6</w:t>
            </w:r>
          </w:p>
        </w:tc>
      </w:tr>
      <w:tr w14:paraId="4A6CF535">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A300B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36</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07C512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离心机（八联排管离心机）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0BABC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01830D">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35413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0.4</w:t>
            </w:r>
          </w:p>
        </w:tc>
      </w:tr>
      <w:tr w14:paraId="0B1441B1">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73D47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37</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82E89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离心机（可瞬离)</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ED3420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2994B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DEDEC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0.3</w:t>
            </w:r>
          </w:p>
        </w:tc>
      </w:tr>
      <w:tr w14:paraId="591CA3BA">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85F9E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38</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334AD5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普通基因扩增仪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6FF346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2AD29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933C1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6</w:t>
            </w:r>
          </w:p>
        </w:tc>
      </w:tr>
      <w:tr w14:paraId="23B1763F">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610CE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39</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C07EE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普通基因扩增仪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4F6CBB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103B0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7CC8C4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8</w:t>
            </w:r>
          </w:p>
        </w:tc>
      </w:tr>
      <w:tr w14:paraId="5A23DE30">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9CAD1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40</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9F08E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磁力架</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EB8CC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4B4711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57E60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2.4</w:t>
            </w:r>
          </w:p>
        </w:tc>
      </w:tr>
      <w:tr w14:paraId="15EB249C">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AD13E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41</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1659E5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恒温混匀仪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C5EC72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71337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39877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r>
      <w:tr w14:paraId="21245A49">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AC0DE7">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42</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F6CD6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微孔板离心机</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A43ECE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093CA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EFADBF">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0.6</w:t>
            </w:r>
          </w:p>
        </w:tc>
      </w:tr>
      <w:tr w14:paraId="7672A784">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09F57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43</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FDED3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超微量紫外-可见光分光光度计</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8F844B">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EEA654">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14</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8BC79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14</w:t>
            </w:r>
          </w:p>
        </w:tc>
      </w:tr>
      <w:tr w14:paraId="6ACD256A">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C6CA38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44</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9FAF13">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荧光定量仪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127CA76">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DAFF4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9C0AE5">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5</w:t>
            </w:r>
          </w:p>
        </w:tc>
      </w:tr>
      <w:tr w14:paraId="4E32DC05">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009C41A">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45</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69EF10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微生物样本前处理系统</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AF52D3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B4D10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5D242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r>
      <w:tr w14:paraId="684C2C5B">
        <w:tblPrEx>
          <w:tblCellMar>
            <w:top w:w="0" w:type="dxa"/>
            <w:left w:w="108" w:type="dxa"/>
            <w:bottom w:w="0" w:type="dxa"/>
            <w:right w:w="108" w:type="dxa"/>
          </w:tblCellMar>
        </w:tblPrEx>
        <w:trPr>
          <w:trHeight w:val="43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A09770">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46</w:t>
            </w:r>
          </w:p>
        </w:tc>
        <w:tc>
          <w:tcPr>
            <w:tcW w:w="365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5CF1C2">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实时荧光定量PCR仪</w:t>
            </w:r>
          </w:p>
        </w:tc>
        <w:tc>
          <w:tcPr>
            <w:tcW w:w="76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8F5E2E">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1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152C149">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6697B1">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45</w:t>
            </w:r>
          </w:p>
        </w:tc>
      </w:tr>
      <w:tr w14:paraId="199328EE">
        <w:tblPrEx>
          <w:tblCellMar>
            <w:top w:w="0" w:type="dxa"/>
            <w:left w:w="108" w:type="dxa"/>
            <w:bottom w:w="0" w:type="dxa"/>
            <w:right w:w="108" w:type="dxa"/>
          </w:tblCellMar>
        </w:tblPrEx>
        <w:trPr>
          <w:trHeight w:val="450" w:hRule="atLeast"/>
          <w:jc w:val="center"/>
        </w:trPr>
        <w:tc>
          <w:tcPr>
            <w:tcW w:w="7056" w:type="dxa"/>
            <w:gridSpan w:val="4"/>
            <w:tcBorders>
              <w:top w:val="single" w:color="000000" w:sz="4" w:space="0"/>
              <w:left w:val="single" w:color="000000" w:sz="4" w:space="0"/>
              <w:bottom w:val="single" w:color="000000" w:sz="4" w:space="0"/>
              <w:right w:val="single" w:color="000000" w:sz="4" w:space="0"/>
            </w:tcBorders>
            <w:shd w:val="clear" w:color="auto" w:fill="F2F2F2"/>
          </w:tcPr>
          <w:p w14:paraId="7B0CDA18">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合计</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DF41CC">
            <w:pPr>
              <w:widowControl/>
              <w:jc w:val="center"/>
              <w:textAlignment w:val="center"/>
              <w:rPr>
                <w:rFonts w:hint="eastAsia" w:ascii="宋体" w:hAnsi="宋体" w:eastAsia="宋体" w:cs="宋体"/>
                <w:sz w:val="24"/>
                <w:highlight w:val="none"/>
              </w:rPr>
            </w:pPr>
            <w:r>
              <w:rPr>
                <w:rFonts w:hint="eastAsia" w:ascii="宋体" w:hAnsi="宋体" w:eastAsia="宋体" w:cs="宋体"/>
                <w:sz w:val="24"/>
                <w:highlight w:val="none"/>
              </w:rPr>
              <w:t>1113.57</w:t>
            </w:r>
          </w:p>
        </w:tc>
      </w:tr>
    </w:tbl>
    <w:p w14:paraId="4684B12E">
      <w:pPr>
        <w:pStyle w:val="15"/>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2、交货期限及交货地点：合同签订后45天内完成所有设备的交付、安装、调试。交货地点为上海市光华中西医结合医院。</w:t>
      </w:r>
    </w:p>
    <w:p w14:paraId="279838D2">
      <w:pPr>
        <w:pStyle w:val="15"/>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5"/>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具体根据合同约定条款进行支付；采购合同应明确资金支付的方式、时间和条件，明确逾期支付资金的违约责任。</w:t>
      </w:r>
    </w:p>
    <w:p w14:paraId="5B359BAC">
      <w:pPr>
        <w:pStyle w:val="15"/>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rPr>
        <w:t>4、本标包属于货物类招标项目。本标包核心产品有：</w:t>
      </w:r>
      <w:r>
        <w:rPr>
          <w:rFonts w:ascii="宋体" w:hAnsi="宋体" w:eastAsia="宋体" w:cs="宋体"/>
          <w:kern w:val="0"/>
          <w:sz w:val="24"/>
          <w:highlight w:val="none"/>
          <w:lang w:bidi="ar"/>
        </w:rPr>
        <w:t>全自动微生物质谱检测系统</w:t>
      </w:r>
      <w:r>
        <w:rPr>
          <w:rFonts w:hint="eastAsia" w:ascii="宋体" w:hAnsi="宋体" w:eastAsia="宋体" w:cs="宋体"/>
          <w:kern w:val="0"/>
          <w:sz w:val="24"/>
          <w:highlight w:val="none"/>
          <w:lang w:bidi="ar"/>
        </w:rPr>
        <w:t>。</w:t>
      </w:r>
    </w:p>
    <w:p w14:paraId="048F067B">
      <w:pPr>
        <w:pStyle w:val="15"/>
        <w:spacing w:line="360" w:lineRule="auto"/>
        <w:ind w:firstLine="0" w:firstLineChars="0"/>
        <w:jc w:val="left"/>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5、本标包中带“★”的为关键指标，未响应按无效处理；“▲”的为重要指标，其他为一般指标。“★”与“▲”指标需提供技术支撑材料。</w:t>
      </w:r>
    </w:p>
    <w:p w14:paraId="6416624F">
      <w:pPr>
        <w:widowControl/>
        <w:numPr>
          <w:ilvl w:val="0"/>
          <w:numId w:val="2"/>
        </w:numPr>
        <w:spacing w:before="75" w:after="75"/>
        <w:jc w:val="left"/>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产品技术指标要求</w:t>
      </w:r>
    </w:p>
    <w:p w14:paraId="0F7E969D">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1、全自动化学发光免疫分析仪技术参数</w:t>
      </w:r>
      <w:r>
        <w:rPr>
          <w:rFonts w:hint="eastAsia" w:ascii="宋体" w:hAnsi="宋体" w:eastAsia="宋体" w:cs="宋体"/>
          <w:b/>
          <w:bCs/>
          <w:sz w:val="24"/>
          <w:highlight w:val="none"/>
        </w:rPr>
        <w:t>要求</w:t>
      </w:r>
    </w:p>
    <w:p w14:paraId="0C64E48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1、发光原理为酶促化学发光或电化学发光。</w:t>
      </w:r>
    </w:p>
    <w:p w14:paraId="75EC15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2、单台免疫分析仪检测速度≥600测试/小时。</w:t>
      </w:r>
    </w:p>
    <w:p w14:paraId="480BE4B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3、提供免疫分析仪总检测速度≥1200测试/小时。</w:t>
      </w:r>
    </w:p>
    <w:p w14:paraId="695A820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4、单台免疫分析仪试剂通道数≥50个。</w:t>
      </w:r>
    </w:p>
    <w:p w14:paraId="2D255FB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5、具有良好的拓展性，单个接口分析仪可拓展至四个模块联机。</w:t>
      </w:r>
    </w:p>
    <w:p w14:paraId="7DCEBDD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6、单台免疫分析仪进样模块可容纳样本量≥140个。</w:t>
      </w:r>
    </w:p>
    <w:p w14:paraId="4D32F94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7、支持不停机更换试剂，通过RFID无线射频识别技术扫码装载试剂，实时记录试剂使用情况。</w:t>
      </w:r>
    </w:p>
    <w:p w14:paraId="0FB1CAF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8、可倾倒式添加散装反应杯，单台分析仪一次可最大添加反应杯≥3000个，可连续供给，随时添加。（需提供证明材料，并在证明材料上标记具体位置）</w:t>
      </w:r>
    </w:p>
    <w:p w14:paraId="36B893F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9、采用重复用加样针加样方式，无需使用一次性吸样耗材（TIP头）。（需提供证明材料，并在证明材料上标记具体位置）</w:t>
      </w:r>
    </w:p>
    <w:p w14:paraId="6A96956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10、样本针携带污染率≤0.1ppm。</w:t>
      </w:r>
    </w:p>
    <w:p w14:paraId="731C216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11、加样针具备液面探测、空吸、防撞、凝块检测功能。</w:t>
      </w:r>
    </w:p>
    <w:p w14:paraId="4E434E3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12、采用浓缩清洗液，自动配制和供给，无需人工配制，操作便捷。</w:t>
      </w:r>
    </w:p>
    <w:p w14:paraId="352C025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13、支持双套底物液上机自动切换，支持不停机一键更换，操作便捷。</w:t>
      </w:r>
    </w:p>
    <w:p w14:paraId="1EB259E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14、为满足临床检测需求，可提供的配套免疫检测项目数量需≥160项。</w:t>
      </w:r>
    </w:p>
    <w:p w14:paraId="1196145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▲15、可开展传染病系列检测项目，必须包括HAV-IgM抗体、乙型肝炎病毒前S1抗原项目。（提供开标之日在有效期内的《医疗器械产品注册证》）</w:t>
      </w:r>
    </w:p>
    <w:p w14:paraId="1E8C6F8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16、可开展自身免疫检测项目，必须包括RF、RF-IgA、RF-IgM、RF-IgG、</w:t>
      </w:r>
      <w:r>
        <w:rPr>
          <w:rFonts w:ascii="宋体" w:hAnsi="宋体" w:eastAsia="宋体" w:cs="宋体"/>
          <w:sz w:val="24"/>
          <w:highlight w:val="none"/>
        </w:rPr>
        <w:t>A</w:t>
      </w:r>
      <w:r>
        <w:rPr>
          <w:rFonts w:hint="eastAsia" w:ascii="宋体" w:hAnsi="宋体" w:eastAsia="宋体" w:cs="宋体"/>
          <w:sz w:val="24"/>
          <w:highlight w:val="none"/>
        </w:rPr>
        <w:t>nti-CCP-IgG项目。（提供开标之日在有效期内的《医疗器械产品注册证》）</w:t>
      </w:r>
    </w:p>
    <w:p w14:paraId="04608DD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17、HIV Ag/Ab、Anti-TP、Anti-HCV定标周期（cut-off有效期）≥28天。（需提供说明书证明材料，并在证明材料上标记具体位置）</w:t>
      </w:r>
    </w:p>
    <w:p w14:paraId="6D124AB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▲18、能够满足心肌炎症系列检测（至少包括高敏肌钙蛋白T等项目），（提供开标之日在有效期内的《医疗器械产品注册证》）。</w:t>
      </w:r>
    </w:p>
    <w:p w14:paraId="50D3256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19、可开展甲状腺系列检测项目（至少包括rT3、TRAb等项目），（提供开标之日在有效期内的《医疗器械产品注册证》）。</w:t>
      </w:r>
    </w:p>
    <w:p w14:paraId="46D2C99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20、可开展呼吸道病原体系列检测项目（至少包括肺炎支原体、肺炎衣原体项目），（提供开标之日在有效期内的《医疗器械产品注册证》）。</w:t>
      </w:r>
    </w:p>
    <w:p w14:paraId="73D0031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21、可开展肿瘤标志物系列检测项目（至少包括人表皮生长因子受体2项目），（提供开标之日在有效期内的《医疗器械产品注册证》）。</w:t>
      </w:r>
    </w:p>
    <w:p w14:paraId="42C3216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▲22、传染病乙肝5项试剂项目2025年国家卫健委临床检验中心室间质评有独立分组，且上报机构数量</w:t>
      </w:r>
      <w:r>
        <w:rPr>
          <w:rFonts w:ascii="宋体" w:hAnsi="宋体" w:eastAsia="宋体" w:cs="宋体"/>
          <w:sz w:val="24"/>
          <w:highlight w:val="none"/>
        </w:rPr>
        <w:t>≥</w:t>
      </w:r>
      <w:r>
        <w:rPr>
          <w:rFonts w:hint="eastAsia" w:ascii="宋体" w:hAnsi="宋体" w:eastAsia="宋体" w:cs="宋体"/>
          <w:sz w:val="24"/>
          <w:highlight w:val="none"/>
        </w:rPr>
        <w:t>380家。（需提供证明材料，并在证明材料上标记具体位置）</w:t>
      </w:r>
    </w:p>
    <w:p w14:paraId="3863D87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23、β-HCG项目原倍未稀释最大线性范围≥10000mIU/ml。（需提供证明材料，并在证明材料上标记具体位置）</w:t>
      </w:r>
    </w:p>
    <w:p w14:paraId="3802488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24、软件要求：中文软件系统。</w:t>
      </w:r>
    </w:p>
    <w:p w14:paraId="07183CE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25、LIS连接：支持LIS单工、双工。</w:t>
      </w:r>
    </w:p>
    <w:p w14:paraId="3F9B78E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7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919"/>
        <w:gridCol w:w="2126"/>
      </w:tblGrid>
      <w:tr w14:paraId="0F07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2A3E14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4919" w:type="dxa"/>
            <w:vAlign w:val="center"/>
          </w:tcPr>
          <w:p w14:paraId="176E213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项目名称</w:t>
            </w:r>
          </w:p>
        </w:tc>
        <w:tc>
          <w:tcPr>
            <w:tcW w:w="2126" w:type="dxa"/>
            <w:vAlign w:val="center"/>
          </w:tcPr>
          <w:p w14:paraId="22330C8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r>
      <w:tr w14:paraId="4D34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42928C6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4919" w:type="dxa"/>
            <w:vAlign w:val="center"/>
          </w:tcPr>
          <w:p w14:paraId="534A2D2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全自动化学发光免疫分析系统模块主机</w:t>
            </w:r>
          </w:p>
        </w:tc>
        <w:tc>
          <w:tcPr>
            <w:tcW w:w="2126" w:type="dxa"/>
            <w:vAlign w:val="center"/>
          </w:tcPr>
          <w:p w14:paraId="35DBA9F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2套</w:t>
            </w:r>
          </w:p>
        </w:tc>
      </w:tr>
      <w:tr w14:paraId="6716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7D10252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4919" w:type="dxa"/>
            <w:vAlign w:val="center"/>
          </w:tcPr>
          <w:p w14:paraId="1C6B23E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全自动样品处理系统</w:t>
            </w:r>
          </w:p>
        </w:tc>
        <w:tc>
          <w:tcPr>
            <w:tcW w:w="2126" w:type="dxa"/>
            <w:vAlign w:val="center"/>
          </w:tcPr>
          <w:p w14:paraId="31617BB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5C92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7088FCF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w:t>
            </w:r>
          </w:p>
        </w:tc>
        <w:tc>
          <w:tcPr>
            <w:tcW w:w="4919" w:type="dxa"/>
            <w:vAlign w:val="center"/>
          </w:tcPr>
          <w:p w14:paraId="4BFDF4D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条码扫描器</w:t>
            </w:r>
          </w:p>
        </w:tc>
        <w:tc>
          <w:tcPr>
            <w:tcW w:w="2126" w:type="dxa"/>
            <w:vAlign w:val="center"/>
          </w:tcPr>
          <w:p w14:paraId="751C2D7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1把</w:t>
            </w:r>
          </w:p>
        </w:tc>
      </w:tr>
      <w:tr w14:paraId="5E05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AF4883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4</w:t>
            </w:r>
          </w:p>
        </w:tc>
        <w:tc>
          <w:tcPr>
            <w:tcW w:w="4919" w:type="dxa"/>
            <w:vAlign w:val="center"/>
          </w:tcPr>
          <w:p w14:paraId="451746AF">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使用说明书</w:t>
            </w:r>
          </w:p>
        </w:tc>
        <w:tc>
          <w:tcPr>
            <w:tcW w:w="2126" w:type="dxa"/>
            <w:vAlign w:val="center"/>
          </w:tcPr>
          <w:p w14:paraId="534DAB3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2本</w:t>
            </w:r>
          </w:p>
        </w:tc>
      </w:tr>
      <w:tr w14:paraId="09A0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04F79210">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w:t>
            </w:r>
          </w:p>
        </w:tc>
        <w:tc>
          <w:tcPr>
            <w:tcW w:w="4919" w:type="dxa"/>
            <w:vAlign w:val="center"/>
          </w:tcPr>
          <w:p w14:paraId="688720F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附件</w:t>
            </w:r>
          </w:p>
        </w:tc>
        <w:tc>
          <w:tcPr>
            <w:tcW w:w="2126" w:type="dxa"/>
            <w:vAlign w:val="center"/>
          </w:tcPr>
          <w:p w14:paraId="31AAE94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bl>
    <w:p w14:paraId="658A65D5">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2、微生物培养监测仪技术参数</w:t>
      </w:r>
      <w:r>
        <w:rPr>
          <w:rFonts w:hint="eastAsia" w:ascii="宋体" w:hAnsi="宋体" w:eastAsia="宋体" w:cs="宋体"/>
          <w:b/>
          <w:bCs/>
          <w:sz w:val="24"/>
          <w:highlight w:val="none"/>
        </w:rPr>
        <w:t>要求</w:t>
      </w:r>
    </w:p>
    <w:p w14:paraId="6FD13D4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1、检测原理：需采用比色法进行检测。</w:t>
      </w:r>
    </w:p>
    <w:p w14:paraId="39B2677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2、培养方式：采用固体加热，摇摆震动培养。</w:t>
      </w:r>
    </w:p>
    <w:p w14:paraId="53D58E4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3、标本位：基础瓶位≥60瓶，可支持后期扩展至≥360瓶。</w:t>
      </w:r>
    </w:p>
    <w:p w14:paraId="025B6A5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4、用于对血液以及无菌体液样本进行微生物培养、检测。</w:t>
      </w:r>
    </w:p>
    <w:p w14:paraId="15B9554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▲5、卫星血培养功能：可监测放置在不同科室，不同院区仪器，不同仪器之间转移瓶子，生长曲线不会丢失。</w:t>
      </w:r>
    </w:p>
    <w:p w14:paraId="597846D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▲6、软件系统可提供＞12 种不同的计算方法，如阈值法、斜率法与加速度法等。</w:t>
      </w:r>
    </w:p>
    <w:p w14:paraId="04EE44C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7、检测时间：每隔十分钟仪器自动对每份标本检测一次并记录，同时形成曲线，对阴阳性结果自动检测，并能给出声音、图形等相关报警信号提示。</w:t>
      </w:r>
    </w:p>
    <w:p w14:paraId="153FAEA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8、阳性报警时间：最短报阳时间≤3小时。</w:t>
      </w:r>
    </w:p>
    <w:p w14:paraId="43ABED9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▲9、培养瓶种类：应包含标准瓶、具有抗生素吸附的树脂需氧瓶、树脂厌氧瓶、树脂儿童瓶、分枝杆菌瓶，能够检测菌种种类包括但不限于：需氧菌、厌氧菌、真菌、分枝杆菌等（提供培养瓶注册证和照片）。</w:t>
      </w:r>
    </w:p>
    <w:p w14:paraId="4CF7FD9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▲10、树脂厌氧瓶性能：厌氧性能佳，培养液含量≥40ml，临床使用便捷，无需单个密封包装。（提供培养瓶包装照片及检测报告）</w:t>
      </w:r>
    </w:p>
    <w:p w14:paraId="114503C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▲11、配套的血培养瓶检出限≤1CFU/瓶，适宜感染早期的患者或者低菌血症患者。（提供证明文件）</w:t>
      </w:r>
    </w:p>
    <w:p w14:paraId="4A0CDD3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▲12、培养箱开门式设计，可显示培养状态。</w:t>
      </w:r>
    </w:p>
    <w:p w14:paraId="0C5D0C7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▲13、培养箱采用独立加热模组，温度应20-45℃范围内调整，温度精度≤±0.5℃；各模组可设置不同温度和不同的培养周期。（提供证明文件）</w:t>
      </w:r>
    </w:p>
    <w:p w14:paraId="3B145F8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14、标本信息：可提供病人资料录入、生长过程曲线等相关信息并储存、可以随时提供查询和统计。</w:t>
      </w:r>
    </w:p>
    <w:p w14:paraId="27074E2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15、软件自动统计功能：整体阳性率、科室阳性率、阳性培养时间、每日检测量等多种统计方式。自动分析数据，助力样本质量改进。</w:t>
      </w:r>
    </w:p>
    <w:p w14:paraId="71D78AD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16、操作电脑：提供触控屏一体机操作电脑，电脑界面具有瓶位图形化显示和培养过程曲线、阳性率、用量等详细显示（提供电脑照片、软件相关界面截图）；</w:t>
      </w:r>
    </w:p>
    <w:p w14:paraId="0891C64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17、系统能储存多于 19000个瓶子的资料，设备可与LIS系统进行双向连接。</w:t>
      </w:r>
    </w:p>
    <w:p w14:paraId="62DC91C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7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919"/>
        <w:gridCol w:w="2126"/>
      </w:tblGrid>
      <w:tr w14:paraId="2577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80A80D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4919" w:type="dxa"/>
            <w:vAlign w:val="center"/>
          </w:tcPr>
          <w:p w14:paraId="7BA3221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项目名称</w:t>
            </w:r>
          </w:p>
        </w:tc>
        <w:tc>
          <w:tcPr>
            <w:tcW w:w="2126" w:type="dxa"/>
            <w:vAlign w:val="center"/>
          </w:tcPr>
          <w:p w14:paraId="5489486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r>
      <w:tr w14:paraId="19CA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076820F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4919" w:type="dxa"/>
            <w:vAlign w:val="center"/>
          </w:tcPr>
          <w:p w14:paraId="699C739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微生物培养监测仪主机</w:t>
            </w:r>
          </w:p>
        </w:tc>
        <w:tc>
          <w:tcPr>
            <w:tcW w:w="2126" w:type="dxa"/>
            <w:vAlign w:val="center"/>
          </w:tcPr>
          <w:p w14:paraId="615A667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15EA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C28D040">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4919" w:type="dxa"/>
            <w:vAlign w:val="center"/>
          </w:tcPr>
          <w:p w14:paraId="5F10F5D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电源线</w:t>
            </w:r>
          </w:p>
        </w:tc>
        <w:tc>
          <w:tcPr>
            <w:tcW w:w="2126" w:type="dxa"/>
            <w:vAlign w:val="center"/>
          </w:tcPr>
          <w:p w14:paraId="003B322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1根</w:t>
            </w:r>
          </w:p>
        </w:tc>
      </w:tr>
      <w:tr w14:paraId="1DAA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7BCAFA9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w:t>
            </w:r>
          </w:p>
        </w:tc>
        <w:tc>
          <w:tcPr>
            <w:tcW w:w="4919" w:type="dxa"/>
            <w:vAlign w:val="center"/>
          </w:tcPr>
          <w:p w14:paraId="350F6BC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交换机</w:t>
            </w:r>
          </w:p>
        </w:tc>
        <w:tc>
          <w:tcPr>
            <w:tcW w:w="2126" w:type="dxa"/>
            <w:vAlign w:val="center"/>
          </w:tcPr>
          <w:p w14:paraId="094CECD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套</w:t>
            </w:r>
          </w:p>
        </w:tc>
      </w:tr>
      <w:tr w14:paraId="4110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68DC3D6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4</w:t>
            </w:r>
          </w:p>
        </w:tc>
        <w:tc>
          <w:tcPr>
            <w:tcW w:w="4919" w:type="dxa"/>
            <w:vAlign w:val="center"/>
          </w:tcPr>
          <w:p w14:paraId="48BCD9E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说明书</w:t>
            </w:r>
          </w:p>
        </w:tc>
        <w:tc>
          <w:tcPr>
            <w:tcW w:w="2126" w:type="dxa"/>
            <w:vAlign w:val="center"/>
          </w:tcPr>
          <w:p w14:paraId="0BF144E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1本</w:t>
            </w:r>
          </w:p>
        </w:tc>
      </w:tr>
      <w:tr w14:paraId="56BC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11C0A1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w:t>
            </w:r>
          </w:p>
        </w:tc>
        <w:tc>
          <w:tcPr>
            <w:tcW w:w="4919" w:type="dxa"/>
            <w:vAlign w:val="center"/>
          </w:tcPr>
          <w:p w14:paraId="62554F8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操作电脑</w:t>
            </w:r>
          </w:p>
        </w:tc>
        <w:tc>
          <w:tcPr>
            <w:tcW w:w="2126" w:type="dxa"/>
            <w:vAlign w:val="center"/>
          </w:tcPr>
          <w:p w14:paraId="1896008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套</w:t>
            </w:r>
          </w:p>
        </w:tc>
      </w:tr>
    </w:tbl>
    <w:p w14:paraId="62FF9B19">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3、全自动微生物鉴定药敏分析仪技术参数</w:t>
      </w:r>
      <w:r>
        <w:rPr>
          <w:rFonts w:hint="eastAsia" w:ascii="宋体" w:hAnsi="宋体" w:eastAsia="宋体" w:cs="宋体"/>
          <w:b/>
          <w:bCs/>
          <w:sz w:val="24"/>
          <w:highlight w:val="none"/>
        </w:rPr>
        <w:t>要求</w:t>
      </w:r>
    </w:p>
    <w:p w14:paraId="15D9D80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1、鉴定检测原理：采用生化反应、数值分类法与指纹图谱法相结合，对分离出的微生物进行鉴定。</w:t>
      </w:r>
    </w:p>
    <w:p w14:paraId="5A59084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2、药敏检测原理：以微量肉汤稀释法为基础，结合比色法、比浊法测定抗生素最低抑菌浓度。</w:t>
      </w:r>
    </w:p>
    <w:p w14:paraId="5072A3B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★3、仪器检测通量：≥62个孵育位。</w:t>
      </w:r>
    </w:p>
    <w:p w14:paraId="6BA20CD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▲4、单人份配套药敏板卡需≥120孔板；（提供配套试剂盒注册证、说明书）</w:t>
      </w:r>
    </w:p>
    <w:p w14:paraId="524E517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5、鉴定检测能力：可以鉴定革兰阳性菌中少见的棒杆菌、李斯特菌、芽孢杆菌、诺卡菌等；阴性菌中少见的摩根菌、不动杆菌、弧菌、气单胞菌等。（提供彩页或说明书证明）</w:t>
      </w:r>
    </w:p>
    <w:p w14:paraId="0FDB90B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6、细菌包被抗菌药物需≥20种、拥有≥4个及以上浓度抗菌药物数量≥15种，国家耐药监测网技术方案必报药物全覆盖。</w:t>
      </w:r>
    </w:p>
    <w:p w14:paraId="2FD8655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7、除肺炎链球菌、无乳链球菌之外，链球菌药敏板卡还能检测草绿色链球菌、其它β-溶血链球菌，抗生素检测涵盖青霉素、替加环素、诱导克林霉素耐药实验等。</w:t>
      </w:r>
    </w:p>
    <w:p w14:paraId="32C1376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▲8、真菌试剂盒包被抗生素药物≥9种，≥10个浓度梯度，含阿尼芬净、制霉菌素、泊沙康唑、伊曲康唑等，可实现对假丝酵母菌属、隐球菌属、曲霉菌属的药敏检测。（提供试剂盒注册证及说明书）。</w:t>
      </w:r>
    </w:p>
    <w:p w14:paraId="1204932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9、具有符合专家共识治疗方案的抗菌药物，比如应用于多重耐药阴性菌的头孢他啶/阿维巴坦、头孢哌酮/舒巴坦、多粘菌素B，以及应用于阳性菌的替加环素、万古霉素、利奈唑胺、奥利万星、达托霉素等。</w:t>
      </w:r>
    </w:p>
    <w:p w14:paraId="51BBD0B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10、抗生素优化组合，根据临床选择用药的先后原则，可分组(A、B、C、U 、O、Inv）报告药敏结果，有利于临床医师选择最适合的抗生素。</w:t>
      </w:r>
    </w:p>
    <w:p w14:paraId="5325A81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11、鉴定/药敏复合板试验开始后无需添加辅助试剂。</w:t>
      </w:r>
    </w:p>
    <w:p w14:paraId="70F68E8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12、全中文界面设计，支持报告模板的自定义。</w:t>
      </w:r>
    </w:p>
    <w:p w14:paraId="11D8FDA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13、可实现与LIS或HIS系统联网，进行数据的交互，条码跟踪。</w:t>
      </w:r>
    </w:p>
    <w:p w14:paraId="0D749C9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14、支持对药物、菌株、样本类型、试验结果的高级检索、模糊匹配。</w:t>
      </w:r>
    </w:p>
    <w:p w14:paraId="011D66D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15、支持试验一键启动，智能匹配。</w:t>
      </w:r>
    </w:p>
    <w:p w14:paraId="071F83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▲16、仪器具备生物安全防护功能（紫外消杀模块）。</w:t>
      </w:r>
    </w:p>
    <w:p w14:paraId="3C192FA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▲17、仪器模块要求：包含加样模块、孵育模块、检测模块等模块，实现加样、孵育、检测一体化（提供仪器说明书证明）。</w:t>
      </w:r>
    </w:p>
    <w:p w14:paraId="6227875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▲18、仪器配备条码阅读器模块，可实现试剂信息和板卡信息的自动识别，将患者信息自动采集并录入软件。</w:t>
      </w:r>
    </w:p>
    <w:p w14:paraId="6F36AB0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19、配套微生物实验室管理软件用于样本前处理系统、血培养、鉴定药敏、微生物质谱仪器信息化连接，利于实现微生物检验自动化、信息化和标准化。</w:t>
      </w:r>
    </w:p>
    <w:p w14:paraId="6808AAE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7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919"/>
        <w:gridCol w:w="2126"/>
      </w:tblGrid>
      <w:tr w14:paraId="0C77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419CA0F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4919" w:type="dxa"/>
            <w:vAlign w:val="center"/>
          </w:tcPr>
          <w:p w14:paraId="5960C0F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项目名称</w:t>
            </w:r>
          </w:p>
        </w:tc>
        <w:tc>
          <w:tcPr>
            <w:tcW w:w="2126" w:type="dxa"/>
            <w:vAlign w:val="center"/>
          </w:tcPr>
          <w:p w14:paraId="49BC908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r>
      <w:tr w14:paraId="01F4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6F1C31F">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4919" w:type="dxa"/>
            <w:vAlign w:val="center"/>
          </w:tcPr>
          <w:p w14:paraId="501C3600">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全自动微生物鉴定药敏分析仪主机</w:t>
            </w:r>
          </w:p>
        </w:tc>
        <w:tc>
          <w:tcPr>
            <w:tcW w:w="2126" w:type="dxa"/>
            <w:vAlign w:val="center"/>
          </w:tcPr>
          <w:p w14:paraId="2B394EF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57BA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65A79AE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4919" w:type="dxa"/>
            <w:vAlign w:val="center"/>
          </w:tcPr>
          <w:p w14:paraId="4EA01C4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微生物实验室管理软件</w:t>
            </w:r>
          </w:p>
        </w:tc>
        <w:tc>
          <w:tcPr>
            <w:tcW w:w="2126" w:type="dxa"/>
            <w:vAlign w:val="center"/>
          </w:tcPr>
          <w:p w14:paraId="1F64DBC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601A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19C22F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w:t>
            </w:r>
          </w:p>
        </w:tc>
        <w:tc>
          <w:tcPr>
            <w:tcW w:w="4919" w:type="dxa"/>
            <w:vAlign w:val="center"/>
          </w:tcPr>
          <w:p w14:paraId="480558D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说明书</w:t>
            </w:r>
          </w:p>
        </w:tc>
        <w:tc>
          <w:tcPr>
            <w:tcW w:w="2126" w:type="dxa"/>
            <w:vAlign w:val="center"/>
          </w:tcPr>
          <w:p w14:paraId="4CBCB79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1本</w:t>
            </w:r>
          </w:p>
        </w:tc>
      </w:tr>
      <w:tr w14:paraId="6D23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029FE7A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4</w:t>
            </w:r>
          </w:p>
        </w:tc>
        <w:tc>
          <w:tcPr>
            <w:tcW w:w="4919" w:type="dxa"/>
            <w:vAlign w:val="center"/>
          </w:tcPr>
          <w:p w14:paraId="2E53152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操作电脑</w:t>
            </w:r>
          </w:p>
        </w:tc>
        <w:tc>
          <w:tcPr>
            <w:tcW w:w="2126" w:type="dxa"/>
            <w:vAlign w:val="center"/>
          </w:tcPr>
          <w:p w14:paraId="1502D39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台</w:t>
            </w:r>
          </w:p>
        </w:tc>
      </w:tr>
      <w:tr w14:paraId="6CED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676E5B7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w:t>
            </w:r>
          </w:p>
        </w:tc>
        <w:tc>
          <w:tcPr>
            <w:tcW w:w="4919" w:type="dxa"/>
            <w:vAlign w:val="center"/>
          </w:tcPr>
          <w:p w14:paraId="0A9E4B9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服务器电脑</w:t>
            </w:r>
          </w:p>
        </w:tc>
        <w:tc>
          <w:tcPr>
            <w:tcW w:w="2126" w:type="dxa"/>
            <w:vAlign w:val="center"/>
          </w:tcPr>
          <w:p w14:paraId="4F64B72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套</w:t>
            </w:r>
          </w:p>
        </w:tc>
      </w:tr>
      <w:tr w14:paraId="7AA2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4BACF45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6</w:t>
            </w:r>
          </w:p>
        </w:tc>
        <w:tc>
          <w:tcPr>
            <w:tcW w:w="4919" w:type="dxa"/>
            <w:vAlign w:val="center"/>
          </w:tcPr>
          <w:p w14:paraId="7AA375F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显示屏</w:t>
            </w:r>
          </w:p>
        </w:tc>
        <w:tc>
          <w:tcPr>
            <w:tcW w:w="2126" w:type="dxa"/>
            <w:vAlign w:val="center"/>
          </w:tcPr>
          <w:p w14:paraId="0302F49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套</w:t>
            </w:r>
          </w:p>
        </w:tc>
      </w:tr>
    </w:tbl>
    <w:p w14:paraId="1E64664C">
      <w:pPr>
        <w:widowControl/>
        <w:jc w:val="center"/>
        <w:rPr>
          <w:rFonts w:hint="eastAsia" w:ascii="宋体" w:hAnsi="宋体" w:eastAsia="宋体" w:cs="宋体"/>
          <w:b/>
          <w:bCs/>
          <w:color w:val="000000" w:themeColor="text1"/>
          <w:kern w:val="0"/>
          <w:sz w:val="24"/>
          <w:highlight w:val="none"/>
          <w14:textFill>
            <w14:solidFill>
              <w14:schemeClr w14:val="tx1"/>
            </w14:solidFill>
          </w14:textFill>
        </w:rPr>
      </w:pPr>
    </w:p>
    <w:p w14:paraId="3D13B938">
      <w:pPr>
        <w:widowControl/>
        <w:jc w:val="center"/>
        <w:rPr>
          <w:rFonts w:hint="eastAsia" w:ascii="宋体" w:hAnsi="宋体" w:eastAsia="宋体" w:cs="宋体"/>
          <w:b/>
          <w:bCs/>
          <w:color w:val="000000" w:themeColor="text1"/>
          <w:kern w:val="0"/>
          <w:sz w:val="24"/>
          <w:highlight w:val="none"/>
          <w14:textFill>
            <w14:solidFill>
              <w14:schemeClr w14:val="tx1"/>
            </w14:solidFill>
          </w14:textFill>
        </w:rPr>
      </w:pPr>
    </w:p>
    <w:p w14:paraId="60D39153">
      <w:pPr>
        <w:widowControl/>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4、全自动微生物质谱检测系统技术参数</w:t>
      </w:r>
      <w:r>
        <w:rPr>
          <w:rFonts w:hint="eastAsia" w:ascii="宋体" w:hAnsi="宋体" w:eastAsia="宋体" w:cs="宋体"/>
          <w:b/>
          <w:bCs/>
          <w:sz w:val="24"/>
          <w:highlight w:val="none"/>
        </w:rPr>
        <w:t>要求</w:t>
      </w:r>
    </w:p>
    <w:p w14:paraId="558F219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1、激光器：在1-60Hz范围内任意连续可调。</w:t>
      </w:r>
    </w:p>
    <w:p w14:paraId="4F3EB09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2、激光发射次数≥4亿次，可检测更多的样本。</w:t>
      </w:r>
    </w:p>
    <w:p w14:paraId="7067327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▲3、飞行管：飞行长度≥1.0米。（提供检测报告）</w:t>
      </w:r>
    </w:p>
    <w:p w14:paraId="4F27CF5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4、真空系统：前级泵为独立于分子泵之外的旋片泵，为分子泵提供前级真空度；抽速≥3.7m3/h，抽真空效率更高。（提供泵厂家数据证明文件）</w:t>
      </w:r>
    </w:p>
    <w:p w14:paraId="463CE4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▲5、检测器为打拿极电子倍增器，打拿级数≥20。（提供检测器说明书）</w:t>
      </w:r>
    </w:p>
    <w:p w14:paraId="196CD89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▲6、具备无接触式进出靶触发装置，可通过手势识别，无需在软件上操作及实体按键操作，避免交叉感染，保护操作者生物安全。（提供照片及投标设备说明书页）</w:t>
      </w:r>
    </w:p>
    <w:p w14:paraId="17EF990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7、自动化数据采集，图谱实时刷新，可根据样品信号强度和分辨率自动调整激光能量、采集位置和采集次数来自动获得高质量蛋白质量指纹图谱。</w:t>
      </w:r>
    </w:p>
    <w:p w14:paraId="4A1D261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8、软件具备数据处理与统计功能，主成分分析功能，可以更好的总结数据提供强有力的工具支持；支持实验室自建库。</w:t>
      </w:r>
    </w:p>
    <w:p w14:paraId="654DB5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9、软件有混合菌的提示功能，遗传聚类分析功能，可直接生成微生物样品的遗传聚类图，能确认微生物亲缘关系；</w:t>
      </w:r>
    </w:p>
    <w:p w14:paraId="7E69478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10、软件可选择中、英文界面，鉴定结果可选择中文。</w:t>
      </w:r>
    </w:p>
    <w:p w14:paraId="3AF7ECB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▲11、可拓展快速药敏检测模块，能够准确报告MIC值，并依据专家规则进行耐药情况分析，便于拓展快速药敏。（提供软件界面截图）</w:t>
      </w:r>
    </w:p>
    <w:p w14:paraId="6B4E86B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12、可拓展核酸质谱功能，且可提供核酸质谱引物设计软件。软件自动生成符合目标片段的引物探针，方便实验室设计符合其需求的核酸检测项目。（提供软件截图）</w:t>
      </w:r>
    </w:p>
    <w:p w14:paraId="48A888C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13、标配数据库容量：菌种数量≥5100种。（提供证明文件）</w:t>
      </w:r>
    </w:p>
    <w:p w14:paraId="1C704B5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丝状真菌数据库＞500种，且具备完整的真菌解决方案，包括培养基及真菌药敏板卡，覆盖真菌的培养、鉴定、药敏流程；便于真菌的全流程处理，更准确完成真菌鉴定及抗真菌药物指导。（提供同品牌真菌药敏板卡资质证件）</w:t>
      </w:r>
    </w:p>
    <w:p w14:paraId="002498D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15、分枝杆菌库＞170种。</w:t>
      </w:r>
    </w:p>
    <w:p w14:paraId="0DEFDB8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▲16、为方便实验室管理，可提供同品牌支原体培养/质谱鉴定解决方案。（提供支原体培养试剂注册证）</w:t>
      </w:r>
    </w:p>
    <w:p w14:paraId="64E8C0D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▲17、可提供同品牌质谱鉴定校准品：校准品取得注册证。（提供校准品注册证）</w:t>
      </w:r>
    </w:p>
    <w:p w14:paraId="78F1DF1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▲18、可提供同品牌质谱仪质控物质，并取得注册证。（提供质控品注册证）。</w:t>
      </w:r>
    </w:p>
    <w:p w14:paraId="4B68446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7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4919"/>
        <w:gridCol w:w="2126"/>
      </w:tblGrid>
      <w:tr w14:paraId="6901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3D54022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4919" w:type="dxa"/>
            <w:vAlign w:val="center"/>
          </w:tcPr>
          <w:p w14:paraId="5E671B6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项目名称</w:t>
            </w:r>
          </w:p>
        </w:tc>
        <w:tc>
          <w:tcPr>
            <w:tcW w:w="2126" w:type="dxa"/>
            <w:vAlign w:val="center"/>
          </w:tcPr>
          <w:p w14:paraId="59683F7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r>
      <w:tr w14:paraId="4464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D9B9E0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4919" w:type="dxa"/>
            <w:vAlign w:val="center"/>
          </w:tcPr>
          <w:p w14:paraId="171DB77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全自动微生物质谱检测系统主机</w:t>
            </w:r>
          </w:p>
        </w:tc>
        <w:tc>
          <w:tcPr>
            <w:tcW w:w="2126" w:type="dxa"/>
            <w:vAlign w:val="center"/>
          </w:tcPr>
          <w:p w14:paraId="0D15CD3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1台</w:t>
            </w:r>
          </w:p>
        </w:tc>
      </w:tr>
      <w:tr w14:paraId="2DE8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6262065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4919" w:type="dxa"/>
            <w:vAlign w:val="center"/>
          </w:tcPr>
          <w:p w14:paraId="231CDD7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标本板（靶面）</w:t>
            </w:r>
          </w:p>
        </w:tc>
        <w:tc>
          <w:tcPr>
            <w:tcW w:w="2126" w:type="dxa"/>
            <w:vAlign w:val="center"/>
          </w:tcPr>
          <w:p w14:paraId="13744E50">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1盒</w:t>
            </w:r>
          </w:p>
        </w:tc>
      </w:tr>
      <w:tr w14:paraId="2B73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5C69271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w:t>
            </w:r>
          </w:p>
        </w:tc>
        <w:tc>
          <w:tcPr>
            <w:tcW w:w="4919" w:type="dxa"/>
            <w:vAlign w:val="center"/>
          </w:tcPr>
          <w:p w14:paraId="6704195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标本板（靶托）</w:t>
            </w:r>
          </w:p>
        </w:tc>
        <w:tc>
          <w:tcPr>
            <w:tcW w:w="2126" w:type="dxa"/>
            <w:vAlign w:val="center"/>
          </w:tcPr>
          <w:p w14:paraId="5C64798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1盒</w:t>
            </w:r>
          </w:p>
        </w:tc>
      </w:tr>
      <w:tr w14:paraId="4C0C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47038790">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4</w:t>
            </w:r>
          </w:p>
        </w:tc>
        <w:tc>
          <w:tcPr>
            <w:tcW w:w="4919" w:type="dxa"/>
            <w:vAlign w:val="center"/>
          </w:tcPr>
          <w:p w14:paraId="30BE59E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电脑工作站</w:t>
            </w:r>
          </w:p>
        </w:tc>
        <w:tc>
          <w:tcPr>
            <w:tcW w:w="2126" w:type="dxa"/>
            <w:vAlign w:val="center"/>
          </w:tcPr>
          <w:p w14:paraId="26CC54AF">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 套</w:t>
            </w:r>
          </w:p>
        </w:tc>
      </w:tr>
      <w:tr w14:paraId="655A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2B14C7C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w:t>
            </w:r>
          </w:p>
        </w:tc>
        <w:tc>
          <w:tcPr>
            <w:tcW w:w="4919" w:type="dxa"/>
            <w:vAlign w:val="center"/>
          </w:tcPr>
          <w:p w14:paraId="2E0F2B2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显示器</w:t>
            </w:r>
          </w:p>
        </w:tc>
        <w:tc>
          <w:tcPr>
            <w:tcW w:w="2126" w:type="dxa"/>
            <w:vAlign w:val="center"/>
          </w:tcPr>
          <w:p w14:paraId="04B6180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r>
              <w:rPr>
                <w:rStyle w:val="20"/>
                <w:rFonts w:hint="default"/>
                <w:highlight w:val="none"/>
                <w:lang w:bidi="ar"/>
              </w:rPr>
              <w:t xml:space="preserve"> 台</w:t>
            </w:r>
          </w:p>
        </w:tc>
      </w:tr>
    </w:tbl>
    <w:p w14:paraId="5678D68C">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5、智慧标本管理解决方案技术参数</w:t>
      </w:r>
      <w:r>
        <w:rPr>
          <w:rFonts w:hint="eastAsia" w:ascii="宋体" w:hAnsi="宋体" w:eastAsia="宋体" w:cs="宋体"/>
          <w:b/>
          <w:bCs/>
          <w:sz w:val="24"/>
          <w:highlight w:val="none"/>
        </w:rPr>
        <w:t>要求</w:t>
      </w:r>
    </w:p>
    <w:p w14:paraId="3A03F37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1、智能采血管理系统：</w:t>
      </w:r>
    </w:p>
    <w:p w14:paraId="72B6331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1.1、设备用途：可实现全自动选管贴标，通过扫描获取患者信息，根据检验医嘱自动选取所需试管，将标签规范黏贴至试管上并自动出管。</w:t>
      </w:r>
    </w:p>
    <w:p w14:paraId="699D94F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▲1.2、落地式设计，设备直接放置于地面，无需放置于桌面或储物柜上。</w:t>
      </w:r>
    </w:p>
    <w:p w14:paraId="13F760F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▲1.3、一拖二机型单台设备试管容量≥800支，一拖一机型单台设备试管容量≥500支。</w:t>
      </w:r>
    </w:p>
    <w:p w14:paraId="1AA78A0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1.4、单台设备备管速度≥800支/小时。</w:t>
      </w:r>
    </w:p>
    <w:p w14:paraId="4BCE1B2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▲1.5、支持直径12～13mm，长度75～110mm各品牌普通真空采血管；可同时装载试管种类≥15种，支持试管比例、数量自定义，支持不停机加管。</w:t>
      </w:r>
    </w:p>
    <w:p w14:paraId="38D5631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1.6、采血管装载：滑道式试管道加管，试管呈垂直有序排列状态，配专用加管工具；非试管水平放入、倾倒式无序加管和整板加管。</w:t>
      </w:r>
    </w:p>
    <w:p w14:paraId="3D2CEB8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▲1.7、采用机械下压式取管，确保试管状态全程可控，非搓板式、拔轮式或机械手式的取管方式，避免试管状态不可控及取管失败。</w:t>
      </w:r>
    </w:p>
    <w:p w14:paraId="3F628D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1.8、设备整机高度780-820mm，与采血桌高度保持一致，高度为设备最高点至地面的垂直距离；整机宽度≤450mm，以符合采血室的空间摆放要求。</w:t>
      </w:r>
    </w:p>
    <w:p w14:paraId="79BDF86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▲1.9、设备顶盖平整固定，无任何仓门开口或其他破坏平整性的部件，可放置日常采血常用耗材。</w:t>
      </w:r>
    </w:p>
    <w:p w14:paraId="077603C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▲1.10、具备视觉识别智能核对功能，通过视觉识别技术，对试管标签和患者信息进行双重自动核对。</w:t>
      </w:r>
    </w:p>
    <w:p w14:paraId="5AA3556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▲1.11、设备打印模块可整体取出放置在桌面进行快速换纸，同时可快速替换提前装好打印纸的打印模块。</w:t>
      </w:r>
    </w:p>
    <w:p w14:paraId="6CDEFE1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1.12、条码标签输出格式可设定，支持条码类型：code128、code39、JAN、2of5、NW-7、UPC-A、UPC-E等；支持文字类型：汉字、英文、数字、标点符号等。</w:t>
      </w:r>
    </w:p>
    <w:p w14:paraId="3594FB5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2、智能采血叫号系统：</w:t>
      </w:r>
    </w:p>
    <w:p w14:paraId="4E1F3E0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 xml:space="preserve">2.1、支持患者自助式取号，支持身份证、医保卡、就诊卡，一维码、二维码，纸质码、手机屏幕码等多种方式取号。 </w:t>
      </w:r>
    </w:p>
    <w:p w14:paraId="0AF0B4D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 xml:space="preserve">2.2、支持实时叫号、预叫号、优先叫号、一键式叫号、重呼叫号、指定叫号和过号处理等功能，可根据要求进行叫号规则定制。 </w:t>
      </w:r>
    </w:p>
    <w:p w14:paraId="2402914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2.3、智能分组和优先叫号：支持对符合要求的特殊人群智能识别并区分队列，实现优先叫号，如老幼、孕妇、军人等。</w:t>
      </w:r>
    </w:p>
    <w:p w14:paraId="699AC59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▲2.4、配置采血自助取号机：≥23英寸高清触摸显示屏，支持视频或动画取号演示指引功能，方便患者自助式取号报到。</w:t>
      </w:r>
    </w:p>
    <w:p w14:paraId="6C07D95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3、多功能采血桌：</w:t>
      </w:r>
    </w:p>
    <w:p w14:paraId="4BD183D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3.1、采血桌材质：金属框架结构，钣金喷涂外饰和钢化玻璃台面，无任何木质结构部件，整体坚固耐用，防腐蚀且易清洁消毒。</w:t>
      </w:r>
    </w:p>
    <w:p w14:paraId="38F2269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3.2、多功能配置：桌面利器回收投掷口、三层结构抽拉式废物收纳柜（含利器盒、压脉带和医疗垃圾回收桶）、嵌入一体式条码扫描器，科学布局采血位空间。</w:t>
      </w:r>
    </w:p>
    <w:p w14:paraId="2DB0079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3.3、内置标本自动收集传输轨道，传输速度：50mm/s - 300mm/s可调节，具备试管投入感应和自动启停功能。</w:t>
      </w:r>
    </w:p>
    <w:p w14:paraId="412B5C7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4、智能采血管分拣传输系统：</w:t>
      </w:r>
    </w:p>
    <w:p w14:paraId="4A65342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4.1、仓位容量：待拣仓容量≥500支，拣出仓容量≥150支。</w:t>
      </w:r>
    </w:p>
    <w:p w14:paraId="47FC28F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▲4.2、拣出仓数量：≥12个。（须提供设备具备≥12个拣出仓的实物照片）</w:t>
      </w:r>
    </w:p>
    <w:p w14:paraId="65089CB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▲4.3、传输功能：气动传输主机与分拣主机一体化设计，可同时接驳≥3条标本传输管路，实现同时向3个不同目的地发送标本。</w:t>
      </w:r>
    </w:p>
    <w:p w14:paraId="3755633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4.4、标本传送速度： 5-12米/秒，速度可调。</w:t>
      </w:r>
    </w:p>
    <w:p w14:paraId="2DD2494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4.5、传送距离：传输距离≥500米，垂直传送高度≥50米。</w:t>
      </w:r>
    </w:p>
    <w:p w14:paraId="45C64DC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▲4.6、具备试管自动换向功能，所有试管自动识别并自动换向，统一管帽方向，确保管帽朝前发射，避免管帽脱落，同时对试管缓冲减震，降低溶血概率。</w:t>
      </w:r>
    </w:p>
    <w:p w14:paraId="3D80A99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▲4.7、设备整机长≤1700mm，宽≤750mm，以符合实验室的空间摆放要求。</w:t>
      </w:r>
    </w:p>
    <w:p w14:paraId="0250B98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▲4.8、自动启停：可自动探测待拣仓内是否有标本输入，实现自动启停分拣和传输功能，支持24小时不间断运行。</w:t>
      </w:r>
    </w:p>
    <w:p w14:paraId="0AB8881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5、体液标本单管气动传输系统：</w:t>
      </w:r>
    </w:p>
    <w:p w14:paraId="3FF9BCD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▲5.1、传送效率：≥600支/小时，支持24小时不间断运行。</w:t>
      </w:r>
    </w:p>
    <w:p w14:paraId="4394C9B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5.2、传送速度： 5-10米/秒，速度可调。</w:t>
      </w:r>
    </w:p>
    <w:p w14:paraId="3529DC0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5.3、传送距离：传输距离≥1000米，垂直传送高度≥100米。</w:t>
      </w:r>
    </w:p>
    <w:p w14:paraId="123A3CF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5.4、支持标本容器规格：管帽直径≤25mm，管身直径≤22mm，长度≤100mm，带螺旋帽或真空负压管帽的标本收集容器，不限品牌。</w:t>
      </w:r>
    </w:p>
    <w:p w14:paraId="3D01820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5.5、标本接收端配有降速装置，确保标本到达时缓速下降，避免标本脱盖和洒漏等情况发生。</w:t>
      </w:r>
    </w:p>
    <w:p w14:paraId="10A42D7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5.6、智能统计和报警功能：配置≥13英寸液晶触摸显示屏，支持标本发送自动计数功能、标本数据自动存档功能、设备故障自动识别和分类报警功能等。</w:t>
      </w:r>
    </w:p>
    <w:p w14:paraId="101A521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▲5.7、管道规格：外径≥40mm，管道内壁光滑，确保标本摩擦系数小；支持楼板、墙体打孔安装，不影响楼体结构。</w:t>
      </w:r>
    </w:p>
    <w:p w14:paraId="6C549C4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6、智能尿管管理系统</w:t>
      </w:r>
    </w:p>
    <w:p w14:paraId="27B9172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6.1、设备用途：可实现全自动取管贴标，患者自助式签到，根据检验医嘱自动选取尿管，将标签规范黏贴至尿管上并自动出管。</w:t>
      </w:r>
    </w:p>
    <w:p w14:paraId="7E43CC7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▲6.2、装载尿管容量：≥600支尿管。</w:t>
      </w:r>
    </w:p>
    <w:p w14:paraId="304C9C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6.3、出管速度：≤4秒/支，即平均备管≥900支/小时。</w:t>
      </w:r>
    </w:p>
    <w:p w14:paraId="3331912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6.4、尿管装载：无序倾倒式投入尿管仓，非按序排列或堆叠放置尿管的方式，添加尿管方便快捷。</w:t>
      </w:r>
    </w:p>
    <w:p w14:paraId="596E3AD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▲6.5、显示模块：一体化内置触摸显示屏≥20英寸，即保证用户触摸式操作简便快捷，又可显示提示信息和操作视频，以便引导患者自助式取尿管。</w:t>
      </w:r>
    </w:p>
    <w:p w14:paraId="17BD37F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▲6.6、信息读取方式：支持条码扫描（一维码、二维码等）、就诊卡、身份证和手动输入就诊号等方式；应同时具备身份证读卡模块、智能卡读卡模块、条形码扫描模块，且各模块均应一体化内嵌于设备上。</w:t>
      </w:r>
    </w:p>
    <w:p w14:paraId="727C142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▲6.7、具备脱离的尿管帽自动排出功能，以方便用户对无盖尿管上盖。</w:t>
      </w:r>
    </w:p>
    <w:p w14:paraId="4794872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▲6.8、设备的尿管排出口、尿管帽排出口、扫码区域位于同一排。</w:t>
      </w:r>
    </w:p>
    <w:p w14:paraId="4363FC8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6.9、条码标签输出格式可设定，支持条码类型：code128、code39、JAN、2of5、NW-7、UPC-A、UPC-E等；支持文字类型：汉字、英文、数字、标点符号等。</w:t>
      </w:r>
    </w:p>
    <w:p w14:paraId="7B695CF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4867"/>
        <w:gridCol w:w="1909"/>
      </w:tblGrid>
      <w:tr w14:paraId="48F0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62D49F7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品目号</w:t>
            </w:r>
          </w:p>
        </w:tc>
        <w:tc>
          <w:tcPr>
            <w:tcW w:w="4867" w:type="dxa"/>
            <w:vAlign w:val="center"/>
          </w:tcPr>
          <w:p w14:paraId="3B7EB46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货物名称</w:t>
            </w:r>
          </w:p>
        </w:tc>
        <w:tc>
          <w:tcPr>
            <w:tcW w:w="1909" w:type="dxa"/>
            <w:vAlign w:val="center"/>
          </w:tcPr>
          <w:p w14:paraId="418BEC4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r>
      <w:tr w14:paraId="1438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73239A6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4867" w:type="dxa"/>
            <w:vAlign w:val="center"/>
          </w:tcPr>
          <w:p w14:paraId="2310DDD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智能采血管理系统（一拖二）</w:t>
            </w:r>
          </w:p>
        </w:tc>
        <w:tc>
          <w:tcPr>
            <w:tcW w:w="1909" w:type="dxa"/>
            <w:vAlign w:val="center"/>
          </w:tcPr>
          <w:p w14:paraId="71D946D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3套</w:t>
            </w:r>
          </w:p>
        </w:tc>
      </w:tr>
      <w:tr w14:paraId="19D8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539418D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4867" w:type="dxa"/>
            <w:vAlign w:val="center"/>
          </w:tcPr>
          <w:p w14:paraId="5E81605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智能采血管分拣传输系统</w:t>
            </w:r>
          </w:p>
        </w:tc>
        <w:tc>
          <w:tcPr>
            <w:tcW w:w="1909" w:type="dxa"/>
            <w:vAlign w:val="center"/>
          </w:tcPr>
          <w:p w14:paraId="4F2A438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1552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7CB9AE4F">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w:t>
            </w:r>
          </w:p>
        </w:tc>
        <w:tc>
          <w:tcPr>
            <w:tcW w:w="4867" w:type="dxa"/>
            <w:vAlign w:val="center"/>
          </w:tcPr>
          <w:p w14:paraId="22B57E6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体液标本单管气动传输系统</w:t>
            </w:r>
          </w:p>
        </w:tc>
        <w:tc>
          <w:tcPr>
            <w:tcW w:w="1909" w:type="dxa"/>
            <w:vAlign w:val="center"/>
          </w:tcPr>
          <w:p w14:paraId="1B9008D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6B1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52D81E7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4</w:t>
            </w:r>
          </w:p>
        </w:tc>
        <w:tc>
          <w:tcPr>
            <w:tcW w:w="4867" w:type="dxa"/>
            <w:vAlign w:val="center"/>
          </w:tcPr>
          <w:p w14:paraId="78362CCF">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多功能采血桌</w:t>
            </w:r>
          </w:p>
        </w:tc>
        <w:tc>
          <w:tcPr>
            <w:tcW w:w="1909" w:type="dxa"/>
            <w:vAlign w:val="center"/>
          </w:tcPr>
          <w:p w14:paraId="67B1319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1套</w:t>
            </w:r>
          </w:p>
        </w:tc>
      </w:tr>
      <w:tr w14:paraId="7931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143A14F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w:t>
            </w:r>
          </w:p>
        </w:tc>
        <w:tc>
          <w:tcPr>
            <w:tcW w:w="4867" w:type="dxa"/>
            <w:vAlign w:val="center"/>
          </w:tcPr>
          <w:p w14:paraId="06FDC34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智能采血叫号系统</w:t>
            </w:r>
          </w:p>
        </w:tc>
        <w:tc>
          <w:tcPr>
            <w:tcW w:w="1909" w:type="dxa"/>
            <w:vAlign w:val="center"/>
          </w:tcPr>
          <w:p w14:paraId="5801257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3套</w:t>
            </w:r>
          </w:p>
        </w:tc>
      </w:tr>
      <w:tr w14:paraId="2A30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15AAF21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6</w:t>
            </w:r>
          </w:p>
        </w:tc>
        <w:tc>
          <w:tcPr>
            <w:tcW w:w="4867" w:type="dxa"/>
            <w:vAlign w:val="center"/>
          </w:tcPr>
          <w:p w14:paraId="316385D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智能采血管理系统（一拖一）</w:t>
            </w:r>
          </w:p>
        </w:tc>
        <w:tc>
          <w:tcPr>
            <w:tcW w:w="1909" w:type="dxa"/>
            <w:vAlign w:val="center"/>
          </w:tcPr>
          <w:p w14:paraId="7FA76431">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5套</w:t>
            </w:r>
          </w:p>
        </w:tc>
      </w:tr>
      <w:tr w14:paraId="0039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035" w:type="dxa"/>
            <w:vAlign w:val="center"/>
          </w:tcPr>
          <w:p w14:paraId="42377DD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7</w:t>
            </w:r>
          </w:p>
        </w:tc>
        <w:tc>
          <w:tcPr>
            <w:tcW w:w="4867" w:type="dxa"/>
            <w:vAlign w:val="center"/>
          </w:tcPr>
          <w:p w14:paraId="67F2572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智能尿管管理系统</w:t>
            </w:r>
          </w:p>
        </w:tc>
        <w:tc>
          <w:tcPr>
            <w:tcW w:w="1909" w:type="dxa"/>
            <w:vAlign w:val="center"/>
          </w:tcPr>
          <w:p w14:paraId="1A59C94B">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3套</w:t>
            </w:r>
          </w:p>
        </w:tc>
      </w:tr>
    </w:tbl>
    <w:p w14:paraId="78C7C3DB">
      <w:pPr>
        <w:spacing w:line="36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6、全自动凝血分析仪技术参数</w:t>
      </w:r>
      <w:r>
        <w:rPr>
          <w:rFonts w:hint="eastAsia" w:ascii="宋体" w:hAnsi="宋体" w:eastAsia="宋体" w:cs="宋体"/>
          <w:b/>
          <w:bCs/>
          <w:sz w:val="24"/>
          <w:highlight w:val="none"/>
        </w:rPr>
        <w:t>要求</w:t>
      </w:r>
    </w:p>
    <w:p w14:paraId="36BD659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1、检测原理：含凝固法、发色底物法、免疫比浊法等检测方法；FIB支持Clauss和演算法两种方法。</w:t>
      </w:r>
    </w:p>
    <w:p w14:paraId="74EAE87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▲2、反应曲线：PT、FIB、TT、APTT分别可同时提供≥3个波长反应曲线，并可根据计算自动切换结果。</w:t>
      </w:r>
    </w:p>
    <w:p w14:paraId="641B4A2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3、检测项目：PT、FIB、TT、APTT，内外源因子等；AT-III，PC，PS，肝素等、D-Dimer、FDP等；可计算凝血酶原活性度、凝血酶原时间比值、国际标准化比值（INR）；APTT纠正实验、PT纠正实验。</w:t>
      </w:r>
    </w:p>
    <w:p w14:paraId="339CE0D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4、检测通道：检测通道≥25个，每个检测通道支持≥3个方法学。</w:t>
      </w:r>
    </w:p>
    <w:p w14:paraId="4D413C5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5、孵育位:孵育位≥60个，开机升温快速、并能保持温度稳定。</w:t>
      </w:r>
    </w:p>
    <w:p w14:paraId="408E52D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6、凝固法项目检测速度:凝固法项目≥500测试/小时，PT：≥500测试/小时。</w:t>
      </w:r>
    </w:p>
    <w:p w14:paraId="5FBE2D9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▲7、免疫法项目检测速度:D-Dimer ≥500测试/小时；FDP≥500测试/小时。</w:t>
      </w:r>
    </w:p>
    <w:p w14:paraId="4F4B4E0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▲8、急诊位:专用急诊进样通道≥10个，有专用急诊运输轨道保障效率，急诊响应时间≤20秒。</w:t>
      </w:r>
    </w:p>
    <w:p w14:paraId="42005B7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9、试剂位≥60个冷藏试剂位，独立制冷控制、在机冷藏温度8ºC,试剂仓封闭设计。</w:t>
      </w:r>
    </w:p>
    <w:p w14:paraId="3B34B54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10、试剂盒：具有封膜保护、避免直接暴露，减少挥发；具备试剂盒射频信息读写功能，实时在线试剂更换。</w:t>
      </w:r>
    </w:p>
    <w:p w14:paraId="72714B2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▲11、试剂预装载≥15个试剂位预装载位、具备不停机试剂自动装载功能。</w:t>
      </w:r>
    </w:p>
    <w:p w14:paraId="2D60A02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12、样本针≥2组样本针设计，均具有防撞、堵针检测及液面感应功能。</w:t>
      </w:r>
    </w:p>
    <w:p w14:paraId="285FDA6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13、试剂针≥4组试剂针，具备试剂针防撞功能、液面感应功能、试剂针均有加热37ºC±1ºC功能。</w:t>
      </w:r>
    </w:p>
    <w:p w14:paraId="0689B46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14、反应杯≥1500个反应杯，使用独立无需钢珠，具有反应杯不足报警功能，支持不停机连续添加反应杯功能。</w:t>
      </w:r>
    </w:p>
    <w:p w14:paraId="7AA9335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▲15、废杯盒:独立废杯盒≥2个、支持容量≥3500个废杯，具备废杯盒到位和满杯指示灯提醒，支持不停机循环更换。</w:t>
      </w:r>
    </w:p>
    <w:p w14:paraId="49310FB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16、试剂类型:提供原厂配套PT、APTT、TT、FIB、D-二聚体、FDP、AT-III 7项全液体试剂盒。</w:t>
      </w:r>
    </w:p>
    <w:p w14:paraId="2F0E7FD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17、耗材备份:支持一次性装载2个独立运作清洗液，支持不停机补充清洗液功能，具有清洗液耗尽提醒功能。</w:t>
      </w:r>
    </w:p>
    <w:p w14:paraId="262A0D9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18、复测功能:支持自动复检功能，无需重新进样实现重测功能；样本重测功能可支持反射-增加项目、再分析-定义结果和故障再测试、再稀释分析、多倍稀释检测功能（MDA）等多种方式。</w:t>
      </w:r>
    </w:p>
    <w:p w14:paraId="10AC7C6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19、纠正实验:支持具备自动APTT纠正实验功能，机内2小时孵育；支持具备自动PT纠正实验功能。</w:t>
      </w:r>
    </w:p>
    <w:p w14:paraId="6A326A0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二、配置要求清单（除主要设备外其他配置）</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1A7AE225">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0FE2D20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2F962E4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4E4B4BD2">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604F4A1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单位</w:t>
            </w:r>
          </w:p>
        </w:tc>
      </w:tr>
      <w:tr w14:paraId="6CEAC596">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715E4C9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3970" w:type="dxa"/>
            <w:tcBorders>
              <w:top w:val="single" w:color="auto" w:sz="4" w:space="0"/>
              <w:left w:val="single" w:color="000000" w:sz="4" w:space="0"/>
              <w:bottom w:val="single" w:color="000000" w:sz="4" w:space="0"/>
              <w:right w:val="single" w:color="000000" w:sz="4" w:space="0"/>
            </w:tcBorders>
            <w:vAlign w:val="center"/>
          </w:tcPr>
          <w:p w14:paraId="68976C8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全自动凝血分析仪</w:t>
            </w:r>
          </w:p>
        </w:tc>
        <w:tc>
          <w:tcPr>
            <w:tcW w:w="1590" w:type="dxa"/>
            <w:tcBorders>
              <w:top w:val="single" w:color="auto" w:sz="4" w:space="0"/>
              <w:left w:val="single" w:color="000000" w:sz="4" w:space="0"/>
              <w:bottom w:val="single" w:color="000000" w:sz="4" w:space="0"/>
              <w:right w:val="single" w:color="000000" w:sz="4" w:space="0"/>
            </w:tcBorders>
            <w:vAlign w:val="center"/>
          </w:tcPr>
          <w:p w14:paraId="1D0E2D6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489072CE">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台</w:t>
            </w:r>
          </w:p>
        </w:tc>
      </w:tr>
      <w:tr w14:paraId="1F7FA285">
        <w:tblPrEx>
          <w:tblCellMar>
            <w:top w:w="0" w:type="dxa"/>
            <w:left w:w="108" w:type="dxa"/>
            <w:bottom w:w="0" w:type="dxa"/>
            <w:right w:w="108" w:type="dxa"/>
          </w:tblCellMar>
        </w:tblPrEx>
        <w:trPr>
          <w:trHeight w:val="440" w:hRule="atLeast"/>
        </w:trPr>
        <w:tc>
          <w:tcPr>
            <w:tcW w:w="1070" w:type="dxa"/>
            <w:tcBorders>
              <w:top w:val="single" w:color="000000" w:sz="4" w:space="0"/>
              <w:left w:val="single" w:color="000000" w:sz="4" w:space="0"/>
              <w:bottom w:val="single" w:color="000000" w:sz="4" w:space="0"/>
              <w:right w:val="single" w:color="000000" w:sz="4" w:space="0"/>
            </w:tcBorders>
            <w:noWrap/>
            <w:vAlign w:val="center"/>
          </w:tcPr>
          <w:p w14:paraId="73C3D555">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3970" w:type="dxa"/>
            <w:tcBorders>
              <w:top w:val="single" w:color="000000" w:sz="4" w:space="0"/>
              <w:left w:val="single" w:color="000000" w:sz="4" w:space="0"/>
              <w:bottom w:val="single" w:color="000000" w:sz="4" w:space="0"/>
              <w:right w:val="single" w:color="000000" w:sz="4" w:space="0"/>
            </w:tcBorders>
            <w:vAlign w:val="center"/>
          </w:tcPr>
          <w:p w14:paraId="792FA68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说明书</w:t>
            </w:r>
          </w:p>
        </w:tc>
        <w:tc>
          <w:tcPr>
            <w:tcW w:w="1590" w:type="dxa"/>
            <w:tcBorders>
              <w:top w:val="single" w:color="000000" w:sz="4" w:space="0"/>
              <w:left w:val="single" w:color="000000" w:sz="4" w:space="0"/>
              <w:bottom w:val="single" w:color="000000" w:sz="4" w:space="0"/>
              <w:right w:val="single" w:color="000000" w:sz="4" w:space="0"/>
            </w:tcBorders>
            <w:vAlign w:val="center"/>
          </w:tcPr>
          <w:p w14:paraId="3F3A84D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1550" w:type="dxa"/>
            <w:tcBorders>
              <w:top w:val="single" w:color="000000" w:sz="4" w:space="0"/>
              <w:left w:val="single" w:color="000000" w:sz="4" w:space="0"/>
              <w:bottom w:val="single" w:color="000000" w:sz="4" w:space="0"/>
              <w:right w:val="single" w:color="000000" w:sz="4" w:space="0"/>
            </w:tcBorders>
            <w:vAlign w:val="center"/>
          </w:tcPr>
          <w:p w14:paraId="4D1A1D9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套</w:t>
            </w:r>
          </w:p>
        </w:tc>
      </w:tr>
    </w:tbl>
    <w:p w14:paraId="547AB85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7、全自动粪便分析仪技术参数</w:t>
      </w:r>
      <w:r>
        <w:rPr>
          <w:rFonts w:hint="eastAsia" w:ascii="宋体" w:hAnsi="宋体" w:eastAsia="宋体" w:cs="宋体"/>
          <w:b/>
          <w:bCs/>
          <w:sz w:val="24"/>
          <w:highlight w:val="none"/>
        </w:rPr>
        <w:t>要求</w:t>
      </w:r>
    </w:p>
    <w:p w14:paraId="6ED62A3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1、系统功能要求：样本采集后运送、检测、回收全过程封闭。</w:t>
      </w:r>
    </w:p>
    <w:p w14:paraId="0310FF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2、检测项目： 全自动实现样本颜色与性状拍照与结果自动判读；样本有形成分（细胞、食物残留、细菌、病毒、寄生虫虫体及虫卵、原虫、结晶与其它颗粒等）显微镜检拍照与结果自动判读；样本免疫学项目（粪便隐血、转铁蛋白、乳糖检测、幽门螺杆菌、腺病毒、轮状病毒、钙卫蛋白、乳铁蛋白等）免疫层析法（含金标法）检测与结果自动判读。</w:t>
      </w:r>
    </w:p>
    <w:p w14:paraId="66F9770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3、样本检测速度： ≥80标本/小时。</w:t>
      </w:r>
    </w:p>
    <w:p w14:paraId="01E63F1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▲4、样本采集管要求：全封闭设计，具有内外定位装置，可进行两端穿刺加注或吸样，吸样针倒置上穿定量吸样；采集管内部具有不锈钢材质滤网结构，可有效富集寄生虫卵；</w:t>
      </w:r>
    </w:p>
    <w:p w14:paraId="00E56B5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5、进样方式：样本架循环轨道式进样，急诊和常规标本随到随检，具备无限制样本处理能力，一次进样≥50个；</w:t>
      </w:r>
    </w:p>
    <w:p w14:paraId="093002F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6、样本性状摄像单元：高清CMOS摄像头，配置LED照明系统，性状照片能储存与调用，方便调阅判断；</w:t>
      </w:r>
    </w:p>
    <w:p w14:paraId="705942E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7、样本稀释混匀过滤单元：自动穿刺注入稀释液稀释，可进行智能二次稀释。满足所有标本的检测要求，尤其是满足虫卵标本的集卵要求；</w:t>
      </w:r>
    </w:p>
    <w:p w14:paraId="0D957CA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▲8、高频往复式气动混匀，保证样本充分混匀而不破坏样本中有形成分；</w:t>
      </w:r>
    </w:p>
    <w:p w14:paraId="492AA29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9、CMOS LED显微镜多视野断层扫描成像，自动进行低倍镜（≤x10）和高倍镜（≥x40）切换。低倍镜和高倍镜均能对同一视野进行多层多焦距采集高清晰图像，用于检测白细胞、红细胞、霉菌、脂肪球、钩虫卵、蛔虫卵、鞭虫卵、蛲虫卵、绦虫卵、肝吸虫卵、溶组织阿米巴、人牙囊原虫、蓝氏贾第鞭毛虫包囊、蓝氏贾第鞭毛虫滋养体、夏科雷登结晶、粪类圆线虫、梅氏唇鞭毛虫包囊、梅氏唇鞭毛虫滋养体、日本血吸虫卵、膜壳绦虫卵等镜下所有有成成分项目，仪器具备寄生虫卵自动追踪功能，低倍镜定位，高倍镜追踪放大成像；</w:t>
      </w:r>
    </w:p>
    <w:p w14:paraId="5FF0F23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▲10、试剂卡仓数量≥6个，支持同时测试6～12个POCT项目，单卡盒装卡≥50张，一次性可装载试剂卡≥300张。具有自动送卡、卡量监测报警、不停机加卡功能；</w:t>
      </w:r>
    </w:p>
    <w:p w14:paraId="49E26B3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11、具备自动传输、检测、回收金标卡功能；</w:t>
      </w:r>
    </w:p>
    <w:p w14:paraId="1CA9A14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▲12、试剂卡反应温度： 37±1℃，所有试剂卡反应时间：≤4分钟，具有自动摄取金标卡反应结果图像和自动判读结果功能；</w:t>
      </w:r>
    </w:p>
    <w:p w14:paraId="11CB199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配置自动图形识别软件，能对白细胞、红细胞、霉菌、脂肪球、钩虫卵、蛔虫卵、鞭虫卵、蛲虫卵、绦虫卵、肝吸虫卵、溶组织阿米巴、人牙囊原虫、蓝氏贾第鞭毛虫包囊、蓝氏贾第鞭毛虫滋养体、夏科雷登结晶、粪类圆线虫、梅氏唇鞭毛虫包囊、梅氏唇鞭毛虫滋养体、日本血吸虫卵、膜壳绦虫卵等不少于20种有形成分进行自动图形识别，能够对寄生虫卵、成虫及原虫进行自动识别分类。</w:t>
      </w:r>
    </w:p>
    <w:p w14:paraId="5929357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14、LIS系统双向通讯功能，内置条码扫描。</w:t>
      </w:r>
    </w:p>
    <w:p w14:paraId="4F9796D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▲15、厂家具有同品牌配套试剂（粪便隐血试剂、转铁蛋白试剂、钙卫蛋白试剂、乳铁蛋白试剂、乳糖检测试剂等），需提供注册证。</w:t>
      </w:r>
    </w:p>
    <w:p w14:paraId="5925109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▲16、厂家具有同品牌粪便形态学质控品、粪便隐血质控品、粪便转铁质控品，其中形态学质控品类≥10种且包含寄生虫卵质控，软件自带质控功能模块，可上机操作。</w:t>
      </w:r>
    </w:p>
    <w:p w14:paraId="5071895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配置要求清单（除主要设备外其他配置）</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59F55CD4">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3930DAE3">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1639875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32BD3777">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407C3AEA">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单位</w:t>
            </w:r>
          </w:p>
        </w:tc>
      </w:tr>
      <w:tr w14:paraId="283AD5BD">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60AE2E3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3970" w:type="dxa"/>
            <w:tcBorders>
              <w:top w:val="single" w:color="auto" w:sz="4" w:space="0"/>
              <w:left w:val="single" w:color="000000" w:sz="4" w:space="0"/>
              <w:bottom w:val="single" w:color="000000" w:sz="4" w:space="0"/>
              <w:right w:val="single" w:color="000000" w:sz="4" w:space="0"/>
            </w:tcBorders>
            <w:vAlign w:val="center"/>
          </w:tcPr>
          <w:p w14:paraId="7005D70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自动粪便处理分析系统</w:t>
            </w:r>
          </w:p>
        </w:tc>
        <w:tc>
          <w:tcPr>
            <w:tcW w:w="1590" w:type="dxa"/>
            <w:tcBorders>
              <w:top w:val="single" w:color="auto" w:sz="4" w:space="0"/>
              <w:left w:val="single" w:color="000000" w:sz="4" w:space="0"/>
              <w:bottom w:val="single" w:color="000000" w:sz="4" w:space="0"/>
              <w:right w:val="single" w:color="000000" w:sz="4" w:space="0"/>
            </w:tcBorders>
            <w:vAlign w:val="center"/>
          </w:tcPr>
          <w:p w14:paraId="2E3B4EE6">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3E90AAE8">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台</w:t>
            </w:r>
          </w:p>
        </w:tc>
      </w:tr>
      <w:tr w14:paraId="5C938372">
        <w:tblPrEx>
          <w:tblCellMar>
            <w:top w:w="0" w:type="dxa"/>
            <w:left w:w="108" w:type="dxa"/>
            <w:bottom w:w="0" w:type="dxa"/>
            <w:right w:w="108" w:type="dxa"/>
          </w:tblCellMar>
        </w:tblPrEx>
        <w:trPr>
          <w:trHeight w:val="440" w:hRule="atLeast"/>
        </w:trPr>
        <w:tc>
          <w:tcPr>
            <w:tcW w:w="1070" w:type="dxa"/>
            <w:tcBorders>
              <w:top w:val="single" w:color="000000" w:sz="4" w:space="0"/>
              <w:left w:val="single" w:color="000000" w:sz="4" w:space="0"/>
              <w:bottom w:val="single" w:color="000000" w:sz="4" w:space="0"/>
              <w:right w:val="single" w:color="000000" w:sz="4" w:space="0"/>
            </w:tcBorders>
            <w:noWrap/>
            <w:vAlign w:val="center"/>
          </w:tcPr>
          <w:p w14:paraId="2877DF24">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2</w:t>
            </w:r>
          </w:p>
        </w:tc>
        <w:tc>
          <w:tcPr>
            <w:tcW w:w="3970" w:type="dxa"/>
            <w:tcBorders>
              <w:top w:val="single" w:color="000000" w:sz="4" w:space="0"/>
              <w:left w:val="single" w:color="000000" w:sz="4" w:space="0"/>
              <w:bottom w:val="single" w:color="000000" w:sz="4" w:space="0"/>
              <w:right w:val="single" w:color="000000" w:sz="4" w:space="0"/>
            </w:tcBorders>
            <w:vAlign w:val="center"/>
          </w:tcPr>
          <w:p w14:paraId="33DC5C3C">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说明书</w:t>
            </w:r>
          </w:p>
        </w:tc>
        <w:tc>
          <w:tcPr>
            <w:tcW w:w="1590" w:type="dxa"/>
            <w:tcBorders>
              <w:top w:val="single" w:color="000000" w:sz="4" w:space="0"/>
              <w:left w:val="single" w:color="000000" w:sz="4" w:space="0"/>
              <w:bottom w:val="single" w:color="000000" w:sz="4" w:space="0"/>
              <w:right w:val="single" w:color="000000" w:sz="4" w:space="0"/>
            </w:tcBorders>
            <w:vAlign w:val="center"/>
          </w:tcPr>
          <w:p w14:paraId="4FE98039">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1</w:t>
            </w:r>
          </w:p>
        </w:tc>
        <w:tc>
          <w:tcPr>
            <w:tcW w:w="1550" w:type="dxa"/>
            <w:tcBorders>
              <w:top w:val="single" w:color="000000" w:sz="4" w:space="0"/>
              <w:left w:val="single" w:color="000000" w:sz="4" w:space="0"/>
              <w:bottom w:val="single" w:color="000000" w:sz="4" w:space="0"/>
              <w:right w:val="single" w:color="000000" w:sz="4" w:space="0"/>
            </w:tcBorders>
            <w:vAlign w:val="center"/>
          </w:tcPr>
          <w:p w14:paraId="28441B6D">
            <w:pPr>
              <w:widowControl/>
              <w:jc w:val="center"/>
              <w:textAlignment w:val="center"/>
              <w:rPr>
                <w:rFonts w:hint="eastAsia" w:ascii="宋体" w:hAnsi="宋体" w:eastAsia="宋体" w:cs="宋体"/>
                <w:sz w:val="24"/>
                <w:highlight w:val="none"/>
              </w:rPr>
            </w:pPr>
            <w:r>
              <w:rPr>
                <w:rFonts w:hint="eastAsia" w:ascii="宋体" w:hAnsi="宋体" w:eastAsia="宋体" w:cs="宋体"/>
                <w:color w:val="000000"/>
                <w:kern w:val="0"/>
                <w:sz w:val="24"/>
                <w:highlight w:val="none"/>
                <w:lang w:bidi="ar"/>
              </w:rPr>
              <w:t>套</w:t>
            </w:r>
          </w:p>
        </w:tc>
      </w:tr>
    </w:tbl>
    <w:p w14:paraId="0305029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p>
    <w:p w14:paraId="4011B81A">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8、生物安全柜B2型技术参数</w:t>
      </w:r>
      <w:r>
        <w:rPr>
          <w:rFonts w:hint="eastAsia" w:ascii="宋体" w:hAnsi="宋体" w:eastAsia="宋体" w:cs="宋体"/>
          <w:b/>
          <w:bCs/>
          <w:sz w:val="24"/>
          <w:highlight w:val="none"/>
        </w:rPr>
        <w:t>要求</w:t>
      </w:r>
    </w:p>
    <w:p w14:paraId="52E5484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1、在线实时监测并条形码显示高效过滤器的使用寿命，具有过滤器失效声光报警功能，保证实验的安全性。</w:t>
      </w:r>
    </w:p>
    <w:p w14:paraId="5B454BB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2、工作区和外排出风口处各配备一个高灵敏度、高精度的微风速传感器，非压差传感器，真实、实时检测风速。</w:t>
      </w:r>
    </w:p>
    <w:p w14:paraId="154886C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3、联动控制：通过专业的联动控制芯片，与净化工程的排风系统联动，可提供截止阀、风机等，并自动控制。</w:t>
      </w:r>
    </w:p>
    <w:p w14:paraId="1FC7AB8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 xml:space="preserve">4、ULPA超高效空气过滤器，针对颗粒直径0.12um，过滤效率≥99.999% </w:t>
      </w:r>
    </w:p>
    <w:p w14:paraId="054089E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9、生物安全柜A2型技术参数</w:t>
      </w:r>
      <w:r>
        <w:rPr>
          <w:rFonts w:hint="eastAsia" w:ascii="宋体" w:hAnsi="宋体" w:eastAsia="宋体" w:cs="宋体"/>
          <w:b/>
          <w:bCs/>
          <w:sz w:val="24"/>
          <w:highlight w:val="none"/>
        </w:rPr>
        <w:t>要求</w:t>
      </w:r>
    </w:p>
    <w:p w14:paraId="625333E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双风机控制系统，独立的进气与排气风机自动控制，平衡下降气流与外排气流，以保证持续安全的工作条件。智能直流无碳刷电机可实时监测和控制风机转速，在过滤器阻塞或线路电压波动时持续保护用户安全。</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352C3A2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2、配有彩色触摸屏。图形用户界面（ GUI ）实时显示下降风速和流入风速，显示性能标准，且为其性能提供颜色编码指示器。</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290B5F3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3、触摸屏界面可显示HEPA已使用时间、HEPA剩余使用时间、UV灯工作时间及总工作时间等。以确保用户知道何时需要更换HEPA过滤器，紫外线或安排日常服务，确保用户在安全条件下工作。</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161ADB9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4、触摸屏显示的报警信息可直接显示文字信息，非仅显示代码标号，便于用户第一时间确认报警源。</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130EBB9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5、安全节能模式：安全柜开机正常运行状态下，将前窗玻璃下拉至完全关闭状态，安全柜自动启动低速安全节能模式（待机模式），下降风速自动变为30%，且保持柜体洁净环境。</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641E46D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6、设备配置紫外灯。消毒程序可编程，时间从0至23小时可调，步进为15分钟。可实现紫外灯消毒预约功能，用户可设定特定时间自动开启紫外灯。</w:t>
      </w:r>
    </w:p>
    <w:p w14:paraId="72ECABB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10、二氧化碳细胞培养箱技术参数</w:t>
      </w:r>
      <w:r>
        <w:rPr>
          <w:rFonts w:hint="eastAsia" w:ascii="宋体" w:hAnsi="宋体" w:eastAsia="宋体" w:cs="宋体"/>
          <w:b/>
          <w:bCs/>
          <w:sz w:val="24"/>
          <w:highlight w:val="none"/>
        </w:rPr>
        <w:t>要求</w:t>
      </w:r>
    </w:p>
    <w:p w14:paraId="73C82F4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1、内箱装有风机形成微气流循环，提高箱内温度和CO2浓度的均匀性。</w:t>
      </w:r>
    </w:p>
    <w:p w14:paraId="0B81A6F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2、装有门开关，箱门打开时，自动关闭风机、CO2进气阀及加热，减少外界空气进入而造成箱内污染，并减少电力及气体的损耗。</w:t>
      </w:r>
    </w:p>
    <w:p w14:paraId="6918C9A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3、LED显示的P.I.D.温度控制器，控温精准，采用三组温度探头分别控制箱温、水温及门温，适宜的门温控制有助于钢化玻璃内门上的水汽凝结，减少箱内受污染机率。</w:t>
      </w:r>
    </w:p>
    <w:p w14:paraId="258F167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4、采用进口红外线二氧化碳传感器，不因温度和湿度变化而受到影响，适用于开关门频繁的使用场合。</w:t>
      </w:r>
    </w:p>
    <w:p w14:paraId="07FDB4B0">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11、电热恒温培养箱技术参数</w:t>
      </w:r>
      <w:r>
        <w:rPr>
          <w:rFonts w:hint="eastAsia" w:ascii="宋体" w:hAnsi="宋体" w:eastAsia="宋体" w:cs="宋体"/>
          <w:b/>
          <w:bCs/>
          <w:sz w:val="24"/>
          <w:highlight w:val="none"/>
        </w:rPr>
        <w:t>要求</w:t>
      </w:r>
    </w:p>
    <w:p w14:paraId="64AD59F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1、供医疗卫生等科研部门作细菌培养、育种、发酵及其他恒温试验用。</w:t>
      </w:r>
    </w:p>
    <w:p w14:paraId="7CB4550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2、微电脑P.I.D.温度控制器，控温精准；连续运行或定时运行：0~9999min；具有参数记忆功能，来电自动恢复运行。</w:t>
      </w:r>
    </w:p>
    <w:p w14:paraId="2996C3A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3、内箱采用圆弧结构设计，便于清洁。</w:t>
      </w:r>
    </w:p>
    <w:p w14:paraId="79C640CD">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12、低温生化培养箱技术参数</w:t>
      </w:r>
      <w:r>
        <w:rPr>
          <w:rFonts w:hint="eastAsia" w:ascii="宋体" w:hAnsi="宋体" w:eastAsia="宋体" w:cs="宋体"/>
          <w:b/>
          <w:bCs/>
          <w:sz w:val="24"/>
          <w:highlight w:val="none"/>
        </w:rPr>
        <w:t>要求</w:t>
      </w:r>
    </w:p>
    <w:p w14:paraId="0738940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1、用于储藏培养基、血清、药品、低温环境试验等。</w:t>
      </w:r>
    </w:p>
    <w:p w14:paraId="2ECCA70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2、内箱装有风机形成微气流循环，提高箱内温度均匀度。</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4C6B65B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3、微电脑智能P.I.D.温度控制器，控温精准；具有参数记忆功能，来电自动恢复运行。</w:t>
      </w:r>
    </w:p>
    <w:p w14:paraId="14D6E85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4、制冷压缩机，效率高、能耗低；无氟环保制冷剂。</w:t>
      </w:r>
      <w:r>
        <w:rPr>
          <w:rFonts w:hint="eastAsia" w:ascii="宋体" w:hAnsi="宋体" w:eastAsia="宋体" w:cs="宋体"/>
          <w:sz w:val="24"/>
          <w:highlight w:val="none"/>
        </w:rPr>
        <w:tab/>
      </w:r>
    </w:p>
    <w:p w14:paraId="0C34AE45">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13、电子天平技术参数</w:t>
      </w:r>
      <w:r>
        <w:rPr>
          <w:rFonts w:hint="eastAsia" w:ascii="宋体" w:hAnsi="宋体" w:eastAsia="宋体" w:cs="宋体"/>
          <w:b/>
          <w:bCs/>
          <w:sz w:val="24"/>
          <w:highlight w:val="none"/>
        </w:rPr>
        <w:t>要求</w:t>
      </w:r>
    </w:p>
    <w:p w14:paraId="0583B6E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1、采用LED彩色触摸屏技术，用户界面简单，结构清晰。</w:t>
      </w:r>
    </w:p>
    <w:p w14:paraId="6F06886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2、四级防震以防止震动干扰称重结果。</w:t>
      </w:r>
    </w:p>
    <w:p w14:paraId="399A98C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3、采用特殊涂层的防风罩玻璃，减小静电引起的称量误差。</w:t>
      </w:r>
      <w:r>
        <w:rPr>
          <w:rFonts w:hint="eastAsia" w:ascii="宋体" w:hAnsi="宋体" w:eastAsia="宋体" w:cs="宋体"/>
          <w:sz w:val="24"/>
          <w:highlight w:val="none"/>
        </w:rPr>
        <w:tab/>
      </w:r>
      <w:r>
        <w:rPr>
          <w:rFonts w:hint="eastAsia" w:ascii="宋体" w:hAnsi="宋体" w:eastAsia="宋体" w:cs="宋体"/>
          <w:sz w:val="24"/>
          <w:highlight w:val="none"/>
        </w:rPr>
        <w:tab/>
      </w:r>
    </w:p>
    <w:p w14:paraId="65EFC1D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4、完全符合国际法制计量组织R76国际建议（OIML R76)。</w:t>
      </w:r>
    </w:p>
    <w:p w14:paraId="2B951363">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14、气瓶柜技术参数</w:t>
      </w:r>
      <w:r>
        <w:rPr>
          <w:rFonts w:hint="eastAsia" w:ascii="宋体" w:hAnsi="宋体" w:eastAsia="宋体" w:cs="宋体"/>
          <w:b/>
          <w:bCs/>
          <w:sz w:val="24"/>
          <w:highlight w:val="none"/>
        </w:rPr>
        <w:t>要求</w:t>
      </w:r>
    </w:p>
    <w:p w14:paraId="3EBCC5C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1、气瓶柜尺寸：长≥600mm、宽≥450mm、高1200mm。</w:t>
      </w:r>
    </w:p>
    <w:p w14:paraId="0F82890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2、金属件焊接波纹均匀，无脱焊、虚焊、焊穿、错位；无夹渣、气孔、焊瘤、焊丝头、咬边、飞溅等现象；冲压件无脱层、裂缝现象;</w:t>
      </w:r>
    </w:p>
    <w:p w14:paraId="66B5F30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3、气体探测自动报警系统的浓度报警阀值，如遇气体泄漏，当探测浓度值达到或超过设定报警阀值时系统会自动报警蜂鸣，同时系统联动风机，风机自动开启并排风。</w:t>
      </w:r>
    </w:p>
    <w:p w14:paraId="44A380F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15、医用冷藏冷冻箱技术参数</w:t>
      </w:r>
      <w:r>
        <w:rPr>
          <w:rFonts w:hint="eastAsia" w:ascii="宋体" w:hAnsi="宋体" w:eastAsia="宋体" w:cs="宋体"/>
          <w:b/>
          <w:bCs/>
          <w:sz w:val="24"/>
          <w:highlight w:val="none"/>
        </w:rPr>
        <w:t>要求</w:t>
      </w:r>
    </w:p>
    <w:p w14:paraId="2233A5D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1、控温技术：内置4路传感器（箱内3，环温1），有效保证温控的准确性。</w:t>
      </w:r>
    </w:p>
    <w:p w14:paraId="606AE58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2、制冷系统：双压缩机、双制冷系统，上冷藏室和下冷冻室可独立控制运行，其中一个出现故障不影响另外一个正常运行使用。</w:t>
      </w:r>
    </w:p>
    <w:p w14:paraId="287F964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3、低噪设计：噪声≤40dB，可提供省级第三方检测报告支持。</w:t>
      </w:r>
    </w:p>
    <w:p w14:paraId="02043E3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4、温度波动度≤1.5℃，可提供省级第三方检测报告支持。</w:t>
      </w:r>
    </w:p>
    <w:p w14:paraId="141CC6A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报警功能：具备完善的声光报警（蜂鸣报警、灯光闪烁）方式，具有环温高温报警、高温报警、低温报警、传感器故障报警、断电报警、低电量报警、数据通讯故障报警、开门报警、记录仪未连接/未启动报警等多种报警功能。</w:t>
      </w:r>
    </w:p>
    <w:p w14:paraId="5645896A">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16、医用冷藏冰箱技术参数</w:t>
      </w:r>
      <w:r>
        <w:rPr>
          <w:rFonts w:hint="eastAsia" w:ascii="宋体" w:hAnsi="宋体" w:eastAsia="宋体" w:cs="宋体"/>
          <w:b/>
          <w:bCs/>
          <w:sz w:val="24"/>
          <w:highlight w:val="none"/>
        </w:rPr>
        <w:t>要求</w:t>
      </w:r>
    </w:p>
    <w:p w14:paraId="101C626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1、立式，单门，容积(L)≥395。</w:t>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p>
    <w:p w14:paraId="4A9756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2、制冷系统：采用微通道冷凝器，翅片式蒸发器，内置吸风风扇，制冷迅速，具备自动化霜功能。</w:t>
      </w:r>
    </w:p>
    <w:p w14:paraId="65886AA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3、温度控制：高精度微电脑温度控制系统，箱内控温范围2-8℃，操作方便简洁，实时显示箱内温度，观察方便，控制精度0.1℃。显示面板左侧具备12个运行状态指示灯，可实时查看产品运行状态。</w:t>
      </w:r>
    </w:p>
    <w:p w14:paraId="2CD98A6D">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17、医用冷冻冰箱技术参数</w:t>
      </w:r>
      <w:r>
        <w:rPr>
          <w:rFonts w:hint="eastAsia" w:ascii="宋体" w:hAnsi="宋体" w:eastAsia="宋体" w:cs="宋体"/>
          <w:b/>
          <w:bCs/>
          <w:sz w:val="24"/>
          <w:highlight w:val="none"/>
        </w:rPr>
        <w:t>要求</w:t>
      </w:r>
    </w:p>
    <w:p w14:paraId="5133208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1、温度控制：高精度微电脑温度控制系统，箱内控温范围-10~-25℃，控制精度0.1℃；双压缩机双系统，上室、下室为独立腔室，可独立控温。</w:t>
      </w:r>
    </w:p>
    <w:p w14:paraId="71017BC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2、低噪设计：噪声≤50dB。</w:t>
      </w:r>
    </w:p>
    <w:p w14:paraId="4B22B5C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报警功能：具备完善的声光报警（蜂鸣报警、灯光闪烁）方式，具有环温高温报警、高温报警、低温报警、传感器故障报警、断电报警、低电量报警、数据通讯故障、开门报警、记录仪未连接/未启动报警等多种报警功能。</w:t>
      </w:r>
    </w:p>
    <w:p w14:paraId="36C241BD">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18、震荡器技术参数</w:t>
      </w:r>
      <w:r>
        <w:rPr>
          <w:rFonts w:hint="eastAsia" w:ascii="宋体" w:hAnsi="宋体" w:eastAsia="宋体" w:cs="宋体"/>
          <w:b/>
          <w:bCs/>
          <w:sz w:val="24"/>
          <w:highlight w:val="none"/>
        </w:rPr>
        <w:t>要求</w:t>
      </w:r>
    </w:p>
    <w:p w14:paraId="407EE64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1、运行模式 连续、点动</w:t>
      </w:r>
    </w:p>
    <w:p w14:paraId="09BD743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2、运行方式 圆周</w:t>
      </w:r>
    </w:p>
    <w:p w14:paraId="10E133E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3、周转直径3mm-4.4mm（可定制）。</w:t>
      </w:r>
    </w:p>
    <w:p w14:paraId="17374B67">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19、微型离心机技术参数</w:t>
      </w:r>
      <w:r>
        <w:rPr>
          <w:rFonts w:hint="eastAsia" w:ascii="宋体" w:hAnsi="宋体" w:eastAsia="宋体" w:cs="宋体"/>
          <w:b/>
          <w:bCs/>
          <w:sz w:val="24"/>
          <w:highlight w:val="none"/>
        </w:rPr>
        <w:t>要求</w:t>
      </w:r>
    </w:p>
    <w:p w14:paraId="4782571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w:t>
      </w:r>
      <w:r>
        <w:rPr>
          <w:rFonts w:ascii="宋体" w:hAnsi="宋体" w:eastAsia="宋体" w:cs="宋体"/>
          <w:sz w:val="24"/>
          <w:highlight w:val="none"/>
        </w:rPr>
        <w:t>三合一设计，无需更换转子</w:t>
      </w:r>
      <w:r>
        <w:rPr>
          <w:rFonts w:hint="eastAsia" w:ascii="宋体" w:hAnsi="宋体" w:eastAsia="宋体" w:cs="宋体"/>
          <w:sz w:val="24"/>
          <w:highlight w:val="none"/>
        </w:rPr>
        <w:t>。</w:t>
      </w:r>
    </w:p>
    <w:p w14:paraId="0FC4C82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w:t>
      </w:r>
      <w:r>
        <w:rPr>
          <w:rFonts w:ascii="宋体" w:hAnsi="宋体" w:eastAsia="宋体" w:cs="宋体"/>
          <w:sz w:val="24"/>
          <w:highlight w:val="none"/>
        </w:rPr>
        <w:t>最大转速</w:t>
      </w:r>
      <w:r>
        <w:rPr>
          <w:rFonts w:hint="eastAsia" w:ascii="宋体" w:hAnsi="宋体" w:eastAsia="宋体" w:cs="宋体"/>
          <w:sz w:val="24"/>
          <w:highlight w:val="none"/>
        </w:rPr>
        <w:t>≥</w:t>
      </w:r>
      <w:r>
        <w:rPr>
          <w:rFonts w:ascii="宋体" w:hAnsi="宋体" w:eastAsia="宋体" w:cs="宋体"/>
          <w:sz w:val="24"/>
          <w:highlight w:val="none"/>
        </w:rPr>
        <w:t>4000rpm</w:t>
      </w:r>
      <w:r>
        <w:rPr>
          <w:rFonts w:hint="eastAsia" w:ascii="宋体" w:hAnsi="宋体" w:eastAsia="宋体" w:cs="宋体"/>
          <w:sz w:val="24"/>
          <w:highlight w:val="none"/>
        </w:rPr>
        <w:t>。</w:t>
      </w:r>
    </w:p>
    <w:p w14:paraId="2A13988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w:t>
      </w:r>
      <w:r>
        <w:rPr>
          <w:rFonts w:ascii="宋体" w:hAnsi="宋体" w:eastAsia="宋体" w:cs="宋体"/>
          <w:sz w:val="24"/>
          <w:highlight w:val="none"/>
        </w:rPr>
        <w:t>采用翻盖开关功能，开盖即立即停止</w:t>
      </w:r>
      <w:r>
        <w:rPr>
          <w:rFonts w:hint="eastAsia" w:ascii="宋体" w:hAnsi="宋体" w:eastAsia="宋体" w:cs="宋体"/>
          <w:sz w:val="24"/>
          <w:highlight w:val="none"/>
        </w:rPr>
        <w:t>。</w:t>
      </w:r>
    </w:p>
    <w:p w14:paraId="496839B6">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20、医用洁净工作台技术参数</w:t>
      </w:r>
      <w:r>
        <w:rPr>
          <w:rFonts w:hint="eastAsia" w:ascii="宋体" w:hAnsi="宋体" w:eastAsia="宋体" w:cs="宋体"/>
          <w:b/>
          <w:bCs/>
          <w:sz w:val="24"/>
          <w:highlight w:val="none"/>
        </w:rPr>
        <w:t>要求</w:t>
      </w:r>
    </w:p>
    <w:p w14:paraId="67BB6B5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1、平均风速0.2-0.5m/s，长效直流无碳刷涡轮风机无极调速，可根据实验要求进行不同档位风速调整。</w:t>
      </w:r>
    </w:p>
    <w:p w14:paraId="197DDDA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2、箱内配备高精度微风速传感器，对箱内气流流速进行实时精准监测，并配备高性能均流装置，保证控制系统对气流流速的稳定调节和风速均匀。</w:t>
      </w:r>
    </w:p>
    <w:p w14:paraId="1766EE8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3、采用微电脑智能控制面板，主界面无需其他操作实时显示风速大小、门体状态、温度、过滤器/紫外灯寿命、运行时间、预约计时等参数信息。</w:t>
      </w:r>
    </w:p>
    <w:p w14:paraId="1D6BF0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紫外灯和前窗互锁：前窗采用防紫外玻璃，设有紫外灯前窗互锁功能，窗关闭时，紫外灯按键按下可点亮，窗打开时，紫外灯被锁闭不可点亮，充分保护操作者免受紫外伤害。具有多种紫外灯操作功能：紫外灯延时开启，保护操作人员；紫外灯预约开启，方便实验前后灭菌消杀；紫外灯具备延长设置，方便不同实验灭菌消杀需求。</w:t>
      </w:r>
    </w:p>
    <w:p w14:paraId="39073B2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5、开机可自动净化腔体空气。</w:t>
      </w:r>
    </w:p>
    <w:p w14:paraId="5EC52F3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21、移液器技术参数</w:t>
      </w:r>
      <w:r>
        <w:rPr>
          <w:rFonts w:hint="eastAsia" w:ascii="宋体" w:hAnsi="宋体" w:eastAsia="宋体" w:cs="宋体"/>
          <w:b/>
          <w:bCs/>
          <w:sz w:val="24"/>
          <w:highlight w:val="none"/>
        </w:rPr>
        <w:t>要求</w:t>
      </w:r>
      <w:r>
        <w:rPr>
          <w:rFonts w:ascii="宋体" w:hAnsi="宋体" w:eastAsia="宋体" w:cs="宋体"/>
          <w:b/>
          <w:bCs/>
          <w:color w:val="000000" w:themeColor="text1"/>
          <w:kern w:val="0"/>
          <w:sz w:val="24"/>
          <w:highlight w:val="none"/>
          <w14:textFill>
            <w14:solidFill>
              <w14:schemeClr w14:val="tx1"/>
            </w14:solidFill>
          </w14:textFill>
        </w:rPr>
        <w:tab/>
      </w:r>
    </w:p>
    <w:p w14:paraId="2AAD1AE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w:t>
      </w:r>
      <w:r>
        <w:rPr>
          <w:rFonts w:ascii="宋体" w:hAnsi="宋体" w:eastAsia="宋体" w:cs="宋体"/>
          <w:sz w:val="24"/>
          <w:highlight w:val="none"/>
        </w:rPr>
        <w:t>精准度</w:t>
      </w:r>
      <w:r>
        <w:rPr>
          <w:rFonts w:hint="eastAsia" w:ascii="宋体" w:hAnsi="宋体" w:eastAsia="宋体" w:cs="宋体"/>
          <w:sz w:val="24"/>
          <w:highlight w:val="none"/>
        </w:rPr>
        <w:t>不低于</w:t>
      </w:r>
      <w:r>
        <w:rPr>
          <w:rFonts w:ascii="宋体" w:hAnsi="宋体" w:eastAsia="宋体" w:cs="宋体"/>
          <w:sz w:val="24"/>
          <w:highlight w:val="none"/>
        </w:rPr>
        <w:t xml:space="preserve"> ISO 8655 标准，且可整支高温高压灭菌</w:t>
      </w:r>
      <w:r>
        <w:rPr>
          <w:rFonts w:hint="eastAsia" w:ascii="宋体" w:hAnsi="宋体" w:eastAsia="宋体" w:cs="宋体"/>
          <w:sz w:val="24"/>
          <w:highlight w:val="none"/>
        </w:rPr>
        <w:t>。</w:t>
      </w:r>
    </w:p>
    <w:p w14:paraId="0DF8B82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w:t>
      </w:r>
      <w:r>
        <w:rPr>
          <w:rFonts w:ascii="宋体" w:hAnsi="宋体" w:eastAsia="宋体" w:cs="宋体"/>
          <w:sz w:val="24"/>
          <w:highlight w:val="none"/>
        </w:rPr>
        <w:t>量程锁防止意外的体积变化</w:t>
      </w:r>
      <w:r>
        <w:rPr>
          <w:rFonts w:hint="eastAsia" w:ascii="宋体" w:hAnsi="宋体" w:eastAsia="宋体" w:cs="宋体"/>
          <w:sz w:val="24"/>
          <w:highlight w:val="none"/>
        </w:rPr>
        <w:t>。</w:t>
      </w:r>
    </w:p>
    <w:p w14:paraId="29C755E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w:t>
      </w:r>
      <w:r>
        <w:rPr>
          <w:rFonts w:ascii="宋体" w:hAnsi="宋体" w:eastAsia="宋体" w:cs="宋体"/>
          <w:sz w:val="24"/>
          <w:highlight w:val="none"/>
        </w:rPr>
        <w:t>密度调节根据液体类型、吸头长度、海拔高度等进行调整，以在无需重新校准的情况下保持准确性</w:t>
      </w:r>
      <w:r>
        <w:rPr>
          <w:rFonts w:hint="eastAsia" w:ascii="宋体" w:hAnsi="宋体" w:eastAsia="宋体" w:cs="宋体"/>
          <w:sz w:val="24"/>
          <w:highlight w:val="none"/>
        </w:rPr>
        <w:t>。</w:t>
      </w:r>
    </w:p>
    <w:p w14:paraId="454992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w:t>
      </w:r>
      <w:r>
        <w:rPr>
          <w:rFonts w:ascii="宋体" w:hAnsi="宋体" w:eastAsia="宋体" w:cs="宋体"/>
          <w:sz w:val="24"/>
          <w:highlight w:val="none"/>
        </w:rPr>
        <w:t>吸头开放兼容第三方吸头，弹性吸嘴可减少吸头的装卸用力</w:t>
      </w:r>
      <w:r>
        <w:rPr>
          <w:rFonts w:hint="eastAsia" w:ascii="宋体" w:hAnsi="宋体" w:eastAsia="宋体" w:cs="宋体"/>
          <w:sz w:val="24"/>
          <w:highlight w:val="none"/>
        </w:rPr>
        <w:t>。</w:t>
      </w:r>
    </w:p>
    <w:p w14:paraId="4AAAC437">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22、基因测序仪技术参数</w:t>
      </w:r>
      <w:r>
        <w:rPr>
          <w:rFonts w:hint="eastAsia" w:ascii="宋体" w:hAnsi="宋体" w:eastAsia="宋体" w:cs="宋体"/>
          <w:b/>
          <w:bCs/>
          <w:sz w:val="24"/>
          <w:highlight w:val="none"/>
        </w:rPr>
        <w:t>要求</w:t>
      </w:r>
    </w:p>
    <w:p w14:paraId="598CDC4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1、仪器设备需获得国家药品监督管理局（NMPA）注册认证。</w:t>
      </w:r>
    </w:p>
    <w:p w14:paraId="0771986F">
      <w:pPr>
        <w:snapToGrid w:val="0"/>
        <w:spacing w:line="360" w:lineRule="auto"/>
        <w:jc w:val="left"/>
        <w:rPr>
          <w:rFonts w:hint="eastAsia" w:ascii="宋体" w:hAnsi="宋体" w:eastAsia="宋体" w:cs="宋体"/>
          <w:color w:val="C00000"/>
          <w:sz w:val="24"/>
          <w:highlight w:val="none"/>
        </w:rPr>
      </w:pPr>
      <w:r>
        <w:rPr>
          <w:rFonts w:hint="eastAsia" w:ascii="宋体" w:hAnsi="宋体" w:eastAsia="宋体" w:cs="宋体"/>
          <w:sz w:val="24"/>
          <w:highlight w:val="none"/>
        </w:rPr>
        <w:t>▲2、测序原理：基于测序芯片表面扩增荧光测序技术，采用可逆末端终止测序法，实现边合成边测序反应（SBS）。</w:t>
      </w:r>
    </w:p>
    <w:p w14:paraId="55B6549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▲3、测序芯片采用双表面修饰技术，芯片上下表面均可进行扩增及测序反应，增加数据通量。</w:t>
      </w:r>
    </w:p>
    <w:p w14:paraId="56359A1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4、测序芯片采用出厂预封装设计，即开即用，不需要手工进行组装和另外的机械压合封装固定。</w:t>
      </w:r>
    </w:p>
    <w:p w14:paraId="4087679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扩增测序一体化设计，测序文库变性后可直接上机，测序模板扩增过程可在测序芯片流动槽内通过芯片表面扩增方式自动化在线完成，整个文库克隆扩增和测序过程只需操作同一台仪器设备，无需配置额外的设备和额外的手工操作，有效降低操作复杂性，减少实验误差，降低交叉污染。</w:t>
      </w:r>
    </w:p>
    <w:p w14:paraId="40A0A7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6、为保证检测时效性，SE50模式下测序时长≤4小时；PE150模式下测序时长≤20小时。</w:t>
      </w:r>
    </w:p>
    <w:p w14:paraId="7835DE7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▲7、支持≥6种Reads数的芯片规格：高通量芯片单次运行可生成≥600M reads。</w:t>
      </w:r>
    </w:p>
    <w:p w14:paraId="52DEC23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8、通量：在PE150测序模式下，单张芯片单次运行最高数据通量≥150G。</w:t>
      </w:r>
    </w:p>
    <w:p w14:paraId="5977F2A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9、设备正常使用期限≥10年。</w:t>
      </w:r>
    </w:p>
    <w:p w14:paraId="5E5551A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w:t>
      </w:r>
      <w:r>
        <w:rPr>
          <w:rFonts w:hint="eastAsia" w:ascii="宋体" w:hAnsi="宋体" w:eastAsia="宋体" w:cs="宋体"/>
          <w:sz w:val="24"/>
          <w:highlight w:val="none"/>
        </w:rPr>
        <w:tab/>
      </w:r>
      <w:r>
        <w:rPr>
          <w:rFonts w:hint="eastAsia" w:ascii="宋体" w:hAnsi="宋体" w:eastAsia="宋体" w:cs="宋体"/>
          <w:sz w:val="24"/>
          <w:highlight w:val="none"/>
        </w:rPr>
        <w:t>、PE150测序数据质量：读长PE150，芯片通量≥600M Reads，标准文库下机数据Q30≥85%。</w:t>
      </w:r>
    </w:p>
    <w:p w14:paraId="30448B7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11、读长模式：支持单端（SE）和双端（PE）测序，包含SE50，SE75，SE100，SE300，PE50，PE150，PE300等读长选项。</w:t>
      </w:r>
    </w:p>
    <w:p w14:paraId="0A91C24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12、自动化功能：测序完成后自动清洗。</w:t>
      </w:r>
    </w:p>
    <w:p w14:paraId="6CACDE2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13、耗材管理：支持RFID（无线射频识别）技术，自动追踪耗材信息，无需扫码枪。</w:t>
      </w:r>
    </w:p>
    <w:p w14:paraId="1B21531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▲14、测序技术采用双色荧光标记碱基，减少光学波长之间的串扰，提高测序数据质量。</w:t>
      </w:r>
    </w:p>
    <w:p w14:paraId="3FB076A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▲15、测序光机系统对焦精度达到300nm，提高荧光信号采集清晰度，提高测序数据质量。</w:t>
      </w:r>
    </w:p>
    <w:p w14:paraId="3E41F84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16、芯片加载方式：支持机械物理卡夹固定芯片，避免真空吸附引入测序误差，确保加载稳定性。</w:t>
      </w:r>
    </w:p>
    <w:p w14:paraId="071FEDD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17、SE75测序数据质量：读长SE75，标准文库下机数据Q30≥90%</w:t>
      </w:r>
      <w:r>
        <w:rPr>
          <w:rFonts w:hint="eastAsia" w:ascii="宋体" w:hAnsi="宋体" w:eastAsia="宋体" w:cs="宋体"/>
          <w:sz w:val="24"/>
          <w:highlight w:val="none"/>
        </w:rPr>
        <w:tab/>
      </w:r>
      <w:r>
        <w:rPr>
          <w:rFonts w:hint="eastAsia" w:ascii="宋体" w:hAnsi="宋体" w:eastAsia="宋体" w:cs="宋体"/>
          <w:sz w:val="24"/>
          <w:highlight w:val="none"/>
        </w:rPr>
        <w:t>。</w:t>
      </w:r>
    </w:p>
    <w:p w14:paraId="0BD8B6E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18、设备支持多实点测序数据输出功能，最少可设置2个输出节点。</w:t>
      </w:r>
    </w:p>
    <w:p w14:paraId="5C35D94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683DE63F">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7149907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4ABF818A">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5433DEF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6B414EE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单位</w:t>
            </w:r>
          </w:p>
        </w:tc>
      </w:tr>
      <w:tr w14:paraId="2BD5F0CC">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75D4A5EB">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970" w:type="dxa"/>
            <w:tcBorders>
              <w:top w:val="single" w:color="auto" w:sz="4" w:space="0"/>
              <w:left w:val="single" w:color="000000" w:sz="4" w:space="0"/>
              <w:bottom w:val="single" w:color="auto" w:sz="4" w:space="0"/>
              <w:right w:val="single" w:color="000000" w:sz="4" w:space="0"/>
            </w:tcBorders>
            <w:vAlign w:val="center"/>
          </w:tcPr>
          <w:p w14:paraId="3E2EDA97">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基因测序仪主机</w:t>
            </w:r>
          </w:p>
        </w:tc>
        <w:tc>
          <w:tcPr>
            <w:tcW w:w="1590" w:type="dxa"/>
            <w:tcBorders>
              <w:top w:val="single" w:color="auto" w:sz="4" w:space="0"/>
              <w:left w:val="single" w:color="000000" w:sz="4" w:space="0"/>
              <w:bottom w:val="single" w:color="auto" w:sz="4" w:space="0"/>
              <w:right w:val="single" w:color="000000" w:sz="4" w:space="0"/>
            </w:tcBorders>
            <w:vAlign w:val="center"/>
          </w:tcPr>
          <w:p w14:paraId="363DE8C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590C8337">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r w14:paraId="121516D8">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7F1C69F9">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970" w:type="dxa"/>
            <w:tcBorders>
              <w:top w:val="single" w:color="auto" w:sz="4" w:space="0"/>
              <w:left w:val="single" w:color="000000" w:sz="4" w:space="0"/>
              <w:bottom w:val="single" w:color="auto" w:sz="4" w:space="0"/>
              <w:right w:val="single" w:color="000000" w:sz="4" w:space="0"/>
            </w:tcBorders>
            <w:vAlign w:val="center"/>
          </w:tcPr>
          <w:p w14:paraId="6166A6B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说明书</w:t>
            </w:r>
          </w:p>
        </w:tc>
        <w:tc>
          <w:tcPr>
            <w:tcW w:w="1590" w:type="dxa"/>
            <w:tcBorders>
              <w:top w:val="single" w:color="auto" w:sz="4" w:space="0"/>
              <w:left w:val="single" w:color="000000" w:sz="4" w:space="0"/>
              <w:bottom w:val="single" w:color="auto" w:sz="4" w:space="0"/>
              <w:right w:val="single" w:color="000000" w:sz="4" w:space="0"/>
            </w:tcBorders>
            <w:vAlign w:val="center"/>
          </w:tcPr>
          <w:p w14:paraId="35AC73C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7C8729C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r w14:paraId="5E0D92AB">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72B8DA3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970" w:type="dxa"/>
            <w:tcBorders>
              <w:top w:val="single" w:color="auto" w:sz="4" w:space="0"/>
              <w:left w:val="single" w:color="000000" w:sz="4" w:space="0"/>
              <w:bottom w:val="single" w:color="auto" w:sz="4" w:space="0"/>
              <w:right w:val="single" w:color="000000" w:sz="4" w:space="0"/>
            </w:tcBorders>
            <w:vAlign w:val="center"/>
          </w:tcPr>
          <w:p w14:paraId="2985871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合格证</w:t>
            </w:r>
          </w:p>
        </w:tc>
        <w:tc>
          <w:tcPr>
            <w:tcW w:w="1590" w:type="dxa"/>
            <w:tcBorders>
              <w:top w:val="single" w:color="auto" w:sz="4" w:space="0"/>
              <w:left w:val="single" w:color="000000" w:sz="4" w:space="0"/>
              <w:bottom w:val="single" w:color="auto" w:sz="4" w:space="0"/>
              <w:right w:val="single" w:color="000000" w:sz="4" w:space="0"/>
            </w:tcBorders>
            <w:vAlign w:val="center"/>
          </w:tcPr>
          <w:p w14:paraId="5457EB5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6506EC89">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份</w:t>
            </w:r>
          </w:p>
        </w:tc>
      </w:tr>
      <w:tr w14:paraId="3D018D8E">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528E5CC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3970" w:type="dxa"/>
            <w:tcBorders>
              <w:top w:val="single" w:color="auto" w:sz="4" w:space="0"/>
              <w:left w:val="single" w:color="000000" w:sz="4" w:space="0"/>
              <w:bottom w:val="single" w:color="auto" w:sz="4" w:space="0"/>
              <w:right w:val="single" w:color="000000" w:sz="4" w:space="0"/>
            </w:tcBorders>
            <w:vAlign w:val="center"/>
          </w:tcPr>
          <w:p w14:paraId="7587D540">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电源线</w:t>
            </w:r>
          </w:p>
        </w:tc>
        <w:tc>
          <w:tcPr>
            <w:tcW w:w="1590" w:type="dxa"/>
            <w:tcBorders>
              <w:top w:val="single" w:color="auto" w:sz="4" w:space="0"/>
              <w:left w:val="single" w:color="000000" w:sz="4" w:space="0"/>
              <w:bottom w:val="single" w:color="auto" w:sz="4" w:space="0"/>
              <w:right w:val="single" w:color="000000" w:sz="4" w:space="0"/>
            </w:tcBorders>
            <w:vAlign w:val="center"/>
          </w:tcPr>
          <w:p w14:paraId="327047BF">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3186754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根</w:t>
            </w:r>
          </w:p>
        </w:tc>
      </w:tr>
      <w:tr w14:paraId="41C8EA7B">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44AAEC23">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5</w:t>
            </w:r>
          </w:p>
        </w:tc>
        <w:tc>
          <w:tcPr>
            <w:tcW w:w="3970" w:type="dxa"/>
            <w:tcBorders>
              <w:top w:val="single" w:color="auto" w:sz="4" w:space="0"/>
              <w:left w:val="single" w:color="000000" w:sz="4" w:space="0"/>
              <w:bottom w:val="single" w:color="000000" w:sz="4" w:space="0"/>
              <w:right w:val="single" w:color="000000" w:sz="4" w:space="0"/>
            </w:tcBorders>
            <w:vAlign w:val="center"/>
          </w:tcPr>
          <w:p w14:paraId="4895769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质保书</w:t>
            </w:r>
          </w:p>
        </w:tc>
        <w:tc>
          <w:tcPr>
            <w:tcW w:w="1590" w:type="dxa"/>
            <w:tcBorders>
              <w:top w:val="single" w:color="auto" w:sz="4" w:space="0"/>
              <w:left w:val="single" w:color="000000" w:sz="4" w:space="0"/>
              <w:bottom w:val="single" w:color="000000" w:sz="4" w:space="0"/>
              <w:right w:val="single" w:color="000000" w:sz="4" w:space="0"/>
            </w:tcBorders>
            <w:vAlign w:val="center"/>
          </w:tcPr>
          <w:p w14:paraId="2DB494C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7F6F181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份</w:t>
            </w:r>
          </w:p>
        </w:tc>
      </w:tr>
    </w:tbl>
    <w:p w14:paraId="69CBA7DF">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23、基因测序文库制备仪技术参数</w:t>
      </w:r>
      <w:r>
        <w:rPr>
          <w:rFonts w:hint="eastAsia" w:ascii="宋体" w:hAnsi="宋体" w:eastAsia="宋体" w:cs="宋体"/>
          <w:b/>
          <w:bCs/>
          <w:sz w:val="24"/>
          <w:highlight w:val="none"/>
        </w:rPr>
        <w:t>要求</w:t>
      </w:r>
    </w:p>
    <w:p w14:paraId="6C0D2C0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1、桌面式一体化工作站且仪器设备需获得国家药品监督管理局（NMPA）注册认证，可实现二代测序样本前处理“核酸提取+建库+质检”等功能，全流程自动化，无需中途添加试剂耗材。</w:t>
      </w:r>
    </w:p>
    <w:p w14:paraId="3F2DAFF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2、样本通量：单批次核酸提取和文库构建样本最大通量≥32样本。</w:t>
      </w:r>
    </w:p>
    <w:p w14:paraId="0AD9F84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防污染系统：设备采用封闭式工作空间，配备高效过滤器（过滤效率达99.99%，0.3μm）及紫外消毒装置（消杀剂量&gt;100,000μW·s/cm²），可杀灭细菌芽孢、病毒及繁殖体；同时通过易污染区域定向风道设计、提取区域物理隔离及单独新风系统，实现全链路防污染，确保实验环境洁净安全。</w:t>
      </w:r>
    </w:p>
    <w:p w14:paraId="2C084A3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4、内置独立核酸提取模块（磁珠法）：采用与建库区物理隔离设计及独立气流控制系统，双重保障，有效杜绝交叉污染。</w:t>
      </w:r>
    </w:p>
    <w:p w14:paraId="7B405BC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5、机械臂系统：系统集成双移液臂（主臂≥32通道，支持多种体积精准移液）、共轴移板臂（优化空间）及独立移管臂（单管抓取转移）。三者协同实现高效、灵活的全流程自动化。</w:t>
      </w:r>
    </w:p>
    <w:p w14:paraId="131DBF6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6、支持多种样本类型：包括血浆、唾液、组织样本、细胞、FFPE、gDNA及WGA产物等。</w:t>
      </w:r>
    </w:p>
    <w:p w14:paraId="30ACB35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7、内置PCR模块：自动密封盖板（无需手动操作），无需外挂其他控制设备，PCR仪温度范围4～99℃ ，PCR仪温度准确性≤0.3℃。</w:t>
      </w:r>
      <w:r>
        <w:rPr>
          <w:rFonts w:hint="eastAsia" w:ascii="宋体" w:hAnsi="宋体" w:eastAsia="宋体" w:cs="宋体"/>
          <w:sz w:val="24"/>
          <w:highlight w:val="none"/>
        </w:rPr>
        <w:tab/>
      </w:r>
    </w:p>
    <w:p w14:paraId="33C717A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8、冷藏模块：具备低温制冷功能模块，确保试剂酶活性稳定，温度范围：4～8℃。</w:t>
      </w:r>
    </w:p>
    <w:p w14:paraId="410D76C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9、震荡模块：自带加热功能（常温～90℃），震荡速度0～2500r/min，高效混合磁珠等试剂。</w:t>
      </w:r>
    </w:p>
    <w:p w14:paraId="6056408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10、磁吸模块：环吸式磁力架，采用360°环形均匀磁场设计，同步适配96孔深孔板（≥2ml/孔）及PCR板（0.2ml圆孔），消除边缘磁力衰减；集成弹簧缓冲装置，有效吸收移液机械臂冲击力，保障孔板定位精度。</w:t>
      </w:r>
    </w:p>
    <w:p w14:paraId="13F549D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11、集成智能系统：一体化智能实验平台，集成≥8GB内存可伸缩触控屏，无需外接电脑。</w:t>
      </w:r>
    </w:p>
    <w:p w14:paraId="120F8DF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12、故障反馈与安全控制：集成开机自检及运行实时错误报警功能，有效规避试剂与样本损耗。</w:t>
      </w:r>
    </w:p>
    <w:p w14:paraId="76916C0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13、支持肿瘤、遗传病、病原体等多类型文库。</w:t>
      </w:r>
    </w:p>
    <w:p w14:paraId="7D15AA4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14、支持全流程任意步骤手动暂停异常处理，并精准续接至中断点继续实验；通过移液器单泵压力实时探测机制，主动防止气泡产生导致的移液失效。</w:t>
      </w:r>
    </w:p>
    <w:p w14:paraId="744BBB3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15、具备图形化引导、实时进程监控、数据追溯及自定义编程功能，支持独立灵活的实验操作与全流程跟踪。</w:t>
      </w:r>
    </w:p>
    <w:p w14:paraId="767BDDA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71C18D2E">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0DC371F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1431193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104745C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5206887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单位</w:t>
            </w:r>
          </w:p>
        </w:tc>
      </w:tr>
      <w:tr w14:paraId="037547CC">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62AEEF1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970" w:type="dxa"/>
            <w:tcBorders>
              <w:top w:val="single" w:color="auto" w:sz="4" w:space="0"/>
              <w:left w:val="single" w:color="000000" w:sz="4" w:space="0"/>
              <w:bottom w:val="single" w:color="auto" w:sz="4" w:space="0"/>
              <w:right w:val="single" w:color="000000" w:sz="4" w:space="0"/>
            </w:tcBorders>
            <w:vAlign w:val="center"/>
          </w:tcPr>
          <w:p w14:paraId="727C9F8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基因测序文库制备仪</w:t>
            </w:r>
          </w:p>
        </w:tc>
        <w:tc>
          <w:tcPr>
            <w:tcW w:w="1590" w:type="dxa"/>
            <w:tcBorders>
              <w:top w:val="single" w:color="auto" w:sz="4" w:space="0"/>
              <w:left w:val="single" w:color="000000" w:sz="4" w:space="0"/>
              <w:bottom w:val="single" w:color="auto" w:sz="4" w:space="0"/>
              <w:right w:val="single" w:color="000000" w:sz="4" w:space="0"/>
            </w:tcBorders>
            <w:vAlign w:val="center"/>
          </w:tcPr>
          <w:p w14:paraId="1695C1D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04576FF3">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r w14:paraId="5B8C3272">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3870A54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970" w:type="dxa"/>
            <w:tcBorders>
              <w:top w:val="single" w:color="auto" w:sz="4" w:space="0"/>
              <w:left w:val="single" w:color="000000" w:sz="4" w:space="0"/>
              <w:bottom w:val="single" w:color="auto" w:sz="4" w:space="0"/>
              <w:right w:val="single" w:color="000000" w:sz="4" w:space="0"/>
            </w:tcBorders>
            <w:vAlign w:val="center"/>
          </w:tcPr>
          <w:p w14:paraId="23E527A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说明书</w:t>
            </w:r>
          </w:p>
        </w:tc>
        <w:tc>
          <w:tcPr>
            <w:tcW w:w="1590" w:type="dxa"/>
            <w:tcBorders>
              <w:top w:val="single" w:color="auto" w:sz="4" w:space="0"/>
              <w:left w:val="single" w:color="000000" w:sz="4" w:space="0"/>
              <w:bottom w:val="single" w:color="auto" w:sz="4" w:space="0"/>
              <w:right w:val="single" w:color="000000" w:sz="4" w:space="0"/>
            </w:tcBorders>
            <w:vAlign w:val="center"/>
          </w:tcPr>
          <w:p w14:paraId="6D93E34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7781E45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r w14:paraId="0F6AA45F">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7066801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970" w:type="dxa"/>
            <w:tcBorders>
              <w:top w:val="single" w:color="auto" w:sz="4" w:space="0"/>
              <w:left w:val="single" w:color="000000" w:sz="4" w:space="0"/>
              <w:bottom w:val="single" w:color="000000" w:sz="4" w:space="0"/>
              <w:right w:val="single" w:color="000000" w:sz="4" w:space="0"/>
            </w:tcBorders>
            <w:vAlign w:val="center"/>
          </w:tcPr>
          <w:p w14:paraId="185AB1C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合格证</w:t>
            </w:r>
          </w:p>
        </w:tc>
        <w:tc>
          <w:tcPr>
            <w:tcW w:w="1590" w:type="dxa"/>
            <w:tcBorders>
              <w:top w:val="single" w:color="auto" w:sz="4" w:space="0"/>
              <w:left w:val="single" w:color="000000" w:sz="4" w:space="0"/>
              <w:bottom w:val="single" w:color="000000" w:sz="4" w:space="0"/>
              <w:right w:val="single" w:color="000000" w:sz="4" w:space="0"/>
            </w:tcBorders>
            <w:vAlign w:val="center"/>
          </w:tcPr>
          <w:p w14:paraId="6CBEBD3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6965031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bl>
    <w:p w14:paraId="1469EC3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24、核酸提纯及实时荧光分析仪技术参数</w:t>
      </w:r>
      <w:r>
        <w:rPr>
          <w:rFonts w:hint="eastAsia" w:ascii="宋体" w:hAnsi="宋体" w:eastAsia="宋体" w:cs="宋体"/>
          <w:b/>
          <w:bCs/>
          <w:sz w:val="24"/>
          <w:highlight w:val="none"/>
        </w:rPr>
        <w:t>要求</w:t>
      </w:r>
    </w:p>
    <w:p w14:paraId="5A1C70A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1、对样本进行自动加样、核酸提取、PCR体系构建及扩增检测一体化完成。</w:t>
      </w:r>
    </w:p>
    <w:p w14:paraId="6985DA1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2、检测方法：磁珠提取法及实时荧光定量PCR法。</w:t>
      </w:r>
    </w:p>
    <w:p w14:paraId="58DA6A0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▲3、一次性上样量≥60个，可以循环上样。</w:t>
      </w:r>
    </w:p>
    <w:p w14:paraId="6BD83D0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▲4、检测标本类型：血清、血浆、全血、痰液、拭子等。</w:t>
      </w:r>
    </w:p>
    <w:p w14:paraId="073DD30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5、检测模式：支持样本独立随来随检，有急诊检测模式。</w:t>
      </w:r>
    </w:p>
    <w:p w14:paraId="636BE61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6、扩增方式 ：独立单管PCR管扩增。</w:t>
      </w:r>
    </w:p>
    <w:p w14:paraId="0C5219E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▲7、密封方式：PCR管采用矿物油和管盖双重密封。</w:t>
      </w:r>
    </w:p>
    <w:p w14:paraId="66EE424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8、检测通量：可循环上样，≥200个样本检测/8h。</w:t>
      </w:r>
    </w:p>
    <w:p w14:paraId="573535C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9、进样模式：原始样本管直接进样。</w:t>
      </w:r>
    </w:p>
    <w:p w14:paraId="73AA3C5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10、首样时间：首个样本出结果时间≤110分钟。</w:t>
      </w:r>
    </w:p>
    <w:p w14:paraId="4F8D847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11、荧光通道：≥3个。</w:t>
      </w:r>
    </w:p>
    <w:p w14:paraId="2A4227E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▲12、扩增试剂位：具备冷藏系统，可保证扩增试剂2～8℃保存，扩增试剂位置≥15个。</w:t>
      </w:r>
    </w:p>
    <w:p w14:paraId="2C42926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213、扩增模块：≥4个独立升降温的扩增检测模块。</w:t>
      </w:r>
    </w:p>
    <w:p w14:paraId="19B82D7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▲14、扩增试剂类型：液体试剂，无需复溶。</w:t>
      </w:r>
    </w:p>
    <w:p w14:paraId="7212918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15、试剂及耗材供给：可不停机随时添加。</w:t>
      </w:r>
    </w:p>
    <w:p w14:paraId="304B048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16、移液精度：100μl：准确性±5%，重复性≤2%，10μl：准确性±5%，重复性≤4%。</w:t>
      </w:r>
    </w:p>
    <w:p w14:paraId="3886995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17、生物安全：封闭式的核酸提取模块，降低提取过程中气溶胶溢出；具备全内排层流净化通风系统以及紫外消毒功能。</w:t>
      </w:r>
    </w:p>
    <w:p w14:paraId="6424F8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▲18、生物安全：提取完成后仪器自动进行固体废物和液体废物分离，减少生物危害性。</w:t>
      </w:r>
    </w:p>
    <w:p w14:paraId="43F6D37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19、LIS连接：双向LIS连接，无需手动扫描样本条码，自动识别样本管检测项目，可自动报告检测结果。</w:t>
      </w:r>
    </w:p>
    <w:p w14:paraId="19A9FD2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20、可开展项目甲型流感病毒、乙型流感病毒、呼吸道合胞病毒、肺炎支原体、肺炎衣原体、腺病毒、人副流感病毒等多种呼吸道病原体，乙型肝炎病毒、丙型肝炎病毒。</w:t>
      </w:r>
    </w:p>
    <w:p w14:paraId="477BC23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21、可拓展人偏肺病毒、金黄色葡萄球菌、耐甲氧西林金黄色葡萄球菌、肺炎克雷伯菌、铜绿假单胞菌、流感嗜血杆菌、大肠埃希菌、肺炎链球菌、嗜肺军团菌、卡他莫拉菌、鲍曼不动杆菌、嗜麦芽窄食单胞菌、洋葱伯克霍尔德菌等呼吸道病原体；B族链球菌；单纯疱疹病毒1+2分型；人CYP2C19基因、人ALDH2基因等检测项目。</w:t>
      </w:r>
    </w:p>
    <w:p w14:paraId="5E91716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22、整机系统获得NMPA医疗器械III类注册证。</w:t>
      </w:r>
    </w:p>
    <w:p w14:paraId="744F580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1E86F041">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38BD03D3">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18862140">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0D699AE0">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75C0D18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单位</w:t>
            </w:r>
          </w:p>
        </w:tc>
      </w:tr>
      <w:tr w14:paraId="5F9BC08F">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7D1F726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970" w:type="dxa"/>
            <w:tcBorders>
              <w:top w:val="single" w:color="auto" w:sz="4" w:space="0"/>
              <w:left w:val="single" w:color="000000" w:sz="4" w:space="0"/>
              <w:bottom w:val="single" w:color="auto" w:sz="4" w:space="0"/>
              <w:right w:val="single" w:color="000000" w:sz="4" w:space="0"/>
            </w:tcBorders>
            <w:vAlign w:val="center"/>
          </w:tcPr>
          <w:p w14:paraId="4F1D82B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核酸提纯及实时荧光分析仪</w:t>
            </w:r>
          </w:p>
        </w:tc>
        <w:tc>
          <w:tcPr>
            <w:tcW w:w="1590" w:type="dxa"/>
            <w:tcBorders>
              <w:top w:val="single" w:color="auto" w:sz="4" w:space="0"/>
              <w:left w:val="single" w:color="000000" w:sz="4" w:space="0"/>
              <w:bottom w:val="single" w:color="auto" w:sz="4" w:space="0"/>
              <w:right w:val="single" w:color="000000" w:sz="4" w:space="0"/>
            </w:tcBorders>
            <w:vAlign w:val="center"/>
          </w:tcPr>
          <w:p w14:paraId="1C09993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4BA4556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r w14:paraId="5ED9E3D7">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4607D7D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970" w:type="dxa"/>
            <w:tcBorders>
              <w:top w:val="single" w:color="auto" w:sz="4" w:space="0"/>
              <w:left w:val="single" w:color="000000" w:sz="4" w:space="0"/>
              <w:bottom w:val="single" w:color="auto" w:sz="4" w:space="0"/>
              <w:right w:val="single" w:color="000000" w:sz="4" w:space="0"/>
            </w:tcBorders>
            <w:vAlign w:val="center"/>
          </w:tcPr>
          <w:p w14:paraId="7BC84AD7">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说明书</w:t>
            </w:r>
          </w:p>
        </w:tc>
        <w:tc>
          <w:tcPr>
            <w:tcW w:w="1590" w:type="dxa"/>
            <w:tcBorders>
              <w:top w:val="single" w:color="auto" w:sz="4" w:space="0"/>
              <w:left w:val="single" w:color="000000" w:sz="4" w:space="0"/>
              <w:bottom w:val="single" w:color="auto" w:sz="4" w:space="0"/>
              <w:right w:val="single" w:color="000000" w:sz="4" w:space="0"/>
            </w:tcBorders>
            <w:vAlign w:val="center"/>
          </w:tcPr>
          <w:p w14:paraId="497EA299">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7FBEAAB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r w14:paraId="510847EC">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1212B0EA">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970" w:type="dxa"/>
            <w:tcBorders>
              <w:top w:val="single" w:color="auto" w:sz="4" w:space="0"/>
              <w:left w:val="single" w:color="000000" w:sz="4" w:space="0"/>
              <w:bottom w:val="single" w:color="auto" w:sz="4" w:space="0"/>
              <w:right w:val="single" w:color="000000" w:sz="4" w:space="0"/>
            </w:tcBorders>
            <w:vAlign w:val="center"/>
          </w:tcPr>
          <w:p w14:paraId="2C57508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电脑</w:t>
            </w:r>
          </w:p>
        </w:tc>
        <w:tc>
          <w:tcPr>
            <w:tcW w:w="1590" w:type="dxa"/>
            <w:tcBorders>
              <w:top w:val="single" w:color="auto" w:sz="4" w:space="0"/>
              <w:left w:val="single" w:color="000000" w:sz="4" w:space="0"/>
              <w:bottom w:val="single" w:color="auto" w:sz="4" w:space="0"/>
              <w:right w:val="single" w:color="000000" w:sz="4" w:space="0"/>
            </w:tcBorders>
            <w:vAlign w:val="center"/>
          </w:tcPr>
          <w:p w14:paraId="27C8942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0B749C7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套</w:t>
            </w:r>
          </w:p>
        </w:tc>
      </w:tr>
      <w:tr w14:paraId="2DB451A4">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46A91E6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3970" w:type="dxa"/>
            <w:tcBorders>
              <w:top w:val="single" w:color="auto" w:sz="4" w:space="0"/>
              <w:left w:val="single" w:color="000000" w:sz="4" w:space="0"/>
              <w:bottom w:val="single" w:color="000000" w:sz="4" w:space="0"/>
              <w:right w:val="single" w:color="000000" w:sz="4" w:space="0"/>
            </w:tcBorders>
            <w:vAlign w:val="center"/>
          </w:tcPr>
          <w:p w14:paraId="4FC219E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手持条码扫描器</w:t>
            </w:r>
          </w:p>
        </w:tc>
        <w:tc>
          <w:tcPr>
            <w:tcW w:w="1590" w:type="dxa"/>
            <w:tcBorders>
              <w:top w:val="single" w:color="auto" w:sz="4" w:space="0"/>
              <w:left w:val="single" w:color="000000" w:sz="4" w:space="0"/>
              <w:bottom w:val="single" w:color="000000" w:sz="4" w:space="0"/>
              <w:right w:val="single" w:color="000000" w:sz="4" w:space="0"/>
            </w:tcBorders>
            <w:vAlign w:val="center"/>
          </w:tcPr>
          <w:p w14:paraId="129BF835">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2C721CD3">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bl>
    <w:p w14:paraId="72DD04E3">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25、组织研磨低温增质仪技术参数</w:t>
      </w:r>
      <w:r>
        <w:rPr>
          <w:rFonts w:hint="eastAsia" w:ascii="宋体" w:hAnsi="宋体" w:eastAsia="宋体" w:cs="宋体"/>
          <w:b/>
          <w:bCs/>
          <w:sz w:val="24"/>
          <w:highlight w:val="none"/>
        </w:rPr>
        <w:t>要求</w:t>
      </w:r>
    </w:p>
    <w:p w14:paraId="51F6098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1、样本通量 ：1～24个样本/次，通量灵活可调。</w:t>
      </w:r>
    </w:p>
    <w:p w14:paraId="29B15D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2、运动模式  三维∞字高速振动模式，均质更彻底。</w:t>
      </w:r>
    </w:p>
    <w:p w14:paraId="3D2B297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3、研磨速度 ： 2430～4260 rpm可调。</w:t>
      </w:r>
    </w:p>
    <w:p w14:paraId="454D367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4、单次研磨时间 ：30～60秒完成样本均质 ；</w:t>
      </w:r>
    </w:p>
    <w:p w14:paraId="268A922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5、制冷方式 ： 内置压缩机主动制冷，无需液氮或干冰。</w:t>
      </w:r>
    </w:p>
    <w:p w14:paraId="26A3936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6、工作温度 ： 最低≤-10℃，有效防止核酸降解和蛋白变性。</w:t>
      </w:r>
    </w:p>
    <w:p w14:paraId="1422F43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7、温度均匀性 ：上盖涡旋风扇设计，保证腔体内温度均匀。</w:t>
      </w:r>
    </w:p>
    <w:p w14:paraId="24C9E87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8、安全设计 ：上盖锁设计，且开盖自动停止运行机制。</w:t>
      </w:r>
    </w:p>
    <w:p w14:paraId="1BFD6FF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9、适用样本类型： 植物组织、动物组织、微生物（含革兰氏阳性菌）、土壤、粪便等。</w:t>
      </w:r>
    </w:p>
    <w:p w14:paraId="0A2AAED6">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26、恒温震荡金属浴技术参数</w:t>
      </w:r>
      <w:r>
        <w:rPr>
          <w:rFonts w:hint="eastAsia" w:ascii="宋体" w:hAnsi="宋体" w:eastAsia="宋体" w:cs="宋体"/>
          <w:b/>
          <w:bCs/>
          <w:sz w:val="24"/>
          <w:highlight w:val="none"/>
        </w:rPr>
        <w:t>要求</w:t>
      </w:r>
    </w:p>
    <w:p w14:paraId="03F955C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1、具有断电恢复功能，断电恢复后仪器可按原设定程序自动恢复运行。</w:t>
      </w:r>
    </w:p>
    <w:p w14:paraId="2DD0471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2、具备定时功能，0～100小时范围内任意设定培养时间。</w:t>
      </w:r>
    </w:p>
    <w:p w14:paraId="2E3789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3、具有多种标准样品模块可供选择，更换方便。</w:t>
      </w:r>
    </w:p>
    <w:p w14:paraId="783FCFA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4、温度校准功能及短振荡点动功能。</w:t>
      </w:r>
    </w:p>
    <w:p w14:paraId="211633B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5、具备多重安全保护功能，符合NMPA或CE 安全标准。</w:t>
      </w:r>
    </w:p>
    <w:p w14:paraId="45F0498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6、技术参数：温度控制范围：室温+5℃～100℃；温度均匀性 ≤0.5℃；定时时间 1min～99h59min。</w:t>
      </w:r>
    </w:p>
    <w:p w14:paraId="351020F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7、控温精度 ±0.5℃；显示精度 ±0.1℃，振荡转速 200～1500rpm*，加热时间(25-100℃) ≤12min。</w:t>
      </w:r>
    </w:p>
    <w:p w14:paraId="5200A475">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27、冷冻高速离心机技术参数</w:t>
      </w:r>
      <w:r>
        <w:rPr>
          <w:rFonts w:hint="eastAsia" w:ascii="宋体" w:hAnsi="宋体" w:eastAsia="宋体" w:cs="宋体"/>
          <w:b/>
          <w:bCs/>
          <w:sz w:val="24"/>
          <w:highlight w:val="none"/>
        </w:rPr>
        <w:t>要求</w:t>
      </w:r>
    </w:p>
    <w:p w14:paraId="0FDB14A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▲1、固定角转最大转速≥14000 rpm，最大相对离心力（rcf）≥20900×g。</w:t>
      </w:r>
    </w:p>
    <w:p w14:paraId="0D552D5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 xml:space="preserve">2水平转子最大相对离心力（rcf）≥4500×g（5000 rpm）。 </w:t>
      </w:r>
    </w:p>
    <w:p w14:paraId="5D85F3C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3噪音水平最低＜54 dB(A) )(可提供第三方文件证明)。</w:t>
      </w:r>
    </w:p>
    <w:p w14:paraId="6B679FF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4温度设定范围：–9 ℃～40 ℃。</w:t>
      </w:r>
    </w:p>
    <w:p w14:paraId="631A130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5生物安全性保证：设备可选配≥5个转子，具有符合医院生物安全要求的气密性配件，且转子、转子盖、吊篮、吊篮盖的气密性根据IEC61010-2-020标准的附录AA（或其他等同标准）进行检测。</w:t>
      </w:r>
    </w:p>
    <w:p w14:paraId="7C8E2EB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6转子材质：所有转子均为铝合金材质转子，导热性好，保护温度敏感性样品。</w:t>
      </w:r>
    </w:p>
    <w:p w14:paraId="54225B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 xml:space="preserve">7最快升降速：升速≤14 s，降速≤14 s。  </w:t>
      </w:r>
    </w:p>
    <w:p w14:paraId="3A63B9A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▲8、冷凝水盘，避免水珠积聚，防止腐蚀离心机腔、损坏马达。</w:t>
      </w:r>
    </w:p>
    <w:p w14:paraId="56D9F417">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28、全自动核酸提取仪1技术参数</w:t>
      </w:r>
      <w:r>
        <w:rPr>
          <w:rFonts w:hint="eastAsia" w:ascii="宋体" w:hAnsi="宋体" w:eastAsia="宋体" w:cs="宋体"/>
          <w:b/>
          <w:bCs/>
          <w:sz w:val="24"/>
          <w:highlight w:val="none"/>
        </w:rPr>
        <w:t>要求</w:t>
      </w:r>
    </w:p>
    <w:p w14:paraId="67C73F7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1、处理能力:检测通量一次同时最大上机检测样本的检测能力≥32份。</w:t>
      </w:r>
    </w:p>
    <w:p w14:paraId="44354EC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2、处理体积:20-1000ul。</w:t>
      </w:r>
    </w:p>
    <w:p w14:paraId="7839B0B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3、混合方式:旋转混匀或其他混匀方式，支持多速度多幅度可调。</w:t>
      </w:r>
    </w:p>
    <w:p w14:paraId="3973FD8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4、运行噪音:运行最大噪音不超过80分贝。</w:t>
      </w:r>
    </w:p>
    <w:p w14:paraId="2B16370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5、程序管理:内建模式程序，可自由灵活新建、编辑、应用及删除程序。</w:t>
      </w:r>
    </w:p>
    <w:p w14:paraId="53AD583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326BF3C6">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6EBBD7CD">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6E823850">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7CDE876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317111AD">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单位</w:t>
            </w:r>
          </w:p>
        </w:tc>
      </w:tr>
      <w:tr w14:paraId="4617D2CF">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1AFE39E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970" w:type="dxa"/>
            <w:tcBorders>
              <w:top w:val="single" w:color="auto" w:sz="4" w:space="0"/>
              <w:left w:val="single" w:color="000000" w:sz="4" w:space="0"/>
              <w:bottom w:val="single" w:color="auto" w:sz="4" w:space="0"/>
              <w:right w:val="single" w:color="000000" w:sz="4" w:space="0"/>
            </w:tcBorders>
            <w:vAlign w:val="center"/>
          </w:tcPr>
          <w:p w14:paraId="7579D9A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全自动核酸提取仪</w:t>
            </w:r>
          </w:p>
        </w:tc>
        <w:tc>
          <w:tcPr>
            <w:tcW w:w="1590" w:type="dxa"/>
            <w:tcBorders>
              <w:top w:val="single" w:color="auto" w:sz="4" w:space="0"/>
              <w:left w:val="single" w:color="000000" w:sz="4" w:space="0"/>
              <w:bottom w:val="single" w:color="auto" w:sz="4" w:space="0"/>
              <w:right w:val="single" w:color="000000" w:sz="4" w:space="0"/>
            </w:tcBorders>
            <w:vAlign w:val="center"/>
          </w:tcPr>
          <w:p w14:paraId="5F4B8160">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32D6B057">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r w14:paraId="5DCFE4AD">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2BC0C33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970" w:type="dxa"/>
            <w:tcBorders>
              <w:top w:val="single" w:color="auto" w:sz="4" w:space="0"/>
              <w:left w:val="single" w:color="000000" w:sz="4" w:space="0"/>
              <w:bottom w:val="single" w:color="000000" w:sz="4" w:space="0"/>
              <w:right w:val="single" w:color="000000" w:sz="4" w:space="0"/>
            </w:tcBorders>
            <w:vAlign w:val="center"/>
          </w:tcPr>
          <w:p w14:paraId="109FC30D">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说明书</w:t>
            </w:r>
          </w:p>
        </w:tc>
        <w:tc>
          <w:tcPr>
            <w:tcW w:w="1590" w:type="dxa"/>
            <w:tcBorders>
              <w:top w:val="single" w:color="auto" w:sz="4" w:space="0"/>
              <w:left w:val="single" w:color="000000" w:sz="4" w:space="0"/>
              <w:bottom w:val="single" w:color="000000" w:sz="4" w:space="0"/>
              <w:right w:val="single" w:color="000000" w:sz="4" w:space="0"/>
            </w:tcBorders>
            <w:vAlign w:val="center"/>
          </w:tcPr>
          <w:p w14:paraId="35139AD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48905BB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bl>
    <w:p w14:paraId="1DF1C299">
      <w:pPr>
        <w:rPr>
          <w:rFonts w:hint="eastAsia" w:ascii="宋体" w:hAnsi="宋体" w:eastAsia="宋体" w:cs="宋体"/>
          <w:b/>
          <w:bCs/>
          <w:szCs w:val="21"/>
          <w:highlight w:val="none"/>
        </w:rPr>
      </w:pPr>
    </w:p>
    <w:p w14:paraId="354EBC55">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29、全自动核酸提取仪2技术参数</w:t>
      </w:r>
      <w:r>
        <w:rPr>
          <w:rFonts w:hint="eastAsia" w:ascii="宋体" w:hAnsi="宋体" w:eastAsia="宋体" w:cs="宋体"/>
          <w:b/>
          <w:bCs/>
          <w:sz w:val="24"/>
          <w:highlight w:val="none"/>
        </w:rPr>
        <w:t>要求</w:t>
      </w:r>
    </w:p>
    <w:p w14:paraId="740EB9C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▲1、样本通量：至少1-96，处理样本体积：10-1000 μL。</w:t>
      </w:r>
    </w:p>
    <w:p w14:paraId="01D1E59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2裂解温度：30℃-120℃；洗脱温度：4℃-120℃，具有制冷功能；模块工位：≥6。</w:t>
      </w:r>
    </w:p>
    <w:p w14:paraId="7AF259B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▲3、样本转移方式：采用整板位提取模块设计，96个样本可同时转移，保证实验稳定性和均一性，提取时间：≤9min/批。</w:t>
      </w:r>
    </w:p>
    <w:p w14:paraId="09C67AE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4、温控方式：深孔板底部全包裹加热，采用自主开模的耗材，提升热传导速度，可提微量核酸。</w:t>
      </w:r>
    </w:p>
    <w:p w14:paraId="50DD73C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5、磁通量：≥5000 GS；磁珠吸附模式：至少具备普通/强力/循环3种吸附模式，其中强力吸附模式可保证洗脱步骤在洗脱体积很小的情况下，洗脱液依旧能够覆盖全部磁珠，可用于解决微量或低浓度样本。</w:t>
      </w:r>
    </w:p>
    <w:p w14:paraId="206EE55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6、磁珠回收率：≥99%；提纯孔间差：CV＜3% 。</w:t>
      </w:r>
    </w:p>
    <w:p w14:paraId="5BA25C0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7、污染控制：内置紫外灭菌模块，并可设置自动关闭时长。具备 HEPA 高效过滤系统；防滴落功能：配备防滴落板，防止交叉污染；开门保护功能：实验中打开舱门，仪器自动停止实验，防止污染及安全问题。</w:t>
      </w:r>
    </w:p>
    <w:p w14:paraId="22C8691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8、提醒系统：开机自检、故障报警、实验结束等具有声音提示。</w:t>
      </w:r>
    </w:p>
    <w:p w14:paraId="02797A7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配置要求：</w:t>
      </w:r>
    </w:p>
    <w:tbl>
      <w:tblPr>
        <w:tblStyle w:val="8"/>
        <w:tblW w:w="8180" w:type="dxa"/>
        <w:tblInd w:w="66" w:type="dxa"/>
        <w:tblLayout w:type="autofit"/>
        <w:tblCellMar>
          <w:top w:w="0" w:type="dxa"/>
          <w:left w:w="108" w:type="dxa"/>
          <w:bottom w:w="0" w:type="dxa"/>
          <w:right w:w="108" w:type="dxa"/>
        </w:tblCellMar>
      </w:tblPr>
      <w:tblGrid>
        <w:gridCol w:w="1070"/>
        <w:gridCol w:w="3970"/>
        <w:gridCol w:w="1590"/>
        <w:gridCol w:w="1550"/>
      </w:tblGrid>
      <w:tr w14:paraId="1D7B6E5C">
        <w:tblPrEx>
          <w:tblCellMar>
            <w:top w:w="0" w:type="dxa"/>
            <w:left w:w="108" w:type="dxa"/>
            <w:bottom w:w="0" w:type="dxa"/>
            <w:right w:w="108" w:type="dxa"/>
          </w:tblCellMar>
        </w:tblPrEx>
        <w:trPr>
          <w:trHeight w:val="440" w:hRule="atLeast"/>
        </w:trPr>
        <w:tc>
          <w:tcPr>
            <w:tcW w:w="1070" w:type="dxa"/>
            <w:tcBorders>
              <w:top w:val="single" w:color="auto" w:sz="4" w:space="0"/>
              <w:left w:val="single" w:color="auto" w:sz="4" w:space="0"/>
              <w:bottom w:val="single" w:color="auto" w:sz="4" w:space="0"/>
              <w:right w:val="single" w:color="auto" w:sz="4" w:space="0"/>
            </w:tcBorders>
            <w:vAlign w:val="center"/>
          </w:tcPr>
          <w:p w14:paraId="0204F2A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3970" w:type="dxa"/>
            <w:tcBorders>
              <w:top w:val="single" w:color="auto" w:sz="4" w:space="0"/>
              <w:left w:val="single" w:color="auto" w:sz="4" w:space="0"/>
              <w:bottom w:val="single" w:color="auto" w:sz="4" w:space="0"/>
              <w:right w:val="single" w:color="auto" w:sz="4" w:space="0"/>
            </w:tcBorders>
            <w:vAlign w:val="center"/>
          </w:tcPr>
          <w:p w14:paraId="1B94A14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配置名称</w:t>
            </w:r>
          </w:p>
        </w:tc>
        <w:tc>
          <w:tcPr>
            <w:tcW w:w="1590" w:type="dxa"/>
            <w:tcBorders>
              <w:top w:val="single" w:color="auto" w:sz="4" w:space="0"/>
              <w:left w:val="single" w:color="auto" w:sz="4" w:space="0"/>
              <w:bottom w:val="single" w:color="auto" w:sz="4" w:space="0"/>
              <w:right w:val="single" w:color="auto" w:sz="4" w:space="0"/>
            </w:tcBorders>
            <w:vAlign w:val="center"/>
          </w:tcPr>
          <w:p w14:paraId="3AD4E80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数量</w:t>
            </w:r>
          </w:p>
        </w:tc>
        <w:tc>
          <w:tcPr>
            <w:tcW w:w="1550" w:type="dxa"/>
            <w:tcBorders>
              <w:top w:val="single" w:color="auto" w:sz="4" w:space="0"/>
              <w:left w:val="single" w:color="auto" w:sz="4" w:space="0"/>
              <w:bottom w:val="single" w:color="auto" w:sz="4" w:space="0"/>
              <w:right w:val="single" w:color="auto" w:sz="4" w:space="0"/>
            </w:tcBorders>
            <w:vAlign w:val="center"/>
          </w:tcPr>
          <w:p w14:paraId="49745F82">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单位</w:t>
            </w:r>
          </w:p>
        </w:tc>
      </w:tr>
      <w:tr w14:paraId="4039E596">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234B0F03">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3970" w:type="dxa"/>
            <w:tcBorders>
              <w:top w:val="single" w:color="auto" w:sz="4" w:space="0"/>
              <w:left w:val="single" w:color="000000" w:sz="4" w:space="0"/>
              <w:bottom w:val="single" w:color="auto" w:sz="4" w:space="0"/>
              <w:right w:val="single" w:color="000000" w:sz="4" w:space="0"/>
            </w:tcBorders>
            <w:vAlign w:val="center"/>
          </w:tcPr>
          <w:p w14:paraId="4C9D5FC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全自动核酸提取仪</w:t>
            </w:r>
          </w:p>
        </w:tc>
        <w:tc>
          <w:tcPr>
            <w:tcW w:w="1590" w:type="dxa"/>
            <w:tcBorders>
              <w:top w:val="single" w:color="auto" w:sz="4" w:space="0"/>
              <w:left w:val="single" w:color="000000" w:sz="4" w:space="0"/>
              <w:bottom w:val="single" w:color="auto" w:sz="4" w:space="0"/>
              <w:right w:val="single" w:color="000000" w:sz="4" w:space="0"/>
            </w:tcBorders>
            <w:vAlign w:val="center"/>
          </w:tcPr>
          <w:p w14:paraId="6906C1B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784A6C58">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台</w:t>
            </w:r>
          </w:p>
        </w:tc>
      </w:tr>
      <w:tr w14:paraId="18DA51FE">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auto" w:sz="4" w:space="0"/>
              <w:right w:val="single" w:color="000000" w:sz="4" w:space="0"/>
            </w:tcBorders>
            <w:noWrap/>
            <w:vAlign w:val="center"/>
          </w:tcPr>
          <w:p w14:paraId="77D6212E">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2</w:t>
            </w:r>
          </w:p>
        </w:tc>
        <w:tc>
          <w:tcPr>
            <w:tcW w:w="3970" w:type="dxa"/>
            <w:tcBorders>
              <w:top w:val="single" w:color="auto" w:sz="4" w:space="0"/>
              <w:left w:val="single" w:color="000000" w:sz="4" w:space="0"/>
              <w:bottom w:val="single" w:color="auto" w:sz="4" w:space="0"/>
              <w:right w:val="single" w:color="000000" w:sz="4" w:space="0"/>
            </w:tcBorders>
            <w:vAlign w:val="center"/>
          </w:tcPr>
          <w:p w14:paraId="6B355ED7">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说明书</w:t>
            </w:r>
          </w:p>
        </w:tc>
        <w:tc>
          <w:tcPr>
            <w:tcW w:w="1590" w:type="dxa"/>
            <w:tcBorders>
              <w:top w:val="single" w:color="auto" w:sz="4" w:space="0"/>
              <w:left w:val="single" w:color="000000" w:sz="4" w:space="0"/>
              <w:bottom w:val="single" w:color="auto" w:sz="4" w:space="0"/>
              <w:right w:val="single" w:color="000000" w:sz="4" w:space="0"/>
            </w:tcBorders>
            <w:vAlign w:val="center"/>
          </w:tcPr>
          <w:p w14:paraId="0EA6D456">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auto" w:sz="4" w:space="0"/>
              <w:right w:val="single" w:color="000000" w:sz="4" w:space="0"/>
            </w:tcBorders>
            <w:vAlign w:val="center"/>
          </w:tcPr>
          <w:p w14:paraId="253D9B14">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本</w:t>
            </w:r>
          </w:p>
        </w:tc>
      </w:tr>
      <w:tr w14:paraId="20EBFACE">
        <w:tblPrEx>
          <w:tblCellMar>
            <w:top w:w="0" w:type="dxa"/>
            <w:left w:w="108" w:type="dxa"/>
            <w:bottom w:w="0" w:type="dxa"/>
            <w:right w:w="108" w:type="dxa"/>
          </w:tblCellMar>
        </w:tblPrEx>
        <w:trPr>
          <w:trHeight w:val="440" w:hRule="atLeast"/>
        </w:trPr>
        <w:tc>
          <w:tcPr>
            <w:tcW w:w="1070" w:type="dxa"/>
            <w:tcBorders>
              <w:top w:val="single" w:color="auto" w:sz="4" w:space="0"/>
              <w:left w:val="single" w:color="000000" w:sz="4" w:space="0"/>
              <w:bottom w:val="single" w:color="000000" w:sz="4" w:space="0"/>
              <w:right w:val="single" w:color="000000" w:sz="4" w:space="0"/>
            </w:tcBorders>
            <w:noWrap/>
            <w:vAlign w:val="center"/>
          </w:tcPr>
          <w:p w14:paraId="26C6E30F">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3</w:t>
            </w:r>
          </w:p>
        </w:tc>
        <w:tc>
          <w:tcPr>
            <w:tcW w:w="3970" w:type="dxa"/>
            <w:tcBorders>
              <w:top w:val="single" w:color="auto" w:sz="4" w:space="0"/>
              <w:left w:val="single" w:color="000000" w:sz="4" w:space="0"/>
              <w:bottom w:val="single" w:color="000000" w:sz="4" w:space="0"/>
              <w:right w:val="single" w:color="000000" w:sz="4" w:space="0"/>
            </w:tcBorders>
            <w:vAlign w:val="center"/>
          </w:tcPr>
          <w:p w14:paraId="4E9BA051">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电源线</w:t>
            </w:r>
          </w:p>
        </w:tc>
        <w:tc>
          <w:tcPr>
            <w:tcW w:w="1590" w:type="dxa"/>
            <w:tcBorders>
              <w:top w:val="single" w:color="auto" w:sz="4" w:space="0"/>
              <w:left w:val="single" w:color="000000" w:sz="4" w:space="0"/>
              <w:bottom w:val="single" w:color="000000" w:sz="4" w:space="0"/>
              <w:right w:val="single" w:color="000000" w:sz="4" w:space="0"/>
            </w:tcBorders>
            <w:vAlign w:val="center"/>
          </w:tcPr>
          <w:p w14:paraId="770D879B">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1</w:t>
            </w:r>
          </w:p>
        </w:tc>
        <w:tc>
          <w:tcPr>
            <w:tcW w:w="1550" w:type="dxa"/>
            <w:tcBorders>
              <w:top w:val="single" w:color="auto" w:sz="4" w:space="0"/>
              <w:left w:val="single" w:color="000000" w:sz="4" w:space="0"/>
              <w:bottom w:val="single" w:color="000000" w:sz="4" w:space="0"/>
              <w:right w:val="single" w:color="000000" w:sz="4" w:space="0"/>
            </w:tcBorders>
            <w:vAlign w:val="center"/>
          </w:tcPr>
          <w:p w14:paraId="7C8CE75C">
            <w:pPr>
              <w:snapToGrid w:val="0"/>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根</w:t>
            </w:r>
          </w:p>
        </w:tc>
      </w:tr>
    </w:tbl>
    <w:p w14:paraId="2845AA3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30、冷冻离心机技术参数</w:t>
      </w:r>
      <w:r>
        <w:rPr>
          <w:rFonts w:hint="eastAsia" w:ascii="宋体" w:hAnsi="宋体" w:eastAsia="宋体" w:cs="宋体"/>
          <w:b/>
          <w:bCs/>
          <w:sz w:val="24"/>
          <w:highlight w:val="none"/>
        </w:rPr>
        <w:t>要求</w:t>
      </w:r>
    </w:p>
    <w:p w14:paraId="7B379E0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1、具备≥24*1.5/2ml气密性角转子，最大相对离心力（rcf）≥21000 × g（≥15000 rpm）。</w:t>
      </w:r>
    </w:p>
    <w:p w14:paraId="412460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2、应满足静音运行，噪音水平最低＜54 dB(A)。</w:t>
      </w:r>
    </w:p>
    <w:p w14:paraId="68282A3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▲3、具有离心柱转子，PTFE涂层转子，10x5mL转子，96x0.2mL PCR（转速≥6000 rpm）。</w:t>
      </w:r>
    </w:p>
    <w:p w14:paraId="6F72D3D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4、可满足0.2-5mL 离心管，冻存管，HPLC管，PCR单管/8联管的水平、定角离心</w:t>
      </w:r>
    </w:p>
    <w:p w14:paraId="609712B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5、可选择转子数量≥6个</w:t>
      </w:r>
    </w:p>
    <w:p w14:paraId="79A15D7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6、温度设定范围：–10 ℃～40 ℃，高效压缩机控制技术，优化制冷性能，无需样品即可快速使转子腔（包括转子和适配器）达到设定温度，室温降到4℃≤8分钟。</w:t>
      </w:r>
    </w:p>
    <w:p w14:paraId="147F4B7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7、转子具备快速锁定转子盖，≤旋转1/4圈即可快速、可靠地锁紧或打开转子，避免因长时间低温离心机后，盖子无法及时打开的情况。</w:t>
      </w:r>
    </w:p>
    <w:p w14:paraId="6A5882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8、内置冷凝水槽，避免水珠积聚，防止腐蚀。</w:t>
      </w:r>
    </w:p>
    <w:p w14:paraId="32C0C423">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31、涡旋混匀器技术参数</w:t>
      </w:r>
      <w:r>
        <w:rPr>
          <w:rFonts w:hint="eastAsia" w:ascii="宋体" w:hAnsi="宋体" w:eastAsia="宋体" w:cs="宋体"/>
          <w:b/>
          <w:bCs/>
          <w:sz w:val="24"/>
          <w:highlight w:val="none"/>
        </w:rPr>
        <w:t>要求</w:t>
      </w:r>
    </w:p>
    <w:p w14:paraId="79194AA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1、混合方式：高速旋涡状形式快速混合，混合速度快、均匀。</w:t>
      </w:r>
    </w:p>
    <w:p w14:paraId="7221A3A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2、混合类型：适用于液液、液固、固固（粉末）混合。</w:t>
      </w:r>
    </w:p>
    <w:p w14:paraId="5F2D3B2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3、功能集成：集连续、点振、调速、平板型、碗型等所有功能于一体。</w:t>
      </w:r>
    </w:p>
    <w:p w14:paraId="584DB9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4、噪音控制：结构简单可靠，体积小，耗电省，噪音低。</w:t>
      </w:r>
    </w:p>
    <w:p w14:paraId="661D235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5、防污染：无需搅拌或添加磁性元件，避免被混物质受外界污染及磁场影响。</w:t>
      </w:r>
    </w:p>
    <w:p w14:paraId="34154BC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32、磁力架1技术参数</w:t>
      </w:r>
      <w:r>
        <w:rPr>
          <w:rFonts w:hint="eastAsia" w:ascii="宋体" w:hAnsi="宋体" w:eastAsia="宋体" w:cs="宋体"/>
          <w:b/>
          <w:bCs/>
          <w:sz w:val="24"/>
          <w:highlight w:val="none"/>
        </w:rPr>
        <w:t>要求</w:t>
      </w:r>
    </w:p>
    <w:p w14:paraId="5D1BF57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1、适配耗材:0.2mLPCR管、0.2mL八连管、0.2mLPCR板等。</w:t>
      </w:r>
    </w:p>
    <w:p w14:paraId="0D3BF31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2、孔位数目:104个独立磁力孔，一次可以处理1～104个样本。</w:t>
      </w:r>
    </w:p>
    <w:p w14:paraId="4FF2BDD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3、每个孔由独立磁力模块控制，每个孔的磁珠吸附相互独立。</w:t>
      </w:r>
    </w:p>
    <w:p w14:paraId="12DE369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33、高速离心机技术参数</w:t>
      </w:r>
      <w:r>
        <w:rPr>
          <w:rFonts w:hint="eastAsia" w:ascii="宋体" w:hAnsi="宋体" w:eastAsia="宋体" w:cs="宋体"/>
          <w:b/>
          <w:bCs/>
          <w:sz w:val="24"/>
          <w:highlight w:val="none"/>
        </w:rPr>
        <w:t>要求</w:t>
      </w:r>
    </w:p>
    <w:p w14:paraId="1C2F54F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1、具备≥24*1.5/2ml气密性角转子。</w:t>
      </w:r>
    </w:p>
    <w:p w14:paraId="21B8D5F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2、最大相对离心力（rcf）≥21000 × g（≥15000 rpm）。</w:t>
      </w:r>
    </w:p>
    <w:p w14:paraId="6258CD6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3、应满足静音运行，噪音水平最低＜51 dB(A)，方便提高工作环境舒适度</w:t>
      </w:r>
    </w:p>
    <w:p w14:paraId="30AFC2B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4、可满足0.2-5mL 离心管，冻存管，HPLC管，PCR单管/8联管的水平、定角离心。</w:t>
      </w:r>
    </w:p>
    <w:p w14:paraId="41B47DA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5、转子、转子盖均可高温高压灭菌。</w:t>
      </w:r>
    </w:p>
    <w:p w14:paraId="36542795">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 xml:space="preserve"> 34、恒温振荡器技术参数</w:t>
      </w:r>
      <w:r>
        <w:rPr>
          <w:rFonts w:hint="eastAsia" w:ascii="宋体" w:hAnsi="宋体" w:eastAsia="宋体" w:cs="宋体"/>
          <w:b/>
          <w:bCs/>
          <w:sz w:val="24"/>
          <w:highlight w:val="none"/>
        </w:rPr>
        <w:t>要求</w:t>
      </w:r>
    </w:p>
    <w:p w14:paraId="04BF60E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1、温度设置范围：室温以下14℃～100℃（最低设置温度可达0℃）。</w:t>
      </w:r>
    </w:p>
    <w:p w14:paraId="532306A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2、控温精度、温度波动度、温度均匀性均 ≤ ±0.5℃。</w:t>
      </w:r>
    </w:p>
    <w:p w14:paraId="08DDBDA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3、具备制冷功能，制冷速度 ≥ 6℃/min（从100℃降至室温）。</w:t>
      </w:r>
    </w:p>
    <w:p w14:paraId="0806D38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4、振荡性能要求：振荡频率范围：300 rpm～1500 rpm，振荡幅度：3 mm（固定振幅）。</w:t>
      </w:r>
    </w:p>
    <w:p w14:paraId="2C568F5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5、容量与模块要求：标配或可选配 C模块（96×0.2mL），以满足PCR板或八联排管需求；或标配 A模块（40×1.5mL），根据实验室常用耗材确定。</w:t>
      </w:r>
    </w:p>
    <w:p w14:paraId="676D270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35、手动8通道移液器技术参数</w:t>
      </w:r>
      <w:r>
        <w:rPr>
          <w:rFonts w:hint="eastAsia" w:ascii="宋体" w:hAnsi="宋体" w:eastAsia="宋体" w:cs="宋体"/>
          <w:b/>
          <w:bCs/>
          <w:sz w:val="24"/>
          <w:highlight w:val="none"/>
        </w:rPr>
        <w:t>要求</w:t>
      </w:r>
    </w:p>
    <w:p w14:paraId="6DB1DD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1、可整支高温高压灭菌和紫外线灭菌，操作更安全。</w:t>
      </w:r>
    </w:p>
    <w:p w14:paraId="0C8071D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2、下半支可徒手拆卸，便于清洁保养。</w:t>
      </w:r>
    </w:p>
    <w:p w14:paraId="395D0CE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3、伸缩式弹性吸嘴设计，确保吸头装配的气密性和移液均一性。</w:t>
      </w:r>
    </w:p>
    <w:p w14:paraId="07BDD24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4、四位数字放大体积显示，可精准设置移液体积。</w:t>
      </w:r>
    </w:p>
    <w:p w14:paraId="0A16830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5、0.1μL～10mL 不同量程选择，全面满足不同使用需求，颜色标识移液器量程。</w:t>
      </w:r>
    </w:p>
    <w:p w14:paraId="14A8657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6多道移液器具备可拆卸的单独通道设计，确保移液精准性。</w:t>
      </w:r>
    </w:p>
    <w:p w14:paraId="1095376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36、离心机（八联排管离心机）技术参数</w:t>
      </w:r>
      <w:r>
        <w:rPr>
          <w:rFonts w:hint="eastAsia" w:ascii="宋体" w:hAnsi="宋体" w:eastAsia="宋体" w:cs="宋体"/>
          <w:b/>
          <w:bCs/>
          <w:sz w:val="24"/>
          <w:highlight w:val="none"/>
        </w:rPr>
        <w:t>要求</w:t>
      </w:r>
    </w:p>
    <w:p w14:paraId="30C86AA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1、最高转速：6500rpm。</w:t>
      </w:r>
    </w:p>
    <w:p w14:paraId="14839D7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2、最大离心力：2000×g。</w:t>
      </w:r>
    </w:p>
    <w:p w14:paraId="3B846E8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3、两种转子可选：6×1.5ml或2×8×0.2ml。</w:t>
      </w:r>
    </w:p>
    <w:p w14:paraId="7975E2C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4、具有翻盖开关功能，开盖即自动停止运行。</w:t>
      </w:r>
    </w:p>
    <w:p w14:paraId="4D402F7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5、具备电子锁扣功能，保障使用安全。</w:t>
      </w:r>
    </w:p>
    <w:p w14:paraId="50ACC8D9">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37、离心机（可瞬离）技术参数</w:t>
      </w:r>
      <w:r>
        <w:rPr>
          <w:rFonts w:hint="eastAsia" w:ascii="宋体" w:hAnsi="宋体" w:eastAsia="宋体" w:cs="宋体"/>
          <w:b/>
          <w:bCs/>
          <w:sz w:val="24"/>
          <w:highlight w:val="none"/>
        </w:rPr>
        <w:t>要求</w:t>
      </w:r>
    </w:p>
    <w:p w14:paraId="60BA62A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1、转子设计：多合一转子，可同时离心0.2/0.5/1.5/2.0 ml及八联排离心管。</w:t>
      </w:r>
    </w:p>
    <w:p w14:paraId="2742AA8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2、强力高速：8000 rpm高速马达，更大离心角速度，实现快速离心。</w:t>
      </w:r>
    </w:p>
    <w:p w14:paraId="5B7CCA8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3、低噪稳定：静音技术结合底部加重设计，低噪无位移。</w:t>
      </w:r>
    </w:p>
    <w:p w14:paraId="1A9581C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4、安全耐用：机盖控制式开关，嵌合设计，更加经久耐用。</w:t>
      </w:r>
    </w:p>
    <w:p w14:paraId="3EA36A34">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38、普通基因扩增仪1技术参数</w:t>
      </w:r>
      <w:r>
        <w:rPr>
          <w:rFonts w:hint="eastAsia" w:ascii="宋体" w:hAnsi="宋体" w:eastAsia="宋体" w:cs="宋体"/>
          <w:b/>
          <w:bCs/>
          <w:sz w:val="24"/>
          <w:highlight w:val="none"/>
        </w:rPr>
        <w:t>要求</w:t>
      </w:r>
    </w:p>
    <w:p w14:paraId="1FF21A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1、样本容量≤96孔。</w:t>
      </w:r>
    </w:p>
    <w:p w14:paraId="12522E3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2、检测通道≥4。</w:t>
      </w:r>
    </w:p>
    <w:p w14:paraId="6AEEA13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3、模块控温范围:100℃温度均匀性:W士0.1℃。</w:t>
      </w:r>
    </w:p>
    <w:p w14:paraId="72144A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4、自动样本仓:样本仓可由触摸屏控制自动弹出/关闭，弹出状态时轻触样本仓可自动关闭。</w:t>
      </w:r>
    </w:p>
    <w:p w14:paraId="699A849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5、软件分析功能:定性分析、绝对定量分析、相对定量分析、终点荧光分析、熔解曲线分析、SNP分析、高分辨率熔解曲线(HRM)等。</w:t>
      </w:r>
    </w:p>
    <w:p w14:paraId="32BD81F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6、可导出CSV、Excel、TXT等格式，开放数据端口，同步支持与LIS系统互联;实验数据在仪器内实时保存。</w:t>
      </w:r>
    </w:p>
    <w:p w14:paraId="5E12B456">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39、普通基因扩增仪2技术参数</w:t>
      </w:r>
      <w:r>
        <w:rPr>
          <w:rFonts w:hint="eastAsia" w:ascii="宋体" w:hAnsi="宋体" w:eastAsia="宋体" w:cs="宋体"/>
          <w:b/>
          <w:bCs/>
          <w:sz w:val="24"/>
          <w:highlight w:val="none"/>
        </w:rPr>
        <w:t>要求</w:t>
      </w:r>
    </w:p>
    <w:p w14:paraId="45AB9F7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1、温控系统（逻辑算发和加热模块），使整个反应过程中的温控高度精确、均匀一致、快速。</w:t>
      </w:r>
    </w:p>
    <w:p w14:paraId="7C2C743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2、多种反应模块可自由更换。</w:t>
      </w:r>
    </w:p>
    <w:p w14:paraId="026623C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3、创新的热盖设计，适用的反应管范围广，支持低体积的PCR反应。</w:t>
      </w:r>
    </w:p>
    <w:p w14:paraId="3CA70AB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4、可以通过电脑连接，扩展检测通量，能储存大于1000个程序。</w:t>
      </w:r>
    </w:p>
    <w:p w14:paraId="083AA2F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5、升降温速度：5℃/秒。</w:t>
      </w:r>
    </w:p>
    <w:p w14:paraId="1D7EF75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6、温度范围：0-100℃，温度精确度：±0.2℃。</w:t>
      </w:r>
    </w:p>
    <w:p w14:paraId="1ECCBEE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7、温度均一性：±0.4℃（10秒钟达到90°C 时）</w:t>
      </w:r>
    </w:p>
    <w:p w14:paraId="5424805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8、温度梯度范围：30-100℃，不低于室温30℃，温度梯度温差范围：1-24℃。</w:t>
      </w:r>
    </w:p>
    <w:p w14:paraId="725784C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39.9、温度梯度精确度：±0.2℃，温度梯度均一性：±0.4℃ （90℃时维持10秒钟）</w:t>
      </w:r>
    </w:p>
    <w:p w14:paraId="593ABBF9">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40、磁力架2技术参数</w:t>
      </w:r>
      <w:r>
        <w:rPr>
          <w:rFonts w:hint="eastAsia" w:ascii="宋体" w:hAnsi="宋体" w:eastAsia="宋体" w:cs="宋体"/>
          <w:b/>
          <w:bCs/>
          <w:sz w:val="24"/>
          <w:highlight w:val="none"/>
        </w:rPr>
        <w:t>要求</w:t>
      </w:r>
    </w:p>
    <w:p w14:paraId="614ED2C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1、通量：可容纳≥16支标准1.5～2 mL微量离心管。</w:t>
      </w:r>
    </w:p>
    <w:p w14:paraId="6E64430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2、适用性：可有效磁性分离直径范围：1～4.5μm的 Dynabeads™ 磁珠。</w:t>
      </w:r>
    </w:p>
    <w:p w14:paraId="056BBCD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3、工作体积：最佳工作体积为：10～2000μL。</w:t>
      </w:r>
    </w:p>
    <w:p w14:paraId="39F3FC9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4、设计：样品架可轻松从磁力架基座上移出，用于重悬、涡旋或震荡；管架也可拆卸用于储存试管。</w:t>
      </w:r>
    </w:p>
    <w:p w14:paraId="7A2B43C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5、编号：16个样品位置带编号，便于平行处理多个样品。</w:t>
      </w:r>
    </w:p>
    <w:p w14:paraId="2A316586">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41、恒温混匀仪技术参数</w:t>
      </w:r>
      <w:r>
        <w:rPr>
          <w:rFonts w:hint="eastAsia" w:ascii="宋体" w:hAnsi="宋体" w:eastAsia="宋体" w:cs="宋体"/>
          <w:b/>
          <w:bCs/>
          <w:sz w:val="24"/>
          <w:highlight w:val="none"/>
        </w:rPr>
        <w:t>要求</w:t>
      </w:r>
    </w:p>
    <w:p w14:paraId="5236A85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1、多种升温和降温模式，可根据实验需求任意选择。</w:t>
      </w:r>
    </w:p>
    <w:p w14:paraId="0102FA6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2、温度控制范围：0℃～105℃，温度均匀性：0.5℃，控温准确度：±0.5℃。</w:t>
      </w:r>
    </w:p>
    <w:p w14:paraId="4D62862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3、振荡速度：100～3000rpm；震荡幅度：3mm。</w:t>
      </w:r>
    </w:p>
    <w:p w14:paraId="0D2C1BE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4、混匀方式可根据需求进行设置，正转、反转均可设置；</w:t>
      </w:r>
    </w:p>
    <w:p w14:paraId="634173A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5、模块自动识别、可选配磁吸热盖，更换无需工具操作；</w:t>
      </w:r>
    </w:p>
    <w:p w14:paraId="5197289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6、最高升温速率9℃/min（室温</w:t>
      </w:r>
      <w:r>
        <w:rPr>
          <w:rFonts w:hint="eastAsia" w:ascii="宋体" w:hAnsi="宋体" w:eastAsia="宋体" w:cs="宋体"/>
          <w:szCs w:val="21"/>
          <w:highlight w:val="none"/>
        </w:rPr>
        <w:t>～</w:t>
      </w:r>
      <w:r>
        <w:rPr>
          <w:rFonts w:hint="eastAsia" w:ascii="宋体" w:hAnsi="宋体" w:eastAsia="宋体" w:cs="宋体"/>
          <w:sz w:val="24"/>
          <w:highlight w:val="none"/>
        </w:rPr>
        <w:t>100℃）；最高降温速率4℃/min（100℃～室温）。加热时间（20～100℃）：≤15min（测试环境温度20℃~30℃）；制冷时间：≤20min（环境温度≤20℃：20℃～0℃）</w:t>
      </w:r>
    </w:p>
    <w:p w14:paraId="419A9290">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42、微孔板离心机技术参数</w:t>
      </w:r>
      <w:r>
        <w:rPr>
          <w:rFonts w:hint="eastAsia" w:ascii="宋体" w:hAnsi="宋体" w:eastAsia="宋体" w:cs="宋体"/>
          <w:b/>
          <w:bCs/>
          <w:sz w:val="24"/>
          <w:highlight w:val="none"/>
        </w:rPr>
        <w:t>要求</w:t>
      </w:r>
    </w:p>
    <w:p w14:paraId="16EDB49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1、最高转速:≥2500rpm</w:t>
      </w:r>
    </w:p>
    <w:p w14:paraId="43AD4F5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2、最大相对离心力:≥500xg。</w:t>
      </w:r>
    </w:p>
    <w:p w14:paraId="0334E50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3、可同时承载2x96孔PCR板(含带裙边及不带裙边)。</w:t>
      </w:r>
    </w:p>
    <w:p w14:paraId="7684311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4、采用垂直装载设计，微孔板从顶部装入转子。</w:t>
      </w:r>
    </w:p>
    <w:p w14:paraId="61DA9BA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5、具备开盖即停功能。</w:t>
      </w:r>
    </w:p>
    <w:p w14:paraId="196653EE">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43、超微量紫外-可见光分光光度计技术参数</w:t>
      </w:r>
      <w:r>
        <w:rPr>
          <w:rFonts w:hint="eastAsia" w:ascii="宋体" w:hAnsi="宋体" w:eastAsia="宋体" w:cs="宋体"/>
          <w:b/>
          <w:bCs/>
          <w:sz w:val="24"/>
          <w:highlight w:val="none"/>
        </w:rPr>
        <w:t>要求</w:t>
      </w:r>
    </w:p>
    <w:p w14:paraId="197A588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1、最小样品量: ≤1μL。</w:t>
      </w:r>
    </w:p>
    <w:p w14:paraId="554F17F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2、内含光程≥5个，根据样品浓度进行自动匹配最佳光程，无需手工设置，光程调节器不会曝露在空气中，避免灰尘，纸屑或液体进入生锈导致光程不准确。3、波长范围: 190～850nm连续波长全光谱分析。</w:t>
      </w:r>
    </w:p>
    <w:p w14:paraId="5309182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3、光谱分辨率:＜1.8 nm (FWHM at Hg 253.7 nm)；</w:t>
      </w:r>
    </w:p>
    <w:p w14:paraId="67106AA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4、检测重复性≤0.002A(1.0mm光程)或1%CV。</w:t>
      </w:r>
    </w:p>
    <w:p w14:paraId="77B8EDF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5、吸光率范围：0～550Abs。</w:t>
      </w:r>
    </w:p>
    <w:p w14:paraId="595D28E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6、检测时间＜8秒。</w:t>
      </w:r>
    </w:p>
    <w:p w14:paraId="0B7CDEC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7、检测下限≤2ng/ul（dsDNA）检测上限≥27,000ng/ul（dsDNA）。</w:t>
      </w:r>
    </w:p>
    <w:p w14:paraId="251BC4E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8、能鉴定核酸提取或核酸处理过程中的常见污染物数量≥5种。</w:t>
      </w:r>
    </w:p>
    <w:p w14:paraId="7D2A3B2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9、样品检测完毕后，只需用擦镜纸擦拭石英光纤样品台，按下检测盖即可自动检测，无需在电脑上点击检测，检测和清洁时间＜10秒。</w:t>
      </w:r>
    </w:p>
    <w:p w14:paraId="5D8C8796">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44、荧光定量仪技术参数</w:t>
      </w:r>
      <w:r>
        <w:rPr>
          <w:rFonts w:hint="eastAsia" w:ascii="宋体" w:hAnsi="宋体" w:eastAsia="宋体" w:cs="宋体"/>
          <w:b/>
          <w:bCs/>
          <w:sz w:val="24"/>
          <w:highlight w:val="none"/>
        </w:rPr>
        <w:t>要求</w:t>
      </w:r>
    </w:p>
    <w:p w14:paraId="7E2C8F6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1、高灵敏度光电倍增管检测:大1.2可进行蛋白电泳分析，分离范围5～250kda，大1.3采用预装式卡夹，即插即用，分析后仪器自动清洗。</w:t>
      </w:r>
    </w:p>
    <w:p w14:paraId="29B554C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2、兼容常规单管0.2m离心管、8联管和1～2uL微量管。</w:t>
      </w:r>
    </w:p>
    <w:p w14:paraId="1DC8673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3、可单次自动处理单个样本不造成浪费。</w:t>
      </w:r>
    </w:p>
    <w:p w14:paraId="301105B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4、电泳时间最快可达1～2min/样本。</w:t>
      </w:r>
    </w:p>
    <w:p w14:paraId="2C53C82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5、大1.7检测片段范围15bp～150kb(需提供检测≥150kbDNA片段电泳实验结果进行佐证)。</w:t>
      </w:r>
    </w:p>
    <w:p w14:paraId="7AAFFB11">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6、大1.9分辨率:对＜500bp的DNA片段，需达到1-4bp的分辨率，200bp片段需达到1bp的分辨率。</w:t>
      </w:r>
    </w:p>
    <w:p w14:paraId="3E596B6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7、软件可以自动输出电泳胶图、峰图、样品浓度、片段大小等数据，并可以报告形式完整打印输出，可输出文件格式包括PDF、WORD、JPG。</w:t>
      </w:r>
    </w:p>
    <w:p w14:paraId="335CEA1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8、系统中仪器、耗材及检测过程均为全封闭式，避免核酸染色剂等有害物质与操作人员的接触。</w:t>
      </w:r>
    </w:p>
    <w:p w14:paraId="791E667B">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45、微生物样本前处理系统技术参数</w:t>
      </w:r>
      <w:r>
        <w:rPr>
          <w:rFonts w:hint="eastAsia" w:ascii="宋体" w:hAnsi="宋体" w:eastAsia="宋体" w:cs="宋体"/>
          <w:b/>
          <w:bCs/>
          <w:sz w:val="24"/>
          <w:highlight w:val="none"/>
        </w:rPr>
        <w:t>要求</w:t>
      </w:r>
    </w:p>
    <w:p w14:paraId="774D105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1、功能用途：用于微生物样品进行分析前后的处理及加工，适用标本类型：痰、尿液、拭子、脑脊液、等样本进行自动化接种划线。</w:t>
      </w:r>
    </w:p>
    <w:p w14:paraId="0697FC9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2、资质认证：仪器需获注册证/备案证</w:t>
      </w:r>
    </w:p>
    <w:p w14:paraId="385CFE38">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3、接种速度：≥180块/小时。</w:t>
      </w:r>
    </w:p>
    <w:p w14:paraId="1A57B4DD">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4、平板载入量：≥5种160块，支持不停机添加。</w:t>
      </w:r>
    </w:p>
    <w:p w14:paraId="27A42DBC">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5、样本载入量：≥24个，支持不停机进样。</w:t>
      </w:r>
    </w:p>
    <w:p w14:paraId="4A6B807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▲6、接种工具加载量：数量≥200个，支持不停机补充。</w:t>
      </w:r>
    </w:p>
    <w:p w14:paraId="4B7DE800">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▲7、痰样本自动液化功能：仪器内置痰样本自动消化功能，无需人工液化。</w:t>
      </w:r>
    </w:p>
    <w:p w14:paraId="0857D3D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▲8、样本称重功能：具备样本称重功能。</w:t>
      </w:r>
    </w:p>
    <w:p w14:paraId="2B19796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9、最低样本量：支持低样本量样本上机，样本量最低0.5ml即可上机接种，可避免人工繁琐处理低样本量样本</w:t>
      </w:r>
    </w:p>
    <w:p w14:paraId="7F750ABF">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10、生物安全：仪器内置负压系统，抽风量≥12m³/分钟，仪器具备高效空气过滤功能，过滤效率大于99.99%，具备紫外线消毒模块，紫外辐射强度大于等于400mW/㎡。</w:t>
      </w:r>
    </w:p>
    <w:p w14:paraId="5BE285C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▲11、张贴条码功能：仪器可以自动扫描识别样本条码及患者信息，自动打印粘贴条码于培养皿侧面。</w:t>
      </w:r>
    </w:p>
    <w:p w14:paraId="75A952F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▲12、接种方式：一次性接种工具划线定量接种，避免交叉污染。</w:t>
      </w:r>
    </w:p>
    <w:p w14:paraId="75129DC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13、加样预警：具备堵针检测、空吸检测和漏加报警功能，避免样本漏加风险。</w:t>
      </w:r>
    </w:p>
    <w:p w14:paraId="4A2EE18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14、自动化：具备样本自动开盖、闭盖，以及自动混匀功能。。</w:t>
      </w:r>
    </w:p>
    <w:p w14:paraId="2121696E">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▲15、适用培养皿规格：标准90mm通用型平板，无需其它载具即可加载平板到仪器上。</w:t>
      </w:r>
    </w:p>
    <w:p w14:paraId="6132738B">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16、异常样本处理模块：具备异常样本自动排出功能，显示异常样本数量。</w:t>
      </w:r>
    </w:p>
    <w:p w14:paraId="62100C35">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17、软件功能：全中文操作系统，自定义接种平板类型。</w:t>
      </w:r>
    </w:p>
    <w:p w14:paraId="612AB687">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18、仪器内部布局：平板加载无需打开接种区，接种完成平板取出无需打开接种区，样本加载无需打开接种区。</w:t>
      </w:r>
    </w:p>
    <w:p w14:paraId="07F67890">
      <w:pPr>
        <w:snapToGrid w:val="0"/>
        <w:spacing w:line="360" w:lineRule="auto"/>
        <w:jc w:val="left"/>
        <w:rPr>
          <w:rFonts w:hint="eastAsia" w:ascii="宋体" w:hAnsi="宋体" w:eastAsia="宋体" w:cs="宋体"/>
          <w:sz w:val="24"/>
          <w:highlight w:val="none"/>
        </w:rPr>
      </w:pPr>
    </w:p>
    <w:p w14:paraId="21FEFC48">
      <w:pPr>
        <w:widowControl/>
        <w:spacing w:line="480" w:lineRule="auto"/>
        <w:jc w:val="center"/>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46、实时荧光定量PCR仪技术参数</w:t>
      </w:r>
      <w:r>
        <w:rPr>
          <w:rFonts w:hint="eastAsia" w:ascii="宋体" w:hAnsi="宋体" w:eastAsia="宋体" w:cs="宋体"/>
          <w:b/>
          <w:bCs/>
          <w:sz w:val="24"/>
          <w:highlight w:val="none"/>
        </w:rPr>
        <w:t>要求</w:t>
      </w:r>
    </w:p>
    <w:p w14:paraId="754B38D3">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1、样本容量:≥96孔。</w:t>
      </w:r>
    </w:p>
    <w:p w14:paraId="6079A3E2">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2、适用耗材:96孔板、8联管，单管(乳白色管、透明管、磨砂管均适用)。</w:t>
      </w:r>
    </w:p>
    <w:p w14:paraId="3BF97B1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3、荧光通道数:≥4个。</w:t>
      </w:r>
    </w:p>
    <w:p w14:paraId="2E9C6AE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4、反应体系:0-100l。</w:t>
      </w:r>
    </w:p>
    <w:p w14:paraId="3FDF8DDA">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5、光源:LED或卤钨灯。</w:t>
      </w:r>
    </w:p>
    <w:p w14:paraId="56CF55C6">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6、温控系统:半导体加热/制冷。</w:t>
      </w:r>
    </w:p>
    <w:p w14:paraId="719145F9">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7、模块控温范围:0～100℃，温度均匀性:≤±0.1℃，温控精度:≤士0.1℃。</w:t>
      </w:r>
    </w:p>
    <w:p w14:paraId="2BB1CF04">
      <w:pPr>
        <w:snapToGri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8、对于定量项目提供数据接入LIS服务。</w:t>
      </w:r>
    </w:p>
    <w:p w14:paraId="781C169A">
      <w:pPr>
        <w:snapToGrid w:val="0"/>
        <w:spacing w:line="360" w:lineRule="auto"/>
        <w:rPr>
          <w:rFonts w:hint="eastAsia" w:ascii="宋体" w:hAnsi="宋体" w:eastAsia="宋体" w:cs="宋体"/>
          <w:color w:val="EE0000"/>
          <w:sz w:val="24"/>
          <w:highlight w:val="none"/>
        </w:rPr>
      </w:pPr>
    </w:p>
    <w:p w14:paraId="4273CDF6">
      <w:pPr>
        <w:widowControl/>
        <w:jc w:val="left"/>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cs="Arial"/>
          <w:b/>
          <w:sz w:val="28"/>
          <w:szCs w:val="28"/>
          <w:highlight w:val="none"/>
        </w:rPr>
        <w:t>三、售后服务要求</w:t>
      </w:r>
    </w:p>
    <w:p w14:paraId="1505E021">
      <w:pPr>
        <w:widowControl/>
        <w:numPr>
          <w:ilvl w:val="0"/>
          <w:numId w:val="3"/>
        </w:numPr>
        <w:jc w:val="left"/>
        <w:rPr>
          <w:rFonts w:hint="eastAsia" w:ascii="宋体" w:hAnsi="宋体" w:cs="Arial"/>
          <w:bCs/>
          <w:sz w:val="24"/>
          <w:highlight w:val="none"/>
        </w:rPr>
      </w:pPr>
      <w:r>
        <w:rPr>
          <w:rFonts w:hint="eastAsia" w:ascii="宋体" w:hAnsi="宋体" w:cs="Arial"/>
          <w:bCs/>
          <w:sz w:val="24"/>
          <w:highlight w:val="none"/>
        </w:rPr>
        <w:t>供应商或原厂在国内设立专业的维修机构。</w:t>
      </w:r>
    </w:p>
    <w:p w14:paraId="57A6F337">
      <w:pPr>
        <w:numPr>
          <w:ilvl w:val="0"/>
          <w:numId w:val="3"/>
        </w:numPr>
        <w:spacing w:line="400" w:lineRule="exact"/>
        <w:rPr>
          <w:rFonts w:hint="eastAsia" w:ascii="宋体" w:hAnsi="宋体" w:cs="Arial"/>
          <w:bCs/>
          <w:sz w:val="24"/>
          <w:highlight w:val="none"/>
        </w:rPr>
      </w:pPr>
      <w:r>
        <w:rPr>
          <w:rFonts w:hint="eastAsia" w:ascii="宋体" w:hAnsi="宋体" w:cs="Arial"/>
          <w:bCs/>
          <w:sz w:val="24"/>
          <w:highlight w:val="none"/>
        </w:rPr>
        <w:t>质保期限要求：如无特殊要求，本标包所有投标产品交付采购人并经验收通过后不少于3年。</w:t>
      </w:r>
    </w:p>
    <w:p w14:paraId="7E28D43B">
      <w:pPr>
        <w:numPr>
          <w:ilvl w:val="0"/>
          <w:numId w:val="3"/>
        </w:numPr>
        <w:spacing w:line="400" w:lineRule="exact"/>
        <w:rPr>
          <w:rFonts w:hint="eastAsia" w:ascii="宋体" w:hAnsi="宋体" w:cs="Arial"/>
          <w:bCs/>
          <w:sz w:val="24"/>
          <w:highlight w:val="none"/>
        </w:rPr>
      </w:pPr>
      <w:r>
        <w:rPr>
          <w:rFonts w:hint="eastAsia" w:ascii="宋体" w:hAnsi="宋体" w:cs="Arial"/>
          <w:bCs/>
          <w:sz w:val="24"/>
          <w:highlight w:val="none"/>
        </w:rPr>
        <w:t>履约验收要求：项目履约验收工作具体依据项目合同中的履约验收方案执行。合同中的履约验收方案将明确履约验收的主体、时间、方式、程序、内容和验收标准等事项。</w:t>
      </w:r>
    </w:p>
    <w:p w14:paraId="5F753E29">
      <w:pPr>
        <w:numPr>
          <w:ilvl w:val="0"/>
          <w:numId w:val="3"/>
        </w:numPr>
        <w:spacing w:line="400" w:lineRule="exact"/>
        <w:rPr>
          <w:rFonts w:hint="eastAsia" w:ascii="宋体" w:hAnsi="宋体" w:cs="Arial"/>
          <w:bCs/>
          <w:sz w:val="24"/>
          <w:highlight w:val="none"/>
        </w:rPr>
      </w:pPr>
      <w:r>
        <w:rPr>
          <w:rFonts w:hint="eastAsia" w:ascii="宋体" w:hAnsi="宋体" w:cs="Arial"/>
          <w:bCs/>
          <w:sz w:val="24"/>
          <w:highlight w:val="none"/>
        </w:rPr>
        <w:t>供应商需提供设备安装需要的基建要求，包括场地面积、承重、层高、用电等情况（如有）。设备安装验收后提供免费培训服务，提供与设备相关的操作手册和使用说明书。</w:t>
      </w:r>
    </w:p>
    <w:p w14:paraId="1816AFB8">
      <w:pPr>
        <w:numPr>
          <w:ilvl w:val="0"/>
          <w:numId w:val="3"/>
        </w:numPr>
        <w:spacing w:line="400" w:lineRule="exact"/>
        <w:rPr>
          <w:rFonts w:hint="eastAsia" w:ascii="宋体" w:hAnsi="宋体" w:cs="Arial"/>
          <w:bCs/>
          <w:sz w:val="24"/>
          <w:highlight w:val="none"/>
        </w:rPr>
      </w:pPr>
      <w:r>
        <w:rPr>
          <w:rFonts w:hint="eastAsia" w:ascii="宋体" w:hAnsi="宋体" w:cs="Arial"/>
          <w:bCs/>
          <w:sz w:val="24"/>
          <w:highlight w:val="none"/>
        </w:rPr>
        <w:t>供应商需承诺设备接口免费开放，免费接入医院综合运营系统，如有端口费用由中标方承担。</w:t>
      </w:r>
    </w:p>
    <w:p w14:paraId="35D45E5D">
      <w:pPr>
        <w:numPr>
          <w:ilvl w:val="0"/>
          <w:numId w:val="3"/>
        </w:numPr>
        <w:spacing w:line="400" w:lineRule="exact"/>
        <w:rPr>
          <w:rFonts w:hint="eastAsia" w:ascii="宋体" w:hAnsi="宋体" w:cs="Arial"/>
          <w:bCs/>
          <w:sz w:val="24"/>
          <w:highlight w:val="none"/>
        </w:rPr>
      </w:pPr>
      <w:r>
        <w:rPr>
          <w:rFonts w:hint="eastAsia" w:ascii="宋体" w:hAnsi="宋体" w:cs="Arial"/>
          <w:bCs/>
          <w:sz w:val="24"/>
          <w:highlight w:val="none"/>
        </w:rPr>
        <w:t>本次报价包含设备费用、安装调试费、运输费、包装费、税金等完成本项目所需要的所有费用。</w:t>
      </w:r>
    </w:p>
    <w:p w14:paraId="38BCBDEA">
      <w:pPr>
        <w:numPr>
          <w:ilvl w:val="0"/>
          <w:numId w:val="3"/>
        </w:numPr>
        <w:spacing w:line="360" w:lineRule="auto"/>
        <w:rPr>
          <w:rFonts w:hint="eastAsia" w:ascii="宋体" w:hAnsi="宋体" w:cs="Arial"/>
          <w:bCs/>
          <w:sz w:val="24"/>
          <w:highlight w:val="none"/>
        </w:rPr>
      </w:pPr>
      <w:r>
        <w:rPr>
          <w:rFonts w:hint="eastAsia" w:ascii="宋体" w:hAnsi="宋体" w:cs="Arial"/>
          <w:bCs/>
          <w:sz w:val="24"/>
          <w:highlight w:val="none"/>
        </w:rPr>
        <w:t>后续的全生命周期成本及备品备件采购价格情况等相关说明。</w:t>
      </w:r>
    </w:p>
    <w:p w14:paraId="02B8437C">
      <w:pPr>
        <w:numPr>
          <w:ilvl w:val="0"/>
          <w:numId w:val="3"/>
        </w:numPr>
        <w:spacing w:line="400" w:lineRule="exact"/>
        <w:rPr>
          <w:rFonts w:hint="eastAsia" w:ascii="宋体" w:hAnsi="宋体" w:eastAsia="宋体" w:cs="宋体"/>
          <w:sz w:val="24"/>
          <w:highlight w:val="none"/>
        </w:rPr>
      </w:pPr>
      <w:r>
        <w:rPr>
          <w:rFonts w:hint="eastAsia" w:ascii="宋体" w:hAnsi="宋体" w:cs="Arial"/>
          <w:bCs/>
          <w:sz w:val="24"/>
          <w:highlight w:val="none"/>
        </w:rPr>
        <w:t>本项目需由供应商提供设计方案、解决方案或者组织方案以及技术支持资料。</w:t>
      </w:r>
    </w:p>
    <w:bookmarkEnd w:id="0"/>
    <w:sectPr>
      <w:headerReference r:id="rId3" w:type="default"/>
      <w:footerReference r:id="rId4" w:type="default"/>
      <w:pgSz w:w="11906" w:h="16838"/>
      <w:pgMar w:top="1417" w:right="1800" w:bottom="1134"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BA32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B5888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1B5888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AD841">
    <w:pPr>
      <w:pStyle w:val="5"/>
      <w:pBdr>
        <w:bottom w:val="single" w:color="auto" w:sz="4" w:space="0"/>
      </w:pBdr>
      <w:rPr>
        <w:rFonts w:hint="default" w:eastAsiaTheme="minorEastAsia"/>
        <w:lang w:val="en-US" w:eastAsia="zh-CN"/>
      </w:rPr>
    </w:pPr>
    <w:r>
      <w:rPr>
        <w:rFonts w:hint="eastAsia"/>
        <w:lang w:val="en-US" w:eastAsia="zh-CN"/>
      </w:rPr>
      <w:t xml:space="preserve">ZC20260147 </w:t>
    </w:r>
    <w:r>
      <w:rPr>
        <w:rFonts w:hint="eastAsia"/>
      </w:rPr>
      <w:t>上海市光华中西医结合医院所需检验科等一批医疗设备公开招标项目招标需求文件</w:t>
    </w:r>
    <w:r>
      <w:rPr>
        <w:rFonts w:hint="eastAsia"/>
        <w:lang w:val="en-US" w:eastAsia="zh-CN"/>
      </w:rPr>
      <w:t xml:space="preserve"> 第二标包</w:t>
    </w:r>
  </w:p>
  <w:p w14:paraId="62CC4AF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1932B0C3"/>
    <w:multiLevelType w:val="singleLevel"/>
    <w:tmpl w:val="1932B0C3"/>
    <w:lvl w:ilvl="0" w:tentative="0">
      <w:start w:val="1"/>
      <w:numFmt w:val="decimal"/>
      <w:suff w:val="nothing"/>
      <w:lvlText w:val="%1、"/>
      <w:lvlJc w:val="left"/>
    </w:lvl>
  </w:abstractNum>
  <w:abstractNum w:abstractNumId="2">
    <w:nsid w:val="7F87FA6D"/>
    <w:multiLevelType w:val="singleLevel"/>
    <w:tmpl w:val="7F87FA6D"/>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E405B"/>
    <w:rsid w:val="00035EAC"/>
    <w:rsid w:val="00042DF9"/>
    <w:rsid w:val="0004742D"/>
    <w:rsid w:val="000615AB"/>
    <w:rsid w:val="00072908"/>
    <w:rsid w:val="00081CFA"/>
    <w:rsid w:val="000976DF"/>
    <w:rsid w:val="000A1166"/>
    <w:rsid w:val="000A1378"/>
    <w:rsid w:val="000B42FC"/>
    <w:rsid w:val="000C5E21"/>
    <w:rsid w:val="000D172A"/>
    <w:rsid w:val="000D3A93"/>
    <w:rsid w:val="000D3D38"/>
    <w:rsid w:val="001062DF"/>
    <w:rsid w:val="0013350F"/>
    <w:rsid w:val="00191EA9"/>
    <w:rsid w:val="001D0155"/>
    <w:rsid w:val="001F552B"/>
    <w:rsid w:val="001F6B12"/>
    <w:rsid w:val="0024381A"/>
    <w:rsid w:val="00247581"/>
    <w:rsid w:val="002805D6"/>
    <w:rsid w:val="00284F41"/>
    <w:rsid w:val="002A03E7"/>
    <w:rsid w:val="002B6217"/>
    <w:rsid w:val="00316980"/>
    <w:rsid w:val="00342C2F"/>
    <w:rsid w:val="00345C40"/>
    <w:rsid w:val="003556D2"/>
    <w:rsid w:val="00384A2B"/>
    <w:rsid w:val="003A48D3"/>
    <w:rsid w:val="003C23E7"/>
    <w:rsid w:val="003E5968"/>
    <w:rsid w:val="003F0749"/>
    <w:rsid w:val="00400925"/>
    <w:rsid w:val="00403796"/>
    <w:rsid w:val="00405D47"/>
    <w:rsid w:val="00417831"/>
    <w:rsid w:val="00422D4E"/>
    <w:rsid w:val="00437DCC"/>
    <w:rsid w:val="0045255B"/>
    <w:rsid w:val="00455344"/>
    <w:rsid w:val="004719D3"/>
    <w:rsid w:val="00490201"/>
    <w:rsid w:val="004A77B1"/>
    <w:rsid w:val="004D2079"/>
    <w:rsid w:val="004E42F1"/>
    <w:rsid w:val="00503242"/>
    <w:rsid w:val="00541888"/>
    <w:rsid w:val="00543DDE"/>
    <w:rsid w:val="005542C7"/>
    <w:rsid w:val="00560C8E"/>
    <w:rsid w:val="00561526"/>
    <w:rsid w:val="00590F92"/>
    <w:rsid w:val="005A1228"/>
    <w:rsid w:val="005A5FC2"/>
    <w:rsid w:val="005C13A2"/>
    <w:rsid w:val="005F37C0"/>
    <w:rsid w:val="00610033"/>
    <w:rsid w:val="0063001F"/>
    <w:rsid w:val="0063053C"/>
    <w:rsid w:val="00644207"/>
    <w:rsid w:val="00647EE6"/>
    <w:rsid w:val="00650DFB"/>
    <w:rsid w:val="0067676E"/>
    <w:rsid w:val="00680D21"/>
    <w:rsid w:val="006908A3"/>
    <w:rsid w:val="00692868"/>
    <w:rsid w:val="006A62FA"/>
    <w:rsid w:val="006C6F82"/>
    <w:rsid w:val="006D19F8"/>
    <w:rsid w:val="006D218B"/>
    <w:rsid w:val="007200AE"/>
    <w:rsid w:val="0072541A"/>
    <w:rsid w:val="00736102"/>
    <w:rsid w:val="007376D1"/>
    <w:rsid w:val="007451CD"/>
    <w:rsid w:val="007531BC"/>
    <w:rsid w:val="0079342F"/>
    <w:rsid w:val="007946F3"/>
    <w:rsid w:val="007C1F91"/>
    <w:rsid w:val="00806425"/>
    <w:rsid w:val="00872A0F"/>
    <w:rsid w:val="00886D84"/>
    <w:rsid w:val="008A4359"/>
    <w:rsid w:val="008A72D5"/>
    <w:rsid w:val="008C38A6"/>
    <w:rsid w:val="008C6CCA"/>
    <w:rsid w:val="008D36C9"/>
    <w:rsid w:val="008E4BC5"/>
    <w:rsid w:val="008F0017"/>
    <w:rsid w:val="008F4A4E"/>
    <w:rsid w:val="008F5826"/>
    <w:rsid w:val="008F75F4"/>
    <w:rsid w:val="00904282"/>
    <w:rsid w:val="00922D26"/>
    <w:rsid w:val="00931689"/>
    <w:rsid w:val="00940CE9"/>
    <w:rsid w:val="009438F6"/>
    <w:rsid w:val="009534F4"/>
    <w:rsid w:val="00954FD9"/>
    <w:rsid w:val="00977479"/>
    <w:rsid w:val="00995408"/>
    <w:rsid w:val="009A103B"/>
    <w:rsid w:val="009B53A8"/>
    <w:rsid w:val="009C7411"/>
    <w:rsid w:val="009E314C"/>
    <w:rsid w:val="009F4989"/>
    <w:rsid w:val="009F725A"/>
    <w:rsid w:val="00A01E30"/>
    <w:rsid w:val="00A3280E"/>
    <w:rsid w:val="00A73E8B"/>
    <w:rsid w:val="00A947F7"/>
    <w:rsid w:val="00AA7FBB"/>
    <w:rsid w:val="00AB1F33"/>
    <w:rsid w:val="00AB6BC7"/>
    <w:rsid w:val="00AE7981"/>
    <w:rsid w:val="00AF5A97"/>
    <w:rsid w:val="00AF5F2D"/>
    <w:rsid w:val="00B32777"/>
    <w:rsid w:val="00B36B0B"/>
    <w:rsid w:val="00B42EB7"/>
    <w:rsid w:val="00B44E25"/>
    <w:rsid w:val="00B54471"/>
    <w:rsid w:val="00B568F2"/>
    <w:rsid w:val="00B6461F"/>
    <w:rsid w:val="00B7199C"/>
    <w:rsid w:val="00B81F05"/>
    <w:rsid w:val="00B92324"/>
    <w:rsid w:val="00B95BF9"/>
    <w:rsid w:val="00B96C5A"/>
    <w:rsid w:val="00BA2013"/>
    <w:rsid w:val="00BA4064"/>
    <w:rsid w:val="00BB4911"/>
    <w:rsid w:val="00BD08B4"/>
    <w:rsid w:val="00BD5EC8"/>
    <w:rsid w:val="00BD7DB2"/>
    <w:rsid w:val="00C10A28"/>
    <w:rsid w:val="00C20E85"/>
    <w:rsid w:val="00C27F0A"/>
    <w:rsid w:val="00C35375"/>
    <w:rsid w:val="00C443F6"/>
    <w:rsid w:val="00C4504F"/>
    <w:rsid w:val="00C50CD7"/>
    <w:rsid w:val="00C66D8D"/>
    <w:rsid w:val="00C975FE"/>
    <w:rsid w:val="00CA5D13"/>
    <w:rsid w:val="00CE5307"/>
    <w:rsid w:val="00D24B9E"/>
    <w:rsid w:val="00D817B1"/>
    <w:rsid w:val="00D81FC4"/>
    <w:rsid w:val="00D864D8"/>
    <w:rsid w:val="00DD0581"/>
    <w:rsid w:val="00DD28D4"/>
    <w:rsid w:val="00E0598D"/>
    <w:rsid w:val="00E36DE5"/>
    <w:rsid w:val="00E556A2"/>
    <w:rsid w:val="00E71CC1"/>
    <w:rsid w:val="00E8617F"/>
    <w:rsid w:val="00E96654"/>
    <w:rsid w:val="00EA275A"/>
    <w:rsid w:val="00EA3583"/>
    <w:rsid w:val="00EA692C"/>
    <w:rsid w:val="00ED031B"/>
    <w:rsid w:val="00EE0C54"/>
    <w:rsid w:val="00F32C80"/>
    <w:rsid w:val="00F50846"/>
    <w:rsid w:val="00F72342"/>
    <w:rsid w:val="00F8122D"/>
    <w:rsid w:val="00F83FBF"/>
    <w:rsid w:val="00FB7DAC"/>
    <w:rsid w:val="00FD1C22"/>
    <w:rsid w:val="00FE4299"/>
    <w:rsid w:val="01311D17"/>
    <w:rsid w:val="01C32805"/>
    <w:rsid w:val="0234382A"/>
    <w:rsid w:val="027B1A20"/>
    <w:rsid w:val="029D6257"/>
    <w:rsid w:val="02D7069C"/>
    <w:rsid w:val="03B803F3"/>
    <w:rsid w:val="04FA17D2"/>
    <w:rsid w:val="056074A8"/>
    <w:rsid w:val="058D5B2B"/>
    <w:rsid w:val="05F9584F"/>
    <w:rsid w:val="0643426F"/>
    <w:rsid w:val="06CA7B30"/>
    <w:rsid w:val="06EA7FE5"/>
    <w:rsid w:val="071C273A"/>
    <w:rsid w:val="082422EC"/>
    <w:rsid w:val="0972111F"/>
    <w:rsid w:val="0AF5210A"/>
    <w:rsid w:val="0B1E1375"/>
    <w:rsid w:val="0B953BA4"/>
    <w:rsid w:val="0B9D381C"/>
    <w:rsid w:val="0BEB51B8"/>
    <w:rsid w:val="0BF17A23"/>
    <w:rsid w:val="0CD232D4"/>
    <w:rsid w:val="0CFF24AB"/>
    <w:rsid w:val="0D3B7001"/>
    <w:rsid w:val="0D413ECD"/>
    <w:rsid w:val="0D646FBB"/>
    <w:rsid w:val="0DC40D6F"/>
    <w:rsid w:val="0DFC736A"/>
    <w:rsid w:val="0E00255D"/>
    <w:rsid w:val="0E7B2823"/>
    <w:rsid w:val="0ECA53D4"/>
    <w:rsid w:val="0F075DB7"/>
    <w:rsid w:val="116B3DA2"/>
    <w:rsid w:val="119A0D13"/>
    <w:rsid w:val="1298498E"/>
    <w:rsid w:val="129C6C18"/>
    <w:rsid w:val="12E77F91"/>
    <w:rsid w:val="1333260E"/>
    <w:rsid w:val="139E2E9A"/>
    <w:rsid w:val="13AC0FD3"/>
    <w:rsid w:val="13B80076"/>
    <w:rsid w:val="144121C5"/>
    <w:rsid w:val="149E479D"/>
    <w:rsid w:val="14F70EDA"/>
    <w:rsid w:val="156206A5"/>
    <w:rsid w:val="164016EB"/>
    <w:rsid w:val="165322D8"/>
    <w:rsid w:val="168E7F80"/>
    <w:rsid w:val="16EB6EA7"/>
    <w:rsid w:val="176A4F02"/>
    <w:rsid w:val="17D82A95"/>
    <w:rsid w:val="18F22CC9"/>
    <w:rsid w:val="1A1B310D"/>
    <w:rsid w:val="1AB33345"/>
    <w:rsid w:val="1AD05D20"/>
    <w:rsid w:val="1BD660BB"/>
    <w:rsid w:val="1C5B1EE6"/>
    <w:rsid w:val="1DAB1E82"/>
    <w:rsid w:val="1DBE097F"/>
    <w:rsid w:val="1F0E32FE"/>
    <w:rsid w:val="1F826B41"/>
    <w:rsid w:val="1F9757E1"/>
    <w:rsid w:val="20923F96"/>
    <w:rsid w:val="20F024D5"/>
    <w:rsid w:val="215238B8"/>
    <w:rsid w:val="21FA7AAB"/>
    <w:rsid w:val="22EF5136"/>
    <w:rsid w:val="232474D6"/>
    <w:rsid w:val="24844BCB"/>
    <w:rsid w:val="25582ACD"/>
    <w:rsid w:val="26C568DA"/>
    <w:rsid w:val="2737553D"/>
    <w:rsid w:val="27393E5A"/>
    <w:rsid w:val="274441F8"/>
    <w:rsid w:val="280C0B44"/>
    <w:rsid w:val="29C568E7"/>
    <w:rsid w:val="2A392F51"/>
    <w:rsid w:val="2A540769"/>
    <w:rsid w:val="2A9B2FF6"/>
    <w:rsid w:val="2AE15CE9"/>
    <w:rsid w:val="2AFE1A16"/>
    <w:rsid w:val="2AFF3AFB"/>
    <w:rsid w:val="2BC24FD7"/>
    <w:rsid w:val="2C9538FF"/>
    <w:rsid w:val="2CA37B48"/>
    <w:rsid w:val="2D3C65BD"/>
    <w:rsid w:val="2D637F86"/>
    <w:rsid w:val="2DA77776"/>
    <w:rsid w:val="2E7C2C51"/>
    <w:rsid w:val="2EF05F34"/>
    <w:rsid w:val="2F432487"/>
    <w:rsid w:val="2F9154D6"/>
    <w:rsid w:val="30804306"/>
    <w:rsid w:val="30F10856"/>
    <w:rsid w:val="31CD277D"/>
    <w:rsid w:val="3209301A"/>
    <w:rsid w:val="32195D2C"/>
    <w:rsid w:val="33A81E05"/>
    <w:rsid w:val="33F22E50"/>
    <w:rsid w:val="342F15DE"/>
    <w:rsid w:val="3500373B"/>
    <w:rsid w:val="35150A2C"/>
    <w:rsid w:val="352E1AEE"/>
    <w:rsid w:val="3606741D"/>
    <w:rsid w:val="37CB7AC8"/>
    <w:rsid w:val="37D34FF4"/>
    <w:rsid w:val="384F24A7"/>
    <w:rsid w:val="39165886"/>
    <w:rsid w:val="391C6565"/>
    <w:rsid w:val="39567866"/>
    <w:rsid w:val="396300AA"/>
    <w:rsid w:val="39CF2763"/>
    <w:rsid w:val="3A156948"/>
    <w:rsid w:val="3A6619DD"/>
    <w:rsid w:val="3BA96B71"/>
    <w:rsid w:val="3C2B0DEF"/>
    <w:rsid w:val="3C8B40B8"/>
    <w:rsid w:val="40446984"/>
    <w:rsid w:val="40AD2461"/>
    <w:rsid w:val="419B52B3"/>
    <w:rsid w:val="41E6273F"/>
    <w:rsid w:val="41F22153"/>
    <w:rsid w:val="42336996"/>
    <w:rsid w:val="436828F7"/>
    <w:rsid w:val="43C967C1"/>
    <w:rsid w:val="44D3620E"/>
    <w:rsid w:val="44F11AA7"/>
    <w:rsid w:val="459C7046"/>
    <w:rsid w:val="45AC6152"/>
    <w:rsid w:val="45DB2D29"/>
    <w:rsid w:val="45E52835"/>
    <w:rsid w:val="45EC57D9"/>
    <w:rsid w:val="45F338FC"/>
    <w:rsid w:val="4616671F"/>
    <w:rsid w:val="46C95D05"/>
    <w:rsid w:val="46E95125"/>
    <w:rsid w:val="47472423"/>
    <w:rsid w:val="47724515"/>
    <w:rsid w:val="48A831A4"/>
    <w:rsid w:val="48E11085"/>
    <w:rsid w:val="48F50D38"/>
    <w:rsid w:val="492A6786"/>
    <w:rsid w:val="49EF7646"/>
    <w:rsid w:val="4ACE3700"/>
    <w:rsid w:val="4C7E49B4"/>
    <w:rsid w:val="4CB848EB"/>
    <w:rsid w:val="4D335E5A"/>
    <w:rsid w:val="4DB07082"/>
    <w:rsid w:val="4F581AF8"/>
    <w:rsid w:val="504F44D2"/>
    <w:rsid w:val="5108561A"/>
    <w:rsid w:val="513656C9"/>
    <w:rsid w:val="52057A3C"/>
    <w:rsid w:val="52077265"/>
    <w:rsid w:val="52615C9B"/>
    <w:rsid w:val="54CB33AD"/>
    <w:rsid w:val="560A7819"/>
    <w:rsid w:val="567120DE"/>
    <w:rsid w:val="575D6863"/>
    <w:rsid w:val="589E6E07"/>
    <w:rsid w:val="58EA4129"/>
    <w:rsid w:val="59102330"/>
    <w:rsid w:val="598938B1"/>
    <w:rsid w:val="5A625C12"/>
    <w:rsid w:val="5B3A4F19"/>
    <w:rsid w:val="5B6C411E"/>
    <w:rsid w:val="5F2B63A4"/>
    <w:rsid w:val="5F8A1E93"/>
    <w:rsid w:val="601A46DD"/>
    <w:rsid w:val="614B7400"/>
    <w:rsid w:val="618E4F99"/>
    <w:rsid w:val="623B3F16"/>
    <w:rsid w:val="629C2F58"/>
    <w:rsid w:val="631864CE"/>
    <w:rsid w:val="63780D97"/>
    <w:rsid w:val="63F20007"/>
    <w:rsid w:val="63F85E21"/>
    <w:rsid w:val="646060BC"/>
    <w:rsid w:val="64693149"/>
    <w:rsid w:val="648C74E3"/>
    <w:rsid w:val="64AB3741"/>
    <w:rsid w:val="68685A44"/>
    <w:rsid w:val="68FD194E"/>
    <w:rsid w:val="69A00868"/>
    <w:rsid w:val="69D34437"/>
    <w:rsid w:val="6A036304"/>
    <w:rsid w:val="6B4F2A52"/>
    <w:rsid w:val="6B6B5F51"/>
    <w:rsid w:val="6BA70260"/>
    <w:rsid w:val="6C6310A3"/>
    <w:rsid w:val="6D394241"/>
    <w:rsid w:val="6D534EAA"/>
    <w:rsid w:val="6DAE4200"/>
    <w:rsid w:val="6DE05CD4"/>
    <w:rsid w:val="6E622992"/>
    <w:rsid w:val="6F03560B"/>
    <w:rsid w:val="6F2C4671"/>
    <w:rsid w:val="6F930B9D"/>
    <w:rsid w:val="709F5073"/>
    <w:rsid w:val="70C528B0"/>
    <w:rsid w:val="712F166D"/>
    <w:rsid w:val="71AA3CCF"/>
    <w:rsid w:val="746740F9"/>
    <w:rsid w:val="746E5488"/>
    <w:rsid w:val="74A964C0"/>
    <w:rsid w:val="754272F6"/>
    <w:rsid w:val="756E405B"/>
    <w:rsid w:val="77047750"/>
    <w:rsid w:val="77607E69"/>
    <w:rsid w:val="779F7C32"/>
    <w:rsid w:val="77B871C7"/>
    <w:rsid w:val="782A6564"/>
    <w:rsid w:val="78424BD9"/>
    <w:rsid w:val="78647129"/>
    <w:rsid w:val="78A9267C"/>
    <w:rsid w:val="78FE2B52"/>
    <w:rsid w:val="792B03DA"/>
    <w:rsid w:val="79C5354D"/>
    <w:rsid w:val="7A0F6212"/>
    <w:rsid w:val="7B36052E"/>
    <w:rsid w:val="7C8A0D60"/>
    <w:rsid w:val="7DA80709"/>
    <w:rsid w:val="7DCF13F7"/>
    <w:rsid w:val="7E140867"/>
    <w:rsid w:val="7E2B048C"/>
    <w:rsid w:val="7E4C610E"/>
    <w:rsid w:val="7E8E0531"/>
    <w:rsid w:val="7F3B7298"/>
    <w:rsid w:val="7F7A0B5C"/>
    <w:rsid w:val="7F863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ody Text"/>
    <w:basedOn w:val="1"/>
    <w:next w:val="1"/>
    <w:qFormat/>
    <w:uiPriority w:val="0"/>
    <w:rPr>
      <w:sz w:val="32"/>
    </w:r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9"/>
    <w:qFormat/>
    <w:uiPriority w:val="0"/>
    <w:rPr>
      <w:b/>
      <w:bCs/>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rPr>
      <w:rFonts w:cs="Times New Roman"/>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character" w:styleId="14">
    <w:name w:val="HTML Sample"/>
    <w:basedOn w:val="10"/>
    <w:qFormat/>
    <w:uiPriority w:val="0"/>
    <w:rPr>
      <w:rFonts w:ascii="Courier New" w:hAnsi="Courier New"/>
    </w:rPr>
  </w:style>
  <w:style w:type="paragraph" w:styleId="15">
    <w:name w:val="List Paragraph"/>
    <w:basedOn w:val="1"/>
    <w:qFormat/>
    <w:uiPriority w:val="99"/>
    <w:pPr>
      <w:ind w:firstLine="420" w:firstLineChars="200"/>
    </w:pPr>
  </w:style>
  <w:style w:type="character" w:customStyle="1" w:styleId="16">
    <w:name w:val="页眉 字符"/>
    <w:basedOn w:val="10"/>
    <w:link w:val="5"/>
    <w:qFormat/>
    <w:uiPriority w:val="0"/>
    <w:rPr>
      <w:kern w:val="2"/>
      <w:sz w:val="18"/>
      <w:szCs w:val="18"/>
    </w:rPr>
  </w:style>
  <w:style w:type="character" w:customStyle="1" w:styleId="17">
    <w:name w:val="页脚 字符"/>
    <w:basedOn w:val="10"/>
    <w:link w:val="4"/>
    <w:qFormat/>
    <w:uiPriority w:val="0"/>
    <w:rPr>
      <w:kern w:val="2"/>
      <w:sz w:val="18"/>
      <w:szCs w:val="18"/>
    </w:rPr>
  </w:style>
  <w:style w:type="character" w:customStyle="1" w:styleId="18">
    <w:name w:val="批注文字 字符"/>
    <w:basedOn w:val="10"/>
    <w:link w:val="2"/>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font0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1999</Words>
  <Characters>2293</Characters>
  <Lines>685</Lines>
  <Paragraphs>971</Paragraphs>
  <TotalTime>0</TotalTime>
  <ScaleCrop>false</ScaleCrop>
  <LinksUpToDate>false</LinksUpToDate>
  <CharactersWithSpaces>2294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2026-07-27T00:49:00Z</dcterms:created>
  <dc:creator>Tony匡</dc:creator>
  <cp:lastModifiedBy>Better Me</cp:lastModifiedBy>
  <cp:lastPrinted>2026-03-02T07:38:00Z</cp:lastPrinted>
  <dcterms:modified xsi:type="dcterms:W3CDTF">2026-08-11T01:55:16Z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F7CA476FF84E4CAFA01D38FF7487ED62_13</vt:lpwstr>
  </property>
  <property fmtid="{D5CDD505-2E9C-101B-9397-08002B2CF9AE}" pid="4" name="KSOTemplateDocerSaveRecord">
    <vt:lpwstr>eyJoZGlkIjoiMmYxOTc0NjYzMzU2ODA4YjU4NTcyYWU1MWU4OGU4MTIiLCJ1c2VySWQiOiI1Njk1NTUzMTgifQ==</vt:lpwstr>
  </property>
</Properties>
</file>