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C27C1">
      <w:pPr>
        <w:widowControl/>
        <w:spacing w:before="75" w:after="75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</w:rPr>
        <w:t>上海市光华中西医结合医院所需手术室、特检、眼科等一批医疗设备</w:t>
      </w:r>
      <w:r>
        <w:rPr>
          <w:rFonts w:hint="eastAsia" w:ascii="宋体" w:hAnsi="宋体" w:eastAsia="宋体" w:cs="宋体"/>
          <w:b/>
          <w:sz w:val="28"/>
          <w:szCs w:val="28"/>
        </w:rPr>
        <w:t>公开招标项目招标需求文件</w:t>
      </w:r>
    </w:p>
    <w:p w14:paraId="4A5E78C5">
      <w:pPr>
        <w:widowControl/>
        <w:spacing w:before="75" w:after="75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第四标包：眼科设备2</w:t>
      </w:r>
    </w:p>
    <w:p w14:paraId="5D3BB547">
      <w:pPr>
        <w:rPr>
          <w:rFonts w:hint="eastAsia" w:ascii="宋体" w:hAnsi="宋体" w:eastAsia="宋体" w:cs="宋体"/>
          <w:b/>
          <w:bCs/>
          <w:kern w:val="0"/>
          <w:sz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</w:rPr>
        <w:t>一、项目概况</w:t>
      </w:r>
    </w:p>
    <w:p w14:paraId="004FD204">
      <w:pPr>
        <w:pStyle w:val="2"/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设备数量</w:t>
      </w:r>
    </w:p>
    <w:tbl>
      <w:tblPr>
        <w:tblStyle w:val="6"/>
        <w:tblW w:w="860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078"/>
        <w:gridCol w:w="1400"/>
        <w:gridCol w:w="1717"/>
        <w:gridCol w:w="1733"/>
      </w:tblGrid>
      <w:tr w14:paraId="0A6D6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F2B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序号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CF2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设备名称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D23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数量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09D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设备</w:t>
            </w:r>
          </w:p>
          <w:p w14:paraId="1E9AF6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单价限价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9DD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设备核价限价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（万元）</w:t>
            </w:r>
          </w:p>
        </w:tc>
      </w:tr>
      <w:tr w14:paraId="43A2E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D9EA7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A79E9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眼表综合分析仪（角膜地形图）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D5119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95444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60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C764E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60</w:t>
            </w:r>
          </w:p>
        </w:tc>
      </w:tr>
      <w:tr w14:paraId="19932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B0CDA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合计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15DF41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60</w:t>
            </w:r>
          </w:p>
        </w:tc>
      </w:tr>
    </w:tbl>
    <w:p w14:paraId="1FE62EBB">
      <w:pPr>
        <w:rPr>
          <w:rFonts w:hint="eastAsia" w:ascii="宋体" w:hAnsi="宋体" w:eastAsia="宋体" w:cs="宋体"/>
          <w:b/>
          <w:bCs/>
          <w:kern w:val="0"/>
          <w:sz w:val="24"/>
        </w:rPr>
      </w:pPr>
    </w:p>
    <w:p w14:paraId="4684B12E">
      <w:pPr>
        <w:pStyle w:val="10"/>
        <w:spacing w:line="360" w:lineRule="auto"/>
        <w:ind w:firstLine="0" w:firstLineChars="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2、交货期限及交货地点：合同签订后45天内完成所有设备的交付、安装、调试。交货地点为上海市光华中西医结合医院。</w:t>
      </w:r>
    </w:p>
    <w:p w14:paraId="279838D2">
      <w:pPr>
        <w:pStyle w:val="10"/>
        <w:spacing w:line="360" w:lineRule="auto"/>
        <w:ind w:firstLine="0" w:firstLineChars="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、付款方式：合同签订后支付合同金额的30%，设备交付、安装、调试完成后支付合同的金额的60%，质保期满一年支付合同剩余金额；实际支付以财政批复为准，具体支付节点及金额以财政最终核定为准。若财政批复金额低于合同暂定金额，双方应依据批复金额对合同价款进行相应调整；若财政未批复或批复延迟，付款期限相应顺延，采购人不承担违约责任。</w:t>
      </w:r>
    </w:p>
    <w:p w14:paraId="0AA4EE29">
      <w:pPr>
        <w:pStyle w:val="10"/>
        <w:spacing w:line="360" w:lineRule="auto"/>
        <w:ind w:firstLine="0" w:firstLineChars="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具体根据合同约定条款进行支付；采购合同应明确资金支付的方式、时间和条件，明确逾期支付资金的违约责任。</w:t>
      </w:r>
    </w:p>
    <w:p w14:paraId="5B359BAC">
      <w:pPr>
        <w:pStyle w:val="10"/>
        <w:spacing w:line="360" w:lineRule="auto"/>
        <w:ind w:firstLine="0" w:firstLineChars="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4、本标包属于货物类招标项目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本标包核心产品有：</w:t>
      </w:r>
      <w:r>
        <w:rPr>
          <w:rFonts w:ascii="宋体" w:hAnsi="宋体" w:eastAsia="宋体" w:cs="宋体"/>
          <w:kern w:val="0"/>
          <w:sz w:val="24"/>
          <w:lang w:bidi="ar"/>
        </w:rPr>
        <w:t>眼表综合分析仪（角膜地形图）</w:t>
      </w:r>
      <w:r>
        <w:rPr>
          <w:rFonts w:hint="eastAsia" w:ascii="宋体" w:hAnsi="宋体" w:eastAsia="宋体" w:cs="宋体"/>
          <w:kern w:val="0"/>
          <w:sz w:val="24"/>
          <w:lang w:eastAsia="zh-CN" w:bidi="ar"/>
        </w:rPr>
        <w:t>。</w:t>
      </w:r>
      <w:bookmarkStart w:id="7" w:name="_GoBack"/>
      <w:bookmarkEnd w:id="7"/>
    </w:p>
    <w:p w14:paraId="3462CD48">
      <w:pPr>
        <w:pStyle w:val="10"/>
        <w:spacing w:line="360" w:lineRule="auto"/>
        <w:ind w:firstLine="0" w:firstLineChars="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5、本标包中带“▲”的为重要指标，其他为一般指标。“▲”指标需提供技术支撑材料。</w:t>
      </w:r>
    </w:p>
    <w:p w14:paraId="048F067B">
      <w:pP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</w:p>
    <w:p w14:paraId="6416624F">
      <w:pPr>
        <w:widowControl/>
        <w:numPr>
          <w:ilvl w:val="0"/>
          <w:numId w:val="2"/>
        </w:numPr>
        <w:spacing w:before="75" w:after="75"/>
        <w:jc w:val="left"/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产品技术指标要求</w:t>
      </w:r>
    </w:p>
    <w:p w14:paraId="1DA9F758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</w:p>
    <w:p w14:paraId="2C0FDF26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▲1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测量技术：≥3种，至少包含干涉测量技术、红外成像技术、Placido盘技术</w:t>
      </w:r>
    </w:p>
    <w:p w14:paraId="77F08A38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2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测量光源：</w:t>
      </w:r>
      <w:bookmarkStart w:id="0" w:name="_Hlk234686486"/>
      <w:r>
        <w:rPr>
          <w:rFonts w:ascii="宋体" w:hAnsi="宋体" w:eastAsia="宋体" w:cs="宋体"/>
          <w:sz w:val="24"/>
        </w:rPr>
        <w:t>≥3种</w:t>
      </w:r>
      <w:bookmarkEnd w:id="0"/>
      <w:r>
        <w:rPr>
          <w:rFonts w:ascii="宋体" w:hAnsi="宋体" w:eastAsia="宋体" w:cs="宋体"/>
          <w:sz w:val="24"/>
        </w:rPr>
        <w:t>，至少包含红外LED ，波长范围：800nm-900nm；</w:t>
      </w:r>
    </w:p>
    <w:p w14:paraId="61F3893E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白色LED， 波长范围：400nm-750nm</w:t>
      </w:r>
    </w:p>
    <w:p w14:paraId="56E4F5F3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钴蓝色光 ，波长范围：410nm-520nm</w:t>
      </w:r>
    </w:p>
    <w:p w14:paraId="28BC50BB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3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对焦方式：≥2种，</w:t>
      </w:r>
      <w:bookmarkStart w:id="1" w:name="_Hlk234686499"/>
      <w:bookmarkStart w:id="2" w:name="_Hlk234686529"/>
      <w:r>
        <w:rPr>
          <w:rFonts w:ascii="宋体" w:hAnsi="宋体" w:eastAsia="宋体" w:cs="宋体"/>
          <w:sz w:val="24"/>
        </w:rPr>
        <w:t>至少</w:t>
      </w:r>
      <w:bookmarkEnd w:id="1"/>
      <w:r>
        <w:rPr>
          <w:rFonts w:ascii="宋体" w:hAnsi="宋体" w:eastAsia="宋体" w:cs="宋体"/>
          <w:sz w:val="24"/>
        </w:rPr>
        <w:t>包含</w:t>
      </w:r>
      <w:bookmarkEnd w:id="2"/>
      <w:r>
        <w:rPr>
          <w:rFonts w:ascii="宋体" w:hAnsi="宋体" w:eastAsia="宋体" w:cs="宋体"/>
          <w:sz w:val="24"/>
        </w:rPr>
        <w:t>自动对焦、手动对焦</w:t>
      </w:r>
    </w:p>
    <w:p w14:paraId="5B71ED86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4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采集模式</w:t>
      </w:r>
      <w:bookmarkStart w:id="3" w:name="_Hlk234686410"/>
      <w:r>
        <w:rPr>
          <w:rFonts w:ascii="宋体" w:hAnsi="宋体" w:eastAsia="宋体" w:cs="宋体"/>
          <w:sz w:val="24"/>
        </w:rPr>
        <w:t>≥3种</w:t>
      </w:r>
      <w:bookmarkEnd w:id="3"/>
      <w:r>
        <w:rPr>
          <w:rFonts w:ascii="宋体" w:hAnsi="宋体" w:eastAsia="宋体" w:cs="宋体"/>
          <w:sz w:val="24"/>
        </w:rPr>
        <w:t>，至少包含单张拍摄，多张拍摄，视频拍摄</w:t>
      </w:r>
    </w:p>
    <w:p w14:paraId="3CB2147B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▲5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图像分辨率：≥2300万像素</w:t>
      </w:r>
    </w:p>
    <w:p w14:paraId="16C8949E">
      <w:pPr>
        <w:snapToGrid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ascii="宋体" w:hAnsi="宋体" w:eastAsia="宋体" w:cs="宋体"/>
          <w:b/>
          <w:bCs/>
          <w:sz w:val="24"/>
        </w:rPr>
        <w:t>6</w:t>
      </w:r>
      <w:r>
        <w:rPr>
          <w:rFonts w:hint="eastAsia" w:ascii="宋体" w:hAnsi="宋体" w:eastAsia="宋体" w:cs="宋体"/>
          <w:b/>
          <w:bCs/>
          <w:sz w:val="24"/>
        </w:rPr>
        <w:t>、</w:t>
      </w:r>
      <w:r>
        <w:rPr>
          <w:rFonts w:ascii="宋体" w:hAnsi="宋体" w:eastAsia="宋体" w:cs="宋体"/>
          <w:b/>
          <w:bCs/>
          <w:sz w:val="24"/>
        </w:rPr>
        <w:t>干眼检查功能：</w:t>
      </w:r>
    </w:p>
    <w:p w14:paraId="27FA3463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6.1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检查模式：具备智能导航模式</w:t>
      </w:r>
    </w:p>
    <w:p w14:paraId="44B87C47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6.2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干眼自动评估系统：具有自动诊断干眼各项指标正常与否功能</w:t>
      </w:r>
    </w:p>
    <w:p w14:paraId="7484801D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▲6.3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干眼问卷量表：至少包含中国干眼问卷&amp;OSDI&amp;DEQ5报告，可自动评分，自动诊断干眼严重程度</w:t>
      </w:r>
    </w:p>
    <w:p w14:paraId="1A33CDF3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6.4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非侵入泪膜破裂时间：至少包含动态视频、泪膜破裂地形图、泪膜破裂分布曲线、首次破裂时间、平均破裂时间等指标</w:t>
      </w:r>
    </w:p>
    <w:p w14:paraId="5070AF07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6.5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泪河高度测量模式：≥2种，至少包含 AI自动测量，手动测量</w:t>
      </w:r>
      <w:bookmarkStart w:id="4" w:name="_Hlk234687044"/>
      <w:r>
        <w:rPr>
          <w:rFonts w:ascii="宋体" w:hAnsi="宋体" w:eastAsia="宋体" w:cs="宋体"/>
          <w:sz w:val="24"/>
        </w:rPr>
        <w:t>模式</w:t>
      </w:r>
      <w:bookmarkEnd w:id="4"/>
    </w:p>
    <w:p w14:paraId="0DF791E3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▲6.6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脂质层厚度测量：具备干涉测量模块，利用干涉测量技术干涉成像，具备测量每次瞬目后的平均脂质层厚度功能</w:t>
      </w:r>
    </w:p>
    <w:p w14:paraId="6DA46BFB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6.7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脂质层厚度显示范围：0-100+nm，测量精度≤1nm</w:t>
      </w:r>
    </w:p>
    <w:p w14:paraId="57CF7711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6.8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眨眼分析：至少包含眨眼频率、不完全眨眼次数、完全眨眼次数、眨眼间隔、瞬目质量等指标</w:t>
      </w:r>
    </w:p>
    <w:p w14:paraId="4D179CD1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6.9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瞬目质量测量范围：0-100</w:t>
      </w:r>
    </w:p>
    <w:p w14:paraId="1DE7EF5F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6.10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睑板腺量化分析：通过红外技术拍摄上下睑板腺，可自动进行缺失率量化分析，可提供睑板腺3D成像</w:t>
      </w:r>
    </w:p>
    <w:p w14:paraId="65D6C323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6.11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睑缘分析：</w:t>
      </w:r>
      <w:bookmarkStart w:id="5" w:name="_Hlk234687452"/>
      <w:r>
        <w:rPr>
          <w:rFonts w:ascii="宋体" w:hAnsi="宋体" w:eastAsia="宋体" w:cs="宋体"/>
          <w:sz w:val="24"/>
        </w:rPr>
        <w:t>具备</w:t>
      </w:r>
      <w:bookmarkEnd w:id="5"/>
      <w:r>
        <w:rPr>
          <w:rFonts w:ascii="宋体" w:hAnsi="宋体" w:eastAsia="宋体" w:cs="宋体"/>
          <w:sz w:val="24"/>
        </w:rPr>
        <w:t>提供睑缘和腺体开口高清图像功能</w:t>
      </w:r>
    </w:p>
    <w:p w14:paraId="7B08F552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6.12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眼红分析：具备高清拍摄结膜血管图像功能，可通过与分级量化模版比对分级，评估结膜充血严重程度。</w:t>
      </w:r>
    </w:p>
    <w:p w14:paraId="21B8424D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6.13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螨虫检查：可以提供睫毛根部的袖套状分泌物及鳞屑高清图片，通过与分级量化模版比对，评估蠕行螨睑缘炎严重程度。</w:t>
      </w:r>
    </w:p>
    <w:p w14:paraId="34D45306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6.14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角膜染色观察：可利用钴蓝光评估角膜上皮完整性，检查角膜炎症或黏蛋白缺乏型干眼</w:t>
      </w:r>
    </w:p>
    <w:p w14:paraId="5081D8DB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6.15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干眼综合报告：具备一键自动生成单页综合诊断报告功能，提供五边形雷达图，从而自动诊断干眼类型</w:t>
      </w:r>
    </w:p>
    <w:p w14:paraId="206934EF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▲6.16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干眼报告模式：</w:t>
      </w:r>
      <w:bookmarkStart w:id="6" w:name="_Hlk234687932"/>
      <w:r>
        <w:rPr>
          <w:rFonts w:ascii="宋体" w:hAnsi="宋体" w:eastAsia="宋体" w:cs="宋体"/>
          <w:sz w:val="24"/>
        </w:rPr>
        <w:t>≥6种</w:t>
      </w:r>
      <w:bookmarkEnd w:id="6"/>
      <w:r>
        <w:rPr>
          <w:rFonts w:ascii="宋体" w:hAnsi="宋体" w:eastAsia="宋体" w:cs="宋体"/>
          <w:sz w:val="24"/>
        </w:rPr>
        <w:t>，至少包含 综合报告、单页报告、治疗报告、随访报告、单目报告、双目报告</w:t>
      </w:r>
    </w:p>
    <w:p w14:paraId="7F207376">
      <w:pPr>
        <w:snapToGrid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ascii="宋体" w:hAnsi="宋体" w:eastAsia="宋体" w:cs="宋体"/>
          <w:b/>
          <w:bCs/>
          <w:sz w:val="24"/>
        </w:rPr>
        <w:t>7</w:t>
      </w:r>
      <w:r>
        <w:rPr>
          <w:rFonts w:hint="eastAsia" w:ascii="宋体" w:hAnsi="宋体" w:eastAsia="宋体" w:cs="宋体"/>
          <w:b/>
          <w:bCs/>
          <w:sz w:val="24"/>
        </w:rPr>
        <w:t>、</w:t>
      </w:r>
      <w:r>
        <w:rPr>
          <w:rFonts w:ascii="宋体" w:hAnsi="宋体" w:eastAsia="宋体" w:cs="宋体"/>
          <w:b/>
          <w:bCs/>
          <w:sz w:val="24"/>
        </w:rPr>
        <w:t>角膜地形图功能：</w:t>
      </w:r>
    </w:p>
    <w:p w14:paraId="1AFA7061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▲7.1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Placido环数：≥24环</w:t>
      </w:r>
    </w:p>
    <w:p w14:paraId="14B5EC1E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▲7.2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测量点数：≥8640个测量点</w:t>
      </w:r>
    </w:p>
    <w:p w14:paraId="222FFB30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7.3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角膜地形图：至少包含圆锥角膜筛查，角膜接触镜模拟验配，像差分析功能</w:t>
      </w:r>
    </w:p>
    <w:p w14:paraId="25C4346F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7.4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角膜地形分析图：至少包含角膜轴向曲率、角膜切向曲率、屈光力图等参数</w:t>
      </w:r>
    </w:p>
    <w:p w14:paraId="731C518D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7.5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瞳孔测量模式：≥3种，至少包含 暗视觉、中间视觉、明视觉测量</w:t>
      </w:r>
    </w:p>
    <w:p w14:paraId="20717627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7.6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动态瞳孔测量：可以提供从明视条件到暗视条件的瞳孔变化曲线图</w:t>
      </w:r>
    </w:p>
    <w:p w14:paraId="29332D69">
      <w:pPr>
        <w:snapToGrid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8、</w:t>
      </w:r>
      <w:r>
        <w:rPr>
          <w:rFonts w:ascii="宋体" w:hAnsi="宋体" w:eastAsia="宋体" w:cs="宋体"/>
          <w:b/>
          <w:bCs/>
          <w:sz w:val="24"/>
        </w:rPr>
        <w:t>配置清单</w:t>
      </w:r>
    </w:p>
    <w:p w14:paraId="65AFDB83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8.1、</w:t>
      </w:r>
      <w:r>
        <w:rPr>
          <w:rFonts w:ascii="宋体" w:hAnsi="宋体" w:eastAsia="宋体" w:cs="宋体"/>
          <w:sz w:val="24"/>
        </w:rPr>
        <w:t>干眼和角膜地形图测试仪主机                   1台</w:t>
      </w:r>
    </w:p>
    <w:p w14:paraId="184F16CA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8.2、</w:t>
      </w:r>
      <w:r>
        <w:rPr>
          <w:rFonts w:ascii="宋体" w:hAnsi="宋体" w:eastAsia="宋体" w:cs="宋体"/>
          <w:sz w:val="24"/>
        </w:rPr>
        <w:t>电脑工作站                                   1台</w:t>
      </w:r>
    </w:p>
    <w:p w14:paraId="5BF04CF9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8.3、</w:t>
      </w:r>
      <w:r>
        <w:rPr>
          <w:rFonts w:ascii="宋体" w:hAnsi="宋体" w:eastAsia="宋体" w:cs="宋体"/>
          <w:sz w:val="24"/>
        </w:rPr>
        <w:t>打印机                                       1台</w:t>
      </w:r>
    </w:p>
    <w:p w14:paraId="2CC5CDF1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8.4、</w:t>
      </w:r>
      <w:r>
        <w:rPr>
          <w:rFonts w:ascii="宋体" w:hAnsi="宋体" w:eastAsia="宋体" w:cs="宋体"/>
          <w:sz w:val="24"/>
        </w:rPr>
        <w:t>电动升降台                                   1台</w:t>
      </w:r>
    </w:p>
    <w:p w14:paraId="01E9E360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</w:p>
    <w:p w14:paraId="4273CDF6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/>
          <w:sz w:val="28"/>
          <w:szCs w:val="28"/>
        </w:rPr>
        <w:t>三、售后服务要求</w:t>
      </w:r>
    </w:p>
    <w:p w14:paraId="13FD7832">
      <w:pPr>
        <w:widowControl/>
        <w:numPr>
          <w:ilvl w:val="0"/>
          <w:numId w:val="3"/>
        </w:numPr>
        <w:jc w:val="left"/>
        <w:rPr>
          <w:rFonts w:hint="eastAsia" w:ascii="宋体" w:hAnsi="宋体" w:cs="Arial"/>
          <w:bCs/>
          <w:sz w:val="24"/>
        </w:rPr>
      </w:pPr>
      <w:r>
        <w:rPr>
          <w:rFonts w:hint="eastAsia" w:ascii="宋体" w:hAnsi="宋体" w:cs="Arial"/>
          <w:bCs/>
          <w:sz w:val="24"/>
        </w:rPr>
        <w:t>供应商或原厂在国内设立专业的维修机构。</w:t>
      </w:r>
    </w:p>
    <w:p w14:paraId="7DF8D780">
      <w:pPr>
        <w:numPr>
          <w:ilvl w:val="0"/>
          <w:numId w:val="3"/>
        </w:numPr>
        <w:spacing w:line="400" w:lineRule="exact"/>
        <w:rPr>
          <w:rFonts w:hint="eastAsia" w:ascii="宋体" w:hAnsi="宋体" w:cs="Arial"/>
          <w:bCs/>
          <w:sz w:val="24"/>
        </w:rPr>
      </w:pPr>
      <w:r>
        <w:rPr>
          <w:rFonts w:hint="eastAsia" w:ascii="宋体" w:hAnsi="宋体" w:cs="Arial"/>
          <w:bCs/>
          <w:sz w:val="24"/>
        </w:rPr>
        <w:t>质保期限要求：如无特殊要求，本标包所有投标产品交付采购人并经验收通过后不少于3年。</w:t>
      </w:r>
    </w:p>
    <w:p w14:paraId="4E703253">
      <w:pPr>
        <w:numPr>
          <w:ilvl w:val="0"/>
          <w:numId w:val="3"/>
        </w:numPr>
        <w:spacing w:line="400" w:lineRule="exact"/>
        <w:rPr>
          <w:rFonts w:hint="eastAsia" w:ascii="宋体" w:hAnsi="宋体" w:cs="Arial"/>
          <w:bCs/>
          <w:sz w:val="24"/>
        </w:rPr>
      </w:pPr>
      <w:r>
        <w:rPr>
          <w:rFonts w:hint="eastAsia" w:ascii="宋体" w:hAnsi="宋体" w:cs="Arial"/>
          <w:bCs/>
          <w:sz w:val="24"/>
        </w:rPr>
        <w:t>履约验收要求：项目履约验收工作具体依据项目合同中的履约验收方案执行。合同中的履约验收方案将明确履约验收的主体、时间、方式、程序、内容和验收标准等事项。</w:t>
      </w:r>
    </w:p>
    <w:p w14:paraId="4147787D">
      <w:pPr>
        <w:numPr>
          <w:ilvl w:val="0"/>
          <w:numId w:val="3"/>
        </w:numPr>
        <w:spacing w:line="400" w:lineRule="exact"/>
        <w:rPr>
          <w:rFonts w:hint="eastAsia" w:ascii="宋体" w:hAnsi="宋体" w:cs="Arial"/>
          <w:bCs/>
          <w:sz w:val="24"/>
        </w:rPr>
      </w:pPr>
      <w:r>
        <w:rPr>
          <w:rFonts w:hint="eastAsia" w:ascii="宋体" w:hAnsi="宋体" w:cs="Arial"/>
          <w:bCs/>
          <w:sz w:val="24"/>
        </w:rPr>
        <w:t>供应商需提供设备安装需要的基建要求，包括场地面积、承重、层高、用电等情况（如有）。设备安装验收后提供免费培训服务，提供与设备相关的操作手册和使用说明书。</w:t>
      </w:r>
    </w:p>
    <w:p w14:paraId="6DE6212F">
      <w:pPr>
        <w:numPr>
          <w:ilvl w:val="0"/>
          <w:numId w:val="3"/>
        </w:numPr>
        <w:spacing w:line="400" w:lineRule="exact"/>
        <w:rPr>
          <w:rFonts w:hint="eastAsia" w:ascii="宋体" w:hAnsi="宋体" w:cs="Arial"/>
          <w:bCs/>
          <w:sz w:val="24"/>
        </w:rPr>
      </w:pPr>
      <w:r>
        <w:rPr>
          <w:rFonts w:hint="eastAsia" w:ascii="宋体" w:hAnsi="宋体" w:cs="Arial"/>
          <w:bCs/>
          <w:sz w:val="24"/>
        </w:rPr>
        <w:t>供应商需承诺设备接口免费开放，免费接入医院综合运营系统，如有端口费用由中标方承担。</w:t>
      </w:r>
    </w:p>
    <w:p w14:paraId="3093F6BF">
      <w:pPr>
        <w:numPr>
          <w:ilvl w:val="0"/>
          <w:numId w:val="3"/>
        </w:numPr>
        <w:spacing w:line="400" w:lineRule="exact"/>
        <w:rPr>
          <w:rFonts w:hint="eastAsia" w:ascii="宋体" w:hAnsi="宋体" w:cs="Arial"/>
          <w:bCs/>
          <w:sz w:val="24"/>
        </w:rPr>
      </w:pPr>
      <w:r>
        <w:rPr>
          <w:rFonts w:hint="eastAsia" w:ascii="宋体" w:hAnsi="宋体" w:cs="Arial"/>
          <w:bCs/>
          <w:sz w:val="24"/>
        </w:rPr>
        <w:t>本次报价包含设备费用、安装调试费、运输费、包装费、税金等完成本项目所需要的所有费用。</w:t>
      </w:r>
    </w:p>
    <w:p w14:paraId="376DBBCE">
      <w:pPr>
        <w:numPr>
          <w:ilvl w:val="0"/>
          <w:numId w:val="3"/>
        </w:numPr>
        <w:spacing w:line="360" w:lineRule="auto"/>
        <w:rPr>
          <w:rFonts w:hint="eastAsia" w:ascii="宋体" w:hAnsi="宋体" w:cs="Arial"/>
          <w:bCs/>
          <w:sz w:val="24"/>
        </w:rPr>
      </w:pPr>
      <w:r>
        <w:rPr>
          <w:rFonts w:hint="eastAsia" w:ascii="宋体" w:hAnsi="宋体" w:cs="Arial"/>
          <w:bCs/>
          <w:sz w:val="24"/>
        </w:rPr>
        <w:t>后续的全生命周期成本及备品备件采购价格情况等相关说明。</w:t>
      </w:r>
    </w:p>
    <w:p w14:paraId="07CA8D14">
      <w:pPr>
        <w:numPr>
          <w:ilvl w:val="0"/>
          <w:numId w:val="3"/>
        </w:numPr>
        <w:spacing w:line="400" w:lineRule="exac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Arial"/>
          <w:bCs/>
          <w:sz w:val="24"/>
        </w:rPr>
        <w:t>本项目需由供应商提供设计方案、解决方案或者组织方案以及技术支持资料。</w:t>
      </w:r>
    </w:p>
    <w:p w14:paraId="02B8437C">
      <w:pPr>
        <w:widowControl/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4"/>
        </w:rPr>
      </w:pPr>
    </w:p>
    <w:sectPr>
      <w:headerReference r:id="rId3" w:type="default"/>
      <w:footerReference r:id="rId4" w:type="default"/>
      <w:pgSz w:w="11906" w:h="16838"/>
      <w:pgMar w:top="1417" w:right="1800" w:bottom="1134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8771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0C350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0C350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F985B">
    <w:pPr>
      <w:pStyle w:val="4"/>
      <w:pBdr>
        <w:bottom w:val="none" w:color="auto" w:sz="0" w:space="0"/>
      </w:pBdr>
      <w:jc w:val="both"/>
      <w:rPr>
        <w:rFonts w:hint="eastAsia"/>
        <w:lang w:val="en-US" w:eastAsia="zh-CN"/>
      </w:rPr>
    </w:pPr>
    <w:r>
      <w:rPr>
        <w:rFonts w:hint="eastAsia"/>
        <w:lang w:val="en-US" w:eastAsia="zh-CN"/>
      </w:rPr>
      <w:t>ZC20260146      上海市光华中西医结合医院所需手术室、特检、眼科等一批医疗设备公开招标项目</w:t>
    </w:r>
  </w:p>
  <w:p w14:paraId="05E5B57A">
    <w:pPr>
      <w:pStyle w:val="4"/>
      <w:pBdr>
        <w:bottom w:val="single" w:color="auto" w:sz="4" w:space="0"/>
      </w:pBdr>
    </w:pP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>招标需求文件 第四标包</w:t>
    </w:r>
    <w:r>
      <w:rPr>
        <w:rFonts w:hint="eastAsia"/>
        <w:lang w:val="en-US" w:eastAsia="zh-CN"/>
      </w:rPr>
      <w:tab/>
    </w:r>
  </w:p>
  <w:p w14:paraId="71AE7E0F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361D5D"/>
    <w:multiLevelType w:val="singleLevel"/>
    <w:tmpl w:val="C8361D5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932B0C3"/>
    <w:multiLevelType w:val="singleLevel"/>
    <w:tmpl w:val="1932B0C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F87FA6D"/>
    <w:multiLevelType w:val="singleLevel"/>
    <w:tmpl w:val="7F87FA6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E405B"/>
    <w:rsid w:val="00022EFA"/>
    <w:rsid w:val="00035EAC"/>
    <w:rsid w:val="0004043F"/>
    <w:rsid w:val="00042DF9"/>
    <w:rsid w:val="0004742D"/>
    <w:rsid w:val="00072908"/>
    <w:rsid w:val="00081CFA"/>
    <w:rsid w:val="000976DF"/>
    <w:rsid w:val="000A1166"/>
    <w:rsid w:val="000C5E21"/>
    <w:rsid w:val="000D3A93"/>
    <w:rsid w:val="000E7EC1"/>
    <w:rsid w:val="001C519E"/>
    <w:rsid w:val="001F552B"/>
    <w:rsid w:val="001F6B12"/>
    <w:rsid w:val="002334C0"/>
    <w:rsid w:val="00247581"/>
    <w:rsid w:val="002805D6"/>
    <w:rsid w:val="002A03E7"/>
    <w:rsid w:val="002D0BCA"/>
    <w:rsid w:val="00342C2F"/>
    <w:rsid w:val="003C23E7"/>
    <w:rsid w:val="003E5968"/>
    <w:rsid w:val="00400925"/>
    <w:rsid w:val="00437DCC"/>
    <w:rsid w:val="00465DC9"/>
    <w:rsid w:val="004719D3"/>
    <w:rsid w:val="00490201"/>
    <w:rsid w:val="00523BA1"/>
    <w:rsid w:val="00541888"/>
    <w:rsid w:val="00560C8E"/>
    <w:rsid w:val="00580B8F"/>
    <w:rsid w:val="00590F92"/>
    <w:rsid w:val="005A1228"/>
    <w:rsid w:val="005C13A2"/>
    <w:rsid w:val="0063001F"/>
    <w:rsid w:val="0063053C"/>
    <w:rsid w:val="00650DFB"/>
    <w:rsid w:val="0067676E"/>
    <w:rsid w:val="006D19F8"/>
    <w:rsid w:val="006D218B"/>
    <w:rsid w:val="0072541A"/>
    <w:rsid w:val="007376D1"/>
    <w:rsid w:val="007531BC"/>
    <w:rsid w:val="0079342F"/>
    <w:rsid w:val="00797464"/>
    <w:rsid w:val="007C3829"/>
    <w:rsid w:val="00806425"/>
    <w:rsid w:val="008455F1"/>
    <w:rsid w:val="00886D84"/>
    <w:rsid w:val="008A72D5"/>
    <w:rsid w:val="008E4BC5"/>
    <w:rsid w:val="008F0017"/>
    <w:rsid w:val="008F5826"/>
    <w:rsid w:val="00922D26"/>
    <w:rsid w:val="00995408"/>
    <w:rsid w:val="009A103B"/>
    <w:rsid w:val="009B53A8"/>
    <w:rsid w:val="009F725A"/>
    <w:rsid w:val="00A3280E"/>
    <w:rsid w:val="00AE5E5A"/>
    <w:rsid w:val="00AE7981"/>
    <w:rsid w:val="00AF5F2D"/>
    <w:rsid w:val="00B36B0B"/>
    <w:rsid w:val="00B44E25"/>
    <w:rsid w:val="00B50461"/>
    <w:rsid w:val="00B54471"/>
    <w:rsid w:val="00B96C5A"/>
    <w:rsid w:val="00BA2013"/>
    <w:rsid w:val="00BB4911"/>
    <w:rsid w:val="00BD08B4"/>
    <w:rsid w:val="00C10A28"/>
    <w:rsid w:val="00C27F0A"/>
    <w:rsid w:val="00C50CD7"/>
    <w:rsid w:val="00C975FE"/>
    <w:rsid w:val="00CF5AB3"/>
    <w:rsid w:val="00D24B9E"/>
    <w:rsid w:val="00D81FC4"/>
    <w:rsid w:val="00D860BF"/>
    <w:rsid w:val="00DD41E8"/>
    <w:rsid w:val="00DE11FD"/>
    <w:rsid w:val="00E0598D"/>
    <w:rsid w:val="00E336B3"/>
    <w:rsid w:val="00EA3583"/>
    <w:rsid w:val="00ED031B"/>
    <w:rsid w:val="00EE0C54"/>
    <w:rsid w:val="00F32C80"/>
    <w:rsid w:val="00F72342"/>
    <w:rsid w:val="00F8122D"/>
    <w:rsid w:val="00F83FBF"/>
    <w:rsid w:val="00FB7DAC"/>
    <w:rsid w:val="00FD1C22"/>
    <w:rsid w:val="01311D17"/>
    <w:rsid w:val="04FA17D2"/>
    <w:rsid w:val="06EA7FE5"/>
    <w:rsid w:val="0BEB51B8"/>
    <w:rsid w:val="1AD05D20"/>
    <w:rsid w:val="1FC70196"/>
    <w:rsid w:val="20F024D5"/>
    <w:rsid w:val="21FA7AAB"/>
    <w:rsid w:val="22EF5136"/>
    <w:rsid w:val="26C568DA"/>
    <w:rsid w:val="32195D2C"/>
    <w:rsid w:val="37CB7AC8"/>
    <w:rsid w:val="384F24A7"/>
    <w:rsid w:val="39567866"/>
    <w:rsid w:val="3C8B40B8"/>
    <w:rsid w:val="42944DD8"/>
    <w:rsid w:val="44D3620E"/>
    <w:rsid w:val="46630309"/>
    <w:rsid w:val="46E95125"/>
    <w:rsid w:val="48A831A4"/>
    <w:rsid w:val="48E11085"/>
    <w:rsid w:val="492A6786"/>
    <w:rsid w:val="4ACE3700"/>
    <w:rsid w:val="4D335E5A"/>
    <w:rsid w:val="5108561A"/>
    <w:rsid w:val="59102330"/>
    <w:rsid w:val="598938B1"/>
    <w:rsid w:val="5A625C12"/>
    <w:rsid w:val="5F8A1E93"/>
    <w:rsid w:val="614B7400"/>
    <w:rsid w:val="623B3F16"/>
    <w:rsid w:val="64AB3741"/>
    <w:rsid w:val="746740F9"/>
    <w:rsid w:val="74A964C0"/>
    <w:rsid w:val="754272F6"/>
    <w:rsid w:val="756E405B"/>
    <w:rsid w:val="779F7C32"/>
    <w:rsid w:val="78FE2B52"/>
    <w:rsid w:val="7A0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</w:rPr>
  </w:style>
  <w:style w:type="paragraph" w:styleId="3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styleId="9">
    <w:name w:val="HTML Sample"/>
    <w:basedOn w:val="7"/>
    <w:qFormat/>
    <w:uiPriority w:val="0"/>
    <w:rPr>
      <w:rFonts w:ascii="Courier New" w:hAnsi="Courier New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12">
    <w:name w:val="页脚 字符"/>
    <w:basedOn w:val="7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1797</Words>
  <Characters>1941</Characters>
  <Lines>59</Lines>
  <Paragraphs>75</Paragraphs>
  <TotalTime>0</TotalTime>
  <ScaleCrop>false</ScaleCrop>
  <LinksUpToDate>false</LinksUpToDate>
  <CharactersWithSpaces>2075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2026-03-02T03:14:00Z</dcterms:created>
  <dc:creator>Tony匡</dc:creator>
  <cp:lastModifiedBy>Better Me</cp:lastModifiedBy>
  <cp:lastPrinted>2026-03-02T07:38:00Z</cp:lastPrinted>
  <dcterms:modified xsi:type="dcterms:W3CDTF">2026-08-11T02:08:00Z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2BF47EB13E3244DEB6CA390BA2AB5444_13</vt:lpwstr>
  </property>
  <property fmtid="{D5CDD505-2E9C-101B-9397-08002B2CF9AE}" pid="4" name="KSOTemplateDocerSaveRecord">
    <vt:lpwstr>eyJoZGlkIjoiMmYxOTc0NjYzMzU2ODA4YjU4NTcyYWU1MWU4OGU4MTIiLCJ1c2VySWQiOiI1Njk1NTUzMTgifQ==</vt:lpwstr>
  </property>
</Properties>
</file>