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8D0AF">
      <w:pPr>
        <w:widowControl/>
        <w:spacing w:before="75" w:after="75"/>
        <w:jc w:val="center"/>
        <w:rPr>
          <w:rFonts w:hint="eastAsia" w:ascii="宋体" w:hAnsi="宋体" w:eastAsia="宋体" w:cs="宋体"/>
          <w:b/>
          <w:color w:val="auto"/>
          <w:sz w:val="28"/>
          <w:szCs w:val="28"/>
          <w:highlight w:val="none"/>
        </w:rPr>
      </w:pPr>
      <w:r>
        <w:rPr>
          <w:rFonts w:ascii="宋体" w:hAnsi="宋体" w:eastAsia="宋体" w:cs="宋体"/>
          <w:b/>
          <w:color w:val="auto"/>
          <w:sz w:val="28"/>
          <w:szCs w:val="28"/>
          <w:highlight w:val="none"/>
        </w:rPr>
        <w:t>上海市光华中西医结合医院所</w:t>
      </w:r>
      <w:r>
        <w:rPr>
          <w:rFonts w:ascii="宋体" w:hAnsi="宋体" w:eastAsia="宋体" w:cs="宋体"/>
          <w:b/>
          <w:color w:val="auto"/>
          <w:sz w:val="28"/>
          <w:szCs w:val="28"/>
          <w:highlight w:val="none"/>
        </w:rPr>
        <w:t>需</w:t>
      </w:r>
      <w:r>
        <w:rPr>
          <w:rFonts w:hint="eastAsia" w:ascii="宋体" w:hAnsi="宋体" w:eastAsia="宋体" w:cs="宋体"/>
          <w:b/>
          <w:color w:val="auto"/>
          <w:sz w:val="28"/>
          <w:szCs w:val="28"/>
          <w:highlight w:val="none"/>
          <w:lang w:val="en-US" w:eastAsia="zh-CN"/>
        </w:rPr>
        <w:t>检验科、</w:t>
      </w:r>
      <w:r>
        <w:rPr>
          <w:rFonts w:ascii="宋体" w:hAnsi="宋体" w:eastAsia="宋体" w:cs="宋体"/>
          <w:b/>
          <w:color w:val="auto"/>
          <w:sz w:val="28"/>
          <w:szCs w:val="28"/>
          <w:highlight w:val="none"/>
        </w:rPr>
        <w:t>手术室、特检、眼科等一</w:t>
      </w:r>
      <w:r>
        <w:rPr>
          <w:rFonts w:ascii="宋体" w:hAnsi="宋体" w:eastAsia="宋体" w:cs="宋体"/>
          <w:b/>
          <w:color w:val="auto"/>
          <w:sz w:val="28"/>
          <w:szCs w:val="28"/>
          <w:highlight w:val="none"/>
        </w:rPr>
        <w:t>批医疗设备</w:t>
      </w:r>
      <w:r>
        <w:rPr>
          <w:rFonts w:hint="eastAsia" w:ascii="宋体" w:hAnsi="宋体" w:eastAsia="宋体" w:cs="宋体"/>
          <w:b/>
          <w:color w:val="auto"/>
          <w:sz w:val="28"/>
          <w:szCs w:val="28"/>
          <w:highlight w:val="none"/>
        </w:rPr>
        <w:t>公开招标项目招标需求文件</w:t>
      </w:r>
    </w:p>
    <w:p w14:paraId="285DA14F">
      <w:pPr>
        <w:widowControl/>
        <w:spacing w:before="75" w:after="75"/>
        <w:jc w:val="left"/>
        <w:rPr>
          <w:rStyle w:val="12"/>
          <w:rFonts w:hint="eastAsia" w:ascii="仿宋" w:hAnsi="仿宋" w:eastAsia="仿宋" w:cs="仿宋"/>
          <w:color w:val="auto"/>
          <w:sz w:val="27"/>
          <w:szCs w:val="27"/>
          <w:highlight w:val="none"/>
        </w:rPr>
      </w:pPr>
      <w:r>
        <w:rPr>
          <w:rStyle w:val="12"/>
          <w:rFonts w:hint="eastAsia" w:ascii="仿宋" w:hAnsi="仿宋" w:eastAsia="仿宋" w:cs="仿宋"/>
          <w:color w:val="auto"/>
          <w:sz w:val="27"/>
          <w:szCs w:val="27"/>
          <w:highlight w:val="none"/>
        </w:rPr>
        <w:t>本项目的特定资格要求：</w:t>
      </w:r>
      <w:bookmarkStart w:id="0" w:name="_GoBack"/>
      <w:bookmarkEnd w:id="0"/>
    </w:p>
    <w:p w14:paraId="6D517355">
      <w:pPr>
        <w:pStyle w:val="6"/>
        <w:widowControl/>
        <w:spacing w:before="75" w:beforeAutospacing="0" w:after="75" w:afterAutospacing="0" w:line="420" w:lineRule="atLeast"/>
        <w:rPr>
          <w:rStyle w:val="12"/>
          <w:rFonts w:hint="default" w:ascii="仿宋" w:hAnsi="仿宋" w:eastAsia="仿宋" w:cs="仿宋"/>
          <w:color w:val="auto"/>
          <w:sz w:val="27"/>
          <w:szCs w:val="27"/>
          <w:highlight w:val="none"/>
          <w:lang w:val="en-US" w:eastAsia="zh-CN"/>
        </w:rPr>
      </w:pPr>
      <w:r>
        <w:rPr>
          <w:rStyle w:val="12"/>
          <w:rFonts w:hint="eastAsia" w:ascii="仿宋" w:hAnsi="仿宋" w:eastAsia="仿宋" w:cs="仿宋"/>
          <w:color w:val="auto"/>
          <w:sz w:val="27"/>
          <w:szCs w:val="27"/>
          <w:highlight w:val="none"/>
        </w:rPr>
        <w:t>1、符合《中华人民共和国政府采购法》第二十二条的规定</w:t>
      </w:r>
      <w:r>
        <w:rPr>
          <w:rStyle w:val="12"/>
          <w:rFonts w:hint="eastAsia" w:ascii="仿宋" w:hAnsi="仿宋" w:eastAsia="仿宋" w:cs="仿宋"/>
          <w:color w:val="auto"/>
          <w:sz w:val="27"/>
          <w:szCs w:val="27"/>
          <w:highlight w:val="none"/>
        </w:rPr>
        <w:br w:type="textWrapping"/>
      </w:r>
      <w:r>
        <w:rPr>
          <w:rStyle w:val="12"/>
          <w:rFonts w:hint="eastAsia" w:ascii="仿宋" w:hAnsi="仿宋" w:eastAsia="仿宋" w:cs="仿宋"/>
          <w:color w:val="auto"/>
          <w:sz w:val="27"/>
          <w:szCs w:val="27"/>
          <w:highlight w:val="none"/>
        </w:rPr>
        <w:t>2、未被“信用中国”（www.creditchina.gov.cn）、中国政府采购网（www.ccgp.gov.cn）列入失信被执行人、重大税收违法案件当事人名单、政府采购严重违法失信行为记录名单</w:t>
      </w:r>
      <w:r>
        <w:rPr>
          <w:rStyle w:val="12"/>
          <w:rFonts w:hint="eastAsia" w:ascii="仿宋" w:hAnsi="仿宋" w:eastAsia="仿宋" w:cs="仿宋"/>
          <w:color w:val="auto"/>
          <w:sz w:val="27"/>
          <w:szCs w:val="27"/>
          <w:highlight w:val="none"/>
        </w:rPr>
        <w:br w:type="textWrapping"/>
      </w:r>
      <w:r>
        <w:rPr>
          <w:rStyle w:val="12"/>
          <w:rFonts w:hint="eastAsia" w:ascii="仿宋" w:hAnsi="仿宋" w:eastAsia="仿宋" w:cs="仿宋"/>
          <w:color w:val="auto"/>
          <w:sz w:val="27"/>
          <w:szCs w:val="27"/>
          <w:highlight w:val="none"/>
        </w:rPr>
        <w:t>（1）供应商应当符合《中华人民共和国政府采购法》第22条所规定的条件；（2）供应商及其报价产品和服务符合国家法律法规及强制性规范所规定的条件；（3）供应商应符合相应医疗器械生产许可或医疗器械经营许可或备案管理的规定；（4）供应商具有完善的服务体系，能够提供良好的技术与服务支持；（5）本项目不接受联合投标。 （</w:t>
      </w:r>
      <w:r>
        <w:rPr>
          <w:rStyle w:val="12"/>
          <w:rFonts w:hint="eastAsia" w:ascii="仿宋" w:hAnsi="仿宋" w:eastAsia="仿宋" w:cs="仿宋"/>
          <w:color w:val="auto"/>
          <w:sz w:val="27"/>
          <w:szCs w:val="27"/>
          <w:highlight w:val="none"/>
          <w:lang w:val="en-US" w:eastAsia="zh-CN"/>
        </w:rPr>
        <w:t>6</w:t>
      </w:r>
      <w:r>
        <w:rPr>
          <w:rStyle w:val="12"/>
          <w:rFonts w:hint="eastAsia" w:ascii="仿宋" w:hAnsi="仿宋" w:eastAsia="仿宋" w:cs="仿宋"/>
          <w:color w:val="auto"/>
          <w:sz w:val="27"/>
          <w:szCs w:val="27"/>
          <w:highlight w:val="none"/>
        </w:rPr>
        <w:t>）</w:t>
      </w:r>
      <w:r>
        <w:rPr>
          <w:rStyle w:val="12"/>
          <w:rFonts w:hint="eastAsia" w:ascii="仿宋" w:hAnsi="仿宋" w:eastAsia="仿宋" w:cs="仿宋"/>
          <w:color w:val="auto"/>
          <w:sz w:val="27"/>
          <w:szCs w:val="27"/>
          <w:highlight w:val="none"/>
          <w:lang w:val="en-US" w:eastAsia="zh-CN"/>
        </w:rPr>
        <w:t>本项目经财政审批，允许采购进口产品。</w:t>
      </w:r>
    </w:p>
    <w:p w14:paraId="3F6CBE9B">
      <w:pPr>
        <w:widowControl/>
        <w:spacing w:before="75" w:after="75"/>
        <w:jc w:val="left"/>
        <w:rPr>
          <w:rStyle w:val="12"/>
          <w:rFonts w:hint="eastAsia" w:ascii="仿宋" w:hAnsi="仿宋" w:eastAsia="仿宋" w:cs="仿宋"/>
          <w:color w:val="auto"/>
          <w:sz w:val="27"/>
          <w:szCs w:val="27"/>
          <w:highlight w:val="none"/>
        </w:rPr>
      </w:pPr>
      <w:r>
        <w:rPr>
          <w:rStyle w:val="12"/>
          <w:rFonts w:hint="eastAsia" w:ascii="仿宋" w:hAnsi="仿宋" w:eastAsia="仿宋" w:cs="仿宋"/>
          <w:color w:val="auto"/>
          <w:sz w:val="27"/>
          <w:szCs w:val="27"/>
          <w:highlight w:val="none"/>
          <w:lang w:val="en-US" w:eastAsia="zh-CN"/>
        </w:rPr>
        <w:t>3、</w:t>
      </w:r>
      <w:r>
        <w:rPr>
          <w:rStyle w:val="12"/>
          <w:rFonts w:hint="eastAsia" w:ascii="仿宋" w:hAnsi="仿宋" w:eastAsia="仿宋" w:cs="仿宋"/>
          <w:color w:val="auto"/>
          <w:sz w:val="27"/>
          <w:szCs w:val="27"/>
          <w:highlight w:val="none"/>
        </w:rPr>
        <w:t>本项目面向大、中、小、微型等各类供应商采购。</w:t>
      </w:r>
    </w:p>
    <w:p w14:paraId="0F8FD69D">
      <w:pPr>
        <w:widowControl/>
        <w:spacing w:before="75" w:after="75"/>
        <w:jc w:val="center"/>
        <w:rPr>
          <w:rFonts w:hint="eastAsia" w:ascii="宋体" w:hAnsi="宋体" w:eastAsia="宋体" w:cs="宋体"/>
          <w:b/>
          <w:color w:val="auto"/>
          <w:sz w:val="28"/>
          <w:szCs w:val="28"/>
          <w:highlight w:val="none"/>
        </w:rPr>
      </w:pPr>
    </w:p>
    <w:p w14:paraId="6FBB512C">
      <w:pPr>
        <w:widowControl/>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37CA8EBC">
      <w:pPr>
        <w:widowControl/>
        <w:spacing w:before="75" w:after="75"/>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第一标包：</w:t>
      </w:r>
      <w:r>
        <w:rPr>
          <w:rFonts w:ascii="宋体" w:hAnsi="宋体" w:eastAsia="宋体" w:cs="宋体"/>
          <w:b/>
          <w:color w:val="auto"/>
          <w:sz w:val="28"/>
          <w:szCs w:val="28"/>
          <w:highlight w:val="none"/>
        </w:rPr>
        <w:t>全自动蛋白分析仪</w:t>
      </w:r>
    </w:p>
    <w:p w14:paraId="3417FB50">
      <w:pPr>
        <w:widowControl/>
        <w:spacing w:before="75" w:after="75"/>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一、项目概况</w:t>
      </w:r>
    </w:p>
    <w:p w14:paraId="0FB17339">
      <w:pPr>
        <w:pStyle w:val="3"/>
        <w:rPr>
          <w:rFonts w:hint="eastAsia" w:ascii="宋体" w:hAnsi="宋体" w:eastAsia="宋体" w:cs="宋体"/>
          <w:b/>
          <w:bCs/>
          <w:color w:val="auto"/>
          <w:kern w:val="0"/>
          <w:sz w:val="24"/>
          <w:highlight w:val="none"/>
        </w:rPr>
      </w:pPr>
      <w:r>
        <w:rPr>
          <w:rFonts w:hint="eastAsia" w:ascii="宋体" w:hAnsi="宋体" w:eastAsia="宋体" w:cs="宋体"/>
          <w:color w:val="auto"/>
          <w:kern w:val="0"/>
          <w:sz w:val="24"/>
          <w:highlight w:val="none"/>
        </w:rPr>
        <w:t>1、设备数量</w:t>
      </w:r>
    </w:p>
    <w:tbl>
      <w:tblPr>
        <w:tblStyle w:val="8"/>
        <w:tblW w:w="7856" w:type="dxa"/>
        <w:jc w:val="center"/>
        <w:tblLayout w:type="autofit"/>
        <w:tblCellMar>
          <w:top w:w="0" w:type="dxa"/>
          <w:left w:w="108" w:type="dxa"/>
          <w:bottom w:w="0" w:type="dxa"/>
          <w:right w:w="108" w:type="dxa"/>
        </w:tblCellMar>
      </w:tblPr>
      <w:tblGrid>
        <w:gridCol w:w="1057"/>
        <w:gridCol w:w="2959"/>
        <w:gridCol w:w="800"/>
        <w:gridCol w:w="1700"/>
        <w:gridCol w:w="1340"/>
      </w:tblGrid>
      <w:tr w14:paraId="315019A1">
        <w:tblPrEx>
          <w:tblCellMar>
            <w:top w:w="0" w:type="dxa"/>
            <w:left w:w="108" w:type="dxa"/>
            <w:bottom w:w="0" w:type="dxa"/>
            <w:right w:w="108" w:type="dxa"/>
          </w:tblCellMar>
        </w:tblPrEx>
        <w:trPr>
          <w:trHeight w:val="627" w:hRule="atLeast"/>
          <w:jc w:val="center"/>
        </w:trPr>
        <w:tc>
          <w:tcPr>
            <w:tcW w:w="1057" w:type="dxa"/>
            <w:tcBorders>
              <w:top w:val="single" w:color="000000" w:sz="4" w:space="0"/>
              <w:left w:val="single" w:color="000000" w:sz="4" w:space="0"/>
              <w:bottom w:val="single" w:color="000000" w:sz="4" w:space="0"/>
              <w:right w:val="single" w:color="000000" w:sz="4" w:space="0"/>
            </w:tcBorders>
            <w:vAlign w:val="center"/>
          </w:tcPr>
          <w:p w14:paraId="31872650">
            <w:pPr>
              <w:widowControl/>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2959" w:type="dxa"/>
            <w:tcBorders>
              <w:top w:val="single" w:color="000000" w:sz="4" w:space="0"/>
              <w:left w:val="single" w:color="000000" w:sz="4" w:space="0"/>
              <w:bottom w:val="single" w:color="000000" w:sz="4" w:space="0"/>
              <w:right w:val="single" w:color="000000" w:sz="4" w:space="0"/>
            </w:tcBorders>
            <w:vAlign w:val="center"/>
          </w:tcPr>
          <w:p w14:paraId="0A30CDA3">
            <w:pPr>
              <w:widowControl/>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bidi="ar"/>
              </w:rPr>
              <w:t>设备名称</w:t>
            </w:r>
          </w:p>
        </w:tc>
        <w:tc>
          <w:tcPr>
            <w:tcW w:w="800" w:type="dxa"/>
            <w:tcBorders>
              <w:top w:val="single" w:color="000000" w:sz="4" w:space="0"/>
              <w:left w:val="single" w:color="000000" w:sz="4" w:space="0"/>
              <w:bottom w:val="single" w:color="000000" w:sz="4" w:space="0"/>
              <w:right w:val="single" w:color="000000" w:sz="4" w:space="0"/>
            </w:tcBorders>
            <w:vAlign w:val="center"/>
          </w:tcPr>
          <w:p w14:paraId="30EDBA3D">
            <w:pPr>
              <w:widowControl/>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bidi="ar"/>
              </w:rPr>
              <w:t>数量</w:t>
            </w:r>
          </w:p>
        </w:tc>
        <w:tc>
          <w:tcPr>
            <w:tcW w:w="1700" w:type="dxa"/>
            <w:tcBorders>
              <w:top w:val="single" w:color="000000" w:sz="4" w:space="0"/>
              <w:left w:val="single" w:color="000000" w:sz="4" w:space="0"/>
              <w:bottom w:val="single" w:color="000000" w:sz="4" w:space="0"/>
              <w:right w:val="single" w:color="000000" w:sz="4" w:space="0"/>
            </w:tcBorders>
            <w:vAlign w:val="center"/>
          </w:tcPr>
          <w:p w14:paraId="3941513D">
            <w:pPr>
              <w:widowControl/>
              <w:jc w:val="center"/>
              <w:textAlignment w:val="center"/>
              <w:rPr>
                <w:rFonts w:hint="eastAsia" w:ascii="宋体" w:hAnsi="宋体" w:eastAsia="宋体" w:cs="宋体"/>
                <w:b/>
                <w:bCs/>
                <w:color w:val="auto"/>
                <w:kern w:val="0"/>
                <w:sz w:val="22"/>
                <w:szCs w:val="22"/>
                <w:highlight w:val="none"/>
                <w:lang w:bidi="ar"/>
              </w:rPr>
            </w:pPr>
            <w:r>
              <w:rPr>
                <w:rFonts w:hint="eastAsia" w:ascii="宋体" w:hAnsi="宋体" w:eastAsia="宋体" w:cs="宋体"/>
                <w:b/>
                <w:bCs/>
                <w:color w:val="auto"/>
                <w:kern w:val="0"/>
                <w:sz w:val="22"/>
                <w:szCs w:val="22"/>
                <w:highlight w:val="none"/>
                <w:lang w:bidi="ar"/>
              </w:rPr>
              <w:t>设备</w:t>
            </w:r>
          </w:p>
          <w:p w14:paraId="3225476D">
            <w:pPr>
              <w:widowControl/>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bidi="ar"/>
              </w:rPr>
              <w:t>单价限价</w:t>
            </w:r>
            <w:r>
              <w:rPr>
                <w:rFonts w:hint="eastAsia" w:ascii="宋体" w:hAnsi="宋体" w:eastAsia="宋体" w:cs="宋体"/>
                <w:b/>
                <w:bCs/>
                <w:color w:val="auto"/>
                <w:kern w:val="0"/>
                <w:sz w:val="22"/>
                <w:szCs w:val="22"/>
                <w:highlight w:val="none"/>
                <w:lang w:bidi="ar"/>
              </w:rPr>
              <w:br w:type="textWrapping"/>
            </w:r>
            <w:r>
              <w:rPr>
                <w:rFonts w:hint="eastAsia" w:ascii="宋体" w:hAnsi="宋体" w:eastAsia="宋体" w:cs="宋体"/>
                <w:b/>
                <w:bCs/>
                <w:color w:val="auto"/>
                <w:kern w:val="0"/>
                <w:sz w:val="22"/>
                <w:szCs w:val="22"/>
                <w:highlight w:val="none"/>
                <w:lang w:bidi="ar"/>
              </w:rPr>
              <w:t>（万元）</w:t>
            </w:r>
          </w:p>
        </w:tc>
        <w:tc>
          <w:tcPr>
            <w:tcW w:w="1340" w:type="dxa"/>
            <w:tcBorders>
              <w:top w:val="single" w:color="000000" w:sz="4" w:space="0"/>
              <w:left w:val="single" w:color="000000" w:sz="4" w:space="0"/>
              <w:bottom w:val="single" w:color="000000" w:sz="4" w:space="0"/>
              <w:right w:val="single" w:color="000000" w:sz="4" w:space="0"/>
            </w:tcBorders>
            <w:vAlign w:val="center"/>
          </w:tcPr>
          <w:p w14:paraId="46B00AA4">
            <w:pPr>
              <w:widowControl/>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bidi="ar"/>
              </w:rPr>
              <w:t>设备核价限价</w:t>
            </w:r>
            <w:r>
              <w:rPr>
                <w:rFonts w:hint="eastAsia" w:ascii="宋体" w:hAnsi="宋体" w:eastAsia="宋体" w:cs="宋体"/>
                <w:b/>
                <w:bCs/>
                <w:color w:val="auto"/>
                <w:kern w:val="0"/>
                <w:sz w:val="22"/>
                <w:szCs w:val="22"/>
                <w:highlight w:val="none"/>
                <w:lang w:bidi="ar"/>
              </w:rPr>
              <w:br w:type="textWrapping"/>
            </w:r>
            <w:r>
              <w:rPr>
                <w:rFonts w:hint="eastAsia" w:ascii="宋体" w:hAnsi="宋体" w:eastAsia="宋体" w:cs="宋体"/>
                <w:b/>
                <w:bCs/>
                <w:color w:val="auto"/>
                <w:kern w:val="0"/>
                <w:sz w:val="22"/>
                <w:szCs w:val="22"/>
                <w:highlight w:val="none"/>
                <w:lang w:bidi="ar"/>
              </w:rPr>
              <w:t>（万元）</w:t>
            </w:r>
          </w:p>
        </w:tc>
      </w:tr>
      <w:tr w14:paraId="58C6B8C1">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48EAD5">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959"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16B176">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2"/>
                <w:szCs w:val="22"/>
                <w:highlight w:val="none"/>
                <w:lang w:bidi="ar"/>
              </w:rPr>
              <w:t>全自动蛋白分析仪</w:t>
            </w:r>
          </w:p>
        </w:tc>
        <w:tc>
          <w:tcPr>
            <w:tcW w:w="8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D316A4">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E9620B">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24</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FF1172">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24</w:t>
            </w:r>
          </w:p>
        </w:tc>
      </w:tr>
      <w:tr w14:paraId="56A4B7E0">
        <w:tblPrEx>
          <w:tblCellMar>
            <w:top w:w="0" w:type="dxa"/>
            <w:left w:w="108" w:type="dxa"/>
            <w:bottom w:w="0" w:type="dxa"/>
            <w:right w:w="108" w:type="dxa"/>
          </w:tblCellMar>
        </w:tblPrEx>
        <w:trPr>
          <w:trHeight w:val="450" w:hRule="atLeast"/>
          <w:jc w:val="center"/>
        </w:trPr>
        <w:tc>
          <w:tcPr>
            <w:tcW w:w="6516" w:type="dxa"/>
            <w:gridSpan w:val="4"/>
            <w:tcBorders>
              <w:top w:val="single" w:color="000000" w:sz="4" w:space="0"/>
              <w:left w:val="single" w:color="000000" w:sz="4" w:space="0"/>
              <w:bottom w:val="single" w:color="000000" w:sz="4" w:space="0"/>
              <w:right w:val="single" w:color="000000" w:sz="4" w:space="0"/>
            </w:tcBorders>
            <w:shd w:val="clear" w:color="auto" w:fill="F2F2F2"/>
          </w:tcPr>
          <w:p w14:paraId="0CCD3092">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合计</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B895C5">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24</w:t>
            </w:r>
          </w:p>
        </w:tc>
      </w:tr>
    </w:tbl>
    <w:p w14:paraId="4684B12E">
      <w:pPr>
        <w:pStyle w:val="13"/>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2、交货期限及交货地点：合同签订后45天内完成所有设备的交付、安装、调试。交货地点为招标人指定地址。</w:t>
      </w:r>
    </w:p>
    <w:p w14:paraId="279838D2">
      <w:pPr>
        <w:pStyle w:val="13"/>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3"/>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具体根据合同约定条款进行支付；采购合同应明确资金支付的方式、时间和条件，明确逾期支付资金的违约责任。</w:t>
      </w:r>
    </w:p>
    <w:p w14:paraId="5B359BAC">
      <w:pPr>
        <w:pStyle w:val="13"/>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4、本标包属于货物类招标项目。本标包核心产品有</w:t>
      </w:r>
      <w:r>
        <w:rPr>
          <w:rFonts w:hint="eastAsia" w:ascii="宋体" w:hAnsi="宋体" w:eastAsia="宋体" w:cs="宋体"/>
          <w:color w:val="auto"/>
          <w:sz w:val="24"/>
          <w:szCs w:val="24"/>
          <w:highlight w:val="none"/>
        </w:rPr>
        <w:t>：全自动蛋白分析仪。</w:t>
      </w:r>
    </w:p>
    <w:p w14:paraId="3462CD48">
      <w:pPr>
        <w:pStyle w:val="13"/>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5、本标包中带“▲”的为重要指标，其他为一般指标。“▲”指标需提供技术支撑材料。</w:t>
      </w:r>
    </w:p>
    <w:p w14:paraId="506262F9">
      <w:pPr>
        <w:pStyle w:val="13"/>
        <w:spacing w:line="360" w:lineRule="auto"/>
        <w:ind w:firstLine="0" w:firstLine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6、本标包接受进口产品。</w:t>
      </w:r>
    </w:p>
    <w:p w14:paraId="45775C87">
      <w:pPr>
        <w:widowControl/>
        <w:spacing w:before="75" w:after="75"/>
        <w:jc w:val="left"/>
        <w:rPr>
          <w:rFonts w:hint="eastAsia" w:ascii="宋体" w:hAnsi="宋体" w:eastAsia="宋体" w:cs="宋体"/>
          <w:b/>
          <w:color w:val="auto"/>
          <w:sz w:val="24"/>
          <w:highlight w:val="none"/>
        </w:rPr>
      </w:pPr>
    </w:p>
    <w:p w14:paraId="6416624F">
      <w:pPr>
        <w:widowControl/>
        <w:spacing w:before="75" w:after="75"/>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二、产品技术指标要求</w:t>
      </w:r>
    </w:p>
    <w:p w14:paraId="65DF942C">
      <w:pPr>
        <w:numPr>
          <w:ilvl w:val="0"/>
          <w:numId w:val="1"/>
        </w:num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全自动蛋白分析仪技术参数要求</w:t>
      </w:r>
    </w:p>
    <w:p w14:paraId="10109F58">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产品主要由样本前处理模块、检测模块、软件和控制模块等组成。</w:t>
      </w:r>
    </w:p>
    <w:p w14:paraId="6E1ACE0C">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样本类型：支持血清、血浆、尿液及脑脊液等多种样本类型。</w:t>
      </w:r>
    </w:p>
    <w:p w14:paraId="62B451C1">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进样方式：采用轨道式进样系统，支持样本连续处理与随机访问功能。</w:t>
      </w:r>
    </w:p>
    <w:p w14:paraId="38CC5592">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样本识别：支持原始采血管、封闭尿液管开盖或穿刺取样，具备系统条形码自选功能。</w:t>
      </w:r>
    </w:p>
    <w:p w14:paraId="37B54211">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样本位：数量≥70个，支持急诊样本随机进样模式。</w:t>
      </w:r>
    </w:p>
    <w:p w14:paraId="7E546D92">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试剂位：数量≥30个，采用防蒸发密封结构，可降低试剂挥发速率。</w:t>
      </w:r>
    </w:p>
    <w:p w14:paraId="47DEF52C">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支持样本自动稀释、混匀、预温育，具备稀释液自动添加功能，同时配备液位监测装置，当液位异常时可及时发出报警提示。</w:t>
      </w:r>
    </w:p>
    <w:p w14:paraId="732F1140">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bidi="ar"/>
        </w:rPr>
        <w:t>检测原理：采用免疫散射比浊法检测法。</w:t>
      </w:r>
    </w:p>
    <w:p w14:paraId="2BEA74A3">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w:t>
      </w:r>
      <w:r>
        <w:rPr>
          <w:rStyle w:val="21"/>
          <w:rFonts w:hint="eastAsia" w:ascii="宋体" w:hAnsi="宋体" w:eastAsia="宋体" w:cs="宋体"/>
          <w:color w:val="auto"/>
          <w:sz w:val="24"/>
          <w:szCs w:val="24"/>
          <w:highlight w:val="none"/>
          <w:lang w:bidi="ar"/>
        </w:rPr>
        <w:t>检测项目：数量≥40项，至少涵盖免疫功能（IgG/IgA/IgM/IgG亚型1-4）、肾脏疾病（</w:t>
      </w:r>
      <w:r>
        <w:rPr>
          <w:rStyle w:val="22"/>
          <w:rFonts w:hint="eastAsia" w:ascii="宋体" w:hAnsi="宋体" w:eastAsia="宋体" w:cs="宋体"/>
          <w:color w:val="auto"/>
          <w:sz w:val="24"/>
          <w:szCs w:val="24"/>
          <w:highlight w:val="none"/>
          <w:lang w:bidi="ar"/>
        </w:rPr>
        <w:t>α</w:t>
      </w:r>
      <w:r>
        <w:rPr>
          <w:rStyle w:val="21"/>
          <w:rFonts w:hint="eastAsia" w:ascii="宋体" w:hAnsi="宋体" w:eastAsia="宋体" w:cs="宋体"/>
          <w:color w:val="auto"/>
          <w:sz w:val="24"/>
          <w:szCs w:val="24"/>
          <w:highlight w:val="none"/>
          <w:lang w:bidi="ar"/>
        </w:rPr>
        <w:t>2-巨球蛋白、</w:t>
      </w:r>
      <w:r>
        <w:rPr>
          <w:rStyle w:val="23"/>
          <w:rFonts w:hint="eastAsia" w:ascii="宋体" w:hAnsi="宋体" w:eastAsia="宋体" w:cs="宋体"/>
          <w:color w:val="auto"/>
          <w:sz w:val="24"/>
          <w:szCs w:val="24"/>
          <w:highlight w:val="none"/>
          <w:lang w:bidi="ar"/>
        </w:rPr>
        <w:t>β</w:t>
      </w:r>
      <w:r>
        <w:rPr>
          <w:rStyle w:val="21"/>
          <w:rFonts w:hint="eastAsia" w:ascii="宋体" w:hAnsi="宋体" w:eastAsia="宋体" w:cs="宋体"/>
          <w:color w:val="auto"/>
          <w:sz w:val="24"/>
          <w:szCs w:val="24"/>
          <w:highlight w:val="none"/>
          <w:lang w:bidi="ar"/>
        </w:rPr>
        <w:t>2-微球蛋白、胱抑素C）、心血管疾病（hs-CRP、载脂蛋白）、游离轻链（Kappa/Lambda）、补体（C3/C4）、类风湿因子（RF）、营养监测（铜蓝蛋白、前白蛋白）、遗传性血管性水肿监测（C1抑制剂）等关键指标。</w:t>
      </w:r>
    </w:p>
    <w:p w14:paraId="0A36305F">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检测速度：单批次测试速度≥200测试/小时。</w:t>
      </w:r>
    </w:p>
    <w:p w14:paraId="53D703C7">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bidi="ar"/>
        </w:rPr>
        <w:t>具备抗原过量检测功能，稀释比例至少覆盖1:1至1:40000区间。</w:t>
      </w:r>
    </w:p>
    <w:p w14:paraId="0A4A993C">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软件支持中文操作界面，至少具备自动化样本管理、试剂批次管理、参考曲线定义等功能。</w:t>
      </w:r>
    </w:p>
    <w:p w14:paraId="44E459D6">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具备故障自恢复、报错提醒功能，支持试剂与样本自动识别，可对试剂/样本缺失、样本吸空、堵塞等异常情况进行报警提示。</w:t>
      </w:r>
    </w:p>
    <w:p w14:paraId="2F092FB5">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配备数据处理工作站，数量1台，至少满足：CPU性能核不低于4核，内存≥8G，固态硬盘≥256G，显示器≥21英寸，分辨率不低于1920*1080。</w:t>
      </w:r>
    </w:p>
    <w:p w14:paraId="68044D9E">
      <w:pPr>
        <w:numPr>
          <w:ilvl w:val="0"/>
          <w:numId w:val="2"/>
        </w:numPr>
        <w:spacing w:line="360" w:lineRule="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配套离心设备附件要求：血型及配血离心工作组（ORTHO Workstation）1台。</w:t>
      </w:r>
    </w:p>
    <w:p w14:paraId="40735886">
      <w:pPr>
        <w:widowControl/>
        <w:spacing w:before="75" w:after="75"/>
        <w:jc w:val="left"/>
        <w:rPr>
          <w:rFonts w:hint="eastAsia" w:ascii="宋体" w:hAnsi="宋体" w:eastAsia="宋体" w:cs="宋体"/>
          <w:b/>
          <w:color w:val="auto"/>
          <w:sz w:val="24"/>
          <w:highlight w:val="none"/>
        </w:rPr>
      </w:pPr>
    </w:p>
    <w:p w14:paraId="453E8137">
      <w:pPr>
        <w:widowControl/>
        <w:spacing w:before="75" w:after="75"/>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三、售后服务要求</w:t>
      </w:r>
    </w:p>
    <w:p w14:paraId="09EFFCD7">
      <w:pPr>
        <w:widowControl/>
        <w:numPr>
          <w:ilvl w:val="0"/>
          <w:numId w:val="3"/>
        </w:numPr>
        <w:jc w:val="left"/>
        <w:rPr>
          <w:rFonts w:hint="eastAsia" w:ascii="宋体" w:hAnsi="宋体" w:cs="Arial"/>
          <w:bCs/>
          <w:color w:val="auto"/>
          <w:sz w:val="24"/>
          <w:highlight w:val="none"/>
        </w:rPr>
      </w:pPr>
      <w:r>
        <w:rPr>
          <w:rFonts w:hint="eastAsia" w:ascii="宋体" w:hAnsi="宋体" w:cs="Arial"/>
          <w:bCs/>
          <w:color w:val="auto"/>
          <w:sz w:val="24"/>
          <w:highlight w:val="none"/>
        </w:rPr>
        <w:t>供应商或原厂在国内设立专业的维修机构。</w:t>
      </w:r>
    </w:p>
    <w:p w14:paraId="56C3801F">
      <w:pPr>
        <w:numPr>
          <w:ilvl w:val="0"/>
          <w:numId w:val="3"/>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质保期限要求：如无特殊要求，本标包所有投标产品交付采购人并经验收通过后不少于3年。</w:t>
      </w:r>
    </w:p>
    <w:p w14:paraId="2517120F">
      <w:pPr>
        <w:numPr>
          <w:ilvl w:val="0"/>
          <w:numId w:val="3"/>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履约验收要求：项目履约验收工作具体依据项目合同中的履约验收方案执行。合同中的履约验收方案将明确履约验收的主体、时间、方式、程序、内容和验收标准等事项。</w:t>
      </w:r>
    </w:p>
    <w:p w14:paraId="011C9967">
      <w:pPr>
        <w:numPr>
          <w:ilvl w:val="0"/>
          <w:numId w:val="3"/>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供应商需提供设备安装需要的基建要求，包括场地面积、承重、层高、用电等情况（如有）。设备安装验收后提供免费培训服务，提供与设备相关的操作手册和使用说明书。</w:t>
      </w:r>
    </w:p>
    <w:p w14:paraId="4135B0A0">
      <w:pPr>
        <w:numPr>
          <w:ilvl w:val="0"/>
          <w:numId w:val="3"/>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供应商需承诺设备接口免费开放，免费接入医院综合运营系统，如有端口费用由中标方承担。</w:t>
      </w:r>
    </w:p>
    <w:p w14:paraId="43C5CA69">
      <w:pPr>
        <w:numPr>
          <w:ilvl w:val="0"/>
          <w:numId w:val="3"/>
        </w:numPr>
        <w:spacing w:line="400" w:lineRule="exact"/>
        <w:rPr>
          <w:rFonts w:hint="eastAsia" w:ascii="宋体" w:hAnsi="宋体" w:cs="Arial"/>
          <w:bCs/>
          <w:color w:val="auto"/>
          <w:sz w:val="24"/>
          <w:highlight w:val="none"/>
        </w:rPr>
      </w:pPr>
      <w:r>
        <w:rPr>
          <w:rFonts w:hint="eastAsia" w:ascii="宋体" w:hAnsi="宋体" w:cs="Arial"/>
          <w:bCs/>
          <w:color w:val="auto"/>
          <w:sz w:val="24"/>
          <w:highlight w:val="none"/>
        </w:rPr>
        <w:t>本次报价包含设备费用、安装调试费、运输费、包装费、税金等完成本项目所需要的所有费用。</w:t>
      </w:r>
    </w:p>
    <w:p w14:paraId="15F2ECBF">
      <w:pPr>
        <w:numPr>
          <w:ilvl w:val="0"/>
          <w:numId w:val="3"/>
        </w:numPr>
        <w:spacing w:line="360" w:lineRule="auto"/>
        <w:rPr>
          <w:rFonts w:hint="eastAsia" w:ascii="宋体" w:hAnsi="宋体" w:cs="Arial"/>
          <w:bCs/>
          <w:color w:val="auto"/>
          <w:sz w:val="24"/>
          <w:highlight w:val="none"/>
        </w:rPr>
      </w:pPr>
      <w:r>
        <w:rPr>
          <w:rFonts w:hint="eastAsia" w:ascii="宋体" w:hAnsi="宋体" w:cs="Arial"/>
          <w:bCs/>
          <w:color w:val="auto"/>
          <w:sz w:val="24"/>
          <w:highlight w:val="none"/>
        </w:rPr>
        <w:t>后续的全生命周期成本及备品备件采购价格情况等相关说明。</w:t>
      </w:r>
    </w:p>
    <w:p w14:paraId="25C65884">
      <w:pPr>
        <w:numPr>
          <w:ilvl w:val="0"/>
          <w:numId w:val="3"/>
        </w:numPr>
        <w:spacing w:line="400" w:lineRule="exact"/>
        <w:rPr>
          <w:rFonts w:hint="eastAsia" w:ascii="宋体" w:hAnsi="宋体" w:eastAsia="宋体" w:cs="宋体"/>
          <w:color w:val="auto"/>
          <w:sz w:val="24"/>
          <w:highlight w:val="none"/>
        </w:rPr>
      </w:pPr>
      <w:r>
        <w:rPr>
          <w:rFonts w:hint="eastAsia" w:ascii="宋体" w:hAnsi="宋体" w:cs="Arial"/>
          <w:bCs/>
          <w:color w:val="auto"/>
          <w:sz w:val="24"/>
          <w:highlight w:val="none"/>
        </w:rPr>
        <w:t>本项目需由供应商提供设计方案、解决方案或者组织方案以及技术支持资料。</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E22F8">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4544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14544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78A8">
    <w:pPr>
      <w:pStyle w:val="5"/>
      <w:pBdr>
        <w:bottom w:val="none" w:color="auto" w:sz="0" w:space="0"/>
      </w:pBdr>
      <w:rPr>
        <w:rFonts w:hint="eastAsia"/>
        <w:lang w:val="en-US" w:eastAsia="zh-CN"/>
      </w:rPr>
    </w:pPr>
    <w:r>
      <w:rPr>
        <w:rFonts w:hint="eastAsia"/>
        <w:lang w:val="en-US" w:eastAsia="zh-CN"/>
      </w:rPr>
      <w:t>ZC20260135 上海市光华中西医结合医院所需检验科、手术室、特检、眼科等一批医疗设备公开招标项目</w:t>
    </w:r>
  </w:p>
  <w:p w14:paraId="08CA4DBE">
    <w:pPr>
      <w:pStyle w:val="5"/>
      <w:pBdr>
        <w:bottom w:val="single" w:color="auto" w:sz="4" w:space="0"/>
      </w:pBdr>
      <w:rPr>
        <w:rFonts w:hint="default" w:eastAsiaTheme="minorEastAsia"/>
        <w:lang w:val="en-US" w:eastAsia="zh-CN"/>
      </w:rPr>
    </w:pPr>
    <w:r>
      <w:rPr>
        <w:rFonts w:hint="eastAsia"/>
        <w:lang w:val="en-US" w:eastAsia="zh-CN"/>
      </w:rPr>
      <w:t>招标需求文件 第一标包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690E34"/>
    <w:multiLevelType w:val="singleLevel"/>
    <w:tmpl w:val="4D690E34"/>
    <w:lvl w:ilvl="0" w:tentative="0">
      <w:start w:val="1"/>
      <w:numFmt w:val="decimal"/>
      <w:suff w:val="nothing"/>
      <w:lvlText w:val="%1、"/>
      <w:lvlJc w:val="left"/>
    </w:lvl>
  </w:abstractNum>
  <w:abstractNum w:abstractNumId="1">
    <w:nsid w:val="77498035"/>
    <w:multiLevelType w:val="singleLevel"/>
    <w:tmpl w:val="77498035"/>
    <w:lvl w:ilvl="0" w:tentative="0">
      <w:start w:val="1"/>
      <w:numFmt w:val="chineseCounting"/>
      <w:suff w:val="nothing"/>
      <w:lvlText w:val="%1、"/>
      <w:lvlJc w:val="left"/>
      <w:rPr>
        <w:rFonts w:hint="eastAsia"/>
      </w:rPr>
    </w:lvl>
  </w:abstractNum>
  <w:abstractNum w:abstractNumId="2">
    <w:nsid w:val="7F87FA6D"/>
    <w:multiLevelType w:val="singleLevel"/>
    <w:tmpl w:val="7F87FA6D"/>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E405B"/>
    <w:rsid w:val="00066671"/>
    <w:rsid w:val="000D6B8F"/>
    <w:rsid w:val="001D7603"/>
    <w:rsid w:val="00284F41"/>
    <w:rsid w:val="002D7B90"/>
    <w:rsid w:val="002E45A6"/>
    <w:rsid w:val="003B46D2"/>
    <w:rsid w:val="003C1029"/>
    <w:rsid w:val="00401777"/>
    <w:rsid w:val="00497F64"/>
    <w:rsid w:val="004E4E84"/>
    <w:rsid w:val="004F3E96"/>
    <w:rsid w:val="00502A98"/>
    <w:rsid w:val="005226F7"/>
    <w:rsid w:val="00536B5F"/>
    <w:rsid w:val="00564A1F"/>
    <w:rsid w:val="00591D66"/>
    <w:rsid w:val="005E5C48"/>
    <w:rsid w:val="00635BFB"/>
    <w:rsid w:val="0066056B"/>
    <w:rsid w:val="006B0587"/>
    <w:rsid w:val="006B0752"/>
    <w:rsid w:val="007C272B"/>
    <w:rsid w:val="007E5FFA"/>
    <w:rsid w:val="008749B5"/>
    <w:rsid w:val="00891C43"/>
    <w:rsid w:val="008957A6"/>
    <w:rsid w:val="008A5DC0"/>
    <w:rsid w:val="009608DA"/>
    <w:rsid w:val="00970753"/>
    <w:rsid w:val="00984C40"/>
    <w:rsid w:val="009D6EDB"/>
    <w:rsid w:val="00A41BBF"/>
    <w:rsid w:val="00A527EE"/>
    <w:rsid w:val="00A73AC1"/>
    <w:rsid w:val="00B618A8"/>
    <w:rsid w:val="00B70016"/>
    <w:rsid w:val="00B85E93"/>
    <w:rsid w:val="00BA15B7"/>
    <w:rsid w:val="00D105C5"/>
    <w:rsid w:val="00D17AED"/>
    <w:rsid w:val="00D25D35"/>
    <w:rsid w:val="00D35FCD"/>
    <w:rsid w:val="00D74415"/>
    <w:rsid w:val="00D766FE"/>
    <w:rsid w:val="00E0066B"/>
    <w:rsid w:val="00E059C8"/>
    <w:rsid w:val="00E16D83"/>
    <w:rsid w:val="00E20B0A"/>
    <w:rsid w:val="00E36E99"/>
    <w:rsid w:val="00E40DFF"/>
    <w:rsid w:val="00E75534"/>
    <w:rsid w:val="00ED22D1"/>
    <w:rsid w:val="00EF6318"/>
    <w:rsid w:val="00F12124"/>
    <w:rsid w:val="00F86870"/>
    <w:rsid w:val="00F92F4C"/>
    <w:rsid w:val="00FF7756"/>
    <w:rsid w:val="01311D17"/>
    <w:rsid w:val="06EA7FE5"/>
    <w:rsid w:val="080512E1"/>
    <w:rsid w:val="09F558AC"/>
    <w:rsid w:val="0BEB51B8"/>
    <w:rsid w:val="16B05DC8"/>
    <w:rsid w:val="1AD05D20"/>
    <w:rsid w:val="1CCD7A54"/>
    <w:rsid w:val="20F024D5"/>
    <w:rsid w:val="21FA7AAB"/>
    <w:rsid w:val="22EF5136"/>
    <w:rsid w:val="24D171E9"/>
    <w:rsid w:val="26C568DA"/>
    <w:rsid w:val="2E7C7D4D"/>
    <w:rsid w:val="305556AB"/>
    <w:rsid w:val="32195D2C"/>
    <w:rsid w:val="37CB7AC8"/>
    <w:rsid w:val="384F24A7"/>
    <w:rsid w:val="39567866"/>
    <w:rsid w:val="42D42CE8"/>
    <w:rsid w:val="44D3620E"/>
    <w:rsid w:val="46E95125"/>
    <w:rsid w:val="48A831A4"/>
    <w:rsid w:val="48C12399"/>
    <w:rsid w:val="48E11085"/>
    <w:rsid w:val="4ACE3700"/>
    <w:rsid w:val="58BD77DC"/>
    <w:rsid w:val="59102330"/>
    <w:rsid w:val="598938B1"/>
    <w:rsid w:val="5A625C12"/>
    <w:rsid w:val="5A6E2809"/>
    <w:rsid w:val="5F8A1E93"/>
    <w:rsid w:val="614B7400"/>
    <w:rsid w:val="64AB3741"/>
    <w:rsid w:val="738F67F1"/>
    <w:rsid w:val="746740F9"/>
    <w:rsid w:val="74A964C0"/>
    <w:rsid w:val="754272F6"/>
    <w:rsid w:val="756E405B"/>
    <w:rsid w:val="77D5581E"/>
    <w:rsid w:val="78FE2B52"/>
    <w:rsid w:val="7D9A0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next w:val="1"/>
    <w:qFormat/>
    <w:uiPriority w:val="0"/>
    <w:rPr>
      <w:sz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18"/>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styleId="12">
    <w:name w:val="HTML Sample"/>
    <w:basedOn w:val="9"/>
    <w:qFormat/>
    <w:uiPriority w:val="0"/>
    <w:rPr>
      <w:rFonts w:ascii="Courier New" w:hAnsi="Courier New"/>
    </w:rPr>
  </w:style>
  <w:style w:type="paragraph" w:styleId="13">
    <w:name w:val="List Paragraph"/>
    <w:basedOn w:val="1"/>
    <w:qFormat/>
    <w:uiPriority w:val="99"/>
    <w:pPr>
      <w:ind w:firstLine="420" w:firstLineChars="200"/>
    </w:pPr>
  </w:style>
  <w:style w:type="character" w:customStyle="1" w:styleId="14">
    <w:name w:val="页眉 字符"/>
    <w:basedOn w:val="9"/>
    <w:link w:val="5"/>
    <w:qFormat/>
    <w:uiPriority w:val="0"/>
    <w:rPr>
      <w:rFonts w:asciiTheme="minorHAnsi" w:hAnsiTheme="minorHAnsi" w:eastAsiaTheme="minorEastAsia" w:cstheme="minorBidi"/>
      <w:kern w:val="2"/>
      <w:sz w:val="18"/>
      <w:szCs w:val="18"/>
    </w:rPr>
  </w:style>
  <w:style w:type="character" w:customStyle="1" w:styleId="15">
    <w:name w:val="页脚 字符"/>
    <w:basedOn w:val="9"/>
    <w:link w:val="4"/>
    <w:qFormat/>
    <w:uiPriority w:val="0"/>
    <w:rPr>
      <w:rFonts w:asciiTheme="minorHAnsi" w:hAnsiTheme="minorHAnsi" w:eastAsiaTheme="minorEastAsia" w:cstheme="minorBidi"/>
      <w:kern w:val="2"/>
      <w:sz w:val="18"/>
      <w:szCs w:val="18"/>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字符"/>
    <w:basedOn w:val="9"/>
    <w:link w:val="2"/>
    <w:qFormat/>
    <w:uiPriority w:val="0"/>
    <w:rPr>
      <w:rFonts w:asciiTheme="minorHAnsi" w:hAnsiTheme="minorHAnsi" w:eastAsiaTheme="minorEastAsia" w:cstheme="minorBidi"/>
      <w:kern w:val="2"/>
      <w:sz w:val="21"/>
      <w:szCs w:val="24"/>
    </w:rPr>
  </w:style>
  <w:style w:type="character" w:customStyle="1" w:styleId="18">
    <w:name w:val="批注主题 字符"/>
    <w:basedOn w:val="17"/>
    <w:link w:val="7"/>
    <w:qFormat/>
    <w:uiPriority w:val="0"/>
    <w:rPr>
      <w:rFonts w:asciiTheme="minorHAnsi" w:hAnsiTheme="minorHAnsi" w:eastAsiaTheme="minorEastAsia" w:cstheme="minorBidi"/>
      <w:b/>
      <w:bCs/>
      <w:kern w:val="2"/>
      <w:sz w:val="21"/>
      <w:szCs w:val="24"/>
    </w:rPr>
  </w:style>
  <w:style w:type="character" w:customStyle="1" w:styleId="19">
    <w:name w:val="font31"/>
    <w:basedOn w:val="9"/>
    <w:qFormat/>
    <w:uiPriority w:val="0"/>
    <w:rPr>
      <w:rFonts w:hint="eastAsia" w:ascii="宋体" w:hAnsi="宋体" w:eastAsia="宋体" w:cs="宋体"/>
      <w:color w:val="000000"/>
      <w:sz w:val="21"/>
      <w:szCs w:val="21"/>
      <w:u w:val="none"/>
    </w:rPr>
  </w:style>
  <w:style w:type="character" w:customStyle="1" w:styleId="20">
    <w:name w:val="font112"/>
    <w:basedOn w:val="9"/>
    <w:qFormat/>
    <w:uiPriority w:val="0"/>
    <w:rPr>
      <w:rFonts w:hint="eastAsia" w:ascii="宋体" w:hAnsi="宋体" w:eastAsia="宋体" w:cs="宋体"/>
      <w:color w:val="000000"/>
      <w:sz w:val="21"/>
      <w:szCs w:val="21"/>
      <w:u w:val="none"/>
    </w:rPr>
  </w:style>
  <w:style w:type="character" w:customStyle="1" w:styleId="21">
    <w:name w:val="font21"/>
    <w:basedOn w:val="9"/>
    <w:qFormat/>
    <w:uiPriority w:val="0"/>
    <w:rPr>
      <w:rFonts w:hint="eastAsia" w:ascii="宋体" w:hAnsi="宋体" w:eastAsia="宋体" w:cs="宋体"/>
      <w:color w:val="000000"/>
      <w:sz w:val="22"/>
      <w:szCs w:val="22"/>
      <w:u w:val="none"/>
    </w:rPr>
  </w:style>
  <w:style w:type="character" w:customStyle="1" w:styleId="22">
    <w:name w:val="font121"/>
    <w:basedOn w:val="9"/>
    <w:qFormat/>
    <w:uiPriority w:val="0"/>
    <w:rPr>
      <w:rFonts w:ascii="Calibri" w:hAnsi="Calibri" w:cs="Calibri"/>
      <w:color w:val="000000"/>
      <w:sz w:val="22"/>
      <w:szCs w:val="22"/>
      <w:u w:val="none"/>
    </w:rPr>
  </w:style>
  <w:style w:type="character" w:customStyle="1" w:styleId="23">
    <w:name w:val="font131"/>
    <w:basedOn w:val="9"/>
    <w:qFormat/>
    <w:uiPriority w:val="0"/>
    <w:rPr>
      <w:rFonts w:hint="default" w:ascii="Calibri" w:hAnsi="Calibri" w:cs="Calibri"/>
      <w:color w:val="000000"/>
      <w:sz w:val="22"/>
      <w:szCs w:val="22"/>
      <w:u w:val="none"/>
    </w:rPr>
  </w:style>
  <w:style w:type="character" w:customStyle="1" w:styleId="24">
    <w:name w:val="font81"/>
    <w:basedOn w:val="9"/>
    <w:qFormat/>
    <w:uiPriority w:val="0"/>
    <w:rPr>
      <w:rFonts w:hint="eastAsia" w:ascii="宋体" w:hAnsi="宋体" w:eastAsia="宋体" w:cs="宋体"/>
      <w:color w:val="000000"/>
      <w:sz w:val="21"/>
      <w:szCs w:val="21"/>
      <w:u w:val="none"/>
    </w:rPr>
  </w:style>
  <w:style w:type="character" w:customStyle="1" w:styleId="25">
    <w:name w:val="font101"/>
    <w:basedOn w:val="9"/>
    <w:qFormat/>
    <w:uiPriority w:val="0"/>
    <w:rPr>
      <w:rFonts w:ascii="Arial" w:hAnsi="Arial" w:cs="Arial"/>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1746</Words>
  <Characters>1874</Characters>
  <Lines>50</Lines>
  <Paragraphs>50</Paragraphs>
  <TotalTime>27</TotalTime>
  <ScaleCrop>false</ScaleCrop>
  <LinksUpToDate>false</LinksUpToDate>
  <CharactersWithSpaces>1876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2026-03-02T03:14:00Z</dcterms:created>
  <dc:creator>mayn</dc:creator>
  <cp:lastModifiedBy>Better Me</cp:lastModifiedBy>
  <cp:lastPrinted>2026-07-27T05:10:00Z</cp:lastPrinted>
  <dcterms:modified xsi:type="dcterms:W3CDTF">2026-08-20T01:58:27Z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999111AB48CB4D2B9FEF656F657F6146_13</vt:lpwstr>
  </property>
  <property fmtid="{D5CDD505-2E9C-101B-9397-08002B2CF9AE}" pid="4" name="KSOTemplateDocerSaveRecord">
    <vt:lpwstr>eyJoZGlkIjoiMzIyZGIzOGY5Mzk5ZDhkNTdlMDM5NzI1NjBiNmIzODciLCJ1c2VySWQiOiI1Njk1NTUzMTgifQ==</vt:lpwstr>
  </property>
</Properties>
</file>