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0D24F6">
      <w:pPr>
        <w:pStyle w:val="10"/>
        <w:jc w:val="center"/>
        <w:rPr>
          <w:rFonts w:hint="eastAsia" w:ascii="宋体" w:hAnsi="宋体" w:eastAsia="宋体" w:cs="宋体"/>
          <w:b/>
          <w:color w:val="auto"/>
          <w:sz w:val="36"/>
          <w:szCs w:val="21"/>
          <w:lang w:val="en-US" w:eastAsia="zh-CN"/>
        </w:rPr>
      </w:pPr>
      <w:r>
        <w:rPr>
          <w:rFonts w:hint="eastAsia" w:ascii="宋体" w:hAnsi="宋体" w:eastAsia="宋体" w:cs="宋体"/>
          <w:b/>
          <w:color w:val="auto"/>
          <w:sz w:val="36"/>
          <w:szCs w:val="21"/>
        </w:rPr>
        <w:t>上海市同仁医院所需一批检验相关设备公开招标项目</w:t>
      </w:r>
      <w:r>
        <w:rPr>
          <w:rFonts w:hint="eastAsia" w:ascii="宋体" w:hAnsi="宋体" w:eastAsia="宋体" w:cs="宋体"/>
          <w:b/>
          <w:color w:val="auto"/>
          <w:sz w:val="36"/>
          <w:szCs w:val="21"/>
          <w:lang w:val="en-US" w:eastAsia="zh-CN"/>
        </w:rPr>
        <w:t xml:space="preserve">招标需求文件 </w:t>
      </w:r>
    </w:p>
    <w:p w14:paraId="3D1D8DF5">
      <w:pPr>
        <w:pStyle w:val="10"/>
        <w:jc w:val="center"/>
        <w:rPr>
          <w:rFonts w:hint="default" w:ascii="宋体" w:hAnsi="宋体" w:eastAsia="宋体" w:cs="宋体"/>
          <w:b/>
          <w:color w:val="auto"/>
          <w:sz w:val="36"/>
          <w:szCs w:val="21"/>
          <w:lang w:val="en-US" w:eastAsia="zh-CN"/>
        </w:rPr>
      </w:pPr>
      <w:r>
        <w:rPr>
          <w:rFonts w:hint="eastAsia" w:ascii="宋体" w:hAnsi="宋体" w:eastAsia="宋体" w:cs="宋体"/>
          <w:b/>
          <w:color w:val="auto"/>
          <w:sz w:val="36"/>
          <w:szCs w:val="21"/>
          <w:lang w:val="en-US" w:eastAsia="zh-CN"/>
        </w:rPr>
        <w:t>第一标包：</w:t>
      </w:r>
      <w:r>
        <w:rPr>
          <w:rFonts w:hint="eastAsia" w:ascii="宋体" w:hAnsi="宋体" w:eastAsia="宋体" w:cs="宋体"/>
          <w:b/>
          <w:color w:val="auto"/>
          <w:sz w:val="36"/>
          <w:szCs w:val="21"/>
        </w:rPr>
        <w:t>液</w:t>
      </w:r>
      <w:bookmarkStart w:id="0" w:name="_GoBack"/>
      <w:bookmarkEnd w:id="0"/>
      <w:r>
        <w:rPr>
          <w:rFonts w:hint="eastAsia" w:ascii="宋体" w:hAnsi="宋体" w:eastAsia="宋体" w:cs="宋体"/>
          <w:b/>
          <w:color w:val="auto"/>
          <w:sz w:val="36"/>
          <w:szCs w:val="21"/>
        </w:rPr>
        <w:t>相色谱-串联质谱仪</w:t>
      </w:r>
    </w:p>
    <w:p w14:paraId="0A541A08">
      <w:pPr>
        <w:pStyle w:val="10"/>
        <w:keepNext w:val="0"/>
        <w:keepLines w:val="0"/>
        <w:pageBreakBefore w:val="0"/>
        <w:widowControl/>
        <w:numPr>
          <w:ilvl w:val="0"/>
          <w:numId w:val="1"/>
        </w:numPr>
        <w:kinsoku/>
        <w:wordWrap/>
        <w:overflowPunct/>
        <w:topLinePunct w:val="0"/>
        <w:autoSpaceDE/>
        <w:autoSpaceDN/>
        <w:bidi w:val="0"/>
        <w:adjustRightInd/>
        <w:snapToGrid/>
        <w:spacing w:line="360" w:lineRule="auto"/>
        <w:ind w:left="425" w:leftChars="0" w:hanging="425" w:firstLineChars="0"/>
        <w:textAlignment w:val="auto"/>
        <w:rPr>
          <w:rFonts w:hint="eastAsia" w:ascii="宋体" w:hAnsi="宋体" w:eastAsia="宋体" w:cs="宋体"/>
          <w:b w:val="0"/>
          <w:bCs/>
          <w:color w:val="auto"/>
          <w:sz w:val="24"/>
          <w:szCs w:val="24"/>
        </w:rPr>
      </w:pPr>
      <w:r>
        <w:rPr>
          <w:rFonts w:hint="eastAsia" w:ascii="宋体" w:hAnsi="宋体" w:eastAsia="宋体" w:cs="宋体"/>
          <w:b/>
          <w:color w:val="auto"/>
          <w:sz w:val="24"/>
          <w:szCs w:val="24"/>
          <w:lang w:val="en-US" w:eastAsia="zh-CN"/>
        </w:rPr>
        <w:t>预算金额：</w:t>
      </w:r>
      <w:r>
        <w:rPr>
          <w:rFonts w:hint="eastAsia" w:ascii="宋体" w:hAnsi="宋体" w:eastAsia="宋体" w:cs="宋体"/>
          <w:b w:val="0"/>
          <w:bCs/>
          <w:color w:val="auto"/>
          <w:sz w:val="24"/>
          <w:szCs w:val="24"/>
        </w:rPr>
        <w:t>160万</w:t>
      </w:r>
      <w:r>
        <w:rPr>
          <w:rFonts w:hint="eastAsia" w:ascii="宋体" w:hAnsi="宋体" w:eastAsia="宋体" w:cs="宋体"/>
          <w:b w:val="0"/>
          <w:bCs/>
          <w:color w:val="auto"/>
          <w:sz w:val="24"/>
          <w:szCs w:val="24"/>
          <w:lang w:eastAsia="zh-CN"/>
        </w:rPr>
        <w:t>，</w:t>
      </w:r>
      <w:r>
        <w:rPr>
          <w:rFonts w:hint="eastAsia" w:ascii="宋体" w:hAnsi="宋体" w:eastAsia="宋体" w:cs="宋体"/>
          <w:b w:val="0"/>
          <w:bCs/>
          <w:color w:val="auto"/>
          <w:sz w:val="24"/>
          <w:szCs w:val="24"/>
          <w:lang w:val="en-US" w:eastAsia="zh-CN"/>
        </w:rPr>
        <w:t>超过此预算金额报价</w:t>
      </w:r>
      <w:r>
        <w:rPr>
          <w:rFonts w:hint="eastAsia" w:cs="宋体"/>
          <w:b w:val="0"/>
          <w:bCs/>
          <w:color w:val="auto"/>
          <w:sz w:val="24"/>
          <w:szCs w:val="24"/>
          <w:lang w:val="en-US" w:eastAsia="zh-CN"/>
        </w:rPr>
        <w:t>无效</w:t>
      </w:r>
      <w:r>
        <w:rPr>
          <w:rFonts w:hint="eastAsia" w:ascii="宋体" w:hAnsi="宋体" w:eastAsia="宋体" w:cs="宋体"/>
          <w:b w:val="0"/>
          <w:bCs/>
          <w:color w:val="auto"/>
          <w:sz w:val="24"/>
          <w:szCs w:val="24"/>
          <w:lang w:val="en-US" w:eastAsia="zh-CN"/>
        </w:rPr>
        <w:t>。</w:t>
      </w:r>
      <w:r>
        <w:rPr>
          <w:rFonts w:hint="eastAsia" w:ascii="宋体" w:hAnsi="宋体" w:eastAsia="宋体" w:cs="宋体"/>
          <w:b w:val="0"/>
          <w:bCs/>
          <w:color w:val="auto"/>
          <w:sz w:val="24"/>
          <w:szCs w:val="24"/>
          <w:lang w:val="en-US" w:eastAsia="zh-CN"/>
        </w:rPr>
        <w:t>预算金额为投标最高限价</w:t>
      </w:r>
      <w:r>
        <w:rPr>
          <w:rFonts w:hint="eastAsia" w:cs="宋体"/>
          <w:b w:val="0"/>
          <w:bCs/>
          <w:color w:val="auto"/>
          <w:sz w:val="24"/>
          <w:szCs w:val="24"/>
          <w:lang w:val="en-US" w:eastAsia="zh-CN"/>
        </w:rPr>
        <w:t>。</w:t>
      </w:r>
    </w:p>
    <w:p w14:paraId="3827B288">
      <w:pPr>
        <w:pStyle w:val="10"/>
        <w:keepNext w:val="0"/>
        <w:keepLines w:val="0"/>
        <w:pageBreakBefore w:val="0"/>
        <w:widowControl/>
        <w:numPr>
          <w:ilvl w:val="0"/>
          <w:numId w:val="1"/>
        </w:numPr>
        <w:kinsoku/>
        <w:wordWrap/>
        <w:overflowPunct/>
        <w:topLinePunct w:val="0"/>
        <w:autoSpaceDE/>
        <w:autoSpaceDN/>
        <w:bidi w:val="0"/>
        <w:adjustRightInd/>
        <w:snapToGrid/>
        <w:spacing w:line="360" w:lineRule="auto"/>
        <w:ind w:left="425" w:leftChars="0" w:hanging="425" w:firstLineChars="0"/>
        <w:textAlignment w:val="auto"/>
        <w:rPr>
          <w:rFonts w:hint="eastAsia" w:ascii="宋体" w:hAnsi="宋体" w:eastAsia="宋体" w:cs="宋体"/>
          <w:b/>
          <w:color w:val="auto"/>
          <w:sz w:val="24"/>
          <w:szCs w:val="24"/>
        </w:rPr>
      </w:pPr>
      <w:r>
        <w:rPr>
          <w:rFonts w:hint="eastAsia" w:ascii="宋体" w:hAnsi="宋体" w:eastAsia="宋体" w:cs="宋体"/>
          <w:b/>
          <w:color w:val="auto"/>
          <w:sz w:val="24"/>
          <w:szCs w:val="24"/>
          <w:lang w:val="en-US" w:eastAsia="zh-CN"/>
        </w:rPr>
        <w:t>交货期限：</w:t>
      </w:r>
      <w:r>
        <w:rPr>
          <w:rFonts w:hint="eastAsia" w:ascii="宋体" w:hAnsi="宋体" w:eastAsia="宋体" w:cs="宋体"/>
          <w:color w:val="auto"/>
          <w:sz w:val="24"/>
          <w:highlight w:val="none"/>
        </w:rPr>
        <w:t>合同签订后</w:t>
      </w:r>
      <w:r>
        <w:rPr>
          <w:rFonts w:hint="eastAsia" w:ascii="宋体" w:hAnsi="宋体" w:eastAsia="宋体" w:cs="宋体"/>
          <w:color w:val="auto"/>
          <w:sz w:val="24"/>
          <w:highlight w:val="none"/>
          <w:lang w:val="en-US" w:eastAsia="zh-CN"/>
        </w:rPr>
        <w:t>60</w:t>
      </w:r>
      <w:r>
        <w:rPr>
          <w:rFonts w:hint="eastAsia" w:ascii="宋体" w:hAnsi="宋体" w:eastAsia="宋体" w:cs="宋体"/>
          <w:color w:val="auto"/>
          <w:sz w:val="24"/>
          <w:highlight w:val="none"/>
        </w:rPr>
        <w:t>天内完成所有设备的交付、安装、调试。</w:t>
      </w:r>
    </w:p>
    <w:p w14:paraId="5455DBD3">
      <w:pPr>
        <w:pStyle w:val="10"/>
        <w:keepNext w:val="0"/>
        <w:keepLines w:val="0"/>
        <w:pageBreakBefore w:val="0"/>
        <w:widowControl/>
        <w:numPr>
          <w:ilvl w:val="0"/>
          <w:numId w:val="1"/>
        </w:numPr>
        <w:kinsoku/>
        <w:wordWrap/>
        <w:overflowPunct/>
        <w:topLinePunct w:val="0"/>
        <w:autoSpaceDE/>
        <w:autoSpaceDN/>
        <w:bidi w:val="0"/>
        <w:adjustRightInd/>
        <w:snapToGrid/>
        <w:spacing w:line="360" w:lineRule="auto"/>
        <w:ind w:left="425" w:leftChars="0" w:hanging="425" w:firstLineChars="0"/>
        <w:textAlignment w:val="auto"/>
        <w:rPr>
          <w:rFonts w:hint="eastAsia" w:ascii="宋体" w:hAnsi="宋体" w:eastAsia="宋体" w:cs="宋体"/>
          <w:b w:val="0"/>
          <w:bCs/>
          <w:color w:val="auto"/>
          <w:sz w:val="24"/>
          <w:szCs w:val="24"/>
        </w:rPr>
      </w:pPr>
      <w:r>
        <w:rPr>
          <w:rFonts w:hint="eastAsia" w:ascii="宋体" w:hAnsi="宋体" w:eastAsia="宋体" w:cs="宋体"/>
          <w:b/>
          <w:color w:val="auto"/>
          <w:sz w:val="24"/>
          <w:szCs w:val="24"/>
          <w:lang w:val="en-US" w:eastAsia="zh-CN"/>
        </w:rPr>
        <w:t>交货地点：</w:t>
      </w:r>
      <w:r>
        <w:rPr>
          <w:rFonts w:hint="eastAsia" w:ascii="宋体" w:hAnsi="宋体" w:eastAsia="宋体" w:cs="宋体"/>
          <w:b w:val="0"/>
          <w:bCs/>
          <w:color w:val="auto"/>
          <w:sz w:val="24"/>
          <w:szCs w:val="24"/>
          <w:lang w:val="en-US" w:eastAsia="zh-CN"/>
        </w:rPr>
        <w:t>上海市同仁医院</w:t>
      </w:r>
    </w:p>
    <w:p w14:paraId="00EFB125">
      <w:pPr>
        <w:pStyle w:val="10"/>
        <w:keepNext w:val="0"/>
        <w:keepLines w:val="0"/>
        <w:pageBreakBefore w:val="0"/>
        <w:widowControl/>
        <w:numPr>
          <w:ilvl w:val="0"/>
          <w:numId w:val="1"/>
        </w:numPr>
        <w:kinsoku/>
        <w:wordWrap/>
        <w:overflowPunct/>
        <w:topLinePunct w:val="0"/>
        <w:autoSpaceDE/>
        <w:autoSpaceDN/>
        <w:bidi w:val="0"/>
        <w:adjustRightInd/>
        <w:snapToGrid/>
        <w:spacing w:line="360" w:lineRule="auto"/>
        <w:ind w:left="425" w:leftChars="0" w:hanging="425" w:firstLineChars="0"/>
        <w:textAlignment w:val="auto"/>
        <w:rPr>
          <w:rFonts w:hint="default" w:ascii="宋体" w:hAnsi="宋体" w:eastAsia="宋体" w:cs="宋体"/>
          <w:b w:val="0"/>
          <w:bCs/>
          <w:color w:val="auto"/>
          <w:sz w:val="24"/>
          <w:szCs w:val="24"/>
          <w:u w:val="none"/>
          <w:lang w:val="en-US"/>
        </w:rPr>
      </w:pPr>
      <w:r>
        <w:rPr>
          <w:rFonts w:hint="eastAsia" w:ascii="宋体" w:hAnsi="宋体" w:eastAsia="宋体" w:cs="宋体"/>
          <w:b/>
          <w:color w:val="auto"/>
          <w:sz w:val="24"/>
          <w:szCs w:val="24"/>
          <w:lang w:val="en-US" w:eastAsia="zh-CN"/>
        </w:rPr>
        <w:t>付款方式：</w:t>
      </w:r>
      <w:r>
        <w:rPr>
          <w:rFonts w:hint="eastAsia" w:cs="宋体"/>
          <w:b w:val="0"/>
          <w:bCs/>
          <w:color w:val="auto"/>
          <w:sz w:val="24"/>
          <w:szCs w:val="24"/>
          <w:u w:val="none"/>
          <w:lang w:val="en-US" w:eastAsia="zh-CN"/>
        </w:rPr>
        <w:t>设备验收合格之后6个月内支付100%货款，具体根据合同约定条款进行支付；采购合同应明确资金支付的方式、时间和条件，明确逾期支付资金的违约责任。</w:t>
      </w:r>
    </w:p>
    <w:p w14:paraId="079BAC1D">
      <w:pPr>
        <w:pStyle w:val="23"/>
        <w:numPr>
          <w:ilvl w:val="0"/>
          <w:numId w:val="1"/>
        </w:numPr>
        <w:spacing w:line="360" w:lineRule="auto"/>
        <w:ind w:left="425" w:leftChars="0" w:hanging="425" w:firstLineChars="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本标包属于货物类招标项目。本标包核心产品有：液相色谱-串联质谱仪</w:t>
      </w:r>
      <w:r>
        <w:rPr>
          <w:rFonts w:hint="eastAsia" w:ascii="宋体" w:hAnsi="宋体" w:eastAsia="宋体" w:cs="宋体"/>
          <w:color w:val="auto"/>
          <w:kern w:val="0"/>
          <w:sz w:val="24"/>
          <w:highlight w:val="none"/>
          <w:lang w:bidi="ar"/>
        </w:rPr>
        <w:t>。</w:t>
      </w:r>
    </w:p>
    <w:p w14:paraId="395C702F">
      <w:pPr>
        <w:pStyle w:val="23"/>
        <w:numPr>
          <w:ilvl w:val="0"/>
          <w:numId w:val="1"/>
        </w:numPr>
        <w:spacing w:line="360" w:lineRule="auto"/>
        <w:ind w:left="425" w:leftChars="0" w:hanging="425" w:firstLineChars="0"/>
        <w:jc w:val="left"/>
        <w:rPr>
          <w:rFonts w:hint="eastAsia" w:ascii="宋体" w:hAnsi="宋体" w:eastAsia="宋体" w:cs="宋体"/>
          <w:b/>
          <w:bCs/>
          <w:color w:val="auto"/>
          <w:kern w:val="0"/>
          <w:sz w:val="24"/>
          <w:highlight w:val="none"/>
        </w:rPr>
      </w:pPr>
      <w:r>
        <w:rPr>
          <w:rFonts w:hint="eastAsia" w:ascii="宋体" w:hAnsi="宋体" w:eastAsia="宋体" w:cs="宋体"/>
          <w:color w:val="auto"/>
          <w:sz w:val="24"/>
          <w:highlight w:val="none"/>
        </w:rPr>
        <w:t>本标包中带“▲”的为重要指标，其他为一般指标。“▲”指标需提供技术支撑材料。</w:t>
      </w:r>
    </w:p>
    <w:p w14:paraId="2EDA2D5B">
      <w:pPr>
        <w:pStyle w:val="10"/>
        <w:keepNext w:val="0"/>
        <w:keepLines w:val="0"/>
        <w:pageBreakBefore w:val="0"/>
        <w:widowControl/>
        <w:numPr>
          <w:ilvl w:val="0"/>
          <w:numId w:val="1"/>
        </w:numPr>
        <w:kinsoku/>
        <w:wordWrap/>
        <w:overflowPunct/>
        <w:topLinePunct w:val="0"/>
        <w:autoSpaceDE/>
        <w:autoSpaceDN/>
        <w:bidi w:val="0"/>
        <w:adjustRightInd/>
        <w:snapToGrid/>
        <w:spacing w:line="360" w:lineRule="auto"/>
        <w:ind w:left="425" w:leftChars="0" w:hanging="425" w:firstLineChars="0"/>
        <w:textAlignment w:val="auto"/>
        <w:rPr>
          <w:rFonts w:hint="eastAsia" w:ascii="宋体" w:hAnsi="宋体" w:eastAsia="宋体" w:cs="宋体"/>
          <w:color w:val="auto"/>
          <w:sz w:val="24"/>
          <w:szCs w:val="24"/>
        </w:rPr>
      </w:pPr>
      <w:r>
        <w:rPr>
          <w:rFonts w:hint="eastAsia" w:cs="宋体"/>
          <w:color w:val="auto"/>
          <w:sz w:val="24"/>
          <w:szCs w:val="24"/>
          <w:lang w:val="en-US" w:eastAsia="zh-CN"/>
        </w:rPr>
        <w:t>技术参数要求：</w:t>
      </w:r>
    </w:p>
    <w:tbl>
      <w:tblPr>
        <w:tblStyle w:val="11"/>
        <w:tblW w:w="8230" w:type="dxa"/>
        <w:tblInd w:w="0" w:type="dxa"/>
        <w:tblLayout w:type="fixed"/>
        <w:tblCellMar>
          <w:top w:w="15" w:type="dxa"/>
          <w:left w:w="15" w:type="dxa"/>
          <w:bottom w:w="15" w:type="dxa"/>
          <w:right w:w="15" w:type="dxa"/>
        </w:tblCellMar>
      </w:tblPr>
      <w:tblGrid>
        <w:gridCol w:w="765"/>
        <w:gridCol w:w="7465"/>
      </w:tblGrid>
      <w:tr w14:paraId="429C8AA1">
        <w:tblPrEx>
          <w:tblCellMar>
            <w:top w:w="15" w:type="dxa"/>
            <w:left w:w="15" w:type="dxa"/>
            <w:bottom w:w="15" w:type="dxa"/>
            <w:right w:w="15" w:type="dxa"/>
          </w:tblCellMar>
        </w:tblPrEx>
        <w:trPr>
          <w:tblHeader/>
        </w:trPr>
        <w:tc>
          <w:tcPr>
            <w:tcW w:w="765" w:type="dxa"/>
            <w:tcBorders>
              <w:top w:val="single" w:color="DDDDDD" w:sz="6" w:space="0"/>
              <w:left w:val="single" w:color="DDDDDD" w:sz="6" w:space="0"/>
              <w:bottom w:val="single" w:color="DDDDDD" w:sz="6" w:space="0"/>
              <w:right w:val="single" w:color="DDDDDD" w:sz="6" w:space="0"/>
            </w:tcBorders>
            <w:shd w:val="clear" w:color="auto" w:fill="F5F6F9"/>
            <w:tcMar>
              <w:top w:w="120" w:type="dxa"/>
              <w:left w:w="120" w:type="dxa"/>
              <w:bottom w:w="120" w:type="dxa"/>
              <w:right w:w="120" w:type="dxa"/>
            </w:tcMar>
            <w:vAlign w:val="center"/>
          </w:tcPr>
          <w:p w14:paraId="199E5C28">
            <w:pPr>
              <w:rPr>
                <w:rFonts w:hint="eastAsia" w:ascii="宋体" w:hAnsi="宋体" w:eastAsia="宋体" w:cs="宋体"/>
                <w:b/>
                <w:bCs/>
                <w:color w:val="auto"/>
                <w:sz w:val="21"/>
                <w:szCs w:val="21"/>
              </w:rPr>
            </w:pPr>
            <w:r>
              <w:rPr>
                <w:rFonts w:hint="eastAsia" w:ascii="宋体" w:hAnsi="宋体" w:eastAsia="宋体" w:cs="宋体"/>
                <w:b/>
                <w:bCs/>
                <w:color w:val="auto"/>
                <w:sz w:val="21"/>
                <w:szCs w:val="21"/>
              </w:rPr>
              <w:t>序号</w:t>
            </w:r>
          </w:p>
        </w:tc>
        <w:tc>
          <w:tcPr>
            <w:tcW w:w="7465" w:type="dxa"/>
            <w:tcBorders>
              <w:top w:val="single" w:color="DDDDDD" w:sz="6" w:space="0"/>
              <w:left w:val="single" w:color="DDDDDD" w:sz="6" w:space="0"/>
              <w:bottom w:val="single" w:color="DDDDDD" w:sz="6" w:space="0"/>
              <w:right w:val="single" w:color="DDDDDD" w:sz="6" w:space="0"/>
            </w:tcBorders>
            <w:shd w:val="clear" w:color="auto" w:fill="F5F6F9"/>
            <w:tcMar>
              <w:top w:w="120" w:type="dxa"/>
              <w:left w:w="120" w:type="dxa"/>
              <w:bottom w:w="120" w:type="dxa"/>
              <w:right w:w="120" w:type="dxa"/>
            </w:tcMar>
            <w:vAlign w:val="center"/>
          </w:tcPr>
          <w:p w14:paraId="5BD19E3F">
            <w:pPr>
              <w:rPr>
                <w:rFonts w:hint="eastAsia" w:ascii="宋体" w:hAnsi="宋体" w:eastAsia="宋体" w:cs="宋体"/>
                <w:b/>
                <w:bCs/>
                <w:color w:val="auto"/>
                <w:sz w:val="21"/>
                <w:szCs w:val="21"/>
              </w:rPr>
            </w:pPr>
            <w:r>
              <w:rPr>
                <w:rFonts w:hint="eastAsia" w:ascii="宋体" w:hAnsi="宋体" w:eastAsia="宋体" w:cs="宋体"/>
                <w:b/>
                <w:bCs/>
                <w:color w:val="auto"/>
                <w:sz w:val="21"/>
                <w:szCs w:val="21"/>
              </w:rPr>
              <w:t>参数内容</w:t>
            </w:r>
          </w:p>
        </w:tc>
      </w:tr>
      <w:tr w14:paraId="3F3ACFA6">
        <w:tblPrEx>
          <w:tblCellMar>
            <w:top w:w="15" w:type="dxa"/>
            <w:left w:w="15" w:type="dxa"/>
            <w:bottom w:w="15" w:type="dxa"/>
            <w:right w:w="15" w:type="dxa"/>
          </w:tblCellMar>
        </w:tblPrEx>
        <w:tc>
          <w:tcPr>
            <w:tcW w:w="765" w:type="dxa"/>
            <w:tcBorders>
              <w:top w:val="single" w:color="DDDDDD" w:sz="6" w:space="0"/>
              <w:left w:val="single" w:color="DDDDDD" w:sz="6" w:space="0"/>
              <w:bottom w:val="single" w:color="DDDDDD" w:sz="6" w:space="0"/>
              <w:right w:val="single" w:color="DDDDDD" w:sz="6" w:space="0"/>
            </w:tcBorders>
            <w:tcMar>
              <w:top w:w="120" w:type="dxa"/>
              <w:left w:w="120" w:type="dxa"/>
              <w:bottom w:w="120" w:type="dxa"/>
              <w:right w:w="120" w:type="dxa"/>
            </w:tcMar>
            <w:vAlign w:val="center"/>
          </w:tcPr>
          <w:p w14:paraId="662DA039">
            <w:pPr>
              <w:rPr>
                <w:rFonts w:hint="eastAsia" w:ascii="宋体" w:hAnsi="宋体" w:eastAsia="宋体" w:cs="宋体"/>
                <w:color w:val="auto"/>
                <w:sz w:val="21"/>
                <w:szCs w:val="21"/>
              </w:rPr>
            </w:pPr>
            <w:r>
              <w:rPr>
                <w:rFonts w:hint="eastAsia" w:ascii="宋体" w:hAnsi="宋体" w:eastAsia="宋体" w:cs="宋体"/>
                <w:color w:val="auto"/>
                <w:sz w:val="21"/>
                <w:szCs w:val="21"/>
              </w:rPr>
              <w:t>▲1.1</w:t>
            </w:r>
          </w:p>
        </w:tc>
        <w:tc>
          <w:tcPr>
            <w:tcW w:w="7465" w:type="dxa"/>
            <w:tcBorders>
              <w:top w:val="single" w:color="DDDDDD" w:sz="6" w:space="0"/>
              <w:left w:val="single" w:color="DDDDDD" w:sz="6" w:space="0"/>
              <w:bottom w:val="single" w:color="DDDDDD" w:sz="6" w:space="0"/>
              <w:right w:val="single" w:color="DDDDDD" w:sz="6" w:space="0"/>
            </w:tcBorders>
            <w:tcMar>
              <w:top w:w="120" w:type="dxa"/>
              <w:left w:w="120" w:type="dxa"/>
              <w:bottom w:w="120" w:type="dxa"/>
              <w:right w:w="120" w:type="dxa"/>
            </w:tcMar>
            <w:vAlign w:val="center"/>
          </w:tcPr>
          <w:p w14:paraId="144D5690">
            <w:pPr>
              <w:rPr>
                <w:rFonts w:hint="eastAsia" w:ascii="宋体" w:hAnsi="宋体" w:eastAsia="宋体" w:cs="宋体"/>
                <w:color w:val="auto"/>
                <w:sz w:val="21"/>
                <w:szCs w:val="21"/>
              </w:rPr>
            </w:pPr>
            <w:r>
              <w:rPr>
                <w:rFonts w:hint="eastAsia" w:ascii="宋体" w:hAnsi="宋体" w:eastAsia="宋体" w:cs="宋体"/>
                <w:color w:val="auto"/>
                <w:sz w:val="21"/>
                <w:szCs w:val="21"/>
              </w:rPr>
              <w:t>适用于人体样本（包括但不限于血液、尿液等）中内源性和外源性物质（包括但不限于激素类、维生素类、药物类等）的定性定量检测。所投产品医疗器械注册证适用范围应涵盖上述样本类型及物质类别的检测用途（若注册证未逐一列举具体化合物名称，但适用范围描述已覆盖相关类别，且能提供官方说明书或技术白皮书佐证具体支持项目的，视为满足）。</w:t>
            </w:r>
          </w:p>
        </w:tc>
      </w:tr>
      <w:tr w14:paraId="78F11BB7">
        <w:tblPrEx>
          <w:tblCellMar>
            <w:top w:w="15" w:type="dxa"/>
            <w:left w:w="15" w:type="dxa"/>
            <w:bottom w:w="15" w:type="dxa"/>
            <w:right w:w="15" w:type="dxa"/>
          </w:tblCellMar>
        </w:tblPrEx>
        <w:tc>
          <w:tcPr>
            <w:tcW w:w="765" w:type="dxa"/>
            <w:tcBorders>
              <w:top w:val="single" w:color="DDDDDD" w:sz="6" w:space="0"/>
              <w:left w:val="single" w:color="DDDDDD" w:sz="6" w:space="0"/>
              <w:bottom w:val="single" w:color="DDDDDD" w:sz="6" w:space="0"/>
              <w:right w:val="single" w:color="DDDDDD" w:sz="6" w:space="0"/>
            </w:tcBorders>
            <w:tcMar>
              <w:top w:w="120" w:type="dxa"/>
              <w:left w:w="120" w:type="dxa"/>
              <w:bottom w:w="120" w:type="dxa"/>
              <w:right w:w="120" w:type="dxa"/>
            </w:tcMar>
            <w:vAlign w:val="center"/>
          </w:tcPr>
          <w:p w14:paraId="226AF076">
            <w:pPr>
              <w:rPr>
                <w:rFonts w:hint="eastAsia" w:ascii="宋体" w:hAnsi="宋体" w:eastAsia="宋体" w:cs="宋体"/>
                <w:color w:val="auto"/>
                <w:sz w:val="21"/>
                <w:szCs w:val="21"/>
              </w:rPr>
            </w:pPr>
            <w:r>
              <w:rPr>
                <w:rFonts w:hint="eastAsia" w:ascii="宋体" w:hAnsi="宋体" w:eastAsia="宋体" w:cs="宋体"/>
                <w:color w:val="auto"/>
                <w:sz w:val="21"/>
                <w:szCs w:val="21"/>
              </w:rPr>
              <w:t>▲2.1</w:t>
            </w:r>
          </w:p>
        </w:tc>
        <w:tc>
          <w:tcPr>
            <w:tcW w:w="7465" w:type="dxa"/>
            <w:tcBorders>
              <w:top w:val="single" w:color="DDDDDD" w:sz="6" w:space="0"/>
              <w:left w:val="single" w:color="DDDDDD" w:sz="6" w:space="0"/>
              <w:bottom w:val="single" w:color="DDDDDD" w:sz="6" w:space="0"/>
              <w:right w:val="single" w:color="DDDDDD" w:sz="6" w:space="0"/>
            </w:tcBorders>
            <w:tcMar>
              <w:top w:w="120" w:type="dxa"/>
              <w:left w:w="120" w:type="dxa"/>
              <w:bottom w:w="120" w:type="dxa"/>
              <w:right w:w="120" w:type="dxa"/>
            </w:tcMar>
            <w:vAlign w:val="center"/>
          </w:tcPr>
          <w:p w14:paraId="283682B9">
            <w:pPr>
              <w:rPr>
                <w:rFonts w:hint="eastAsia" w:ascii="宋体" w:hAnsi="宋体" w:eastAsia="宋体" w:cs="宋体"/>
                <w:color w:val="auto"/>
                <w:sz w:val="21"/>
                <w:szCs w:val="21"/>
              </w:rPr>
            </w:pPr>
            <w:r>
              <w:rPr>
                <w:rFonts w:hint="eastAsia" w:ascii="宋体" w:hAnsi="宋体" w:eastAsia="宋体" w:cs="宋体"/>
                <w:color w:val="auto"/>
                <w:sz w:val="21"/>
                <w:szCs w:val="21"/>
              </w:rPr>
              <w:t>液相色谱部分：标配二元高压泵和四路溶剂选择阀，保证混合精度和低扩散体积。若系统标配四元梯度泵，则需额外提供一套二元高压梯度泵以保证质谱的分析性能。流速范围：＞8.5 ml/min，递增率不低于0.001ml/min。（需提供最大流速下软件工作截图，现场验收）</w:t>
            </w:r>
          </w:p>
        </w:tc>
      </w:tr>
      <w:tr w14:paraId="52001183">
        <w:tblPrEx>
          <w:tblCellMar>
            <w:top w:w="15" w:type="dxa"/>
            <w:left w:w="15" w:type="dxa"/>
            <w:bottom w:w="15" w:type="dxa"/>
            <w:right w:w="15" w:type="dxa"/>
          </w:tblCellMar>
        </w:tblPrEx>
        <w:tc>
          <w:tcPr>
            <w:tcW w:w="765" w:type="dxa"/>
            <w:tcBorders>
              <w:top w:val="single" w:color="DDDDDD" w:sz="6" w:space="0"/>
              <w:left w:val="single" w:color="DDDDDD" w:sz="6" w:space="0"/>
              <w:bottom w:val="single" w:color="DDDDDD" w:sz="6" w:space="0"/>
              <w:right w:val="single" w:color="DDDDDD" w:sz="6" w:space="0"/>
            </w:tcBorders>
            <w:tcMar>
              <w:top w:w="120" w:type="dxa"/>
              <w:left w:w="120" w:type="dxa"/>
              <w:bottom w:w="120" w:type="dxa"/>
              <w:right w:w="120" w:type="dxa"/>
            </w:tcMar>
            <w:vAlign w:val="center"/>
          </w:tcPr>
          <w:p w14:paraId="1C0596A4">
            <w:pPr>
              <w:rPr>
                <w:rFonts w:hint="eastAsia" w:ascii="宋体" w:hAnsi="宋体" w:eastAsia="宋体" w:cs="宋体"/>
                <w:color w:val="auto"/>
                <w:sz w:val="21"/>
                <w:szCs w:val="21"/>
              </w:rPr>
            </w:pPr>
            <w:r>
              <w:rPr>
                <w:rFonts w:hint="eastAsia" w:ascii="宋体" w:hAnsi="宋体" w:eastAsia="宋体" w:cs="宋体"/>
                <w:color w:val="auto"/>
                <w:sz w:val="21"/>
                <w:szCs w:val="21"/>
              </w:rPr>
              <w:t>▲2.2</w:t>
            </w:r>
          </w:p>
        </w:tc>
        <w:tc>
          <w:tcPr>
            <w:tcW w:w="7465" w:type="dxa"/>
            <w:tcBorders>
              <w:top w:val="single" w:color="DDDDDD" w:sz="6" w:space="0"/>
              <w:left w:val="single" w:color="DDDDDD" w:sz="6" w:space="0"/>
              <w:bottom w:val="single" w:color="DDDDDD" w:sz="6" w:space="0"/>
              <w:right w:val="single" w:color="DDDDDD" w:sz="6" w:space="0"/>
            </w:tcBorders>
            <w:tcMar>
              <w:top w:w="120" w:type="dxa"/>
              <w:left w:w="120" w:type="dxa"/>
              <w:bottom w:w="120" w:type="dxa"/>
              <w:right w:w="120" w:type="dxa"/>
            </w:tcMar>
            <w:vAlign w:val="center"/>
          </w:tcPr>
          <w:p w14:paraId="60D57133">
            <w:pPr>
              <w:rPr>
                <w:rFonts w:hint="eastAsia" w:ascii="宋体" w:hAnsi="宋体" w:eastAsia="宋体" w:cs="宋体"/>
                <w:color w:val="auto"/>
                <w:sz w:val="21"/>
                <w:szCs w:val="21"/>
              </w:rPr>
            </w:pPr>
            <w:r>
              <w:rPr>
                <w:rFonts w:hint="eastAsia" w:ascii="宋体" w:hAnsi="宋体" w:eastAsia="宋体" w:cs="宋体"/>
                <w:color w:val="auto"/>
                <w:sz w:val="21"/>
                <w:szCs w:val="21"/>
              </w:rPr>
              <w:t>液相色谱部分：柱温箱标配卡位至少可同时放置3根色谱柱（色谱柱长度≥30厘米），便于不同应用方法学的快速切换。（需提供柱温箱的实物腔体图，现场验收）</w:t>
            </w:r>
          </w:p>
        </w:tc>
      </w:tr>
      <w:tr w14:paraId="215311B9">
        <w:tblPrEx>
          <w:tblCellMar>
            <w:top w:w="15" w:type="dxa"/>
            <w:left w:w="15" w:type="dxa"/>
            <w:bottom w:w="15" w:type="dxa"/>
            <w:right w:w="15" w:type="dxa"/>
          </w:tblCellMar>
        </w:tblPrEx>
        <w:tc>
          <w:tcPr>
            <w:tcW w:w="765" w:type="dxa"/>
            <w:tcBorders>
              <w:top w:val="single" w:color="DDDDDD" w:sz="6" w:space="0"/>
              <w:left w:val="single" w:color="DDDDDD" w:sz="6" w:space="0"/>
              <w:bottom w:val="single" w:color="DDDDDD" w:sz="6" w:space="0"/>
              <w:right w:val="single" w:color="DDDDDD" w:sz="6" w:space="0"/>
            </w:tcBorders>
            <w:tcMar>
              <w:top w:w="120" w:type="dxa"/>
              <w:left w:w="120" w:type="dxa"/>
              <w:bottom w:w="120" w:type="dxa"/>
              <w:right w:w="120" w:type="dxa"/>
            </w:tcMar>
            <w:vAlign w:val="center"/>
          </w:tcPr>
          <w:p w14:paraId="51AD8141">
            <w:pPr>
              <w:rPr>
                <w:rFonts w:hint="eastAsia" w:ascii="宋体" w:hAnsi="宋体" w:eastAsia="宋体" w:cs="宋体"/>
                <w:color w:val="auto"/>
                <w:sz w:val="21"/>
                <w:szCs w:val="21"/>
              </w:rPr>
            </w:pPr>
            <w:r>
              <w:rPr>
                <w:rFonts w:hint="eastAsia" w:ascii="宋体" w:hAnsi="宋体" w:eastAsia="宋体" w:cs="宋体"/>
                <w:color w:val="auto"/>
                <w:sz w:val="21"/>
                <w:szCs w:val="21"/>
              </w:rPr>
              <w:t>▲2.3</w:t>
            </w:r>
          </w:p>
        </w:tc>
        <w:tc>
          <w:tcPr>
            <w:tcW w:w="7465" w:type="dxa"/>
            <w:tcBorders>
              <w:top w:val="single" w:color="DDDDDD" w:sz="6" w:space="0"/>
              <w:left w:val="single" w:color="DDDDDD" w:sz="6" w:space="0"/>
              <w:bottom w:val="single" w:color="DDDDDD" w:sz="6" w:space="0"/>
              <w:right w:val="single" w:color="DDDDDD" w:sz="6" w:space="0"/>
            </w:tcBorders>
            <w:tcMar>
              <w:top w:w="120" w:type="dxa"/>
              <w:left w:w="120" w:type="dxa"/>
              <w:bottom w:w="120" w:type="dxa"/>
              <w:right w:w="120" w:type="dxa"/>
            </w:tcMar>
            <w:vAlign w:val="center"/>
          </w:tcPr>
          <w:p w14:paraId="6D8C1E0A">
            <w:pPr>
              <w:rPr>
                <w:rFonts w:hint="eastAsia" w:ascii="宋体" w:hAnsi="宋体" w:eastAsia="宋体" w:cs="宋体"/>
                <w:color w:val="auto"/>
                <w:sz w:val="21"/>
                <w:szCs w:val="21"/>
              </w:rPr>
            </w:pPr>
            <w:r>
              <w:rPr>
                <w:rFonts w:hint="eastAsia" w:ascii="宋体" w:hAnsi="宋体" w:eastAsia="宋体" w:cs="宋体"/>
                <w:color w:val="auto"/>
                <w:sz w:val="21"/>
                <w:szCs w:val="21"/>
              </w:rPr>
              <w:t>液相色谱部分：为保证使用合规性，所投仪器应适配具有二类医疗器械注册证的色谱柱。投标时需提供至少5种不同规格（如C18、HILIC、PFP等）的适配色谱柱二类医疗器械注册证复印件作为佐证。</w:t>
            </w:r>
          </w:p>
        </w:tc>
      </w:tr>
      <w:tr w14:paraId="45576214">
        <w:tblPrEx>
          <w:tblCellMar>
            <w:top w:w="15" w:type="dxa"/>
            <w:left w:w="15" w:type="dxa"/>
            <w:bottom w:w="15" w:type="dxa"/>
            <w:right w:w="15" w:type="dxa"/>
          </w:tblCellMar>
        </w:tblPrEx>
        <w:tc>
          <w:tcPr>
            <w:tcW w:w="765" w:type="dxa"/>
            <w:tcBorders>
              <w:top w:val="single" w:color="DDDDDD" w:sz="6" w:space="0"/>
              <w:left w:val="single" w:color="DDDDDD" w:sz="6" w:space="0"/>
              <w:bottom w:val="single" w:color="DDDDDD" w:sz="6" w:space="0"/>
              <w:right w:val="single" w:color="DDDDDD" w:sz="6" w:space="0"/>
            </w:tcBorders>
            <w:tcMar>
              <w:top w:w="120" w:type="dxa"/>
              <w:left w:w="120" w:type="dxa"/>
              <w:bottom w:w="120" w:type="dxa"/>
              <w:right w:w="120" w:type="dxa"/>
            </w:tcMar>
            <w:vAlign w:val="center"/>
          </w:tcPr>
          <w:p w14:paraId="636C50E7">
            <w:pPr>
              <w:rPr>
                <w:rFonts w:hint="eastAsia" w:ascii="宋体" w:hAnsi="宋体" w:eastAsia="宋体" w:cs="宋体"/>
                <w:color w:val="auto"/>
                <w:sz w:val="21"/>
                <w:szCs w:val="21"/>
              </w:rPr>
            </w:pPr>
            <w:r>
              <w:rPr>
                <w:rFonts w:hint="eastAsia" w:ascii="宋体" w:hAnsi="宋体" w:eastAsia="宋体" w:cs="宋体"/>
                <w:color w:val="auto"/>
                <w:sz w:val="21"/>
                <w:szCs w:val="21"/>
              </w:rPr>
              <w:t>▲2.4</w:t>
            </w:r>
          </w:p>
        </w:tc>
        <w:tc>
          <w:tcPr>
            <w:tcW w:w="7465" w:type="dxa"/>
            <w:tcBorders>
              <w:top w:val="single" w:color="DDDDDD" w:sz="6" w:space="0"/>
              <w:left w:val="single" w:color="DDDDDD" w:sz="6" w:space="0"/>
              <w:bottom w:val="single" w:color="DDDDDD" w:sz="6" w:space="0"/>
              <w:right w:val="single" w:color="DDDDDD" w:sz="6" w:space="0"/>
            </w:tcBorders>
            <w:tcMar>
              <w:top w:w="120" w:type="dxa"/>
              <w:left w:w="120" w:type="dxa"/>
              <w:bottom w:w="120" w:type="dxa"/>
              <w:right w:w="120" w:type="dxa"/>
            </w:tcMar>
            <w:vAlign w:val="center"/>
          </w:tcPr>
          <w:p w14:paraId="5F966148">
            <w:pPr>
              <w:rPr>
                <w:rFonts w:hint="eastAsia" w:ascii="宋体" w:hAnsi="宋体" w:eastAsia="宋体" w:cs="宋体"/>
                <w:color w:val="auto"/>
                <w:sz w:val="21"/>
                <w:szCs w:val="21"/>
              </w:rPr>
            </w:pPr>
            <w:r>
              <w:rPr>
                <w:rFonts w:hint="eastAsia" w:ascii="宋体" w:hAnsi="宋体" w:eastAsia="宋体" w:cs="宋体"/>
                <w:color w:val="auto"/>
                <w:sz w:val="21"/>
                <w:szCs w:val="21"/>
              </w:rPr>
              <w:t>质谱仪部分：标配ESI和APCI源，离子源辅助加热气温度≥650°C，以保证良好的去溶剂效果和离子化效率。（需提供软件设置界面截图或技术证明文件）</w:t>
            </w:r>
          </w:p>
        </w:tc>
      </w:tr>
      <w:tr w14:paraId="187AA4CE">
        <w:tblPrEx>
          <w:tblCellMar>
            <w:top w:w="15" w:type="dxa"/>
            <w:left w:w="15" w:type="dxa"/>
            <w:bottom w:w="15" w:type="dxa"/>
            <w:right w:w="15" w:type="dxa"/>
          </w:tblCellMar>
        </w:tblPrEx>
        <w:tc>
          <w:tcPr>
            <w:tcW w:w="765" w:type="dxa"/>
            <w:tcBorders>
              <w:top w:val="single" w:color="DDDDDD" w:sz="6" w:space="0"/>
              <w:left w:val="single" w:color="DDDDDD" w:sz="6" w:space="0"/>
              <w:bottom w:val="single" w:color="DDDDDD" w:sz="6" w:space="0"/>
              <w:right w:val="single" w:color="DDDDDD" w:sz="6" w:space="0"/>
            </w:tcBorders>
            <w:tcMar>
              <w:top w:w="120" w:type="dxa"/>
              <w:left w:w="120" w:type="dxa"/>
              <w:bottom w:w="120" w:type="dxa"/>
              <w:right w:w="120" w:type="dxa"/>
            </w:tcMar>
            <w:vAlign w:val="center"/>
          </w:tcPr>
          <w:p w14:paraId="4F704CDB">
            <w:pPr>
              <w:rPr>
                <w:rFonts w:hint="eastAsia" w:ascii="宋体" w:hAnsi="宋体" w:eastAsia="宋体" w:cs="宋体"/>
                <w:color w:val="auto"/>
                <w:sz w:val="21"/>
                <w:szCs w:val="21"/>
              </w:rPr>
            </w:pPr>
            <w:r>
              <w:rPr>
                <w:rFonts w:hint="eastAsia" w:ascii="宋体" w:hAnsi="宋体" w:eastAsia="宋体" w:cs="宋体"/>
                <w:color w:val="auto"/>
                <w:sz w:val="21"/>
                <w:szCs w:val="21"/>
              </w:rPr>
              <w:t>▲2.5</w:t>
            </w:r>
          </w:p>
        </w:tc>
        <w:tc>
          <w:tcPr>
            <w:tcW w:w="7465" w:type="dxa"/>
            <w:tcBorders>
              <w:top w:val="single" w:color="DDDDDD" w:sz="6" w:space="0"/>
              <w:left w:val="single" w:color="DDDDDD" w:sz="6" w:space="0"/>
              <w:bottom w:val="single" w:color="DDDDDD" w:sz="6" w:space="0"/>
              <w:right w:val="single" w:color="DDDDDD" w:sz="6" w:space="0"/>
            </w:tcBorders>
            <w:tcMar>
              <w:top w:w="120" w:type="dxa"/>
              <w:left w:w="120" w:type="dxa"/>
              <w:bottom w:w="120" w:type="dxa"/>
              <w:right w:w="120" w:type="dxa"/>
            </w:tcMar>
            <w:vAlign w:val="center"/>
          </w:tcPr>
          <w:p w14:paraId="1B960BC6">
            <w:pPr>
              <w:rPr>
                <w:rFonts w:hint="eastAsia" w:ascii="宋体" w:hAnsi="宋体" w:eastAsia="宋体" w:cs="宋体"/>
                <w:color w:val="auto"/>
                <w:sz w:val="21"/>
                <w:szCs w:val="21"/>
              </w:rPr>
            </w:pPr>
            <w:r>
              <w:rPr>
                <w:rFonts w:hint="eastAsia" w:ascii="宋体" w:hAnsi="宋体" w:eastAsia="宋体" w:cs="宋体"/>
                <w:color w:val="auto"/>
                <w:sz w:val="21"/>
                <w:szCs w:val="21"/>
              </w:rPr>
              <w:t>质谱仪部分：碰撞反应池应具备有效去除中性粒子干扰的设计（如弯曲、偏转、差分抽气或其他等效技术），以保证复杂生物样本分析的抗干扰能力和稳定性。（需提供碰撞池结构示意图或技术原理说明）</w:t>
            </w:r>
          </w:p>
        </w:tc>
      </w:tr>
      <w:tr w14:paraId="07865914">
        <w:tblPrEx>
          <w:tblCellMar>
            <w:top w:w="15" w:type="dxa"/>
            <w:left w:w="15" w:type="dxa"/>
            <w:bottom w:w="15" w:type="dxa"/>
            <w:right w:w="15" w:type="dxa"/>
          </w:tblCellMar>
        </w:tblPrEx>
        <w:tc>
          <w:tcPr>
            <w:tcW w:w="765" w:type="dxa"/>
            <w:tcBorders>
              <w:top w:val="single" w:color="DDDDDD" w:sz="6" w:space="0"/>
              <w:left w:val="single" w:color="DDDDDD" w:sz="6" w:space="0"/>
              <w:bottom w:val="single" w:color="DDDDDD" w:sz="6" w:space="0"/>
              <w:right w:val="single" w:color="DDDDDD" w:sz="6" w:space="0"/>
            </w:tcBorders>
            <w:tcMar>
              <w:top w:w="120" w:type="dxa"/>
              <w:left w:w="120" w:type="dxa"/>
              <w:bottom w:w="120" w:type="dxa"/>
              <w:right w:w="120" w:type="dxa"/>
            </w:tcMar>
            <w:vAlign w:val="center"/>
          </w:tcPr>
          <w:p w14:paraId="7CC9C2F9">
            <w:pPr>
              <w:rPr>
                <w:rFonts w:hint="eastAsia" w:ascii="宋体" w:hAnsi="宋体" w:eastAsia="宋体" w:cs="宋体"/>
                <w:color w:val="auto"/>
                <w:sz w:val="21"/>
                <w:szCs w:val="21"/>
              </w:rPr>
            </w:pPr>
            <w:r>
              <w:rPr>
                <w:rFonts w:hint="eastAsia" w:ascii="宋体" w:hAnsi="宋体" w:eastAsia="宋体" w:cs="宋体"/>
                <w:color w:val="auto"/>
                <w:sz w:val="21"/>
                <w:szCs w:val="21"/>
              </w:rPr>
              <w:t>▲2.6</w:t>
            </w:r>
          </w:p>
        </w:tc>
        <w:tc>
          <w:tcPr>
            <w:tcW w:w="7465" w:type="dxa"/>
            <w:tcBorders>
              <w:top w:val="single" w:color="DDDDDD" w:sz="6" w:space="0"/>
              <w:left w:val="single" w:color="DDDDDD" w:sz="6" w:space="0"/>
              <w:bottom w:val="single" w:color="DDDDDD" w:sz="6" w:space="0"/>
              <w:right w:val="single" w:color="DDDDDD" w:sz="6" w:space="0"/>
            </w:tcBorders>
            <w:tcMar>
              <w:top w:w="120" w:type="dxa"/>
              <w:left w:w="120" w:type="dxa"/>
              <w:bottom w:w="120" w:type="dxa"/>
              <w:right w:w="120" w:type="dxa"/>
            </w:tcMar>
            <w:vAlign w:val="center"/>
          </w:tcPr>
          <w:p w14:paraId="217CCECE">
            <w:pPr>
              <w:rPr>
                <w:rFonts w:hint="eastAsia" w:ascii="宋体" w:hAnsi="宋体" w:eastAsia="宋体" w:cs="宋体"/>
                <w:color w:val="auto"/>
                <w:sz w:val="21"/>
                <w:szCs w:val="21"/>
              </w:rPr>
            </w:pPr>
            <w:r>
              <w:rPr>
                <w:rFonts w:hint="eastAsia" w:ascii="宋体" w:hAnsi="宋体" w:eastAsia="宋体" w:cs="宋体"/>
                <w:color w:val="auto"/>
                <w:sz w:val="21"/>
                <w:szCs w:val="21"/>
              </w:rPr>
              <w:t>配套方案：提供可适配所投机型的二类试剂盒产品，种类至少包含：维生素、药物浓度、儿茶酚胺、类固醇激素。（提供对应试剂的二类注册证和说明书作为佐证材料）</w:t>
            </w:r>
          </w:p>
        </w:tc>
      </w:tr>
      <w:tr w14:paraId="647804ED">
        <w:tblPrEx>
          <w:tblCellMar>
            <w:top w:w="15" w:type="dxa"/>
            <w:left w:w="15" w:type="dxa"/>
            <w:bottom w:w="15" w:type="dxa"/>
            <w:right w:w="15" w:type="dxa"/>
          </w:tblCellMar>
        </w:tblPrEx>
        <w:tc>
          <w:tcPr>
            <w:tcW w:w="765" w:type="dxa"/>
            <w:tcBorders>
              <w:top w:val="single" w:color="DDDDDD" w:sz="6" w:space="0"/>
              <w:left w:val="single" w:color="DDDDDD" w:sz="6" w:space="0"/>
              <w:bottom w:val="single" w:color="DDDDDD" w:sz="6" w:space="0"/>
              <w:right w:val="single" w:color="DDDDDD" w:sz="6" w:space="0"/>
            </w:tcBorders>
            <w:tcMar>
              <w:top w:w="120" w:type="dxa"/>
              <w:left w:w="120" w:type="dxa"/>
              <w:bottom w:w="120" w:type="dxa"/>
              <w:right w:w="120" w:type="dxa"/>
            </w:tcMar>
            <w:vAlign w:val="center"/>
          </w:tcPr>
          <w:p w14:paraId="25187B7B">
            <w:pPr>
              <w:rPr>
                <w:rFonts w:hint="eastAsia" w:ascii="宋体" w:hAnsi="宋体" w:eastAsia="宋体" w:cs="宋体"/>
                <w:color w:val="auto"/>
                <w:sz w:val="21"/>
                <w:szCs w:val="21"/>
              </w:rPr>
            </w:pPr>
            <w:r>
              <w:rPr>
                <w:rFonts w:hint="eastAsia" w:ascii="宋体" w:hAnsi="宋体" w:eastAsia="宋体" w:cs="宋体"/>
                <w:color w:val="auto"/>
                <w:sz w:val="21"/>
                <w:szCs w:val="21"/>
              </w:rPr>
              <w:t>3.1</w:t>
            </w:r>
          </w:p>
        </w:tc>
        <w:tc>
          <w:tcPr>
            <w:tcW w:w="7465" w:type="dxa"/>
            <w:tcBorders>
              <w:top w:val="single" w:color="DDDDDD" w:sz="6" w:space="0"/>
              <w:left w:val="single" w:color="DDDDDD" w:sz="6" w:space="0"/>
              <w:bottom w:val="single" w:color="DDDDDD" w:sz="6" w:space="0"/>
              <w:right w:val="single" w:color="DDDDDD" w:sz="6" w:space="0"/>
            </w:tcBorders>
            <w:tcMar>
              <w:top w:w="120" w:type="dxa"/>
              <w:left w:w="120" w:type="dxa"/>
              <w:bottom w:w="120" w:type="dxa"/>
              <w:right w:w="120" w:type="dxa"/>
            </w:tcMar>
            <w:vAlign w:val="center"/>
          </w:tcPr>
          <w:p w14:paraId="6CD4EBC0">
            <w:pPr>
              <w:rPr>
                <w:rFonts w:hint="eastAsia" w:ascii="宋体" w:hAnsi="宋体" w:eastAsia="宋体" w:cs="宋体"/>
                <w:color w:val="auto"/>
                <w:sz w:val="21"/>
                <w:szCs w:val="21"/>
              </w:rPr>
            </w:pPr>
            <w:r>
              <w:rPr>
                <w:rFonts w:hint="eastAsia" w:ascii="宋体" w:hAnsi="宋体" w:eastAsia="宋体" w:cs="宋体"/>
                <w:color w:val="auto"/>
                <w:sz w:val="21"/>
                <w:szCs w:val="21"/>
              </w:rPr>
              <w:t>液相梯度泵：二元高压梯度泵系统，耐压≥10000psi。</w:t>
            </w:r>
          </w:p>
        </w:tc>
      </w:tr>
      <w:tr w14:paraId="41117A7A">
        <w:tblPrEx>
          <w:tblCellMar>
            <w:top w:w="15" w:type="dxa"/>
            <w:left w:w="15" w:type="dxa"/>
            <w:bottom w:w="15" w:type="dxa"/>
            <w:right w:w="15" w:type="dxa"/>
          </w:tblCellMar>
        </w:tblPrEx>
        <w:tc>
          <w:tcPr>
            <w:tcW w:w="765" w:type="dxa"/>
            <w:tcBorders>
              <w:top w:val="single" w:color="DDDDDD" w:sz="6" w:space="0"/>
              <w:left w:val="single" w:color="DDDDDD" w:sz="6" w:space="0"/>
              <w:bottom w:val="single" w:color="DDDDDD" w:sz="6" w:space="0"/>
              <w:right w:val="single" w:color="DDDDDD" w:sz="6" w:space="0"/>
            </w:tcBorders>
            <w:tcMar>
              <w:top w:w="120" w:type="dxa"/>
              <w:left w:w="120" w:type="dxa"/>
              <w:bottom w:w="120" w:type="dxa"/>
              <w:right w:w="120" w:type="dxa"/>
            </w:tcMar>
            <w:vAlign w:val="center"/>
          </w:tcPr>
          <w:p w14:paraId="082A1C8E">
            <w:pPr>
              <w:rPr>
                <w:rFonts w:hint="eastAsia" w:ascii="宋体" w:hAnsi="宋体" w:eastAsia="宋体" w:cs="宋体"/>
                <w:color w:val="auto"/>
                <w:sz w:val="21"/>
                <w:szCs w:val="21"/>
              </w:rPr>
            </w:pPr>
            <w:r>
              <w:rPr>
                <w:rFonts w:hint="eastAsia" w:ascii="宋体" w:hAnsi="宋体" w:eastAsia="宋体" w:cs="宋体"/>
                <w:color w:val="auto"/>
                <w:sz w:val="21"/>
                <w:szCs w:val="21"/>
              </w:rPr>
              <w:t>3.2</w:t>
            </w:r>
          </w:p>
        </w:tc>
        <w:tc>
          <w:tcPr>
            <w:tcW w:w="7465" w:type="dxa"/>
            <w:tcBorders>
              <w:top w:val="single" w:color="DDDDDD" w:sz="6" w:space="0"/>
              <w:left w:val="single" w:color="DDDDDD" w:sz="6" w:space="0"/>
              <w:bottom w:val="single" w:color="DDDDDD" w:sz="6" w:space="0"/>
              <w:right w:val="single" w:color="DDDDDD" w:sz="6" w:space="0"/>
            </w:tcBorders>
            <w:tcMar>
              <w:top w:w="120" w:type="dxa"/>
              <w:left w:w="120" w:type="dxa"/>
              <w:bottom w:w="120" w:type="dxa"/>
              <w:right w:w="120" w:type="dxa"/>
            </w:tcMar>
            <w:vAlign w:val="center"/>
          </w:tcPr>
          <w:p w14:paraId="1827D5FC">
            <w:pPr>
              <w:rPr>
                <w:rFonts w:hint="eastAsia" w:ascii="宋体" w:hAnsi="宋体" w:eastAsia="宋体" w:cs="宋体"/>
                <w:color w:val="auto"/>
                <w:sz w:val="21"/>
                <w:szCs w:val="21"/>
              </w:rPr>
            </w:pPr>
            <w:r>
              <w:rPr>
                <w:rFonts w:hint="eastAsia" w:ascii="宋体" w:hAnsi="宋体" w:eastAsia="宋体" w:cs="宋体"/>
                <w:color w:val="auto"/>
                <w:sz w:val="21"/>
                <w:szCs w:val="21"/>
              </w:rPr>
              <w:t>精确度：自动进样器进样精度应满足全定量环模式≤0.2% RSD、半定量环模式≤0.2% RSD、微升进样模式≤0.5% RSD。</w:t>
            </w:r>
          </w:p>
        </w:tc>
      </w:tr>
      <w:tr w14:paraId="4E0873C3">
        <w:tblPrEx>
          <w:tblCellMar>
            <w:top w:w="15" w:type="dxa"/>
            <w:left w:w="15" w:type="dxa"/>
            <w:bottom w:w="15" w:type="dxa"/>
            <w:right w:w="15" w:type="dxa"/>
          </w:tblCellMar>
        </w:tblPrEx>
        <w:tc>
          <w:tcPr>
            <w:tcW w:w="765" w:type="dxa"/>
            <w:tcBorders>
              <w:top w:val="single" w:color="DDDDDD" w:sz="6" w:space="0"/>
              <w:left w:val="single" w:color="DDDDDD" w:sz="6" w:space="0"/>
              <w:bottom w:val="single" w:color="DDDDDD" w:sz="6" w:space="0"/>
              <w:right w:val="single" w:color="DDDDDD" w:sz="6" w:space="0"/>
            </w:tcBorders>
            <w:tcMar>
              <w:top w:w="120" w:type="dxa"/>
              <w:left w:w="120" w:type="dxa"/>
              <w:bottom w:w="120" w:type="dxa"/>
              <w:right w:w="120" w:type="dxa"/>
            </w:tcMar>
            <w:vAlign w:val="center"/>
          </w:tcPr>
          <w:p w14:paraId="627BD7D0">
            <w:pPr>
              <w:rPr>
                <w:rFonts w:hint="eastAsia" w:ascii="宋体" w:hAnsi="宋体" w:eastAsia="宋体" w:cs="宋体"/>
                <w:color w:val="auto"/>
                <w:sz w:val="21"/>
                <w:szCs w:val="21"/>
              </w:rPr>
            </w:pPr>
            <w:r>
              <w:rPr>
                <w:rFonts w:hint="eastAsia" w:ascii="宋体" w:hAnsi="宋体" w:eastAsia="宋体" w:cs="宋体"/>
                <w:color w:val="auto"/>
                <w:sz w:val="21"/>
                <w:szCs w:val="21"/>
              </w:rPr>
              <w:t>3.3.1</w:t>
            </w:r>
          </w:p>
        </w:tc>
        <w:tc>
          <w:tcPr>
            <w:tcW w:w="7465" w:type="dxa"/>
            <w:tcBorders>
              <w:top w:val="single" w:color="DDDDDD" w:sz="6" w:space="0"/>
              <w:left w:val="single" w:color="DDDDDD" w:sz="6" w:space="0"/>
              <w:bottom w:val="single" w:color="DDDDDD" w:sz="6" w:space="0"/>
              <w:right w:val="single" w:color="DDDDDD" w:sz="6" w:space="0"/>
            </w:tcBorders>
            <w:tcMar>
              <w:top w:w="120" w:type="dxa"/>
              <w:left w:w="120" w:type="dxa"/>
              <w:bottom w:w="120" w:type="dxa"/>
              <w:right w:w="120" w:type="dxa"/>
            </w:tcMar>
            <w:vAlign w:val="center"/>
          </w:tcPr>
          <w:p w14:paraId="7E8031AF">
            <w:pPr>
              <w:rPr>
                <w:rFonts w:hint="eastAsia" w:ascii="宋体" w:hAnsi="宋体" w:eastAsia="宋体" w:cs="宋体"/>
                <w:color w:val="auto"/>
                <w:sz w:val="21"/>
                <w:szCs w:val="21"/>
              </w:rPr>
            </w:pPr>
            <w:r>
              <w:rPr>
                <w:rFonts w:hint="eastAsia" w:ascii="宋体" w:hAnsi="宋体" w:eastAsia="宋体" w:cs="宋体"/>
                <w:color w:val="auto"/>
                <w:sz w:val="21"/>
                <w:szCs w:val="21"/>
              </w:rPr>
              <w:t>灵敏度：ESI+模式实际柱上进样1pg利血平，信噪比≥1,500,000:1；ESI-模式实际柱上进样1pg氯霉素，信噪比≥1,500,000:1。或提供同等效能的第三方权威检测机构出具的性能验证报告。（需提供原厂检测报告或实测图谱佐证）</w:t>
            </w:r>
          </w:p>
        </w:tc>
      </w:tr>
      <w:tr w14:paraId="31386202">
        <w:tblPrEx>
          <w:tblCellMar>
            <w:top w:w="15" w:type="dxa"/>
            <w:left w:w="15" w:type="dxa"/>
            <w:bottom w:w="15" w:type="dxa"/>
            <w:right w:w="15" w:type="dxa"/>
          </w:tblCellMar>
        </w:tblPrEx>
        <w:tc>
          <w:tcPr>
            <w:tcW w:w="765" w:type="dxa"/>
            <w:tcBorders>
              <w:top w:val="single" w:color="DDDDDD" w:sz="6" w:space="0"/>
              <w:left w:val="single" w:color="DDDDDD" w:sz="6" w:space="0"/>
              <w:bottom w:val="single" w:color="DDDDDD" w:sz="6" w:space="0"/>
              <w:right w:val="single" w:color="DDDDDD" w:sz="6" w:space="0"/>
            </w:tcBorders>
            <w:tcMar>
              <w:top w:w="120" w:type="dxa"/>
              <w:left w:w="120" w:type="dxa"/>
              <w:bottom w:w="120" w:type="dxa"/>
              <w:right w:w="120" w:type="dxa"/>
            </w:tcMar>
            <w:vAlign w:val="center"/>
          </w:tcPr>
          <w:p w14:paraId="76383F48">
            <w:pPr>
              <w:rPr>
                <w:rFonts w:hint="eastAsia" w:ascii="宋体" w:hAnsi="宋体" w:eastAsia="宋体" w:cs="宋体"/>
                <w:color w:val="auto"/>
                <w:sz w:val="21"/>
                <w:szCs w:val="21"/>
              </w:rPr>
            </w:pPr>
            <w:r>
              <w:rPr>
                <w:rFonts w:hint="eastAsia" w:ascii="宋体" w:hAnsi="宋体" w:eastAsia="宋体" w:cs="宋体"/>
                <w:color w:val="auto"/>
                <w:sz w:val="21"/>
                <w:szCs w:val="21"/>
              </w:rPr>
              <w:t>3.3.2</w:t>
            </w:r>
          </w:p>
        </w:tc>
        <w:tc>
          <w:tcPr>
            <w:tcW w:w="7465" w:type="dxa"/>
            <w:tcBorders>
              <w:top w:val="single" w:color="DDDDDD" w:sz="6" w:space="0"/>
              <w:left w:val="single" w:color="DDDDDD" w:sz="6" w:space="0"/>
              <w:bottom w:val="single" w:color="DDDDDD" w:sz="6" w:space="0"/>
              <w:right w:val="single" w:color="DDDDDD" w:sz="6" w:space="0"/>
            </w:tcBorders>
            <w:tcMar>
              <w:top w:w="120" w:type="dxa"/>
              <w:left w:w="120" w:type="dxa"/>
              <w:bottom w:w="120" w:type="dxa"/>
              <w:right w:w="120" w:type="dxa"/>
            </w:tcMar>
            <w:vAlign w:val="center"/>
          </w:tcPr>
          <w:p w14:paraId="28A6DFB8">
            <w:pPr>
              <w:rPr>
                <w:rFonts w:hint="eastAsia" w:ascii="宋体" w:hAnsi="宋体" w:eastAsia="宋体" w:cs="宋体"/>
                <w:color w:val="auto"/>
                <w:sz w:val="21"/>
                <w:szCs w:val="21"/>
              </w:rPr>
            </w:pPr>
            <w:r>
              <w:rPr>
                <w:rFonts w:hint="eastAsia" w:ascii="宋体" w:hAnsi="宋体" w:eastAsia="宋体" w:cs="宋体"/>
                <w:color w:val="auto"/>
                <w:sz w:val="21"/>
                <w:szCs w:val="21"/>
              </w:rPr>
              <w:t>检测人血浆样本他克莫司具有能满足临床参考范围下限要求的灵敏度，线性范围下限能达到2ng/ml。（需提供对应试剂的产品说明书和注册证作为佐证材料）</w:t>
            </w:r>
          </w:p>
        </w:tc>
      </w:tr>
      <w:tr w14:paraId="350ECD08">
        <w:tblPrEx>
          <w:tblCellMar>
            <w:top w:w="15" w:type="dxa"/>
            <w:left w:w="15" w:type="dxa"/>
            <w:bottom w:w="15" w:type="dxa"/>
            <w:right w:w="15" w:type="dxa"/>
          </w:tblCellMar>
        </w:tblPrEx>
        <w:tc>
          <w:tcPr>
            <w:tcW w:w="765" w:type="dxa"/>
            <w:tcBorders>
              <w:top w:val="single" w:color="DDDDDD" w:sz="6" w:space="0"/>
              <w:left w:val="single" w:color="DDDDDD" w:sz="6" w:space="0"/>
              <w:bottom w:val="single" w:color="DDDDDD" w:sz="6" w:space="0"/>
              <w:right w:val="single" w:color="DDDDDD" w:sz="6" w:space="0"/>
            </w:tcBorders>
            <w:tcMar>
              <w:top w:w="120" w:type="dxa"/>
              <w:left w:w="120" w:type="dxa"/>
              <w:bottom w:w="120" w:type="dxa"/>
              <w:right w:w="120" w:type="dxa"/>
            </w:tcMar>
            <w:vAlign w:val="center"/>
          </w:tcPr>
          <w:p w14:paraId="4C35510F">
            <w:pPr>
              <w:rPr>
                <w:rFonts w:hint="eastAsia" w:ascii="宋体" w:hAnsi="宋体" w:eastAsia="宋体" w:cs="宋体"/>
                <w:color w:val="auto"/>
                <w:sz w:val="21"/>
                <w:szCs w:val="21"/>
              </w:rPr>
            </w:pPr>
            <w:r>
              <w:rPr>
                <w:rFonts w:hint="eastAsia" w:ascii="宋体" w:hAnsi="宋体" w:eastAsia="宋体" w:cs="宋体"/>
                <w:color w:val="auto"/>
                <w:sz w:val="21"/>
                <w:szCs w:val="21"/>
              </w:rPr>
              <w:t>3.3.3</w:t>
            </w:r>
          </w:p>
        </w:tc>
        <w:tc>
          <w:tcPr>
            <w:tcW w:w="7465" w:type="dxa"/>
            <w:tcBorders>
              <w:top w:val="single" w:color="DDDDDD" w:sz="6" w:space="0"/>
              <w:left w:val="single" w:color="DDDDDD" w:sz="6" w:space="0"/>
              <w:bottom w:val="single" w:color="DDDDDD" w:sz="6" w:space="0"/>
              <w:right w:val="single" w:color="DDDDDD" w:sz="6" w:space="0"/>
            </w:tcBorders>
            <w:tcMar>
              <w:top w:w="120" w:type="dxa"/>
              <w:left w:w="120" w:type="dxa"/>
              <w:bottom w:w="120" w:type="dxa"/>
              <w:right w:w="120" w:type="dxa"/>
            </w:tcMar>
            <w:vAlign w:val="center"/>
          </w:tcPr>
          <w:p w14:paraId="2C372864">
            <w:pPr>
              <w:rPr>
                <w:rFonts w:hint="eastAsia" w:ascii="宋体" w:hAnsi="宋体" w:eastAsia="宋体" w:cs="宋体"/>
                <w:color w:val="auto"/>
                <w:sz w:val="21"/>
                <w:szCs w:val="21"/>
              </w:rPr>
            </w:pPr>
            <w:r>
              <w:rPr>
                <w:rFonts w:hint="eastAsia" w:ascii="宋体" w:hAnsi="宋体" w:eastAsia="宋体" w:cs="宋体"/>
                <w:color w:val="auto"/>
                <w:sz w:val="21"/>
                <w:szCs w:val="21"/>
              </w:rPr>
              <w:t>检测人血清样本脂溶性维生素K1具有能满足临床参考范围下限要求的灵敏度，线性范围下限能达到0.2ng/ml。（需提供对应试剂的产品说明书和注册证作为佐证材料）</w:t>
            </w:r>
          </w:p>
        </w:tc>
      </w:tr>
      <w:tr w14:paraId="6DC90B31">
        <w:tblPrEx>
          <w:tblCellMar>
            <w:top w:w="15" w:type="dxa"/>
            <w:left w:w="15" w:type="dxa"/>
            <w:bottom w:w="15" w:type="dxa"/>
            <w:right w:w="15" w:type="dxa"/>
          </w:tblCellMar>
        </w:tblPrEx>
        <w:tc>
          <w:tcPr>
            <w:tcW w:w="765" w:type="dxa"/>
            <w:tcBorders>
              <w:top w:val="single" w:color="DDDDDD" w:sz="6" w:space="0"/>
              <w:left w:val="single" w:color="DDDDDD" w:sz="6" w:space="0"/>
              <w:bottom w:val="single" w:color="DDDDDD" w:sz="6" w:space="0"/>
              <w:right w:val="single" w:color="DDDDDD" w:sz="6" w:space="0"/>
            </w:tcBorders>
            <w:tcMar>
              <w:top w:w="120" w:type="dxa"/>
              <w:left w:w="120" w:type="dxa"/>
              <w:bottom w:w="120" w:type="dxa"/>
              <w:right w:w="120" w:type="dxa"/>
            </w:tcMar>
            <w:vAlign w:val="center"/>
          </w:tcPr>
          <w:p w14:paraId="7B9184DF">
            <w:pPr>
              <w:rPr>
                <w:rFonts w:hint="eastAsia" w:ascii="宋体" w:hAnsi="宋体" w:eastAsia="宋体" w:cs="宋体"/>
                <w:color w:val="auto"/>
                <w:sz w:val="21"/>
                <w:szCs w:val="21"/>
              </w:rPr>
            </w:pPr>
            <w:r>
              <w:rPr>
                <w:rFonts w:hint="eastAsia" w:ascii="宋体" w:hAnsi="宋体" w:eastAsia="宋体" w:cs="宋体"/>
                <w:color w:val="auto"/>
                <w:sz w:val="21"/>
                <w:szCs w:val="21"/>
              </w:rPr>
              <w:t>3.3.4</w:t>
            </w:r>
          </w:p>
        </w:tc>
        <w:tc>
          <w:tcPr>
            <w:tcW w:w="7465" w:type="dxa"/>
            <w:tcBorders>
              <w:top w:val="single" w:color="DDDDDD" w:sz="6" w:space="0"/>
              <w:left w:val="single" w:color="DDDDDD" w:sz="6" w:space="0"/>
              <w:bottom w:val="single" w:color="DDDDDD" w:sz="6" w:space="0"/>
              <w:right w:val="single" w:color="DDDDDD" w:sz="6" w:space="0"/>
            </w:tcBorders>
            <w:tcMar>
              <w:top w:w="120" w:type="dxa"/>
              <w:left w:w="120" w:type="dxa"/>
              <w:bottom w:w="120" w:type="dxa"/>
              <w:right w:w="120" w:type="dxa"/>
            </w:tcMar>
            <w:vAlign w:val="center"/>
          </w:tcPr>
          <w:p w14:paraId="4EEF35DD">
            <w:pPr>
              <w:rPr>
                <w:rFonts w:hint="eastAsia" w:ascii="宋体" w:hAnsi="宋体" w:eastAsia="宋体" w:cs="宋体"/>
                <w:color w:val="auto"/>
                <w:sz w:val="21"/>
                <w:szCs w:val="21"/>
              </w:rPr>
            </w:pPr>
            <w:r>
              <w:rPr>
                <w:rFonts w:hint="eastAsia" w:ascii="宋体" w:hAnsi="宋体" w:eastAsia="宋体" w:cs="宋体"/>
                <w:color w:val="auto"/>
                <w:sz w:val="21"/>
                <w:szCs w:val="21"/>
              </w:rPr>
              <w:t>检测人血浆样本醛固酮具有能满足临床参考范围下限要求的灵敏度，线性范围下限能达到20pg/ml。（需提供对应试剂的产品说明书和注册证作为佐证材料）</w:t>
            </w:r>
          </w:p>
        </w:tc>
      </w:tr>
      <w:tr w14:paraId="5E83454E">
        <w:tblPrEx>
          <w:tblCellMar>
            <w:top w:w="15" w:type="dxa"/>
            <w:left w:w="15" w:type="dxa"/>
            <w:bottom w:w="15" w:type="dxa"/>
            <w:right w:w="15" w:type="dxa"/>
          </w:tblCellMar>
        </w:tblPrEx>
        <w:tc>
          <w:tcPr>
            <w:tcW w:w="765" w:type="dxa"/>
            <w:tcBorders>
              <w:top w:val="single" w:color="DDDDDD" w:sz="6" w:space="0"/>
              <w:left w:val="single" w:color="DDDDDD" w:sz="6" w:space="0"/>
              <w:bottom w:val="single" w:color="DDDDDD" w:sz="6" w:space="0"/>
              <w:right w:val="single" w:color="DDDDDD" w:sz="6" w:space="0"/>
            </w:tcBorders>
            <w:tcMar>
              <w:top w:w="120" w:type="dxa"/>
              <w:left w:w="120" w:type="dxa"/>
              <w:bottom w:w="120" w:type="dxa"/>
              <w:right w:w="120" w:type="dxa"/>
            </w:tcMar>
            <w:vAlign w:val="center"/>
          </w:tcPr>
          <w:p w14:paraId="4F32D567">
            <w:pPr>
              <w:rPr>
                <w:rFonts w:hint="eastAsia" w:ascii="宋体" w:hAnsi="宋体" w:eastAsia="宋体" w:cs="宋体"/>
                <w:color w:val="auto"/>
                <w:sz w:val="21"/>
                <w:szCs w:val="21"/>
              </w:rPr>
            </w:pPr>
            <w:r>
              <w:rPr>
                <w:rFonts w:hint="eastAsia" w:ascii="宋体" w:hAnsi="宋体" w:eastAsia="宋体" w:cs="宋体"/>
                <w:color w:val="auto"/>
                <w:sz w:val="21"/>
                <w:szCs w:val="21"/>
              </w:rPr>
              <w:t>3.4</w:t>
            </w:r>
          </w:p>
        </w:tc>
        <w:tc>
          <w:tcPr>
            <w:tcW w:w="7465" w:type="dxa"/>
            <w:tcBorders>
              <w:top w:val="single" w:color="DDDDDD" w:sz="6" w:space="0"/>
              <w:left w:val="single" w:color="DDDDDD" w:sz="6" w:space="0"/>
              <w:bottom w:val="single" w:color="DDDDDD" w:sz="6" w:space="0"/>
              <w:right w:val="single" w:color="DDDDDD" w:sz="6" w:space="0"/>
            </w:tcBorders>
            <w:tcMar>
              <w:top w:w="120" w:type="dxa"/>
              <w:left w:w="120" w:type="dxa"/>
              <w:bottom w:w="120" w:type="dxa"/>
              <w:right w:w="120" w:type="dxa"/>
            </w:tcMar>
            <w:vAlign w:val="center"/>
          </w:tcPr>
          <w:p w14:paraId="0289DC98">
            <w:pPr>
              <w:rPr>
                <w:rFonts w:hint="eastAsia" w:ascii="宋体" w:hAnsi="宋体" w:eastAsia="宋体" w:cs="宋体"/>
                <w:color w:val="auto"/>
                <w:sz w:val="21"/>
                <w:szCs w:val="21"/>
              </w:rPr>
            </w:pPr>
            <w:r>
              <w:rPr>
                <w:rFonts w:hint="eastAsia" w:ascii="宋体" w:hAnsi="宋体" w:eastAsia="宋体" w:cs="宋体"/>
                <w:color w:val="auto"/>
                <w:sz w:val="21"/>
                <w:szCs w:val="21"/>
              </w:rPr>
              <w:t>稳定性：保障全质量范围内高灵敏度表现，质量轴稳定性优于0.1Da/24hr。</w:t>
            </w:r>
          </w:p>
        </w:tc>
      </w:tr>
      <w:tr w14:paraId="5AD72823">
        <w:tblPrEx>
          <w:tblCellMar>
            <w:top w:w="15" w:type="dxa"/>
            <w:left w:w="15" w:type="dxa"/>
            <w:bottom w:w="15" w:type="dxa"/>
            <w:right w:w="15" w:type="dxa"/>
          </w:tblCellMar>
        </w:tblPrEx>
        <w:tc>
          <w:tcPr>
            <w:tcW w:w="765" w:type="dxa"/>
            <w:tcBorders>
              <w:top w:val="single" w:color="DDDDDD" w:sz="6" w:space="0"/>
              <w:left w:val="single" w:color="DDDDDD" w:sz="6" w:space="0"/>
              <w:bottom w:val="single" w:color="DDDDDD" w:sz="6" w:space="0"/>
              <w:right w:val="single" w:color="DDDDDD" w:sz="6" w:space="0"/>
            </w:tcBorders>
            <w:tcMar>
              <w:top w:w="120" w:type="dxa"/>
              <w:left w:w="120" w:type="dxa"/>
              <w:bottom w:w="120" w:type="dxa"/>
              <w:right w:w="120" w:type="dxa"/>
            </w:tcMar>
            <w:vAlign w:val="center"/>
          </w:tcPr>
          <w:p w14:paraId="7B661C03">
            <w:pPr>
              <w:rPr>
                <w:rFonts w:hint="eastAsia" w:ascii="宋体" w:hAnsi="宋体" w:eastAsia="宋体" w:cs="宋体"/>
                <w:color w:val="auto"/>
                <w:sz w:val="21"/>
                <w:szCs w:val="21"/>
              </w:rPr>
            </w:pPr>
            <w:r>
              <w:rPr>
                <w:rFonts w:hint="eastAsia" w:ascii="宋体" w:hAnsi="宋体" w:eastAsia="宋体" w:cs="宋体"/>
                <w:color w:val="auto"/>
                <w:sz w:val="21"/>
                <w:szCs w:val="21"/>
              </w:rPr>
              <w:t>3.5</w:t>
            </w:r>
          </w:p>
        </w:tc>
        <w:tc>
          <w:tcPr>
            <w:tcW w:w="7465" w:type="dxa"/>
            <w:tcBorders>
              <w:top w:val="single" w:color="DDDDDD" w:sz="6" w:space="0"/>
              <w:left w:val="single" w:color="DDDDDD" w:sz="6" w:space="0"/>
              <w:bottom w:val="single" w:color="DDDDDD" w:sz="6" w:space="0"/>
              <w:right w:val="single" w:color="DDDDDD" w:sz="6" w:space="0"/>
            </w:tcBorders>
            <w:tcMar>
              <w:top w:w="120" w:type="dxa"/>
              <w:left w:w="120" w:type="dxa"/>
              <w:bottom w:w="120" w:type="dxa"/>
              <w:right w:w="120" w:type="dxa"/>
            </w:tcMar>
            <w:vAlign w:val="center"/>
          </w:tcPr>
          <w:p w14:paraId="59E5C7CB">
            <w:pPr>
              <w:rPr>
                <w:rFonts w:hint="eastAsia" w:ascii="宋体" w:hAnsi="宋体" w:eastAsia="宋体" w:cs="宋体"/>
                <w:color w:val="auto"/>
                <w:sz w:val="21"/>
                <w:szCs w:val="21"/>
              </w:rPr>
            </w:pPr>
            <w:r>
              <w:rPr>
                <w:rFonts w:hint="eastAsia" w:ascii="宋体" w:hAnsi="宋体" w:eastAsia="宋体" w:cs="宋体"/>
                <w:color w:val="auto"/>
                <w:sz w:val="21"/>
                <w:szCs w:val="21"/>
              </w:rPr>
              <w:t>耐用度：离子源接口采用气帘气技术锥孔结构，同时保持高灵敏度和优异的抗污染能力，改善基质效应，稳定可靠。</w:t>
            </w:r>
          </w:p>
        </w:tc>
      </w:tr>
      <w:tr w14:paraId="5C937AFB">
        <w:tblPrEx>
          <w:tblCellMar>
            <w:top w:w="15" w:type="dxa"/>
            <w:left w:w="15" w:type="dxa"/>
            <w:bottom w:w="15" w:type="dxa"/>
            <w:right w:w="15" w:type="dxa"/>
          </w:tblCellMar>
        </w:tblPrEx>
        <w:tc>
          <w:tcPr>
            <w:tcW w:w="765" w:type="dxa"/>
            <w:tcBorders>
              <w:top w:val="single" w:color="DDDDDD" w:sz="6" w:space="0"/>
              <w:left w:val="single" w:color="DDDDDD" w:sz="6" w:space="0"/>
              <w:bottom w:val="single" w:color="DDDDDD" w:sz="6" w:space="0"/>
              <w:right w:val="single" w:color="DDDDDD" w:sz="6" w:space="0"/>
            </w:tcBorders>
            <w:tcMar>
              <w:top w:w="120" w:type="dxa"/>
              <w:left w:w="120" w:type="dxa"/>
              <w:bottom w:w="120" w:type="dxa"/>
              <w:right w:w="120" w:type="dxa"/>
            </w:tcMar>
            <w:vAlign w:val="center"/>
          </w:tcPr>
          <w:p w14:paraId="77318205">
            <w:pPr>
              <w:rPr>
                <w:rFonts w:hint="eastAsia" w:ascii="宋体" w:hAnsi="宋体" w:eastAsia="宋体" w:cs="宋体"/>
                <w:color w:val="auto"/>
                <w:sz w:val="21"/>
                <w:szCs w:val="21"/>
              </w:rPr>
            </w:pPr>
            <w:r>
              <w:rPr>
                <w:rFonts w:hint="eastAsia" w:ascii="宋体" w:hAnsi="宋体" w:eastAsia="宋体" w:cs="宋体"/>
                <w:color w:val="auto"/>
                <w:sz w:val="21"/>
                <w:szCs w:val="21"/>
              </w:rPr>
              <w:t>3.6</w:t>
            </w:r>
          </w:p>
        </w:tc>
        <w:tc>
          <w:tcPr>
            <w:tcW w:w="7465" w:type="dxa"/>
            <w:tcBorders>
              <w:top w:val="single" w:color="DDDDDD" w:sz="6" w:space="0"/>
              <w:left w:val="single" w:color="DDDDDD" w:sz="6" w:space="0"/>
              <w:bottom w:val="single" w:color="DDDDDD" w:sz="6" w:space="0"/>
              <w:right w:val="single" w:color="DDDDDD" w:sz="6" w:space="0"/>
            </w:tcBorders>
            <w:tcMar>
              <w:top w:w="120" w:type="dxa"/>
              <w:left w:w="120" w:type="dxa"/>
              <w:bottom w:w="120" w:type="dxa"/>
              <w:right w:w="120" w:type="dxa"/>
            </w:tcMar>
            <w:vAlign w:val="center"/>
          </w:tcPr>
          <w:p w14:paraId="2654667A">
            <w:pPr>
              <w:rPr>
                <w:rFonts w:hint="eastAsia" w:ascii="宋体" w:hAnsi="宋体" w:eastAsia="宋体" w:cs="宋体"/>
                <w:color w:val="auto"/>
                <w:sz w:val="21"/>
                <w:szCs w:val="21"/>
              </w:rPr>
            </w:pPr>
            <w:r>
              <w:rPr>
                <w:rFonts w:hint="eastAsia" w:ascii="宋体" w:hAnsi="宋体" w:eastAsia="宋体" w:cs="宋体"/>
                <w:color w:val="auto"/>
                <w:sz w:val="21"/>
                <w:szCs w:val="21"/>
              </w:rPr>
              <w:t>离子源流速：ESI和APCI流速范围在确保灵敏度不损失的前提下，无需分流，流速可达到2.8 mL/min以上。（需提供软件工作截图）</w:t>
            </w:r>
          </w:p>
        </w:tc>
      </w:tr>
      <w:tr w14:paraId="26305EF1">
        <w:tblPrEx>
          <w:tblCellMar>
            <w:top w:w="15" w:type="dxa"/>
            <w:left w:w="15" w:type="dxa"/>
            <w:bottom w:w="15" w:type="dxa"/>
            <w:right w:w="15" w:type="dxa"/>
          </w:tblCellMar>
        </w:tblPrEx>
        <w:tc>
          <w:tcPr>
            <w:tcW w:w="765" w:type="dxa"/>
            <w:tcBorders>
              <w:top w:val="single" w:color="DDDDDD" w:sz="6" w:space="0"/>
              <w:left w:val="single" w:color="DDDDDD" w:sz="6" w:space="0"/>
              <w:bottom w:val="single" w:color="DDDDDD" w:sz="6" w:space="0"/>
              <w:right w:val="single" w:color="DDDDDD" w:sz="6" w:space="0"/>
            </w:tcBorders>
            <w:tcMar>
              <w:top w:w="120" w:type="dxa"/>
              <w:left w:w="120" w:type="dxa"/>
              <w:bottom w:w="120" w:type="dxa"/>
              <w:right w:w="120" w:type="dxa"/>
            </w:tcMar>
            <w:vAlign w:val="center"/>
          </w:tcPr>
          <w:p w14:paraId="68A1F62A">
            <w:pPr>
              <w:rPr>
                <w:rFonts w:hint="eastAsia" w:ascii="宋体" w:hAnsi="宋体" w:eastAsia="宋体" w:cs="宋体"/>
                <w:color w:val="auto"/>
                <w:sz w:val="21"/>
                <w:szCs w:val="21"/>
              </w:rPr>
            </w:pPr>
            <w:r>
              <w:rPr>
                <w:rFonts w:hint="eastAsia" w:ascii="宋体" w:hAnsi="宋体" w:eastAsia="宋体" w:cs="宋体"/>
                <w:color w:val="auto"/>
                <w:sz w:val="21"/>
                <w:szCs w:val="21"/>
              </w:rPr>
              <w:t>3.7</w:t>
            </w:r>
          </w:p>
        </w:tc>
        <w:tc>
          <w:tcPr>
            <w:tcW w:w="7465" w:type="dxa"/>
            <w:tcBorders>
              <w:top w:val="single" w:color="DDDDDD" w:sz="6" w:space="0"/>
              <w:left w:val="single" w:color="DDDDDD" w:sz="6" w:space="0"/>
              <w:bottom w:val="single" w:color="DDDDDD" w:sz="6" w:space="0"/>
              <w:right w:val="single" w:color="DDDDDD" w:sz="6" w:space="0"/>
            </w:tcBorders>
            <w:tcMar>
              <w:top w:w="120" w:type="dxa"/>
              <w:left w:w="120" w:type="dxa"/>
              <w:bottom w:w="120" w:type="dxa"/>
              <w:right w:w="120" w:type="dxa"/>
            </w:tcMar>
            <w:vAlign w:val="center"/>
          </w:tcPr>
          <w:p w14:paraId="2CB866A0">
            <w:pPr>
              <w:rPr>
                <w:rFonts w:hint="eastAsia" w:ascii="宋体" w:hAnsi="宋体" w:eastAsia="宋体" w:cs="宋体"/>
                <w:color w:val="auto"/>
                <w:sz w:val="21"/>
                <w:szCs w:val="21"/>
              </w:rPr>
            </w:pPr>
            <w:r>
              <w:rPr>
                <w:rFonts w:hint="eastAsia" w:ascii="宋体" w:hAnsi="宋体" w:eastAsia="宋体" w:cs="宋体"/>
                <w:color w:val="auto"/>
                <w:sz w:val="21"/>
                <w:szCs w:val="21"/>
              </w:rPr>
              <w:t>废气排放装置：离子源内有外接管路的主动负压废气排放装置，可防止气体在密闭的离子源腔体中的回流，降低记忆效应和污染。（提供废气排放装置的硬件结构图作为佐证）</w:t>
            </w:r>
          </w:p>
        </w:tc>
      </w:tr>
      <w:tr w14:paraId="07B62193">
        <w:tblPrEx>
          <w:tblCellMar>
            <w:top w:w="15" w:type="dxa"/>
            <w:left w:w="15" w:type="dxa"/>
            <w:bottom w:w="15" w:type="dxa"/>
            <w:right w:w="15" w:type="dxa"/>
          </w:tblCellMar>
        </w:tblPrEx>
        <w:tc>
          <w:tcPr>
            <w:tcW w:w="765" w:type="dxa"/>
            <w:tcBorders>
              <w:top w:val="single" w:color="DDDDDD" w:sz="6" w:space="0"/>
              <w:left w:val="single" w:color="DDDDDD" w:sz="6" w:space="0"/>
              <w:bottom w:val="single" w:color="DDDDDD" w:sz="6" w:space="0"/>
              <w:right w:val="single" w:color="DDDDDD" w:sz="6" w:space="0"/>
            </w:tcBorders>
            <w:tcMar>
              <w:top w:w="120" w:type="dxa"/>
              <w:left w:w="120" w:type="dxa"/>
              <w:bottom w:w="120" w:type="dxa"/>
              <w:right w:w="120" w:type="dxa"/>
            </w:tcMar>
            <w:vAlign w:val="center"/>
          </w:tcPr>
          <w:p w14:paraId="1832FE3B">
            <w:pPr>
              <w:rPr>
                <w:rFonts w:hint="eastAsia" w:ascii="宋体" w:hAnsi="宋体" w:eastAsia="宋体" w:cs="宋体"/>
                <w:color w:val="auto"/>
                <w:sz w:val="21"/>
                <w:szCs w:val="21"/>
              </w:rPr>
            </w:pPr>
            <w:r>
              <w:rPr>
                <w:rFonts w:hint="eastAsia" w:ascii="宋体" w:hAnsi="宋体" w:eastAsia="宋体" w:cs="宋体"/>
                <w:color w:val="auto"/>
                <w:sz w:val="21"/>
                <w:szCs w:val="21"/>
              </w:rPr>
              <w:t>3.8</w:t>
            </w:r>
          </w:p>
        </w:tc>
        <w:tc>
          <w:tcPr>
            <w:tcW w:w="7465" w:type="dxa"/>
            <w:tcBorders>
              <w:top w:val="single" w:color="DDDDDD" w:sz="6" w:space="0"/>
              <w:left w:val="single" w:color="DDDDDD" w:sz="6" w:space="0"/>
              <w:bottom w:val="single" w:color="DDDDDD" w:sz="6" w:space="0"/>
              <w:right w:val="single" w:color="DDDDDD" w:sz="6" w:space="0"/>
            </w:tcBorders>
            <w:tcMar>
              <w:top w:w="120" w:type="dxa"/>
              <w:left w:w="120" w:type="dxa"/>
              <w:bottom w:w="120" w:type="dxa"/>
              <w:right w:w="120" w:type="dxa"/>
            </w:tcMar>
            <w:vAlign w:val="center"/>
          </w:tcPr>
          <w:p w14:paraId="0D9FB96D">
            <w:pPr>
              <w:rPr>
                <w:rFonts w:hint="eastAsia" w:ascii="宋体" w:hAnsi="宋体" w:eastAsia="宋体" w:cs="宋体"/>
                <w:color w:val="auto"/>
                <w:sz w:val="21"/>
                <w:szCs w:val="21"/>
              </w:rPr>
            </w:pPr>
            <w:r>
              <w:rPr>
                <w:rFonts w:hint="eastAsia" w:ascii="宋体" w:hAnsi="宋体" w:eastAsia="宋体" w:cs="宋体"/>
                <w:color w:val="auto"/>
                <w:sz w:val="21"/>
                <w:szCs w:val="21"/>
              </w:rPr>
              <w:t>离子源接口：采用无毛细管式（半径小于1mm，无需金属毛细管、加热毛细管、DL管等接口装置的更换）设计，无需卸真空，维护方便。若离子源接口为毛细管设计，为保障后续使用需随仪器额外配送80根毛细管。（需提供离子源接口的实物结构图）</w:t>
            </w:r>
          </w:p>
        </w:tc>
      </w:tr>
      <w:tr w14:paraId="43359BBE">
        <w:tblPrEx>
          <w:tblCellMar>
            <w:top w:w="15" w:type="dxa"/>
            <w:left w:w="15" w:type="dxa"/>
            <w:bottom w:w="15" w:type="dxa"/>
            <w:right w:w="15" w:type="dxa"/>
          </w:tblCellMar>
        </w:tblPrEx>
        <w:tc>
          <w:tcPr>
            <w:tcW w:w="765" w:type="dxa"/>
            <w:tcBorders>
              <w:top w:val="single" w:color="DDDDDD" w:sz="6" w:space="0"/>
              <w:left w:val="single" w:color="DDDDDD" w:sz="6" w:space="0"/>
              <w:bottom w:val="single" w:color="DDDDDD" w:sz="6" w:space="0"/>
              <w:right w:val="single" w:color="DDDDDD" w:sz="6" w:space="0"/>
            </w:tcBorders>
            <w:tcMar>
              <w:top w:w="120" w:type="dxa"/>
              <w:left w:w="120" w:type="dxa"/>
              <w:bottom w:w="120" w:type="dxa"/>
              <w:right w:w="120" w:type="dxa"/>
            </w:tcMar>
            <w:vAlign w:val="center"/>
          </w:tcPr>
          <w:p w14:paraId="61ADBEA1">
            <w:pPr>
              <w:rPr>
                <w:rFonts w:hint="eastAsia" w:ascii="宋体" w:hAnsi="宋体" w:eastAsia="宋体" w:cs="宋体"/>
                <w:color w:val="auto"/>
                <w:sz w:val="21"/>
                <w:szCs w:val="21"/>
              </w:rPr>
            </w:pPr>
            <w:r>
              <w:rPr>
                <w:rFonts w:hint="eastAsia" w:ascii="宋体" w:hAnsi="宋体" w:eastAsia="宋体" w:cs="宋体"/>
                <w:color w:val="auto"/>
                <w:sz w:val="21"/>
                <w:szCs w:val="21"/>
              </w:rPr>
              <w:t>3.9</w:t>
            </w:r>
          </w:p>
        </w:tc>
        <w:tc>
          <w:tcPr>
            <w:tcW w:w="7465" w:type="dxa"/>
            <w:tcBorders>
              <w:top w:val="single" w:color="DDDDDD" w:sz="6" w:space="0"/>
              <w:left w:val="single" w:color="DDDDDD" w:sz="6" w:space="0"/>
              <w:bottom w:val="single" w:color="DDDDDD" w:sz="6" w:space="0"/>
              <w:right w:val="single" w:color="DDDDDD" w:sz="6" w:space="0"/>
            </w:tcBorders>
            <w:tcMar>
              <w:top w:w="120" w:type="dxa"/>
              <w:left w:w="120" w:type="dxa"/>
              <w:bottom w:w="120" w:type="dxa"/>
              <w:right w:w="120" w:type="dxa"/>
            </w:tcMar>
            <w:vAlign w:val="center"/>
          </w:tcPr>
          <w:p w14:paraId="1482E5F3">
            <w:pPr>
              <w:rPr>
                <w:rFonts w:hint="eastAsia" w:ascii="宋体" w:hAnsi="宋体" w:eastAsia="宋体" w:cs="宋体"/>
                <w:color w:val="auto"/>
                <w:sz w:val="21"/>
                <w:szCs w:val="21"/>
              </w:rPr>
            </w:pPr>
            <w:r>
              <w:rPr>
                <w:rFonts w:hint="eastAsia" w:ascii="宋体" w:hAnsi="宋体" w:eastAsia="宋体" w:cs="宋体"/>
                <w:color w:val="auto"/>
                <w:sz w:val="21"/>
                <w:szCs w:val="21"/>
              </w:rPr>
              <w:t>离子传输系统：拥有高压离子聚焦技术，确保最佳的离子聚焦效果和离子传输效率，有效消除“记忆效应”和“交叉污染”。</w:t>
            </w:r>
          </w:p>
        </w:tc>
      </w:tr>
      <w:tr w14:paraId="323F6B45">
        <w:tblPrEx>
          <w:tblCellMar>
            <w:top w:w="15" w:type="dxa"/>
            <w:left w:w="15" w:type="dxa"/>
            <w:bottom w:w="15" w:type="dxa"/>
            <w:right w:w="15" w:type="dxa"/>
          </w:tblCellMar>
        </w:tblPrEx>
        <w:tc>
          <w:tcPr>
            <w:tcW w:w="765" w:type="dxa"/>
            <w:tcBorders>
              <w:top w:val="single" w:color="DDDDDD" w:sz="6" w:space="0"/>
              <w:left w:val="single" w:color="DDDDDD" w:sz="6" w:space="0"/>
              <w:bottom w:val="single" w:color="DDDDDD" w:sz="6" w:space="0"/>
              <w:right w:val="single" w:color="DDDDDD" w:sz="6" w:space="0"/>
            </w:tcBorders>
            <w:tcMar>
              <w:top w:w="120" w:type="dxa"/>
              <w:left w:w="120" w:type="dxa"/>
              <w:bottom w:w="120" w:type="dxa"/>
              <w:right w:w="120" w:type="dxa"/>
            </w:tcMar>
            <w:vAlign w:val="center"/>
          </w:tcPr>
          <w:p w14:paraId="12716EE1">
            <w:pPr>
              <w:rPr>
                <w:rFonts w:hint="eastAsia" w:ascii="宋体" w:hAnsi="宋体" w:eastAsia="宋体" w:cs="宋体"/>
                <w:color w:val="auto"/>
                <w:sz w:val="21"/>
                <w:szCs w:val="21"/>
              </w:rPr>
            </w:pPr>
            <w:r>
              <w:rPr>
                <w:rFonts w:hint="eastAsia" w:ascii="宋体" w:hAnsi="宋体" w:eastAsia="宋体" w:cs="宋体"/>
                <w:color w:val="auto"/>
                <w:sz w:val="21"/>
                <w:szCs w:val="21"/>
              </w:rPr>
              <w:t>3.10</w:t>
            </w:r>
          </w:p>
        </w:tc>
        <w:tc>
          <w:tcPr>
            <w:tcW w:w="7465" w:type="dxa"/>
            <w:tcBorders>
              <w:top w:val="single" w:color="DDDDDD" w:sz="6" w:space="0"/>
              <w:left w:val="single" w:color="DDDDDD" w:sz="6" w:space="0"/>
              <w:bottom w:val="single" w:color="DDDDDD" w:sz="6" w:space="0"/>
              <w:right w:val="single" w:color="DDDDDD" w:sz="6" w:space="0"/>
            </w:tcBorders>
            <w:tcMar>
              <w:top w:w="120" w:type="dxa"/>
              <w:left w:w="120" w:type="dxa"/>
              <w:bottom w:w="120" w:type="dxa"/>
              <w:right w:w="120" w:type="dxa"/>
            </w:tcMar>
            <w:vAlign w:val="center"/>
          </w:tcPr>
          <w:p w14:paraId="1C527D2D">
            <w:pPr>
              <w:rPr>
                <w:rFonts w:hint="eastAsia" w:ascii="宋体" w:hAnsi="宋体" w:eastAsia="宋体" w:cs="宋体"/>
                <w:color w:val="auto"/>
                <w:sz w:val="21"/>
                <w:szCs w:val="21"/>
              </w:rPr>
            </w:pPr>
            <w:r>
              <w:rPr>
                <w:rFonts w:hint="eastAsia" w:ascii="宋体" w:hAnsi="宋体" w:eastAsia="宋体" w:cs="宋体"/>
                <w:color w:val="auto"/>
                <w:sz w:val="21"/>
                <w:szCs w:val="21"/>
              </w:rPr>
              <w:t>四极杆材质：采用陶瓷镀金材质或钼制材质或其他优异材质，具有良好的热稳定性、导电性和化学惰性。</w:t>
            </w:r>
          </w:p>
        </w:tc>
      </w:tr>
      <w:tr w14:paraId="731F20AD">
        <w:tblPrEx>
          <w:tblCellMar>
            <w:top w:w="15" w:type="dxa"/>
            <w:left w:w="15" w:type="dxa"/>
            <w:bottom w:w="15" w:type="dxa"/>
            <w:right w:w="15" w:type="dxa"/>
          </w:tblCellMar>
        </w:tblPrEx>
        <w:tc>
          <w:tcPr>
            <w:tcW w:w="765" w:type="dxa"/>
            <w:tcBorders>
              <w:top w:val="single" w:color="DDDDDD" w:sz="6" w:space="0"/>
              <w:left w:val="single" w:color="DDDDDD" w:sz="6" w:space="0"/>
              <w:bottom w:val="single" w:color="DDDDDD" w:sz="6" w:space="0"/>
              <w:right w:val="single" w:color="DDDDDD" w:sz="6" w:space="0"/>
            </w:tcBorders>
            <w:tcMar>
              <w:top w:w="120" w:type="dxa"/>
              <w:left w:w="120" w:type="dxa"/>
              <w:bottom w:w="120" w:type="dxa"/>
              <w:right w:w="120" w:type="dxa"/>
            </w:tcMar>
            <w:vAlign w:val="center"/>
          </w:tcPr>
          <w:p w14:paraId="1ED23413">
            <w:pPr>
              <w:rPr>
                <w:rFonts w:hint="eastAsia" w:ascii="宋体" w:hAnsi="宋体" w:eastAsia="宋体" w:cs="宋体"/>
                <w:color w:val="auto"/>
                <w:sz w:val="21"/>
                <w:szCs w:val="21"/>
              </w:rPr>
            </w:pPr>
            <w:r>
              <w:rPr>
                <w:rFonts w:hint="eastAsia" w:ascii="宋体" w:hAnsi="宋体" w:eastAsia="宋体" w:cs="宋体"/>
                <w:color w:val="auto"/>
                <w:sz w:val="21"/>
                <w:szCs w:val="21"/>
              </w:rPr>
              <w:t>3.11</w:t>
            </w:r>
          </w:p>
        </w:tc>
        <w:tc>
          <w:tcPr>
            <w:tcW w:w="7465" w:type="dxa"/>
            <w:tcBorders>
              <w:top w:val="single" w:color="DDDDDD" w:sz="6" w:space="0"/>
              <w:left w:val="single" w:color="DDDDDD" w:sz="6" w:space="0"/>
              <w:bottom w:val="single" w:color="DDDDDD" w:sz="6" w:space="0"/>
              <w:right w:val="single" w:color="DDDDDD" w:sz="6" w:space="0"/>
            </w:tcBorders>
            <w:tcMar>
              <w:top w:w="120" w:type="dxa"/>
              <w:left w:w="120" w:type="dxa"/>
              <w:bottom w:w="120" w:type="dxa"/>
              <w:right w:w="120" w:type="dxa"/>
            </w:tcMar>
            <w:vAlign w:val="center"/>
          </w:tcPr>
          <w:p w14:paraId="17145BCB">
            <w:pPr>
              <w:rPr>
                <w:rFonts w:hint="eastAsia" w:ascii="宋体" w:hAnsi="宋体" w:eastAsia="宋体" w:cs="宋体"/>
                <w:color w:val="auto"/>
                <w:sz w:val="21"/>
                <w:szCs w:val="21"/>
              </w:rPr>
            </w:pPr>
            <w:r>
              <w:rPr>
                <w:rFonts w:hint="eastAsia" w:ascii="宋体" w:hAnsi="宋体" w:eastAsia="宋体" w:cs="宋体"/>
                <w:color w:val="auto"/>
                <w:sz w:val="21"/>
                <w:szCs w:val="21"/>
              </w:rPr>
              <w:t>真空系统：高性能机械泵和长寿命涡轮分子泵组合差分抽气高真空系统。</w:t>
            </w:r>
          </w:p>
        </w:tc>
      </w:tr>
      <w:tr w14:paraId="74AB1AA1">
        <w:tblPrEx>
          <w:tblCellMar>
            <w:top w:w="15" w:type="dxa"/>
            <w:left w:w="15" w:type="dxa"/>
            <w:bottom w:w="15" w:type="dxa"/>
            <w:right w:w="15" w:type="dxa"/>
          </w:tblCellMar>
        </w:tblPrEx>
        <w:tc>
          <w:tcPr>
            <w:tcW w:w="765" w:type="dxa"/>
            <w:tcBorders>
              <w:top w:val="single" w:color="DDDDDD" w:sz="6" w:space="0"/>
              <w:left w:val="single" w:color="DDDDDD" w:sz="6" w:space="0"/>
              <w:bottom w:val="single" w:color="DDDDDD" w:sz="6" w:space="0"/>
              <w:right w:val="single" w:color="DDDDDD" w:sz="6" w:space="0"/>
            </w:tcBorders>
            <w:tcMar>
              <w:top w:w="120" w:type="dxa"/>
              <w:left w:w="120" w:type="dxa"/>
              <w:bottom w:w="120" w:type="dxa"/>
              <w:right w:w="120" w:type="dxa"/>
            </w:tcMar>
            <w:vAlign w:val="center"/>
          </w:tcPr>
          <w:p w14:paraId="55AA5582">
            <w:pPr>
              <w:rPr>
                <w:rFonts w:hint="eastAsia" w:ascii="宋体" w:hAnsi="宋体" w:eastAsia="宋体" w:cs="宋体"/>
                <w:color w:val="auto"/>
                <w:sz w:val="21"/>
                <w:szCs w:val="21"/>
              </w:rPr>
            </w:pPr>
            <w:r>
              <w:rPr>
                <w:rFonts w:hint="eastAsia" w:ascii="宋体" w:hAnsi="宋体" w:eastAsia="宋体" w:cs="宋体"/>
                <w:color w:val="auto"/>
                <w:sz w:val="21"/>
                <w:szCs w:val="21"/>
              </w:rPr>
              <w:t>3.12</w:t>
            </w:r>
          </w:p>
        </w:tc>
        <w:tc>
          <w:tcPr>
            <w:tcW w:w="7465" w:type="dxa"/>
            <w:tcBorders>
              <w:top w:val="single" w:color="DDDDDD" w:sz="6" w:space="0"/>
              <w:left w:val="single" w:color="DDDDDD" w:sz="6" w:space="0"/>
              <w:bottom w:val="single" w:color="DDDDDD" w:sz="6" w:space="0"/>
              <w:right w:val="single" w:color="DDDDDD" w:sz="6" w:space="0"/>
            </w:tcBorders>
            <w:tcMar>
              <w:top w:w="120" w:type="dxa"/>
              <w:left w:w="120" w:type="dxa"/>
              <w:bottom w:w="120" w:type="dxa"/>
              <w:right w:w="120" w:type="dxa"/>
            </w:tcMar>
            <w:vAlign w:val="center"/>
          </w:tcPr>
          <w:p w14:paraId="646316FC">
            <w:pPr>
              <w:rPr>
                <w:rFonts w:hint="eastAsia" w:ascii="宋体" w:hAnsi="宋体" w:eastAsia="宋体" w:cs="宋体"/>
                <w:color w:val="auto"/>
                <w:sz w:val="21"/>
                <w:szCs w:val="21"/>
              </w:rPr>
            </w:pPr>
            <w:r>
              <w:rPr>
                <w:rFonts w:hint="eastAsia" w:ascii="宋体" w:hAnsi="宋体" w:eastAsia="宋体" w:cs="宋体"/>
                <w:color w:val="auto"/>
                <w:sz w:val="21"/>
                <w:szCs w:val="21"/>
              </w:rPr>
              <w:t>检测器：高能打拿极电子倍增器，满足长期大量复杂基质样本定量分析的数据可靠性和重复性。</w:t>
            </w:r>
          </w:p>
        </w:tc>
      </w:tr>
      <w:tr w14:paraId="1985B5DB">
        <w:tblPrEx>
          <w:tblCellMar>
            <w:top w:w="15" w:type="dxa"/>
            <w:left w:w="15" w:type="dxa"/>
            <w:bottom w:w="15" w:type="dxa"/>
            <w:right w:w="15" w:type="dxa"/>
          </w:tblCellMar>
        </w:tblPrEx>
        <w:tc>
          <w:tcPr>
            <w:tcW w:w="765" w:type="dxa"/>
            <w:tcBorders>
              <w:top w:val="single" w:color="DDDDDD" w:sz="6" w:space="0"/>
              <w:left w:val="single" w:color="DDDDDD" w:sz="6" w:space="0"/>
              <w:bottom w:val="single" w:color="DDDDDD" w:sz="6" w:space="0"/>
              <w:right w:val="single" w:color="DDDDDD" w:sz="6" w:space="0"/>
            </w:tcBorders>
            <w:tcMar>
              <w:top w:w="120" w:type="dxa"/>
              <w:left w:w="120" w:type="dxa"/>
              <w:bottom w:w="120" w:type="dxa"/>
              <w:right w:w="120" w:type="dxa"/>
            </w:tcMar>
            <w:vAlign w:val="center"/>
          </w:tcPr>
          <w:p w14:paraId="771CA063">
            <w:pPr>
              <w:rPr>
                <w:rFonts w:hint="eastAsia" w:ascii="宋体" w:hAnsi="宋体" w:eastAsia="宋体" w:cs="宋体"/>
                <w:color w:val="auto"/>
                <w:sz w:val="21"/>
                <w:szCs w:val="21"/>
              </w:rPr>
            </w:pPr>
            <w:r>
              <w:rPr>
                <w:rFonts w:hint="eastAsia" w:ascii="宋体" w:hAnsi="宋体" w:eastAsia="宋体" w:cs="宋体"/>
                <w:color w:val="auto"/>
                <w:sz w:val="21"/>
                <w:szCs w:val="21"/>
              </w:rPr>
              <w:t>3.13</w:t>
            </w:r>
          </w:p>
        </w:tc>
        <w:tc>
          <w:tcPr>
            <w:tcW w:w="7465" w:type="dxa"/>
            <w:tcBorders>
              <w:top w:val="single" w:color="DDDDDD" w:sz="6" w:space="0"/>
              <w:left w:val="single" w:color="DDDDDD" w:sz="6" w:space="0"/>
              <w:bottom w:val="single" w:color="DDDDDD" w:sz="6" w:space="0"/>
              <w:right w:val="single" w:color="DDDDDD" w:sz="6" w:space="0"/>
            </w:tcBorders>
            <w:tcMar>
              <w:top w:w="120" w:type="dxa"/>
              <w:left w:w="120" w:type="dxa"/>
              <w:bottom w:w="120" w:type="dxa"/>
              <w:right w:w="120" w:type="dxa"/>
            </w:tcMar>
            <w:vAlign w:val="center"/>
          </w:tcPr>
          <w:p w14:paraId="36B3B589">
            <w:pPr>
              <w:rPr>
                <w:rFonts w:hint="eastAsia" w:ascii="宋体" w:hAnsi="宋体" w:eastAsia="宋体" w:cs="宋体"/>
                <w:color w:val="auto"/>
                <w:sz w:val="21"/>
                <w:szCs w:val="21"/>
              </w:rPr>
            </w:pPr>
            <w:r>
              <w:rPr>
                <w:rFonts w:hint="eastAsia" w:ascii="宋体" w:hAnsi="宋体" w:eastAsia="宋体" w:cs="宋体"/>
                <w:color w:val="auto"/>
                <w:sz w:val="21"/>
                <w:szCs w:val="21"/>
              </w:rPr>
              <w:t>线性范围：≥6个数量级。</w:t>
            </w:r>
          </w:p>
        </w:tc>
      </w:tr>
      <w:tr w14:paraId="0EA7FAEF">
        <w:tblPrEx>
          <w:tblCellMar>
            <w:top w:w="15" w:type="dxa"/>
            <w:left w:w="15" w:type="dxa"/>
            <w:bottom w:w="15" w:type="dxa"/>
            <w:right w:w="15" w:type="dxa"/>
          </w:tblCellMar>
        </w:tblPrEx>
        <w:tc>
          <w:tcPr>
            <w:tcW w:w="765" w:type="dxa"/>
            <w:tcBorders>
              <w:top w:val="single" w:color="DDDDDD" w:sz="6" w:space="0"/>
              <w:left w:val="single" w:color="DDDDDD" w:sz="6" w:space="0"/>
              <w:bottom w:val="single" w:color="DDDDDD" w:sz="6" w:space="0"/>
              <w:right w:val="single" w:color="DDDDDD" w:sz="6" w:space="0"/>
            </w:tcBorders>
            <w:tcMar>
              <w:top w:w="120" w:type="dxa"/>
              <w:left w:w="120" w:type="dxa"/>
              <w:bottom w:w="120" w:type="dxa"/>
              <w:right w:w="120" w:type="dxa"/>
            </w:tcMar>
            <w:vAlign w:val="center"/>
          </w:tcPr>
          <w:p w14:paraId="6FAE9795">
            <w:pPr>
              <w:rPr>
                <w:rFonts w:hint="eastAsia" w:ascii="宋体" w:hAnsi="宋体" w:eastAsia="宋体" w:cs="宋体"/>
                <w:color w:val="auto"/>
                <w:sz w:val="21"/>
                <w:szCs w:val="21"/>
              </w:rPr>
            </w:pPr>
            <w:r>
              <w:rPr>
                <w:rFonts w:hint="eastAsia" w:ascii="宋体" w:hAnsi="宋体" w:eastAsia="宋体" w:cs="宋体"/>
                <w:color w:val="auto"/>
                <w:sz w:val="21"/>
                <w:szCs w:val="21"/>
              </w:rPr>
              <w:t>3.14</w:t>
            </w:r>
          </w:p>
        </w:tc>
        <w:tc>
          <w:tcPr>
            <w:tcW w:w="7465" w:type="dxa"/>
            <w:tcBorders>
              <w:top w:val="single" w:color="DDDDDD" w:sz="6" w:space="0"/>
              <w:left w:val="single" w:color="DDDDDD" w:sz="6" w:space="0"/>
              <w:bottom w:val="single" w:color="DDDDDD" w:sz="6" w:space="0"/>
              <w:right w:val="single" w:color="DDDDDD" w:sz="6" w:space="0"/>
            </w:tcBorders>
            <w:tcMar>
              <w:top w:w="120" w:type="dxa"/>
              <w:left w:w="120" w:type="dxa"/>
              <w:bottom w:w="120" w:type="dxa"/>
              <w:right w:w="120" w:type="dxa"/>
            </w:tcMar>
            <w:vAlign w:val="center"/>
          </w:tcPr>
          <w:p w14:paraId="183CC472">
            <w:pPr>
              <w:rPr>
                <w:rFonts w:hint="eastAsia" w:ascii="宋体" w:hAnsi="宋体" w:eastAsia="宋体" w:cs="宋体"/>
                <w:color w:val="auto"/>
                <w:sz w:val="21"/>
                <w:szCs w:val="21"/>
              </w:rPr>
            </w:pPr>
            <w:r>
              <w:rPr>
                <w:rFonts w:hint="eastAsia" w:ascii="宋体" w:hAnsi="宋体" w:eastAsia="宋体" w:cs="宋体"/>
                <w:color w:val="auto"/>
                <w:sz w:val="21"/>
                <w:szCs w:val="21"/>
              </w:rPr>
              <w:t>正负切换速度：正负离子极性切换速度≤5ms。（需提供正负极性切换的软件工作截图或技术参数表）</w:t>
            </w:r>
          </w:p>
        </w:tc>
      </w:tr>
      <w:tr w14:paraId="50A57855">
        <w:tblPrEx>
          <w:tblCellMar>
            <w:top w:w="15" w:type="dxa"/>
            <w:left w:w="15" w:type="dxa"/>
            <w:bottom w:w="15" w:type="dxa"/>
            <w:right w:w="15" w:type="dxa"/>
          </w:tblCellMar>
        </w:tblPrEx>
        <w:tc>
          <w:tcPr>
            <w:tcW w:w="765" w:type="dxa"/>
            <w:tcBorders>
              <w:top w:val="single" w:color="DDDDDD" w:sz="6" w:space="0"/>
              <w:left w:val="single" w:color="DDDDDD" w:sz="6" w:space="0"/>
              <w:bottom w:val="single" w:color="DDDDDD" w:sz="6" w:space="0"/>
              <w:right w:val="single" w:color="DDDDDD" w:sz="6" w:space="0"/>
            </w:tcBorders>
            <w:tcMar>
              <w:top w:w="120" w:type="dxa"/>
              <w:left w:w="120" w:type="dxa"/>
              <w:bottom w:w="120" w:type="dxa"/>
              <w:right w:w="120" w:type="dxa"/>
            </w:tcMar>
            <w:vAlign w:val="center"/>
          </w:tcPr>
          <w:p w14:paraId="427A9EE9">
            <w:pPr>
              <w:rPr>
                <w:rFonts w:hint="eastAsia" w:ascii="宋体" w:hAnsi="宋体" w:eastAsia="宋体" w:cs="宋体"/>
                <w:color w:val="auto"/>
                <w:sz w:val="21"/>
                <w:szCs w:val="21"/>
              </w:rPr>
            </w:pPr>
            <w:r>
              <w:rPr>
                <w:rFonts w:hint="eastAsia" w:ascii="宋体" w:hAnsi="宋体" w:eastAsia="宋体" w:cs="宋体"/>
                <w:color w:val="auto"/>
                <w:sz w:val="21"/>
                <w:szCs w:val="21"/>
              </w:rPr>
              <w:t>3.15</w:t>
            </w:r>
          </w:p>
        </w:tc>
        <w:tc>
          <w:tcPr>
            <w:tcW w:w="7465" w:type="dxa"/>
            <w:tcBorders>
              <w:top w:val="single" w:color="DDDDDD" w:sz="6" w:space="0"/>
              <w:left w:val="single" w:color="DDDDDD" w:sz="6" w:space="0"/>
              <w:bottom w:val="single" w:color="DDDDDD" w:sz="6" w:space="0"/>
              <w:right w:val="single" w:color="DDDDDD" w:sz="6" w:space="0"/>
            </w:tcBorders>
            <w:tcMar>
              <w:top w:w="120" w:type="dxa"/>
              <w:left w:w="120" w:type="dxa"/>
              <w:bottom w:w="120" w:type="dxa"/>
              <w:right w:w="120" w:type="dxa"/>
            </w:tcMar>
            <w:vAlign w:val="center"/>
          </w:tcPr>
          <w:p w14:paraId="1B610345">
            <w:pPr>
              <w:rPr>
                <w:rFonts w:hint="eastAsia" w:ascii="宋体" w:hAnsi="宋体" w:eastAsia="宋体" w:cs="宋体"/>
                <w:color w:val="auto"/>
                <w:sz w:val="21"/>
                <w:szCs w:val="21"/>
              </w:rPr>
            </w:pPr>
            <w:r>
              <w:rPr>
                <w:rFonts w:hint="eastAsia" w:ascii="宋体" w:hAnsi="宋体" w:eastAsia="宋体" w:cs="宋体"/>
                <w:color w:val="auto"/>
                <w:sz w:val="21"/>
                <w:szCs w:val="21"/>
              </w:rPr>
              <w:t>扫描模式：至少具备全扫描、子离子扫描、母离子扫描、中性丢失扫描、选择离子扫描、选择反应监测扫描、多反应同时监测扫描等功能。</w:t>
            </w:r>
          </w:p>
        </w:tc>
      </w:tr>
      <w:tr w14:paraId="4129CAC6">
        <w:tblPrEx>
          <w:tblCellMar>
            <w:top w:w="15" w:type="dxa"/>
            <w:left w:w="15" w:type="dxa"/>
            <w:bottom w:w="15" w:type="dxa"/>
            <w:right w:w="15" w:type="dxa"/>
          </w:tblCellMar>
        </w:tblPrEx>
        <w:tc>
          <w:tcPr>
            <w:tcW w:w="765" w:type="dxa"/>
            <w:tcBorders>
              <w:top w:val="single" w:color="DDDDDD" w:sz="6" w:space="0"/>
              <w:left w:val="single" w:color="DDDDDD" w:sz="6" w:space="0"/>
              <w:bottom w:val="single" w:color="DDDDDD" w:sz="6" w:space="0"/>
              <w:right w:val="single" w:color="DDDDDD" w:sz="6" w:space="0"/>
            </w:tcBorders>
            <w:tcMar>
              <w:top w:w="120" w:type="dxa"/>
              <w:left w:w="120" w:type="dxa"/>
              <w:bottom w:w="120" w:type="dxa"/>
              <w:right w:w="120" w:type="dxa"/>
            </w:tcMar>
            <w:vAlign w:val="center"/>
          </w:tcPr>
          <w:p w14:paraId="539158EA">
            <w:pPr>
              <w:rPr>
                <w:rFonts w:hint="eastAsia" w:ascii="宋体" w:hAnsi="宋体" w:eastAsia="宋体" w:cs="宋体"/>
                <w:color w:val="auto"/>
                <w:sz w:val="21"/>
                <w:szCs w:val="21"/>
              </w:rPr>
            </w:pPr>
            <w:r>
              <w:rPr>
                <w:rFonts w:hint="eastAsia" w:ascii="宋体" w:hAnsi="宋体" w:eastAsia="宋体" w:cs="宋体"/>
                <w:color w:val="auto"/>
                <w:sz w:val="21"/>
                <w:szCs w:val="21"/>
              </w:rPr>
              <w:t>3.16</w:t>
            </w:r>
          </w:p>
        </w:tc>
        <w:tc>
          <w:tcPr>
            <w:tcW w:w="7465" w:type="dxa"/>
            <w:tcBorders>
              <w:top w:val="single" w:color="DDDDDD" w:sz="6" w:space="0"/>
              <w:left w:val="single" w:color="DDDDDD" w:sz="6" w:space="0"/>
              <w:bottom w:val="single" w:color="DDDDDD" w:sz="6" w:space="0"/>
              <w:right w:val="single" w:color="DDDDDD" w:sz="6" w:space="0"/>
            </w:tcBorders>
            <w:tcMar>
              <w:top w:w="120" w:type="dxa"/>
              <w:left w:w="120" w:type="dxa"/>
              <w:bottom w:w="120" w:type="dxa"/>
              <w:right w:w="120" w:type="dxa"/>
            </w:tcMar>
            <w:vAlign w:val="center"/>
          </w:tcPr>
          <w:p w14:paraId="37C6832F">
            <w:pPr>
              <w:rPr>
                <w:rFonts w:hint="eastAsia" w:ascii="宋体" w:hAnsi="宋体" w:eastAsia="宋体" w:cs="宋体"/>
                <w:color w:val="auto"/>
                <w:sz w:val="21"/>
                <w:szCs w:val="21"/>
              </w:rPr>
            </w:pPr>
            <w:r>
              <w:rPr>
                <w:rFonts w:hint="eastAsia" w:ascii="宋体" w:hAnsi="宋体" w:eastAsia="宋体" w:cs="宋体"/>
                <w:color w:val="auto"/>
                <w:sz w:val="21"/>
                <w:szCs w:val="21"/>
              </w:rPr>
              <w:t>背景扣除功能：在数据采集过程中具有动态背景扣除功能，保证低含量化合物也能采集到有效的二级谱图。</w:t>
            </w:r>
          </w:p>
        </w:tc>
      </w:tr>
      <w:tr w14:paraId="0B359759">
        <w:tblPrEx>
          <w:tblCellMar>
            <w:top w:w="15" w:type="dxa"/>
            <w:left w:w="15" w:type="dxa"/>
            <w:bottom w:w="15" w:type="dxa"/>
            <w:right w:w="15" w:type="dxa"/>
          </w:tblCellMar>
        </w:tblPrEx>
        <w:tc>
          <w:tcPr>
            <w:tcW w:w="765" w:type="dxa"/>
            <w:tcBorders>
              <w:top w:val="single" w:color="DDDDDD" w:sz="6" w:space="0"/>
              <w:left w:val="single" w:color="DDDDDD" w:sz="6" w:space="0"/>
              <w:bottom w:val="single" w:color="DDDDDD" w:sz="6" w:space="0"/>
              <w:right w:val="single" w:color="DDDDDD" w:sz="6" w:space="0"/>
            </w:tcBorders>
            <w:tcMar>
              <w:top w:w="120" w:type="dxa"/>
              <w:left w:w="120" w:type="dxa"/>
              <w:bottom w:w="120" w:type="dxa"/>
              <w:right w:w="120" w:type="dxa"/>
            </w:tcMar>
            <w:vAlign w:val="center"/>
          </w:tcPr>
          <w:p w14:paraId="00192F0D">
            <w:pPr>
              <w:rPr>
                <w:rFonts w:hint="eastAsia" w:ascii="宋体" w:hAnsi="宋体" w:eastAsia="宋体" w:cs="宋体"/>
                <w:color w:val="auto"/>
                <w:sz w:val="21"/>
                <w:szCs w:val="21"/>
              </w:rPr>
            </w:pPr>
            <w:r>
              <w:rPr>
                <w:rFonts w:hint="eastAsia" w:ascii="宋体" w:hAnsi="宋体" w:eastAsia="宋体" w:cs="宋体"/>
                <w:color w:val="auto"/>
                <w:sz w:val="21"/>
                <w:szCs w:val="21"/>
              </w:rPr>
              <w:t>3.17</w:t>
            </w:r>
          </w:p>
        </w:tc>
        <w:tc>
          <w:tcPr>
            <w:tcW w:w="7465" w:type="dxa"/>
            <w:tcBorders>
              <w:top w:val="single" w:color="DDDDDD" w:sz="6" w:space="0"/>
              <w:left w:val="single" w:color="DDDDDD" w:sz="6" w:space="0"/>
              <w:bottom w:val="single" w:color="DDDDDD" w:sz="6" w:space="0"/>
              <w:right w:val="single" w:color="DDDDDD" w:sz="6" w:space="0"/>
            </w:tcBorders>
            <w:tcMar>
              <w:top w:w="120" w:type="dxa"/>
              <w:left w:w="120" w:type="dxa"/>
              <w:bottom w:w="120" w:type="dxa"/>
              <w:right w:w="120" w:type="dxa"/>
            </w:tcMar>
            <w:vAlign w:val="center"/>
          </w:tcPr>
          <w:p w14:paraId="2FE58A9C">
            <w:pPr>
              <w:rPr>
                <w:rFonts w:hint="eastAsia" w:ascii="宋体" w:hAnsi="宋体" w:eastAsia="宋体" w:cs="宋体"/>
                <w:color w:val="auto"/>
                <w:sz w:val="21"/>
                <w:szCs w:val="21"/>
              </w:rPr>
            </w:pPr>
            <w:r>
              <w:rPr>
                <w:rFonts w:hint="eastAsia" w:ascii="宋体" w:hAnsi="宋体" w:eastAsia="宋体" w:cs="宋体"/>
                <w:color w:val="auto"/>
                <w:sz w:val="21"/>
                <w:szCs w:val="21"/>
              </w:rPr>
              <w:t>分析和操作软件：配备中文临床质谱操作及报告分析软件，界面设计简洁，易学易用。</w:t>
            </w:r>
          </w:p>
        </w:tc>
      </w:tr>
      <w:tr w14:paraId="75E3FD31">
        <w:tblPrEx>
          <w:tblCellMar>
            <w:top w:w="15" w:type="dxa"/>
            <w:left w:w="15" w:type="dxa"/>
            <w:bottom w:w="15" w:type="dxa"/>
            <w:right w:w="15" w:type="dxa"/>
          </w:tblCellMar>
        </w:tblPrEx>
        <w:tc>
          <w:tcPr>
            <w:tcW w:w="765" w:type="dxa"/>
            <w:tcBorders>
              <w:top w:val="single" w:color="DDDDDD" w:sz="6" w:space="0"/>
              <w:left w:val="single" w:color="DDDDDD" w:sz="6" w:space="0"/>
              <w:bottom w:val="single" w:color="DDDDDD" w:sz="6" w:space="0"/>
              <w:right w:val="single" w:color="DDDDDD" w:sz="6" w:space="0"/>
            </w:tcBorders>
            <w:tcMar>
              <w:top w:w="120" w:type="dxa"/>
              <w:left w:w="120" w:type="dxa"/>
              <w:bottom w:w="120" w:type="dxa"/>
              <w:right w:w="120" w:type="dxa"/>
            </w:tcMar>
            <w:vAlign w:val="center"/>
          </w:tcPr>
          <w:p w14:paraId="452C9ECA">
            <w:pPr>
              <w:rPr>
                <w:rFonts w:hint="eastAsia" w:ascii="宋体" w:hAnsi="宋体" w:eastAsia="宋体" w:cs="宋体"/>
                <w:color w:val="auto"/>
                <w:sz w:val="21"/>
                <w:szCs w:val="21"/>
              </w:rPr>
            </w:pPr>
            <w:r>
              <w:rPr>
                <w:rFonts w:hint="eastAsia" w:ascii="宋体" w:hAnsi="宋体" w:eastAsia="宋体" w:cs="宋体"/>
                <w:color w:val="auto"/>
                <w:sz w:val="21"/>
                <w:szCs w:val="21"/>
              </w:rPr>
              <w:t>3.18</w:t>
            </w:r>
          </w:p>
        </w:tc>
        <w:tc>
          <w:tcPr>
            <w:tcW w:w="7465" w:type="dxa"/>
            <w:tcBorders>
              <w:top w:val="single" w:color="DDDDDD" w:sz="6" w:space="0"/>
              <w:left w:val="single" w:color="DDDDDD" w:sz="6" w:space="0"/>
              <w:bottom w:val="single" w:color="DDDDDD" w:sz="6" w:space="0"/>
              <w:right w:val="single" w:color="DDDDDD" w:sz="6" w:space="0"/>
            </w:tcBorders>
            <w:tcMar>
              <w:top w:w="120" w:type="dxa"/>
              <w:left w:w="120" w:type="dxa"/>
              <w:bottom w:w="120" w:type="dxa"/>
              <w:right w:w="120" w:type="dxa"/>
            </w:tcMar>
            <w:vAlign w:val="center"/>
          </w:tcPr>
          <w:p w14:paraId="7B8982CF">
            <w:pPr>
              <w:rPr>
                <w:rFonts w:hint="eastAsia" w:ascii="宋体" w:hAnsi="宋体" w:eastAsia="宋体" w:cs="宋体"/>
                <w:color w:val="auto"/>
                <w:sz w:val="21"/>
                <w:szCs w:val="21"/>
              </w:rPr>
            </w:pPr>
            <w:r>
              <w:rPr>
                <w:rFonts w:hint="eastAsia" w:ascii="宋体" w:hAnsi="宋体" w:eastAsia="宋体" w:cs="宋体"/>
                <w:color w:val="auto"/>
                <w:sz w:val="21"/>
                <w:szCs w:val="21"/>
              </w:rPr>
              <w:t>所需气体种类：支持使用氮气作为雾化气和碰撞气，以降低运行成本和操作复杂性。（提供硬件气体供应结构图或技术说明文件佐证）</w:t>
            </w:r>
          </w:p>
        </w:tc>
      </w:tr>
      <w:tr w14:paraId="066FBE96">
        <w:tblPrEx>
          <w:tblCellMar>
            <w:top w:w="15" w:type="dxa"/>
            <w:left w:w="15" w:type="dxa"/>
            <w:bottom w:w="15" w:type="dxa"/>
            <w:right w:w="15" w:type="dxa"/>
          </w:tblCellMar>
        </w:tblPrEx>
        <w:tc>
          <w:tcPr>
            <w:tcW w:w="765" w:type="dxa"/>
            <w:tcBorders>
              <w:top w:val="single" w:color="DDDDDD" w:sz="6" w:space="0"/>
              <w:left w:val="single" w:color="DDDDDD" w:sz="6" w:space="0"/>
              <w:bottom w:val="single" w:color="DDDDDD" w:sz="6" w:space="0"/>
              <w:right w:val="single" w:color="DDDDDD" w:sz="6" w:space="0"/>
            </w:tcBorders>
            <w:tcMar>
              <w:top w:w="120" w:type="dxa"/>
              <w:left w:w="120" w:type="dxa"/>
              <w:bottom w:w="120" w:type="dxa"/>
              <w:right w:w="120" w:type="dxa"/>
            </w:tcMar>
            <w:vAlign w:val="center"/>
          </w:tcPr>
          <w:p w14:paraId="55686883">
            <w:pPr>
              <w:rPr>
                <w:rFonts w:hint="eastAsia" w:ascii="宋体" w:hAnsi="宋体" w:eastAsia="宋体" w:cs="宋体"/>
                <w:color w:val="auto"/>
                <w:sz w:val="21"/>
                <w:szCs w:val="21"/>
              </w:rPr>
            </w:pPr>
            <w:r>
              <w:rPr>
                <w:rFonts w:hint="eastAsia" w:ascii="宋体" w:hAnsi="宋体" w:eastAsia="宋体" w:cs="宋体"/>
                <w:color w:val="auto"/>
                <w:sz w:val="21"/>
                <w:szCs w:val="21"/>
              </w:rPr>
              <w:t>3.19</w:t>
            </w:r>
          </w:p>
        </w:tc>
        <w:tc>
          <w:tcPr>
            <w:tcW w:w="7465" w:type="dxa"/>
            <w:tcBorders>
              <w:top w:val="single" w:color="DDDDDD" w:sz="6" w:space="0"/>
              <w:left w:val="single" w:color="DDDDDD" w:sz="6" w:space="0"/>
              <w:bottom w:val="single" w:color="DDDDDD" w:sz="6" w:space="0"/>
              <w:right w:val="single" w:color="DDDDDD" w:sz="6" w:space="0"/>
            </w:tcBorders>
            <w:tcMar>
              <w:top w:w="120" w:type="dxa"/>
              <w:left w:w="120" w:type="dxa"/>
              <w:bottom w:w="120" w:type="dxa"/>
              <w:right w:w="120" w:type="dxa"/>
            </w:tcMar>
            <w:vAlign w:val="center"/>
          </w:tcPr>
          <w:p w14:paraId="35D1CC3C">
            <w:pPr>
              <w:rPr>
                <w:rFonts w:hint="eastAsia" w:ascii="宋体" w:hAnsi="宋体" w:eastAsia="宋体" w:cs="宋体"/>
                <w:color w:val="auto"/>
                <w:sz w:val="21"/>
                <w:szCs w:val="21"/>
              </w:rPr>
            </w:pPr>
            <w:r>
              <w:rPr>
                <w:rFonts w:hint="eastAsia" w:ascii="宋体" w:hAnsi="宋体" w:eastAsia="宋体" w:cs="宋体"/>
                <w:color w:val="auto"/>
                <w:sz w:val="21"/>
                <w:szCs w:val="21"/>
              </w:rPr>
              <w:t>室间质评要求：</w:t>
            </w:r>
            <w:r>
              <w:rPr>
                <w:rFonts w:hint="eastAsia" w:ascii="宋体" w:hAnsi="宋体" w:eastAsia="宋体" w:cs="宋体"/>
                <w:color w:val="auto"/>
                <w:sz w:val="21"/>
                <w:szCs w:val="21"/>
              </w:rPr>
              <w:br w:type="textWrapping"/>
            </w:r>
            <w:r>
              <w:rPr>
                <w:rFonts w:hint="eastAsia" w:ascii="宋体" w:hAnsi="宋体" w:eastAsia="宋体" w:cs="宋体"/>
                <w:color w:val="auto"/>
                <w:sz w:val="21"/>
                <w:szCs w:val="21"/>
              </w:rPr>
              <w:t>1.所投试剂盒须在国家卫健委临床检验中心室间质量评价活动中有对应项目的单独分组记录。投标时提供近三年（含最新年度）该项目EQA参加实验室数量≥15家的证明材料（以卫健委临检中心官网公示、官方总结报告或临检中心出具的证明文件为准）。</w:t>
            </w:r>
          </w:p>
          <w:p w14:paraId="621FB0C2">
            <w:pPr>
              <w:rPr>
                <w:rFonts w:hint="eastAsia" w:ascii="宋体" w:hAnsi="宋体" w:eastAsia="宋体" w:cs="宋体"/>
                <w:color w:val="auto"/>
                <w:sz w:val="21"/>
                <w:szCs w:val="21"/>
              </w:rPr>
            </w:pPr>
            <w:r>
              <w:rPr>
                <w:rFonts w:hint="eastAsia" w:ascii="宋体" w:hAnsi="宋体" w:eastAsia="宋体" w:cs="宋体"/>
                <w:color w:val="auto"/>
                <w:sz w:val="21"/>
                <w:szCs w:val="21"/>
              </w:rPr>
              <w:t>2.适用项目至少包含以下三类中的两类及以上：①维生素D（质谱法）；②治疗药物监测（含丙戊酸、奥氮平、氯丙嗪中任意两种及以上）；③儿茶酚胺及其代谢物（质谱法）。提供国家药品监督管理局官网注册信息查询截图或医疗器械注册证复印件作为证明材料。</w:t>
            </w:r>
          </w:p>
        </w:tc>
      </w:tr>
      <w:tr w14:paraId="19CF3552">
        <w:tblPrEx>
          <w:tblCellMar>
            <w:top w:w="15" w:type="dxa"/>
            <w:left w:w="15" w:type="dxa"/>
            <w:bottom w:w="15" w:type="dxa"/>
            <w:right w:w="15" w:type="dxa"/>
          </w:tblCellMar>
        </w:tblPrEx>
        <w:tc>
          <w:tcPr>
            <w:tcW w:w="765" w:type="dxa"/>
            <w:tcBorders>
              <w:top w:val="single" w:color="DDDDDD" w:sz="6" w:space="0"/>
              <w:left w:val="single" w:color="DDDDDD" w:sz="6" w:space="0"/>
              <w:bottom w:val="single" w:color="DDDDDD" w:sz="6" w:space="0"/>
              <w:right w:val="single" w:color="DDDDDD" w:sz="6" w:space="0"/>
            </w:tcBorders>
            <w:tcMar>
              <w:top w:w="120" w:type="dxa"/>
              <w:left w:w="120" w:type="dxa"/>
              <w:bottom w:w="120" w:type="dxa"/>
              <w:right w:w="120" w:type="dxa"/>
            </w:tcMar>
            <w:vAlign w:val="center"/>
          </w:tcPr>
          <w:p w14:paraId="4659C2BA">
            <w:pPr>
              <w:rPr>
                <w:rFonts w:hint="eastAsia" w:ascii="宋体" w:hAnsi="宋体" w:eastAsia="宋体" w:cs="宋体"/>
                <w:color w:val="auto"/>
                <w:sz w:val="21"/>
                <w:szCs w:val="21"/>
              </w:rPr>
            </w:pPr>
            <w:r>
              <w:rPr>
                <w:rFonts w:hint="eastAsia" w:ascii="宋体" w:hAnsi="宋体" w:eastAsia="宋体" w:cs="宋体"/>
                <w:color w:val="auto"/>
                <w:sz w:val="21"/>
                <w:szCs w:val="21"/>
              </w:rPr>
              <w:t>四</w:t>
            </w:r>
          </w:p>
        </w:tc>
        <w:tc>
          <w:tcPr>
            <w:tcW w:w="7465" w:type="dxa"/>
            <w:tcBorders>
              <w:top w:val="single" w:color="DDDDDD" w:sz="6" w:space="0"/>
              <w:left w:val="single" w:color="DDDDDD" w:sz="6" w:space="0"/>
              <w:bottom w:val="single" w:color="DDDDDD" w:sz="6" w:space="0"/>
              <w:right w:val="single" w:color="DDDDDD" w:sz="6" w:space="0"/>
            </w:tcBorders>
            <w:tcMar>
              <w:top w:w="120" w:type="dxa"/>
              <w:left w:w="120" w:type="dxa"/>
              <w:bottom w:w="120" w:type="dxa"/>
              <w:right w:w="120" w:type="dxa"/>
            </w:tcMar>
            <w:vAlign w:val="center"/>
          </w:tcPr>
          <w:p w14:paraId="036423A8">
            <w:pPr>
              <w:rPr>
                <w:rFonts w:hint="eastAsia" w:ascii="宋体" w:hAnsi="宋体" w:eastAsia="宋体" w:cs="宋体"/>
                <w:color w:val="auto"/>
                <w:sz w:val="21"/>
                <w:szCs w:val="21"/>
              </w:rPr>
            </w:pPr>
            <w:r>
              <w:rPr>
                <w:rStyle w:val="13"/>
                <w:rFonts w:hint="eastAsia" w:ascii="宋体" w:hAnsi="宋体" w:eastAsia="宋体" w:cs="宋体"/>
                <w:color w:val="auto"/>
                <w:sz w:val="21"/>
                <w:szCs w:val="21"/>
              </w:rPr>
              <w:t>业绩证明</w:t>
            </w:r>
            <w:r>
              <w:rPr>
                <w:rFonts w:hint="eastAsia" w:ascii="宋体" w:hAnsi="宋体" w:eastAsia="宋体" w:cs="宋体"/>
                <w:color w:val="auto"/>
                <w:sz w:val="21"/>
                <w:szCs w:val="21"/>
              </w:rPr>
              <w:t>：提供所投产品（或同品牌同类产品）近三年内在医疗机构的供货业绩证明（提供合同或发票复印件，不限数量）。</w:t>
            </w:r>
          </w:p>
        </w:tc>
      </w:tr>
      <w:tr w14:paraId="1FF911C3">
        <w:tblPrEx>
          <w:tblCellMar>
            <w:top w:w="15" w:type="dxa"/>
            <w:left w:w="15" w:type="dxa"/>
            <w:bottom w:w="15" w:type="dxa"/>
            <w:right w:w="15" w:type="dxa"/>
          </w:tblCellMar>
        </w:tblPrEx>
        <w:tc>
          <w:tcPr>
            <w:tcW w:w="765" w:type="dxa"/>
            <w:tcBorders>
              <w:top w:val="single" w:color="DDDDDD" w:sz="6" w:space="0"/>
              <w:left w:val="single" w:color="DDDDDD" w:sz="6" w:space="0"/>
              <w:bottom w:val="single" w:color="DDDDDD" w:sz="6" w:space="0"/>
              <w:right w:val="single" w:color="DDDDDD" w:sz="6" w:space="0"/>
            </w:tcBorders>
            <w:tcMar>
              <w:top w:w="120" w:type="dxa"/>
              <w:left w:w="120" w:type="dxa"/>
              <w:bottom w:w="120" w:type="dxa"/>
              <w:right w:w="120" w:type="dxa"/>
            </w:tcMar>
            <w:vAlign w:val="center"/>
          </w:tcPr>
          <w:p w14:paraId="64E2ACF4">
            <w:pPr>
              <w:rPr>
                <w:rFonts w:hint="eastAsia" w:ascii="宋体" w:hAnsi="宋体" w:eastAsia="宋体" w:cs="宋体"/>
                <w:color w:val="auto"/>
                <w:sz w:val="21"/>
                <w:szCs w:val="21"/>
              </w:rPr>
            </w:pPr>
            <w:r>
              <w:rPr>
                <w:rFonts w:hint="eastAsia" w:ascii="宋体" w:hAnsi="宋体" w:eastAsia="宋体" w:cs="宋体"/>
                <w:color w:val="auto"/>
                <w:sz w:val="21"/>
                <w:szCs w:val="21"/>
              </w:rPr>
              <w:t>▲5.1</w:t>
            </w:r>
          </w:p>
        </w:tc>
        <w:tc>
          <w:tcPr>
            <w:tcW w:w="7465" w:type="dxa"/>
            <w:tcBorders>
              <w:top w:val="single" w:color="DDDDDD" w:sz="6" w:space="0"/>
              <w:left w:val="single" w:color="DDDDDD" w:sz="6" w:space="0"/>
              <w:bottom w:val="single" w:color="DDDDDD" w:sz="6" w:space="0"/>
              <w:right w:val="single" w:color="DDDDDD" w:sz="6" w:space="0"/>
            </w:tcBorders>
            <w:tcMar>
              <w:top w:w="120" w:type="dxa"/>
              <w:left w:w="120" w:type="dxa"/>
              <w:bottom w:w="120" w:type="dxa"/>
              <w:right w:w="120" w:type="dxa"/>
            </w:tcMar>
            <w:vAlign w:val="center"/>
          </w:tcPr>
          <w:p w14:paraId="797E06CB">
            <w:pPr>
              <w:rPr>
                <w:rFonts w:hint="eastAsia" w:ascii="宋体" w:hAnsi="宋体" w:eastAsia="宋体" w:cs="宋体"/>
                <w:color w:val="auto"/>
                <w:sz w:val="21"/>
                <w:szCs w:val="21"/>
              </w:rPr>
            </w:pPr>
            <w:r>
              <w:rPr>
                <w:rStyle w:val="13"/>
                <w:rFonts w:hint="eastAsia" w:ascii="宋体" w:hAnsi="宋体" w:eastAsia="宋体" w:cs="宋体"/>
                <w:color w:val="auto"/>
                <w:sz w:val="21"/>
                <w:szCs w:val="21"/>
              </w:rPr>
              <w:t>售后服务</w:t>
            </w:r>
            <w:r>
              <w:rPr>
                <w:rFonts w:hint="eastAsia" w:ascii="宋体" w:hAnsi="宋体" w:eastAsia="宋体" w:cs="宋体"/>
                <w:color w:val="auto"/>
                <w:sz w:val="21"/>
                <w:szCs w:val="21"/>
              </w:rPr>
              <w:t>：整机质保期≥6年（含主机及关键部件），质保期内提供原厂免费全保服务。质保期满后提供终身有偿维修服务承诺及零配件供应保障。（提供加盖设备生产企业或制造商公章的售后服务承诺函）</w:t>
            </w:r>
          </w:p>
        </w:tc>
      </w:tr>
    </w:tbl>
    <w:p w14:paraId="2280AF46">
      <w:pPr>
        <w:numPr>
          <w:ilvl w:val="0"/>
          <w:numId w:val="1"/>
        </w:numPr>
        <w:spacing w:line="400" w:lineRule="exact"/>
        <w:rPr>
          <w:rFonts w:hint="eastAsia" w:ascii="宋体" w:hAnsi="宋体" w:cs="Arial"/>
          <w:bCs/>
          <w:color w:val="auto"/>
          <w:sz w:val="24"/>
          <w:highlight w:val="none"/>
        </w:rPr>
      </w:pPr>
      <w:r>
        <w:rPr>
          <w:rFonts w:hint="eastAsia" w:ascii="宋体" w:hAnsi="宋体" w:cs="Arial"/>
          <w:bCs/>
          <w:color w:val="auto"/>
          <w:sz w:val="24"/>
          <w:highlight w:val="none"/>
        </w:rPr>
        <w:t>履约验收要求：项目履约验收工作具体依据项目合同中的履约验收方案执行。合同中的履约验收方案将明确履约验收的主体、时间、方式、程序、内容和验收标准等事项。</w:t>
      </w:r>
    </w:p>
    <w:p w14:paraId="35E6354F">
      <w:pPr>
        <w:numPr>
          <w:ilvl w:val="0"/>
          <w:numId w:val="1"/>
        </w:numPr>
        <w:spacing w:line="400" w:lineRule="exact"/>
        <w:rPr>
          <w:rFonts w:hint="eastAsia" w:ascii="宋体" w:hAnsi="宋体" w:cs="Arial"/>
          <w:bCs/>
          <w:color w:val="auto"/>
          <w:sz w:val="24"/>
          <w:highlight w:val="none"/>
        </w:rPr>
      </w:pPr>
      <w:r>
        <w:rPr>
          <w:rFonts w:hint="eastAsia" w:ascii="宋体" w:hAnsi="宋体" w:cs="Arial"/>
          <w:bCs/>
          <w:color w:val="auto"/>
          <w:sz w:val="24"/>
          <w:highlight w:val="none"/>
        </w:rPr>
        <w:t>供应商需提供设备安装需要的基建要求，包括场地面积、承重、层高、用电等情况（如有）。设备安装验收后提供免费培训服务，提供与设备相关的操作手册和使用说明书。</w:t>
      </w:r>
    </w:p>
    <w:p w14:paraId="1A33C549">
      <w:pPr>
        <w:numPr>
          <w:ilvl w:val="0"/>
          <w:numId w:val="1"/>
        </w:numPr>
        <w:spacing w:line="400" w:lineRule="exact"/>
        <w:rPr>
          <w:rFonts w:hint="eastAsia" w:ascii="宋体" w:hAnsi="宋体" w:cs="Arial"/>
          <w:bCs/>
          <w:color w:val="auto"/>
          <w:sz w:val="24"/>
          <w:highlight w:val="none"/>
        </w:rPr>
      </w:pPr>
      <w:r>
        <w:rPr>
          <w:rFonts w:hint="eastAsia" w:ascii="宋体" w:hAnsi="宋体" w:cs="Arial"/>
          <w:bCs/>
          <w:color w:val="auto"/>
          <w:sz w:val="24"/>
          <w:highlight w:val="none"/>
        </w:rPr>
        <w:t>供应商需承诺设备接口免费开放，免费接入医院综合运营系统，如有端口费用由中标方承担。</w:t>
      </w:r>
    </w:p>
    <w:p w14:paraId="510612BF">
      <w:pPr>
        <w:numPr>
          <w:ilvl w:val="0"/>
          <w:numId w:val="1"/>
        </w:numPr>
        <w:spacing w:line="400" w:lineRule="exact"/>
        <w:rPr>
          <w:rFonts w:hint="eastAsia" w:ascii="宋体" w:hAnsi="宋体" w:cs="Arial"/>
          <w:bCs/>
          <w:color w:val="auto"/>
          <w:sz w:val="24"/>
          <w:highlight w:val="none"/>
        </w:rPr>
      </w:pPr>
      <w:r>
        <w:rPr>
          <w:rFonts w:hint="eastAsia" w:ascii="宋体" w:hAnsi="宋体" w:cs="Arial"/>
          <w:bCs/>
          <w:color w:val="auto"/>
          <w:sz w:val="24"/>
          <w:highlight w:val="none"/>
        </w:rPr>
        <w:t>本次报价包含设备费用、安装调试费、运输费、包装费、税金等完成本项目所需要的所有费用。</w:t>
      </w:r>
    </w:p>
    <w:p w14:paraId="462A3DB0">
      <w:pPr>
        <w:numPr>
          <w:ilvl w:val="0"/>
          <w:numId w:val="1"/>
        </w:numPr>
        <w:spacing w:line="360" w:lineRule="auto"/>
        <w:rPr>
          <w:rFonts w:hint="eastAsia" w:ascii="宋体" w:hAnsi="宋体" w:cs="Arial"/>
          <w:bCs/>
          <w:color w:val="auto"/>
          <w:sz w:val="24"/>
          <w:highlight w:val="none"/>
        </w:rPr>
      </w:pPr>
      <w:r>
        <w:rPr>
          <w:rFonts w:hint="eastAsia" w:ascii="宋体" w:hAnsi="宋体" w:cs="Arial"/>
          <w:bCs/>
          <w:color w:val="auto"/>
          <w:sz w:val="24"/>
          <w:highlight w:val="none"/>
        </w:rPr>
        <w:t>后续的全生命周期成本及备品备件采购价格情况等相关说明。</w:t>
      </w:r>
    </w:p>
    <w:p w14:paraId="34FBBE39">
      <w:pPr>
        <w:numPr>
          <w:ilvl w:val="0"/>
          <w:numId w:val="1"/>
        </w:numPr>
        <w:spacing w:line="400" w:lineRule="exact"/>
        <w:rPr>
          <w:rFonts w:hint="eastAsia" w:ascii="宋体" w:hAnsi="宋体" w:eastAsia="宋体" w:cs="宋体"/>
          <w:color w:val="auto"/>
          <w:sz w:val="24"/>
          <w:highlight w:val="none"/>
        </w:rPr>
      </w:pPr>
      <w:r>
        <w:rPr>
          <w:rFonts w:hint="eastAsia" w:ascii="宋体" w:hAnsi="宋体" w:cs="Arial"/>
          <w:bCs/>
          <w:color w:val="auto"/>
          <w:sz w:val="24"/>
          <w:highlight w:val="none"/>
        </w:rPr>
        <w:t>本项目需由供应商提供设计方案、解决方案或者组织方案以及技术支持资料。</w:t>
      </w:r>
    </w:p>
    <w:p w14:paraId="6CAFE20B">
      <w:pPr>
        <w:rPr>
          <w:rFonts w:hint="eastAsia" w:ascii="宋体" w:hAnsi="宋体" w:eastAsia="宋体" w:cs="宋体"/>
          <w:color w:val="auto"/>
          <w:sz w:val="21"/>
          <w:szCs w:val="21"/>
        </w:rPr>
      </w:pPr>
    </w:p>
    <w:sectPr>
      <w:headerReference r:id="rId3" w:type="default"/>
      <w:footerReference r:id="rId4" w:type="default"/>
      <w:pgSz w:w="11906" w:h="16838"/>
      <w:pgMar w:top="1440" w:right="1800" w:bottom="1440" w:left="1800" w:header="851" w:footer="992" w:gutter="0"/>
      <w:pgNumType w:fmt="decimal" w:start="1"/>
      <w:cols w:space="425"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8C1E5F">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38358A7">
                          <w:pPr>
                            <w:pStyle w:val="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738358A7">
                    <w:pPr>
                      <w:pStyle w:val="8"/>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EC637D">
    <w:pPr>
      <w:pStyle w:val="9"/>
      <w:jc w:val="both"/>
      <w:rPr>
        <w:rFonts w:hint="default" w:eastAsia="宋体"/>
        <w:lang w:val="en-US" w:eastAsia="zh-CN"/>
      </w:rPr>
    </w:pPr>
    <w:r>
      <w:rPr>
        <w:rFonts w:hint="eastAsia"/>
        <w:lang w:val="en-US" w:eastAsia="zh-CN"/>
      </w:rPr>
      <w:t xml:space="preserve">ZC20260160      </w:t>
    </w:r>
    <w:r>
      <w:rPr>
        <w:rFonts w:hint="eastAsia"/>
        <w:color w:val="FF0000"/>
      </w:rPr>
      <w:t>上海市同仁医院所需一批检验相关设备公开招标项目</w:t>
    </w:r>
    <w:r>
      <w:rPr>
        <w:rFonts w:hint="eastAsia"/>
        <w:color w:val="FF0000"/>
        <w:lang w:val="en-US" w:eastAsia="zh-CN"/>
      </w:rPr>
      <w:t xml:space="preserve">                  </w:t>
    </w:r>
    <w:r>
      <w:rPr>
        <w:rFonts w:hint="eastAsia"/>
        <w:lang w:val="en-US" w:eastAsia="zh-CN"/>
      </w:rPr>
      <w:t>招标需求文件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E814C76"/>
    <w:multiLevelType w:val="singleLevel"/>
    <w:tmpl w:val="EE814C76"/>
    <w:lvl w:ilvl="0" w:tentative="0">
      <w:start w:val="1"/>
      <w:numFmt w:val="decimal"/>
      <w:lvlText w:val="%1."/>
      <w:lvlJc w:val="left"/>
      <w:pPr>
        <w:ind w:left="425" w:hanging="425"/>
      </w:pPr>
      <w:rPr>
        <w:rFonts w:hint="default"/>
        <w:b w:val="0"/>
        <w:bCs w:val="0"/>
        <w:sz w:val="24"/>
        <w:szCs w:val="24"/>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cumentProtection w:enforcement="0"/>
  <w:defaultTabStop w:val="420"/>
  <w:noPunctuationKerning w:val="1"/>
  <w:characterSpacingControl w:val="doNotCompress"/>
  <w:compat>
    <w:doNotSnapToGridInCell/>
    <w:doNotWrapTextWithPunct/>
    <w:doNotUseEastAsianBreakRules/>
    <w:growAutofit/>
    <w:useFELayout/>
    <w:compatSetting w:name="compatibilityMode" w:uri="http://schemas.microsoft.com/office/word" w:val="15"/>
    <w:compatSetting w:name="differentiateMultirowTableHeaders" w:uri="http://schemas.microsoft.com/office/word" w:val="1"/>
  </w:compat>
  <w:docVars>
    <w:docVar w:name="KY_MEDREF_DOCUID" w:val="{2D17F749-BC7E-4A93-B2FA-A7B55E28AFF1}"/>
    <w:docVar w:name="KY_MEDREF_VERSION" w:val="3"/>
  </w:docVars>
  <w:rsids>
    <w:rsidRoot w:val="008F00BE"/>
    <w:rsid w:val="001F263F"/>
    <w:rsid w:val="00487950"/>
    <w:rsid w:val="00761C25"/>
    <w:rsid w:val="008F00BE"/>
    <w:rsid w:val="00AB313A"/>
    <w:rsid w:val="06A22120"/>
    <w:rsid w:val="151B59E7"/>
    <w:rsid w:val="323C5CCF"/>
    <w:rsid w:val="37765055"/>
    <w:rsid w:val="3C1557B6"/>
    <w:rsid w:val="430E4A3F"/>
    <w:rsid w:val="53DA0D42"/>
    <w:rsid w:val="571633B7"/>
    <w:rsid w:val="5D02548B"/>
    <w:rsid w:val="7E38527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heme="minorEastAsia"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nhideWhenUsed="0" w:uiPriority="9" w:semiHidden="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1"/>
    <w:basedOn w:val="1"/>
    <w:next w:val="1"/>
    <w:link w:val="14"/>
    <w:qFormat/>
    <w:uiPriority w:val="9"/>
    <w:pPr>
      <w:spacing w:before="100" w:beforeAutospacing="1" w:after="100" w:afterAutospacing="1"/>
      <w:outlineLvl w:val="0"/>
    </w:pPr>
    <w:rPr>
      <w:b/>
      <w:bCs/>
      <w:kern w:val="36"/>
      <w:sz w:val="48"/>
      <w:szCs w:val="48"/>
    </w:rPr>
  </w:style>
  <w:style w:type="paragraph" w:styleId="3">
    <w:name w:val="heading 2"/>
    <w:basedOn w:val="1"/>
    <w:next w:val="1"/>
    <w:link w:val="15"/>
    <w:qFormat/>
    <w:uiPriority w:val="9"/>
    <w:pPr>
      <w:spacing w:before="100" w:beforeAutospacing="1" w:after="100" w:afterAutospacing="1"/>
      <w:outlineLvl w:val="1"/>
    </w:pPr>
    <w:rPr>
      <w:b/>
      <w:bCs/>
      <w:sz w:val="36"/>
      <w:szCs w:val="36"/>
    </w:rPr>
  </w:style>
  <w:style w:type="paragraph" w:styleId="4">
    <w:name w:val="heading 3"/>
    <w:basedOn w:val="1"/>
    <w:next w:val="1"/>
    <w:link w:val="16"/>
    <w:qFormat/>
    <w:uiPriority w:val="9"/>
    <w:pPr>
      <w:spacing w:before="100" w:beforeAutospacing="1" w:after="100" w:afterAutospacing="1"/>
      <w:outlineLvl w:val="2"/>
    </w:pPr>
    <w:rPr>
      <w:b/>
      <w:bCs/>
      <w:sz w:val="27"/>
      <w:szCs w:val="27"/>
    </w:rPr>
  </w:style>
  <w:style w:type="paragraph" w:styleId="5">
    <w:name w:val="heading 4"/>
    <w:basedOn w:val="1"/>
    <w:next w:val="1"/>
    <w:link w:val="17"/>
    <w:qFormat/>
    <w:uiPriority w:val="9"/>
    <w:pPr>
      <w:spacing w:before="100" w:beforeAutospacing="1" w:after="100" w:afterAutospacing="1"/>
      <w:outlineLvl w:val="3"/>
    </w:pPr>
    <w:rPr>
      <w:b/>
      <w:bCs/>
    </w:rPr>
  </w:style>
  <w:style w:type="paragraph" w:styleId="6">
    <w:name w:val="heading 5"/>
    <w:basedOn w:val="1"/>
    <w:next w:val="1"/>
    <w:link w:val="18"/>
    <w:qFormat/>
    <w:uiPriority w:val="9"/>
    <w:pPr>
      <w:spacing w:before="100" w:beforeAutospacing="1" w:after="100" w:afterAutospacing="1"/>
      <w:outlineLvl w:val="4"/>
    </w:pPr>
    <w:rPr>
      <w:b/>
      <w:bCs/>
      <w:sz w:val="20"/>
      <w:szCs w:val="20"/>
    </w:rPr>
  </w:style>
  <w:style w:type="paragraph" w:styleId="7">
    <w:name w:val="heading 6"/>
    <w:basedOn w:val="1"/>
    <w:next w:val="1"/>
    <w:link w:val="19"/>
    <w:qFormat/>
    <w:uiPriority w:val="9"/>
    <w:pPr>
      <w:spacing w:before="100" w:beforeAutospacing="1" w:after="100" w:afterAutospacing="1"/>
      <w:outlineLvl w:val="5"/>
    </w:pPr>
    <w:rPr>
      <w:b/>
      <w:bCs/>
      <w:sz w:val="15"/>
      <w:szCs w:val="15"/>
    </w:rPr>
  </w:style>
  <w:style w:type="character" w:default="1" w:styleId="12">
    <w:name w:val="Default Paragraph Font"/>
    <w:semiHidden/>
    <w:unhideWhenUsed/>
    <w:uiPriority w:val="1"/>
  </w:style>
  <w:style w:type="table" w:default="1" w:styleId="11">
    <w:name w:val="Normal Table"/>
    <w:semiHidden/>
    <w:unhideWhenUsed/>
    <w:uiPriority w:val="99"/>
    <w:tblPr>
      <w:tblCellMar>
        <w:top w:w="0" w:type="dxa"/>
        <w:left w:w="108" w:type="dxa"/>
        <w:bottom w:w="0" w:type="dxa"/>
        <w:right w:w="108" w:type="dxa"/>
      </w:tblCellMar>
    </w:tblPr>
  </w:style>
  <w:style w:type="paragraph" w:styleId="8">
    <w:name w:val="footer"/>
    <w:basedOn w:val="1"/>
    <w:link w:val="22"/>
    <w:unhideWhenUsed/>
    <w:uiPriority w:val="99"/>
    <w:pPr>
      <w:tabs>
        <w:tab w:val="center" w:pos="4153"/>
        <w:tab w:val="right" w:pos="8306"/>
      </w:tabs>
      <w:snapToGrid w:val="0"/>
    </w:pPr>
    <w:rPr>
      <w:sz w:val="18"/>
      <w:szCs w:val="18"/>
    </w:rPr>
  </w:style>
  <w:style w:type="paragraph" w:styleId="9">
    <w:name w:val="header"/>
    <w:basedOn w:val="1"/>
    <w:link w:val="21"/>
    <w:unhideWhenUsed/>
    <w:uiPriority w:val="99"/>
    <w:pPr>
      <w:pBdr>
        <w:bottom w:val="single" w:color="auto" w:sz="6" w:space="1"/>
      </w:pBdr>
      <w:tabs>
        <w:tab w:val="center" w:pos="4153"/>
        <w:tab w:val="right" w:pos="8306"/>
      </w:tabs>
      <w:snapToGrid w:val="0"/>
      <w:jc w:val="center"/>
    </w:pPr>
    <w:rPr>
      <w:sz w:val="18"/>
      <w:szCs w:val="18"/>
    </w:rPr>
  </w:style>
  <w:style w:type="paragraph" w:styleId="10">
    <w:name w:val="Normal (Web)"/>
    <w:basedOn w:val="1"/>
    <w:semiHidden/>
    <w:unhideWhenUsed/>
    <w:uiPriority w:val="99"/>
    <w:pPr>
      <w:spacing w:before="100" w:beforeAutospacing="1" w:after="100" w:afterAutospacing="1"/>
    </w:pPr>
  </w:style>
  <w:style w:type="character" w:styleId="13">
    <w:name w:val="Strong"/>
    <w:basedOn w:val="12"/>
    <w:qFormat/>
    <w:uiPriority w:val="22"/>
    <w:rPr>
      <w:b/>
      <w:bCs/>
    </w:rPr>
  </w:style>
  <w:style w:type="character" w:customStyle="1" w:styleId="14">
    <w:name w:val="标题 1 字符"/>
    <w:basedOn w:val="12"/>
    <w:link w:val="2"/>
    <w:uiPriority w:val="9"/>
    <w:rPr>
      <w:rFonts w:ascii="宋体" w:hAnsi="宋体" w:eastAsia="宋体" w:cs="宋体"/>
      <w:b/>
      <w:bCs/>
      <w:kern w:val="44"/>
      <w:sz w:val="44"/>
      <w:szCs w:val="44"/>
    </w:rPr>
  </w:style>
  <w:style w:type="character" w:customStyle="1" w:styleId="15">
    <w:name w:val="标题 2 字符"/>
    <w:basedOn w:val="12"/>
    <w:link w:val="3"/>
    <w:semiHidden/>
    <w:uiPriority w:val="9"/>
    <w:rPr>
      <w:rFonts w:asciiTheme="majorHAnsi" w:hAnsiTheme="majorHAnsi" w:eastAsiaTheme="majorEastAsia" w:cstheme="majorBidi"/>
      <w:b/>
      <w:bCs/>
      <w:sz w:val="32"/>
      <w:szCs w:val="32"/>
    </w:rPr>
  </w:style>
  <w:style w:type="character" w:customStyle="1" w:styleId="16">
    <w:name w:val="标题 3 字符"/>
    <w:basedOn w:val="12"/>
    <w:link w:val="4"/>
    <w:semiHidden/>
    <w:uiPriority w:val="9"/>
    <w:rPr>
      <w:rFonts w:ascii="宋体" w:hAnsi="宋体" w:eastAsia="宋体" w:cs="宋体"/>
      <w:b/>
      <w:bCs/>
      <w:sz w:val="32"/>
      <w:szCs w:val="32"/>
    </w:rPr>
  </w:style>
  <w:style w:type="character" w:customStyle="1" w:styleId="17">
    <w:name w:val="标题 4 字符"/>
    <w:basedOn w:val="12"/>
    <w:link w:val="5"/>
    <w:semiHidden/>
    <w:uiPriority w:val="9"/>
    <w:rPr>
      <w:rFonts w:asciiTheme="majorHAnsi" w:hAnsiTheme="majorHAnsi" w:eastAsiaTheme="majorEastAsia" w:cstheme="majorBidi"/>
      <w:b/>
      <w:bCs/>
      <w:sz w:val="28"/>
      <w:szCs w:val="28"/>
    </w:rPr>
  </w:style>
  <w:style w:type="character" w:customStyle="1" w:styleId="18">
    <w:name w:val="标题 5 字符"/>
    <w:basedOn w:val="12"/>
    <w:link w:val="6"/>
    <w:semiHidden/>
    <w:uiPriority w:val="9"/>
    <w:rPr>
      <w:rFonts w:ascii="宋体" w:hAnsi="宋体" w:eastAsia="宋体" w:cs="宋体"/>
      <w:b/>
      <w:bCs/>
      <w:sz w:val="28"/>
      <w:szCs w:val="28"/>
    </w:rPr>
  </w:style>
  <w:style w:type="character" w:customStyle="1" w:styleId="19">
    <w:name w:val="标题 6 字符"/>
    <w:basedOn w:val="12"/>
    <w:link w:val="7"/>
    <w:semiHidden/>
    <w:uiPriority w:val="9"/>
    <w:rPr>
      <w:rFonts w:asciiTheme="majorHAnsi" w:hAnsiTheme="majorHAnsi" w:eastAsiaTheme="majorEastAsia" w:cstheme="majorBidi"/>
      <w:b/>
      <w:bCs/>
      <w:sz w:val="24"/>
      <w:szCs w:val="24"/>
    </w:rPr>
  </w:style>
  <w:style w:type="paragraph" w:customStyle="1" w:styleId="20">
    <w:name w:val="msonormal"/>
    <w:basedOn w:val="1"/>
    <w:uiPriority w:val="0"/>
    <w:pPr>
      <w:spacing w:before="100" w:beforeAutospacing="1" w:after="100" w:afterAutospacing="1"/>
    </w:pPr>
  </w:style>
  <w:style w:type="character" w:customStyle="1" w:styleId="21">
    <w:name w:val="页眉 字符"/>
    <w:basedOn w:val="12"/>
    <w:link w:val="9"/>
    <w:uiPriority w:val="99"/>
    <w:rPr>
      <w:rFonts w:ascii="宋体" w:hAnsi="宋体" w:eastAsia="宋体" w:cs="宋体"/>
      <w:sz w:val="18"/>
      <w:szCs w:val="18"/>
    </w:rPr>
  </w:style>
  <w:style w:type="character" w:customStyle="1" w:styleId="22">
    <w:name w:val="页脚 字符"/>
    <w:basedOn w:val="12"/>
    <w:link w:val="8"/>
    <w:uiPriority w:val="99"/>
    <w:rPr>
      <w:rFonts w:ascii="宋体" w:hAnsi="宋体" w:eastAsia="宋体" w:cs="宋体"/>
      <w:sz w:val="18"/>
      <w:szCs w:val="18"/>
    </w:rPr>
  </w:style>
  <w:style w:type="paragraph" w:styleId="23">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4</Pages>
  <Words>2759</Words>
  <Characters>2979</Characters>
  <DocSecurity>0</DocSecurity>
  <Lines>17</Lines>
  <Paragraphs>4</Paragraphs>
  <ScaleCrop>false</ScaleCrop>
  <LinksUpToDate>false</LinksUpToDate>
  <CharactersWithSpaces>2985</CharactersWithSpac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2026-08-12T09:52:00Z</dcterms:created>
  <dcterms:modified xsi:type="dcterms:W3CDTF">2026-09-16T05:39:45Z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eyJoZGlkIjoiOTM4YjIyY2Q3YmE4MDU5NmQyYjg1Yjk5NjQzNDc2MjAiLCJ1c2VySWQiOiI1Njk1NTUzMTgifQ==</vt:lpwstr>
  </property>
  <property fmtid="{D5CDD505-2E9C-101B-9397-08002B2CF9AE}" pid="3" name="KSOProductBuildVer">
    <vt:lpwstr>2052-12.1.0.28505</vt:lpwstr>
  </property>
  <property fmtid="{D5CDD505-2E9C-101B-9397-08002B2CF9AE}" pid="4" name="ICV">
    <vt:lpwstr>73D4975E81E54397B7F453459CA559B0_12</vt:lpwstr>
  </property>
</Properties>
</file>