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E0C72">
      <w:pPr>
        <w:pStyle w:val="7"/>
        <w:jc w:val="center"/>
        <w:rPr>
          <w:rFonts w:hint="eastAsia" w:ascii="宋体" w:hAnsi="宋体" w:eastAsia="宋体" w:cs="宋体"/>
          <w:b/>
          <w:color w:val="auto"/>
          <w:sz w:val="36"/>
          <w:szCs w:val="21"/>
          <w:highlight w:val="none"/>
        </w:rPr>
      </w:pPr>
      <w:bookmarkStart w:id="0" w:name="_GoBack"/>
      <w:r>
        <w:rPr>
          <w:rFonts w:hint="eastAsia" w:ascii="宋体" w:hAnsi="宋体" w:eastAsia="宋体" w:cs="宋体"/>
          <w:b/>
          <w:color w:val="auto"/>
          <w:sz w:val="36"/>
          <w:szCs w:val="21"/>
          <w:highlight w:val="none"/>
        </w:rPr>
        <w:t>上海市同仁医院所需一批检验相关设备</w:t>
      </w:r>
    </w:p>
    <w:p w14:paraId="6FB95219">
      <w:pPr>
        <w:pStyle w:val="7"/>
        <w:jc w:val="center"/>
        <w:rPr>
          <w:rFonts w:hint="eastAsia" w:ascii="宋体" w:hAnsi="宋体" w:eastAsia="宋体" w:cs="宋体"/>
          <w:b/>
          <w:color w:val="auto"/>
          <w:sz w:val="36"/>
          <w:szCs w:val="21"/>
          <w:highlight w:val="none"/>
          <w:lang w:val="en-US" w:eastAsia="zh-CN"/>
        </w:rPr>
      </w:pPr>
      <w:r>
        <w:rPr>
          <w:rFonts w:hint="eastAsia" w:ascii="宋体" w:hAnsi="宋体" w:eastAsia="宋体" w:cs="宋体"/>
          <w:b/>
          <w:color w:val="auto"/>
          <w:sz w:val="36"/>
          <w:szCs w:val="21"/>
          <w:highlight w:val="none"/>
        </w:rPr>
        <w:t>公开招标项目</w:t>
      </w:r>
      <w:r>
        <w:rPr>
          <w:rFonts w:hint="eastAsia" w:ascii="宋体" w:hAnsi="宋体" w:eastAsia="宋体" w:cs="宋体"/>
          <w:b/>
          <w:color w:val="auto"/>
          <w:sz w:val="36"/>
          <w:szCs w:val="21"/>
          <w:highlight w:val="none"/>
          <w:lang w:val="en-US" w:eastAsia="zh-CN"/>
        </w:rPr>
        <w:t xml:space="preserve">招标需求文件 </w:t>
      </w:r>
    </w:p>
    <w:p w14:paraId="5AA75BDA">
      <w:pPr>
        <w:pStyle w:val="7"/>
        <w:jc w:val="center"/>
        <w:rPr>
          <w:rFonts w:hint="eastAsia" w:ascii="宋体" w:hAnsi="宋体" w:eastAsia="宋体" w:cs="宋体"/>
          <w:b/>
          <w:color w:val="auto"/>
          <w:sz w:val="36"/>
          <w:szCs w:val="21"/>
          <w:highlight w:val="none"/>
        </w:rPr>
      </w:pPr>
      <w:r>
        <w:rPr>
          <w:rFonts w:hint="eastAsia" w:ascii="宋体" w:hAnsi="宋体" w:eastAsia="宋体" w:cs="宋体"/>
          <w:b/>
          <w:color w:val="auto"/>
          <w:sz w:val="36"/>
          <w:szCs w:val="21"/>
          <w:highlight w:val="none"/>
          <w:lang w:val="en-US" w:eastAsia="zh-CN"/>
        </w:rPr>
        <w:t>第五标包：</w:t>
      </w:r>
      <w:r>
        <w:rPr>
          <w:rFonts w:hint="eastAsia" w:ascii="宋体" w:hAnsi="宋体" w:eastAsia="宋体" w:cs="宋体"/>
          <w:b/>
          <w:color w:val="auto"/>
          <w:sz w:val="36"/>
          <w:szCs w:val="21"/>
          <w:highlight w:val="none"/>
        </w:rPr>
        <w:t>血细胞分析流水线</w:t>
      </w:r>
    </w:p>
    <w:p w14:paraId="62C3970E">
      <w:pPr>
        <w:numPr>
          <w:ilvl w:val="0"/>
          <w:numId w:val="1"/>
        </w:numPr>
        <w:adjustRightInd w:val="0"/>
        <w:snapToGrid w:val="0"/>
        <w:spacing w:before="120" w:after="120" w:line="360" w:lineRule="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项目</w:t>
      </w:r>
      <w:r>
        <w:rPr>
          <w:rFonts w:hint="eastAsia" w:ascii="宋体" w:hAnsi="宋体" w:eastAsia="宋体" w:cs="宋体"/>
          <w:b/>
          <w:color w:val="auto"/>
          <w:sz w:val="24"/>
          <w:szCs w:val="24"/>
          <w:highlight w:val="none"/>
          <w:lang w:val="en-US" w:eastAsia="zh-CN"/>
        </w:rPr>
        <w:t>信息</w:t>
      </w:r>
    </w:p>
    <w:p w14:paraId="66EAD7E9">
      <w:pPr>
        <w:pStyle w:val="7"/>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color w:val="auto"/>
          <w:sz w:val="24"/>
          <w:szCs w:val="24"/>
          <w:highlight w:val="none"/>
          <w:lang w:val="en-US" w:eastAsia="zh-CN"/>
        </w:rPr>
        <w:t>预算金额：</w:t>
      </w:r>
      <w:r>
        <w:rPr>
          <w:rFonts w:hint="eastAsia" w:ascii="宋体" w:hAnsi="宋体" w:eastAsia="宋体" w:cs="宋体"/>
          <w:b w:val="0"/>
          <w:bCs/>
          <w:color w:val="auto"/>
          <w:sz w:val="24"/>
          <w:szCs w:val="24"/>
          <w:highlight w:val="none"/>
          <w:lang w:val="en-US" w:eastAsia="zh-CN"/>
        </w:rPr>
        <w:t>135</w:t>
      </w:r>
      <w:r>
        <w:rPr>
          <w:rFonts w:hint="eastAsia" w:ascii="宋体" w:hAnsi="宋体" w:eastAsia="宋体" w:cs="宋体"/>
          <w:b w:val="0"/>
          <w:bCs/>
          <w:color w:val="auto"/>
          <w:sz w:val="24"/>
          <w:szCs w:val="24"/>
          <w:highlight w:val="none"/>
        </w:rPr>
        <w:t>万</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超过此预算金额报价无效。</w:t>
      </w:r>
      <w:r>
        <w:rPr>
          <w:rFonts w:hint="eastAsia" w:ascii="宋体" w:hAnsi="宋体" w:eastAsia="宋体" w:cs="宋体"/>
          <w:b w:val="0"/>
          <w:bCs/>
          <w:color w:val="auto"/>
          <w:sz w:val="24"/>
          <w:szCs w:val="24"/>
          <w:highlight w:val="none"/>
          <w:lang w:val="en-US" w:eastAsia="zh-CN"/>
        </w:rPr>
        <w:t>预算金额为投标最高限价</w:t>
      </w:r>
      <w:r>
        <w:rPr>
          <w:rFonts w:hint="eastAsia" w:cs="宋体"/>
          <w:b w:val="0"/>
          <w:bCs/>
          <w:color w:val="auto"/>
          <w:sz w:val="24"/>
          <w:szCs w:val="24"/>
          <w:highlight w:val="none"/>
          <w:lang w:val="en-US" w:eastAsia="zh-CN"/>
        </w:rPr>
        <w:t>。</w:t>
      </w:r>
    </w:p>
    <w:p w14:paraId="079B4631">
      <w:pPr>
        <w:pStyle w:val="7"/>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交货期限：</w:t>
      </w:r>
      <w:r>
        <w:rPr>
          <w:rFonts w:hint="eastAsia" w:ascii="宋体" w:hAnsi="宋体" w:eastAsia="宋体" w:cs="宋体"/>
          <w:color w:val="auto"/>
          <w:sz w:val="24"/>
          <w:highlight w:val="none"/>
        </w:rPr>
        <w:t>合同签订后</w:t>
      </w:r>
      <w:r>
        <w:rPr>
          <w:rFonts w:hint="eastAsia" w:ascii="宋体" w:hAnsi="宋体" w:eastAsia="宋体" w:cs="宋体"/>
          <w:color w:val="auto"/>
          <w:sz w:val="24"/>
          <w:highlight w:val="none"/>
          <w:lang w:val="en-US" w:eastAsia="zh-CN"/>
        </w:rPr>
        <w:t>60</w:t>
      </w:r>
      <w:r>
        <w:rPr>
          <w:rFonts w:hint="eastAsia" w:ascii="宋体" w:hAnsi="宋体" w:eastAsia="宋体" w:cs="宋体"/>
          <w:color w:val="auto"/>
          <w:sz w:val="24"/>
          <w:highlight w:val="none"/>
        </w:rPr>
        <w:t>天内完成所有设备的交付、安装、调试。</w:t>
      </w:r>
    </w:p>
    <w:p w14:paraId="2CFF6EBE">
      <w:pPr>
        <w:pStyle w:val="7"/>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highlight w:val="none"/>
        </w:rPr>
      </w:pPr>
      <w:r>
        <w:rPr>
          <w:rFonts w:hint="eastAsia" w:ascii="宋体" w:hAnsi="宋体" w:eastAsia="宋体" w:cs="宋体"/>
          <w:b/>
          <w:color w:val="auto"/>
          <w:sz w:val="24"/>
          <w:szCs w:val="24"/>
          <w:highlight w:val="none"/>
          <w:lang w:val="en-US" w:eastAsia="zh-CN"/>
        </w:rPr>
        <w:t>交货地点：</w:t>
      </w:r>
      <w:r>
        <w:rPr>
          <w:rFonts w:hint="eastAsia" w:ascii="宋体" w:hAnsi="宋体" w:eastAsia="宋体" w:cs="宋体"/>
          <w:b w:val="0"/>
          <w:bCs/>
          <w:color w:val="auto"/>
          <w:sz w:val="24"/>
          <w:szCs w:val="24"/>
          <w:highlight w:val="none"/>
          <w:lang w:val="en-US" w:eastAsia="zh-CN"/>
        </w:rPr>
        <w:t>上海市同仁医院</w:t>
      </w:r>
    </w:p>
    <w:p w14:paraId="705CBF2F">
      <w:pPr>
        <w:pStyle w:val="7"/>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highlight w:val="none"/>
          <w:u w:val="none"/>
          <w:lang w:val="en-US"/>
        </w:rPr>
      </w:pPr>
      <w:r>
        <w:rPr>
          <w:rFonts w:hint="eastAsia" w:ascii="宋体" w:hAnsi="宋体" w:eastAsia="宋体" w:cs="宋体"/>
          <w:b/>
          <w:color w:val="auto"/>
          <w:sz w:val="24"/>
          <w:szCs w:val="24"/>
          <w:highlight w:val="none"/>
          <w:lang w:val="en-US" w:eastAsia="zh-CN"/>
        </w:rPr>
        <w:t>付款方式：</w:t>
      </w:r>
      <w:r>
        <w:rPr>
          <w:rFonts w:hint="eastAsia" w:ascii="宋体" w:hAnsi="宋体" w:eastAsia="宋体" w:cs="宋体"/>
          <w:b w:val="0"/>
          <w:bCs/>
          <w:color w:val="auto"/>
          <w:sz w:val="24"/>
          <w:szCs w:val="24"/>
          <w:highlight w:val="none"/>
          <w:u w:val="none"/>
          <w:lang w:val="en-US" w:eastAsia="zh-CN"/>
        </w:rPr>
        <w:t>设备验收合格之后6个月内支付100%货款，具体根据合同约定条款进行支付；采购合同应明确资金支付的方式、时间和条件，明确逾期支付资金的违约责任。</w:t>
      </w:r>
    </w:p>
    <w:p w14:paraId="17068B9B">
      <w:pPr>
        <w:pStyle w:val="16"/>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本标包属于货物类招标项目。本标包核心产品有：血细胞分析流水线</w:t>
      </w:r>
      <w:r>
        <w:rPr>
          <w:rFonts w:hint="eastAsia" w:ascii="宋体" w:hAnsi="宋体" w:eastAsia="宋体" w:cs="宋体"/>
          <w:color w:val="auto"/>
          <w:kern w:val="0"/>
          <w:sz w:val="24"/>
          <w:highlight w:val="none"/>
          <w:lang w:bidi="ar"/>
        </w:rPr>
        <w:t>。</w:t>
      </w:r>
    </w:p>
    <w:p w14:paraId="2B351ADE">
      <w:pPr>
        <w:pStyle w:val="16"/>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宋体" w:hAnsi="宋体" w:eastAsia="宋体" w:cs="宋体"/>
          <w:b/>
          <w:bCs/>
          <w:color w:val="auto"/>
          <w:kern w:val="0"/>
          <w:sz w:val="24"/>
          <w:highlight w:val="none"/>
        </w:rPr>
      </w:pPr>
      <w:r>
        <w:rPr>
          <w:rFonts w:hint="eastAsia" w:ascii="宋体" w:hAnsi="宋体" w:eastAsia="宋体" w:cs="宋体"/>
          <w:color w:val="auto"/>
          <w:sz w:val="24"/>
          <w:highlight w:val="none"/>
        </w:rPr>
        <w:t>本标包中带“★”的为关键指标，未响应按无效处理；“▲”的为重要指标，其他为一般指标。“★”与“▲”指标需提供技术支撑材料。</w:t>
      </w:r>
    </w:p>
    <w:p w14:paraId="650076E7">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履约验收要求：项目履约验收工作具体依据项目合同中的履约验收方案执行。合同中的履约验收方案将明确履约验收的主体、时间、方式、程序、内容和验收标准等事项。</w:t>
      </w:r>
    </w:p>
    <w:p w14:paraId="05A04881">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供应商需提供设备安装需要的基建要求，包括场地面积、承重、层高、用电等情况（如有）。设备安装验收后提供免费培训服务，提供与设备相关的操作手册和使用说明书。</w:t>
      </w:r>
    </w:p>
    <w:p w14:paraId="4F45E24A">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供应商需承诺设备接口免费开放，免费接入医院综合运营系统，如有端口费用由中标方承担。</w:t>
      </w:r>
    </w:p>
    <w:p w14:paraId="59185132">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本次报价包含设备费用、安装调试费、运输费、包装费、税金等完成本项目所需要的所有费用。</w:t>
      </w:r>
    </w:p>
    <w:p w14:paraId="64793E6E">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后续的全生命周期成本及备品备件采购价格情况等相关说明。</w:t>
      </w:r>
    </w:p>
    <w:p w14:paraId="339BCF9A">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本项目需由供应商提供设计方案、解决方案或者组织方案以及技术支持资料。</w:t>
      </w:r>
    </w:p>
    <w:p w14:paraId="2021C175">
      <w:pPr>
        <w:numPr>
          <w:ilvl w:val="0"/>
          <w:numId w:val="1"/>
        </w:numPr>
        <w:adjustRightInd w:val="0"/>
        <w:snapToGrid w:val="0"/>
        <w:spacing w:before="120" w:after="120"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技术要求</w:t>
      </w:r>
    </w:p>
    <w:p w14:paraId="69DD515B">
      <w:pPr>
        <w:numPr>
          <w:ilvl w:val="0"/>
          <w:numId w:val="3"/>
        </w:numPr>
        <w:adjustRightInd w:val="0"/>
        <w:snapToGrid w:val="0"/>
        <w:spacing w:before="120" w:after="120" w:line="360" w:lineRule="auto"/>
        <w:ind w:left="425" w:leftChars="0" w:hanging="425" w:firstLineChars="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项目名称：血细胞分析流水线</w:t>
      </w:r>
    </w:p>
    <w:p w14:paraId="17B91535">
      <w:pPr>
        <w:numPr>
          <w:ilvl w:val="0"/>
          <w:numId w:val="3"/>
        </w:numPr>
        <w:adjustRightInd w:val="0"/>
        <w:snapToGrid w:val="0"/>
        <w:spacing w:before="120" w:after="120" w:line="360" w:lineRule="auto"/>
        <w:ind w:left="425" w:leftChars="0" w:hanging="425" w:firstLineChars="0"/>
        <w:rPr>
          <w:rFonts w:hint="eastAsia" w:ascii="宋体" w:hAnsi="宋体" w:eastAsia="宋体" w:cs="宋体"/>
          <w:color w:val="auto"/>
          <w:szCs w:val="21"/>
          <w:highlight w:val="none"/>
        </w:rPr>
      </w:pPr>
      <w:r>
        <w:rPr>
          <w:rFonts w:hint="eastAsia" w:ascii="宋体" w:hAnsi="宋体" w:eastAsia="宋体" w:cs="宋体"/>
          <w:b w:val="0"/>
          <w:bCs/>
          <w:color w:val="auto"/>
          <w:sz w:val="24"/>
          <w:szCs w:val="24"/>
          <w:highlight w:val="none"/>
        </w:rPr>
        <w:t>仪器数量详情如下：</w:t>
      </w:r>
      <w:r>
        <w:rPr>
          <w:rFonts w:hint="eastAsia" w:ascii="宋体" w:hAnsi="宋体" w:eastAsia="宋体" w:cs="宋体"/>
          <w:b w:val="0"/>
          <w:bCs/>
          <w:color w:val="auto"/>
          <w:szCs w:val="21"/>
          <w:highlight w:val="none"/>
        </w:rPr>
        <w:t>血细胞流水线：包含3台血液分析仪、推染片机1台、糖化血</w:t>
      </w:r>
      <w:r>
        <w:rPr>
          <w:rFonts w:hint="eastAsia" w:ascii="宋体" w:hAnsi="宋体" w:eastAsia="宋体" w:cs="宋体"/>
          <w:color w:val="auto"/>
          <w:szCs w:val="21"/>
          <w:highlight w:val="none"/>
        </w:rPr>
        <w:t>红蛋白分析仪1台、血沉仪1台</w:t>
      </w:r>
    </w:p>
    <w:p w14:paraId="257DDBAE">
      <w:pPr>
        <w:numPr>
          <w:ilvl w:val="0"/>
          <w:numId w:val="3"/>
        </w:numPr>
        <w:spacing w:before="120" w:after="120" w:line="360" w:lineRule="auto"/>
        <w:ind w:left="425" w:leftChars="0" w:hanging="425" w:firstLineChars="0"/>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试剂成本≤</w:t>
      </w:r>
      <w:r>
        <w:rPr>
          <w:rFonts w:hint="eastAsia" w:ascii="宋体" w:hAnsi="宋体" w:eastAsia="宋体" w:cs="宋体"/>
          <w:color w:val="auto"/>
          <w:kern w:val="0"/>
          <w:szCs w:val="21"/>
          <w:highlight w:val="none"/>
          <w:shd w:val="clear" w:color="auto" w:fill="FFFFFF"/>
        </w:rPr>
        <w:t>35%</w:t>
      </w:r>
      <w:r>
        <w:rPr>
          <w:rFonts w:hint="eastAsia" w:ascii="宋体" w:hAnsi="宋体" w:eastAsia="宋体" w:cs="宋体"/>
          <w:color w:val="auto"/>
          <w:kern w:val="0"/>
          <w:szCs w:val="21"/>
          <w:highlight w:val="none"/>
          <w:shd w:val="clear" w:color="auto" w:fill="FFFFFF"/>
        </w:rPr>
        <w:t>(含质控、定标及清洗液等)；</w:t>
      </w:r>
    </w:p>
    <w:p w14:paraId="3AD7D64A">
      <w:pPr>
        <w:numPr>
          <w:ilvl w:val="0"/>
          <w:numId w:val="3"/>
        </w:numPr>
        <w:spacing w:before="120" w:after="120" w:line="360" w:lineRule="auto"/>
        <w:ind w:left="425" w:leftChars="0" w:hanging="425" w:firstLineChars="0"/>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试剂价格不得上涨，但受收费政策、新技术发展、竞争产品等因素影响，应及时对价格进行下调；</w:t>
      </w:r>
    </w:p>
    <w:p w14:paraId="1FC93FC1">
      <w:pPr>
        <w:numPr>
          <w:ilvl w:val="0"/>
          <w:numId w:val="3"/>
        </w:numPr>
        <w:spacing w:before="120" w:after="120" w:line="360" w:lineRule="auto"/>
        <w:ind w:left="425" w:leftChars="0" w:hanging="425" w:firstLineChars="0"/>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支持 LIS系统双向数据传输；</w:t>
      </w:r>
    </w:p>
    <w:p w14:paraId="76ECE47C">
      <w:pPr>
        <w:numPr>
          <w:ilvl w:val="0"/>
          <w:numId w:val="3"/>
        </w:numPr>
        <w:spacing w:before="120" w:after="120" w:line="360" w:lineRule="auto"/>
        <w:ind w:left="425" w:leftChars="0" w:hanging="425" w:firstLineChars="0"/>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易损、易耗件清单和价格表</w:t>
      </w:r>
    </w:p>
    <w:p w14:paraId="0B2C2CF0">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6.1 请供应商提供质保期内正常使用的备品备件、易损件和易耗件一览表，按要求列出详细清单，标出制造商、型号、数量、单价、总价，其价格包括在设备总价中。</w:t>
      </w:r>
    </w:p>
    <w:p w14:paraId="7551DF77">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6.2 供应商应提供货物质保期结束后一年的备品备件、易损件和易耗件一览表，按要求列出详细清单，标出制造商、型号、数量、单价、总价，其费用分项报价，不计入投标总价，并承诺在质保期后</w:t>
      </w:r>
      <w:r>
        <w:rPr>
          <w:rFonts w:hint="eastAsia" w:ascii="宋体" w:hAnsi="宋体" w:eastAsia="宋体" w:cs="宋体"/>
          <w:color w:val="auto"/>
          <w:kern w:val="0"/>
          <w:szCs w:val="21"/>
          <w:highlight w:val="none"/>
          <w:shd w:val="clear" w:color="auto" w:fill="FFFFFF"/>
        </w:rPr>
        <w:t>3</w:t>
      </w:r>
      <w:r>
        <w:rPr>
          <w:rFonts w:hint="eastAsia" w:ascii="宋体" w:hAnsi="宋体" w:eastAsia="宋体" w:cs="宋体"/>
          <w:color w:val="auto"/>
          <w:kern w:val="0"/>
          <w:szCs w:val="21"/>
          <w:highlight w:val="none"/>
          <w:shd w:val="clear" w:color="auto" w:fill="FFFFFF"/>
        </w:rPr>
        <w:t>年内以不高于上述清单价格，且按采购人要求的数量及合理时间向采购人提供该易损件和备品备件。</w:t>
      </w:r>
    </w:p>
    <w:p w14:paraId="6E94CB19">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6.3供应商应保证终身提供该设备的所有维修零配件。</w:t>
      </w:r>
    </w:p>
    <w:p w14:paraId="272521B5">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6.4零配件最长到货时间，在保修期内外，一般零配件应在24小时内，特殊零配件应在96小时内。</w:t>
      </w:r>
    </w:p>
    <w:p w14:paraId="311CF8BA">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6.5供应商应随机提供设备日常维修、保养和测试所必需的专用工具，并应详细说明工具的用途及用于何种设备，其价格包括在设备总价中。</w:t>
      </w:r>
    </w:p>
    <w:p w14:paraId="7CE280DA">
      <w:pPr>
        <w:widowControl/>
        <w:numPr>
          <w:ilvl w:val="0"/>
          <w:numId w:val="3"/>
        </w:numPr>
        <w:spacing w:before="156" w:beforeLines="50" w:after="156" w:afterLines="50" w:line="360" w:lineRule="auto"/>
        <w:ind w:left="425" w:leftChars="0" w:hanging="425" w:firstLineChars="0"/>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原厂质保期≥</w:t>
      </w:r>
      <w:r>
        <w:rPr>
          <w:rFonts w:hint="eastAsia" w:ascii="宋体" w:hAnsi="宋体" w:eastAsia="宋体" w:cs="宋体"/>
          <w:color w:val="auto"/>
          <w:kern w:val="0"/>
          <w:szCs w:val="21"/>
          <w:highlight w:val="none"/>
          <w:shd w:val="clear" w:color="auto" w:fill="FFFFFF"/>
        </w:rPr>
        <w:t>5</w:t>
      </w:r>
      <w:r>
        <w:rPr>
          <w:rFonts w:hint="eastAsia" w:ascii="宋体" w:hAnsi="宋体" w:eastAsia="宋体" w:cs="宋体"/>
          <w:color w:val="auto"/>
          <w:kern w:val="0"/>
          <w:szCs w:val="21"/>
          <w:highlight w:val="none"/>
          <w:shd w:val="clear" w:color="auto" w:fill="FFFFFF"/>
        </w:rPr>
        <w:t>年，设备保修包含主机和所有附件。</w:t>
      </w:r>
    </w:p>
    <w:p w14:paraId="3BA8EC61">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7.1质保期后，年度保修费&lt;设备总价的</w:t>
      </w:r>
      <w:r>
        <w:rPr>
          <w:rFonts w:hint="eastAsia" w:ascii="宋体" w:hAnsi="宋体" w:eastAsia="宋体" w:cs="宋体"/>
          <w:color w:val="auto"/>
          <w:kern w:val="0"/>
          <w:szCs w:val="21"/>
          <w:highlight w:val="none"/>
          <w:shd w:val="clear" w:color="auto" w:fill="FFFFFF"/>
        </w:rPr>
        <w:t>5</w:t>
      </w:r>
      <w:r>
        <w:rPr>
          <w:rFonts w:hint="eastAsia" w:ascii="宋体" w:hAnsi="宋体" w:eastAsia="宋体" w:cs="宋体"/>
          <w:color w:val="auto"/>
          <w:kern w:val="0"/>
          <w:szCs w:val="21"/>
          <w:highlight w:val="none"/>
          <w:shd w:val="clear" w:color="auto" w:fill="FFFFFF"/>
        </w:rPr>
        <w:t>％。</w:t>
      </w:r>
    </w:p>
    <w:p w14:paraId="1C3DCF2B">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7.2供应商须具有专业的售后服务维修站点以及常驻维修工程师，提供售后服务联系电话及联系人。备品仓库备件充足。</w:t>
      </w:r>
    </w:p>
    <w:p w14:paraId="50C8D91E">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7.3供应商应该提供详细的技术维护服务和技术支持计划。</w:t>
      </w:r>
    </w:p>
    <w:p w14:paraId="54187B08">
      <w:pPr>
        <w:numPr>
          <w:ilvl w:val="0"/>
          <w:numId w:val="3"/>
        </w:numPr>
        <w:spacing w:before="120" w:after="120" w:line="360" w:lineRule="auto"/>
        <w:ind w:left="425" w:leftChars="0" w:hanging="425" w:firstLineChars="0"/>
        <w:rPr>
          <w:rFonts w:hint="eastAsia" w:ascii="宋体" w:hAnsi="宋体" w:eastAsia="宋体" w:cs="宋体"/>
          <w:b/>
          <w:bCs/>
          <w:color w:val="auto"/>
          <w:kern w:val="0"/>
          <w:szCs w:val="21"/>
          <w:highlight w:val="none"/>
          <w:shd w:val="clear" w:color="auto" w:fill="FFFFFF"/>
        </w:rPr>
      </w:pPr>
      <w:r>
        <w:rPr>
          <w:rFonts w:hint="eastAsia" w:ascii="宋体" w:hAnsi="宋体" w:eastAsia="宋体" w:cs="宋体"/>
          <w:b/>
          <w:bCs/>
          <w:color w:val="auto"/>
          <w:kern w:val="0"/>
          <w:szCs w:val="21"/>
          <w:highlight w:val="none"/>
          <w:shd w:val="clear" w:color="auto" w:fill="FFFFFF"/>
        </w:rPr>
        <w:t>技术参数及要求：</w:t>
      </w:r>
    </w:p>
    <w:p w14:paraId="1BD733A3">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血细胞流水线：包含3台血球仪、推染片机1台、糖化血红蛋白分析仪1台、血沉仪1台</w:t>
      </w:r>
    </w:p>
    <w:p w14:paraId="693845A6">
      <w:pPr>
        <w:pStyle w:val="3"/>
        <w:spacing w:before="156" w:after="156"/>
        <w:rPr>
          <w:rFonts w:hint="eastAsia" w:ascii="宋体" w:hAnsi="宋体" w:eastAsia="宋体" w:cs="宋体"/>
          <w:color w:val="auto"/>
          <w:highlight w:val="none"/>
        </w:rPr>
      </w:pPr>
    </w:p>
    <w:tbl>
      <w:tblPr>
        <w:tblStyle w:val="8"/>
        <w:tblW w:w="9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8380"/>
      </w:tblGrid>
      <w:tr w14:paraId="72D6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14:paraId="4754C679">
            <w:pPr>
              <w:spacing w:before="120" w:after="120"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w:t>
            </w:r>
          </w:p>
        </w:tc>
        <w:tc>
          <w:tcPr>
            <w:tcW w:w="8380" w:type="dxa"/>
            <w:tcBorders>
              <w:top w:val="single" w:color="auto" w:sz="4" w:space="0"/>
              <w:left w:val="single" w:color="auto" w:sz="4" w:space="0"/>
              <w:bottom w:val="single" w:color="auto" w:sz="4" w:space="0"/>
              <w:right w:val="single" w:color="auto" w:sz="4" w:space="0"/>
            </w:tcBorders>
            <w:vAlign w:val="center"/>
          </w:tcPr>
          <w:p w14:paraId="76E39BB5">
            <w:pPr>
              <w:spacing w:before="120" w:after="120"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全自动血液分析流水线</w:t>
            </w:r>
          </w:p>
        </w:tc>
      </w:tr>
      <w:tr w14:paraId="3A93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14:paraId="4757CB04">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380" w:type="dxa"/>
            <w:tcBorders>
              <w:top w:val="single" w:color="auto" w:sz="4" w:space="0"/>
              <w:left w:val="single" w:color="auto" w:sz="4" w:space="0"/>
              <w:bottom w:val="single" w:color="auto" w:sz="4" w:space="0"/>
              <w:right w:val="single" w:color="auto" w:sz="4" w:space="0"/>
            </w:tcBorders>
            <w:vAlign w:val="center"/>
          </w:tcPr>
          <w:p w14:paraId="5A061EE6">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全自动血液分析流水线由全自动五分类血液细胞分析仪、推片染色机、糖化血红蛋白检测模块和全自动细胞形态学分析仪（阅片机）等模块通过轨道连接组成</w:t>
            </w:r>
          </w:p>
        </w:tc>
      </w:tr>
      <w:tr w14:paraId="651C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14:paraId="490CAEF0">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8380" w:type="dxa"/>
            <w:tcBorders>
              <w:top w:val="single" w:color="auto" w:sz="4" w:space="0"/>
              <w:left w:val="single" w:color="auto" w:sz="4" w:space="0"/>
              <w:bottom w:val="single" w:color="auto" w:sz="4" w:space="0"/>
              <w:right w:val="single" w:color="auto" w:sz="4" w:space="0"/>
            </w:tcBorders>
            <w:vAlign w:val="center"/>
          </w:tcPr>
          <w:p w14:paraId="1CF3E0A5">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全自动血液分析流水线需包含血细胞分析及计数、白细胞分类、有核红细胞检测、网织红细胞检测、体液细胞检测、C-反应蛋白、淀粉样蛋白（SAA）、糖化血红蛋白等检测项目</w:t>
            </w:r>
          </w:p>
        </w:tc>
      </w:tr>
      <w:tr w14:paraId="525E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14:paraId="4EB6FF4E">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8380" w:type="dxa"/>
            <w:tcBorders>
              <w:top w:val="single" w:color="auto" w:sz="4" w:space="0"/>
              <w:left w:val="single" w:color="auto" w:sz="4" w:space="0"/>
              <w:bottom w:val="single" w:color="auto" w:sz="4" w:space="0"/>
              <w:right w:val="single" w:color="auto" w:sz="4" w:space="0"/>
            </w:tcBorders>
            <w:vAlign w:val="center"/>
          </w:tcPr>
          <w:p w14:paraId="42A3841C">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全自动血液分析流水线检测速度要求：全血细胞计数+五分类检测速度≥330个样本/小时</w:t>
            </w:r>
          </w:p>
        </w:tc>
      </w:tr>
      <w:tr w14:paraId="78E0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14:paraId="4101EE1F">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8380" w:type="dxa"/>
            <w:tcBorders>
              <w:top w:val="single" w:color="auto" w:sz="4" w:space="0"/>
              <w:left w:val="single" w:color="auto" w:sz="4" w:space="0"/>
              <w:bottom w:val="single" w:color="auto" w:sz="4" w:space="0"/>
              <w:right w:val="single" w:color="auto" w:sz="4" w:space="0"/>
            </w:tcBorders>
            <w:vAlign w:val="center"/>
          </w:tcPr>
          <w:p w14:paraId="6F8C90F9">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流水线上模块可同时开</w:t>
            </w:r>
            <w:r>
              <w:rPr>
                <w:rFonts w:hint="eastAsia" w:ascii="宋体" w:hAnsi="宋体" w:eastAsia="宋体" w:cs="宋体"/>
                <w:color w:val="auto"/>
                <w:szCs w:val="21"/>
                <w:highlight w:val="none"/>
              </w:rPr>
              <w:t>展CRP以及SAA检测，并且CRP或SAA检测速度≥300个样本/小时</w:t>
            </w:r>
          </w:p>
        </w:tc>
      </w:tr>
      <w:tr w14:paraId="4021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54EB049A">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8380" w:type="dxa"/>
            <w:tcBorders>
              <w:top w:val="single" w:color="auto" w:sz="4" w:space="0"/>
              <w:left w:val="single" w:color="auto" w:sz="4" w:space="0"/>
              <w:bottom w:val="single" w:color="auto" w:sz="4" w:space="0"/>
              <w:right w:val="single" w:color="auto" w:sz="4" w:space="0"/>
            </w:tcBorders>
            <w:vAlign w:val="center"/>
          </w:tcPr>
          <w:p w14:paraId="64E5068F">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自动阅片速度（100WBC+RBC+PLT）≥</w:t>
            </w:r>
            <w:r>
              <w:rPr>
                <w:rFonts w:hint="eastAsia" w:ascii="宋体" w:hAnsi="宋体" w:eastAsia="宋体" w:cs="宋体"/>
                <w:b/>
                <w:color w:val="auto"/>
                <w:szCs w:val="21"/>
                <w:highlight w:val="none"/>
              </w:rPr>
              <w:t>50</w:t>
            </w:r>
            <w:r>
              <w:rPr>
                <w:rFonts w:hint="eastAsia" w:ascii="宋体" w:hAnsi="宋体" w:eastAsia="宋体" w:cs="宋体"/>
                <w:color w:val="auto"/>
                <w:szCs w:val="21"/>
                <w:highlight w:val="none"/>
              </w:rPr>
              <w:t>个样本/小时</w:t>
            </w:r>
          </w:p>
        </w:tc>
      </w:tr>
      <w:tr w14:paraId="63A9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8118D7D">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二、</w:t>
            </w:r>
          </w:p>
        </w:tc>
        <w:tc>
          <w:tcPr>
            <w:tcW w:w="8380" w:type="dxa"/>
            <w:tcBorders>
              <w:top w:val="single" w:color="auto" w:sz="4" w:space="0"/>
              <w:left w:val="single" w:color="auto" w:sz="4" w:space="0"/>
              <w:bottom w:val="single" w:color="auto" w:sz="4" w:space="0"/>
              <w:right w:val="single" w:color="auto" w:sz="4" w:space="0"/>
            </w:tcBorders>
            <w:vAlign w:val="center"/>
          </w:tcPr>
          <w:p w14:paraId="65BD360E">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全自动血液细胞分析仪</w:t>
            </w:r>
          </w:p>
        </w:tc>
      </w:tr>
      <w:tr w14:paraId="6119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3DB7269F">
            <w:pPr>
              <w:spacing w:before="120" w:after="120" w:line="360" w:lineRule="auto"/>
              <w:jc w:val="cente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w:t>
            </w:r>
          </w:p>
        </w:tc>
        <w:tc>
          <w:tcPr>
            <w:tcW w:w="8380" w:type="dxa"/>
            <w:tcBorders>
              <w:top w:val="single" w:color="auto" w:sz="4" w:space="0"/>
              <w:left w:val="single" w:color="auto" w:sz="4" w:space="0"/>
              <w:bottom w:val="single" w:color="auto" w:sz="4" w:space="0"/>
              <w:right w:val="single" w:color="auto" w:sz="4" w:space="0"/>
            </w:tcBorders>
            <w:vAlign w:val="center"/>
          </w:tcPr>
          <w:p w14:paraId="55AE558F">
            <w:pPr>
              <w:spacing w:before="120" w:after="120"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流水线上血液分析仪任一单机一次进样即可实现血常规、CRP、SAA项目检测</w:t>
            </w:r>
          </w:p>
        </w:tc>
      </w:tr>
      <w:tr w14:paraId="1273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7C255A4">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rPr>
              <w:t>2</w:t>
            </w:r>
          </w:p>
        </w:tc>
        <w:tc>
          <w:tcPr>
            <w:tcW w:w="8380" w:type="dxa"/>
            <w:tcBorders>
              <w:top w:val="single" w:color="auto" w:sz="4" w:space="0"/>
              <w:left w:val="single" w:color="auto" w:sz="4" w:space="0"/>
              <w:bottom w:val="single" w:color="auto" w:sz="4" w:space="0"/>
              <w:right w:val="single" w:color="auto" w:sz="4" w:space="0"/>
            </w:tcBorders>
            <w:vAlign w:val="center"/>
          </w:tcPr>
          <w:p w14:paraId="1D6A767E">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单模块检测速度需满足：CBC＋DIFF＋NRBC≥110样本/小时</w:t>
            </w:r>
          </w:p>
        </w:tc>
      </w:tr>
      <w:tr w14:paraId="5946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43B3A2B">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szCs w:val="21"/>
                <w:highlight w:val="none"/>
              </w:rPr>
              <w:t>3</w:t>
            </w:r>
          </w:p>
        </w:tc>
        <w:tc>
          <w:tcPr>
            <w:tcW w:w="8380" w:type="dxa"/>
            <w:tcBorders>
              <w:top w:val="single" w:color="auto" w:sz="4" w:space="0"/>
              <w:left w:val="single" w:color="auto" w:sz="4" w:space="0"/>
              <w:bottom w:val="single" w:color="auto" w:sz="4" w:space="0"/>
              <w:right w:val="single" w:color="auto" w:sz="4" w:space="0"/>
            </w:tcBorders>
            <w:noWrap/>
            <w:vAlign w:val="center"/>
          </w:tcPr>
          <w:p w14:paraId="425495E4">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用血量：末梢全血模式（非预稀释）检测CD+CRP用血量≤40μl</w:t>
            </w:r>
          </w:p>
        </w:tc>
      </w:tr>
      <w:tr w14:paraId="0CD9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382578D8">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8380" w:type="dxa"/>
            <w:tcBorders>
              <w:top w:val="single" w:color="auto" w:sz="4" w:space="0"/>
              <w:left w:val="single" w:color="auto" w:sz="4" w:space="0"/>
              <w:bottom w:val="single" w:color="auto" w:sz="4" w:space="0"/>
              <w:right w:val="single" w:color="auto" w:sz="4" w:space="0"/>
            </w:tcBorders>
            <w:vAlign w:val="center"/>
          </w:tcPr>
          <w:p w14:paraId="30024647">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检测方法及原理：半导体激光法、鞘流阻抗法、核酸荧光染色法、流式细胞技术</w:t>
            </w:r>
          </w:p>
        </w:tc>
      </w:tr>
      <w:tr w14:paraId="0203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10899A0">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8380" w:type="dxa"/>
            <w:tcBorders>
              <w:top w:val="single" w:color="auto" w:sz="4" w:space="0"/>
              <w:left w:val="single" w:color="auto" w:sz="4" w:space="0"/>
              <w:bottom w:val="single" w:color="auto" w:sz="4" w:space="0"/>
              <w:right w:val="single" w:color="auto" w:sz="4" w:space="0"/>
            </w:tcBorders>
            <w:vAlign w:val="center"/>
          </w:tcPr>
          <w:p w14:paraId="75357A14">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具有全自动体液（含胸水、腹水、脑脊液、滑膜液等体液）细胞计数和对体液中的白细胞进行分类的功能，并能出具报告参数且体液模式报告检测参数≥7项，以说明书为准</w:t>
            </w:r>
          </w:p>
        </w:tc>
      </w:tr>
      <w:tr w14:paraId="1C6A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68283E10">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8380" w:type="dxa"/>
            <w:tcBorders>
              <w:top w:val="single" w:color="auto" w:sz="4" w:space="0"/>
              <w:left w:val="single" w:color="auto" w:sz="4" w:space="0"/>
              <w:bottom w:val="single" w:color="auto" w:sz="4" w:space="0"/>
              <w:right w:val="single" w:color="auto" w:sz="4" w:space="0"/>
            </w:tcBorders>
            <w:vAlign w:val="center"/>
          </w:tcPr>
          <w:p w14:paraId="52589ABE">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具有低值白细胞检测功能，如遇白细胞低值时自动增加计数颗粒数量，无需额外消耗试剂</w:t>
            </w:r>
          </w:p>
        </w:tc>
      </w:tr>
      <w:tr w14:paraId="6E58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5C7EBBF3">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rPr>
              <w:t>7</w:t>
            </w:r>
          </w:p>
        </w:tc>
        <w:tc>
          <w:tcPr>
            <w:tcW w:w="8380" w:type="dxa"/>
            <w:tcBorders>
              <w:top w:val="single" w:color="auto" w:sz="4" w:space="0"/>
              <w:left w:val="single" w:color="auto" w:sz="4" w:space="0"/>
              <w:bottom w:val="single" w:color="auto" w:sz="4" w:space="0"/>
              <w:right w:val="single" w:color="auto" w:sz="4" w:space="0"/>
            </w:tcBorders>
            <w:vAlign w:val="center"/>
          </w:tcPr>
          <w:p w14:paraId="11872AD5">
            <w:pPr>
              <w:pStyle w:val="16"/>
              <w:spacing w:before="156" w:after="156" w:line="360" w:lineRule="auto"/>
              <w:ind w:firstLine="0" w:firstLineChars="0"/>
              <w:rPr>
                <w:rFonts w:hint="eastAsia" w:ascii="宋体" w:hAnsi="宋体" w:eastAsia="宋体" w:cs="宋体"/>
                <w:b/>
                <w:bCs/>
                <w:i/>
                <w:iCs/>
                <w:color w:val="auto"/>
                <w:sz w:val="21"/>
                <w:szCs w:val="21"/>
                <w:highlight w:val="none"/>
              </w:rPr>
            </w:pPr>
            <w:r>
              <w:rPr>
                <w:rFonts w:hint="eastAsia" w:ascii="宋体" w:hAnsi="宋体" w:eastAsia="宋体" w:cs="宋体"/>
                <w:color w:val="auto"/>
                <w:sz w:val="21"/>
                <w:szCs w:val="21"/>
                <w:highlight w:val="none"/>
              </w:rPr>
              <w:t>血液分析线性范围（静脉血）：白细胞：（0-500）</w:t>
            </w:r>
            <w:r>
              <w:rPr>
                <w:rFonts w:hint="eastAsia" w:ascii="宋体" w:hAnsi="宋体" w:eastAsia="宋体" w:cs="宋体"/>
                <w:color w:val="auto"/>
                <w:sz w:val="21"/>
                <w:szCs w:val="21"/>
                <w:highlight w:val="none"/>
              </w:rPr>
              <w:sym w:font="Symbol" w:char="F0B4"/>
            </w:r>
            <w:r>
              <w:rPr>
                <w:rFonts w:hint="eastAsia" w:ascii="宋体" w:hAnsi="宋体" w:eastAsia="宋体" w:cs="宋体"/>
                <w:color w:val="auto"/>
                <w:sz w:val="21"/>
                <w:szCs w:val="21"/>
                <w:highlight w:val="none"/>
              </w:rPr>
              <w:t xml:space="preserve"> 10</w:t>
            </w:r>
            <w:r>
              <w:rPr>
                <w:rFonts w:hint="eastAsia" w:ascii="宋体" w:hAnsi="宋体" w:eastAsia="宋体" w:cs="宋体"/>
                <w:color w:val="auto"/>
                <w:sz w:val="21"/>
                <w:szCs w:val="21"/>
                <w:highlight w:val="none"/>
                <w:vertAlign w:val="superscript"/>
              </w:rPr>
              <w:t>9</w:t>
            </w:r>
            <w:r>
              <w:rPr>
                <w:rFonts w:hint="eastAsia" w:ascii="宋体" w:hAnsi="宋体" w:eastAsia="宋体" w:cs="宋体"/>
                <w:color w:val="auto"/>
                <w:sz w:val="21"/>
                <w:szCs w:val="21"/>
                <w:highlight w:val="none"/>
              </w:rPr>
              <w:t>/L，红细胞：（0-8.6）</w:t>
            </w:r>
            <w:r>
              <w:rPr>
                <w:rFonts w:hint="eastAsia" w:ascii="宋体" w:hAnsi="宋体" w:eastAsia="宋体" w:cs="宋体"/>
                <w:color w:val="auto"/>
                <w:sz w:val="21"/>
                <w:szCs w:val="21"/>
                <w:highlight w:val="none"/>
              </w:rPr>
              <w:sym w:font="Symbol" w:char="F0B4"/>
            </w:r>
            <w:r>
              <w:rPr>
                <w:rFonts w:hint="eastAsia" w:ascii="宋体" w:hAnsi="宋体" w:eastAsia="宋体" w:cs="宋体"/>
                <w:color w:val="auto"/>
                <w:sz w:val="21"/>
                <w:szCs w:val="21"/>
                <w:highlight w:val="none"/>
              </w:rPr>
              <w:t xml:space="preserve"> 10</w:t>
            </w:r>
            <w:r>
              <w:rPr>
                <w:rFonts w:hint="eastAsia" w:ascii="宋体" w:hAnsi="宋体" w:eastAsia="宋体" w:cs="宋体"/>
                <w:color w:val="auto"/>
                <w:sz w:val="21"/>
                <w:szCs w:val="21"/>
                <w:highlight w:val="none"/>
                <w:vertAlign w:val="superscript"/>
              </w:rPr>
              <w:t>12</w:t>
            </w:r>
            <w:r>
              <w:rPr>
                <w:rFonts w:hint="eastAsia" w:ascii="宋体" w:hAnsi="宋体" w:eastAsia="宋体" w:cs="宋体"/>
                <w:color w:val="auto"/>
                <w:sz w:val="21"/>
                <w:szCs w:val="21"/>
                <w:highlight w:val="none"/>
              </w:rPr>
              <w:t>/L，血小板：（0-5000）</w:t>
            </w:r>
            <w:r>
              <w:rPr>
                <w:rFonts w:hint="eastAsia" w:ascii="宋体" w:hAnsi="宋体" w:eastAsia="宋体" w:cs="宋体"/>
                <w:color w:val="auto"/>
                <w:sz w:val="21"/>
                <w:szCs w:val="21"/>
                <w:highlight w:val="none"/>
              </w:rPr>
              <w:sym w:font="Symbol" w:char="F0B4"/>
            </w:r>
            <w:r>
              <w:rPr>
                <w:rFonts w:hint="eastAsia" w:ascii="宋体" w:hAnsi="宋体" w:eastAsia="宋体" w:cs="宋体"/>
                <w:color w:val="auto"/>
                <w:sz w:val="21"/>
                <w:szCs w:val="21"/>
                <w:highlight w:val="none"/>
              </w:rPr>
              <w:t xml:space="preserve"> 10</w:t>
            </w:r>
            <w:r>
              <w:rPr>
                <w:rFonts w:hint="eastAsia" w:ascii="宋体" w:hAnsi="宋体" w:eastAsia="宋体" w:cs="宋体"/>
                <w:color w:val="auto"/>
                <w:sz w:val="21"/>
                <w:szCs w:val="21"/>
                <w:highlight w:val="none"/>
                <w:vertAlign w:val="superscript"/>
              </w:rPr>
              <w:t>9</w:t>
            </w:r>
            <w:r>
              <w:rPr>
                <w:rFonts w:hint="eastAsia" w:ascii="宋体" w:hAnsi="宋体" w:eastAsia="宋体" w:cs="宋体"/>
                <w:color w:val="auto"/>
                <w:sz w:val="21"/>
                <w:szCs w:val="21"/>
                <w:highlight w:val="none"/>
              </w:rPr>
              <w:t>/L。（以说明书为准）</w:t>
            </w:r>
          </w:p>
        </w:tc>
      </w:tr>
      <w:tr w14:paraId="0D05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2F197E25">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8380" w:type="dxa"/>
            <w:tcBorders>
              <w:top w:val="single" w:color="auto" w:sz="4" w:space="0"/>
              <w:left w:val="single" w:color="auto" w:sz="4" w:space="0"/>
              <w:bottom w:val="single" w:color="auto" w:sz="4" w:space="0"/>
              <w:right w:val="single" w:color="auto" w:sz="4" w:space="0"/>
            </w:tcBorders>
            <w:vAlign w:val="center"/>
          </w:tcPr>
          <w:p w14:paraId="4D8091C9">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具备同品牌经过食药监部门注册的复合质控品，一支质控品可以涵盖红细胞计数，白细胞分类、网织红细胞等检测项目，以注册证为准</w:t>
            </w:r>
          </w:p>
        </w:tc>
      </w:tr>
      <w:tr w14:paraId="1C50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65DAAF2F">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8380" w:type="dxa"/>
            <w:tcBorders>
              <w:top w:val="single" w:color="auto" w:sz="4" w:space="0"/>
              <w:left w:val="single" w:color="auto" w:sz="4" w:space="0"/>
              <w:bottom w:val="single" w:color="auto" w:sz="4" w:space="0"/>
              <w:right w:val="single" w:color="auto" w:sz="4" w:space="0"/>
            </w:tcBorders>
            <w:vAlign w:val="center"/>
          </w:tcPr>
          <w:p w14:paraId="7F035166">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具备同品牌的三个不同浓度水平的体液质控品，以注册证为准</w:t>
            </w:r>
          </w:p>
        </w:tc>
      </w:tr>
      <w:tr w14:paraId="637F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602E5FCA">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szCs w:val="21"/>
                <w:highlight w:val="none"/>
              </w:rPr>
              <w:t>10</w:t>
            </w:r>
          </w:p>
        </w:tc>
        <w:tc>
          <w:tcPr>
            <w:tcW w:w="8380" w:type="dxa"/>
            <w:tcBorders>
              <w:top w:val="single" w:color="auto" w:sz="4" w:space="0"/>
              <w:left w:val="single" w:color="auto" w:sz="4" w:space="0"/>
              <w:bottom w:val="single" w:color="auto" w:sz="4" w:space="0"/>
              <w:right w:val="single" w:color="auto" w:sz="4" w:space="0"/>
            </w:tcBorders>
            <w:vAlign w:val="center"/>
          </w:tcPr>
          <w:p w14:paraId="154C3EC5">
            <w:pPr>
              <w:spacing w:before="120" w:after="12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提供原厂校准品及校准品溯源报告，具备RET校准品以注册证为准</w:t>
            </w:r>
          </w:p>
        </w:tc>
      </w:tr>
      <w:tr w14:paraId="1FEA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36682BF6">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8380" w:type="dxa"/>
            <w:tcBorders>
              <w:top w:val="single" w:color="auto" w:sz="4" w:space="0"/>
              <w:left w:val="single" w:color="auto" w:sz="4" w:space="0"/>
              <w:bottom w:val="single" w:color="auto" w:sz="4" w:space="0"/>
              <w:right w:val="single" w:color="auto" w:sz="4" w:space="0"/>
            </w:tcBorders>
            <w:vAlign w:val="center"/>
          </w:tcPr>
          <w:p w14:paraId="5FBA3D3C">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为减少更换稀释液的次数，需提供浓缩稀释系统对稀释液进行稀释，且该浓缩稀释液需获得食药监部门审批的注册证/备案证</w:t>
            </w:r>
          </w:p>
        </w:tc>
      </w:tr>
      <w:tr w14:paraId="5783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12DCD764">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8380" w:type="dxa"/>
            <w:tcBorders>
              <w:top w:val="single" w:color="auto" w:sz="4" w:space="0"/>
              <w:left w:val="single" w:color="auto" w:sz="4" w:space="0"/>
              <w:bottom w:val="single" w:color="auto" w:sz="4" w:space="0"/>
              <w:right w:val="single" w:color="auto" w:sz="4" w:space="0"/>
            </w:tcBorders>
            <w:vAlign w:val="center"/>
          </w:tcPr>
          <w:p w14:paraId="015FC6F6">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CRP分析原理为免疫散射速率法，以说明书为准</w:t>
            </w:r>
          </w:p>
        </w:tc>
      </w:tr>
      <w:tr w14:paraId="2879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3F62F">
            <w:pPr>
              <w:spacing w:before="120" w:after="120"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3</w:t>
            </w:r>
          </w:p>
        </w:tc>
        <w:tc>
          <w:tcPr>
            <w:tcW w:w="8380" w:type="dxa"/>
            <w:tcBorders>
              <w:top w:val="single" w:color="auto" w:sz="4" w:space="0"/>
              <w:left w:val="single" w:color="auto" w:sz="4" w:space="0"/>
              <w:bottom w:val="single" w:color="auto" w:sz="4" w:space="0"/>
              <w:right w:val="single" w:color="auto" w:sz="4" w:space="0"/>
            </w:tcBorders>
            <w:shd w:val="clear" w:color="auto" w:fill="auto"/>
            <w:vAlign w:val="center"/>
          </w:tcPr>
          <w:p w14:paraId="4775CF40">
            <w:pPr>
              <w:spacing w:before="120" w:after="120" w:line="360" w:lineRule="auto"/>
              <w:rPr>
                <w:rFonts w:hint="eastAsia" w:ascii="宋体" w:hAnsi="宋体" w:eastAsia="宋体" w:cs="宋体"/>
                <w:b/>
                <w:bCs/>
                <w:i/>
                <w:iCs/>
                <w:color w:val="auto"/>
                <w:kern w:val="2"/>
                <w:sz w:val="21"/>
                <w:szCs w:val="21"/>
                <w:highlight w:val="none"/>
                <w:lang w:val="en-US" w:eastAsia="zh-CN" w:bidi="ar-SA"/>
              </w:rPr>
            </w:pPr>
            <w:r>
              <w:rPr>
                <w:rFonts w:hint="eastAsia" w:ascii="宋体" w:hAnsi="宋体" w:eastAsia="宋体" w:cs="宋体"/>
                <w:color w:val="auto"/>
                <w:szCs w:val="21"/>
                <w:highlight w:val="none"/>
              </w:rPr>
              <w:t>SAA线性范围：5~320mg/L</w:t>
            </w:r>
          </w:p>
        </w:tc>
      </w:tr>
      <w:tr w14:paraId="1AFA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9B3C6">
            <w:pPr>
              <w:spacing w:before="120" w:after="120"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4</w:t>
            </w:r>
          </w:p>
        </w:tc>
        <w:tc>
          <w:tcPr>
            <w:tcW w:w="8380" w:type="dxa"/>
            <w:tcBorders>
              <w:top w:val="single" w:color="auto" w:sz="4" w:space="0"/>
              <w:left w:val="single" w:color="auto" w:sz="4" w:space="0"/>
              <w:bottom w:val="single" w:color="auto" w:sz="4" w:space="0"/>
              <w:right w:val="single" w:color="auto" w:sz="4" w:space="0"/>
            </w:tcBorders>
            <w:shd w:val="clear" w:color="auto" w:fill="auto"/>
            <w:vAlign w:val="center"/>
          </w:tcPr>
          <w:p w14:paraId="1FF6FB8B">
            <w:pPr>
              <w:spacing w:before="120" w:after="120" w:line="360" w:lineRule="auto"/>
              <w:rPr>
                <w:rFonts w:hint="eastAsia" w:ascii="宋体" w:hAnsi="宋体" w:eastAsia="宋体" w:cs="宋体"/>
                <w:b/>
                <w:bCs/>
                <w:i/>
                <w:iCs/>
                <w:color w:val="auto"/>
                <w:kern w:val="2"/>
                <w:sz w:val="21"/>
                <w:szCs w:val="21"/>
                <w:highlight w:val="none"/>
                <w:lang w:val="en-US" w:eastAsia="zh-CN" w:bidi="ar-SA"/>
              </w:rPr>
            </w:pPr>
            <w:r>
              <w:rPr>
                <w:rFonts w:hint="eastAsia" w:ascii="宋体" w:hAnsi="宋体" w:eastAsia="宋体" w:cs="宋体"/>
                <w:color w:val="auto"/>
                <w:szCs w:val="21"/>
                <w:highlight w:val="none"/>
              </w:rPr>
              <w:t>具备同品牌CRP及SAA的校准品，且该校准品需具备单独的医疗器械注册证</w:t>
            </w:r>
          </w:p>
        </w:tc>
      </w:tr>
      <w:tr w14:paraId="36CB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AF49DFB">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三、</w:t>
            </w:r>
          </w:p>
        </w:tc>
        <w:tc>
          <w:tcPr>
            <w:tcW w:w="8380" w:type="dxa"/>
            <w:tcBorders>
              <w:top w:val="single" w:color="auto" w:sz="4" w:space="0"/>
              <w:left w:val="single" w:color="auto" w:sz="4" w:space="0"/>
              <w:bottom w:val="single" w:color="auto" w:sz="4" w:space="0"/>
              <w:right w:val="single" w:color="auto" w:sz="4" w:space="0"/>
            </w:tcBorders>
            <w:vAlign w:val="center"/>
          </w:tcPr>
          <w:p w14:paraId="6EE20656">
            <w:pPr>
              <w:pStyle w:val="16"/>
              <w:spacing w:before="156" w:after="156"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全自动特定蛋白分析仪</w:t>
            </w:r>
          </w:p>
        </w:tc>
      </w:tr>
      <w:tr w14:paraId="429E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56E2FDCE">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380" w:type="dxa"/>
            <w:tcBorders>
              <w:top w:val="single" w:color="auto" w:sz="4" w:space="0"/>
              <w:left w:val="single" w:color="auto" w:sz="4" w:space="0"/>
              <w:bottom w:val="single" w:color="auto" w:sz="4" w:space="0"/>
              <w:right w:val="single" w:color="auto" w:sz="4" w:space="0"/>
            </w:tcBorders>
            <w:vAlign w:val="center"/>
          </w:tcPr>
          <w:p w14:paraId="320A982F">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为保障各模块检测结果兼容性，全自动特定蛋白分析仪需与血液细胞分析仪为同一制造商</w:t>
            </w:r>
          </w:p>
        </w:tc>
      </w:tr>
      <w:tr w14:paraId="2C69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39B0B14">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8380" w:type="dxa"/>
            <w:tcBorders>
              <w:top w:val="single" w:color="auto" w:sz="4" w:space="0"/>
              <w:left w:val="single" w:color="auto" w:sz="4" w:space="0"/>
              <w:bottom w:val="single" w:color="auto" w:sz="4" w:space="0"/>
              <w:right w:val="single" w:color="auto" w:sz="4" w:space="0"/>
            </w:tcBorders>
            <w:vAlign w:val="center"/>
          </w:tcPr>
          <w:p w14:paraId="450E3CB9">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具备同品牌CRP及SAA的校准品，且该校准品需具备单独的医疗器械注册证</w:t>
            </w:r>
          </w:p>
        </w:tc>
      </w:tr>
      <w:tr w14:paraId="12C2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12897BF4">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8380" w:type="dxa"/>
            <w:tcBorders>
              <w:top w:val="single" w:color="auto" w:sz="4" w:space="0"/>
              <w:left w:val="single" w:color="auto" w:sz="4" w:space="0"/>
              <w:bottom w:val="single" w:color="auto" w:sz="4" w:space="0"/>
              <w:right w:val="single" w:color="auto" w:sz="4" w:space="0"/>
            </w:tcBorders>
            <w:vAlign w:val="center"/>
          </w:tcPr>
          <w:p w14:paraId="2496F1AE">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单台全自动特定蛋白分析仪检测速度CRP或SAA需≥200T/小时</w:t>
            </w:r>
          </w:p>
        </w:tc>
      </w:tr>
      <w:tr w14:paraId="0E4A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D36F759">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8380" w:type="dxa"/>
            <w:tcBorders>
              <w:top w:val="single" w:color="auto" w:sz="4" w:space="0"/>
              <w:left w:val="single" w:color="auto" w:sz="4" w:space="0"/>
              <w:bottom w:val="single" w:color="auto" w:sz="4" w:space="0"/>
              <w:right w:val="single" w:color="auto" w:sz="4" w:space="0"/>
            </w:tcBorders>
            <w:vAlign w:val="center"/>
          </w:tcPr>
          <w:p w14:paraId="5AE6DFD7">
            <w:pPr>
              <w:spacing w:before="120" w:after="120"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CRP分析原理为免疫散射速率法。（需以说明书为准）</w:t>
            </w:r>
          </w:p>
        </w:tc>
      </w:tr>
      <w:tr w14:paraId="4D65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626758F">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8380" w:type="dxa"/>
            <w:tcBorders>
              <w:top w:val="single" w:color="auto" w:sz="4" w:space="0"/>
              <w:left w:val="single" w:color="auto" w:sz="4" w:space="0"/>
              <w:bottom w:val="single" w:color="auto" w:sz="4" w:space="0"/>
              <w:right w:val="single" w:color="auto" w:sz="4" w:space="0"/>
            </w:tcBorders>
            <w:vAlign w:val="center"/>
          </w:tcPr>
          <w:p w14:paraId="314332C2">
            <w:pPr>
              <w:pStyle w:val="16"/>
              <w:spacing w:before="156" w:after="156" w:line="360" w:lineRule="auto"/>
              <w:ind w:firstLine="0" w:firstLineChars="0"/>
              <w:rPr>
                <w:rFonts w:hint="eastAsia" w:ascii="宋体" w:hAnsi="宋体" w:eastAsia="宋体" w:cs="宋体"/>
                <w:b/>
                <w:bCs/>
                <w:i/>
                <w:iCs/>
                <w:color w:val="auto"/>
                <w:sz w:val="21"/>
                <w:szCs w:val="21"/>
                <w:highlight w:val="none"/>
              </w:rPr>
            </w:pPr>
            <w:r>
              <w:rPr>
                <w:rFonts w:hint="eastAsia" w:ascii="宋体" w:hAnsi="宋体" w:eastAsia="宋体" w:cs="宋体"/>
                <w:color w:val="auto"/>
                <w:sz w:val="21"/>
                <w:szCs w:val="21"/>
                <w:highlight w:val="none"/>
              </w:rPr>
              <w:t>CRP线性范围：0.2~320mg/L（需以产品说明书为准）</w:t>
            </w:r>
          </w:p>
        </w:tc>
      </w:tr>
      <w:tr w14:paraId="43CE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A439252">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8380" w:type="dxa"/>
            <w:tcBorders>
              <w:top w:val="single" w:color="auto" w:sz="4" w:space="0"/>
              <w:left w:val="single" w:color="auto" w:sz="4" w:space="0"/>
              <w:bottom w:val="single" w:color="auto" w:sz="4" w:space="0"/>
              <w:right w:val="single" w:color="auto" w:sz="4" w:space="0"/>
            </w:tcBorders>
            <w:vAlign w:val="center"/>
          </w:tcPr>
          <w:p w14:paraId="300809F5">
            <w:pPr>
              <w:pStyle w:val="16"/>
              <w:spacing w:before="156" w:after="156" w:line="360" w:lineRule="auto"/>
              <w:ind w:firstLine="0" w:firstLineChars="0"/>
              <w:rPr>
                <w:rFonts w:hint="eastAsia" w:ascii="宋体" w:hAnsi="宋体" w:eastAsia="宋体" w:cs="宋体"/>
                <w:b/>
                <w:bCs/>
                <w:i/>
                <w:iCs/>
                <w:color w:val="auto"/>
                <w:sz w:val="21"/>
                <w:szCs w:val="21"/>
                <w:highlight w:val="none"/>
              </w:rPr>
            </w:pPr>
            <w:r>
              <w:rPr>
                <w:rFonts w:hint="eastAsia" w:ascii="宋体" w:hAnsi="宋体" w:eastAsia="宋体" w:cs="宋体"/>
                <w:color w:val="auto"/>
                <w:sz w:val="21"/>
                <w:szCs w:val="21"/>
                <w:highlight w:val="none"/>
              </w:rPr>
              <w:t>SAA线性范围：5~320mg/L（需以产品说明书为准）</w:t>
            </w:r>
          </w:p>
        </w:tc>
      </w:tr>
      <w:tr w14:paraId="475B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0463FF6">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四、</w:t>
            </w:r>
          </w:p>
        </w:tc>
        <w:tc>
          <w:tcPr>
            <w:tcW w:w="8380" w:type="dxa"/>
            <w:tcBorders>
              <w:top w:val="single" w:color="auto" w:sz="4" w:space="0"/>
              <w:left w:val="single" w:color="auto" w:sz="4" w:space="0"/>
              <w:bottom w:val="single" w:color="auto" w:sz="4" w:space="0"/>
              <w:right w:val="single" w:color="auto" w:sz="4" w:space="0"/>
            </w:tcBorders>
            <w:vAlign w:val="center"/>
          </w:tcPr>
          <w:p w14:paraId="0DB32625">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糖化血红蛋白分析仪</w:t>
            </w:r>
          </w:p>
        </w:tc>
      </w:tr>
      <w:tr w14:paraId="6494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25CC960">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380" w:type="dxa"/>
            <w:tcBorders>
              <w:top w:val="single" w:color="auto" w:sz="4" w:space="0"/>
              <w:left w:val="single" w:color="auto" w:sz="4" w:space="0"/>
              <w:bottom w:val="single" w:color="auto" w:sz="4" w:space="0"/>
              <w:right w:val="single" w:color="auto" w:sz="4" w:space="0"/>
            </w:tcBorders>
            <w:vAlign w:val="center"/>
          </w:tcPr>
          <w:p w14:paraId="235CB82D">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仪器检测原理需为高效液相色谱法（HPLC）</w:t>
            </w:r>
          </w:p>
        </w:tc>
      </w:tr>
      <w:tr w14:paraId="79F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3E8A8C97">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8380" w:type="dxa"/>
            <w:tcBorders>
              <w:top w:val="single" w:color="auto" w:sz="4" w:space="0"/>
              <w:left w:val="single" w:color="auto" w:sz="4" w:space="0"/>
              <w:bottom w:val="single" w:color="auto" w:sz="4" w:space="0"/>
              <w:right w:val="single" w:color="auto" w:sz="4" w:space="0"/>
            </w:tcBorders>
            <w:vAlign w:val="center"/>
          </w:tcPr>
          <w:p w14:paraId="72AD1939">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仪器能有效分离中国常见变异体HbS、Hbc、HbD、HbE，无需额外使用变异体层析柱</w:t>
            </w:r>
          </w:p>
        </w:tc>
      </w:tr>
      <w:tr w14:paraId="25B3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3AB639EF">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szCs w:val="21"/>
                <w:highlight w:val="none"/>
              </w:rPr>
              <w:t>3</w:t>
            </w:r>
          </w:p>
        </w:tc>
        <w:tc>
          <w:tcPr>
            <w:tcW w:w="8380" w:type="dxa"/>
            <w:tcBorders>
              <w:top w:val="single" w:color="auto" w:sz="4" w:space="0"/>
              <w:left w:val="single" w:color="auto" w:sz="4" w:space="0"/>
              <w:bottom w:val="single" w:color="auto" w:sz="4" w:space="0"/>
              <w:right w:val="single" w:color="auto" w:sz="4" w:space="0"/>
            </w:tcBorders>
            <w:vAlign w:val="center"/>
          </w:tcPr>
          <w:p w14:paraId="2E4BA9DF">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糖化血红蛋白分析仪测试速度≥120个样本/小时</w:t>
            </w:r>
          </w:p>
        </w:tc>
      </w:tr>
      <w:tr w14:paraId="12E7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1248F99E">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szCs w:val="21"/>
                <w:highlight w:val="none"/>
              </w:rPr>
              <w:t>4</w:t>
            </w:r>
          </w:p>
        </w:tc>
        <w:tc>
          <w:tcPr>
            <w:tcW w:w="8380" w:type="dxa"/>
            <w:tcBorders>
              <w:top w:val="single" w:color="auto" w:sz="4" w:space="0"/>
              <w:left w:val="single" w:color="auto" w:sz="4" w:space="0"/>
              <w:bottom w:val="single" w:color="auto" w:sz="4" w:space="0"/>
              <w:right w:val="single" w:color="auto" w:sz="4" w:space="0"/>
            </w:tcBorders>
            <w:vAlign w:val="center"/>
          </w:tcPr>
          <w:p w14:paraId="52742D79">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糖化血红蛋白模块线性要求需覆盖 3-20.1%区间</w:t>
            </w:r>
          </w:p>
        </w:tc>
      </w:tr>
      <w:tr w14:paraId="4A4AC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25008FC8">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Cs w:val="21"/>
                <w:highlight w:val="none"/>
              </w:rPr>
              <w:t>5</w:t>
            </w:r>
          </w:p>
        </w:tc>
        <w:tc>
          <w:tcPr>
            <w:tcW w:w="8380" w:type="dxa"/>
            <w:tcBorders>
              <w:top w:val="single" w:color="auto" w:sz="4" w:space="0"/>
              <w:left w:val="single" w:color="auto" w:sz="4" w:space="0"/>
              <w:bottom w:val="single" w:color="auto" w:sz="4" w:space="0"/>
              <w:right w:val="single" w:color="auto" w:sz="4" w:space="0"/>
            </w:tcBorders>
            <w:vAlign w:val="center"/>
          </w:tcPr>
          <w:p w14:paraId="62F64972">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检测参数：总糖化血红蛋白（HbA1）、糖化血红蛋白（HbA1c）、胎儿血红蛋白（HbF）、平均血糖（eAG）等</w:t>
            </w:r>
          </w:p>
        </w:tc>
      </w:tr>
      <w:tr w14:paraId="23E0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50BC49E5">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Cs w:val="21"/>
                <w:highlight w:val="none"/>
              </w:rPr>
              <w:t>6</w:t>
            </w:r>
          </w:p>
        </w:tc>
        <w:tc>
          <w:tcPr>
            <w:tcW w:w="8380" w:type="dxa"/>
            <w:tcBorders>
              <w:top w:val="single" w:color="auto" w:sz="4" w:space="0"/>
              <w:left w:val="single" w:color="auto" w:sz="4" w:space="0"/>
              <w:bottom w:val="single" w:color="auto" w:sz="4" w:space="0"/>
              <w:right w:val="single" w:color="auto" w:sz="4" w:space="0"/>
            </w:tcBorders>
            <w:vAlign w:val="center"/>
          </w:tcPr>
          <w:p w14:paraId="5049573E">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HbA1c检测的精密度CV≤1%，以说明书为准</w:t>
            </w:r>
          </w:p>
        </w:tc>
      </w:tr>
      <w:tr w14:paraId="0176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1FAC94DB">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8380" w:type="dxa"/>
            <w:tcBorders>
              <w:top w:val="single" w:color="auto" w:sz="4" w:space="0"/>
              <w:left w:val="single" w:color="auto" w:sz="4" w:space="0"/>
              <w:bottom w:val="single" w:color="auto" w:sz="4" w:space="0"/>
              <w:right w:val="single" w:color="auto" w:sz="4" w:space="0"/>
            </w:tcBorders>
            <w:vAlign w:val="center"/>
          </w:tcPr>
          <w:p w14:paraId="09965B74">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洗脱方式为梯度洗脱，所用洗脱液种类≤2种，以说明书或注册证为准</w:t>
            </w:r>
          </w:p>
        </w:tc>
      </w:tr>
      <w:tr w14:paraId="6862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629FD7A7">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五、</w:t>
            </w:r>
          </w:p>
        </w:tc>
        <w:tc>
          <w:tcPr>
            <w:tcW w:w="8380" w:type="dxa"/>
            <w:tcBorders>
              <w:top w:val="single" w:color="auto" w:sz="4" w:space="0"/>
              <w:left w:val="single" w:color="auto" w:sz="4" w:space="0"/>
              <w:bottom w:val="single" w:color="auto" w:sz="4" w:space="0"/>
              <w:right w:val="single" w:color="auto" w:sz="4" w:space="0"/>
            </w:tcBorders>
            <w:vAlign w:val="center"/>
          </w:tcPr>
          <w:p w14:paraId="7B51C42D">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推片染色机</w:t>
            </w:r>
          </w:p>
        </w:tc>
      </w:tr>
      <w:tr w14:paraId="5AD9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09C6E801">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380" w:type="dxa"/>
            <w:tcBorders>
              <w:top w:val="single" w:color="auto" w:sz="4" w:space="0"/>
              <w:left w:val="single" w:color="auto" w:sz="4" w:space="0"/>
              <w:bottom w:val="single" w:color="auto" w:sz="4" w:space="0"/>
              <w:right w:val="single" w:color="auto" w:sz="4" w:space="0"/>
            </w:tcBorders>
            <w:vAlign w:val="center"/>
          </w:tcPr>
          <w:p w14:paraId="24F47E96">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为保障各模块检测结果兼容性，全自动推片染色机与血液细胞分析仪为同一制造商</w:t>
            </w:r>
          </w:p>
        </w:tc>
      </w:tr>
      <w:tr w14:paraId="7BC8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040EE6F">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8380" w:type="dxa"/>
            <w:tcBorders>
              <w:top w:val="single" w:color="auto" w:sz="4" w:space="0"/>
              <w:left w:val="single" w:color="auto" w:sz="4" w:space="0"/>
              <w:bottom w:val="single" w:color="auto" w:sz="4" w:space="0"/>
              <w:right w:val="single" w:color="auto" w:sz="4" w:space="0"/>
            </w:tcBorders>
            <w:vAlign w:val="center"/>
          </w:tcPr>
          <w:p w14:paraId="65361CB0">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流水线上单台自动推片染色综合速度≥120个样本/小时（每个样本均需完成制片及染色）（需以产品说明书为准）</w:t>
            </w:r>
          </w:p>
        </w:tc>
      </w:tr>
      <w:tr w14:paraId="1AFE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118595A1">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szCs w:val="21"/>
                <w:highlight w:val="none"/>
              </w:rPr>
              <w:t>3</w:t>
            </w:r>
          </w:p>
        </w:tc>
        <w:tc>
          <w:tcPr>
            <w:tcW w:w="8380" w:type="dxa"/>
            <w:tcBorders>
              <w:top w:val="single" w:color="auto" w:sz="4" w:space="0"/>
              <w:left w:val="single" w:color="auto" w:sz="4" w:space="0"/>
              <w:bottom w:val="single" w:color="auto" w:sz="4" w:space="0"/>
              <w:right w:val="single" w:color="auto" w:sz="4" w:space="0"/>
            </w:tcBorders>
            <w:vAlign w:val="center"/>
          </w:tcPr>
          <w:p w14:paraId="1DC3F377">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推片所需最小样本量≤38μl（需以产品说明书为准）</w:t>
            </w:r>
          </w:p>
        </w:tc>
      </w:tr>
      <w:tr w14:paraId="6E90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8EEAE1A">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8380" w:type="dxa"/>
            <w:tcBorders>
              <w:top w:val="single" w:color="auto" w:sz="4" w:space="0"/>
              <w:left w:val="single" w:color="auto" w:sz="4" w:space="0"/>
              <w:bottom w:val="single" w:color="auto" w:sz="4" w:space="0"/>
              <w:right w:val="single" w:color="auto" w:sz="4" w:space="0"/>
            </w:tcBorders>
            <w:vAlign w:val="center"/>
          </w:tcPr>
          <w:p w14:paraId="694914DD">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为减少实验室占地面级，仪器的宽度（即长度和深度中最大尺寸）需≤1.5米</w:t>
            </w:r>
          </w:p>
        </w:tc>
      </w:tr>
      <w:tr w14:paraId="0182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018AAF87">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8380" w:type="dxa"/>
            <w:tcBorders>
              <w:top w:val="single" w:color="auto" w:sz="4" w:space="0"/>
              <w:left w:val="single" w:color="auto" w:sz="4" w:space="0"/>
              <w:bottom w:val="single" w:color="auto" w:sz="4" w:space="0"/>
              <w:right w:val="single" w:color="auto" w:sz="4" w:space="0"/>
            </w:tcBorders>
            <w:vAlign w:val="center"/>
          </w:tcPr>
          <w:p w14:paraId="33F516EE">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单台仪器对玻片的最大装载量≥140片</w:t>
            </w:r>
          </w:p>
        </w:tc>
      </w:tr>
      <w:tr w14:paraId="6D3D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3C131F0">
            <w:pPr>
              <w:spacing w:before="120" w:after="12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8380" w:type="dxa"/>
            <w:tcBorders>
              <w:top w:val="single" w:color="auto" w:sz="4" w:space="0"/>
              <w:left w:val="single" w:color="auto" w:sz="4" w:space="0"/>
              <w:bottom w:val="single" w:color="auto" w:sz="4" w:space="0"/>
              <w:right w:val="single" w:color="auto" w:sz="4" w:space="0"/>
            </w:tcBorders>
            <w:vAlign w:val="center"/>
          </w:tcPr>
          <w:p w14:paraId="5484A6E0">
            <w:pPr>
              <w:pStyle w:val="16"/>
              <w:spacing w:before="156" w:after="156"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支持一次吸样多次推片，推片次数≥5次推片</w:t>
            </w:r>
          </w:p>
        </w:tc>
      </w:tr>
      <w:tr w14:paraId="5CB7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2EACF2B6">
            <w:pPr>
              <w:spacing w:before="120" w:after="120"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六、</w:t>
            </w:r>
          </w:p>
        </w:tc>
        <w:tc>
          <w:tcPr>
            <w:tcW w:w="8380" w:type="dxa"/>
            <w:tcBorders>
              <w:top w:val="single" w:color="auto" w:sz="4" w:space="0"/>
              <w:left w:val="single" w:color="auto" w:sz="4" w:space="0"/>
              <w:bottom w:val="single" w:color="auto" w:sz="4" w:space="0"/>
              <w:right w:val="single" w:color="auto" w:sz="4" w:space="0"/>
            </w:tcBorders>
            <w:vAlign w:val="center"/>
          </w:tcPr>
          <w:p w14:paraId="6DF4FCC0">
            <w:pPr>
              <w:pStyle w:val="16"/>
              <w:spacing w:before="156" w:after="156"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全自动细胞形态学分析仪</w:t>
            </w:r>
          </w:p>
        </w:tc>
      </w:tr>
      <w:tr w14:paraId="0484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139C4D61">
            <w:pPr>
              <w:spacing w:before="120" w:after="120" w:line="360" w:lineRule="auto"/>
              <w:jc w:val="center"/>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p>
        </w:tc>
        <w:tc>
          <w:tcPr>
            <w:tcW w:w="8380" w:type="dxa"/>
            <w:tcBorders>
              <w:top w:val="single" w:color="auto" w:sz="4" w:space="0"/>
              <w:left w:val="single" w:color="auto" w:sz="4" w:space="0"/>
              <w:bottom w:val="single" w:color="auto" w:sz="4" w:space="0"/>
              <w:right w:val="single" w:color="auto" w:sz="4" w:space="0"/>
            </w:tcBorders>
            <w:vAlign w:val="center"/>
          </w:tcPr>
          <w:p w14:paraId="2795CE70">
            <w:pPr>
              <w:pStyle w:val="16"/>
              <w:spacing w:before="156" w:after="156"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为保障各模块检测结果兼容性，全自动细胞形态学分析仪与血液细胞分析仪为同一制造商</w:t>
            </w:r>
          </w:p>
        </w:tc>
      </w:tr>
      <w:tr w14:paraId="66AD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45B27061">
            <w:pPr>
              <w:spacing w:before="120" w:after="120" w:line="360" w:lineRule="auto"/>
              <w:jc w:val="center"/>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p>
        </w:tc>
        <w:tc>
          <w:tcPr>
            <w:tcW w:w="8380" w:type="dxa"/>
            <w:tcBorders>
              <w:top w:val="single" w:color="auto" w:sz="4" w:space="0"/>
              <w:left w:val="single" w:color="auto" w:sz="4" w:space="0"/>
              <w:bottom w:val="single" w:color="auto" w:sz="4" w:space="0"/>
              <w:right w:val="single" w:color="auto" w:sz="4" w:space="0"/>
            </w:tcBorders>
            <w:vAlign w:val="center"/>
          </w:tcPr>
          <w:p w14:paraId="521A24E9">
            <w:pPr>
              <w:pStyle w:val="16"/>
              <w:spacing w:before="156" w:after="156"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适用范围：用于对外周血涂片血细胞的形态图像摄取、可视化观察及描述，包括白细胞单细胞图像摄取、初步分类，红细胞形态描述及血小板数目估算</w:t>
            </w:r>
          </w:p>
        </w:tc>
      </w:tr>
      <w:tr w14:paraId="7FE4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71FB6BD1">
            <w:pPr>
              <w:spacing w:before="120" w:after="120" w:line="360" w:lineRule="auto"/>
              <w:jc w:val="center"/>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w:t>
            </w:r>
          </w:p>
        </w:tc>
        <w:tc>
          <w:tcPr>
            <w:tcW w:w="8380" w:type="dxa"/>
            <w:tcBorders>
              <w:top w:val="single" w:color="auto" w:sz="4" w:space="0"/>
              <w:left w:val="single" w:color="auto" w:sz="4" w:space="0"/>
              <w:bottom w:val="single" w:color="auto" w:sz="4" w:space="0"/>
              <w:right w:val="single" w:color="auto" w:sz="4" w:space="0"/>
            </w:tcBorders>
            <w:vAlign w:val="center"/>
          </w:tcPr>
          <w:p w14:paraId="723B9E2F">
            <w:pPr>
              <w:pStyle w:val="16"/>
              <w:spacing w:before="156" w:after="156"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软件界面可实现针对血小板聚集的报警的文字提示</w:t>
            </w:r>
          </w:p>
        </w:tc>
      </w:tr>
      <w:tr w14:paraId="62F1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65BF6F2C">
            <w:pPr>
              <w:spacing w:before="120" w:after="120" w:line="360" w:lineRule="auto"/>
              <w:jc w:val="center"/>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w:t>
            </w:r>
          </w:p>
        </w:tc>
        <w:tc>
          <w:tcPr>
            <w:tcW w:w="8380" w:type="dxa"/>
            <w:tcBorders>
              <w:top w:val="single" w:color="auto" w:sz="4" w:space="0"/>
              <w:left w:val="single" w:color="auto" w:sz="4" w:space="0"/>
              <w:bottom w:val="single" w:color="auto" w:sz="4" w:space="0"/>
              <w:right w:val="single" w:color="auto" w:sz="4" w:space="0"/>
            </w:tcBorders>
            <w:vAlign w:val="center"/>
          </w:tcPr>
          <w:p w14:paraId="3BEA1635">
            <w:pPr>
              <w:pStyle w:val="16"/>
              <w:spacing w:before="156" w:after="156"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阅片机可对体液样本进行分析</w:t>
            </w:r>
          </w:p>
        </w:tc>
      </w:tr>
      <w:tr w14:paraId="05C2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3" w:type="dxa"/>
            <w:tcBorders>
              <w:top w:val="single" w:color="auto" w:sz="4" w:space="0"/>
              <w:left w:val="single" w:color="auto" w:sz="4" w:space="0"/>
              <w:bottom w:val="single" w:color="auto" w:sz="4" w:space="0"/>
              <w:right w:val="single" w:color="auto" w:sz="4" w:space="0"/>
            </w:tcBorders>
            <w:noWrap/>
            <w:vAlign w:val="center"/>
          </w:tcPr>
          <w:p w14:paraId="3294472C">
            <w:pPr>
              <w:spacing w:before="120" w:after="120" w:line="360" w:lineRule="auto"/>
              <w:jc w:val="center"/>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5</w:t>
            </w:r>
          </w:p>
        </w:tc>
        <w:tc>
          <w:tcPr>
            <w:tcW w:w="8380" w:type="dxa"/>
            <w:tcBorders>
              <w:top w:val="single" w:color="auto" w:sz="4" w:space="0"/>
              <w:left w:val="single" w:color="auto" w:sz="4" w:space="0"/>
              <w:bottom w:val="single" w:color="auto" w:sz="4" w:space="0"/>
              <w:right w:val="single" w:color="auto" w:sz="4" w:space="0"/>
            </w:tcBorders>
            <w:vAlign w:val="center"/>
          </w:tcPr>
          <w:p w14:paraId="51E193E7">
            <w:pPr>
              <w:pStyle w:val="16"/>
              <w:spacing w:before="156" w:after="156"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设备对白细胞预分类（不包含手动添加）参数需≥12种（以说明书为准）</w:t>
            </w:r>
          </w:p>
        </w:tc>
      </w:tr>
    </w:tbl>
    <w:p w14:paraId="07403721">
      <w:pPr>
        <w:spacing w:before="120" w:after="120" w:line="360" w:lineRule="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 xml:space="preserve"> </w:t>
      </w:r>
    </w:p>
    <w:p w14:paraId="7B659A07">
      <w:pPr>
        <w:spacing w:before="120" w:after="120" w:line="360" w:lineRule="auto"/>
        <w:rPr>
          <w:rFonts w:hint="eastAsia" w:ascii="宋体" w:hAnsi="宋体" w:eastAsia="宋体" w:cs="宋体"/>
          <w:color w:val="auto"/>
          <w:kern w:val="0"/>
          <w:szCs w:val="21"/>
          <w:highlight w:val="none"/>
          <w:shd w:val="clear" w:color="auto" w:fill="FFFFFF"/>
        </w:rPr>
      </w:pPr>
    </w:p>
    <w:p w14:paraId="769E21E5">
      <w:pPr>
        <w:numPr>
          <w:ilvl w:val="0"/>
          <w:numId w:val="3"/>
        </w:numPr>
        <w:spacing w:before="120" w:after="120" w:line="360" w:lineRule="auto"/>
        <w:ind w:left="425" w:leftChars="0" w:hanging="425" w:firstLineChars="0"/>
        <w:rPr>
          <w:rFonts w:hint="eastAsia" w:ascii="宋体" w:hAnsi="宋体" w:eastAsia="宋体" w:cs="宋体"/>
          <w:b/>
          <w:bCs/>
          <w:color w:val="auto"/>
          <w:kern w:val="0"/>
          <w:szCs w:val="21"/>
          <w:highlight w:val="none"/>
          <w:shd w:val="clear" w:color="auto" w:fill="FFFFFF"/>
        </w:rPr>
      </w:pPr>
      <w:r>
        <w:rPr>
          <w:rFonts w:hint="eastAsia" w:ascii="宋体" w:hAnsi="宋体" w:eastAsia="宋体" w:cs="宋体"/>
          <w:b/>
          <w:bCs/>
          <w:color w:val="auto"/>
          <w:kern w:val="0"/>
          <w:szCs w:val="21"/>
          <w:highlight w:val="none"/>
          <w:shd w:val="clear" w:color="auto" w:fill="FFFFFF"/>
        </w:rPr>
        <w:t>配置清单</w:t>
      </w:r>
    </w:p>
    <w:tbl>
      <w:tblPr>
        <w:tblStyle w:val="9"/>
        <w:tblW w:w="9186"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5585"/>
        <w:gridCol w:w="1227"/>
        <w:gridCol w:w="1227"/>
      </w:tblGrid>
      <w:tr w14:paraId="5037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2730D6F1">
            <w:pPr>
              <w:spacing w:before="120" w:after="12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0"/>
                <w:sz w:val="21"/>
                <w:szCs w:val="21"/>
                <w:highlight w:val="none"/>
              </w:rPr>
              <w:t>序号</w:t>
            </w:r>
          </w:p>
        </w:tc>
        <w:tc>
          <w:tcPr>
            <w:tcW w:w="5585" w:type="dxa"/>
            <w:tcBorders>
              <w:top w:val="single" w:color="auto" w:sz="4" w:space="0"/>
              <w:left w:val="single" w:color="auto" w:sz="4" w:space="0"/>
              <w:bottom w:val="single" w:color="auto" w:sz="4" w:space="0"/>
              <w:right w:val="single" w:color="auto" w:sz="4" w:space="0"/>
            </w:tcBorders>
            <w:vAlign w:val="center"/>
          </w:tcPr>
          <w:p w14:paraId="1188FD19">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货物名称</w:t>
            </w:r>
          </w:p>
        </w:tc>
        <w:tc>
          <w:tcPr>
            <w:tcW w:w="1227" w:type="dxa"/>
            <w:tcBorders>
              <w:top w:val="single" w:color="auto" w:sz="4" w:space="0"/>
              <w:left w:val="single" w:color="auto" w:sz="4" w:space="0"/>
              <w:bottom w:val="single" w:color="auto" w:sz="4" w:space="0"/>
              <w:right w:val="single" w:color="auto" w:sz="4" w:space="0"/>
            </w:tcBorders>
            <w:vAlign w:val="center"/>
          </w:tcPr>
          <w:p w14:paraId="79CCF751">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w:t>
            </w:r>
          </w:p>
        </w:tc>
        <w:tc>
          <w:tcPr>
            <w:tcW w:w="1227" w:type="dxa"/>
            <w:tcBorders>
              <w:top w:val="single" w:color="auto" w:sz="4" w:space="0"/>
              <w:left w:val="single" w:color="auto" w:sz="4" w:space="0"/>
              <w:bottom w:val="single" w:color="auto" w:sz="4" w:space="0"/>
              <w:right w:val="single" w:color="auto" w:sz="4" w:space="0"/>
            </w:tcBorders>
            <w:vAlign w:val="center"/>
          </w:tcPr>
          <w:p w14:paraId="4CEC361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单位</w:t>
            </w:r>
          </w:p>
        </w:tc>
      </w:tr>
      <w:tr w14:paraId="0C75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100628F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5585" w:type="dxa"/>
            <w:tcBorders>
              <w:top w:val="single" w:color="auto" w:sz="4" w:space="0"/>
              <w:left w:val="single" w:color="auto" w:sz="4" w:space="0"/>
              <w:bottom w:val="single" w:color="auto" w:sz="4" w:space="0"/>
              <w:right w:val="single" w:color="auto" w:sz="4" w:space="0"/>
            </w:tcBorders>
            <w:vAlign w:val="center"/>
          </w:tcPr>
          <w:p w14:paraId="08FCA9F1">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全自动血液分析仪</w:t>
            </w:r>
          </w:p>
        </w:tc>
        <w:tc>
          <w:tcPr>
            <w:tcW w:w="1227" w:type="dxa"/>
            <w:tcBorders>
              <w:top w:val="single" w:color="auto" w:sz="4" w:space="0"/>
              <w:left w:val="single" w:color="auto" w:sz="4" w:space="0"/>
              <w:bottom w:val="single" w:color="auto" w:sz="4" w:space="0"/>
              <w:right w:val="single" w:color="auto" w:sz="4" w:space="0"/>
            </w:tcBorders>
            <w:vAlign w:val="center"/>
          </w:tcPr>
          <w:p w14:paraId="16DF6BC0">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227" w:type="dxa"/>
            <w:tcBorders>
              <w:top w:val="single" w:color="auto" w:sz="4" w:space="0"/>
              <w:left w:val="single" w:color="auto" w:sz="4" w:space="0"/>
              <w:bottom w:val="single" w:color="auto" w:sz="4" w:space="0"/>
              <w:right w:val="single" w:color="auto" w:sz="4" w:space="0"/>
            </w:tcBorders>
            <w:vAlign w:val="center"/>
          </w:tcPr>
          <w:p w14:paraId="6E990719">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4E7F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055C00E1">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5585" w:type="dxa"/>
            <w:tcBorders>
              <w:top w:val="single" w:color="auto" w:sz="4" w:space="0"/>
              <w:left w:val="single" w:color="auto" w:sz="4" w:space="0"/>
              <w:bottom w:val="single" w:color="auto" w:sz="4" w:space="0"/>
              <w:right w:val="single" w:color="auto" w:sz="4" w:space="0"/>
            </w:tcBorders>
            <w:vAlign w:val="center"/>
          </w:tcPr>
          <w:p w14:paraId="1A05DCB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全自动特定蛋白分析仪</w:t>
            </w:r>
          </w:p>
        </w:tc>
        <w:tc>
          <w:tcPr>
            <w:tcW w:w="1227" w:type="dxa"/>
            <w:tcBorders>
              <w:top w:val="single" w:color="auto" w:sz="4" w:space="0"/>
              <w:left w:val="single" w:color="auto" w:sz="4" w:space="0"/>
              <w:bottom w:val="single" w:color="auto" w:sz="4" w:space="0"/>
              <w:right w:val="single" w:color="auto" w:sz="4" w:space="0"/>
            </w:tcBorders>
            <w:vAlign w:val="center"/>
          </w:tcPr>
          <w:p w14:paraId="68E7DDC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0C5DAE28">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5CF8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4431649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5585" w:type="dxa"/>
            <w:tcBorders>
              <w:top w:val="single" w:color="auto" w:sz="4" w:space="0"/>
              <w:left w:val="single" w:color="auto" w:sz="4" w:space="0"/>
              <w:bottom w:val="single" w:color="auto" w:sz="4" w:space="0"/>
              <w:right w:val="single" w:color="auto" w:sz="4" w:space="0"/>
            </w:tcBorders>
            <w:vAlign w:val="center"/>
          </w:tcPr>
          <w:p w14:paraId="3F77CF01">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全自动特定蛋白分析仪</w:t>
            </w:r>
          </w:p>
        </w:tc>
        <w:tc>
          <w:tcPr>
            <w:tcW w:w="1227" w:type="dxa"/>
            <w:tcBorders>
              <w:top w:val="single" w:color="auto" w:sz="4" w:space="0"/>
              <w:left w:val="single" w:color="auto" w:sz="4" w:space="0"/>
              <w:bottom w:val="single" w:color="auto" w:sz="4" w:space="0"/>
              <w:right w:val="single" w:color="auto" w:sz="4" w:space="0"/>
            </w:tcBorders>
            <w:vAlign w:val="center"/>
          </w:tcPr>
          <w:p w14:paraId="4DC2192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1601BA92">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0DAE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1828C2F1">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5585" w:type="dxa"/>
            <w:tcBorders>
              <w:top w:val="single" w:color="auto" w:sz="4" w:space="0"/>
              <w:left w:val="single" w:color="auto" w:sz="4" w:space="0"/>
              <w:bottom w:val="single" w:color="auto" w:sz="4" w:space="0"/>
              <w:right w:val="single" w:color="auto" w:sz="4" w:space="0"/>
            </w:tcBorders>
            <w:vAlign w:val="center"/>
          </w:tcPr>
          <w:p w14:paraId="5DAEC66E">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全自动细胞形态学分析仪 </w:t>
            </w:r>
          </w:p>
        </w:tc>
        <w:tc>
          <w:tcPr>
            <w:tcW w:w="1227" w:type="dxa"/>
            <w:tcBorders>
              <w:top w:val="single" w:color="auto" w:sz="4" w:space="0"/>
              <w:left w:val="single" w:color="auto" w:sz="4" w:space="0"/>
              <w:bottom w:val="single" w:color="auto" w:sz="4" w:space="0"/>
              <w:right w:val="single" w:color="auto" w:sz="4" w:space="0"/>
            </w:tcBorders>
            <w:vAlign w:val="center"/>
          </w:tcPr>
          <w:p w14:paraId="3CFEABB3">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7AB232CF">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1462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3615C6B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5585" w:type="dxa"/>
            <w:tcBorders>
              <w:top w:val="single" w:color="auto" w:sz="4" w:space="0"/>
              <w:left w:val="single" w:color="auto" w:sz="4" w:space="0"/>
              <w:bottom w:val="single" w:color="auto" w:sz="4" w:space="0"/>
              <w:right w:val="single" w:color="auto" w:sz="4" w:space="0"/>
            </w:tcBorders>
            <w:vAlign w:val="center"/>
          </w:tcPr>
          <w:p w14:paraId="58344EA8">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全自动糖化分析仪</w:t>
            </w:r>
          </w:p>
        </w:tc>
        <w:tc>
          <w:tcPr>
            <w:tcW w:w="1227" w:type="dxa"/>
            <w:tcBorders>
              <w:top w:val="single" w:color="auto" w:sz="4" w:space="0"/>
              <w:left w:val="single" w:color="auto" w:sz="4" w:space="0"/>
              <w:bottom w:val="single" w:color="auto" w:sz="4" w:space="0"/>
              <w:right w:val="single" w:color="auto" w:sz="4" w:space="0"/>
            </w:tcBorders>
            <w:vAlign w:val="center"/>
          </w:tcPr>
          <w:p w14:paraId="65409374">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0091835B">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302B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6EAA65A4">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5585" w:type="dxa"/>
            <w:tcBorders>
              <w:top w:val="single" w:color="auto" w:sz="4" w:space="0"/>
              <w:left w:val="single" w:color="auto" w:sz="4" w:space="0"/>
              <w:bottom w:val="single" w:color="auto" w:sz="4" w:space="0"/>
              <w:right w:val="single" w:color="auto" w:sz="4" w:space="0"/>
            </w:tcBorders>
            <w:vAlign w:val="center"/>
          </w:tcPr>
          <w:p w14:paraId="35B36BF0">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气源</w:t>
            </w:r>
          </w:p>
        </w:tc>
        <w:tc>
          <w:tcPr>
            <w:tcW w:w="1227" w:type="dxa"/>
            <w:tcBorders>
              <w:top w:val="single" w:color="auto" w:sz="4" w:space="0"/>
              <w:left w:val="single" w:color="auto" w:sz="4" w:space="0"/>
              <w:bottom w:val="single" w:color="auto" w:sz="4" w:space="0"/>
              <w:right w:val="single" w:color="auto" w:sz="4" w:space="0"/>
            </w:tcBorders>
            <w:vAlign w:val="center"/>
          </w:tcPr>
          <w:p w14:paraId="4F391DEC">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72A83E3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5274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0F941C49">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tc>
        <w:tc>
          <w:tcPr>
            <w:tcW w:w="5585" w:type="dxa"/>
            <w:tcBorders>
              <w:top w:val="single" w:color="auto" w:sz="4" w:space="0"/>
              <w:left w:val="single" w:color="auto" w:sz="4" w:space="0"/>
              <w:bottom w:val="single" w:color="auto" w:sz="4" w:space="0"/>
              <w:right w:val="single" w:color="auto" w:sz="4" w:space="0"/>
            </w:tcBorders>
            <w:vAlign w:val="center"/>
          </w:tcPr>
          <w:p w14:paraId="743F0A96">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样本处理系统附件包 </w:t>
            </w:r>
          </w:p>
        </w:tc>
        <w:tc>
          <w:tcPr>
            <w:tcW w:w="1227" w:type="dxa"/>
            <w:tcBorders>
              <w:top w:val="single" w:color="auto" w:sz="4" w:space="0"/>
              <w:left w:val="single" w:color="auto" w:sz="4" w:space="0"/>
              <w:bottom w:val="single" w:color="auto" w:sz="4" w:space="0"/>
              <w:right w:val="single" w:color="auto" w:sz="4" w:space="0"/>
            </w:tcBorders>
            <w:vAlign w:val="center"/>
          </w:tcPr>
          <w:p w14:paraId="5CD4E328">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65CFEA29">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套</w:t>
            </w:r>
          </w:p>
        </w:tc>
      </w:tr>
      <w:tr w14:paraId="5C84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3732FC3E">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p>
        </w:tc>
        <w:tc>
          <w:tcPr>
            <w:tcW w:w="5585" w:type="dxa"/>
            <w:tcBorders>
              <w:top w:val="single" w:color="auto" w:sz="4" w:space="0"/>
              <w:left w:val="single" w:color="auto" w:sz="4" w:space="0"/>
              <w:bottom w:val="single" w:color="auto" w:sz="4" w:space="0"/>
              <w:right w:val="single" w:color="auto" w:sz="4" w:space="0"/>
            </w:tcBorders>
            <w:vAlign w:val="center"/>
          </w:tcPr>
          <w:p w14:paraId="08315F07">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商用电脑</w:t>
            </w:r>
          </w:p>
        </w:tc>
        <w:tc>
          <w:tcPr>
            <w:tcW w:w="1227" w:type="dxa"/>
            <w:tcBorders>
              <w:top w:val="single" w:color="auto" w:sz="4" w:space="0"/>
              <w:left w:val="single" w:color="auto" w:sz="4" w:space="0"/>
              <w:bottom w:val="single" w:color="auto" w:sz="4" w:space="0"/>
              <w:right w:val="single" w:color="auto" w:sz="4" w:space="0"/>
            </w:tcBorders>
            <w:vAlign w:val="center"/>
          </w:tcPr>
          <w:p w14:paraId="07D49C71">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1E78255F">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1EEF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1C8E8763">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w:t>
            </w:r>
          </w:p>
        </w:tc>
        <w:tc>
          <w:tcPr>
            <w:tcW w:w="5585" w:type="dxa"/>
            <w:tcBorders>
              <w:top w:val="single" w:color="auto" w:sz="4" w:space="0"/>
              <w:left w:val="single" w:color="auto" w:sz="4" w:space="0"/>
              <w:bottom w:val="single" w:color="auto" w:sz="4" w:space="0"/>
              <w:right w:val="single" w:color="auto" w:sz="4" w:space="0"/>
            </w:tcBorders>
            <w:vAlign w:val="center"/>
          </w:tcPr>
          <w:p w14:paraId="664494BB">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流式细胞仪</w:t>
            </w:r>
          </w:p>
        </w:tc>
        <w:tc>
          <w:tcPr>
            <w:tcW w:w="1227" w:type="dxa"/>
            <w:tcBorders>
              <w:top w:val="single" w:color="auto" w:sz="4" w:space="0"/>
              <w:left w:val="single" w:color="auto" w:sz="4" w:space="0"/>
              <w:bottom w:val="single" w:color="auto" w:sz="4" w:space="0"/>
              <w:right w:val="single" w:color="auto" w:sz="4" w:space="0"/>
            </w:tcBorders>
            <w:vAlign w:val="center"/>
          </w:tcPr>
          <w:p w14:paraId="7EA0A03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1561C944">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538C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0FE65BF6">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w:t>
            </w:r>
          </w:p>
        </w:tc>
        <w:tc>
          <w:tcPr>
            <w:tcW w:w="5585" w:type="dxa"/>
            <w:tcBorders>
              <w:top w:val="single" w:color="auto" w:sz="4" w:space="0"/>
              <w:left w:val="single" w:color="auto" w:sz="4" w:space="0"/>
              <w:bottom w:val="single" w:color="auto" w:sz="4" w:space="0"/>
              <w:right w:val="single" w:color="auto" w:sz="4" w:space="0"/>
            </w:tcBorders>
            <w:vAlign w:val="center"/>
          </w:tcPr>
          <w:p w14:paraId="2564D002">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运送机器人</w:t>
            </w:r>
          </w:p>
        </w:tc>
        <w:tc>
          <w:tcPr>
            <w:tcW w:w="1227" w:type="dxa"/>
            <w:tcBorders>
              <w:top w:val="single" w:color="auto" w:sz="4" w:space="0"/>
              <w:left w:val="single" w:color="auto" w:sz="4" w:space="0"/>
              <w:bottom w:val="single" w:color="auto" w:sz="4" w:space="0"/>
              <w:right w:val="single" w:color="auto" w:sz="4" w:space="0"/>
            </w:tcBorders>
            <w:vAlign w:val="center"/>
          </w:tcPr>
          <w:p w14:paraId="49324EAD">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227" w:type="dxa"/>
            <w:tcBorders>
              <w:top w:val="single" w:color="auto" w:sz="4" w:space="0"/>
              <w:left w:val="single" w:color="auto" w:sz="4" w:space="0"/>
              <w:bottom w:val="single" w:color="auto" w:sz="4" w:space="0"/>
              <w:right w:val="single" w:color="auto" w:sz="4" w:space="0"/>
            </w:tcBorders>
            <w:vAlign w:val="center"/>
          </w:tcPr>
          <w:p w14:paraId="500845BB">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套</w:t>
            </w:r>
          </w:p>
        </w:tc>
      </w:tr>
      <w:tr w14:paraId="06EA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47" w:type="dxa"/>
            <w:tcBorders>
              <w:top w:val="single" w:color="auto" w:sz="4" w:space="0"/>
              <w:left w:val="single" w:color="auto" w:sz="4" w:space="0"/>
              <w:bottom w:val="single" w:color="auto" w:sz="4" w:space="0"/>
              <w:right w:val="single" w:color="auto" w:sz="4" w:space="0"/>
            </w:tcBorders>
            <w:vAlign w:val="center"/>
          </w:tcPr>
          <w:p w14:paraId="3EDE0E7C">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p>
        </w:tc>
        <w:tc>
          <w:tcPr>
            <w:tcW w:w="5585" w:type="dxa"/>
            <w:tcBorders>
              <w:top w:val="single" w:color="auto" w:sz="4" w:space="0"/>
              <w:left w:val="single" w:color="auto" w:sz="4" w:space="0"/>
              <w:bottom w:val="single" w:color="auto" w:sz="4" w:space="0"/>
              <w:right w:val="single" w:color="auto" w:sz="4" w:space="0"/>
            </w:tcBorders>
            <w:vAlign w:val="center"/>
          </w:tcPr>
          <w:p w14:paraId="748FF2FC">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医用冷藏冰箱</w:t>
            </w:r>
          </w:p>
        </w:tc>
        <w:tc>
          <w:tcPr>
            <w:tcW w:w="1227" w:type="dxa"/>
            <w:tcBorders>
              <w:top w:val="single" w:color="auto" w:sz="4" w:space="0"/>
              <w:left w:val="single" w:color="auto" w:sz="4" w:space="0"/>
              <w:bottom w:val="single" w:color="auto" w:sz="4" w:space="0"/>
              <w:right w:val="single" w:color="auto" w:sz="4" w:space="0"/>
            </w:tcBorders>
            <w:vAlign w:val="center"/>
          </w:tcPr>
          <w:p w14:paraId="5134A27E">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227" w:type="dxa"/>
            <w:tcBorders>
              <w:top w:val="single" w:color="auto" w:sz="4" w:space="0"/>
              <w:left w:val="single" w:color="auto" w:sz="4" w:space="0"/>
              <w:bottom w:val="single" w:color="auto" w:sz="4" w:space="0"/>
              <w:right w:val="single" w:color="auto" w:sz="4" w:space="0"/>
            </w:tcBorders>
            <w:vAlign w:val="center"/>
          </w:tcPr>
          <w:p w14:paraId="4F2E449B">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r w14:paraId="055C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47" w:type="dxa"/>
            <w:tcBorders>
              <w:top w:val="single" w:color="auto" w:sz="4" w:space="0"/>
              <w:left w:val="single" w:color="auto" w:sz="4" w:space="0"/>
              <w:bottom w:val="single" w:color="auto" w:sz="4" w:space="0"/>
              <w:right w:val="single" w:color="auto" w:sz="4" w:space="0"/>
            </w:tcBorders>
            <w:vAlign w:val="center"/>
          </w:tcPr>
          <w:p w14:paraId="062E06E5">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12</w:t>
            </w:r>
          </w:p>
        </w:tc>
        <w:tc>
          <w:tcPr>
            <w:tcW w:w="5585" w:type="dxa"/>
            <w:tcBorders>
              <w:top w:val="single" w:color="auto" w:sz="4" w:space="0"/>
              <w:left w:val="single" w:color="auto" w:sz="4" w:space="0"/>
              <w:bottom w:val="single" w:color="auto" w:sz="4" w:space="0"/>
              <w:right w:val="single" w:color="auto" w:sz="4" w:space="0"/>
            </w:tcBorders>
            <w:vAlign w:val="center"/>
          </w:tcPr>
          <w:p w14:paraId="75797D0E">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医用冷冻冰箱</w:t>
            </w:r>
          </w:p>
        </w:tc>
        <w:tc>
          <w:tcPr>
            <w:tcW w:w="1227" w:type="dxa"/>
            <w:tcBorders>
              <w:top w:val="single" w:color="auto" w:sz="4" w:space="0"/>
              <w:left w:val="single" w:color="auto" w:sz="4" w:space="0"/>
              <w:bottom w:val="single" w:color="auto" w:sz="4" w:space="0"/>
              <w:right w:val="single" w:color="auto" w:sz="4" w:space="0"/>
            </w:tcBorders>
            <w:vAlign w:val="center"/>
          </w:tcPr>
          <w:p w14:paraId="47F021DE">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27" w:type="dxa"/>
            <w:tcBorders>
              <w:top w:val="single" w:color="auto" w:sz="4" w:space="0"/>
              <w:left w:val="single" w:color="auto" w:sz="4" w:space="0"/>
              <w:bottom w:val="single" w:color="auto" w:sz="4" w:space="0"/>
              <w:right w:val="single" w:color="auto" w:sz="4" w:space="0"/>
            </w:tcBorders>
            <w:vAlign w:val="center"/>
          </w:tcPr>
          <w:p w14:paraId="6362B470">
            <w:pPr>
              <w:spacing w:before="120" w:after="12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r>
    </w:tbl>
    <w:p w14:paraId="615D8B3D">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49860AD">
      <w:pPr>
        <w:widowControl w:val="0"/>
        <w:spacing w:after="20" w:afterLines="20" w:line="288" w:lineRule="auto"/>
        <w:jc w:val="center"/>
        <w:rPr>
          <w:rFonts w:hint="eastAsia" w:ascii="宋体" w:hAnsi="宋体" w:eastAsia="宋体" w:cs="宋体"/>
          <w:b/>
          <w:color w:val="auto"/>
          <w:kern w:val="2"/>
          <w:sz w:val="36"/>
          <w:szCs w:val="21"/>
          <w:highlight w:val="none"/>
          <w:lang w:val="en-US" w:eastAsia="zh-CN" w:bidi="ar-SA"/>
        </w:rPr>
      </w:pPr>
      <w:r>
        <w:rPr>
          <w:rFonts w:hint="eastAsia" w:ascii="宋体" w:hAnsi="宋体" w:eastAsia="宋体" w:cs="宋体"/>
          <w:b/>
          <w:color w:val="auto"/>
          <w:kern w:val="2"/>
          <w:sz w:val="36"/>
          <w:szCs w:val="21"/>
          <w:highlight w:val="none"/>
          <w:lang w:val="en-US" w:eastAsia="zh-CN" w:bidi="ar-SA"/>
        </w:rPr>
        <w:t>上海市同仁医院所需一批检验相关设备</w:t>
      </w:r>
    </w:p>
    <w:p w14:paraId="72E50F7C">
      <w:pPr>
        <w:widowControl w:val="0"/>
        <w:spacing w:after="20" w:afterLines="20" w:line="288" w:lineRule="auto"/>
        <w:jc w:val="center"/>
        <w:rPr>
          <w:rFonts w:hint="eastAsia" w:ascii="宋体" w:hAnsi="宋体" w:eastAsia="宋体" w:cs="宋体"/>
          <w:b/>
          <w:color w:val="auto"/>
          <w:kern w:val="2"/>
          <w:sz w:val="36"/>
          <w:szCs w:val="21"/>
          <w:highlight w:val="none"/>
          <w:lang w:val="en-US" w:eastAsia="zh-CN" w:bidi="ar-SA"/>
        </w:rPr>
      </w:pPr>
      <w:r>
        <w:rPr>
          <w:rFonts w:hint="eastAsia" w:ascii="宋体" w:hAnsi="宋体" w:eastAsia="宋体" w:cs="宋体"/>
          <w:b/>
          <w:color w:val="auto"/>
          <w:kern w:val="2"/>
          <w:sz w:val="36"/>
          <w:szCs w:val="21"/>
          <w:highlight w:val="none"/>
          <w:lang w:val="en-US" w:eastAsia="zh-CN" w:bidi="ar-SA"/>
        </w:rPr>
        <w:t xml:space="preserve">公开招标项目招标需求文件 </w:t>
      </w:r>
    </w:p>
    <w:p w14:paraId="1B0914B5">
      <w:pPr>
        <w:widowControl w:val="0"/>
        <w:spacing w:after="20" w:afterLines="20" w:line="288" w:lineRule="auto"/>
        <w:jc w:val="center"/>
        <w:rPr>
          <w:rFonts w:hint="eastAsia" w:ascii="宋体" w:hAnsi="宋体" w:eastAsia="宋体" w:cs="宋体"/>
          <w:b/>
          <w:color w:val="auto"/>
          <w:kern w:val="2"/>
          <w:sz w:val="36"/>
          <w:szCs w:val="21"/>
          <w:highlight w:val="none"/>
          <w:lang w:val="en-US" w:eastAsia="zh-CN" w:bidi="ar-SA"/>
        </w:rPr>
      </w:pPr>
      <w:r>
        <w:rPr>
          <w:rFonts w:hint="eastAsia" w:ascii="宋体" w:hAnsi="宋体" w:eastAsia="宋体" w:cs="宋体"/>
          <w:b/>
          <w:color w:val="auto"/>
          <w:kern w:val="2"/>
          <w:sz w:val="36"/>
          <w:szCs w:val="21"/>
          <w:highlight w:val="none"/>
          <w:lang w:val="en-US" w:eastAsia="zh-CN" w:bidi="ar-SA"/>
        </w:rPr>
        <w:t>第六标包：细胞遗传自动阅片系统+AI软件</w:t>
      </w:r>
    </w:p>
    <w:p w14:paraId="796360E0">
      <w:pPr>
        <w:widowControl w:val="0"/>
        <w:adjustRightInd w:val="0"/>
        <w:snapToGrid w:val="0"/>
        <w:spacing w:after="249" w:afterLines="80" w:line="288" w:lineRule="auto"/>
        <w:jc w:val="center"/>
        <w:rPr>
          <w:rFonts w:hint="eastAsia" w:ascii="黑体" w:hAnsi="黑体" w:eastAsia="黑体" w:cs="Times New Roman"/>
          <w:b/>
          <w:color w:val="auto"/>
          <w:kern w:val="2"/>
          <w:sz w:val="32"/>
          <w:szCs w:val="32"/>
          <w:highlight w:val="none"/>
          <w:lang w:val="en-US" w:eastAsia="zh-CN" w:bidi="ar-SA"/>
        </w:rPr>
      </w:pPr>
    </w:p>
    <w:p w14:paraId="06582D09">
      <w:pPr>
        <w:numPr>
          <w:ilvl w:val="0"/>
          <w:numId w:val="1"/>
        </w:numPr>
        <w:adjustRightInd w:val="0"/>
        <w:snapToGrid w:val="0"/>
        <w:spacing w:before="120" w:after="120" w:afterLines="20" w:line="360" w:lineRule="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项目</w:t>
      </w:r>
      <w:r>
        <w:rPr>
          <w:rFonts w:hint="eastAsia" w:ascii="宋体" w:hAnsi="宋体" w:eastAsia="宋体" w:cs="宋体"/>
          <w:b/>
          <w:color w:val="auto"/>
          <w:sz w:val="28"/>
          <w:szCs w:val="28"/>
          <w:highlight w:val="none"/>
          <w:lang w:val="en-US" w:eastAsia="zh-CN"/>
        </w:rPr>
        <w:t>信息</w:t>
      </w:r>
    </w:p>
    <w:p w14:paraId="2EB50829">
      <w:pPr>
        <w:keepNext w:val="0"/>
        <w:keepLines w:val="0"/>
        <w:pageBreakBefore w:val="0"/>
        <w:widowControl/>
        <w:numPr>
          <w:ilvl w:val="0"/>
          <w:numId w:val="2"/>
        </w:numPr>
        <w:kinsoku/>
        <w:wordWrap/>
        <w:overflowPunct/>
        <w:topLinePunct w:val="0"/>
        <w:autoSpaceDE/>
        <w:autoSpaceDN/>
        <w:bidi w:val="0"/>
        <w:adjustRightInd/>
        <w:snapToGrid/>
        <w:spacing w:after="20" w:afterLines="20" w:line="360" w:lineRule="auto"/>
        <w:ind w:left="425" w:leftChars="0" w:hanging="425" w:firstLineChars="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预算金额：</w:t>
      </w:r>
      <w:r>
        <w:rPr>
          <w:rFonts w:hint="eastAsia" w:ascii="宋体" w:hAnsi="宋体" w:eastAsia="宋体" w:cs="宋体"/>
          <w:b w:val="0"/>
          <w:bCs/>
          <w:color w:val="auto"/>
          <w:kern w:val="2"/>
          <w:sz w:val="24"/>
          <w:szCs w:val="24"/>
          <w:highlight w:val="none"/>
          <w:lang w:val="en-US" w:eastAsia="zh-CN" w:bidi="ar-SA"/>
        </w:rPr>
        <w:t>150万，超过此预算金额报价无效。</w:t>
      </w:r>
      <w:r>
        <w:rPr>
          <w:rFonts w:hint="eastAsia" w:ascii="宋体" w:hAnsi="宋体" w:eastAsia="宋体" w:cs="宋体"/>
          <w:b w:val="0"/>
          <w:bCs/>
          <w:color w:val="auto"/>
          <w:kern w:val="2"/>
          <w:sz w:val="24"/>
          <w:szCs w:val="24"/>
          <w:highlight w:val="none"/>
          <w:lang w:val="en-US" w:eastAsia="zh-CN" w:bidi="ar-SA"/>
        </w:rPr>
        <w:t>预算金额为投标最高限价</w:t>
      </w:r>
      <w:r>
        <w:rPr>
          <w:rFonts w:hint="eastAsia" w:ascii="黑体" w:hAnsi="黑体" w:eastAsia="黑体" w:cs="宋体"/>
          <w:b w:val="0"/>
          <w:bCs/>
          <w:color w:val="auto"/>
          <w:kern w:val="2"/>
          <w:sz w:val="24"/>
          <w:szCs w:val="24"/>
          <w:highlight w:val="none"/>
          <w:lang w:val="en-US" w:eastAsia="zh-CN" w:bidi="ar-SA"/>
        </w:rPr>
        <w:t>。</w:t>
      </w:r>
    </w:p>
    <w:p w14:paraId="149EA9CB">
      <w:pPr>
        <w:keepNext w:val="0"/>
        <w:keepLines w:val="0"/>
        <w:pageBreakBefore w:val="0"/>
        <w:widowControl/>
        <w:numPr>
          <w:ilvl w:val="0"/>
          <w:numId w:val="2"/>
        </w:numPr>
        <w:kinsoku/>
        <w:wordWrap/>
        <w:overflowPunct/>
        <w:topLinePunct w:val="0"/>
        <w:autoSpaceDE/>
        <w:autoSpaceDN/>
        <w:bidi w:val="0"/>
        <w:adjustRightInd/>
        <w:snapToGrid/>
        <w:spacing w:after="20" w:afterLines="20" w:line="360" w:lineRule="auto"/>
        <w:ind w:left="425" w:leftChars="0" w:hanging="425" w:firstLineChars="0"/>
        <w:jc w:val="both"/>
        <w:textAlignment w:val="auto"/>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交货期限：</w:t>
      </w:r>
      <w:r>
        <w:rPr>
          <w:rFonts w:hint="eastAsia" w:ascii="宋体" w:hAnsi="宋体" w:eastAsia="宋体" w:cs="宋体"/>
          <w:color w:val="auto"/>
          <w:kern w:val="2"/>
          <w:sz w:val="24"/>
          <w:szCs w:val="24"/>
          <w:highlight w:val="none"/>
          <w:lang w:val="en-US" w:eastAsia="zh-CN" w:bidi="ar-SA"/>
        </w:rPr>
        <w:t>合同签订后60天内完成</w:t>
      </w:r>
      <w:r>
        <w:rPr>
          <w:rFonts w:hint="eastAsia" w:ascii="宋体" w:hAnsi="宋体" w:eastAsia="宋体" w:cs="宋体"/>
          <w:color w:val="auto"/>
          <w:kern w:val="2"/>
          <w:sz w:val="24"/>
          <w:szCs w:val="24"/>
          <w:highlight w:val="none"/>
          <w:lang w:val="en-US" w:eastAsia="zh-CN" w:bidi="ar-SA"/>
        </w:rPr>
        <w:t>所有设备及软件</w:t>
      </w:r>
      <w:r>
        <w:rPr>
          <w:rFonts w:hint="eastAsia" w:ascii="宋体" w:hAnsi="宋体" w:eastAsia="宋体" w:cs="宋体"/>
          <w:color w:val="auto"/>
          <w:kern w:val="2"/>
          <w:sz w:val="24"/>
          <w:szCs w:val="24"/>
          <w:highlight w:val="none"/>
          <w:lang w:val="en-US" w:eastAsia="zh-CN" w:bidi="ar-SA"/>
        </w:rPr>
        <w:t>的交付、安装、调试。</w:t>
      </w:r>
    </w:p>
    <w:p w14:paraId="21810A48">
      <w:pPr>
        <w:keepNext w:val="0"/>
        <w:keepLines w:val="0"/>
        <w:pageBreakBefore w:val="0"/>
        <w:widowControl/>
        <w:numPr>
          <w:ilvl w:val="0"/>
          <w:numId w:val="2"/>
        </w:numPr>
        <w:kinsoku/>
        <w:wordWrap/>
        <w:overflowPunct/>
        <w:topLinePunct w:val="0"/>
        <w:autoSpaceDE/>
        <w:autoSpaceDN/>
        <w:bidi w:val="0"/>
        <w:adjustRightInd/>
        <w:snapToGrid/>
        <w:spacing w:after="20" w:afterLines="20" w:line="360" w:lineRule="auto"/>
        <w:ind w:left="425" w:leftChars="0" w:hanging="425" w:firstLineChars="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交货地点：</w:t>
      </w:r>
      <w:r>
        <w:rPr>
          <w:rFonts w:hint="eastAsia" w:ascii="宋体" w:hAnsi="宋体" w:eastAsia="宋体" w:cs="宋体"/>
          <w:b w:val="0"/>
          <w:bCs/>
          <w:color w:val="auto"/>
          <w:kern w:val="2"/>
          <w:sz w:val="24"/>
          <w:szCs w:val="24"/>
          <w:highlight w:val="none"/>
          <w:lang w:val="en-US" w:eastAsia="zh-CN" w:bidi="ar-SA"/>
        </w:rPr>
        <w:t>上海市同仁医院</w:t>
      </w:r>
    </w:p>
    <w:p w14:paraId="58470C94">
      <w:pPr>
        <w:keepNext w:val="0"/>
        <w:keepLines w:val="0"/>
        <w:pageBreakBefore w:val="0"/>
        <w:widowControl/>
        <w:numPr>
          <w:ilvl w:val="0"/>
          <w:numId w:val="2"/>
        </w:numPr>
        <w:kinsoku/>
        <w:wordWrap/>
        <w:overflowPunct/>
        <w:topLinePunct w:val="0"/>
        <w:autoSpaceDE/>
        <w:autoSpaceDN/>
        <w:bidi w:val="0"/>
        <w:adjustRightInd/>
        <w:snapToGrid/>
        <w:spacing w:after="20" w:afterLines="20" w:line="360" w:lineRule="auto"/>
        <w:ind w:left="425" w:leftChars="0" w:hanging="425" w:firstLineChars="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color w:val="auto"/>
          <w:kern w:val="2"/>
          <w:sz w:val="24"/>
          <w:szCs w:val="24"/>
          <w:highlight w:val="none"/>
          <w:lang w:val="en-US" w:eastAsia="zh-CN" w:bidi="ar-SA"/>
        </w:rPr>
        <w:t>付款方式：</w:t>
      </w:r>
      <w:r>
        <w:rPr>
          <w:rFonts w:hint="eastAsia" w:ascii="宋体" w:hAnsi="宋体" w:eastAsia="宋体" w:cs="宋体"/>
          <w:b w:val="0"/>
          <w:bCs/>
          <w:color w:val="auto"/>
          <w:kern w:val="2"/>
          <w:sz w:val="24"/>
          <w:szCs w:val="24"/>
          <w:highlight w:val="none"/>
          <w:u w:val="none"/>
          <w:lang w:val="en-US" w:eastAsia="zh-CN" w:bidi="ar-SA"/>
        </w:rPr>
        <w:t>设备验收合格之后6个月内支付100%货款，具体根据合同约定条款进行支付；采购合同应明确资金支付的方式、时间和条件，明确逾期支付资金的违约责任。</w:t>
      </w:r>
    </w:p>
    <w:p w14:paraId="6B917980">
      <w:pPr>
        <w:keepNext w:val="0"/>
        <w:keepLines w:val="0"/>
        <w:pageBreakBefore w:val="0"/>
        <w:widowControl/>
        <w:numPr>
          <w:ilvl w:val="0"/>
          <w:numId w:val="2"/>
        </w:numPr>
        <w:kinsoku/>
        <w:wordWrap/>
        <w:overflowPunct/>
        <w:topLinePunct w:val="0"/>
        <w:autoSpaceDE/>
        <w:autoSpaceDN/>
        <w:bidi w:val="0"/>
        <w:adjustRightInd/>
        <w:snapToGrid/>
        <w:spacing w:beforeLines="50" w:after="20" w:afterLines="50" w:line="360" w:lineRule="auto"/>
        <w:ind w:left="425" w:leftChars="0" w:hanging="425"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本标包属于货物类招标项目。本标包核心产品有：</w:t>
      </w:r>
      <w:r>
        <w:rPr>
          <w:rFonts w:hint="eastAsia" w:ascii="宋体" w:hAnsi="宋体" w:eastAsia="宋体" w:cs="宋体"/>
          <w:color w:val="auto"/>
          <w:kern w:val="2"/>
          <w:sz w:val="24"/>
          <w:szCs w:val="24"/>
          <w:highlight w:val="none"/>
          <w:lang w:val="en-US" w:eastAsia="zh-CN" w:bidi="ar-SA"/>
        </w:rPr>
        <w:t>显微成像系统</w:t>
      </w:r>
      <w:r>
        <w:rPr>
          <w:rFonts w:hint="eastAsia" w:ascii="宋体" w:hAnsi="宋体" w:eastAsia="宋体" w:cs="宋体"/>
          <w:color w:val="auto"/>
          <w:kern w:val="0"/>
          <w:sz w:val="24"/>
          <w:szCs w:val="24"/>
          <w:highlight w:val="none"/>
          <w:lang w:val="en-US" w:eastAsia="zh-CN" w:bidi="ar"/>
        </w:rPr>
        <w:t>。</w:t>
      </w:r>
    </w:p>
    <w:p w14:paraId="32321253">
      <w:pPr>
        <w:keepNext w:val="0"/>
        <w:keepLines w:val="0"/>
        <w:pageBreakBefore w:val="0"/>
        <w:widowControl/>
        <w:numPr>
          <w:ilvl w:val="0"/>
          <w:numId w:val="2"/>
        </w:numPr>
        <w:kinsoku/>
        <w:wordWrap/>
        <w:overflowPunct/>
        <w:topLinePunct w:val="0"/>
        <w:autoSpaceDE/>
        <w:autoSpaceDN/>
        <w:bidi w:val="0"/>
        <w:adjustRightInd/>
        <w:snapToGrid/>
        <w:spacing w:beforeLines="50" w:after="20" w:afterLines="50" w:line="360" w:lineRule="auto"/>
        <w:ind w:left="425" w:leftChars="0" w:hanging="425" w:firstLineChars="0"/>
        <w:jc w:val="left"/>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本标包中带“★”的为关键指标，未响应按无效处理；“▲”的为重要指标，其他为一般指标。“★”与“▲”指标需提供技术支撑材料。</w:t>
      </w:r>
    </w:p>
    <w:p w14:paraId="3EC38A2A">
      <w:pPr>
        <w:keepNext w:val="0"/>
        <w:keepLines w:val="0"/>
        <w:pageBreakBefore w:val="0"/>
        <w:numPr>
          <w:ilvl w:val="0"/>
          <w:numId w:val="2"/>
        </w:numPr>
        <w:kinsoku/>
        <w:wordWrap/>
        <w:overflowPunct/>
        <w:topLinePunct w:val="0"/>
        <w:autoSpaceDE/>
        <w:autoSpaceDN/>
        <w:bidi w:val="0"/>
        <w:adjustRightInd/>
        <w:snapToGrid/>
        <w:spacing w:after="20" w:afterLines="20" w:line="360" w:lineRule="auto"/>
        <w:ind w:left="425" w:hanging="425"/>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履约验收要求：项目履约验收工作具体依据项目合同中的履约验收方案执行。合同中的履约验收方案将明确履约验收的主体、时间、方式、程序、内容和验收标准等事项。</w:t>
      </w:r>
    </w:p>
    <w:p w14:paraId="352BA5AE">
      <w:pPr>
        <w:keepNext w:val="0"/>
        <w:keepLines w:val="0"/>
        <w:pageBreakBefore w:val="0"/>
        <w:numPr>
          <w:ilvl w:val="0"/>
          <w:numId w:val="2"/>
        </w:numPr>
        <w:kinsoku/>
        <w:wordWrap/>
        <w:overflowPunct/>
        <w:topLinePunct w:val="0"/>
        <w:autoSpaceDE/>
        <w:autoSpaceDN/>
        <w:bidi w:val="0"/>
        <w:adjustRightInd/>
        <w:snapToGrid/>
        <w:spacing w:after="20" w:afterLines="20" w:line="360" w:lineRule="auto"/>
        <w:ind w:left="425" w:hanging="425"/>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供应商需提供设备安装需要的基建要求，包括场地面积、承重、层高、用电等情况（如有）。设备安装验收后提供免费培训服务，提供与设备相关的操作手册和使用说明书。</w:t>
      </w:r>
    </w:p>
    <w:p w14:paraId="21D840B0">
      <w:pPr>
        <w:keepNext w:val="0"/>
        <w:keepLines w:val="0"/>
        <w:pageBreakBefore w:val="0"/>
        <w:numPr>
          <w:ilvl w:val="0"/>
          <w:numId w:val="2"/>
        </w:numPr>
        <w:kinsoku/>
        <w:wordWrap/>
        <w:overflowPunct/>
        <w:topLinePunct w:val="0"/>
        <w:autoSpaceDE/>
        <w:autoSpaceDN/>
        <w:bidi w:val="0"/>
        <w:adjustRightInd/>
        <w:snapToGrid/>
        <w:spacing w:after="20" w:afterLines="20" w:line="360" w:lineRule="auto"/>
        <w:ind w:left="425" w:hanging="425"/>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供应商需承诺设备接口免费开放，免费接入医院综合运营系统，如有端口费用由中标方承担。</w:t>
      </w:r>
    </w:p>
    <w:p w14:paraId="20910D36">
      <w:pPr>
        <w:keepNext w:val="0"/>
        <w:keepLines w:val="0"/>
        <w:pageBreakBefore w:val="0"/>
        <w:numPr>
          <w:ilvl w:val="0"/>
          <w:numId w:val="2"/>
        </w:numPr>
        <w:kinsoku/>
        <w:wordWrap/>
        <w:overflowPunct/>
        <w:topLinePunct w:val="0"/>
        <w:autoSpaceDE/>
        <w:autoSpaceDN/>
        <w:bidi w:val="0"/>
        <w:adjustRightInd/>
        <w:snapToGrid/>
        <w:spacing w:after="20" w:afterLines="20" w:line="360" w:lineRule="auto"/>
        <w:ind w:left="425" w:hanging="425"/>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本次报价包含设备费用、安装调试费、运输费、包装费、税金等完成本项目所需要的所有费用。</w:t>
      </w:r>
    </w:p>
    <w:p w14:paraId="4EF1F876">
      <w:pPr>
        <w:keepNext w:val="0"/>
        <w:keepLines w:val="0"/>
        <w:pageBreakBefore w:val="0"/>
        <w:numPr>
          <w:ilvl w:val="0"/>
          <w:numId w:val="2"/>
        </w:numPr>
        <w:kinsoku/>
        <w:wordWrap/>
        <w:overflowPunct/>
        <w:topLinePunct w:val="0"/>
        <w:autoSpaceDE/>
        <w:autoSpaceDN/>
        <w:bidi w:val="0"/>
        <w:adjustRightInd/>
        <w:snapToGrid/>
        <w:spacing w:after="20" w:afterLines="20" w:line="360" w:lineRule="auto"/>
        <w:ind w:left="425" w:hanging="425"/>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后续的全生命周期成本及备品备件采购价格情况等相关说明。</w:t>
      </w:r>
    </w:p>
    <w:p w14:paraId="19EAF100">
      <w:pPr>
        <w:keepNext w:val="0"/>
        <w:keepLines w:val="0"/>
        <w:pageBreakBefore w:val="0"/>
        <w:numPr>
          <w:ilvl w:val="0"/>
          <w:numId w:val="2"/>
        </w:numPr>
        <w:kinsoku/>
        <w:wordWrap/>
        <w:overflowPunct/>
        <w:topLinePunct w:val="0"/>
        <w:autoSpaceDE/>
        <w:autoSpaceDN/>
        <w:bidi w:val="0"/>
        <w:adjustRightInd/>
        <w:snapToGrid/>
        <w:spacing w:after="20" w:afterLines="20" w:line="360" w:lineRule="auto"/>
        <w:ind w:left="425" w:hanging="425"/>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本项目需由供应商提供设计方案、解决方案或者组织方案以及技术支持资料。</w:t>
      </w:r>
    </w:p>
    <w:p w14:paraId="6DBB3552">
      <w:pPr>
        <w:keepNext w:val="0"/>
        <w:keepLines w:val="0"/>
        <w:pageBreakBefore w:val="0"/>
        <w:numPr>
          <w:ilvl w:val="0"/>
          <w:numId w:val="2"/>
        </w:numPr>
        <w:kinsoku/>
        <w:wordWrap/>
        <w:overflowPunct/>
        <w:topLinePunct w:val="0"/>
        <w:autoSpaceDE/>
        <w:autoSpaceDN/>
        <w:bidi w:val="0"/>
        <w:adjustRightInd/>
        <w:snapToGrid/>
        <w:spacing w:after="20" w:afterLines="20" w:line="360" w:lineRule="auto"/>
        <w:ind w:left="425" w:hanging="42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本标包设备质保期不少于3年。</w:t>
      </w:r>
    </w:p>
    <w:p w14:paraId="719CB85C">
      <w:pPr>
        <w:widowControl w:val="0"/>
        <w:adjustRightInd w:val="0"/>
        <w:snapToGrid w:val="0"/>
        <w:spacing w:after="249" w:afterLines="80" w:line="288" w:lineRule="auto"/>
        <w:jc w:val="center"/>
        <w:rPr>
          <w:rFonts w:hint="eastAsia" w:ascii="宋体" w:hAnsi="宋体" w:eastAsia="宋体" w:cs="宋体"/>
          <w:b/>
          <w:color w:val="auto"/>
          <w:kern w:val="2"/>
          <w:sz w:val="24"/>
          <w:szCs w:val="24"/>
          <w:highlight w:val="none"/>
          <w:lang w:val="en-US" w:eastAsia="zh-CN" w:bidi="ar-SA"/>
        </w:rPr>
      </w:pPr>
    </w:p>
    <w:p w14:paraId="647FFE4F">
      <w:pPr>
        <w:numPr>
          <w:ilvl w:val="0"/>
          <w:numId w:val="1"/>
        </w:numPr>
        <w:adjustRightInd w:val="0"/>
        <w:snapToGrid w:val="0"/>
        <w:spacing w:before="120" w:after="120" w:afterLines="20"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招标参数</w:t>
      </w:r>
    </w:p>
    <w:p w14:paraId="1DAC43A5">
      <w:pPr>
        <w:numPr>
          <w:ilvl w:val="0"/>
          <w:numId w:val="4"/>
        </w:numPr>
        <w:tabs>
          <w:tab w:val="left" w:pos="0"/>
        </w:tabs>
        <w:adjustRightInd w:val="0"/>
        <w:snapToGrid w:val="0"/>
        <w:spacing w:before="312" w:beforeLines="100" w:after="156" w:afterLines="50" w:line="288" w:lineRule="auto"/>
        <w:ind w:left="425" w:hanging="425"/>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显微成像系统</w:t>
      </w:r>
    </w:p>
    <w:p w14:paraId="6DF09392">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▲产品需同时拥有NMPA及CE注册证书。</w:t>
      </w:r>
    </w:p>
    <w:p w14:paraId="1F88747D">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★机身采用一体式封闭结构，有效防止外部环境对光学扫描的干扰，光学系统非显微镜架设。（提供机身外部及内部实物照片）</w:t>
      </w:r>
    </w:p>
    <w:p w14:paraId="305E848C">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电动物镜转换器，物镜孔位≥4。齐焦误差符合国家及行业标准（如GB/T 29858），提供整机注册检验报告或具备CMA/CNAS资质的第三方检测机构出具的包含齐焦误差项目的检测报告。</w:t>
      </w:r>
    </w:p>
    <w:p w14:paraId="452BA07D">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透射光照明：LED光源，柯勒照明，中心照度≥150万lux，光源额定寿命≥30000小时。（照度提供拥有CMA或CNAS资质的第三方检测报告；寿命提供制造商技术规格书或相关证明文件）</w:t>
      </w:r>
    </w:p>
    <w:p w14:paraId="05698204">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全自动电动调焦系统，最大移动速度≥30mm/s，最大加速度≥30mm/s²，Z轴重复定位精度≤0.2μm。（提供整机制造商盖章的技术响应文件，以及拥有CMA或CNAS资质的第三方检测机构出具的包含上述性能指标的整机检测报告）</w:t>
      </w:r>
    </w:p>
    <w:p w14:paraId="21DAC414">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配置10X（NA≥0.2）、100X（NA≥1.25）进口物镜，具有高分辨率和良好的光学品质。（提供物镜具体品牌和参数）</w:t>
      </w:r>
    </w:p>
    <w:p w14:paraId="6E22E9AA">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▲通量：自动进样器一次性装载玻片数量≥240片。</w:t>
      </w:r>
    </w:p>
    <w:p w14:paraId="61104D26">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有效扫描区域≥25mm×55mm，染色体核型检测单张玻片扫描时间≤5min（低倍全片通扫，高倍扫描50个中期相）。</w:t>
      </w:r>
    </w:p>
    <w:p w14:paraId="6DFB5EC7">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配备宏观相机，可识别玻片标签信息，如文字、条形码、二维码等。</w:t>
      </w:r>
    </w:p>
    <w:p w14:paraId="2E0ED13F">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配置黑白扫描相机：采用科研级大靶面高灵敏CMOS黑白面阵相机，全局快门，像素尺寸≥5.8μm×5.8μm，支持自定义ROI，帧率≥155fps。（提供相机品牌型号及原厂盖章参数）</w:t>
      </w:r>
    </w:p>
    <w:p w14:paraId="7B397325">
      <w:pPr>
        <w:numPr>
          <w:ilvl w:val="0"/>
          <w:numId w:val="5"/>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目标定位：具备人工智能辅助算法，支持低倍镜预扫描自动识别玻片中染色体中期相或细胞并评分，识别特异度≥98%，灵敏度≥95%。（提供医疗器械注册证，注册证适用范围或技术要求中应体现相关AI分析功能；算法性能指标提供产品技术要求、临床评价报告或第三方验证资料予以证明）</w:t>
      </w:r>
    </w:p>
    <w:p w14:paraId="44623E79">
      <w:pPr>
        <w:widowControl w:val="0"/>
        <w:spacing w:before="100" w:after="100" w:afterLines="0" w:line="300" w:lineRule="auto"/>
        <w:ind w:firstLine="480" w:firstLineChars="200"/>
        <w:jc w:val="both"/>
        <w:rPr>
          <w:rFonts w:hint="eastAsia" w:ascii="宋体" w:hAnsi="宋体" w:eastAsia="宋体" w:cs="宋体"/>
          <w:color w:val="auto"/>
          <w:kern w:val="2"/>
          <w:sz w:val="24"/>
          <w:szCs w:val="24"/>
          <w:highlight w:val="none"/>
          <w:lang w:val="en-US" w:eastAsia="zh-CN" w:bidi="ar-SA"/>
        </w:rPr>
      </w:pPr>
    </w:p>
    <w:p w14:paraId="59ED20FC">
      <w:pPr>
        <w:numPr>
          <w:ilvl w:val="0"/>
          <w:numId w:val="4"/>
        </w:numPr>
        <w:tabs>
          <w:tab w:val="left" w:pos="0"/>
        </w:tabs>
        <w:adjustRightInd w:val="0"/>
        <w:snapToGrid w:val="0"/>
        <w:spacing w:before="312" w:beforeLines="100" w:after="156" w:afterLines="50" w:line="288" w:lineRule="auto"/>
        <w:ind w:left="425" w:hanging="425"/>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AI分析软件</w:t>
      </w:r>
    </w:p>
    <w:p w14:paraId="6DB07DB9">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▲产品需同时拥有NMPA及CE注册证书。软件为合规申报注册的人工智能医疗器械（提供医疗器械注册证，产品功能明确采用深度学习算法）</w:t>
      </w:r>
    </w:p>
    <w:p w14:paraId="42A84296">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▲使用深度学习算法对骨髓中期分裂相图片进行分析，软件分割、分类准确度≥95%。（提供产品技术要求、临床评价报告或第三方验证资料，明确测试数据集来源及测试结果）</w:t>
      </w:r>
    </w:p>
    <w:p w14:paraId="25A87564">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▲具备智能带纹增强功能，支持杂质去除、图像锐化、平滑及对比度增强，处理后染色体带纹清晰可辨。（提供软件功能界面截图或操作视频演示）。</w:t>
      </w:r>
    </w:p>
    <w:p w14:paraId="06798079">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图像优化调整功能，提供优化参数调整，亮度、对比度、锐化对于同一个样本，支持不同用户自定义不同的图像优化模式，提供≥4个可供用户自定义的预设模板。（提供使用界面证明）。</w:t>
      </w:r>
    </w:p>
    <w:p w14:paraId="7CCE68C0">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具有低质量图片批量删除功能，解除无效的存储空间占用，节约存储成本。（提供使用界面证明）。</w:t>
      </w:r>
    </w:p>
    <w:p w14:paraId="5CA44B84">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具备骨髓染色体自动排列/摆正功能，排列准确性良好。（提供产品技术要求、临床评价报告或第三方验证资料予以证明）</w:t>
      </w:r>
    </w:p>
    <w:p w14:paraId="4841C128">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支持着丝粒识别与对齐功能。（提供产品技术要求、临床评价报告或第三方验证资料予以证明））</w:t>
      </w:r>
    </w:p>
    <w:p w14:paraId="5DF5B5F8">
      <w:pPr>
        <w:numPr>
          <w:ilvl w:val="0"/>
          <w:numId w:val="6"/>
        </w:numPr>
        <w:tabs>
          <w:tab w:val="left" w:pos="0"/>
          <w:tab w:val="left" w:pos="312"/>
        </w:tabs>
        <w:adjustRightInd w:val="0"/>
        <w:snapToGrid w:val="0"/>
        <w:spacing w:before="312" w:beforeLines="100" w:after="156" w:afterLines="50" w:line="288" w:lineRule="auto"/>
        <w:ind w:left="425" w:hanging="425"/>
        <w:outlineLvl w:val="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条带编辑：支持染色体模式图拼接,对模式图渲染不同条带颜色,可对任意条带切割，自动拼接后生成异常模式图。形象的模拟异常染色体,方便比对目标染色体，快速定位异常条带。（提供功能页面截图）</w:t>
      </w:r>
    </w:p>
    <w:p w14:paraId="143EB686">
      <w:pPr>
        <w:numPr>
          <w:ilvl w:val="0"/>
          <w:numId w:val="4"/>
        </w:numPr>
        <w:tabs>
          <w:tab w:val="left" w:pos="0"/>
        </w:tabs>
        <w:adjustRightInd w:val="0"/>
        <w:snapToGrid w:val="0"/>
        <w:spacing w:before="312" w:beforeLines="100" w:after="156" w:afterLines="50" w:line="288" w:lineRule="auto"/>
        <w:ind w:left="425" w:hanging="425"/>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配置要求</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2172"/>
        <w:gridCol w:w="706"/>
        <w:gridCol w:w="4922"/>
      </w:tblGrid>
      <w:tr w14:paraId="67D4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470D5C06">
            <w:pPr>
              <w:adjustRightInd w:val="0"/>
              <w:snapToGrid w:val="0"/>
              <w:spacing w:after="62" w:afterLines="20" w:line="288"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172" w:type="dxa"/>
          </w:tcPr>
          <w:p w14:paraId="176D3A14">
            <w:pPr>
              <w:adjustRightInd w:val="0"/>
              <w:snapToGrid w:val="0"/>
              <w:spacing w:after="62" w:afterLines="20" w:line="288"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名称</w:t>
            </w:r>
          </w:p>
        </w:tc>
        <w:tc>
          <w:tcPr>
            <w:tcW w:w="706" w:type="dxa"/>
          </w:tcPr>
          <w:p w14:paraId="0CB5A18F">
            <w:pPr>
              <w:adjustRightInd w:val="0"/>
              <w:snapToGrid w:val="0"/>
              <w:spacing w:after="62" w:afterLines="20" w:line="288"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4922" w:type="dxa"/>
          </w:tcPr>
          <w:p w14:paraId="71B7FE89">
            <w:pPr>
              <w:adjustRightInd w:val="0"/>
              <w:snapToGrid w:val="0"/>
              <w:spacing w:after="62" w:afterLines="20" w:line="288"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要求</w:t>
            </w:r>
          </w:p>
        </w:tc>
      </w:tr>
      <w:tr w14:paraId="6ECC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11BC3845">
            <w:pPr>
              <w:adjustRightInd w:val="0"/>
              <w:snapToGrid w:val="0"/>
              <w:spacing w:after="62" w:afterLines="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172" w:type="dxa"/>
          </w:tcPr>
          <w:p w14:paraId="59344BA7">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显微成像系统</w:t>
            </w:r>
          </w:p>
        </w:tc>
        <w:tc>
          <w:tcPr>
            <w:tcW w:w="706" w:type="dxa"/>
          </w:tcPr>
          <w:p w14:paraId="734F515D">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1套</w:t>
            </w:r>
          </w:p>
        </w:tc>
        <w:tc>
          <w:tcPr>
            <w:tcW w:w="4922" w:type="dxa"/>
          </w:tcPr>
          <w:p w14:paraId="09D370CE">
            <w:pPr>
              <w:adjustRightInd w:val="0"/>
              <w:snapToGrid w:val="0"/>
              <w:spacing w:after="62" w:afterLines="20" w:line="288" w:lineRule="auto"/>
              <w:rPr>
                <w:rFonts w:hint="eastAsia" w:ascii="宋体" w:hAnsi="宋体" w:eastAsia="宋体" w:cs="宋体"/>
                <w:color w:val="auto"/>
                <w:sz w:val="24"/>
                <w:szCs w:val="24"/>
                <w:highlight w:val="none"/>
              </w:rPr>
            </w:pPr>
          </w:p>
        </w:tc>
      </w:tr>
      <w:tr w14:paraId="00BC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0B9B1B0">
            <w:pPr>
              <w:adjustRightInd w:val="0"/>
              <w:snapToGrid w:val="0"/>
              <w:spacing w:after="62" w:afterLines="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172" w:type="dxa"/>
          </w:tcPr>
          <w:p w14:paraId="2ADA2AAD">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扫描工作站</w:t>
            </w:r>
          </w:p>
        </w:tc>
        <w:tc>
          <w:tcPr>
            <w:tcW w:w="706" w:type="dxa"/>
          </w:tcPr>
          <w:p w14:paraId="3DA680E0">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1套</w:t>
            </w:r>
          </w:p>
        </w:tc>
        <w:tc>
          <w:tcPr>
            <w:tcW w:w="4922" w:type="dxa"/>
          </w:tcPr>
          <w:p w14:paraId="7EBE462C">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处理器：Intel Core i5 四核或以上配置，主频≥2.5GHz。</w:t>
            </w:r>
          </w:p>
          <w:p w14:paraId="7F62A06D">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内存：≥16GB DDR4。</w:t>
            </w:r>
          </w:p>
          <w:p w14:paraId="36955AED">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硬盘：≥8TB，支持7200rpm机械硬盘或SSD混合存储。</w:t>
            </w:r>
          </w:p>
          <w:p w14:paraId="6F0FE7A8">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独立显卡：显存≥12GB。</w:t>
            </w:r>
          </w:p>
          <w:p w14:paraId="300AC3C4">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操作系统：正版Windows 10或以上版本。</w:t>
            </w:r>
          </w:p>
          <w:p w14:paraId="519F2FB8">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显示器：≥27英寸；显示器分辨率：高清。</w:t>
            </w:r>
          </w:p>
        </w:tc>
      </w:tr>
      <w:tr w14:paraId="3262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12C27D29">
            <w:pPr>
              <w:adjustRightInd w:val="0"/>
              <w:snapToGrid w:val="0"/>
              <w:spacing w:after="62" w:afterLines="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172" w:type="dxa"/>
          </w:tcPr>
          <w:p w14:paraId="05127136">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AI分析软件</w:t>
            </w:r>
          </w:p>
        </w:tc>
        <w:tc>
          <w:tcPr>
            <w:tcW w:w="706" w:type="dxa"/>
          </w:tcPr>
          <w:p w14:paraId="045B71A8">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1套</w:t>
            </w:r>
          </w:p>
        </w:tc>
        <w:tc>
          <w:tcPr>
            <w:tcW w:w="4922" w:type="dxa"/>
          </w:tcPr>
          <w:p w14:paraId="57B07273">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≥2端口</w:t>
            </w:r>
          </w:p>
        </w:tc>
      </w:tr>
      <w:tr w14:paraId="19F0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0F521508">
            <w:pPr>
              <w:adjustRightInd w:val="0"/>
              <w:snapToGrid w:val="0"/>
              <w:spacing w:after="62" w:afterLines="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172" w:type="dxa"/>
          </w:tcPr>
          <w:p w14:paraId="5C258011">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中心服务器</w:t>
            </w:r>
          </w:p>
        </w:tc>
        <w:tc>
          <w:tcPr>
            <w:tcW w:w="706" w:type="dxa"/>
          </w:tcPr>
          <w:p w14:paraId="6B5C5F0C">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1套</w:t>
            </w:r>
          </w:p>
        </w:tc>
        <w:tc>
          <w:tcPr>
            <w:tcW w:w="4922" w:type="dxa"/>
          </w:tcPr>
          <w:p w14:paraId="422B50F5">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处理器：≥六核，主频≥2.5GHz（如Intel Xeon或Core i7及以上）</w:t>
            </w:r>
          </w:p>
          <w:p w14:paraId="08C67DFD">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运行内存：≥32GB DDR4 ECC。</w:t>
            </w:r>
          </w:p>
          <w:p w14:paraId="7E7D2380">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显卡：NVIDIA独立GPU显卡，显存≥12GB。</w:t>
            </w:r>
          </w:p>
          <w:p w14:paraId="16EBC993">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存储空间：≥16TB，支持RAID数据保护。</w:t>
            </w:r>
          </w:p>
          <w:p w14:paraId="46EDED82">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操作系统：正版Microsoft Windows Server或Windows 10或以上。</w:t>
            </w:r>
          </w:p>
          <w:p w14:paraId="4AF131A9">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网络：双千兆以太网口，支持网络冗余。</w:t>
            </w:r>
          </w:p>
          <w:p w14:paraId="2309EDAA">
            <w:pPr>
              <w:adjustRightInd w:val="0"/>
              <w:snapToGrid w:val="0"/>
              <w:spacing w:after="62" w:afterLines="2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显示器：≥27英寸；显示器分辨率：高清。</w:t>
            </w:r>
          </w:p>
        </w:tc>
      </w:tr>
    </w:tbl>
    <w:p w14:paraId="469A5985">
      <w:pPr>
        <w:rPr>
          <w:rFonts w:hint="eastAsia" w:ascii="宋体" w:hAnsi="宋体" w:eastAsia="宋体" w:cs="宋体"/>
          <w:color w:val="auto"/>
          <w:highlight w:val="none"/>
        </w:rPr>
      </w:pPr>
    </w:p>
    <w:bookmarkEnd w:id="0"/>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41FD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9CC3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F9CC3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3790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30E6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1D50">
    <w:pPr>
      <w:pStyle w:val="6"/>
      <w:pBdr>
        <w:bottom w:val="single" w:color="auto" w:sz="4" w:space="1"/>
      </w:pBdr>
      <w:jc w:val="both"/>
    </w:pPr>
    <w:r>
      <w:rPr>
        <w:rFonts w:hint="eastAsia"/>
        <w:lang w:val="en-US" w:eastAsia="zh-CN"/>
      </w:rPr>
      <w:t xml:space="preserve">ZC20260160      </w:t>
    </w:r>
    <w:r>
      <w:rPr>
        <w:rFonts w:hint="eastAsia"/>
        <w:color w:val="FF0000"/>
      </w:rPr>
      <w:t>上海市同仁医院所需一批检验相关设备公开招标项目</w:t>
    </w:r>
    <w:r>
      <w:rPr>
        <w:rFonts w:hint="eastAsia"/>
        <w:color w:val="FF0000"/>
        <w:lang w:val="en-US" w:eastAsia="zh-CN"/>
      </w:rPr>
      <w:t xml:space="preserve">               </w:t>
    </w:r>
    <w:r>
      <w:rPr>
        <w:rFonts w:hint="eastAsia"/>
        <w:lang w:val="en-US" w:eastAsia="zh-CN"/>
      </w:rPr>
      <w:t>招标需求文件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FBC2A">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027A">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0F322C"/>
    <w:multiLevelType w:val="singleLevel"/>
    <w:tmpl w:val="B00F322C"/>
    <w:lvl w:ilvl="0" w:tentative="0">
      <w:start w:val="1"/>
      <w:numFmt w:val="chineseCounting"/>
      <w:suff w:val="nothing"/>
      <w:lvlText w:val="%1、"/>
      <w:lvlJc w:val="left"/>
      <w:rPr>
        <w:rFonts w:hint="eastAsia"/>
      </w:rPr>
    </w:lvl>
  </w:abstractNum>
  <w:abstractNum w:abstractNumId="1">
    <w:nsid w:val="C93B3786"/>
    <w:multiLevelType w:val="singleLevel"/>
    <w:tmpl w:val="C93B3786"/>
    <w:lvl w:ilvl="0" w:tentative="0">
      <w:start w:val="1"/>
      <w:numFmt w:val="decimal"/>
      <w:lvlText w:val="(%1)"/>
      <w:lvlJc w:val="left"/>
      <w:pPr>
        <w:ind w:left="425" w:hanging="425"/>
      </w:pPr>
      <w:rPr>
        <w:rFonts w:hint="default"/>
      </w:rPr>
    </w:lvl>
  </w:abstractNum>
  <w:abstractNum w:abstractNumId="2">
    <w:nsid w:val="EE814C76"/>
    <w:multiLevelType w:val="singleLevel"/>
    <w:tmpl w:val="EE814C76"/>
    <w:lvl w:ilvl="0" w:tentative="0">
      <w:start w:val="1"/>
      <w:numFmt w:val="decimal"/>
      <w:lvlText w:val="%1."/>
      <w:lvlJc w:val="left"/>
      <w:pPr>
        <w:ind w:left="425" w:hanging="425"/>
      </w:pPr>
      <w:rPr>
        <w:rFonts w:hint="default"/>
        <w:b w:val="0"/>
        <w:bCs w:val="0"/>
        <w:sz w:val="24"/>
        <w:szCs w:val="24"/>
      </w:rPr>
    </w:lvl>
  </w:abstractNum>
  <w:abstractNum w:abstractNumId="3">
    <w:nsid w:val="1730058A"/>
    <w:multiLevelType w:val="singleLevel"/>
    <w:tmpl w:val="1730058A"/>
    <w:lvl w:ilvl="0" w:tentative="0">
      <w:start w:val="1"/>
      <w:numFmt w:val="decimal"/>
      <w:lvlText w:val="(%1)"/>
      <w:lvlJc w:val="left"/>
      <w:pPr>
        <w:ind w:left="425" w:hanging="425"/>
      </w:pPr>
      <w:rPr>
        <w:rFonts w:hint="default"/>
      </w:rPr>
    </w:lvl>
  </w:abstractNum>
  <w:abstractNum w:abstractNumId="4">
    <w:nsid w:val="2D5406AD"/>
    <w:multiLevelType w:val="singleLevel"/>
    <w:tmpl w:val="2D5406AD"/>
    <w:lvl w:ilvl="0" w:tentative="0">
      <w:start w:val="1"/>
      <w:numFmt w:val="decimal"/>
      <w:lvlText w:val="%1."/>
      <w:lvlJc w:val="left"/>
      <w:pPr>
        <w:ind w:left="425" w:hanging="425"/>
      </w:pPr>
      <w:rPr>
        <w:rFonts w:hint="default"/>
      </w:rPr>
    </w:lvl>
  </w:abstractNum>
  <w:abstractNum w:abstractNumId="5">
    <w:nsid w:val="455E0660"/>
    <w:multiLevelType w:val="singleLevel"/>
    <w:tmpl w:val="455E0660"/>
    <w:lvl w:ilvl="0" w:tentative="0">
      <w:start w:val="1"/>
      <w:numFmt w:val="decimal"/>
      <w:lvlText w:val="%1."/>
      <w:lvlJc w:val="left"/>
      <w:pPr>
        <w:ind w:left="425" w:hanging="425"/>
      </w:pPr>
      <w:rPr>
        <w:rFonts w:hint="default"/>
      </w:rPr>
    </w:lvl>
  </w:abstractNum>
  <w:num w:numId="1">
    <w:abstractNumId w:val="0"/>
  </w:num>
  <w:num w:numId="2">
    <w:abstractNumId w:val="2"/>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E5B"/>
    <w:rsid w:val="001A7232"/>
    <w:rsid w:val="00324C8D"/>
    <w:rsid w:val="00804E5B"/>
    <w:rsid w:val="1661452C"/>
    <w:rsid w:val="16DC051F"/>
    <w:rsid w:val="23E16C89"/>
    <w:rsid w:val="5F38401F"/>
    <w:rsid w:val="671D566E"/>
    <w:rsid w:val="6D2514F5"/>
    <w:rsid w:val="7C6E5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widowControl/>
      <w:spacing w:beforeLines="50" w:afterLines="50" w:line="400" w:lineRule="exact"/>
      <w:jc w:val="left"/>
    </w:pPr>
    <w:rPr>
      <w:rFonts w:ascii="Times New Roman" w:hAnsi="Times New Roman" w:eastAsia="宋体" w:cs="Times New Roman"/>
      <w:sz w:val="24"/>
    </w:rPr>
  </w:style>
  <w:style w:type="paragraph" w:styleId="3">
    <w:name w:val="Body Text"/>
    <w:basedOn w:val="1"/>
    <w:next w:val="1"/>
    <w:link w:val="15"/>
    <w:semiHidden/>
    <w:unhideWhenUsed/>
    <w:qFormat/>
    <w:uiPriority w:val="0"/>
    <w:pPr>
      <w:widowControl/>
      <w:spacing w:beforeLines="50" w:afterLines="50" w:line="400" w:lineRule="exact"/>
    </w:pPr>
    <w:rPr>
      <w:rFonts w:ascii="Times New Roman" w:hAnsi="Times New Roman" w:eastAsia="宋体" w:cs="Times New Roman"/>
      <w:sz w:val="32"/>
    </w:rPr>
  </w:style>
  <w:style w:type="paragraph" w:styleId="4">
    <w:name w:val="Balloon Text"/>
    <w:basedOn w:val="1"/>
    <w:link w:val="17"/>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100" w:beforeAutospacing="1" w:after="100" w:afterAutospacing="1"/>
    </w:pPr>
  </w:style>
  <w:style w:type="table" w:styleId="9">
    <w:name w:val="Table Grid"/>
    <w:basedOn w:val="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文字 字符"/>
    <w:basedOn w:val="10"/>
    <w:link w:val="2"/>
    <w:semiHidden/>
    <w:qFormat/>
    <w:uiPriority w:val="0"/>
    <w:rPr>
      <w:rFonts w:ascii="Times New Roman" w:hAnsi="Times New Roman" w:eastAsia="宋体" w:cs="Times New Roman"/>
      <w:sz w:val="24"/>
    </w:rPr>
  </w:style>
  <w:style w:type="character" w:customStyle="1" w:styleId="15">
    <w:name w:val="正文文本 字符"/>
    <w:basedOn w:val="10"/>
    <w:link w:val="3"/>
    <w:semiHidden/>
    <w:qFormat/>
    <w:uiPriority w:val="0"/>
    <w:rPr>
      <w:rFonts w:ascii="Times New Roman" w:hAnsi="Times New Roman" w:eastAsia="宋体" w:cs="Times New Roman"/>
      <w:sz w:val="32"/>
    </w:rPr>
  </w:style>
  <w:style w:type="paragraph" w:styleId="16">
    <w:name w:val="List Paragraph"/>
    <w:basedOn w:val="1"/>
    <w:qFormat/>
    <w:uiPriority w:val="34"/>
    <w:pPr>
      <w:widowControl/>
      <w:spacing w:beforeLines="50" w:afterLines="50" w:line="400" w:lineRule="exact"/>
      <w:ind w:firstLine="420" w:firstLineChars="200"/>
    </w:pPr>
    <w:rPr>
      <w:rFonts w:ascii="Times New Roman" w:hAnsi="Times New Roman" w:eastAsia="宋体" w:cs="Times New Roman"/>
      <w:sz w:val="24"/>
    </w:rPr>
  </w:style>
  <w:style w:type="character" w:customStyle="1" w:styleId="17">
    <w:name w:val="批注框文本 字符"/>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4962</Words>
  <Characters>5399</Characters>
  <DocSecurity>0</DocSecurity>
  <Lines>20</Lines>
  <Paragraphs>5</Paragraphs>
  <ScaleCrop>false</ScaleCrop>
  <LinksUpToDate>false</LinksUpToDate>
  <CharactersWithSpaces>5454</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2026-08-11T00:45:00Z</dcterms:created>
  <dcterms:modified xsi:type="dcterms:W3CDTF">2026-09-16T05:39:01Z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eyJoZGlkIjoiOTM4YjIyY2Q3YmE4MDU5NmQyYjg1Yjk5NjQzNDc2MjAiLCJ1c2VySWQiOiI1Njk1NTUzMTgifQ==</vt:lpwstr>
  </property>
  <property fmtid="{D5CDD505-2E9C-101B-9397-08002B2CF9AE}" pid="3" name="KSOProductBuildVer">
    <vt:lpwstr>2052-12.1.0.28505</vt:lpwstr>
  </property>
  <property fmtid="{D5CDD505-2E9C-101B-9397-08002B2CF9AE}" pid="4" name="ICV">
    <vt:lpwstr>1749A82F6FE44FE0B3268201E382945B_12</vt:lpwstr>
  </property>
</Properties>
</file>