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A8F5D">
      <w:pPr>
        <w:pStyle w:val="4"/>
        <w:jc w:val="center"/>
        <w:rPr>
          <w:rFonts w:hint="eastAsia" w:ascii="宋体" w:hAnsi="宋体" w:eastAsia="宋体" w:cs="宋体"/>
          <w:b/>
          <w:color w:val="auto"/>
          <w:sz w:val="36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color w:val="auto"/>
          <w:sz w:val="36"/>
          <w:szCs w:val="21"/>
        </w:rPr>
        <w:t>上海市同仁医院所需一批检验相关设备</w:t>
      </w:r>
    </w:p>
    <w:p w14:paraId="2F9A584B">
      <w:pPr>
        <w:pStyle w:val="4"/>
        <w:jc w:val="center"/>
        <w:rPr>
          <w:rFonts w:hint="eastAsia" w:ascii="宋体" w:hAnsi="宋体" w:eastAsia="宋体" w:cs="宋体"/>
          <w:b/>
          <w:color w:val="auto"/>
          <w:sz w:val="36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21"/>
        </w:rPr>
        <w:t>公开招标项目</w:t>
      </w:r>
      <w:r>
        <w:rPr>
          <w:rFonts w:hint="eastAsia" w:ascii="宋体" w:hAnsi="宋体" w:eastAsia="宋体" w:cs="宋体"/>
          <w:b/>
          <w:color w:val="auto"/>
          <w:sz w:val="36"/>
          <w:szCs w:val="21"/>
          <w:lang w:val="en-US" w:eastAsia="zh-CN"/>
        </w:rPr>
        <w:t xml:space="preserve">招标需求文件 </w:t>
      </w:r>
    </w:p>
    <w:p w14:paraId="6EB139E8">
      <w:pPr>
        <w:pStyle w:val="4"/>
        <w:jc w:val="center"/>
        <w:rPr>
          <w:rFonts w:hint="default" w:ascii="宋体" w:hAnsi="宋体" w:eastAsia="宋体" w:cs="宋体"/>
          <w:b/>
          <w:color w:val="auto"/>
          <w:sz w:val="36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21"/>
          <w:lang w:val="en-US" w:eastAsia="zh-CN"/>
        </w:rPr>
        <w:t>第二标包：实时荧光定量PCR仪</w:t>
      </w:r>
    </w:p>
    <w:p w14:paraId="645CFE65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预算金额：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108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万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超过此预算金额报价无效。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其中，实时荧光定量PCR仪1 预算金额为54万；实时荧光定量PCR仪2预算金额为54万；设备预算金额为此投标最高限价</w:t>
      </w:r>
      <w:r>
        <w:rPr>
          <w:rFonts w:hint="eastAsia" w:cs="宋体"/>
          <w:b w:val="0"/>
          <w:bCs/>
          <w:color w:val="auto"/>
          <w:sz w:val="24"/>
          <w:szCs w:val="24"/>
          <w:lang w:val="en-US" w:eastAsia="zh-CN"/>
        </w:rPr>
        <w:t>。</w:t>
      </w:r>
    </w:p>
    <w:p w14:paraId="14F22D4A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交货期限：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合同签订后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60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天内完成所有设备的交付、安装、调试。</w:t>
      </w:r>
    </w:p>
    <w:p w14:paraId="0E0AC251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交货地点：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上海市同仁医院</w:t>
      </w:r>
    </w:p>
    <w:p w14:paraId="76F0D219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u w:val="none"/>
          <w:lang w:val="en-U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付款方式：</w:t>
      </w:r>
      <w:r>
        <w:rPr>
          <w:rFonts w:hint="eastAsia" w:cs="宋体"/>
          <w:b w:val="0"/>
          <w:bCs/>
          <w:color w:val="auto"/>
          <w:sz w:val="24"/>
          <w:szCs w:val="24"/>
          <w:u w:val="none"/>
          <w:lang w:val="en-US" w:eastAsia="zh-CN"/>
        </w:rPr>
        <w:t>设备验收合格之后6个月内支付100%货款，具体根据合同约定条款进行支付；采购合同应明确资金支付的方式、时间和条件，明确逾期支付资金的违约责任。</w:t>
      </w:r>
    </w:p>
    <w:p w14:paraId="2064C527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本标包属于货物类招标项目。本标包核心产品有：实时荧光定量PCR仪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。</w:t>
      </w:r>
    </w:p>
    <w:p w14:paraId="11297D16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本标包中带“★”的为关键指标，未响应按无效处理；“▲”的为重要指标，其他为一般指标。“★”与“▲”指标需提供技术支撑材料。</w:t>
      </w:r>
    </w:p>
    <w:p w14:paraId="22BD4B0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Arial"/>
          <w:bCs/>
          <w:color w:val="auto"/>
          <w:sz w:val="24"/>
          <w:highlight w:val="none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履约验收要求：项目履约验收工作具体依据项目合同中的履约验收方案执行。合同中的履约验收方案将明确履约验收的主体、时间、方式、程序、内容和验收标准等事项。</w:t>
      </w:r>
    </w:p>
    <w:p w14:paraId="2BA38FA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Arial"/>
          <w:bCs/>
          <w:color w:val="auto"/>
          <w:sz w:val="24"/>
          <w:highlight w:val="none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供应商需提供设备安装需要的基建要求，包括场地面积、承重、层高、用电等情况（如有）。设备安装验收后提供免费培训服务，提供与设备相关的操作手册和使用说明书。</w:t>
      </w:r>
    </w:p>
    <w:p w14:paraId="1A1E9BB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Arial"/>
          <w:bCs/>
          <w:color w:val="auto"/>
          <w:sz w:val="24"/>
          <w:highlight w:val="none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供应商需承诺设备接口免费开放，免费接入医院综合运营系统，如有端口费用由中标方承担。</w:t>
      </w:r>
    </w:p>
    <w:p w14:paraId="5A9163B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Arial"/>
          <w:bCs/>
          <w:color w:val="auto"/>
          <w:sz w:val="24"/>
          <w:highlight w:val="none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本次报价包含设备费用、安装调试费、运输费、包装费、税金等完成本项目所需要的所有费用。</w:t>
      </w:r>
    </w:p>
    <w:p w14:paraId="01D3283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Arial"/>
          <w:bCs/>
          <w:color w:val="auto"/>
          <w:sz w:val="24"/>
          <w:highlight w:val="none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后续的全生命周期成本及备品备件采购价格情况等相关说明。</w:t>
      </w:r>
    </w:p>
    <w:p w14:paraId="02D5D59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color w:val="auto"/>
          <w:sz w:val="24"/>
          <w:highlight w:val="none"/>
        </w:rPr>
        <w:t>本项目需由供应商提供设计方案、解决方案或者组织方案以及技术支持资料。</w:t>
      </w:r>
    </w:p>
    <w:p w14:paraId="25559DD6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br w:type="page"/>
      </w:r>
    </w:p>
    <w:p w14:paraId="4421E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设备一：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实时荧光定量PCR仪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预算金额54万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技术参数</w:t>
      </w:r>
    </w:p>
    <w:p w14:paraId="4A8D7F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7306A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 xml:space="preserve">一、仪器规格 </w:t>
      </w:r>
    </w:p>
    <w:p w14:paraId="7D6CE5D3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热循环系统：珀耳帖效应系统</w:t>
      </w:r>
    </w:p>
    <w:p w14:paraId="254C09F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光学系统：高亮度白光半导体光源(工作寿命&gt;5年) </w:t>
      </w:r>
    </w:p>
    <w:p w14:paraId="7586762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</w:rPr>
        <w:t>检测器：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CCD/CMOS</w:t>
      </w:r>
      <w:r>
        <w:rPr>
          <w:rFonts w:hint="eastAsia" w:ascii="宋体" w:hAnsi="宋体" w:eastAsia="宋体" w:cs="宋体"/>
          <w:color w:val="auto"/>
          <w:spacing w:val="-6"/>
          <w:sz w:val="24"/>
          <w:szCs w:val="24"/>
        </w:rPr>
        <w:t>，可同步采集所有反应孔荧光数据，不同孔之间不存在扫描时间差</w:t>
      </w:r>
    </w:p>
    <w:p w14:paraId="15BF3F0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-6"/>
          <w:sz w:val="24"/>
          <w:szCs w:val="24"/>
        </w:rPr>
        <w:t>荧光通道数：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≥6色激发光通道和≥6色检测光通道</w:t>
      </w:r>
    </w:p>
    <w:p w14:paraId="5818973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★精确数码温控模块: ≥6个独立的数码温控区域，各温控区域温度可单独控制，非随机生成，非递增或递减式温度梯度</w:t>
      </w:r>
    </w:p>
    <w:p w14:paraId="3D29EFDB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模块规格：支持96孔0.1ml模块型号或96孔0.2ml模块型号，支持快速运行模式</w:t>
      </w:r>
    </w:p>
    <w:p w14:paraId="3FF4B0A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★温度范围：4-99.9℃</w:t>
      </w:r>
    </w:p>
    <w:p w14:paraId="3D791ED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★温控模块最高升降温速率：≥9.0℃</w:t>
      </w:r>
    </w:p>
    <w:p w14:paraId="460B446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▲支持HRM应用，高分辨熔解曲线分辨率：小至0.015℃</w:t>
      </w:r>
    </w:p>
    <w:p w14:paraId="079B8E68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反应体积：0.1ml模块：10-30uL ；0.2 ml模块：10-100uL</w:t>
      </w:r>
    </w:p>
    <w:p w14:paraId="70738B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支持耗材：所有耗材全开放，支持原厂或第三方公司生产的耗材</w:t>
      </w:r>
    </w:p>
    <w:p w14:paraId="3D08515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★数据同时采集：所有反应孔同时采集荧光数据，不同孔之间不存在时间差</w:t>
      </w:r>
    </w:p>
    <w:p w14:paraId="6C99D232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适配染料：FAM, SYBR，VIC, JOE, TET, HEX，ABY/TAMRA/NED/ CY3，JUN,ROX/Texas Red，Mustang Purple,Cy5,LIZ,Cy5.5</w:t>
      </w:r>
    </w:p>
    <w:p w14:paraId="785542F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通道开放性：全开放，支持国产、第三方生产的染料、试剂，能同时检测并区分VIC荧光和TAMRA荧光，以用于基因拷贝数(CNV)检测</w:t>
      </w:r>
    </w:p>
    <w:p w14:paraId="28EDF30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▲被动参照染料：软件支持荧光染料校准功能，能有效校正孔与孔之间的加样误差，样品蒸发的误差 （提供软件截图及视频）</w:t>
      </w:r>
    </w:p>
    <w:p w14:paraId="79634D95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▲数据保护：仪器内置触摸屏电脑可备份还原≥1000次的实验数据，系统外接电脑，提供原厂云服务平台，实现实验数据的三重保护</w:t>
      </w:r>
    </w:p>
    <w:p w14:paraId="7D46BA97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动态范围：10个对数的线性动态范围</w:t>
      </w:r>
    </w:p>
    <w:p w14:paraId="7D455E23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检测灵敏度：单拷贝检测/反应体系</w:t>
      </w:r>
    </w:p>
    <w:p w14:paraId="1BC89C5D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精密度（分辨率）：最低可分辨1.5倍拷贝数差异 </w:t>
      </w:r>
    </w:p>
    <w:p w14:paraId="255FAE3C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★运行时间：≤30分钟完成qPCR反应</w:t>
      </w:r>
    </w:p>
    <w:p w14:paraId="77D044D5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具有医疗器械注册证</w:t>
      </w:r>
    </w:p>
    <w:p w14:paraId="5758A656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▲设备具备完善的科研应用支持能力，提供相关应用领域公开发表的学术论文或应用案例证明材料。”</w:t>
      </w:r>
    </w:p>
    <w:p w14:paraId="13390FD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投标机型为市场正常售卖型号，不接受临时定制机型，提供厂家或代理商盖章版整机和耗材非定制化承诺函</w:t>
      </w:r>
    </w:p>
    <w:p w14:paraId="448C3BA0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单机运行模式：内置互动触摸屏，可直接定义运行程序，并储存数据结果；支持单机运行，可连接或不连接电脑</w:t>
      </w:r>
    </w:p>
    <w:p w14:paraId="398373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AA415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二、软件支持应用</w:t>
      </w:r>
    </w:p>
    <w:p w14:paraId="0C2E6928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基于标准曲线的绝对定量</w:t>
      </w:r>
    </w:p>
    <w:p w14:paraId="7A3D7B90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相对标准曲线</w:t>
      </w:r>
    </w:p>
    <w:p w14:paraId="0843E0B3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基于比较Ct值的相对定量</w:t>
      </w:r>
    </w:p>
    <w:p w14:paraId="440E1153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融解曲线分析</w:t>
      </w:r>
    </w:p>
    <w:p w14:paraId="5FE1FEBA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基于或非基于实时扩增的基因分型</w:t>
      </w:r>
    </w:p>
    <w:p w14:paraId="34A45BBD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基于荧光定量PCR的Non-coding RNA和microRNA分析，并可提供同品牌原厂试剂和专门分析软件</w:t>
      </w:r>
    </w:p>
    <w:p w14:paraId="76C19A80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基于荧光定量PCR的基因拷贝数（CNV）分析，并可提供同品牌原厂试剂和专门分析软件</w:t>
      </w:r>
    </w:p>
    <w:p w14:paraId="7CCCD067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基于荧光定量PCR的肿瘤稀有突变分析，可检测占背景野生型细胞0.1%的微量突变细胞或DNA，并可提供同品牌原厂试剂和专门分析软件</w:t>
      </w:r>
    </w:p>
    <w:p w14:paraId="4EC38D07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▲独立的基因表达二级分析软件，可同时分析至少100块板的实验数据，并提供热图、散点图、聚类图等不同格式的数据分析结果统计（需提供软件截图和操作视频）</w:t>
      </w:r>
    </w:p>
    <w:p w14:paraId="5F8F011E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▲独立的蛋白热稳定性分析软件，支持多块96孔或384孔板数据合并分析；软件提供至少两种Tm值分析方法，并对结果进行聚类展示（需提供软件截图和操作视频）</w:t>
      </w:r>
    </w:p>
    <w:p w14:paraId="56BBA46E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▲附带独立的原厂引物与探针设计软件</w:t>
      </w:r>
    </w:p>
    <w:p w14:paraId="4F990C1C">
      <w:pPr>
        <w:pStyle w:val="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软件支持免费SAE功能，即安全、审计和电子签名功能，可设置管理员、科学家、技术员等多级账户权限，不同账户类型拥有不同的操作权限，软件可自动记录实验操作，保证数据安全可追溯（需提供软件截图和操作视频）</w:t>
      </w:r>
    </w:p>
    <w:p w14:paraId="21D7B3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02130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三、配置要求</w:t>
      </w:r>
    </w:p>
    <w:p w14:paraId="3B94E2B4">
      <w:pPr>
        <w:pStyle w:val="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实时荧光定量PCR仪主机*1台</w:t>
      </w:r>
    </w:p>
    <w:p w14:paraId="543DE2FE">
      <w:pPr>
        <w:pStyle w:val="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分析软件*1套</w:t>
      </w:r>
    </w:p>
    <w:p w14:paraId="5C98B905">
      <w:pPr>
        <w:pStyle w:val="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装机试剂盒*1套</w:t>
      </w:r>
    </w:p>
    <w:p w14:paraId="66574220">
      <w:pPr>
        <w:pStyle w:val="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引物与探针设计软件*1套</w:t>
      </w:r>
    </w:p>
    <w:p w14:paraId="7191F3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869C8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四、售后服务：质保期≥5年</w:t>
      </w:r>
    </w:p>
    <w:p w14:paraId="00E67F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br w:type="page"/>
      </w:r>
    </w:p>
    <w:p w14:paraId="0F1E79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设备二：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实时荧光定量PCR仪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2（预算金额54万）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技术参数</w:t>
      </w:r>
    </w:p>
    <w:p w14:paraId="48B7C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 xml:space="preserve"> </w:t>
      </w:r>
    </w:p>
    <w:p w14:paraId="14580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一、主体部件</w:t>
      </w:r>
    </w:p>
    <w:p w14:paraId="6DB25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1、实时荧光定量PCR仪主机（含彩色触控屏）  一台</w:t>
      </w:r>
    </w:p>
    <w:p w14:paraId="0B9F45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2、96孔模块  一个</w:t>
      </w:r>
    </w:p>
    <w:p w14:paraId="08771E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3、384孔模块  一个</w:t>
      </w:r>
    </w:p>
    <w:p w14:paraId="571746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3、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操作及分析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软件   一套</w:t>
      </w:r>
    </w:p>
    <w:p w14:paraId="1F12A7F8">
      <w:pPr>
        <w:keepNext w:val="0"/>
        <w:keepLines w:val="0"/>
        <w:pageBreakBefore w:val="0"/>
        <w:widowControl/>
        <w:tabs>
          <w:tab w:val="left" w:pos="2038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二、技术参数: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ab/>
      </w:r>
    </w:p>
    <w:p w14:paraId="72457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 xml:space="preserve"> 主要技术指标：</w:t>
      </w:r>
    </w:p>
    <w:p w14:paraId="5E83E5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 xml:space="preserve">1、反应时间：≤42分钟(384孔板，40个循环) </w:t>
      </w:r>
    </w:p>
    <w:p w14:paraId="4BF567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2、检测模式： HybProbe杂交探针、SimplProbe单探针、染料模式、水解探针、分子信标、蝎型探针、高分辨率熔解曲线（HRM）等</w:t>
      </w:r>
    </w:p>
    <w:p w14:paraId="3843E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3、可检测单拷贝基因</w:t>
      </w:r>
    </w:p>
    <w:p w14:paraId="329A3C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4、线性范围：1-10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vertAlign w:val="superscript"/>
        </w:rPr>
        <w:t>10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个拷贝</w:t>
      </w:r>
    </w:p>
    <w:p w14:paraId="48045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5、支持高分辨率熔解曲线分析（HRM分析</w:t>
      </w:r>
      <w:r>
        <w:rPr>
          <w:rStyle w:val="7"/>
          <w:rFonts w:hint="eastAsia" w:ascii="宋体" w:hAnsi="宋体" w:eastAsia="宋体" w:cs="宋体"/>
          <w:color w:val="auto"/>
          <w:sz w:val="24"/>
          <w:szCs w:val="24"/>
        </w:rPr>
        <w:t>）</w:t>
      </w:r>
    </w:p>
    <w:p w14:paraId="63A282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★6、无需光路校正</w:t>
      </w:r>
    </w:p>
    <w:p w14:paraId="6FECFC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7、精密度：≤1.5 倍拷贝数差异，置信度 ≥99.8%</w:t>
      </w:r>
    </w:p>
    <w:p w14:paraId="5014E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8、检测通道数：≥7通道，滤光片：≥14个</w:t>
      </w:r>
    </w:p>
    <w:p w14:paraId="67ACC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9、温控模块一体化成型，不接受定制机</w:t>
      </w:r>
    </w:p>
    <w:p w14:paraId="367F25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10、传感器：CMOS或CCD，所有样本同时检测，孔间无时间差</w:t>
      </w:r>
    </w:p>
    <w:p w14:paraId="1E2C13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11、样本平均温控速率≥4.7℃/s</w:t>
      </w:r>
    </w:p>
    <w:p w14:paraId="4D7565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12、可区分1000拷贝和2000拷贝模板浓度的差异</w:t>
      </w:r>
    </w:p>
    <w:p w14:paraId="06A573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13、激发滤光片与检测滤光片可自由组合，提供28种不同的组合的检测模式。（投标文件需提供厂家彩页或官网截图作为证明文件）</w:t>
      </w:r>
    </w:p>
    <w:p w14:paraId="33DC0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14、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温度准确性≤±0.1℃（温控范围在38-95℃时）</w:t>
      </w:r>
    </w:p>
    <w:p w14:paraId="509221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★15、温度均一性（Tm)：≤±0.1℃（温控范围在38-95℃时）</w:t>
      </w:r>
    </w:p>
    <w:p w14:paraId="761942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16、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熔解曲线温度分辨率≤0.01℃</w:t>
      </w:r>
    </w:p>
    <w:p w14:paraId="3BCA2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17、熔解曲线温度采集数据频率：每摄氏度采集≥25个数据点</w:t>
      </w:r>
    </w:p>
    <w:p w14:paraId="6317A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18、高分辨率熔解曲线反应时间&lt;10分钟(65-95℃，整板每摄氏度采集25次数据)</w:t>
      </w:r>
    </w:p>
    <w:p w14:paraId="41E184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19、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光源：高强度白色固态LED光源</w:t>
      </w:r>
    </w:p>
    <w:p w14:paraId="754910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20、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激发波长：390-710 nm，连续不间断</w:t>
      </w:r>
    </w:p>
    <w:p w14:paraId="68BBE7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21、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单个光源寿命≥10000小时</w:t>
      </w:r>
    </w:p>
    <w:p w14:paraId="008758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★22、无需ROX等被动染料校正</w:t>
      </w:r>
    </w:p>
    <w:p w14:paraId="3BE0B6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23、可提供原厂七重荧光PCR检测试剂盒，用于染色法和探针法定量、基因分型，以及多种病毒、真菌、细菌、寄生虫和肿瘤/血液疾病相关基因位点的原厂检测试剂，检测疾病种类包括：呼吸道疾病、胃肠道疾病、超级细菌检测、新生儿疾病检测等。</w:t>
      </w:r>
    </w:p>
    <w:p w14:paraId="375707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24、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样本通量和规格：一台主机支持384孔模块与96孔模块，并且一台主机内可通过增购模块自行更换并升级至384和96孔双模块，自行手动更换后无需校准（投标文件中提供厂家彩页或官网截图作为证明文件）。</w:t>
      </w:r>
    </w:p>
    <w:p w14:paraId="34546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25、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≥20英寸全彩色触控屏</w:t>
      </w:r>
    </w:p>
    <w:p w14:paraId="744C45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三、售后服务：维保期≥5年</w:t>
      </w:r>
    </w:p>
    <w:p w14:paraId="7F26F7CA">
      <w:pP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EC33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E6E6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E6E6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42BA0">
    <w:pPr>
      <w:pStyle w:val="3"/>
      <w:pBdr>
        <w:bottom w:val="single" w:color="auto" w:sz="4" w:space="1"/>
      </w:pBdr>
      <w:jc w:val="both"/>
    </w:pPr>
    <w:r>
      <w:rPr>
        <w:rFonts w:hint="eastAsia"/>
        <w:lang w:val="en-US" w:eastAsia="zh-CN"/>
      </w:rPr>
      <w:t xml:space="preserve">ZC20260160      </w:t>
    </w:r>
    <w:r>
      <w:rPr>
        <w:rFonts w:hint="eastAsia"/>
        <w:color w:val="FF0000"/>
      </w:rPr>
      <w:t>上海市同仁医院所需一批检验相关设备公开招标项目</w:t>
    </w:r>
    <w:r>
      <w:rPr>
        <w:rFonts w:hint="eastAsia"/>
        <w:color w:val="FF0000"/>
        <w:lang w:val="en-US" w:eastAsia="zh-CN"/>
      </w:rPr>
      <w:t xml:space="preserve">                  </w:t>
    </w:r>
    <w:r>
      <w:rPr>
        <w:rFonts w:hint="eastAsia"/>
        <w:lang w:val="en-US" w:eastAsia="zh-CN"/>
      </w:rPr>
      <w:t>招标需求文件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814C76"/>
    <w:multiLevelType w:val="singleLevel"/>
    <w:tmpl w:val="EE814C7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sz w:val="24"/>
        <w:szCs w:val="24"/>
      </w:rPr>
    </w:lvl>
  </w:abstractNum>
  <w:abstractNum w:abstractNumId="1">
    <w:nsid w:val="183F5291"/>
    <w:multiLevelType w:val="multilevel"/>
    <w:tmpl w:val="183F529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ACB78D6"/>
    <w:multiLevelType w:val="multilevel"/>
    <w:tmpl w:val="2ACB78D6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59607CD5"/>
    <w:multiLevelType w:val="multilevel"/>
    <w:tmpl w:val="59607CD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F734B"/>
    <w:rsid w:val="008868DB"/>
    <w:rsid w:val="00ED1850"/>
    <w:rsid w:val="00F6740C"/>
    <w:rsid w:val="0460729A"/>
    <w:rsid w:val="0E335347"/>
    <w:rsid w:val="1D156539"/>
    <w:rsid w:val="1D303373"/>
    <w:rsid w:val="1EA86C97"/>
    <w:rsid w:val="2B603075"/>
    <w:rsid w:val="34BD5AC9"/>
    <w:rsid w:val="5E955D05"/>
    <w:rsid w:val="6FDF734B"/>
    <w:rsid w:val="7D39AA38"/>
    <w:rsid w:val="7EE7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character" w:styleId="7">
    <w:name w:val="annotation reference"/>
    <w:qFormat/>
    <w:uiPriority w:val="0"/>
    <w:rPr>
      <w:sz w:val="21"/>
      <w:szCs w:val="21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2644</Words>
  <Characters>2977</Characters>
  <DocSecurity>0</DocSecurity>
  <Lines>10</Lines>
  <Paragraphs>2</Paragraphs>
  <ScaleCrop>false</ScaleCrop>
  <LinksUpToDate>false</LinksUpToDate>
  <CharactersWithSpaces>3028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2026-07-09T18:13:00Z</dcterms:created>
  <dcterms:modified xsi:type="dcterms:W3CDTF">2026-09-16T05:40:06Z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32E58D58CAA5799DD6034F6A252C83C1_41</vt:lpwstr>
  </property>
  <property fmtid="{D5CDD505-2E9C-101B-9397-08002B2CF9AE}" pid="4" name="KSOTemplateDocerSaveRecord">
    <vt:lpwstr>eyJoZGlkIjoiOTM4YjIyY2Q3YmE4MDU5NmQyYjg1Yjk5NjQzNDc2MjAiLCJ1c2VySWQiOiI1Njk1NTUzMTgifQ==</vt:lpwstr>
  </property>
</Properties>
</file>