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D0F2A">
      <w:pPr>
        <w:pStyle w:val="14"/>
        <w:jc w:val="center"/>
        <w:rPr>
          <w:rFonts w:hint="eastAsia" w:ascii="宋体" w:hAnsi="宋体" w:eastAsia="宋体" w:cs="宋体"/>
          <w:b/>
          <w:color w:val="auto"/>
          <w:sz w:val="36"/>
          <w:szCs w:val="21"/>
        </w:rPr>
      </w:pPr>
      <w:bookmarkStart w:id="2" w:name="_GoBack"/>
      <w:r>
        <w:rPr>
          <w:rFonts w:hint="eastAsia" w:ascii="宋体" w:hAnsi="宋体" w:eastAsia="宋体" w:cs="宋体"/>
          <w:b/>
          <w:color w:val="auto"/>
          <w:sz w:val="36"/>
          <w:szCs w:val="21"/>
        </w:rPr>
        <w:t>上海市同仁医院所需一批检验相关设备</w:t>
      </w:r>
    </w:p>
    <w:p w14:paraId="75B9D9CC">
      <w:pPr>
        <w:pStyle w:val="14"/>
        <w:jc w:val="center"/>
        <w:rPr>
          <w:rFonts w:hint="eastAsia" w:ascii="宋体" w:hAnsi="宋体" w:eastAsia="宋体" w:cs="宋体"/>
          <w:b/>
          <w:color w:val="auto"/>
          <w:sz w:val="36"/>
          <w:szCs w:val="21"/>
          <w:lang w:val="en-US" w:eastAsia="zh-CN"/>
        </w:rPr>
      </w:pPr>
      <w:r>
        <w:rPr>
          <w:rFonts w:hint="eastAsia" w:ascii="宋体" w:hAnsi="宋体" w:eastAsia="宋体" w:cs="宋体"/>
          <w:b/>
          <w:color w:val="auto"/>
          <w:sz w:val="36"/>
          <w:szCs w:val="21"/>
        </w:rPr>
        <w:t>公开招标项目</w:t>
      </w:r>
      <w:r>
        <w:rPr>
          <w:rFonts w:hint="eastAsia" w:ascii="宋体" w:hAnsi="宋体" w:eastAsia="宋体" w:cs="宋体"/>
          <w:b/>
          <w:color w:val="auto"/>
          <w:sz w:val="36"/>
          <w:szCs w:val="21"/>
          <w:lang w:val="en-US" w:eastAsia="zh-CN"/>
        </w:rPr>
        <w:t xml:space="preserve">招标需求文件 </w:t>
      </w:r>
    </w:p>
    <w:p w14:paraId="442F081C">
      <w:pPr>
        <w:jc w:val="center"/>
        <w:rPr>
          <w:rFonts w:hint="eastAsia" w:ascii="宋体" w:hAnsi="宋体" w:eastAsia="宋体" w:cs="宋体"/>
          <w:b/>
          <w:color w:val="auto"/>
          <w:kern w:val="2"/>
          <w:sz w:val="36"/>
          <w:szCs w:val="21"/>
          <w:lang w:val="en-US" w:eastAsia="zh-CN" w:bidi="ar-SA"/>
          <w14:ligatures w14:val="standardContextual"/>
        </w:rPr>
      </w:pPr>
      <w:r>
        <w:rPr>
          <w:rFonts w:hint="eastAsia" w:ascii="宋体" w:hAnsi="宋体" w:eastAsia="宋体" w:cs="宋体"/>
          <w:b/>
          <w:color w:val="auto"/>
          <w:kern w:val="2"/>
          <w:sz w:val="36"/>
          <w:szCs w:val="21"/>
          <w:lang w:val="en-US" w:eastAsia="zh-CN" w:bidi="ar-SA"/>
          <w14:ligatures w14:val="standardContextual"/>
        </w:rPr>
        <w:t>第三标包：基因测序仪</w:t>
      </w:r>
    </w:p>
    <w:p w14:paraId="67FA5950">
      <w:pPr>
        <w:jc w:val="left"/>
        <w:rPr>
          <w:rFonts w:hint="default" w:ascii="宋体" w:hAnsi="宋体" w:eastAsia="宋体" w:cs="宋体"/>
          <w:b/>
          <w:bCs w:val="0"/>
          <w:color w:val="auto"/>
          <w:kern w:val="2"/>
          <w:sz w:val="28"/>
          <w:szCs w:val="18"/>
          <w:lang w:val="en-US" w:eastAsia="zh-CN" w:bidi="ar-SA"/>
          <w14:ligatures w14:val="standardContextual"/>
        </w:rPr>
      </w:pPr>
      <w:r>
        <w:rPr>
          <w:rFonts w:hint="eastAsia" w:ascii="宋体" w:hAnsi="宋体" w:eastAsia="宋体" w:cs="宋体"/>
          <w:b/>
          <w:bCs w:val="0"/>
          <w:color w:val="auto"/>
          <w:kern w:val="2"/>
          <w:sz w:val="28"/>
          <w:szCs w:val="18"/>
          <w:lang w:val="en-US" w:eastAsia="zh-CN" w:bidi="ar-SA"/>
          <w14:ligatures w14:val="standardContextual"/>
        </w:rPr>
        <w:t>一、项目信息</w:t>
      </w:r>
    </w:p>
    <w:p w14:paraId="289000D6">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rPr>
      </w:pPr>
      <w:r>
        <w:rPr>
          <w:rFonts w:hint="eastAsia" w:ascii="宋体" w:hAnsi="宋体" w:eastAsia="宋体" w:cs="宋体"/>
          <w:b/>
          <w:color w:val="auto"/>
          <w:sz w:val="24"/>
          <w:szCs w:val="24"/>
          <w:lang w:val="en-US" w:eastAsia="zh-CN"/>
        </w:rPr>
        <w:t>预算金额：</w:t>
      </w:r>
      <w:r>
        <w:rPr>
          <w:rFonts w:hint="eastAsia" w:ascii="宋体" w:hAnsi="宋体" w:eastAsia="宋体" w:cs="宋体"/>
          <w:b w:val="0"/>
          <w:bCs/>
          <w:color w:val="auto"/>
          <w:sz w:val="24"/>
          <w:szCs w:val="24"/>
          <w:lang w:val="en-US" w:eastAsia="zh-CN"/>
        </w:rPr>
        <w:t>235</w:t>
      </w:r>
      <w:r>
        <w:rPr>
          <w:rFonts w:hint="eastAsia" w:ascii="宋体" w:hAnsi="宋体" w:eastAsia="宋体" w:cs="宋体"/>
          <w:b w:val="0"/>
          <w:bCs/>
          <w:color w:val="auto"/>
          <w:sz w:val="24"/>
          <w:szCs w:val="24"/>
        </w:rPr>
        <w:t>万</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超过此预算金额报价无效。</w:t>
      </w:r>
      <w:r>
        <w:rPr>
          <w:rFonts w:hint="eastAsia" w:ascii="宋体" w:hAnsi="宋体" w:eastAsia="宋体" w:cs="宋体"/>
          <w:b w:val="0"/>
          <w:bCs/>
          <w:color w:val="auto"/>
          <w:sz w:val="24"/>
          <w:szCs w:val="24"/>
          <w:lang w:val="en-US" w:eastAsia="zh-CN"/>
        </w:rPr>
        <w:t>预算金额为投标最高限价</w:t>
      </w:r>
      <w:r>
        <w:rPr>
          <w:rFonts w:hint="eastAsia" w:cs="宋体"/>
          <w:b w:val="0"/>
          <w:bCs/>
          <w:color w:val="auto"/>
          <w:sz w:val="24"/>
          <w:szCs w:val="24"/>
          <w:lang w:val="en-US" w:eastAsia="zh-CN"/>
        </w:rPr>
        <w:t>。</w:t>
      </w:r>
    </w:p>
    <w:p w14:paraId="0BA3AA9C">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交货期限：</w:t>
      </w:r>
      <w:r>
        <w:rPr>
          <w:rFonts w:hint="eastAsia" w:ascii="宋体" w:hAnsi="宋体" w:eastAsia="宋体" w:cs="宋体"/>
          <w:color w:val="auto"/>
          <w:sz w:val="24"/>
          <w:highlight w:val="none"/>
        </w:rPr>
        <w:t>合同签订后</w:t>
      </w:r>
      <w:r>
        <w:rPr>
          <w:rFonts w:hint="eastAsia" w:ascii="宋体" w:hAnsi="宋体" w:eastAsia="宋体" w:cs="宋体"/>
          <w:color w:val="auto"/>
          <w:sz w:val="24"/>
          <w:highlight w:val="none"/>
          <w:lang w:val="en-US" w:eastAsia="zh-CN"/>
        </w:rPr>
        <w:t>60</w:t>
      </w:r>
      <w:r>
        <w:rPr>
          <w:rFonts w:hint="eastAsia" w:ascii="宋体" w:hAnsi="宋体" w:eastAsia="宋体" w:cs="宋体"/>
          <w:color w:val="auto"/>
          <w:sz w:val="24"/>
          <w:highlight w:val="none"/>
        </w:rPr>
        <w:t>天内完成所有设备的交付、安装、调试。</w:t>
      </w:r>
    </w:p>
    <w:p w14:paraId="6D54C825">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rPr>
      </w:pPr>
      <w:r>
        <w:rPr>
          <w:rFonts w:hint="eastAsia" w:ascii="宋体" w:hAnsi="宋体" w:eastAsia="宋体" w:cs="宋体"/>
          <w:b/>
          <w:color w:val="auto"/>
          <w:sz w:val="24"/>
          <w:szCs w:val="24"/>
          <w:lang w:val="en-US" w:eastAsia="zh-CN"/>
        </w:rPr>
        <w:t>交货地点：</w:t>
      </w:r>
      <w:r>
        <w:rPr>
          <w:rFonts w:hint="eastAsia" w:ascii="宋体" w:hAnsi="宋体" w:eastAsia="宋体" w:cs="宋体"/>
          <w:b w:val="0"/>
          <w:bCs/>
          <w:color w:val="auto"/>
          <w:sz w:val="24"/>
          <w:szCs w:val="24"/>
          <w:lang w:val="en-US" w:eastAsia="zh-CN"/>
        </w:rPr>
        <w:t>上海市同仁医院</w:t>
      </w:r>
    </w:p>
    <w:p w14:paraId="480FCFE0">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u w:val="none"/>
          <w:lang w:val="en-US"/>
        </w:rPr>
      </w:pPr>
      <w:r>
        <w:rPr>
          <w:rFonts w:hint="eastAsia" w:ascii="宋体" w:hAnsi="宋体" w:eastAsia="宋体" w:cs="宋体"/>
          <w:b/>
          <w:color w:val="auto"/>
          <w:sz w:val="24"/>
          <w:szCs w:val="24"/>
          <w:lang w:val="en-US" w:eastAsia="zh-CN"/>
        </w:rPr>
        <w:t>付款方式：</w:t>
      </w:r>
      <w:r>
        <w:rPr>
          <w:rFonts w:hint="eastAsia" w:ascii="宋体" w:hAnsi="宋体" w:eastAsia="宋体" w:cs="宋体"/>
          <w:b w:val="0"/>
          <w:bCs/>
          <w:color w:val="auto"/>
          <w:sz w:val="24"/>
          <w:szCs w:val="24"/>
          <w:u w:val="none"/>
          <w:lang w:val="en-US" w:eastAsia="zh-CN"/>
        </w:rPr>
        <w:t>设备验收合格之后6个月内支付100%货款，具体根据合同约定条款进行支付；采购合同应明确资金支付的方式、时间和条件，明确逾期支付资金的违约责任。</w:t>
      </w:r>
    </w:p>
    <w:p w14:paraId="2E88C789">
      <w:pPr>
        <w:pStyle w:val="31"/>
        <w:keepNext w:val="0"/>
        <w:keepLines w:val="0"/>
        <w:pageBreakBefore w:val="0"/>
        <w:numPr>
          <w:ilvl w:val="0"/>
          <w:numId w:val="1"/>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本标包属于货物类招标项目。本标包核心产品有：基因测序仪</w:t>
      </w:r>
      <w:r>
        <w:rPr>
          <w:rFonts w:hint="eastAsia" w:ascii="宋体" w:hAnsi="宋体" w:eastAsia="宋体" w:cs="宋体"/>
          <w:color w:val="auto"/>
          <w:kern w:val="0"/>
          <w:sz w:val="24"/>
          <w:highlight w:val="none"/>
          <w:lang w:bidi="ar"/>
        </w:rPr>
        <w:t>。</w:t>
      </w:r>
    </w:p>
    <w:p w14:paraId="32F44C3A">
      <w:pPr>
        <w:pStyle w:val="31"/>
        <w:keepNext w:val="0"/>
        <w:keepLines w:val="0"/>
        <w:pageBreakBefore w:val="0"/>
        <w:numPr>
          <w:ilvl w:val="0"/>
          <w:numId w:val="1"/>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宋体" w:hAnsi="宋体" w:eastAsia="宋体" w:cs="宋体"/>
          <w:b/>
          <w:bCs/>
          <w:color w:val="auto"/>
          <w:kern w:val="0"/>
          <w:sz w:val="24"/>
          <w:highlight w:val="none"/>
        </w:rPr>
      </w:pPr>
      <w:r>
        <w:rPr>
          <w:rFonts w:hint="eastAsia" w:ascii="宋体" w:hAnsi="宋体" w:eastAsia="宋体" w:cs="宋体"/>
          <w:color w:val="auto"/>
          <w:sz w:val="24"/>
          <w:highlight w:val="none"/>
        </w:rPr>
        <w:t>本标包中带“★”的为关键指标，未响应按无效处理；“▲”的为重要指标，其他为一般指标。“★”与“▲”指标需提供技术支撑材料。</w:t>
      </w:r>
    </w:p>
    <w:p w14:paraId="6A2C0D50">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履约验收要求：项目履约验收工作具体依据项目合同中的履约验收方案执行。合同中的履约验收方案将明确履约验收的主体、时间、方式、程序、内容和验收标准等事项。</w:t>
      </w:r>
    </w:p>
    <w:p w14:paraId="6EE48C25">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供应商需提供设备安装需要的基建要求，包括场地面积、承重、层高、用电等情况（如有）。设备安装验收后提供免费培训服务，提供与设备相关的操作手册和使用说明书。</w:t>
      </w:r>
    </w:p>
    <w:p w14:paraId="39308CA1">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供应商需承诺设备接口免费开放，免费接入医院综合运营系统，如有端口费用由中标方承担。</w:t>
      </w:r>
    </w:p>
    <w:p w14:paraId="62B571A3">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本次报价包含设备费用、安装调试费、运输费、包装费、税金等完成本项目所需要的所有费用。</w:t>
      </w:r>
    </w:p>
    <w:p w14:paraId="63D72C82">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后续的全生命周期成本及备品备件采购价格情况等相关说明。</w:t>
      </w:r>
    </w:p>
    <w:p w14:paraId="373A3C3C">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r>
        <w:rPr>
          <w:rFonts w:hint="eastAsia" w:ascii="宋体" w:hAnsi="宋体" w:eastAsia="宋体" w:cs="宋体"/>
          <w:bCs/>
          <w:color w:val="auto"/>
          <w:sz w:val="24"/>
          <w:highlight w:val="none"/>
        </w:rPr>
        <w:t>本项目需由供应商提供设计方案、解决方案或者组织方案以及技术支持资料。</w:t>
      </w:r>
    </w:p>
    <w:p w14:paraId="3079806D">
      <w:pPr>
        <w:jc w:val="left"/>
        <w:rPr>
          <w:rFonts w:hint="eastAsia" w:ascii="宋体" w:hAnsi="宋体" w:eastAsia="宋体" w:cs="宋体"/>
          <w:b/>
          <w:bCs w:val="0"/>
          <w:color w:val="auto"/>
          <w:kern w:val="2"/>
          <w:sz w:val="28"/>
          <w:szCs w:val="18"/>
          <w:lang w:val="en-US" w:eastAsia="zh-CN" w:bidi="ar-SA"/>
          <w14:ligatures w14:val="standardContextual"/>
        </w:rPr>
      </w:pPr>
      <w:r>
        <w:rPr>
          <w:rFonts w:hint="eastAsia" w:ascii="宋体" w:hAnsi="宋体" w:eastAsia="宋体" w:cs="宋体"/>
          <w:b/>
          <w:bCs w:val="0"/>
          <w:color w:val="auto"/>
          <w:kern w:val="2"/>
          <w:sz w:val="28"/>
          <w:szCs w:val="18"/>
          <w:lang w:val="en-US" w:eastAsia="zh-CN" w:bidi="ar-SA"/>
          <w14:ligatures w14:val="standardContextual"/>
        </w:rPr>
        <w:t>二、产品参数</w:t>
      </w:r>
    </w:p>
    <w:p w14:paraId="456EB211">
      <w:pPr>
        <w:rPr>
          <w:rFonts w:ascii="宋体" w:hAnsi="宋体" w:eastAsia="宋体"/>
          <w:color w:val="auto"/>
          <w:sz w:val="24"/>
          <w:highlight w:val="yellow"/>
        </w:rPr>
      </w:pPr>
      <w:r>
        <w:rPr>
          <w:rFonts w:hint="eastAsia" w:ascii="宋体" w:hAnsi="宋体" w:eastAsia="宋体"/>
          <w:color w:val="auto"/>
          <w:sz w:val="24"/>
        </w:rPr>
        <w:t xml:space="preserve">1. </w:t>
      </w:r>
      <w:r>
        <w:rPr>
          <w:rFonts w:ascii="宋体" w:hAnsi="宋体" w:eastAsia="宋体"/>
          <w:color w:val="auto"/>
          <w:sz w:val="24"/>
        </w:rPr>
        <w:t>★设备获得三类医疗器械注册证（国械注准）。</w:t>
      </w:r>
    </w:p>
    <w:p w14:paraId="3CBCDE14">
      <w:pPr>
        <w:rPr>
          <w:rFonts w:ascii="宋体" w:hAnsi="宋体" w:eastAsia="宋体"/>
          <w:color w:val="auto"/>
          <w:sz w:val="24"/>
          <w:highlight w:val="yellow"/>
        </w:rPr>
      </w:pPr>
      <w:r>
        <w:rPr>
          <w:rFonts w:hint="eastAsia" w:ascii="宋体" w:hAnsi="宋体" w:eastAsia="宋体"/>
          <w:color w:val="auto"/>
          <w:sz w:val="24"/>
        </w:rPr>
        <w:t xml:space="preserve">2. </w:t>
      </w:r>
      <w:r>
        <w:rPr>
          <w:rFonts w:ascii="宋体" w:hAnsi="宋体" w:eastAsia="宋体"/>
          <w:color w:val="auto"/>
          <w:sz w:val="24"/>
        </w:rPr>
        <w:t>▲在临床上用于对来源于人体样本的脱氧核糖核酸（DNA）和核糖核酸（RNA）进行测序，以检测基因序列。以提供的医疗器械注册证适用范围/预期用途作为评价依据。</w:t>
      </w:r>
    </w:p>
    <w:p w14:paraId="1C0925A6">
      <w:pPr>
        <w:rPr>
          <w:rFonts w:ascii="宋体" w:hAnsi="宋体" w:eastAsia="宋体"/>
          <w:color w:val="auto"/>
          <w:sz w:val="24"/>
        </w:rPr>
      </w:pPr>
      <w:r>
        <w:rPr>
          <w:rFonts w:hint="eastAsia" w:ascii="宋体" w:hAnsi="宋体" w:eastAsia="宋体"/>
          <w:color w:val="auto"/>
          <w:sz w:val="24"/>
        </w:rPr>
        <w:t xml:space="preserve">3. </w:t>
      </w:r>
      <w:r>
        <w:rPr>
          <w:rFonts w:ascii="宋体" w:hAnsi="宋体" w:eastAsia="宋体"/>
          <w:color w:val="auto"/>
          <w:sz w:val="24"/>
        </w:rPr>
        <w:t>可开展病原微生物宏基因组检测、病原微生物靶向高通量测序、胎儿染色体异常无创产前基因检测、胚胎植入前染色体异常检测、单基因遗传病基因检测、肿瘤靶向用药等临床应用；及可开展全基因组测序、全外显子测序、转录组测序、宏基因组测序、单细胞测序等科研应用。</w:t>
      </w:r>
    </w:p>
    <w:p w14:paraId="09237920">
      <w:pPr>
        <w:rPr>
          <w:rFonts w:ascii="宋体" w:hAnsi="宋体" w:eastAsia="宋体"/>
          <w:color w:val="auto"/>
          <w:sz w:val="24"/>
        </w:rPr>
      </w:pPr>
      <w:r>
        <w:rPr>
          <w:rFonts w:hint="eastAsia" w:ascii="宋体" w:hAnsi="宋体" w:eastAsia="宋体"/>
          <w:color w:val="auto"/>
          <w:sz w:val="24"/>
        </w:rPr>
        <w:t>3.</w:t>
      </w:r>
      <w:r>
        <w:rPr>
          <w:rFonts w:ascii="宋体" w:hAnsi="宋体" w:eastAsia="宋体"/>
          <w:color w:val="auto"/>
          <w:sz w:val="24"/>
        </w:rPr>
        <w:t>测序仪控制软件：可实现中英文双语控制系统切换。</w:t>
      </w:r>
    </w:p>
    <w:p w14:paraId="06B44D0B">
      <w:pPr>
        <w:rPr>
          <w:rFonts w:ascii="宋体" w:hAnsi="宋体" w:eastAsia="宋体"/>
          <w:color w:val="auto"/>
          <w:sz w:val="24"/>
        </w:rPr>
      </w:pPr>
      <w:r>
        <w:rPr>
          <w:rFonts w:hint="eastAsia" w:ascii="宋体" w:hAnsi="宋体" w:eastAsia="宋体"/>
          <w:color w:val="auto"/>
          <w:sz w:val="24"/>
        </w:rPr>
        <w:t>4.</w:t>
      </w:r>
      <w:r>
        <w:rPr>
          <w:rFonts w:ascii="宋体" w:hAnsi="宋体" w:eastAsia="宋体"/>
          <w:color w:val="auto"/>
          <w:sz w:val="24"/>
        </w:rPr>
        <w:t>平台：配置大通量、小通量两种规格载片，满足不同业务需求。</w:t>
      </w:r>
    </w:p>
    <w:p w14:paraId="38CD840E">
      <w:pPr>
        <w:rPr>
          <w:rFonts w:ascii="宋体" w:hAnsi="宋体" w:eastAsia="宋体"/>
          <w:color w:val="auto"/>
          <w:sz w:val="24"/>
          <w:highlight w:val="yellow"/>
        </w:rPr>
      </w:pPr>
      <w:r>
        <w:rPr>
          <w:rFonts w:hint="eastAsia" w:ascii="宋体" w:hAnsi="宋体" w:eastAsia="宋体"/>
          <w:color w:val="auto"/>
          <w:sz w:val="24"/>
        </w:rPr>
        <w:t xml:space="preserve">5. </w:t>
      </w:r>
      <w:r>
        <w:rPr>
          <w:rFonts w:ascii="宋体" w:hAnsi="宋体" w:eastAsia="宋体"/>
          <w:color w:val="auto"/>
          <w:sz w:val="24"/>
        </w:rPr>
        <w:t>▲单次可同时运行≥2张载片，可灵活进行多种不同的应用。</w:t>
      </w:r>
    </w:p>
    <w:p w14:paraId="17083B3E">
      <w:pPr>
        <w:rPr>
          <w:rFonts w:ascii="宋体" w:hAnsi="宋体" w:eastAsia="宋体"/>
          <w:color w:val="auto"/>
          <w:sz w:val="24"/>
          <w:highlight w:val="yellow"/>
        </w:rPr>
      </w:pPr>
      <w:r>
        <w:rPr>
          <w:rFonts w:hint="eastAsia" w:ascii="宋体" w:hAnsi="宋体" w:eastAsia="宋体"/>
          <w:color w:val="auto"/>
          <w:sz w:val="24"/>
        </w:rPr>
        <w:t xml:space="preserve">6. </w:t>
      </w:r>
      <w:r>
        <w:rPr>
          <w:rFonts w:ascii="宋体" w:hAnsi="宋体" w:eastAsia="宋体"/>
          <w:color w:val="auto"/>
          <w:sz w:val="24"/>
        </w:rPr>
        <w:t>▲PE150测序模式下，单次运行最高可产出碱基数据量≥1000Gb。</w:t>
      </w:r>
    </w:p>
    <w:p w14:paraId="63EF7871">
      <w:pPr>
        <w:rPr>
          <w:rFonts w:ascii="宋体" w:hAnsi="宋体" w:eastAsia="宋体"/>
          <w:color w:val="auto"/>
          <w:sz w:val="24"/>
          <w:highlight w:val="yellow"/>
        </w:rPr>
      </w:pPr>
      <w:r>
        <w:rPr>
          <w:rFonts w:hint="eastAsia" w:ascii="宋体" w:hAnsi="宋体" w:eastAsia="宋体"/>
          <w:color w:val="auto"/>
          <w:sz w:val="24"/>
        </w:rPr>
        <w:t xml:space="preserve">7. </w:t>
      </w:r>
      <w:r>
        <w:rPr>
          <w:rFonts w:ascii="宋体" w:hAnsi="宋体" w:eastAsia="宋体"/>
          <w:color w:val="auto"/>
          <w:sz w:val="24"/>
        </w:rPr>
        <w:t>▲单次运行单张大通量载片可产生≥1500M</w:t>
      </w:r>
      <w:bookmarkStart w:id="0" w:name="OLE_LINK1"/>
      <w:r>
        <w:rPr>
          <w:rFonts w:ascii="宋体" w:hAnsi="宋体" w:eastAsia="宋体"/>
          <w:color w:val="auto"/>
          <w:sz w:val="24"/>
        </w:rPr>
        <w:t>序列</w:t>
      </w:r>
      <w:bookmarkEnd w:id="0"/>
      <w:r>
        <w:rPr>
          <w:rFonts w:ascii="宋体" w:hAnsi="宋体" w:eastAsia="宋体"/>
          <w:color w:val="auto"/>
          <w:sz w:val="24"/>
        </w:rPr>
        <w:t>（Reads），双载片模式可产生≥3000M序列（Reads）。</w:t>
      </w:r>
    </w:p>
    <w:p w14:paraId="5847BF0A">
      <w:pPr>
        <w:rPr>
          <w:rFonts w:ascii="宋体" w:hAnsi="宋体" w:eastAsia="宋体"/>
          <w:color w:val="auto"/>
          <w:sz w:val="24"/>
          <w:highlight w:val="yellow"/>
        </w:rPr>
      </w:pPr>
      <w:r>
        <w:rPr>
          <w:rFonts w:hint="eastAsia" w:ascii="宋体" w:hAnsi="宋体" w:eastAsia="宋体"/>
          <w:color w:val="auto"/>
          <w:sz w:val="24"/>
        </w:rPr>
        <w:t xml:space="preserve">8. </w:t>
      </w:r>
      <w:r>
        <w:rPr>
          <w:rFonts w:ascii="宋体" w:hAnsi="宋体" w:eastAsia="宋体"/>
          <w:color w:val="auto"/>
          <w:sz w:val="24"/>
        </w:rPr>
        <w:t>▲基于四色荧光技术，以提高碱基识别准确度。</w:t>
      </w:r>
    </w:p>
    <w:p w14:paraId="7E4A18F8">
      <w:pPr>
        <w:rPr>
          <w:rFonts w:ascii="宋体" w:hAnsi="宋体" w:eastAsia="宋体"/>
          <w:color w:val="auto"/>
          <w:sz w:val="24"/>
          <w:highlight w:val="yellow"/>
        </w:rPr>
      </w:pPr>
      <w:r>
        <w:rPr>
          <w:rFonts w:hint="eastAsia" w:ascii="宋体" w:hAnsi="宋体" w:eastAsia="宋体"/>
          <w:color w:val="auto"/>
          <w:sz w:val="24"/>
        </w:rPr>
        <w:t xml:space="preserve">9. </w:t>
      </w:r>
      <w:r>
        <w:rPr>
          <w:rFonts w:ascii="宋体" w:hAnsi="宋体" w:eastAsia="宋体"/>
          <w:color w:val="auto"/>
          <w:sz w:val="24"/>
        </w:rPr>
        <w:t>▲序列读长至少支持SE50、PE50、SE100、PE100、PE150这5种测序读长可选，且已获批可用于临床。提供测序试剂</w:t>
      </w:r>
      <w:bookmarkStart w:id="1" w:name="OLE_LINK2"/>
      <w:r>
        <w:rPr>
          <w:rFonts w:ascii="宋体" w:hAnsi="宋体" w:eastAsia="宋体"/>
          <w:color w:val="auto"/>
          <w:sz w:val="24"/>
        </w:rPr>
        <w:t>国家药品监督管理局（NMPA）官网截图</w:t>
      </w:r>
      <w:bookmarkEnd w:id="1"/>
      <w:r>
        <w:rPr>
          <w:rFonts w:ascii="宋体" w:hAnsi="宋体" w:eastAsia="宋体"/>
          <w:color w:val="auto"/>
          <w:sz w:val="24"/>
        </w:rPr>
        <w:t>体现明确要求的测序读长及与所投设备适配证明材料。</w:t>
      </w:r>
    </w:p>
    <w:p w14:paraId="2614DF2D">
      <w:pPr>
        <w:rPr>
          <w:rFonts w:ascii="宋体" w:hAnsi="宋体" w:eastAsia="宋体"/>
          <w:color w:val="auto"/>
          <w:sz w:val="24"/>
        </w:rPr>
      </w:pPr>
      <w:r>
        <w:rPr>
          <w:rFonts w:hint="eastAsia" w:ascii="宋体" w:hAnsi="宋体" w:eastAsia="宋体"/>
          <w:color w:val="auto"/>
          <w:sz w:val="24"/>
        </w:rPr>
        <w:t xml:space="preserve">10. </w:t>
      </w:r>
      <w:r>
        <w:rPr>
          <w:rFonts w:ascii="宋体" w:hAnsi="宋体" w:eastAsia="宋体"/>
          <w:color w:val="auto"/>
          <w:sz w:val="24"/>
        </w:rPr>
        <w:t>样本标签序列≥9个碱基（bp），可提高样本识别的精确度。</w:t>
      </w:r>
    </w:p>
    <w:p w14:paraId="3B9528C7">
      <w:pPr>
        <w:rPr>
          <w:rFonts w:ascii="宋体" w:hAnsi="宋体" w:eastAsia="宋体"/>
          <w:color w:val="auto"/>
          <w:sz w:val="24"/>
        </w:rPr>
      </w:pPr>
      <w:r>
        <w:rPr>
          <w:rFonts w:hint="eastAsia" w:ascii="宋体" w:hAnsi="宋体" w:eastAsia="宋体"/>
          <w:color w:val="auto"/>
          <w:sz w:val="24"/>
        </w:rPr>
        <w:t xml:space="preserve">11. </w:t>
      </w:r>
      <w:r>
        <w:rPr>
          <w:rFonts w:ascii="宋体" w:hAnsi="宋体" w:eastAsia="宋体"/>
          <w:color w:val="auto"/>
          <w:sz w:val="24"/>
        </w:rPr>
        <w:t>可连续读取12个以上（如AAAAAAAAAAAA）单个重复碱基序列信息。</w:t>
      </w:r>
    </w:p>
    <w:p w14:paraId="159FA520">
      <w:pPr>
        <w:rPr>
          <w:rFonts w:ascii="宋体" w:hAnsi="宋体" w:eastAsia="宋体"/>
          <w:color w:val="auto"/>
          <w:sz w:val="24"/>
        </w:rPr>
      </w:pPr>
      <w:r>
        <w:rPr>
          <w:rFonts w:hint="eastAsia" w:ascii="宋体" w:hAnsi="宋体" w:eastAsia="宋体"/>
          <w:color w:val="auto"/>
          <w:sz w:val="24"/>
        </w:rPr>
        <w:t xml:space="preserve">12. </w:t>
      </w:r>
      <w:r>
        <w:rPr>
          <w:rFonts w:ascii="宋体" w:hAnsi="宋体" w:eastAsia="宋体"/>
          <w:color w:val="auto"/>
          <w:sz w:val="24"/>
        </w:rPr>
        <w:t>大通量载片单张载片有4个独立的流道（lane），至少可同时运行≥4种不同的检测样本（文库）。</w:t>
      </w:r>
    </w:p>
    <w:p w14:paraId="48030061">
      <w:pPr>
        <w:rPr>
          <w:rFonts w:ascii="宋体" w:hAnsi="宋体" w:eastAsia="宋体"/>
          <w:color w:val="auto"/>
          <w:sz w:val="24"/>
        </w:rPr>
      </w:pPr>
      <w:r>
        <w:rPr>
          <w:rFonts w:hint="eastAsia" w:ascii="宋体" w:hAnsi="宋体" w:eastAsia="宋体"/>
          <w:color w:val="auto"/>
          <w:sz w:val="24"/>
        </w:rPr>
        <w:t xml:space="preserve">13. </w:t>
      </w:r>
      <w:r>
        <w:rPr>
          <w:rFonts w:ascii="宋体" w:hAnsi="宋体" w:eastAsia="宋体"/>
          <w:color w:val="auto"/>
          <w:sz w:val="24"/>
        </w:rPr>
        <w:t>▲采用规则阵列载片，提供产品说明书关键页。</w:t>
      </w:r>
    </w:p>
    <w:p w14:paraId="21DA928E">
      <w:pPr>
        <w:rPr>
          <w:rFonts w:ascii="宋体" w:hAnsi="宋体" w:eastAsia="宋体"/>
          <w:color w:val="auto"/>
          <w:sz w:val="24"/>
          <w:highlight w:val="yellow"/>
        </w:rPr>
      </w:pPr>
      <w:r>
        <w:rPr>
          <w:rFonts w:hint="eastAsia" w:ascii="宋体" w:hAnsi="宋体" w:eastAsia="宋体"/>
          <w:color w:val="auto"/>
          <w:sz w:val="24"/>
        </w:rPr>
        <w:t xml:space="preserve">14. </w:t>
      </w:r>
      <w:r>
        <w:rPr>
          <w:rFonts w:ascii="宋体" w:hAnsi="宋体" w:eastAsia="宋体"/>
          <w:color w:val="auto"/>
          <w:sz w:val="24"/>
        </w:rPr>
        <w:t>采用线性扩增方式，每轮扩增均以原始文库分子为模板。</w:t>
      </w:r>
    </w:p>
    <w:p w14:paraId="7C97815D">
      <w:pPr>
        <w:rPr>
          <w:rFonts w:ascii="宋体" w:hAnsi="宋体" w:eastAsia="宋体"/>
          <w:color w:val="auto"/>
          <w:sz w:val="24"/>
          <w:highlight w:val="yellow"/>
        </w:rPr>
      </w:pPr>
      <w:r>
        <w:rPr>
          <w:rFonts w:hint="eastAsia" w:ascii="宋体" w:hAnsi="宋体" w:eastAsia="宋体"/>
          <w:color w:val="auto"/>
          <w:sz w:val="24"/>
        </w:rPr>
        <w:t xml:space="preserve">15. </w:t>
      </w:r>
      <w:r>
        <w:rPr>
          <w:rFonts w:ascii="宋体" w:hAnsi="宋体" w:eastAsia="宋体"/>
          <w:color w:val="auto"/>
          <w:sz w:val="24"/>
        </w:rPr>
        <w:t>▲使用标准文库，大通量载片在SE100测序模式下，数据质量高于 Q30 的碱基百分比＞90%，需提供制造商盖章的产品彩页或官网截图。</w:t>
      </w:r>
    </w:p>
    <w:p w14:paraId="249DDEE5">
      <w:pPr>
        <w:rPr>
          <w:rFonts w:ascii="宋体" w:hAnsi="宋体" w:eastAsia="宋体"/>
          <w:color w:val="auto"/>
          <w:sz w:val="24"/>
        </w:rPr>
      </w:pPr>
      <w:r>
        <w:rPr>
          <w:rFonts w:hint="eastAsia" w:ascii="宋体" w:hAnsi="宋体" w:eastAsia="宋体"/>
          <w:color w:val="auto"/>
          <w:sz w:val="24"/>
        </w:rPr>
        <w:t xml:space="preserve">16. </w:t>
      </w:r>
      <w:r>
        <w:rPr>
          <w:rFonts w:ascii="宋体" w:hAnsi="宋体" w:eastAsia="宋体"/>
          <w:color w:val="auto"/>
          <w:sz w:val="24"/>
        </w:rPr>
        <w:t>测序的同时能进行初步数据分析，并产生有质量打分的碱基序列。</w:t>
      </w:r>
    </w:p>
    <w:p w14:paraId="0F4CFC89">
      <w:pPr>
        <w:rPr>
          <w:rFonts w:ascii="宋体" w:hAnsi="宋体" w:eastAsia="宋体"/>
          <w:color w:val="auto"/>
          <w:sz w:val="24"/>
        </w:rPr>
      </w:pPr>
      <w:r>
        <w:rPr>
          <w:rFonts w:hint="eastAsia" w:ascii="宋体" w:hAnsi="宋体" w:eastAsia="宋体"/>
          <w:color w:val="auto"/>
          <w:sz w:val="24"/>
        </w:rPr>
        <w:t xml:space="preserve">17. </w:t>
      </w:r>
      <w:r>
        <w:rPr>
          <w:rFonts w:ascii="宋体" w:hAnsi="宋体" w:eastAsia="宋体"/>
          <w:color w:val="auto"/>
          <w:sz w:val="24"/>
        </w:rPr>
        <w:t>加载系统：测序仪能满足自带或选配外置样本加载系统的功能，实现载片制备，不同载片可以加载不同样本。</w:t>
      </w:r>
    </w:p>
    <w:p w14:paraId="0B007DA0">
      <w:pPr>
        <w:rPr>
          <w:rFonts w:ascii="宋体" w:hAnsi="宋体" w:eastAsia="宋体"/>
          <w:color w:val="auto"/>
          <w:sz w:val="24"/>
          <w:highlight w:val="yellow"/>
        </w:rPr>
      </w:pPr>
      <w:r>
        <w:rPr>
          <w:rFonts w:hint="eastAsia" w:ascii="宋体" w:hAnsi="宋体" w:eastAsia="宋体"/>
          <w:color w:val="auto"/>
          <w:sz w:val="24"/>
        </w:rPr>
        <w:t xml:space="preserve">18. </w:t>
      </w:r>
      <w:r>
        <w:rPr>
          <w:rFonts w:ascii="宋体" w:hAnsi="宋体" w:eastAsia="宋体"/>
          <w:color w:val="auto"/>
          <w:sz w:val="24"/>
        </w:rPr>
        <w:t>▲可提供与所投设备适配的不同临床应用项目的高通量基因检测试剂盒≥5种，需提供已获批可用于临床的三类医疗器械注册证及适配证明材料（以试剂盒说明书体现的适用仪器机型为准）。</w:t>
      </w:r>
    </w:p>
    <w:p w14:paraId="1FEF809F">
      <w:pPr>
        <w:rPr>
          <w:rFonts w:ascii="宋体" w:hAnsi="宋体" w:eastAsia="宋体"/>
          <w:color w:val="auto"/>
          <w:sz w:val="24"/>
          <w:highlight w:val="yellow"/>
        </w:rPr>
      </w:pPr>
      <w:r>
        <w:rPr>
          <w:rFonts w:hint="eastAsia" w:ascii="宋体" w:hAnsi="宋体" w:eastAsia="宋体"/>
          <w:color w:val="auto"/>
          <w:sz w:val="24"/>
        </w:rPr>
        <w:t xml:space="preserve">19. </w:t>
      </w:r>
      <w:r>
        <w:rPr>
          <w:rFonts w:ascii="宋体" w:hAnsi="宋体" w:eastAsia="宋体"/>
          <w:color w:val="auto"/>
          <w:sz w:val="24"/>
        </w:rPr>
        <w:t>▲可提供与上述高通量基因检测配套使用的数据分析软件≥5种，需提供医疗器械注册证，并提供软件厂家出具的软件可与所投设备及试剂盒配套使用的说明函。</w:t>
      </w:r>
    </w:p>
    <w:p w14:paraId="2CD78C31">
      <w:pPr>
        <w:rPr>
          <w:rFonts w:ascii="宋体" w:hAnsi="宋体" w:eastAsia="宋体"/>
          <w:color w:val="auto"/>
          <w:sz w:val="24"/>
          <w:highlight w:val="yellow"/>
        </w:rPr>
      </w:pPr>
      <w:r>
        <w:rPr>
          <w:rFonts w:hint="eastAsia" w:ascii="宋体" w:hAnsi="宋体" w:eastAsia="宋体"/>
          <w:color w:val="auto"/>
          <w:sz w:val="24"/>
        </w:rPr>
        <w:t xml:space="preserve">20. </w:t>
      </w:r>
      <w:r>
        <w:rPr>
          <w:rFonts w:ascii="宋体" w:hAnsi="宋体" w:eastAsia="宋体"/>
          <w:color w:val="auto"/>
          <w:sz w:val="24"/>
        </w:rPr>
        <w:t>▲可提供全外显子检测（WES）本地化检测，单次运行可检测≥48个样本，单个样本数据量不低于10G。</w:t>
      </w:r>
    </w:p>
    <w:p w14:paraId="0BF9E812">
      <w:pPr>
        <w:rPr>
          <w:rFonts w:ascii="宋体" w:hAnsi="宋体" w:eastAsia="宋体"/>
          <w:color w:val="auto"/>
          <w:sz w:val="24"/>
        </w:rPr>
      </w:pPr>
      <w:r>
        <w:rPr>
          <w:rFonts w:hint="eastAsia" w:ascii="宋体" w:hAnsi="宋体" w:eastAsia="宋体"/>
          <w:color w:val="auto"/>
          <w:sz w:val="24"/>
        </w:rPr>
        <w:t xml:space="preserve">21. </w:t>
      </w:r>
      <w:r>
        <w:rPr>
          <w:rFonts w:ascii="宋体" w:hAnsi="宋体" w:eastAsia="宋体"/>
          <w:color w:val="auto"/>
          <w:sz w:val="24"/>
        </w:rPr>
        <w:t>控制工作站配置：内存≥256Gb。</w:t>
      </w:r>
    </w:p>
    <w:p w14:paraId="28C69257">
      <w:pPr>
        <w:rPr>
          <w:rFonts w:ascii="宋体" w:hAnsi="宋体" w:eastAsia="宋体"/>
          <w:color w:val="auto"/>
          <w:sz w:val="24"/>
        </w:rPr>
      </w:pPr>
      <w:r>
        <w:rPr>
          <w:rFonts w:hint="eastAsia" w:ascii="宋体" w:hAnsi="宋体" w:eastAsia="宋体"/>
          <w:color w:val="auto"/>
          <w:sz w:val="24"/>
        </w:rPr>
        <w:t xml:space="preserve">22. </w:t>
      </w:r>
      <w:r>
        <w:rPr>
          <w:rFonts w:ascii="宋体" w:hAnsi="宋体" w:eastAsia="宋体"/>
          <w:color w:val="auto"/>
          <w:sz w:val="24"/>
        </w:rPr>
        <w:t>操作环境：环境温度涵盖19</w:t>
      </w:r>
      <w:r>
        <w:rPr>
          <w:rFonts w:hint="eastAsia" w:ascii="宋体" w:hAnsi="宋体" w:eastAsia="宋体"/>
          <w:color w:val="auto"/>
          <w:sz w:val="24"/>
        </w:rPr>
        <w:t>～</w:t>
      </w:r>
      <w:r>
        <w:rPr>
          <w:rFonts w:ascii="宋体" w:hAnsi="宋体" w:eastAsia="宋体"/>
          <w:color w:val="auto"/>
          <w:sz w:val="24"/>
        </w:rPr>
        <w:t>25℃；相对湿度涵盖20%～80%RH，无冷凝；气压范围涵盖70kPa～106kPa。</w:t>
      </w:r>
    </w:p>
    <w:p w14:paraId="4D56B001">
      <w:pPr>
        <w:rPr>
          <w:rFonts w:ascii="宋体" w:hAnsi="宋体" w:eastAsia="宋体"/>
          <w:color w:val="auto"/>
          <w:sz w:val="24"/>
          <w:highlight w:val="yellow"/>
        </w:rPr>
      </w:pPr>
      <w:r>
        <w:rPr>
          <w:rFonts w:hint="eastAsia" w:ascii="宋体" w:hAnsi="宋体" w:eastAsia="宋体"/>
          <w:color w:val="auto"/>
          <w:sz w:val="24"/>
        </w:rPr>
        <w:t xml:space="preserve">23. </w:t>
      </w:r>
      <w:r>
        <w:rPr>
          <w:rFonts w:ascii="宋体" w:hAnsi="宋体" w:eastAsia="宋体"/>
          <w:color w:val="auto"/>
          <w:sz w:val="24"/>
        </w:rPr>
        <w:t>额定功耗＜1500 VA。</w:t>
      </w:r>
    </w:p>
    <w:p w14:paraId="01EAED1B">
      <w:pPr>
        <w:rPr>
          <w:rFonts w:ascii="宋体" w:hAnsi="宋体" w:eastAsia="宋体"/>
          <w:color w:val="auto"/>
          <w:sz w:val="24"/>
        </w:rPr>
      </w:pPr>
      <w:r>
        <w:rPr>
          <w:rFonts w:hint="eastAsia" w:ascii="宋体" w:hAnsi="宋体" w:eastAsia="宋体"/>
          <w:color w:val="auto"/>
          <w:sz w:val="24"/>
        </w:rPr>
        <w:t>24.</w:t>
      </w:r>
      <w:r>
        <w:rPr>
          <w:rFonts w:ascii="宋体" w:hAnsi="宋体" w:eastAsia="宋体"/>
          <w:color w:val="auto"/>
          <w:sz w:val="24"/>
        </w:rPr>
        <w:t>净重≤200 千克。</w:t>
      </w:r>
    </w:p>
    <w:p w14:paraId="33323294">
      <w:pPr>
        <w:rPr>
          <w:rFonts w:ascii="宋体" w:hAnsi="宋体" w:eastAsia="宋体"/>
          <w:color w:val="auto"/>
          <w:sz w:val="24"/>
        </w:rPr>
      </w:pPr>
      <w:r>
        <w:rPr>
          <w:rFonts w:hint="eastAsia" w:ascii="宋体" w:hAnsi="宋体" w:eastAsia="宋体"/>
          <w:color w:val="auto"/>
          <w:sz w:val="24"/>
        </w:rPr>
        <w:t>25.</w:t>
      </w:r>
      <w:r>
        <w:rPr>
          <w:rFonts w:ascii="宋体" w:hAnsi="宋体" w:eastAsia="宋体"/>
          <w:color w:val="auto"/>
          <w:sz w:val="24"/>
        </w:rPr>
        <w:t>长宽高均小于1100毫米。</w:t>
      </w:r>
    </w:p>
    <w:p w14:paraId="0C411EF1">
      <w:pPr>
        <w:rPr>
          <w:rFonts w:ascii="宋体" w:hAnsi="宋体" w:eastAsia="宋体"/>
          <w:color w:val="auto"/>
          <w:sz w:val="24"/>
          <w:u w:val="single"/>
        </w:rPr>
      </w:pPr>
    </w:p>
    <w:p w14:paraId="27D33802">
      <w:pPr>
        <w:rPr>
          <w:rFonts w:ascii="宋体" w:hAnsi="宋体" w:eastAsia="宋体"/>
          <w:color w:val="auto"/>
          <w:sz w:val="24"/>
        </w:rPr>
      </w:pPr>
    </w:p>
    <w:p w14:paraId="03896FB4">
      <w:pPr>
        <w:rPr>
          <w:rFonts w:ascii="宋体" w:hAnsi="宋体" w:eastAsia="宋体"/>
          <w:color w:val="auto"/>
          <w:sz w:val="24"/>
        </w:rPr>
      </w:pPr>
    </w:p>
    <w:p w14:paraId="3AFF4908">
      <w:pPr>
        <w:rPr>
          <w:rFonts w:ascii="宋体" w:hAnsi="宋体" w:eastAsia="宋体"/>
          <w:color w:val="auto"/>
          <w:sz w:val="24"/>
        </w:rPr>
      </w:pPr>
    </w:p>
    <w:p w14:paraId="1BAFB784">
      <w:pPr>
        <w:rPr>
          <w:rFonts w:ascii="宋体" w:hAnsi="宋体" w:eastAsia="宋体"/>
          <w:color w:val="auto"/>
          <w:sz w:val="24"/>
        </w:rPr>
      </w:pPr>
    </w:p>
    <w:p w14:paraId="3ED8F97E">
      <w:pPr>
        <w:rPr>
          <w:rFonts w:ascii="宋体" w:hAnsi="宋体" w:eastAsia="宋体"/>
          <w:color w:val="auto"/>
          <w:sz w:val="24"/>
        </w:rPr>
      </w:pPr>
    </w:p>
    <w:p w14:paraId="0D0E0081">
      <w:pPr>
        <w:rPr>
          <w:rFonts w:ascii="宋体" w:hAnsi="宋体" w:eastAsia="宋体"/>
          <w:color w:val="auto"/>
          <w:sz w:val="24"/>
        </w:rPr>
      </w:pPr>
    </w:p>
    <w:p w14:paraId="4B6EEFAC">
      <w:pPr>
        <w:rPr>
          <w:rFonts w:ascii="宋体" w:hAnsi="宋体" w:eastAsia="宋体"/>
          <w:color w:val="auto"/>
          <w:sz w:val="24"/>
        </w:rPr>
      </w:pPr>
    </w:p>
    <w:p w14:paraId="39824953">
      <w:pPr>
        <w:rPr>
          <w:rFonts w:ascii="宋体" w:hAnsi="宋体" w:eastAsia="宋体"/>
          <w:color w:val="auto"/>
          <w:sz w:val="24"/>
        </w:rPr>
      </w:pPr>
    </w:p>
    <w:p w14:paraId="4A98F48A">
      <w:pPr>
        <w:rPr>
          <w:rFonts w:ascii="宋体" w:hAnsi="宋体" w:eastAsia="宋体"/>
          <w:color w:val="auto"/>
          <w:sz w:val="24"/>
        </w:rPr>
      </w:pPr>
    </w:p>
    <w:p w14:paraId="0F9E3B0A">
      <w:pPr>
        <w:rPr>
          <w:rFonts w:ascii="宋体" w:hAnsi="宋体" w:eastAsia="宋体"/>
          <w:color w:val="auto"/>
          <w:sz w:val="24"/>
        </w:rPr>
      </w:pPr>
    </w:p>
    <w:p w14:paraId="2E5167A9">
      <w:pPr>
        <w:jc w:val="center"/>
        <w:rPr>
          <w:rFonts w:ascii="宋体" w:hAnsi="宋体" w:eastAsia="宋体"/>
          <w:b/>
          <w:bCs/>
          <w:color w:val="auto"/>
          <w:sz w:val="28"/>
          <w:szCs w:val="28"/>
        </w:rPr>
      </w:pPr>
      <w:r>
        <w:rPr>
          <w:rFonts w:hint="eastAsia" w:ascii="宋体" w:hAnsi="宋体" w:eastAsia="宋体"/>
          <w:b/>
          <w:bCs/>
          <w:color w:val="auto"/>
          <w:sz w:val="28"/>
          <w:szCs w:val="28"/>
        </w:rPr>
        <w:t>配置清单</w:t>
      </w:r>
    </w:p>
    <w:tbl>
      <w:tblPr>
        <w:tblStyle w:val="16"/>
        <w:tblW w:w="8398" w:type="dxa"/>
        <w:tblInd w:w="-5" w:type="dxa"/>
        <w:tblLayout w:type="fixed"/>
        <w:tblCellMar>
          <w:top w:w="0" w:type="dxa"/>
          <w:left w:w="108" w:type="dxa"/>
          <w:bottom w:w="0" w:type="dxa"/>
          <w:right w:w="108" w:type="dxa"/>
        </w:tblCellMar>
      </w:tblPr>
      <w:tblGrid>
        <w:gridCol w:w="4357"/>
        <w:gridCol w:w="2176"/>
        <w:gridCol w:w="1865"/>
      </w:tblGrid>
      <w:tr w14:paraId="65188BCA">
        <w:tblPrEx>
          <w:tblCellMar>
            <w:top w:w="0" w:type="dxa"/>
            <w:left w:w="108" w:type="dxa"/>
            <w:bottom w:w="0" w:type="dxa"/>
            <w:right w:w="108" w:type="dxa"/>
          </w:tblCellMar>
        </w:tblPrEx>
        <w:trPr>
          <w:trHeight w:val="431" w:hRule="atLeast"/>
        </w:trPr>
        <w:tc>
          <w:tcPr>
            <w:tcW w:w="4357" w:type="dxa"/>
            <w:tcBorders>
              <w:top w:val="single" w:color="auto" w:sz="4" w:space="0"/>
              <w:left w:val="single" w:color="auto" w:sz="4" w:space="0"/>
              <w:bottom w:val="single" w:color="auto" w:sz="4" w:space="0"/>
              <w:right w:val="single" w:color="auto" w:sz="4" w:space="0"/>
            </w:tcBorders>
            <w:vAlign w:val="center"/>
          </w:tcPr>
          <w:p w14:paraId="3FF848AF">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设备名称</w:t>
            </w:r>
          </w:p>
        </w:tc>
        <w:tc>
          <w:tcPr>
            <w:tcW w:w="2176" w:type="dxa"/>
            <w:tcBorders>
              <w:top w:val="single" w:color="auto" w:sz="4" w:space="0"/>
              <w:left w:val="nil"/>
              <w:bottom w:val="single" w:color="auto" w:sz="4" w:space="0"/>
              <w:right w:val="single" w:color="auto" w:sz="4" w:space="0"/>
            </w:tcBorders>
            <w:vAlign w:val="center"/>
          </w:tcPr>
          <w:p w14:paraId="1AB68041">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单位</w:t>
            </w:r>
          </w:p>
        </w:tc>
        <w:tc>
          <w:tcPr>
            <w:tcW w:w="1865" w:type="dxa"/>
            <w:tcBorders>
              <w:top w:val="single" w:color="auto" w:sz="4" w:space="0"/>
              <w:left w:val="nil"/>
              <w:bottom w:val="single" w:color="auto" w:sz="4" w:space="0"/>
              <w:right w:val="single" w:color="auto" w:sz="4" w:space="0"/>
            </w:tcBorders>
            <w:vAlign w:val="center"/>
          </w:tcPr>
          <w:p w14:paraId="539BBF7A">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数量</w:t>
            </w:r>
          </w:p>
        </w:tc>
      </w:tr>
      <w:tr w14:paraId="45442803">
        <w:tblPrEx>
          <w:tblCellMar>
            <w:top w:w="0" w:type="dxa"/>
            <w:left w:w="108" w:type="dxa"/>
            <w:bottom w:w="0" w:type="dxa"/>
            <w:right w:w="108" w:type="dxa"/>
          </w:tblCellMar>
        </w:tblPrEx>
        <w:trPr>
          <w:trHeight w:val="829" w:hRule="atLeast"/>
        </w:trPr>
        <w:tc>
          <w:tcPr>
            <w:tcW w:w="4357" w:type="dxa"/>
            <w:tcBorders>
              <w:top w:val="nil"/>
              <w:left w:val="single" w:color="auto" w:sz="4" w:space="0"/>
              <w:bottom w:val="single" w:color="auto" w:sz="4" w:space="0"/>
              <w:right w:val="single" w:color="auto" w:sz="4" w:space="0"/>
            </w:tcBorders>
            <w:vAlign w:val="center"/>
          </w:tcPr>
          <w:p w14:paraId="3E665F93">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基因测序仪 (联合探针锚定聚合测序技术)</w:t>
            </w:r>
          </w:p>
        </w:tc>
        <w:tc>
          <w:tcPr>
            <w:tcW w:w="2176" w:type="dxa"/>
            <w:tcBorders>
              <w:top w:val="nil"/>
              <w:left w:val="nil"/>
              <w:bottom w:val="single" w:color="auto" w:sz="4" w:space="0"/>
              <w:right w:val="single" w:color="auto" w:sz="4" w:space="0"/>
            </w:tcBorders>
            <w:vAlign w:val="center"/>
          </w:tcPr>
          <w:p w14:paraId="29AADF16">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台</w:t>
            </w:r>
          </w:p>
        </w:tc>
        <w:tc>
          <w:tcPr>
            <w:tcW w:w="1865" w:type="dxa"/>
            <w:tcBorders>
              <w:top w:val="nil"/>
              <w:left w:val="nil"/>
              <w:bottom w:val="single" w:color="auto" w:sz="4" w:space="0"/>
              <w:right w:val="single" w:color="auto" w:sz="4" w:space="0"/>
            </w:tcBorders>
            <w:vAlign w:val="center"/>
          </w:tcPr>
          <w:p w14:paraId="4AFC62D3">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1</w:t>
            </w:r>
          </w:p>
        </w:tc>
      </w:tr>
      <w:tr w14:paraId="060F0FBB">
        <w:tblPrEx>
          <w:tblCellMar>
            <w:top w:w="0" w:type="dxa"/>
            <w:left w:w="108" w:type="dxa"/>
            <w:bottom w:w="0" w:type="dxa"/>
            <w:right w:w="108" w:type="dxa"/>
          </w:tblCellMar>
        </w:tblPrEx>
        <w:trPr>
          <w:trHeight w:val="705" w:hRule="atLeast"/>
        </w:trPr>
        <w:tc>
          <w:tcPr>
            <w:tcW w:w="4357" w:type="dxa"/>
            <w:tcBorders>
              <w:top w:val="single" w:color="auto" w:sz="4" w:space="0"/>
              <w:left w:val="single" w:color="auto" w:sz="4" w:space="0"/>
              <w:bottom w:val="single" w:color="auto" w:sz="4" w:space="0"/>
              <w:right w:val="single" w:color="auto" w:sz="4" w:space="0"/>
            </w:tcBorders>
            <w:shd w:val="clear" w:color="000000" w:fill="FFFFFF"/>
            <w:vAlign w:val="center"/>
          </w:tcPr>
          <w:p w14:paraId="5D81A292">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全自动测序文库制备系统</w:t>
            </w:r>
          </w:p>
        </w:tc>
        <w:tc>
          <w:tcPr>
            <w:tcW w:w="2176" w:type="dxa"/>
            <w:tcBorders>
              <w:top w:val="single" w:color="auto" w:sz="4" w:space="0"/>
              <w:left w:val="single" w:color="auto" w:sz="4" w:space="0"/>
              <w:bottom w:val="single" w:color="auto" w:sz="4" w:space="0"/>
              <w:right w:val="single" w:color="auto" w:sz="4" w:space="0"/>
            </w:tcBorders>
            <w:vAlign w:val="center"/>
          </w:tcPr>
          <w:p w14:paraId="72B8DD66">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套</w:t>
            </w:r>
          </w:p>
        </w:tc>
        <w:tc>
          <w:tcPr>
            <w:tcW w:w="1865" w:type="dxa"/>
            <w:tcBorders>
              <w:top w:val="single" w:color="auto" w:sz="4" w:space="0"/>
              <w:left w:val="nil"/>
              <w:bottom w:val="single" w:color="auto" w:sz="4" w:space="0"/>
              <w:right w:val="single" w:color="auto" w:sz="4" w:space="0"/>
            </w:tcBorders>
            <w:vAlign w:val="center"/>
          </w:tcPr>
          <w:p w14:paraId="162A8301">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1</w:t>
            </w:r>
          </w:p>
        </w:tc>
      </w:tr>
      <w:tr w14:paraId="61442F78">
        <w:tblPrEx>
          <w:tblCellMar>
            <w:top w:w="0" w:type="dxa"/>
            <w:left w:w="108" w:type="dxa"/>
            <w:bottom w:w="0" w:type="dxa"/>
            <w:right w:w="108" w:type="dxa"/>
          </w:tblCellMar>
        </w:tblPrEx>
        <w:trPr>
          <w:trHeight w:val="564" w:hRule="atLeast"/>
        </w:trPr>
        <w:tc>
          <w:tcPr>
            <w:tcW w:w="4357" w:type="dxa"/>
            <w:tcBorders>
              <w:top w:val="single" w:color="auto" w:sz="4" w:space="0"/>
              <w:left w:val="single" w:color="auto" w:sz="4" w:space="0"/>
              <w:bottom w:val="single" w:color="auto" w:sz="4" w:space="0"/>
              <w:right w:val="single" w:color="auto" w:sz="4" w:space="0"/>
            </w:tcBorders>
            <w:shd w:val="clear" w:color="000000" w:fill="FFFFFF"/>
            <w:vAlign w:val="center"/>
          </w:tcPr>
          <w:p w14:paraId="1A10FD52">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二代测序检测系统辅助设备</w:t>
            </w:r>
          </w:p>
        </w:tc>
        <w:tc>
          <w:tcPr>
            <w:tcW w:w="2176" w:type="dxa"/>
            <w:tcBorders>
              <w:top w:val="single" w:color="auto" w:sz="4" w:space="0"/>
              <w:left w:val="single" w:color="auto" w:sz="4" w:space="0"/>
              <w:bottom w:val="single" w:color="auto" w:sz="4" w:space="0"/>
              <w:right w:val="single" w:color="auto" w:sz="4" w:space="0"/>
            </w:tcBorders>
            <w:vAlign w:val="center"/>
          </w:tcPr>
          <w:p w14:paraId="1D1519C4">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套</w:t>
            </w:r>
          </w:p>
        </w:tc>
        <w:tc>
          <w:tcPr>
            <w:tcW w:w="1865" w:type="dxa"/>
            <w:tcBorders>
              <w:top w:val="single" w:color="auto" w:sz="4" w:space="0"/>
              <w:left w:val="nil"/>
              <w:bottom w:val="single" w:color="auto" w:sz="4" w:space="0"/>
              <w:right w:val="single" w:color="auto" w:sz="4" w:space="0"/>
            </w:tcBorders>
            <w:vAlign w:val="center"/>
          </w:tcPr>
          <w:p w14:paraId="2F80F824">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1</w:t>
            </w:r>
          </w:p>
        </w:tc>
      </w:tr>
    </w:tbl>
    <w:p w14:paraId="5DB83A46">
      <w:pPr>
        <w:rPr>
          <w:rFonts w:ascii="宋体" w:hAnsi="宋体" w:eastAsia="宋体"/>
          <w:color w:val="auto"/>
          <w:sz w:val="24"/>
        </w:rPr>
      </w:pPr>
    </w:p>
    <w:tbl>
      <w:tblPr>
        <w:tblStyle w:val="16"/>
        <w:tblW w:w="8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3"/>
        <w:gridCol w:w="3538"/>
        <w:gridCol w:w="1667"/>
      </w:tblGrid>
      <w:tr w14:paraId="2D13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01354A18">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设备名称</w:t>
            </w:r>
          </w:p>
        </w:tc>
        <w:tc>
          <w:tcPr>
            <w:tcW w:w="3538" w:type="dxa"/>
            <w:shd w:val="clear" w:color="000000" w:fill="FFFFFF"/>
            <w:vAlign w:val="center"/>
          </w:tcPr>
          <w:p w14:paraId="450BA7CE">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用途</w:t>
            </w:r>
          </w:p>
        </w:tc>
        <w:tc>
          <w:tcPr>
            <w:tcW w:w="1667" w:type="dxa"/>
            <w:shd w:val="clear" w:color="000000" w:fill="FFFFFF"/>
            <w:vAlign w:val="center"/>
          </w:tcPr>
          <w:p w14:paraId="791AD0FD">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数量</w:t>
            </w:r>
          </w:p>
        </w:tc>
      </w:tr>
      <w:tr w14:paraId="64BD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4E806E0E">
            <w:pPr>
              <w:widowControl/>
              <w:spacing w:after="0" w:line="240" w:lineRule="auto"/>
              <w:jc w:val="center"/>
              <w:rPr>
                <w:rFonts w:ascii="宋体" w:hAnsi="宋体" w:eastAsia="宋体" w:cs="宋体"/>
                <w:b/>
                <w:bCs/>
                <w:color w:val="auto"/>
                <w:kern w:val="0"/>
                <w:szCs w:val="22"/>
                <w14:ligatures w14:val="none"/>
              </w:rPr>
            </w:pPr>
            <w:r>
              <w:rPr>
                <w:rFonts w:hint="eastAsia" w:ascii="宋体" w:hAnsi="宋体" w:eastAsia="宋体" w:cs="宋体"/>
                <w:b/>
                <w:bCs/>
                <w:color w:val="auto"/>
                <w:kern w:val="0"/>
                <w:szCs w:val="22"/>
                <w14:ligatures w14:val="none"/>
              </w:rPr>
              <w:t>超洁净工作台</w:t>
            </w:r>
          </w:p>
        </w:tc>
        <w:tc>
          <w:tcPr>
            <w:tcW w:w="3538" w:type="dxa"/>
            <w:shd w:val="clear" w:color="000000" w:fill="FFFFFF"/>
            <w:vAlign w:val="center"/>
          </w:tcPr>
          <w:p w14:paraId="793F3757">
            <w:pPr>
              <w:widowControl/>
              <w:spacing w:after="0" w:line="240" w:lineRule="auto"/>
              <w:jc w:val="center"/>
              <w:rPr>
                <w:rFonts w:ascii="宋体" w:hAnsi="宋体" w:eastAsia="宋体" w:cs="宋体"/>
                <w:b/>
                <w:bCs/>
                <w:color w:val="auto"/>
                <w:kern w:val="0"/>
                <w:szCs w:val="22"/>
                <w14:ligatures w14:val="none"/>
              </w:rPr>
            </w:pPr>
            <w:r>
              <w:rPr>
                <w:rFonts w:hint="eastAsia" w:ascii="宋体" w:hAnsi="宋体" w:eastAsia="宋体" w:cs="宋体"/>
                <w:b/>
                <w:bCs/>
                <w:color w:val="auto"/>
                <w:kern w:val="0"/>
                <w:szCs w:val="22"/>
                <w14:ligatures w14:val="none"/>
              </w:rPr>
              <w:t>试剂分装</w:t>
            </w:r>
          </w:p>
        </w:tc>
        <w:tc>
          <w:tcPr>
            <w:tcW w:w="1667" w:type="dxa"/>
            <w:shd w:val="clear" w:color="000000" w:fill="FFFFFF"/>
            <w:vAlign w:val="center"/>
          </w:tcPr>
          <w:p w14:paraId="500DC64B">
            <w:pPr>
              <w:widowControl/>
              <w:spacing w:after="0" w:line="240" w:lineRule="auto"/>
              <w:jc w:val="center"/>
              <w:rPr>
                <w:rFonts w:ascii="宋体" w:hAnsi="宋体" w:eastAsia="宋体" w:cs="宋体"/>
                <w:b/>
                <w:bCs/>
                <w:color w:val="auto"/>
                <w:kern w:val="0"/>
                <w:szCs w:val="22"/>
                <w14:ligatures w14:val="none"/>
              </w:rPr>
            </w:pPr>
            <w:r>
              <w:rPr>
                <w:rFonts w:hint="eastAsia" w:ascii="宋体" w:hAnsi="宋体" w:eastAsia="宋体" w:cs="宋体"/>
                <w:b/>
                <w:bCs/>
                <w:color w:val="auto"/>
                <w:kern w:val="0"/>
                <w:szCs w:val="22"/>
                <w14:ligatures w14:val="none"/>
              </w:rPr>
              <w:t>1</w:t>
            </w:r>
          </w:p>
        </w:tc>
      </w:tr>
      <w:tr w14:paraId="2748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0927D1DD">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冷藏冷冻冰箱</w:t>
            </w:r>
          </w:p>
        </w:tc>
        <w:tc>
          <w:tcPr>
            <w:tcW w:w="3538" w:type="dxa"/>
            <w:shd w:val="clear" w:color="000000" w:fill="FFFFFF"/>
            <w:vAlign w:val="center"/>
          </w:tcPr>
          <w:p w14:paraId="64585FC3">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试剂储存</w:t>
            </w:r>
          </w:p>
        </w:tc>
        <w:tc>
          <w:tcPr>
            <w:tcW w:w="1667" w:type="dxa"/>
            <w:shd w:val="clear" w:color="000000" w:fill="FFFFFF"/>
            <w:vAlign w:val="center"/>
          </w:tcPr>
          <w:p w14:paraId="2D452ABD">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1</w:t>
            </w:r>
          </w:p>
        </w:tc>
      </w:tr>
      <w:tr w14:paraId="048A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0AD39541">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低温冰箱</w:t>
            </w:r>
          </w:p>
        </w:tc>
        <w:tc>
          <w:tcPr>
            <w:tcW w:w="3538" w:type="dxa"/>
            <w:shd w:val="clear" w:color="000000" w:fill="FFFFFF"/>
            <w:vAlign w:val="center"/>
          </w:tcPr>
          <w:p w14:paraId="6B49D828">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试剂储存</w:t>
            </w:r>
          </w:p>
        </w:tc>
        <w:tc>
          <w:tcPr>
            <w:tcW w:w="1667" w:type="dxa"/>
            <w:shd w:val="clear" w:color="000000" w:fill="FFFFFF"/>
            <w:vAlign w:val="center"/>
          </w:tcPr>
          <w:p w14:paraId="0BB400BB">
            <w:pPr>
              <w:widowControl/>
              <w:spacing w:after="0" w:line="240" w:lineRule="auto"/>
              <w:jc w:val="center"/>
              <w:rPr>
                <w:rFonts w:ascii="宋体" w:hAnsi="宋体" w:eastAsia="宋体" w:cs="宋体"/>
                <w:b/>
                <w:bCs/>
                <w:color w:val="auto"/>
                <w:kern w:val="0"/>
                <w:szCs w:val="22"/>
                <w14:ligatures w14:val="none"/>
              </w:rPr>
            </w:pPr>
            <w:r>
              <w:rPr>
                <w:rFonts w:hint="eastAsia" w:ascii="宋体" w:hAnsi="宋体" w:eastAsia="宋体" w:cs="宋体"/>
                <w:b/>
                <w:bCs/>
                <w:color w:val="auto"/>
                <w:kern w:val="0"/>
                <w:szCs w:val="22"/>
                <w14:ligatures w14:val="none"/>
              </w:rPr>
              <w:t>3</w:t>
            </w:r>
          </w:p>
        </w:tc>
      </w:tr>
      <w:tr w14:paraId="61F4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6FF351CC">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冷冻离心机</w:t>
            </w:r>
          </w:p>
        </w:tc>
        <w:tc>
          <w:tcPr>
            <w:tcW w:w="3538" w:type="dxa"/>
            <w:shd w:val="clear" w:color="000000" w:fill="FFFFFF"/>
            <w:vAlign w:val="center"/>
          </w:tcPr>
          <w:p w14:paraId="5E9497B4">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血浆分离专用</w:t>
            </w:r>
          </w:p>
        </w:tc>
        <w:tc>
          <w:tcPr>
            <w:tcW w:w="1667" w:type="dxa"/>
            <w:shd w:val="clear" w:color="000000" w:fill="FFFFFF"/>
            <w:vAlign w:val="center"/>
          </w:tcPr>
          <w:p w14:paraId="4E90F29B">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1</w:t>
            </w:r>
          </w:p>
        </w:tc>
      </w:tr>
      <w:tr w14:paraId="7CAA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28DFB608">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恒温混匀仪</w:t>
            </w:r>
          </w:p>
        </w:tc>
        <w:tc>
          <w:tcPr>
            <w:tcW w:w="3538" w:type="dxa"/>
            <w:shd w:val="clear" w:color="000000" w:fill="FFFFFF"/>
            <w:vAlign w:val="center"/>
          </w:tcPr>
          <w:p w14:paraId="47AA862E">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样本提取使用</w:t>
            </w:r>
          </w:p>
        </w:tc>
        <w:tc>
          <w:tcPr>
            <w:tcW w:w="1667" w:type="dxa"/>
            <w:shd w:val="clear" w:color="000000" w:fill="FFFFFF"/>
            <w:vAlign w:val="center"/>
          </w:tcPr>
          <w:p w14:paraId="6A708797">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1</w:t>
            </w:r>
          </w:p>
        </w:tc>
      </w:tr>
      <w:tr w14:paraId="72DB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3C94543A">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磁力架</w:t>
            </w:r>
          </w:p>
        </w:tc>
        <w:tc>
          <w:tcPr>
            <w:tcW w:w="3538" w:type="dxa"/>
            <w:shd w:val="clear" w:color="000000" w:fill="FFFFFF"/>
            <w:vAlign w:val="center"/>
          </w:tcPr>
          <w:p w14:paraId="78D9F46B">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核酸纯化使用</w:t>
            </w:r>
          </w:p>
        </w:tc>
        <w:tc>
          <w:tcPr>
            <w:tcW w:w="1667" w:type="dxa"/>
            <w:shd w:val="clear" w:color="000000" w:fill="FFFFFF"/>
            <w:vAlign w:val="center"/>
          </w:tcPr>
          <w:p w14:paraId="0AA1032D">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2</w:t>
            </w:r>
          </w:p>
        </w:tc>
      </w:tr>
      <w:tr w14:paraId="4E4A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06E76791">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磁力架</w:t>
            </w:r>
          </w:p>
        </w:tc>
        <w:tc>
          <w:tcPr>
            <w:tcW w:w="3538" w:type="dxa"/>
            <w:shd w:val="clear" w:color="000000" w:fill="FFFFFF"/>
            <w:vAlign w:val="center"/>
          </w:tcPr>
          <w:p w14:paraId="0DA4903D">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文库纯化使用</w:t>
            </w:r>
          </w:p>
        </w:tc>
        <w:tc>
          <w:tcPr>
            <w:tcW w:w="1667" w:type="dxa"/>
            <w:shd w:val="clear" w:color="000000" w:fill="FFFFFF"/>
            <w:vAlign w:val="center"/>
          </w:tcPr>
          <w:p w14:paraId="69BF3640">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2</w:t>
            </w:r>
          </w:p>
        </w:tc>
      </w:tr>
      <w:tr w14:paraId="6FFE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3153" w:type="dxa"/>
            <w:shd w:val="clear" w:color="000000" w:fill="FFFFFF"/>
            <w:vAlign w:val="center"/>
          </w:tcPr>
          <w:p w14:paraId="799AE8AD">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单道移液器（套）</w:t>
            </w:r>
          </w:p>
        </w:tc>
        <w:tc>
          <w:tcPr>
            <w:tcW w:w="3538" w:type="dxa"/>
            <w:shd w:val="clear" w:color="000000" w:fill="FFFFFF"/>
            <w:vAlign w:val="center"/>
          </w:tcPr>
          <w:p w14:paraId="7DF2E39F">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样本提取使用</w:t>
            </w:r>
          </w:p>
        </w:tc>
        <w:tc>
          <w:tcPr>
            <w:tcW w:w="1667" w:type="dxa"/>
            <w:shd w:val="clear" w:color="000000" w:fill="FFFFFF"/>
            <w:vAlign w:val="center"/>
          </w:tcPr>
          <w:p w14:paraId="733433F4">
            <w:pPr>
              <w:widowControl/>
              <w:spacing w:after="0" w:line="240" w:lineRule="auto"/>
              <w:jc w:val="center"/>
              <w:rPr>
                <w:rFonts w:ascii="宋体" w:hAnsi="宋体" w:eastAsia="宋体" w:cs="宋体"/>
                <w:b/>
                <w:bCs/>
                <w:color w:val="auto"/>
                <w:kern w:val="0"/>
                <w:szCs w:val="22"/>
                <w14:ligatures w14:val="none"/>
              </w:rPr>
            </w:pPr>
            <w:r>
              <w:rPr>
                <w:rFonts w:hint="eastAsia" w:ascii="宋体" w:hAnsi="宋体" w:eastAsia="宋体" w:cs="宋体"/>
                <w:b/>
                <w:bCs/>
                <w:color w:val="auto"/>
                <w:kern w:val="0"/>
                <w:szCs w:val="22"/>
                <w14:ligatures w14:val="none"/>
              </w:rPr>
              <w:t>3</w:t>
            </w:r>
          </w:p>
        </w:tc>
      </w:tr>
      <w:tr w14:paraId="1049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158F6842">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掌上离心机</w:t>
            </w:r>
          </w:p>
        </w:tc>
        <w:tc>
          <w:tcPr>
            <w:tcW w:w="3538" w:type="dxa"/>
            <w:shd w:val="clear" w:color="000000" w:fill="FFFFFF"/>
            <w:vAlign w:val="center"/>
          </w:tcPr>
          <w:p w14:paraId="452F5057">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　</w:t>
            </w:r>
          </w:p>
        </w:tc>
        <w:tc>
          <w:tcPr>
            <w:tcW w:w="1667" w:type="dxa"/>
            <w:shd w:val="clear" w:color="000000" w:fill="FFFFFF"/>
            <w:vAlign w:val="center"/>
          </w:tcPr>
          <w:p w14:paraId="649FFFC5">
            <w:pPr>
              <w:widowControl/>
              <w:spacing w:after="0" w:line="240" w:lineRule="auto"/>
              <w:jc w:val="center"/>
              <w:rPr>
                <w:rFonts w:ascii="宋体" w:hAnsi="宋体" w:eastAsia="宋体" w:cs="宋体"/>
                <w:b/>
                <w:bCs/>
                <w:color w:val="auto"/>
                <w:kern w:val="0"/>
                <w:szCs w:val="22"/>
                <w14:ligatures w14:val="none"/>
              </w:rPr>
            </w:pPr>
            <w:r>
              <w:rPr>
                <w:rFonts w:hint="eastAsia" w:ascii="宋体" w:hAnsi="宋体" w:eastAsia="宋体" w:cs="宋体"/>
                <w:b/>
                <w:bCs/>
                <w:color w:val="auto"/>
                <w:kern w:val="0"/>
                <w:szCs w:val="22"/>
                <w14:ligatures w14:val="none"/>
              </w:rPr>
              <w:t>3</w:t>
            </w:r>
          </w:p>
        </w:tc>
      </w:tr>
      <w:tr w14:paraId="41B63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1799A0C8">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漩涡震荡仪</w:t>
            </w:r>
          </w:p>
        </w:tc>
        <w:tc>
          <w:tcPr>
            <w:tcW w:w="3538" w:type="dxa"/>
            <w:shd w:val="clear" w:color="000000" w:fill="FFFFFF"/>
            <w:vAlign w:val="center"/>
          </w:tcPr>
          <w:p w14:paraId="1CED99CC">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　</w:t>
            </w:r>
          </w:p>
        </w:tc>
        <w:tc>
          <w:tcPr>
            <w:tcW w:w="1667" w:type="dxa"/>
            <w:shd w:val="clear" w:color="000000" w:fill="FFFFFF"/>
            <w:vAlign w:val="center"/>
          </w:tcPr>
          <w:p w14:paraId="2041BB3C">
            <w:pPr>
              <w:widowControl/>
              <w:spacing w:after="0" w:line="240" w:lineRule="auto"/>
              <w:jc w:val="center"/>
              <w:rPr>
                <w:rFonts w:ascii="宋体" w:hAnsi="宋体" w:eastAsia="宋体" w:cs="宋体"/>
                <w:b/>
                <w:bCs/>
                <w:color w:val="auto"/>
                <w:kern w:val="0"/>
                <w:szCs w:val="22"/>
                <w14:ligatures w14:val="none"/>
              </w:rPr>
            </w:pPr>
            <w:r>
              <w:rPr>
                <w:rFonts w:hint="eastAsia" w:ascii="宋体" w:hAnsi="宋体" w:eastAsia="宋体" w:cs="宋体"/>
                <w:b/>
                <w:bCs/>
                <w:color w:val="auto"/>
                <w:kern w:val="0"/>
                <w:szCs w:val="22"/>
                <w14:ligatures w14:val="none"/>
              </w:rPr>
              <w:t>3</w:t>
            </w:r>
          </w:p>
        </w:tc>
      </w:tr>
      <w:tr w14:paraId="4B4A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1024DD92">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荧光定量仪</w:t>
            </w:r>
          </w:p>
        </w:tc>
        <w:tc>
          <w:tcPr>
            <w:tcW w:w="3538" w:type="dxa"/>
            <w:shd w:val="clear" w:color="000000" w:fill="FFFFFF"/>
            <w:vAlign w:val="center"/>
          </w:tcPr>
          <w:p w14:paraId="466A829C">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定量检测</w:t>
            </w:r>
          </w:p>
        </w:tc>
        <w:tc>
          <w:tcPr>
            <w:tcW w:w="1667" w:type="dxa"/>
            <w:shd w:val="clear" w:color="000000" w:fill="FFFFFF"/>
            <w:vAlign w:val="center"/>
          </w:tcPr>
          <w:p w14:paraId="0CA7FC75">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1</w:t>
            </w:r>
          </w:p>
        </w:tc>
      </w:tr>
      <w:tr w14:paraId="5C1F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153" w:type="dxa"/>
            <w:shd w:val="clear" w:color="000000" w:fill="FFFFFF"/>
            <w:vAlign w:val="center"/>
          </w:tcPr>
          <w:p w14:paraId="241A3EB2">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不间断电源</w:t>
            </w:r>
          </w:p>
        </w:tc>
        <w:tc>
          <w:tcPr>
            <w:tcW w:w="3538" w:type="dxa"/>
            <w:shd w:val="clear" w:color="000000" w:fill="FFFFFF"/>
            <w:vAlign w:val="center"/>
          </w:tcPr>
          <w:p w14:paraId="6BB7920A">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提供蓄电</w:t>
            </w:r>
          </w:p>
        </w:tc>
        <w:tc>
          <w:tcPr>
            <w:tcW w:w="1667" w:type="dxa"/>
            <w:shd w:val="clear" w:color="000000" w:fill="FFFFFF"/>
            <w:vAlign w:val="center"/>
          </w:tcPr>
          <w:p w14:paraId="10B8A964">
            <w:pPr>
              <w:widowControl/>
              <w:spacing w:after="0" w:line="240" w:lineRule="auto"/>
              <w:jc w:val="center"/>
              <w:rPr>
                <w:rFonts w:ascii="宋体" w:hAnsi="宋体" w:eastAsia="宋体" w:cs="宋体"/>
                <w:b/>
                <w:bCs/>
                <w:color w:val="auto"/>
                <w:kern w:val="0"/>
                <w:szCs w:val="22"/>
                <w14:ligatures w14:val="none"/>
              </w:rPr>
            </w:pPr>
            <w:r>
              <w:rPr>
                <w:rFonts w:hint="eastAsia" w:ascii="宋体" w:hAnsi="宋体" w:eastAsia="宋体" w:cs="宋体"/>
                <w:b/>
                <w:bCs/>
                <w:color w:val="auto"/>
                <w:kern w:val="0"/>
                <w:szCs w:val="22"/>
                <w14:ligatures w14:val="none"/>
              </w:rPr>
              <w:t>2</w:t>
            </w:r>
          </w:p>
        </w:tc>
      </w:tr>
      <w:tr w14:paraId="724D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3153" w:type="dxa"/>
            <w:shd w:val="clear" w:color="000000" w:fill="FFFFFF"/>
            <w:vAlign w:val="center"/>
          </w:tcPr>
          <w:p w14:paraId="1E993075">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打印机</w:t>
            </w:r>
          </w:p>
        </w:tc>
        <w:tc>
          <w:tcPr>
            <w:tcW w:w="3538" w:type="dxa"/>
            <w:shd w:val="clear" w:color="000000" w:fill="FFFFFF"/>
            <w:vAlign w:val="center"/>
          </w:tcPr>
          <w:p w14:paraId="0B613E37">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　</w:t>
            </w:r>
          </w:p>
        </w:tc>
        <w:tc>
          <w:tcPr>
            <w:tcW w:w="1667" w:type="dxa"/>
            <w:shd w:val="clear" w:color="000000" w:fill="FFFFFF"/>
            <w:vAlign w:val="center"/>
          </w:tcPr>
          <w:p w14:paraId="1C1AE556">
            <w:pPr>
              <w:widowControl/>
              <w:spacing w:after="0" w:line="240" w:lineRule="auto"/>
              <w:jc w:val="center"/>
              <w:rPr>
                <w:rFonts w:ascii="宋体" w:hAnsi="宋体" w:eastAsia="宋体" w:cs="宋体"/>
                <w:b/>
                <w:bCs/>
                <w:color w:val="auto"/>
                <w:kern w:val="0"/>
                <w:szCs w:val="22"/>
                <w14:ligatures w14:val="none"/>
              </w:rPr>
            </w:pPr>
            <w:r>
              <w:rPr>
                <w:rFonts w:ascii="宋体" w:hAnsi="宋体" w:eastAsia="宋体" w:cs="宋体"/>
                <w:b/>
                <w:bCs/>
                <w:color w:val="auto"/>
                <w:kern w:val="0"/>
                <w:szCs w:val="22"/>
                <w14:ligatures w14:val="none"/>
              </w:rPr>
              <w:t>1</w:t>
            </w:r>
          </w:p>
        </w:tc>
      </w:tr>
    </w:tbl>
    <w:p w14:paraId="16DC21C2">
      <w:pPr>
        <w:spacing w:line="240" w:lineRule="auto"/>
        <w:contextualSpacing/>
        <w:jc w:val="center"/>
        <w:rPr>
          <w:rFonts w:ascii="宋体" w:hAnsi="宋体" w:eastAsia="宋体"/>
          <w:color w:val="auto"/>
          <w:sz w:val="32"/>
          <w:szCs w:val="32"/>
        </w:rPr>
      </w:pPr>
    </w:p>
    <w:p w14:paraId="535C9CEA">
      <w:pPr>
        <w:spacing w:line="240" w:lineRule="auto"/>
        <w:contextualSpacing/>
        <w:jc w:val="center"/>
        <w:rPr>
          <w:rFonts w:ascii="宋体" w:hAnsi="宋体" w:eastAsia="宋体"/>
          <w:color w:val="auto"/>
          <w:sz w:val="32"/>
          <w:szCs w:val="32"/>
        </w:rPr>
      </w:pPr>
    </w:p>
    <w:p w14:paraId="119EDF29">
      <w:pPr>
        <w:rPr>
          <w:rFonts w:hint="eastAsia" w:ascii="宋体" w:hAnsi="宋体" w:eastAsia="宋体"/>
          <w:color w:val="auto"/>
          <w:sz w:val="32"/>
          <w:szCs w:val="32"/>
          <w:lang w:val="en-US" w:eastAsia="zh-CN"/>
        </w:rPr>
      </w:pPr>
      <w:r>
        <w:rPr>
          <w:rFonts w:hint="eastAsia" w:ascii="宋体" w:hAnsi="宋体" w:eastAsia="宋体"/>
          <w:color w:val="auto"/>
          <w:sz w:val="32"/>
          <w:szCs w:val="32"/>
          <w:lang w:val="en-US" w:eastAsia="zh-CN"/>
        </w:rPr>
        <w:br w:type="page"/>
      </w:r>
    </w:p>
    <w:p w14:paraId="300E62A3">
      <w:pPr>
        <w:jc w:val="left"/>
        <w:rPr>
          <w:rFonts w:ascii="宋体" w:hAnsi="宋体" w:eastAsia="宋体"/>
          <w:color w:val="auto"/>
          <w:sz w:val="24"/>
        </w:rPr>
      </w:pPr>
      <w:r>
        <w:rPr>
          <w:rFonts w:hint="eastAsia" w:ascii="宋体" w:hAnsi="宋体" w:eastAsia="宋体"/>
          <w:b/>
          <w:bCs/>
          <w:color w:val="auto"/>
          <w:sz w:val="32"/>
          <w:szCs w:val="32"/>
          <w:lang w:val="en-US" w:eastAsia="zh-CN"/>
        </w:rPr>
        <w:t>三、</w:t>
      </w:r>
      <w:r>
        <w:rPr>
          <w:rFonts w:hint="eastAsia" w:ascii="宋体" w:hAnsi="宋体" w:eastAsia="宋体"/>
          <w:b/>
          <w:bCs/>
          <w:color w:val="auto"/>
          <w:sz w:val="32"/>
          <w:szCs w:val="32"/>
        </w:rPr>
        <w:t>设备维修保养及售后服务承诺书</w:t>
      </w:r>
    </w:p>
    <w:p w14:paraId="5EFA57AD">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一、 设备维修保养服务内容</w:t>
      </w:r>
    </w:p>
    <w:p w14:paraId="67788060">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1. 日常维护  </w:t>
      </w:r>
    </w:p>
    <w:p w14:paraId="66E8E42B">
      <w:pPr>
        <w:spacing w:line="360" w:lineRule="auto"/>
        <w:ind w:firstLine="480" w:firstLineChars="200"/>
        <w:contextualSpacing/>
        <w:rPr>
          <w:rFonts w:ascii="宋体" w:hAnsi="宋体" w:eastAsia="宋体"/>
          <w:color w:val="auto"/>
          <w:sz w:val="24"/>
          <w:szCs w:val="24"/>
        </w:rPr>
      </w:pPr>
      <w:r>
        <w:rPr>
          <w:rFonts w:hint="eastAsia" w:ascii="宋体" w:hAnsi="宋体" w:eastAsia="宋体"/>
          <w:color w:val="auto"/>
          <w:sz w:val="24"/>
          <w:szCs w:val="24"/>
        </w:rPr>
        <w:t xml:space="preserve">- 提供操作指导与日常清洁、校准等基础维护建议。  </w:t>
      </w:r>
    </w:p>
    <w:p w14:paraId="3D2A178D">
      <w:pPr>
        <w:spacing w:line="360" w:lineRule="auto"/>
        <w:ind w:firstLine="480" w:firstLineChars="200"/>
        <w:contextualSpacing/>
        <w:rPr>
          <w:rFonts w:ascii="宋体" w:hAnsi="宋体" w:eastAsia="宋体"/>
          <w:color w:val="auto"/>
          <w:sz w:val="24"/>
          <w:szCs w:val="24"/>
        </w:rPr>
      </w:pPr>
      <w:r>
        <w:rPr>
          <w:rFonts w:hint="eastAsia" w:ascii="宋体" w:hAnsi="宋体" w:eastAsia="宋体"/>
          <w:color w:val="auto"/>
          <w:sz w:val="24"/>
          <w:szCs w:val="24"/>
        </w:rPr>
        <w:t xml:space="preserve">- 建议定期检查设备运行状态（每年1次基础检测）。  </w:t>
      </w:r>
    </w:p>
    <w:p w14:paraId="212A0B49">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2. 定期保养  </w:t>
      </w:r>
    </w:p>
    <w:p w14:paraId="204ED659">
      <w:pPr>
        <w:spacing w:line="360" w:lineRule="auto"/>
        <w:ind w:firstLine="480" w:firstLineChars="200"/>
        <w:contextualSpacing/>
        <w:rPr>
          <w:rFonts w:ascii="宋体" w:hAnsi="宋体" w:eastAsia="宋体"/>
          <w:color w:val="auto"/>
          <w:sz w:val="24"/>
          <w:szCs w:val="24"/>
        </w:rPr>
      </w:pPr>
      <w:r>
        <w:rPr>
          <w:rFonts w:hint="eastAsia" w:ascii="宋体" w:hAnsi="宋体" w:eastAsia="宋体"/>
          <w:color w:val="auto"/>
          <w:sz w:val="24"/>
          <w:szCs w:val="24"/>
        </w:rPr>
        <w:t xml:space="preserve">- 每12个月提供一次专业保养服务，包括内部清洁、部件润滑、性能检测等。  </w:t>
      </w:r>
    </w:p>
    <w:p w14:paraId="0D82620C">
      <w:pPr>
        <w:spacing w:line="360" w:lineRule="auto"/>
        <w:ind w:firstLine="480" w:firstLineChars="200"/>
        <w:contextualSpacing/>
        <w:rPr>
          <w:rFonts w:ascii="宋体" w:hAnsi="宋体" w:eastAsia="宋体"/>
          <w:color w:val="auto"/>
          <w:sz w:val="24"/>
          <w:szCs w:val="24"/>
        </w:rPr>
      </w:pPr>
      <w:r>
        <w:rPr>
          <w:rFonts w:hint="eastAsia" w:ascii="宋体" w:hAnsi="宋体" w:eastAsia="宋体"/>
          <w:color w:val="auto"/>
          <w:sz w:val="24"/>
          <w:szCs w:val="24"/>
        </w:rPr>
        <w:t xml:space="preserve">- 保养后提供检测报告，记录设备状态及更换配件详情。  </w:t>
      </w:r>
    </w:p>
    <w:p w14:paraId="1680CA14">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3. 故障维修  </w:t>
      </w:r>
    </w:p>
    <w:p w14:paraId="0B0FE848">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设备出现异常时，提供远程诊断或现场维修服务。  </w:t>
      </w:r>
    </w:p>
    <w:p w14:paraId="6F5C38E9">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维修范围包括部件调试、零件更换、系统复位等。  </w:t>
      </w:r>
    </w:p>
    <w:p w14:paraId="549CC3CE">
      <w:pPr>
        <w:spacing w:line="360" w:lineRule="auto"/>
        <w:contextualSpacing/>
        <w:rPr>
          <w:rFonts w:ascii="宋体" w:hAnsi="宋体" w:eastAsia="宋体"/>
          <w:color w:val="auto"/>
          <w:sz w:val="24"/>
          <w:szCs w:val="24"/>
        </w:rPr>
      </w:pPr>
      <w:r>
        <w:rPr>
          <w:rFonts w:ascii="宋体" w:hAnsi="宋体" w:eastAsia="宋体"/>
          <w:color w:val="auto"/>
          <w:sz w:val="24"/>
          <w:szCs w:val="24"/>
        </w:rPr>
        <w:t xml:space="preserve">4. </w:t>
      </w:r>
      <w:r>
        <w:rPr>
          <w:rFonts w:hint="eastAsia" w:ascii="宋体" w:hAnsi="宋体" w:eastAsia="宋体"/>
          <w:color w:val="auto"/>
          <w:sz w:val="24"/>
          <w:szCs w:val="24"/>
        </w:rPr>
        <w:t>保修期：</w:t>
      </w:r>
    </w:p>
    <w:p w14:paraId="4841749F">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二、 服务响应与流程 </w:t>
      </w:r>
    </w:p>
    <w:p w14:paraId="34F850A2">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1. 服务申请  </w:t>
      </w:r>
    </w:p>
    <w:p w14:paraId="49FFED34">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用户可通过电话、邮件提交服务需求。  </w:t>
      </w:r>
    </w:p>
    <w:p w14:paraId="0CEA9336">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需提供设备型号、编号、故障现象及现场情况说明。  </w:t>
      </w:r>
    </w:p>
    <w:p w14:paraId="4F45E429">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2. 响应时效  </w:t>
      </w:r>
    </w:p>
    <w:p w14:paraId="2B97DB24">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紧急故障：2小时内响应，24小时内提供解决方案；  </w:t>
      </w:r>
    </w:p>
    <w:p w14:paraId="299F8CBD">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一般问题：8小时内响应，3-5个工作日完成处理；  </w:t>
      </w:r>
    </w:p>
    <w:p w14:paraId="44E71D3F">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保养服务：提前7天预约安排。  </w:t>
      </w:r>
    </w:p>
    <w:p w14:paraId="64097069">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3. 维修实施  </w:t>
      </w:r>
    </w:p>
    <w:p w14:paraId="10E96181">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故障确认后提供维修方案及报价，经用户同意后实施；  </w:t>
      </w:r>
    </w:p>
    <w:p w14:paraId="23CEC625">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维修后进行设备测试，并附维修报告。  </w:t>
      </w:r>
    </w:p>
    <w:p w14:paraId="604AD02D">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三、 售后承诺 </w:t>
      </w:r>
    </w:p>
    <w:p w14:paraId="17C50B68">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1. 保修政策  </w:t>
      </w:r>
    </w:p>
    <w:p w14:paraId="10EFD285">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新购设备享终身免费保修（人为损坏除外）；  </w:t>
      </w:r>
    </w:p>
    <w:p w14:paraId="74EE0C92">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保修期内免费维修或更换故障部件。  </w:t>
      </w:r>
    </w:p>
    <w:p w14:paraId="0DFACD7F">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2. 备件支持 </w:t>
      </w:r>
    </w:p>
    <w:p w14:paraId="6CA64578">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常用配件储备充足，紧急需求可优先调配；  </w:t>
      </w:r>
    </w:p>
    <w:p w14:paraId="7BD8C0E2">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停产品设备继续提供5年有限配件支持。  </w:t>
      </w:r>
    </w:p>
    <w:p w14:paraId="3B1F0CD2">
      <w:pPr>
        <w:spacing w:line="360" w:lineRule="auto"/>
        <w:contextualSpacing/>
        <w:rPr>
          <w:rFonts w:hint="eastAsia" w:ascii="宋体" w:hAnsi="宋体" w:eastAsia="宋体"/>
          <w:color w:val="auto"/>
          <w:sz w:val="24"/>
          <w:szCs w:val="24"/>
        </w:rPr>
      </w:pPr>
      <w:r>
        <w:rPr>
          <w:rFonts w:hint="eastAsia" w:ascii="宋体" w:hAnsi="宋体" w:eastAsia="宋体"/>
          <w:color w:val="auto"/>
          <w:sz w:val="24"/>
          <w:szCs w:val="24"/>
        </w:rPr>
        <w:t>3. 服务费用</w:t>
      </w:r>
    </w:p>
    <w:p w14:paraId="36E6421E">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保修期内免费服务；  </w:t>
      </w:r>
    </w:p>
    <w:p w14:paraId="31C7D9EB">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保修期外按成本价收取配件费及人工费，提前告知报价。  </w:t>
      </w:r>
    </w:p>
    <w:p w14:paraId="40A64A01">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四、 责任与免责</w:t>
      </w:r>
    </w:p>
    <w:p w14:paraId="5B9E5953">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1. 用户责任  </w:t>
      </w:r>
    </w:p>
    <w:p w14:paraId="70A618D5">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按操作规范使用设备，避免人为损坏；  </w:t>
      </w:r>
    </w:p>
    <w:p w14:paraId="70EE3486">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配合提供设备使用环境及故障信息。  </w:t>
      </w:r>
    </w:p>
    <w:p w14:paraId="25441BD3">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2. 服务方责任</w:t>
      </w:r>
    </w:p>
    <w:p w14:paraId="69B74293">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确保维修质量，保养后设备正常运行；  </w:t>
      </w:r>
    </w:p>
    <w:p w14:paraId="23EDAC2E">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因维修失误导致的损失，承担相应责任。  </w:t>
      </w:r>
    </w:p>
    <w:p w14:paraId="3DB4CBDC">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3. 免责情况  </w:t>
      </w:r>
    </w:p>
    <w:p w14:paraId="4C51AA87">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因不可抗力（如自然灾害）导致的维修延迟；  </w:t>
      </w:r>
    </w:p>
    <w:p w14:paraId="33F54938">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   - 非服务方原因造成的设备损坏（如擅自改装、超负荷使用）。  </w:t>
      </w:r>
    </w:p>
    <w:p w14:paraId="5F1F58D7">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五、 其他条款 </w:t>
      </w:r>
    </w:p>
    <w:p w14:paraId="74CB8F66">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1. 本服务书自双方签定设备销售合同后生效，有效期至设备报废；  </w:t>
      </w:r>
    </w:p>
    <w:p w14:paraId="313DC8E1">
      <w:pPr>
        <w:spacing w:line="360" w:lineRule="auto"/>
        <w:contextualSpacing/>
        <w:rPr>
          <w:rFonts w:ascii="宋体" w:hAnsi="宋体" w:eastAsia="宋体"/>
          <w:color w:val="auto"/>
          <w:sz w:val="24"/>
          <w:szCs w:val="24"/>
        </w:rPr>
      </w:pPr>
      <w:r>
        <w:rPr>
          <w:rFonts w:hint="eastAsia" w:ascii="宋体" w:hAnsi="宋体" w:eastAsia="宋体"/>
          <w:color w:val="auto"/>
          <w:sz w:val="24"/>
          <w:szCs w:val="24"/>
        </w:rPr>
        <w:t xml:space="preserve">2. 服务内容可根据设备类型调整，以补充协议为准；  </w:t>
      </w:r>
    </w:p>
    <w:p w14:paraId="0F5A86DC">
      <w:pPr>
        <w:rPr>
          <w:rFonts w:ascii="宋体" w:hAnsi="宋体" w:eastAsia="宋体"/>
          <w:color w:val="auto"/>
          <w:sz w:val="24"/>
        </w:rPr>
      </w:pPr>
    </w:p>
    <w:p w14:paraId="4C86A886">
      <w:pPr>
        <w:rPr>
          <w:rFonts w:ascii="宋体" w:hAnsi="宋体" w:eastAsia="宋体"/>
          <w:color w:val="auto"/>
          <w:sz w:val="24"/>
        </w:rPr>
      </w:pPr>
    </w:p>
    <w:p w14:paraId="7CFE8D20">
      <w:pPr>
        <w:rPr>
          <w:rFonts w:ascii="宋体" w:hAnsi="宋体" w:eastAsia="宋体"/>
          <w:color w:val="auto"/>
          <w:sz w:val="24"/>
        </w:rPr>
      </w:pPr>
    </w:p>
    <w:bookmarkEnd w:id="2"/>
    <w:sectPr>
      <w:head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24A9B">
    <w:pPr>
      <w:pStyle w:val="12"/>
      <w:pBdr>
        <w:bottom w:val="single" w:color="auto" w:sz="4" w:space="1"/>
      </w:pBdr>
      <w:jc w:val="both"/>
    </w:pPr>
    <w:r>
      <w:rPr>
        <w:rFonts w:hint="eastAsia"/>
        <w:lang w:val="en-US" w:eastAsia="zh-CN"/>
      </w:rPr>
      <w:t xml:space="preserve">ZC20260160      </w:t>
    </w:r>
    <w:r>
      <w:rPr>
        <w:rFonts w:hint="eastAsia"/>
        <w:color w:val="FF0000"/>
      </w:rPr>
      <w:t>上海市同仁医院所需一批检验相关设备公开招标项目</w:t>
    </w:r>
    <w:r>
      <w:rPr>
        <w:rFonts w:hint="eastAsia"/>
        <w:color w:val="FF0000"/>
        <w:lang w:val="en-US" w:eastAsia="zh-CN"/>
      </w:rPr>
      <w:t xml:space="preserve">               </w:t>
    </w:r>
    <w:r>
      <w:rPr>
        <w:rFonts w:hint="eastAsia"/>
        <w:lang w:val="en-US" w:eastAsia="zh-CN"/>
      </w:rPr>
      <w:t>招标需求文件</w:t>
    </w:r>
  </w:p>
  <w:p w14:paraId="500784CF">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814C76"/>
    <w:multiLevelType w:val="singleLevel"/>
    <w:tmpl w:val="EE814C76"/>
    <w:lvl w:ilvl="0" w:tentative="0">
      <w:start w:val="1"/>
      <w:numFmt w:val="decimal"/>
      <w:lvlText w:val="%1."/>
      <w:lvlJc w:val="left"/>
      <w:pPr>
        <w:ind w:left="425" w:hanging="425"/>
      </w:pPr>
      <w:rPr>
        <w:rFonts w:hint="default"/>
        <w:b w:val="0"/>
        <w:bCs w:val="0"/>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F49"/>
    <w:rsid w:val="000B7043"/>
    <w:rsid w:val="0010369E"/>
    <w:rsid w:val="00221895"/>
    <w:rsid w:val="003304EE"/>
    <w:rsid w:val="00355D06"/>
    <w:rsid w:val="00446B2A"/>
    <w:rsid w:val="004E0764"/>
    <w:rsid w:val="005276DB"/>
    <w:rsid w:val="00540364"/>
    <w:rsid w:val="00551092"/>
    <w:rsid w:val="005527BF"/>
    <w:rsid w:val="00586D49"/>
    <w:rsid w:val="006438A6"/>
    <w:rsid w:val="006E7A5D"/>
    <w:rsid w:val="007B2FE6"/>
    <w:rsid w:val="009B70B6"/>
    <w:rsid w:val="009D119E"/>
    <w:rsid w:val="009F683E"/>
    <w:rsid w:val="00AB10DD"/>
    <w:rsid w:val="00B563F7"/>
    <w:rsid w:val="00B868AD"/>
    <w:rsid w:val="00C33603"/>
    <w:rsid w:val="00C64668"/>
    <w:rsid w:val="00D6256B"/>
    <w:rsid w:val="00D735AF"/>
    <w:rsid w:val="00D971C0"/>
    <w:rsid w:val="00DA6F49"/>
    <w:rsid w:val="00E80EF6"/>
    <w:rsid w:val="00EA31EE"/>
    <w:rsid w:val="00EE31B3"/>
    <w:rsid w:val="00F5331E"/>
    <w:rsid w:val="01944DE3"/>
    <w:rsid w:val="0E96765D"/>
    <w:rsid w:val="2BFB6AC5"/>
    <w:rsid w:val="2DEC5FED"/>
    <w:rsid w:val="498126DD"/>
    <w:rsid w:val="4DEE5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100" w:beforeAutospacing="1" w:after="100" w:afterAutospacing="1"/>
    </w:p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0"/>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link w:val="36"/>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列出段落 字符"/>
    <w:link w:val="31"/>
    <w:qFormat/>
    <w:uiPriority w:val="34"/>
  </w:style>
  <w:style w:type="character" w:customStyle="1" w:styleId="37">
    <w:name w:val="页眉 字符"/>
    <w:basedOn w:val="17"/>
    <w:link w:val="12"/>
    <w:qFormat/>
    <w:uiPriority w:val="99"/>
    <w:rPr>
      <w:sz w:val="18"/>
      <w:szCs w:val="18"/>
    </w:rPr>
  </w:style>
  <w:style w:type="character" w:customStyle="1" w:styleId="38">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6</Pages>
  <Words>2521</Words>
  <Characters>2697</Characters>
  <DocSecurity>0</DocSecurity>
  <Lines>20</Lines>
  <Paragraphs>5</Paragraphs>
  <ScaleCrop>false</ScaleCrop>
  <LinksUpToDate>false</LinksUpToDate>
  <CharactersWithSpaces>2912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2026-07-29T13:49:00Z</dcterms:created>
  <dcterms:modified xsi:type="dcterms:W3CDTF">2026-09-16T05:41:29Z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eyJoZGlkIjoiOTM4YjIyY2Q3YmE4MDU5NmQyYjg1Yjk5NjQzNDc2MjAiLCJ1c2VySWQiOiI1Njk1NTUzMTgifQ==</vt:lpwstr>
  </property>
  <property fmtid="{D5CDD505-2E9C-101B-9397-08002B2CF9AE}" pid="3" name="KSOProductBuildVer">
    <vt:lpwstr>2052-12.1.0.28505</vt:lpwstr>
  </property>
  <property fmtid="{D5CDD505-2E9C-101B-9397-08002B2CF9AE}" pid="4" name="ICV">
    <vt:lpwstr>76C4F7729B864BB38D410ACD5388E298_12</vt:lpwstr>
  </property>
</Properties>
</file>