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bCs/>
          <w:sz w:val="24"/>
          <w:szCs w:val="24"/>
          <w:lang w:eastAsia="zh-CN"/>
        </w:rPr>
      </w:pPr>
      <w:r>
        <w:rPr>
          <w:rFonts w:hint="eastAsia" w:ascii="宋体" w:hAnsi="宋体" w:cs="宋体"/>
          <w:b/>
          <w:bCs/>
          <w:sz w:val="24"/>
          <w:szCs w:val="24"/>
          <w:lang w:eastAsia="zh-CN"/>
        </w:rPr>
        <w:t>上海市光华中西医结合医院医院运营智能监管及病种辅助管理系统公开招标项目</w:t>
      </w:r>
    </w:p>
    <w:p>
      <w:pPr>
        <w:spacing w:line="360" w:lineRule="auto"/>
        <w:jc w:val="center"/>
        <w:rPr>
          <w:rFonts w:ascii="宋体" w:hAnsi="宋体" w:cs="宋体"/>
          <w:b/>
          <w:bCs/>
          <w:sz w:val="24"/>
          <w:szCs w:val="24"/>
        </w:rPr>
      </w:pPr>
      <w:r>
        <w:rPr>
          <w:rFonts w:hint="eastAsia" w:ascii="宋体" w:hAnsi="宋体" w:cs="宋体"/>
          <w:b/>
          <w:bCs/>
          <w:sz w:val="24"/>
          <w:szCs w:val="24"/>
        </w:rPr>
        <w:t>采购需求文件</w:t>
      </w:r>
    </w:p>
    <w:p>
      <w:pPr>
        <w:spacing w:line="360" w:lineRule="auto"/>
        <w:ind w:left="0" w:leftChars="0" w:firstLine="401" w:firstLineChars="190"/>
        <w:jc w:val="center"/>
        <w:rPr>
          <w:rFonts w:ascii="宋体" w:hAnsi="宋体" w:cs="宋体"/>
          <w:b/>
          <w:bCs/>
          <w:sz w:val="21"/>
          <w:szCs w:val="21"/>
        </w:rPr>
      </w:pPr>
    </w:p>
    <w:p>
      <w:pPr>
        <w:keepNext/>
        <w:keepLines/>
        <w:spacing w:before="100" w:beforeAutospacing="1" w:after="100" w:afterAutospacing="1" w:line="360" w:lineRule="auto"/>
        <w:ind w:left="0" w:leftChars="0" w:firstLine="401" w:firstLineChars="190"/>
        <w:jc w:val="left"/>
        <w:outlineLvl w:val="1"/>
        <w:rPr>
          <w:rFonts w:hint="eastAsia" w:ascii="宋体" w:hAnsi="宋体" w:eastAsia="宋体" w:cs="宋体"/>
          <w:sz w:val="21"/>
          <w:szCs w:val="21"/>
        </w:rPr>
      </w:pPr>
      <w:r>
        <w:rPr>
          <w:rFonts w:hint="eastAsia" w:ascii="宋体" w:hAnsi="宋体" w:eastAsia="宋体" w:cs="宋体"/>
          <w:b/>
          <w:color w:val="000000"/>
          <w:sz w:val="21"/>
          <w:szCs w:val="21"/>
        </w:rPr>
        <w:t>一、项目建设目标</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本项目紧密围绕公立医院改革与高质量发展的政策要求，顺应支付方式改革和医院运营模式转型的时代趋势，以提升医院运营管理能力为核心目标，通过建设一体化的"医院运营智能监管及病种辅助管理系统"，推动医院管理从经验型、粗放型向数据驱动型、精细化运营型转变。系统以"病种"为基本管理单元，覆盖诊疗全过程，构建起集智能监管、成本管控、质量评价、决策支持于一体的现代化医院运营管理体系，实现医疗质量、运营效率、患者满意度的协同提升。</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具体建设目标如下：</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（一）构建全流程智能监管体系，降低医院运营风险</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建立覆盖"事前预警、事中控制、事后审核"的全流程智能监管机制。通过在医生工作站、收费窗口等关键环节嵌入智能提醒功能，对处方、医嘱、收费等诊疗行为进行实时审核与风险预警，从源头上规范临床诊疗行为，有效防范违规事件的发生。同时，支持对历史病例的回顾性审核与专项分析，帮助医院及时发现运营管理中的薄弱环节，主动开展自查自纠，降低拒付、罚款等运营风险，保障医院资金安全。</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（二）打造以病种为核心的精细化管理工具，提升运营效率</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依托病种支付方式改革的政策框架，构建院内统一的病种运营数据中心。实现住院病例的实时预分组、费用测算、盈亏分析及成本结构剖析，为临床医生、编码人员和管理者提供可视化的运营分析工具。通过对病种层面的费用结构、资源消耗、质量指标的深度分析，引导医疗资源合理配置，优化病种结构，提高优势病种的运营效益，推动医院从"规模扩张"向"质量效益"转型。</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（三）建立数据驱动的决策支持机制，赋能管理决策</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通过对结算清单、病案首页、费用明细等核心业务数据的深度整合与质量治理，形成准确、完整、及时的运营数据资产。系统提供多维度、多层级的数据分析功能（如科室分析、规则明细、病案明细），支持医院管理层实时掌握全院及科室的运营动态、费用结构、质量指标等关键信息，为制定学科发展规划、资源配置优化、绩效考核改进等重大决策提供数据支撑，提升医院管理的科学化、精细化水平。</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（四）促进多部门协同管理，推动业财融合</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系统将临床诊疗、病案编码、管理、财务核算等环节有机串联，打破部门间的信息壁垒，构建多部门协同的运营管理平台。通过数据共享和流程联动，促进临床科室与职能科室围绕病种成本、费用控制、质量安全等核心指标开展协同改进，形成业务管理与经济管理的深度融合，推动医院建立更加科学、高效的内部运营管理长效机制。</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通过本项目的实施，医院将建立起一套符合中西医结合特色、适应支付方式改革的现代化运营管理体系，实现从"被动应对监管"到"主动精益运营"的战略升级，为医院在支付改革新形势下实现高质量、可持续发展提供坚实保障。</w:t>
      </w:r>
    </w:p>
    <w:p>
      <w:pPr>
        <w:keepNext/>
        <w:keepLines/>
        <w:spacing w:before="100" w:beforeAutospacing="1" w:after="100" w:afterAutospacing="1" w:line="360" w:lineRule="auto"/>
        <w:ind w:left="0" w:leftChars="0" w:firstLine="401" w:firstLineChars="190"/>
        <w:jc w:val="left"/>
        <w:outlineLvl w:val="1"/>
        <w:rPr>
          <w:rFonts w:hint="eastAsia" w:ascii="宋体" w:hAnsi="宋体" w:eastAsia="宋体" w:cs="宋体"/>
          <w:sz w:val="21"/>
          <w:szCs w:val="21"/>
        </w:rPr>
      </w:pPr>
      <w:r>
        <w:rPr>
          <w:rFonts w:hint="eastAsia" w:ascii="宋体" w:hAnsi="宋体" w:eastAsia="宋体" w:cs="宋体"/>
          <w:b/>
          <w:color w:val="000000"/>
          <w:sz w:val="21"/>
          <w:szCs w:val="21"/>
        </w:rPr>
        <w:t>二、项目建设背景</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随着公立医院改革向纵深推进，医院运营管理正面临着从粗放式规模扩张向精细化内涵式发展转变的重大机遇与挑战。</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一）国家层面政策要求。2020年12月，国家卫生健康委会同国家中医药局联合印发《关于加强公立医院运营管理的指导意见》（国卫财务发〔2020〕27号），明确指出公立医院运营管理是以全面预算管理和业务流程管理为核心，以全成本管理和绩效管理为工具，对医院内部运营各环节进行科学配置、精细管理和有效使用的一系列管理手段和方法；强调公立医院要"推进运营管理信息化建设"，加强各个信息系统的有效对接，确保各类数据信息的规范性、完整性和有效性，支撑运营数据的统计、分析、评价、监控等利用。2024年6月，国家卫生健康委、国家中医药局联合印发《关于2024—2025年持续开展"公立医疗机构经济管理年"活动的通知》（国卫财务函〔2024〕132号），要求大力推进公立医疗机构运营管理信息化建设，建立健全以业财融合为核心的运营管理信息集成平台，并明确到2025年底努力实现全国50%三级公立医院具备和应用运营管理信息集成平台。</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二）本市监管要求。2025年4月，上海市人民政府办公厅印发修订后的《关于改革完善医疗卫生行业综合监管制度的实施意见》（沪府办发〔2025〕9号），明确提出要"大力推进智能监管"，依托人工智能、区块链、云计算、大数据等新技术推动监管创新，推进医疗服务监测与评价系统升级改造，对医疗机构病历首页、医嘱、处方、收费等数据进行比对、分析和预警，构建医疗智慧化监管体系，强化对医务人员的执业行为监管。2026年3月，上海市卫生健康委员会印发《2026年上海市医政工作要点》（沪卫医〔2026〕32号），部署"加强高额费用病例监测体系建设"，扩大监测病种数量，结合临床路径等工作，开展病种结合主要治疗方案的高额费用监测，形成"监测—预警—分析—改进"的闭环管理体系。</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三）医院发展需要。上海市光华中西医结合医院作为一家以关节病为特色的三级甲等中西医结合医院，正处在从"规模扩张"向"质量效益"转型的关键时期。医院现有信息系统虽已实现基础数据互联互通，但在面向运营层面的数据挖掘、成本分析、风险预警等方面仍存在不足。为了积极响应国家及上海市关于公立医院高质量发展的政策要求，主动适应运营管理精细化的新形势，全面提升医院运营管理的智能化水平，构建一套集"运营智能监管"与"病种辅助管理"于一体的综合管理系统势在必行。</w:t>
      </w:r>
    </w:p>
    <w:p>
      <w:pPr>
        <w:keepNext/>
        <w:keepLines/>
        <w:spacing w:before="100" w:beforeAutospacing="1" w:after="100" w:afterAutospacing="1" w:line="360" w:lineRule="auto"/>
        <w:ind w:left="0" w:leftChars="0" w:firstLine="401" w:firstLineChars="190"/>
        <w:jc w:val="left"/>
        <w:outlineLvl w:val="1"/>
        <w:rPr>
          <w:rFonts w:hint="eastAsia" w:ascii="宋体" w:hAnsi="宋体" w:eastAsia="宋体" w:cs="宋体"/>
          <w:sz w:val="21"/>
          <w:szCs w:val="21"/>
        </w:rPr>
      </w:pPr>
      <w:r>
        <w:rPr>
          <w:rFonts w:hint="eastAsia" w:ascii="宋体" w:hAnsi="宋体" w:eastAsia="宋体" w:cs="宋体"/>
          <w:b/>
          <w:color w:val="000000"/>
          <w:sz w:val="21"/>
          <w:szCs w:val="21"/>
        </w:rPr>
        <w:t>三、项目建设依据</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项目系统建设依据的文件包括但不限于如下相关政策文件。</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（一）《关于加强公立医院运营管理的指导意见》（国卫财务发〔2020〕27号）；</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（二）《关于改革完善医疗卫生行业综合监管制度的实施意见》（沪府办发〔2025〕9号）；</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（三）《2026年上海市医政工作要点》（沪卫医〔2026〕32号）；</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（四）《2023年领域打击欺诈骗保专项整治工作方案》；</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（五）《中共中央 国务院关于深化医疗保障制度改革的意见》（2020年2月25日）；</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（六）《国务院办公厅关于推进医疗保障基金监管制度体系改革的指导意见》（国办发〔2020〕20号）；</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（七）《国务院关于加强和规范事中事后监管的指导意见》（国发〔2019〕18号）；</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（八）《国家医疗保障局关于印发医疗保障定点医疗机构等信息业务编码规则和方法的通知》（医保发〔2019〕55号）；</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（九）《国家医疗保障局办公室关于印发医疗保障基金结算清单填写规范的通知》；</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（十）《国家医疗保障局关于印发DRG/DIP支付方式改革三年行动计划的通知》（医保发〔2021〕48号）；</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（十一）《中共中央 国务院关于促进中医药传承创新发展的意见》（2019年10月20日）；</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（十二）《关于助推区域医疗机构高质量发展的若干举措（2025版）》；</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（十三）《医疗保障基金结算清单填写规范（试行）》；</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（十四）《住院病案首页数据填写与质量规范（暂行）》；</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（十五）《医疗保障疾病诊断分类与代码》；</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（十六）《医疗保障手术操作分类与代码》；</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（十七）《医疗保障中医诊断分类与代码》等。</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项目系统建设依据的文件包括但不限于如下相关技术标准。</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（一）GB/T 8566-2022《系统与软件工程 软件生命周期过程》；</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（二）GB/T 8567-2006《计算机软件文档编制规范》；</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（三）GB/T 18491.1-2022《系统与软件工程 功能规模测量 第1部分：概念定义》；</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（四）GB/T 30971-2022《软件工程 用于系统与软件质量要求与评价》；</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（五）GB/T 16260.1-2023《系统与软件工程 软件质量模型》；</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（六）GB/T 18905-2002《软件工程 产品评价》；</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（七）GB/T 38634.1-2020《系统与软件工程 软件测试》；</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（八）GB/T 42447-2023《软件工程 代码度量元》；</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（九）GB/T 36964-2018《软件工程 软件开发成本度量规范》；</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（十）GB/T 29831.1-2024《系统与软件质量要求与评价》；</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（十一）GB/T 43626-2024《系统与软件工程 需求工程》；</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（十二）GB/T 22239-2019《信息安全技术 网络安全等级保护基本要求》；</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（十三）GB/T 35273-2020《信息安全技术 个人信息安全规范》；</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（十四）GB/T 28827.1-2022《信息技术服务 运行维护》；</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（十五）GB/T 29264-2024《信息技术服务 分类与代码》等。</w:t>
      </w:r>
    </w:p>
    <w:p>
      <w:pPr>
        <w:keepNext/>
        <w:keepLines/>
        <w:spacing w:before="100" w:beforeAutospacing="1" w:after="100" w:afterAutospacing="1" w:line="360" w:lineRule="auto"/>
        <w:ind w:left="0" w:leftChars="0" w:firstLine="401" w:firstLineChars="190"/>
        <w:jc w:val="left"/>
        <w:outlineLvl w:val="1"/>
        <w:rPr>
          <w:rFonts w:hint="eastAsia" w:ascii="宋体" w:hAnsi="宋体" w:eastAsia="宋体" w:cs="宋体"/>
          <w:sz w:val="21"/>
          <w:szCs w:val="21"/>
        </w:rPr>
      </w:pPr>
      <w:r>
        <w:rPr>
          <w:rFonts w:hint="eastAsia" w:ascii="宋体" w:hAnsi="宋体" w:eastAsia="宋体" w:cs="宋体"/>
          <w:b/>
          <w:color w:val="000000"/>
          <w:sz w:val="21"/>
          <w:szCs w:val="21"/>
        </w:rPr>
        <w:t>四、项目建设要求</w:t>
      </w:r>
    </w:p>
    <w:p>
      <w:pPr>
        <w:keepNext/>
        <w:keepLines/>
        <w:spacing w:before="100" w:beforeAutospacing="1" w:after="100" w:afterAutospacing="1" w:line="360" w:lineRule="auto"/>
        <w:ind w:left="0" w:leftChars="0" w:firstLine="401" w:firstLineChars="190"/>
        <w:jc w:val="left"/>
        <w:outlineLvl w:val="2"/>
        <w:rPr>
          <w:rFonts w:hint="eastAsia" w:ascii="宋体" w:hAnsi="宋体" w:eastAsia="宋体" w:cs="宋体"/>
          <w:sz w:val="21"/>
          <w:szCs w:val="21"/>
        </w:rPr>
      </w:pPr>
      <w:r>
        <w:rPr>
          <w:rFonts w:hint="eastAsia" w:ascii="宋体" w:hAnsi="宋体" w:eastAsia="宋体" w:cs="宋体"/>
          <w:b/>
          <w:color w:val="000000"/>
          <w:sz w:val="21"/>
          <w:szCs w:val="21"/>
        </w:rPr>
        <w:t>（一）总体架构要求</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本项目贯彻落实国家相关要求，以实现"扩大智能监控系统应用场景和应用范围"为目标，探索引入智能监控手段，将监管活动由"事后"向"事前"前移，提高医院管理工作效率，丰富管理手段，增强工作透明度，提升基金监控和管理能力；维护参保人的合法权益，减轻不合理的医疗费用负担，提高医疗服务质量；促进事后监管向事前预防，降低医疗服务违规行为尤其是欺诈骗保行为的发生，保障基金安全，降低基金的违规支出，预防事后被追款、扣款，最终在医院实现全程监管，合理控费。</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本项目系统总体设计遵循"统一规划、统一标准，技术先进、结合实际，性能可靠、运行稳定，重视安全、强化机制，易于扩展、方便维护，注重实效、专注建设"的原则。</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医院运营智能监管及病种辅助管理系统总体架构包含用户访问层、应用系统层、业务支撑层、数据服务层、基础设施层五个层次：</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1.用户访问层：通过本系统为医院管理者、临床科室等用户提供相关功能访问应用。通过权限配置功能为不同类型用户配置不同的权限，实现不同用户的差异化访问管理，保证了系统访问的安全性及灵活性。</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2.应用系统层：基于用户需求，在应用层搭建医院智能监管子系统、病种管理智能助手和结算清单质控管理子系统等功能模块。</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3.业务支撑层：业务支撑层提供数据对接应用引擎、规则引擎、知识库等核心业务组件支撑，基于本项目的业务特征，通过业务支撑层为应用系统层提供稳定、高效、可靠的监管全流程管理等核心业务处理能力。</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4.数据服务层：通过实时、异步等方式和院内系统对接进行数据采集，为数据应用提供数据管理和数据支撑。数据服务层提供数据事务管理和数据一致性保证机制，确保数据的修改和更新操作能够满足一致性、持久性特性。</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5.基础设施层：基于业务开展需求，实现基础资源管理，包含计算资源、存储资源、网络资源的动态管理和资源调配。稳定、安全、可靠的基础设施层将为应用软件的开发和运行提供有力的支持和保障。</w:t>
      </w:r>
    </w:p>
    <w:p>
      <w:pPr>
        <w:keepNext/>
        <w:keepLines/>
        <w:spacing w:before="100" w:beforeAutospacing="1" w:after="100" w:afterAutospacing="1" w:line="360" w:lineRule="auto"/>
        <w:ind w:left="0" w:leftChars="0" w:firstLine="401" w:firstLineChars="190"/>
        <w:jc w:val="left"/>
        <w:outlineLvl w:val="2"/>
        <w:rPr>
          <w:rFonts w:hint="eastAsia" w:ascii="宋体" w:hAnsi="宋体" w:eastAsia="宋体" w:cs="宋体"/>
          <w:sz w:val="21"/>
          <w:szCs w:val="21"/>
        </w:rPr>
      </w:pPr>
      <w:r>
        <w:rPr>
          <w:rFonts w:hint="eastAsia" w:ascii="宋体" w:hAnsi="宋体" w:eastAsia="宋体" w:cs="宋体"/>
          <w:b/>
          <w:color w:val="000000"/>
          <w:sz w:val="21"/>
          <w:szCs w:val="21"/>
        </w:rPr>
        <w:t>（二）业务应用架构要求</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本项目重点建设智能监管子系统、病种管理智能助手和结算清单质控管理子系统三部分核心功能。</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其中智能监管子系统主要包括数据采集系统、知识库系统、规则引擎系统、事前监管系统、事中监管系统、事后监管系统、综合评价系统和系统管理八大子系统内容。</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病种管理智能助手通过智能化的方式与院内系统对接，为医生、编码人员等用户在数据质控、预分组、费用监测方面提供智能化工具，提高医生、编码人员等用户日常病种管理及应用的实时性、便捷性和科学性。</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结算清单质控管理子系统主要对结算清单填报过程实现质控管理，通过结算清单质控系统的数据规则引擎、数据质量校验、质控首页、科室分析、规则明细、病案明细等功能模块，多方面、多角度对结算清单实施质控管理，提升科室和病案室工作效率。</w:t>
      </w:r>
    </w:p>
    <w:p>
      <w:pPr>
        <w:keepNext/>
        <w:keepLines/>
        <w:spacing w:before="100" w:beforeAutospacing="1" w:after="100" w:afterAutospacing="1" w:line="360" w:lineRule="auto"/>
        <w:ind w:left="0" w:leftChars="0" w:firstLine="401" w:firstLineChars="190"/>
        <w:jc w:val="left"/>
        <w:outlineLvl w:val="2"/>
        <w:rPr>
          <w:rFonts w:hint="eastAsia" w:ascii="宋体" w:hAnsi="宋体" w:eastAsia="宋体" w:cs="宋体"/>
          <w:sz w:val="21"/>
          <w:szCs w:val="21"/>
        </w:rPr>
      </w:pPr>
      <w:r>
        <w:rPr>
          <w:rFonts w:hint="eastAsia" w:ascii="宋体" w:hAnsi="宋体" w:eastAsia="宋体" w:cs="宋体"/>
          <w:b/>
          <w:color w:val="000000"/>
          <w:sz w:val="21"/>
          <w:szCs w:val="21"/>
        </w:rPr>
        <w:t>（三）部署及资源要求</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1.本项目建设将深入贯彻利旧复用原则，根据项目系统运行需求，全部业务系统部署于医院存量国产化硬件基础设施之上，本地化部署，不涉及政务云资源。</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2.项目网络层面完全复用院内现有网络拓扑结构及配套网络资源，不额外新增独立网络架构。</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3.服务器资源采用虚拟机服务器方式开通，依托医院已部署上线的国产虚拟化平台，按需开通专属虚拟机资源完成业务部署交付。</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4.基于利旧复用原则，整体资源以开通虚拟机资源为主，相关虚拟机部署在医院本地生产机房的现有国产化宿主机上，项目不涉及医院本地机房及配套设施的改造工作。</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5.需要根据医院具体情况配置项目建设所需要的软硬件环境和网络等。同时，建议提供和配置本项目系统集成测试的测试环境。</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6.本项目软件系统的建设与部署须满足信息技术应用创新（</w:t>
      </w:r>
      <w:r>
        <w:rPr>
          <w:rFonts w:hint="eastAsia" w:ascii="宋体" w:hAnsi="宋体" w:cs="宋体"/>
          <w:color w:val="000000"/>
          <w:sz w:val="21"/>
          <w:szCs w:val="21"/>
          <w:lang w:val="en-US" w:eastAsia="zh-CN"/>
        </w:rPr>
        <w:t>XC</w:t>
      </w:r>
      <w:r>
        <w:rPr>
          <w:rFonts w:hint="eastAsia" w:ascii="宋体" w:hAnsi="宋体" w:eastAsia="宋体" w:cs="宋体"/>
          <w:color w:val="000000"/>
          <w:sz w:val="21"/>
          <w:szCs w:val="21"/>
        </w:rPr>
        <w:t>）要求，适配国产服务器、操作系统、数据库、中间件等基础软硬件环境。</w:t>
      </w:r>
    </w:p>
    <w:p>
      <w:pPr>
        <w:keepNext/>
        <w:keepLines/>
        <w:spacing w:before="100" w:beforeAutospacing="1" w:after="100" w:afterAutospacing="1" w:line="360" w:lineRule="auto"/>
        <w:ind w:left="0" w:leftChars="0" w:firstLine="401" w:firstLineChars="190"/>
        <w:jc w:val="left"/>
        <w:outlineLvl w:val="2"/>
        <w:rPr>
          <w:rFonts w:hint="eastAsia" w:ascii="宋体" w:hAnsi="宋体" w:eastAsia="宋体" w:cs="宋体"/>
          <w:sz w:val="21"/>
          <w:szCs w:val="21"/>
        </w:rPr>
      </w:pPr>
      <w:r>
        <w:rPr>
          <w:rFonts w:hint="eastAsia" w:ascii="宋体" w:hAnsi="宋体" w:eastAsia="宋体" w:cs="宋体"/>
          <w:b/>
          <w:color w:val="000000"/>
          <w:sz w:val="21"/>
          <w:szCs w:val="21"/>
        </w:rPr>
        <w:t>（四）性能指标要求</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本系统以数据访问和分析为主，针对业务系统的应用服务器和数据库服务器处理能力需求通常采用常规业务访问性能进行判定，参考性能判定标准中数据库事务对应数据库管理系统中的带输入和输出参数的存储过程，并以每秒所需处理数据库事务的总量来衡量信息系统所需计算能力。本系统性能需求主要体现在使用用户数量和系统访问量上。</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1.用户范围和数量</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（1）系统忙时并发用户数为200；</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（2）平均每用户每分钟发出6次操作请求；</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（3）全部操作请求中，更新、查询、分析、其它各占1/4。</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2.系统响应时间和故障时间</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为保障系统日常运行的稳定性，系统响应时间上需要对系统提供7×24小时技术支持服务，医院工作日白天（8:00—17:00）故障响应时间2小时内，非工作日及夜间故障响应时间为4小时内。详细响应内容如下：</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（1）常规系统业务查询≤5秒；</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（2）统计月度、季度、年度报表≤10秒；</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（3）高峰时段并发在线用户数≥100用户；</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（4）严重故障（业务中断）30分钟内响应，2小时内给出解决方案；</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（5）一般故障4小时内响应，24小时内解决；</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（6）咨询类问题1—2个工作日内答复。</w:t>
      </w:r>
    </w:p>
    <w:p>
      <w:pPr>
        <w:keepNext/>
        <w:keepLines/>
        <w:spacing w:before="100" w:beforeAutospacing="1" w:after="100" w:afterAutospacing="1" w:line="360" w:lineRule="auto"/>
        <w:ind w:left="0" w:leftChars="0" w:firstLine="401" w:firstLineChars="190"/>
        <w:jc w:val="left"/>
        <w:outlineLvl w:val="2"/>
        <w:rPr>
          <w:rFonts w:hint="eastAsia" w:ascii="宋体" w:hAnsi="宋体" w:eastAsia="宋体" w:cs="宋体"/>
          <w:sz w:val="21"/>
          <w:szCs w:val="21"/>
        </w:rPr>
      </w:pPr>
      <w:r>
        <w:rPr>
          <w:rFonts w:hint="eastAsia" w:ascii="宋体" w:hAnsi="宋体" w:eastAsia="宋体" w:cs="宋体"/>
          <w:b/>
          <w:color w:val="000000"/>
          <w:sz w:val="21"/>
          <w:szCs w:val="21"/>
        </w:rPr>
        <w:t>（五）信息安全要求</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本项目建设安全工作必须依照医院信息安全等级保护的要求来建设，系统的等级保护建设方案最终既可以满足等级保护的相关要求，又能够全方面提供立体、纵深的安全保障防御体系，保证系统运行的安全保护能力。为了保证信息系统的整体安全保护能力，依据网络安全等级保护标准采取各种安全措施时，本项目建设应遵循以下建设要求：</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1.安全系统的建设，包括以下几个层面：安全物理环境、安全通信网络、安全区域边界、安全计算环境、安全管理中心。</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2.应考虑构建纵深的防御体系。应采取技术和管理两个方面的安全措施，在系统整体上保证各种安全措施的组合从外到内构成一个纵深的安全防御体系，保证信息系统整体的安全保护能力。</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3.应采取互补的安全措施。提出的各项安全防护措施及安全控制组件，相互之间应具有互补性，在将之集成到信息系统中时，重点关注各个安全控制组件在层面内、层面间和功能间产生的连接、交互、依赖、协调、协同等相互关联关系，保证各个安全控制组件共同综合作用于信息系统的安全功能上，使得信息系统的整体安全保护能力得以保证。</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4.在统一规划安全体系的基础上，应尽量保证一致的安全强度。各项基本安全防护措施，如身份鉴别、访问控制、安全审计、入侵防范、安全标记等内容，分解到信息系统中的各个层面，在实现各个层面安全功能时，应保证各个层面安全功能实现强度的一致性，防止某个层面安全功能的减弱导致系统整体安全保护能力在这个安全环节上出现短板。</w:t>
      </w:r>
    </w:p>
    <w:p>
      <w:pPr>
        <w:keepNext/>
        <w:keepLines/>
        <w:spacing w:before="100" w:beforeAutospacing="1" w:after="100" w:afterAutospacing="1" w:line="360" w:lineRule="auto"/>
        <w:ind w:left="0" w:leftChars="0" w:firstLine="401" w:firstLineChars="190"/>
        <w:jc w:val="left"/>
        <w:outlineLvl w:val="1"/>
        <w:rPr>
          <w:rFonts w:hint="eastAsia" w:ascii="宋体" w:hAnsi="宋体" w:eastAsia="宋体" w:cs="宋体"/>
          <w:sz w:val="21"/>
          <w:szCs w:val="21"/>
        </w:rPr>
      </w:pPr>
      <w:r>
        <w:rPr>
          <w:rFonts w:hint="eastAsia" w:ascii="宋体" w:hAnsi="宋体" w:eastAsia="宋体" w:cs="宋体"/>
          <w:b/>
          <w:color w:val="000000"/>
          <w:sz w:val="21"/>
          <w:szCs w:val="21"/>
        </w:rPr>
        <w:t>五、项目建设内容</w:t>
      </w:r>
    </w:p>
    <w:p>
      <w:pPr>
        <w:adjustRightInd w:val="0"/>
        <w:snapToGrid w:val="0"/>
        <w:spacing w:line="360" w:lineRule="auto"/>
        <w:ind w:left="0" w:leftChars="0" w:firstLine="399" w:firstLineChars="19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本项目重点建设智能监管子系统、病种管理智能助手和结算清单质控管理子系统三部分核心功能以及配套接口开发，且满足</w:t>
      </w:r>
      <w:r>
        <w:rPr>
          <w:rFonts w:hint="eastAsia" w:ascii="宋体" w:hAnsi="宋体" w:cs="宋体"/>
          <w:kern w:val="2"/>
          <w:sz w:val="21"/>
          <w:szCs w:val="21"/>
          <w:lang w:val="en-US" w:eastAsia="zh-CN" w:bidi="ar-SA"/>
        </w:rPr>
        <w:t>XC</w:t>
      </w:r>
      <w:bookmarkStart w:id="174" w:name="_GoBack"/>
      <w:bookmarkEnd w:id="174"/>
      <w:r>
        <w:rPr>
          <w:rFonts w:hint="eastAsia" w:ascii="宋体" w:hAnsi="宋体" w:eastAsia="宋体" w:cs="宋体"/>
          <w:kern w:val="2"/>
          <w:sz w:val="21"/>
          <w:szCs w:val="21"/>
          <w:lang w:val="en-US" w:eastAsia="zh-CN" w:bidi="ar-SA"/>
        </w:rPr>
        <w:t>要求。</w:t>
      </w:r>
    </w:p>
    <w:p>
      <w:pPr>
        <w:keepNext/>
        <w:keepLines/>
        <w:numPr>
          <w:ilvl w:val="0"/>
          <w:numId w:val="11"/>
        </w:numPr>
        <w:spacing w:before="100" w:beforeAutospacing="1" w:after="100" w:afterAutospacing="1" w:line="360" w:lineRule="auto"/>
        <w:ind w:left="0" w:leftChars="0" w:firstLine="401" w:firstLineChars="190"/>
        <w:jc w:val="left"/>
        <w:outlineLvl w:val="2"/>
        <w:rPr>
          <w:rFonts w:hint="eastAsia" w:ascii="宋体" w:hAnsi="宋体" w:eastAsia="宋体" w:cs="宋体"/>
          <w:b/>
          <w:color w:val="000000"/>
          <w:sz w:val="21"/>
          <w:szCs w:val="21"/>
          <w:lang w:val="en-US" w:eastAsia="zh-CN"/>
        </w:rPr>
      </w:pPr>
      <w:bookmarkStart w:id="0" w:name="OLE_LINK2"/>
      <w:bookmarkStart w:id="1" w:name="_Toc240031996"/>
      <w:r>
        <w:rPr>
          <w:rFonts w:hint="eastAsia" w:ascii="宋体" w:hAnsi="宋体" w:eastAsia="宋体" w:cs="宋体"/>
          <w:b/>
          <w:color w:val="000000"/>
          <w:sz w:val="21"/>
          <w:szCs w:val="21"/>
          <w:lang w:val="en-US" w:eastAsia="zh-CN"/>
        </w:rPr>
        <w:t>智能监管子系统</w:t>
      </w:r>
      <w:bookmarkEnd w:id="0"/>
      <w:r>
        <w:rPr>
          <w:rFonts w:hint="eastAsia" w:ascii="宋体" w:hAnsi="宋体" w:eastAsia="宋体" w:cs="宋体"/>
          <w:b/>
          <w:color w:val="000000"/>
          <w:sz w:val="21"/>
          <w:szCs w:val="21"/>
          <w:lang w:val="en-US" w:eastAsia="zh-CN"/>
        </w:rPr>
        <w:t>建设内容</w:t>
      </w:r>
      <w:bookmarkEnd w:id="1"/>
    </w:p>
    <w:p>
      <w:pPr>
        <w:keepNext/>
        <w:keepLines/>
        <w:widowControl w:val="0"/>
        <w:numPr>
          <w:ilvl w:val="0"/>
          <w:numId w:val="12"/>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2" w:name="_Toc201923164"/>
      <w:bookmarkStart w:id="3" w:name="_Toc368"/>
      <w:bookmarkStart w:id="4" w:name="_Toc240031997"/>
      <w:bookmarkStart w:id="5" w:name="_Toc178163221"/>
      <w:r>
        <w:rPr>
          <w:rFonts w:hint="eastAsia" w:ascii="宋体" w:hAnsi="宋体" w:eastAsia="宋体" w:cs="宋体"/>
          <w:b/>
          <w:bCs/>
          <w:kern w:val="2"/>
          <w:sz w:val="21"/>
          <w:szCs w:val="21"/>
          <w:lang w:val="en-US" w:eastAsia="zh-CN" w:bidi="ar-SA"/>
        </w:rPr>
        <w:t>基础数据管理系统</w:t>
      </w:r>
      <w:bookmarkEnd w:id="2"/>
      <w:bookmarkEnd w:id="3"/>
      <w:bookmarkEnd w:id="4"/>
      <w:bookmarkEnd w:id="5"/>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基础数据管理系统收集平台所有业务数据。包括基础数据管理、离线数据采集、数据质控、数据映射等功能。实现病人信息、处方数据及结算数据采集等全流程数据的采集工作。</w:t>
      </w:r>
    </w:p>
    <w:p>
      <w:pPr>
        <w:keepNext/>
        <w:keepLines/>
        <w:widowControl w:val="0"/>
        <w:numPr>
          <w:ilvl w:val="0"/>
          <w:numId w:val="12"/>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6" w:name="_Toc201923169"/>
      <w:bookmarkStart w:id="7" w:name="_Toc178163226"/>
      <w:bookmarkStart w:id="8" w:name="_Toc5125"/>
      <w:bookmarkStart w:id="9" w:name="_Toc240031998"/>
      <w:bookmarkStart w:id="10" w:name="_Toc20103"/>
      <w:r>
        <w:rPr>
          <w:rFonts w:hint="eastAsia" w:ascii="宋体" w:hAnsi="宋体" w:eastAsia="宋体" w:cs="宋体"/>
          <w:b/>
          <w:bCs/>
          <w:kern w:val="2"/>
          <w:sz w:val="21"/>
          <w:szCs w:val="21"/>
          <w:lang w:val="en-US" w:eastAsia="zh-CN" w:bidi="ar-SA"/>
        </w:rPr>
        <w:t>知识库系统</w:t>
      </w:r>
      <w:bookmarkEnd w:id="6"/>
      <w:bookmarkEnd w:id="7"/>
      <w:bookmarkEnd w:id="8"/>
      <w:bookmarkEnd w:id="9"/>
      <w:bookmarkEnd w:id="10"/>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搭建医院医保智能监管知识库，包括基础知识库和医保规则库。满足用户对于知识库的维护、规则自定义配置、规则应用发布的业务需求。根据医保管理类知识、临床诊断类知识、药品类知识、诊疗项目类知识等知识体系制定医保审核规则，也可调取医保管理类知识、临床诊断类知识、药品类知识、诊疗项目类知识等信息进行本地化使用。也可根据本地实际情况丰富医保管理类知识、临床诊断类知识、药品类知识、诊疗项目类知识相关内容新增。</w:t>
      </w:r>
    </w:p>
    <w:p>
      <w:pPr>
        <w:keepNext/>
        <w:keepLines/>
        <w:widowControl w:val="0"/>
        <w:numPr>
          <w:ilvl w:val="0"/>
          <w:numId w:val="12"/>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11" w:name="_Toc8833"/>
      <w:bookmarkStart w:id="12" w:name="_Toc201923172"/>
      <w:bookmarkStart w:id="13" w:name="_Toc178163232"/>
      <w:bookmarkStart w:id="14" w:name="_Toc240031999"/>
      <w:r>
        <w:rPr>
          <w:rFonts w:hint="eastAsia" w:ascii="宋体" w:hAnsi="宋体" w:eastAsia="宋体" w:cs="宋体"/>
          <w:b/>
          <w:bCs/>
          <w:kern w:val="2"/>
          <w:sz w:val="21"/>
          <w:szCs w:val="21"/>
          <w:lang w:val="en-US" w:eastAsia="zh-CN" w:bidi="ar-SA"/>
        </w:rPr>
        <w:t>规则引擎系统</w:t>
      </w:r>
      <w:bookmarkEnd w:id="11"/>
      <w:bookmarkEnd w:id="12"/>
      <w:bookmarkEnd w:id="13"/>
      <w:bookmarkEnd w:id="14"/>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规则引擎系统通过解析知识库系统发布的规则，分析机构结算数据、结算清单的合理性。规则引擎系统用可视化的页面管理各种规则引擎，包括主要包括事前规则调度、事中规则调度、引擎任务调度等功能。事前规则调度、事中规则调度可对规则的严重级别进行配置，对于违法违规的诊疗行为，可进行拦截干预；对于涉及医疗合理类的规则，提供临床科室、医生的申诉意见功能。从而建立健全管理模式，制定疑点信息的处理程序，实现管理方与临床科室、医生间良性互动沟通机制。</w:t>
      </w:r>
    </w:p>
    <w:p>
      <w:pPr>
        <w:keepNext/>
        <w:keepLines/>
        <w:widowControl w:val="0"/>
        <w:numPr>
          <w:ilvl w:val="0"/>
          <w:numId w:val="12"/>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15" w:name="_Toc178163236"/>
      <w:bookmarkEnd w:id="15"/>
      <w:bookmarkStart w:id="16" w:name="_Toc201923176"/>
      <w:bookmarkStart w:id="17" w:name="_Toc178163237"/>
      <w:bookmarkStart w:id="18" w:name="_Toc240032000"/>
      <w:bookmarkStart w:id="19" w:name="_Toc2261"/>
      <w:r>
        <w:rPr>
          <w:rFonts w:hint="eastAsia" w:ascii="宋体" w:hAnsi="宋体" w:eastAsia="宋体" w:cs="宋体"/>
          <w:b/>
          <w:bCs/>
          <w:kern w:val="2"/>
          <w:sz w:val="21"/>
          <w:szCs w:val="21"/>
          <w:lang w:val="en-US" w:eastAsia="zh-CN" w:bidi="ar-SA"/>
        </w:rPr>
        <w:t>事前监管系统</w:t>
      </w:r>
      <w:bookmarkEnd w:id="16"/>
      <w:bookmarkEnd w:id="17"/>
      <w:bookmarkEnd w:id="18"/>
      <w:bookmarkEnd w:id="19"/>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事前监管系统提供事前智能提醒、综合查询、审核管理等功能。通过与门诊医生工作站、收费处等环节部署智能提醒功能，为医护提供疑似违规信息提醒。通过系统后台实时采集医师的诊断、处方（医嘱）等信息，应用规则进行实时审核，对可能存在的违规行为向医师提供及时准确的信息提醒服务，实现事前预防或有效减少违规行为发生。</w:t>
      </w:r>
    </w:p>
    <w:p>
      <w:pPr>
        <w:keepNext/>
        <w:keepLines/>
        <w:widowControl w:val="0"/>
        <w:numPr>
          <w:ilvl w:val="0"/>
          <w:numId w:val="12"/>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20" w:name="_Toc201923088"/>
      <w:bookmarkEnd w:id="20"/>
      <w:bookmarkStart w:id="21" w:name="_Toc201923090"/>
      <w:bookmarkEnd w:id="21"/>
      <w:bookmarkStart w:id="22" w:name="_Toc201915660"/>
      <w:bookmarkEnd w:id="22"/>
      <w:bookmarkStart w:id="23" w:name="_Toc201915665"/>
      <w:bookmarkEnd w:id="23"/>
      <w:bookmarkStart w:id="24" w:name="_Toc201923095"/>
      <w:bookmarkEnd w:id="24"/>
      <w:bookmarkStart w:id="25" w:name="_Toc201915658"/>
      <w:bookmarkEnd w:id="25"/>
      <w:bookmarkStart w:id="26" w:name="_Toc201923092"/>
      <w:bookmarkEnd w:id="26"/>
      <w:bookmarkStart w:id="27" w:name="_Toc201915661"/>
      <w:bookmarkEnd w:id="27"/>
      <w:bookmarkStart w:id="28" w:name="_Toc201915668"/>
      <w:bookmarkEnd w:id="28"/>
      <w:bookmarkStart w:id="29" w:name="_Toc201923181"/>
      <w:bookmarkEnd w:id="29"/>
      <w:bookmarkStart w:id="30" w:name="_Toc201915669"/>
      <w:bookmarkEnd w:id="30"/>
      <w:bookmarkStart w:id="31" w:name="_Toc201923091"/>
      <w:bookmarkEnd w:id="31"/>
      <w:bookmarkStart w:id="32" w:name="_Toc201923186"/>
      <w:bookmarkEnd w:id="32"/>
      <w:bookmarkStart w:id="33" w:name="_Toc201923188"/>
      <w:bookmarkEnd w:id="33"/>
      <w:bookmarkStart w:id="34" w:name="_Toc201923183"/>
      <w:bookmarkEnd w:id="34"/>
      <w:bookmarkStart w:id="35" w:name="_Toc201923182"/>
      <w:bookmarkEnd w:id="35"/>
      <w:bookmarkStart w:id="36" w:name="_Toc201923179"/>
      <w:bookmarkEnd w:id="36"/>
      <w:bookmarkStart w:id="37" w:name="_Toc201923185"/>
      <w:bookmarkEnd w:id="37"/>
      <w:bookmarkStart w:id="38" w:name="_Toc201923085"/>
      <w:bookmarkEnd w:id="38"/>
      <w:bookmarkStart w:id="39" w:name="_Toc201923096"/>
      <w:bookmarkEnd w:id="39"/>
      <w:bookmarkStart w:id="40" w:name="_Toc201923189"/>
      <w:bookmarkEnd w:id="40"/>
      <w:bookmarkStart w:id="41" w:name="_Toc201923190"/>
      <w:bookmarkEnd w:id="41"/>
      <w:bookmarkStart w:id="42" w:name="_Toc201915667"/>
      <w:bookmarkEnd w:id="42"/>
      <w:bookmarkStart w:id="43" w:name="_Toc201923087"/>
      <w:bookmarkEnd w:id="43"/>
      <w:bookmarkStart w:id="44" w:name="_Toc201923180"/>
      <w:bookmarkEnd w:id="44"/>
      <w:bookmarkStart w:id="45" w:name="_Toc201915664"/>
      <w:bookmarkEnd w:id="45"/>
      <w:bookmarkStart w:id="46" w:name="_Toc201915662"/>
      <w:bookmarkEnd w:id="46"/>
      <w:bookmarkStart w:id="47" w:name="_Toc201923184"/>
      <w:bookmarkEnd w:id="47"/>
      <w:bookmarkStart w:id="48" w:name="_Toc201915659"/>
      <w:bookmarkEnd w:id="48"/>
      <w:bookmarkStart w:id="49" w:name="_Toc201915663"/>
      <w:bookmarkEnd w:id="49"/>
      <w:bookmarkStart w:id="50" w:name="_Toc201915666"/>
      <w:bookmarkEnd w:id="50"/>
      <w:bookmarkStart w:id="51" w:name="_Toc201923187"/>
      <w:bookmarkEnd w:id="51"/>
      <w:bookmarkStart w:id="52" w:name="_Toc201923093"/>
      <w:bookmarkEnd w:id="52"/>
      <w:bookmarkStart w:id="53" w:name="_Toc201923086"/>
      <w:bookmarkEnd w:id="53"/>
      <w:bookmarkStart w:id="54" w:name="_Toc201923089"/>
      <w:bookmarkEnd w:id="54"/>
      <w:bookmarkStart w:id="55" w:name="_Toc201923094"/>
      <w:bookmarkEnd w:id="55"/>
      <w:bookmarkStart w:id="56" w:name="_Toc240032001"/>
      <w:bookmarkStart w:id="57" w:name="_Toc178163242"/>
      <w:bookmarkStart w:id="58" w:name="_Toc201923192"/>
      <w:bookmarkStart w:id="59" w:name="_Toc5137"/>
      <w:r>
        <w:rPr>
          <w:rFonts w:hint="eastAsia" w:ascii="宋体" w:hAnsi="宋体" w:eastAsia="宋体" w:cs="宋体"/>
          <w:b/>
          <w:bCs/>
          <w:kern w:val="2"/>
          <w:sz w:val="21"/>
          <w:szCs w:val="21"/>
          <w:lang w:val="en-US" w:eastAsia="zh-CN" w:bidi="ar-SA"/>
        </w:rPr>
        <w:t>事中监管系统</w:t>
      </w:r>
      <w:bookmarkEnd w:id="56"/>
      <w:bookmarkEnd w:id="57"/>
      <w:bookmarkEnd w:id="58"/>
      <w:bookmarkEnd w:id="59"/>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333333"/>
          <w:kern w:val="2"/>
          <w:sz w:val="21"/>
          <w:szCs w:val="21"/>
          <w:lang w:val="en-US" w:eastAsia="zh-CN" w:bidi="ar-SA"/>
        </w:rPr>
        <w:t>在医院门诊结算前、住院结算前及住院期间，对已发生的门诊、住院服务费用进行审核，及时发现问题，提醒相关人员存在的违规行为或可能存在的违规风险。</w:t>
      </w:r>
      <w:r>
        <w:rPr>
          <w:rFonts w:hint="eastAsia" w:ascii="宋体" w:hAnsi="宋体" w:eastAsia="宋体" w:cs="宋体"/>
          <w:color w:val="000000"/>
          <w:kern w:val="2"/>
          <w:sz w:val="21"/>
          <w:szCs w:val="21"/>
          <w:lang w:val="en-US" w:eastAsia="zh-CN" w:bidi="ar-SA"/>
        </w:rPr>
        <w:t>事中监管系统包括事中智能提醒、综合查询、审核管理等功能。</w:t>
      </w:r>
    </w:p>
    <w:p>
      <w:pPr>
        <w:keepNext/>
        <w:keepLines/>
        <w:widowControl w:val="0"/>
        <w:numPr>
          <w:ilvl w:val="0"/>
          <w:numId w:val="12"/>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60" w:name="_Toc201923208"/>
      <w:bookmarkEnd w:id="60"/>
      <w:bookmarkStart w:id="61" w:name="_Toc201923110"/>
      <w:bookmarkEnd w:id="61"/>
      <w:bookmarkStart w:id="62" w:name="_Toc201923214"/>
      <w:bookmarkEnd w:id="62"/>
      <w:bookmarkStart w:id="63" w:name="_Toc201915691"/>
      <w:bookmarkEnd w:id="63"/>
      <w:bookmarkStart w:id="64" w:name="_Toc201923107"/>
      <w:bookmarkEnd w:id="64"/>
      <w:bookmarkStart w:id="65" w:name="_Toc201915682"/>
      <w:bookmarkEnd w:id="65"/>
      <w:bookmarkStart w:id="66" w:name="_Toc201923120"/>
      <w:bookmarkEnd w:id="66"/>
      <w:bookmarkStart w:id="67" w:name="_Toc201915689"/>
      <w:bookmarkEnd w:id="67"/>
      <w:bookmarkStart w:id="68" w:name="_Toc201923205"/>
      <w:bookmarkEnd w:id="68"/>
      <w:bookmarkStart w:id="69" w:name="_Toc201923207"/>
      <w:bookmarkEnd w:id="69"/>
      <w:bookmarkStart w:id="70" w:name="_Toc201923115"/>
      <w:bookmarkEnd w:id="70"/>
      <w:bookmarkStart w:id="71" w:name="_Toc201923112"/>
      <w:bookmarkEnd w:id="71"/>
      <w:bookmarkStart w:id="72" w:name="_Toc201923209"/>
      <w:bookmarkEnd w:id="72"/>
      <w:bookmarkStart w:id="73" w:name="_Toc201915692"/>
      <w:bookmarkEnd w:id="73"/>
      <w:bookmarkStart w:id="74" w:name="_Toc201923200"/>
      <w:bookmarkEnd w:id="74"/>
      <w:bookmarkStart w:id="75" w:name="_Toc201915684"/>
      <w:bookmarkEnd w:id="75"/>
      <w:bookmarkStart w:id="76" w:name="_Toc201915677"/>
      <w:bookmarkEnd w:id="76"/>
      <w:bookmarkStart w:id="77" w:name="_Toc201923106"/>
      <w:bookmarkEnd w:id="77"/>
      <w:bookmarkStart w:id="78" w:name="_Toc201923104"/>
      <w:bookmarkEnd w:id="78"/>
      <w:bookmarkStart w:id="79" w:name="_Toc201915675"/>
      <w:bookmarkEnd w:id="79"/>
      <w:bookmarkStart w:id="80" w:name="_Toc201923213"/>
      <w:bookmarkEnd w:id="80"/>
      <w:bookmarkStart w:id="81" w:name="_Toc201923111"/>
      <w:bookmarkEnd w:id="81"/>
      <w:bookmarkStart w:id="82" w:name="_Toc201915679"/>
      <w:bookmarkEnd w:id="82"/>
      <w:bookmarkStart w:id="83" w:name="_Toc201923117"/>
      <w:bookmarkEnd w:id="83"/>
      <w:bookmarkStart w:id="84" w:name="_Toc201923196"/>
      <w:bookmarkEnd w:id="84"/>
      <w:bookmarkStart w:id="85" w:name="_Toc201915687"/>
      <w:bookmarkEnd w:id="85"/>
      <w:bookmarkStart w:id="86" w:name="_Toc201923116"/>
      <w:bookmarkEnd w:id="86"/>
      <w:bookmarkStart w:id="87" w:name="_Toc201923212"/>
      <w:bookmarkEnd w:id="87"/>
      <w:bookmarkStart w:id="88" w:name="_Toc201915680"/>
      <w:bookmarkEnd w:id="88"/>
      <w:bookmarkStart w:id="89" w:name="_Toc201923103"/>
      <w:bookmarkEnd w:id="89"/>
      <w:bookmarkStart w:id="90" w:name="_Toc201923118"/>
      <w:bookmarkEnd w:id="90"/>
      <w:bookmarkStart w:id="91" w:name="_Toc201923198"/>
      <w:bookmarkEnd w:id="91"/>
      <w:bookmarkStart w:id="92" w:name="_Toc201923109"/>
      <w:bookmarkEnd w:id="92"/>
      <w:bookmarkStart w:id="93" w:name="_Toc201923201"/>
      <w:bookmarkEnd w:id="93"/>
      <w:bookmarkStart w:id="94" w:name="_Toc201923101"/>
      <w:bookmarkEnd w:id="94"/>
      <w:bookmarkStart w:id="95" w:name="_Toc201923105"/>
      <w:bookmarkEnd w:id="95"/>
      <w:bookmarkStart w:id="96" w:name="_Toc201915678"/>
      <w:bookmarkEnd w:id="96"/>
      <w:bookmarkStart w:id="97" w:name="_Toc201915674"/>
      <w:bookmarkEnd w:id="97"/>
      <w:bookmarkStart w:id="98" w:name="_Toc201915690"/>
      <w:bookmarkEnd w:id="98"/>
      <w:bookmarkStart w:id="99" w:name="_Toc201915676"/>
      <w:bookmarkEnd w:id="99"/>
      <w:bookmarkStart w:id="100" w:name="_Toc201923102"/>
      <w:bookmarkEnd w:id="100"/>
      <w:bookmarkStart w:id="101" w:name="_Toc201915685"/>
      <w:bookmarkEnd w:id="101"/>
      <w:bookmarkStart w:id="102" w:name="_Toc201923203"/>
      <w:bookmarkEnd w:id="102"/>
      <w:bookmarkStart w:id="103" w:name="_Toc201923197"/>
      <w:bookmarkEnd w:id="103"/>
      <w:bookmarkStart w:id="104" w:name="_Toc201915693"/>
      <w:bookmarkEnd w:id="104"/>
      <w:bookmarkStart w:id="105" w:name="_Toc201923202"/>
      <w:bookmarkEnd w:id="105"/>
      <w:bookmarkStart w:id="106" w:name="_Toc201923195"/>
      <w:bookmarkEnd w:id="106"/>
      <w:bookmarkStart w:id="107" w:name="_Toc201923211"/>
      <w:bookmarkEnd w:id="107"/>
      <w:bookmarkStart w:id="108" w:name="_Toc201923114"/>
      <w:bookmarkEnd w:id="108"/>
      <w:bookmarkStart w:id="109" w:name="_Toc201923113"/>
      <w:bookmarkEnd w:id="109"/>
      <w:bookmarkStart w:id="110" w:name="_Toc201923206"/>
      <w:bookmarkEnd w:id="110"/>
      <w:bookmarkStart w:id="111" w:name="_Toc201915681"/>
      <w:bookmarkEnd w:id="111"/>
      <w:bookmarkStart w:id="112" w:name="_Toc201923199"/>
      <w:bookmarkEnd w:id="112"/>
      <w:bookmarkStart w:id="113" w:name="_Toc201923204"/>
      <w:bookmarkEnd w:id="113"/>
      <w:bookmarkStart w:id="114" w:name="_Toc201915686"/>
      <w:bookmarkEnd w:id="114"/>
      <w:bookmarkStart w:id="115" w:name="_Toc201923119"/>
      <w:bookmarkEnd w:id="115"/>
      <w:bookmarkStart w:id="116" w:name="_Toc201923210"/>
      <w:bookmarkEnd w:id="116"/>
      <w:bookmarkStart w:id="117" w:name="_Toc201915688"/>
      <w:bookmarkEnd w:id="117"/>
      <w:bookmarkStart w:id="118" w:name="_Toc201923108"/>
      <w:bookmarkEnd w:id="118"/>
      <w:bookmarkStart w:id="119" w:name="_Toc201915683"/>
      <w:bookmarkEnd w:id="119"/>
      <w:bookmarkStart w:id="120" w:name="_Toc178163247"/>
      <w:bookmarkStart w:id="121" w:name="_Toc240032002"/>
      <w:bookmarkStart w:id="122" w:name="_Toc21342"/>
      <w:bookmarkStart w:id="123" w:name="_Toc201923216"/>
      <w:r>
        <w:rPr>
          <w:rFonts w:hint="eastAsia" w:ascii="宋体" w:hAnsi="宋体" w:eastAsia="宋体" w:cs="宋体"/>
          <w:b/>
          <w:bCs/>
          <w:kern w:val="2"/>
          <w:sz w:val="21"/>
          <w:szCs w:val="21"/>
          <w:lang w:val="en-US" w:eastAsia="zh-CN" w:bidi="ar-SA"/>
        </w:rPr>
        <w:t>事后监管系统</w:t>
      </w:r>
      <w:bookmarkEnd w:id="120"/>
      <w:bookmarkEnd w:id="121"/>
      <w:bookmarkEnd w:id="122"/>
      <w:bookmarkEnd w:id="123"/>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333333"/>
          <w:kern w:val="2"/>
          <w:sz w:val="21"/>
          <w:szCs w:val="21"/>
          <w:lang w:val="en-US" w:eastAsia="zh-CN" w:bidi="ar-SA"/>
        </w:rPr>
      </w:pPr>
      <w:r>
        <w:rPr>
          <w:rFonts w:hint="eastAsia" w:ascii="宋体" w:hAnsi="宋体" w:eastAsia="宋体" w:cs="宋体"/>
          <w:color w:val="333333"/>
          <w:kern w:val="2"/>
          <w:sz w:val="21"/>
          <w:szCs w:val="21"/>
          <w:lang w:val="en-US" w:eastAsia="zh-CN" w:bidi="ar-SA"/>
        </w:rPr>
        <w:t>对医院历史案例进行回顾分析，确定已经发生的违规问题。围绕多角度统计分析，如：科室、医生、病种、服务项目等，为医院监管部门开展自审自查管理提供有理、有据的数据分析，为医院管理和决策</w:t>
      </w:r>
      <w:r>
        <w:rPr>
          <w:rFonts w:hint="eastAsia" w:ascii="宋体" w:hAnsi="宋体" w:eastAsia="宋体" w:cs="宋体"/>
          <w:color w:val="000000"/>
          <w:kern w:val="2"/>
          <w:sz w:val="21"/>
          <w:szCs w:val="21"/>
          <w:lang w:val="en-US" w:eastAsia="zh-CN" w:bidi="ar-SA"/>
        </w:rPr>
        <w:t>提供</w:t>
      </w:r>
      <w:r>
        <w:rPr>
          <w:rFonts w:hint="eastAsia" w:ascii="宋体" w:hAnsi="宋体" w:eastAsia="宋体" w:cs="宋体"/>
          <w:color w:val="333333"/>
          <w:kern w:val="2"/>
          <w:sz w:val="21"/>
          <w:szCs w:val="21"/>
          <w:lang w:val="en-US" w:eastAsia="zh-CN" w:bidi="ar-SA"/>
        </w:rPr>
        <w:t>数据支撑。事后监管系统</w:t>
      </w:r>
      <w:r>
        <w:rPr>
          <w:rFonts w:hint="eastAsia" w:ascii="宋体" w:hAnsi="宋体" w:eastAsia="宋体" w:cs="宋体"/>
          <w:color w:val="000000"/>
          <w:kern w:val="2"/>
          <w:sz w:val="21"/>
          <w:szCs w:val="21"/>
          <w:lang w:val="en-US" w:eastAsia="zh-CN" w:bidi="ar-SA"/>
        </w:rPr>
        <w:t>提供常规自动审核及不定期专项审核等功能，丰富审核手段，构建多维度监管机制，全方位保障基金安全。</w:t>
      </w:r>
      <w:r>
        <w:rPr>
          <w:rFonts w:hint="eastAsia" w:ascii="宋体" w:hAnsi="宋体" w:eastAsia="宋体" w:cs="宋体"/>
          <w:color w:val="333333"/>
          <w:kern w:val="2"/>
          <w:sz w:val="21"/>
          <w:szCs w:val="21"/>
          <w:lang w:val="en-US" w:eastAsia="zh-CN" w:bidi="ar-SA"/>
        </w:rPr>
        <w:t>系统功能主要包括常规审核管理、专项审核管理、常规审核经办、专项审核经办、审核分工管理、疑点查询等功能。</w:t>
      </w:r>
    </w:p>
    <w:p>
      <w:pPr>
        <w:keepNext/>
        <w:keepLines/>
        <w:widowControl w:val="0"/>
        <w:numPr>
          <w:ilvl w:val="0"/>
          <w:numId w:val="12"/>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124" w:name="_Toc201923223"/>
      <w:bookmarkStart w:id="125" w:name="_Toc240032003"/>
      <w:r>
        <w:rPr>
          <w:rFonts w:hint="eastAsia" w:ascii="宋体" w:hAnsi="宋体" w:eastAsia="宋体" w:cs="宋体"/>
          <w:b/>
          <w:bCs/>
          <w:kern w:val="2"/>
          <w:sz w:val="21"/>
          <w:szCs w:val="21"/>
          <w:lang w:val="en-US" w:eastAsia="zh-CN" w:bidi="ar-SA"/>
        </w:rPr>
        <w:t>综合分析</w:t>
      </w:r>
      <w:bookmarkEnd w:id="124"/>
      <w:r>
        <w:rPr>
          <w:rFonts w:hint="eastAsia" w:ascii="宋体" w:hAnsi="宋体" w:eastAsia="宋体" w:cs="宋体"/>
          <w:b/>
          <w:bCs/>
          <w:kern w:val="2"/>
          <w:sz w:val="21"/>
          <w:szCs w:val="21"/>
          <w:lang w:val="en-US" w:eastAsia="zh-CN" w:bidi="ar-SA"/>
        </w:rPr>
        <w:t>系统</w:t>
      </w:r>
      <w:bookmarkEnd w:id="125"/>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根据平台产生的业务数据、审核数据等，通过大数据挖掘方式，对医院基金监管的多维度统计分析。数据来源主要包括事前提醒审核结果、事中监控结果、事后审核结果、数据采集结果、引擎运行分析结果等。</w:t>
      </w:r>
    </w:p>
    <w:p>
      <w:pPr>
        <w:keepNext/>
        <w:keepLines/>
        <w:widowControl w:val="0"/>
        <w:numPr>
          <w:ilvl w:val="0"/>
          <w:numId w:val="12"/>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126" w:name="_Toc240032004"/>
      <w:bookmarkStart w:id="127" w:name="_Toc20526"/>
      <w:bookmarkStart w:id="128" w:name="_Toc178163257"/>
      <w:bookmarkStart w:id="129" w:name="_Toc201923227"/>
      <w:r>
        <w:rPr>
          <w:rFonts w:hint="eastAsia" w:ascii="宋体" w:hAnsi="宋体" w:eastAsia="宋体" w:cs="宋体"/>
          <w:b/>
          <w:bCs/>
          <w:kern w:val="2"/>
          <w:sz w:val="21"/>
          <w:szCs w:val="21"/>
          <w:lang w:val="en-US" w:eastAsia="zh-CN" w:bidi="ar-SA"/>
        </w:rPr>
        <w:t>系统管理</w:t>
      </w:r>
      <w:bookmarkEnd w:id="126"/>
      <w:bookmarkEnd w:id="127"/>
      <w:bookmarkEnd w:id="128"/>
      <w:bookmarkEnd w:id="129"/>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提供系统管理相关的功能，包括首页管理、用户管理、角色管理、菜单管理、区域管理、岗位管理等功能。</w:t>
      </w:r>
    </w:p>
    <w:p>
      <w:pPr>
        <w:keepNext/>
        <w:keepLines/>
        <w:numPr>
          <w:ilvl w:val="0"/>
          <w:numId w:val="11"/>
        </w:numPr>
        <w:spacing w:before="100" w:beforeAutospacing="1" w:after="100" w:afterAutospacing="1" w:line="360" w:lineRule="auto"/>
        <w:ind w:left="0" w:leftChars="0" w:firstLine="401" w:firstLineChars="190"/>
        <w:jc w:val="left"/>
        <w:outlineLvl w:val="2"/>
        <w:rPr>
          <w:rFonts w:hint="eastAsia" w:ascii="宋体" w:hAnsi="宋体" w:eastAsia="宋体" w:cs="宋体"/>
          <w:b/>
          <w:color w:val="000000"/>
          <w:sz w:val="21"/>
          <w:szCs w:val="21"/>
          <w:lang w:val="en-US" w:eastAsia="zh-CN"/>
        </w:rPr>
      </w:pPr>
      <w:bookmarkStart w:id="130" w:name="_Toc240032005"/>
      <w:bookmarkStart w:id="131" w:name="_Toc204783714"/>
      <w:bookmarkStart w:id="132" w:name="_Hlk206147870"/>
      <w:r>
        <w:rPr>
          <w:rFonts w:hint="eastAsia" w:ascii="宋体" w:hAnsi="宋体" w:eastAsia="宋体" w:cs="宋体"/>
          <w:b/>
          <w:color w:val="000000"/>
          <w:sz w:val="21"/>
          <w:szCs w:val="21"/>
          <w:lang w:val="en-US" w:eastAsia="zh-CN"/>
        </w:rPr>
        <w:t>病种管理智能助手建设内容</w:t>
      </w:r>
      <w:bookmarkEnd w:id="130"/>
      <w:bookmarkEnd w:id="131"/>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病种管理智能助手核心功能主要包括病例预分组、数据质控分析、在院患者分组监测以及接口开发和改造等。其中，病例预分组是核心功能之一，涵盖预分组及费用预警、费用结构分析、次诊模拟分组、相似分组等子功能，能够为用户提供全方位的病例分组和费用管理支持。</w:t>
      </w:r>
    </w:p>
    <w:p>
      <w:pPr>
        <w:keepNext/>
        <w:keepLines/>
        <w:widowControl w:val="0"/>
        <w:numPr>
          <w:ilvl w:val="0"/>
          <w:numId w:val="13"/>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133" w:name="_Toc204783715"/>
      <w:bookmarkStart w:id="134" w:name="_Toc240032006"/>
      <w:r>
        <w:rPr>
          <w:rFonts w:hint="eastAsia" w:ascii="宋体" w:hAnsi="宋体" w:eastAsia="宋体" w:cs="宋体"/>
          <w:b/>
          <w:bCs/>
          <w:kern w:val="2"/>
          <w:sz w:val="21"/>
          <w:szCs w:val="21"/>
          <w:lang w:val="en-US" w:eastAsia="zh-CN" w:bidi="ar-SA"/>
        </w:rPr>
        <w:t>病例预分组</w:t>
      </w:r>
      <w:bookmarkEnd w:id="133"/>
      <w:bookmarkEnd w:id="134"/>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通过与院内各相关系统建立稳定、高效的对接机制，该功能能够全面、准确地获取当前病例的各类数据，包括患者基本信息、诊断信息、手术操作信息、费用明细等。基于获取的数据，依据国家及本市的病种分组标准和支付标准，进行智能化处理与分析，实时反馈病例的分组结果、对应的支付标准等关键信息。</w:t>
      </w:r>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同时，针对病例的费用情况进行深入分析，设置科学的预警机制，及时发现费用异常情况。还能对病例的分项费用结构进行细致剖析，为费用控制提供方向。此外，支持分组调整与模拟功能，便于相关人员进行多种场景下的测算与评估，为诊疗方案优化和管理决策提供灵活的工具支持。</w:t>
      </w:r>
    </w:p>
    <w:p>
      <w:pPr>
        <w:keepNext/>
        <w:keepLines/>
        <w:widowControl w:val="0"/>
        <w:numPr>
          <w:ilvl w:val="0"/>
          <w:numId w:val="13"/>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135" w:name="_Toc240032007"/>
      <w:r>
        <w:rPr>
          <w:rFonts w:hint="eastAsia" w:ascii="宋体" w:hAnsi="宋体" w:eastAsia="宋体" w:cs="宋体"/>
          <w:b/>
          <w:bCs/>
          <w:kern w:val="2"/>
          <w:sz w:val="21"/>
          <w:szCs w:val="21"/>
          <w:lang w:val="en-US" w:eastAsia="zh-CN" w:bidi="ar-SA"/>
        </w:rPr>
        <w:t>数据质控预警</w:t>
      </w:r>
      <w:bookmarkEnd w:id="135"/>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数据质控预警模块通过将后台数据质控引擎深度嵌入到结算清单的整个生命周期——从初始填写、多轮审核到最终上传准备的关键环节，实现对病案首页数据的毫秒级响应、自动化驱动、智能化深度的质量检查与多维度分析。它能够在用户操作的同时，即时、精准地识别并反馈清单中潜藏的各类数据缺陷、逻辑矛盾与合规风险，为编码人员、病案管理人员以及临床医生提供强有力的实时辅助，使其能够高效、精准地完成复杂的数据质控工作。</w:t>
      </w:r>
    </w:p>
    <w:bookmarkEnd w:id="132"/>
    <w:p>
      <w:pPr>
        <w:keepNext/>
        <w:keepLines/>
        <w:widowControl w:val="0"/>
        <w:numPr>
          <w:ilvl w:val="0"/>
          <w:numId w:val="13"/>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136" w:name="_Toc240032008"/>
      <w:r>
        <w:rPr>
          <w:rFonts w:hint="eastAsia" w:ascii="宋体" w:hAnsi="宋体" w:eastAsia="宋体" w:cs="宋体"/>
          <w:b/>
          <w:bCs/>
          <w:kern w:val="2"/>
          <w:sz w:val="21"/>
          <w:szCs w:val="21"/>
          <w:lang w:val="en-US" w:eastAsia="zh-CN" w:bidi="ar-SA"/>
        </w:rPr>
        <w:t>在院患者分组监测</w:t>
      </w:r>
      <w:bookmarkEnd w:id="136"/>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在院患者分组监测模块致力于为医院管理者提供实时、动态、基于病种支付规则的住院患者全景运行洞察，是医院实现病种付费模式下精细化、过程化管理的关键支撑。该模块的核心价值在于将传统的事后静态分析转变为事中动态监控，通过与医院核心信息系统（主要是HIS系统）建立高效、稳定、标准化的数据对接通道，构建了一套持续追踪、智能解析、直观呈现、深度探查的在院患者病种运行监测体系。</w:t>
      </w:r>
      <w:bookmarkStart w:id="137" w:name="_Toc203861518"/>
      <w:bookmarkStart w:id="138" w:name="_Toc204002953"/>
      <w:bookmarkStart w:id="139" w:name="_Toc240032009"/>
    </w:p>
    <w:p>
      <w:pPr>
        <w:keepNext/>
        <w:keepLines/>
        <w:numPr>
          <w:ilvl w:val="0"/>
          <w:numId w:val="11"/>
        </w:numPr>
        <w:spacing w:before="100" w:beforeAutospacing="1" w:after="100" w:afterAutospacing="1" w:line="360" w:lineRule="auto"/>
        <w:ind w:left="0" w:leftChars="0" w:firstLine="401" w:firstLineChars="190"/>
        <w:jc w:val="left"/>
        <w:outlineLvl w:val="2"/>
        <w:rPr>
          <w:rFonts w:hint="eastAsia" w:ascii="宋体" w:hAnsi="宋体" w:eastAsia="宋体" w:cs="宋体"/>
          <w:b/>
          <w:color w:val="000000"/>
          <w:sz w:val="21"/>
          <w:szCs w:val="21"/>
          <w:lang w:val="en-US" w:eastAsia="zh-CN"/>
        </w:rPr>
      </w:pPr>
      <w:r>
        <w:rPr>
          <w:rFonts w:hint="eastAsia" w:ascii="宋体" w:hAnsi="宋体" w:eastAsia="宋体" w:cs="宋体"/>
          <w:b/>
          <w:color w:val="000000"/>
          <w:sz w:val="21"/>
          <w:szCs w:val="21"/>
          <w:lang w:val="en-US" w:eastAsia="zh-CN"/>
        </w:rPr>
        <w:t>结算清单质控管理子系统建设内容</w:t>
      </w:r>
      <w:bookmarkEnd w:id="137"/>
      <w:bookmarkEnd w:id="138"/>
      <w:bookmarkEnd w:id="139"/>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建设结算清单质控管理模块，实现包含质控规则、数据清洗、质量分析、问题查询等方面全流程的数据质控管理。通过数据质控管理系统的应用，确定数据质量标准、建立数据质量评估体系、制定数据质量管理流程和规范、建立数据质量监控和反馈机制、推动数据质量持续改进。</w:t>
      </w:r>
    </w:p>
    <w:p>
      <w:pPr>
        <w:keepNext/>
        <w:keepLines/>
        <w:widowControl w:val="0"/>
        <w:numPr>
          <w:ilvl w:val="0"/>
          <w:numId w:val="14"/>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140" w:name="_Toc185944287"/>
      <w:bookmarkStart w:id="141" w:name="_Toc21623"/>
      <w:bookmarkStart w:id="142" w:name="_Toc204002954"/>
      <w:bookmarkStart w:id="143" w:name="_Toc203861519"/>
      <w:bookmarkStart w:id="144" w:name="_Toc240032010"/>
      <w:r>
        <w:rPr>
          <w:rFonts w:hint="eastAsia" w:ascii="宋体" w:hAnsi="宋体" w:eastAsia="宋体" w:cs="宋体"/>
          <w:b/>
          <w:bCs/>
          <w:kern w:val="2"/>
          <w:sz w:val="21"/>
          <w:szCs w:val="21"/>
          <w:lang w:val="en-US" w:eastAsia="zh-CN" w:bidi="ar-SA"/>
        </w:rPr>
        <w:t>数据规则引擎</w:t>
      </w:r>
      <w:bookmarkEnd w:id="140"/>
      <w:bookmarkEnd w:id="141"/>
      <w:bookmarkEnd w:id="142"/>
      <w:bookmarkEnd w:id="143"/>
      <w:bookmarkEnd w:id="144"/>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通过数据规则引擎实现数据的自动化质控，数据规则引擎可以根据预先设定的规则和条件，对输入的数据进行高效的</w:t>
      </w:r>
      <w:bookmarkStart w:id="145" w:name="OLE_LINK28"/>
      <w:r>
        <w:rPr>
          <w:rFonts w:hint="eastAsia" w:ascii="宋体" w:hAnsi="宋体" w:eastAsia="宋体" w:cs="宋体"/>
          <w:color w:val="000000"/>
          <w:kern w:val="2"/>
          <w:sz w:val="21"/>
          <w:szCs w:val="21"/>
          <w:lang w:val="en-US" w:eastAsia="zh-CN" w:bidi="ar-SA"/>
        </w:rPr>
        <w:t>质量检查和验证</w:t>
      </w:r>
      <w:bookmarkEnd w:id="145"/>
      <w:r>
        <w:rPr>
          <w:rFonts w:hint="eastAsia" w:ascii="宋体" w:hAnsi="宋体" w:eastAsia="宋体" w:cs="宋体"/>
          <w:color w:val="000000"/>
          <w:kern w:val="2"/>
          <w:sz w:val="21"/>
          <w:szCs w:val="21"/>
          <w:lang w:val="en-US" w:eastAsia="zh-CN" w:bidi="ar-SA"/>
        </w:rPr>
        <w:t>，确保数据的准确性、完整性和一致性。通过数据规则引擎提供高效的规则执行保障，能够根据规则和输入数据进行快速的规则匹配和运行。</w:t>
      </w:r>
    </w:p>
    <w:p>
      <w:pPr>
        <w:keepNext/>
        <w:keepLines/>
        <w:widowControl w:val="0"/>
        <w:numPr>
          <w:ilvl w:val="0"/>
          <w:numId w:val="14"/>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146" w:name="_Toc185944288"/>
      <w:bookmarkStart w:id="147" w:name="_Toc19426"/>
      <w:bookmarkStart w:id="148" w:name="_Toc204002955"/>
      <w:bookmarkStart w:id="149" w:name="_Toc240032011"/>
      <w:bookmarkStart w:id="150" w:name="_Toc203861520"/>
      <w:r>
        <w:rPr>
          <w:rFonts w:hint="eastAsia" w:ascii="宋体" w:hAnsi="宋体" w:eastAsia="宋体" w:cs="宋体"/>
          <w:b/>
          <w:bCs/>
          <w:kern w:val="2"/>
          <w:sz w:val="21"/>
          <w:szCs w:val="21"/>
          <w:lang w:val="en-US" w:eastAsia="zh-CN" w:bidi="ar-SA"/>
        </w:rPr>
        <w:t>数据质量校验</w:t>
      </w:r>
      <w:bookmarkEnd w:id="146"/>
      <w:bookmarkEnd w:id="147"/>
      <w:bookmarkEnd w:id="148"/>
      <w:bookmarkEnd w:id="149"/>
      <w:bookmarkEnd w:id="150"/>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通过质控引擎实现数据质量校验，逐条检查数据是否符合规则的要求，如果数据不符合规则，引擎会生成相应的错误信息。在数据质量校验过程中，可以记录每一条数据的质控结果，记录质控结果可以帮助用户了解数据的质量情况，并对数据进行后续处理和分析。数据质量的规则校验是确保结算数据准确、合规的关键环节</w:t>
      </w:r>
      <w:bookmarkStart w:id="151" w:name="_Toc185944289"/>
      <w:bookmarkStart w:id="152" w:name="_Toc204002956"/>
      <w:bookmarkStart w:id="153" w:name="_Toc203861521"/>
      <w:bookmarkStart w:id="154" w:name="_Toc20505"/>
      <w:bookmarkStart w:id="155" w:name="_Toc240032012"/>
    </w:p>
    <w:p>
      <w:pPr>
        <w:keepNext/>
        <w:keepLines/>
        <w:widowControl w:val="0"/>
        <w:numPr>
          <w:ilvl w:val="0"/>
          <w:numId w:val="14"/>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全院质控首页</w:t>
      </w:r>
      <w:bookmarkEnd w:id="151"/>
      <w:bookmarkEnd w:id="152"/>
      <w:bookmarkEnd w:id="153"/>
      <w:bookmarkEnd w:id="154"/>
      <w:bookmarkEnd w:id="155"/>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通过质控首页模块对全院结算清单数据的质控结果进行统计分析，可针对医院整体数据质控的通过率以及违反规则项等数据分析，让医院管理者对总体质控情况有整体了解。</w:t>
      </w:r>
    </w:p>
    <w:p>
      <w:pPr>
        <w:keepNext/>
        <w:keepLines/>
        <w:widowControl w:val="0"/>
        <w:numPr>
          <w:ilvl w:val="0"/>
          <w:numId w:val="14"/>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156" w:name="_Toc240032013"/>
      <w:bookmarkStart w:id="157" w:name="_Toc27641"/>
      <w:bookmarkStart w:id="158" w:name="_Toc204002957"/>
      <w:bookmarkStart w:id="159" w:name="_Toc203861522"/>
      <w:bookmarkStart w:id="160" w:name="_Toc185944290"/>
      <w:r>
        <w:rPr>
          <w:rFonts w:hint="eastAsia" w:ascii="宋体" w:hAnsi="宋体" w:eastAsia="宋体" w:cs="宋体"/>
          <w:b/>
          <w:bCs/>
          <w:kern w:val="2"/>
          <w:sz w:val="21"/>
          <w:szCs w:val="21"/>
          <w:lang w:val="en-US" w:eastAsia="zh-CN" w:bidi="ar-SA"/>
        </w:rPr>
        <w:t>科室分析</w:t>
      </w:r>
      <w:bookmarkEnd w:id="156"/>
      <w:bookmarkEnd w:id="157"/>
      <w:bookmarkEnd w:id="158"/>
      <w:bookmarkEnd w:id="159"/>
      <w:bookmarkEnd w:id="160"/>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通过科室分析模块对院内各科室结算清单数据的质控结果进行统计分析，可针对当前科室整体数据质控的通过率以及违反规则项等数据分析，使医院管理者及科室负责人对各科室下的数据质控情况有总体了解。</w:t>
      </w:r>
    </w:p>
    <w:p>
      <w:pPr>
        <w:keepNext/>
        <w:keepLines/>
        <w:widowControl w:val="0"/>
        <w:numPr>
          <w:ilvl w:val="0"/>
          <w:numId w:val="14"/>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161" w:name="_Toc203861523"/>
      <w:bookmarkStart w:id="162" w:name="_Toc204002958"/>
      <w:bookmarkStart w:id="163" w:name="_Toc9981"/>
      <w:bookmarkStart w:id="164" w:name="_Toc185944291"/>
      <w:bookmarkStart w:id="165" w:name="_Toc240032014"/>
      <w:bookmarkStart w:id="166" w:name="OLE_LINK3"/>
      <w:r>
        <w:rPr>
          <w:rFonts w:hint="eastAsia" w:ascii="宋体" w:hAnsi="宋体" w:eastAsia="宋体" w:cs="宋体"/>
          <w:b/>
          <w:bCs/>
          <w:kern w:val="2"/>
          <w:sz w:val="21"/>
          <w:szCs w:val="21"/>
          <w:lang w:val="en-US" w:eastAsia="zh-CN" w:bidi="ar-SA"/>
        </w:rPr>
        <w:t>科室规则明细</w:t>
      </w:r>
      <w:bookmarkEnd w:id="161"/>
      <w:bookmarkEnd w:id="162"/>
      <w:bookmarkEnd w:id="163"/>
      <w:bookmarkEnd w:id="164"/>
      <w:bookmarkEnd w:id="165"/>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可以按照规则对数据质控结果进行统计分析。可通过业务日期、规则编码、规则大类名称（逻辑性/完整性/规范性）、规则中类名称（编码问题/非编码问题）、规则小类名称、违规等级（可疑/违规）等查询条件查看统计结果，统计结果数据包含规则编码、规则大类/中类/小类名称、规则描述、质控字段、违规等级、违反条数（支持查看具体违规病例详情）等信息。</w:t>
      </w:r>
    </w:p>
    <w:p>
      <w:pPr>
        <w:keepNext/>
        <w:keepLines/>
        <w:widowControl w:val="0"/>
        <w:numPr>
          <w:ilvl w:val="0"/>
          <w:numId w:val="14"/>
        </w:numPr>
        <w:adjustRightInd w:val="0"/>
        <w:snapToGrid w:val="0"/>
        <w:spacing w:before="312" w:beforeLines="100" w:after="156" w:afterLines="50" w:line="360" w:lineRule="auto"/>
        <w:ind w:left="0" w:leftChars="0" w:firstLine="401" w:firstLineChars="190"/>
        <w:jc w:val="both"/>
        <w:outlineLvl w:val="3"/>
        <w:rPr>
          <w:rFonts w:hint="eastAsia" w:ascii="宋体" w:hAnsi="宋体" w:eastAsia="宋体" w:cs="宋体"/>
          <w:b/>
          <w:bCs/>
          <w:kern w:val="2"/>
          <w:sz w:val="21"/>
          <w:szCs w:val="21"/>
          <w:lang w:val="en-US" w:eastAsia="zh-CN" w:bidi="ar-SA"/>
        </w:rPr>
      </w:pPr>
      <w:bookmarkStart w:id="167" w:name="_Toc185944292"/>
      <w:bookmarkStart w:id="168" w:name="_Toc240032015"/>
      <w:bookmarkStart w:id="169" w:name="_Toc204002959"/>
      <w:bookmarkStart w:id="170" w:name="_Toc203861524"/>
      <w:bookmarkStart w:id="171" w:name="_Toc29048"/>
      <w:r>
        <w:rPr>
          <w:rFonts w:hint="eastAsia" w:ascii="宋体" w:hAnsi="宋体" w:eastAsia="宋体" w:cs="宋体"/>
          <w:b/>
          <w:bCs/>
          <w:kern w:val="2"/>
          <w:sz w:val="21"/>
          <w:szCs w:val="21"/>
          <w:lang w:val="en-US" w:eastAsia="zh-CN" w:bidi="ar-SA"/>
        </w:rPr>
        <w:t>病案明细</w:t>
      </w:r>
      <w:bookmarkEnd w:id="167"/>
      <w:bookmarkEnd w:id="168"/>
      <w:bookmarkEnd w:id="169"/>
      <w:bookmarkEnd w:id="170"/>
      <w:bookmarkEnd w:id="171"/>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对质控数据的明细进行查询、分析。可以按照质控状态（通过/未通过）、业务日期、科室名称等条件进行查询，查询结果数据包含业务日期、就医号、病案号、科室名称、姓名、入院时间、出院时间、总费用、状态（通过/未通过）等信息。</w:t>
      </w:r>
    </w:p>
    <w:bookmarkEnd w:id="166"/>
    <w:p>
      <w:pPr>
        <w:keepNext/>
        <w:keepLines/>
        <w:numPr>
          <w:ilvl w:val="0"/>
          <w:numId w:val="11"/>
        </w:numPr>
        <w:spacing w:before="100" w:beforeAutospacing="1" w:after="100" w:afterAutospacing="1" w:line="360" w:lineRule="auto"/>
        <w:ind w:left="0" w:leftChars="0" w:firstLine="401" w:firstLineChars="190"/>
        <w:jc w:val="left"/>
        <w:outlineLvl w:val="2"/>
        <w:rPr>
          <w:rFonts w:hint="eastAsia" w:ascii="宋体" w:hAnsi="宋体" w:eastAsia="宋体" w:cs="宋体"/>
          <w:b/>
          <w:color w:val="000000"/>
          <w:sz w:val="21"/>
          <w:szCs w:val="21"/>
          <w:highlight w:val="none"/>
          <w:lang w:val="en-US" w:eastAsia="zh-CN"/>
        </w:rPr>
      </w:pPr>
      <w:bookmarkStart w:id="172" w:name="_Toc240032016"/>
      <w:r>
        <w:rPr>
          <w:rFonts w:hint="eastAsia" w:ascii="宋体" w:hAnsi="宋体" w:eastAsia="宋体" w:cs="宋体"/>
          <w:b/>
          <w:color w:val="000000"/>
          <w:sz w:val="21"/>
          <w:szCs w:val="21"/>
          <w:highlight w:val="none"/>
          <w:lang w:val="en-US" w:eastAsia="zh-CN"/>
        </w:rPr>
        <w:t>接口开发</w:t>
      </w:r>
      <w:bookmarkEnd w:id="172"/>
    </w:p>
    <w:p>
      <w:pPr>
        <w:widowControl w:val="0"/>
        <w:tabs>
          <w:tab w:val="left" w:pos="840"/>
        </w:tabs>
        <w:adjustRightInd w:val="0"/>
        <w:snapToGrid w:val="0"/>
        <w:spacing w:line="360" w:lineRule="auto"/>
        <w:ind w:left="0" w:leftChars="0" w:firstLine="399" w:firstLineChars="190"/>
        <w:jc w:val="both"/>
        <w:rPr>
          <w:rFonts w:hint="eastAsia" w:ascii="宋体" w:hAnsi="宋体" w:eastAsia="宋体" w:cs="宋体"/>
          <w:color w:val="000000"/>
          <w:kern w:val="2"/>
          <w:sz w:val="21"/>
          <w:szCs w:val="21"/>
          <w:lang w:val="en-US" w:eastAsia="zh-CN" w:bidi="ar-SA"/>
        </w:rPr>
      </w:pPr>
      <w:bookmarkStart w:id="173" w:name="OLE_LINK15"/>
      <w:r>
        <w:rPr>
          <w:rFonts w:hint="eastAsia" w:ascii="宋体" w:hAnsi="宋体" w:eastAsia="宋体" w:cs="宋体"/>
          <w:color w:val="000000"/>
          <w:kern w:val="2"/>
          <w:sz w:val="21"/>
          <w:szCs w:val="21"/>
          <w:highlight w:val="none"/>
          <w:lang w:val="en-US" w:eastAsia="zh-CN" w:bidi="ar-SA"/>
        </w:rPr>
        <w:t>本项目三个子系统需要与医院现有信息系统</w:t>
      </w:r>
      <w:r>
        <w:rPr>
          <w:rFonts w:hint="eastAsia" w:ascii="宋体" w:hAnsi="宋体" w:cs="宋体"/>
          <w:color w:val="000000"/>
          <w:kern w:val="2"/>
          <w:sz w:val="21"/>
          <w:szCs w:val="21"/>
          <w:highlight w:val="none"/>
          <w:lang w:val="en-US" w:eastAsia="zh-CN" w:bidi="ar-SA"/>
        </w:rPr>
        <w:t>、</w:t>
      </w:r>
      <w:r>
        <w:rPr>
          <w:rFonts w:hint="eastAsia" w:ascii="宋体" w:hAnsi="宋体" w:eastAsia="宋体" w:cs="宋体"/>
          <w:sz w:val="21"/>
          <w:szCs w:val="21"/>
          <w:highlight w:val="none"/>
          <w:lang w:val="en-US" w:eastAsia="zh-CN"/>
        </w:rPr>
        <w:t>原HIS和DIP系统</w:t>
      </w:r>
      <w:r>
        <w:rPr>
          <w:rFonts w:hint="eastAsia" w:ascii="宋体" w:hAnsi="宋体" w:eastAsia="宋体" w:cs="宋体"/>
          <w:color w:val="000000"/>
          <w:kern w:val="2"/>
          <w:sz w:val="21"/>
          <w:szCs w:val="21"/>
          <w:highlight w:val="none"/>
          <w:lang w:val="en-US" w:eastAsia="zh-CN" w:bidi="ar-SA"/>
        </w:rPr>
        <w:t>进行数据对接与功能集成，整体采用“轻耦合、低改造”的集成策略，优先通过数据库视图和标准化接口实现数据交换，最大程度减少对现有业务系统的改造影响。各子系统接口均遵循国家及行业相关数据标准，包括ICD-10诊断编码、ICD-9-CM-3</w:t>
      </w:r>
      <w:r>
        <w:rPr>
          <w:rFonts w:hint="eastAsia" w:ascii="宋体" w:hAnsi="宋体" w:eastAsia="宋体" w:cs="宋体"/>
          <w:color w:val="000000"/>
          <w:kern w:val="2"/>
          <w:sz w:val="21"/>
          <w:szCs w:val="21"/>
          <w:lang w:val="en-US" w:eastAsia="zh-CN" w:bidi="ar-SA"/>
        </w:rPr>
        <w:t>手术操作编码、医疗保障信息业务编码标准等，确保数据交互的规范性和一致性。此外，本项目严格遵循区级相关规范，预留与区级成本核算系统平台的标准化接口，以充分满足未来数据对接及业务协同的扩展需求。</w:t>
      </w:r>
      <w:bookmarkEnd w:id="173"/>
    </w:p>
    <w:p>
      <w:pPr>
        <w:spacing w:before="0" w:after="0" w:line="360" w:lineRule="auto"/>
        <w:ind w:left="0" w:leftChars="0" w:firstLine="399" w:firstLineChars="190"/>
        <w:rPr>
          <w:rFonts w:hint="eastAsia" w:ascii="宋体" w:hAnsi="宋体" w:eastAsia="宋体" w:cs="宋体"/>
          <w:color w:val="000000"/>
          <w:sz w:val="21"/>
          <w:szCs w:val="21"/>
        </w:rPr>
      </w:pPr>
    </w:p>
    <w:p>
      <w:pPr>
        <w:spacing w:before="0" w:after="0" w:line="360" w:lineRule="auto"/>
        <w:ind w:left="0" w:leftChars="0" w:firstLine="399" w:firstLineChars="190"/>
        <w:rPr>
          <w:rFonts w:hint="eastAsia" w:ascii="宋体" w:hAnsi="宋体" w:eastAsia="宋体" w:cs="宋体"/>
          <w:color w:val="000000"/>
          <w:sz w:val="21"/>
          <w:szCs w:val="21"/>
          <w:highlight w:val="yellow"/>
        </w:rPr>
      </w:pPr>
    </w:p>
    <w:p>
      <w:pPr>
        <w:keepNext/>
        <w:keepLines/>
        <w:spacing w:before="100" w:beforeAutospacing="1" w:after="100" w:afterAutospacing="1" w:line="360" w:lineRule="auto"/>
        <w:ind w:left="0" w:leftChars="0" w:firstLine="401" w:firstLineChars="190"/>
        <w:jc w:val="left"/>
        <w:outlineLvl w:val="1"/>
        <w:rPr>
          <w:rFonts w:hint="eastAsia" w:ascii="宋体" w:hAnsi="宋体" w:eastAsia="宋体" w:cs="宋体"/>
          <w:sz w:val="21"/>
          <w:szCs w:val="21"/>
        </w:rPr>
      </w:pPr>
      <w:r>
        <w:rPr>
          <w:rFonts w:hint="eastAsia" w:ascii="宋体" w:hAnsi="宋体" w:eastAsia="宋体" w:cs="宋体"/>
          <w:b/>
          <w:color w:val="000000"/>
          <w:sz w:val="21"/>
          <w:szCs w:val="21"/>
          <w:lang w:val="en-US" w:eastAsia="zh-CN"/>
        </w:rPr>
        <w:t>六</w:t>
      </w:r>
      <w:r>
        <w:rPr>
          <w:rFonts w:hint="eastAsia" w:ascii="宋体" w:hAnsi="宋体" w:eastAsia="宋体" w:cs="宋体"/>
          <w:b/>
          <w:color w:val="000000"/>
          <w:sz w:val="21"/>
          <w:szCs w:val="21"/>
        </w:rPr>
        <w:t>、项目实施要求</w:t>
      </w:r>
    </w:p>
    <w:p>
      <w:pPr>
        <w:keepNext/>
        <w:keepLines/>
        <w:spacing w:before="100" w:beforeAutospacing="1" w:after="100" w:afterAutospacing="1" w:line="360" w:lineRule="auto"/>
        <w:ind w:left="0" w:leftChars="0" w:firstLine="401" w:firstLineChars="190"/>
        <w:jc w:val="left"/>
        <w:outlineLvl w:val="2"/>
        <w:rPr>
          <w:rFonts w:hint="eastAsia" w:ascii="宋体" w:hAnsi="宋体" w:eastAsia="宋体" w:cs="宋体"/>
          <w:sz w:val="21"/>
          <w:szCs w:val="21"/>
        </w:rPr>
      </w:pPr>
      <w:r>
        <w:rPr>
          <w:rFonts w:hint="eastAsia" w:ascii="宋体" w:hAnsi="宋体" w:eastAsia="宋体" w:cs="宋体"/>
          <w:b/>
          <w:color w:val="000000"/>
          <w:sz w:val="21"/>
          <w:szCs w:val="21"/>
        </w:rPr>
        <w:t>（一）项目实施周期</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1.本项目</w:t>
      </w:r>
      <w:r>
        <w:rPr>
          <w:rFonts w:hint="eastAsia" w:ascii="宋体" w:hAnsi="宋体" w:cs="宋体"/>
          <w:color w:val="000000"/>
          <w:sz w:val="21"/>
          <w:szCs w:val="21"/>
          <w:lang w:val="en-US" w:eastAsia="zh-CN"/>
        </w:rPr>
        <w:t>建设周期为</w:t>
      </w:r>
      <w:r>
        <w:rPr>
          <w:rFonts w:hint="eastAsia" w:ascii="宋体" w:hAnsi="宋体" w:eastAsia="宋体" w:cs="宋体"/>
          <w:color w:val="000000"/>
          <w:sz w:val="21"/>
          <w:szCs w:val="21"/>
          <w:lang w:val="en-US" w:eastAsia="zh-CN"/>
        </w:rPr>
        <w:t>10</w:t>
      </w:r>
      <w:r>
        <w:rPr>
          <w:rFonts w:hint="eastAsia" w:ascii="宋体" w:hAnsi="宋体" w:eastAsia="宋体" w:cs="宋体"/>
          <w:color w:val="000000"/>
          <w:sz w:val="21"/>
          <w:szCs w:val="21"/>
        </w:rPr>
        <w:t>个月。</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2.本项目要求投标人提供详细的项目实施周期方案，包含但不限于项目进度整体计划、项目进度计划表、进度管控措施等。</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3.投标人应根据采购要求拟定科学合理的实施周期及实施计划，并采取相关措施确保按期优质完工。因项目</w:t>
      </w:r>
      <w:r>
        <w:rPr>
          <w:rFonts w:hint="eastAsia" w:ascii="宋体" w:hAnsi="宋体" w:cs="宋体"/>
          <w:color w:val="000000"/>
          <w:sz w:val="21"/>
          <w:szCs w:val="21"/>
          <w:lang w:val="en-US" w:eastAsia="zh-CN"/>
        </w:rPr>
        <w:t>建设周期</w:t>
      </w:r>
      <w:r>
        <w:rPr>
          <w:rFonts w:hint="eastAsia" w:ascii="宋体" w:hAnsi="宋体" w:eastAsia="宋体" w:cs="宋体"/>
          <w:color w:val="000000"/>
          <w:sz w:val="21"/>
          <w:szCs w:val="21"/>
        </w:rPr>
        <w:t>紧，投标人应充分考虑并合理安排项目资源投入。</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4.本项目招标内容为框架性建设要求，中标人须进行深入需求调研，针对本次招标内容并结合采购人实际业务和工作场景，</w:t>
      </w:r>
      <w:r>
        <w:rPr>
          <w:rFonts w:hint="eastAsia" w:ascii="宋体" w:hAnsi="宋体" w:eastAsia="宋体" w:cs="宋体"/>
          <w:color w:val="000000"/>
          <w:sz w:val="21"/>
          <w:szCs w:val="21"/>
          <w:lang w:val="en-US" w:eastAsia="zh-CN"/>
        </w:rPr>
        <w:t>进行</w:t>
      </w:r>
      <w:r>
        <w:rPr>
          <w:rFonts w:hint="eastAsia" w:ascii="宋体" w:hAnsi="宋体" w:eastAsia="宋体" w:cs="宋体"/>
          <w:color w:val="000000"/>
          <w:sz w:val="21"/>
          <w:szCs w:val="21"/>
        </w:rPr>
        <w:t>项目整体需求分析，经采购人确认后方可进入开发实施阶段。</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5.项目</w:t>
      </w:r>
      <w:r>
        <w:rPr>
          <w:rFonts w:hint="eastAsia" w:ascii="宋体" w:hAnsi="宋体" w:cs="宋体"/>
          <w:color w:val="000000"/>
          <w:sz w:val="21"/>
          <w:szCs w:val="21"/>
          <w:lang w:val="en-US" w:eastAsia="zh-CN"/>
        </w:rPr>
        <w:t>建设周期</w:t>
      </w:r>
      <w:r>
        <w:rPr>
          <w:rFonts w:hint="eastAsia" w:ascii="宋体" w:hAnsi="宋体" w:eastAsia="宋体" w:cs="宋体"/>
          <w:color w:val="000000"/>
          <w:sz w:val="21"/>
          <w:szCs w:val="21"/>
        </w:rPr>
        <w:t>以入场时间起算，具体</w:t>
      </w:r>
      <w:r>
        <w:rPr>
          <w:rFonts w:hint="eastAsia" w:ascii="宋体" w:hAnsi="宋体" w:cs="宋体"/>
          <w:color w:val="000000"/>
          <w:sz w:val="21"/>
          <w:szCs w:val="21"/>
          <w:lang w:val="en-US" w:eastAsia="zh-CN"/>
        </w:rPr>
        <w:t>建设</w:t>
      </w:r>
      <w:r>
        <w:rPr>
          <w:rFonts w:hint="eastAsia" w:ascii="宋体" w:hAnsi="宋体" w:eastAsia="宋体" w:cs="宋体"/>
          <w:color w:val="000000"/>
          <w:sz w:val="21"/>
          <w:szCs w:val="21"/>
        </w:rPr>
        <w:t>周期以合同约定为准。</w:t>
      </w:r>
    </w:p>
    <w:p>
      <w:pPr>
        <w:keepNext/>
        <w:keepLines/>
        <w:spacing w:before="100" w:beforeAutospacing="1" w:after="100" w:afterAutospacing="1" w:line="360" w:lineRule="auto"/>
        <w:ind w:left="0" w:leftChars="0" w:firstLine="401" w:firstLineChars="190"/>
        <w:jc w:val="left"/>
        <w:outlineLvl w:val="2"/>
        <w:rPr>
          <w:rFonts w:hint="eastAsia" w:ascii="宋体" w:hAnsi="宋体" w:eastAsia="宋体" w:cs="宋体"/>
          <w:sz w:val="21"/>
          <w:szCs w:val="21"/>
        </w:rPr>
      </w:pPr>
      <w:r>
        <w:rPr>
          <w:rFonts w:hint="eastAsia" w:ascii="宋体" w:hAnsi="宋体" w:eastAsia="宋体" w:cs="宋体"/>
          <w:b/>
          <w:color w:val="000000"/>
          <w:sz w:val="21"/>
          <w:szCs w:val="21"/>
        </w:rPr>
        <w:t>（二）项目管理及实施方案</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1.投标人应提供详细的项目管理方案，包含但不限于实施计划管理、软件开发实施方案、实施团队、实施进度、质量控制措施和安全保障措施。</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2.投标人应配备满足项目实施需要的项目团队，明确项目经理及技术负责人，并保证项目团队人员在项目实施期间的稳定性，未经采购人同意不得随意更换关键人员。</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3.项目实施期间，投标人应按周、按月向采购人提交进度报告及相应的进度统计报表，认真组织人力、物力等资源投入，主动接受采购人的监督检查。</w:t>
      </w:r>
    </w:p>
    <w:p>
      <w:pPr>
        <w:spacing w:before="0" w:after="0" w:line="360" w:lineRule="auto"/>
        <w:ind w:left="0" w:leftChars="0" w:firstLine="399" w:firstLineChars="190"/>
        <w:rPr>
          <w:rFonts w:hint="eastAsia" w:ascii="宋体" w:hAnsi="宋体" w:eastAsia="宋体" w:cs="宋体"/>
          <w:color w:val="000000"/>
          <w:sz w:val="21"/>
          <w:szCs w:val="21"/>
        </w:rPr>
      </w:pPr>
      <w:r>
        <w:rPr>
          <w:rFonts w:hint="eastAsia" w:ascii="宋体" w:hAnsi="宋体" w:eastAsia="宋体" w:cs="宋体"/>
          <w:color w:val="000000"/>
          <w:sz w:val="21"/>
          <w:szCs w:val="21"/>
        </w:rPr>
        <w:t>4.投标人应提供完善的服务方案，包含但不限于服务机构和服务人员、服务内容和流程、服务响应时间和质量、服务方式和特色。</w:t>
      </w:r>
    </w:p>
    <w:p>
      <w:pPr>
        <w:spacing w:before="0" w:after="0" w:line="360" w:lineRule="auto"/>
        <w:ind w:left="0" w:leftChars="0" w:firstLine="399" w:firstLineChars="19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5.本项目自终验合格后，提供一年免费</w:t>
      </w:r>
      <w:r>
        <w:rPr>
          <w:rFonts w:hint="eastAsia" w:ascii="宋体" w:hAnsi="宋体" w:cs="宋体"/>
          <w:color w:val="000000"/>
          <w:sz w:val="21"/>
          <w:szCs w:val="21"/>
          <w:lang w:val="en-US" w:eastAsia="zh-CN"/>
        </w:rPr>
        <w:t>运维</w:t>
      </w:r>
      <w:r>
        <w:rPr>
          <w:rFonts w:hint="eastAsia" w:ascii="宋体" w:hAnsi="宋体" w:eastAsia="宋体" w:cs="宋体"/>
          <w:color w:val="000000"/>
          <w:sz w:val="21"/>
          <w:szCs w:val="21"/>
          <w:lang w:val="en-US" w:eastAsia="zh-CN"/>
        </w:rPr>
        <w:t>。</w:t>
      </w:r>
    </w:p>
    <w:p>
      <w:pPr>
        <w:keepNext/>
        <w:keepLines/>
        <w:spacing w:before="100" w:beforeAutospacing="1" w:after="100" w:afterAutospacing="1" w:line="360" w:lineRule="auto"/>
        <w:ind w:left="0" w:leftChars="0" w:firstLine="401" w:firstLineChars="190"/>
        <w:jc w:val="left"/>
        <w:outlineLvl w:val="2"/>
        <w:rPr>
          <w:rFonts w:hint="eastAsia" w:ascii="宋体" w:hAnsi="宋体" w:eastAsia="宋体" w:cs="宋体"/>
          <w:sz w:val="21"/>
          <w:szCs w:val="21"/>
        </w:rPr>
      </w:pPr>
      <w:r>
        <w:rPr>
          <w:rFonts w:hint="eastAsia" w:ascii="宋体" w:hAnsi="宋体" w:eastAsia="宋体" w:cs="宋体"/>
          <w:b/>
          <w:color w:val="000000"/>
          <w:sz w:val="21"/>
          <w:szCs w:val="21"/>
        </w:rPr>
        <w:t>（三）培训要求</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1.投标人应对采购人的系统管理员、业务操作人员开展系统操作、日常维护等培训，确保相关人员能够熟练使用和运维系统。</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2.投标人应提供完整的培训方案，包括培训对象、培训内容、培训方式及培训计划等，并配合做好操作规程和规章制度的建立等准备工作。</w:t>
      </w:r>
    </w:p>
    <w:p>
      <w:pPr>
        <w:keepNext/>
        <w:keepLines/>
        <w:spacing w:before="100" w:beforeAutospacing="1" w:after="100" w:afterAutospacing="1" w:line="360" w:lineRule="auto"/>
        <w:ind w:left="0" w:leftChars="0" w:firstLine="401" w:firstLineChars="190"/>
        <w:jc w:val="left"/>
        <w:outlineLvl w:val="2"/>
        <w:rPr>
          <w:rFonts w:hint="eastAsia" w:ascii="宋体" w:hAnsi="宋体" w:eastAsia="宋体" w:cs="宋体"/>
          <w:sz w:val="21"/>
          <w:szCs w:val="21"/>
        </w:rPr>
      </w:pPr>
      <w:r>
        <w:rPr>
          <w:rFonts w:hint="eastAsia" w:ascii="宋体" w:hAnsi="宋体" w:eastAsia="宋体" w:cs="宋体"/>
          <w:b/>
          <w:color w:val="000000"/>
          <w:sz w:val="21"/>
          <w:szCs w:val="21"/>
        </w:rPr>
        <w:t>（四）</w:t>
      </w:r>
      <w:r>
        <w:rPr>
          <w:rFonts w:hint="eastAsia" w:ascii="宋体" w:hAnsi="宋体" w:cs="宋体"/>
          <w:b/>
          <w:color w:val="000000"/>
          <w:sz w:val="21"/>
          <w:szCs w:val="21"/>
          <w:lang w:eastAsia="zh-CN"/>
        </w:rPr>
        <w:t>运维</w:t>
      </w:r>
      <w:r>
        <w:rPr>
          <w:rFonts w:hint="eastAsia" w:ascii="宋体" w:hAnsi="宋体" w:eastAsia="宋体" w:cs="宋体"/>
          <w:b/>
          <w:color w:val="000000"/>
          <w:sz w:val="21"/>
          <w:szCs w:val="21"/>
        </w:rPr>
        <w:t>服务要求</w:t>
      </w:r>
    </w:p>
    <w:p>
      <w:pPr>
        <w:spacing w:before="0" w:after="0" w:line="360" w:lineRule="auto"/>
        <w:ind w:left="0" w:leftChars="0" w:firstLine="399" w:firstLineChars="190"/>
        <w:rPr>
          <w:rFonts w:hint="eastAsia" w:ascii="宋体" w:hAnsi="宋体" w:eastAsia="宋体" w:cs="宋体"/>
          <w:sz w:val="21"/>
          <w:szCs w:val="21"/>
          <w:lang w:eastAsia="zh-CN"/>
        </w:rPr>
      </w:pPr>
      <w:r>
        <w:rPr>
          <w:rFonts w:hint="eastAsia" w:ascii="宋体" w:hAnsi="宋体" w:eastAsia="宋体" w:cs="宋体"/>
          <w:color w:val="000000"/>
          <w:sz w:val="21"/>
          <w:szCs w:val="21"/>
        </w:rPr>
        <w:t>1.免费服务期内提供7×24小时电话服务</w:t>
      </w:r>
      <w:r>
        <w:rPr>
          <w:rFonts w:hint="eastAsia" w:ascii="宋体" w:hAnsi="宋体" w:eastAsia="宋体" w:cs="宋体"/>
          <w:color w:val="000000"/>
          <w:sz w:val="21"/>
          <w:szCs w:val="21"/>
          <w:lang w:eastAsia="zh-CN"/>
        </w:rPr>
        <w:t>。</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2.系统自终验合格之日起提供免费</w:t>
      </w:r>
      <w:r>
        <w:rPr>
          <w:rFonts w:hint="eastAsia" w:ascii="宋体" w:hAnsi="宋体" w:cs="宋体"/>
          <w:color w:val="000000"/>
          <w:sz w:val="21"/>
          <w:szCs w:val="21"/>
          <w:lang w:eastAsia="zh-CN"/>
        </w:rPr>
        <w:t>运维</w:t>
      </w:r>
      <w:r>
        <w:rPr>
          <w:rFonts w:hint="eastAsia" w:ascii="宋体" w:hAnsi="宋体" w:eastAsia="宋体" w:cs="宋体"/>
          <w:color w:val="000000"/>
          <w:sz w:val="21"/>
          <w:szCs w:val="21"/>
        </w:rPr>
        <w:t>期，具体期限以本项目招标文件商务条款为准；</w:t>
      </w:r>
      <w:r>
        <w:rPr>
          <w:rFonts w:hint="eastAsia" w:ascii="宋体" w:hAnsi="宋体" w:cs="宋体"/>
          <w:color w:val="000000"/>
          <w:sz w:val="21"/>
          <w:szCs w:val="21"/>
          <w:lang w:eastAsia="zh-CN"/>
        </w:rPr>
        <w:t>运维</w:t>
      </w:r>
      <w:r>
        <w:rPr>
          <w:rFonts w:hint="eastAsia" w:ascii="宋体" w:hAnsi="宋体" w:eastAsia="宋体" w:cs="宋体"/>
          <w:color w:val="000000"/>
          <w:sz w:val="21"/>
          <w:szCs w:val="21"/>
        </w:rPr>
        <w:t>期内应提供免费的软件升级服务。</w:t>
      </w:r>
    </w:p>
    <w:p>
      <w:pPr>
        <w:keepNext/>
        <w:keepLines/>
        <w:spacing w:before="100" w:beforeAutospacing="1" w:after="100" w:afterAutospacing="1" w:line="360" w:lineRule="auto"/>
        <w:ind w:left="0" w:leftChars="0" w:firstLine="401" w:firstLineChars="190"/>
        <w:jc w:val="left"/>
        <w:outlineLvl w:val="1"/>
        <w:rPr>
          <w:rFonts w:hint="eastAsia" w:ascii="宋体" w:hAnsi="宋体" w:eastAsia="宋体" w:cs="宋体"/>
          <w:sz w:val="21"/>
          <w:szCs w:val="21"/>
        </w:rPr>
      </w:pPr>
      <w:r>
        <w:rPr>
          <w:rFonts w:hint="eastAsia" w:ascii="宋体" w:hAnsi="宋体" w:eastAsia="宋体" w:cs="宋体"/>
          <w:b/>
          <w:color w:val="000000"/>
          <w:sz w:val="21"/>
          <w:szCs w:val="21"/>
          <w:lang w:val="en-US" w:eastAsia="zh-CN"/>
        </w:rPr>
        <w:t>七</w:t>
      </w:r>
      <w:r>
        <w:rPr>
          <w:rFonts w:hint="eastAsia" w:ascii="宋体" w:hAnsi="宋体" w:eastAsia="宋体" w:cs="宋体"/>
          <w:b/>
          <w:color w:val="000000"/>
          <w:sz w:val="21"/>
          <w:szCs w:val="21"/>
        </w:rPr>
        <w:t>、供应商能力要求</w:t>
      </w:r>
    </w:p>
    <w:p>
      <w:pPr>
        <w:keepNext/>
        <w:keepLines/>
        <w:spacing w:before="100" w:beforeAutospacing="1" w:after="100" w:afterAutospacing="1" w:line="360" w:lineRule="auto"/>
        <w:ind w:left="0" w:leftChars="0" w:firstLine="401" w:firstLineChars="190"/>
        <w:jc w:val="left"/>
        <w:outlineLvl w:val="2"/>
        <w:rPr>
          <w:rFonts w:hint="eastAsia" w:ascii="宋体" w:hAnsi="宋体" w:eastAsia="宋体" w:cs="宋体"/>
          <w:sz w:val="21"/>
          <w:szCs w:val="21"/>
          <w:highlight w:val="none"/>
        </w:rPr>
      </w:pPr>
      <w:r>
        <w:rPr>
          <w:rFonts w:hint="eastAsia" w:ascii="宋体" w:hAnsi="宋体" w:eastAsia="宋体" w:cs="宋体"/>
          <w:b/>
          <w:color w:val="000000"/>
          <w:sz w:val="21"/>
          <w:szCs w:val="21"/>
          <w:highlight w:val="none"/>
        </w:rPr>
        <w:t>（一）项目团队要求</w:t>
      </w:r>
    </w:p>
    <w:p>
      <w:pPr>
        <w:spacing w:before="0" w:after="0" w:line="360" w:lineRule="auto"/>
        <w:ind w:left="0" w:leftChars="0" w:firstLine="399" w:firstLineChars="190"/>
        <w:rPr>
          <w:rFonts w:hint="eastAsia" w:ascii="宋体" w:hAnsi="宋体" w:eastAsia="宋体" w:cs="宋体"/>
          <w:sz w:val="21"/>
          <w:szCs w:val="21"/>
          <w:highlight w:val="none"/>
        </w:rPr>
      </w:pPr>
      <w:r>
        <w:rPr>
          <w:rFonts w:hint="eastAsia" w:ascii="宋体" w:hAnsi="宋体" w:eastAsia="宋体" w:cs="宋体"/>
          <w:color w:val="000000"/>
          <w:sz w:val="21"/>
          <w:szCs w:val="21"/>
          <w:highlight w:val="none"/>
        </w:rPr>
        <w:t>1.投标人应配备满足项目实施需要的项目团队，团队人员至少应包含项目经理、软件架构师</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技术负责人、实施与培训人员等。</w:t>
      </w:r>
    </w:p>
    <w:p>
      <w:pPr>
        <w:spacing w:before="0" w:after="0" w:line="360" w:lineRule="auto"/>
        <w:ind w:left="0" w:leftChars="0" w:firstLine="399" w:firstLineChars="19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项目</w:t>
      </w:r>
      <w:r>
        <w:rPr>
          <w:rFonts w:hint="eastAsia" w:ascii="宋体" w:hAnsi="宋体" w:eastAsia="宋体" w:cs="宋体"/>
          <w:color w:val="000000"/>
          <w:sz w:val="21"/>
          <w:szCs w:val="21"/>
          <w:highlight w:val="none"/>
          <w:lang w:val="en-US" w:eastAsia="zh-CN"/>
        </w:rPr>
        <w:t>负责人</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具备具有信息系统项目管理师及 CISP（注册信息安全专业人员）认证，并具有同类医院信息化项目的实施经验</w:t>
      </w:r>
      <w:r>
        <w:rPr>
          <w:rFonts w:hint="eastAsia" w:ascii="宋体" w:hAnsi="宋体" w:eastAsia="宋体" w:cs="宋体"/>
          <w:color w:val="000000"/>
          <w:sz w:val="21"/>
          <w:szCs w:val="21"/>
          <w:highlight w:val="none"/>
          <w:lang w:eastAsia="zh-CN"/>
        </w:rPr>
        <w:t>。</w:t>
      </w:r>
    </w:p>
    <w:p>
      <w:pPr>
        <w:spacing w:before="0" w:after="0" w:line="360" w:lineRule="auto"/>
        <w:ind w:left="0" w:leftChars="0" w:firstLine="399" w:firstLineChars="19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软件架构师：具有系统架构设计师证书及系统集成项目管理工程师证书的；</w:t>
      </w:r>
    </w:p>
    <w:p>
      <w:pPr>
        <w:spacing w:before="0" w:after="0" w:line="360" w:lineRule="auto"/>
        <w:ind w:left="0" w:leftChars="0" w:firstLine="399" w:firstLineChars="19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技术负责人：具有系统架构设计师及人社部门颁发的计算机应用软件研发专业工程师职称证书；</w:t>
      </w:r>
    </w:p>
    <w:p>
      <w:pPr>
        <w:spacing w:before="0" w:after="0" w:line="360" w:lineRule="auto"/>
        <w:ind w:left="0" w:leftChars="0" w:firstLine="399" w:firstLineChars="19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项目组成员</w:t>
      </w:r>
      <w:r>
        <w:rPr>
          <w:rFonts w:hint="eastAsia" w:ascii="宋体" w:hAnsi="宋体" w:eastAsia="宋体" w:cs="宋体"/>
          <w:color w:val="000000"/>
          <w:sz w:val="21"/>
          <w:szCs w:val="21"/>
          <w:highlight w:val="none"/>
          <w:lang w:val="en-US" w:eastAsia="zh-CN"/>
        </w:rPr>
        <w:t>应具备</w:t>
      </w:r>
      <w:r>
        <w:rPr>
          <w:rFonts w:hint="eastAsia" w:ascii="宋体" w:hAnsi="宋体" w:eastAsia="宋体" w:cs="宋体"/>
          <w:color w:val="000000"/>
          <w:sz w:val="21"/>
          <w:szCs w:val="21"/>
          <w:highlight w:val="none"/>
        </w:rPr>
        <w:t>信息安全 CISP 认证、信息系统项目管理师、软件设计师、信息安全工程师、网络工程师。</w:t>
      </w:r>
    </w:p>
    <w:p>
      <w:pPr>
        <w:spacing w:before="0" w:after="0" w:line="360" w:lineRule="auto"/>
        <w:ind w:left="0" w:leftChars="0" w:firstLine="399" w:firstLineChars="19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以上每项需提供相应有效证书扫描件和对应人员最近三个月任意一个月的社保缴纳证明材料。</w:t>
      </w:r>
    </w:p>
    <w:p>
      <w:pPr>
        <w:keepNext/>
        <w:keepLines/>
        <w:spacing w:before="100" w:beforeAutospacing="1" w:after="100" w:afterAutospacing="1" w:line="360" w:lineRule="auto"/>
        <w:ind w:left="0" w:leftChars="0" w:firstLine="401" w:firstLineChars="190"/>
        <w:jc w:val="left"/>
        <w:outlineLvl w:val="2"/>
        <w:rPr>
          <w:rFonts w:hint="default" w:ascii="宋体" w:hAnsi="宋体" w:eastAsia="宋体" w:cs="宋体"/>
          <w:b/>
          <w:color w:val="000000"/>
          <w:sz w:val="21"/>
          <w:szCs w:val="21"/>
          <w:highlight w:val="none"/>
          <w:lang w:val="en-US" w:eastAsia="zh-CN"/>
        </w:rPr>
      </w:pPr>
      <w:r>
        <w:rPr>
          <w:rFonts w:hint="eastAsia" w:ascii="宋体" w:hAnsi="宋体" w:eastAsia="宋体" w:cs="宋体"/>
          <w:b/>
          <w:color w:val="000000"/>
          <w:sz w:val="21"/>
          <w:szCs w:val="21"/>
          <w:highlight w:val="none"/>
          <w:lang w:eastAsia="zh-CN"/>
        </w:rPr>
        <w:t>（</w:t>
      </w:r>
      <w:r>
        <w:rPr>
          <w:rFonts w:hint="eastAsia" w:ascii="宋体" w:hAnsi="宋体" w:eastAsia="宋体" w:cs="宋体"/>
          <w:b/>
          <w:color w:val="000000"/>
          <w:sz w:val="21"/>
          <w:szCs w:val="21"/>
          <w:highlight w:val="none"/>
          <w:lang w:val="en-US" w:eastAsia="zh-CN"/>
        </w:rPr>
        <w:t>二）投标单位能力</w:t>
      </w:r>
      <w:r>
        <w:rPr>
          <w:rFonts w:hint="eastAsia" w:ascii="宋体" w:hAnsi="宋体" w:cs="宋体"/>
          <w:b/>
          <w:color w:val="000000"/>
          <w:sz w:val="21"/>
          <w:szCs w:val="21"/>
          <w:highlight w:val="none"/>
          <w:lang w:val="en-US" w:eastAsia="zh-CN"/>
        </w:rPr>
        <w:t>要求</w:t>
      </w:r>
    </w:p>
    <w:p>
      <w:pPr>
        <w:spacing w:before="0" w:after="0" w:line="360" w:lineRule="auto"/>
        <w:ind w:left="0" w:leftChars="0" w:firstLine="399" w:firstLineChars="19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投标单位</w:t>
      </w:r>
      <w:r>
        <w:rPr>
          <w:rFonts w:hint="eastAsia" w:ascii="宋体" w:hAnsi="宋体" w:cs="宋体"/>
          <w:color w:val="000000"/>
          <w:sz w:val="21"/>
          <w:szCs w:val="21"/>
          <w:highlight w:val="none"/>
          <w:lang w:val="en-US" w:eastAsia="zh-CN"/>
        </w:rPr>
        <w:t>提供</w:t>
      </w:r>
      <w:r>
        <w:rPr>
          <w:rFonts w:hint="eastAsia" w:ascii="宋体" w:hAnsi="宋体" w:eastAsia="宋体" w:cs="宋体"/>
          <w:color w:val="000000"/>
          <w:sz w:val="21"/>
          <w:szCs w:val="21"/>
          <w:highlight w:val="none"/>
          <w:lang w:val="en-US" w:eastAsia="zh-CN"/>
        </w:rPr>
        <w:t>有</w:t>
      </w:r>
      <w:r>
        <w:rPr>
          <w:rFonts w:hint="eastAsia" w:ascii="宋体" w:hAnsi="宋体" w:cs="宋体"/>
          <w:color w:val="000000"/>
          <w:sz w:val="21"/>
          <w:szCs w:val="21"/>
          <w:highlight w:val="none"/>
          <w:lang w:val="en-US" w:eastAsia="zh-CN"/>
        </w:rPr>
        <w:t>与本项目相关的能力证明材料，包括</w:t>
      </w:r>
      <w:r>
        <w:rPr>
          <w:rFonts w:hint="eastAsia" w:ascii="宋体" w:hAnsi="宋体" w:eastAsia="宋体" w:cs="宋体"/>
          <w:color w:val="000000"/>
          <w:sz w:val="21"/>
          <w:szCs w:val="21"/>
          <w:highlight w:val="none"/>
          <w:lang w:val="en-US" w:eastAsia="zh-CN"/>
        </w:rPr>
        <w:t>软件能力成熟度集成模型认证证书、信息安全服务认证</w:t>
      </w:r>
      <w:r>
        <w:rPr>
          <w:rFonts w:hint="eastAsia" w:ascii="宋体" w:hAnsi="宋体" w:cs="宋体"/>
          <w:color w:val="000000"/>
          <w:sz w:val="21"/>
          <w:szCs w:val="21"/>
          <w:highlight w:val="none"/>
          <w:lang w:val="en-US" w:eastAsia="zh-CN"/>
        </w:rPr>
        <w:t>证书等</w:t>
      </w:r>
      <w:r>
        <w:rPr>
          <w:rFonts w:hint="eastAsia" w:ascii="宋体" w:hAnsi="宋体" w:eastAsia="宋体" w:cs="宋体"/>
          <w:color w:val="000000"/>
          <w:sz w:val="21"/>
          <w:szCs w:val="21"/>
          <w:highlight w:val="none"/>
          <w:lang w:val="en-US" w:eastAsia="zh-CN"/>
        </w:rPr>
        <w:t>。</w:t>
      </w:r>
    </w:p>
    <w:p>
      <w:pPr>
        <w:keepNext/>
        <w:keepLines/>
        <w:spacing w:before="100" w:beforeAutospacing="1" w:after="100" w:afterAutospacing="1" w:line="360" w:lineRule="auto"/>
        <w:ind w:left="0" w:leftChars="0" w:firstLine="401" w:firstLineChars="190"/>
        <w:jc w:val="left"/>
        <w:outlineLvl w:val="2"/>
        <w:rPr>
          <w:rFonts w:hint="eastAsia" w:ascii="宋体" w:hAnsi="宋体" w:eastAsia="宋体" w:cs="宋体"/>
          <w:sz w:val="21"/>
          <w:szCs w:val="21"/>
          <w:highlight w:val="none"/>
        </w:rPr>
      </w:pPr>
      <w:r>
        <w:rPr>
          <w:rFonts w:hint="eastAsia" w:ascii="宋体" w:hAnsi="宋体" w:eastAsia="宋体" w:cs="宋体"/>
          <w:b/>
          <w:color w:val="000000"/>
          <w:sz w:val="21"/>
          <w:szCs w:val="21"/>
          <w:highlight w:val="none"/>
        </w:rPr>
        <w:t>（</w:t>
      </w:r>
      <w:r>
        <w:rPr>
          <w:rFonts w:hint="eastAsia" w:ascii="宋体" w:hAnsi="宋体" w:cs="宋体"/>
          <w:b/>
          <w:color w:val="000000"/>
          <w:sz w:val="21"/>
          <w:szCs w:val="21"/>
          <w:highlight w:val="none"/>
          <w:lang w:val="en-US" w:eastAsia="zh-CN"/>
        </w:rPr>
        <w:t>三</w:t>
      </w:r>
      <w:r>
        <w:rPr>
          <w:rFonts w:hint="eastAsia" w:ascii="宋体" w:hAnsi="宋体" w:eastAsia="宋体" w:cs="宋体"/>
          <w:b/>
          <w:color w:val="000000"/>
          <w:sz w:val="21"/>
          <w:szCs w:val="21"/>
          <w:highlight w:val="none"/>
        </w:rPr>
        <w:t>）所投产品符合现行政府采购需求标准</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投标人应在投标文件中承诺，本项目所涉及的软件产品及运行环境符合国家现行相关政府采购需求标准的规定。</w:t>
      </w:r>
    </w:p>
    <w:p>
      <w:pPr>
        <w:keepNext/>
        <w:keepLines/>
        <w:spacing w:before="100" w:beforeAutospacing="1" w:after="100" w:afterAutospacing="1" w:line="360" w:lineRule="auto"/>
        <w:ind w:left="0" w:leftChars="0" w:firstLine="401" w:firstLineChars="190"/>
        <w:jc w:val="left"/>
        <w:outlineLvl w:val="1"/>
        <w:rPr>
          <w:rFonts w:hint="eastAsia" w:ascii="宋体" w:hAnsi="宋体" w:eastAsia="宋体" w:cs="宋体"/>
          <w:sz w:val="21"/>
          <w:szCs w:val="21"/>
        </w:rPr>
      </w:pPr>
      <w:r>
        <w:rPr>
          <w:rFonts w:hint="eastAsia" w:ascii="宋体" w:hAnsi="宋体" w:eastAsia="宋体" w:cs="宋体"/>
          <w:b/>
          <w:color w:val="000000"/>
          <w:sz w:val="21"/>
          <w:szCs w:val="21"/>
          <w:lang w:val="en-US" w:eastAsia="zh-CN"/>
        </w:rPr>
        <w:t>八</w:t>
      </w:r>
      <w:r>
        <w:rPr>
          <w:rFonts w:hint="eastAsia" w:ascii="宋体" w:hAnsi="宋体" w:eastAsia="宋体" w:cs="宋体"/>
          <w:b/>
          <w:color w:val="000000"/>
          <w:sz w:val="21"/>
          <w:szCs w:val="21"/>
        </w:rPr>
        <w:t>、项目验收要求</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1.本项目按照经采购人确认的《项目整体需求分析报告》及本采购需求文件的相关要求组织验收。项目开发完成并达到整体要求后，组织初步验收；系统稳定运行</w:t>
      </w:r>
      <w:r>
        <w:rPr>
          <w:rFonts w:hint="eastAsia" w:ascii="宋体" w:hAnsi="宋体" w:eastAsia="宋体" w:cs="宋体"/>
          <w:color w:val="000000"/>
          <w:sz w:val="21"/>
          <w:szCs w:val="21"/>
          <w:lang w:val="en-US" w:eastAsia="zh-CN"/>
        </w:rPr>
        <w:t>不少于三</w:t>
      </w:r>
      <w:r>
        <w:rPr>
          <w:rFonts w:hint="eastAsia" w:ascii="宋体" w:hAnsi="宋体" w:eastAsia="宋体" w:cs="宋体"/>
          <w:color w:val="000000"/>
          <w:sz w:val="21"/>
          <w:szCs w:val="21"/>
        </w:rPr>
        <w:t>个月，无重大故障，达到相关要求后，组织最终验收。</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2.项目验收应以软件测评、安全测评及密码应用测评的通过结果为依据；相关测评工作及费用由采购人另行安排，不属于本次采购范围。</w:t>
      </w:r>
    </w:p>
    <w:p>
      <w:pPr>
        <w:spacing w:before="0" w:after="0" w:line="360" w:lineRule="auto"/>
        <w:ind w:left="0" w:leftChars="0" w:firstLine="399" w:firstLineChars="190"/>
        <w:rPr>
          <w:rFonts w:hint="eastAsia" w:ascii="宋体" w:hAnsi="宋体" w:eastAsia="宋体" w:cs="宋体"/>
          <w:sz w:val="21"/>
          <w:szCs w:val="21"/>
        </w:rPr>
      </w:pPr>
      <w:r>
        <w:rPr>
          <w:rFonts w:hint="eastAsia" w:ascii="宋体" w:hAnsi="宋体" w:eastAsia="宋体" w:cs="宋体"/>
          <w:color w:val="000000"/>
          <w:sz w:val="21"/>
          <w:szCs w:val="21"/>
        </w:rPr>
        <w:t>3.中标人应提供满足本次项目建设及服务相关内容的项目承诺函（格式自拟），承诺若无法达成招标文件的相关要求，则采购人有权终止合同且不承担任何责任。</w:t>
      </w:r>
    </w:p>
    <w:p>
      <w:pPr>
        <w:spacing w:before="0" w:after="0" w:line="360" w:lineRule="auto"/>
        <w:ind w:left="0" w:leftChars="0" w:firstLine="399" w:firstLineChars="190"/>
        <w:rPr>
          <w:rFonts w:hint="eastAsia" w:ascii="宋体" w:hAnsi="宋体" w:eastAsia="宋体" w:cs="宋体"/>
          <w:color w:val="000000"/>
          <w:sz w:val="21"/>
          <w:szCs w:val="21"/>
        </w:rPr>
      </w:pPr>
      <w:r>
        <w:rPr>
          <w:rFonts w:hint="eastAsia" w:ascii="宋体" w:hAnsi="宋体" w:eastAsia="宋体" w:cs="宋体"/>
          <w:color w:val="000000"/>
          <w:sz w:val="21"/>
          <w:szCs w:val="21"/>
        </w:rPr>
        <w:t>4.中标人应在项目验收前向采购人提交完整的项目技术文档，包括但不限于需求分析报告、系统设计文档、测试报告、用户手册、运维手册等，并保存好完整的项目资料档案以便移交。</w:t>
      </w:r>
    </w:p>
    <w:p>
      <w:pPr>
        <w:spacing w:before="0" w:after="0" w:line="360" w:lineRule="auto"/>
        <w:ind w:left="0" w:leftChars="0" w:firstLine="399" w:firstLineChars="190"/>
        <w:rPr>
          <w:rFonts w:hint="eastAsia" w:ascii="宋体" w:hAnsi="宋体" w:eastAsia="宋体" w:cs="宋体"/>
          <w:color w:val="000000"/>
          <w:sz w:val="21"/>
          <w:szCs w:val="21"/>
        </w:rPr>
      </w:pPr>
    </w:p>
    <w:p>
      <w:pPr>
        <w:keepNext/>
        <w:keepLines/>
        <w:spacing w:before="100" w:beforeAutospacing="1" w:after="100" w:afterAutospacing="1" w:line="360" w:lineRule="auto"/>
        <w:ind w:left="0" w:leftChars="0" w:firstLine="401" w:firstLineChars="190"/>
        <w:jc w:val="left"/>
        <w:outlineLvl w:val="1"/>
        <w:rPr>
          <w:rFonts w:hint="eastAsia" w:ascii="宋体" w:hAnsi="宋体" w:eastAsia="宋体" w:cs="宋体"/>
          <w:b/>
          <w:color w:val="000000"/>
          <w:sz w:val="21"/>
          <w:szCs w:val="21"/>
          <w:lang w:val="en-US" w:eastAsia="zh-CN"/>
        </w:rPr>
      </w:pPr>
      <w:r>
        <w:rPr>
          <w:rFonts w:hint="eastAsia" w:ascii="宋体" w:hAnsi="宋体" w:eastAsia="宋体" w:cs="宋体"/>
          <w:b/>
          <w:color w:val="000000"/>
          <w:sz w:val="21"/>
          <w:szCs w:val="21"/>
          <w:lang w:val="en-US" w:eastAsia="zh-CN"/>
        </w:rPr>
        <w:t>九、付款进度</w:t>
      </w:r>
    </w:p>
    <w:p>
      <w:pPr>
        <w:spacing w:before="0" w:after="0" w:line="360" w:lineRule="auto"/>
        <w:ind w:left="0" w:leftChars="0" w:firstLine="399" w:firstLineChars="19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本合同付款采取阶段付款方式，具体如下:</w:t>
      </w:r>
    </w:p>
    <w:p>
      <w:pPr>
        <w:spacing w:before="0" w:after="0" w:line="360" w:lineRule="auto"/>
        <w:ind w:left="0" w:leftChars="0" w:firstLine="399" w:firstLineChars="19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第一笔付款-</w:t>
      </w:r>
      <w:r>
        <w:rPr>
          <w:rFonts w:hint="eastAsia" w:ascii="宋体" w:hAnsi="宋体" w:eastAsia="宋体" w:cs="宋体"/>
          <w:color w:val="000000"/>
          <w:sz w:val="21"/>
          <w:szCs w:val="21"/>
          <w:highlight w:val="none"/>
          <w:lang w:val="en-US" w:eastAsia="zh-CN"/>
        </w:rPr>
        <w:t>首</w:t>
      </w:r>
      <w:r>
        <w:rPr>
          <w:rFonts w:hint="eastAsia" w:ascii="宋体" w:hAnsi="宋体" w:eastAsia="宋体" w:cs="宋体"/>
          <w:color w:val="000000"/>
          <w:sz w:val="21"/>
          <w:szCs w:val="21"/>
          <w:highlight w:val="none"/>
        </w:rPr>
        <w:t>付款</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合同签订且甲方收到乙方开具的对应发票后，支付预付款</w:t>
      </w:r>
      <w:r>
        <w:rPr>
          <w:rFonts w:hint="eastAsia" w:ascii="宋体" w:hAnsi="宋体" w:eastAsia="宋体" w:cs="宋体"/>
          <w:color w:val="000000"/>
          <w:sz w:val="21"/>
          <w:szCs w:val="21"/>
          <w:highlight w:val="none"/>
          <w:lang w:val="en-US" w:eastAsia="zh-CN"/>
        </w:rPr>
        <w:t>722000</w:t>
      </w:r>
      <w:r>
        <w:rPr>
          <w:rFonts w:hint="eastAsia" w:ascii="宋体" w:hAnsi="宋体" w:eastAsia="宋体" w:cs="宋体"/>
          <w:color w:val="000000"/>
          <w:sz w:val="21"/>
          <w:szCs w:val="21"/>
          <w:highlight w:val="none"/>
        </w:rPr>
        <w:t>元</w:t>
      </w:r>
      <w:r>
        <w:rPr>
          <w:rFonts w:hint="eastAsia" w:ascii="宋体" w:hAnsi="宋体" w:eastAsia="宋体" w:cs="宋体"/>
          <w:color w:val="000000"/>
          <w:sz w:val="21"/>
          <w:szCs w:val="21"/>
          <w:highlight w:val="none"/>
          <w:lang w:eastAsia="zh-CN"/>
        </w:rPr>
        <w:t>；</w:t>
      </w:r>
    </w:p>
    <w:p>
      <w:pPr>
        <w:spacing w:before="0" w:after="0" w:line="360" w:lineRule="auto"/>
        <w:ind w:left="0" w:leftChars="0" w:firstLine="399" w:firstLineChars="19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2、第二</w:t>
      </w:r>
      <w:r>
        <w:rPr>
          <w:rFonts w:hint="eastAsia" w:ascii="宋体" w:hAnsi="宋体" w:eastAsia="宋体" w:cs="宋体"/>
          <w:color w:val="000000"/>
          <w:sz w:val="21"/>
          <w:szCs w:val="21"/>
          <w:highlight w:val="none"/>
        </w:rPr>
        <w:t>笔付款-</w:t>
      </w:r>
      <w:r>
        <w:rPr>
          <w:rFonts w:hint="eastAsia" w:ascii="宋体" w:hAnsi="宋体" w:eastAsia="宋体" w:cs="宋体"/>
          <w:color w:val="000000"/>
          <w:sz w:val="21"/>
          <w:szCs w:val="21"/>
          <w:highlight w:val="none"/>
          <w:lang w:val="en-US" w:eastAsia="zh-CN"/>
        </w:rPr>
        <w:t>上线款</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上线</w:t>
      </w:r>
      <w:r>
        <w:rPr>
          <w:rFonts w:hint="eastAsia" w:ascii="宋体" w:hAnsi="宋体" w:eastAsia="宋体" w:cs="宋体"/>
          <w:color w:val="000000"/>
          <w:sz w:val="21"/>
          <w:szCs w:val="21"/>
          <w:highlight w:val="none"/>
        </w:rPr>
        <w:t>合格(以甲方签署本合同附件2的《阶段验收确认单》为准)，甲方收到乙方开具的对应发票后，支付</w:t>
      </w:r>
      <w:r>
        <w:rPr>
          <w:rFonts w:hint="eastAsia" w:ascii="宋体" w:hAnsi="宋体" w:eastAsia="宋体" w:cs="宋体"/>
          <w:color w:val="000000"/>
          <w:sz w:val="21"/>
          <w:szCs w:val="21"/>
          <w:highlight w:val="none"/>
          <w:lang w:val="en-US" w:eastAsia="zh-CN"/>
        </w:rPr>
        <w:t>到</w:t>
      </w:r>
      <w:r>
        <w:rPr>
          <w:rFonts w:hint="eastAsia" w:ascii="宋体" w:hAnsi="宋体" w:eastAsia="宋体" w:cs="宋体"/>
          <w:color w:val="000000"/>
          <w:sz w:val="21"/>
          <w:szCs w:val="21"/>
          <w:highlight w:val="none"/>
        </w:rPr>
        <w:t>合同款</w:t>
      </w:r>
      <w:r>
        <w:rPr>
          <w:rFonts w:hint="eastAsia" w:ascii="宋体" w:hAnsi="宋体" w:eastAsia="宋体" w:cs="宋体"/>
          <w:color w:val="000000"/>
          <w:sz w:val="21"/>
          <w:szCs w:val="21"/>
          <w:highlight w:val="none"/>
          <w:lang w:val="en-US" w:eastAsia="zh-CN"/>
        </w:rPr>
        <w:t>70%；</w:t>
      </w:r>
    </w:p>
    <w:p>
      <w:pPr>
        <w:spacing w:before="0" w:after="0" w:line="360" w:lineRule="auto"/>
        <w:ind w:left="0" w:leftChars="0" w:firstLine="399" w:firstLineChars="19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第</w:t>
      </w:r>
      <w:r>
        <w:rPr>
          <w:rFonts w:hint="eastAsia" w:ascii="宋体" w:hAnsi="宋体" w:eastAsia="宋体" w:cs="宋体"/>
          <w:color w:val="000000"/>
          <w:sz w:val="21"/>
          <w:szCs w:val="21"/>
          <w:highlight w:val="none"/>
          <w:lang w:val="en-US" w:eastAsia="zh-CN"/>
        </w:rPr>
        <w:t>三</w:t>
      </w:r>
      <w:r>
        <w:rPr>
          <w:rFonts w:hint="eastAsia" w:ascii="宋体" w:hAnsi="宋体" w:eastAsia="宋体" w:cs="宋体"/>
          <w:color w:val="000000"/>
          <w:sz w:val="21"/>
          <w:szCs w:val="21"/>
          <w:highlight w:val="none"/>
        </w:rPr>
        <w:t>笔付款-验收款</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验</w:t>
      </w:r>
      <w:r>
        <w:rPr>
          <w:rFonts w:hint="eastAsia" w:ascii="宋体" w:hAnsi="宋体" w:eastAsia="宋体" w:cs="宋体"/>
          <w:color w:val="000000"/>
          <w:sz w:val="21"/>
          <w:szCs w:val="21"/>
          <w:highlight w:val="none"/>
          <w:lang w:val="en-US" w:eastAsia="zh-CN"/>
        </w:rPr>
        <w:t>收</w:t>
      </w:r>
      <w:r>
        <w:rPr>
          <w:rFonts w:hint="eastAsia" w:ascii="宋体" w:hAnsi="宋体" w:eastAsia="宋体" w:cs="宋体"/>
          <w:color w:val="000000"/>
          <w:sz w:val="21"/>
          <w:szCs w:val="21"/>
          <w:highlight w:val="none"/>
        </w:rPr>
        <w:t>合格(以甲方签署本合同附件3的《终验确认单》为准)，甲方收到乙方开具的对应发票后支付</w:t>
      </w:r>
      <w:r>
        <w:rPr>
          <w:rFonts w:hint="eastAsia" w:ascii="宋体" w:hAnsi="宋体" w:eastAsia="宋体" w:cs="宋体"/>
          <w:color w:val="000000"/>
          <w:sz w:val="21"/>
          <w:szCs w:val="21"/>
          <w:highlight w:val="none"/>
          <w:lang w:val="en-US" w:eastAsia="zh-CN"/>
        </w:rPr>
        <w:t>至</w:t>
      </w:r>
      <w:r>
        <w:rPr>
          <w:rFonts w:hint="eastAsia" w:ascii="宋体" w:hAnsi="宋体" w:eastAsia="宋体" w:cs="宋体"/>
          <w:color w:val="000000"/>
          <w:sz w:val="21"/>
          <w:szCs w:val="21"/>
          <w:highlight w:val="none"/>
        </w:rPr>
        <w:t>合同款</w:t>
      </w:r>
      <w:r>
        <w:rPr>
          <w:rFonts w:hint="eastAsia" w:ascii="宋体" w:hAnsi="宋体" w:eastAsia="宋体" w:cs="宋体"/>
          <w:color w:val="000000"/>
          <w:sz w:val="21"/>
          <w:szCs w:val="21"/>
          <w:highlight w:val="none"/>
          <w:lang w:val="en-US" w:eastAsia="zh-CN"/>
        </w:rPr>
        <w:t>90%；</w:t>
      </w:r>
    </w:p>
    <w:p>
      <w:pPr>
        <w:spacing w:before="0" w:after="0" w:line="360" w:lineRule="auto"/>
        <w:ind w:left="0" w:leftChars="0" w:firstLine="399" w:firstLineChars="19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第</w:t>
      </w:r>
      <w:r>
        <w:rPr>
          <w:rFonts w:hint="eastAsia" w:ascii="宋体" w:hAnsi="宋体" w:eastAsia="宋体" w:cs="宋体"/>
          <w:color w:val="000000"/>
          <w:sz w:val="21"/>
          <w:szCs w:val="21"/>
          <w:highlight w:val="none"/>
          <w:lang w:val="en-US" w:eastAsia="zh-CN"/>
        </w:rPr>
        <w:t>四</w:t>
      </w:r>
      <w:r>
        <w:rPr>
          <w:rFonts w:hint="eastAsia" w:ascii="宋体" w:hAnsi="宋体" w:eastAsia="宋体" w:cs="宋体"/>
          <w:color w:val="000000"/>
          <w:sz w:val="21"/>
          <w:szCs w:val="21"/>
          <w:highlight w:val="none"/>
        </w:rPr>
        <w:t>笔付款-尾款</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剩余金额终验后</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完成支付</w:t>
      </w:r>
      <w:r>
        <w:rPr>
          <w:rFonts w:hint="eastAsia" w:ascii="宋体" w:hAnsi="宋体" w:eastAsia="宋体" w:cs="宋体"/>
          <w:color w:val="000000"/>
          <w:sz w:val="21"/>
          <w:szCs w:val="21"/>
          <w:highlight w:val="none"/>
          <w:lang w:val="en-US" w:eastAsia="zh-CN"/>
        </w:rPr>
        <w:t>完成</w:t>
      </w:r>
      <w:r>
        <w:rPr>
          <w:rFonts w:hint="eastAsia" w:ascii="宋体" w:hAnsi="宋体" w:eastAsia="宋体" w:cs="宋体"/>
          <w:color w:val="000000"/>
          <w:sz w:val="21"/>
          <w:szCs w:val="21"/>
          <w:highlight w:val="none"/>
        </w:rPr>
        <w:t>。</w:t>
      </w:r>
    </w:p>
    <w:p>
      <w:pPr>
        <w:spacing w:before="0" w:after="0" w:line="360" w:lineRule="auto"/>
        <w:ind w:left="0" w:leftChars="0" w:firstLine="399" w:firstLineChars="19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 xml:space="preserve">以上阶段的所有付款，均以甲方财政资金实际到账作为甲方付款的前提条件。 </w:t>
      </w:r>
    </w:p>
    <w:p>
      <w:pPr>
        <w:spacing w:before="0" w:after="0" w:line="360" w:lineRule="auto"/>
        <w:ind w:left="0" w:leftChars="0" w:firstLine="399" w:firstLineChars="19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注：如出现逾期支付相关费用等情况，采购人将支付中标单位相应利息，如对中标单位造成损失的，依法给予中标单位相关补偿。</w:t>
      </w:r>
    </w:p>
    <w:p>
      <w:pPr>
        <w:spacing w:before="0" w:after="0" w:line="360" w:lineRule="auto"/>
        <w:ind w:left="0" w:leftChars="0" w:firstLine="399" w:firstLineChars="190"/>
        <w:rPr>
          <w:rFonts w:hint="eastAsia" w:ascii="宋体" w:hAnsi="宋体" w:eastAsia="宋体" w:cs="宋体"/>
          <w:color w:val="000000"/>
          <w:sz w:val="21"/>
          <w:szCs w:val="21"/>
          <w:highlight w:val="none"/>
        </w:rPr>
      </w:pPr>
    </w:p>
    <w:p>
      <w:pPr>
        <w:keepNext/>
        <w:keepLines/>
        <w:spacing w:before="100" w:beforeAutospacing="1" w:after="100" w:afterAutospacing="1" w:line="360" w:lineRule="auto"/>
        <w:ind w:left="0" w:leftChars="0" w:firstLine="401" w:firstLineChars="190"/>
        <w:jc w:val="left"/>
        <w:outlineLvl w:val="1"/>
        <w:rPr>
          <w:rFonts w:hint="eastAsia" w:ascii="宋体" w:hAnsi="宋体" w:eastAsia="宋体" w:cs="宋体"/>
          <w:sz w:val="21"/>
          <w:szCs w:val="21"/>
        </w:rPr>
      </w:pPr>
      <w:r>
        <w:rPr>
          <w:rFonts w:hint="eastAsia" w:ascii="宋体" w:hAnsi="宋体" w:eastAsia="宋体" w:cs="宋体"/>
          <w:b/>
          <w:color w:val="000000"/>
          <w:sz w:val="21"/>
          <w:szCs w:val="21"/>
        </w:rPr>
        <w:t>十、项目知识产权要求</w:t>
      </w:r>
    </w:p>
    <w:p>
      <w:pPr>
        <w:bidi w:val="0"/>
        <w:spacing w:line="360" w:lineRule="auto"/>
        <w:ind w:left="0" w:leftChars="0" w:firstLine="399" w:firstLineChars="190"/>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本项目中形成的知识产权（包含需求分析、系统设计、软件程序、核心技术、数据标准、接口规范、知识库、专有方法、模板、工具包、培训材料、专有数据、技术文档、服务模式、运作模式、系统建设指南等，但不限于上述形式）归建设单位所有。供应商向建设单位交付的信息系统已享有知识产权的，建设单位在许可范围内合理使用。</w:t>
      </w:r>
    </w:p>
    <w:p>
      <w:pPr>
        <w:bidi w:val="0"/>
        <w:spacing w:line="360" w:lineRule="auto"/>
        <w:ind w:left="0" w:leftChars="0" w:firstLine="399" w:firstLineChars="19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本项目中形成的知识产权的申请权、所有权与利益（包括：专利权、商标权、著作权、</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"http://www.baidu.com/s?wd=%E5%95%86%E4%B8%9A%E7%A7%98%E5%AF%86&amp;tn=44039180_cpr&amp;fenlei=mv6quAkxTZn0IZRqIHckPjm4nH00T1Y3nhDdrHIhPWu-uWR3mH030ZwV5Hcvrjm3rH6sPfKWUMw85HfYnjn4nH6sgvPsT6KdThsqpZwYTjCEQLGCpyw9Uz4Bmy-bIi4WUvYETgN-TLwGUv3ErHn3rjTvnHc1PjcsrjfYPjRz" \t "_blank" </w:instrText>
      </w:r>
      <w:r>
        <w:rPr>
          <w:rFonts w:hint="eastAsia" w:ascii="宋体" w:hAnsi="宋体" w:eastAsia="宋体" w:cs="宋体"/>
          <w:sz w:val="21"/>
          <w:szCs w:val="21"/>
        </w:rPr>
        <w:fldChar w:fldCharType="separate"/>
      </w:r>
      <w:r>
        <w:rPr>
          <w:rFonts w:hint="eastAsia" w:ascii="宋体" w:hAnsi="宋体" w:eastAsia="宋体" w:cs="宋体"/>
          <w:sz w:val="21"/>
          <w:szCs w:val="21"/>
        </w:rPr>
        <w:t>商业秘密</w:t>
      </w:r>
      <w:r>
        <w:rPr>
          <w:rFonts w:hint="eastAsia" w:ascii="宋体" w:hAnsi="宋体" w:eastAsia="宋体" w:cs="宋体"/>
          <w:sz w:val="21"/>
          <w:szCs w:val="21"/>
        </w:rPr>
        <w:fldChar w:fldCharType="end"/>
      </w:r>
      <w:r>
        <w:rPr>
          <w:rFonts w:hint="eastAsia" w:ascii="宋体" w:hAnsi="宋体" w:eastAsia="宋体" w:cs="宋体"/>
          <w:sz w:val="21"/>
          <w:szCs w:val="21"/>
        </w:rPr>
        <w:t>专有权等，但不限于上述权益的申请权）归建设单位所有。未经建设单位书面同意，供应商不得以任何形式申请。</w:t>
      </w:r>
    </w:p>
    <w:p>
      <w:pPr>
        <w:bidi w:val="0"/>
        <w:spacing w:line="360" w:lineRule="auto"/>
        <w:ind w:left="0" w:leftChars="0" w:firstLine="399" w:firstLineChars="19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供应商不得以任何形式侵害本项目中形成的知识产权。未经建设单位书面同意，供应商不得以任何形式提供或出售给同行业/同性质单位使用。若发生侵害行为，供应商则全额赔付建设单位本项目中标金额以及供应商通过侵害行为获得的全部收益。</w:t>
      </w:r>
    </w:p>
    <w:p>
      <w:pPr>
        <w:bidi w:val="0"/>
        <w:spacing w:line="360" w:lineRule="auto"/>
        <w:ind w:left="0" w:leftChars="0" w:firstLine="399" w:firstLineChars="19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没有建设单位明示的书面同意，供应商不能作出关于本项目或者其条款的任何新闻公告、媒体宣传或其他形式的公开披露。</w:t>
      </w:r>
    </w:p>
    <w:p>
      <w:pPr>
        <w:bidi w:val="0"/>
        <w:spacing w:line="360" w:lineRule="auto"/>
        <w:ind w:left="0" w:leftChars="0" w:firstLine="399" w:firstLineChars="19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供应商提供的产品和服务等不得侵犯任何第三方的知识产权。若发生侵权行为，一切法律责任、后果及损失均由供应商承担，建设单位不承担任何法律责任及后果，且保留追责权。</w:t>
      </w:r>
    </w:p>
    <w:p>
      <w:pPr>
        <w:keepNext/>
        <w:keepLines/>
        <w:spacing w:before="100" w:beforeAutospacing="1" w:after="100" w:afterAutospacing="1" w:line="360" w:lineRule="auto"/>
        <w:ind w:left="0" w:leftChars="0" w:firstLine="401" w:firstLineChars="190"/>
        <w:jc w:val="left"/>
        <w:outlineLvl w:val="1"/>
        <w:rPr>
          <w:rFonts w:hint="eastAsia" w:ascii="宋体" w:hAnsi="宋体" w:eastAsia="宋体" w:cs="宋体"/>
          <w:b/>
          <w:color w:val="000000"/>
          <w:sz w:val="21"/>
          <w:szCs w:val="21"/>
          <w:lang w:val="en-US" w:eastAsia="zh-CN"/>
        </w:rPr>
      </w:pPr>
      <w:r>
        <w:rPr>
          <w:rFonts w:hint="eastAsia" w:ascii="宋体" w:hAnsi="宋体" w:eastAsia="宋体" w:cs="宋体"/>
          <w:b/>
          <w:color w:val="000000"/>
          <w:sz w:val="21"/>
          <w:szCs w:val="21"/>
          <w:lang w:val="en-US" w:eastAsia="zh-CN"/>
        </w:rPr>
        <w:t>十一、保密承诺</w:t>
      </w:r>
    </w:p>
    <w:p>
      <w:pPr>
        <w:bidi w:val="0"/>
        <w:spacing w:line="360" w:lineRule="auto"/>
        <w:ind w:left="0" w:leftChars="0" w:firstLine="399" w:firstLineChars="190"/>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供应商承诺参与本项目的所有服务人员需严格保守与本项目有关的技术秘密和商业秘密，任何涉及建设单位及使用单位的信息，包括但不限于数据、特有的功能需求等，未得到建设单位及使用单位的书面同意，不得对任何第三方展示、举例乃至销售，否则供应商将承担由此产生的一切后果。</w:t>
      </w:r>
    </w:p>
    <w:p>
      <w:pPr>
        <w:bidi w:val="0"/>
        <w:spacing w:line="360" w:lineRule="auto"/>
        <w:ind w:left="0" w:leftChars="0" w:firstLine="399" w:firstLineChars="19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供应商不以实施项目为名，侵害本项目各参与单位的技术、商业秘密或者知识产权。</w:t>
      </w:r>
    </w:p>
    <w:p>
      <w:pPr>
        <w:spacing w:line="360" w:lineRule="auto"/>
        <w:ind w:firstLine="482"/>
        <w:rPr>
          <w:rFonts w:ascii="宋体" w:hAnsi="宋体" w:cs="宋体"/>
          <w:b/>
          <w:bCs/>
          <w:sz w:val="21"/>
          <w:szCs w:val="21"/>
        </w:rPr>
      </w:pPr>
    </w:p>
    <w:p>
      <w:pPr>
        <w:keepNext/>
        <w:keepLines/>
        <w:spacing w:before="100" w:beforeAutospacing="1" w:after="100" w:afterAutospacing="1" w:line="360" w:lineRule="auto"/>
        <w:ind w:left="0" w:leftChars="0" w:firstLine="401" w:firstLineChars="190"/>
        <w:jc w:val="left"/>
        <w:outlineLvl w:val="1"/>
        <w:rPr>
          <w:rFonts w:hint="eastAsia" w:ascii="宋体" w:hAnsi="宋体" w:eastAsia="宋体" w:cs="宋体"/>
          <w:b/>
          <w:color w:val="000000"/>
          <w:sz w:val="21"/>
          <w:szCs w:val="21"/>
          <w:lang w:val="en-US" w:eastAsia="zh-CN"/>
        </w:rPr>
      </w:pPr>
      <w:r>
        <w:rPr>
          <w:rFonts w:hint="eastAsia" w:ascii="宋体" w:hAnsi="宋体" w:cs="宋体"/>
          <w:b/>
          <w:color w:val="000000"/>
          <w:sz w:val="21"/>
          <w:szCs w:val="21"/>
          <w:lang w:val="en-US" w:eastAsia="zh-CN"/>
        </w:rPr>
        <w:t>十二、</w:t>
      </w:r>
      <w:r>
        <w:rPr>
          <w:rFonts w:hint="eastAsia" w:ascii="宋体" w:hAnsi="宋体" w:eastAsia="宋体" w:cs="宋体"/>
          <w:b/>
          <w:color w:val="000000"/>
          <w:sz w:val="21"/>
          <w:szCs w:val="21"/>
          <w:lang w:val="en-US" w:eastAsia="zh-CN"/>
        </w:rPr>
        <w:t>投标单位资格要求</w:t>
      </w:r>
    </w:p>
    <w:p>
      <w:pPr>
        <w:bidi w:val="0"/>
        <w:spacing w:line="360" w:lineRule="auto"/>
        <w:ind w:left="0" w:leftChars="0" w:firstLine="399" w:firstLineChars="19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详见本项目采购公告</w:t>
      </w:r>
      <w:r>
        <w:rPr>
          <w:rFonts w:hint="eastAsia" w:ascii="宋体" w:hAnsi="宋体" w:cs="宋体"/>
          <w:sz w:val="21"/>
          <w:szCs w:val="21"/>
          <w:lang w:val="en-US" w:eastAsia="zh-CN"/>
        </w:rPr>
        <w:t>。</w:t>
      </w:r>
    </w:p>
    <w:sectPr>
      <w:headerReference r:id="rId3" w:type="default"/>
      <w:footerReference r:id="rId4" w:type="default"/>
      <w:pgSz w:w="11906" w:h="16838"/>
      <w:pgMar w:top="1440" w:right="1077" w:bottom="1440" w:left="107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roman"/>
    <w:pitch w:val="default"/>
    <w:sig w:usb0="00000000" w:usb1="00000000" w:usb2="00000009" w:usb3="00000000" w:csb0="400001FF" w:csb1="FFFF0000"/>
  </w:font>
  <w:font w:name="宋体">
    <w:altName w:val="方正书宋_GBK"/>
    <w:panose1 w:val="02010600030101010101"/>
    <w:charset w:val="88"/>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Calibri Light">
    <w:altName w:val="DejaVu Sans"/>
    <w:panose1 w:val="020F0302020204030204"/>
    <w:charset w:val="00"/>
    <w:family w:val="swiss"/>
    <w:pitch w:val="default"/>
    <w:sig w:usb0="00000000" w:usb1="00000000"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altName w:val="汉仪中圆B5"/>
    <w:panose1 w:val="02010600030101010101"/>
    <w:charset w:val="86"/>
    <w:family w:val="auto"/>
    <w:pitch w:val="default"/>
    <w:sig w:usb0="00000000" w:usb1="00000000" w:usb2="00000016" w:usb3="00000000" w:csb0="0004000F" w:csb1="00000000"/>
  </w:font>
  <w:font w:name="微软雅黑">
    <w:altName w:val="黑体"/>
    <w:panose1 w:val="020B0503020204020204"/>
    <w:charset w:val="86"/>
    <w:family w:val="swiss"/>
    <w:pitch w:val="default"/>
    <w:sig w:usb0="00000000" w:usb1="00000000" w:usb2="00000016" w:usb3="00000000" w:csb0="0004001F" w:csb1="00000000"/>
  </w:font>
  <w:font w:name="Arial Unicode MS">
    <w:altName w:val="Nimbus Roman No9 L"/>
    <w:panose1 w:val="020B0604020202020204"/>
    <w:charset w:val="80"/>
    <w:family w:val="swiss"/>
    <w:pitch w:val="default"/>
    <w:sig w:usb0="00000000" w:usb1="00000000" w:usb2="0000003F" w:usb3="00000000" w:csb0="003F01FF" w:csb1="00000000"/>
  </w:font>
  <w:font w:name="Futura Bk">
    <w:altName w:val="汉仪君黑-35简"/>
    <w:panose1 w:val="020B0602020204020303"/>
    <w:charset w:val="00"/>
    <w:family w:val="swiss"/>
    <w:pitch w:val="default"/>
    <w:sig w:usb0="00000000" w:usb1="00000000" w:usb2="00000000" w:usb3="00000000" w:csb0="0000009F"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r>
      <w:rPr>
        <w:lang w:val="zh-CN"/>
      </w:rPr>
      <w:t xml:space="preserve"> </w:t>
    </w:r>
    <w:r>
      <w:rPr>
        <w:b/>
        <w:bCs/>
      </w:rPr>
      <w:fldChar w:fldCharType="begin"/>
    </w:r>
    <w:r>
      <w:rPr>
        <w:b/>
        <w:bCs/>
      </w:rPr>
      <w:instrText xml:space="preserve">PAGE  \* Arabic  \* MERGEFORMAT</w:instrText>
    </w:r>
    <w:r>
      <w:rPr>
        <w:b/>
        <w:bCs/>
      </w:rPr>
      <w:fldChar w:fldCharType="separate"/>
    </w:r>
    <w:r>
      <w:rPr>
        <w:b/>
        <w:bCs/>
        <w:lang w:val="zh-CN"/>
      </w:rPr>
      <w:t>8</w:t>
    </w:r>
    <w:r>
      <w:rPr>
        <w:b/>
        <w:bCs/>
      </w:rPr>
      <w:fldChar w:fldCharType="end"/>
    </w:r>
    <w:r>
      <w:rPr>
        <w:lang w:val="zh-CN"/>
      </w:rPr>
      <w:t xml:space="preserve"> / </w:t>
    </w:r>
    <w:r>
      <w:rPr>
        <w:b/>
        <w:bCs/>
      </w:rPr>
      <w:fldChar w:fldCharType="begin"/>
    </w:r>
    <w:r>
      <w:rPr>
        <w:b/>
        <w:bCs/>
      </w:rPr>
      <w:instrText xml:space="preserve">NUMPAGES  \* Arabic  \* MERGEFORMAT</w:instrText>
    </w:r>
    <w:r>
      <w:rPr>
        <w:b/>
        <w:bCs/>
      </w:rPr>
      <w:fldChar w:fldCharType="separate"/>
    </w:r>
    <w:r>
      <w:rPr>
        <w:b/>
        <w:bCs/>
        <w:lang w:val="zh-CN"/>
      </w:rPr>
      <w:t>9</w:t>
    </w:r>
    <w:r>
      <w:rPr>
        <w:b/>
        <w:bCs/>
      </w:rP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6" w:space="0"/>
      </w:pBdr>
      <w:jc w:val="left"/>
    </w:pPr>
    <w:r>
      <w:rPr>
        <w:rFonts w:hint="eastAsia"/>
      </w:rPr>
      <w:t>ZC20260</w:t>
    </w:r>
    <w:r>
      <w:rPr>
        <w:rFonts w:hint="eastAsia"/>
        <w:lang w:val="en-US" w:eastAsia="zh-CN"/>
      </w:rPr>
      <w:t>180</w:t>
    </w:r>
    <w:r>
      <w:rPr>
        <w:rFonts w:hint="eastAsia"/>
      </w:rPr>
      <w:t xml:space="preserve">   </w:t>
    </w:r>
    <w:r>
      <w:rPr>
        <w:rFonts w:hint="eastAsia"/>
        <w:lang w:eastAsia="zh-CN"/>
      </w:rPr>
      <w:t>上海市光华中西医结合医院医院运营智能监管及病种辅助管理系统公开招标项目</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招标</w:t>
    </w:r>
    <w:r>
      <w:rPr>
        <w:rFonts w:hint="eastAsia"/>
      </w:rPr>
      <w:t>需求文件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165E1"/>
    <w:multiLevelType w:val="singleLevel"/>
    <w:tmpl w:val="868165E1"/>
    <w:lvl w:ilvl="0" w:tentative="0">
      <w:start w:val="1"/>
      <w:numFmt w:val="decimal"/>
      <w:lvlText w:val="%1."/>
      <w:lvlJc w:val="left"/>
      <w:pPr>
        <w:ind w:left="705" w:hanging="425"/>
      </w:pPr>
      <w:rPr>
        <w:rFonts w:hint="default"/>
      </w:rPr>
    </w:lvl>
  </w:abstractNum>
  <w:abstractNum w:abstractNumId="1">
    <w:nsid w:val="D25EA53C"/>
    <w:multiLevelType w:val="singleLevel"/>
    <w:tmpl w:val="D25EA53C"/>
    <w:lvl w:ilvl="0" w:tentative="0">
      <w:start w:val="1"/>
      <w:numFmt w:val="chineseCounting"/>
      <w:suff w:val="nothing"/>
      <w:lvlText w:val="（%1）"/>
      <w:lvlJc w:val="left"/>
      <w:pPr>
        <w:ind w:left="0" w:firstLine="420"/>
      </w:pPr>
      <w:rPr>
        <w:rFonts w:hint="eastAsia"/>
      </w:rPr>
    </w:lvl>
  </w:abstractNum>
  <w:abstractNum w:abstractNumId="2">
    <w:nsid w:val="FFFFFF88"/>
    <w:multiLevelType w:val="singleLevel"/>
    <w:tmpl w:val="FFFFFF88"/>
    <w:lvl w:ilvl="0" w:tentative="0">
      <w:start w:val="1"/>
      <w:numFmt w:val="decimal"/>
      <w:lvlText w:val="%1."/>
      <w:lvlJc w:val="left"/>
      <w:pPr>
        <w:tabs>
          <w:tab w:val="left" w:pos="360"/>
        </w:tabs>
        <w:ind w:left="360" w:hanging="360"/>
      </w:pPr>
    </w:lvl>
  </w:abstractNum>
  <w:abstractNum w:abstractNumId="3">
    <w:nsid w:val="00000040"/>
    <w:multiLevelType w:val="multilevel"/>
    <w:tmpl w:val="00000040"/>
    <w:lvl w:ilvl="0" w:tentative="0">
      <w:start w:val="1"/>
      <w:numFmt w:val="bullet"/>
      <w:pStyle w:val="101"/>
      <w:lvlText w:val=""/>
      <w:lvlJc w:val="left"/>
      <w:pPr>
        <w:tabs>
          <w:tab w:val="left" w:pos="960"/>
        </w:tabs>
        <w:ind w:left="960" w:hanging="420"/>
      </w:pPr>
      <w:rPr>
        <w:rFonts w:hint="default" w:ascii="Wingdings" w:hAnsi="Wingdings"/>
      </w:rPr>
    </w:lvl>
    <w:lvl w:ilvl="1" w:tentative="0">
      <w:start w:val="1"/>
      <w:numFmt w:val="bullet"/>
      <w:lvlText w:val=""/>
      <w:lvlJc w:val="left"/>
      <w:pPr>
        <w:tabs>
          <w:tab w:val="left" w:pos="1380"/>
        </w:tabs>
        <w:ind w:left="1380" w:hanging="420"/>
      </w:pPr>
      <w:rPr>
        <w:rFonts w:hint="default" w:ascii="Wingdings" w:hAnsi="Wingdings"/>
      </w:rPr>
    </w:lvl>
    <w:lvl w:ilvl="2" w:tentative="0">
      <w:start w:val="1"/>
      <w:numFmt w:val="bullet"/>
      <w:lvlText w:val=""/>
      <w:lvlJc w:val="left"/>
      <w:pPr>
        <w:tabs>
          <w:tab w:val="left" w:pos="1800"/>
        </w:tabs>
        <w:ind w:left="1800" w:hanging="420"/>
      </w:pPr>
      <w:rPr>
        <w:rFonts w:hint="default" w:ascii="Wingdings" w:hAnsi="Wingdings"/>
      </w:rPr>
    </w:lvl>
    <w:lvl w:ilvl="3" w:tentative="0">
      <w:start w:val="1"/>
      <w:numFmt w:val="bullet"/>
      <w:lvlText w:val=""/>
      <w:lvlJc w:val="left"/>
      <w:pPr>
        <w:tabs>
          <w:tab w:val="left" w:pos="2220"/>
        </w:tabs>
        <w:ind w:left="2220" w:hanging="420"/>
      </w:pPr>
      <w:rPr>
        <w:rFonts w:hint="default" w:ascii="Wingdings" w:hAnsi="Wingdings"/>
      </w:rPr>
    </w:lvl>
    <w:lvl w:ilvl="4" w:tentative="0">
      <w:start w:val="1"/>
      <w:numFmt w:val="bullet"/>
      <w:lvlText w:val=""/>
      <w:lvlJc w:val="left"/>
      <w:pPr>
        <w:tabs>
          <w:tab w:val="left" w:pos="2640"/>
        </w:tabs>
        <w:ind w:left="2640" w:hanging="420"/>
      </w:pPr>
      <w:rPr>
        <w:rFonts w:hint="default" w:ascii="Wingdings" w:hAnsi="Wingdings"/>
      </w:rPr>
    </w:lvl>
    <w:lvl w:ilvl="5" w:tentative="0">
      <w:start w:val="1"/>
      <w:numFmt w:val="bullet"/>
      <w:lvlText w:val=""/>
      <w:lvlJc w:val="left"/>
      <w:pPr>
        <w:tabs>
          <w:tab w:val="left" w:pos="3060"/>
        </w:tabs>
        <w:ind w:left="3060" w:hanging="420"/>
      </w:pPr>
      <w:rPr>
        <w:rFonts w:hint="default" w:ascii="Wingdings" w:hAnsi="Wingdings"/>
      </w:rPr>
    </w:lvl>
    <w:lvl w:ilvl="6" w:tentative="0">
      <w:start w:val="1"/>
      <w:numFmt w:val="bullet"/>
      <w:pStyle w:val="169"/>
      <w:lvlText w:val=""/>
      <w:lvlJc w:val="left"/>
      <w:pPr>
        <w:tabs>
          <w:tab w:val="left" w:pos="3480"/>
        </w:tabs>
        <w:ind w:left="3480" w:hanging="420"/>
      </w:pPr>
      <w:rPr>
        <w:rFonts w:hint="default" w:ascii="Wingdings" w:hAnsi="Wingdings"/>
      </w:rPr>
    </w:lvl>
    <w:lvl w:ilvl="7" w:tentative="0">
      <w:start w:val="1"/>
      <w:numFmt w:val="bullet"/>
      <w:pStyle w:val="168"/>
      <w:lvlText w:val=""/>
      <w:lvlJc w:val="left"/>
      <w:pPr>
        <w:tabs>
          <w:tab w:val="left" w:pos="3900"/>
        </w:tabs>
        <w:ind w:left="3900" w:hanging="420"/>
      </w:pPr>
      <w:rPr>
        <w:rFonts w:hint="default" w:ascii="Wingdings" w:hAnsi="Wingdings"/>
      </w:rPr>
    </w:lvl>
    <w:lvl w:ilvl="8" w:tentative="0">
      <w:start w:val="1"/>
      <w:numFmt w:val="bullet"/>
      <w:lvlText w:val=""/>
      <w:lvlJc w:val="left"/>
      <w:pPr>
        <w:tabs>
          <w:tab w:val="left" w:pos="4320"/>
        </w:tabs>
        <w:ind w:left="4320" w:hanging="420"/>
      </w:pPr>
      <w:rPr>
        <w:rFonts w:hint="default" w:ascii="Wingdings" w:hAnsi="Wingdings"/>
      </w:rPr>
    </w:lvl>
  </w:abstractNum>
  <w:abstractNum w:abstractNumId="4">
    <w:nsid w:val="10C333E1"/>
    <w:multiLevelType w:val="multilevel"/>
    <w:tmpl w:val="10C333E1"/>
    <w:lvl w:ilvl="0" w:tentative="0">
      <w:start w:val="1"/>
      <w:numFmt w:val="decimal"/>
      <w:pStyle w:val="125"/>
      <w:lvlText w:val="%1)"/>
      <w:lvlJc w:val="left"/>
      <w:pPr>
        <w:tabs>
          <w:tab w:val="left" w:pos="1320"/>
        </w:tabs>
        <w:ind w:left="1320" w:hanging="360"/>
      </w:pPr>
    </w:lvl>
    <w:lvl w:ilvl="1" w:tentative="0">
      <w:start w:val="1"/>
      <w:numFmt w:val="lowerLetter"/>
      <w:lvlText w:val="%2."/>
      <w:lvlJc w:val="left"/>
      <w:pPr>
        <w:tabs>
          <w:tab w:val="left" w:pos="2040"/>
        </w:tabs>
        <w:ind w:left="2040" w:hanging="360"/>
      </w:pPr>
    </w:lvl>
    <w:lvl w:ilvl="2" w:tentative="0">
      <w:start w:val="1"/>
      <w:numFmt w:val="lowerRoman"/>
      <w:lvlText w:val="%3."/>
      <w:lvlJc w:val="right"/>
      <w:pPr>
        <w:tabs>
          <w:tab w:val="left" w:pos="2760"/>
        </w:tabs>
        <w:ind w:left="2760" w:hanging="180"/>
      </w:pPr>
    </w:lvl>
    <w:lvl w:ilvl="3" w:tentative="0">
      <w:start w:val="1"/>
      <w:numFmt w:val="decimal"/>
      <w:lvlText w:val="%4."/>
      <w:lvlJc w:val="left"/>
      <w:pPr>
        <w:tabs>
          <w:tab w:val="left" w:pos="3480"/>
        </w:tabs>
        <w:ind w:left="3480" w:hanging="360"/>
      </w:pPr>
    </w:lvl>
    <w:lvl w:ilvl="4" w:tentative="0">
      <w:start w:val="1"/>
      <w:numFmt w:val="lowerLetter"/>
      <w:lvlText w:val="%5."/>
      <w:lvlJc w:val="left"/>
      <w:pPr>
        <w:tabs>
          <w:tab w:val="left" w:pos="4200"/>
        </w:tabs>
        <w:ind w:left="4200" w:hanging="360"/>
      </w:pPr>
    </w:lvl>
    <w:lvl w:ilvl="5" w:tentative="0">
      <w:start w:val="1"/>
      <w:numFmt w:val="lowerRoman"/>
      <w:lvlText w:val="%6."/>
      <w:lvlJc w:val="right"/>
      <w:pPr>
        <w:tabs>
          <w:tab w:val="left" w:pos="4920"/>
        </w:tabs>
        <w:ind w:left="4920" w:hanging="180"/>
      </w:pPr>
    </w:lvl>
    <w:lvl w:ilvl="6" w:tentative="0">
      <w:start w:val="1"/>
      <w:numFmt w:val="decimal"/>
      <w:lvlText w:val="%7."/>
      <w:lvlJc w:val="left"/>
      <w:pPr>
        <w:tabs>
          <w:tab w:val="left" w:pos="5640"/>
        </w:tabs>
        <w:ind w:left="5640" w:hanging="360"/>
      </w:pPr>
    </w:lvl>
    <w:lvl w:ilvl="7" w:tentative="0">
      <w:start w:val="1"/>
      <w:numFmt w:val="lowerLetter"/>
      <w:lvlText w:val="%8."/>
      <w:lvlJc w:val="left"/>
      <w:pPr>
        <w:tabs>
          <w:tab w:val="left" w:pos="6360"/>
        </w:tabs>
        <w:ind w:left="6360" w:hanging="360"/>
      </w:pPr>
    </w:lvl>
    <w:lvl w:ilvl="8" w:tentative="0">
      <w:start w:val="1"/>
      <w:numFmt w:val="lowerRoman"/>
      <w:lvlText w:val="%9."/>
      <w:lvlJc w:val="right"/>
      <w:pPr>
        <w:tabs>
          <w:tab w:val="left" w:pos="7080"/>
        </w:tabs>
        <w:ind w:left="7080" w:hanging="180"/>
      </w:pPr>
    </w:lvl>
  </w:abstractNum>
  <w:abstractNum w:abstractNumId="5">
    <w:nsid w:val="265266A6"/>
    <w:multiLevelType w:val="singleLevel"/>
    <w:tmpl w:val="265266A6"/>
    <w:lvl w:ilvl="0" w:tentative="0">
      <w:start w:val="1"/>
      <w:numFmt w:val="decimal"/>
      <w:lvlText w:val="%1."/>
      <w:lvlJc w:val="left"/>
      <w:pPr>
        <w:ind w:left="705" w:hanging="425"/>
      </w:pPr>
      <w:rPr>
        <w:rFonts w:hint="default"/>
      </w:rPr>
    </w:lvl>
  </w:abstractNum>
  <w:abstractNum w:abstractNumId="6">
    <w:nsid w:val="2C4C231E"/>
    <w:multiLevelType w:val="multilevel"/>
    <w:tmpl w:val="2C4C231E"/>
    <w:lvl w:ilvl="0" w:tentative="0">
      <w:start w:val="1"/>
      <w:numFmt w:val="bullet"/>
      <w:pStyle w:val="127"/>
      <w:lvlText w:val=""/>
      <w:lvlJc w:val="left"/>
      <w:pPr>
        <w:tabs>
          <w:tab w:val="left" w:pos="1320"/>
        </w:tabs>
        <w:ind w:left="1320" w:hanging="360"/>
      </w:pPr>
      <w:rPr>
        <w:rFonts w:hint="default" w:ascii="Wingdings" w:hAnsi="Wingdings"/>
      </w:rPr>
    </w:lvl>
    <w:lvl w:ilvl="1" w:tentative="0">
      <w:start w:val="1"/>
      <w:numFmt w:val="bullet"/>
      <w:lvlText w:val=""/>
      <w:lvlJc w:val="left"/>
      <w:pPr>
        <w:tabs>
          <w:tab w:val="left" w:pos="1800"/>
        </w:tabs>
        <w:ind w:left="1800" w:hanging="420"/>
      </w:pPr>
      <w:rPr>
        <w:rFonts w:hint="default" w:ascii="Wingdings" w:hAnsi="Wingdings"/>
      </w:rPr>
    </w:lvl>
    <w:lvl w:ilvl="2" w:tentative="0">
      <w:start w:val="1"/>
      <w:numFmt w:val="bullet"/>
      <w:lvlText w:val=""/>
      <w:lvlJc w:val="left"/>
      <w:pPr>
        <w:tabs>
          <w:tab w:val="left" w:pos="2220"/>
        </w:tabs>
        <w:ind w:left="2220" w:hanging="420"/>
      </w:pPr>
      <w:rPr>
        <w:rFonts w:hint="default" w:ascii="Wingdings" w:hAnsi="Wingdings"/>
      </w:rPr>
    </w:lvl>
    <w:lvl w:ilvl="3" w:tentative="0">
      <w:start w:val="1"/>
      <w:numFmt w:val="bullet"/>
      <w:lvlText w:val=""/>
      <w:lvlJc w:val="left"/>
      <w:pPr>
        <w:tabs>
          <w:tab w:val="left" w:pos="2640"/>
        </w:tabs>
        <w:ind w:left="2640" w:hanging="420"/>
      </w:pPr>
      <w:rPr>
        <w:rFonts w:hint="default" w:ascii="Wingdings" w:hAnsi="Wingdings"/>
      </w:rPr>
    </w:lvl>
    <w:lvl w:ilvl="4" w:tentative="0">
      <w:start w:val="1"/>
      <w:numFmt w:val="bullet"/>
      <w:lvlText w:val=""/>
      <w:lvlJc w:val="left"/>
      <w:pPr>
        <w:tabs>
          <w:tab w:val="left" w:pos="3060"/>
        </w:tabs>
        <w:ind w:left="3060" w:hanging="420"/>
      </w:pPr>
      <w:rPr>
        <w:rFonts w:hint="default" w:ascii="Wingdings" w:hAnsi="Wingdings"/>
      </w:rPr>
    </w:lvl>
    <w:lvl w:ilvl="5" w:tentative="0">
      <w:start w:val="1"/>
      <w:numFmt w:val="bullet"/>
      <w:lvlText w:val=""/>
      <w:lvlJc w:val="left"/>
      <w:pPr>
        <w:tabs>
          <w:tab w:val="left" w:pos="3480"/>
        </w:tabs>
        <w:ind w:left="3480" w:hanging="420"/>
      </w:pPr>
      <w:rPr>
        <w:rFonts w:hint="default" w:ascii="Wingdings" w:hAnsi="Wingdings"/>
      </w:rPr>
    </w:lvl>
    <w:lvl w:ilvl="6" w:tentative="0">
      <w:start w:val="1"/>
      <w:numFmt w:val="bullet"/>
      <w:lvlText w:val=""/>
      <w:lvlJc w:val="left"/>
      <w:pPr>
        <w:tabs>
          <w:tab w:val="left" w:pos="3900"/>
        </w:tabs>
        <w:ind w:left="3900" w:hanging="420"/>
      </w:pPr>
      <w:rPr>
        <w:rFonts w:hint="default" w:ascii="Wingdings" w:hAnsi="Wingdings"/>
      </w:rPr>
    </w:lvl>
    <w:lvl w:ilvl="7" w:tentative="0">
      <w:start w:val="1"/>
      <w:numFmt w:val="bullet"/>
      <w:lvlText w:val=""/>
      <w:lvlJc w:val="left"/>
      <w:pPr>
        <w:tabs>
          <w:tab w:val="left" w:pos="4320"/>
        </w:tabs>
        <w:ind w:left="4320" w:hanging="420"/>
      </w:pPr>
      <w:rPr>
        <w:rFonts w:hint="default" w:ascii="Wingdings" w:hAnsi="Wingdings"/>
      </w:rPr>
    </w:lvl>
    <w:lvl w:ilvl="8" w:tentative="0">
      <w:start w:val="1"/>
      <w:numFmt w:val="bullet"/>
      <w:lvlText w:val=""/>
      <w:lvlJc w:val="left"/>
      <w:pPr>
        <w:tabs>
          <w:tab w:val="left" w:pos="4740"/>
        </w:tabs>
        <w:ind w:left="4740" w:hanging="420"/>
      </w:pPr>
      <w:rPr>
        <w:rFonts w:hint="default" w:ascii="Wingdings" w:hAnsi="Wingdings"/>
      </w:rPr>
    </w:lvl>
  </w:abstractNum>
  <w:abstractNum w:abstractNumId="7">
    <w:nsid w:val="542F4E91"/>
    <w:multiLevelType w:val="multilevel"/>
    <w:tmpl w:val="542F4E91"/>
    <w:lvl w:ilvl="0" w:tentative="0">
      <w:start w:val="1"/>
      <w:numFmt w:val="decimal"/>
      <w:pStyle w:val="128"/>
      <w:lvlText w:val="%1、"/>
      <w:lvlJc w:val="left"/>
      <w:pPr>
        <w:tabs>
          <w:tab w:val="left" w:pos="960"/>
        </w:tabs>
        <w:ind w:left="96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8">
    <w:nsid w:val="596241FC"/>
    <w:multiLevelType w:val="singleLevel"/>
    <w:tmpl w:val="596241FC"/>
    <w:lvl w:ilvl="0" w:tentative="0">
      <w:start w:val="1"/>
      <w:numFmt w:val="bullet"/>
      <w:lvlText w:val=""/>
      <w:lvlJc w:val="left"/>
      <w:pPr>
        <w:tabs>
          <w:tab w:val="left" w:pos="780"/>
        </w:tabs>
        <w:ind w:left="780" w:hanging="360"/>
      </w:pPr>
      <w:rPr>
        <w:rFonts w:hint="default" w:ascii="Wingdings" w:hAnsi="Wingdings"/>
      </w:rPr>
    </w:lvl>
  </w:abstractNum>
  <w:abstractNum w:abstractNumId="9">
    <w:nsid w:val="6BD879AA"/>
    <w:multiLevelType w:val="multilevel"/>
    <w:tmpl w:val="6BD879AA"/>
    <w:lvl w:ilvl="0" w:tentative="0">
      <w:start w:val="1"/>
      <w:numFmt w:val="bullet"/>
      <w:pStyle w:val="107"/>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0">
    <w:nsid w:val="6E630E07"/>
    <w:multiLevelType w:val="singleLevel"/>
    <w:tmpl w:val="6E630E07"/>
    <w:lvl w:ilvl="0" w:tentative="0">
      <w:start w:val="1"/>
      <w:numFmt w:val="decimal"/>
      <w:lvlText w:val="%1."/>
      <w:lvlJc w:val="left"/>
      <w:pPr>
        <w:ind w:left="705" w:hanging="425"/>
      </w:pPr>
      <w:rPr>
        <w:rFonts w:hint="default"/>
      </w:rPr>
    </w:lvl>
  </w:abstractNum>
  <w:abstractNum w:abstractNumId="11">
    <w:nsid w:val="714C3954"/>
    <w:multiLevelType w:val="multilevel"/>
    <w:tmpl w:val="714C3954"/>
    <w:lvl w:ilvl="0" w:tentative="0">
      <w:start w:val="1"/>
      <w:numFmt w:val="bullet"/>
      <w:pStyle w:val="134"/>
      <w:lvlText w:val=""/>
      <w:lvlJc w:val="left"/>
      <w:pPr>
        <w:tabs>
          <w:tab w:val="left" w:pos="620"/>
        </w:tabs>
        <w:ind w:left="620" w:hanging="420"/>
      </w:pPr>
      <w:rPr>
        <w:rFonts w:hint="default" w:ascii="Wingdings" w:hAnsi="Wingdings"/>
      </w:rPr>
    </w:lvl>
    <w:lvl w:ilvl="1" w:tentative="0">
      <w:start w:val="1"/>
      <w:numFmt w:val="decimal"/>
      <w:lvlText w:val="%2)"/>
      <w:lvlJc w:val="left"/>
      <w:pPr>
        <w:tabs>
          <w:tab w:val="left" w:pos="840"/>
        </w:tabs>
        <w:ind w:left="840" w:hanging="420"/>
      </w:pPr>
      <w:rPr>
        <w:rFonts w:hint="default"/>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792429C9"/>
    <w:multiLevelType w:val="multilevel"/>
    <w:tmpl w:val="792429C9"/>
    <w:lvl w:ilvl="0" w:tentative="0">
      <w:start w:val="1"/>
      <w:numFmt w:val="bullet"/>
      <w:pStyle w:val="174"/>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3">
    <w:nsid w:val="7CC3C27E"/>
    <w:multiLevelType w:val="singleLevel"/>
    <w:tmpl w:val="7CC3C27E"/>
    <w:lvl w:ilvl="0" w:tentative="0">
      <w:start w:val="1"/>
      <w:numFmt w:val="decimal"/>
      <w:pStyle w:val="80"/>
      <w:lvlText w:val="(%1)"/>
      <w:lvlJc w:val="left"/>
      <w:pPr>
        <w:ind w:left="425" w:hanging="425"/>
      </w:pPr>
      <w:rPr>
        <w:rFonts w:hint="default"/>
      </w:rPr>
    </w:lvl>
  </w:abstractNum>
  <w:num w:numId="1">
    <w:abstractNumId w:val="2"/>
  </w:num>
  <w:num w:numId="2">
    <w:abstractNumId w:val="13"/>
  </w:num>
  <w:num w:numId="3">
    <w:abstractNumId w:val="3"/>
  </w:num>
  <w:num w:numId="4">
    <w:abstractNumId w:val="9"/>
  </w:num>
  <w:num w:numId="5">
    <w:abstractNumId w:val="4"/>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8"/>
  </w:num>
  <w:num w:numId="10">
    <w:abstractNumId w:val="12"/>
  </w:num>
  <w:num w:numId="11">
    <w:abstractNumId w:val="1"/>
  </w:num>
  <w:num w:numId="12">
    <w:abstractNumId w:val="10"/>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bordersDoNotSurroundHeader w:val="false"/>
  <w:bordersDoNotSurroundFooter w:val="false"/>
  <w:documentProtection w:enforcement="0"/>
  <w:defaultTabStop w:val="420"/>
  <w:doNotHyphenateCaps/>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 w:name="KSO_WPS_MARK_KEY" w:val="65d34761-4703-4edb-afb2-c85fb610c406"/>
  </w:docVars>
  <w:rsids>
    <w:rsidRoot w:val="00FB57A8"/>
    <w:rsid w:val="00001798"/>
    <w:rsid w:val="00016876"/>
    <w:rsid w:val="0001736B"/>
    <w:rsid w:val="00021FC1"/>
    <w:rsid w:val="0002486F"/>
    <w:rsid w:val="00024CEE"/>
    <w:rsid w:val="00025A58"/>
    <w:rsid w:val="00026E71"/>
    <w:rsid w:val="0003726D"/>
    <w:rsid w:val="00040BF5"/>
    <w:rsid w:val="000474B5"/>
    <w:rsid w:val="000510D7"/>
    <w:rsid w:val="0005402E"/>
    <w:rsid w:val="000546BA"/>
    <w:rsid w:val="000558C5"/>
    <w:rsid w:val="00062A5C"/>
    <w:rsid w:val="0007152B"/>
    <w:rsid w:val="00080901"/>
    <w:rsid w:val="00081C75"/>
    <w:rsid w:val="00086D1E"/>
    <w:rsid w:val="000879C5"/>
    <w:rsid w:val="00092F6E"/>
    <w:rsid w:val="00093985"/>
    <w:rsid w:val="000A0488"/>
    <w:rsid w:val="000A2C3A"/>
    <w:rsid w:val="000A36CD"/>
    <w:rsid w:val="000A4CF3"/>
    <w:rsid w:val="000B64B1"/>
    <w:rsid w:val="000B7895"/>
    <w:rsid w:val="000C48B2"/>
    <w:rsid w:val="000C4AF0"/>
    <w:rsid w:val="000D6A5B"/>
    <w:rsid w:val="000E241B"/>
    <w:rsid w:val="000E3875"/>
    <w:rsid w:val="000F58E9"/>
    <w:rsid w:val="0010660B"/>
    <w:rsid w:val="00110EF5"/>
    <w:rsid w:val="00111562"/>
    <w:rsid w:val="00113CDB"/>
    <w:rsid w:val="00114E5F"/>
    <w:rsid w:val="00116B6D"/>
    <w:rsid w:val="001218FB"/>
    <w:rsid w:val="001246E6"/>
    <w:rsid w:val="00125173"/>
    <w:rsid w:val="00125795"/>
    <w:rsid w:val="00126B92"/>
    <w:rsid w:val="00126CCF"/>
    <w:rsid w:val="0013074D"/>
    <w:rsid w:val="001323DD"/>
    <w:rsid w:val="00132EDB"/>
    <w:rsid w:val="001429D5"/>
    <w:rsid w:val="00151283"/>
    <w:rsid w:val="001577F6"/>
    <w:rsid w:val="00160ADB"/>
    <w:rsid w:val="00162612"/>
    <w:rsid w:val="00163753"/>
    <w:rsid w:val="00163B4B"/>
    <w:rsid w:val="00171B43"/>
    <w:rsid w:val="00172281"/>
    <w:rsid w:val="001776DD"/>
    <w:rsid w:val="00181F44"/>
    <w:rsid w:val="00183531"/>
    <w:rsid w:val="00184AEA"/>
    <w:rsid w:val="0019177E"/>
    <w:rsid w:val="001924F9"/>
    <w:rsid w:val="00194A5D"/>
    <w:rsid w:val="001A0B0F"/>
    <w:rsid w:val="001A251D"/>
    <w:rsid w:val="001A72E4"/>
    <w:rsid w:val="001D1598"/>
    <w:rsid w:val="001D159B"/>
    <w:rsid w:val="001D1741"/>
    <w:rsid w:val="001D2D02"/>
    <w:rsid w:val="001D2FE5"/>
    <w:rsid w:val="001D467C"/>
    <w:rsid w:val="001D7518"/>
    <w:rsid w:val="001E7463"/>
    <w:rsid w:val="001F7B91"/>
    <w:rsid w:val="002011EF"/>
    <w:rsid w:val="00203746"/>
    <w:rsid w:val="002066FD"/>
    <w:rsid w:val="00210FFA"/>
    <w:rsid w:val="00212441"/>
    <w:rsid w:val="00214040"/>
    <w:rsid w:val="002154C8"/>
    <w:rsid w:val="00220671"/>
    <w:rsid w:val="002226BB"/>
    <w:rsid w:val="002226DE"/>
    <w:rsid w:val="0022591E"/>
    <w:rsid w:val="00226060"/>
    <w:rsid w:val="002323A8"/>
    <w:rsid w:val="002327F0"/>
    <w:rsid w:val="0023643E"/>
    <w:rsid w:val="00243580"/>
    <w:rsid w:val="00245F5D"/>
    <w:rsid w:val="00250FA2"/>
    <w:rsid w:val="0025751D"/>
    <w:rsid w:val="00271D6C"/>
    <w:rsid w:val="00273141"/>
    <w:rsid w:val="00274068"/>
    <w:rsid w:val="002918A5"/>
    <w:rsid w:val="0029442F"/>
    <w:rsid w:val="00294875"/>
    <w:rsid w:val="002A148D"/>
    <w:rsid w:val="002A466F"/>
    <w:rsid w:val="002B2538"/>
    <w:rsid w:val="002B6B2D"/>
    <w:rsid w:val="002D1BE9"/>
    <w:rsid w:val="002D3FA5"/>
    <w:rsid w:val="002D40B2"/>
    <w:rsid w:val="002E01C1"/>
    <w:rsid w:val="002E12A4"/>
    <w:rsid w:val="002E4F3C"/>
    <w:rsid w:val="002E5B01"/>
    <w:rsid w:val="002F6768"/>
    <w:rsid w:val="0030092A"/>
    <w:rsid w:val="00303226"/>
    <w:rsid w:val="0030554C"/>
    <w:rsid w:val="00324AB4"/>
    <w:rsid w:val="00325E67"/>
    <w:rsid w:val="003277F3"/>
    <w:rsid w:val="003364B2"/>
    <w:rsid w:val="00337553"/>
    <w:rsid w:val="00341160"/>
    <w:rsid w:val="0034134A"/>
    <w:rsid w:val="003566FD"/>
    <w:rsid w:val="00361162"/>
    <w:rsid w:val="00363AC0"/>
    <w:rsid w:val="00364976"/>
    <w:rsid w:val="00366544"/>
    <w:rsid w:val="00373E26"/>
    <w:rsid w:val="00376314"/>
    <w:rsid w:val="00376504"/>
    <w:rsid w:val="00376A86"/>
    <w:rsid w:val="00382792"/>
    <w:rsid w:val="00383AC2"/>
    <w:rsid w:val="00384197"/>
    <w:rsid w:val="00385461"/>
    <w:rsid w:val="00392CF1"/>
    <w:rsid w:val="00392F2B"/>
    <w:rsid w:val="00396F49"/>
    <w:rsid w:val="003A446A"/>
    <w:rsid w:val="003B017A"/>
    <w:rsid w:val="003B7611"/>
    <w:rsid w:val="003C0FC3"/>
    <w:rsid w:val="003C188D"/>
    <w:rsid w:val="003C354C"/>
    <w:rsid w:val="003C5B9C"/>
    <w:rsid w:val="003D18B0"/>
    <w:rsid w:val="003D45F9"/>
    <w:rsid w:val="003D666A"/>
    <w:rsid w:val="003D71EF"/>
    <w:rsid w:val="003E56AD"/>
    <w:rsid w:val="003E74C1"/>
    <w:rsid w:val="004061BB"/>
    <w:rsid w:val="004110B1"/>
    <w:rsid w:val="004334C2"/>
    <w:rsid w:val="00433729"/>
    <w:rsid w:val="00433894"/>
    <w:rsid w:val="004435DB"/>
    <w:rsid w:val="004513BC"/>
    <w:rsid w:val="004516D9"/>
    <w:rsid w:val="0045417B"/>
    <w:rsid w:val="00455EF5"/>
    <w:rsid w:val="00455FF4"/>
    <w:rsid w:val="00457656"/>
    <w:rsid w:val="00460416"/>
    <w:rsid w:val="0046416C"/>
    <w:rsid w:val="004647C3"/>
    <w:rsid w:val="0046652B"/>
    <w:rsid w:val="00470351"/>
    <w:rsid w:val="00472E67"/>
    <w:rsid w:val="0047655C"/>
    <w:rsid w:val="00486369"/>
    <w:rsid w:val="0049057F"/>
    <w:rsid w:val="004924E6"/>
    <w:rsid w:val="00492D57"/>
    <w:rsid w:val="00493D98"/>
    <w:rsid w:val="004944E7"/>
    <w:rsid w:val="004947B6"/>
    <w:rsid w:val="00497EE0"/>
    <w:rsid w:val="004A215E"/>
    <w:rsid w:val="004A7ABE"/>
    <w:rsid w:val="004B0730"/>
    <w:rsid w:val="004B1889"/>
    <w:rsid w:val="004B31D3"/>
    <w:rsid w:val="004B626E"/>
    <w:rsid w:val="004B733D"/>
    <w:rsid w:val="004B7AB8"/>
    <w:rsid w:val="004C47E7"/>
    <w:rsid w:val="004D15A5"/>
    <w:rsid w:val="004D1C16"/>
    <w:rsid w:val="004D319A"/>
    <w:rsid w:val="004D54DD"/>
    <w:rsid w:val="004D5FEC"/>
    <w:rsid w:val="004D687B"/>
    <w:rsid w:val="004E0A75"/>
    <w:rsid w:val="004E3C50"/>
    <w:rsid w:val="004E3CEF"/>
    <w:rsid w:val="004E53F2"/>
    <w:rsid w:val="004E60E9"/>
    <w:rsid w:val="004E6E8D"/>
    <w:rsid w:val="004F1679"/>
    <w:rsid w:val="004F33EB"/>
    <w:rsid w:val="004F621C"/>
    <w:rsid w:val="004F6277"/>
    <w:rsid w:val="005021D9"/>
    <w:rsid w:val="005063B0"/>
    <w:rsid w:val="00511B6B"/>
    <w:rsid w:val="005130C8"/>
    <w:rsid w:val="00513157"/>
    <w:rsid w:val="00514BD2"/>
    <w:rsid w:val="00514C0F"/>
    <w:rsid w:val="00521466"/>
    <w:rsid w:val="00521DB9"/>
    <w:rsid w:val="0052470B"/>
    <w:rsid w:val="00524FD9"/>
    <w:rsid w:val="005253EB"/>
    <w:rsid w:val="005256C9"/>
    <w:rsid w:val="0053097C"/>
    <w:rsid w:val="00531008"/>
    <w:rsid w:val="005333B2"/>
    <w:rsid w:val="0053679F"/>
    <w:rsid w:val="005413C5"/>
    <w:rsid w:val="00545E2C"/>
    <w:rsid w:val="00547A8A"/>
    <w:rsid w:val="00552B13"/>
    <w:rsid w:val="00562731"/>
    <w:rsid w:val="0056312D"/>
    <w:rsid w:val="00563466"/>
    <w:rsid w:val="0056415C"/>
    <w:rsid w:val="005832D9"/>
    <w:rsid w:val="0058797E"/>
    <w:rsid w:val="005A1A4C"/>
    <w:rsid w:val="005B557F"/>
    <w:rsid w:val="005C0BB5"/>
    <w:rsid w:val="005C7733"/>
    <w:rsid w:val="005D0AEE"/>
    <w:rsid w:val="005D1417"/>
    <w:rsid w:val="005D188C"/>
    <w:rsid w:val="005E2253"/>
    <w:rsid w:val="005E79AE"/>
    <w:rsid w:val="005F79DA"/>
    <w:rsid w:val="005F7B99"/>
    <w:rsid w:val="006017C5"/>
    <w:rsid w:val="00601A36"/>
    <w:rsid w:val="00605A10"/>
    <w:rsid w:val="00610934"/>
    <w:rsid w:val="00622956"/>
    <w:rsid w:val="00622D5C"/>
    <w:rsid w:val="00630790"/>
    <w:rsid w:val="006308D4"/>
    <w:rsid w:val="006441CF"/>
    <w:rsid w:val="00644619"/>
    <w:rsid w:val="00650408"/>
    <w:rsid w:val="006708AB"/>
    <w:rsid w:val="0067092D"/>
    <w:rsid w:val="00672A1D"/>
    <w:rsid w:val="006737D6"/>
    <w:rsid w:val="006737EC"/>
    <w:rsid w:val="006878A0"/>
    <w:rsid w:val="00696C28"/>
    <w:rsid w:val="00697575"/>
    <w:rsid w:val="006A7673"/>
    <w:rsid w:val="006B2011"/>
    <w:rsid w:val="006B4C08"/>
    <w:rsid w:val="006C4FED"/>
    <w:rsid w:val="006D788E"/>
    <w:rsid w:val="006E0A34"/>
    <w:rsid w:val="006E6F23"/>
    <w:rsid w:val="006F5C1B"/>
    <w:rsid w:val="006F79A0"/>
    <w:rsid w:val="006F7F85"/>
    <w:rsid w:val="00700459"/>
    <w:rsid w:val="00705000"/>
    <w:rsid w:val="007108B9"/>
    <w:rsid w:val="00710A59"/>
    <w:rsid w:val="0071290D"/>
    <w:rsid w:val="00714441"/>
    <w:rsid w:val="00714EC0"/>
    <w:rsid w:val="007156ED"/>
    <w:rsid w:val="00741997"/>
    <w:rsid w:val="007442C1"/>
    <w:rsid w:val="007444DC"/>
    <w:rsid w:val="00745C25"/>
    <w:rsid w:val="00754514"/>
    <w:rsid w:val="007642CC"/>
    <w:rsid w:val="00765E9C"/>
    <w:rsid w:val="007712F5"/>
    <w:rsid w:val="00772C61"/>
    <w:rsid w:val="007755DE"/>
    <w:rsid w:val="00775635"/>
    <w:rsid w:val="00775D14"/>
    <w:rsid w:val="00777E54"/>
    <w:rsid w:val="00781191"/>
    <w:rsid w:val="00785298"/>
    <w:rsid w:val="0079197A"/>
    <w:rsid w:val="007A262D"/>
    <w:rsid w:val="007A7A2E"/>
    <w:rsid w:val="007B0E83"/>
    <w:rsid w:val="007B639B"/>
    <w:rsid w:val="007B651F"/>
    <w:rsid w:val="007C0120"/>
    <w:rsid w:val="007C0A9E"/>
    <w:rsid w:val="007C0E4C"/>
    <w:rsid w:val="007C3D3A"/>
    <w:rsid w:val="007C4A5C"/>
    <w:rsid w:val="007D32FE"/>
    <w:rsid w:val="007E15AA"/>
    <w:rsid w:val="007E241E"/>
    <w:rsid w:val="007E40EC"/>
    <w:rsid w:val="007F0A5B"/>
    <w:rsid w:val="007F2AA9"/>
    <w:rsid w:val="00805EF3"/>
    <w:rsid w:val="008065F7"/>
    <w:rsid w:val="00811E3B"/>
    <w:rsid w:val="008123D3"/>
    <w:rsid w:val="00812CAE"/>
    <w:rsid w:val="00813ECD"/>
    <w:rsid w:val="00815F56"/>
    <w:rsid w:val="00820E42"/>
    <w:rsid w:val="008239EF"/>
    <w:rsid w:val="00832010"/>
    <w:rsid w:val="00835765"/>
    <w:rsid w:val="00835A10"/>
    <w:rsid w:val="00843F62"/>
    <w:rsid w:val="008453F0"/>
    <w:rsid w:val="00851ABF"/>
    <w:rsid w:val="008520BD"/>
    <w:rsid w:val="008733C2"/>
    <w:rsid w:val="00876243"/>
    <w:rsid w:val="00882138"/>
    <w:rsid w:val="00882B0C"/>
    <w:rsid w:val="00887FE8"/>
    <w:rsid w:val="008909DB"/>
    <w:rsid w:val="0089380A"/>
    <w:rsid w:val="008A04A0"/>
    <w:rsid w:val="008A07F4"/>
    <w:rsid w:val="008B6BBE"/>
    <w:rsid w:val="008C44D3"/>
    <w:rsid w:val="008C6080"/>
    <w:rsid w:val="008D037C"/>
    <w:rsid w:val="008D0789"/>
    <w:rsid w:val="008D7E69"/>
    <w:rsid w:val="008E4E79"/>
    <w:rsid w:val="008F1AE4"/>
    <w:rsid w:val="008F1D7B"/>
    <w:rsid w:val="008F69D6"/>
    <w:rsid w:val="0090071B"/>
    <w:rsid w:val="00902460"/>
    <w:rsid w:val="009055EE"/>
    <w:rsid w:val="0090588C"/>
    <w:rsid w:val="00907474"/>
    <w:rsid w:val="00907BD7"/>
    <w:rsid w:val="009212F4"/>
    <w:rsid w:val="0092281A"/>
    <w:rsid w:val="009263A3"/>
    <w:rsid w:val="00927E69"/>
    <w:rsid w:val="009330D4"/>
    <w:rsid w:val="00945F36"/>
    <w:rsid w:val="00951CE1"/>
    <w:rsid w:val="009563FE"/>
    <w:rsid w:val="0096782F"/>
    <w:rsid w:val="0097322B"/>
    <w:rsid w:val="00974223"/>
    <w:rsid w:val="0097597C"/>
    <w:rsid w:val="0098077F"/>
    <w:rsid w:val="00983726"/>
    <w:rsid w:val="0098773A"/>
    <w:rsid w:val="00996C10"/>
    <w:rsid w:val="009A0A66"/>
    <w:rsid w:val="009A0D93"/>
    <w:rsid w:val="009A20B9"/>
    <w:rsid w:val="009A2424"/>
    <w:rsid w:val="009A2D75"/>
    <w:rsid w:val="009A4B56"/>
    <w:rsid w:val="009A54A3"/>
    <w:rsid w:val="009A60BF"/>
    <w:rsid w:val="009B312D"/>
    <w:rsid w:val="009B3548"/>
    <w:rsid w:val="009C5BD9"/>
    <w:rsid w:val="009D5B12"/>
    <w:rsid w:val="009D70CF"/>
    <w:rsid w:val="009D7594"/>
    <w:rsid w:val="009E3608"/>
    <w:rsid w:val="009E6E15"/>
    <w:rsid w:val="009F4259"/>
    <w:rsid w:val="009F49AD"/>
    <w:rsid w:val="009F542B"/>
    <w:rsid w:val="00A003B9"/>
    <w:rsid w:val="00A02A5D"/>
    <w:rsid w:val="00A061CF"/>
    <w:rsid w:val="00A06FBD"/>
    <w:rsid w:val="00A12041"/>
    <w:rsid w:val="00A204AC"/>
    <w:rsid w:val="00A21748"/>
    <w:rsid w:val="00A21C6C"/>
    <w:rsid w:val="00A322C2"/>
    <w:rsid w:val="00A35C70"/>
    <w:rsid w:val="00A37372"/>
    <w:rsid w:val="00A45339"/>
    <w:rsid w:val="00A661FC"/>
    <w:rsid w:val="00A67BE5"/>
    <w:rsid w:val="00A7298C"/>
    <w:rsid w:val="00A777DB"/>
    <w:rsid w:val="00A85547"/>
    <w:rsid w:val="00A94B47"/>
    <w:rsid w:val="00A950ED"/>
    <w:rsid w:val="00A96C2A"/>
    <w:rsid w:val="00AA4A2E"/>
    <w:rsid w:val="00AA7F65"/>
    <w:rsid w:val="00AB71ED"/>
    <w:rsid w:val="00AC0A36"/>
    <w:rsid w:val="00AC0E7D"/>
    <w:rsid w:val="00AC2677"/>
    <w:rsid w:val="00AC291E"/>
    <w:rsid w:val="00AC3F7C"/>
    <w:rsid w:val="00AC7523"/>
    <w:rsid w:val="00AD285B"/>
    <w:rsid w:val="00AD2995"/>
    <w:rsid w:val="00AD46DC"/>
    <w:rsid w:val="00AE043C"/>
    <w:rsid w:val="00AE29B8"/>
    <w:rsid w:val="00AE474C"/>
    <w:rsid w:val="00AF6153"/>
    <w:rsid w:val="00AF6F6B"/>
    <w:rsid w:val="00AF72AC"/>
    <w:rsid w:val="00B01656"/>
    <w:rsid w:val="00B0208E"/>
    <w:rsid w:val="00B04820"/>
    <w:rsid w:val="00B060BF"/>
    <w:rsid w:val="00B07843"/>
    <w:rsid w:val="00B1029C"/>
    <w:rsid w:val="00B150DE"/>
    <w:rsid w:val="00B22152"/>
    <w:rsid w:val="00B22833"/>
    <w:rsid w:val="00B265AA"/>
    <w:rsid w:val="00B27BC8"/>
    <w:rsid w:val="00B32A0D"/>
    <w:rsid w:val="00B35E34"/>
    <w:rsid w:val="00B413F0"/>
    <w:rsid w:val="00B438CD"/>
    <w:rsid w:val="00B439E3"/>
    <w:rsid w:val="00B50A07"/>
    <w:rsid w:val="00B550B1"/>
    <w:rsid w:val="00B56084"/>
    <w:rsid w:val="00B56D32"/>
    <w:rsid w:val="00B62846"/>
    <w:rsid w:val="00B658FD"/>
    <w:rsid w:val="00B659B4"/>
    <w:rsid w:val="00B66476"/>
    <w:rsid w:val="00B66B1B"/>
    <w:rsid w:val="00B77D7F"/>
    <w:rsid w:val="00B812C8"/>
    <w:rsid w:val="00B83F90"/>
    <w:rsid w:val="00B859FD"/>
    <w:rsid w:val="00B96BEF"/>
    <w:rsid w:val="00B974F6"/>
    <w:rsid w:val="00BA131F"/>
    <w:rsid w:val="00BA355D"/>
    <w:rsid w:val="00BA38AB"/>
    <w:rsid w:val="00BA586F"/>
    <w:rsid w:val="00BB521D"/>
    <w:rsid w:val="00BC0E91"/>
    <w:rsid w:val="00BC1627"/>
    <w:rsid w:val="00BC29E9"/>
    <w:rsid w:val="00BC6AE1"/>
    <w:rsid w:val="00BD44A5"/>
    <w:rsid w:val="00BD5738"/>
    <w:rsid w:val="00BD6C8D"/>
    <w:rsid w:val="00BD739C"/>
    <w:rsid w:val="00BE0815"/>
    <w:rsid w:val="00BE1848"/>
    <w:rsid w:val="00BE7EC9"/>
    <w:rsid w:val="00BF14FD"/>
    <w:rsid w:val="00BF1B13"/>
    <w:rsid w:val="00BF32D7"/>
    <w:rsid w:val="00BF3B5E"/>
    <w:rsid w:val="00BF7CB2"/>
    <w:rsid w:val="00C02CC0"/>
    <w:rsid w:val="00C03B9F"/>
    <w:rsid w:val="00C05ABD"/>
    <w:rsid w:val="00C113A7"/>
    <w:rsid w:val="00C1327B"/>
    <w:rsid w:val="00C16152"/>
    <w:rsid w:val="00C20BD7"/>
    <w:rsid w:val="00C23C4F"/>
    <w:rsid w:val="00C244EF"/>
    <w:rsid w:val="00C26617"/>
    <w:rsid w:val="00C2674E"/>
    <w:rsid w:val="00C27C43"/>
    <w:rsid w:val="00C37971"/>
    <w:rsid w:val="00C430CF"/>
    <w:rsid w:val="00C51127"/>
    <w:rsid w:val="00C52F45"/>
    <w:rsid w:val="00C54DCD"/>
    <w:rsid w:val="00C563D0"/>
    <w:rsid w:val="00C6262F"/>
    <w:rsid w:val="00C628AF"/>
    <w:rsid w:val="00C723C0"/>
    <w:rsid w:val="00C72743"/>
    <w:rsid w:val="00C80540"/>
    <w:rsid w:val="00C81625"/>
    <w:rsid w:val="00C8167B"/>
    <w:rsid w:val="00C8361A"/>
    <w:rsid w:val="00C90B87"/>
    <w:rsid w:val="00C90C4F"/>
    <w:rsid w:val="00C92215"/>
    <w:rsid w:val="00C92293"/>
    <w:rsid w:val="00C924A3"/>
    <w:rsid w:val="00C938F1"/>
    <w:rsid w:val="00C94143"/>
    <w:rsid w:val="00C94A77"/>
    <w:rsid w:val="00C94E9F"/>
    <w:rsid w:val="00C956A3"/>
    <w:rsid w:val="00C9671D"/>
    <w:rsid w:val="00CA1C85"/>
    <w:rsid w:val="00CB3A07"/>
    <w:rsid w:val="00CB40CB"/>
    <w:rsid w:val="00CC1B24"/>
    <w:rsid w:val="00CD2D38"/>
    <w:rsid w:val="00CD588F"/>
    <w:rsid w:val="00CD6FAB"/>
    <w:rsid w:val="00CE0DD6"/>
    <w:rsid w:val="00CE157C"/>
    <w:rsid w:val="00CE1A50"/>
    <w:rsid w:val="00CE283F"/>
    <w:rsid w:val="00CF53EA"/>
    <w:rsid w:val="00CF5A8C"/>
    <w:rsid w:val="00D00348"/>
    <w:rsid w:val="00D0256F"/>
    <w:rsid w:val="00D03359"/>
    <w:rsid w:val="00D05F95"/>
    <w:rsid w:val="00D13DE8"/>
    <w:rsid w:val="00D140D6"/>
    <w:rsid w:val="00D21D83"/>
    <w:rsid w:val="00D22575"/>
    <w:rsid w:val="00D2445F"/>
    <w:rsid w:val="00D255F9"/>
    <w:rsid w:val="00D41C4B"/>
    <w:rsid w:val="00D43688"/>
    <w:rsid w:val="00D448B0"/>
    <w:rsid w:val="00D47A2C"/>
    <w:rsid w:val="00D57600"/>
    <w:rsid w:val="00D66717"/>
    <w:rsid w:val="00D70528"/>
    <w:rsid w:val="00D70EE1"/>
    <w:rsid w:val="00D71D6F"/>
    <w:rsid w:val="00D770AF"/>
    <w:rsid w:val="00D80782"/>
    <w:rsid w:val="00D830E3"/>
    <w:rsid w:val="00D85A3B"/>
    <w:rsid w:val="00D85FC5"/>
    <w:rsid w:val="00D91CAB"/>
    <w:rsid w:val="00D94E2E"/>
    <w:rsid w:val="00DA1135"/>
    <w:rsid w:val="00DA24DA"/>
    <w:rsid w:val="00DA2CA9"/>
    <w:rsid w:val="00DA41F8"/>
    <w:rsid w:val="00DB3DC2"/>
    <w:rsid w:val="00DB4203"/>
    <w:rsid w:val="00DB7CAD"/>
    <w:rsid w:val="00DC0A42"/>
    <w:rsid w:val="00DC3351"/>
    <w:rsid w:val="00DC3B79"/>
    <w:rsid w:val="00DC6C64"/>
    <w:rsid w:val="00DD7BDE"/>
    <w:rsid w:val="00DE30C6"/>
    <w:rsid w:val="00DE38C4"/>
    <w:rsid w:val="00DE6A8D"/>
    <w:rsid w:val="00DF2D33"/>
    <w:rsid w:val="00E03B48"/>
    <w:rsid w:val="00E07A46"/>
    <w:rsid w:val="00E1191E"/>
    <w:rsid w:val="00E1192A"/>
    <w:rsid w:val="00E14927"/>
    <w:rsid w:val="00E24CDA"/>
    <w:rsid w:val="00E33440"/>
    <w:rsid w:val="00E400A0"/>
    <w:rsid w:val="00E4047C"/>
    <w:rsid w:val="00E44A81"/>
    <w:rsid w:val="00E53293"/>
    <w:rsid w:val="00E635AE"/>
    <w:rsid w:val="00E662F3"/>
    <w:rsid w:val="00E74361"/>
    <w:rsid w:val="00E76D17"/>
    <w:rsid w:val="00E76FD8"/>
    <w:rsid w:val="00E813E5"/>
    <w:rsid w:val="00E83C00"/>
    <w:rsid w:val="00E90C46"/>
    <w:rsid w:val="00E90CFF"/>
    <w:rsid w:val="00EB17E2"/>
    <w:rsid w:val="00EB46D8"/>
    <w:rsid w:val="00EB52D8"/>
    <w:rsid w:val="00EB5439"/>
    <w:rsid w:val="00EB6EF8"/>
    <w:rsid w:val="00EC0BFF"/>
    <w:rsid w:val="00EC2E78"/>
    <w:rsid w:val="00EC6E31"/>
    <w:rsid w:val="00ED2AC4"/>
    <w:rsid w:val="00ED2E35"/>
    <w:rsid w:val="00ED36E0"/>
    <w:rsid w:val="00EF1BFC"/>
    <w:rsid w:val="00EF3E51"/>
    <w:rsid w:val="00F01790"/>
    <w:rsid w:val="00F01B7C"/>
    <w:rsid w:val="00F02A6D"/>
    <w:rsid w:val="00F03B3E"/>
    <w:rsid w:val="00F10618"/>
    <w:rsid w:val="00F1372D"/>
    <w:rsid w:val="00F1493F"/>
    <w:rsid w:val="00F15525"/>
    <w:rsid w:val="00F16F19"/>
    <w:rsid w:val="00F171DC"/>
    <w:rsid w:val="00F24DC8"/>
    <w:rsid w:val="00F27CB5"/>
    <w:rsid w:val="00F30728"/>
    <w:rsid w:val="00F35D46"/>
    <w:rsid w:val="00F518BD"/>
    <w:rsid w:val="00F56416"/>
    <w:rsid w:val="00F60595"/>
    <w:rsid w:val="00F661D6"/>
    <w:rsid w:val="00F7423C"/>
    <w:rsid w:val="00F76B9B"/>
    <w:rsid w:val="00F817EE"/>
    <w:rsid w:val="00F85500"/>
    <w:rsid w:val="00F86F06"/>
    <w:rsid w:val="00F90562"/>
    <w:rsid w:val="00FA4F38"/>
    <w:rsid w:val="00FB094F"/>
    <w:rsid w:val="00FB1838"/>
    <w:rsid w:val="00FB57A8"/>
    <w:rsid w:val="00FD06D4"/>
    <w:rsid w:val="00FD4D71"/>
    <w:rsid w:val="00FE756B"/>
    <w:rsid w:val="00FF4CF5"/>
    <w:rsid w:val="00FF52D0"/>
    <w:rsid w:val="00FF7A69"/>
    <w:rsid w:val="012834D7"/>
    <w:rsid w:val="02F247CC"/>
    <w:rsid w:val="02F82CD6"/>
    <w:rsid w:val="059C28C2"/>
    <w:rsid w:val="06120DFE"/>
    <w:rsid w:val="06277B8D"/>
    <w:rsid w:val="07046D8D"/>
    <w:rsid w:val="07D91D17"/>
    <w:rsid w:val="086C25CA"/>
    <w:rsid w:val="097D102A"/>
    <w:rsid w:val="0A83110A"/>
    <w:rsid w:val="0AF65C36"/>
    <w:rsid w:val="0C136F47"/>
    <w:rsid w:val="0C9A7567"/>
    <w:rsid w:val="0D1234C3"/>
    <w:rsid w:val="0D3B0FD3"/>
    <w:rsid w:val="0D3B617E"/>
    <w:rsid w:val="0DB02A44"/>
    <w:rsid w:val="0E721692"/>
    <w:rsid w:val="0EF326FF"/>
    <w:rsid w:val="106D0892"/>
    <w:rsid w:val="10A95343"/>
    <w:rsid w:val="112C1318"/>
    <w:rsid w:val="12561F98"/>
    <w:rsid w:val="12922832"/>
    <w:rsid w:val="12EEE453"/>
    <w:rsid w:val="13CE202A"/>
    <w:rsid w:val="13FE2D9A"/>
    <w:rsid w:val="14407F41"/>
    <w:rsid w:val="14787805"/>
    <w:rsid w:val="16684294"/>
    <w:rsid w:val="18E9004D"/>
    <w:rsid w:val="191A21F7"/>
    <w:rsid w:val="19AD2BD7"/>
    <w:rsid w:val="1B645938"/>
    <w:rsid w:val="1B9029AD"/>
    <w:rsid w:val="1BC94F36"/>
    <w:rsid w:val="1C1E0317"/>
    <w:rsid w:val="1C6F6E69"/>
    <w:rsid w:val="1DF77F22"/>
    <w:rsid w:val="1F054BC7"/>
    <w:rsid w:val="1F8FCE67"/>
    <w:rsid w:val="1FA871F6"/>
    <w:rsid w:val="1FBF65AD"/>
    <w:rsid w:val="1FF06BC1"/>
    <w:rsid w:val="21F5284F"/>
    <w:rsid w:val="221C75C0"/>
    <w:rsid w:val="23303F4C"/>
    <w:rsid w:val="238503D1"/>
    <w:rsid w:val="23AA0A62"/>
    <w:rsid w:val="24DE624F"/>
    <w:rsid w:val="25FC0296"/>
    <w:rsid w:val="26B904C9"/>
    <w:rsid w:val="2713192D"/>
    <w:rsid w:val="27142199"/>
    <w:rsid w:val="276C4AAF"/>
    <w:rsid w:val="27BA3B0B"/>
    <w:rsid w:val="27DF78FF"/>
    <w:rsid w:val="28BC6805"/>
    <w:rsid w:val="2A691145"/>
    <w:rsid w:val="2A96425F"/>
    <w:rsid w:val="2AE67BEE"/>
    <w:rsid w:val="2B0B06B2"/>
    <w:rsid w:val="2B6B5732"/>
    <w:rsid w:val="2B8A6344"/>
    <w:rsid w:val="2C1F704C"/>
    <w:rsid w:val="2E0B5CB0"/>
    <w:rsid w:val="2E8203DE"/>
    <w:rsid w:val="2EB726C1"/>
    <w:rsid w:val="300E30A0"/>
    <w:rsid w:val="31752AE6"/>
    <w:rsid w:val="319A6F43"/>
    <w:rsid w:val="3319445B"/>
    <w:rsid w:val="334330FE"/>
    <w:rsid w:val="337323F4"/>
    <w:rsid w:val="34046FB6"/>
    <w:rsid w:val="35B53E09"/>
    <w:rsid w:val="35CF47BC"/>
    <w:rsid w:val="35DF542A"/>
    <w:rsid w:val="35E0728C"/>
    <w:rsid w:val="35FFB449"/>
    <w:rsid w:val="36066B48"/>
    <w:rsid w:val="36661B2B"/>
    <w:rsid w:val="36EE269E"/>
    <w:rsid w:val="377063EE"/>
    <w:rsid w:val="37B07132"/>
    <w:rsid w:val="37E1104B"/>
    <w:rsid w:val="383F2347"/>
    <w:rsid w:val="384C70A8"/>
    <w:rsid w:val="38AE2BA2"/>
    <w:rsid w:val="38C20ECB"/>
    <w:rsid w:val="390C56EB"/>
    <w:rsid w:val="391B1D28"/>
    <w:rsid w:val="396C0E37"/>
    <w:rsid w:val="39BF81C0"/>
    <w:rsid w:val="39C207BA"/>
    <w:rsid w:val="39F67D7E"/>
    <w:rsid w:val="3A7D3F97"/>
    <w:rsid w:val="3AF408AE"/>
    <w:rsid w:val="3C0768E7"/>
    <w:rsid w:val="3CA66A13"/>
    <w:rsid w:val="3CB545CD"/>
    <w:rsid w:val="3D663711"/>
    <w:rsid w:val="3EAE61C6"/>
    <w:rsid w:val="3EC24374"/>
    <w:rsid w:val="3F3814E8"/>
    <w:rsid w:val="3F75DFE2"/>
    <w:rsid w:val="3FAF465E"/>
    <w:rsid w:val="40155096"/>
    <w:rsid w:val="402041B5"/>
    <w:rsid w:val="40A610D2"/>
    <w:rsid w:val="410118CC"/>
    <w:rsid w:val="410D2467"/>
    <w:rsid w:val="425A3F23"/>
    <w:rsid w:val="43811983"/>
    <w:rsid w:val="43887DD3"/>
    <w:rsid w:val="446A33C9"/>
    <w:rsid w:val="44E328F5"/>
    <w:rsid w:val="46663026"/>
    <w:rsid w:val="480C42AF"/>
    <w:rsid w:val="48324842"/>
    <w:rsid w:val="48921B71"/>
    <w:rsid w:val="492C046E"/>
    <w:rsid w:val="496F35AE"/>
    <w:rsid w:val="49DF11B1"/>
    <w:rsid w:val="4A880A40"/>
    <w:rsid w:val="4C1441C4"/>
    <w:rsid w:val="4CC527A0"/>
    <w:rsid w:val="4CFA1D1B"/>
    <w:rsid w:val="4D31461A"/>
    <w:rsid w:val="4DB06571"/>
    <w:rsid w:val="4DE80F7C"/>
    <w:rsid w:val="4DF01093"/>
    <w:rsid w:val="4EE81CE9"/>
    <w:rsid w:val="4F7F6C87"/>
    <w:rsid w:val="501B74FB"/>
    <w:rsid w:val="50B213CE"/>
    <w:rsid w:val="50C218CF"/>
    <w:rsid w:val="50F66B94"/>
    <w:rsid w:val="5221349E"/>
    <w:rsid w:val="52455CFF"/>
    <w:rsid w:val="534837A7"/>
    <w:rsid w:val="54091C4C"/>
    <w:rsid w:val="54754922"/>
    <w:rsid w:val="54D6283F"/>
    <w:rsid w:val="5508395D"/>
    <w:rsid w:val="55233006"/>
    <w:rsid w:val="557D61BB"/>
    <w:rsid w:val="55F434A9"/>
    <w:rsid w:val="57F33423"/>
    <w:rsid w:val="57FC042D"/>
    <w:rsid w:val="58DA0434"/>
    <w:rsid w:val="59BD6C48"/>
    <w:rsid w:val="5A2E20C7"/>
    <w:rsid w:val="5CB00EB7"/>
    <w:rsid w:val="5D092B1C"/>
    <w:rsid w:val="5D972AB6"/>
    <w:rsid w:val="5EA042CC"/>
    <w:rsid w:val="5F3E5131"/>
    <w:rsid w:val="5FCD7FD2"/>
    <w:rsid w:val="5FF3202F"/>
    <w:rsid w:val="5FF7DB5B"/>
    <w:rsid w:val="60007BE7"/>
    <w:rsid w:val="60082DB8"/>
    <w:rsid w:val="605D2BA3"/>
    <w:rsid w:val="6091610B"/>
    <w:rsid w:val="6160217E"/>
    <w:rsid w:val="61E47995"/>
    <w:rsid w:val="61F07B19"/>
    <w:rsid w:val="63DC31CF"/>
    <w:rsid w:val="647B56A8"/>
    <w:rsid w:val="64842DDB"/>
    <w:rsid w:val="64C461C8"/>
    <w:rsid w:val="64F97173"/>
    <w:rsid w:val="65687A44"/>
    <w:rsid w:val="669C425A"/>
    <w:rsid w:val="669F67BB"/>
    <w:rsid w:val="67406646"/>
    <w:rsid w:val="6755062E"/>
    <w:rsid w:val="67F50995"/>
    <w:rsid w:val="68151B03"/>
    <w:rsid w:val="683F336B"/>
    <w:rsid w:val="685C1EF3"/>
    <w:rsid w:val="690D546D"/>
    <w:rsid w:val="69C56B89"/>
    <w:rsid w:val="6A0445F0"/>
    <w:rsid w:val="6A0900F2"/>
    <w:rsid w:val="6A5F3B13"/>
    <w:rsid w:val="6A671B31"/>
    <w:rsid w:val="6ABF4435"/>
    <w:rsid w:val="6B9769B5"/>
    <w:rsid w:val="6BE93FB7"/>
    <w:rsid w:val="6C2947E2"/>
    <w:rsid w:val="6CCD7863"/>
    <w:rsid w:val="6CF4154E"/>
    <w:rsid w:val="6E0E30B7"/>
    <w:rsid w:val="6EC45356"/>
    <w:rsid w:val="6EE506ED"/>
    <w:rsid w:val="6F274D57"/>
    <w:rsid w:val="6F742218"/>
    <w:rsid w:val="6FAE4512"/>
    <w:rsid w:val="706B4917"/>
    <w:rsid w:val="70787AE6"/>
    <w:rsid w:val="718D33A2"/>
    <w:rsid w:val="71C72450"/>
    <w:rsid w:val="71C76957"/>
    <w:rsid w:val="735A3913"/>
    <w:rsid w:val="73F10C38"/>
    <w:rsid w:val="740C0C71"/>
    <w:rsid w:val="743E350F"/>
    <w:rsid w:val="74D31A8A"/>
    <w:rsid w:val="74F3589D"/>
    <w:rsid w:val="74FA1909"/>
    <w:rsid w:val="75D166E3"/>
    <w:rsid w:val="75E55C1E"/>
    <w:rsid w:val="76366479"/>
    <w:rsid w:val="76E32CA4"/>
    <w:rsid w:val="78672ED2"/>
    <w:rsid w:val="7877084E"/>
    <w:rsid w:val="791A291E"/>
    <w:rsid w:val="797E263C"/>
    <w:rsid w:val="797F098C"/>
    <w:rsid w:val="79961747"/>
    <w:rsid w:val="7A456C8B"/>
    <w:rsid w:val="7AA806E3"/>
    <w:rsid w:val="7AE15FA0"/>
    <w:rsid w:val="7B3FE24D"/>
    <w:rsid w:val="7C6A423D"/>
    <w:rsid w:val="7DFDD830"/>
    <w:rsid w:val="7ECE71DB"/>
    <w:rsid w:val="7EFBB114"/>
    <w:rsid w:val="7F0F63A8"/>
    <w:rsid w:val="7F695E91"/>
    <w:rsid w:val="7F9E6796"/>
    <w:rsid w:val="7FF9199D"/>
    <w:rsid w:val="7FFE6286"/>
    <w:rsid w:val="AABD2531"/>
    <w:rsid w:val="B7F7DCB5"/>
    <w:rsid w:val="BFF64C30"/>
    <w:rsid w:val="BFFBC55B"/>
    <w:rsid w:val="C71126E9"/>
    <w:rsid w:val="D4EBED56"/>
    <w:rsid w:val="D6DF562F"/>
    <w:rsid w:val="DC795548"/>
    <w:rsid w:val="DF9FAF51"/>
    <w:rsid w:val="EF733852"/>
    <w:rsid w:val="EFF7D260"/>
    <w:rsid w:val="FE553171"/>
    <w:rsid w:val="FF2BDEB3"/>
    <w:rsid w:val="FF37D0F5"/>
    <w:rsid w:val="FF6FF351"/>
    <w:rsid w:val="FFBF8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ocked="1"/>
    <w:lsdException w:qFormat="1" w:unhideWhenUsed="0" w:uiPriority="9" w:semiHidden="0" w:name="heading 3" w:locked="1"/>
    <w:lsdException w:qFormat="1" w:unhideWhenUsed="0" w:uiPriority="0" w:semiHidden="0" w:name="heading 4" w:locked="1"/>
    <w:lsdException w:qFormat="1" w:unhideWhenUsed="0" w:uiPriority="9" w:semiHidden="0" w:name="heading 5" w:locked="1"/>
    <w:lsdException w:qFormat="1" w:unhideWhenUsed="0" w:uiPriority="9" w:semiHidden="0" w:name="heading 6" w:locked="1"/>
    <w:lsdException w:qFormat="1" w:unhideWhenUsed="0" w:uiPriority="9" w:semiHidden="0" w:name="heading 7" w:locked="1"/>
    <w:lsdException w:qFormat="1" w:unhideWhenUsed="0" w:uiPriority="9" w:semiHidden="0" w:name="heading 8" w:locked="1"/>
    <w:lsdException w:qFormat="1" w:unhideWhenUsed="0" w:uiPriority="9" w:semiHidden="0" w:name="heading 9" w:locked="1"/>
    <w:lsdException w:uiPriority="99" w:name="index 1" w:locked="1"/>
    <w:lsdException w:uiPriority="99" w:name="index 2" w:locked="1"/>
    <w:lsdException w:uiPriority="99" w:name="index 3" w:locked="1"/>
    <w:lsdException w:qFormat="1" w:unhideWhenUsed="0" w:uiPriority="0" w:semiHidden="0"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iPriority="39" w:semiHidden="0" w:name="toc 1" w:locked="1"/>
    <w:lsdException w:qFormat="1" w:uiPriority="39" w:semiHidden="0" w:name="toc 2" w:locked="1"/>
    <w:lsdException w:qFormat="1" w:uiPriority="39" w:semiHidden="0" w:name="toc 3" w:locked="1"/>
    <w:lsdException w:qFormat="1" w:uiPriority="39" w:semiHidden="0" w:name="toc 4" w:locked="1"/>
    <w:lsdException w:qFormat="1" w:uiPriority="39" w:semiHidden="0" w:name="toc 5" w:locked="1"/>
    <w:lsdException w:qFormat="1" w:uiPriority="39" w:semiHidden="0" w:name="toc 6" w:locked="1"/>
    <w:lsdException w:qFormat="1" w:uiPriority="39" w:semiHidden="0" w:name="toc 7" w:locked="1"/>
    <w:lsdException w:qFormat="1" w:uiPriority="39" w:semiHidden="0" w:name="toc 8" w:locked="1"/>
    <w:lsdException w:qFormat="1" w:uiPriority="39" w:semiHidden="0" w:name="toc 9" w:locked="1"/>
    <w:lsdException w:qFormat="1" w:unhideWhenUsed="0" w:uiPriority="0" w:semiHidden="0" w:name="Normal Indent"/>
    <w:lsdException w:uiPriority="99" w:name="footnote text" w:locked="1"/>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0"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qFormat="1" w:uiPriority="99" w:semiHidden="0" w:name="List Number" w:locked="1"/>
    <w:lsdException w:uiPriority="99" w:name="List 2" w:locked="1"/>
    <w:lsdException w:uiPriority="99" w:name="List 3" w:locked="1"/>
    <w:lsdException w:uiPriority="99" w:name="List 4" w:locked="1"/>
    <w:lsdException w:uiPriority="99" w:name="List 5" w:locked="1"/>
    <w:lsdException w:qFormat="1" w:uiPriority="99" w:semiHidden="0"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0" w:semiHidden="0" w:name="Body Text"/>
    <w:lsdException w:qFormat="1"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qFormat="1" w:unhideWhenUsed="0" w:uiPriority="0" w:semiHidden="0" w:name="Body Text First Indent" w:locked="1"/>
    <w:lsdException w:uiPriority="99" w:name="Body Text First Indent 2" w:locked="1"/>
    <w:lsdException w:uiPriority="99" w:name="Note Heading" w:locked="1"/>
    <w:lsdException w:qFormat="1" w:uiPriority="0" w:semiHidden="0"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iPriority="99" w:semiHidden="0" w:name="Hyperlink" w:locked="1"/>
    <w:lsdException w:uiPriority="99" w:name="FollowedHyperlink" w:locked="1"/>
    <w:lsdException w:qFormat="1" w:unhideWhenUsed="0" w:uiPriority="0" w:semiHidden="0" w:name="Strong" w:locked="1"/>
    <w:lsdException w:qFormat="1" w:unhideWhenUsed="0" w:uiPriority="20" w:semiHidden="0" w:name="Emphasis" w:locked="1"/>
    <w:lsdException w:qFormat="1" w:uiPriority="99" w:semiHidden="0" w:name="Document Map" w:locked="1"/>
    <w:lsdException w:qFormat="1" w:uiPriority="99" w:semiHidden="0" w:name="Plain Text" w:locked="1"/>
    <w:lsdException w:uiPriority="99" w:name="E-mail Signature" w:locked="1"/>
    <w:lsdException w:qFormat="1" w:uiPriority="99" w:semiHidden="0"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name="HTML Preformatted"/>
    <w:lsdException w:qFormat="1" w:uiPriority="99" w:name="HTML Sample" w:locked="1"/>
    <w:lsdException w:uiPriority="99" w:name="HTML Typewriter" w:locked="1"/>
    <w:lsdException w:uiPriority="99" w:name="HTML Variable" w:locked="1"/>
    <w:lsdException w:qFormat="1" w:uiPriority="99" w:name="Normal Table"/>
    <w:lsdException w:qFormat="1" w:unhideWhenUsed="0" w:uiPriority="0"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qFormat="1" w:uiPriority="0"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0" w:semiHidden="0" w:name="Balloon Text"/>
    <w:lsdException w:qFormat="1" w:unhideWhenUsed="0" w:uiPriority="0"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paragraph" w:styleId="2">
    <w:name w:val="heading 1"/>
    <w:basedOn w:val="1"/>
    <w:next w:val="1"/>
    <w:link w:val="49"/>
    <w:qFormat/>
    <w:uiPriority w:val="9"/>
    <w:pPr>
      <w:keepNext/>
      <w:spacing w:line="440" w:lineRule="exact"/>
      <w:jc w:val="center"/>
      <w:outlineLvl w:val="0"/>
    </w:pPr>
    <w:rPr>
      <w:rFonts w:ascii="宋体" w:hAnsi="宋体" w:cs="宋体"/>
      <w:sz w:val="24"/>
      <w:szCs w:val="24"/>
    </w:rPr>
  </w:style>
  <w:style w:type="paragraph" w:styleId="3">
    <w:name w:val="heading 2"/>
    <w:basedOn w:val="1"/>
    <w:next w:val="4"/>
    <w:link w:val="50"/>
    <w:qFormat/>
    <w:locked/>
    <w:uiPriority w:val="9"/>
    <w:pPr>
      <w:keepNext/>
      <w:keepLines/>
      <w:widowControl w:val="0"/>
      <w:spacing w:before="260" w:after="260" w:line="416" w:lineRule="auto"/>
      <w:jc w:val="both"/>
      <w:outlineLvl w:val="1"/>
    </w:pPr>
    <w:rPr>
      <w:rFonts w:ascii="Cambria" w:hAnsi="Cambria" w:cs="Cambria"/>
      <w:b/>
      <w:bCs/>
      <w:kern w:val="2"/>
      <w:sz w:val="32"/>
      <w:szCs w:val="32"/>
    </w:rPr>
  </w:style>
  <w:style w:type="paragraph" w:styleId="5">
    <w:name w:val="heading 3"/>
    <w:basedOn w:val="1"/>
    <w:next w:val="1"/>
    <w:link w:val="52"/>
    <w:qFormat/>
    <w:locked/>
    <w:uiPriority w:val="9"/>
    <w:pPr>
      <w:keepNext/>
      <w:keepLines/>
      <w:spacing w:before="260" w:after="260" w:line="416" w:lineRule="auto"/>
      <w:outlineLvl w:val="2"/>
    </w:pPr>
    <w:rPr>
      <w:b/>
      <w:bCs/>
      <w:sz w:val="32"/>
      <w:szCs w:val="32"/>
    </w:rPr>
  </w:style>
  <w:style w:type="paragraph" w:styleId="6">
    <w:name w:val="heading 4"/>
    <w:basedOn w:val="1"/>
    <w:next w:val="1"/>
    <w:link w:val="53"/>
    <w:qFormat/>
    <w:locked/>
    <w:uiPriority w:val="0"/>
    <w:pPr>
      <w:keepNext/>
      <w:keepLines/>
      <w:spacing w:before="280" w:after="290" w:line="376" w:lineRule="auto"/>
      <w:outlineLvl w:val="3"/>
    </w:pPr>
    <w:rPr>
      <w:rFonts w:ascii="Cambria" w:hAnsi="Cambria" w:cs="Cambria"/>
      <w:b/>
      <w:bCs/>
      <w:sz w:val="28"/>
      <w:szCs w:val="28"/>
    </w:rPr>
  </w:style>
  <w:style w:type="paragraph" w:styleId="7">
    <w:name w:val="heading 5"/>
    <w:basedOn w:val="1"/>
    <w:next w:val="1"/>
    <w:link w:val="54"/>
    <w:qFormat/>
    <w:locked/>
    <w:uiPriority w:val="9"/>
    <w:pPr>
      <w:keepNext/>
      <w:keepLines/>
      <w:spacing w:before="280" w:after="290" w:line="376" w:lineRule="auto"/>
      <w:outlineLvl w:val="4"/>
    </w:pPr>
    <w:rPr>
      <w:b/>
      <w:bCs/>
      <w:sz w:val="28"/>
      <w:szCs w:val="28"/>
    </w:rPr>
  </w:style>
  <w:style w:type="paragraph" w:styleId="8">
    <w:name w:val="heading 6"/>
    <w:basedOn w:val="1"/>
    <w:next w:val="1"/>
    <w:link w:val="55"/>
    <w:qFormat/>
    <w:locked/>
    <w:uiPriority w:val="9"/>
    <w:pPr>
      <w:keepNext/>
      <w:keepLines/>
      <w:widowControl w:val="0"/>
      <w:numPr>
        <w:ilvl w:val="5"/>
        <w:numId w:val="1"/>
      </w:numPr>
      <w:tabs>
        <w:tab w:val="left" w:pos="360"/>
      </w:tabs>
      <w:spacing w:line="360" w:lineRule="auto"/>
      <w:ind w:firstLine="200" w:firstLineChars="200"/>
      <w:jc w:val="both"/>
      <w:outlineLvl w:val="5"/>
    </w:pPr>
    <w:rPr>
      <w:rFonts w:ascii="Calibri Light" w:hAnsi="Calibri Light"/>
      <w:b/>
      <w:bCs/>
      <w:kern w:val="2"/>
      <w:sz w:val="24"/>
      <w:szCs w:val="24"/>
    </w:rPr>
  </w:style>
  <w:style w:type="paragraph" w:styleId="9">
    <w:name w:val="heading 7"/>
    <w:basedOn w:val="1"/>
    <w:next w:val="1"/>
    <w:link w:val="56"/>
    <w:qFormat/>
    <w:locked/>
    <w:uiPriority w:val="9"/>
    <w:pPr>
      <w:keepNext/>
      <w:keepLines/>
      <w:widowControl w:val="0"/>
      <w:numPr>
        <w:ilvl w:val="6"/>
        <w:numId w:val="1"/>
      </w:numPr>
      <w:tabs>
        <w:tab w:val="left" w:pos="360"/>
      </w:tabs>
      <w:spacing w:line="360" w:lineRule="auto"/>
      <w:ind w:firstLine="200" w:firstLineChars="200"/>
      <w:jc w:val="both"/>
      <w:outlineLvl w:val="6"/>
    </w:pPr>
    <w:rPr>
      <w:b/>
      <w:bCs/>
      <w:kern w:val="2"/>
      <w:sz w:val="24"/>
      <w:szCs w:val="24"/>
    </w:rPr>
  </w:style>
  <w:style w:type="paragraph" w:styleId="10">
    <w:name w:val="heading 8"/>
    <w:basedOn w:val="1"/>
    <w:next w:val="1"/>
    <w:link w:val="57"/>
    <w:qFormat/>
    <w:locked/>
    <w:uiPriority w:val="9"/>
    <w:pPr>
      <w:keepNext/>
      <w:keepLines/>
      <w:widowControl w:val="0"/>
      <w:numPr>
        <w:ilvl w:val="7"/>
        <w:numId w:val="1"/>
      </w:numPr>
      <w:tabs>
        <w:tab w:val="left" w:pos="360"/>
      </w:tabs>
      <w:spacing w:line="360" w:lineRule="auto"/>
      <w:ind w:firstLine="200" w:firstLineChars="200"/>
      <w:jc w:val="both"/>
      <w:outlineLvl w:val="7"/>
    </w:pPr>
    <w:rPr>
      <w:rFonts w:ascii="Calibri Light" w:hAnsi="Calibri Light"/>
      <w:b/>
      <w:kern w:val="2"/>
      <w:sz w:val="24"/>
      <w:szCs w:val="24"/>
    </w:rPr>
  </w:style>
  <w:style w:type="paragraph" w:styleId="11">
    <w:name w:val="heading 9"/>
    <w:basedOn w:val="1"/>
    <w:next w:val="1"/>
    <w:link w:val="58"/>
    <w:qFormat/>
    <w:locked/>
    <w:uiPriority w:val="9"/>
    <w:pPr>
      <w:keepNext/>
      <w:keepLines/>
      <w:widowControl w:val="0"/>
      <w:numPr>
        <w:ilvl w:val="8"/>
        <w:numId w:val="1"/>
      </w:numPr>
      <w:tabs>
        <w:tab w:val="left" w:pos="360"/>
      </w:tabs>
      <w:spacing w:line="360" w:lineRule="auto"/>
      <w:ind w:left="-2" w:leftChars="-1" w:firstLine="2" w:firstLineChars="200"/>
      <w:jc w:val="both"/>
      <w:outlineLvl w:val="8"/>
    </w:pPr>
    <w:rPr>
      <w:rFonts w:ascii="Calibri Light" w:hAnsi="Calibri Light"/>
      <w:b/>
      <w:kern w:val="2"/>
      <w:sz w:val="24"/>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customStyle="1" w:styleId="4">
    <w:name w:val="可研正文"/>
    <w:basedOn w:val="1"/>
    <w:qFormat/>
    <w:uiPriority w:val="0"/>
    <w:pPr>
      <w:spacing w:line="360" w:lineRule="auto"/>
      <w:ind w:firstLine="200" w:firstLineChars="200"/>
    </w:pPr>
    <w:rPr>
      <w:rFonts w:ascii="仿宋" w:hAnsi="仿宋" w:eastAsia="仿宋"/>
      <w:sz w:val="28"/>
      <w:szCs w:val="28"/>
    </w:rPr>
  </w:style>
  <w:style w:type="paragraph" w:styleId="12">
    <w:name w:val="toc 7"/>
    <w:basedOn w:val="1"/>
    <w:next w:val="1"/>
    <w:unhideWhenUsed/>
    <w:qFormat/>
    <w:locked/>
    <w:uiPriority w:val="39"/>
    <w:pPr>
      <w:widowControl w:val="0"/>
      <w:ind w:left="2520" w:leftChars="1200"/>
      <w:jc w:val="both"/>
    </w:pPr>
    <w:rPr>
      <w:rFonts w:ascii="Calibri" w:hAnsi="Calibri"/>
      <w:kern w:val="2"/>
      <w:sz w:val="21"/>
      <w:szCs w:val="22"/>
    </w:rPr>
  </w:style>
  <w:style w:type="paragraph" w:styleId="13">
    <w:name w:val="List Number"/>
    <w:basedOn w:val="1"/>
    <w:unhideWhenUsed/>
    <w:qFormat/>
    <w:locked/>
    <w:uiPriority w:val="99"/>
    <w:pPr>
      <w:widowControl w:val="0"/>
      <w:tabs>
        <w:tab w:val="left" w:pos="360"/>
      </w:tabs>
      <w:adjustRightInd w:val="0"/>
      <w:spacing w:line="360" w:lineRule="auto"/>
      <w:ind w:left="360" w:firstLine="200" w:firstLineChars="200"/>
      <w:jc w:val="both"/>
    </w:pPr>
    <w:rPr>
      <w:rFonts w:ascii="Calibri" w:hAnsi="Calibri"/>
      <w:kern w:val="2"/>
      <w:sz w:val="28"/>
      <w:szCs w:val="24"/>
    </w:rPr>
  </w:style>
  <w:style w:type="paragraph" w:styleId="14">
    <w:name w:val="Normal Indent"/>
    <w:basedOn w:val="1"/>
    <w:link w:val="59"/>
    <w:qFormat/>
    <w:uiPriority w:val="0"/>
    <w:pPr>
      <w:widowControl w:val="0"/>
      <w:ind w:firstLine="480"/>
      <w:jc w:val="both"/>
    </w:pPr>
    <w:rPr>
      <w:rFonts w:ascii="等线" w:hAnsi="等线" w:eastAsia="等线" w:cs="等线"/>
      <w:kern w:val="2"/>
      <w:sz w:val="21"/>
      <w:szCs w:val="21"/>
    </w:rPr>
  </w:style>
  <w:style w:type="paragraph" w:styleId="15">
    <w:name w:val="Document Map"/>
    <w:basedOn w:val="1"/>
    <w:link w:val="60"/>
    <w:unhideWhenUsed/>
    <w:qFormat/>
    <w:locked/>
    <w:uiPriority w:val="99"/>
    <w:pPr>
      <w:widowControl w:val="0"/>
      <w:adjustRightInd w:val="0"/>
      <w:spacing w:line="360" w:lineRule="auto"/>
      <w:ind w:firstLine="560" w:firstLineChars="200"/>
      <w:jc w:val="both"/>
    </w:pPr>
    <w:rPr>
      <w:rFonts w:ascii="宋体" w:hAnsi="Calibri"/>
      <w:kern w:val="2"/>
      <w:sz w:val="24"/>
      <w:szCs w:val="24"/>
    </w:rPr>
  </w:style>
  <w:style w:type="paragraph" w:styleId="16">
    <w:name w:val="annotation text"/>
    <w:basedOn w:val="1"/>
    <w:link w:val="61"/>
    <w:qFormat/>
    <w:uiPriority w:val="99"/>
  </w:style>
  <w:style w:type="paragraph" w:styleId="17">
    <w:name w:val="Body Text"/>
    <w:basedOn w:val="1"/>
    <w:link w:val="62"/>
    <w:qFormat/>
    <w:uiPriority w:val="0"/>
    <w:pPr>
      <w:widowControl w:val="0"/>
      <w:spacing w:before="120" w:after="120" w:line="264" w:lineRule="auto"/>
      <w:jc w:val="both"/>
    </w:pPr>
    <w:rPr>
      <w:rFonts w:ascii="Calibri" w:hAnsi="Calibri" w:cs="Calibri"/>
      <w:kern w:val="2"/>
      <w:sz w:val="21"/>
      <w:szCs w:val="21"/>
    </w:rPr>
  </w:style>
  <w:style w:type="paragraph" w:styleId="18">
    <w:name w:val="Body Text Indent"/>
    <w:basedOn w:val="1"/>
    <w:link w:val="63"/>
    <w:unhideWhenUsed/>
    <w:qFormat/>
    <w:locked/>
    <w:uiPriority w:val="99"/>
    <w:pPr>
      <w:widowControl w:val="0"/>
      <w:adjustRightInd w:val="0"/>
      <w:spacing w:after="120" w:line="360" w:lineRule="auto"/>
      <w:ind w:left="420" w:leftChars="200" w:firstLine="560" w:firstLineChars="200"/>
      <w:jc w:val="both"/>
    </w:pPr>
    <w:rPr>
      <w:rFonts w:ascii="Calibri" w:hAnsi="Calibri"/>
      <w:szCs w:val="24"/>
    </w:rPr>
  </w:style>
  <w:style w:type="paragraph" w:styleId="19">
    <w:name w:val="List Bullet 2"/>
    <w:basedOn w:val="1"/>
    <w:unhideWhenUsed/>
    <w:qFormat/>
    <w:locked/>
    <w:uiPriority w:val="99"/>
    <w:pPr>
      <w:widowControl w:val="0"/>
      <w:tabs>
        <w:tab w:val="left" w:pos="780"/>
      </w:tabs>
      <w:adjustRightInd w:val="0"/>
      <w:spacing w:line="360" w:lineRule="auto"/>
      <w:ind w:left="780" w:firstLine="200" w:firstLineChars="200"/>
      <w:jc w:val="both"/>
    </w:pPr>
    <w:rPr>
      <w:rFonts w:ascii="Calibri" w:hAnsi="Calibri"/>
      <w:kern w:val="2"/>
      <w:sz w:val="28"/>
      <w:szCs w:val="24"/>
    </w:rPr>
  </w:style>
  <w:style w:type="paragraph" w:styleId="20">
    <w:name w:val="index 4"/>
    <w:basedOn w:val="1"/>
    <w:next w:val="1"/>
    <w:qFormat/>
    <w:locked/>
    <w:uiPriority w:val="0"/>
    <w:pPr>
      <w:ind w:left="840" w:hanging="210"/>
    </w:pPr>
    <w:rPr>
      <w:sz w:val="18"/>
      <w:szCs w:val="18"/>
    </w:rPr>
  </w:style>
  <w:style w:type="paragraph" w:styleId="21">
    <w:name w:val="toc 5"/>
    <w:basedOn w:val="1"/>
    <w:next w:val="1"/>
    <w:unhideWhenUsed/>
    <w:qFormat/>
    <w:locked/>
    <w:uiPriority w:val="39"/>
    <w:pPr>
      <w:widowControl w:val="0"/>
      <w:ind w:left="1680" w:leftChars="800"/>
      <w:jc w:val="both"/>
    </w:pPr>
    <w:rPr>
      <w:rFonts w:ascii="Calibri" w:hAnsi="Calibri"/>
      <w:kern w:val="2"/>
      <w:sz w:val="21"/>
      <w:szCs w:val="22"/>
    </w:rPr>
  </w:style>
  <w:style w:type="paragraph" w:styleId="22">
    <w:name w:val="toc 3"/>
    <w:basedOn w:val="1"/>
    <w:next w:val="1"/>
    <w:unhideWhenUsed/>
    <w:qFormat/>
    <w:locked/>
    <w:uiPriority w:val="39"/>
    <w:pPr>
      <w:widowControl w:val="0"/>
      <w:adjustRightInd w:val="0"/>
      <w:spacing w:line="360" w:lineRule="auto"/>
      <w:ind w:left="840" w:leftChars="400" w:firstLine="560" w:firstLineChars="200"/>
      <w:jc w:val="both"/>
    </w:pPr>
    <w:rPr>
      <w:rFonts w:ascii="Calibri" w:hAnsi="Calibri"/>
      <w:kern w:val="2"/>
      <w:sz w:val="28"/>
      <w:szCs w:val="24"/>
    </w:rPr>
  </w:style>
  <w:style w:type="paragraph" w:styleId="23">
    <w:name w:val="Plain Text"/>
    <w:basedOn w:val="1"/>
    <w:link w:val="64"/>
    <w:unhideWhenUsed/>
    <w:qFormat/>
    <w:locked/>
    <w:uiPriority w:val="99"/>
    <w:pPr>
      <w:widowControl w:val="0"/>
      <w:adjustRightInd w:val="0"/>
      <w:spacing w:line="360" w:lineRule="auto"/>
      <w:ind w:firstLine="560" w:firstLineChars="200"/>
      <w:jc w:val="both"/>
    </w:pPr>
    <w:rPr>
      <w:rFonts w:ascii="宋体" w:hAnsi="Courier New"/>
      <w:kern w:val="2"/>
      <w:sz w:val="18"/>
      <w:szCs w:val="24"/>
    </w:rPr>
  </w:style>
  <w:style w:type="paragraph" w:styleId="24">
    <w:name w:val="toc 8"/>
    <w:basedOn w:val="1"/>
    <w:next w:val="1"/>
    <w:unhideWhenUsed/>
    <w:qFormat/>
    <w:locked/>
    <w:uiPriority w:val="39"/>
    <w:pPr>
      <w:widowControl w:val="0"/>
      <w:ind w:left="2940" w:leftChars="1400"/>
      <w:jc w:val="both"/>
    </w:pPr>
    <w:rPr>
      <w:rFonts w:ascii="Calibri" w:hAnsi="Calibri"/>
      <w:kern w:val="2"/>
      <w:sz w:val="21"/>
      <w:szCs w:val="22"/>
    </w:rPr>
  </w:style>
  <w:style w:type="paragraph" w:styleId="25">
    <w:name w:val="Balloon Text"/>
    <w:basedOn w:val="1"/>
    <w:link w:val="65"/>
    <w:qFormat/>
    <w:uiPriority w:val="0"/>
    <w:rPr>
      <w:sz w:val="18"/>
      <w:szCs w:val="18"/>
    </w:rPr>
  </w:style>
  <w:style w:type="paragraph" w:styleId="26">
    <w:name w:val="footer"/>
    <w:basedOn w:val="1"/>
    <w:link w:val="66"/>
    <w:qFormat/>
    <w:uiPriority w:val="99"/>
    <w:pPr>
      <w:tabs>
        <w:tab w:val="center" w:pos="4153"/>
        <w:tab w:val="right" w:pos="8306"/>
      </w:tabs>
      <w:snapToGrid w:val="0"/>
    </w:pPr>
    <w:rPr>
      <w:sz w:val="18"/>
      <w:szCs w:val="18"/>
    </w:rPr>
  </w:style>
  <w:style w:type="paragraph" w:styleId="27">
    <w:name w:val="header"/>
    <w:basedOn w:val="1"/>
    <w:link w:val="67"/>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unhideWhenUsed/>
    <w:qFormat/>
    <w:locked/>
    <w:uiPriority w:val="39"/>
    <w:pPr>
      <w:widowControl w:val="0"/>
      <w:adjustRightInd w:val="0"/>
      <w:spacing w:line="360" w:lineRule="auto"/>
      <w:ind w:firstLine="560" w:firstLineChars="200"/>
      <w:jc w:val="both"/>
    </w:pPr>
    <w:rPr>
      <w:rFonts w:ascii="Calibri" w:hAnsi="Calibri"/>
      <w:kern w:val="2"/>
      <w:sz w:val="28"/>
      <w:szCs w:val="24"/>
    </w:rPr>
  </w:style>
  <w:style w:type="paragraph" w:styleId="29">
    <w:name w:val="toc 4"/>
    <w:basedOn w:val="1"/>
    <w:next w:val="1"/>
    <w:unhideWhenUsed/>
    <w:qFormat/>
    <w:locked/>
    <w:uiPriority w:val="39"/>
    <w:pPr>
      <w:widowControl w:val="0"/>
      <w:ind w:left="1260" w:leftChars="600"/>
      <w:jc w:val="both"/>
    </w:pPr>
    <w:rPr>
      <w:rFonts w:ascii="Calibri" w:hAnsi="Calibri"/>
      <w:kern w:val="2"/>
      <w:sz w:val="21"/>
      <w:szCs w:val="22"/>
    </w:rPr>
  </w:style>
  <w:style w:type="paragraph" w:styleId="30">
    <w:name w:val="toc 6"/>
    <w:basedOn w:val="1"/>
    <w:next w:val="1"/>
    <w:unhideWhenUsed/>
    <w:qFormat/>
    <w:locked/>
    <w:uiPriority w:val="39"/>
    <w:pPr>
      <w:widowControl w:val="0"/>
      <w:ind w:left="2100" w:leftChars="1000"/>
      <w:jc w:val="both"/>
    </w:pPr>
    <w:rPr>
      <w:rFonts w:ascii="Calibri" w:hAnsi="Calibri"/>
      <w:kern w:val="2"/>
      <w:sz w:val="21"/>
      <w:szCs w:val="22"/>
    </w:rPr>
  </w:style>
  <w:style w:type="paragraph" w:styleId="31">
    <w:name w:val="toc 2"/>
    <w:basedOn w:val="1"/>
    <w:next w:val="1"/>
    <w:unhideWhenUsed/>
    <w:qFormat/>
    <w:locked/>
    <w:uiPriority w:val="39"/>
    <w:pPr>
      <w:widowControl w:val="0"/>
      <w:adjustRightInd w:val="0"/>
      <w:spacing w:line="360" w:lineRule="auto"/>
      <w:ind w:left="420" w:leftChars="200" w:firstLine="560" w:firstLineChars="200"/>
      <w:jc w:val="both"/>
    </w:pPr>
    <w:rPr>
      <w:rFonts w:ascii="Calibri" w:hAnsi="Calibri"/>
      <w:kern w:val="2"/>
      <w:sz w:val="28"/>
      <w:szCs w:val="24"/>
    </w:rPr>
  </w:style>
  <w:style w:type="paragraph" w:styleId="32">
    <w:name w:val="toc 9"/>
    <w:basedOn w:val="1"/>
    <w:next w:val="1"/>
    <w:unhideWhenUsed/>
    <w:qFormat/>
    <w:locked/>
    <w:uiPriority w:val="39"/>
    <w:pPr>
      <w:widowControl w:val="0"/>
      <w:ind w:left="3360" w:leftChars="1600"/>
      <w:jc w:val="both"/>
    </w:pPr>
    <w:rPr>
      <w:rFonts w:ascii="Calibri" w:hAnsi="Calibri"/>
      <w:kern w:val="2"/>
      <w:sz w:val="21"/>
      <w:szCs w:val="22"/>
    </w:rPr>
  </w:style>
  <w:style w:type="paragraph" w:styleId="33">
    <w:name w:val="Body Text 2"/>
    <w:basedOn w:val="1"/>
    <w:link w:val="68"/>
    <w:unhideWhenUsed/>
    <w:qFormat/>
    <w:locked/>
    <w:uiPriority w:val="0"/>
    <w:pPr>
      <w:widowControl w:val="0"/>
      <w:spacing w:after="120" w:line="480" w:lineRule="auto"/>
      <w:jc w:val="both"/>
    </w:pPr>
    <w:rPr>
      <w:kern w:val="2"/>
      <w:sz w:val="21"/>
      <w:szCs w:val="24"/>
    </w:rPr>
  </w:style>
  <w:style w:type="paragraph" w:styleId="34">
    <w:name w:val="HTML Preformatted"/>
    <w:basedOn w:val="1"/>
    <w:link w:val="69"/>
    <w:semiHidden/>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szCs w:val="24"/>
    </w:rPr>
  </w:style>
  <w:style w:type="paragraph" w:styleId="35">
    <w:name w:val="Normal (Web)"/>
    <w:basedOn w:val="1"/>
    <w:link w:val="70"/>
    <w:unhideWhenUsed/>
    <w:qFormat/>
    <w:locked/>
    <w:uiPriority w:val="99"/>
    <w:pPr>
      <w:spacing w:before="100" w:beforeAutospacing="1" w:after="100" w:afterAutospacing="1"/>
    </w:pPr>
    <w:rPr>
      <w:rFonts w:ascii="宋体" w:hAnsi="宋体" w:cs="宋体"/>
      <w:sz w:val="24"/>
      <w:szCs w:val="24"/>
    </w:rPr>
  </w:style>
  <w:style w:type="paragraph" w:styleId="36">
    <w:name w:val="Title"/>
    <w:basedOn w:val="1"/>
    <w:next w:val="1"/>
    <w:link w:val="71"/>
    <w:qFormat/>
    <w:locked/>
    <w:uiPriority w:val="10"/>
    <w:pPr>
      <w:widowControl w:val="0"/>
      <w:spacing w:before="240" w:after="60"/>
      <w:jc w:val="center"/>
      <w:outlineLvl w:val="0"/>
    </w:pPr>
    <w:rPr>
      <w:rFonts w:ascii="Cambria" w:hAnsi="Cambria"/>
      <w:b/>
      <w:bCs/>
      <w:kern w:val="2"/>
      <w:sz w:val="32"/>
      <w:szCs w:val="32"/>
    </w:rPr>
  </w:style>
  <w:style w:type="paragraph" w:styleId="37">
    <w:name w:val="annotation subject"/>
    <w:basedOn w:val="16"/>
    <w:next w:val="16"/>
    <w:link w:val="72"/>
    <w:qFormat/>
    <w:uiPriority w:val="0"/>
    <w:pPr>
      <w:widowControl w:val="0"/>
      <w:jc w:val="both"/>
    </w:pPr>
    <w:rPr>
      <w:rFonts w:ascii="Calibri" w:hAnsi="Calibri" w:eastAsia="微软雅黑" w:cs="Calibri"/>
      <w:kern w:val="2"/>
      <w:sz w:val="24"/>
      <w:szCs w:val="24"/>
    </w:rPr>
  </w:style>
  <w:style w:type="paragraph" w:styleId="38">
    <w:name w:val="Body Text First Indent"/>
    <w:basedOn w:val="17"/>
    <w:link w:val="73"/>
    <w:qFormat/>
    <w:locked/>
    <w:uiPriority w:val="0"/>
    <w:pPr>
      <w:spacing w:before="0" w:line="240" w:lineRule="auto"/>
      <w:ind w:firstLine="420" w:firstLineChars="100"/>
    </w:pPr>
    <w:rPr>
      <w:rFonts w:ascii="Times New Roman" w:hAnsi="Times New Roman" w:cs="Times New Roman"/>
      <w:szCs w:val="24"/>
    </w:rPr>
  </w:style>
  <w:style w:type="table" w:styleId="40">
    <w:name w:val="Table Grid"/>
    <w:basedOn w:val="39"/>
    <w:qFormat/>
    <w:locked/>
    <w:uiPriority w:val="0"/>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qFormat/>
    <w:locked/>
    <w:uiPriority w:val="0"/>
    <w:rPr>
      <w:b/>
      <w:bCs/>
    </w:rPr>
  </w:style>
  <w:style w:type="character" w:styleId="43">
    <w:name w:val="page number"/>
    <w:qFormat/>
    <w:uiPriority w:val="99"/>
  </w:style>
  <w:style w:type="character" w:styleId="44">
    <w:name w:val="Hyperlink"/>
    <w:unhideWhenUsed/>
    <w:qFormat/>
    <w:locked/>
    <w:uiPriority w:val="99"/>
    <w:rPr>
      <w:color w:val="0000FF"/>
      <w:u w:val="single"/>
    </w:rPr>
  </w:style>
  <w:style w:type="character" w:styleId="45">
    <w:name w:val="annotation reference"/>
    <w:qFormat/>
    <w:uiPriority w:val="0"/>
    <w:rPr>
      <w:sz w:val="21"/>
      <w:szCs w:val="21"/>
    </w:rPr>
  </w:style>
  <w:style w:type="character" w:styleId="46">
    <w:name w:val="HTML Sample"/>
    <w:basedOn w:val="41"/>
    <w:semiHidden/>
    <w:unhideWhenUsed/>
    <w:qFormat/>
    <w:locked/>
    <w:uiPriority w:val="99"/>
    <w:rPr>
      <w:rFonts w:ascii="Courier New" w:hAnsi="Courier New"/>
    </w:rPr>
  </w:style>
  <w:style w:type="paragraph" w:customStyle="1" w:styleId="47">
    <w:name w:val="方案文档"/>
    <w:basedOn w:val="1"/>
    <w:link w:val="51"/>
    <w:qFormat/>
    <w:uiPriority w:val="99"/>
    <w:pPr>
      <w:widowControl w:val="0"/>
      <w:adjustRightInd w:val="0"/>
      <w:spacing w:line="360" w:lineRule="auto"/>
      <w:ind w:firstLine="485" w:firstLineChars="202"/>
      <w:jc w:val="both"/>
    </w:pPr>
    <w:rPr>
      <w:rFonts w:ascii="宋体" w:hAnsi="宋体"/>
      <w:sz w:val="24"/>
    </w:rPr>
  </w:style>
  <w:style w:type="paragraph" w:customStyle="1" w:styleId="48">
    <w:name w:val="正文（文本）"/>
    <w:qFormat/>
    <w:uiPriority w:val="99"/>
    <w:pPr>
      <w:widowControl w:val="0"/>
      <w:snapToGrid w:val="0"/>
      <w:spacing w:beforeLines="20" w:line="360" w:lineRule="auto"/>
      <w:jc w:val="center"/>
    </w:pPr>
    <w:rPr>
      <w:rFonts w:ascii="Times New Roman" w:hAnsi="宋体" w:eastAsia="宋体" w:cs="Times New Roman"/>
      <w:kern w:val="2"/>
      <w:sz w:val="28"/>
      <w:szCs w:val="28"/>
      <w:lang w:val="en-US" w:eastAsia="zh-CN" w:bidi="ar-SA"/>
    </w:rPr>
  </w:style>
  <w:style w:type="character" w:customStyle="1" w:styleId="49">
    <w:name w:val="标题 1 字符"/>
    <w:link w:val="2"/>
    <w:qFormat/>
    <w:locked/>
    <w:uiPriority w:val="0"/>
    <w:rPr>
      <w:rFonts w:ascii="宋体" w:hAnsi="宋体" w:eastAsia="宋体" w:cs="宋体"/>
      <w:kern w:val="0"/>
      <w:sz w:val="20"/>
      <w:szCs w:val="20"/>
    </w:rPr>
  </w:style>
  <w:style w:type="character" w:customStyle="1" w:styleId="50">
    <w:name w:val="标题 2 字符"/>
    <w:link w:val="3"/>
    <w:qFormat/>
    <w:locked/>
    <w:uiPriority w:val="9"/>
    <w:rPr>
      <w:rFonts w:ascii="Cambria" w:hAnsi="Cambria" w:eastAsia="宋体" w:cs="Cambria"/>
      <w:b/>
      <w:bCs/>
      <w:kern w:val="2"/>
      <w:sz w:val="32"/>
      <w:szCs w:val="32"/>
    </w:rPr>
  </w:style>
  <w:style w:type="character" w:customStyle="1" w:styleId="51">
    <w:name w:val="方案文档 Char"/>
    <w:link w:val="47"/>
    <w:qFormat/>
    <w:locked/>
    <w:uiPriority w:val="99"/>
    <w:rPr>
      <w:rFonts w:ascii="宋体" w:hAnsi="宋体"/>
      <w:sz w:val="24"/>
    </w:rPr>
  </w:style>
  <w:style w:type="character" w:customStyle="1" w:styleId="52">
    <w:name w:val="标题 3 字符"/>
    <w:link w:val="5"/>
    <w:qFormat/>
    <w:locked/>
    <w:uiPriority w:val="9"/>
    <w:rPr>
      <w:b/>
      <w:bCs/>
      <w:sz w:val="32"/>
      <w:szCs w:val="32"/>
    </w:rPr>
  </w:style>
  <w:style w:type="character" w:customStyle="1" w:styleId="53">
    <w:name w:val="标题 4 字符"/>
    <w:link w:val="6"/>
    <w:qFormat/>
    <w:locked/>
    <w:uiPriority w:val="0"/>
    <w:rPr>
      <w:rFonts w:ascii="Cambria" w:hAnsi="Cambria" w:eastAsia="宋体" w:cs="Cambria"/>
      <w:b/>
      <w:bCs/>
      <w:sz w:val="28"/>
      <w:szCs w:val="28"/>
    </w:rPr>
  </w:style>
  <w:style w:type="character" w:customStyle="1" w:styleId="54">
    <w:name w:val="标题 5 字符"/>
    <w:link w:val="7"/>
    <w:qFormat/>
    <w:uiPriority w:val="9"/>
    <w:rPr>
      <w:b/>
      <w:bCs/>
      <w:sz w:val="28"/>
      <w:szCs w:val="28"/>
    </w:rPr>
  </w:style>
  <w:style w:type="character" w:customStyle="1" w:styleId="55">
    <w:name w:val="标题 6 字符"/>
    <w:link w:val="8"/>
    <w:qFormat/>
    <w:uiPriority w:val="9"/>
    <w:rPr>
      <w:rFonts w:ascii="Calibri Light" w:hAnsi="Calibri Light"/>
      <w:b/>
      <w:bCs/>
      <w:kern w:val="2"/>
      <w:sz w:val="24"/>
      <w:szCs w:val="24"/>
    </w:rPr>
  </w:style>
  <w:style w:type="character" w:customStyle="1" w:styleId="56">
    <w:name w:val="标题 7 字符"/>
    <w:link w:val="9"/>
    <w:qFormat/>
    <w:uiPriority w:val="9"/>
    <w:rPr>
      <w:b/>
      <w:bCs/>
      <w:kern w:val="2"/>
      <w:sz w:val="24"/>
      <w:szCs w:val="24"/>
    </w:rPr>
  </w:style>
  <w:style w:type="character" w:customStyle="1" w:styleId="57">
    <w:name w:val="标题 8 字符"/>
    <w:link w:val="10"/>
    <w:qFormat/>
    <w:uiPriority w:val="9"/>
    <w:rPr>
      <w:rFonts w:ascii="Calibri Light" w:hAnsi="Calibri Light"/>
      <w:b/>
      <w:kern w:val="2"/>
      <w:sz w:val="24"/>
      <w:szCs w:val="24"/>
    </w:rPr>
  </w:style>
  <w:style w:type="character" w:customStyle="1" w:styleId="58">
    <w:name w:val="标题 9 字符"/>
    <w:link w:val="11"/>
    <w:qFormat/>
    <w:uiPriority w:val="9"/>
    <w:rPr>
      <w:rFonts w:ascii="Calibri Light" w:hAnsi="Calibri Light"/>
      <w:b/>
      <w:kern w:val="2"/>
      <w:sz w:val="24"/>
      <w:szCs w:val="21"/>
    </w:rPr>
  </w:style>
  <w:style w:type="character" w:customStyle="1" w:styleId="59">
    <w:name w:val="正文缩进 字符"/>
    <w:link w:val="14"/>
    <w:qFormat/>
    <w:uiPriority w:val="0"/>
    <w:rPr>
      <w:rFonts w:ascii="等线" w:hAnsi="等线" w:eastAsia="等线" w:cs="等线"/>
      <w:kern w:val="2"/>
      <w:sz w:val="21"/>
      <w:szCs w:val="21"/>
    </w:rPr>
  </w:style>
  <w:style w:type="character" w:customStyle="1" w:styleId="60">
    <w:name w:val="文档结构图 字符"/>
    <w:link w:val="15"/>
    <w:semiHidden/>
    <w:qFormat/>
    <w:uiPriority w:val="99"/>
    <w:rPr>
      <w:rFonts w:ascii="宋体" w:hAnsi="Calibri" w:cs="Times New Roman"/>
      <w:kern w:val="2"/>
      <w:sz w:val="24"/>
      <w:szCs w:val="24"/>
    </w:rPr>
  </w:style>
  <w:style w:type="character" w:customStyle="1" w:styleId="61">
    <w:name w:val="批注文字 字符"/>
    <w:link w:val="16"/>
    <w:qFormat/>
    <w:locked/>
    <w:uiPriority w:val="99"/>
  </w:style>
  <w:style w:type="character" w:customStyle="1" w:styleId="62">
    <w:name w:val="正文文本 字符"/>
    <w:link w:val="17"/>
    <w:qFormat/>
    <w:locked/>
    <w:uiPriority w:val="99"/>
    <w:rPr>
      <w:rFonts w:ascii="Calibri" w:hAnsi="Calibri" w:cs="Calibri"/>
      <w:kern w:val="2"/>
      <w:sz w:val="21"/>
      <w:szCs w:val="21"/>
    </w:rPr>
  </w:style>
  <w:style w:type="character" w:customStyle="1" w:styleId="63">
    <w:name w:val="正文文本缩进 字符"/>
    <w:link w:val="18"/>
    <w:qFormat/>
    <w:uiPriority w:val="99"/>
    <w:rPr>
      <w:rFonts w:ascii="Calibri" w:hAnsi="Calibri" w:eastAsia="宋体" w:cs="Times New Roman"/>
      <w:szCs w:val="24"/>
    </w:rPr>
  </w:style>
  <w:style w:type="character" w:customStyle="1" w:styleId="64">
    <w:name w:val="纯文本 字符"/>
    <w:link w:val="23"/>
    <w:qFormat/>
    <w:uiPriority w:val="99"/>
    <w:rPr>
      <w:rFonts w:ascii="宋体" w:hAnsi="Courier New" w:eastAsia="宋体" w:cs="Times New Roman"/>
      <w:kern w:val="2"/>
      <w:sz w:val="18"/>
      <w:szCs w:val="24"/>
    </w:rPr>
  </w:style>
  <w:style w:type="character" w:customStyle="1" w:styleId="65">
    <w:name w:val="批注框文本 字符"/>
    <w:link w:val="25"/>
    <w:semiHidden/>
    <w:qFormat/>
    <w:locked/>
    <w:uiPriority w:val="99"/>
    <w:rPr>
      <w:sz w:val="18"/>
      <w:szCs w:val="18"/>
    </w:rPr>
  </w:style>
  <w:style w:type="character" w:customStyle="1" w:styleId="66">
    <w:name w:val="页脚 字符"/>
    <w:link w:val="26"/>
    <w:qFormat/>
    <w:locked/>
    <w:uiPriority w:val="99"/>
    <w:rPr>
      <w:rFonts w:ascii="Times New Roman" w:hAnsi="Times New Roman" w:eastAsia="宋体" w:cs="Times New Roman"/>
      <w:kern w:val="0"/>
      <w:sz w:val="18"/>
      <w:szCs w:val="18"/>
    </w:rPr>
  </w:style>
  <w:style w:type="character" w:customStyle="1" w:styleId="67">
    <w:name w:val="页眉 字符"/>
    <w:link w:val="27"/>
    <w:qFormat/>
    <w:locked/>
    <w:uiPriority w:val="0"/>
    <w:rPr>
      <w:rFonts w:ascii="Times New Roman" w:hAnsi="Times New Roman" w:eastAsia="宋体" w:cs="Times New Roman"/>
      <w:kern w:val="0"/>
      <w:sz w:val="18"/>
      <w:szCs w:val="18"/>
    </w:rPr>
  </w:style>
  <w:style w:type="character" w:customStyle="1" w:styleId="68">
    <w:name w:val="正文文本 2 字符"/>
    <w:link w:val="33"/>
    <w:qFormat/>
    <w:uiPriority w:val="0"/>
    <w:rPr>
      <w:kern w:val="2"/>
      <w:sz w:val="21"/>
      <w:szCs w:val="24"/>
    </w:rPr>
  </w:style>
  <w:style w:type="character" w:customStyle="1" w:styleId="69">
    <w:name w:val="HTML 预设格式 字符"/>
    <w:link w:val="34"/>
    <w:semiHidden/>
    <w:qFormat/>
    <w:locked/>
    <w:uiPriority w:val="99"/>
    <w:rPr>
      <w:rFonts w:ascii="Courier New" w:hAnsi="Courier New" w:cs="Courier New"/>
      <w:kern w:val="0"/>
      <w:sz w:val="20"/>
      <w:szCs w:val="20"/>
    </w:rPr>
  </w:style>
  <w:style w:type="character" w:customStyle="1" w:styleId="70">
    <w:name w:val="普通(网站) 字符"/>
    <w:link w:val="35"/>
    <w:qFormat/>
    <w:uiPriority w:val="99"/>
    <w:rPr>
      <w:rFonts w:ascii="宋体" w:hAnsi="宋体" w:cs="宋体"/>
      <w:sz w:val="24"/>
      <w:szCs w:val="24"/>
    </w:rPr>
  </w:style>
  <w:style w:type="character" w:customStyle="1" w:styleId="71">
    <w:name w:val="标题 字符"/>
    <w:link w:val="36"/>
    <w:qFormat/>
    <w:uiPriority w:val="10"/>
    <w:rPr>
      <w:rFonts w:ascii="Cambria" w:hAnsi="Cambria"/>
      <w:b/>
      <w:bCs/>
      <w:kern w:val="2"/>
      <w:sz w:val="32"/>
      <w:szCs w:val="32"/>
    </w:rPr>
  </w:style>
  <w:style w:type="character" w:customStyle="1" w:styleId="72">
    <w:name w:val="批注主题 字符"/>
    <w:link w:val="37"/>
    <w:qFormat/>
    <w:locked/>
    <w:uiPriority w:val="0"/>
    <w:rPr>
      <w:rFonts w:ascii="Calibri" w:hAnsi="Calibri" w:eastAsia="微软雅黑" w:cs="Calibri"/>
      <w:kern w:val="2"/>
      <w:sz w:val="24"/>
      <w:szCs w:val="24"/>
    </w:rPr>
  </w:style>
  <w:style w:type="character" w:customStyle="1" w:styleId="73">
    <w:name w:val="正文文本首行缩进 字符"/>
    <w:link w:val="38"/>
    <w:qFormat/>
    <w:uiPriority w:val="0"/>
    <w:rPr>
      <w:rFonts w:ascii="Calibri" w:hAnsi="Calibri" w:cs="Calibri"/>
      <w:kern w:val="2"/>
      <w:sz w:val="21"/>
      <w:szCs w:val="24"/>
    </w:rPr>
  </w:style>
  <w:style w:type="paragraph" w:customStyle="1" w:styleId="74">
    <w:name w:val="样式 样式 样式 样式 标题 2 + 宋体 五号 非加粗 黑色 + 段前: 6 磅 段后: 0 磅 行距: 单倍行距 + 段前:..."/>
    <w:basedOn w:val="1"/>
    <w:qFormat/>
    <w:uiPriority w:val="99"/>
    <w:pPr>
      <w:keepNext/>
      <w:keepLines/>
      <w:widowControl w:val="0"/>
      <w:adjustRightInd w:val="0"/>
      <w:spacing w:before="240"/>
      <w:ind w:left="480"/>
      <w:outlineLvl w:val="1"/>
    </w:pPr>
    <w:rPr>
      <w:rFonts w:ascii="宋体" w:hAnsi="宋体" w:cs="宋体"/>
      <w:b/>
      <w:bCs/>
      <w:color w:val="000000"/>
      <w:sz w:val="21"/>
      <w:szCs w:val="21"/>
    </w:rPr>
  </w:style>
  <w:style w:type="paragraph" w:customStyle="1" w:styleId="75">
    <w:name w:val="正文文本样式"/>
    <w:basedOn w:val="1"/>
    <w:qFormat/>
    <w:uiPriority w:val="99"/>
    <w:pPr>
      <w:spacing w:line="360" w:lineRule="auto"/>
      <w:ind w:firstLine="200" w:firstLineChars="200"/>
    </w:pPr>
    <w:rPr>
      <w:rFonts w:ascii="Arial" w:hAnsi="Arial" w:cs="Arial"/>
      <w:kern w:val="2"/>
      <w:sz w:val="24"/>
      <w:szCs w:val="24"/>
    </w:rPr>
  </w:style>
  <w:style w:type="paragraph" w:customStyle="1" w:styleId="76">
    <w:name w:val="Normal_0_1"/>
    <w:qFormat/>
    <w:uiPriority w:val="99"/>
    <w:rPr>
      <w:rFonts w:ascii="Times New Roman" w:hAnsi="Times New Roman" w:eastAsia="宋体" w:cs="Times New Roman"/>
      <w:sz w:val="24"/>
      <w:szCs w:val="24"/>
      <w:lang w:val="en-US" w:eastAsia="zh-CN" w:bidi="ar-SA"/>
    </w:rPr>
  </w:style>
  <w:style w:type="paragraph" w:styleId="77">
    <w:name w:val="List Paragraph"/>
    <w:basedOn w:val="1"/>
    <w:link w:val="78"/>
    <w:qFormat/>
    <w:uiPriority w:val="34"/>
    <w:pPr>
      <w:ind w:firstLine="420" w:firstLineChars="200"/>
    </w:pPr>
  </w:style>
  <w:style w:type="character" w:customStyle="1" w:styleId="78">
    <w:name w:val="列表段落 字符"/>
    <w:link w:val="77"/>
    <w:qFormat/>
    <w:locked/>
    <w:uiPriority w:val="34"/>
  </w:style>
  <w:style w:type="paragraph" w:customStyle="1" w:styleId="79">
    <w:name w:val="修订1"/>
    <w:semiHidden/>
    <w:qFormat/>
    <w:uiPriority w:val="99"/>
    <w:rPr>
      <w:rFonts w:ascii="Times New Roman" w:hAnsi="Times New Roman" w:eastAsia="宋体" w:cs="Times New Roman"/>
      <w:lang w:val="en-US" w:eastAsia="zh-CN" w:bidi="ar-SA"/>
    </w:rPr>
  </w:style>
  <w:style w:type="paragraph" w:customStyle="1" w:styleId="80">
    <w:name w:val="3级标题"/>
    <w:basedOn w:val="1"/>
    <w:qFormat/>
    <w:uiPriority w:val="99"/>
    <w:pPr>
      <w:keepLines/>
      <w:widowControl w:val="0"/>
      <w:numPr>
        <w:ilvl w:val="0"/>
        <w:numId w:val="2"/>
      </w:numPr>
      <w:spacing w:before="120" w:after="120" w:line="360" w:lineRule="auto"/>
      <w:outlineLvl w:val="2"/>
    </w:pPr>
    <w:rPr>
      <w:rFonts w:ascii="黑体" w:hAnsi="黑体" w:eastAsia="黑体" w:cs="黑体"/>
      <w:sz w:val="28"/>
      <w:szCs w:val="28"/>
      <w:lang w:val="zh-CN" w:eastAsia="en-US"/>
    </w:rPr>
  </w:style>
  <w:style w:type="paragraph" w:customStyle="1" w:styleId="81">
    <w:name w:val="List Paragraph1"/>
    <w:basedOn w:val="1"/>
    <w:qFormat/>
    <w:uiPriority w:val="99"/>
    <w:pPr>
      <w:widowControl w:val="0"/>
      <w:ind w:firstLine="420" w:firstLineChars="200"/>
      <w:jc w:val="both"/>
    </w:pPr>
    <w:rPr>
      <w:kern w:val="2"/>
      <w:sz w:val="21"/>
      <w:szCs w:val="21"/>
    </w:rPr>
  </w:style>
  <w:style w:type="paragraph" w:customStyle="1" w:styleId="82">
    <w:name w:val="my正文"/>
    <w:basedOn w:val="1"/>
    <w:qFormat/>
    <w:uiPriority w:val="99"/>
    <w:pPr>
      <w:widowControl w:val="0"/>
      <w:spacing w:line="360" w:lineRule="auto"/>
      <w:ind w:firstLine="200" w:firstLineChars="200"/>
      <w:jc w:val="both"/>
    </w:pPr>
    <w:rPr>
      <w:rFonts w:ascii="宋体" w:hAnsi="宋体" w:eastAsia="仿宋" w:cs="宋体"/>
      <w:kern w:val="2"/>
      <w:sz w:val="28"/>
      <w:szCs w:val="28"/>
    </w:rPr>
  </w:style>
  <w:style w:type="paragraph" w:customStyle="1" w:styleId="83">
    <w:name w:val="首行缩进"/>
    <w:basedOn w:val="1"/>
    <w:qFormat/>
    <w:uiPriority w:val="99"/>
    <w:pPr>
      <w:widowControl w:val="0"/>
      <w:spacing w:line="360" w:lineRule="auto"/>
      <w:ind w:firstLine="480" w:firstLineChars="200"/>
    </w:pPr>
    <w:rPr>
      <w:rFonts w:ascii="宋体" w:hAnsi="宋体" w:cs="宋体"/>
      <w:kern w:val="2"/>
      <w:sz w:val="24"/>
      <w:szCs w:val="24"/>
    </w:rPr>
  </w:style>
  <w:style w:type="paragraph" w:customStyle="1" w:styleId="84">
    <w:name w:val="_Style 299"/>
    <w:basedOn w:val="1"/>
    <w:next w:val="77"/>
    <w:qFormat/>
    <w:uiPriority w:val="99"/>
    <w:pPr>
      <w:widowControl w:val="0"/>
      <w:ind w:firstLine="420" w:firstLineChars="200"/>
      <w:jc w:val="both"/>
    </w:pPr>
    <w:rPr>
      <w:rFonts w:ascii="Calibri" w:hAnsi="Calibri" w:cs="Calibri"/>
      <w:kern w:val="2"/>
      <w:sz w:val="21"/>
      <w:szCs w:val="21"/>
    </w:rPr>
  </w:style>
  <w:style w:type="paragraph" w:customStyle="1" w:styleId="85">
    <w:name w:val="_Style 4"/>
    <w:basedOn w:val="1"/>
    <w:next w:val="77"/>
    <w:qFormat/>
    <w:uiPriority w:val="99"/>
    <w:pPr>
      <w:widowControl w:val="0"/>
      <w:ind w:firstLine="420" w:firstLineChars="200"/>
      <w:jc w:val="both"/>
    </w:pPr>
    <w:rPr>
      <w:rFonts w:ascii="Calibri" w:hAnsi="Calibri" w:cs="Calibri"/>
      <w:kern w:val="2"/>
      <w:sz w:val="21"/>
      <w:szCs w:val="21"/>
      <w:lang w:val="zh-CN"/>
    </w:rPr>
  </w:style>
  <w:style w:type="paragraph" w:customStyle="1" w:styleId="8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87">
    <w:name w:val="font21"/>
    <w:qFormat/>
    <w:uiPriority w:val="0"/>
    <w:rPr>
      <w:rFonts w:ascii="微软雅黑" w:hAnsi="微软雅黑" w:eastAsia="微软雅黑" w:cs="微软雅黑"/>
      <w:color w:val="000000"/>
      <w:sz w:val="20"/>
      <w:szCs w:val="20"/>
      <w:u w:val="none"/>
    </w:rPr>
  </w:style>
  <w:style w:type="character" w:customStyle="1" w:styleId="88">
    <w:name w:val="font01"/>
    <w:qFormat/>
    <w:uiPriority w:val="0"/>
    <w:rPr>
      <w:rFonts w:ascii="宋体" w:hAnsi="宋体" w:eastAsia="宋体" w:cs="宋体"/>
      <w:color w:val="000000"/>
      <w:sz w:val="20"/>
      <w:szCs w:val="20"/>
      <w:u w:val="none"/>
    </w:rPr>
  </w:style>
  <w:style w:type="paragraph" w:customStyle="1" w:styleId="89">
    <w:name w:val="正文 A"/>
    <w:qFormat/>
    <w:uiPriority w:val="99"/>
    <w:pPr>
      <w:widowControl w:val="0"/>
      <w:jc w:val="both"/>
    </w:pPr>
    <w:rPr>
      <w:rFonts w:ascii="Times New Roman" w:hAnsi="Times New Roman" w:eastAsia="Arial Unicode MS" w:cs="Times New Roman"/>
      <w:color w:val="000000"/>
      <w:kern w:val="2"/>
      <w:sz w:val="21"/>
      <w:szCs w:val="21"/>
      <w:lang w:val="en-US" w:eastAsia="zh-CN" w:bidi="ar-SA"/>
    </w:rPr>
  </w:style>
  <w:style w:type="character" w:customStyle="1" w:styleId="90">
    <w:name w:val="fontstyle01"/>
    <w:qFormat/>
    <w:uiPriority w:val="0"/>
    <w:rPr>
      <w:rFonts w:ascii="宋体" w:hAnsi="宋体" w:eastAsia="宋体" w:cs="宋体"/>
      <w:color w:val="000000"/>
      <w:sz w:val="22"/>
      <w:szCs w:val="22"/>
    </w:rPr>
  </w:style>
  <w:style w:type="character" w:customStyle="1" w:styleId="91">
    <w:name w:val="font11"/>
    <w:qFormat/>
    <w:uiPriority w:val="0"/>
    <w:rPr>
      <w:rFonts w:ascii="宋体" w:hAnsi="宋体" w:eastAsia="宋体" w:cs="宋体"/>
      <w:color w:val="000000"/>
      <w:sz w:val="22"/>
      <w:szCs w:val="22"/>
      <w:u w:val="none"/>
    </w:rPr>
  </w:style>
  <w:style w:type="paragraph" w:customStyle="1" w:styleId="92">
    <w:name w:val="列表段落1"/>
    <w:basedOn w:val="1"/>
    <w:qFormat/>
    <w:uiPriority w:val="99"/>
    <w:pPr>
      <w:widowControl w:val="0"/>
      <w:ind w:firstLine="420" w:firstLineChars="200"/>
      <w:jc w:val="both"/>
    </w:pPr>
    <w:rPr>
      <w:rFonts w:ascii="等线" w:hAnsi="等线" w:eastAsia="等线" w:cs="等线"/>
      <w:kern w:val="2"/>
      <w:sz w:val="21"/>
      <w:szCs w:val="21"/>
    </w:rPr>
  </w:style>
  <w:style w:type="character" w:customStyle="1" w:styleId="93">
    <w:name w:val="msoins"/>
    <w:qFormat/>
    <w:uiPriority w:val="0"/>
    <w:rPr>
      <w:rFonts w:ascii="Arial" w:hAnsi="Arial" w:cs="Arial"/>
      <w:b/>
      <w:bCs/>
      <w:kern w:val="0"/>
      <w:sz w:val="24"/>
      <w:szCs w:val="24"/>
      <w:lang w:eastAsia="en-US"/>
    </w:rPr>
  </w:style>
  <w:style w:type="character" w:customStyle="1" w:styleId="94">
    <w:name w:val="页脚 Char1"/>
    <w:qFormat/>
    <w:uiPriority w:val="99"/>
    <w:rPr>
      <w:sz w:val="18"/>
      <w:szCs w:val="18"/>
    </w:rPr>
  </w:style>
  <w:style w:type="character" w:customStyle="1" w:styleId="95">
    <w:name w:val="textcontents"/>
    <w:qFormat/>
    <w:uiPriority w:val="0"/>
  </w:style>
  <w:style w:type="character" w:customStyle="1" w:styleId="96">
    <w:name w:val="标题 Char"/>
    <w:qFormat/>
    <w:uiPriority w:val="10"/>
    <w:rPr>
      <w:rFonts w:ascii="Cambria" w:hAnsi="Cambria" w:cs="Times New Roman"/>
      <w:b/>
      <w:bCs/>
      <w:sz w:val="32"/>
      <w:szCs w:val="32"/>
    </w:rPr>
  </w:style>
  <w:style w:type="paragraph" w:customStyle="1" w:styleId="97">
    <w:name w:val="_Style 16"/>
    <w:basedOn w:val="1"/>
    <w:next w:val="77"/>
    <w:qFormat/>
    <w:uiPriority w:val="34"/>
    <w:pPr>
      <w:widowControl w:val="0"/>
      <w:ind w:firstLine="420" w:firstLineChars="200"/>
      <w:jc w:val="both"/>
    </w:pPr>
    <w:rPr>
      <w:kern w:val="2"/>
      <w:sz w:val="21"/>
      <w:szCs w:val="24"/>
    </w:rPr>
  </w:style>
  <w:style w:type="paragraph" w:customStyle="1" w:styleId="98">
    <w:name w:val="列出段落5"/>
    <w:basedOn w:val="1"/>
    <w:qFormat/>
    <w:uiPriority w:val="99"/>
    <w:pPr>
      <w:widowControl w:val="0"/>
      <w:adjustRightInd w:val="0"/>
      <w:spacing w:line="360" w:lineRule="auto"/>
      <w:ind w:firstLine="420" w:firstLineChars="200"/>
      <w:jc w:val="both"/>
    </w:pPr>
    <w:rPr>
      <w:rFonts w:ascii="Calibri" w:hAnsi="Calibri"/>
      <w:kern w:val="2"/>
      <w:sz w:val="28"/>
      <w:szCs w:val="24"/>
    </w:rPr>
  </w:style>
  <w:style w:type="paragraph" w:customStyle="1" w:styleId="99">
    <w:name w:val="正文内容"/>
    <w:basedOn w:val="1"/>
    <w:link w:val="100"/>
    <w:qFormat/>
    <w:uiPriority w:val="0"/>
    <w:pPr>
      <w:widowControl w:val="0"/>
      <w:adjustRightInd w:val="0"/>
      <w:spacing w:line="360" w:lineRule="auto"/>
      <w:ind w:firstLine="480" w:firstLineChars="200"/>
      <w:jc w:val="both"/>
    </w:pPr>
    <w:rPr>
      <w:rFonts w:ascii="Calibri" w:hAnsi="Calibri"/>
      <w:kern w:val="2"/>
      <w:sz w:val="28"/>
      <w:szCs w:val="24"/>
    </w:rPr>
  </w:style>
  <w:style w:type="character" w:customStyle="1" w:styleId="100">
    <w:name w:val="正文内容 Char"/>
    <w:link w:val="99"/>
    <w:qFormat/>
    <w:uiPriority w:val="0"/>
    <w:rPr>
      <w:rFonts w:ascii="Calibri" w:hAnsi="Calibri" w:eastAsia="宋体" w:cs="Times New Roman"/>
      <w:kern w:val="2"/>
      <w:sz w:val="28"/>
      <w:szCs w:val="24"/>
    </w:rPr>
  </w:style>
  <w:style w:type="paragraph" w:customStyle="1" w:styleId="101">
    <w:name w:val="项目编号B"/>
    <w:basedOn w:val="1"/>
    <w:qFormat/>
    <w:uiPriority w:val="99"/>
    <w:pPr>
      <w:widowControl w:val="0"/>
      <w:numPr>
        <w:ilvl w:val="0"/>
        <w:numId w:val="3"/>
      </w:numPr>
      <w:adjustRightInd w:val="0"/>
      <w:spacing w:line="440" w:lineRule="exact"/>
      <w:ind w:firstLine="0"/>
      <w:jc w:val="both"/>
    </w:pPr>
    <w:rPr>
      <w:rFonts w:ascii="Arial" w:hAnsi="Arial"/>
      <w:kern w:val="2"/>
      <w:sz w:val="24"/>
      <w:szCs w:val="24"/>
    </w:rPr>
  </w:style>
  <w:style w:type="paragraph" w:customStyle="1" w:styleId="102">
    <w:name w:val="msolistparagraph"/>
    <w:basedOn w:val="1"/>
    <w:qFormat/>
    <w:uiPriority w:val="0"/>
    <w:pPr>
      <w:widowControl w:val="0"/>
      <w:adjustRightInd w:val="0"/>
      <w:spacing w:line="360" w:lineRule="auto"/>
      <w:ind w:firstLine="420" w:firstLineChars="200"/>
      <w:jc w:val="both"/>
    </w:pPr>
    <w:rPr>
      <w:rFonts w:ascii="Calibri" w:hAnsi="Calibri"/>
      <w:sz w:val="28"/>
      <w:szCs w:val="22"/>
    </w:rPr>
  </w:style>
  <w:style w:type="paragraph" w:customStyle="1" w:styleId="103">
    <w:name w:val="列出段落1"/>
    <w:basedOn w:val="1"/>
    <w:unhideWhenUsed/>
    <w:qFormat/>
    <w:uiPriority w:val="99"/>
    <w:pPr>
      <w:widowControl w:val="0"/>
      <w:adjustRightInd w:val="0"/>
      <w:spacing w:line="360" w:lineRule="auto"/>
      <w:ind w:firstLine="420" w:firstLineChars="200"/>
      <w:jc w:val="both"/>
    </w:pPr>
    <w:rPr>
      <w:rFonts w:ascii="Calibri" w:hAnsi="Calibri"/>
      <w:kern w:val="2"/>
      <w:sz w:val="28"/>
      <w:szCs w:val="24"/>
    </w:rPr>
  </w:style>
  <w:style w:type="paragraph" w:customStyle="1" w:styleId="104">
    <w:name w:val="列出段落2"/>
    <w:basedOn w:val="1"/>
    <w:unhideWhenUsed/>
    <w:qFormat/>
    <w:uiPriority w:val="99"/>
    <w:pPr>
      <w:widowControl w:val="0"/>
      <w:adjustRightInd w:val="0"/>
      <w:spacing w:line="360" w:lineRule="auto"/>
      <w:ind w:firstLine="420" w:firstLineChars="200"/>
      <w:jc w:val="both"/>
      <w:textAlignment w:val="baseline"/>
    </w:pPr>
    <w:rPr>
      <w:rFonts w:ascii="宋体" w:hAnsi="宋体"/>
      <w:sz w:val="28"/>
      <w:szCs w:val="28"/>
    </w:rPr>
  </w:style>
  <w:style w:type="paragraph" w:customStyle="1" w:styleId="105">
    <w:name w:val="正文-宋体"/>
    <w:basedOn w:val="1"/>
    <w:link w:val="106"/>
    <w:qFormat/>
    <w:uiPriority w:val="0"/>
    <w:pPr>
      <w:spacing w:line="360" w:lineRule="auto"/>
      <w:ind w:firstLine="200" w:firstLineChars="200"/>
      <w:jc w:val="both"/>
    </w:pPr>
    <w:rPr>
      <w:sz w:val="28"/>
      <w:szCs w:val="22"/>
    </w:rPr>
  </w:style>
  <w:style w:type="character" w:customStyle="1" w:styleId="106">
    <w:name w:val="正文-宋体 Char"/>
    <w:link w:val="105"/>
    <w:qFormat/>
    <w:uiPriority w:val="0"/>
    <w:rPr>
      <w:sz w:val="28"/>
      <w:szCs w:val="22"/>
    </w:rPr>
  </w:style>
  <w:style w:type="paragraph" w:customStyle="1" w:styleId="107">
    <w:name w:val="项目符号 1"/>
    <w:basedOn w:val="1"/>
    <w:link w:val="108"/>
    <w:qFormat/>
    <w:uiPriority w:val="0"/>
    <w:pPr>
      <w:numPr>
        <w:ilvl w:val="0"/>
        <w:numId w:val="4"/>
      </w:numPr>
      <w:adjustRightInd w:val="0"/>
      <w:spacing w:line="360" w:lineRule="auto"/>
      <w:ind w:left="0" w:firstLine="200" w:firstLineChars="200"/>
      <w:jc w:val="both"/>
    </w:pPr>
    <w:rPr>
      <w:rFonts w:ascii="Calibri" w:hAnsi="Calibri"/>
      <w:sz w:val="28"/>
      <w:szCs w:val="22"/>
    </w:rPr>
  </w:style>
  <w:style w:type="character" w:customStyle="1" w:styleId="108">
    <w:name w:val="项目符号 1 Char"/>
    <w:link w:val="107"/>
    <w:qFormat/>
    <w:uiPriority w:val="0"/>
    <w:rPr>
      <w:rFonts w:ascii="Calibri" w:hAnsi="Calibri"/>
      <w:sz w:val="28"/>
      <w:szCs w:val="22"/>
    </w:rPr>
  </w:style>
  <w:style w:type="paragraph" w:customStyle="1" w:styleId="109">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110">
    <w:name w:val="列出段落3"/>
    <w:basedOn w:val="1"/>
    <w:unhideWhenUsed/>
    <w:qFormat/>
    <w:uiPriority w:val="34"/>
    <w:pPr>
      <w:widowControl w:val="0"/>
      <w:adjustRightInd w:val="0"/>
      <w:spacing w:line="360" w:lineRule="auto"/>
      <w:ind w:firstLine="420" w:firstLineChars="200"/>
      <w:jc w:val="both"/>
      <w:textAlignment w:val="baseline"/>
    </w:pPr>
    <w:rPr>
      <w:rFonts w:ascii="Calibri" w:hAnsi="Calibri"/>
      <w:sz w:val="28"/>
      <w:szCs w:val="22"/>
    </w:rPr>
  </w:style>
  <w:style w:type="paragraph" w:customStyle="1" w:styleId="111">
    <w:name w:val="表格非标题文字"/>
    <w:link w:val="112"/>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112">
    <w:name w:val="表格非标题文字 Char"/>
    <w:link w:val="111"/>
    <w:qFormat/>
    <w:uiPriority w:val="0"/>
    <w:rPr>
      <w:rFonts w:ascii="Futura Bk" w:hAnsi="Futura Bk"/>
      <w:kern w:val="2"/>
      <w:sz w:val="18"/>
      <w:szCs w:val="21"/>
    </w:rPr>
  </w:style>
  <w:style w:type="paragraph" w:customStyle="1" w:styleId="113">
    <w:name w:val="Table Text"/>
    <w:basedOn w:val="1"/>
    <w:link w:val="114"/>
    <w:qFormat/>
    <w:uiPriority w:val="0"/>
    <w:pPr>
      <w:widowControl w:val="0"/>
      <w:jc w:val="both"/>
    </w:pPr>
    <w:rPr>
      <w:kern w:val="2"/>
      <w:sz w:val="18"/>
      <w:szCs w:val="24"/>
    </w:rPr>
  </w:style>
  <w:style w:type="character" w:customStyle="1" w:styleId="114">
    <w:name w:val="Table Text Char1"/>
    <w:link w:val="113"/>
    <w:qFormat/>
    <w:uiPriority w:val="0"/>
    <w:rPr>
      <w:kern w:val="2"/>
      <w:sz w:val="18"/>
      <w:szCs w:val="24"/>
    </w:rPr>
  </w:style>
  <w:style w:type="paragraph" w:customStyle="1" w:styleId="115">
    <w:name w:val="TOC 标题1"/>
    <w:basedOn w:val="2"/>
    <w:next w:val="1"/>
    <w:unhideWhenUsed/>
    <w:qFormat/>
    <w:uiPriority w:val="39"/>
    <w:pPr>
      <w:keepLines/>
      <w:spacing w:before="480" w:line="276" w:lineRule="auto"/>
      <w:jc w:val="left"/>
      <w:outlineLvl w:val="9"/>
    </w:pPr>
    <w:rPr>
      <w:rFonts w:ascii="Cambria" w:hAnsi="Cambria" w:cs="Times New Roman"/>
      <w:b/>
      <w:bCs/>
      <w:color w:val="366091"/>
      <w:sz w:val="28"/>
      <w:szCs w:val="28"/>
    </w:rPr>
  </w:style>
  <w:style w:type="paragraph" w:customStyle="1" w:styleId="116">
    <w:name w:val="TOC 标题2"/>
    <w:basedOn w:val="2"/>
    <w:next w:val="1"/>
    <w:unhideWhenUsed/>
    <w:qFormat/>
    <w:uiPriority w:val="39"/>
    <w:pPr>
      <w:keepLines/>
      <w:spacing w:before="480" w:line="276" w:lineRule="auto"/>
      <w:jc w:val="left"/>
      <w:outlineLvl w:val="9"/>
    </w:pPr>
    <w:rPr>
      <w:rFonts w:ascii="Cambria" w:hAnsi="Cambria" w:cs="Times New Roman"/>
      <w:b/>
      <w:bCs/>
      <w:color w:val="366091"/>
      <w:sz w:val="28"/>
      <w:szCs w:val="28"/>
    </w:rPr>
  </w:style>
  <w:style w:type="paragraph" w:customStyle="1" w:styleId="117">
    <w:name w:val="1"/>
    <w:basedOn w:val="1"/>
    <w:qFormat/>
    <w:uiPriority w:val="0"/>
    <w:pPr>
      <w:adjustRightInd w:val="0"/>
      <w:spacing w:before="100" w:beforeAutospacing="1" w:after="100" w:afterAutospacing="1" w:line="360" w:lineRule="auto"/>
      <w:ind w:firstLine="560" w:firstLineChars="200"/>
    </w:pPr>
    <w:rPr>
      <w:rFonts w:ascii="宋体" w:hAnsi="宋体" w:cs="宋体"/>
      <w:sz w:val="24"/>
      <w:szCs w:val="24"/>
    </w:rPr>
  </w:style>
  <w:style w:type="character" w:customStyle="1" w:styleId="118">
    <w:name w:val="apple-converted-space"/>
    <w:qFormat/>
    <w:uiPriority w:val="0"/>
  </w:style>
  <w:style w:type="paragraph" w:customStyle="1" w:styleId="119">
    <w:name w:val="列出段落4"/>
    <w:basedOn w:val="1"/>
    <w:qFormat/>
    <w:uiPriority w:val="34"/>
    <w:pPr>
      <w:adjustRightInd w:val="0"/>
      <w:spacing w:before="100" w:beforeAutospacing="1" w:after="100" w:afterAutospacing="1" w:line="360" w:lineRule="auto"/>
      <w:ind w:firstLine="560" w:firstLineChars="200"/>
    </w:pPr>
    <w:rPr>
      <w:rFonts w:ascii="宋体" w:hAnsi="宋体" w:cs="宋体"/>
      <w:sz w:val="24"/>
      <w:szCs w:val="24"/>
    </w:rPr>
  </w:style>
  <w:style w:type="paragraph" w:customStyle="1" w:styleId="120">
    <w:name w:val="标书正文格式"/>
    <w:qFormat/>
    <w:uiPriority w:val="0"/>
    <w:pPr>
      <w:ind w:firstLine="200" w:firstLineChars="200"/>
    </w:pPr>
    <w:rPr>
      <w:rFonts w:ascii="Times New Roman" w:hAnsi="Times New Roman" w:eastAsia="宋体" w:cs="Times New Roman"/>
      <w:kern w:val="2"/>
      <w:sz w:val="24"/>
      <w:szCs w:val="24"/>
      <w:lang w:val="en-US" w:eastAsia="zh-CN" w:bidi="ar-SA"/>
    </w:rPr>
  </w:style>
  <w:style w:type="paragraph" w:customStyle="1" w:styleId="121">
    <w:name w:val="0-0"/>
    <w:basedOn w:val="14"/>
    <w:qFormat/>
    <w:uiPriority w:val="0"/>
    <w:pPr>
      <w:widowControl/>
      <w:adjustRightInd w:val="0"/>
      <w:spacing w:line="360" w:lineRule="auto"/>
      <w:ind w:firstLine="0"/>
      <w:jc w:val="left"/>
    </w:pPr>
    <w:rPr>
      <w:rFonts w:ascii="宋体" w:hAnsi="Times New Roman" w:eastAsia="宋体" w:cs="Calibri"/>
      <w:kern w:val="0"/>
      <w:sz w:val="24"/>
      <w:szCs w:val="20"/>
    </w:rPr>
  </w:style>
  <w:style w:type="paragraph" w:customStyle="1" w:styleId="122">
    <w:name w:val="_Style 1"/>
    <w:basedOn w:val="1"/>
    <w:qFormat/>
    <w:uiPriority w:val="34"/>
    <w:pPr>
      <w:widowControl w:val="0"/>
      <w:adjustRightInd w:val="0"/>
      <w:spacing w:line="360" w:lineRule="auto"/>
      <w:ind w:firstLine="420" w:firstLineChars="200"/>
      <w:jc w:val="both"/>
    </w:pPr>
    <w:rPr>
      <w:rFonts w:ascii="Calibri" w:hAnsi="Calibri"/>
      <w:kern w:val="2"/>
      <w:sz w:val="28"/>
      <w:szCs w:val="24"/>
    </w:rPr>
  </w:style>
  <w:style w:type="paragraph" w:customStyle="1" w:styleId="123">
    <w:name w:val="正文（首行缩进）"/>
    <w:basedOn w:val="1"/>
    <w:qFormat/>
    <w:uiPriority w:val="0"/>
    <w:pPr>
      <w:adjustRightInd w:val="0"/>
      <w:spacing w:afterLines="50" w:line="276" w:lineRule="auto"/>
      <w:ind w:firstLine="480" w:firstLineChars="200"/>
    </w:pPr>
    <w:rPr>
      <w:rFonts w:ascii="宋体" w:hAnsi="Calibri"/>
      <w:sz w:val="24"/>
      <w:szCs w:val="24"/>
      <w:lang w:eastAsia="en-US" w:bidi="en-US"/>
    </w:rPr>
  </w:style>
  <w:style w:type="paragraph" w:customStyle="1" w:styleId="124">
    <w:name w:val="Style14"/>
    <w:basedOn w:val="1"/>
    <w:qFormat/>
    <w:uiPriority w:val="0"/>
    <w:pPr>
      <w:widowControl w:val="0"/>
      <w:adjustRightInd w:val="0"/>
      <w:spacing w:line="360" w:lineRule="auto"/>
      <w:ind w:left="706" w:leftChars="336" w:firstLine="1" w:firstLineChars="200"/>
      <w:jc w:val="both"/>
    </w:pPr>
    <w:rPr>
      <w:rFonts w:ascii="宋体" w:hAnsi="宋体" w:cs="Arial"/>
      <w:kern w:val="2"/>
      <w:sz w:val="24"/>
      <w:szCs w:val="24"/>
    </w:rPr>
  </w:style>
  <w:style w:type="paragraph" w:customStyle="1" w:styleId="125">
    <w:name w:val="Style15"/>
    <w:basedOn w:val="1"/>
    <w:qFormat/>
    <w:uiPriority w:val="0"/>
    <w:pPr>
      <w:widowControl w:val="0"/>
      <w:numPr>
        <w:ilvl w:val="0"/>
        <w:numId w:val="5"/>
      </w:numPr>
      <w:adjustRightInd w:val="0"/>
      <w:spacing w:before="120" w:after="120" w:line="360" w:lineRule="auto"/>
      <w:ind w:firstLine="200" w:firstLineChars="200"/>
      <w:jc w:val="both"/>
    </w:pPr>
    <w:rPr>
      <w:rFonts w:ascii="宋体" w:hAnsi="宋体"/>
      <w:kern w:val="2"/>
      <w:sz w:val="24"/>
      <w:szCs w:val="24"/>
    </w:rPr>
  </w:style>
  <w:style w:type="character" w:customStyle="1" w:styleId="126">
    <w:name w:val="fontstyle21"/>
    <w:qFormat/>
    <w:uiPriority w:val="0"/>
    <w:rPr>
      <w:rFonts w:hint="eastAsia" w:ascii="宋体" w:hAnsi="宋体" w:eastAsia="宋体"/>
      <w:color w:val="000000"/>
      <w:sz w:val="24"/>
      <w:szCs w:val="24"/>
    </w:rPr>
  </w:style>
  <w:style w:type="paragraph" w:customStyle="1" w:styleId="127">
    <w:name w:val="Style13"/>
    <w:basedOn w:val="1"/>
    <w:qFormat/>
    <w:uiPriority w:val="0"/>
    <w:pPr>
      <w:numPr>
        <w:ilvl w:val="0"/>
        <w:numId w:val="6"/>
      </w:numPr>
    </w:pPr>
    <w:rPr>
      <w:rFonts w:ascii="宋体" w:hAnsi="宋体"/>
      <w:szCs w:val="24"/>
    </w:rPr>
  </w:style>
  <w:style w:type="paragraph" w:customStyle="1" w:styleId="128">
    <w:name w:val="Style11"/>
    <w:basedOn w:val="1"/>
    <w:qFormat/>
    <w:uiPriority w:val="0"/>
    <w:pPr>
      <w:numPr>
        <w:ilvl w:val="0"/>
        <w:numId w:val="7"/>
      </w:numPr>
      <w:spacing w:line="360" w:lineRule="auto"/>
    </w:pPr>
    <w:rPr>
      <w:rFonts w:ascii="宋体" w:hAnsi="宋体"/>
      <w:szCs w:val="24"/>
    </w:rPr>
  </w:style>
  <w:style w:type="paragraph" w:customStyle="1" w:styleId="129">
    <w:name w:val="标书样式"/>
    <w:basedOn w:val="1"/>
    <w:qFormat/>
    <w:uiPriority w:val="0"/>
    <w:pPr>
      <w:adjustRightInd w:val="0"/>
      <w:spacing w:line="360" w:lineRule="auto"/>
      <w:ind w:firstLine="480" w:firstLineChars="200"/>
    </w:pPr>
    <w:rPr>
      <w:rFonts w:eastAsia="仿宋_GB2312"/>
      <w:sz w:val="24"/>
    </w:rPr>
  </w:style>
  <w:style w:type="paragraph" w:customStyle="1" w:styleId="130">
    <w:name w:val="WPSOffice手动目录 1"/>
    <w:qFormat/>
    <w:uiPriority w:val="0"/>
    <w:rPr>
      <w:rFonts w:ascii="Calibri" w:hAnsi="Calibri" w:eastAsia="宋体" w:cs="Times New Roman"/>
      <w:lang w:val="en-US" w:eastAsia="zh-CN" w:bidi="ar-SA"/>
    </w:rPr>
  </w:style>
  <w:style w:type="paragraph" w:customStyle="1" w:styleId="131">
    <w:name w:val="WPSOffice手动目录 2"/>
    <w:qFormat/>
    <w:uiPriority w:val="0"/>
    <w:pPr>
      <w:ind w:left="200" w:leftChars="200"/>
    </w:pPr>
    <w:rPr>
      <w:rFonts w:ascii="Calibri" w:hAnsi="Calibri" w:eastAsia="宋体" w:cs="Times New Roman"/>
      <w:lang w:val="en-US" w:eastAsia="zh-CN" w:bidi="ar-SA"/>
    </w:rPr>
  </w:style>
  <w:style w:type="paragraph" w:customStyle="1" w:styleId="132">
    <w:name w:val="WPSOffice手动目录 3"/>
    <w:qFormat/>
    <w:uiPriority w:val="0"/>
    <w:pPr>
      <w:ind w:left="400" w:leftChars="400"/>
    </w:pPr>
    <w:rPr>
      <w:rFonts w:ascii="Calibri" w:hAnsi="Calibri" w:eastAsia="宋体" w:cs="Times New Roman"/>
      <w:lang w:val="en-US" w:eastAsia="zh-CN" w:bidi="ar-SA"/>
    </w:rPr>
  </w:style>
  <w:style w:type="character" w:customStyle="1" w:styleId="133">
    <w:name w:val="列出段落 Char1"/>
    <w:qFormat/>
    <w:locked/>
    <w:uiPriority w:val="34"/>
    <w:rPr>
      <w:rFonts w:ascii="Calibri" w:hAnsi="Calibri"/>
      <w:kern w:val="2"/>
      <w:sz w:val="21"/>
      <w:szCs w:val="22"/>
    </w:rPr>
  </w:style>
  <w:style w:type="paragraph" w:customStyle="1" w:styleId="134">
    <w:name w:val="项目编号A"/>
    <w:qFormat/>
    <w:uiPriority w:val="0"/>
    <w:pPr>
      <w:numPr>
        <w:ilvl w:val="0"/>
        <w:numId w:val="8"/>
      </w:numPr>
      <w:tabs>
        <w:tab w:val="left" w:pos="840"/>
      </w:tabs>
      <w:spacing w:line="360" w:lineRule="auto"/>
    </w:pPr>
    <w:rPr>
      <w:rFonts w:ascii="Times New Roman" w:hAnsi="Times New Roman" w:eastAsia="宋体" w:cs="Times New Roman"/>
      <w:kern w:val="2"/>
      <w:sz w:val="24"/>
      <w:szCs w:val="24"/>
      <w:lang w:val="en-US" w:eastAsia="zh-CN" w:bidi="ar-SA"/>
    </w:rPr>
  </w:style>
  <w:style w:type="paragraph" w:customStyle="1" w:styleId="135">
    <w:name w:val="修订2"/>
    <w:unhideWhenUsed/>
    <w:qFormat/>
    <w:uiPriority w:val="99"/>
    <w:rPr>
      <w:rFonts w:ascii="Times New Roman" w:hAnsi="Times New Roman" w:eastAsia="宋体" w:cs="Times New Roman"/>
      <w:lang w:val="en-US" w:eastAsia="zh-CN" w:bidi="ar-SA"/>
    </w:rPr>
  </w:style>
  <w:style w:type="character" w:customStyle="1" w:styleId="136">
    <w:name w:val="普通(网站) Char2"/>
    <w:qFormat/>
    <w:uiPriority w:val="99"/>
    <w:rPr>
      <w:rFonts w:ascii="宋体" w:hAnsi="宋体"/>
      <w:sz w:val="18"/>
      <w:szCs w:val="18"/>
    </w:rPr>
  </w:style>
  <w:style w:type="paragraph" w:customStyle="1" w:styleId="137">
    <w:name w:val="正文11"/>
    <w:qFormat/>
    <w:uiPriority w:val="0"/>
    <w:pPr>
      <w:spacing w:line="360" w:lineRule="auto"/>
      <w:ind w:firstLine="482"/>
    </w:pPr>
    <w:rPr>
      <w:rFonts w:ascii="Times New Roman" w:hAnsi="Times New Roman" w:eastAsia="宋体" w:cs="宋体"/>
      <w:sz w:val="24"/>
      <w:lang w:val="en-US" w:eastAsia="zh-CN" w:bidi="ar-SA"/>
    </w:rPr>
  </w:style>
  <w:style w:type="paragraph" w:customStyle="1" w:styleId="138">
    <w:name w:val="_Style 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9">
    <w:name w:val="列表段落2"/>
    <w:basedOn w:val="1"/>
    <w:qFormat/>
    <w:uiPriority w:val="34"/>
    <w:pPr>
      <w:widowControl w:val="0"/>
      <w:ind w:firstLine="420" w:firstLineChars="200"/>
      <w:jc w:val="both"/>
    </w:pPr>
    <w:rPr>
      <w:rFonts w:ascii="Calibri" w:hAnsi="Calibri"/>
      <w:kern w:val="2"/>
      <w:sz w:val="21"/>
      <w:szCs w:val="22"/>
    </w:rPr>
  </w:style>
  <w:style w:type="character" w:customStyle="1" w:styleId="140">
    <w:name w:val="表格 字符"/>
    <w:link w:val="141"/>
    <w:qFormat/>
    <w:locked/>
    <w:uiPriority w:val="0"/>
    <w:rPr>
      <w:rFonts w:ascii="宋体" w:hAnsi="Courier New" w:cs="Courier New"/>
      <w:kern w:val="2"/>
      <w:sz w:val="21"/>
      <w:szCs w:val="21"/>
    </w:rPr>
  </w:style>
  <w:style w:type="paragraph" w:customStyle="1" w:styleId="141">
    <w:name w:val="表格"/>
    <w:basedOn w:val="23"/>
    <w:link w:val="140"/>
    <w:qFormat/>
    <w:uiPriority w:val="0"/>
    <w:pPr>
      <w:adjustRightInd/>
      <w:spacing w:line="240" w:lineRule="auto"/>
      <w:ind w:firstLine="0" w:firstLineChars="0"/>
      <w:jc w:val="left"/>
    </w:pPr>
    <w:rPr>
      <w:rFonts w:cs="Courier New"/>
      <w:sz w:val="21"/>
      <w:szCs w:val="21"/>
    </w:rPr>
  </w:style>
  <w:style w:type="character" w:customStyle="1" w:styleId="142">
    <w:name w:val="批注文字 Char1"/>
    <w:qFormat/>
    <w:uiPriority w:val="99"/>
    <w:rPr>
      <w:rFonts w:ascii="Times New Roman" w:hAnsi="Times New Roman" w:eastAsia="宋体" w:cs="Times New Roman"/>
      <w:kern w:val="0"/>
      <w:sz w:val="24"/>
      <w:szCs w:val="20"/>
    </w:rPr>
  </w:style>
  <w:style w:type="character" w:customStyle="1" w:styleId="143">
    <w:name w:val="批注框文本 Char1"/>
    <w:semiHidden/>
    <w:qFormat/>
    <w:uiPriority w:val="99"/>
    <w:rPr>
      <w:rFonts w:ascii="宋体" w:hAnsi="宋体" w:eastAsia="宋体" w:cs="宋体"/>
      <w:kern w:val="0"/>
      <w:sz w:val="18"/>
      <w:szCs w:val="18"/>
    </w:rPr>
  </w:style>
  <w:style w:type="character" w:customStyle="1" w:styleId="144">
    <w:name w:val="页眉 Char1"/>
    <w:qFormat/>
    <w:uiPriority w:val="99"/>
    <w:rPr>
      <w:sz w:val="18"/>
      <w:szCs w:val="18"/>
    </w:rPr>
  </w:style>
  <w:style w:type="character" w:customStyle="1" w:styleId="145">
    <w:name w:val="样式8 Char"/>
    <w:link w:val="146"/>
    <w:qFormat/>
    <w:locked/>
    <w:uiPriority w:val="0"/>
    <w:rPr>
      <w:rFonts w:ascii="黑体" w:hAnsi="黑体" w:eastAsia="黑体"/>
      <w:b/>
      <w:sz w:val="24"/>
      <w:szCs w:val="24"/>
    </w:rPr>
  </w:style>
  <w:style w:type="paragraph" w:customStyle="1" w:styleId="146">
    <w:name w:val="样式8"/>
    <w:basedOn w:val="147"/>
    <w:next w:val="1"/>
    <w:link w:val="145"/>
    <w:qFormat/>
    <w:uiPriority w:val="0"/>
    <w:pPr>
      <w:tabs>
        <w:tab w:val="left" w:pos="780"/>
      </w:tabs>
      <w:outlineLvl w:val="7"/>
    </w:pPr>
    <w:rPr>
      <w:sz w:val="24"/>
      <w:szCs w:val="24"/>
    </w:rPr>
  </w:style>
  <w:style w:type="paragraph" w:customStyle="1" w:styleId="147">
    <w:name w:val="样式1"/>
    <w:basedOn w:val="77"/>
    <w:next w:val="1"/>
    <w:link w:val="148"/>
    <w:qFormat/>
    <w:uiPriority w:val="0"/>
    <w:pPr>
      <w:widowControl w:val="0"/>
      <w:tabs>
        <w:tab w:val="left" w:pos="780"/>
      </w:tabs>
      <w:spacing w:beforeLines="50" w:afterLines="50" w:line="360" w:lineRule="auto"/>
      <w:ind w:left="780" w:firstLine="0" w:firstLineChars="0"/>
      <w:outlineLvl w:val="0"/>
    </w:pPr>
    <w:rPr>
      <w:rFonts w:ascii="黑体" w:hAnsi="黑体" w:eastAsia="黑体"/>
      <w:b/>
      <w:sz w:val="36"/>
      <w:szCs w:val="36"/>
    </w:rPr>
  </w:style>
  <w:style w:type="character" w:customStyle="1" w:styleId="148">
    <w:name w:val="样式1 Char"/>
    <w:link w:val="147"/>
    <w:qFormat/>
    <w:locked/>
    <w:uiPriority w:val="0"/>
    <w:rPr>
      <w:rFonts w:ascii="黑体" w:hAnsi="黑体" w:eastAsia="黑体"/>
      <w:b/>
      <w:sz w:val="36"/>
      <w:szCs w:val="36"/>
    </w:rPr>
  </w:style>
  <w:style w:type="character" w:customStyle="1" w:styleId="149">
    <w:name w:val="样式9 Char"/>
    <w:link w:val="150"/>
    <w:qFormat/>
    <w:locked/>
    <w:uiPriority w:val="0"/>
  </w:style>
  <w:style w:type="paragraph" w:customStyle="1" w:styleId="150">
    <w:name w:val="样式9"/>
    <w:basedOn w:val="146"/>
    <w:link w:val="149"/>
    <w:qFormat/>
    <w:uiPriority w:val="0"/>
    <w:pPr>
      <w:outlineLvl w:val="8"/>
    </w:pPr>
    <w:rPr>
      <w:rFonts w:ascii="Times New Roman" w:hAnsi="Times New Roman" w:eastAsia="宋体"/>
      <w:b w:val="0"/>
      <w:sz w:val="20"/>
      <w:szCs w:val="20"/>
    </w:rPr>
  </w:style>
  <w:style w:type="character" w:customStyle="1" w:styleId="151">
    <w:name w:val="图片 字符"/>
    <w:link w:val="152"/>
    <w:qFormat/>
    <w:locked/>
    <w:uiPriority w:val="0"/>
  </w:style>
  <w:style w:type="paragraph" w:customStyle="1" w:styleId="152">
    <w:name w:val="图片"/>
    <w:basedOn w:val="1"/>
    <w:next w:val="1"/>
    <w:link w:val="151"/>
    <w:qFormat/>
    <w:uiPriority w:val="0"/>
    <w:pPr>
      <w:widowControl w:val="0"/>
      <w:ind w:firstLine="200" w:firstLineChars="200"/>
      <w:jc w:val="center"/>
    </w:pPr>
  </w:style>
  <w:style w:type="character" w:customStyle="1" w:styleId="153">
    <w:name w:val="样式3 Char"/>
    <w:link w:val="154"/>
    <w:qFormat/>
    <w:locked/>
    <w:uiPriority w:val="0"/>
    <w:rPr>
      <w:rFonts w:ascii="黑体" w:hAnsi="黑体" w:eastAsia="黑体"/>
      <w:b/>
      <w:sz w:val="30"/>
      <w:szCs w:val="30"/>
    </w:rPr>
  </w:style>
  <w:style w:type="paragraph" w:customStyle="1" w:styleId="154">
    <w:name w:val="样式3"/>
    <w:basedOn w:val="77"/>
    <w:next w:val="1"/>
    <w:link w:val="153"/>
    <w:qFormat/>
    <w:uiPriority w:val="0"/>
    <w:pPr>
      <w:widowControl w:val="0"/>
      <w:numPr>
        <w:ilvl w:val="2"/>
        <w:numId w:val="9"/>
      </w:numPr>
      <w:tabs>
        <w:tab w:val="left" w:pos="780"/>
      </w:tabs>
      <w:spacing w:beforeLines="50" w:line="360" w:lineRule="auto"/>
      <w:ind w:firstLine="0" w:firstLineChars="0"/>
      <w:outlineLvl w:val="2"/>
    </w:pPr>
    <w:rPr>
      <w:rFonts w:ascii="黑体" w:hAnsi="黑体" w:eastAsia="黑体"/>
      <w:b/>
      <w:sz w:val="30"/>
      <w:szCs w:val="30"/>
    </w:rPr>
  </w:style>
  <w:style w:type="character" w:customStyle="1" w:styleId="155">
    <w:name w:val="样式7 Char"/>
    <w:link w:val="156"/>
    <w:qFormat/>
    <w:locked/>
    <w:uiPriority w:val="0"/>
    <w:rPr>
      <w:rFonts w:ascii="黑体" w:hAnsi="黑体" w:eastAsia="黑体"/>
      <w:b/>
      <w:sz w:val="24"/>
      <w:szCs w:val="24"/>
    </w:rPr>
  </w:style>
  <w:style w:type="paragraph" w:customStyle="1" w:styleId="156">
    <w:name w:val="样式7"/>
    <w:basedOn w:val="147"/>
    <w:next w:val="1"/>
    <w:link w:val="155"/>
    <w:qFormat/>
    <w:uiPriority w:val="0"/>
    <w:pPr>
      <w:outlineLvl w:val="6"/>
    </w:pPr>
    <w:rPr>
      <w:sz w:val="24"/>
      <w:szCs w:val="24"/>
    </w:rPr>
  </w:style>
  <w:style w:type="character" w:customStyle="1" w:styleId="157">
    <w:name w:val="样式5 Char"/>
    <w:link w:val="158"/>
    <w:qFormat/>
    <w:locked/>
    <w:uiPriority w:val="0"/>
    <w:rPr>
      <w:rFonts w:ascii="宋体" w:hAnsi="宋体" w:eastAsia="黑体"/>
      <w:b/>
      <w:sz w:val="24"/>
      <w:szCs w:val="24"/>
    </w:rPr>
  </w:style>
  <w:style w:type="paragraph" w:customStyle="1" w:styleId="158">
    <w:name w:val="样式5"/>
    <w:basedOn w:val="77"/>
    <w:next w:val="1"/>
    <w:link w:val="157"/>
    <w:qFormat/>
    <w:uiPriority w:val="0"/>
    <w:pPr>
      <w:widowControl w:val="0"/>
      <w:numPr>
        <w:ilvl w:val="4"/>
        <w:numId w:val="9"/>
      </w:numPr>
      <w:tabs>
        <w:tab w:val="left" w:pos="780"/>
      </w:tabs>
      <w:spacing w:beforeLines="50" w:line="360" w:lineRule="auto"/>
      <w:ind w:firstLine="0" w:firstLineChars="0"/>
      <w:outlineLvl w:val="4"/>
    </w:pPr>
    <w:rPr>
      <w:rFonts w:ascii="宋体" w:hAnsi="宋体" w:eastAsia="黑体"/>
      <w:b/>
      <w:sz w:val="24"/>
      <w:szCs w:val="24"/>
    </w:rPr>
  </w:style>
  <w:style w:type="character" w:customStyle="1" w:styleId="159">
    <w:name w:val="样式10 Char"/>
    <w:link w:val="160"/>
    <w:qFormat/>
    <w:locked/>
    <w:uiPriority w:val="0"/>
    <w:rPr>
      <w:rFonts w:ascii="宋体" w:hAnsi="宋体"/>
      <w:sz w:val="28"/>
      <w:szCs w:val="28"/>
    </w:rPr>
  </w:style>
  <w:style w:type="paragraph" w:customStyle="1" w:styleId="160">
    <w:name w:val="样式10"/>
    <w:basedOn w:val="2"/>
    <w:link w:val="159"/>
    <w:qFormat/>
    <w:uiPriority w:val="0"/>
    <w:pPr>
      <w:keepNext w:val="0"/>
      <w:widowControl w:val="0"/>
      <w:spacing w:beforeLines="50" w:afterLines="50" w:line="360" w:lineRule="auto"/>
      <w:ind w:firstLine="562"/>
      <w:jc w:val="left"/>
    </w:pPr>
    <w:rPr>
      <w:rFonts w:cs="Times New Roman"/>
      <w:sz w:val="28"/>
      <w:szCs w:val="28"/>
    </w:rPr>
  </w:style>
  <w:style w:type="character" w:customStyle="1" w:styleId="161">
    <w:name w:val="样式4 Char"/>
    <w:link w:val="162"/>
    <w:qFormat/>
    <w:locked/>
    <w:uiPriority w:val="0"/>
    <w:rPr>
      <w:rFonts w:ascii="宋体" w:hAnsi="宋体" w:eastAsia="黑体"/>
      <w:b/>
      <w:sz w:val="28"/>
      <w:szCs w:val="28"/>
    </w:rPr>
  </w:style>
  <w:style w:type="paragraph" w:customStyle="1" w:styleId="162">
    <w:name w:val="样式4"/>
    <w:basedOn w:val="77"/>
    <w:next w:val="1"/>
    <w:link w:val="161"/>
    <w:qFormat/>
    <w:uiPriority w:val="0"/>
    <w:pPr>
      <w:widowControl w:val="0"/>
      <w:numPr>
        <w:ilvl w:val="3"/>
        <w:numId w:val="9"/>
      </w:numPr>
      <w:tabs>
        <w:tab w:val="left" w:pos="780"/>
      </w:tabs>
      <w:spacing w:beforeLines="50" w:line="360" w:lineRule="auto"/>
      <w:ind w:left="850" w:firstLine="0" w:firstLineChars="0"/>
      <w:outlineLvl w:val="3"/>
    </w:pPr>
    <w:rPr>
      <w:rFonts w:ascii="宋体" w:hAnsi="宋体" w:eastAsia="黑体"/>
      <w:b/>
      <w:sz w:val="28"/>
      <w:szCs w:val="28"/>
    </w:rPr>
  </w:style>
  <w:style w:type="character" w:customStyle="1" w:styleId="163">
    <w:name w:val="样式6 Char"/>
    <w:link w:val="164"/>
    <w:qFormat/>
    <w:locked/>
    <w:uiPriority w:val="0"/>
    <w:rPr>
      <w:rFonts w:ascii="宋体" w:hAnsi="宋体" w:eastAsia="黑体"/>
      <w:b/>
      <w:sz w:val="24"/>
      <w:szCs w:val="24"/>
    </w:rPr>
  </w:style>
  <w:style w:type="paragraph" w:customStyle="1" w:styleId="164">
    <w:name w:val="样式6"/>
    <w:basedOn w:val="158"/>
    <w:next w:val="1"/>
    <w:link w:val="163"/>
    <w:qFormat/>
    <w:uiPriority w:val="0"/>
    <w:pPr>
      <w:numPr>
        <w:ilvl w:val="5"/>
      </w:numPr>
      <w:ind w:left="4818"/>
      <w:outlineLvl w:val="5"/>
    </w:pPr>
  </w:style>
  <w:style w:type="character" w:customStyle="1" w:styleId="165">
    <w:name w:val="样式2 Char"/>
    <w:link w:val="166"/>
    <w:qFormat/>
    <w:locked/>
    <w:uiPriority w:val="0"/>
    <w:rPr>
      <w:rFonts w:ascii="黑体" w:hAnsi="黑体" w:eastAsia="黑体"/>
      <w:b/>
      <w:sz w:val="32"/>
      <w:szCs w:val="21"/>
    </w:rPr>
  </w:style>
  <w:style w:type="paragraph" w:customStyle="1" w:styleId="166">
    <w:name w:val="样式2"/>
    <w:basedOn w:val="77"/>
    <w:next w:val="1"/>
    <w:link w:val="165"/>
    <w:qFormat/>
    <w:uiPriority w:val="0"/>
    <w:pPr>
      <w:widowControl w:val="0"/>
      <w:numPr>
        <w:ilvl w:val="1"/>
        <w:numId w:val="9"/>
      </w:numPr>
      <w:tabs>
        <w:tab w:val="left" w:pos="780"/>
      </w:tabs>
      <w:spacing w:beforeLines="50" w:line="360" w:lineRule="auto"/>
      <w:ind w:firstLine="0" w:firstLineChars="0"/>
      <w:outlineLvl w:val="1"/>
    </w:pPr>
    <w:rPr>
      <w:rFonts w:ascii="黑体" w:hAnsi="黑体" w:eastAsia="黑体"/>
      <w:b/>
      <w:sz w:val="32"/>
      <w:szCs w:val="21"/>
    </w:rPr>
  </w:style>
  <w:style w:type="paragraph" w:customStyle="1" w:styleId="167">
    <w:name w:val="_Style 10"/>
    <w:basedOn w:val="1"/>
    <w:next w:val="77"/>
    <w:qFormat/>
    <w:uiPriority w:val="34"/>
    <w:pPr>
      <w:spacing w:line="360" w:lineRule="auto"/>
      <w:ind w:firstLine="420" w:firstLineChars="200"/>
      <w:jc w:val="both"/>
    </w:pPr>
    <w:rPr>
      <w:rFonts w:ascii="宋体" w:hAnsi="宋体" w:cs="宋体"/>
      <w:sz w:val="24"/>
      <w:szCs w:val="24"/>
    </w:rPr>
  </w:style>
  <w:style w:type="paragraph" w:customStyle="1" w:styleId="168">
    <w:name w:val="表格标注"/>
    <w:basedOn w:val="169"/>
    <w:next w:val="1"/>
    <w:qFormat/>
    <w:uiPriority w:val="99"/>
    <w:pPr>
      <w:numPr>
        <w:ilvl w:val="7"/>
      </w:numPr>
      <w:tabs>
        <w:tab w:val="left" w:pos="3480"/>
      </w:tabs>
    </w:pPr>
  </w:style>
  <w:style w:type="paragraph" w:customStyle="1" w:styleId="169">
    <w:name w:val="插图标注"/>
    <w:next w:val="1"/>
    <w:qFormat/>
    <w:uiPriority w:val="99"/>
    <w:pPr>
      <w:numPr>
        <w:ilvl w:val="6"/>
        <w:numId w:val="3"/>
      </w:numPr>
      <w:spacing w:after="156"/>
      <w:jc w:val="center"/>
    </w:pPr>
    <w:rPr>
      <w:rFonts w:ascii="Calibri Light" w:hAnsi="Calibri Light" w:eastAsia="宋体" w:cs="方正仿宋_GBK"/>
      <w:sz w:val="21"/>
      <w:szCs w:val="21"/>
      <w:lang w:val="en-US" w:eastAsia="zh-CN" w:bidi="ar-SA"/>
    </w:rPr>
  </w:style>
  <w:style w:type="table" w:customStyle="1" w:styleId="170">
    <w:name w:val="网格型1"/>
    <w:basedOn w:val="39"/>
    <w:qFormat/>
    <w:uiPriority w:val="99"/>
    <w:rPr>
      <w:rFonts w:ascii="Calibri" w:hAnsi="Calibri"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71">
    <w:name w:val="List Paragraph2"/>
    <w:basedOn w:val="1"/>
    <w:qFormat/>
    <w:uiPriority w:val="0"/>
    <w:pPr>
      <w:widowControl w:val="0"/>
      <w:ind w:firstLine="420" w:firstLineChars="200"/>
      <w:jc w:val="both"/>
    </w:pPr>
    <w:rPr>
      <w:kern w:val="2"/>
      <w:sz w:val="21"/>
      <w:szCs w:val="24"/>
    </w:rPr>
  </w:style>
  <w:style w:type="paragraph" w:customStyle="1" w:styleId="172">
    <w:name w:val="！正文"/>
    <w:basedOn w:val="1"/>
    <w:qFormat/>
    <w:uiPriority w:val="99"/>
    <w:pPr>
      <w:widowControl w:val="0"/>
      <w:ind w:firstLine="200" w:firstLineChars="200"/>
      <w:jc w:val="both"/>
    </w:pPr>
    <w:rPr>
      <w:rFonts w:ascii="Calibri" w:hAnsi="Calibri"/>
      <w:kern w:val="2"/>
      <w:sz w:val="21"/>
      <w:szCs w:val="21"/>
    </w:rPr>
  </w:style>
  <w:style w:type="character" w:customStyle="1" w:styleId="173">
    <w:name w:val="font31"/>
    <w:qFormat/>
    <w:uiPriority w:val="0"/>
    <w:rPr>
      <w:rFonts w:hint="eastAsia" w:ascii="宋体" w:hAnsi="宋体" w:eastAsia="宋体" w:cs="宋体"/>
      <w:color w:val="417FF9"/>
      <w:sz w:val="22"/>
      <w:szCs w:val="22"/>
      <w:u w:val="none"/>
    </w:rPr>
  </w:style>
  <w:style w:type="paragraph" w:customStyle="1" w:styleId="174">
    <w:name w:val="段落符"/>
    <w:basedOn w:val="104"/>
    <w:qFormat/>
    <w:uiPriority w:val="0"/>
    <w:pPr>
      <w:numPr>
        <w:ilvl w:val="0"/>
        <w:numId w:val="10"/>
      </w:numPr>
      <w:ind w:firstLine="0" w:firstLineChars="0"/>
    </w:pPr>
  </w:style>
  <w:style w:type="paragraph" w:customStyle="1" w:styleId="175">
    <w:name w:val="文档正文"/>
    <w:basedOn w:val="1"/>
    <w:unhideWhenUsed/>
    <w:qFormat/>
    <w:uiPriority w:val="0"/>
    <w:pPr>
      <w:snapToGrid w:val="0"/>
      <w:spacing w:before="60" w:after="60"/>
      <w:ind w:firstLine="482"/>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11200</Words>
  <Characters>11583</Characters>
  <Lines>53</Lines>
  <Paragraphs>15</Paragraphs>
  <TotalTime>8</TotalTime>
  <ScaleCrop>false</ScaleCrop>
  <LinksUpToDate>false</LinksUpToDate>
  <CharactersWithSpaces>11618</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2025-01-02T09:12:00Z</dcterms:created>
  <cp:lastPrinted>2024-03-18T00:27:00Z</cp:lastPrinted>
  <dcterms:modified xsi:type="dcterms:W3CDTF">2026-10-28T11:32:53Z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976CFB6CF8C449158233B50685DA91EA_13</vt:lpwstr>
  </property>
  <property fmtid="{D5CDD505-2E9C-101B-9397-08002B2CF9AE}" pid="4" name="KSOTemplateDocerSaveRecord">
    <vt:lpwstr>eyJoZGlkIjoiYWUyN2QxZjEwYTA1NjQyOWIyNjc0ZDdjYjMzM2JjNzMiLCJ1c2VySWQiOiIxMDMyMjc4NzM3In0=</vt:lpwstr>
  </property>
</Properties>
</file>