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CESI宋体-GB2312" w:hAnsi="CESI宋体-GB2312" w:eastAsia="CESI宋体-GB2312" w:cs="CESI宋体-GB2312"/>
          <w:b/>
          <w:bCs/>
          <w:color w:val="auto"/>
          <w:sz w:val="21"/>
          <w:szCs w:val="21"/>
          <w:highlight w:val="none"/>
          <w:lang w:eastAsia="zh-CN"/>
        </w:rPr>
      </w:pPr>
      <w:r>
        <w:rPr>
          <w:rFonts w:hint="eastAsia" w:ascii="CESI宋体-GB2312" w:hAnsi="CESI宋体-GB2312" w:eastAsia="CESI宋体-GB2312" w:cs="CESI宋体-GB2312"/>
          <w:b/>
          <w:bCs/>
          <w:color w:val="auto"/>
          <w:sz w:val="21"/>
          <w:szCs w:val="21"/>
          <w:highlight w:val="none"/>
          <w:lang w:eastAsia="zh-CN"/>
        </w:rPr>
        <w:t>长宁区道路停车高位视频系统（三期）建设竞争性磋商项目</w:t>
      </w:r>
    </w:p>
    <w:p>
      <w:pPr>
        <w:spacing w:line="360" w:lineRule="auto"/>
        <w:jc w:val="center"/>
        <w:rPr>
          <w:rFonts w:hint="eastAsia" w:ascii="CESI宋体-GB2312" w:hAnsi="CESI宋体-GB2312" w:eastAsia="CESI宋体-GB2312" w:cs="CESI宋体-GB2312"/>
          <w:b/>
          <w:bCs/>
          <w:color w:val="auto"/>
          <w:sz w:val="21"/>
          <w:szCs w:val="21"/>
          <w:highlight w:val="none"/>
        </w:rPr>
      </w:pPr>
      <w:bookmarkStart w:id="0" w:name="OLE_LINK7"/>
      <w:bookmarkStart w:id="1" w:name="OLE_LINK6"/>
      <w:r>
        <w:rPr>
          <w:rFonts w:hint="eastAsia" w:ascii="CESI宋体-GB2312" w:hAnsi="CESI宋体-GB2312" w:eastAsia="CESI宋体-GB2312" w:cs="CESI宋体-GB2312"/>
          <w:b/>
          <w:bCs/>
          <w:sz w:val="21"/>
          <w:szCs w:val="21"/>
        </w:rPr>
        <w:t>采购需求文件</w:t>
      </w:r>
      <w:bookmarkEnd w:id="0"/>
      <w:bookmarkEnd w:id="1"/>
    </w:p>
    <w:p>
      <w:pPr>
        <w:keepNext/>
        <w:keepLines/>
        <w:widowControl w:val="0"/>
        <w:numPr>
          <w:ilvl w:val="0"/>
          <w:numId w:val="0"/>
        </w:numPr>
        <w:tabs>
          <w:tab w:val="left" w:pos="0"/>
        </w:tabs>
        <w:bidi w:val="0"/>
        <w:spacing w:before="50" w:beforeLines="50" w:beforeAutospacing="0" w:after="50" w:afterLines="50" w:afterAutospacing="0" w:line="360" w:lineRule="auto"/>
        <w:ind w:left="283" w:leftChars="0" w:hanging="283" w:firstLineChars="0"/>
        <w:jc w:val="left"/>
        <w:outlineLvl w:val="0"/>
        <w:rPr>
          <w:rFonts w:hint="eastAsia" w:ascii="CESI宋体-GB2312" w:hAnsi="CESI宋体-GB2312" w:eastAsia="CESI宋体-GB2312" w:cs="CESI宋体-GB2312"/>
          <w:b/>
          <w:color w:val="auto"/>
          <w:kern w:val="44"/>
          <w:sz w:val="21"/>
          <w:szCs w:val="21"/>
          <w:highlight w:val="none"/>
          <w:lang w:val="en-US" w:eastAsia="zh-CN" w:bidi="ar-SA"/>
        </w:rPr>
      </w:pPr>
      <w:r>
        <w:rPr>
          <w:rFonts w:hint="eastAsia" w:ascii="CESI宋体-GB2312" w:hAnsi="CESI宋体-GB2312" w:eastAsia="CESI宋体-GB2312" w:cs="CESI宋体-GB2312"/>
          <w:b/>
          <w:color w:val="auto"/>
          <w:kern w:val="44"/>
          <w:sz w:val="21"/>
          <w:szCs w:val="21"/>
          <w:lang w:val="en-US" w:eastAsia="zh-CN" w:bidi="ar-SA"/>
        </w:rPr>
        <w:t>一、</w:t>
      </w:r>
      <w:r>
        <w:rPr>
          <w:rFonts w:hint="eastAsia" w:ascii="CESI宋体-GB2312" w:hAnsi="CESI宋体-GB2312" w:eastAsia="CESI宋体-GB2312" w:cs="CESI宋体-GB2312"/>
          <w:b/>
          <w:color w:val="auto"/>
          <w:kern w:val="44"/>
          <w:sz w:val="21"/>
          <w:szCs w:val="21"/>
          <w:highlight w:val="none"/>
          <w:lang w:val="en-US" w:eastAsia="zh-CN" w:bidi="ar-SA"/>
        </w:rPr>
        <w:t>项目概况</w:t>
      </w:r>
    </w:p>
    <w:p>
      <w:pPr>
        <w:keepNext/>
        <w:keepLines/>
        <w:widowControl w:val="0"/>
        <w:numPr>
          <w:ilvl w:val="0"/>
          <w:numId w:val="0"/>
        </w:numPr>
        <w:tabs>
          <w:tab w:val="left" w:pos="0"/>
        </w:tabs>
        <w:bidi w:val="0"/>
        <w:spacing w:before="50" w:beforeLines="50" w:beforeAutospacing="0" w:after="50" w:afterLines="50" w:afterAutospacing="0" w:line="360" w:lineRule="auto"/>
        <w:ind w:firstLine="420" w:firstLineChars="200"/>
        <w:jc w:val="left"/>
        <w:outlineLvl w:val="0"/>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2022年4月6日，上海市道路运输管理局印发《关于加快推进本市智慧停车场（库）建设的通知》（沪道运设运〔2022〕63 号），明确提出要充分依托上海市公共停车信息平台以及“上海停车”APP、小程序，在按要求长效做好公共停车信息联网管理的基础上，《上海市长宁区国民经济和社会发展第十五个五年规划纲要》提出：加强静态交通管理。探索运用物联网、AI和大数据技术，加强停车资源智能化管理，提升停车空间利用率。持续推进错峰共享停车。优化高位视频路段及地磁路段配置比例，不断提升道路停车智慧管理水平。</w:t>
      </w:r>
    </w:p>
    <w:p>
      <w:pPr>
        <w:keepNext/>
        <w:keepLines/>
        <w:widowControl w:val="0"/>
        <w:numPr>
          <w:ilvl w:val="0"/>
          <w:numId w:val="0"/>
        </w:numPr>
        <w:tabs>
          <w:tab w:val="left" w:pos="0"/>
        </w:tabs>
        <w:bidi w:val="0"/>
        <w:spacing w:before="50" w:beforeLines="50" w:beforeAutospacing="0" w:after="50" w:afterLines="50" w:afterAutospacing="0" w:line="360" w:lineRule="auto"/>
        <w:ind w:firstLine="420" w:firstLineChars="200"/>
        <w:jc w:val="left"/>
        <w:outlineLvl w:val="0"/>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根据目前国内尤其是上海市停车服务的现状，结合城市发展、停车服务和相关技术发展趋势，在市交通委、区建管委等部门的统一领导和部署下，通过在规定路段建设智慧道路停车场G2级，即通过高位视频对路侧泊位车辆停放信息进行自动采集，实现对停车行为全过程的监控（高位视频），配合道路停车智慧管理平台、巡检设备等，可支持无人值守，先离场后付费等，并实现静态交通的规律分析、日常运行监测，为职能管理者提供交通规划的依据、管理的依据，提升公众出行的便捷度、时效性。</w:t>
      </w:r>
    </w:p>
    <w:p>
      <w:pPr>
        <w:keepNext/>
        <w:keepLines/>
        <w:widowControl w:val="0"/>
        <w:numPr>
          <w:ilvl w:val="0"/>
          <w:numId w:val="0"/>
        </w:numPr>
        <w:tabs>
          <w:tab w:val="left" w:pos="0"/>
        </w:tabs>
        <w:bidi w:val="0"/>
        <w:spacing w:before="50" w:beforeLines="50" w:beforeAutospacing="0" w:after="50" w:afterLines="50" w:afterAutospacing="0" w:line="360" w:lineRule="auto"/>
        <w:ind w:firstLine="420" w:firstLineChars="200"/>
        <w:jc w:val="left"/>
        <w:outlineLvl w:val="0"/>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本次招标项目拟在上海市长宁区道路停车建设高位视频采集系统及相关配套软硬件系统搭建等，包括7条道路停车高位视频采集系统建设。</w:t>
      </w:r>
    </w:p>
    <w:p>
      <w:pPr>
        <w:keepNext/>
        <w:keepLines/>
        <w:widowControl w:val="0"/>
        <w:numPr>
          <w:ilvl w:val="0"/>
          <w:numId w:val="0"/>
        </w:numPr>
        <w:tabs>
          <w:tab w:val="left" w:pos="0"/>
        </w:tabs>
        <w:bidi w:val="0"/>
        <w:spacing w:before="50" w:beforeLines="50" w:beforeAutospacing="0" w:after="50" w:afterLines="50" w:afterAutospacing="0" w:line="360" w:lineRule="auto"/>
        <w:ind w:left="283" w:leftChars="0" w:hanging="283" w:firstLineChars="0"/>
        <w:jc w:val="left"/>
        <w:outlineLvl w:val="0"/>
        <w:rPr>
          <w:rFonts w:hint="eastAsia" w:ascii="CESI宋体-GB2312" w:hAnsi="CESI宋体-GB2312" w:eastAsia="CESI宋体-GB2312" w:cs="CESI宋体-GB2312"/>
          <w:b/>
          <w:color w:val="auto"/>
          <w:kern w:val="44"/>
          <w:sz w:val="21"/>
          <w:szCs w:val="21"/>
          <w:lang w:val="en-US" w:eastAsia="zh-CN" w:bidi="ar-SA"/>
        </w:rPr>
      </w:pPr>
      <w:r>
        <w:rPr>
          <w:rFonts w:hint="eastAsia" w:ascii="CESI宋体-GB2312" w:hAnsi="CESI宋体-GB2312" w:eastAsia="CESI宋体-GB2312" w:cs="CESI宋体-GB2312"/>
          <w:b/>
          <w:color w:val="auto"/>
          <w:kern w:val="44"/>
          <w:sz w:val="21"/>
          <w:szCs w:val="21"/>
          <w:lang w:val="en-US" w:eastAsia="zh-CN" w:bidi="ar-SA"/>
        </w:rPr>
        <w:t>二、建设内容</w:t>
      </w:r>
    </w:p>
    <w:p>
      <w:pPr>
        <w:spacing w:line="360" w:lineRule="auto"/>
        <w:ind w:left="420"/>
        <w:outlineLvl w:val="1"/>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2.1 建设内容</w:t>
      </w:r>
    </w:p>
    <w:p>
      <w:pPr>
        <w:keepNext/>
        <w:keepLines/>
        <w:widowControl w:val="0"/>
        <w:numPr>
          <w:ilvl w:val="0"/>
          <w:numId w:val="0"/>
        </w:numPr>
        <w:tabs>
          <w:tab w:val="left" w:pos="0"/>
        </w:tabs>
        <w:bidi w:val="0"/>
        <w:spacing w:before="50" w:beforeLines="50" w:beforeAutospacing="0" w:after="50" w:afterLines="50" w:afterAutospacing="0" w:line="360" w:lineRule="auto"/>
        <w:ind w:firstLine="420" w:firstLineChars="200"/>
        <w:jc w:val="left"/>
        <w:outlineLvl w:val="0"/>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本次采购包括</w:t>
      </w:r>
      <w:r>
        <w:rPr>
          <w:rFonts w:hint="eastAsia" w:ascii="CESI宋体-GB2312" w:hAnsi="CESI宋体-GB2312" w:eastAsia="CESI宋体-GB2312" w:cs="CESI宋体-GB2312"/>
          <w:color w:val="auto"/>
          <w:sz w:val="21"/>
          <w:szCs w:val="21"/>
          <w:highlight w:val="none"/>
          <w:lang w:val="en-US" w:eastAsia="zh-CN"/>
        </w:rPr>
        <w:t>7</w:t>
      </w:r>
      <w:r>
        <w:rPr>
          <w:rFonts w:hint="eastAsia" w:ascii="CESI宋体-GB2312" w:hAnsi="CESI宋体-GB2312" w:eastAsia="CESI宋体-GB2312" w:cs="CESI宋体-GB2312"/>
          <w:color w:val="auto"/>
          <w:sz w:val="21"/>
          <w:szCs w:val="21"/>
          <w:highlight w:val="none"/>
        </w:rPr>
        <w:t>条道路停车管理前端设备的采购及现场安装工作。</w:t>
      </w:r>
    </w:p>
    <w:p>
      <w:pPr>
        <w:keepNext/>
        <w:keepLines/>
        <w:widowControl w:val="0"/>
        <w:numPr>
          <w:ilvl w:val="0"/>
          <w:numId w:val="0"/>
        </w:numPr>
        <w:tabs>
          <w:tab w:val="left" w:pos="0"/>
        </w:tabs>
        <w:bidi w:val="0"/>
        <w:spacing w:before="50" w:beforeLines="50" w:beforeAutospacing="0" w:after="50" w:afterLines="50" w:afterAutospacing="0" w:line="360" w:lineRule="auto"/>
        <w:ind w:firstLine="420" w:firstLineChars="200"/>
        <w:jc w:val="left"/>
        <w:outlineLvl w:val="0"/>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具体内容包括：</w:t>
      </w:r>
      <w:r>
        <w:rPr>
          <w:rFonts w:hint="eastAsia" w:ascii="CESI宋体-GB2312" w:hAnsi="CESI宋体-GB2312" w:eastAsia="CESI宋体-GB2312" w:cs="CESI宋体-GB2312"/>
          <w:color w:val="auto"/>
          <w:sz w:val="21"/>
          <w:szCs w:val="21"/>
          <w:highlight w:val="none"/>
          <w:lang w:val="en-US" w:eastAsia="zh-CN"/>
        </w:rPr>
        <w:t>硬件</w:t>
      </w:r>
      <w:r>
        <w:rPr>
          <w:rFonts w:hint="eastAsia" w:ascii="CESI宋体-GB2312" w:hAnsi="CESI宋体-GB2312" w:eastAsia="CESI宋体-GB2312" w:cs="CESI宋体-GB2312"/>
          <w:color w:val="auto"/>
          <w:sz w:val="21"/>
          <w:szCs w:val="21"/>
          <w:highlight w:val="none"/>
        </w:rPr>
        <w:t>（高位视频采集设备、管理设备、存储设备、电力和网络设施、流媒体服务等）建设及质保期内（质保期，自</w:t>
      </w:r>
      <w:r>
        <w:rPr>
          <w:rFonts w:hint="eastAsia" w:ascii="CESI宋体-GB2312" w:hAnsi="CESI宋体-GB2312" w:eastAsia="CESI宋体-GB2312" w:cs="CESI宋体-GB2312"/>
          <w:color w:val="auto"/>
          <w:sz w:val="21"/>
          <w:szCs w:val="21"/>
          <w:highlight w:val="none"/>
          <w:lang w:val="en-US" w:eastAsia="zh-CN"/>
        </w:rPr>
        <w:t>验收</w:t>
      </w:r>
      <w:r>
        <w:rPr>
          <w:rFonts w:hint="eastAsia" w:ascii="CESI宋体-GB2312" w:hAnsi="CESI宋体-GB2312" w:eastAsia="CESI宋体-GB2312" w:cs="CESI宋体-GB2312"/>
          <w:color w:val="auto"/>
          <w:sz w:val="21"/>
          <w:szCs w:val="21"/>
          <w:highlight w:val="none"/>
        </w:rPr>
        <w:t>之日起一年）的</w:t>
      </w:r>
      <w:r>
        <w:rPr>
          <w:rFonts w:hint="eastAsia" w:ascii="CESI宋体-GB2312" w:hAnsi="CESI宋体-GB2312" w:eastAsia="CESI宋体-GB2312" w:cs="CESI宋体-GB2312"/>
          <w:color w:val="auto"/>
          <w:sz w:val="21"/>
          <w:szCs w:val="21"/>
          <w:highlight w:val="none"/>
          <w:lang w:val="en-US" w:eastAsia="zh-CN"/>
        </w:rPr>
        <w:t>维护</w:t>
      </w:r>
      <w:r>
        <w:rPr>
          <w:rFonts w:hint="eastAsia" w:ascii="CESI宋体-GB2312" w:hAnsi="CESI宋体-GB2312" w:eastAsia="CESI宋体-GB2312" w:cs="CESI宋体-GB2312"/>
          <w:color w:val="auto"/>
          <w:sz w:val="21"/>
          <w:szCs w:val="21"/>
          <w:highlight w:val="none"/>
        </w:rPr>
        <w:t>服务工作，包括但不限于：故障检修、安装角度调优、线路检修、现场巡检和养护、绿化遮挡处理、设备工作状态监控</w:t>
      </w:r>
      <w:r>
        <w:rPr>
          <w:rFonts w:hint="eastAsia" w:ascii="CESI宋体-GB2312" w:hAnsi="CESI宋体-GB2312" w:eastAsia="CESI宋体-GB2312" w:cs="CESI宋体-GB2312"/>
          <w:color w:val="auto"/>
          <w:sz w:val="21"/>
          <w:szCs w:val="21"/>
          <w:highlight w:val="none"/>
          <w:lang w:eastAsia="zh-CN"/>
        </w:rPr>
        <w:t>、</w:t>
      </w:r>
      <w:r>
        <w:rPr>
          <w:rFonts w:hint="eastAsia" w:ascii="CESI宋体-GB2312" w:hAnsi="CESI宋体-GB2312" w:eastAsia="CESI宋体-GB2312" w:cs="CESI宋体-GB2312"/>
          <w:color w:val="auto"/>
          <w:sz w:val="21"/>
          <w:szCs w:val="21"/>
          <w:highlight w:val="none"/>
          <w:lang w:val="en-US" w:eastAsia="zh-CN"/>
        </w:rPr>
        <w:t>备件</w:t>
      </w:r>
      <w:r>
        <w:rPr>
          <w:rFonts w:hint="eastAsia" w:ascii="CESI宋体-GB2312" w:hAnsi="CESI宋体-GB2312" w:eastAsia="CESI宋体-GB2312" w:cs="CESI宋体-GB2312"/>
          <w:color w:val="auto"/>
          <w:sz w:val="21"/>
          <w:szCs w:val="21"/>
          <w:highlight w:val="none"/>
        </w:rPr>
        <w:t>备品等，保障业务数据的正常采集和传输，前端硬件设备建设完成后功能和性能同时满足市、区平台相关技术规范要求和功能需求。</w:t>
      </w:r>
    </w:p>
    <w:p>
      <w:pPr>
        <w:keepNext/>
        <w:keepLines/>
        <w:widowControl w:val="0"/>
        <w:numPr>
          <w:ilvl w:val="0"/>
          <w:numId w:val="0"/>
        </w:numPr>
        <w:tabs>
          <w:tab w:val="left" w:pos="0"/>
        </w:tabs>
        <w:bidi w:val="0"/>
        <w:spacing w:before="50" w:beforeLines="50" w:beforeAutospacing="0" w:after="50" w:afterLines="50" w:afterAutospacing="0" w:line="360" w:lineRule="auto"/>
        <w:ind w:firstLine="420" w:firstLineChars="200"/>
        <w:jc w:val="left"/>
        <w:outlineLvl w:val="0"/>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高位视频系统依托路段的合杆进行建设，为实现较好的摄像头覆盖条件，应选择合适的杆位，个别杆位需加装挑臂，前端设备应置于合杆落地箱内，符合上海市有关合杆设备设施的相关管理要求和技术规范。搭载设备设施应符合室外工作场景，具有一定的防水防尘能力，并具有易维护等特点。</w:t>
      </w:r>
    </w:p>
    <w:p>
      <w:pPr>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投标人应自行完成借杆、</w:t>
      </w:r>
      <w:r>
        <w:rPr>
          <w:rFonts w:hint="eastAsia" w:ascii="CESI宋体-GB2312" w:hAnsi="CESI宋体-GB2312" w:eastAsia="CESI宋体-GB2312" w:cs="CESI宋体-GB2312"/>
          <w:color w:val="auto"/>
          <w:kern w:val="0"/>
          <w:sz w:val="21"/>
          <w:szCs w:val="21"/>
          <w:highlight w:val="none"/>
          <w:lang w:val="en-US" w:eastAsia="zh-CN" w:bidi="ar"/>
        </w:rPr>
        <w:t>取电</w:t>
      </w:r>
      <w:r>
        <w:rPr>
          <w:rFonts w:hint="eastAsia" w:ascii="CESI宋体-GB2312" w:hAnsi="CESI宋体-GB2312" w:eastAsia="CESI宋体-GB2312" w:cs="CESI宋体-GB2312"/>
          <w:color w:val="auto"/>
          <w:kern w:val="0"/>
          <w:sz w:val="21"/>
          <w:szCs w:val="21"/>
          <w:highlight w:val="none"/>
          <w:lang w:bidi="ar"/>
        </w:rPr>
        <w:t>、网络及相关施工的申请工作（招标方给予必要配合和支持），建设方案、施工过程符合国家和上海市有关工程施工技术要求和管理规范。</w:t>
      </w:r>
    </w:p>
    <w:p>
      <w:pPr>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投标方承诺保障下述业务流程的稳定运行：</w:t>
      </w:r>
    </w:p>
    <w:p>
      <w:pPr>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系统通过智能视频识别技术，直接获取车辆的身份信息（车牌号码、车牌颜色等）和停放信息（停放位置、停放时间），相关信息传送至后台并与相关平台进行数据共享和交互，后台根据识别信息和市平台计费模块生成计费信息，并将信息推送至前端巡检设备，巡检设备获得本系统的业务统计信息，实现停车付费闭环流程。</w:t>
      </w:r>
    </w:p>
    <w:p>
      <w:pPr>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高位视频采集系统可以管理平行车位、垂停车位、斜列车位等多种停车场景，具有自动检测并记录车辆驶入、驶离车位时间，采集停放车辆图片信息，包括车牌颜色，车牌号码、泊位号、停车/驶离特写图、停车/驶离过程时序图、车牌特写图，以及对跨位停车、半侧位停车和斜位停车等异常停车状态进行判别等功能。</w:t>
      </w:r>
    </w:p>
    <w:p>
      <w:pPr>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系统功能应满足上海市</w:t>
      </w:r>
      <w:r>
        <w:rPr>
          <w:rFonts w:hint="eastAsia" w:ascii="CESI宋体-GB2312" w:hAnsi="CESI宋体-GB2312" w:eastAsia="CESI宋体-GB2312" w:cs="CESI宋体-GB2312"/>
          <w:color w:val="auto"/>
          <w:kern w:val="0"/>
          <w:sz w:val="21"/>
          <w:szCs w:val="21"/>
          <w:highlight w:val="none"/>
          <w:lang w:val="en-US" w:eastAsia="zh-CN" w:bidi="ar"/>
        </w:rPr>
        <w:t>交通委</w:t>
      </w:r>
      <w:r>
        <w:rPr>
          <w:rFonts w:hint="eastAsia" w:ascii="CESI宋体-GB2312" w:hAnsi="CESI宋体-GB2312" w:eastAsia="CESI宋体-GB2312" w:cs="CESI宋体-GB2312"/>
          <w:color w:val="auto"/>
          <w:kern w:val="0"/>
          <w:sz w:val="21"/>
          <w:szCs w:val="21"/>
          <w:highlight w:val="none"/>
          <w:lang w:bidi="ar"/>
        </w:rPr>
        <w:t>文件（沪道运设运[2022] 63号）《关于加快推进本市智慧停车场（库）建设的通知》中有关技术规范要求，性能指标可在前端设备及软件平台的基础上根据主管部门的要求进行适度升级。</w:t>
      </w:r>
    </w:p>
    <w:p>
      <w:pPr>
        <w:spacing w:line="360" w:lineRule="auto"/>
        <w:ind w:left="420"/>
        <w:outlineLvl w:val="1"/>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2.2建设要求</w:t>
      </w:r>
    </w:p>
    <w:p>
      <w:pPr>
        <w:pStyle w:val="74"/>
        <w:widowControl/>
        <w:numPr>
          <w:ilvl w:val="0"/>
          <w:numId w:val="8"/>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高位视频采集系统要求借杆安装，主要借用新型综合多功能路灯杆等，不允许在停车泊位范围内设置围挡、道闸机、起降杆、摄像机立杆等影响行人和车辆通行的设备。</w:t>
      </w:r>
    </w:p>
    <w:p>
      <w:pPr>
        <w:pStyle w:val="74"/>
        <w:widowControl/>
        <w:numPr>
          <w:ilvl w:val="0"/>
          <w:numId w:val="8"/>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b/>
          <w:bCs/>
          <w:color w:val="auto"/>
          <w:kern w:val="0"/>
          <w:sz w:val="21"/>
          <w:szCs w:val="21"/>
          <w:highlight w:val="none"/>
          <w:lang w:bidi="ar"/>
        </w:rPr>
        <w:t>▲</w:t>
      </w:r>
      <w:r>
        <w:rPr>
          <w:rFonts w:hint="eastAsia" w:ascii="CESI宋体-GB2312" w:hAnsi="CESI宋体-GB2312" w:eastAsia="CESI宋体-GB2312" w:cs="CESI宋体-GB2312"/>
          <w:b/>
          <w:bCs/>
          <w:color w:val="auto"/>
          <w:kern w:val="0"/>
          <w:sz w:val="21"/>
          <w:szCs w:val="21"/>
          <w:highlight w:val="none"/>
          <w:lang w:val="en-US" w:eastAsia="zh-CN" w:bidi="ar"/>
        </w:rPr>
        <w:t>系统</w:t>
      </w:r>
      <w:r>
        <w:rPr>
          <w:rFonts w:hint="eastAsia" w:ascii="CESI宋体-GB2312" w:hAnsi="CESI宋体-GB2312" w:eastAsia="CESI宋体-GB2312" w:cs="CESI宋体-GB2312"/>
          <w:b/>
          <w:bCs/>
          <w:color w:val="auto"/>
          <w:kern w:val="0"/>
          <w:sz w:val="21"/>
          <w:szCs w:val="21"/>
          <w:highlight w:val="none"/>
          <w:lang w:bidi="ar"/>
        </w:rPr>
        <w:t>具备7*24小时连续不间断运行能力，需充分考虑系统的高可靠性，选用集成设备，采用自动检测、自动报警、自动监控等技术来有效地保证系统的高可用性和高可靠性</w:t>
      </w:r>
      <w:r>
        <w:rPr>
          <w:rFonts w:hint="eastAsia" w:ascii="CESI宋体-GB2312" w:hAnsi="CESI宋体-GB2312" w:eastAsia="CESI宋体-GB2312" w:cs="CESI宋体-GB2312"/>
          <w:b/>
          <w:bCs/>
          <w:color w:val="auto"/>
          <w:kern w:val="0"/>
          <w:sz w:val="21"/>
          <w:szCs w:val="21"/>
          <w:highlight w:val="none"/>
          <w:lang w:eastAsia="zh-CN" w:bidi="ar"/>
        </w:rPr>
        <w:t>。</w:t>
      </w:r>
      <w:r>
        <w:rPr>
          <w:rFonts w:hint="eastAsia" w:ascii="CESI宋体-GB2312" w:hAnsi="CESI宋体-GB2312" w:eastAsia="CESI宋体-GB2312" w:cs="CESI宋体-GB2312"/>
          <w:b/>
          <w:bCs/>
          <w:color w:val="auto"/>
          <w:kern w:val="0"/>
          <w:sz w:val="21"/>
          <w:szCs w:val="21"/>
          <w:highlight w:val="none"/>
          <w:lang w:bidi="ar"/>
        </w:rPr>
        <w:t>对于系统中视频存储设备及内嵌软件等，必须支持掉电恢复后设备及软件自动恢复正常连接、断网或网络风暴恢复后设备及软件自动恢复正常连接，启动过程无需人工干预</w:t>
      </w:r>
      <w:r>
        <w:rPr>
          <w:rFonts w:hint="eastAsia" w:ascii="CESI宋体-GB2312" w:hAnsi="CESI宋体-GB2312" w:eastAsia="CESI宋体-GB2312" w:cs="CESI宋体-GB2312"/>
          <w:b/>
          <w:bCs/>
          <w:color w:val="auto"/>
          <w:kern w:val="0"/>
          <w:sz w:val="21"/>
          <w:szCs w:val="21"/>
          <w:highlight w:val="none"/>
          <w:lang w:eastAsia="zh-CN" w:bidi="ar"/>
        </w:rPr>
        <w:t>。（</w:t>
      </w:r>
      <w:r>
        <w:rPr>
          <w:rFonts w:hint="eastAsia" w:ascii="CESI宋体-GB2312" w:hAnsi="CESI宋体-GB2312" w:eastAsia="CESI宋体-GB2312" w:cs="CESI宋体-GB2312"/>
          <w:b/>
          <w:bCs/>
          <w:color w:val="auto"/>
          <w:kern w:val="2"/>
          <w:sz w:val="21"/>
          <w:szCs w:val="21"/>
          <w:highlight w:val="none"/>
          <w:lang w:val="en-US" w:eastAsia="zh-CN" w:bidi="ar-SA"/>
        </w:rPr>
        <w:t>投标人需</w:t>
      </w:r>
      <w:r>
        <w:rPr>
          <w:rFonts w:hint="eastAsia" w:ascii="CESI宋体-GB2312" w:hAnsi="CESI宋体-GB2312" w:eastAsia="CESI宋体-GB2312" w:cs="CESI宋体-GB2312"/>
          <w:b/>
          <w:bCs/>
          <w:color w:val="auto"/>
          <w:kern w:val="0"/>
          <w:sz w:val="21"/>
          <w:szCs w:val="21"/>
          <w:highlight w:val="none"/>
          <w:lang w:eastAsia="zh-CN" w:bidi="ar"/>
        </w:rPr>
        <w:t>提供原厂承诺或相关检测报告</w:t>
      </w:r>
      <w:r>
        <w:rPr>
          <w:rFonts w:hint="eastAsia" w:ascii="CESI宋体-GB2312" w:hAnsi="CESI宋体-GB2312" w:eastAsia="CESI宋体-GB2312" w:cs="CESI宋体-GB2312"/>
          <w:b/>
          <w:bCs/>
          <w:color w:val="auto"/>
          <w:kern w:val="0"/>
          <w:sz w:val="21"/>
          <w:szCs w:val="21"/>
          <w:highlight w:val="none"/>
          <w:lang w:val="en-US" w:eastAsia="zh-CN" w:bidi="ar"/>
        </w:rPr>
        <w:t>证明材料</w:t>
      </w:r>
      <w:r>
        <w:rPr>
          <w:rFonts w:hint="eastAsia" w:ascii="CESI宋体-GB2312" w:hAnsi="CESI宋体-GB2312" w:eastAsia="CESI宋体-GB2312" w:cs="CESI宋体-GB2312"/>
          <w:b/>
          <w:bCs/>
          <w:color w:val="auto"/>
          <w:kern w:val="0"/>
          <w:sz w:val="21"/>
          <w:szCs w:val="21"/>
          <w:highlight w:val="none"/>
          <w:lang w:eastAsia="zh-CN" w:bidi="ar"/>
        </w:rPr>
        <w:t>）</w:t>
      </w:r>
    </w:p>
    <w:p>
      <w:pPr>
        <w:pStyle w:val="74"/>
        <w:widowControl/>
        <w:numPr>
          <w:ilvl w:val="0"/>
          <w:numId w:val="8"/>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b/>
          <w:bCs/>
          <w:color w:val="auto"/>
          <w:kern w:val="0"/>
          <w:sz w:val="21"/>
          <w:szCs w:val="21"/>
          <w:highlight w:val="none"/>
          <w:lang w:bidi="ar"/>
        </w:rPr>
        <w:t>▲前端设备采用点对点光纤通信的方式接入</w:t>
      </w:r>
      <w:r>
        <w:rPr>
          <w:rFonts w:hint="eastAsia" w:ascii="CESI宋体-GB2312" w:hAnsi="CESI宋体-GB2312" w:eastAsia="CESI宋体-GB2312" w:cs="CESI宋体-GB2312"/>
          <w:b/>
          <w:bCs/>
          <w:color w:val="auto"/>
          <w:kern w:val="0"/>
          <w:sz w:val="21"/>
          <w:szCs w:val="21"/>
          <w:highlight w:val="none"/>
          <w:lang w:val="en-US" w:eastAsia="zh-CN" w:bidi="ar"/>
        </w:rPr>
        <w:t>专用</w:t>
      </w:r>
      <w:r>
        <w:rPr>
          <w:rFonts w:hint="eastAsia" w:ascii="CESI宋体-GB2312" w:hAnsi="CESI宋体-GB2312" w:eastAsia="CESI宋体-GB2312" w:cs="CESI宋体-GB2312"/>
          <w:b/>
          <w:bCs/>
          <w:color w:val="auto"/>
          <w:kern w:val="0"/>
          <w:sz w:val="21"/>
          <w:szCs w:val="21"/>
          <w:highlight w:val="none"/>
          <w:lang w:bidi="ar"/>
        </w:rPr>
        <w:t>网络</w:t>
      </w:r>
      <w:r>
        <w:rPr>
          <w:rFonts w:hint="eastAsia" w:ascii="CESI宋体-GB2312" w:hAnsi="CESI宋体-GB2312" w:eastAsia="CESI宋体-GB2312" w:cs="CESI宋体-GB2312"/>
          <w:b/>
          <w:bCs/>
          <w:color w:val="auto"/>
          <w:kern w:val="0"/>
          <w:sz w:val="21"/>
          <w:szCs w:val="21"/>
          <w:highlight w:val="none"/>
          <w:lang w:eastAsia="zh-CN" w:bidi="ar"/>
        </w:rPr>
        <w:t>，</w:t>
      </w:r>
      <w:r>
        <w:rPr>
          <w:rFonts w:hint="eastAsia" w:ascii="CESI宋体-GB2312" w:hAnsi="CESI宋体-GB2312" w:eastAsia="CESI宋体-GB2312" w:cs="CESI宋体-GB2312"/>
          <w:b/>
          <w:bCs/>
          <w:color w:val="auto"/>
          <w:kern w:val="0"/>
          <w:sz w:val="21"/>
          <w:szCs w:val="21"/>
          <w:highlight w:val="none"/>
          <w:lang w:bidi="ar"/>
        </w:rPr>
        <w:t>提供满足系统运行所需的带宽及服务，</w:t>
      </w:r>
      <w:r>
        <w:rPr>
          <w:rFonts w:hint="eastAsia" w:ascii="CESI宋体-GB2312" w:hAnsi="CESI宋体-GB2312" w:eastAsia="CESI宋体-GB2312" w:cs="CESI宋体-GB2312"/>
          <w:b/>
          <w:bCs/>
          <w:color w:val="auto"/>
          <w:kern w:val="0"/>
          <w:sz w:val="21"/>
          <w:szCs w:val="21"/>
          <w:highlight w:val="none"/>
          <w:lang w:val="en-US" w:eastAsia="zh-CN" w:bidi="ar"/>
        </w:rPr>
        <w:t>网络速率上下行要求在60M以上包含8个固定IP地址并</w:t>
      </w:r>
      <w:r>
        <w:rPr>
          <w:rFonts w:hint="eastAsia" w:ascii="CESI宋体-GB2312" w:hAnsi="CESI宋体-GB2312" w:eastAsia="CESI宋体-GB2312" w:cs="CESI宋体-GB2312"/>
          <w:b/>
          <w:bCs/>
          <w:color w:val="auto"/>
          <w:kern w:val="0"/>
          <w:sz w:val="21"/>
          <w:szCs w:val="21"/>
          <w:highlight w:val="none"/>
          <w:lang w:bidi="ar"/>
        </w:rPr>
        <w:t>回传至管理后台。光缆采用就近接入原则，利用周边已有的预留光纤实现接入。</w:t>
      </w:r>
      <w:r>
        <w:rPr>
          <w:rFonts w:hint="eastAsia" w:ascii="CESI宋体-GB2312" w:hAnsi="CESI宋体-GB2312" w:eastAsia="CESI宋体-GB2312" w:cs="CESI宋体-GB2312"/>
          <w:b/>
          <w:bCs/>
          <w:color w:val="auto"/>
          <w:kern w:val="0"/>
          <w:sz w:val="21"/>
          <w:szCs w:val="21"/>
          <w:highlight w:val="none"/>
          <w:lang w:eastAsia="zh-CN" w:bidi="ar"/>
        </w:rPr>
        <w:t>（</w:t>
      </w:r>
      <w:r>
        <w:rPr>
          <w:rFonts w:hint="eastAsia" w:ascii="CESI宋体-GB2312" w:hAnsi="CESI宋体-GB2312" w:eastAsia="CESI宋体-GB2312" w:cs="CESI宋体-GB2312"/>
          <w:b/>
          <w:bCs/>
          <w:color w:val="auto"/>
          <w:kern w:val="2"/>
          <w:sz w:val="21"/>
          <w:szCs w:val="21"/>
          <w:highlight w:val="none"/>
          <w:lang w:val="en-US" w:eastAsia="zh-CN" w:bidi="ar-SA"/>
        </w:rPr>
        <w:t>投标人需提相关证明材料</w:t>
      </w:r>
      <w:r>
        <w:rPr>
          <w:rFonts w:hint="eastAsia" w:ascii="CESI宋体-GB2312" w:hAnsi="CESI宋体-GB2312" w:eastAsia="CESI宋体-GB2312" w:cs="CESI宋体-GB2312"/>
          <w:b/>
          <w:bCs/>
          <w:color w:val="auto"/>
          <w:kern w:val="0"/>
          <w:sz w:val="21"/>
          <w:szCs w:val="21"/>
          <w:highlight w:val="none"/>
          <w:lang w:eastAsia="zh-CN" w:bidi="ar"/>
        </w:rPr>
        <w:t>）</w:t>
      </w:r>
    </w:p>
    <w:p>
      <w:pPr>
        <w:pStyle w:val="74"/>
        <w:widowControl/>
        <w:numPr>
          <w:ilvl w:val="0"/>
          <w:numId w:val="8"/>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项目实施和质保期间，中标方应保证积极配合市级主管部门布置的试点任务。</w:t>
      </w:r>
    </w:p>
    <w:p>
      <w:pPr>
        <w:pStyle w:val="74"/>
        <w:widowControl/>
        <w:numPr>
          <w:ilvl w:val="0"/>
          <w:numId w:val="8"/>
        </w:numPr>
        <w:spacing w:line="360" w:lineRule="auto"/>
        <w:ind w:left="820" w:leftChars="0" w:firstLineChars="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kern w:val="0"/>
          <w:sz w:val="21"/>
          <w:szCs w:val="21"/>
          <w:highlight w:val="none"/>
          <w:lang w:bidi="ar"/>
        </w:rPr>
        <w:t>本项目实施过程中涉及到的道路、人行道开挖</w:t>
      </w:r>
      <w:r>
        <w:rPr>
          <w:rFonts w:hint="eastAsia" w:ascii="CESI宋体-GB2312" w:hAnsi="CESI宋体-GB2312" w:eastAsia="CESI宋体-GB2312" w:cs="CESI宋体-GB2312"/>
          <w:color w:val="auto"/>
          <w:kern w:val="0"/>
          <w:sz w:val="21"/>
          <w:szCs w:val="21"/>
          <w:highlight w:val="none"/>
          <w:lang w:eastAsia="zh-CN" w:bidi="ar"/>
        </w:rPr>
        <w:t>、</w:t>
      </w:r>
      <w:r>
        <w:rPr>
          <w:rFonts w:hint="eastAsia" w:ascii="CESI宋体-GB2312" w:hAnsi="CESI宋体-GB2312" w:eastAsia="CESI宋体-GB2312" w:cs="CESI宋体-GB2312"/>
          <w:color w:val="auto"/>
          <w:kern w:val="0"/>
          <w:sz w:val="21"/>
          <w:szCs w:val="21"/>
          <w:highlight w:val="none"/>
          <w:lang w:val="en-US" w:eastAsia="zh-CN" w:bidi="ar"/>
        </w:rPr>
        <w:t>取电</w:t>
      </w:r>
      <w:r>
        <w:rPr>
          <w:rFonts w:hint="eastAsia" w:ascii="CESI宋体-GB2312" w:hAnsi="CESI宋体-GB2312" w:eastAsia="CESI宋体-GB2312" w:cs="CESI宋体-GB2312"/>
          <w:color w:val="auto"/>
          <w:kern w:val="0"/>
          <w:sz w:val="21"/>
          <w:szCs w:val="21"/>
          <w:highlight w:val="none"/>
          <w:lang w:bidi="ar"/>
        </w:rPr>
        <w:t>及修复费用等工程施工和措施包含在总费用内，中标后不再调整。</w:t>
      </w:r>
    </w:p>
    <w:p>
      <w:pPr>
        <w:spacing w:line="360" w:lineRule="auto"/>
        <w:ind w:left="420"/>
        <w:outlineLvl w:val="1"/>
        <w:rPr>
          <w:rFonts w:hint="eastAsia" w:ascii="CESI宋体-GB2312" w:hAnsi="CESI宋体-GB2312" w:eastAsia="CESI宋体-GB2312" w:cs="CESI宋体-GB2312"/>
          <w:b/>
          <w:bCs/>
          <w:color w:val="auto"/>
          <w:sz w:val="21"/>
          <w:szCs w:val="21"/>
          <w:highlight w:val="none"/>
          <w:lang w:val="en-US" w:eastAsia="zh-CN"/>
        </w:rPr>
      </w:pPr>
      <w:r>
        <w:rPr>
          <w:rFonts w:hint="eastAsia" w:ascii="CESI宋体-GB2312" w:hAnsi="CESI宋体-GB2312" w:eastAsia="CESI宋体-GB2312" w:cs="CESI宋体-GB2312"/>
          <w:b/>
          <w:bCs/>
          <w:color w:val="auto"/>
          <w:sz w:val="21"/>
          <w:szCs w:val="21"/>
          <w:highlight w:val="none"/>
        </w:rPr>
        <w:t>2.3</w:t>
      </w:r>
      <w:r>
        <w:rPr>
          <w:rFonts w:hint="eastAsia" w:ascii="CESI宋体-GB2312" w:hAnsi="CESI宋体-GB2312" w:eastAsia="CESI宋体-GB2312" w:cs="CESI宋体-GB2312"/>
          <w:b/>
          <w:bCs/>
          <w:color w:val="auto"/>
          <w:sz w:val="21"/>
          <w:szCs w:val="21"/>
          <w:highlight w:val="none"/>
          <w:lang w:val="en-US" w:eastAsia="zh-CN"/>
        </w:rPr>
        <w:t>人员配备及</w:t>
      </w:r>
      <w:r>
        <w:rPr>
          <w:rFonts w:hint="eastAsia" w:ascii="CESI宋体-GB2312" w:hAnsi="CESI宋体-GB2312" w:eastAsia="CESI宋体-GB2312" w:cs="CESI宋体-GB2312"/>
          <w:b/>
          <w:bCs/>
          <w:color w:val="auto"/>
          <w:sz w:val="21"/>
          <w:szCs w:val="21"/>
          <w:highlight w:val="none"/>
        </w:rPr>
        <w:t>技术培训</w:t>
      </w:r>
      <w:r>
        <w:rPr>
          <w:rFonts w:hint="eastAsia" w:ascii="CESI宋体-GB2312" w:hAnsi="CESI宋体-GB2312" w:eastAsia="CESI宋体-GB2312" w:cs="CESI宋体-GB2312"/>
          <w:b/>
          <w:bCs/>
          <w:color w:val="auto"/>
          <w:sz w:val="21"/>
          <w:szCs w:val="21"/>
          <w:highlight w:val="none"/>
          <w:lang w:val="en-US" w:eastAsia="zh-CN"/>
        </w:rPr>
        <w:t>等其他要求</w:t>
      </w:r>
    </w:p>
    <w:p>
      <w:pPr>
        <w:spacing w:line="360" w:lineRule="auto"/>
        <w:ind w:left="420"/>
        <w:outlineLvl w:val="1"/>
        <w:rPr>
          <w:rFonts w:hint="eastAsia" w:ascii="CESI宋体-GB2312" w:hAnsi="CESI宋体-GB2312" w:eastAsia="CESI宋体-GB2312" w:cs="CESI宋体-GB2312"/>
          <w:b/>
          <w:bCs/>
          <w:color w:val="auto"/>
          <w:sz w:val="21"/>
          <w:szCs w:val="21"/>
          <w:highlight w:val="none"/>
          <w:lang w:val="en-US" w:eastAsia="zh-CN"/>
        </w:rPr>
      </w:pPr>
      <w:r>
        <w:rPr>
          <w:rFonts w:hint="eastAsia" w:ascii="CESI宋体-GB2312" w:hAnsi="CESI宋体-GB2312" w:eastAsia="CESI宋体-GB2312" w:cs="CESI宋体-GB2312"/>
          <w:b/>
          <w:bCs/>
          <w:color w:val="auto"/>
          <w:sz w:val="21"/>
          <w:szCs w:val="21"/>
          <w:highlight w:val="none"/>
        </w:rPr>
        <w:t xml:space="preserve">2.3.1 </w:t>
      </w:r>
      <w:r>
        <w:rPr>
          <w:rFonts w:hint="eastAsia" w:ascii="CESI宋体-GB2312" w:hAnsi="CESI宋体-GB2312" w:eastAsia="CESI宋体-GB2312" w:cs="CESI宋体-GB2312"/>
          <w:b/>
          <w:bCs/>
          <w:color w:val="auto"/>
          <w:sz w:val="21"/>
          <w:szCs w:val="21"/>
          <w:highlight w:val="none"/>
          <w:lang w:val="en-US" w:eastAsia="zh-CN"/>
        </w:rPr>
        <w:t>技术人员要求</w:t>
      </w:r>
    </w:p>
    <w:p>
      <w:pPr>
        <w:spacing w:line="360" w:lineRule="auto"/>
        <w:ind w:firstLine="420" w:firstLineChars="0"/>
        <w:outlineLvl w:val="9"/>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项目组技术实施人员结构应包含项目负责人、专业工程师及现场实施技术人员服务等角色，并逐一说明在项目各阶段中人员工作职责。</w:t>
      </w:r>
    </w:p>
    <w:p>
      <w:pPr>
        <w:spacing w:line="360" w:lineRule="auto"/>
        <w:ind w:firstLine="420" w:firstLineChars="0"/>
        <w:outlineLvl w:val="9"/>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在项目建设期间，投标方需提供至少两名技术人员驻场服务。</w:t>
      </w:r>
    </w:p>
    <w:p>
      <w:pPr>
        <w:pStyle w:val="2"/>
        <w:numPr>
          <w:ilvl w:val="0"/>
          <w:numId w:val="0"/>
        </w:numPr>
        <w:spacing w:line="360" w:lineRule="auto"/>
        <w:ind w:firstLine="420" w:firstLineChars="200"/>
        <w:rPr>
          <w:rFonts w:hint="eastAsia" w:ascii="CESI宋体-GB2312" w:hAnsi="CESI宋体-GB2312" w:eastAsia="CESI宋体-GB2312" w:cs="CESI宋体-GB2312"/>
          <w:b w:val="0"/>
          <w:bCs w:val="0"/>
          <w:color w:val="auto"/>
          <w:kern w:val="2"/>
          <w:sz w:val="21"/>
          <w:szCs w:val="21"/>
          <w:highlight w:val="none"/>
          <w:lang w:val="en-US" w:eastAsia="zh-CN" w:bidi="ar-SA"/>
        </w:rPr>
      </w:pPr>
      <w:r>
        <w:rPr>
          <w:rFonts w:hint="eastAsia" w:ascii="CESI宋体-GB2312" w:hAnsi="CESI宋体-GB2312" w:eastAsia="CESI宋体-GB2312" w:cs="CESI宋体-GB2312"/>
          <w:b w:val="0"/>
          <w:bCs w:val="0"/>
          <w:color w:val="auto"/>
          <w:kern w:val="2"/>
          <w:sz w:val="21"/>
          <w:szCs w:val="21"/>
          <w:highlight w:val="none"/>
          <w:lang w:val="en-US" w:eastAsia="zh-CN" w:bidi="ar-SA"/>
        </w:rPr>
        <w:t>项目负责人需具有一级建造师（专业为机电工程）、安全员(持安全生产考核合格证书 B 证)。（须提供投标人的投标截止时间前三个月（不含投标截止时间的当月）中任一个月份的投标单位为其缴纳的社会保障资金缴纳凭据复印件）；</w:t>
      </w:r>
    </w:p>
    <w:p>
      <w:pPr>
        <w:pStyle w:val="2"/>
        <w:numPr>
          <w:ilvl w:val="0"/>
          <w:numId w:val="0"/>
        </w:numPr>
        <w:spacing w:line="360" w:lineRule="auto"/>
        <w:ind w:firstLine="420" w:firstLineChars="200"/>
        <w:rPr>
          <w:rFonts w:hint="eastAsia" w:ascii="CESI宋体-GB2312" w:hAnsi="CESI宋体-GB2312" w:eastAsia="CESI宋体-GB2312" w:cs="CESI宋体-GB2312"/>
          <w:b w:val="0"/>
          <w:bCs w:val="0"/>
          <w:color w:val="auto"/>
          <w:kern w:val="2"/>
          <w:sz w:val="21"/>
          <w:szCs w:val="21"/>
          <w:highlight w:val="none"/>
          <w:lang w:val="en-US" w:eastAsia="zh-CN" w:bidi="ar-SA"/>
        </w:rPr>
      </w:pPr>
      <w:r>
        <w:rPr>
          <w:rFonts w:hint="eastAsia" w:ascii="CESI宋体-GB2312" w:hAnsi="CESI宋体-GB2312" w:eastAsia="CESI宋体-GB2312" w:cs="CESI宋体-GB2312"/>
          <w:b w:val="0"/>
          <w:bCs w:val="0"/>
          <w:color w:val="auto"/>
          <w:kern w:val="2"/>
          <w:sz w:val="21"/>
          <w:szCs w:val="21"/>
          <w:highlight w:val="none"/>
          <w:lang w:val="en-US" w:eastAsia="zh-CN" w:bidi="ar-SA"/>
        </w:rPr>
        <w:t>投标人须为本项目组建专属服务团队，项目团队人员(除项目负责人外)需配备不少于10 人(含10 人)，配置1 名技术负责人、1 名技术人员、2 名专职安全员(</w:t>
      </w:r>
      <w:r>
        <w:rPr>
          <w:rFonts w:hint="eastAsia" w:ascii="CESI宋体-GB2312" w:hAnsi="CESI宋体-GB2312" w:eastAsia="CESI宋体-GB2312" w:cs="CESI宋体-GB2312"/>
          <w:b w:val="0"/>
          <w:bCs w:val="0"/>
          <w:strike w:val="0"/>
          <w:dstrike w:val="0"/>
          <w:color w:val="auto"/>
          <w:kern w:val="2"/>
          <w:sz w:val="21"/>
          <w:szCs w:val="21"/>
          <w:highlight w:val="none"/>
          <w:lang w:val="en-US" w:eastAsia="zh-CN" w:bidi="ar-SA"/>
        </w:rPr>
        <w:t>持</w:t>
      </w:r>
      <w:r>
        <w:rPr>
          <w:rFonts w:hint="eastAsia" w:ascii="CESI宋体-GB2312" w:hAnsi="CESI宋体-GB2312" w:eastAsia="CESI宋体-GB2312" w:cs="CESI宋体-GB2312"/>
          <w:b w:val="0"/>
          <w:bCs w:val="0"/>
          <w:color w:val="auto"/>
          <w:kern w:val="2"/>
          <w:sz w:val="21"/>
          <w:szCs w:val="21"/>
          <w:highlight w:val="none"/>
          <w:lang w:val="en-US" w:eastAsia="zh-CN" w:bidi="ar-SA"/>
        </w:rPr>
        <w:t>安全员 B证)岗位人员。以上人员信息不得重复。投标单位需提供人员的投标截止时间前三个月（不含投标截止时间的当月）中任一个月份的投标单位为其缴纳的社会保障资金缴纳凭据复印件</w:t>
      </w:r>
    </w:p>
    <w:p>
      <w:pPr>
        <w:spacing w:line="360" w:lineRule="auto"/>
        <w:ind w:left="420"/>
        <w:outlineLvl w:val="1"/>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2.3.</w:t>
      </w:r>
      <w:r>
        <w:rPr>
          <w:rFonts w:hint="eastAsia" w:ascii="CESI宋体-GB2312" w:hAnsi="CESI宋体-GB2312" w:eastAsia="CESI宋体-GB2312" w:cs="CESI宋体-GB2312"/>
          <w:b/>
          <w:bCs/>
          <w:color w:val="auto"/>
          <w:sz w:val="21"/>
          <w:szCs w:val="21"/>
          <w:highlight w:val="none"/>
          <w:lang w:val="en-US" w:eastAsia="zh-CN"/>
        </w:rPr>
        <w:t>2</w:t>
      </w:r>
      <w:r>
        <w:rPr>
          <w:rFonts w:hint="eastAsia" w:ascii="CESI宋体-GB2312" w:hAnsi="CESI宋体-GB2312" w:eastAsia="CESI宋体-GB2312" w:cs="CESI宋体-GB2312"/>
          <w:b/>
          <w:bCs/>
          <w:color w:val="auto"/>
          <w:sz w:val="21"/>
          <w:szCs w:val="21"/>
          <w:highlight w:val="none"/>
        </w:rPr>
        <w:t xml:space="preserve"> 技术培训</w:t>
      </w:r>
    </w:p>
    <w:p>
      <w:pPr>
        <w:spacing w:line="360" w:lineRule="auto"/>
        <w:ind w:firstLine="420" w:firstLineChars="0"/>
        <w:outlineLvl w:val="9"/>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投标方承诺在招标方所在地组织有效应用培训，通过培训使受训人员能够了解系统，设备的工作原理、基本结构；熟练掌握系统的操作程序、设备的详细操作，使用方法；以及系统、设备的日常维护、一般故障判断、排除等，并提供全套培训教材和培训课程计划表。</w:t>
      </w:r>
    </w:p>
    <w:p>
      <w:pPr>
        <w:spacing w:line="360" w:lineRule="auto"/>
        <w:ind w:firstLine="420" w:firstLineChars="0"/>
        <w:outlineLvl w:val="9"/>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投标方应详细开列培训内容及培训地点、时间等项目。</w:t>
      </w:r>
    </w:p>
    <w:p>
      <w:pPr>
        <w:spacing w:line="360" w:lineRule="auto"/>
        <w:ind w:left="420"/>
        <w:outlineLvl w:val="1"/>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2.3.</w:t>
      </w:r>
      <w:r>
        <w:rPr>
          <w:rFonts w:hint="eastAsia" w:ascii="CESI宋体-GB2312" w:hAnsi="CESI宋体-GB2312" w:eastAsia="CESI宋体-GB2312" w:cs="CESI宋体-GB2312"/>
          <w:b/>
          <w:bCs/>
          <w:color w:val="auto"/>
          <w:sz w:val="21"/>
          <w:szCs w:val="21"/>
          <w:highlight w:val="none"/>
          <w:lang w:val="en-US" w:eastAsia="zh-CN"/>
        </w:rPr>
        <w:t>3</w:t>
      </w:r>
      <w:r>
        <w:rPr>
          <w:rFonts w:hint="eastAsia" w:ascii="CESI宋体-GB2312" w:hAnsi="CESI宋体-GB2312" w:eastAsia="CESI宋体-GB2312" w:cs="CESI宋体-GB2312"/>
          <w:b/>
          <w:bCs/>
          <w:color w:val="auto"/>
          <w:sz w:val="21"/>
          <w:szCs w:val="21"/>
          <w:highlight w:val="none"/>
        </w:rPr>
        <w:t xml:space="preserve"> 其他要求</w:t>
      </w:r>
    </w:p>
    <w:p>
      <w:pPr>
        <w:pStyle w:val="74"/>
        <w:numPr>
          <w:ilvl w:val="0"/>
          <w:numId w:val="9"/>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投标方应说明工程技术队伍和机构情况及服务模式。投标方应指定一名项目经理。在实施期内稳定的服务及技术团队，保障系统的正常运行，在出现故障时及时响应。</w:t>
      </w:r>
    </w:p>
    <w:p>
      <w:pPr>
        <w:pStyle w:val="74"/>
        <w:numPr>
          <w:ilvl w:val="0"/>
          <w:numId w:val="9"/>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为保证本项目建设过程中沟通和协调的便利，投标方必须指定一名项目总协调。项目建设过程中一旦出现重大问题，项目总协调人应该能及时赶到现场。</w:t>
      </w:r>
    </w:p>
    <w:p>
      <w:pPr>
        <w:pStyle w:val="74"/>
        <w:numPr>
          <w:ilvl w:val="0"/>
          <w:numId w:val="9"/>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如招标方需要对高位视频项目进行重大需求变更或者服务调整，投标方应根据项目要求组织一支经验丰富、开发能力强的团队，确保在系统调研、施工安装、分析设计、开发测试和培训实施等各个阶段项目团队的稳定性。</w:t>
      </w:r>
    </w:p>
    <w:p>
      <w:pPr>
        <w:pStyle w:val="74"/>
        <w:numPr>
          <w:ilvl w:val="0"/>
          <w:numId w:val="9"/>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投标方应提供施工安装时所生成的必要工程设计资料，投标方有责任在保证安全和质量的前提下提供技术服务。</w:t>
      </w:r>
    </w:p>
    <w:p>
      <w:pPr>
        <w:pStyle w:val="74"/>
        <w:numPr>
          <w:ilvl w:val="0"/>
          <w:numId w:val="9"/>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系统建设完成后质保过程中，投标方如对系统配套软件有所改进、增加新功能，均应免费提供招标方使用。</w:t>
      </w:r>
    </w:p>
    <w:p>
      <w:pPr>
        <w:pStyle w:val="74"/>
        <w:widowControl/>
        <w:numPr>
          <w:ilvl w:val="0"/>
          <w:numId w:val="9"/>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必须为用户提供快速修复、预防性维护、定期巡检等形式的紧急预案服务；</w:t>
      </w:r>
    </w:p>
    <w:p>
      <w:pPr>
        <w:pStyle w:val="74"/>
        <w:numPr>
          <w:ilvl w:val="0"/>
          <w:numId w:val="9"/>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投标方应对其在国内的售后服务、技术支持方面、在上海市有无技术支持中心，固定地点等情况作出说明。</w:t>
      </w:r>
    </w:p>
    <w:p>
      <w:pPr>
        <w:pStyle w:val="74"/>
        <w:numPr>
          <w:ilvl w:val="0"/>
          <w:numId w:val="9"/>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投标方应提供7×24小时实时响应，保障通讯畅通，配备专人接报，如果系统发生严重故障，投标方立即委派工程师进行处理；如果系统发生一般故障，投标方委派工程师在1小时内开展问题处理工作；必要时到现场进行紧急处理。</w:t>
      </w:r>
    </w:p>
    <w:p>
      <w:pPr>
        <w:pStyle w:val="74"/>
        <w:numPr>
          <w:ilvl w:val="0"/>
          <w:numId w:val="9"/>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在系统运行期间，根据需要投标方有责任派技术人员按招标需要随时到现场指导维护工作。</w:t>
      </w:r>
    </w:p>
    <w:p>
      <w:pPr>
        <w:pStyle w:val="74"/>
        <w:numPr>
          <w:ilvl w:val="0"/>
          <w:numId w:val="9"/>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完成上海市公共停车信息平台技术对接和流媒体对接</w:t>
      </w:r>
      <w:r>
        <w:rPr>
          <w:rFonts w:hint="eastAsia" w:ascii="CESI宋体-GB2312" w:hAnsi="CESI宋体-GB2312" w:eastAsia="CESI宋体-GB2312" w:cs="CESI宋体-GB2312"/>
          <w:color w:val="auto"/>
          <w:kern w:val="0"/>
          <w:sz w:val="21"/>
          <w:szCs w:val="21"/>
          <w:highlight w:val="none"/>
          <w:lang w:eastAsia="zh-CN" w:bidi="ar"/>
        </w:rPr>
        <w:t>，</w:t>
      </w:r>
      <w:r>
        <w:rPr>
          <w:rFonts w:hint="eastAsia" w:ascii="CESI宋体-GB2312" w:hAnsi="CESI宋体-GB2312" w:eastAsia="CESI宋体-GB2312" w:cs="CESI宋体-GB2312"/>
          <w:color w:val="auto"/>
          <w:kern w:val="0"/>
          <w:sz w:val="21"/>
          <w:szCs w:val="21"/>
          <w:highlight w:val="none"/>
          <w:lang w:val="en-US" w:eastAsia="zh-CN" w:bidi="ar"/>
        </w:rPr>
        <w:t>提供平台证明</w:t>
      </w:r>
      <w:r>
        <w:rPr>
          <w:rFonts w:hint="eastAsia" w:ascii="CESI宋体-GB2312" w:hAnsi="CESI宋体-GB2312" w:eastAsia="CESI宋体-GB2312" w:cs="CESI宋体-GB2312"/>
          <w:color w:val="auto"/>
          <w:kern w:val="0"/>
          <w:sz w:val="21"/>
          <w:szCs w:val="21"/>
          <w:highlight w:val="none"/>
          <w:lang w:bidi="ar"/>
        </w:rPr>
        <w:t>；</w:t>
      </w:r>
    </w:p>
    <w:p>
      <w:pPr>
        <w:numPr>
          <w:ilvl w:val="0"/>
          <w:numId w:val="9"/>
        </w:numPr>
        <w:spacing w:line="360" w:lineRule="auto"/>
        <w:ind w:left="820" w:leftChars="0" w:firstLineChars="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kern w:val="0"/>
          <w:sz w:val="21"/>
          <w:szCs w:val="21"/>
          <w:highlight w:val="none"/>
          <w:lang w:bidi="ar"/>
        </w:rPr>
        <w:t>每月提交管理部门运营数据报告，提供平台数据报告管理和下载等功能，技术故障处理完成后，及时输出技术分析报告；</w:t>
      </w:r>
    </w:p>
    <w:p>
      <w:pPr>
        <w:pStyle w:val="74"/>
        <w:widowControl/>
        <w:numPr>
          <w:ilvl w:val="0"/>
          <w:numId w:val="9"/>
        </w:numPr>
        <w:spacing w:line="360" w:lineRule="auto"/>
        <w:ind w:left="820" w:leftChars="0"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 xml:space="preserve">投标方必须作出无推诿承诺：即投标方应提供特殊措施，无论由于哪一方产生的问题而使系统发生不正常情况时，并在得到委托方通知后，须立即派工程师到场，全力协助其他供应商，使系统尽快恢复正常； </w:t>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2.3.</w:t>
      </w:r>
      <w:r>
        <w:rPr>
          <w:rFonts w:hint="eastAsia" w:ascii="CESI宋体-GB2312" w:hAnsi="CESI宋体-GB2312" w:eastAsia="CESI宋体-GB2312" w:cs="CESI宋体-GB2312"/>
          <w:b/>
          <w:bCs/>
          <w:color w:val="auto"/>
          <w:sz w:val="21"/>
          <w:szCs w:val="21"/>
          <w:highlight w:val="none"/>
          <w:lang w:val="en-US" w:eastAsia="zh-CN"/>
        </w:rPr>
        <w:t>4</w:t>
      </w:r>
      <w:r>
        <w:rPr>
          <w:rFonts w:hint="eastAsia" w:ascii="CESI宋体-GB2312" w:hAnsi="CESI宋体-GB2312" w:eastAsia="CESI宋体-GB2312" w:cs="CESI宋体-GB2312"/>
          <w:b/>
          <w:bCs/>
          <w:color w:val="auto"/>
          <w:sz w:val="21"/>
          <w:szCs w:val="21"/>
          <w:highlight w:val="none"/>
        </w:rPr>
        <w:t xml:space="preserve"> 建设周期</w:t>
      </w:r>
    </w:p>
    <w:p>
      <w:pPr>
        <w:pStyle w:val="17"/>
        <w:spacing w:line="360" w:lineRule="auto"/>
        <w:ind w:firstLine="420" w:firstLineChars="200"/>
        <w:rPr>
          <w:rFonts w:hint="eastAsia" w:ascii="CESI宋体-GB2312" w:hAnsi="CESI宋体-GB2312" w:eastAsia="CESI宋体-GB2312" w:cs="CESI宋体-GB2312"/>
          <w:color w:val="auto"/>
          <w:kern w:val="0"/>
          <w:sz w:val="21"/>
          <w:szCs w:val="21"/>
          <w:highlight w:val="none"/>
        </w:rPr>
      </w:pPr>
      <w:r>
        <w:rPr>
          <w:rFonts w:hint="eastAsia" w:ascii="CESI宋体-GB2312" w:hAnsi="CESI宋体-GB2312" w:eastAsia="CESI宋体-GB2312" w:cs="CESI宋体-GB2312"/>
          <w:color w:val="auto"/>
          <w:kern w:val="0"/>
          <w:sz w:val="21"/>
          <w:szCs w:val="21"/>
          <w:highlight w:val="none"/>
          <w:lang w:bidi="ar"/>
        </w:rPr>
        <w:t>1、建设周期：合同签订后</w:t>
      </w:r>
      <w:r>
        <w:rPr>
          <w:rFonts w:hint="eastAsia" w:ascii="CESI宋体-GB2312" w:hAnsi="CESI宋体-GB2312" w:eastAsia="CESI宋体-GB2312" w:cs="CESI宋体-GB2312"/>
          <w:color w:val="auto"/>
          <w:kern w:val="0"/>
          <w:sz w:val="21"/>
          <w:szCs w:val="21"/>
          <w:highlight w:val="none"/>
          <w:lang w:val="en-US" w:eastAsia="zh-CN" w:bidi="ar"/>
        </w:rPr>
        <w:t>60</w:t>
      </w:r>
      <w:r>
        <w:rPr>
          <w:rFonts w:hint="eastAsia" w:ascii="CESI宋体-GB2312" w:hAnsi="CESI宋体-GB2312" w:eastAsia="CESI宋体-GB2312" w:cs="CESI宋体-GB2312"/>
          <w:color w:val="auto"/>
          <w:kern w:val="0"/>
          <w:sz w:val="21"/>
          <w:szCs w:val="21"/>
          <w:highlight w:val="none"/>
          <w:lang w:bidi="ar"/>
        </w:rPr>
        <w:t>天内完成系统建设。如遇交通保障、建设审批或者招标方调整建设方案/标准等情况，建设期可相应顺延。</w:t>
      </w:r>
    </w:p>
    <w:p>
      <w:pPr>
        <w:autoSpaceDE w:val="0"/>
        <w:autoSpaceDN w:val="0"/>
        <w:adjustRightInd w:val="0"/>
        <w:spacing w:line="360" w:lineRule="auto"/>
        <w:ind w:firstLine="420" w:firstLineChars="200"/>
        <w:rPr>
          <w:rFonts w:hint="eastAsia" w:ascii="CESI宋体-GB2312" w:hAnsi="CESI宋体-GB2312" w:eastAsia="CESI宋体-GB2312" w:cs="CESI宋体-GB2312"/>
          <w:color w:val="auto"/>
          <w:kern w:val="0"/>
          <w:sz w:val="21"/>
          <w:szCs w:val="21"/>
          <w:highlight w:val="none"/>
        </w:rPr>
      </w:pPr>
      <w:r>
        <w:rPr>
          <w:rFonts w:hint="eastAsia" w:ascii="CESI宋体-GB2312" w:hAnsi="CESI宋体-GB2312" w:eastAsia="CESI宋体-GB2312" w:cs="CESI宋体-GB2312"/>
          <w:color w:val="auto"/>
          <w:kern w:val="0"/>
          <w:sz w:val="21"/>
          <w:szCs w:val="21"/>
          <w:highlight w:val="none"/>
        </w:rPr>
        <w:t>2、交付地点：根据采购人要求。</w:t>
      </w:r>
    </w:p>
    <w:p>
      <w:pPr>
        <w:widowControl/>
        <w:spacing w:line="360" w:lineRule="auto"/>
        <w:ind w:firstLine="420" w:firstLineChars="200"/>
        <w:jc w:val="left"/>
        <w:rPr>
          <w:rFonts w:hint="eastAsia" w:ascii="CESI宋体-GB2312" w:hAnsi="CESI宋体-GB2312" w:eastAsia="CESI宋体-GB2312" w:cs="CESI宋体-GB2312"/>
          <w:color w:val="auto"/>
          <w:kern w:val="0"/>
          <w:sz w:val="21"/>
          <w:szCs w:val="21"/>
          <w:highlight w:val="none"/>
        </w:rPr>
      </w:pPr>
      <w:r>
        <w:rPr>
          <w:rFonts w:hint="eastAsia" w:ascii="CESI宋体-GB2312" w:hAnsi="CESI宋体-GB2312" w:eastAsia="CESI宋体-GB2312" w:cs="CESI宋体-GB2312"/>
          <w:color w:val="auto"/>
          <w:kern w:val="0"/>
          <w:sz w:val="21"/>
          <w:szCs w:val="21"/>
          <w:highlight w:val="none"/>
        </w:rPr>
        <w:t>路段清单</w:t>
      </w:r>
      <w:r>
        <w:rPr>
          <w:rFonts w:hint="eastAsia" w:ascii="CESI宋体-GB2312" w:hAnsi="CESI宋体-GB2312" w:eastAsia="CESI宋体-GB2312" w:cs="CESI宋体-GB2312"/>
          <w:color w:val="auto"/>
          <w:kern w:val="0"/>
          <w:sz w:val="21"/>
          <w:szCs w:val="21"/>
          <w:highlight w:val="none"/>
          <w:lang w:eastAsia="zh-CN"/>
        </w:rPr>
        <w:t>（以下</w:t>
      </w:r>
      <w:r>
        <w:rPr>
          <w:rFonts w:hint="eastAsia" w:ascii="CESI宋体-GB2312" w:hAnsi="CESI宋体-GB2312" w:eastAsia="CESI宋体-GB2312" w:cs="CESI宋体-GB2312"/>
          <w:color w:val="auto"/>
          <w:kern w:val="0"/>
          <w:sz w:val="21"/>
          <w:szCs w:val="21"/>
          <w:highlight w:val="none"/>
        </w:rPr>
        <w:t>为暂定路段，最终以实际建设方案为准</w:t>
      </w:r>
      <w:r>
        <w:rPr>
          <w:rFonts w:hint="eastAsia" w:ascii="CESI宋体-GB2312" w:hAnsi="CESI宋体-GB2312" w:eastAsia="CESI宋体-GB2312" w:cs="CESI宋体-GB2312"/>
          <w:color w:val="auto"/>
          <w:kern w:val="0"/>
          <w:sz w:val="21"/>
          <w:szCs w:val="21"/>
          <w:highlight w:val="none"/>
          <w:lang w:eastAsia="zh-CN"/>
        </w:rPr>
        <w:t>）</w:t>
      </w:r>
    </w:p>
    <w:tbl>
      <w:tblPr>
        <w:tblStyle w:val="3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12"/>
        <w:gridCol w:w="1312"/>
        <w:gridCol w:w="5425"/>
        <w:gridCol w:w="2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5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CESI宋体-GB2312" w:hAnsi="CESI宋体-GB2312" w:eastAsia="CESI宋体-GB2312" w:cs="CESI宋体-GB2312"/>
                <w:b/>
                <w:bCs/>
                <w:i w:val="0"/>
                <w:iCs w:val="0"/>
                <w:color w:val="000000"/>
                <w:sz w:val="21"/>
                <w:szCs w:val="21"/>
                <w:highlight w:val="none"/>
                <w:u w:val="none"/>
              </w:rPr>
            </w:pPr>
            <w:r>
              <w:rPr>
                <w:rFonts w:hint="eastAsia" w:ascii="CESI宋体-GB2312" w:hAnsi="CESI宋体-GB2312" w:eastAsia="CESI宋体-GB2312" w:cs="CESI宋体-GB2312"/>
                <w:b/>
                <w:bCs/>
                <w:i w:val="0"/>
                <w:iCs w:val="0"/>
                <w:color w:val="000000"/>
                <w:kern w:val="0"/>
                <w:sz w:val="21"/>
                <w:szCs w:val="21"/>
                <w:highlight w:val="none"/>
                <w:u w:val="none"/>
                <w:lang w:val="en-US" w:eastAsia="zh-CN" w:bidi="ar"/>
              </w:rPr>
              <w:t>序号</w:t>
            </w:r>
          </w:p>
        </w:tc>
        <w:tc>
          <w:tcPr>
            <w:tcW w:w="65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CESI宋体-GB2312" w:hAnsi="CESI宋体-GB2312" w:eastAsia="CESI宋体-GB2312" w:cs="CESI宋体-GB2312"/>
                <w:b/>
                <w:bCs/>
                <w:i w:val="0"/>
                <w:iCs w:val="0"/>
                <w:color w:val="000000"/>
                <w:sz w:val="21"/>
                <w:szCs w:val="21"/>
                <w:highlight w:val="none"/>
                <w:u w:val="none"/>
              </w:rPr>
            </w:pPr>
            <w:r>
              <w:rPr>
                <w:rFonts w:hint="eastAsia" w:ascii="CESI宋体-GB2312" w:hAnsi="CESI宋体-GB2312" w:eastAsia="CESI宋体-GB2312" w:cs="CESI宋体-GB2312"/>
                <w:b/>
                <w:bCs/>
                <w:i w:val="0"/>
                <w:iCs w:val="0"/>
                <w:color w:val="000000"/>
                <w:kern w:val="0"/>
                <w:sz w:val="21"/>
                <w:szCs w:val="21"/>
                <w:highlight w:val="none"/>
                <w:u w:val="none"/>
                <w:lang w:val="en-US" w:eastAsia="zh-CN" w:bidi="ar"/>
              </w:rPr>
              <w:t>路段编号</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CESI宋体-GB2312" w:hAnsi="CESI宋体-GB2312" w:eastAsia="CESI宋体-GB2312" w:cs="CESI宋体-GB2312"/>
                <w:b/>
                <w:bCs/>
                <w:i w:val="0"/>
                <w:iCs w:val="0"/>
                <w:color w:val="000000"/>
                <w:sz w:val="21"/>
                <w:szCs w:val="21"/>
                <w:highlight w:val="none"/>
                <w:u w:val="none"/>
              </w:rPr>
            </w:pPr>
            <w:r>
              <w:rPr>
                <w:rFonts w:hint="eastAsia" w:ascii="CESI宋体-GB2312" w:hAnsi="CESI宋体-GB2312" w:eastAsia="CESI宋体-GB2312" w:cs="CESI宋体-GB2312"/>
                <w:b/>
                <w:bCs/>
                <w:i w:val="0"/>
                <w:iCs w:val="0"/>
                <w:color w:val="000000"/>
                <w:kern w:val="0"/>
                <w:sz w:val="21"/>
                <w:szCs w:val="21"/>
                <w:highlight w:val="none"/>
                <w:u w:val="none"/>
                <w:lang w:val="en-US" w:eastAsia="zh-CN" w:bidi="ar"/>
              </w:rPr>
              <w:t>路段名称</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CESI宋体-GB2312" w:hAnsi="CESI宋体-GB2312" w:eastAsia="CESI宋体-GB2312" w:cs="CESI宋体-GB2312"/>
                <w:b/>
                <w:bCs/>
                <w:i w:val="0"/>
                <w:iCs w:val="0"/>
                <w:color w:val="000000"/>
                <w:sz w:val="21"/>
                <w:szCs w:val="21"/>
                <w:highlight w:val="none"/>
                <w:u w:val="none"/>
              </w:rPr>
            </w:pPr>
            <w:r>
              <w:rPr>
                <w:rFonts w:hint="eastAsia" w:ascii="CESI宋体-GB2312" w:hAnsi="CESI宋体-GB2312" w:eastAsia="CESI宋体-GB2312" w:cs="CESI宋体-GB2312"/>
                <w:b/>
                <w:bCs/>
                <w:i w:val="0"/>
                <w:iCs w:val="0"/>
                <w:color w:val="000000"/>
                <w:kern w:val="0"/>
                <w:sz w:val="21"/>
                <w:szCs w:val="21"/>
                <w:highlight w:val="none"/>
                <w:u w:val="none"/>
                <w:lang w:val="en-US" w:eastAsia="zh-CN" w:bidi="ar"/>
              </w:rPr>
              <w:t>现场泊位数量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sz w:val="21"/>
                <w:szCs w:val="21"/>
                <w:highlight w:val="none"/>
                <w:u w:val="none"/>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1</w:t>
            </w:r>
          </w:p>
        </w:tc>
        <w:tc>
          <w:tcPr>
            <w:tcW w:w="6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CN-016</w:t>
            </w:r>
          </w:p>
        </w:tc>
        <w:tc>
          <w:tcPr>
            <w:tcW w:w="272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安顺路（定西路-淮海西路）南侧</w:t>
            </w:r>
          </w:p>
        </w:tc>
        <w:tc>
          <w:tcPr>
            <w:tcW w:w="19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sz w:val="21"/>
                <w:szCs w:val="21"/>
                <w:highlight w:val="none"/>
                <w:u w:val="none"/>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2</w:t>
            </w:r>
          </w:p>
        </w:tc>
        <w:tc>
          <w:tcPr>
            <w:tcW w:w="6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CNW-035</w:t>
            </w:r>
          </w:p>
        </w:tc>
        <w:tc>
          <w:tcPr>
            <w:tcW w:w="272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福泉北路（临华路-临新路）东侧</w:t>
            </w:r>
          </w:p>
        </w:tc>
        <w:tc>
          <w:tcPr>
            <w:tcW w:w="19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sz w:val="21"/>
                <w:szCs w:val="21"/>
                <w:highlight w:val="none"/>
                <w:u w:val="none"/>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3</w:t>
            </w:r>
          </w:p>
        </w:tc>
        <w:tc>
          <w:tcPr>
            <w:tcW w:w="6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CNW-036</w:t>
            </w:r>
          </w:p>
        </w:tc>
        <w:tc>
          <w:tcPr>
            <w:tcW w:w="272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临华路（福泉北路-协和路）北侧</w:t>
            </w:r>
          </w:p>
        </w:tc>
        <w:tc>
          <w:tcPr>
            <w:tcW w:w="19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sz w:val="21"/>
                <w:szCs w:val="21"/>
                <w:highlight w:val="none"/>
                <w:u w:val="none"/>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4</w:t>
            </w:r>
          </w:p>
        </w:tc>
        <w:tc>
          <w:tcPr>
            <w:tcW w:w="6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CNW-046</w:t>
            </w:r>
          </w:p>
        </w:tc>
        <w:tc>
          <w:tcPr>
            <w:tcW w:w="272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中泾路（金浜路-新泾苑）东侧</w:t>
            </w:r>
          </w:p>
        </w:tc>
        <w:tc>
          <w:tcPr>
            <w:tcW w:w="19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sz w:val="21"/>
                <w:szCs w:val="21"/>
                <w:highlight w:val="none"/>
                <w:u w:val="none"/>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5</w:t>
            </w:r>
          </w:p>
        </w:tc>
        <w:tc>
          <w:tcPr>
            <w:tcW w:w="6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CNW-018</w:t>
            </w:r>
          </w:p>
        </w:tc>
        <w:tc>
          <w:tcPr>
            <w:tcW w:w="272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平溪路（哈密路-剑河路）南侧</w:t>
            </w:r>
          </w:p>
        </w:tc>
        <w:tc>
          <w:tcPr>
            <w:tcW w:w="19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sz w:val="21"/>
                <w:szCs w:val="21"/>
                <w:highlight w:val="none"/>
                <w:u w:val="none"/>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6</w:t>
            </w:r>
          </w:p>
        </w:tc>
        <w:tc>
          <w:tcPr>
            <w:tcW w:w="6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CNW-019</w:t>
            </w:r>
          </w:p>
        </w:tc>
        <w:tc>
          <w:tcPr>
            <w:tcW w:w="272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荣华东道（水城路—古北路）</w:t>
            </w:r>
          </w:p>
        </w:tc>
        <w:tc>
          <w:tcPr>
            <w:tcW w:w="19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sz w:val="21"/>
                <w:szCs w:val="21"/>
                <w:highlight w:val="none"/>
                <w:u w:val="none"/>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7</w:t>
            </w:r>
          </w:p>
        </w:tc>
        <w:tc>
          <w:tcPr>
            <w:tcW w:w="65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CNW-020</w:t>
            </w:r>
          </w:p>
        </w:tc>
        <w:tc>
          <w:tcPr>
            <w:tcW w:w="272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荣华西道（水城路—水城路）</w:t>
            </w:r>
          </w:p>
        </w:tc>
        <w:tc>
          <w:tcPr>
            <w:tcW w:w="19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000000"/>
                <w:kern w:val="0"/>
                <w:sz w:val="21"/>
                <w:szCs w:val="21"/>
                <w:highlight w:val="none"/>
                <w:u w:val="none"/>
                <w:lang w:val="en-US" w:eastAsia="zh-CN" w:bidi="ar"/>
              </w:rPr>
            </w:pPr>
            <w:r>
              <w:rPr>
                <w:rFonts w:hint="eastAsia" w:ascii="CESI宋体-GB2312" w:hAnsi="CESI宋体-GB2312" w:eastAsia="CESI宋体-GB2312" w:cs="CESI宋体-GB2312"/>
                <w:i w:val="0"/>
                <w:iCs w:val="0"/>
                <w:color w:val="000000"/>
                <w:kern w:val="0"/>
                <w:sz w:val="21"/>
                <w:szCs w:val="21"/>
                <w:highlight w:val="none"/>
                <w:u w:val="none"/>
                <w:lang w:val="en-US" w:eastAsia="zh-CN" w:bidi="ar"/>
              </w:rPr>
              <w:t>20</w:t>
            </w:r>
          </w:p>
        </w:tc>
      </w:tr>
    </w:tbl>
    <w:p>
      <w:pPr>
        <w:spacing w:line="360" w:lineRule="auto"/>
        <w:ind w:left="420"/>
        <w:outlineLvl w:val="2"/>
        <w:rPr>
          <w:rFonts w:hint="eastAsia" w:ascii="CESI宋体-GB2312" w:hAnsi="CESI宋体-GB2312" w:eastAsia="CESI宋体-GB2312" w:cs="CESI宋体-GB2312"/>
          <w:b/>
          <w:bCs/>
          <w:color w:val="auto"/>
          <w:sz w:val="21"/>
          <w:szCs w:val="21"/>
          <w:highlight w:val="none"/>
        </w:rPr>
      </w:pP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三、</w:t>
      </w:r>
      <w:r>
        <w:rPr>
          <w:rFonts w:hint="eastAsia" w:ascii="CESI宋体-GB2312" w:hAnsi="CESI宋体-GB2312" w:eastAsia="CESI宋体-GB2312" w:cs="CESI宋体-GB2312"/>
          <w:b/>
          <w:bCs/>
          <w:color w:val="auto"/>
          <w:sz w:val="21"/>
          <w:szCs w:val="21"/>
          <w:highlight w:val="none"/>
          <w:lang w:val="en-US" w:eastAsia="zh-CN"/>
        </w:rPr>
        <w:t>建设</w:t>
      </w:r>
      <w:r>
        <w:rPr>
          <w:rFonts w:hint="eastAsia" w:ascii="CESI宋体-GB2312" w:hAnsi="CESI宋体-GB2312" w:eastAsia="CESI宋体-GB2312" w:cs="CESI宋体-GB2312"/>
          <w:b/>
          <w:bCs/>
          <w:color w:val="auto"/>
          <w:sz w:val="21"/>
          <w:szCs w:val="21"/>
          <w:highlight w:val="none"/>
        </w:rPr>
        <w:t>清单及技术要求</w:t>
      </w:r>
    </w:p>
    <w:p>
      <w:pPr>
        <w:spacing w:line="360" w:lineRule="auto"/>
        <w:ind w:left="420"/>
        <w:outlineLvl w:val="1"/>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 xml:space="preserve">3.1 </w:t>
      </w:r>
      <w:r>
        <w:rPr>
          <w:rFonts w:hint="eastAsia" w:ascii="CESI宋体-GB2312" w:hAnsi="CESI宋体-GB2312" w:eastAsia="CESI宋体-GB2312" w:cs="CESI宋体-GB2312"/>
          <w:b/>
          <w:bCs/>
          <w:color w:val="auto"/>
          <w:sz w:val="21"/>
          <w:szCs w:val="21"/>
          <w:highlight w:val="none"/>
          <w:lang w:val="en-US" w:eastAsia="zh-CN"/>
        </w:rPr>
        <w:t>建设</w:t>
      </w:r>
      <w:r>
        <w:rPr>
          <w:rFonts w:hint="eastAsia" w:ascii="CESI宋体-GB2312" w:hAnsi="CESI宋体-GB2312" w:eastAsia="CESI宋体-GB2312" w:cs="CESI宋体-GB2312"/>
          <w:b/>
          <w:bCs/>
          <w:color w:val="auto"/>
          <w:sz w:val="21"/>
          <w:szCs w:val="21"/>
          <w:highlight w:val="none"/>
        </w:rPr>
        <w:t>清单</w:t>
      </w:r>
    </w:p>
    <w:tbl>
      <w:tblPr>
        <w:tblStyle w:val="3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5"/>
        <w:gridCol w:w="4303"/>
        <w:gridCol w:w="625"/>
        <w:gridCol w:w="625"/>
        <w:gridCol w:w="3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bidi="ar"/>
              </w:rPr>
            </w:pPr>
            <w:r>
              <w:rPr>
                <w:rFonts w:hint="eastAsia" w:ascii="CESI宋体-GB2312" w:hAnsi="CESI宋体-GB2312" w:eastAsia="CESI宋体-GB2312" w:cs="CESI宋体-GB2312"/>
                <w:b w:val="0"/>
                <w:bCs w:val="0"/>
                <w:color w:val="auto"/>
                <w:kern w:val="0"/>
                <w:sz w:val="21"/>
                <w:szCs w:val="21"/>
                <w:highlight w:val="none"/>
                <w:lang w:bidi="ar"/>
              </w:rPr>
              <w:t>序号</w:t>
            </w:r>
          </w:p>
        </w:tc>
        <w:tc>
          <w:tcPr>
            <w:tcW w:w="212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kern w:val="0"/>
                <w:sz w:val="21"/>
                <w:szCs w:val="21"/>
                <w:highlight w:val="none"/>
                <w:lang w:val="en-US" w:eastAsia="zh-CN" w:bidi="ar"/>
              </w:rPr>
              <w:t>项目名称</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bidi="ar"/>
              </w:rPr>
            </w:pPr>
            <w:r>
              <w:rPr>
                <w:rFonts w:hint="eastAsia" w:ascii="CESI宋体-GB2312" w:hAnsi="CESI宋体-GB2312" w:eastAsia="CESI宋体-GB2312" w:cs="CESI宋体-GB2312"/>
                <w:b w:val="0"/>
                <w:bCs w:val="0"/>
                <w:color w:val="auto"/>
                <w:kern w:val="0"/>
                <w:sz w:val="21"/>
                <w:szCs w:val="21"/>
                <w:highlight w:val="none"/>
                <w:lang w:bidi="ar"/>
              </w:rPr>
              <w:t>数量</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bidi="ar"/>
              </w:rPr>
            </w:pPr>
            <w:r>
              <w:rPr>
                <w:rFonts w:hint="eastAsia" w:ascii="CESI宋体-GB2312" w:hAnsi="CESI宋体-GB2312" w:eastAsia="CESI宋体-GB2312" w:cs="CESI宋体-GB2312"/>
                <w:b w:val="0"/>
                <w:bCs w:val="0"/>
                <w:color w:val="auto"/>
                <w:kern w:val="0"/>
                <w:sz w:val="21"/>
                <w:szCs w:val="21"/>
                <w:highlight w:val="none"/>
                <w:lang w:bidi="ar"/>
              </w:rPr>
              <w:t>单位</w:t>
            </w:r>
          </w:p>
        </w:tc>
        <w:tc>
          <w:tcPr>
            <w:tcW w:w="1332"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bidi="ar"/>
              </w:rPr>
            </w:pPr>
            <w:r>
              <w:rPr>
                <w:rFonts w:hint="eastAsia" w:ascii="CESI宋体-GB2312" w:hAnsi="CESI宋体-GB2312" w:eastAsia="CESI宋体-GB2312" w:cs="CESI宋体-GB2312"/>
                <w:b w:val="0"/>
                <w:bCs w:val="0"/>
                <w:color w:val="auto"/>
                <w:kern w:val="0"/>
                <w:sz w:val="21"/>
                <w:szCs w:val="21"/>
                <w:highlight w:val="none"/>
                <w:lang w:bidi="ar"/>
              </w:rPr>
              <w:t>建设标准和要求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bidi="ar"/>
              </w:rPr>
            </w:pPr>
            <w:r>
              <w:rPr>
                <w:rFonts w:hint="eastAsia" w:ascii="CESI宋体-GB2312" w:hAnsi="CESI宋体-GB2312" w:eastAsia="CESI宋体-GB2312" w:cs="CESI宋体-GB2312"/>
                <w:b w:val="0"/>
                <w:bCs w:val="0"/>
                <w:color w:val="auto"/>
                <w:kern w:val="0"/>
                <w:sz w:val="21"/>
                <w:szCs w:val="21"/>
                <w:highlight w:val="none"/>
                <w:lang w:bidi="ar"/>
              </w:rPr>
              <w:t>1</w:t>
            </w:r>
          </w:p>
        </w:tc>
        <w:tc>
          <w:tcPr>
            <w:tcW w:w="2126" w:type="pct"/>
            <w:noWrap/>
            <w:vAlign w:val="center"/>
          </w:tcPr>
          <w:p>
            <w:pPr>
              <w:widowControl/>
              <w:jc w:val="center"/>
              <w:rPr>
                <w:rFonts w:hint="eastAsia" w:ascii="CESI宋体-GB2312" w:hAnsi="CESI宋体-GB2312" w:eastAsia="CESI宋体-GB2312" w:cs="CESI宋体-GB2312"/>
                <w:b w:val="0"/>
                <w:bCs w:val="0"/>
                <w:color w:val="auto"/>
                <w:kern w:val="0"/>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高清摄像机</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71</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eastAsia="zh-CN"/>
              </w:rPr>
            </w:pPr>
            <w:r>
              <w:rPr>
                <w:rFonts w:hint="eastAsia" w:ascii="CESI宋体-GB2312" w:hAnsi="CESI宋体-GB2312" w:eastAsia="CESI宋体-GB2312" w:cs="CESI宋体-GB2312"/>
                <w:b w:val="0"/>
                <w:bCs w:val="0"/>
                <w:color w:val="auto"/>
                <w:kern w:val="0"/>
                <w:sz w:val="21"/>
                <w:szCs w:val="21"/>
                <w:highlight w:val="none"/>
                <w:lang w:val="en-US" w:eastAsia="zh-CN" w:bidi="ar"/>
              </w:rPr>
              <w:t>台</w:t>
            </w:r>
          </w:p>
        </w:tc>
        <w:tc>
          <w:tcPr>
            <w:tcW w:w="1332" w:type="pct"/>
            <w:noWrap/>
            <w:vAlign w:val="center"/>
          </w:tcPr>
          <w:p>
            <w:pPr>
              <w:jc w:val="left"/>
              <w:rPr>
                <w:rFonts w:hint="eastAsia" w:ascii="CESI宋体-GB2312" w:hAnsi="CESI宋体-GB2312" w:eastAsia="CESI宋体-GB2312" w:cs="CESI宋体-GB2312"/>
                <w:color w:val="auto"/>
                <w:kern w:val="2"/>
                <w:sz w:val="21"/>
                <w:szCs w:val="21"/>
                <w:highlight w:val="none"/>
                <w:lang w:val="en-US" w:eastAsia="zh-CN" w:bidi="ar-SA"/>
              </w:rPr>
            </w:pPr>
            <w:r>
              <w:rPr>
                <w:rFonts w:hint="eastAsia" w:ascii="CESI宋体-GB2312" w:hAnsi="CESI宋体-GB2312" w:eastAsia="CESI宋体-GB2312" w:cs="CESI宋体-GB2312"/>
                <w:color w:val="auto"/>
                <w:sz w:val="21"/>
                <w:szCs w:val="21"/>
                <w:highlight w:val="none"/>
              </w:rPr>
              <w:t>详见“3</w:t>
            </w:r>
            <w:r>
              <w:rPr>
                <w:rFonts w:hint="eastAsia" w:ascii="CESI宋体-GB2312" w:hAnsi="CESI宋体-GB2312" w:eastAsia="CESI宋体-GB2312" w:cs="CESI宋体-GB2312"/>
                <w:color w:val="auto"/>
                <w:sz w:val="21"/>
                <w:szCs w:val="21"/>
                <w:highlight w:val="none"/>
                <w:lang w:val="en-US" w:eastAsia="zh-CN"/>
              </w:rPr>
              <w:t>.3</w:t>
            </w:r>
            <w:r>
              <w:rPr>
                <w:rFonts w:hint="eastAsia" w:ascii="CESI宋体-GB2312" w:hAnsi="CESI宋体-GB2312" w:eastAsia="CESI宋体-GB2312" w:cs="CESI宋体-GB2312"/>
                <w:color w:val="auto"/>
                <w:sz w:val="21"/>
                <w:szCs w:val="21"/>
                <w:highlight w:val="none"/>
              </w:rPr>
              <w:t>系统及硬件技术要求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bidi="ar"/>
              </w:rPr>
            </w:pPr>
            <w:r>
              <w:rPr>
                <w:rFonts w:hint="eastAsia" w:ascii="CESI宋体-GB2312" w:hAnsi="CESI宋体-GB2312" w:eastAsia="CESI宋体-GB2312" w:cs="CESI宋体-GB2312"/>
                <w:b w:val="0"/>
                <w:bCs w:val="0"/>
                <w:color w:val="auto"/>
                <w:kern w:val="0"/>
                <w:sz w:val="21"/>
                <w:szCs w:val="21"/>
                <w:highlight w:val="none"/>
                <w:lang w:bidi="ar"/>
              </w:rPr>
              <w:t>2</w:t>
            </w:r>
          </w:p>
        </w:tc>
        <w:tc>
          <w:tcPr>
            <w:tcW w:w="212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sz w:val="21"/>
                <w:szCs w:val="21"/>
                <w:highlight w:val="none"/>
                <w:lang w:val="en-US" w:eastAsia="zh-CN"/>
              </w:rPr>
              <w:t>前端管理终端</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24</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台</w:t>
            </w:r>
          </w:p>
        </w:tc>
        <w:tc>
          <w:tcPr>
            <w:tcW w:w="1332" w:type="pct"/>
            <w:noWrap/>
            <w:vAlign w:val="center"/>
          </w:tcPr>
          <w:p>
            <w:pPr>
              <w:jc w:val="left"/>
              <w:rPr>
                <w:rFonts w:hint="eastAsia" w:ascii="CESI宋体-GB2312" w:hAnsi="CESI宋体-GB2312" w:eastAsia="CESI宋体-GB2312" w:cs="CESI宋体-GB2312"/>
                <w:color w:val="auto"/>
                <w:kern w:val="2"/>
                <w:sz w:val="21"/>
                <w:szCs w:val="21"/>
                <w:highlight w:val="none"/>
                <w:lang w:val="en-US" w:eastAsia="zh-CN" w:bidi="ar-SA"/>
              </w:rPr>
            </w:pPr>
            <w:r>
              <w:rPr>
                <w:rFonts w:hint="eastAsia" w:ascii="CESI宋体-GB2312" w:hAnsi="CESI宋体-GB2312" w:eastAsia="CESI宋体-GB2312" w:cs="CESI宋体-GB2312"/>
                <w:color w:val="auto"/>
                <w:sz w:val="21"/>
                <w:szCs w:val="21"/>
                <w:highlight w:val="none"/>
              </w:rPr>
              <w:t>详见“3</w:t>
            </w:r>
            <w:r>
              <w:rPr>
                <w:rFonts w:hint="eastAsia" w:ascii="CESI宋体-GB2312" w:hAnsi="CESI宋体-GB2312" w:eastAsia="CESI宋体-GB2312" w:cs="CESI宋体-GB2312"/>
                <w:color w:val="auto"/>
                <w:sz w:val="21"/>
                <w:szCs w:val="21"/>
                <w:highlight w:val="none"/>
                <w:lang w:val="en-US" w:eastAsia="zh-CN"/>
              </w:rPr>
              <w:t>.3</w:t>
            </w:r>
            <w:r>
              <w:rPr>
                <w:rFonts w:hint="eastAsia" w:ascii="CESI宋体-GB2312" w:hAnsi="CESI宋体-GB2312" w:eastAsia="CESI宋体-GB2312" w:cs="CESI宋体-GB2312"/>
                <w:color w:val="auto"/>
                <w:sz w:val="21"/>
                <w:szCs w:val="21"/>
                <w:highlight w:val="none"/>
              </w:rPr>
              <w:t>系统及硬件技术要求”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bidi="ar"/>
              </w:rPr>
            </w:pPr>
            <w:r>
              <w:rPr>
                <w:rFonts w:hint="eastAsia" w:ascii="CESI宋体-GB2312" w:hAnsi="CESI宋体-GB2312" w:eastAsia="CESI宋体-GB2312" w:cs="CESI宋体-GB2312"/>
                <w:b w:val="0"/>
                <w:bCs w:val="0"/>
                <w:color w:val="auto"/>
                <w:sz w:val="21"/>
                <w:szCs w:val="21"/>
                <w:highlight w:val="none"/>
              </w:rPr>
              <w:t>3</w:t>
            </w:r>
          </w:p>
        </w:tc>
        <w:tc>
          <w:tcPr>
            <w:tcW w:w="212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bidi="ar"/>
              </w:rPr>
            </w:pPr>
            <w:r>
              <w:rPr>
                <w:rFonts w:hint="eastAsia" w:ascii="CESI宋体-GB2312" w:hAnsi="CESI宋体-GB2312" w:eastAsia="CESI宋体-GB2312" w:cs="CESI宋体-GB2312"/>
                <w:b w:val="0"/>
                <w:bCs w:val="0"/>
                <w:color w:val="auto"/>
                <w:sz w:val="21"/>
                <w:szCs w:val="21"/>
                <w:highlight w:val="none"/>
              </w:rPr>
              <w:t>业务管理终端</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sz w:val="21"/>
                <w:szCs w:val="21"/>
                <w:highlight w:val="none"/>
                <w:lang w:val="en-US" w:eastAsia="zh-CN"/>
              </w:rPr>
              <w:t>11</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rPr>
            </w:pPr>
            <w:r>
              <w:rPr>
                <w:rFonts w:hint="eastAsia" w:ascii="CESI宋体-GB2312" w:hAnsi="CESI宋体-GB2312" w:eastAsia="CESI宋体-GB2312" w:cs="CESI宋体-GB2312"/>
                <w:b w:val="0"/>
                <w:bCs w:val="0"/>
                <w:color w:val="auto"/>
                <w:kern w:val="0"/>
                <w:sz w:val="21"/>
                <w:szCs w:val="21"/>
                <w:highlight w:val="none"/>
                <w:lang w:val="en-US" w:eastAsia="zh-CN" w:bidi="ar"/>
              </w:rPr>
              <w:t>台</w:t>
            </w:r>
          </w:p>
        </w:tc>
        <w:tc>
          <w:tcPr>
            <w:tcW w:w="1332" w:type="pct"/>
            <w:noWrap/>
            <w:vAlign w:val="center"/>
          </w:tcPr>
          <w:p>
            <w:pPr>
              <w:jc w:val="left"/>
              <w:rPr>
                <w:rFonts w:hint="eastAsia" w:ascii="CESI宋体-GB2312" w:hAnsi="CESI宋体-GB2312" w:eastAsia="CESI宋体-GB2312" w:cs="CESI宋体-GB2312"/>
                <w:b w:val="0"/>
                <w:bCs w:val="0"/>
                <w:color w:val="auto"/>
                <w:sz w:val="21"/>
                <w:szCs w:val="21"/>
                <w:highlight w:val="none"/>
              </w:rPr>
            </w:pPr>
            <w:r>
              <w:rPr>
                <w:rFonts w:hint="eastAsia" w:ascii="CESI宋体-GB2312" w:hAnsi="CESI宋体-GB2312" w:eastAsia="CESI宋体-GB2312" w:cs="CESI宋体-GB2312"/>
                <w:color w:val="auto"/>
                <w:sz w:val="21"/>
                <w:szCs w:val="21"/>
                <w:highlight w:val="none"/>
              </w:rPr>
              <w:t>详见“3</w:t>
            </w:r>
            <w:r>
              <w:rPr>
                <w:rFonts w:hint="eastAsia" w:ascii="CESI宋体-GB2312" w:hAnsi="CESI宋体-GB2312" w:eastAsia="CESI宋体-GB2312" w:cs="CESI宋体-GB2312"/>
                <w:color w:val="auto"/>
                <w:sz w:val="21"/>
                <w:szCs w:val="21"/>
                <w:highlight w:val="none"/>
                <w:lang w:val="en-US" w:eastAsia="zh-CN"/>
              </w:rPr>
              <w:t>.3</w:t>
            </w:r>
            <w:r>
              <w:rPr>
                <w:rFonts w:hint="eastAsia" w:ascii="CESI宋体-GB2312" w:hAnsi="CESI宋体-GB2312" w:eastAsia="CESI宋体-GB2312" w:cs="CESI宋体-GB2312"/>
                <w:color w:val="auto"/>
                <w:sz w:val="21"/>
                <w:szCs w:val="21"/>
                <w:highlight w:val="none"/>
              </w:rPr>
              <w:t>系统及硬件技术要求”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4</w:t>
            </w:r>
          </w:p>
        </w:tc>
        <w:tc>
          <w:tcPr>
            <w:tcW w:w="2126"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硬盘</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24</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kern w:val="0"/>
                <w:sz w:val="21"/>
                <w:szCs w:val="21"/>
                <w:highlight w:val="none"/>
                <w:lang w:val="en-US" w:eastAsia="zh-CN" w:bidi="ar"/>
              </w:rPr>
              <w:t>块</w:t>
            </w:r>
          </w:p>
        </w:tc>
        <w:tc>
          <w:tcPr>
            <w:tcW w:w="1332" w:type="pct"/>
            <w:noWrap/>
            <w:vAlign w:val="center"/>
          </w:tcPr>
          <w:p>
            <w:pPr>
              <w:jc w:val="left"/>
              <w:rPr>
                <w:rFonts w:hint="eastAsia" w:ascii="CESI宋体-GB2312" w:hAnsi="CESI宋体-GB2312" w:eastAsia="CESI宋体-GB2312" w:cs="CESI宋体-GB2312"/>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5</w:t>
            </w:r>
          </w:p>
        </w:tc>
        <w:tc>
          <w:tcPr>
            <w:tcW w:w="2126"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PDU插排</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20</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kern w:val="0"/>
                <w:sz w:val="21"/>
                <w:szCs w:val="21"/>
                <w:highlight w:val="none"/>
                <w:lang w:val="en-US" w:eastAsia="zh-CN" w:bidi="ar"/>
              </w:rPr>
              <w:t>台</w:t>
            </w:r>
          </w:p>
        </w:tc>
        <w:tc>
          <w:tcPr>
            <w:tcW w:w="1332" w:type="pct"/>
            <w:noWrap/>
            <w:vAlign w:val="center"/>
          </w:tcPr>
          <w:p>
            <w:pPr>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详见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6</w:t>
            </w:r>
          </w:p>
        </w:tc>
        <w:tc>
          <w:tcPr>
            <w:tcW w:w="2126"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接入交换机</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20</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kern w:val="0"/>
                <w:sz w:val="21"/>
                <w:szCs w:val="21"/>
                <w:highlight w:val="none"/>
                <w:lang w:val="en-US" w:eastAsia="zh-CN" w:bidi="ar"/>
              </w:rPr>
              <w:t>台</w:t>
            </w:r>
          </w:p>
        </w:tc>
        <w:tc>
          <w:tcPr>
            <w:tcW w:w="1332" w:type="pct"/>
            <w:noWrap/>
            <w:vAlign w:val="center"/>
          </w:tcPr>
          <w:p>
            <w:pPr>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详见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7</w:t>
            </w:r>
          </w:p>
        </w:tc>
        <w:tc>
          <w:tcPr>
            <w:tcW w:w="2126"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路由器</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10</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kern w:val="0"/>
                <w:sz w:val="21"/>
                <w:szCs w:val="21"/>
                <w:highlight w:val="none"/>
                <w:lang w:val="en-US" w:eastAsia="zh-CN" w:bidi="ar"/>
              </w:rPr>
              <w:t>台</w:t>
            </w:r>
          </w:p>
        </w:tc>
        <w:tc>
          <w:tcPr>
            <w:tcW w:w="1332" w:type="pct"/>
            <w:noWrap/>
            <w:vAlign w:val="center"/>
          </w:tcPr>
          <w:p>
            <w:pPr>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详见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8</w:t>
            </w:r>
          </w:p>
        </w:tc>
        <w:tc>
          <w:tcPr>
            <w:tcW w:w="2126"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光纤收发器</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23</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kern w:val="0"/>
                <w:sz w:val="21"/>
                <w:szCs w:val="21"/>
                <w:highlight w:val="none"/>
                <w:lang w:val="en-US" w:eastAsia="zh-CN" w:bidi="ar"/>
              </w:rPr>
              <w:t>台</w:t>
            </w:r>
          </w:p>
        </w:tc>
        <w:tc>
          <w:tcPr>
            <w:tcW w:w="1332" w:type="pct"/>
            <w:noWrap/>
            <w:vAlign w:val="center"/>
          </w:tcPr>
          <w:p>
            <w:pPr>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详见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eastAsia="zh-CN" w:bidi="ar"/>
              </w:rPr>
            </w:pPr>
            <w:r>
              <w:rPr>
                <w:rFonts w:hint="eastAsia" w:ascii="CESI宋体-GB2312" w:hAnsi="CESI宋体-GB2312" w:eastAsia="CESI宋体-GB2312" w:cs="CESI宋体-GB2312"/>
                <w:b w:val="0"/>
                <w:bCs w:val="0"/>
                <w:color w:val="auto"/>
                <w:sz w:val="21"/>
                <w:szCs w:val="21"/>
                <w:highlight w:val="none"/>
                <w:lang w:val="en-US" w:eastAsia="zh-CN"/>
              </w:rPr>
              <w:t>9</w:t>
            </w:r>
          </w:p>
        </w:tc>
        <w:tc>
          <w:tcPr>
            <w:tcW w:w="2126"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外场配套施工（挑臂、光纤、网线、电缆等）</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71</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eastAsia="zh-CN" w:bidi="ar"/>
              </w:rPr>
            </w:pPr>
            <w:r>
              <w:rPr>
                <w:rFonts w:hint="eastAsia" w:ascii="CESI宋体-GB2312" w:hAnsi="CESI宋体-GB2312" w:eastAsia="CESI宋体-GB2312" w:cs="CESI宋体-GB2312"/>
                <w:b w:val="0"/>
                <w:bCs w:val="0"/>
                <w:color w:val="auto"/>
                <w:kern w:val="0"/>
                <w:sz w:val="21"/>
                <w:szCs w:val="21"/>
                <w:highlight w:val="none"/>
                <w:lang w:val="en-US" w:eastAsia="zh-CN" w:bidi="ar"/>
              </w:rPr>
              <w:t>套</w:t>
            </w:r>
          </w:p>
        </w:tc>
        <w:tc>
          <w:tcPr>
            <w:tcW w:w="1332" w:type="pct"/>
            <w:noWrap/>
            <w:vAlign w:val="center"/>
          </w:tcPr>
          <w:p>
            <w:pPr>
              <w:jc w:val="left"/>
              <w:rPr>
                <w:rFonts w:hint="eastAsia" w:ascii="CESI宋体-GB2312" w:hAnsi="CESI宋体-GB2312" w:eastAsia="CESI宋体-GB2312" w:cs="CESI宋体-GB2312"/>
                <w:color w:val="auto"/>
                <w:kern w:val="2"/>
                <w:sz w:val="21"/>
                <w:szCs w:val="21"/>
                <w:highlight w:val="none"/>
                <w:lang w:val="en-US" w:eastAsia="zh-CN" w:bidi="ar-SA"/>
              </w:rPr>
            </w:pPr>
            <w:r>
              <w:rPr>
                <w:rFonts w:hint="eastAsia" w:ascii="CESI宋体-GB2312" w:hAnsi="CESI宋体-GB2312" w:eastAsia="CESI宋体-GB2312" w:cs="CESI宋体-GB2312"/>
                <w:color w:val="auto"/>
                <w:sz w:val="21"/>
                <w:szCs w:val="21"/>
                <w:highlight w:val="none"/>
              </w:rPr>
              <w:t>详见“3</w:t>
            </w:r>
            <w:r>
              <w:rPr>
                <w:rFonts w:hint="eastAsia" w:ascii="CESI宋体-GB2312" w:hAnsi="CESI宋体-GB2312" w:eastAsia="CESI宋体-GB2312" w:cs="CESI宋体-GB2312"/>
                <w:color w:val="auto"/>
                <w:sz w:val="21"/>
                <w:szCs w:val="21"/>
                <w:highlight w:val="none"/>
                <w:lang w:val="en-US" w:eastAsia="zh-CN"/>
              </w:rPr>
              <w:t>.4施工及保障”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kern w:val="0"/>
                <w:sz w:val="21"/>
                <w:szCs w:val="21"/>
                <w:highlight w:val="none"/>
                <w:lang w:val="en-US" w:eastAsia="zh-CN" w:bidi="ar"/>
              </w:rPr>
              <w:t>10</w:t>
            </w:r>
          </w:p>
        </w:tc>
        <w:tc>
          <w:tcPr>
            <w:tcW w:w="2126"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rPr>
              <w:t>流媒体</w:t>
            </w:r>
            <w:r>
              <w:rPr>
                <w:rFonts w:hint="eastAsia" w:ascii="CESI宋体-GB2312" w:hAnsi="CESI宋体-GB2312" w:eastAsia="CESI宋体-GB2312" w:cs="CESI宋体-GB2312"/>
                <w:b w:val="0"/>
                <w:bCs w:val="0"/>
                <w:color w:val="auto"/>
                <w:sz w:val="21"/>
                <w:szCs w:val="21"/>
                <w:highlight w:val="none"/>
                <w:lang w:val="en-US" w:eastAsia="zh-CN"/>
              </w:rPr>
              <w:t>平台服务</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bidi="ar"/>
              </w:rPr>
            </w:pPr>
            <w:r>
              <w:rPr>
                <w:rFonts w:hint="eastAsia" w:ascii="CESI宋体-GB2312" w:hAnsi="CESI宋体-GB2312" w:eastAsia="CESI宋体-GB2312" w:cs="CESI宋体-GB2312"/>
                <w:b w:val="0"/>
                <w:bCs w:val="0"/>
                <w:color w:val="auto"/>
                <w:sz w:val="21"/>
                <w:szCs w:val="21"/>
                <w:highlight w:val="none"/>
              </w:rPr>
              <w:t>1</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kern w:val="0"/>
                <w:sz w:val="21"/>
                <w:szCs w:val="21"/>
                <w:highlight w:val="none"/>
                <w:lang w:val="en-US" w:eastAsia="zh-CN" w:bidi="ar"/>
              </w:rPr>
              <w:t>套</w:t>
            </w:r>
          </w:p>
        </w:tc>
        <w:tc>
          <w:tcPr>
            <w:tcW w:w="1332" w:type="pct"/>
            <w:noWrap/>
            <w:vAlign w:val="center"/>
          </w:tcPr>
          <w:p>
            <w:pPr>
              <w:widowControl/>
              <w:textAlignment w:val="center"/>
              <w:rPr>
                <w:rFonts w:hint="eastAsia" w:ascii="CESI宋体-GB2312" w:hAnsi="CESI宋体-GB2312" w:eastAsia="CESI宋体-GB2312" w:cs="CESI宋体-GB2312"/>
                <w:b w:val="0"/>
                <w:bCs w:val="0"/>
                <w:color w:val="auto"/>
                <w:sz w:val="21"/>
                <w:szCs w:val="21"/>
                <w:highlight w:val="none"/>
              </w:rPr>
            </w:pPr>
            <w:r>
              <w:rPr>
                <w:rFonts w:hint="eastAsia" w:ascii="CESI宋体-GB2312" w:hAnsi="CESI宋体-GB2312" w:eastAsia="CESI宋体-GB2312" w:cs="CESI宋体-GB2312"/>
                <w:color w:val="auto"/>
                <w:sz w:val="21"/>
                <w:szCs w:val="21"/>
                <w:highlight w:val="none"/>
              </w:rPr>
              <w:t>详见“3</w:t>
            </w:r>
            <w:r>
              <w:rPr>
                <w:rFonts w:hint="eastAsia" w:ascii="CESI宋体-GB2312" w:hAnsi="CESI宋体-GB2312" w:eastAsia="CESI宋体-GB2312" w:cs="CESI宋体-GB2312"/>
                <w:color w:val="auto"/>
                <w:sz w:val="21"/>
                <w:szCs w:val="21"/>
                <w:highlight w:val="none"/>
                <w:lang w:val="en-US" w:eastAsia="zh-CN"/>
              </w:rPr>
              <w:t>.3</w:t>
            </w:r>
            <w:r>
              <w:rPr>
                <w:rFonts w:hint="eastAsia" w:ascii="CESI宋体-GB2312" w:hAnsi="CESI宋体-GB2312" w:eastAsia="CESI宋体-GB2312" w:cs="CESI宋体-GB2312"/>
                <w:color w:val="auto"/>
                <w:sz w:val="21"/>
                <w:szCs w:val="21"/>
                <w:highlight w:val="none"/>
              </w:rPr>
              <w:t>系统及硬件技术要求”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kern w:val="0"/>
                <w:sz w:val="21"/>
                <w:szCs w:val="21"/>
                <w:highlight w:val="none"/>
                <w:lang w:val="en-US" w:eastAsia="zh-CN" w:bidi="ar"/>
              </w:rPr>
              <w:t>11</w:t>
            </w:r>
          </w:p>
        </w:tc>
        <w:tc>
          <w:tcPr>
            <w:tcW w:w="2126"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rPr>
            </w:pPr>
            <w:r>
              <w:rPr>
                <w:rFonts w:hint="eastAsia" w:ascii="CESI宋体-GB2312" w:hAnsi="CESI宋体-GB2312" w:eastAsia="CESI宋体-GB2312" w:cs="CESI宋体-GB2312"/>
                <w:b w:val="0"/>
                <w:bCs w:val="0"/>
                <w:color w:val="auto"/>
                <w:sz w:val="21"/>
                <w:szCs w:val="21"/>
                <w:highlight w:val="none"/>
              </w:rPr>
              <w:t>数据对接服务</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eastAsia="zh-CN" w:bidi="ar"/>
              </w:rPr>
            </w:pPr>
            <w:r>
              <w:rPr>
                <w:rFonts w:hint="eastAsia" w:ascii="CESI宋体-GB2312" w:hAnsi="CESI宋体-GB2312" w:eastAsia="CESI宋体-GB2312" w:cs="CESI宋体-GB2312"/>
                <w:b w:val="0"/>
                <w:bCs w:val="0"/>
                <w:color w:val="auto"/>
                <w:sz w:val="21"/>
                <w:szCs w:val="21"/>
                <w:highlight w:val="none"/>
                <w:lang w:val="en-US" w:eastAsia="zh-CN"/>
              </w:rPr>
              <w:t>1</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kern w:val="0"/>
                <w:sz w:val="21"/>
                <w:szCs w:val="21"/>
                <w:highlight w:val="none"/>
                <w:lang w:val="en-US" w:eastAsia="zh-CN" w:bidi="ar"/>
              </w:rPr>
              <w:t>套</w:t>
            </w:r>
          </w:p>
        </w:tc>
        <w:tc>
          <w:tcPr>
            <w:tcW w:w="1332" w:type="pct"/>
            <w:noWrap/>
            <w:vAlign w:val="center"/>
          </w:tcPr>
          <w:p>
            <w:pPr>
              <w:widowControl/>
              <w:textAlignment w:val="center"/>
              <w:rPr>
                <w:rFonts w:hint="eastAsia" w:ascii="CESI宋体-GB2312" w:hAnsi="CESI宋体-GB2312" w:eastAsia="CESI宋体-GB2312" w:cs="CESI宋体-GB2312"/>
                <w:b w:val="0"/>
                <w:bCs w:val="0"/>
                <w:color w:val="auto"/>
                <w:sz w:val="21"/>
                <w:szCs w:val="21"/>
                <w:highlight w:val="none"/>
              </w:rPr>
            </w:pPr>
            <w:r>
              <w:rPr>
                <w:rFonts w:hint="eastAsia" w:ascii="CESI宋体-GB2312" w:hAnsi="CESI宋体-GB2312" w:eastAsia="CESI宋体-GB2312" w:cs="CESI宋体-GB2312"/>
                <w:color w:val="auto"/>
                <w:sz w:val="21"/>
                <w:szCs w:val="21"/>
                <w:highlight w:val="none"/>
              </w:rPr>
              <w:t>详见“3</w:t>
            </w:r>
            <w:r>
              <w:rPr>
                <w:rFonts w:hint="eastAsia" w:ascii="CESI宋体-GB2312" w:hAnsi="CESI宋体-GB2312" w:eastAsia="CESI宋体-GB2312" w:cs="CESI宋体-GB2312"/>
                <w:color w:val="auto"/>
                <w:sz w:val="21"/>
                <w:szCs w:val="21"/>
                <w:highlight w:val="none"/>
                <w:lang w:val="en-US" w:eastAsia="zh-CN"/>
              </w:rPr>
              <w:t>.2</w:t>
            </w:r>
            <w:r>
              <w:rPr>
                <w:rFonts w:hint="eastAsia" w:ascii="CESI宋体-GB2312" w:hAnsi="CESI宋体-GB2312" w:eastAsia="CESI宋体-GB2312" w:cs="CESI宋体-GB2312"/>
                <w:color w:val="auto"/>
                <w:sz w:val="21"/>
                <w:szCs w:val="21"/>
                <w:highlight w:val="none"/>
              </w:rPr>
              <w:t>高位视频配套数据对接服务”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455"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12</w:t>
            </w:r>
          </w:p>
        </w:tc>
        <w:tc>
          <w:tcPr>
            <w:tcW w:w="2126" w:type="pct"/>
            <w:noWrap/>
            <w:vAlign w:val="center"/>
          </w:tcPr>
          <w:p>
            <w:pPr>
              <w:widowControl/>
              <w:jc w:val="center"/>
              <w:textAlignment w:val="center"/>
              <w:rPr>
                <w:rFonts w:hint="eastAsia" w:ascii="CESI宋体-GB2312" w:hAnsi="CESI宋体-GB2312" w:eastAsia="CESI宋体-GB2312" w:cs="CESI宋体-GB2312"/>
                <w:b w:val="0"/>
                <w:bCs w:val="0"/>
                <w:color w:val="auto"/>
                <w:sz w:val="21"/>
                <w:szCs w:val="21"/>
                <w:highlight w:val="none"/>
                <w:lang w:val="en-US" w:eastAsia="zh-CN"/>
              </w:rPr>
            </w:pPr>
            <w:r>
              <w:rPr>
                <w:rFonts w:hint="eastAsia" w:ascii="CESI宋体-GB2312" w:hAnsi="CESI宋体-GB2312" w:eastAsia="CESI宋体-GB2312" w:cs="CESI宋体-GB2312"/>
                <w:b w:val="0"/>
                <w:bCs w:val="0"/>
                <w:color w:val="auto"/>
                <w:sz w:val="21"/>
                <w:szCs w:val="21"/>
                <w:highlight w:val="none"/>
                <w:lang w:val="en-US" w:eastAsia="zh-CN"/>
              </w:rPr>
              <w:t>备品备件服务</w:t>
            </w:r>
          </w:p>
        </w:tc>
        <w:tc>
          <w:tcPr>
            <w:tcW w:w="599"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sz w:val="21"/>
                <w:szCs w:val="21"/>
                <w:highlight w:val="none"/>
                <w:lang w:val="en-US" w:eastAsia="zh-CN"/>
              </w:rPr>
              <w:t>1</w:t>
            </w:r>
          </w:p>
        </w:tc>
        <w:tc>
          <w:tcPr>
            <w:tcW w:w="486" w:type="pct"/>
            <w:noWrap/>
            <w:vAlign w:val="center"/>
          </w:tcPr>
          <w:p>
            <w:pPr>
              <w:widowControl/>
              <w:jc w:val="center"/>
              <w:textAlignment w:val="center"/>
              <w:rPr>
                <w:rFonts w:hint="eastAsia" w:ascii="CESI宋体-GB2312" w:hAnsi="CESI宋体-GB2312" w:eastAsia="CESI宋体-GB2312" w:cs="CESI宋体-GB2312"/>
                <w:b w:val="0"/>
                <w:bCs w:val="0"/>
                <w:color w:val="auto"/>
                <w:kern w:val="0"/>
                <w:sz w:val="21"/>
                <w:szCs w:val="21"/>
                <w:highlight w:val="none"/>
                <w:lang w:val="en-US" w:eastAsia="zh-CN" w:bidi="ar"/>
              </w:rPr>
            </w:pPr>
            <w:r>
              <w:rPr>
                <w:rFonts w:hint="eastAsia" w:ascii="CESI宋体-GB2312" w:hAnsi="CESI宋体-GB2312" w:eastAsia="CESI宋体-GB2312" w:cs="CESI宋体-GB2312"/>
                <w:b w:val="0"/>
                <w:bCs w:val="0"/>
                <w:color w:val="auto"/>
                <w:kern w:val="0"/>
                <w:sz w:val="21"/>
                <w:szCs w:val="21"/>
                <w:highlight w:val="none"/>
                <w:lang w:val="en-US" w:eastAsia="zh-CN" w:bidi="ar"/>
              </w:rPr>
              <w:t>套</w:t>
            </w:r>
          </w:p>
        </w:tc>
        <w:tc>
          <w:tcPr>
            <w:tcW w:w="1332" w:type="pct"/>
            <w:noWrap/>
            <w:vAlign w:val="center"/>
          </w:tcPr>
          <w:p>
            <w:pPr>
              <w:widowControl/>
              <w:textAlignment w:val="center"/>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详见“3.3.</w:t>
            </w:r>
            <w:r>
              <w:rPr>
                <w:rFonts w:hint="eastAsia" w:ascii="CESI宋体-GB2312" w:hAnsi="CESI宋体-GB2312" w:eastAsia="CESI宋体-GB2312" w:cs="CESI宋体-GB2312"/>
                <w:color w:val="auto"/>
                <w:sz w:val="21"/>
                <w:szCs w:val="21"/>
                <w:highlight w:val="none"/>
                <w:lang w:val="en-US" w:eastAsia="zh-CN"/>
              </w:rPr>
              <w:t>10</w:t>
            </w:r>
            <w:r>
              <w:rPr>
                <w:rFonts w:hint="eastAsia" w:ascii="CESI宋体-GB2312" w:hAnsi="CESI宋体-GB2312" w:eastAsia="CESI宋体-GB2312" w:cs="CESI宋体-GB2312"/>
                <w:color w:val="auto"/>
                <w:sz w:val="21"/>
                <w:szCs w:val="21"/>
                <w:highlight w:val="none"/>
              </w:rPr>
              <w:t xml:space="preserve"> </w:t>
            </w:r>
            <w:r>
              <w:rPr>
                <w:rFonts w:hint="eastAsia" w:ascii="CESI宋体-GB2312" w:hAnsi="CESI宋体-GB2312" w:eastAsia="CESI宋体-GB2312" w:cs="CESI宋体-GB2312"/>
                <w:color w:val="auto"/>
                <w:sz w:val="21"/>
                <w:szCs w:val="21"/>
                <w:highlight w:val="none"/>
                <w:lang w:val="en-US" w:eastAsia="zh-CN"/>
              </w:rPr>
              <w:t>备品备件</w:t>
            </w:r>
            <w:r>
              <w:rPr>
                <w:rFonts w:hint="eastAsia" w:ascii="CESI宋体-GB2312" w:hAnsi="CESI宋体-GB2312" w:eastAsia="CESI宋体-GB2312" w:cs="CESI宋体-GB2312"/>
                <w:color w:val="auto"/>
                <w:sz w:val="21"/>
                <w:szCs w:val="21"/>
                <w:highlight w:val="none"/>
              </w:rPr>
              <w:t>服务要求”</w:t>
            </w:r>
          </w:p>
        </w:tc>
      </w:tr>
    </w:tbl>
    <w:p>
      <w:pPr>
        <w:spacing w:line="360" w:lineRule="auto"/>
        <w:ind w:left="420"/>
        <w:outlineLvl w:val="1"/>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3.2 高位视频配套数据对接服务</w:t>
      </w:r>
    </w:p>
    <w:p>
      <w:pPr>
        <w:spacing w:line="360" w:lineRule="auto"/>
        <w:ind w:firstLine="420" w:firstLineChars="20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系统与</w:t>
      </w:r>
      <w:r>
        <w:rPr>
          <w:rFonts w:hint="eastAsia" w:ascii="CESI宋体-GB2312" w:hAnsi="CESI宋体-GB2312" w:eastAsia="CESI宋体-GB2312" w:cs="CESI宋体-GB2312"/>
          <w:color w:val="auto"/>
          <w:kern w:val="0"/>
          <w:sz w:val="21"/>
          <w:szCs w:val="21"/>
          <w:highlight w:val="none"/>
          <w:lang w:bidi="ar"/>
        </w:rPr>
        <w:t>公共停车信息平台</w:t>
      </w:r>
      <w:r>
        <w:rPr>
          <w:rFonts w:hint="eastAsia" w:ascii="CESI宋体-GB2312" w:hAnsi="CESI宋体-GB2312" w:eastAsia="CESI宋体-GB2312" w:cs="CESI宋体-GB2312"/>
          <w:color w:val="auto"/>
          <w:sz w:val="21"/>
          <w:szCs w:val="21"/>
          <w:highlight w:val="none"/>
        </w:rPr>
        <w:t>的数据对接，包括但不限于基础数据（设备管理信息等）、停车结构化信息（进出场记录、车牌等）、非结构化数据（特征图片、合成图、短视频等）以及其他必要资源和运营数据等，核心业务系统稳定可靠，</w:t>
      </w:r>
      <w:r>
        <w:rPr>
          <w:rFonts w:hint="eastAsia" w:ascii="CESI宋体-GB2312" w:hAnsi="CESI宋体-GB2312" w:eastAsia="CESI宋体-GB2312" w:cs="CESI宋体-GB2312"/>
          <w:color w:val="auto"/>
          <w:kern w:val="0"/>
          <w:sz w:val="21"/>
          <w:szCs w:val="21"/>
          <w:highlight w:val="none"/>
          <w:lang w:bidi="ar"/>
        </w:rPr>
        <w:t>停车管理业务逻辑和功能</w:t>
      </w:r>
      <w:r>
        <w:rPr>
          <w:rFonts w:hint="eastAsia" w:ascii="CESI宋体-GB2312" w:hAnsi="CESI宋体-GB2312" w:eastAsia="CESI宋体-GB2312" w:cs="CESI宋体-GB2312"/>
          <w:color w:val="auto"/>
          <w:sz w:val="21"/>
          <w:szCs w:val="21"/>
          <w:highlight w:val="none"/>
        </w:rPr>
        <w:t>根据主管部门最新需求进行定制开发，包括但不限于区综合交通平台与市公共停车平台业务接口升级、开发等；资源和运营管理功能；流媒体平台对接内容；巡检设备数据对接等。</w:t>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3.2.1 硬件相关配套管理软件的功能要求</w:t>
      </w:r>
    </w:p>
    <w:p>
      <w:pPr>
        <w:widowControl/>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高位视频配套管理软件应具备如下基本功能：</w:t>
      </w:r>
    </w:p>
    <w:p>
      <w:pPr>
        <w:pStyle w:val="74"/>
        <w:widowControl/>
        <w:numPr>
          <w:ilvl w:val="0"/>
          <w:numId w:val="10"/>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 xml:space="preserve"> 视频设备管理</w:t>
      </w:r>
    </w:p>
    <w:p>
      <w:pPr>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该功能模块记录高位视频路段所用到的设备信息等。</w:t>
      </w:r>
    </w:p>
    <w:p>
      <w:pPr>
        <w:pStyle w:val="74"/>
        <w:widowControl/>
        <w:numPr>
          <w:ilvl w:val="0"/>
          <w:numId w:val="10"/>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停车记录管理</w:t>
      </w:r>
    </w:p>
    <w:p>
      <w:pPr>
        <w:widowControl/>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该功能模块记录高位视频路段每次进离场的车辆、场库、设备的结构化数据和图片视频等非结构化数据，以停车记录编号区分，用订单号关联到视频订单。每条记录都可以进行上报异常并修改结构化数据，支持“一键式”重新录制图片、短视频。</w:t>
      </w:r>
    </w:p>
    <w:p>
      <w:pPr>
        <w:pStyle w:val="74"/>
        <w:widowControl/>
        <w:numPr>
          <w:ilvl w:val="0"/>
          <w:numId w:val="10"/>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异常数据管理</w:t>
      </w:r>
    </w:p>
    <w:p>
      <w:pPr>
        <w:pStyle w:val="74"/>
        <w:numPr>
          <w:ilvl w:val="0"/>
          <w:numId w:val="11"/>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订单异常</w:t>
      </w:r>
    </w:p>
    <w:p>
      <w:pPr>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记录订单异常的结构化数据并可以处理对应的异常，比如需改车牌、修改泊位、订单丢失。订单异常支持通过管理平台及巡检设备由运维服务人员介入处置。</w:t>
      </w:r>
    </w:p>
    <w:p>
      <w:pPr>
        <w:pStyle w:val="74"/>
        <w:numPr>
          <w:ilvl w:val="0"/>
          <w:numId w:val="11"/>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设备异常</w:t>
      </w:r>
    </w:p>
    <w:p>
      <w:pPr>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自动监控并记录设备的异常情况，在平台生成可视化的结构化数据，并可快捷关联到视频流，供运维人员及时接入处置。</w:t>
      </w:r>
    </w:p>
    <w:p>
      <w:pPr>
        <w:pStyle w:val="74"/>
        <w:numPr>
          <w:ilvl w:val="0"/>
          <w:numId w:val="11"/>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停放异常</w:t>
      </w:r>
    </w:p>
    <w:p>
      <w:pPr>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支持自动判断并记录车辆违停的结构化信息和非结构化信息，包括跨位停车、逆向停车等。</w:t>
      </w:r>
    </w:p>
    <w:p>
      <w:pPr>
        <w:pStyle w:val="74"/>
        <w:numPr>
          <w:ilvl w:val="0"/>
          <w:numId w:val="11"/>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非结构化信息状态</w:t>
      </w:r>
    </w:p>
    <w:p>
      <w:pPr>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记录每条停车记录的非结构化数据对应的处理状态，可通过停车编号实时查看图片、短视频。</w:t>
      </w:r>
    </w:p>
    <w:p>
      <w:pPr>
        <w:pStyle w:val="74"/>
        <w:widowControl/>
        <w:numPr>
          <w:ilvl w:val="0"/>
          <w:numId w:val="10"/>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公共停车信息平台业务接口</w:t>
      </w:r>
    </w:p>
    <w:p>
      <w:pPr>
        <w:spacing w:line="360" w:lineRule="auto"/>
        <w:ind w:firstLine="420" w:firstLineChars="20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kern w:val="0"/>
          <w:sz w:val="21"/>
          <w:szCs w:val="21"/>
          <w:highlight w:val="none"/>
          <w:lang w:bidi="ar"/>
        </w:rPr>
        <w:t>与公共停车信息平台接口升级、开发，符合最新接口协议，并根据要求优化展示界面，提升数据处理速度；</w:t>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3.2.2 组网方式</w:t>
      </w:r>
    </w:p>
    <w:p>
      <w:pPr>
        <w:widowControl/>
        <w:spacing w:line="360" w:lineRule="auto"/>
        <w:ind w:firstLine="420" w:firstLineChars="200"/>
        <w:jc w:val="left"/>
        <w:rPr>
          <w:rFonts w:hint="eastAsia" w:ascii="CESI宋体-GB2312" w:hAnsi="CESI宋体-GB2312" w:eastAsia="CESI宋体-GB2312" w:cs="CESI宋体-GB2312"/>
          <w:strike/>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为保障数据的及时性和流媒体服务的流畅性，本项目须采用</w:t>
      </w:r>
      <w:r>
        <w:rPr>
          <w:rFonts w:hint="eastAsia" w:ascii="CESI宋体-GB2312" w:hAnsi="CESI宋体-GB2312" w:eastAsia="CESI宋体-GB2312" w:cs="CESI宋体-GB2312"/>
          <w:color w:val="auto"/>
          <w:kern w:val="0"/>
          <w:sz w:val="21"/>
          <w:szCs w:val="21"/>
          <w:highlight w:val="none"/>
          <w:lang w:val="en-US" w:eastAsia="zh-CN" w:bidi="ar"/>
        </w:rPr>
        <w:t>专网联网方式</w:t>
      </w:r>
      <w:r>
        <w:rPr>
          <w:rFonts w:hint="eastAsia" w:ascii="CESI宋体-GB2312" w:hAnsi="CESI宋体-GB2312" w:eastAsia="CESI宋体-GB2312" w:cs="CESI宋体-GB2312"/>
          <w:color w:val="auto"/>
          <w:kern w:val="0"/>
          <w:sz w:val="21"/>
          <w:szCs w:val="21"/>
          <w:highlight w:val="none"/>
          <w:lang w:bidi="ar"/>
        </w:rPr>
        <w:t>作为前端数据网络连接方式，带宽应足够支持系统满足上海市有关技术规范。</w:t>
      </w:r>
    </w:p>
    <w:p>
      <w:pPr>
        <w:widowControl/>
        <w:spacing w:line="360" w:lineRule="auto"/>
        <w:ind w:firstLine="420" w:firstLineChars="20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kern w:val="0"/>
          <w:sz w:val="21"/>
          <w:szCs w:val="21"/>
          <w:highlight w:val="none"/>
          <w:lang w:bidi="ar"/>
        </w:rPr>
        <w:t>可访问组网下的所有设备包括IPC、</w:t>
      </w:r>
      <w:r>
        <w:rPr>
          <w:rFonts w:hint="eastAsia" w:ascii="CESI宋体-GB2312" w:hAnsi="CESI宋体-GB2312" w:eastAsia="CESI宋体-GB2312" w:cs="CESI宋体-GB2312"/>
          <w:color w:val="auto"/>
          <w:kern w:val="0"/>
          <w:sz w:val="21"/>
          <w:szCs w:val="21"/>
          <w:highlight w:val="none"/>
          <w:lang w:val="en-US" w:eastAsia="zh-CN" w:bidi="ar"/>
        </w:rPr>
        <w:t>存储</w:t>
      </w:r>
      <w:r>
        <w:rPr>
          <w:rFonts w:hint="eastAsia" w:ascii="CESI宋体-GB2312" w:hAnsi="CESI宋体-GB2312" w:eastAsia="CESI宋体-GB2312" w:cs="CESI宋体-GB2312"/>
          <w:color w:val="auto"/>
          <w:kern w:val="0"/>
          <w:sz w:val="21"/>
          <w:szCs w:val="21"/>
          <w:highlight w:val="none"/>
          <w:lang w:bidi="ar"/>
        </w:rPr>
        <w:t>、前端管理设备等。</w:t>
      </w:r>
    </w:p>
    <w:p>
      <w:pPr>
        <w:spacing w:line="360" w:lineRule="auto"/>
        <w:ind w:firstLine="315" w:firstLineChars="150"/>
        <w:jc w:val="left"/>
        <w:outlineLvl w:val="1"/>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 xml:space="preserve">3.3 </w:t>
      </w:r>
      <w:r>
        <w:rPr>
          <w:rFonts w:hint="eastAsia" w:ascii="CESI宋体-GB2312" w:hAnsi="CESI宋体-GB2312" w:eastAsia="CESI宋体-GB2312" w:cs="CESI宋体-GB2312"/>
          <w:b/>
          <w:bCs/>
          <w:color w:val="auto"/>
          <w:sz w:val="21"/>
          <w:szCs w:val="21"/>
          <w:highlight w:val="none"/>
          <w:lang w:val="en-US" w:eastAsia="zh-CN"/>
        </w:rPr>
        <w:t>系统及</w:t>
      </w:r>
      <w:r>
        <w:rPr>
          <w:rFonts w:hint="eastAsia" w:ascii="CESI宋体-GB2312" w:hAnsi="CESI宋体-GB2312" w:eastAsia="CESI宋体-GB2312" w:cs="CESI宋体-GB2312"/>
          <w:b/>
          <w:bCs/>
          <w:color w:val="auto"/>
          <w:sz w:val="21"/>
          <w:szCs w:val="21"/>
          <w:highlight w:val="none"/>
        </w:rPr>
        <w:t>硬件技术要求</w:t>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3.3.1  性能要求</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对上传至上海市公共停车平台的数据进行检查，要求数据完整，结构化和非结构化数据质量满足相关质量要求，数据合格率不低于95%；</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对系统业务处理环节的程序进行调优，提升数据采集、存储和传输等环节的速度，路段数据延迟5分钟以上的不超过5%；</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图片水印等按照市平台相关技术要求应包含:图像水印要求：图像生成时应自动添加水印信息，信息内容包括：车牌号码,数据时间（精确到秒），时间格式为 YYYY-MM-DD HH:MM:SS、停车地点（含停车路段及停车泊位信息）、拍摄方向、拍摄设备编号等信息。设备编码等信息，其中设备编码标准符合市平台技术要求；</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应截取停车行为的短视频，时长不低于1分钟，分辨率不低于1080p，短视频采用2帧帧率，可供相关管理人员进行调阅；</w:t>
      </w:r>
    </w:p>
    <w:p>
      <w:pPr>
        <w:pStyle w:val="74"/>
        <w:widowControl/>
        <w:numPr>
          <w:ilvl w:val="0"/>
          <w:numId w:val="12"/>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高位视频采集数据及图片实时上传至后台，订单数据永久保留，图片及短视频后台保存至少一年，所有视频存储于本地，高清视频分辨率不低于1080P。</w:t>
      </w:r>
    </w:p>
    <w:p>
      <w:pPr>
        <w:pStyle w:val="74"/>
        <w:widowControl/>
        <w:numPr>
          <w:ilvl w:val="0"/>
          <w:numId w:val="12"/>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高位视频采集系统要求兼容巡检设备，在巡检设备前场巡检收费的情况下，高位视频采集系统可以兼容运转，不受影响；在巡检设备巡检人员无人值守时段或停车低谷时段通过高位视频采集系统的无人值守方式持续生产订单，在协管员在场后，</w:t>
      </w:r>
      <w:r>
        <w:rPr>
          <w:rFonts w:hint="eastAsia" w:ascii="CESI宋体-GB2312" w:hAnsi="CESI宋体-GB2312" w:eastAsia="CESI宋体-GB2312" w:cs="CESI宋体-GB2312"/>
          <w:kern w:val="0"/>
          <w:sz w:val="21"/>
          <w:szCs w:val="21"/>
          <w:highlight w:val="none"/>
          <w:lang w:bidi="ar"/>
        </w:rPr>
        <w:t>进行</w:t>
      </w:r>
      <w:r>
        <w:rPr>
          <w:rFonts w:hint="eastAsia" w:ascii="CESI宋体-GB2312" w:hAnsi="CESI宋体-GB2312" w:eastAsia="CESI宋体-GB2312" w:cs="CESI宋体-GB2312"/>
          <w:kern w:val="0"/>
          <w:sz w:val="21"/>
          <w:szCs w:val="21"/>
          <w:highlight w:val="none"/>
          <w:lang w:val="en-US" w:eastAsia="zh-CN" w:bidi="ar"/>
        </w:rPr>
        <w:t>场内支付、预支付或历史订单</w:t>
      </w:r>
      <w:r>
        <w:rPr>
          <w:rFonts w:hint="eastAsia" w:ascii="CESI宋体-GB2312" w:hAnsi="CESI宋体-GB2312" w:eastAsia="CESI宋体-GB2312" w:cs="CESI宋体-GB2312"/>
          <w:kern w:val="0"/>
          <w:sz w:val="21"/>
          <w:szCs w:val="21"/>
          <w:highlight w:val="none"/>
          <w:lang w:bidi="ar"/>
        </w:rPr>
        <w:t>欠费</w:t>
      </w:r>
      <w:r>
        <w:rPr>
          <w:rFonts w:hint="eastAsia" w:ascii="CESI宋体-GB2312" w:hAnsi="CESI宋体-GB2312" w:eastAsia="CESI宋体-GB2312" w:cs="CESI宋体-GB2312"/>
          <w:color w:val="auto"/>
          <w:kern w:val="0"/>
          <w:sz w:val="21"/>
          <w:szCs w:val="21"/>
          <w:highlight w:val="none"/>
          <w:lang w:bidi="ar"/>
        </w:rPr>
        <w:t>追缴，实现7X24小时收费，系统应具备支持“无人值守、电子支付”的智慧化管理模式；</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系统应支持流媒体服务，包括：</w:t>
      </w:r>
      <w:r>
        <w:rPr>
          <w:rFonts w:hint="eastAsia" w:ascii="CESI宋体-GB2312" w:hAnsi="CESI宋体-GB2312" w:eastAsia="CESI宋体-GB2312" w:cs="CESI宋体-GB2312"/>
          <w:color w:val="auto"/>
          <w:kern w:val="0"/>
          <w:sz w:val="21"/>
          <w:szCs w:val="21"/>
          <w:highlight w:val="none"/>
          <w:lang w:bidi="ar"/>
        </w:rPr>
        <w:t>按照市平台流媒体平台及 “一网统管”要求对接相关内容，按照国标协议将视频信息统一接入到相关网格化视频平台及市流媒体综合平台，实现系统实时查看视频流主副码流切换（其中主码流支持1080p分辨率，辅码流支持720p分辨率），历史码流查看，完成相应流媒体内容注册，实现历史回放时间戳查看；按照国标协议将视频信息统一接入到网格化视频平台，用于集中管理、多级联网和信息共享等需求。</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如遇新增前端硬件设备或者市平台需求重大调整，相应提供硬件调试服务，调试内容包括架构下主要功能、容错能力、模块间的关联等；</w:t>
      </w:r>
    </w:p>
    <w:p>
      <w:pPr>
        <w:spacing w:line="360" w:lineRule="auto"/>
        <w:ind w:left="420"/>
        <w:outlineLvl w:val="2"/>
        <w:rPr>
          <w:rFonts w:hint="eastAsia" w:ascii="CESI宋体-GB2312" w:hAnsi="CESI宋体-GB2312" w:eastAsia="CESI宋体-GB2312" w:cs="CESI宋体-GB2312"/>
          <w:b/>
          <w:bCs/>
          <w:color w:val="auto"/>
          <w:sz w:val="21"/>
          <w:szCs w:val="21"/>
          <w:highlight w:val="none"/>
          <w:lang w:eastAsia="zh-CN"/>
        </w:rPr>
      </w:pPr>
      <w:r>
        <w:rPr>
          <w:rFonts w:hint="eastAsia" w:ascii="CESI宋体-GB2312" w:hAnsi="CESI宋体-GB2312" w:eastAsia="CESI宋体-GB2312" w:cs="CESI宋体-GB2312"/>
          <w:b/>
          <w:bCs/>
          <w:color w:val="auto"/>
          <w:sz w:val="21"/>
          <w:szCs w:val="21"/>
          <w:highlight w:val="none"/>
        </w:rPr>
        <w:t xml:space="preserve">3.3.2  </w:t>
      </w:r>
      <w:r>
        <w:rPr>
          <w:rFonts w:hint="eastAsia" w:ascii="CESI宋体-GB2312" w:hAnsi="CESI宋体-GB2312" w:eastAsia="CESI宋体-GB2312" w:cs="CESI宋体-GB2312"/>
          <w:b/>
          <w:bCs/>
          <w:color w:val="auto"/>
          <w:sz w:val="21"/>
          <w:szCs w:val="21"/>
          <w:highlight w:val="none"/>
          <w:lang w:val="en-US" w:eastAsia="zh-CN"/>
        </w:rPr>
        <w:t>前端智能高位视频（</w:t>
      </w:r>
      <w:r>
        <w:rPr>
          <w:rFonts w:hint="eastAsia" w:ascii="CESI宋体-GB2312" w:hAnsi="CESI宋体-GB2312" w:eastAsia="CESI宋体-GB2312" w:cs="CESI宋体-GB2312"/>
          <w:b/>
          <w:bCs/>
          <w:color w:val="auto"/>
          <w:sz w:val="21"/>
          <w:szCs w:val="21"/>
          <w:highlight w:val="none"/>
        </w:rPr>
        <w:t>道路停车高清摄像机</w:t>
      </w:r>
      <w:r>
        <w:rPr>
          <w:rFonts w:hint="eastAsia" w:ascii="CESI宋体-GB2312" w:hAnsi="CESI宋体-GB2312" w:eastAsia="CESI宋体-GB2312" w:cs="CESI宋体-GB2312"/>
          <w:b/>
          <w:bCs/>
          <w:color w:val="auto"/>
          <w:sz w:val="21"/>
          <w:szCs w:val="21"/>
          <w:highlight w:val="none"/>
          <w:lang w:eastAsia="zh-CN"/>
        </w:rPr>
        <w:t>）</w:t>
      </w:r>
    </w:p>
    <w:p>
      <w:pPr>
        <w:spacing w:line="360" w:lineRule="auto"/>
        <w:ind w:firstLine="360"/>
        <w:rPr>
          <w:rFonts w:hint="eastAsia" w:ascii="CESI宋体-GB2312" w:hAnsi="CESI宋体-GB2312" w:eastAsia="CESI宋体-GB2312" w:cs="CESI宋体-GB2312"/>
          <w:b/>
          <w:color w:val="auto"/>
          <w:kern w:val="0"/>
          <w:sz w:val="21"/>
          <w:szCs w:val="21"/>
          <w:highlight w:val="none"/>
        </w:rPr>
      </w:pPr>
      <w:r>
        <w:rPr>
          <w:rFonts w:hint="eastAsia" w:ascii="CESI宋体-GB2312" w:hAnsi="CESI宋体-GB2312" w:eastAsia="CESI宋体-GB2312" w:cs="CESI宋体-GB2312"/>
          <w:b/>
          <w:color w:val="auto"/>
          <w:kern w:val="0"/>
          <w:sz w:val="21"/>
          <w:szCs w:val="21"/>
          <w:highlight w:val="none"/>
        </w:rPr>
        <w:t>产品特性：</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像素不低于</w:t>
      </w:r>
      <w:r>
        <w:rPr>
          <w:rFonts w:hint="eastAsia" w:ascii="CESI宋体-GB2312" w:hAnsi="CESI宋体-GB2312" w:eastAsia="CESI宋体-GB2312" w:cs="CESI宋体-GB2312"/>
          <w:color w:val="auto"/>
          <w:kern w:val="0"/>
          <w:sz w:val="21"/>
          <w:szCs w:val="21"/>
          <w:highlight w:val="none"/>
          <w:lang w:val="en-US" w:eastAsia="zh-CN" w:bidi="ar"/>
        </w:rPr>
        <w:t>8</w:t>
      </w:r>
      <w:r>
        <w:rPr>
          <w:rFonts w:hint="eastAsia" w:ascii="CESI宋体-GB2312" w:hAnsi="CESI宋体-GB2312" w:eastAsia="CESI宋体-GB2312" w:cs="CESI宋体-GB2312"/>
          <w:color w:val="auto"/>
          <w:kern w:val="0"/>
          <w:sz w:val="21"/>
          <w:szCs w:val="21"/>
          <w:highlight w:val="none"/>
          <w:lang w:bidi="ar"/>
        </w:rPr>
        <w:t xml:space="preserve">00万； </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1/1.8英寸CMOS传感器；</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kern w:val="0"/>
          <w:sz w:val="21"/>
          <w:szCs w:val="21"/>
          <w:highlight w:val="none"/>
          <w:lang w:val="en-US" w:eastAsia="zh-CN" w:bidi="ar"/>
        </w:rPr>
        <w:t>15</w:t>
      </w:r>
      <w:r>
        <w:rPr>
          <w:rFonts w:hint="eastAsia" w:ascii="CESI宋体-GB2312" w:hAnsi="CESI宋体-GB2312" w:eastAsia="CESI宋体-GB2312" w:cs="CESI宋体-GB2312"/>
          <w:kern w:val="0"/>
          <w:sz w:val="21"/>
          <w:szCs w:val="21"/>
          <w:highlight w:val="none"/>
          <w:lang w:bidi="ar"/>
        </w:rPr>
        <w:t>-</w:t>
      </w:r>
      <w:r>
        <w:rPr>
          <w:rFonts w:hint="eastAsia" w:ascii="CESI宋体-GB2312" w:hAnsi="CESI宋体-GB2312" w:eastAsia="CESI宋体-GB2312" w:cs="CESI宋体-GB2312"/>
          <w:kern w:val="0"/>
          <w:sz w:val="21"/>
          <w:szCs w:val="21"/>
          <w:highlight w:val="none"/>
          <w:lang w:val="en-US" w:eastAsia="zh-CN" w:bidi="ar"/>
        </w:rPr>
        <w:t>50</w:t>
      </w:r>
      <w:r>
        <w:rPr>
          <w:rFonts w:hint="eastAsia" w:ascii="CESI宋体-GB2312" w:hAnsi="CESI宋体-GB2312" w:eastAsia="CESI宋体-GB2312" w:cs="CESI宋体-GB2312"/>
          <w:kern w:val="0"/>
          <w:sz w:val="21"/>
          <w:szCs w:val="21"/>
          <w:highlight w:val="none"/>
          <w:lang w:bidi="ar"/>
        </w:rPr>
        <w:t>mm</w:t>
      </w:r>
      <w:r>
        <w:rPr>
          <w:rFonts w:hint="eastAsia" w:ascii="CESI宋体-GB2312" w:hAnsi="CESI宋体-GB2312" w:eastAsia="CESI宋体-GB2312" w:cs="CESI宋体-GB2312"/>
          <w:color w:val="auto"/>
          <w:kern w:val="0"/>
          <w:sz w:val="21"/>
          <w:szCs w:val="21"/>
          <w:highlight w:val="none"/>
          <w:lang w:bidi="ar"/>
        </w:rPr>
        <w:t>机芯镜头及以上；</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补光灯及距离：自带补光灯（含红外灯及暖光灯），有效补光距离不低于10米；</w:t>
      </w:r>
    </w:p>
    <w:p>
      <w:pPr>
        <w:pStyle w:val="74"/>
        <w:widowControl/>
        <w:numPr>
          <w:ilvl w:val="0"/>
          <w:numId w:val="13"/>
        </w:numPr>
        <w:spacing w:line="360" w:lineRule="auto"/>
        <w:ind w:left="768"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b/>
          <w:bCs/>
          <w:color w:val="auto"/>
          <w:kern w:val="0"/>
          <w:sz w:val="21"/>
          <w:szCs w:val="21"/>
          <w:highlight w:val="none"/>
          <w:lang w:bidi="ar"/>
        </w:rPr>
        <w:t>▲具有亮度、对比度、快门，增益，3D降噪，白平衡、宽动态等参数设置选项，宽动态支持1~10级可配置，具备车牌亮度补偿，晚间亮度增强设置选项</w:t>
      </w:r>
      <w:r>
        <w:rPr>
          <w:rFonts w:hint="eastAsia" w:ascii="CESI宋体-GB2312" w:hAnsi="CESI宋体-GB2312" w:eastAsia="CESI宋体-GB2312" w:cs="CESI宋体-GB2312"/>
          <w:b/>
          <w:bCs/>
          <w:color w:val="auto"/>
          <w:kern w:val="0"/>
          <w:sz w:val="21"/>
          <w:szCs w:val="21"/>
          <w:highlight w:val="none"/>
          <w:lang w:eastAsia="zh-CN" w:bidi="ar"/>
        </w:rPr>
        <w:t>。（</w:t>
      </w:r>
      <w:r>
        <w:rPr>
          <w:rFonts w:hint="eastAsia" w:ascii="CESI宋体-GB2312" w:hAnsi="CESI宋体-GB2312" w:eastAsia="CESI宋体-GB2312" w:cs="CESI宋体-GB2312"/>
          <w:b/>
          <w:bCs/>
          <w:color w:val="auto"/>
          <w:kern w:val="2"/>
          <w:sz w:val="21"/>
          <w:szCs w:val="21"/>
          <w:highlight w:val="none"/>
          <w:lang w:val="en-US" w:eastAsia="zh-CN" w:bidi="ar-SA"/>
        </w:rPr>
        <w:t>投标人需</w:t>
      </w:r>
      <w:r>
        <w:rPr>
          <w:rFonts w:hint="eastAsia" w:ascii="CESI宋体-GB2312" w:hAnsi="CESI宋体-GB2312" w:eastAsia="CESI宋体-GB2312" w:cs="CESI宋体-GB2312"/>
          <w:b/>
          <w:bCs/>
          <w:color w:val="auto"/>
          <w:kern w:val="0"/>
          <w:sz w:val="21"/>
          <w:szCs w:val="21"/>
          <w:highlight w:val="none"/>
          <w:lang w:eastAsia="zh-CN" w:bidi="ar"/>
        </w:rPr>
        <w:t>提供原厂承诺或相关检测报告</w:t>
      </w:r>
      <w:r>
        <w:rPr>
          <w:rFonts w:hint="eastAsia" w:ascii="CESI宋体-GB2312" w:hAnsi="CESI宋体-GB2312" w:eastAsia="CESI宋体-GB2312" w:cs="CESI宋体-GB2312"/>
          <w:b/>
          <w:bCs/>
          <w:color w:val="auto"/>
          <w:kern w:val="0"/>
          <w:sz w:val="21"/>
          <w:szCs w:val="21"/>
          <w:highlight w:val="none"/>
          <w:lang w:val="en-US" w:eastAsia="zh-CN" w:bidi="ar"/>
        </w:rPr>
        <w:t>证明材料</w:t>
      </w:r>
      <w:r>
        <w:rPr>
          <w:rFonts w:hint="eastAsia" w:ascii="CESI宋体-GB2312" w:hAnsi="CESI宋体-GB2312" w:eastAsia="CESI宋体-GB2312" w:cs="CESI宋体-GB2312"/>
          <w:b/>
          <w:bCs/>
          <w:color w:val="auto"/>
          <w:kern w:val="0"/>
          <w:sz w:val="21"/>
          <w:szCs w:val="21"/>
          <w:highlight w:val="none"/>
          <w:lang w:eastAsia="zh-CN" w:bidi="ar"/>
        </w:rPr>
        <w:t>）</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帧率：主、辅、三码流均支持0~25fps可调；</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码率：主、辅、三码流均不低于4mbps；</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支持网络协议：IPv4, IPv6, IGMP, ICMP, ARP, TCP, UDP, DHCP, PPPoE, RTP, RTSP, RTCP, DNS, DDNS, NTP, FTP, UPnP, HTTP, HTTPS, SMTP, 802.1x, SNMP, SS, QoS, Tenet,RTMP（推流）;SFTP;Muticast;NFS;</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包括但不限于支持GAT1400、GB28181-2016版、Onvif ProfileG/S/T、RTSP、P2P协议；</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宽动态：大于或等于120 dB</w:t>
      </w:r>
      <w:r>
        <w:rPr>
          <w:rFonts w:hint="eastAsia" w:ascii="CESI宋体-GB2312" w:hAnsi="CESI宋体-GB2312" w:eastAsia="CESI宋体-GB2312" w:cs="CESI宋体-GB2312"/>
          <w:color w:val="auto"/>
          <w:kern w:val="0"/>
          <w:sz w:val="21"/>
          <w:szCs w:val="21"/>
          <w:highlight w:val="none"/>
          <w:lang w:eastAsia="zh-CN" w:bidi="ar"/>
        </w:rPr>
        <w:t>；</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图像：包括但不限于3D数字降噪、AGC、白平衡、背光补偿、彩转黑、电子防抖、电子放大、电子快门、视频翻转、镜像、强光抑制、透雾、图片叠加，宽动态可配置；</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视频压缩标准：包括但不限于S+265、H.265、H.264 BaseLine Profile/Main Profile/High Profile、MotionJPEG；</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提供相机远程应用管理工具；</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需具有检测报告，有效期不低于2年；</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OSD字符：支持16*16，24*24，32*32，48*48，64*64，96*96, 自适应支持时间、日期、星期叠加；</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系统时钟：NTP校时，时区设置，夏令时；</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防护等级：外壳IP67，4级防雷、防浪涌；</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工作温度：-35℃～65℃</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工作湿度：0～95%（无凝结）</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电源：支持直流供电</w:t>
      </w:r>
    </w:p>
    <w:p>
      <w:pPr>
        <w:spacing w:line="360" w:lineRule="auto"/>
        <w:rPr>
          <w:rFonts w:hint="eastAsia" w:ascii="CESI宋体-GB2312" w:hAnsi="CESI宋体-GB2312" w:eastAsia="CESI宋体-GB2312" w:cs="CESI宋体-GB2312"/>
          <w:b/>
          <w:color w:val="auto"/>
          <w:kern w:val="0"/>
          <w:sz w:val="21"/>
          <w:szCs w:val="21"/>
          <w:highlight w:val="none"/>
          <w:lang w:val="en-US" w:eastAsia="zh-CN"/>
        </w:rPr>
      </w:pPr>
      <w:r>
        <w:rPr>
          <w:rFonts w:hint="eastAsia" w:ascii="CESI宋体-GB2312" w:hAnsi="CESI宋体-GB2312" w:eastAsia="CESI宋体-GB2312" w:cs="CESI宋体-GB2312"/>
          <w:b/>
          <w:color w:val="auto"/>
          <w:kern w:val="0"/>
          <w:sz w:val="21"/>
          <w:szCs w:val="21"/>
          <w:highlight w:val="none"/>
          <w:lang w:val="en-US" w:eastAsia="zh-CN"/>
        </w:rPr>
        <w:t>产品算法功能：</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支持非车位违停检测抓拍</w:t>
      </w:r>
    </w:p>
    <w:p>
      <w:pPr>
        <w:pStyle w:val="74"/>
        <w:widowControl/>
        <w:numPr>
          <w:ilvl w:val="0"/>
          <w:numId w:val="13"/>
        </w:numPr>
        <w:spacing w:line="360" w:lineRule="auto"/>
        <w:ind w:left="768" w:leftChars="200" w:hangingChars="175"/>
        <w:jc w:val="left"/>
        <w:rPr>
          <w:rFonts w:hint="eastAsia" w:ascii="CESI宋体-GB2312" w:hAnsi="CESI宋体-GB2312" w:eastAsia="CESI宋体-GB2312" w:cs="CESI宋体-GB2312"/>
          <w:b/>
          <w:bCs/>
          <w:color w:val="auto"/>
          <w:kern w:val="0"/>
          <w:sz w:val="21"/>
          <w:szCs w:val="21"/>
          <w:highlight w:val="none"/>
          <w:lang w:bidi="ar"/>
        </w:rPr>
      </w:pPr>
      <w:r>
        <w:rPr>
          <w:rFonts w:hint="eastAsia" w:ascii="CESI宋体-GB2312" w:hAnsi="CESI宋体-GB2312" w:eastAsia="CESI宋体-GB2312" w:cs="CESI宋体-GB2312"/>
          <w:b/>
          <w:bCs/>
          <w:color w:val="auto"/>
          <w:kern w:val="0"/>
          <w:sz w:val="21"/>
          <w:szCs w:val="21"/>
          <w:highlight w:val="none"/>
          <w:lang w:bidi="ar"/>
        </w:rPr>
        <w:t>▲支持泊位状态检测、车辆驶入驶出检测并抓拍车辆及车牌功能，单台设备支持同时最多6个泊位车辆的驶入驶出检测及抓拍，双设备同点同向安装，支持同时10个泊位车辆驶入驶出检测及抓拍</w:t>
      </w:r>
      <w:r>
        <w:rPr>
          <w:rFonts w:hint="eastAsia" w:ascii="CESI宋体-GB2312" w:hAnsi="CESI宋体-GB2312" w:eastAsia="CESI宋体-GB2312" w:cs="CESI宋体-GB2312"/>
          <w:b/>
          <w:bCs/>
          <w:color w:val="auto"/>
          <w:kern w:val="0"/>
          <w:sz w:val="21"/>
          <w:szCs w:val="21"/>
          <w:highlight w:val="none"/>
          <w:lang w:eastAsia="zh-CN" w:bidi="ar"/>
        </w:rPr>
        <w:t>；（投标人需提供原厂承诺或相关检测报告证明材料）</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具有停车事件校验功能；</w:t>
      </w:r>
    </w:p>
    <w:p>
      <w:pPr>
        <w:pStyle w:val="74"/>
        <w:widowControl/>
        <w:numPr>
          <w:ilvl w:val="0"/>
          <w:numId w:val="13"/>
        </w:numPr>
        <w:spacing w:line="360" w:lineRule="auto"/>
        <w:ind w:left="768"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b/>
          <w:bCs/>
          <w:color w:val="auto"/>
          <w:kern w:val="0"/>
          <w:sz w:val="21"/>
          <w:szCs w:val="21"/>
          <w:highlight w:val="none"/>
          <w:lang w:bidi="ar"/>
        </w:rPr>
        <w:t>▲支持定时抓拍当前泊位状态，包括抓拍时间，泊位号，有无车辆，车牌号等信息，上报时间可设置为30s-10800s</w:t>
      </w:r>
      <w:r>
        <w:rPr>
          <w:rFonts w:hint="eastAsia" w:ascii="CESI宋体-GB2312" w:hAnsi="CESI宋体-GB2312" w:eastAsia="CESI宋体-GB2312" w:cs="CESI宋体-GB2312"/>
          <w:b/>
          <w:bCs/>
          <w:color w:val="auto"/>
          <w:kern w:val="0"/>
          <w:sz w:val="21"/>
          <w:szCs w:val="21"/>
          <w:highlight w:val="none"/>
          <w:lang w:eastAsia="zh-CN" w:bidi="ar"/>
        </w:rPr>
        <w:t>；（投标人需提供原厂承诺或相关检测报告证明材料）</w:t>
      </w:r>
    </w:p>
    <w:p>
      <w:pPr>
        <w:pStyle w:val="74"/>
        <w:widowControl/>
        <w:numPr>
          <w:ilvl w:val="0"/>
          <w:numId w:val="13"/>
        </w:numPr>
        <w:spacing w:line="360" w:lineRule="auto"/>
        <w:ind w:left="768" w:leftChars="200" w:hangingChars="175"/>
        <w:jc w:val="left"/>
        <w:rPr>
          <w:rFonts w:hint="eastAsia" w:ascii="CESI宋体-GB2312" w:hAnsi="CESI宋体-GB2312" w:eastAsia="CESI宋体-GB2312" w:cs="CESI宋体-GB2312"/>
          <w:b/>
          <w:bCs/>
          <w:color w:val="auto"/>
          <w:kern w:val="0"/>
          <w:sz w:val="21"/>
          <w:szCs w:val="21"/>
          <w:highlight w:val="none"/>
          <w:lang w:bidi="ar"/>
        </w:rPr>
      </w:pPr>
      <w:r>
        <w:rPr>
          <w:rFonts w:hint="eastAsia" w:ascii="CESI宋体-GB2312" w:hAnsi="CESI宋体-GB2312" w:eastAsia="CESI宋体-GB2312" w:cs="CESI宋体-GB2312"/>
          <w:b/>
          <w:bCs/>
          <w:color w:val="auto"/>
          <w:kern w:val="0"/>
          <w:sz w:val="21"/>
          <w:szCs w:val="21"/>
          <w:highlight w:val="none"/>
          <w:lang w:bidi="ar"/>
        </w:rPr>
        <w:t>▲白天车辆驶入驶出泊位检测率≥99%。驶入泊位次数100次，驶出泊位次数100次；检出驶入泊位次数100次，驶出泊位次数100次</w:t>
      </w:r>
      <w:r>
        <w:rPr>
          <w:rFonts w:hint="eastAsia" w:ascii="CESI宋体-GB2312" w:hAnsi="CESI宋体-GB2312" w:eastAsia="CESI宋体-GB2312" w:cs="CESI宋体-GB2312"/>
          <w:b/>
          <w:bCs/>
          <w:color w:val="auto"/>
          <w:kern w:val="0"/>
          <w:sz w:val="21"/>
          <w:szCs w:val="21"/>
          <w:highlight w:val="none"/>
          <w:lang w:eastAsia="zh-CN" w:bidi="ar"/>
        </w:rPr>
        <w:t>；（投标人需提供原厂承诺或相关检测报告证明材料）</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支持查看抓拍图片是否被篡改。</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车位识别率：≥95%；</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抓拍方式：车头识别模式和车</w:t>
      </w:r>
      <w:r>
        <w:rPr>
          <w:rFonts w:hint="eastAsia" w:ascii="CESI宋体-GB2312" w:hAnsi="CESI宋体-GB2312" w:eastAsia="CESI宋体-GB2312" w:cs="CESI宋体-GB2312"/>
          <w:color w:val="auto"/>
          <w:sz w:val="21"/>
          <w:szCs w:val="21"/>
          <w:highlight w:val="none"/>
          <w:lang w:val="en-US" w:eastAsia="zh-CN"/>
        </w:rPr>
        <w:t>尾</w:t>
      </w:r>
      <w:r>
        <w:rPr>
          <w:rFonts w:hint="eastAsia" w:ascii="CESI宋体-GB2312" w:hAnsi="CESI宋体-GB2312" w:eastAsia="CESI宋体-GB2312" w:cs="CESI宋体-GB2312"/>
          <w:color w:val="auto"/>
          <w:sz w:val="21"/>
          <w:szCs w:val="21"/>
          <w:highlight w:val="none"/>
        </w:rPr>
        <w:t>识别模式；</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支持泊位类型：平行/垂直/斜列；</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工作温度-30℃～70℃、工作湿度10%～90%</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号牌识别：识别符合标准的民用车号牌、警号牌的汉字、字母、数字、颜色等信息；支持车牌号码、车牌类型、车牌颜色、车辆类型数据识别。</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支持车辆类型识别</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车牌颜色：黑、白、蓝、黄、绿色</w:t>
      </w:r>
      <w:r>
        <w:rPr>
          <w:rFonts w:hint="eastAsia" w:ascii="CESI宋体-GB2312" w:hAnsi="CESI宋体-GB2312" w:eastAsia="CESI宋体-GB2312" w:cs="CESI宋体-GB2312"/>
          <w:color w:val="auto"/>
          <w:sz w:val="21"/>
          <w:szCs w:val="21"/>
          <w:highlight w:val="none"/>
          <w:lang w:eastAsia="zh-CN"/>
        </w:rPr>
        <w:t>、黄绿车牌（大型新能源车）</w:t>
      </w:r>
      <w:r>
        <w:rPr>
          <w:rFonts w:hint="eastAsia" w:ascii="CESI宋体-GB2312" w:hAnsi="CESI宋体-GB2312" w:eastAsia="CESI宋体-GB2312" w:cs="CESI宋体-GB2312"/>
          <w:color w:val="auto"/>
          <w:sz w:val="21"/>
          <w:szCs w:val="21"/>
          <w:highlight w:val="none"/>
        </w:rPr>
        <w:t>颜色识别；</w:t>
      </w:r>
    </w:p>
    <w:p>
      <w:pPr>
        <w:pStyle w:val="74"/>
        <w:widowControl/>
        <w:numPr>
          <w:ilvl w:val="0"/>
          <w:numId w:val="13"/>
        </w:numPr>
        <w:spacing w:line="360" w:lineRule="auto"/>
        <w:ind w:left="768" w:leftChars="200" w:hangingChars="175"/>
        <w:jc w:val="left"/>
        <w:rPr>
          <w:rFonts w:hint="eastAsia" w:ascii="CESI宋体-GB2312" w:hAnsi="CESI宋体-GB2312" w:eastAsia="CESI宋体-GB2312" w:cs="CESI宋体-GB2312"/>
          <w:b/>
          <w:bCs/>
          <w:color w:val="auto"/>
          <w:kern w:val="0"/>
          <w:sz w:val="21"/>
          <w:szCs w:val="21"/>
          <w:highlight w:val="none"/>
          <w:lang w:bidi="ar"/>
        </w:rPr>
      </w:pPr>
      <w:r>
        <w:rPr>
          <w:rFonts w:hint="eastAsia" w:ascii="CESI宋体-GB2312" w:hAnsi="CESI宋体-GB2312" w:eastAsia="CESI宋体-GB2312" w:cs="CESI宋体-GB2312"/>
          <w:b/>
          <w:bCs/>
          <w:color w:val="auto"/>
          <w:kern w:val="0"/>
          <w:sz w:val="21"/>
          <w:szCs w:val="21"/>
          <w:highlight w:val="none"/>
          <w:lang w:bidi="ar"/>
        </w:rPr>
        <w:t>▲设备支持跨位检测功能（车辆横跨两个车位）</w:t>
      </w:r>
      <w:r>
        <w:rPr>
          <w:rFonts w:hint="eastAsia" w:ascii="CESI宋体-GB2312" w:hAnsi="CESI宋体-GB2312" w:eastAsia="CESI宋体-GB2312" w:cs="CESI宋体-GB2312"/>
          <w:b/>
          <w:bCs/>
          <w:color w:val="auto"/>
          <w:kern w:val="0"/>
          <w:sz w:val="21"/>
          <w:szCs w:val="21"/>
          <w:highlight w:val="none"/>
          <w:lang w:eastAsia="zh-CN" w:bidi="ar"/>
        </w:rPr>
        <w:t>；支持斜位停车（检测车辆车头或车尾需面向相机）检测功能；支持车头车尾检测，包含逆向停车检测功能；</w:t>
      </w:r>
      <w:r>
        <w:rPr>
          <w:rFonts w:hint="eastAsia" w:ascii="CESI宋体-GB2312" w:hAnsi="CESI宋体-GB2312" w:eastAsia="CESI宋体-GB2312" w:cs="CESI宋体-GB2312"/>
          <w:b/>
          <w:bCs/>
          <w:color w:val="auto"/>
          <w:kern w:val="0"/>
          <w:sz w:val="21"/>
          <w:szCs w:val="21"/>
          <w:highlight w:val="none"/>
          <w:lang w:bidi="ar"/>
        </w:rPr>
        <w:t>支持半侧位停车检测（车辆如果没有超过一半进入车位，认为是没有驶入车位），</w:t>
      </w:r>
      <w:r>
        <w:rPr>
          <w:rFonts w:hint="eastAsia" w:ascii="CESI宋体-GB2312" w:hAnsi="CESI宋体-GB2312" w:eastAsia="CESI宋体-GB2312" w:cs="CESI宋体-GB2312"/>
          <w:b/>
          <w:bCs/>
          <w:color w:val="auto"/>
          <w:kern w:val="0"/>
          <w:sz w:val="21"/>
          <w:szCs w:val="21"/>
          <w:highlight w:val="none"/>
          <w:lang w:val="en-US" w:eastAsia="zh-CN" w:bidi="ar"/>
        </w:rPr>
        <w:t>可</w:t>
      </w:r>
      <w:r>
        <w:rPr>
          <w:rFonts w:hint="eastAsia" w:ascii="CESI宋体-GB2312" w:hAnsi="CESI宋体-GB2312" w:eastAsia="CESI宋体-GB2312" w:cs="CESI宋体-GB2312"/>
          <w:b/>
          <w:bCs/>
          <w:color w:val="auto"/>
          <w:kern w:val="0"/>
          <w:sz w:val="21"/>
          <w:szCs w:val="21"/>
          <w:highlight w:val="none"/>
          <w:lang w:bidi="ar"/>
        </w:rPr>
        <w:t>生产报警数据</w:t>
      </w:r>
      <w:r>
        <w:rPr>
          <w:rFonts w:hint="eastAsia" w:ascii="CESI宋体-GB2312" w:hAnsi="CESI宋体-GB2312" w:eastAsia="CESI宋体-GB2312" w:cs="CESI宋体-GB2312"/>
          <w:b/>
          <w:bCs/>
          <w:color w:val="auto"/>
          <w:kern w:val="0"/>
          <w:sz w:val="21"/>
          <w:szCs w:val="21"/>
          <w:highlight w:val="none"/>
          <w:lang w:eastAsia="zh-CN" w:bidi="ar"/>
        </w:rPr>
        <w:t>；（投标人需提供原厂承诺或相关检测报告证明材料）</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支持对合成图片叠加OSD，可配置字号、颜色、位置、内容、元素间距及交通违法信息内容。</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支持图片合成，图片合成方式、特写位置及质量可配置；支持区分通道分别设置合成图片的大小；支持根据选择的原始图序号进行特写放大；支持将2张及以上图片合成为一张图片</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支持高遮挡（盲区）模式：可在监控画面内停车场的四周绘制规则框，对车辆在高遮挡情况下进行进离场精准检测，减少由于车辆互相遮挡造成的误报；</w:t>
      </w:r>
    </w:p>
    <w:p>
      <w:pPr>
        <w:pStyle w:val="18"/>
        <w:rPr>
          <w:rFonts w:hint="eastAsia" w:ascii="CESI宋体-GB2312" w:hAnsi="CESI宋体-GB2312" w:eastAsia="CESI宋体-GB2312" w:cs="CESI宋体-GB2312"/>
          <w:sz w:val="21"/>
          <w:szCs w:val="21"/>
          <w:highlight w:val="none"/>
          <w:lang w:val="en-US" w:eastAsia="zh-CN"/>
        </w:rPr>
      </w:pPr>
    </w:p>
    <w:p>
      <w:pPr>
        <w:spacing w:line="360" w:lineRule="auto"/>
        <w:ind w:left="420"/>
        <w:outlineLvl w:val="2"/>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b/>
          <w:bCs/>
          <w:color w:val="auto"/>
          <w:sz w:val="21"/>
          <w:szCs w:val="21"/>
          <w:highlight w:val="none"/>
        </w:rPr>
        <w:t>3.3.</w:t>
      </w:r>
      <w:r>
        <w:rPr>
          <w:rFonts w:hint="eastAsia" w:ascii="CESI宋体-GB2312" w:hAnsi="CESI宋体-GB2312" w:eastAsia="CESI宋体-GB2312" w:cs="CESI宋体-GB2312"/>
          <w:b/>
          <w:bCs/>
          <w:color w:val="auto"/>
          <w:sz w:val="21"/>
          <w:szCs w:val="21"/>
          <w:highlight w:val="none"/>
          <w:lang w:val="en-US" w:eastAsia="zh-CN"/>
        </w:rPr>
        <w:t>3</w:t>
      </w:r>
      <w:r>
        <w:rPr>
          <w:rFonts w:hint="eastAsia" w:ascii="CESI宋体-GB2312" w:hAnsi="CESI宋体-GB2312" w:eastAsia="CESI宋体-GB2312" w:cs="CESI宋体-GB2312"/>
          <w:b/>
          <w:bCs/>
          <w:color w:val="auto"/>
          <w:sz w:val="21"/>
          <w:szCs w:val="21"/>
          <w:highlight w:val="none"/>
        </w:rPr>
        <w:t xml:space="preserve"> 前端管理终端</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sz w:val="21"/>
          <w:szCs w:val="21"/>
          <w:highlight w:val="none"/>
          <w:lang w:val="en-US" w:eastAsia="zh-CN"/>
        </w:rPr>
      </w:pPr>
      <w:r>
        <w:rPr>
          <w:rFonts w:hint="eastAsia" w:ascii="CESI宋体-GB2312" w:hAnsi="CESI宋体-GB2312" w:eastAsia="CESI宋体-GB2312" w:cs="CESI宋体-GB2312"/>
          <w:sz w:val="21"/>
          <w:szCs w:val="21"/>
          <w:highlight w:val="none"/>
          <w:lang w:val="en-US" w:eastAsia="zh-CN"/>
        </w:rPr>
        <w:t>硬件参数</w:t>
      </w:r>
    </w:p>
    <w:p>
      <w:pPr>
        <w:numPr>
          <w:ilvl w:val="0"/>
          <w:numId w:val="12"/>
        </w:numPr>
        <w:spacing w:line="360" w:lineRule="auto"/>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rPr>
        <w:t>电源：支持</w:t>
      </w:r>
      <w:r>
        <w:rPr>
          <w:rFonts w:hint="eastAsia" w:ascii="CESI宋体-GB2312" w:hAnsi="CESI宋体-GB2312" w:eastAsia="CESI宋体-GB2312" w:cs="CESI宋体-GB2312"/>
          <w:sz w:val="21"/>
          <w:szCs w:val="21"/>
          <w:highlight w:val="none"/>
          <w:lang w:val="en-US" w:eastAsia="zh-CN"/>
        </w:rPr>
        <w:t>12V</w:t>
      </w:r>
      <w:r>
        <w:rPr>
          <w:rFonts w:hint="eastAsia" w:ascii="CESI宋体-GB2312" w:hAnsi="CESI宋体-GB2312" w:eastAsia="CESI宋体-GB2312" w:cs="CESI宋体-GB2312"/>
          <w:sz w:val="21"/>
          <w:szCs w:val="21"/>
          <w:highlight w:val="none"/>
        </w:rPr>
        <w:t>直流供电</w:t>
      </w:r>
    </w:p>
    <w:p>
      <w:pPr>
        <w:numPr>
          <w:ilvl w:val="0"/>
          <w:numId w:val="12"/>
        </w:numPr>
        <w:spacing w:line="360" w:lineRule="auto"/>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rPr>
        <w:t>存储：不低于</w:t>
      </w:r>
      <w:r>
        <w:rPr>
          <w:rFonts w:hint="eastAsia" w:ascii="CESI宋体-GB2312" w:hAnsi="CESI宋体-GB2312" w:eastAsia="CESI宋体-GB2312" w:cs="CESI宋体-GB2312"/>
          <w:sz w:val="21"/>
          <w:szCs w:val="21"/>
          <w:highlight w:val="none"/>
          <w:lang w:val="en-US" w:eastAsia="zh-CN"/>
        </w:rPr>
        <w:t>10T监控级机械硬盘</w:t>
      </w:r>
    </w:p>
    <w:p>
      <w:pPr>
        <w:numPr>
          <w:ilvl w:val="0"/>
          <w:numId w:val="12"/>
        </w:numPr>
        <w:spacing w:line="360" w:lineRule="auto"/>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lang w:val="en-US" w:eastAsia="zh-CN"/>
        </w:rPr>
        <w:t>网络接口：4个100M以太网接口，2个10/100/1000M自适应以太网接口，2个千兆SFP光纤接口</w:t>
      </w:r>
    </w:p>
    <w:p>
      <w:pPr>
        <w:numPr>
          <w:ilvl w:val="0"/>
          <w:numId w:val="12"/>
        </w:numPr>
        <w:spacing w:line="360" w:lineRule="auto"/>
        <w:jc w:val="left"/>
        <w:rPr>
          <w:rFonts w:hint="eastAsia" w:ascii="CESI宋体-GB2312" w:hAnsi="CESI宋体-GB2312" w:eastAsia="CESI宋体-GB2312" w:cs="CESI宋体-GB2312"/>
          <w:sz w:val="21"/>
          <w:szCs w:val="21"/>
          <w:highlight w:val="none"/>
          <w:lang w:val="en-US" w:eastAsia="zh-CN"/>
        </w:rPr>
      </w:pPr>
      <w:r>
        <w:rPr>
          <w:rFonts w:hint="eastAsia" w:ascii="CESI宋体-GB2312" w:hAnsi="CESI宋体-GB2312" w:eastAsia="CESI宋体-GB2312" w:cs="CESI宋体-GB2312"/>
          <w:sz w:val="21"/>
          <w:szCs w:val="21"/>
          <w:highlight w:val="none"/>
          <w:lang w:val="en-US" w:eastAsia="zh-CN"/>
        </w:rPr>
        <w:t>报警输入：1个开关量报警输入接口</w:t>
      </w:r>
    </w:p>
    <w:p>
      <w:pPr>
        <w:numPr>
          <w:ilvl w:val="0"/>
          <w:numId w:val="12"/>
        </w:numPr>
        <w:spacing w:line="360" w:lineRule="auto"/>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lang w:val="en-US" w:eastAsia="zh-CN"/>
        </w:rPr>
        <w:t>报警输出：1个开关量报警输入接口</w:t>
      </w:r>
    </w:p>
    <w:p>
      <w:pPr>
        <w:numPr>
          <w:ilvl w:val="0"/>
          <w:numId w:val="12"/>
        </w:numPr>
        <w:spacing w:line="360" w:lineRule="auto"/>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rPr>
        <w:t>操作系统：</w:t>
      </w:r>
      <w:r>
        <w:rPr>
          <w:rFonts w:hint="eastAsia" w:ascii="CESI宋体-GB2312" w:hAnsi="CESI宋体-GB2312" w:eastAsia="CESI宋体-GB2312" w:cs="CESI宋体-GB2312"/>
          <w:sz w:val="21"/>
          <w:szCs w:val="21"/>
          <w:highlight w:val="none"/>
          <w:lang w:val="en-US" w:eastAsia="zh-CN"/>
        </w:rPr>
        <w:t>支持嵌入式Linux系统</w:t>
      </w:r>
    </w:p>
    <w:p>
      <w:pPr>
        <w:numPr>
          <w:ilvl w:val="0"/>
          <w:numId w:val="12"/>
        </w:numPr>
        <w:spacing w:line="360" w:lineRule="auto"/>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rPr>
        <w:t>工作温度：-</w:t>
      </w:r>
      <w:r>
        <w:rPr>
          <w:rFonts w:hint="eastAsia" w:ascii="CESI宋体-GB2312" w:hAnsi="CESI宋体-GB2312" w:eastAsia="CESI宋体-GB2312" w:cs="CESI宋体-GB2312"/>
          <w:sz w:val="21"/>
          <w:szCs w:val="21"/>
          <w:highlight w:val="none"/>
          <w:lang w:val="en-US" w:eastAsia="zh-CN"/>
        </w:rPr>
        <w:t>3</w:t>
      </w:r>
      <w:r>
        <w:rPr>
          <w:rFonts w:hint="eastAsia" w:ascii="CESI宋体-GB2312" w:hAnsi="CESI宋体-GB2312" w:eastAsia="CESI宋体-GB2312" w:cs="CESI宋体-GB2312"/>
          <w:sz w:val="21"/>
          <w:szCs w:val="21"/>
          <w:highlight w:val="none"/>
        </w:rPr>
        <w:t>0～</w:t>
      </w:r>
      <w:r>
        <w:rPr>
          <w:rFonts w:hint="eastAsia" w:ascii="CESI宋体-GB2312" w:hAnsi="CESI宋体-GB2312" w:eastAsia="CESI宋体-GB2312" w:cs="CESI宋体-GB2312"/>
          <w:sz w:val="21"/>
          <w:szCs w:val="21"/>
          <w:highlight w:val="none"/>
          <w:lang w:val="en-US" w:eastAsia="zh-CN"/>
        </w:rPr>
        <w:t>70</w:t>
      </w:r>
      <w:r>
        <w:rPr>
          <w:rFonts w:hint="eastAsia" w:ascii="CESI宋体-GB2312" w:hAnsi="CESI宋体-GB2312" w:eastAsia="CESI宋体-GB2312" w:cs="CESI宋体-GB2312"/>
          <w:sz w:val="21"/>
          <w:szCs w:val="21"/>
          <w:highlight w:val="none"/>
        </w:rPr>
        <w:t>℃</w:t>
      </w:r>
    </w:p>
    <w:p>
      <w:pPr>
        <w:numPr>
          <w:ilvl w:val="0"/>
          <w:numId w:val="12"/>
        </w:numPr>
        <w:spacing w:line="360" w:lineRule="auto"/>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lang w:val="en-US" w:eastAsia="zh-CN"/>
        </w:rPr>
        <w:t>工作湿度：10%</w:t>
      </w:r>
      <w:r>
        <w:rPr>
          <w:rFonts w:hint="eastAsia" w:ascii="CESI宋体-GB2312" w:hAnsi="CESI宋体-GB2312" w:eastAsia="CESI宋体-GB2312" w:cs="CESI宋体-GB2312"/>
          <w:sz w:val="21"/>
          <w:szCs w:val="21"/>
          <w:highlight w:val="none"/>
        </w:rPr>
        <w:t>～</w:t>
      </w:r>
      <w:r>
        <w:rPr>
          <w:rFonts w:hint="eastAsia" w:ascii="CESI宋体-GB2312" w:hAnsi="CESI宋体-GB2312" w:eastAsia="CESI宋体-GB2312" w:cs="CESI宋体-GB2312"/>
          <w:sz w:val="21"/>
          <w:szCs w:val="21"/>
          <w:highlight w:val="none"/>
          <w:lang w:val="en-US" w:eastAsia="zh-CN"/>
        </w:rPr>
        <w:t>90%</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rPr>
        <w:t>支持多路高位视频摄像机接入；</w:t>
      </w:r>
    </w:p>
    <w:p>
      <w:pPr>
        <w:numPr>
          <w:ilvl w:val="0"/>
          <w:numId w:val="12"/>
        </w:numPr>
        <w:spacing w:line="360" w:lineRule="auto"/>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rPr>
        <w:t>发生断</w:t>
      </w:r>
      <w:r>
        <w:rPr>
          <w:rFonts w:hint="eastAsia" w:ascii="CESI宋体-GB2312" w:hAnsi="CESI宋体-GB2312" w:eastAsia="CESI宋体-GB2312" w:cs="CESI宋体-GB2312"/>
          <w:sz w:val="21"/>
          <w:szCs w:val="21"/>
          <w:highlight w:val="none"/>
          <w:lang w:val="en-US" w:eastAsia="zh-CN"/>
        </w:rPr>
        <w:t>电</w:t>
      </w:r>
      <w:r>
        <w:rPr>
          <w:rFonts w:hint="eastAsia" w:ascii="CESI宋体-GB2312" w:hAnsi="CESI宋体-GB2312" w:eastAsia="CESI宋体-GB2312" w:cs="CESI宋体-GB2312"/>
          <w:sz w:val="21"/>
          <w:szCs w:val="21"/>
          <w:highlight w:val="none"/>
        </w:rPr>
        <w:t>等故障时，可自动重启</w:t>
      </w:r>
    </w:p>
    <w:p>
      <w:pPr>
        <w:numPr>
          <w:ilvl w:val="0"/>
          <w:numId w:val="12"/>
        </w:numPr>
        <w:spacing w:line="360" w:lineRule="auto"/>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sz w:val="21"/>
          <w:szCs w:val="21"/>
          <w:highlight w:val="none"/>
        </w:rPr>
        <w:t>设备支持至少</w:t>
      </w:r>
      <w:r>
        <w:rPr>
          <w:rFonts w:hint="eastAsia" w:ascii="CESI宋体-GB2312" w:hAnsi="CESI宋体-GB2312" w:eastAsia="CESI宋体-GB2312" w:cs="CESI宋体-GB2312"/>
          <w:sz w:val="21"/>
          <w:szCs w:val="21"/>
          <w:highlight w:val="none"/>
          <w:lang w:val="en-US" w:eastAsia="zh-CN"/>
        </w:rPr>
        <w:t>4</w:t>
      </w:r>
      <w:r>
        <w:rPr>
          <w:rFonts w:hint="eastAsia" w:ascii="CESI宋体-GB2312" w:hAnsi="CESI宋体-GB2312" w:eastAsia="CESI宋体-GB2312" w:cs="CESI宋体-GB2312"/>
          <w:sz w:val="21"/>
          <w:szCs w:val="21"/>
          <w:highlight w:val="none"/>
        </w:rPr>
        <w:t>路相机接入</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处理实时视频流</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接收停车事件消息并进行结构化数据转化，下载停车相关图片</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对异常数据进行图片合成及图片水印添加或修改</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服务异常捕获</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支持事件证据链和唯一序列匹配，提供停车事件证据链，包含但不限于车牌特写照，车牌最清晰单帧照片，车辆入离场证据照，车牌特写放大照和入离场证据照合成图，可自由控制合成图原始照片和水印文字信息。</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可根据提供事件关联时间段进行小视频录制，转码，</w:t>
      </w:r>
      <w:r>
        <w:rPr>
          <w:rFonts w:hint="eastAsia" w:ascii="CESI宋体-GB2312" w:hAnsi="CESI宋体-GB2312" w:eastAsia="CESI宋体-GB2312" w:cs="CESI宋体-GB2312"/>
          <w:color w:val="auto"/>
          <w:sz w:val="21"/>
          <w:szCs w:val="21"/>
          <w:highlight w:val="none"/>
          <w:lang w:val="en-US" w:eastAsia="zh-CN"/>
        </w:rPr>
        <w:t>上传</w:t>
      </w:r>
      <w:r>
        <w:rPr>
          <w:rFonts w:hint="eastAsia" w:ascii="CESI宋体-GB2312" w:hAnsi="CESI宋体-GB2312" w:eastAsia="CESI宋体-GB2312" w:cs="CESI宋体-GB2312"/>
          <w:color w:val="auto"/>
          <w:sz w:val="21"/>
          <w:szCs w:val="21"/>
          <w:highlight w:val="none"/>
        </w:rPr>
        <w:t>和在线访问功能。</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可根据不同时间，不同泊位信息自由录制视频和截图证据图片。</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b w:val="0"/>
          <w:bCs w:val="0"/>
          <w:color w:val="auto"/>
          <w:sz w:val="21"/>
          <w:szCs w:val="21"/>
          <w:highlight w:val="none"/>
        </w:rPr>
      </w:pPr>
      <w:r>
        <w:rPr>
          <w:rFonts w:hint="eastAsia" w:ascii="CESI宋体-GB2312" w:hAnsi="CESI宋体-GB2312" w:eastAsia="CESI宋体-GB2312" w:cs="CESI宋体-GB2312"/>
          <w:b w:val="0"/>
          <w:bCs w:val="0"/>
          <w:color w:val="auto"/>
          <w:sz w:val="21"/>
          <w:szCs w:val="21"/>
          <w:highlight w:val="none"/>
        </w:rPr>
        <w:t>支持主流摄像头厂商SDK。</w:t>
      </w:r>
    </w:p>
    <w:p>
      <w:pPr>
        <w:pStyle w:val="74"/>
        <w:numPr>
          <w:ilvl w:val="0"/>
          <w:numId w:val="12"/>
        </w:numPr>
        <w:spacing w:line="360" w:lineRule="auto"/>
        <w:ind w:left="767" w:leftChars="200" w:hanging="367"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val="0"/>
          <w:bCs w:val="0"/>
          <w:sz w:val="21"/>
          <w:szCs w:val="21"/>
          <w:highlight w:val="none"/>
        </w:rPr>
        <w:t>设备支持双网隔离，且支持光口通讯</w:t>
      </w:r>
    </w:p>
    <w:p>
      <w:pPr>
        <w:pStyle w:val="74"/>
        <w:numPr>
          <w:ilvl w:val="0"/>
          <w:numId w:val="12"/>
        </w:numPr>
        <w:spacing w:line="360" w:lineRule="auto"/>
        <w:ind w:left="767" w:leftChars="200" w:hanging="367"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val="0"/>
          <w:bCs w:val="0"/>
          <w:sz w:val="21"/>
          <w:szCs w:val="21"/>
          <w:highlight w:val="none"/>
        </w:rPr>
        <w:t>绿色泊位管理功能检查：支持停车超时检测，支持配置违停取证检测延时（超过此时间则车辆违停）；支持配置限制停车规则，包括限制时长、限制时段、限制时长和时段三种方式；</w:t>
      </w:r>
    </w:p>
    <w:p>
      <w:pPr>
        <w:pStyle w:val="74"/>
        <w:numPr>
          <w:ilvl w:val="0"/>
          <w:numId w:val="12"/>
        </w:numPr>
        <w:spacing w:line="360" w:lineRule="auto"/>
        <w:ind w:left="767" w:leftChars="200" w:hanging="367"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val="0"/>
          <w:bCs w:val="0"/>
          <w:sz w:val="21"/>
          <w:szCs w:val="21"/>
          <w:highlight w:val="none"/>
        </w:rPr>
        <w:t>支持设置两个独立的IP地址</w:t>
      </w:r>
    </w:p>
    <w:p>
      <w:pPr>
        <w:pStyle w:val="74"/>
        <w:numPr>
          <w:ilvl w:val="0"/>
          <w:numId w:val="12"/>
        </w:numPr>
        <w:spacing w:line="360" w:lineRule="auto"/>
        <w:ind w:left="767" w:leftChars="200" w:hanging="367"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val="0"/>
          <w:bCs w:val="0"/>
          <w:sz w:val="21"/>
          <w:szCs w:val="21"/>
          <w:highlight w:val="none"/>
        </w:rPr>
        <w:t>摄像机与客户端分别连接本设备的不同网段时，客户端可以通过端口映射，跨网段直接访问摄像机，对摄像机进行操作。</w:t>
      </w:r>
    </w:p>
    <w:p>
      <w:pPr>
        <w:pStyle w:val="74"/>
        <w:numPr>
          <w:ilvl w:val="0"/>
          <w:numId w:val="12"/>
        </w:numPr>
        <w:spacing w:line="360" w:lineRule="auto"/>
        <w:ind w:left="767" w:leftChars="200" w:hanging="367"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val="0"/>
          <w:bCs w:val="0"/>
          <w:sz w:val="21"/>
          <w:szCs w:val="21"/>
          <w:highlight w:val="none"/>
        </w:rPr>
        <w:t>光纤接口和网络接口可以直接使用，不需重启。</w:t>
      </w:r>
    </w:p>
    <w:p>
      <w:pPr>
        <w:pStyle w:val="74"/>
        <w:numPr>
          <w:ilvl w:val="0"/>
          <w:numId w:val="12"/>
        </w:numPr>
        <w:spacing w:line="360" w:lineRule="auto"/>
        <w:ind w:left="767" w:leftChars="200" w:hanging="367"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val="0"/>
          <w:bCs w:val="0"/>
          <w:sz w:val="21"/>
          <w:szCs w:val="21"/>
          <w:highlight w:val="none"/>
        </w:rPr>
        <w:t>从设备导出的图像和图片含有数字水印信息，如果数据内容被修改，通过专用工具可检测到数据被篡改。</w:t>
      </w:r>
    </w:p>
    <w:p>
      <w:pPr>
        <w:pStyle w:val="74"/>
        <w:numPr>
          <w:ilvl w:val="0"/>
          <w:numId w:val="12"/>
        </w:numPr>
        <w:spacing w:line="360" w:lineRule="auto"/>
        <w:ind w:left="767" w:leftChars="200" w:hanging="367"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val="0"/>
          <w:bCs w:val="0"/>
          <w:sz w:val="21"/>
          <w:szCs w:val="21"/>
          <w:highlight w:val="none"/>
        </w:rPr>
        <w:t>可设置图片的存储空间，在规定的空间内自动循环覆盖，剩余空间为录像存储空间。</w:t>
      </w:r>
    </w:p>
    <w:p>
      <w:pPr>
        <w:pStyle w:val="74"/>
        <w:numPr>
          <w:ilvl w:val="0"/>
          <w:numId w:val="12"/>
        </w:numPr>
        <w:spacing w:line="360" w:lineRule="auto"/>
        <w:ind w:left="767" w:leftChars="200" w:hanging="367"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val="0"/>
          <w:bCs w:val="0"/>
          <w:sz w:val="21"/>
          <w:szCs w:val="21"/>
          <w:highlight w:val="none"/>
        </w:rPr>
        <w:t>对于在记录过程中出现的系统死机或意外故障，设备能够在规定的时间内自动恢复其正常工作状态并使故障前的信息不丢失。</w:t>
      </w:r>
    </w:p>
    <w:p>
      <w:pPr>
        <w:pStyle w:val="74"/>
        <w:numPr>
          <w:ilvl w:val="0"/>
          <w:numId w:val="12"/>
        </w:numPr>
        <w:spacing w:line="360" w:lineRule="auto"/>
        <w:ind w:left="767" w:leftChars="200" w:hanging="367"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val="0"/>
          <w:bCs w:val="0"/>
          <w:sz w:val="21"/>
          <w:szCs w:val="21"/>
          <w:highlight w:val="none"/>
        </w:rPr>
        <w:t>当数据库文件由于断电等原因损坏后，可以通过网页手动控制数据库修复，恢复过车数据查询功能。</w:t>
      </w:r>
    </w:p>
    <w:p>
      <w:pPr>
        <w:pStyle w:val="74"/>
        <w:numPr>
          <w:ilvl w:val="0"/>
          <w:numId w:val="12"/>
        </w:numPr>
        <w:spacing w:line="360" w:lineRule="auto"/>
        <w:ind w:left="768" w:leftChars="200" w:hanging="368" w:hangingChars="175"/>
        <w:jc w:val="left"/>
        <w:rPr>
          <w:rFonts w:hint="eastAsia" w:ascii="CESI宋体-GB2312" w:hAnsi="CESI宋体-GB2312" w:eastAsia="CESI宋体-GB2312" w:cs="CESI宋体-GB2312"/>
          <w:b/>
          <w:bCs/>
          <w:sz w:val="21"/>
          <w:szCs w:val="21"/>
          <w:highlight w:val="none"/>
        </w:rPr>
      </w:pPr>
      <w:r>
        <w:rPr>
          <w:rFonts w:hint="eastAsia" w:ascii="CESI宋体-GB2312" w:hAnsi="CESI宋体-GB2312" w:eastAsia="CESI宋体-GB2312" w:cs="CESI宋体-GB2312"/>
          <w:b/>
          <w:bCs/>
          <w:color w:val="auto"/>
          <w:kern w:val="0"/>
          <w:sz w:val="21"/>
          <w:szCs w:val="21"/>
          <w:highlight w:val="none"/>
          <w:lang w:bidi="ar"/>
        </w:rPr>
        <w:t>▲支持车辆反复驶入报警，灵敏度可设置（车辆二次或以上进入同一车位）</w:t>
      </w:r>
      <w:r>
        <w:rPr>
          <w:rFonts w:hint="eastAsia" w:ascii="CESI宋体-GB2312" w:hAnsi="CESI宋体-GB2312" w:eastAsia="CESI宋体-GB2312" w:cs="CESI宋体-GB2312"/>
          <w:b/>
          <w:bCs/>
          <w:color w:val="auto"/>
          <w:kern w:val="0"/>
          <w:sz w:val="21"/>
          <w:szCs w:val="21"/>
          <w:highlight w:val="none"/>
          <w:lang w:eastAsia="zh-CN" w:bidi="ar"/>
        </w:rPr>
        <w:t>；</w:t>
      </w:r>
      <w:r>
        <w:rPr>
          <w:rFonts w:hint="eastAsia" w:ascii="CESI宋体-GB2312" w:hAnsi="CESI宋体-GB2312" w:eastAsia="CESI宋体-GB2312" w:cs="CESI宋体-GB2312"/>
          <w:b/>
          <w:bCs/>
          <w:color w:val="auto"/>
          <w:sz w:val="21"/>
          <w:szCs w:val="21"/>
          <w:highlight w:val="none"/>
          <w:lang w:eastAsia="zh-CN"/>
        </w:rPr>
        <w:t>（</w:t>
      </w:r>
      <w:r>
        <w:rPr>
          <w:rFonts w:hint="eastAsia" w:ascii="CESI宋体-GB2312" w:hAnsi="CESI宋体-GB2312" w:eastAsia="CESI宋体-GB2312" w:cs="CESI宋体-GB2312"/>
          <w:b/>
          <w:bCs/>
          <w:color w:val="auto"/>
          <w:kern w:val="0"/>
          <w:sz w:val="21"/>
          <w:szCs w:val="21"/>
          <w:highlight w:val="none"/>
          <w:lang w:eastAsia="zh-CN" w:bidi="ar"/>
        </w:rPr>
        <w:t>投标人需提供</w:t>
      </w:r>
      <w:r>
        <w:rPr>
          <w:rFonts w:hint="eastAsia" w:ascii="CESI宋体-GB2312" w:hAnsi="CESI宋体-GB2312" w:eastAsia="CESI宋体-GB2312" w:cs="CESI宋体-GB2312"/>
          <w:b/>
          <w:bCs/>
          <w:color w:val="auto"/>
          <w:sz w:val="21"/>
          <w:szCs w:val="21"/>
          <w:highlight w:val="none"/>
          <w:lang w:val="en-US" w:eastAsia="zh-CN"/>
        </w:rPr>
        <w:t>提供产品功能特性证明材料</w:t>
      </w:r>
      <w:r>
        <w:rPr>
          <w:rFonts w:hint="eastAsia" w:ascii="CESI宋体-GB2312" w:hAnsi="CESI宋体-GB2312" w:eastAsia="CESI宋体-GB2312" w:cs="CESI宋体-GB2312"/>
          <w:b/>
          <w:bCs/>
          <w:color w:val="auto"/>
          <w:sz w:val="21"/>
          <w:szCs w:val="21"/>
          <w:highlight w:val="none"/>
          <w:lang w:eastAsia="zh-CN"/>
        </w:rPr>
        <w:t>）</w:t>
      </w:r>
    </w:p>
    <w:p>
      <w:pPr>
        <w:pStyle w:val="74"/>
        <w:numPr>
          <w:ilvl w:val="0"/>
          <w:numId w:val="12"/>
        </w:numPr>
        <w:spacing w:line="360" w:lineRule="auto"/>
        <w:ind w:left="767" w:leftChars="200" w:hanging="367"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val="0"/>
          <w:bCs w:val="0"/>
          <w:sz w:val="21"/>
          <w:szCs w:val="21"/>
          <w:highlight w:val="none"/>
        </w:rPr>
        <w:t>设备内的录像、图片文件无法按直接删除或者修改，只能通过循环覆盖和硬盘格式化操作。</w:t>
      </w:r>
    </w:p>
    <w:p>
      <w:pPr>
        <w:pStyle w:val="74"/>
        <w:numPr>
          <w:ilvl w:val="0"/>
          <w:numId w:val="12"/>
        </w:numPr>
        <w:spacing w:line="360" w:lineRule="auto"/>
        <w:ind w:left="767" w:leftChars="200" w:hanging="367"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val="0"/>
          <w:bCs w:val="0"/>
          <w:sz w:val="21"/>
          <w:szCs w:val="21"/>
          <w:highlight w:val="none"/>
        </w:rPr>
        <w:t>支持数据直存，可将视频流直接写入存储。采用自动分段记录格式时，相邻两段间最大记录间隔时间应≤0.4s；对于记录在存储介质上的视（音）频信息，取出的存储介质应能在同型号的其他设备上正常回放，以保证设备发生故障后记录资料的存留（或复制）。</w:t>
      </w:r>
    </w:p>
    <w:p>
      <w:pPr>
        <w:pStyle w:val="74"/>
        <w:widowControl/>
        <w:numPr>
          <w:ilvl w:val="0"/>
          <w:numId w:val="13"/>
        </w:numPr>
        <w:spacing w:line="360" w:lineRule="auto"/>
        <w:ind w:left="768" w:leftChars="200"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bCs/>
          <w:color w:val="auto"/>
          <w:kern w:val="0"/>
          <w:sz w:val="21"/>
          <w:szCs w:val="21"/>
          <w:highlight w:val="none"/>
          <w:lang w:bidi="ar"/>
        </w:rPr>
        <w:t>▲</w:t>
      </w:r>
      <w:r>
        <w:rPr>
          <w:rFonts w:hint="eastAsia" w:ascii="CESI宋体-GB2312" w:hAnsi="CESI宋体-GB2312" w:eastAsia="CESI宋体-GB2312" w:cs="CESI宋体-GB2312"/>
          <w:b/>
          <w:bCs/>
          <w:sz w:val="21"/>
          <w:szCs w:val="21"/>
          <w:highlight w:val="none"/>
        </w:rPr>
        <w:t>支持车牌类型识别，能够识别18种车牌类型（小型汽车号牌（蓝色）、小型汽车号牌（黑色）、大型汽车号牌、港澳出入境车号牌、教练汽车号牌、普通摩托车号牌、低速车号牌、挂车号牌、拖拉机号牌、民航车号牌、领馆汽车号牌、大型新能源汽车号牌、小型新能源汽车号牌、使馆汽车号牌、应急车号牌）。支持车牌号码、车牌类型、车牌颜色、车辆类型数据存储到硬盘并支持页面展示，支持数据上传与下载。</w:t>
      </w:r>
      <w:r>
        <w:rPr>
          <w:rFonts w:hint="eastAsia" w:ascii="CESI宋体-GB2312" w:hAnsi="CESI宋体-GB2312" w:eastAsia="CESI宋体-GB2312" w:cs="CESI宋体-GB2312"/>
          <w:b/>
          <w:bCs/>
          <w:color w:val="auto"/>
          <w:kern w:val="0"/>
          <w:sz w:val="21"/>
          <w:szCs w:val="21"/>
          <w:highlight w:val="none"/>
          <w:lang w:eastAsia="zh-CN" w:bidi="ar"/>
        </w:rPr>
        <w:t>（投标人需提供原厂承诺或相关检测报告证明材料）</w:t>
      </w:r>
    </w:p>
    <w:p>
      <w:pPr>
        <w:pStyle w:val="74"/>
        <w:numPr>
          <w:ilvl w:val="0"/>
          <w:numId w:val="13"/>
        </w:numPr>
        <w:spacing w:line="360" w:lineRule="auto"/>
        <w:ind w:left="768" w:leftChars="200" w:hanging="368"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bCs/>
          <w:color w:val="auto"/>
          <w:kern w:val="0"/>
          <w:sz w:val="21"/>
          <w:szCs w:val="21"/>
          <w:highlight w:val="none"/>
          <w:lang w:bidi="ar"/>
        </w:rPr>
        <w:t>▲</w:t>
      </w:r>
      <w:r>
        <w:rPr>
          <w:rFonts w:hint="eastAsia" w:ascii="CESI宋体-GB2312" w:hAnsi="CESI宋体-GB2312" w:eastAsia="CESI宋体-GB2312" w:cs="CESI宋体-GB2312"/>
          <w:b/>
          <w:bCs/>
          <w:sz w:val="21"/>
          <w:szCs w:val="21"/>
          <w:highlight w:val="none"/>
        </w:rPr>
        <w:t>支持车辆类型识别，能够识别客车、货车、轿车、面包车、小货车、二轮车、三轮车、SUV/MPV、中型客车、机动车、非机动车、小型轿车、微型轿车、皮卡车、集装箱卡车、微卡、栏板车、渣土车、吊车、工程车、油罐车、混凝土搅拌车、平板拖车、两厢轿车、三厢轿车、轿跑。支持车辆类型数据存储到硬盘并和支持页面展示。</w:t>
      </w:r>
      <w:r>
        <w:rPr>
          <w:rFonts w:hint="eastAsia" w:ascii="CESI宋体-GB2312" w:hAnsi="CESI宋体-GB2312" w:eastAsia="CESI宋体-GB2312" w:cs="CESI宋体-GB2312"/>
          <w:b/>
          <w:bCs/>
          <w:color w:val="auto"/>
          <w:kern w:val="0"/>
          <w:sz w:val="21"/>
          <w:szCs w:val="21"/>
          <w:highlight w:val="none"/>
          <w:lang w:eastAsia="zh-CN" w:bidi="ar"/>
        </w:rPr>
        <w:t>（投标人需提供原厂承诺或相关检测报告证明材料）</w:t>
      </w:r>
    </w:p>
    <w:p>
      <w:pPr>
        <w:pStyle w:val="74"/>
        <w:numPr>
          <w:ilvl w:val="0"/>
          <w:numId w:val="12"/>
        </w:numPr>
        <w:spacing w:line="360" w:lineRule="auto"/>
        <w:ind w:left="767" w:leftChars="200" w:hanging="367" w:hangingChars="175"/>
        <w:jc w:val="left"/>
        <w:rPr>
          <w:rFonts w:hint="eastAsia" w:ascii="CESI宋体-GB2312" w:hAnsi="CESI宋体-GB2312" w:eastAsia="CESI宋体-GB2312" w:cs="CESI宋体-GB2312"/>
          <w:b w:val="0"/>
          <w:bCs w:val="0"/>
          <w:sz w:val="21"/>
          <w:szCs w:val="21"/>
          <w:highlight w:val="none"/>
        </w:rPr>
      </w:pPr>
      <w:r>
        <w:rPr>
          <w:rFonts w:hint="eastAsia" w:ascii="CESI宋体-GB2312" w:hAnsi="CESI宋体-GB2312" w:eastAsia="CESI宋体-GB2312" w:cs="CESI宋体-GB2312"/>
          <w:b w:val="0"/>
          <w:bCs w:val="0"/>
          <w:sz w:val="21"/>
          <w:szCs w:val="21"/>
          <w:highlight w:val="none"/>
        </w:rPr>
        <w:t>支持检测车辆压线停车、跨位停车、逆向停车，支持界面展示并上报停车状态。</w:t>
      </w:r>
    </w:p>
    <w:p>
      <w:pPr>
        <w:pStyle w:val="74"/>
        <w:numPr>
          <w:ilvl w:val="0"/>
          <w:numId w:val="12"/>
        </w:numPr>
        <w:ind w:left="767" w:leftChars="200" w:hanging="367" w:hangingChars="175"/>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val="0"/>
          <w:bCs w:val="0"/>
          <w:sz w:val="21"/>
          <w:szCs w:val="21"/>
          <w:highlight w:val="none"/>
        </w:rPr>
        <w:t>具有定位模块，可获取GPS定位数据，能够实时上报位置坐标。</w:t>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3.3.</w:t>
      </w:r>
      <w:r>
        <w:rPr>
          <w:rFonts w:hint="eastAsia" w:ascii="CESI宋体-GB2312" w:hAnsi="CESI宋体-GB2312" w:eastAsia="CESI宋体-GB2312" w:cs="CESI宋体-GB2312"/>
          <w:b/>
          <w:bCs/>
          <w:color w:val="auto"/>
          <w:sz w:val="21"/>
          <w:szCs w:val="21"/>
          <w:highlight w:val="none"/>
          <w:lang w:val="en-US" w:eastAsia="zh-CN"/>
        </w:rPr>
        <w:t>4业务</w:t>
      </w:r>
      <w:r>
        <w:rPr>
          <w:rFonts w:hint="eastAsia" w:ascii="CESI宋体-GB2312" w:hAnsi="CESI宋体-GB2312" w:eastAsia="CESI宋体-GB2312" w:cs="CESI宋体-GB2312"/>
          <w:b/>
          <w:bCs/>
          <w:color w:val="auto"/>
          <w:sz w:val="21"/>
          <w:szCs w:val="21"/>
          <w:highlight w:val="none"/>
        </w:rPr>
        <w:t>管理终端</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电源：支持直流供电C</w:t>
      </w:r>
      <w:r>
        <w:rPr>
          <w:rFonts w:hint="eastAsia" w:ascii="CESI宋体-GB2312" w:hAnsi="CESI宋体-GB2312" w:eastAsia="CESI宋体-GB2312" w:cs="CESI宋体-GB2312"/>
          <w:sz w:val="21"/>
          <w:szCs w:val="21"/>
          <w:highlight w:val="none"/>
        </w:rPr>
        <w:t>PU：I7及以上</w:t>
      </w:r>
      <w:bookmarkStart w:id="4" w:name="_GoBack"/>
      <w:bookmarkEnd w:id="4"/>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 xml:space="preserve">系统内存：双通道DDR4, </w:t>
      </w:r>
      <w:r>
        <w:rPr>
          <w:rFonts w:hint="eastAsia" w:ascii="CESI宋体-GB2312" w:hAnsi="CESI宋体-GB2312" w:eastAsia="CESI宋体-GB2312" w:cs="CESI宋体-GB2312"/>
          <w:kern w:val="0"/>
          <w:sz w:val="21"/>
          <w:szCs w:val="21"/>
          <w:highlight w:val="none"/>
          <w:lang w:val="en-US" w:eastAsia="zh-CN" w:bidi="ar"/>
        </w:rPr>
        <w:t>8</w:t>
      </w:r>
      <w:r>
        <w:rPr>
          <w:rFonts w:hint="eastAsia" w:ascii="CESI宋体-GB2312" w:hAnsi="CESI宋体-GB2312" w:eastAsia="CESI宋体-GB2312" w:cs="CESI宋体-GB2312"/>
          <w:kern w:val="0"/>
          <w:sz w:val="21"/>
          <w:szCs w:val="21"/>
          <w:highlight w:val="none"/>
          <w:lang w:bidi="ar"/>
        </w:rPr>
        <w:t>G及以上</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内存：8GB及以上</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GPU&amp;显示：Intel Gen. 9 HD Graphics,HEVC/H265 HW高清编解码，DP分辨率4096*2304@60Hz及以上, HDMI分辨率3840*2160@30Hz及以上,VGA分辨率为920*1200@60Hz及以上</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存储：不低于256GSSD 固态硬盘</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I/O接口：2*RJ45 Gig-LAN、4*USB3.0 Type A; 2*USB2.0 Type A; 1*USB2.0(内置)、支持HDMI/DP/VGA</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指示灯：1*电源指示灯, 支持硬盘及温度状态监控</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电源要求：DC 12~24V输入</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操作系统：Windows 7/Windows 10</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工作温度：-20～65℃</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存储温度：-40°C~85°C</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存储湿度：10~90%@40°C, 无冷凝</w:t>
      </w:r>
    </w:p>
    <w:p>
      <w:pPr>
        <w:pStyle w:val="74"/>
        <w:widowControl/>
        <w:numPr>
          <w:ilvl w:val="0"/>
          <w:numId w:val="13"/>
        </w:numPr>
        <w:spacing w:line="360" w:lineRule="auto"/>
        <w:ind w:left="767" w:leftChars="200" w:hangingChars="175"/>
        <w:jc w:val="left"/>
        <w:rPr>
          <w:rFonts w:hint="eastAsia" w:ascii="CESI宋体-GB2312" w:hAnsi="CESI宋体-GB2312" w:eastAsia="CESI宋体-GB2312" w:cs="CESI宋体-GB2312"/>
          <w:kern w:val="0"/>
          <w:sz w:val="21"/>
          <w:szCs w:val="21"/>
          <w:highlight w:val="none"/>
          <w:lang w:bidi="ar"/>
        </w:rPr>
      </w:pPr>
      <w:r>
        <w:rPr>
          <w:rFonts w:hint="eastAsia" w:ascii="CESI宋体-GB2312" w:hAnsi="CESI宋体-GB2312" w:eastAsia="CESI宋体-GB2312" w:cs="CESI宋体-GB2312"/>
          <w:kern w:val="0"/>
          <w:sz w:val="21"/>
          <w:szCs w:val="21"/>
          <w:highlight w:val="none"/>
          <w:lang w:bidi="ar"/>
        </w:rPr>
        <w:t>CE认证</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rPr>
        <w:t>支持系统级运维监控，如：停车事件的离线存储及断网续传。</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rPr>
        <w:t>工作温度-30℃-70℃，工作湿度10%-90%</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rPr>
        <w:t>支持录像存储功能，存储时长根据设定的码流大小和配置的硬盘容量确定</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rPr>
        <w:t>可根据不同时间，不同泊位信息自由录制视频和截图证据图片。</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kern w:val="0"/>
          <w:sz w:val="21"/>
          <w:szCs w:val="21"/>
          <w:highlight w:val="none"/>
          <w:lang w:bidi="ar"/>
        </w:rPr>
        <w:t>对</w:t>
      </w:r>
      <w:r>
        <w:rPr>
          <w:rFonts w:hint="eastAsia" w:ascii="CESI宋体-GB2312" w:hAnsi="CESI宋体-GB2312" w:eastAsia="CESI宋体-GB2312" w:cs="CESI宋体-GB2312"/>
          <w:kern w:val="0"/>
          <w:sz w:val="21"/>
          <w:szCs w:val="21"/>
          <w:highlight w:val="none"/>
          <w:lang w:val="en-US" w:eastAsia="zh-CN" w:bidi="ar"/>
        </w:rPr>
        <w:t>丢失停车事件</w:t>
      </w:r>
      <w:r>
        <w:rPr>
          <w:rFonts w:hint="eastAsia" w:ascii="CESI宋体-GB2312" w:hAnsi="CESI宋体-GB2312" w:eastAsia="CESI宋体-GB2312" w:cs="CESI宋体-GB2312"/>
          <w:kern w:val="0"/>
          <w:sz w:val="21"/>
          <w:szCs w:val="21"/>
          <w:highlight w:val="none"/>
          <w:lang w:bidi="ar"/>
        </w:rPr>
        <w:t>数据进行图片合成及图片水印添加或修改</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rPr>
        <w:t>支持主流摄像头厂商SDK。</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sz w:val="21"/>
          <w:szCs w:val="21"/>
          <w:highlight w:val="none"/>
        </w:rPr>
      </w:pPr>
      <w:r>
        <w:rPr>
          <w:rFonts w:hint="eastAsia" w:ascii="CESI宋体-GB2312" w:hAnsi="CESI宋体-GB2312" w:eastAsia="CESI宋体-GB2312" w:cs="CESI宋体-GB2312"/>
          <w:sz w:val="21"/>
          <w:szCs w:val="21"/>
          <w:highlight w:val="none"/>
          <w:lang w:val="en-US" w:eastAsia="zh-CN"/>
        </w:rPr>
        <w:t>支持设备离线报警，并通过短信通知指定人员。</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sz w:val="21"/>
          <w:szCs w:val="21"/>
          <w:highlight w:val="none"/>
          <w:lang w:val="en-US" w:eastAsia="zh-CN"/>
        </w:rPr>
        <w:t>支持远程控制各类前端设备，并进行重启、配置、更新等操作。</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sz w:val="21"/>
          <w:szCs w:val="21"/>
          <w:highlight w:val="none"/>
        </w:rPr>
        <w:t>开放式配置功能</w:t>
      </w:r>
      <w:r>
        <w:rPr>
          <w:rFonts w:hint="eastAsia" w:ascii="CESI宋体-GB2312" w:hAnsi="CESI宋体-GB2312" w:eastAsia="CESI宋体-GB2312" w:cs="CESI宋体-GB2312"/>
          <w:sz w:val="21"/>
          <w:szCs w:val="21"/>
          <w:highlight w:val="none"/>
          <w:lang w:eastAsia="zh-CN"/>
        </w:rPr>
        <w:t>，</w:t>
      </w:r>
      <w:r>
        <w:rPr>
          <w:rFonts w:hint="eastAsia" w:ascii="CESI宋体-GB2312" w:hAnsi="CESI宋体-GB2312" w:eastAsia="CESI宋体-GB2312" w:cs="CESI宋体-GB2312"/>
          <w:sz w:val="21"/>
          <w:szCs w:val="21"/>
          <w:highlight w:val="none"/>
        </w:rPr>
        <w:t>可满足市平台随时对</w:t>
      </w:r>
      <w:r>
        <w:rPr>
          <w:rFonts w:hint="eastAsia" w:ascii="CESI宋体-GB2312" w:hAnsi="CESI宋体-GB2312" w:eastAsia="CESI宋体-GB2312" w:cs="CESI宋体-GB2312"/>
          <w:sz w:val="21"/>
          <w:szCs w:val="21"/>
          <w:highlight w:val="none"/>
          <w:lang w:val="en-US" w:eastAsia="zh-CN"/>
        </w:rPr>
        <w:t>合成图及</w:t>
      </w:r>
      <w:r>
        <w:rPr>
          <w:rFonts w:hint="eastAsia" w:ascii="CESI宋体-GB2312" w:hAnsi="CESI宋体-GB2312" w:eastAsia="CESI宋体-GB2312" w:cs="CESI宋体-GB2312"/>
          <w:sz w:val="21"/>
          <w:szCs w:val="21"/>
          <w:highlight w:val="none"/>
        </w:rPr>
        <w:t>短视频的参数修改要求</w:t>
      </w:r>
      <w:r>
        <w:rPr>
          <w:rFonts w:hint="eastAsia" w:ascii="CESI宋体-GB2312" w:hAnsi="CESI宋体-GB2312" w:eastAsia="CESI宋体-GB2312" w:cs="CESI宋体-GB2312"/>
          <w:sz w:val="21"/>
          <w:szCs w:val="21"/>
          <w:highlight w:val="none"/>
          <w:lang w:eastAsia="zh-CN"/>
        </w:rPr>
        <w:t>。</w:t>
      </w:r>
    </w:p>
    <w:p>
      <w:pPr>
        <w:pStyle w:val="74"/>
        <w:numPr>
          <w:ilvl w:val="0"/>
          <w:numId w:val="0"/>
        </w:numPr>
        <w:spacing w:line="360" w:lineRule="auto"/>
        <w:jc w:val="left"/>
        <w:rPr>
          <w:rFonts w:hint="eastAsia" w:ascii="CESI宋体-GB2312" w:hAnsi="CESI宋体-GB2312" w:eastAsia="CESI宋体-GB2312" w:cs="CESI宋体-GB2312"/>
          <w:b/>
          <w:bCs/>
          <w:color w:val="auto"/>
          <w:sz w:val="21"/>
          <w:szCs w:val="21"/>
          <w:highlight w:val="none"/>
        </w:rPr>
      </w:pP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3.3.</w:t>
      </w:r>
      <w:r>
        <w:rPr>
          <w:rFonts w:hint="eastAsia" w:ascii="CESI宋体-GB2312" w:hAnsi="CESI宋体-GB2312" w:eastAsia="CESI宋体-GB2312" w:cs="CESI宋体-GB2312"/>
          <w:b/>
          <w:bCs/>
          <w:color w:val="auto"/>
          <w:sz w:val="21"/>
          <w:szCs w:val="21"/>
          <w:highlight w:val="none"/>
          <w:lang w:val="en-US" w:eastAsia="zh-CN"/>
        </w:rPr>
        <w:t>5</w:t>
      </w:r>
      <w:r>
        <w:rPr>
          <w:rFonts w:hint="eastAsia" w:ascii="CESI宋体-GB2312" w:hAnsi="CESI宋体-GB2312" w:eastAsia="CESI宋体-GB2312" w:cs="CESI宋体-GB2312"/>
          <w:b/>
          <w:bCs/>
          <w:color w:val="auto"/>
          <w:sz w:val="21"/>
          <w:szCs w:val="21"/>
          <w:highlight w:val="none"/>
        </w:rPr>
        <w:t xml:space="preserve"> 云服务要求</w:t>
      </w:r>
    </w:p>
    <w:p>
      <w:pPr>
        <w:spacing w:line="360" w:lineRule="auto"/>
        <w:ind w:firstLine="420" w:firstLineChars="20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为保障数据存储的稳定高效运行，投标方应</w:t>
      </w:r>
      <w:r>
        <w:rPr>
          <w:rFonts w:hint="eastAsia" w:ascii="CESI宋体-GB2312" w:hAnsi="CESI宋体-GB2312" w:eastAsia="CESI宋体-GB2312" w:cs="CESI宋体-GB2312"/>
          <w:color w:val="auto"/>
          <w:sz w:val="21"/>
          <w:szCs w:val="21"/>
          <w:highlight w:val="none"/>
          <w:lang w:val="en-US" w:eastAsia="zh-CN"/>
        </w:rPr>
        <w:t>具备部署</w:t>
      </w:r>
      <w:r>
        <w:rPr>
          <w:rFonts w:hint="eastAsia" w:ascii="CESI宋体-GB2312" w:hAnsi="CESI宋体-GB2312" w:eastAsia="CESI宋体-GB2312" w:cs="CESI宋体-GB2312"/>
          <w:color w:val="auto"/>
          <w:sz w:val="21"/>
          <w:szCs w:val="21"/>
          <w:highlight w:val="none"/>
        </w:rPr>
        <w:t>云存储进行结构化数据保存</w:t>
      </w:r>
      <w:r>
        <w:rPr>
          <w:rFonts w:hint="eastAsia" w:ascii="CESI宋体-GB2312" w:hAnsi="CESI宋体-GB2312" w:eastAsia="CESI宋体-GB2312" w:cs="CESI宋体-GB2312"/>
          <w:color w:val="auto"/>
          <w:sz w:val="21"/>
          <w:szCs w:val="21"/>
          <w:highlight w:val="none"/>
          <w:lang w:val="en-US" w:eastAsia="zh-CN"/>
        </w:rPr>
        <w:t>的能力</w:t>
      </w:r>
      <w:r>
        <w:rPr>
          <w:rFonts w:hint="eastAsia" w:ascii="CESI宋体-GB2312" w:hAnsi="CESI宋体-GB2312" w:eastAsia="CESI宋体-GB2312" w:cs="CESI宋体-GB2312"/>
          <w:color w:val="auto"/>
          <w:sz w:val="21"/>
          <w:szCs w:val="21"/>
          <w:highlight w:val="none"/>
        </w:rPr>
        <w:t>，云应用服务包括以下服务内容：</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数据备份及恢复服务</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网络防火墙</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负载均衡</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VPN</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IP地址</w:t>
      </w:r>
      <w:r>
        <w:rPr>
          <w:rFonts w:hint="eastAsia" w:ascii="CESI宋体-GB2312" w:hAnsi="CESI宋体-GB2312" w:eastAsia="CESI宋体-GB2312" w:cs="CESI宋体-GB2312"/>
          <w:color w:val="auto"/>
          <w:sz w:val="21"/>
          <w:szCs w:val="21"/>
          <w:highlight w:val="none"/>
        </w:rPr>
        <w:br w:type="textWrapping"/>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3.3.</w:t>
      </w:r>
      <w:r>
        <w:rPr>
          <w:rFonts w:hint="eastAsia" w:ascii="CESI宋体-GB2312" w:hAnsi="CESI宋体-GB2312" w:eastAsia="CESI宋体-GB2312" w:cs="CESI宋体-GB2312"/>
          <w:b/>
          <w:bCs/>
          <w:color w:val="auto"/>
          <w:sz w:val="21"/>
          <w:szCs w:val="21"/>
          <w:highlight w:val="none"/>
          <w:lang w:val="en-US" w:eastAsia="zh-CN"/>
        </w:rPr>
        <w:t>6</w:t>
      </w:r>
      <w:r>
        <w:rPr>
          <w:rFonts w:hint="eastAsia" w:ascii="CESI宋体-GB2312" w:hAnsi="CESI宋体-GB2312" w:eastAsia="CESI宋体-GB2312" w:cs="CESI宋体-GB2312"/>
          <w:b/>
          <w:bCs/>
          <w:color w:val="auto"/>
          <w:sz w:val="21"/>
          <w:szCs w:val="21"/>
          <w:highlight w:val="none"/>
        </w:rPr>
        <w:t xml:space="preserve"> 硬盘要求</w:t>
      </w:r>
    </w:p>
    <w:p>
      <w:pPr>
        <w:spacing w:line="360" w:lineRule="auto"/>
        <w:ind w:left="420"/>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容量10T，7200转，256M缓存，SATA接口，监控级硬盘，安防监控录像机用机械硬盘或同类型产品</w:t>
      </w:r>
      <w:r>
        <w:rPr>
          <w:rFonts w:hint="eastAsia" w:ascii="CESI宋体-GB2312" w:hAnsi="CESI宋体-GB2312" w:eastAsia="CESI宋体-GB2312" w:cs="CESI宋体-GB2312"/>
          <w:color w:val="auto"/>
          <w:sz w:val="21"/>
          <w:szCs w:val="21"/>
          <w:highlight w:val="none"/>
          <w:lang w:eastAsia="zh-CN"/>
        </w:rPr>
        <w:t>。</w:t>
      </w:r>
      <w:r>
        <w:rPr>
          <w:rFonts w:hint="eastAsia" w:ascii="CESI宋体-GB2312" w:hAnsi="CESI宋体-GB2312" w:eastAsia="CESI宋体-GB2312" w:cs="CESI宋体-GB2312"/>
          <w:color w:val="auto"/>
          <w:sz w:val="21"/>
          <w:szCs w:val="21"/>
          <w:highlight w:val="none"/>
        </w:rPr>
        <w:br w:type="textWrapping"/>
      </w:r>
    </w:p>
    <w:p>
      <w:pPr>
        <w:spacing w:line="360" w:lineRule="auto"/>
        <w:ind w:left="420"/>
        <w:outlineLvl w:val="2"/>
        <w:rPr>
          <w:rFonts w:hint="eastAsia" w:ascii="CESI宋体-GB2312" w:hAnsi="CESI宋体-GB2312" w:eastAsia="CESI宋体-GB2312" w:cs="CESI宋体-GB2312"/>
          <w:b/>
          <w:bCs/>
          <w:color w:val="auto"/>
          <w:sz w:val="21"/>
          <w:szCs w:val="21"/>
          <w:highlight w:val="none"/>
          <w:lang w:val="en-US" w:eastAsia="zh-CN"/>
        </w:rPr>
      </w:pPr>
      <w:r>
        <w:rPr>
          <w:rFonts w:hint="eastAsia" w:ascii="CESI宋体-GB2312" w:hAnsi="CESI宋体-GB2312" w:eastAsia="CESI宋体-GB2312" w:cs="CESI宋体-GB2312"/>
          <w:b/>
          <w:bCs/>
          <w:color w:val="auto"/>
          <w:sz w:val="21"/>
          <w:szCs w:val="21"/>
          <w:highlight w:val="none"/>
        </w:rPr>
        <w:t>3.3.</w:t>
      </w:r>
      <w:r>
        <w:rPr>
          <w:rFonts w:hint="eastAsia" w:ascii="CESI宋体-GB2312" w:hAnsi="CESI宋体-GB2312" w:eastAsia="CESI宋体-GB2312" w:cs="CESI宋体-GB2312"/>
          <w:b/>
          <w:bCs/>
          <w:color w:val="auto"/>
          <w:sz w:val="21"/>
          <w:szCs w:val="21"/>
          <w:highlight w:val="none"/>
          <w:lang w:val="en-US" w:eastAsia="zh-CN"/>
        </w:rPr>
        <w:t>7</w:t>
      </w:r>
      <w:r>
        <w:rPr>
          <w:rFonts w:hint="eastAsia" w:ascii="CESI宋体-GB2312" w:hAnsi="CESI宋体-GB2312" w:eastAsia="CESI宋体-GB2312" w:cs="CESI宋体-GB2312"/>
          <w:b/>
          <w:bCs/>
          <w:color w:val="auto"/>
          <w:sz w:val="21"/>
          <w:szCs w:val="21"/>
          <w:highlight w:val="none"/>
        </w:rPr>
        <w:t xml:space="preserve"> </w:t>
      </w:r>
      <w:r>
        <w:rPr>
          <w:rFonts w:hint="eastAsia" w:ascii="CESI宋体-GB2312" w:hAnsi="CESI宋体-GB2312" w:eastAsia="CESI宋体-GB2312" w:cs="CESI宋体-GB2312"/>
          <w:b/>
          <w:bCs/>
          <w:color w:val="auto"/>
          <w:sz w:val="21"/>
          <w:szCs w:val="21"/>
          <w:highlight w:val="none"/>
          <w:lang w:val="en-US" w:eastAsia="zh-CN"/>
        </w:rPr>
        <w:t>网络交换机</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提供16个10/100/1000M自</w:t>
      </w:r>
      <w:r>
        <w:rPr>
          <w:rFonts w:hint="eastAsia" w:ascii="CESI宋体-GB2312" w:hAnsi="CESI宋体-GB2312" w:eastAsia="CESI宋体-GB2312" w:cs="CESI宋体-GB2312"/>
          <w:b w:val="0"/>
          <w:bCs w:val="0"/>
          <w:color w:val="auto"/>
          <w:kern w:val="2"/>
          <w:sz w:val="21"/>
          <w:szCs w:val="21"/>
          <w:highlight w:val="none"/>
        </w:rPr>
        <w:t>适应RJ45端口（8口交换机要求支持8个端口），</w:t>
      </w:r>
      <w:r>
        <w:rPr>
          <w:rFonts w:hint="eastAsia" w:ascii="CESI宋体-GB2312" w:hAnsi="CESI宋体-GB2312" w:eastAsia="CESI宋体-GB2312" w:cs="CESI宋体-GB2312"/>
          <w:color w:val="auto"/>
          <w:kern w:val="2"/>
          <w:sz w:val="21"/>
          <w:szCs w:val="21"/>
          <w:highlight w:val="none"/>
        </w:rPr>
        <w:t>所有端口均可实现线速转发；每端口均支持MDI/MDIX自动翻转及双工/速率自协商；支持IEEE802.3x全双工流控和Backpressure半双工流控。</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提供模式切换开关，支持“标准交换”、“VLAN隔离”和“网络克隆”三种工作模式，可优化支持安防监控、无盘启动及无线组网等多种应用场景。</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19英寸标准机架安装，即插即用，无需管理；动态LED指示灯，提供简单的工作状态提示及故障排除。</w:t>
      </w:r>
    </w:p>
    <w:p>
      <w:pPr>
        <w:pStyle w:val="178"/>
        <w:ind w:firstLine="420" w:firstLineChars="200"/>
        <w:jc w:val="left"/>
        <w:rPr>
          <w:rFonts w:hint="eastAsia" w:ascii="CESI宋体-GB2312" w:hAnsi="CESI宋体-GB2312" w:eastAsia="CESI宋体-GB2312" w:cs="CESI宋体-GB2312"/>
          <w:b w:val="0"/>
          <w:sz w:val="21"/>
          <w:szCs w:val="21"/>
          <w:highlight w:val="none"/>
        </w:rPr>
      </w:pPr>
      <w:r>
        <w:rPr>
          <w:rFonts w:hint="eastAsia" w:ascii="CESI宋体-GB2312" w:hAnsi="CESI宋体-GB2312" w:eastAsia="CESI宋体-GB2312" w:cs="CESI宋体-GB2312"/>
          <w:b w:val="0"/>
          <w:sz w:val="21"/>
          <w:szCs w:val="21"/>
          <w:highlight w:val="none"/>
        </w:rPr>
        <w:t>工作温度：0℃～40℃；存储温度：-40℃～70℃；工作湿度：10%～90%RH，不凝露；存储湿度：5%～90%RH，不凝露</w:t>
      </w:r>
    </w:p>
    <w:p>
      <w:pPr>
        <w:pStyle w:val="178"/>
        <w:ind w:firstLine="420" w:firstLineChars="200"/>
        <w:jc w:val="left"/>
        <w:rPr>
          <w:rFonts w:hint="eastAsia" w:ascii="CESI宋体-GB2312" w:hAnsi="CESI宋体-GB2312" w:eastAsia="CESI宋体-GB2312" w:cs="CESI宋体-GB2312"/>
          <w:b w:val="0"/>
          <w:sz w:val="21"/>
          <w:szCs w:val="21"/>
          <w:highlight w:val="none"/>
        </w:rPr>
      </w:pPr>
      <w:r>
        <w:rPr>
          <w:rFonts w:hint="eastAsia" w:ascii="CESI宋体-GB2312" w:hAnsi="CESI宋体-GB2312" w:eastAsia="CESI宋体-GB2312" w:cs="CESI宋体-GB2312"/>
          <w:b w:val="0"/>
          <w:sz w:val="21"/>
          <w:szCs w:val="21"/>
          <w:highlight w:val="none"/>
          <w:lang w:val="en-US" w:eastAsia="zh-CN"/>
        </w:rPr>
        <w:t>电源：</w:t>
      </w:r>
      <w:r>
        <w:rPr>
          <w:rFonts w:hint="eastAsia" w:ascii="CESI宋体-GB2312" w:hAnsi="CESI宋体-GB2312" w:eastAsia="CESI宋体-GB2312" w:cs="CESI宋体-GB2312"/>
          <w:b w:val="0"/>
          <w:sz w:val="21"/>
          <w:szCs w:val="21"/>
          <w:highlight w:val="none"/>
        </w:rPr>
        <w:t>100-240V～50/60Hz</w:t>
      </w:r>
    </w:p>
    <w:p>
      <w:pPr>
        <w:pStyle w:val="18"/>
        <w:rPr>
          <w:rFonts w:hint="eastAsia" w:ascii="CESI宋体-GB2312" w:hAnsi="CESI宋体-GB2312" w:eastAsia="CESI宋体-GB2312" w:cs="CESI宋体-GB2312"/>
          <w:sz w:val="21"/>
          <w:szCs w:val="21"/>
          <w:highlight w:val="none"/>
        </w:rPr>
      </w:pPr>
    </w:p>
    <w:p>
      <w:pPr>
        <w:spacing w:line="360" w:lineRule="auto"/>
        <w:ind w:left="420"/>
        <w:outlineLvl w:val="2"/>
        <w:rPr>
          <w:rFonts w:hint="eastAsia" w:ascii="CESI宋体-GB2312" w:hAnsi="CESI宋体-GB2312" w:eastAsia="CESI宋体-GB2312" w:cs="CESI宋体-GB2312"/>
          <w:b/>
          <w:bCs/>
          <w:color w:val="auto"/>
          <w:sz w:val="21"/>
          <w:szCs w:val="21"/>
          <w:highlight w:val="none"/>
          <w:lang w:val="en-US" w:eastAsia="zh-CN"/>
        </w:rPr>
      </w:pPr>
      <w:r>
        <w:rPr>
          <w:rFonts w:hint="eastAsia" w:ascii="CESI宋体-GB2312" w:hAnsi="CESI宋体-GB2312" w:eastAsia="CESI宋体-GB2312" w:cs="CESI宋体-GB2312"/>
          <w:b/>
          <w:bCs/>
          <w:color w:val="auto"/>
          <w:sz w:val="21"/>
          <w:szCs w:val="21"/>
          <w:highlight w:val="none"/>
        </w:rPr>
        <w:t>3.3.</w:t>
      </w:r>
      <w:r>
        <w:rPr>
          <w:rFonts w:hint="eastAsia" w:ascii="CESI宋体-GB2312" w:hAnsi="CESI宋体-GB2312" w:eastAsia="CESI宋体-GB2312" w:cs="CESI宋体-GB2312"/>
          <w:b/>
          <w:bCs/>
          <w:color w:val="auto"/>
          <w:sz w:val="21"/>
          <w:szCs w:val="21"/>
          <w:highlight w:val="none"/>
          <w:lang w:val="en-US" w:eastAsia="zh-CN"/>
        </w:rPr>
        <w:t>8</w:t>
      </w:r>
      <w:r>
        <w:rPr>
          <w:rFonts w:hint="eastAsia" w:ascii="CESI宋体-GB2312" w:hAnsi="CESI宋体-GB2312" w:eastAsia="CESI宋体-GB2312" w:cs="CESI宋体-GB2312"/>
          <w:b/>
          <w:bCs/>
          <w:color w:val="auto"/>
          <w:sz w:val="21"/>
          <w:szCs w:val="21"/>
          <w:highlight w:val="none"/>
        </w:rPr>
        <w:t xml:space="preserve"> </w:t>
      </w:r>
      <w:r>
        <w:rPr>
          <w:rFonts w:hint="eastAsia" w:ascii="CESI宋体-GB2312" w:hAnsi="CESI宋体-GB2312" w:eastAsia="CESI宋体-GB2312" w:cs="CESI宋体-GB2312"/>
          <w:b/>
          <w:bCs/>
          <w:color w:val="auto"/>
          <w:sz w:val="21"/>
          <w:szCs w:val="21"/>
          <w:highlight w:val="none"/>
          <w:lang w:val="en-US" w:eastAsia="zh-CN"/>
        </w:rPr>
        <w:t>路由器</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网络标准</w:t>
      </w:r>
      <w:r>
        <w:rPr>
          <w:rFonts w:hint="eastAsia" w:ascii="CESI宋体-GB2312" w:hAnsi="CESI宋体-GB2312" w:eastAsia="CESI宋体-GB2312" w:cs="CESI宋体-GB2312"/>
          <w:color w:val="auto"/>
          <w:kern w:val="2"/>
          <w:sz w:val="21"/>
          <w:szCs w:val="21"/>
          <w:highlight w:val="none"/>
          <w:lang w:eastAsia="zh-CN"/>
        </w:rPr>
        <w:t>：</w:t>
      </w:r>
      <w:r>
        <w:rPr>
          <w:rFonts w:hint="eastAsia" w:ascii="CESI宋体-GB2312" w:hAnsi="CESI宋体-GB2312" w:eastAsia="CESI宋体-GB2312" w:cs="CESI宋体-GB2312"/>
          <w:color w:val="auto"/>
          <w:kern w:val="2"/>
          <w:sz w:val="21"/>
          <w:szCs w:val="21"/>
          <w:highlight w:val="none"/>
        </w:rPr>
        <w:t>IEEE802.3、IEEE802.3i、IEEE802.3u、IEEE802.3ab、IEEE802.3x；支持IEEE 802.1Q VLAN，支持VLAN三层接口,可实现跨VLAN的IP报文转发；</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VPN</w:t>
      </w:r>
      <w:r>
        <w:rPr>
          <w:rFonts w:hint="eastAsia" w:ascii="CESI宋体-GB2312" w:hAnsi="CESI宋体-GB2312" w:eastAsia="CESI宋体-GB2312" w:cs="CESI宋体-GB2312"/>
          <w:color w:val="auto"/>
          <w:kern w:val="2"/>
          <w:sz w:val="21"/>
          <w:szCs w:val="21"/>
          <w:highlight w:val="none"/>
          <w:lang w:eastAsia="zh-CN"/>
        </w:rPr>
        <w:t>：</w:t>
      </w:r>
      <w:r>
        <w:rPr>
          <w:rFonts w:hint="eastAsia" w:ascii="CESI宋体-GB2312" w:hAnsi="CESI宋体-GB2312" w:eastAsia="CESI宋体-GB2312" w:cs="CESI宋体-GB2312"/>
          <w:color w:val="auto"/>
          <w:kern w:val="2"/>
          <w:sz w:val="21"/>
          <w:szCs w:val="21"/>
          <w:highlight w:val="none"/>
        </w:rPr>
        <w:t>支持IPSec VPN,加密企业和分支机构的机密数据,保障数据安全; 支持PPTPVPN和L2TP VPN服务器/客户端模式</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上网行为管理</w:t>
      </w:r>
      <w:r>
        <w:rPr>
          <w:rFonts w:hint="eastAsia" w:ascii="CESI宋体-GB2312" w:hAnsi="CESI宋体-GB2312" w:eastAsia="CESI宋体-GB2312" w:cs="CESI宋体-GB2312"/>
          <w:color w:val="auto"/>
          <w:kern w:val="2"/>
          <w:sz w:val="21"/>
          <w:szCs w:val="21"/>
          <w:highlight w:val="none"/>
          <w:lang w:eastAsia="zh-CN"/>
        </w:rPr>
        <w:t>：</w:t>
      </w:r>
      <w:r>
        <w:rPr>
          <w:rFonts w:hint="eastAsia" w:ascii="CESI宋体-GB2312" w:hAnsi="CESI宋体-GB2312" w:eastAsia="CESI宋体-GB2312" w:cs="CESI宋体-GB2312"/>
          <w:color w:val="auto"/>
          <w:kern w:val="2"/>
          <w:sz w:val="21"/>
          <w:szCs w:val="21"/>
          <w:highlight w:val="none"/>
        </w:rPr>
        <w:t>内置常见上网应用数据库,可一键管控各种桌面端、移动端上网应用；支持禁止网页提交；支持过滤文件拓展类型；支持行为审计功能</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存储性能</w:t>
      </w:r>
      <w:r>
        <w:rPr>
          <w:rFonts w:hint="eastAsia" w:ascii="CESI宋体-GB2312" w:hAnsi="CESI宋体-GB2312" w:eastAsia="CESI宋体-GB2312" w:cs="CESI宋体-GB2312"/>
          <w:color w:val="auto"/>
          <w:kern w:val="2"/>
          <w:sz w:val="21"/>
          <w:szCs w:val="21"/>
          <w:highlight w:val="none"/>
          <w:lang w:eastAsia="zh-CN"/>
        </w:rPr>
        <w:t>：</w:t>
      </w:r>
      <w:r>
        <w:rPr>
          <w:rFonts w:hint="eastAsia" w:ascii="CESI宋体-GB2312" w:hAnsi="CESI宋体-GB2312" w:eastAsia="CESI宋体-GB2312" w:cs="CESI宋体-GB2312"/>
          <w:color w:val="auto"/>
          <w:kern w:val="2"/>
          <w:sz w:val="21"/>
          <w:szCs w:val="21"/>
          <w:highlight w:val="none"/>
        </w:rPr>
        <w:t>支持存储转发；支持8K的MAC地址表深度</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认证方式</w:t>
      </w:r>
      <w:r>
        <w:rPr>
          <w:rFonts w:hint="eastAsia" w:ascii="CESI宋体-GB2312" w:hAnsi="CESI宋体-GB2312" w:eastAsia="CESI宋体-GB2312" w:cs="CESI宋体-GB2312"/>
          <w:color w:val="auto"/>
          <w:kern w:val="2"/>
          <w:sz w:val="21"/>
          <w:szCs w:val="21"/>
          <w:highlight w:val="none"/>
          <w:lang w:eastAsia="zh-CN"/>
        </w:rPr>
        <w:t>：</w:t>
      </w:r>
      <w:r>
        <w:rPr>
          <w:rFonts w:hint="eastAsia" w:ascii="CESI宋体-GB2312" w:hAnsi="CESI宋体-GB2312" w:eastAsia="CESI宋体-GB2312" w:cs="CESI宋体-GB2312"/>
          <w:color w:val="auto"/>
          <w:kern w:val="2"/>
          <w:sz w:val="21"/>
          <w:szCs w:val="21"/>
          <w:highlight w:val="none"/>
        </w:rPr>
        <w:t>支持Web认证、短信认证、PPOE认证等；</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内置AC功能</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防火墙</w:t>
      </w:r>
      <w:r>
        <w:rPr>
          <w:rFonts w:hint="eastAsia" w:ascii="CESI宋体-GB2312" w:hAnsi="CESI宋体-GB2312" w:eastAsia="CESI宋体-GB2312" w:cs="CESI宋体-GB2312"/>
          <w:color w:val="auto"/>
          <w:kern w:val="2"/>
          <w:sz w:val="21"/>
          <w:szCs w:val="21"/>
          <w:highlight w:val="none"/>
          <w:lang w:eastAsia="zh-CN"/>
        </w:rPr>
        <w:t>：</w:t>
      </w:r>
      <w:r>
        <w:rPr>
          <w:rFonts w:hint="eastAsia" w:ascii="CESI宋体-GB2312" w:hAnsi="CESI宋体-GB2312" w:eastAsia="CESI宋体-GB2312" w:cs="CESI宋体-GB2312"/>
          <w:color w:val="auto"/>
          <w:kern w:val="2"/>
          <w:sz w:val="21"/>
          <w:szCs w:val="21"/>
          <w:highlight w:val="none"/>
        </w:rPr>
        <w:t>支持IP与MAC地址绑定，有效防止内/外网ARP欺骗；在遭受ARP欺骗时，可按照指定频率主动发送ARP更正信息，及时恢复网络正常状态。</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支持内/外网攻击防护功能，可有效防范各种常见的DoS攻击、扫描类攻击、可疑包攻击行为。</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支持基于MAC地址的过滤功能，有效阻断非法主机的接入。</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可为各种网络服务分配通过路由器的权限，保障内外网安全，支持基于用户组和时间段的访问控制规则，实现更精细化的管理。</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工作温度：0℃～40℃, 工作湿度：10%～90%RH 不凝结；存储温度：-40℃～70℃, 存储湿度：5%～90%RH 不凝结</w:t>
      </w:r>
    </w:p>
    <w:p>
      <w:pPr>
        <w:pStyle w:val="34"/>
        <w:spacing w:before="0" w:beforeAutospacing="0" w:after="0" w:afterAutospacing="0" w:line="360" w:lineRule="auto"/>
        <w:ind w:firstLine="420" w:firstLineChars="200"/>
        <w:rPr>
          <w:rFonts w:hint="eastAsia" w:ascii="CESI宋体-GB2312" w:hAnsi="CESI宋体-GB2312" w:eastAsia="CESI宋体-GB2312" w:cs="CESI宋体-GB2312"/>
          <w:color w:val="auto"/>
          <w:kern w:val="2"/>
          <w:sz w:val="21"/>
          <w:szCs w:val="21"/>
          <w:highlight w:val="none"/>
        </w:rPr>
      </w:pPr>
      <w:r>
        <w:rPr>
          <w:rFonts w:hint="eastAsia" w:ascii="CESI宋体-GB2312" w:hAnsi="CESI宋体-GB2312" w:eastAsia="CESI宋体-GB2312" w:cs="CESI宋体-GB2312"/>
          <w:color w:val="auto"/>
          <w:kern w:val="2"/>
          <w:sz w:val="21"/>
          <w:szCs w:val="21"/>
          <w:highlight w:val="none"/>
        </w:rPr>
        <w:t>电源</w:t>
      </w:r>
      <w:r>
        <w:rPr>
          <w:rFonts w:hint="eastAsia" w:ascii="CESI宋体-GB2312" w:hAnsi="CESI宋体-GB2312" w:eastAsia="CESI宋体-GB2312" w:cs="CESI宋体-GB2312"/>
          <w:color w:val="auto"/>
          <w:kern w:val="2"/>
          <w:sz w:val="21"/>
          <w:szCs w:val="21"/>
          <w:highlight w:val="none"/>
          <w:lang w:eastAsia="zh-CN"/>
        </w:rPr>
        <w:t>：</w:t>
      </w:r>
      <w:r>
        <w:rPr>
          <w:rFonts w:hint="eastAsia" w:ascii="CESI宋体-GB2312" w:hAnsi="CESI宋体-GB2312" w:eastAsia="CESI宋体-GB2312" w:cs="CESI宋体-GB2312"/>
          <w:color w:val="auto"/>
          <w:kern w:val="2"/>
          <w:sz w:val="21"/>
          <w:szCs w:val="21"/>
          <w:highlight w:val="none"/>
        </w:rPr>
        <w:t>100～240V AC,50/60Hz</w:t>
      </w:r>
    </w:p>
    <w:p>
      <w:pPr>
        <w:rPr>
          <w:rFonts w:hint="eastAsia" w:ascii="CESI宋体-GB2312" w:hAnsi="CESI宋体-GB2312" w:eastAsia="CESI宋体-GB2312" w:cs="CESI宋体-GB2312"/>
          <w:sz w:val="21"/>
          <w:szCs w:val="21"/>
          <w:highlight w:val="none"/>
        </w:rPr>
      </w:pP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3.3.</w:t>
      </w:r>
      <w:r>
        <w:rPr>
          <w:rFonts w:hint="eastAsia" w:ascii="CESI宋体-GB2312" w:hAnsi="CESI宋体-GB2312" w:eastAsia="CESI宋体-GB2312" w:cs="CESI宋体-GB2312"/>
          <w:b/>
          <w:bCs/>
          <w:color w:val="auto"/>
          <w:sz w:val="21"/>
          <w:szCs w:val="21"/>
          <w:highlight w:val="none"/>
          <w:lang w:val="en-US" w:eastAsia="zh-CN"/>
        </w:rPr>
        <w:t>9</w:t>
      </w:r>
      <w:r>
        <w:rPr>
          <w:rFonts w:hint="eastAsia" w:ascii="CESI宋体-GB2312" w:hAnsi="CESI宋体-GB2312" w:eastAsia="CESI宋体-GB2312" w:cs="CESI宋体-GB2312"/>
          <w:b/>
          <w:bCs/>
          <w:color w:val="auto"/>
          <w:sz w:val="21"/>
          <w:szCs w:val="21"/>
          <w:highlight w:val="none"/>
        </w:rPr>
        <w:t>流媒体服务技术要求</w:t>
      </w:r>
    </w:p>
    <w:p>
      <w:pPr>
        <w:spacing w:line="360" w:lineRule="auto"/>
        <w:ind w:firstLine="367" w:firstLineChars="175"/>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中标方使用的流媒体服务平台，可提供视频流配置及管理页面，该流媒体平台须已完成与上海市有关道路停车高位视频流媒体服务平台的对接。</w:t>
      </w:r>
    </w:p>
    <w:p>
      <w:pPr>
        <w:widowControl/>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可支持多国标级联，多种级联方式共存，支持多种协议流媒体设备接入，包含但不限于GB28181、RTSP、RTMP、HTTP-FLV、HLS、H265、Onvif。</w:t>
      </w:r>
    </w:p>
    <w:p>
      <w:pPr>
        <w:widowControl/>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流媒体服务器及应用可自定义设置相机的国标编码，可增加自定义属性字段添加，具备高可扩展性，流媒体平台支持至少2路的GB28181级联，至少2路NVS级联。可在流媒体平台为视频流重新添加自定义水印，支持视频文字叠加。</w:t>
      </w:r>
    </w:p>
    <w:p>
      <w:pPr>
        <w:widowControl/>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流媒体服务器及应用支持多种协议视频流输出，包含但不限于GB28181，WebRTC、Websocket-FLV、RTMP、RTSP、HTTP-FLV、HLS(M3U8)。支持支持 WEB 页面配置管理，录像文件回看、下载。支持录像自动清理。</w:t>
      </w:r>
    </w:p>
    <w:p>
      <w:pPr>
        <w:widowControl/>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流媒体平台可提供分屏展示，轮播等服务，同时录像回看可提供时间戳播放，录像回看可设置不同倍速播放。</w:t>
      </w:r>
    </w:p>
    <w:p>
      <w:pPr>
        <w:widowControl/>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支持摄像机媒体流解码和再编码服务。</w:t>
      </w:r>
      <w:r>
        <w:rPr>
          <w:rFonts w:hint="eastAsia" w:ascii="CESI宋体-GB2312" w:hAnsi="CESI宋体-GB2312" w:eastAsia="CESI宋体-GB2312" w:cs="CESI宋体-GB2312"/>
          <w:color w:val="auto"/>
          <w:kern w:val="0"/>
          <w:sz w:val="21"/>
          <w:szCs w:val="21"/>
          <w:highlight w:val="none"/>
          <w:lang w:bidi="ar"/>
        </w:rPr>
        <w:br w:type="textWrapping"/>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3.3.</w:t>
      </w:r>
      <w:r>
        <w:rPr>
          <w:rFonts w:hint="eastAsia" w:ascii="CESI宋体-GB2312" w:hAnsi="CESI宋体-GB2312" w:eastAsia="CESI宋体-GB2312" w:cs="CESI宋体-GB2312"/>
          <w:b/>
          <w:bCs/>
          <w:color w:val="auto"/>
          <w:sz w:val="21"/>
          <w:szCs w:val="21"/>
          <w:highlight w:val="none"/>
          <w:lang w:val="en-US" w:eastAsia="zh-CN"/>
        </w:rPr>
        <w:t>10</w:t>
      </w:r>
      <w:r>
        <w:rPr>
          <w:rFonts w:hint="eastAsia" w:ascii="CESI宋体-GB2312" w:hAnsi="CESI宋体-GB2312" w:eastAsia="CESI宋体-GB2312" w:cs="CESI宋体-GB2312"/>
          <w:b/>
          <w:bCs/>
          <w:color w:val="auto"/>
          <w:sz w:val="21"/>
          <w:szCs w:val="21"/>
          <w:highlight w:val="none"/>
        </w:rPr>
        <w:t>光缆建设服务要求</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bookmarkStart w:id="2" w:name="_Toc511727437"/>
      <w:r>
        <w:rPr>
          <w:rFonts w:hint="eastAsia" w:ascii="CESI宋体-GB2312" w:hAnsi="CESI宋体-GB2312" w:eastAsia="CESI宋体-GB2312" w:cs="CESI宋体-GB2312"/>
          <w:color w:val="auto"/>
          <w:sz w:val="21"/>
          <w:szCs w:val="21"/>
          <w:highlight w:val="none"/>
        </w:rPr>
        <w:t>光缆可根据地理位置的分布和路况采用管道等敷设方式，不能采用直埋式的敷设方法。在资源允许的情况下，尽量使用现有管道资源敷设</w:t>
      </w:r>
      <w:r>
        <w:rPr>
          <w:rFonts w:hint="eastAsia" w:ascii="CESI宋体-GB2312" w:hAnsi="CESI宋体-GB2312" w:eastAsia="CESI宋体-GB2312" w:cs="CESI宋体-GB2312"/>
          <w:color w:val="auto"/>
          <w:sz w:val="21"/>
          <w:szCs w:val="21"/>
          <w:highlight w:val="none"/>
          <w:lang w:eastAsia="zh-CN"/>
        </w:rPr>
        <w:t>，</w:t>
      </w:r>
      <w:r>
        <w:rPr>
          <w:rFonts w:hint="eastAsia" w:ascii="CESI宋体-GB2312" w:hAnsi="CESI宋体-GB2312" w:eastAsia="CESI宋体-GB2312" w:cs="CESI宋体-GB2312"/>
          <w:color w:val="auto"/>
          <w:sz w:val="21"/>
          <w:szCs w:val="21"/>
          <w:highlight w:val="none"/>
        </w:rPr>
        <w:t>严禁采用架空敷设方式</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根据敷设方式选用光缆规格</w:t>
      </w:r>
      <w:r>
        <w:rPr>
          <w:rFonts w:hint="eastAsia" w:ascii="CESI宋体-GB2312" w:hAnsi="CESI宋体-GB2312" w:eastAsia="CESI宋体-GB2312" w:cs="CESI宋体-GB2312"/>
          <w:color w:val="auto"/>
          <w:sz w:val="21"/>
          <w:szCs w:val="21"/>
          <w:highlight w:val="none"/>
          <w:lang w:eastAsia="zh-CN"/>
        </w:rPr>
        <w:t>。</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管道及架空光缆、带状光缆：型号为GYTA或同等级</w:t>
      </w:r>
      <w:r>
        <w:rPr>
          <w:rFonts w:hint="eastAsia" w:ascii="CESI宋体-GB2312" w:hAnsi="CESI宋体-GB2312" w:eastAsia="CESI宋体-GB2312" w:cs="CESI宋体-GB2312"/>
          <w:color w:val="auto"/>
          <w:sz w:val="21"/>
          <w:szCs w:val="21"/>
          <w:highlight w:val="none"/>
          <w:lang w:eastAsia="zh-CN"/>
        </w:rPr>
        <w:t>。</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光缆均采用高品质</w:t>
      </w:r>
      <w:r>
        <w:rPr>
          <w:rFonts w:hint="eastAsia" w:ascii="CESI宋体-GB2312" w:hAnsi="CESI宋体-GB2312" w:eastAsia="CESI宋体-GB2312" w:cs="CESI宋体-GB2312"/>
          <w:dstrike w:val="0"/>
          <w:color w:val="auto"/>
          <w:sz w:val="21"/>
          <w:szCs w:val="21"/>
          <w:highlight w:val="none"/>
          <w:lang w:val="en-US" w:eastAsia="zh-CN"/>
        </w:rPr>
        <w:t>产品</w:t>
      </w:r>
      <w:r>
        <w:rPr>
          <w:rFonts w:hint="eastAsia" w:ascii="CESI宋体-GB2312" w:hAnsi="CESI宋体-GB2312" w:eastAsia="CESI宋体-GB2312" w:cs="CESI宋体-GB2312"/>
          <w:color w:val="auto"/>
          <w:sz w:val="21"/>
          <w:szCs w:val="21"/>
          <w:highlight w:val="none"/>
          <w:lang w:eastAsia="zh-CN"/>
        </w:rPr>
        <w:t>。</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每盘光缆之间须进行熔接，熔接应包括缆内所有光纤</w:t>
      </w:r>
      <w:r>
        <w:rPr>
          <w:rFonts w:hint="eastAsia" w:ascii="CESI宋体-GB2312" w:hAnsi="CESI宋体-GB2312" w:eastAsia="CESI宋体-GB2312" w:cs="CESI宋体-GB2312"/>
          <w:color w:val="auto"/>
          <w:sz w:val="21"/>
          <w:szCs w:val="21"/>
          <w:highlight w:val="none"/>
          <w:lang w:eastAsia="zh-CN"/>
        </w:rPr>
        <w:t>。</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光缆应敷设至每个监控点和</w:t>
      </w:r>
      <w:r>
        <w:rPr>
          <w:rFonts w:hint="eastAsia" w:ascii="CESI宋体-GB2312" w:hAnsi="CESI宋体-GB2312" w:eastAsia="CESI宋体-GB2312" w:cs="CESI宋体-GB2312"/>
          <w:color w:val="auto"/>
          <w:sz w:val="21"/>
          <w:szCs w:val="21"/>
          <w:highlight w:val="none"/>
          <w:lang w:val="en-US" w:eastAsia="zh-CN"/>
        </w:rPr>
        <w:t>综合箱</w:t>
      </w:r>
      <w:r>
        <w:rPr>
          <w:rFonts w:hint="eastAsia" w:ascii="CESI宋体-GB2312" w:hAnsi="CESI宋体-GB2312" w:eastAsia="CESI宋体-GB2312" w:cs="CESI宋体-GB2312"/>
          <w:color w:val="auto"/>
          <w:sz w:val="21"/>
          <w:szCs w:val="21"/>
          <w:highlight w:val="none"/>
        </w:rPr>
        <w:t>，并进行成端施工。其中，监控点成端至控制箱，</w:t>
      </w:r>
      <w:r>
        <w:rPr>
          <w:rFonts w:hint="eastAsia" w:ascii="CESI宋体-GB2312" w:hAnsi="CESI宋体-GB2312" w:eastAsia="CESI宋体-GB2312" w:cs="CESI宋体-GB2312"/>
          <w:color w:val="auto"/>
          <w:sz w:val="21"/>
          <w:szCs w:val="21"/>
          <w:highlight w:val="none"/>
          <w:lang w:val="en-US" w:eastAsia="zh-CN"/>
        </w:rPr>
        <w:t>综合箱</w:t>
      </w:r>
      <w:r>
        <w:rPr>
          <w:rFonts w:hint="eastAsia" w:ascii="CESI宋体-GB2312" w:hAnsi="CESI宋体-GB2312" w:eastAsia="CESI宋体-GB2312" w:cs="CESI宋体-GB2312"/>
          <w:color w:val="auto"/>
          <w:sz w:val="21"/>
          <w:szCs w:val="21"/>
          <w:highlight w:val="none"/>
        </w:rPr>
        <w:t>使用ODP（ODB）和FC/PC型尾纤、法兰将光缆内所有光纤熔接成端</w:t>
      </w:r>
      <w:r>
        <w:rPr>
          <w:rFonts w:hint="eastAsia" w:ascii="CESI宋体-GB2312" w:hAnsi="CESI宋体-GB2312" w:eastAsia="CESI宋体-GB2312" w:cs="CESI宋体-GB2312"/>
          <w:color w:val="auto"/>
          <w:sz w:val="21"/>
          <w:szCs w:val="21"/>
          <w:highlight w:val="none"/>
          <w:lang w:eastAsia="zh-CN"/>
        </w:rPr>
        <w:t>。</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施工过程中，所有光缆应按</w:t>
      </w:r>
      <w:r>
        <w:rPr>
          <w:rFonts w:hint="eastAsia" w:ascii="CESI宋体-GB2312" w:hAnsi="CESI宋体-GB2312" w:eastAsia="CESI宋体-GB2312" w:cs="CESI宋体-GB2312"/>
          <w:color w:val="auto"/>
          <w:sz w:val="21"/>
          <w:szCs w:val="21"/>
          <w:highlight w:val="none"/>
          <w:lang w:val="en-US" w:eastAsia="zh-CN"/>
        </w:rPr>
        <w:t>综管中心的</w:t>
      </w:r>
      <w:r>
        <w:rPr>
          <w:rFonts w:hint="eastAsia" w:ascii="CESI宋体-GB2312" w:hAnsi="CESI宋体-GB2312" w:eastAsia="CESI宋体-GB2312" w:cs="CESI宋体-GB2312"/>
          <w:color w:val="auto"/>
          <w:sz w:val="21"/>
          <w:szCs w:val="21"/>
          <w:highlight w:val="none"/>
        </w:rPr>
        <w:t>要求加挂标识牌</w:t>
      </w:r>
      <w:r>
        <w:rPr>
          <w:rFonts w:hint="eastAsia" w:ascii="CESI宋体-GB2312" w:hAnsi="CESI宋体-GB2312" w:eastAsia="CESI宋体-GB2312" w:cs="CESI宋体-GB2312"/>
          <w:color w:val="auto"/>
          <w:sz w:val="21"/>
          <w:szCs w:val="21"/>
          <w:highlight w:val="none"/>
          <w:lang w:eastAsia="zh-CN"/>
        </w:rPr>
        <w:t>。</w:t>
      </w:r>
    </w:p>
    <w:p>
      <w:pPr>
        <w:pStyle w:val="74"/>
        <w:numPr>
          <w:ilvl w:val="0"/>
          <w:numId w:val="12"/>
        </w:numPr>
        <w:spacing w:line="360" w:lineRule="auto"/>
        <w:ind w:left="767" w:leftChars="200" w:hangingChars="17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需根据监控点和被监控目标的实际情况进行</w:t>
      </w:r>
      <w:r>
        <w:rPr>
          <w:rFonts w:hint="eastAsia" w:ascii="CESI宋体-GB2312" w:hAnsi="CESI宋体-GB2312" w:eastAsia="CESI宋体-GB2312" w:cs="CESI宋体-GB2312"/>
          <w:color w:val="auto"/>
          <w:sz w:val="21"/>
          <w:szCs w:val="21"/>
          <w:highlight w:val="none"/>
          <w:lang w:val="en-US" w:eastAsia="zh-CN"/>
        </w:rPr>
        <w:t>新增挑臂</w:t>
      </w:r>
      <w:r>
        <w:rPr>
          <w:rFonts w:hint="eastAsia" w:ascii="CESI宋体-GB2312" w:hAnsi="CESI宋体-GB2312" w:eastAsia="CESI宋体-GB2312" w:cs="CESI宋体-GB2312"/>
          <w:color w:val="auto"/>
          <w:sz w:val="21"/>
          <w:szCs w:val="21"/>
          <w:highlight w:val="none"/>
        </w:rPr>
        <w:t>，</w:t>
      </w:r>
      <w:r>
        <w:rPr>
          <w:rFonts w:hint="eastAsia" w:ascii="CESI宋体-GB2312" w:hAnsi="CESI宋体-GB2312" w:eastAsia="CESI宋体-GB2312" w:cs="CESI宋体-GB2312"/>
          <w:color w:val="auto"/>
          <w:sz w:val="21"/>
          <w:szCs w:val="21"/>
          <w:highlight w:val="none"/>
          <w:lang w:val="en-US" w:eastAsia="zh-CN"/>
        </w:rPr>
        <w:t>挑臂</w:t>
      </w:r>
      <w:r>
        <w:rPr>
          <w:rFonts w:hint="eastAsia" w:ascii="CESI宋体-GB2312" w:hAnsi="CESI宋体-GB2312" w:eastAsia="CESI宋体-GB2312" w:cs="CESI宋体-GB2312"/>
          <w:color w:val="auto"/>
          <w:sz w:val="21"/>
          <w:szCs w:val="21"/>
          <w:highlight w:val="none"/>
        </w:rPr>
        <w:t>长度根据现场安装条件灵活选择，尽量避免监控死角、扩大可视范围</w:t>
      </w:r>
      <w:r>
        <w:rPr>
          <w:rFonts w:hint="eastAsia" w:ascii="CESI宋体-GB2312" w:hAnsi="CESI宋体-GB2312" w:eastAsia="CESI宋体-GB2312" w:cs="CESI宋体-GB2312"/>
          <w:color w:val="auto"/>
          <w:sz w:val="21"/>
          <w:szCs w:val="21"/>
          <w:highlight w:val="none"/>
          <w:lang w:eastAsia="zh-CN"/>
        </w:rPr>
        <w:t>。</w:t>
      </w:r>
      <w:r>
        <w:rPr>
          <w:rFonts w:hint="eastAsia" w:ascii="CESI宋体-GB2312" w:hAnsi="CESI宋体-GB2312" w:eastAsia="CESI宋体-GB2312" w:cs="CESI宋体-GB2312"/>
          <w:color w:val="auto"/>
          <w:sz w:val="21"/>
          <w:szCs w:val="21"/>
          <w:highlight w:val="none"/>
          <w:lang w:eastAsia="zh-CN"/>
        </w:rPr>
        <w:br w:type="textWrapping"/>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3.3</w:t>
      </w:r>
      <w:r>
        <w:rPr>
          <w:rFonts w:hint="eastAsia" w:ascii="CESI宋体-GB2312" w:hAnsi="CESI宋体-GB2312" w:eastAsia="CESI宋体-GB2312" w:cs="CESI宋体-GB2312"/>
          <w:b/>
          <w:bCs/>
          <w:color w:val="auto"/>
          <w:sz w:val="21"/>
          <w:szCs w:val="21"/>
          <w:highlight w:val="none"/>
          <w:lang w:val="en-US" w:eastAsia="zh-CN"/>
        </w:rPr>
        <w:t>.11</w:t>
      </w:r>
      <w:r>
        <w:rPr>
          <w:rFonts w:hint="eastAsia" w:ascii="CESI宋体-GB2312" w:hAnsi="CESI宋体-GB2312" w:eastAsia="CESI宋体-GB2312" w:cs="CESI宋体-GB2312"/>
          <w:b/>
          <w:bCs/>
          <w:color w:val="auto"/>
          <w:sz w:val="21"/>
          <w:szCs w:val="21"/>
          <w:highlight w:val="none"/>
        </w:rPr>
        <w:t xml:space="preserve"> </w:t>
      </w:r>
      <w:r>
        <w:rPr>
          <w:rFonts w:hint="eastAsia" w:ascii="CESI宋体-GB2312" w:hAnsi="CESI宋体-GB2312" w:eastAsia="CESI宋体-GB2312" w:cs="CESI宋体-GB2312"/>
          <w:b/>
          <w:bCs/>
          <w:color w:val="auto"/>
          <w:sz w:val="21"/>
          <w:szCs w:val="21"/>
          <w:highlight w:val="none"/>
          <w:lang w:val="en-US" w:eastAsia="zh-CN"/>
        </w:rPr>
        <w:t>备品备件</w:t>
      </w:r>
      <w:r>
        <w:rPr>
          <w:rFonts w:hint="eastAsia" w:ascii="CESI宋体-GB2312" w:hAnsi="CESI宋体-GB2312" w:eastAsia="CESI宋体-GB2312" w:cs="CESI宋体-GB2312"/>
          <w:b/>
          <w:bCs/>
          <w:color w:val="auto"/>
          <w:sz w:val="21"/>
          <w:szCs w:val="21"/>
          <w:highlight w:val="none"/>
        </w:rPr>
        <w:t>服务要求</w:t>
      </w:r>
    </w:p>
    <w:p>
      <w:pPr>
        <w:spacing w:line="360" w:lineRule="auto"/>
        <w:ind w:firstLine="420" w:firstLineChars="200"/>
        <w:rPr>
          <w:rFonts w:hint="eastAsia" w:ascii="CESI宋体-GB2312" w:hAnsi="CESI宋体-GB2312" w:eastAsia="CESI宋体-GB2312" w:cs="CESI宋体-GB2312"/>
          <w:color w:val="auto"/>
          <w:sz w:val="21"/>
          <w:szCs w:val="21"/>
          <w:highlight w:val="none"/>
          <w:lang w:val="en-US" w:eastAsia="zh-CN"/>
        </w:rPr>
      </w:pPr>
      <w:r>
        <w:rPr>
          <w:rFonts w:hint="eastAsia" w:ascii="CESI宋体-GB2312" w:hAnsi="CESI宋体-GB2312" w:eastAsia="CESI宋体-GB2312" w:cs="CESI宋体-GB2312"/>
          <w:color w:val="auto"/>
          <w:sz w:val="21"/>
          <w:szCs w:val="21"/>
          <w:highlight w:val="none"/>
        </w:rPr>
        <w:t>根据招标方要求，提前配备</w:t>
      </w:r>
      <w:r>
        <w:rPr>
          <w:rFonts w:hint="eastAsia" w:ascii="CESI宋体-GB2312" w:hAnsi="CESI宋体-GB2312" w:eastAsia="CESI宋体-GB2312" w:cs="CESI宋体-GB2312"/>
          <w:color w:val="auto"/>
          <w:sz w:val="21"/>
          <w:szCs w:val="21"/>
          <w:highlight w:val="none"/>
          <w:lang w:val="en-US" w:eastAsia="zh-CN"/>
        </w:rPr>
        <w:t>摄像机、终端主机、</w:t>
      </w:r>
      <w:r>
        <w:rPr>
          <w:rFonts w:hint="eastAsia" w:ascii="CESI宋体-GB2312" w:hAnsi="CESI宋体-GB2312" w:eastAsia="CESI宋体-GB2312" w:cs="CESI宋体-GB2312"/>
          <w:color w:val="auto"/>
          <w:sz w:val="21"/>
          <w:szCs w:val="21"/>
          <w:highlight w:val="none"/>
        </w:rPr>
        <w:t>硬盘等易损的备品备件在</w:t>
      </w:r>
      <w:r>
        <w:rPr>
          <w:rFonts w:hint="eastAsia" w:ascii="CESI宋体-GB2312" w:hAnsi="CESI宋体-GB2312" w:eastAsia="CESI宋体-GB2312" w:cs="CESI宋体-GB2312"/>
          <w:color w:val="auto"/>
          <w:sz w:val="21"/>
          <w:szCs w:val="21"/>
          <w:highlight w:val="none"/>
          <w:lang w:val="en-US" w:eastAsia="zh-CN"/>
        </w:rPr>
        <w:t>本地</w:t>
      </w:r>
      <w:r>
        <w:rPr>
          <w:rFonts w:hint="eastAsia" w:ascii="CESI宋体-GB2312" w:hAnsi="CESI宋体-GB2312" w:eastAsia="CESI宋体-GB2312" w:cs="CESI宋体-GB2312"/>
          <w:color w:val="auto"/>
          <w:sz w:val="21"/>
          <w:szCs w:val="21"/>
          <w:highlight w:val="none"/>
        </w:rPr>
        <w:t>仓库内，用于故障发生时的紧急更换。备品备件规格质量与原有设备一致，硬盘存储介质损坏做内部报废处理不予返厂。备品备件内容应包含但不限于招标方提供的备品备件清单中的类目（详见附件</w:t>
      </w:r>
      <w:r>
        <w:rPr>
          <w:rFonts w:hint="eastAsia" w:ascii="CESI宋体-GB2312" w:hAnsi="CESI宋体-GB2312" w:eastAsia="CESI宋体-GB2312" w:cs="CESI宋体-GB2312"/>
          <w:color w:val="auto"/>
          <w:sz w:val="21"/>
          <w:szCs w:val="21"/>
          <w:highlight w:val="none"/>
          <w:lang w:val="en-US" w:eastAsia="zh-CN"/>
        </w:rPr>
        <w:t>1</w:t>
      </w:r>
      <w:r>
        <w:rPr>
          <w:rFonts w:hint="eastAsia" w:ascii="CESI宋体-GB2312" w:hAnsi="CESI宋体-GB2312" w:eastAsia="CESI宋体-GB2312" w:cs="CESI宋体-GB2312"/>
          <w:color w:val="auto"/>
          <w:sz w:val="21"/>
          <w:szCs w:val="21"/>
          <w:highlight w:val="none"/>
        </w:rPr>
        <w:t>）</w:t>
      </w:r>
      <w:r>
        <w:rPr>
          <w:rFonts w:hint="eastAsia" w:ascii="CESI宋体-GB2312" w:hAnsi="CESI宋体-GB2312" w:eastAsia="CESI宋体-GB2312" w:cs="CESI宋体-GB2312"/>
          <w:color w:val="auto"/>
          <w:sz w:val="21"/>
          <w:szCs w:val="21"/>
          <w:highlight w:val="none"/>
          <w:lang w:eastAsia="zh-CN"/>
        </w:rPr>
        <w:t>。</w:t>
      </w:r>
    </w:p>
    <w:p>
      <w:pPr>
        <w:spacing w:line="360" w:lineRule="auto"/>
        <w:ind w:firstLine="420" w:firstLineChars="200"/>
        <w:rPr>
          <w:rFonts w:hint="eastAsia" w:ascii="CESI宋体-GB2312" w:hAnsi="CESI宋体-GB2312" w:eastAsia="CESI宋体-GB2312" w:cs="CESI宋体-GB2312"/>
          <w:strike/>
          <w:color w:val="auto"/>
          <w:kern w:val="0"/>
          <w:sz w:val="21"/>
          <w:szCs w:val="21"/>
          <w:highlight w:val="none"/>
          <w:lang w:val="en-US" w:eastAsia="zh-CN"/>
        </w:rPr>
      </w:pPr>
      <w:r>
        <w:rPr>
          <w:rFonts w:hint="eastAsia" w:ascii="CESI宋体-GB2312" w:hAnsi="CESI宋体-GB2312" w:eastAsia="CESI宋体-GB2312" w:cs="CESI宋体-GB2312"/>
          <w:color w:val="auto"/>
          <w:kern w:val="0"/>
          <w:sz w:val="21"/>
          <w:szCs w:val="21"/>
          <w:highlight w:val="none"/>
        </w:rPr>
        <w:t>投标方</w:t>
      </w:r>
      <w:r>
        <w:rPr>
          <w:rFonts w:hint="eastAsia" w:ascii="CESI宋体-GB2312" w:hAnsi="CESI宋体-GB2312" w:eastAsia="CESI宋体-GB2312" w:cs="CESI宋体-GB2312"/>
          <w:strike w:val="0"/>
          <w:dstrike w:val="0"/>
          <w:color w:val="auto"/>
          <w:kern w:val="0"/>
          <w:sz w:val="21"/>
          <w:szCs w:val="21"/>
          <w:highlight w:val="none"/>
          <w:lang w:val="en-US" w:eastAsia="zh-CN"/>
        </w:rPr>
        <w:t>有</w:t>
      </w:r>
      <w:r>
        <w:rPr>
          <w:rFonts w:hint="eastAsia" w:ascii="CESI宋体-GB2312" w:hAnsi="CESI宋体-GB2312" w:eastAsia="CESI宋体-GB2312" w:cs="CESI宋体-GB2312"/>
          <w:color w:val="auto"/>
          <w:kern w:val="0"/>
          <w:sz w:val="21"/>
          <w:szCs w:val="21"/>
          <w:highlight w:val="none"/>
        </w:rPr>
        <w:t>备件库。需具有能够覆盖本次所有维保设备的备件保障能力；对于维保涉及</w:t>
      </w:r>
      <w:r>
        <w:rPr>
          <w:rFonts w:hint="eastAsia" w:ascii="CESI宋体-GB2312" w:hAnsi="CESI宋体-GB2312" w:eastAsia="CESI宋体-GB2312" w:cs="CESI宋体-GB2312"/>
          <w:color w:val="auto"/>
          <w:kern w:val="0"/>
          <w:sz w:val="21"/>
          <w:szCs w:val="21"/>
          <w:highlight w:val="none"/>
          <w:lang w:val="en-US" w:eastAsia="zh-CN"/>
        </w:rPr>
        <w:t>高位视频点位</w:t>
      </w:r>
      <w:r>
        <w:rPr>
          <w:rFonts w:hint="eastAsia" w:ascii="CESI宋体-GB2312" w:hAnsi="CESI宋体-GB2312" w:eastAsia="CESI宋体-GB2312" w:cs="CESI宋体-GB2312"/>
          <w:color w:val="auto"/>
          <w:kern w:val="0"/>
          <w:sz w:val="21"/>
          <w:szCs w:val="21"/>
          <w:highlight w:val="none"/>
        </w:rPr>
        <w:t>，投标方需</w:t>
      </w:r>
      <w:r>
        <w:rPr>
          <w:rFonts w:hint="eastAsia" w:ascii="CESI宋体-GB2312" w:hAnsi="CESI宋体-GB2312" w:eastAsia="CESI宋体-GB2312" w:cs="CESI宋体-GB2312"/>
          <w:strike/>
          <w:dstrike w:val="0"/>
          <w:color w:val="auto"/>
          <w:kern w:val="0"/>
          <w:sz w:val="21"/>
          <w:szCs w:val="21"/>
          <w:highlight w:val="none"/>
        </w:rPr>
        <w:t>在</w:t>
      </w:r>
      <w:r>
        <w:rPr>
          <w:rFonts w:hint="eastAsia" w:ascii="CESI宋体-GB2312" w:hAnsi="CESI宋体-GB2312" w:eastAsia="CESI宋体-GB2312" w:cs="CESI宋体-GB2312"/>
          <w:color w:val="auto"/>
          <w:kern w:val="0"/>
          <w:sz w:val="21"/>
          <w:szCs w:val="21"/>
          <w:highlight w:val="none"/>
        </w:rPr>
        <w:t>备件库放置充足备件</w:t>
      </w:r>
      <w:r>
        <w:rPr>
          <w:rFonts w:hint="eastAsia" w:ascii="CESI宋体-GB2312" w:hAnsi="CESI宋体-GB2312" w:eastAsia="CESI宋体-GB2312" w:cs="CESI宋体-GB2312"/>
          <w:color w:val="auto"/>
          <w:kern w:val="0"/>
          <w:sz w:val="21"/>
          <w:szCs w:val="21"/>
          <w:highlight w:val="none"/>
          <w:lang w:eastAsia="zh-CN"/>
        </w:rPr>
        <w:t>，</w:t>
      </w:r>
      <w:r>
        <w:rPr>
          <w:rFonts w:hint="eastAsia" w:ascii="CESI宋体-GB2312" w:hAnsi="CESI宋体-GB2312" w:eastAsia="CESI宋体-GB2312" w:cs="CESI宋体-GB2312"/>
          <w:color w:val="auto"/>
          <w:kern w:val="0"/>
          <w:sz w:val="21"/>
          <w:szCs w:val="21"/>
          <w:highlight w:val="none"/>
          <w:lang w:val="en-US" w:eastAsia="zh-CN"/>
        </w:rPr>
        <w:t>备件数量要求占比10%及以上</w:t>
      </w:r>
      <w:r>
        <w:rPr>
          <w:rFonts w:hint="eastAsia" w:ascii="CESI宋体-GB2312" w:hAnsi="CESI宋体-GB2312" w:eastAsia="CESI宋体-GB2312" w:cs="CESI宋体-GB2312"/>
          <w:color w:val="auto"/>
          <w:kern w:val="0"/>
          <w:sz w:val="21"/>
          <w:szCs w:val="21"/>
          <w:highlight w:val="none"/>
        </w:rPr>
        <w:t>，招标方将到现场对备品备件情况进行勘验。更换故障备件后，需保证原有设备系统软件功能特性可用。投标方要具有完善的备件管理流程及制度。</w:t>
      </w:r>
    </w:p>
    <w:p>
      <w:pPr>
        <w:tabs>
          <w:tab w:val="left" w:pos="425"/>
          <w:tab w:val="left" w:pos="992"/>
        </w:tabs>
        <w:spacing w:line="360" w:lineRule="auto"/>
        <w:ind w:firstLine="420" w:firstLineChars="200"/>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在设备出现故障且故障配件在备品备件库内的情况下，经过招标方负责人允许，对设备相关故障配件使用备品备件进行及时更换。要求及时做好相关配件的使用台账，更换下的故障配件由招标方自行报废处理。</w:t>
      </w:r>
    </w:p>
    <w:bookmarkEnd w:id="2"/>
    <w:p>
      <w:pPr>
        <w:spacing w:line="360" w:lineRule="auto"/>
        <w:ind w:left="420"/>
        <w:outlineLvl w:val="2"/>
        <w:rPr>
          <w:rFonts w:hint="eastAsia" w:ascii="CESI宋体-GB2312" w:hAnsi="CESI宋体-GB2312" w:eastAsia="CESI宋体-GB2312" w:cs="CESI宋体-GB2312"/>
          <w:b/>
          <w:bCs/>
          <w:color w:val="auto"/>
          <w:sz w:val="21"/>
          <w:szCs w:val="21"/>
          <w:highlight w:val="none"/>
        </w:rPr>
      </w:pP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3.4 施工及保障</w:t>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3.4.1 安装和调试</w:t>
      </w:r>
    </w:p>
    <w:p>
      <w:pPr>
        <w:spacing w:line="360" w:lineRule="auto"/>
        <w:ind w:firstLine="420" w:firstLineChars="20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投标人所提供的设备及其内部连线及施工服务等全部由投标人负责。投标人负责投标设备之间线缆的布放以及投标设备与招标人或现场环境已有相关设备之间的线缆布放。投标人负责对施工地点进行现场勘察，保证施工进行。安装调测时使用的工具、设备由投标人提供。</w:t>
      </w:r>
    </w:p>
    <w:p>
      <w:pPr>
        <w:spacing w:line="360" w:lineRule="auto"/>
        <w:ind w:firstLine="420" w:firstLineChars="20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双方应协商制定工程进度表, 投标人负责按工程进度表进行施工。设备调试由投标人负责, 并提出设备调试的内容、项目、指标和方法，并提供相应的仪器和工具，投标人有责任对招标人的技术人员提出的问题作出解答。调试应进行详细记录,调试结束后, 由投标人技术人员签字后交给招标人验收。基于以上要求，投标人应提供测试条件、方法和过程的草案，招标以后，最终测试文件由双方共同拟定。</w:t>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3.4.2 验收</w:t>
      </w:r>
    </w:p>
    <w:p>
      <w:pPr>
        <w:widowControl/>
        <w:spacing w:line="360" w:lineRule="auto"/>
        <w:ind w:firstLine="42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设备运抵安装现场后，需共同开箱验收。验收时发现短缺、破损, 招标人有权要求中标人立即补发和负责更换。同时中标人应提供必备的技术资料：</w:t>
      </w:r>
    </w:p>
    <w:p>
      <w:pPr>
        <w:widowControl/>
        <w:spacing w:line="360" w:lineRule="auto"/>
        <w:ind w:firstLine="31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（1）相关的技术资料（测试报告、产品合格证书、保修卡等）；</w:t>
      </w:r>
    </w:p>
    <w:p>
      <w:pPr>
        <w:widowControl/>
        <w:spacing w:line="360" w:lineRule="auto"/>
        <w:ind w:firstLine="31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（2）提供设备保养、维修操作规程；</w:t>
      </w:r>
    </w:p>
    <w:p>
      <w:pPr>
        <w:widowControl/>
        <w:spacing w:line="360" w:lineRule="auto"/>
        <w:ind w:firstLine="31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（3）设备安装、调试达到规范的指标并正常运行5个工作日后，进行验收测试。验收规范(包括项目、指标、方式等)应由中标人提交给招标人。招标人可根据合同及技术规范书进行修改和补充, 经双方确认后形成验收文件作为验收依据。验收测试合格后, 双方签署验收协议。</w:t>
      </w:r>
    </w:p>
    <w:p>
      <w:pPr>
        <w:widowControl/>
        <w:spacing w:line="360" w:lineRule="auto"/>
        <w:ind w:firstLine="315"/>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（4）验收条件及标准：</w:t>
      </w:r>
    </w:p>
    <w:p>
      <w:pPr>
        <w:pStyle w:val="74"/>
        <w:widowControl/>
        <w:numPr>
          <w:ilvl w:val="0"/>
          <w:numId w:val="14"/>
        </w:numPr>
        <w:spacing w:line="360" w:lineRule="auto"/>
        <w:ind w:firstLineChars="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项目建设内容（可分路段分批确认</w:t>
      </w:r>
      <w:r>
        <w:rPr>
          <w:rFonts w:hint="eastAsia" w:ascii="CESI宋体-GB2312" w:hAnsi="CESI宋体-GB2312" w:eastAsia="CESI宋体-GB2312" w:cs="CESI宋体-GB2312"/>
          <w:color w:val="auto"/>
          <w:sz w:val="21"/>
          <w:szCs w:val="21"/>
          <w:highlight w:val="none"/>
          <w:lang w:val="en-US" w:eastAsia="zh-CN"/>
        </w:rPr>
        <w:t>完工</w:t>
      </w:r>
      <w:r>
        <w:rPr>
          <w:rFonts w:hint="eastAsia" w:ascii="CESI宋体-GB2312" w:hAnsi="CESI宋体-GB2312" w:eastAsia="CESI宋体-GB2312" w:cs="CESI宋体-GB2312"/>
          <w:color w:val="auto"/>
          <w:sz w:val="21"/>
          <w:szCs w:val="21"/>
          <w:highlight w:val="none"/>
        </w:rPr>
        <w:t>），建成部分能满足运行的需要；</w:t>
      </w:r>
    </w:p>
    <w:p>
      <w:pPr>
        <w:pStyle w:val="74"/>
        <w:widowControl/>
        <w:numPr>
          <w:ilvl w:val="0"/>
          <w:numId w:val="14"/>
        </w:numPr>
        <w:spacing w:line="360" w:lineRule="auto"/>
        <w:ind w:firstLineChars="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项目文件资料齐全，并符合相关规定。</w:t>
      </w:r>
    </w:p>
    <w:p>
      <w:pPr>
        <w:pStyle w:val="74"/>
        <w:widowControl/>
        <w:numPr>
          <w:ilvl w:val="0"/>
          <w:numId w:val="14"/>
        </w:numPr>
        <w:spacing w:line="360" w:lineRule="auto"/>
        <w:ind w:firstLineChars="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投标人应提交规范、全套、完整的验收文档，包括但不限于需求分析报告、详细设计说明书、使用手册、系统测试报告，技术手册、配置、管理及维护等资料，以及所有与用户、设备等相关联的说明、表格等资料文档。</w:t>
      </w:r>
    </w:p>
    <w:p>
      <w:pPr>
        <w:pStyle w:val="74"/>
        <w:widowControl/>
        <w:numPr>
          <w:ilvl w:val="0"/>
          <w:numId w:val="14"/>
        </w:numPr>
        <w:spacing w:line="360" w:lineRule="auto"/>
        <w:ind w:firstLineChars="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lang w:val="en-US" w:eastAsia="zh-CN"/>
        </w:rPr>
        <w:t>所有建设点位通过</w:t>
      </w:r>
      <w:r>
        <w:rPr>
          <w:rFonts w:hint="eastAsia" w:ascii="CESI宋体-GB2312" w:hAnsi="CESI宋体-GB2312" w:eastAsia="CESI宋体-GB2312" w:cs="CESI宋体-GB2312"/>
          <w:color w:val="auto"/>
          <w:kern w:val="0"/>
          <w:sz w:val="21"/>
          <w:szCs w:val="21"/>
          <w:highlight w:val="none"/>
          <w:lang w:bidi="ar"/>
        </w:rPr>
        <w:t>上海市公共停车信息平台</w:t>
      </w:r>
      <w:r>
        <w:rPr>
          <w:rFonts w:hint="eastAsia" w:ascii="CESI宋体-GB2312" w:hAnsi="CESI宋体-GB2312" w:eastAsia="CESI宋体-GB2312" w:cs="CESI宋体-GB2312"/>
          <w:color w:val="auto"/>
          <w:sz w:val="21"/>
          <w:szCs w:val="21"/>
          <w:highlight w:val="none"/>
          <w:lang w:val="en-US" w:eastAsia="zh-CN"/>
        </w:rPr>
        <w:t>上线检测要求</w:t>
      </w:r>
      <w:r>
        <w:rPr>
          <w:rFonts w:hint="eastAsia" w:ascii="CESI宋体-GB2312" w:hAnsi="CESI宋体-GB2312" w:eastAsia="CESI宋体-GB2312" w:cs="CESI宋体-GB2312"/>
          <w:color w:val="auto"/>
          <w:sz w:val="21"/>
          <w:szCs w:val="21"/>
          <w:highlight w:val="none"/>
        </w:rPr>
        <w:t>（可分路段分批</w:t>
      </w:r>
      <w:r>
        <w:rPr>
          <w:rFonts w:hint="eastAsia" w:ascii="CESI宋体-GB2312" w:hAnsi="CESI宋体-GB2312" w:eastAsia="CESI宋体-GB2312" w:cs="CESI宋体-GB2312"/>
          <w:color w:val="auto"/>
          <w:sz w:val="21"/>
          <w:szCs w:val="21"/>
          <w:highlight w:val="none"/>
          <w:lang w:val="en-US" w:eastAsia="zh-CN"/>
        </w:rPr>
        <w:t>验收</w:t>
      </w:r>
      <w:r>
        <w:rPr>
          <w:rFonts w:hint="eastAsia" w:ascii="CESI宋体-GB2312" w:hAnsi="CESI宋体-GB2312" w:eastAsia="CESI宋体-GB2312" w:cs="CESI宋体-GB2312"/>
          <w:color w:val="auto"/>
          <w:sz w:val="21"/>
          <w:szCs w:val="21"/>
          <w:highlight w:val="none"/>
        </w:rPr>
        <w:t>）</w:t>
      </w:r>
      <w:r>
        <w:rPr>
          <w:rFonts w:hint="eastAsia" w:ascii="CESI宋体-GB2312" w:hAnsi="CESI宋体-GB2312" w:eastAsia="CESI宋体-GB2312" w:cs="CESI宋体-GB2312"/>
          <w:color w:val="auto"/>
          <w:sz w:val="21"/>
          <w:szCs w:val="21"/>
          <w:highlight w:val="none"/>
          <w:lang w:val="en-US" w:eastAsia="zh-CN"/>
        </w:rPr>
        <w:t>。</w:t>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3.4.3 硬件质量保障要求</w:t>
      </w:r>
    </w:p>
    <w:p>
      <w:pPr>
        <w:widowControl/>
        <w:spacing w:line="360" w:lineRule="auto"/>
        <w:ind w:firstLine="42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完成高位视频静态交通管理系统运维保障力度，确保系统总体设备稳定运行时间高于99.5％。</w:t>
      </w:r>
    </w:p>
    <w:p>
      <w:pPr>
        <w:pStyle w:val="74"/>
        <w:widowControl/>
        <w:numPr>
          <w:ilvl w:val="0"/>
          <w:numId w:val="15"/>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含质保期内维护（包括各型摄像机、录像机及其它在用附属设备），在保修期内非人为损坏，投标方须负责修理或更换；</w:t>
      </w:r>
    </w:p>
    <w:p>
      <w:pPr>
        <w:pStyle w:val="74"/>
        <w:widowControl/>
        <w:numPr>
          <w:ilvl w:val="0"/>
          <w:numId w:val="15"/>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设备损坏等情况进行更换的高清摄像机等设备应具备本采购文件的技术规范要求；</w:t>
      </w:r>
    </w:p>
    <w:p>
      <w:pPr>
        <w:pStyle w:val="74"/>
        <w:widowControl/>
        <w:numPr>
          <w:ilvl w:val="0"/>
          <w:numId w:val="15"/>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设专人定期巡检现场高位视频设备；</w:t>
      </w:r>
    </w:p>
    <w:p>
      <w:pPr>
        <w:pStyle w:val="74"/>
        <w:widowControl/>
        <w:numPr>
          <w:ilvl w:val="0"/>
          <w:numId w:val="15"/>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每月一次完成硬件巡检；包括现场摄像机、业务管理终端设备、机柜开关、风扇、网络设备等硬件运行情况；</w:t>
      </w:r>
    </w:p>
    <w:p>
      <w:pPr>
        <w:pStyle w:val="74"/>
        <w:widowControl/>
        <w:numPr>
          <w:ilvl w:val="0"/>
          <w:numId w:val="15"/>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高位视频设备出现离线，除不可抗力导致的断电断网外，应在4小时内恢复正常在线，出现摄像机、录像机等主要设备损坏，必须更换设备，应在2日内完成更换；</w:t>
      </w:r>
    </w:p>
    <w:p>
      <w:pPr>
        <w:pStyle w:val="74"/>
        <w:widowControl/>
        <w:numPr>
          <w:ilvl w:val="0"/>
          <w:numId w:val="15"/>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出现树枝遮挡摄像机的情况，应及时通知招标方，并由后者协调绿化部门部门，并派专人去现场指导修剪</w:t>
      </w:r>
      <w:r>
        <w:rPr>
          <w:rFonts w:hint="eastAsia" w:ascii="CESI宋体-GB2312" w:hAnsi="CESI宋体-GB2312" w:eastAsia="CESI宋体-GB2312" w:cs="CESI宋体-GB2312"/>
          <w:color w:val="auto"/>
          <w:kern w:val="0"/>
          <w:sz w:val="21"/>
          <w:szCs w:val="21"/>
          <w:highlight w:val="none"/>
          <w:lang w:eastAsia="zh-CN" w:bidi="ar"/>
        </w:rPr>
        <w:t>，</w:t>
      </w:r>
      <w:r>
        <w:rPr>
          <w:rFonts w:hint="eastAsia" w:ascii="CESI宋体-GB2312" w:hAnsi="CESI宋体-GB2312" w:eastAsia="CESI宋体-GB2312" w:cs="CESI宋体-GB2312"/>
          <w:color w:val="auto"/>
          <w:kern w:val="0"/>
          <w:sz w:val="21"/>
          <w:szCs w:val="21"/>
          <w:highlight w:val="none"/>
          <w:lang w:val="en-US" w:eastAsia="zh-CN" w:bidi="ar"/>
        </w:rPr>
        <w:t>投标方配合实施</w:t>
      </w:r>
      <w:r>
        <w:rPr>
          <w:rFonts w:hint="eastAsia" w:ascii="CESI宋体-GB2312" w:hAnsi="CESI宋体-GB2312" w:eastAsia="CESI宋体-GB2312" w:cs="CESI宋体-GB2312"/>
          <w:color w:val="auto"/>
          <w:kern w:val="0"/>
          <w:sz w:val="21"/>
          <w:szCs w:val="21"/>
          <w:highlight w:val="none"/>
          <w:lang w:bidi="ar"/>
        </w:rPr>
        <w:t>；</w:t>
      </w:r>
    </w:p>
    <w:p>
      <w:pPr>
        <w:pStyle w:val="74"/>
        <w:widowControl/>
        <w:numPr>
          <w:ilvl w:val="0"/>
          <w:numId w:val="15"/>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遇泊位调整，投标方</w:t>
      </w:r>
      <w:r>
        <w:rPr>
          <w:rFonts w:hint="eastAsia" w:ascii="CESI宋体-GB2312" w:hAnsi="CESI宋体-GB2312" w:eastAsia="CESI宋体-GB2312" w:cs="CESI宋体-GB2312"/>
          <w:color w:val="auto"/>
          <w:kern w:val="0"/>
          <w:sz w:val="21"/>
          <w:szCs w:val="21"/>
          <w:highlight w:val="none"/>
          <w:lang w:val="en-US" w:eastAsia="zh-CN" w:bidi="ar"/>
        </w:rPr>
        <w:t>配合</w:t>
      </w:r>
      <w:r>
        <w:rPr>
          <w:rFonts w:hint="eastAsia" w:ascii="CESI宋体-GB2312" w:hAnsi="CESI宋体-GB2312" w:eastAsia="CESI宋体-GB2312" w:cs="CESI宋体-GB2312"/>
          <w:color w:val="auto"/>
          <w:kern w:val="0"/>
          <w:sz w:val="21"/>
          <w:szCs w:val="21"/>
          <w:highlight w:val="none"/>
          <w:lang w:bidi="ar"/>
        </w:rPr>
        <w:t>对前端摄像机进行角度调整或者安装位置迁移，或者添设前端设备，满足停车业务数据采集相关要求；</w:t>
      </w:r>
    </w:p>
    <w:p>
      <w:pPr>
        <w:pStyle w:val="74"/>
        <w:widowControl/>
        <w:numPr>
          <w:ilvl w:val="0"/>
          <w:numId w:val="15"/>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遇供电线路调整，投标方应配合电力、管线等有关部门对前端设备设施及线路等进行配合调整，最大限度减少调整期间对数据采集的影响；</w:t>
      </w:r>
    </w:p>
    <w:p>
      <w:pPr>
        <w:pStyle w:val="74"/>
        <w:widowControl/>
        <w:numPr>
          <w:ilvl w:val="0"/>
          <w:numId w:val="15"/>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高位视频采集系统要求兼容巡检设备，在现场巡检收费的情况下，高位视频采集系统可以兼容运转，不受影响；在路段无人值守时段或停车低谷时段通过高位视频采集系统自动生成订单，相关订单通过上海市公共停车平台进行数据存储和共享，可对其进行欠费追缴，实现7X24小时收费；</w:t>
      </w:r>
    </w:p>
    <w:p>
      <w:pPr>
        <w:pStyle w:val="74"/>
        <w:widowControl/>
        <w:numPr>
          <w:ilvl w:val="0"/>
          <w:numId w:val="15"/>
        </w:numPr>
        <w:spacing w:line="360" w:lineRule="auto"/>
        <w:ind w:firstLineChars="0"/>
        <w:jc w:val="left"/>
        <w:rPr>
          <w:rFonts w:hint="eastAsia" w:ascii="CESI宋体-GB2312" w:hAnsi="CESI宋体-GB2312" w:eastAsia="CESI宋体-GB2312" w:cs="CESI宋体-GB2312"/>
          <w:color w:val="auto"/>
          <w:kern w:val="0"/>
          <w:sz w:val="21"/>
          <w:szCs w:val="21"/>
          <w:highlight w:val="none"/>
        </w:rPr>
      </w:pPr>
      <w:r>
        <w:rPr>
          <w:rFonts w:hint="eastAsia" w:ascii="CESI宋体-GB2312" w:hAnsi="CESI宋体-GB2312" w:eastAsia="CESI宋体-GB2312" w:cs="CESI宋体-GB2312"/>
          <w:color w:val="auto"/>
          <w:kern w:val="0"/>
          <w:sz w:val="21"/>
          <w:szCs w:val="21"/>
          <w:highlight w:val="none"/>
          <w:lang w:bidi="ar"/>
        </w:rPr>
        <w:t>项目实施和质保期间，投标方应保证积极配合市级主管部门布置的试点任务。</w:t>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3.4.4 配套质量保障要求</w:t>
      </w:r>
    </w:p>
    <w:p>
      <w:pPr>
        <w:pStyle w:val="74"/>
        <w:widowControl/>
        <w:numPr>
          <w:ilvl w:val="0"/>
          <w:numId w:val="16"/>
        </w:numPr>
        <w:spacing w:line="360" w:lineRule="auto"/>
        <w:ind w:firstLineChars="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对产品的运行环境进行监控，配置足够的运行资源和算力等，保障产品的功能稳定，不得出现严重业务中断；</w:t>
      </w:r>
    </w:p>
    <w:p>
      <w:pPr>
        <w:pStyle w:val="74"/>
        <w:widowControl/>
        <w:numPr>
          <w:ilvl w:val="0"/>
          <w:numId w:val="16"/>
        </w:numPr>
        <w:spacing w:line="360" w:lineRule="auto"/>
        <w:ind w:firstLineChars="0"/>
        <w:jc w:val="left"/>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定期巡检后台服务器磁盘空间、CPU和内存使用情况、后台服务并定期维护，每季度提供维护报告；</w:t>
      </w:r>
    </w:p>
    <w:p>
      <w:pPr>
        <w:widowControl/>
        <w:numPr>
          <w:ilvl w:val="0"/>
          <w:numId w:val="16"/>
        </w:numPr>
        <w:spacing w:line="360" w:lineRule="auto"/>
        <w:ind w:left="839"/>
        <w:jc w:val="left"/>
        <w:textAlignment w:val="center"/>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故障修复；包括电话支持、远程技术支持及现场支持。</w:t>
      </w:r>
    </w:p>
    <w:p>
      <w:pPr>
        <w:pStyle w:val="74"/>
        <w:widowControl/>
        <w:numPr>
          <w:ilvl w:val="0"/>
          <w:numId w:val="13"/>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电话支持：提供专业热线坐席，由运维工程师进行电话支持。</w:t>
      </w:r>
    </w:p>
    <w:p>
      <w:pPr>
        <w:pStyle w:val="74"/>
        <w:widowControl/>
        <w:numPr>
          <w:ilvl w:val="0"/>
          <w:numId w:val="13"/>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远程技术支持：通过远程诊断、远程管理、远程部署等方式进行技术支持。</w:t>
      </w:r>
    </w:p>
    <w:p>
      <w:pPr>
        <w:pStyle w:val="74"/>
        <w:widowControl/>
        <w:numPr>
          <w:ilvl w:val="0"/>
          <w:numId w:val="13"/>
        </w:numPr>
        <w:spacing w:line="360" w:lineRule="auto"/>
        <w:ind w:firstLineChars="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现场支持：如果不能通过远程技术支持方式解决，在提出现场支持要求后的24小时内，将派遣工程师赶赴现场分析故障原因，制定故障排除方案，提供故障排除服务；</w:t>
      </w:r>
    </w:p>
    <w:p>
      <w:pPr>
        <w:widowControl/>
        <w:numPr>
          <w:ilvl w:val="0"/>
          <w:numId w:val="16"/>
        </w:numPr>
        <w:spacing w:line="360" w:lineRule="auto"/>
        <w:ind w:left="839"/>
        <w:jc w:val="left"/>
        <w:textAlignment w:val="center"/>
        <w:rPr>
          <w:rFonts w:hint="eastAsia" w:ascii="CESI宋体-GB2312" w:hAnsi="CESI宋体-GB2312" w:eastAsia="CESI宋体-GB2312" w:cs="CESI宋体-GB2312"/>
          <w:color w:val="auto"/>
          <w:sz w:val="21"/>
          <w:szCs w:val="21"/>
          <w:highlight w:val="none"/>
        </w:rPr>
      </w:pPr>
      <w:r>
        <w:rPr>
          <w:rFonts w:hint="eastAsia" w:ascii="CESI宋体-GB2312" w:hAnsi="CESI宋体-GB2312" w:eastAsia="CESI宋体-GB2312" w:cs="CESI宋体-GB2312"/>
          <w:color w:val="auto"/>
          <w:sz w:val="21"/>
          <w:szCs w:val="21"/>
          <w:highlight w:val="none"/>
        </w:rPr>
        <w:t>系统对接</w:t>
      </w:r>
    </w:p>
    <w:p>
      <w:pPr>
        <w:spacing w:line="360" w:lineRule="auto"/>
        <w:ind w:firstLine="420" w:firstLineChars="20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sz w:val="21"/>
          <w:szCs w:val="21"/>
          <w:highlight w:val="none"/>
        </w:rPr>
        <w:t>系统应根据相关市、区主管部门要求进行升级维护，与上海市公共停车服务平台等完成对接。</w:t>
      </w:r>
    </w:p>
    <w:p>
      <w:pPr>
        <w:spacing w:line="360" w:lineRule="auto"/>
        <w:ind w:left="420"/>
        <w:outlineLvl w:val="2"/>
        <w:rPr>
          <w:rFonts w:hint="eastAsia" w:ascii="CESI宋体-GB2312" w:hAnsi="CESI宋体-GB2312" w:eastAsia="CESI宋体-GB2312" w:cs="CESI宋体-GB2312"/>
          <w:b/>
          <w:bCs/>
          <w:color w:val="auto"/>
          <w:sz w:val="21"/>
          <w:szCs w:val="21"/>
          <w:highlight w:val="none"/>
        </w:rPr>
      </w:pPr>
      <w:r>
        <w:rPr>
          <w:rFonts w:hint="eastAsia" w:ascii="CESI宋体-GB2312" w:hAnsi="CESI宋体-GB2312" w:eastAsia="CESI宋体-GB2312" w:cs="CESI宋体-GB2312"/>
          <w:b/>
          <w:bCs/>
          <w:color w:val="auto"/>
          <w:sz w:val="21"/>
          <w:szCs w:val="21"/>
          <w:highlight w:val="none"/>
        </w:rPr>
        <w:t>3.4.5 保修期</w:t>
      </w:r>
    </w:p>
    <w:p>
      <w:pPr>
        <w:widowControl/>
        <w:spacing w:line="360" w:lineRule="auto"/>
        <w:ind w:firstLine="420"/>
        <w:jc w:val="left"/>
        <w:rPr>
          <w:rFonts w:hint="eastAsia" w:ascii="CESI宋体-GB2312" w:hAnsi="CESI宋体-GB2312" w:eastAsia="CESI宋体-GB2312" w:cs="CESI宋体-GB2312"/>
          <w:color w:val="auto"/>
          <w:kern w:val="0"/>
          <w:sz w:val="21"/>
          <w:szCs w:val="21"/>
          <w:highlight w:val="none"/>
          <w:lang w:bidi="ar"/>
        </w:rPr>
      </w:pPr>
      <w:r>
        <w:rPr>
          <w:rFonts w:hint="eastAsia" w:ascii="CESI宋体-GB2312" w:hAnsi="CESI宋体-GB2312" w:eastAsia="CESI宋体-GB2312" w:cs="CESI宋体-GB2312"/>
          <w:color w:val="auto"/>
          <w:kern w:val="0"/>
          <w:sz w:val="21"/>
          <w:szCs w:val="21"/>
          <w:highlight w:val="none"/>
          <w:lang w:bidi="ar"/>
        </w:rPr>
        <w:t>从验收完成之日开始计算，本项目硬件及系统集成保修期</w:t>
      </w:r>
      <w:r>
        <w:rPr>
          <w:rFonts w:hint="eastAsia" w:ascii="CESI宋体-GB2312" w:hAnsi="CESI宋体-GB2312" w:eastAsia="CESI宋体-GB2312" w:cs="CESI宋体-GB2312"/>
          <w:color w:val="auto"/>
          <w:kern w:val="0"/>
          <w:sz w:val="21"/>
          <w:szCs w:val="21"/>
          <w:highlight w:val="none"/>
          <w:lang w:val="en-US" w:eastAsia="zh-CN" w:bidi="ar"/>
        </w:rPr>
        <w:t>为</w:t>
      </w:r>
      <w:r>
        <w:rPr>
          <w:rFonts w:hint="eastAsia" w:ascii="CESI宋体-GB2312" w:hAnsi="CESI宋体-GB2312" w:eastAsia="CESI宋体-GB2312" w:cs="CESI宋体-GB2312"/>
          <w:color w:val="auto"/>
          <w:kern w:val="0"/>
          <w:sz w:val="21"/>
          <w:szCs w:val="21"/>
          <w:highlight w:val="none"/>
          <w:lang w:bidi="ar"/>
        </w:rPr>
        <w:t>1年。设备开通后，如发生软件升级及设备升级、扩展等有关情况，中标人应向招标方提供必要的技术资料，并免费提供软件升级。保修期后，中标人应对其提供的设备提供技术支持。</w:t>
      </w:r>
    </w:p>
    <w:p>
      <w:pPr>
        <w:pStyle w:val="179"/>
        <w:ind w:firstLine="0" w:firstLineChars="0"/>
        <w:outlineLvl w:val="0"/>
        <w:rPr>
          <w:rFonts w:hint="eastAsia" w:ascii="CESI宋体-GB2312" w:hAnsi="CESI宋体-GB2312" w:eastAsia="CESI宋体-GB2312" w:cs="CESI宋体-GB2312"/>
          <w:color w:val="auto"/>
          <w:sz w:val="21"/>
          <w:szCs w:val="21"/>
          <w:highlight w:val="none"/>
        </w:rPr>
      </w:pPr>
      <w:bookmarkStart w:id="3" w:name="_Toc7828"/>
      <w:r>
        <w:rPr>
          <w:rFonts w:hint="eastAsia" w:ascii="CESI宋体-GB2312" w:hAnsi="CESI宋体-GB2312" w:eastAsia="CESI宋体-GB2312" w:cs="CESI宋体-GB2312"/>
          <w:color w:val="auto"/>
          <w:sz w:val="21"/>
          <w:szCs w:val="21"/>
          <w:highlight w:val="none"/>
        </w:rPr>
        <w:t>附件</w:t>
      </w:r>
      <w:r>
        <w:rPr>
          <w:rFonts w:hint="eastAsia" w:ascii="CESI宋体-GB2312" w:hAnsi="CESI宋体-GB2312" w:eastAsia="CESI宋体-GB2312" w:cs="CESI宋体-GB2312"/>
          <w:color w:val="auto"/>
          <w:sz w:val="21"/>
          <w:szCs w:val="21"/>
          <w:highlight w:val="none"/>
          <w:lang w:val="en-US" w:eastAsia="zh-CN"/>
        </w:rPr>
        <w:t>1</w:t>
      </w:r>
      <w:r>
        <w:rPr>
          <w:rFonts w:hint="eastAsia" w:ascii="CESI宋体-GB2312" w:hAnsi="CESI宋体-GB2312" w:eastAsia="CESI宋体-GB2312" w:cs="CESI宋体-GB2312"/>
          <w:color w:val="auto"/>
          <w:sz w:val="21"/>
          <w:szCs w:val="21"/>
          <w:highlight w:val="none"/>
        </w:rPr>
        <w:t xml:space="preserve"> 备品备件清单：</w:t>
      </w:r>
      <w:bookmarkEnd w:id="3"/>
    </w:p>
    <w:tbl>
      <w:tblPr>
        <w:tblStyle w:val="38"/>
        <w:tblW w:w="81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3"/>
        <w:gridCol w:w="4822"/>
        <w:gridCol w:w="18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1533" w:type="dxa"/>
            <w:tcBorders>
              <w:top w:val="single" w:color="000000" w:sz="8" w:space="0"/>
              <w:left w:val="single" w:color="000000" w:sz="8" w:space="0"/>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b/>
                <w:bCs/>
                <w:i w:val="0"/>
                <w:iCs w:val="0"/>
                <w:color w:val="auto"/>
                <w:sz w:val="21"/>
                <w:szCs w:val="21"/>
                <w:highlight w:val="none"/>
                <w:u w:val="none"/>
              </w:rPr>
            </w:pPr>
            <w:r>
              <w:rPr>
                <w:rFonts w:hint="eastAsia" w:ascii="CESI宋体-GB2312" w:hAnsi="CESI宋体-GB2312" w:eastAsia="CESI宋体-GB2312" w:cs="CESI宋体-GB2312"/>
                <w:b/>
                <w:bCs/>
                <w:i w:val="0"/>
                <w:iCs w:val="0"/>
                <w:color w:val="auto"/>
                <w:kern w:val="0"/>
                <w:sz w:val="21"/>
                <w:szCs w:val="21"/>
                <w:highlight w:val="none"/>
                <w:u w:val="none"/>
                <w:lang w:val="en-US" w:eastAsia="zh-CN" w:bidi="ar"/>
              </w:rPr>
              <w:t>序号</w:t>
            </w:r>
          </w:p>
        </w:tc>
        <w:tc>
          <w:tcPr>
            <w:tcW w:w="4822" w:type="dxa"/>
            <w:tcBorders>
              <w:top w:val="single" w:color="000000" w:sz="8" w:space="0"/>
              <w:left w:val="nil"/>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b/>
                <w:bCs/>
                <w:i w:val="0"/>
                <w:iCs w:val="0"/>
                <w:color w:val="auto"/>
                <w:sz w:val="21"/>
                <w:szCs w:val="21"/>
                <w:highlight w:val="none"/>
                <w:u w:val="none"/>
              </w:rPr>
            </w:pPr>
            <w:r>
              <w:rPr>
                <w:rFonts w:hint="eastAsia" w:ascii="CESI宋体-GB2312" w:hAnsi="CESI宋体-GB2312" w:eastAsia="CESI宋体-GB2312" w:cs="CESI宋体-GB2312"/>
                <w:b/>
                <w:bCs/>
                <w:i w:val="0"/>
                <w:iCs w:val="0"/>
                <w:color w:val="auto"/>
                <w:kern w:val="0"/>
                <w:sz w:val="21"/>
                <w:szCs w:val="21"/>
                <w:highlight w:val="none"/>
                <w:u w:val="none"/>
                <w:lang w:val="en-US" w:eastAsia="zh-CN" w:bidi="ar"/>
              </w:rPr>
              <w:t>备件名称</w:t>
            </w:r>
          </w:p>
        </w:tc>
        <w:tc>
          <w:tcPr>
            <w:tcW w:w="1844" w:type="dxa"/>
            <w:tcBorders>
              <w:top w:val="single" w:color="000000" w:sz="8" w:space="0"/>
              <w:left w:val="nil"/>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b/>
                <w:bCs/>
                <w:i w:val="0"/>
                <w:iCs w:val="0"/>
                <w:color w:val="auto"/>
                <w:sz w:val="21"/>
                <w:szCs w:val="21"/>
                <w:highlight w:val="none"/>
                <w:u w:val="none"/>
              </w:rPr>
            </w:pPr>
            <w:r>
              <w:rPr>
                <w:rFonts w:hint="eastAsia" w:ascii="CESI宋体-GB2312" w:hAnsi="CESI宋体-GB2312" w:eastAsia="CESI宋体-GB2312" w:cs="CESI宋体-GB2312"/>
                <w:b/>
                <w:bCs/>
                <w:i w:val="0"/>
                <w:iCs w:val="0"/>
                <w:color w:val="auto"/>
                <w:kern w:val="0"/>
                <w:sz w:val="21"/>
                <w:szCs w:val="21"/>
                <w:highlight w:val="none"/>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1533" w:type="dxa"/>
            <w:tcBorders>
              <w:top w:val="nil"/>
              <w:left w:val="single" w:color="000000" w:sz="8" w:space="0"/>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1</w:t>
            </w:r>
          </w:p>
        </w:tc>
        <w:tc>
          <w:tcPr>
            <w:tcW w:w="4822" w:type="dxa"/>
            <w:tcBorders>
              <w:top w:val="nil"/>
              <w:left w:val="nil"/>
              <w:bottom w:val="single" w:color="000000" w:sz="8" w:space="0"/>
              <w:right w:val="single" w:color="000000" w:sz="8" w:space="0"/>
            </w:tcBorders>
            <w:noWrap/>
            <w:vAlign w:val="center"/>
          </w:tcPr>
          <w:p>
            <w:pPr>
              <w:widowControl/>
              <w:jc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color w:val="auto"/>
                <w:sz w:val="21"/>
                <w:szCs w:val="21"/>
                <w:highlight w:val="none"/>
              </w:rPr>
              <w:t>道路停车高清摄像机</w:t>
            </w:r>
          </w:p>
        </w:tc>
        <w:tc>
          <w:tcPr>
            <w:tcW w:w="1844" w:type="dxa"/>
            <w:tcBorders>
              <w:top w:val="nil"/>
              <w:left w:val="nil"/>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lang w:val="en-US"/>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 xml:space="preserve">台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1533" w:type="dxa"/>
            <w:tcBorders>
              <w:top w:val="nil"/>
              <w:left w:val="single" w:color="000000" w:sz="8" w:space="0"/>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2</w:t>
            </w:r>
          </w:p>
        </w:tc>
        <w:tc>
          <w:tcPr>
            <w:tcW w:w="4822" w:type="dxa"/>
            <w:tcBorders>
              <w:top w:val="nil"/>
              <w:left w:val="nil"/>
              <w:bottom w:val="single" w:color="000000" w:sz="8" w:space="0"/>
              <w:right w:val="single" w:color="000000" w:sz="8" w:space="0"/>
            </w:tcBorders>
            <w:noWrap/>
            <w:vAlign w:val="center"/>
          </w:tcPr>
          <w:p>
            <w:pPr>
              <w:widowControl/>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color w:val="auto"/>
                <w:sz w:val="21"/>
                <w:szCs w:val="21"/>
                <w:highlight w:val="none"/>
                <w:lang w:val="en-US" w:eastAsia="zh-CN"/>
              </w:rPr>
              <w:t>前端管理终端</w:t>
            </w:r>
          </w:p>
        </w:tc>
        <w:tc>
          <w:tcPr>
            <w:tcW w:w="1844" w:type="dxa"/>
            <w:tcBorders>
              <w:top w:val="nil"/>
              <w:left w:val="nil"/>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1533" w:type="dxa"/>
            <w:tcBorders>
              <w:top w:val="nil"/>
              <w:left w:val="single" w:color="000000" w:sz="8" w:space="0"/>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3</w:t>
            </w:r>
          </w:p>
        </w:tc>
        <w:tc>
          <w:tcPr>
            <w:tcW w:w="4822" w:type="dxa"/>
            <w:tcBorders>
              <w:top w:val="nil"/>
              <w:left w:val="nil"/>
              <w:bottom w:val="single" w:color="000000" w:sz="8" w:space="0"/>
              <w:right w:val="single" w:color="000000" w:sz="8" w:space="0"/>
            </w:tcBorders>
            <w:noWrap/>
            <w:vAlign w:val="center"/>
          </w:tcPr>
          <w:p>
            <w:pPr>
              <w:widowControl/>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color w:val="auto"/>
                <w:sz w:val="21"/>
                <w:szCs w:val="21"/>
                <w:highlight w:val="none"/>
              </w:rPr>
              <w:t>业务管理终端</w:t>
            </w:r>
          </w:p>
        </w:tc>
        <w:tc>
          <w:tcPr>
            <w:tcW w:w="1844" w:type="dxa"/>
            <w:tcBorders>
              <w:top w:val="nil"/>
              <w:left w:val="nil"/>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1533" w:type="dxa"/>
            <w:tcBorders>
              <w:top w:val="nil"/>
              <w:left w:val="single" w:color="000000" w:sz="8" w:space="0"/>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4</w:t>
            </w:r>
          </w:p>
        </w:tc>
        <w:tc>
          <w:tcPr>
            <w:tcW w:w="4822" w:type="dxa"/>
            <w:tcBorders>
              <w:top w:val="nil"/>
              <w:left w:val="nil"/>
              <w:bottom w:val="single" w:color="000000" w:sz="8" w:space="0"/>
              <w:right w:val="single" w:color="000000" w:sz="8" w:space="0"/>
            </w:tcBorders>
            <w:noWrap/>
            <w:vAlign w:val="center"/>
          </w:tcPr>
          <w:p>
            <w:pPr>
              <w:widowControl/>
              <w:jc w:val="center"/>
              <w:textAlignment w:val="center"/>
              <w:rPr>
                <w:rFonts w:hint="eastAsia" w:ascii="CESI宋体-GB2312" w:hAnsi="CESI宋体-GB2312" w:eastAsia="CESI宋体-GB2312" w:cs="CESI宋体-GB2312"/>
                <w:i w:val="0"/>
                <w:iCs w:val="0"/>
                <w:color w:val="auto"/>
                <w:sz w:val="21"/>
                <w:szCs w:val="21"/>
                <w:highlight w:val="none"/>
                <w:u w:val="none"/>
                <w:lang w:val="en-US"/>
              </w:rPr>
            </w:pPr>
            <w:r>
              <w:rPr>
                <w:rFonts w:hint="eastAsia" w:ascii="CESI宋体-GB2312" w:hAnsi="CESI宋体-GB2312" w:eastAsia="CESI宋体-GB2312" w:cs="CESI宋体-GB2312"/>
                <w:color w:val="auto"/>
                <w:sz w:val="21"/>
                <w:szCs w:val="21"/>
                <w:highlight w:val="none"/>
                <w:lang w:val="en-US" w:eastAsia="zh-CN"/>
              </w:rPr>
              <w:t>PDU插排</w:t>
            </w:r>
          </w:p>
        </w:tc>
        <w:tc>
          <w:tcPr>
            <w:tcW w:w="1844" w:type="dxa"/>
            <w:tcBorders>
              <w:top w:val="nil"/>
              <w:left w:val="nil"/>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1533" w:type="dxa"/>
            <w:tcBorders>
              <w:top w:val="nil"/>
              <w:left w:val="single" w:color="000000" w:sz="8" w:space="0"/>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kern w:val="2"/>
                <w:sz w:val="21"/>
                <w:szCs w:val="21"/>
                <w:highlight w:val="none"/>
                <w:u w:val="none"/>
                <w:lang w:val="en-US" w:eastAsia="zh-CN" w:bidi="ar-SA"/>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5</w:t>
            </w:r>
          </w:p>
        </w:tc>
        <w:tc>
          <w:tcPr>
            <w:tcW w:w="4822" w:type="dxa"/>
            <w:tcBorders>
              <w:top w:val="nil"/>
              <w:left w:val="nil"/>
              <w:bottom w:val="single" w:color="000000" w:sz="8" w:space="0"/>
              <w:right w:val="single" w:color="000000" w:sz="8" w:space="0"/>
            </w:tcBorders>
            <w:noWrap/>
            <w:vAlign w:val="center"/>
          </w:tcPr>
          <w:p>
            <w:pPr>
              <w:widowControl/>
              <w:jc w:val="center"/>
              <w:textAlignment w:val="center"/>
              <w:rPr>
                <w:rFonts w:hint="eastAsia" w:ascii="CESI宋体-GB2312" w:hAnsi="CESI宋体-GB2312" w:eastAsia="CESI宋体-GB2312" w:cs="CESI宋体-GB2312"/>
                <w:color w:val="auto"/>
                <w:sz w:val="21"/>
                <w:szCs w:val="21"/>
                <w:highlight w:val="none"/>
                <w:lang w:val="en-US" w:eastAsia="zh-CN"/>
              </w:rPr>
            </w:pPr>
            <w:r>
              <w:rPr>
                <w:rFonts w:hint="eastAsia" w:ascii="CESI宋体-GB2312" w:hAnsi="CESI宋体-GB2312" w:eastAsia="CESI宋体-GB2312" w:cs="CESI宋体-GB2312"/>
                <w:color w:val="auto"/>
                <w:sz w:val="21"/>
                <w:szCs w:val="21"/>
                <w:highlight w:val="none"/>
                <w:lang w:val="en-US" w:eastAsia="zh-CN"/>
              </w:rPr>
              <w:t>接入交换机</w:t>
            </w:r>
          </w:p>
        </w:tc>
        <w:tc>
          <w:tcPr>
            <w:tcW w:w="1844" w:type="dxa"/>
            <w:tcBorders>
              <w:top w:val="nil"/>
              <w:left w:val="nil"/>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kern w:val="0"/>
                <w:sz w:val="21"/>
                <w:szCs w:val="21"/>
                <w:highlight w:val="none"/>
                <w:u w:val="none"/>
                <w:lang w:val="en-US" w:eastAsia="zh-CN" w:bidi="ar"/>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1533" w:type="dxa"/>
            <w:tcBorders>
              <w:top w:val="nil"/>
              <w:left w:val="single" w:color="000000" w:sz="8" w:space="0"/>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kern w:val="2"/>
                <w:sz w:val="21"/>
                <w:szCs w:val="21"/>
                <w:highlight w:val="none"/>
                <w:u w:val="none"/>
                <w:lang w:val="en-US" w:eastAsia="zh-CN" w:bidi="ar-SA"/>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6</w:t>
            </w:r>
          </w:p>
        </w:tc>
        <w:tc>
          <w:tcPr>
            <w:tcW w:w="4822" w:type="dxa"/>
            <w:tcBorders>
              <w:top w:val="nil"/>
              <w:left w:val="nil"/>
              <w:bottom w:val="single" w:color="000000" w:sz="8" w:space="0"/>
              <w:right w:val="single" w:color="000000" w:sz="8" w:space="0"/>
            </w:tcBorders>
            <w:noWrap/>
            <w:vAlign w:val="center"/>
          </w:tcPr>
          <w:p>
            <w:pPr>
              <w:widowControl/>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color w:val="auto"/>
                <w:sz w:val="21"/>
                <w:szCs w:val="21"/>
                <w:highlight w:val="none"/>
              </w:rPr>
              <w:t>路由器</w:t>
            </w:r>
          </w:p>
        </w:tc>
        <w:tc>
          <w:tcPr>
            <w:tcW w:w="1844" w:type="dxa"/>
            <w:tcBorders>
              <w:top w:val="nil"/>
              <w:left w:val="nil"/>
              <w:bottom w:val="single" w:color="000000"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1533" w:type="dxa"/>
            <w:tcBorders>
              <w:top w:val="nil"/>
              <w:left w:val="single" w:color="000000" w:sz="8" w:space="0"/>
              <w:bottom w:val="single" w:color="auto"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kern w:val="2"/>
                <w:sz w:val="21"/>
                <w:szCs w:val="21"/>
                <w:highlight w:val="none"/>
                <w:u w:val="none"/>
                <w:lang w:val="en-US" w:eastAsia="zh-CN" w:bidi="ar-SA"/>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7</w:t>
            </w:r>
          </w:p>
        </w:tc>
        <w:tc>
          <w:tcPr>
            <w:tcW w:w="4822" w:type="dxa"/>
            <w:tcBorders>
              <w:top w:val="nil"/>
              <w:left w:val="nil"/>
              <w:bottom w:val="single" w:color="auto" w:sz="8" w:space="0"/>
              <w:right w:val="single" w:color="000000" w:sz="8" w:space="0"/>
            </w:tcBorders>
            <w:noWrap/>
            <w:vAlign w:val="center"/>
          </w:tcPr>
          <w:p>
            <w:pPr>
              <w:widowControl/>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color w:val="auto"/>
                <w:sz w:val="21"/>
                <w:szCs w:val="21"/>
                <w:highlight w:val="none"/>
              </w:rPr>
              <w:t>光纤收发器</w:t>
            </w:r>
          </w:p>
        </w:tc>
        <w:tc>
          <w:tcPr>
            <w:tcW w:w="1844" w:type="dxa"/>
            <w:tcBorders>
              <w:top w:val="nil"/>
              <w:left w:val="nil"/>
              <w:bottom w:val="single" w:color="auto" w:sz="8" w:space="0"/>
              <w:right w:val="single" w:color="000000"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33" w:type="dxa"/>
            <w:tcBorders>
              <w:top w:val="single" w:color="auto" w:sz="8" w:space="0"/>
              <w:left w:val="single" w:color="auto" w:sz="8" w:space="0"/>
              <w:bottom w:val="single" w:color="auto" w:sz="8" w:space="0"/>
              <w:right w:val="single" w:color="auto"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i w:val="0"/>
                <w:iCs w:val="0"/>
                <w:color w:val="auto"/>
                <w:kern w:val="0"/>
                <w:sz w:val="21"/>
                <w:szCs w:val="21"/>
                <w:highlight w:val="none"/>
                <w:u w:val="none"/>
                <w:lang w:val="en-US" w:eastAsia="zh-CN" w:bidi="ar"/>
              </w:rPr>
              <w:t>8</w:t>
            </w:r>
          </w:p>
        </w:tc>
        <w:tc>
          <w:tcPr>
            <w:tcW w:w="4822" w:type="dxa"/>
            <w:tcBorders>
              <w:top w:val="single" w:color="auto" w:sz="8" w:space="0"/>
              <w:left w:val="single" w:color="auto" w:sz="8" w:space="0"/>
              <w:bottom w:val="single" w:color="auto" w:sz="8" w:space="0"/>
              <w:right w:val="single" w:color="auto"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rPr>
            </w:pPr>
            <w:r>
              <w:rPr>
                <w:rFonts w:hint="eastAsia" w:ascii="CESI宋体-GB2312" w:hAnsi="CESI宋体-GB2312" w:eastAsia="CESI宋体-GB2312" w:cs="CESI宋体-GB2312"/>
                <w:color w:val="auto"/>
                <w:sz w:val="21"/>
                <w:szCs w:val="21"/>
                <w:highlight w:val="none"/>
              </w:rPr>
              <w:t>硬盘</w:t>
            </w:r>
          </w:p>
        </w:tc>
        <w:tc>
          <w:tcPr>
            <w:tcW w:w="1844" w:type="dxa"/>
            <w:tcBorders>
              <w:top w:val="single" w:color="auto" w:sz="8" w:space="0"/>
              <w:left w:val="single" w:color="auto" w:sz="8" w:space="0"/>
              <w:bottom w:val="single" w:color="auto" w:sz="8" w:space="0"/>
              <w:right w:val="single" w:color="auto" w:sz="8" w:space="0"/>
            </w:tcBorders>
            <w:noWrap/>
            <w:vAlign w:val="center"/>
          </w:tcPr>
          <w:p>
            <w:pPr>
              <w:keepNext w:val="0"/>
              <w:keepLines w:val="0"/>
              <w:widowControl/>
              <w:suppressLineNumbers w:val="0"/>
              <w:jc w:val="center"/>
              <w:textAlignment w:val="center"/>
              <w:rPr>
                <w:rFonts w:hint="eastAsia" w:ascii="CESI宋体-GB2312" w:hAnsi="CESI宋体-GB2312" w:eastAsia="CESI宋体-GB2312" w:cs="CESI宋体-GB2312"/>
                <w:i w:val="0"/>
                <w:iCs w:val="0"/>
                <w:color w:val="auto"/>
                <w:sz w:val="21"/>
                <w:szCs w:val="21"/>
                <w:highlight w:val="none"/>
                <w:u w:val="none"/>
                <w:lang w:val="en-US" w:eastAsia="zh-CN"/>
              </w:rPr>
            </w:pPr>
            <w:r>
              <w:rPr>
                <w:rFonts w:hint="eastAsia" w:ascii="CESI宋体-GB2312" w:hAnsi="CESI宋体-GB2312" w:eastAsia="CESI宋体-GB2312" w:cs="CESI宋体-GB2312"/>
                <w:i w:val="0"/>
                <w:iCs w:val="0"/>
                <w:color w:val="auto"/>
                <w:sz w:val="21"/>
                <w:szCs w:val="21"/>
                <w:highlight w:val="none"/>
                <w:u w:val="none"/>
                <w:lang w:val="en-US" w:eastAsia="zh-CN"/>
              </w:rPr>
              <w:t>块</w:t>
            </w:r>
          </w:p>
        </w:tc>
      </w:tr>
    </w:tbl>
    <w:p>
      <w:pPr>
        <w:spacing w:line="360" w:lineRule="auto"/>
        <w:ind w:firstLine="420" w:firstLineChars="200"/>
        <w:jc w:val="left"/>
        <w:rPr>
          <w:rFonts w:hint="eastAsia" w:ascii="CESI宋体-GB2312" w:hAnsi="CESI宋体-GB2312" w:eastAsia="CESI宋体-GB2312" w:cs="CESI宋体-GB2312"/>
          <w:b w:val="0"/>
          <w:bCs/>
          <w:color w:val="auto"/>
          <w:sz w:val="21"/>
          <w:szCs w:val="21"/>
          <w:highlight w:val="none"/>
          <w:lang w:val="en-US" w:eastAsia="zh-CN"/>
        </w:rPr>
      </w:pPr>
    </w:p>
    <w:p>
      <w:pPr>
        <w:spacing w:line="360" w:lineRule="auto"/>
        <w:outlineLvl w:val="0"/>
        <w:rPr>
          <w:rFonts w:hint="eastAsia" w:ascii="CESI宋体-GB2312" w:hAnsi="CESI宋体-GB2312" w:eastAsia="CESI宋体-GB2312" w:cs="CESI宋体-GB2312"/>
          <w:b/>
          <w:bCs/>
          <w:sz w:val="21"/>
          <w:szCs w:val="21"/>
          <w:lang w:val="en-US" w:eastAsia="zh-CN"/>
        </w:rPr>
      </w:pPr>
      <w:r>
        <w:rPr>
          <w:rFonts w:hint="eastAsia" w:ascii="CESI宋体-GB2312" w:hAnsi="CESI宋体-GB2312" w:eastAsia="CESI宋体-GB2312" w:cs="CESI宋体-GB2312"/>
          <w:b/>
          <w:bCs/>
          <w:sz w:val="21"/>
          <w:szCs w:val="21"/>
          <w:lang w:val="en-US" w:eastAsia="zh-CN"/>
        </w:rPr>
        <w:t>四、付款及验收</w:t>
      </w:r>
    </w:p>
    <w:p>
      <w:pPr>
        <w:autoSpaceDE w:val="0"/>
        <w:autoSpaceDN w:val="0"/>
        <w:adjustRightInd w:val="0"/>
        <w:spacing w:line="360" w:lineRule="auto"/>
        <w:ind w:firstLine="420" w:firstLineChars="200"/>
        <w:rPr>
          <w:rFonts w:hint="eastAsia" w:ascii="CESI宋体-GB2312" w:hAnsi="CESI宋体-GB2312" w:eastAsia="CESI宋体-GB2312" w:cs="CESI宋体-GB2312"/>
          <w:color w:val="auto"/>
          <w:kern w:val="0"/>
          <w:sz w:val="21"/>
          <w:szCs w:val="21"/>
          <w:highlight w:val="none"/>
        </w:rPr>
      </w:pPr>
      <w:r>
        <w:rPr>
          <w:rFonts w:hint="eastAsia" w:ascii="CESI宋体-GB2312" w:hAnsi="CESI宋体-GB2312" w:eastAsia="CESI宋体-GB2312" w:cs="CESI宋体-GB2312"/>
          <w:color w:val="auto"/>
          <w:kern w:val="0"/>
          <w:sz w:val="21"/>
          <w:szCs w:val="21"/>
          <w:highlight w:val="none"/>
          <w:lang w:val="en-US" w:eastAsia="zh-CN"/>
        </w:rPr>
        <w:t>1</w:t>
      </w:r>
      <w:r>
        <w:rPr>
          <w:rFonts w:hint="eastAsia" w:ascii="CESI宋体-GB2312" w:hAnsi="CESI宋体-GB2312" w:eastAsia="CESI宋体-GB2312" w:cs="CESI宋体-GB2312"/>
          <w:color w:val="auto"/>
          <w:kern w:val="0"/>
          <w:sz w:val="21"/>
          <w:szCs w:val="21"/>
          <w:highlight w:val="none"/>
        </w:rPr>
        <w:t>、付款方式：</w:t>
      </w:r>
    </w:p>
    <w:p>
      <w:pPr>
        <w:autoSpaceDE w:val="0"/>
        <w:autoSpaceDN w:val="0"/>
        <w:adjustRightInd w:val="0"/>
        <w:spacing w:line="360" w:lineRule="auto"/>
        <w:ind w:firstLine="420" w:firstLineChars="200"/>
        <w:rPr>
          <w:rFonts w:hint="eastAsia" w:ascii="CESI宋体-GB2312" w:hAnsi="CESI宋体-GB2312" w:eastAsia="CESI宋体-GB2312" w:cs="CESI宋体-GB2312"/>
          <w:color w:val="auto"/>
          <w:kern w:val="0"/>
          <w:sz w:val="21"/>
          <w:szCs w:val="21"/>
          <w:highlight w:val="none"/>
          <w:lang w:val="en-US" w:eastAsia="zh-CN" w:bidi="ar"/>
        </w:rPr>
      </w:pPr>
      <w:r>
        <w:rPr>
          <w:rFonts w:hint="eastAsia" w:ascii="CESI宋体-GB2312" w:hAnsi="CESI宋体-GB2312" w:eastAsia="CESI宋体-GB2312" w:cs="CESI宋体-GB2312"/>
          <w:color w:val="auto"/>
          <w:kern w:val="0"/>
          <w:sz w:val="21"/>
          <w:szCs w:val="21"/>
          <w:highlight w:val="none"/>
          <w:lang w:val="en-US" w:eastAsia="zh-CN" w:bidi="ar"/>
        </w:rPr>
        <w:t>第一笔：合同签订后十个工作日内支付30%合同款；</w:t>
      </w:r>
    </w:p>
    <w:p>
      <w:pPr>
        <w:autoSpaceDE w:val="0"/>
        <w:autoSpaceDN w:val="0"/>
        <w:adjustRightInd w:val="0"/>
        <w:spacing w:line="360" w:lineRule="auto"/>
        <w:ind w:firstLine="420" w:firstLineChars="200"/>
        <w:rPr>
          <w:rFonts w:hint="eastAsia" w:ascii="CESI宋体-GB2312" w:hAnsi="CESI宋体-GB2312" w:eastAsia="CESI宋体-GB2312" w:cs="CESI宋体-GB2312"/>
          <w:color w:val="auto"/>
          <w:kern w:val="0"/>
          <w:sz w:val="21"/>
          <w:szCs w:val="21"/>
          <w:highlight w:val="none"/>
          <w:lang w:val="en-US" w:eastAsia="zh-CN" w:bidi="ar"/>
        </w:rPr>
      </w:pPr>
      <w:r>
        <w:rPr>
          <w:rFonts w:hint="eastAsia" w:ascii="CESI宋体-GB2312" w:hAnsi="CESI宋体-GB2312" w:eastAsia="CESI宋体-GB2312" w:cs="CESI宋体-GB2312"/>
          <w:color w:val="auto"/>
          <w:kern w:val="0"/>
          <w:sz w:val="21"/>
          <w:szCs w:val="21"/>
          <w:highlight w:val="none"/>
          <w:lang w:val="en-US" w:eastAsia="zh-CN" w:bidi="ar"/>
        </w:rPr>
        <w:t>第二笔：系统建设完成并通过采购人验收后支付60%合同款；</w:t>
      </w:r>
    </w:p>
    <w:p>
      <w:pPr>
        <w:autoSpaceDE w:val="0"/>
        <w:autoSpaceDN w:val="0"/>
        <w:adjustRightInd w:val="0"/>
        <w:spacing w:line="360" w:lineRule="auto"/>
        <w:ind w:firstLine="420" w:firstLineChars="200"/>
        <w:rPr>
          <w:rFonts w:hint="eastAsia" w:ascii="CESI宋体-GB2312" w:hAnsi="CESI宋体-GB2312" w:eastAsia="CESI宋体-GB2312" w:cs="CESI宋体-GB2312"/>
          <w:color w:val="auto"/>
          <w:kern w:val="0"/>
          <w:sz w:val="21"/>
          <w:szCs w:val="21"/>
          <w:highlight w:val="none"/>
          <w:lang w:val="en-US" w:eastAsia="zh-CN" w:bidi="ar"/>
        </w:rPr>
      </w:pPr>
      <w:r>
        <w:rPr>
          <w:rFonts w:hint="eastAsia" w:ascii="CESI宋体-GB2312" w:hAnsi="CESI宋体-GB2312" w:eastAsia="CESI宋体-GB2312" w:cs="CESI宋体-GB2312"/>
          <w:color w:val="auto"/>
          <w:kern w:val="0"/>
          <w:sz w:val="21"/>
          <w:szCs w:val="21"/>
          <w:highlight w:val="none"/>
          <w:lang w:val="en-US" w:eastAsia="zh-CN" w:bidi="ar"/>
        </w:rPr>
        <w:t>第三笔：质保期满后支付10%合同款。</w:t>
      </w:r>
    </w:p>
    <w:p>
      <w:pPr>
        <w:autoSpaceDE w:val="0"/>
        <w:autoSpaceDN w:val="0"/>
        <w:adjustRightInd w:val="0"/>
        <w:spacing w:line="360" w:lineRule="auto"/>
        <w:ind w:firstLine="420" w:firstLineChars="200"/>
        <w:rPr>
          <w:rFonts w:hint="eastAsia" w:ascii="CESI宋体-GB2312" w:hAnsi="CESI宋体-GB2312" w:eastAsia="CESI宋体-GB2312" w:cs="CESI宋体-GB2312"/>
          <w:color w:val="auto"/>
          <w:kern w:val="0"/>
          <w:sz w:val="21"/>
          <w:szCs w:val="21"/>
          <w:highlight w:val="none"/>
          <w:lang w:val="en-US" w:eastAsia="zh-CN" w:bidi="ar"/>
        </w:rPr>
      </w:pPr>
      <w:r>
        <w:rPr>
          <w:rFonts w:hint="eastAsia" w:ascii="CESI宋体-GB2312" w:hAnsi="CESI宋体-GB2312" w:eastAsia="CESI宋体-GB2312" w:cs="CESI宋体-GB2312"/>
          <w:color w:val="auto"/>
          <w:kern w:val="0"/>
          <w:sz w:val="21"/>
          <w:szCs w:val="21"/>
          <w:highlight w:val="none"/>
          <w:lang w:val="en-US" w:eastAsia="zh-CN" w:bidi="ar"/>
        </w:rPr>
        <w:t>如出现逾期支付相关费用等情况，采购人将支付中标单位相应利息；如对中标单位造成损失的，依法给予中标单位相关补偿。</w:t>
      </w:r>
    </w:p>
    <w:p>
      <w:pPr>
        <w:widowControl/>
        <w:spacing w:line="360" w:lineRule="auto"/>
        <w:ind w:firstLine="420" w:firstLineChars="200"/>
        <w:jc w:val="left"/>
        <w:rPr>
          <w:rFonts w:hint="eastAsia" w:ascii="CESI宋体-GB2312" w:hAnsi="CESI宋体-GB2312" w:eastAsia="CESI宋体-GB2312" w:cs="CESI宋体-GB2312"/>
          <w:color w:val="auto"/>
          <w:kern w:val="0"/>
          <w:sz w:val="21"/>
          <w:szCs w:val="21"/>
          <w:highlight w:val="none"/>
        </w:rPr>
      </w:pPr>
      <w:r>
        <w:rPr>
          <w:rFonts w:hint="eastAsia" w:ascii="CESI宋体-GB2312" w:hAnsi="CESI宋体-GB2312" w:eastAsia="CESI宋体-GB2312" w:cs="CESI宋体-GB2312"/>
          <w:color w:val="auto"/>
          <w:kern w:val="0"/>
          <w:sz w:val="21"/>
          <w:szCs w:val="21"/>
          <w:highlight w:val="none"/>
          <w:lang w:val="en-US" w:eastAsia="zh-CN"/>
        </w:rPr>
        <w:t>2</w:t>
      </w:r>
      <w:r>
        <w:rPr>
          <w:rFonts w:hint="eastAsia" w:ascii="CESI宋体-GB2312" w:hAnsi="CESI宋体-GB2312" w:eastAsia="CESI宋体-GB2312" w:cs="CESI宋体-GB2312"/>
          <w:color w:val="auto"/>
          <w:kern w:val="0"/>
          <w:sz w:val="21"/>
          <w:szCs w:val="21"/>
          <w:highlight w:val="none"/>
        </w:rPr>
        <w:t>、验收方式：本项目由采购人自行组织或委托第三方进行验收。</w:t>
      </w:r>
    </w:p>
    <w:p>
      <w:pPr>
        <w:pStyle w:val="2"/>
        <w:rPr>
          <w:rFonts w:hint="eastAsia" w:ascii="CESI宋体-GB2312" w:hAnsi="CESI宋体-GB2312" w:eastAsia="CESI宋体-GB2312" w:cs="CESI宋体-GB2312"/>
          <w:lang w:val="en-US" w:eastAsia="zh-CN"/>
        </w:rPr>
      </w:pPr>
    </w:p>
    <w:p>
      <w:pPr>
        <w:spacing w:line="360" w:lineRule="auto"/>
        <w:outlineLvl w:val="0"/>
        <w:rPr>
          <w:rFonts w:hint="eastAsia" w:ascii="CESI宋体-GB2312" w:hAnsi="CESI宋体-GB2312" w:eastAsia="CESI宋体-GB2312" w:cs="CESI宋体-GB2312"/>
          <w:b/>
          <w:bCs/>
          <w:sz w:val="21"/>
          <w:szCs w:val="21"/>
        </w:rPr>
      </w:pPr>
      <w:r>
        <w:rPr>
          <w:rFonts w:hint="eastAsia" w:ascii="CESI宋体-GB2312" w:hAnsi="CESI宋体-GB2312" w:eastAsia="CESI宋体-GB2312" w:cs="CESI宋体-GB2312"/>
          <w:b/>
          <w:bCs/>
          <w:sz w:val="21"/>
          <w:szCs w:val="21"/>
          <w:lang w:val="en-US" w:eastAsia="zh-CN"/>
        </w:rPr>
        <w:t>五</w:t>
      </w:r>
      <w:r>
        <w:rPr>
          <w:rFonts w:hint="eastAsia" w:ascii="CESI宋体-GB2312" w:hAnsi="CESI宋体-GB2312" w:eastAsia="CESI宋体-GB2312" w:cs="CESI宋体-GB2312"/>
          <w:b/>
          <w:bCs/>
          <w:sz w:val="21"/>
          <w:szCs w:val="21"/>
        </w:rPr>
        <w:t>、投标单位资质要求（详见本项目招标公告）</w:t>
      </w:r>
    </w:p>
    <w:p>
      <w:pPr>
        <w:spacing w:line="360" w:lineRule="auto"/>
        <w:ind w:firstLine="420" w:firstLineChars="200"/>
        <w:rPr>
          <w:rFonts w:hint="eastAsia" w:ascii="CESI宋体-GB2312" w:hAnsi="CESI宋体-GB2312" w:eastAsia="CESI宋体-GB2312" w:cs="CESI宋体-GB2312"/>
          <w:sz w:val="21"/>
          <w:szCs w:val="21"/>
        </w:rPr>
      </w:pPr>
      <w:r>
        <w:rPr>
          <w:rFonts w:hint="eastAsia" w:ascii="CESI宋体-GB2312" w:hAnsi="CESI宋体-GB2312" w:eastAsia="CESI宋体-GB2312" w:cs="CESI宋体-GB2312"/>
          <w:sz w:val="21"/>
          <w:szCs w:val="21"/>
        </w:rPr>
        <w:t>1、供应商应当符合《中华人民共和国政府采购法》第22条所规定的条件；</w:t>
      </w:r>
    </w:p>
    <w:p>
      <w:pPr>
        <w:spacing w:line="360" w:lineRule="auto"/>
        <w:ind w:firstLine="420" w:firstLineChars="200"/>
        <w:rPr>
          <w:rFonts w:hint="eastAsia" w:ascii="CESI宋体-GB2312" w:hAnsi="CESI宋体-GB2312" w:eastAsia="CESI宋体-GB2312" w:cs="CESI宋体-GB2312"/>
          <w:sz w:val="21"/>
          <w:szCs w:val="21"/>
        </w:rPr>
      </w:pPr>
      <w:r>
        <w:rPr>
          <w:rFonts w:hint="eastAsia" w:ascii="CESI宋体-GB2312" w:hAnsi="CESI宋体-GB2312" w:eastAsia="CESI宋体-GB2312" w:cs="CESI宋体-GB2312"/>
          <w:sz w:val="21"/>
          <w:szCs w:val="21"/>
        </w:rPr>
        <w:t>2、供应商及其投标的产品和服务符合国家法律法规及强制性规范所规定的条件；</w:t>
      </w:r>
    </w:p>
    <w:p>
      <w:pPr>
        <w:spacing w:line="360" w:lineRule="auto"/>
        <w:ind w:firstLine="420" w:firstLineChars="200"/>
        <w:rPr>
          <w:rFonts w:hint="eastAsia" w:ascii="CESI宋体-GB2312" w:hAnsi="CESI宋体-GB2312" w:eastAsia="CESI宋体-GB2312" w:cs="CESI宋体-GB2312"/>
          <w:sz w:val="21"/>
          <w:szCs w:val="21"/>
        </w:rPr>
      </w:pPr>
      <w:r>
        <w:rPr>
          <w:rFonts w:hint="eastAsia" w:ascii="CESI宋体-GB2312" w:hAnsi="CESI宋体-GB2312" w:eastAsia="CESI宋体-GB2312" w:cs="CESI宋体-GB2312"/>
          <w:sz w:val="21"/>
          <w:szCs w:val="21"/>
        </w:rPr>
        <w:t>3、供应商有完善的服务体系，能够提供良好的技术与服务支持；</w:t>
      </w:r>
    </w:p>
    <w:p>
      <w:pPr>
        <w:spacing w:line="360" w:lineRule="auto"/>
        <w:ind w:firstLine="420" w:firstLineChars="200"/>
        <w:rPr>
          <w:rFonts w:hint="eastAsia" w:ascii="CESI宋体-GB2312" w:hAnsi="CESI宋体-GB2312" w:eastAsia="CESI宋体-GB2312" w:cs="CESI宋体-GB2312"/>
          <w:sz w:val="21"/>
          <w:szCs w:val="21"/>
        </w:rPr>
      </w:pPr>
      <w:r>
        <w:rPr>
          <w:rFonts w:hint="eastAsia" w:ascii="CESI宋体-GB2312" w:hAnsi="CESI宋体-GB2312" w:eastAsia="CESI宋体-GB2312" w:cs="CESI宋体-GB2312"/>
          <w:sz w:val="21"/>
          <w:szCs w:val="21"/>
        </w:rPr>
        <w:t>4、本项目不接受联合体投标。</w:t>
      </w:r>
    </w:p>
    <w:p>
      <w:pPr>
        <w:spacing w:line="360" w:lineRule="auto"/>
        <w:ind w:firstLine="0" w:firstLineChars="0"/>
        <w:jc w:val="left"/>
        <w:rPr>
          <w:rFonts w:hint="eastAsia" w:ascii="CESI宋体-GB2312" w:hAnsi="CESI宋体-GB2312" w:eastAsia="CESI宋体-GB2312" w:cs="CESI宋体-GB2312"/>
          <w:b/>
          <w:color w:val="auto"/>
          <w:sz w:val="21"/>
          <w:szCs w:val="21"/>
          <w:highlight w:val="none"/>
          <w:lang w:val="en-US" w:eastAsia="zh-CN"/>
        </w:rPr>
      </w:pPr>
    </w:p>
    <w:p>
      <w:pPr>
        <w:spacing w:before="120" w:beforeLines="50" w:after="120" w:afterLines="50" w:line="400" w:lineRule="exact"/>
        <w:ind w:right="-58" w:firstLine="408" w:firstLineChars="200"/>
        <w:rPr>
          <w:rFonts w:hint="eastAsia" w:ascii="CESI宋体-GB2312" w:hAnsi="CESI宋体-GB2312" w:eastAsia="CESI宋体-GB2312" w:cs="CESI宋体-GB2312"/>
          <w:spacing w:val="-3"/>
          <w:sz w:val="21"/>
          <w:szCs w:val="21"/>
          <w:highlight w:val="none"/>
          <w:lang w:val="en-US" w:eastAsia="zh-CN"/>
        </w:rPr>
      </w:pPr>
    </w:p>
    <w:sectPr>
      <w:headerReference r:id="rId5" w:type="default"/>
      <w:footerReference r:id="rId6" w:type="default"/>
      <w:pgSz w:w="11906" w:h="16838"/>
      <w:pgMar w:top="1440" w:right="1077" w:bottom="1440" w:left="1077" w:header="851" w:footer="992"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Calibri Light">
    <w:altName w:val="DejaVu Sans"/>
    <w:panose1 w:val="020F0302020204030204"/>
    <w:charset w:val="00"/>
    <w:family w:val="swiss"/>
    <w:pitch w:val="default"/>
    <w:sig w:usb0="00000000" w:usb1="00000000" w:usb2="00000009" w:usb3="00000000" w:csb0="200001FF" w:csb1="00000000"/>
  </w:font>
  <w:font w:name="等线">
    <w:altName w:val="汉仪中圆B5"/>
    <w:panose1 w:val="02010600030101010101"/>
    <w:charset w:val="86"/>
    <w:family w:val="auto"/>
    <w:pitch w:val="default"/>
    <w:sig w:usb0="00000000" w:usb1="00000000" w:usb2="00000016" w:usb3="00000000" w:csb0="0004000F" w:csb1="00000000"/>
  </w:font>
  <w:font w:name="微软雅黑">
    <w:altName w:val="黑体"/>
    <w:panose1 w:val="020B0503020204020204"/>
    <w:charset w:val="86"/>
    <w:family w:val="swiss"/>
    <w:pitch w:val="default"/>
    <w:sig w:usb0="00000000" w:usb1="00000000"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Unicode MS">
    <w:altName w:val="Nimbus Roman No9 L"/>
    <w:panose1 w:val="020B0604020202020204"/>
    <w:charset w:val="86"/>
    <w:family w:val="swiss"/>
    <w:pitch w:val="default"/>
    <w:sig w:usb0="00000000" w:usb1="00000000" w:usb2="0000003F" w:usb3="00000000" w:csb0="603F01FF" w:csb1="FFFF0000"/>
  </w:font>
  <w:font w:name="Futura Bk">
    <w:altName w:val="DejaVu Math TeX Gyre"/>
    <w:panose1 w:val="00000000000000000000"/>
    <w:charset w:val="00"/>
    <w:family w:val="swiss"/>
    <w:pitch w:val="default"/>
    <w:sig w:usb0="00000000" w:usb1="00000000" w:usb2="00000000" w:usb3="00000000" w:csb0="0000009F"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ESI宋体-GB2312">
    <w:panose1 w:val="02000500000000000000"/>
    <w:charset w:val="86"/>
    <w:family w:val="auto"/>
    <w:pitch w:val="default"/>
    <w:sig w:usb0="800002AF" w:usb1="08476CF8" w:usb2="00000010" w:usb3="00000000" w:csb0="0004000F"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Arial">
    <w:altName w:val="Nimbus Roman No9 L"/>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汉仪中圆B5">
    <w:panose1 w:val="02010600000101010101"/>
    <w:charset w:val="88"/>
    <w:family w:val="auto"/>
    <w:pitch w:val="default"/>
    <w:sig w:usb0="00000001" w:usb1="080E0800" w:usb2="00000002"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r>
      <w:rPr>
        <w:lang w:val="zh-CN"/>
      </w:rPr>
      <w:t xml:space="preserve"> </w:t>
    </w:r>
    <w:r>
      <w:rPr>
        <w:b/>
        <w:bCs/>
      </w:rPr>
      <w:fldChar w:fldCharType="begin"/>
    </w:r>
    <w:r>
      <w:rPr>
        <w:b/>
        <w:bCs/>
      </w:rPr>
      <w:instrText xml:space="preserve">PAGE  \* Arabic  \* MERGEFORMAT</w:instrText>
    </w:r>
    <w:r>
      <w:rPr>
        <w:b/>
        <w:bCs/>
      </w:rPr>
      <w:fldChar w:fldCharType="separate"/>
    </w:r>
    <w:r>
      <w:rPr>
        <w:b/>
        <w:bCs/>
        <w:lang w:val="zh-CN"/>
      </w:rPr>
      <w:t>6</w:t>
    </w:r>
    <w:r>
      <w:rPr>
        <w:b/>
        <w:bCs/>
      </w:rPr>
      <w:fldChar w:fldCharType="end"/>
    </w:r>
    <w:r>
      <w:rPr>
        <w:lang w:val="zh-CN"/>
      </w:rPr>
      <w:t xml:space="preserve"> / </w:t>
    </w:r>
    <w:r>
      <w:rPr>
        <w:b/>
        <w:bCs/>
      </w:rPr>
      <w:fldChar w:fldCharType="begin"/>
    </w:r>
    <w:r>
      <w:rPr>
        <w:b/>
        <w:bCs/>
      </w:rPr>
      <w:instrText xml:space="preserve">NUMPAGES  \* Arabic  \* MERGEFORMAT</w:instrText>
    </w:r>
    <w:r>
      <w:rPr>
        <w:b/>
        <w:bCs/>
      </w:rPr>
      <w:fldChar w:fldCharType="separate"/>
    </w:r>
    <w:r>
      <w:rPr>
        <w:b/>
        <w:bCs/>
        <w:lang w:val="zh-CN"/>
      </w:rPr>
      <w:t>8</w:t>
    </w:r>
    <w:r>
      <w:rPr>
        <w:b/>
        <w:bCs/>
      </w:rPr>
      <w:fldChar w:fldCharType="end"/>
    </w:r>
  </w:p>
  <w:p>
    <w:pPr>
      <w:pStyle w:val="2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6" w:space="0"/>
      </w:pBdr>
      <w:jc w:val="left"/>
    </w:pPr>
    <w:r>
      <w:rPr>
        <w:rFonts w:hint="eastAsia"/>
      </w:rPr>
      <w:t>ZC20260164</w:t>
    </w:r>
    <w:r>
      <w:rPr>
        <w:rFonts w:hint="eastAsia"/>
        <w:lang w:val="en-US" w:eastAsia="zh-CN"/>
      </w:rPr>
      <w:t xml:space="preserve"> </w:t>
    </w:r>
    <w:r>
      <w:rPr>
        <w:rFonts w:hint="eastAsia"/>
      </w:rPr>
      <w:t xml:space="preserve"> </w:t>
    </w:r>
    <w:r>
      <w:rPr>
        <w:rFonts w:hint="eastAsia" w:cs="Times New Roman"/>
        <w:lang w:eastAsia="zh-CN"/>
      </w:rPr>
      <w:t>长宁区道路停车高位视频系统（三期）建设竞争性磋商项目</w:t>
    </w:r>
    <w:r>
      <w:rPr>
        <w:rFonts w:hint="eastAsia" w:ascii="Times New Roman" w:hAnsi="Times New Roman" w:eastAsia="宋体" w:cs="Times New Roma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40"/>
    <w:multiLevelType w:val="multilevel"/>
    <w:tmpl w:val="00000040"/>
    <w:lvl w:ilvl="0" w:tentative="0">
      <w:start w:val="1"/>
      <w:numFmt w:val="bullet"/>
      <w:pStyle w:val="98"/>
      <w:lvlText w:val=""/>
      <w:lvlJc w:val="left"/>
      <w:pPr>
        <w:tabs>
          <w:tab w:val="left" w:pos="960"/>
        </w:tabs>
        <w:ind w:left="960" w:hanging="420"/>
      </w:pPr>
      <w:rPr>
        <w:rFonts w:hint="default" w:ascii="Wingdings" w:hAnsi="Wingdings"/>
      </w:rPr>
    </w:lvl>
    <w:lvl w:ilvl="1" w:tentative="0">
      <w:start w:val="1"/>
      <w:numFmt w:val="bullet"/>
      <w:lvlText w:val=""/>
      <w:lvlJc w:val="left"/>
      <w:pPr>
        <w:tabs>
          <w:tab w:val="left" w:pos="1380"/>
        </w:tabs>
        <w:ind w:left="1380" w:hanging="420"/>
      </w:pPr>
      <w:rPr>
        <w:rFonts w:hint="default" w:ascii="Wingdings" w:hAnsi="Wingdings"/>
      </w:rPr>
    </w:lvl>
    <w:lvl w:ilvl="2" w:tentative="0">
      <w:start w:val="1"/>
      <w:numFmt w:val="bullet"/>
      <w:lvlText w:val=""/>
      <w:lvlJc w:val="left"/>
      <w:pPr>
        <w:tabs>
          <w:tab w:val="left" w:pos="1800"/>
        </w:tabs>
        <w:ind w:left="1800" w:hanging="420"/>
      </w:pPr>
      <w:rPr>
        <w:rFonts w:hint="default" w:ascii="Wingdings" w:hAnsi="Wingdings"/>
      </w:rPr>
    </w:lvl>
    <w:lvl w:ilvl="3" w:tentative="0">
      <w:start w:val="1"/>
      <w:numFmt w:val="bullet"/>
      <w:lvlText w:val=""/>
      <w:lvlJc w:val="left"/>
      <w:pPr>
        <w:tabs>
          <w:tab w:val="left" w:pos="2220"/>
        </w:tabs>
        <w:ind w:left="2220" w:hanging="420"/>
      </w:pPr>
      <w:rPr>
        <w:rFonts w:hint="default" w:ascii="Wingdings" w:hAnsi="Wingdings"/>
      </w:rPr>
    </w:lvl>
    <w:lvl w:ilvl="4" w:tentative="0">
      <w:start w:val="1"/>
      <w:numFmt w:val="bullet"/>
      <w:lvlText w:val=""/>
      <w:lvlJc w:val="left"/>
      <w:pPr>
        <w:tabs>
          <w:tab w:val="left" w:pos="2640"/>
        </w:tabs>
        <w:ind w:left="2640" w:hanging="420"/>
      </w:pPr>
      <w:rPr>
        <w:rFonts w:hint="default" w:ascii="Wingdings" w:hAnsi="Wingdings"/>
      </w:rPr>
    </w:lvl>
    <w:lvl w:ilvl="5" w:tentative="0">
      <w:start w:val="1"/>
      <w:numFmt w:val="bullet"/>
      <w:lvlText w:val=""/>
      <w:lvlJc w:val="left"/>
      <w:pPr>
        <w:tabs>
          <w:tab w:val="left" w:pos="3060"/>
        </w:tabs>
        <w:ind w:left="3060" w:hanging="420"/>
      </w:pPr>
      <w:rPr>
        <w:rFonts w:hint="default" w:ascii="Wingdings" w:hAnsi="Wingdings"/>
      </w:rPr>
    </w:lvl>
    <w:lvl w:ilvl="6" w:tentative="0">
      <w:start w:val="1"/>
      <w:numFmt w:val="bullet"/>
      <w:pStyle w:val="166"/>
      <w:lvlText w:val=""/>
      <w:lvlJc w:val="left"/>
      <w:pPr>
        <w:tabs>
          <w:tab w:val="left" w:pos="3480"/>
        </w:tabs>
        <w:ind w:left="3480" w:hanging="420"/>
      </w:pPr>
      <w:rPr>
        <w:rFonts w:hint="default" w:ascii="Wingdings" w:hAnsi="Wingdings"/>
      </w:rPr>
    </w:lvl>
    <w:lvl w:ilvl="7" w:tentative="0">
      <w:start w:val="1"/>
      <w:numFmt w:val="bullet"/>
      <w:pStyle w:val="165"/>
      <w:lvlText w:val=""/>
      <w:lvlJc w:val="left"/>
      <w:pPr>
        <w:tabs>
          <w:tab w:val="left" w:pos="3900"/>
        </w:tabs>
        <w:ind w:left="3900" w:hanging="420"/>
      </w:pPr>
      <w:rPr>
        <w:rFonts w:hint="default" w:ascii="Wingdings" w:hAnsi="Wingdings"/>
      </w:rPr>
    </w:lvl>
    <w:lvl w:ilvl="8" w:tentative="0">
      <w:start w:val="1"/>
      <w:numFmt w:val="bullet"/>
      <w:lvlText w:val=""/>
      <w:lvlJc w:val="left"/>
      <w:pPr>
        <w:tabs>
          <w:tab w:val="left" w:pos="4320"/>
        </w:tabs>
        <w:ind w:left="4320" w:hanging="420"/>
      </w:pPr>
      <w:rPr>
        <w:rFonts w:hint="default" w:ascii="Wingdings" w:hAnsi="Wingdings"/>
      </w:rPr>
    </w:lvl>
  </w:abstractNum>
  <w:abstractNum w:abstractNumId="1">
    <w:nsid w:val="084A31C6"/>
    <w:multiLevelType w:val="multilevel"/>
    <w:tmpl w:val="084A31C6"/>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10C333E1"/>
    <w:multiLevelType w:val="multilevel"/>
    <w:tmpl w:val="10C333E1"/>
    <w:lvl w:ilvl="0" w:tentative="0">
      <w:start w:val="1"/>
      <w:numFmt w:val="decimal"/>
      <w:pStyle w:val="122"/>
      <w:lvlText w:val="%1)"/>
      <w:lvlJc w:val="left"/>
      <w:pPr>
        <w:tabs>
          <w:tab w:val="left" w:pos="1320"/>
        </w:tabs>
        <w:ind w:left="1320" w:hanging="360"/>
      </w:pPr>
    </w:lvl>
    <w:lvl w:ilvl="1" w:tentative="0">
      <w:start w:val="1"/>
      <w:numFmt w:val="lowerLetter"/>
      <w:lvlText w:val="%2."/>
      <w:lvlJc w:val="left"/>
      <w:pPr>
        <w:tabs>
          <w:tab w:val="left" w:pos="2040"/>
        </w:tabs>
        <w:ind w:left="2040" w:hanging="360"/>
      </w:pPr>
    </w:lvl>
    <w:lvl w:ilvl="2" w:tentative="0">
      <w:start w:val="1"/>
      <w:numFmt w:val="lowerRoman"/>
      <w:lvlText w:val="%3."/>
      <w:lvlJc w:val="right"/>
      <w:pPr>
        <w:tabs>
          <w:tab w:val="left" w:pos="2760"/>
        </w:tabs>
        <w:ind w:left="2760" w:hanging="180"/>
      </w:pPr>
    </w:lvl>
    <w:lvl w:ilvl="3" w:tentative="0">
      <w:start w:val="1"/>
      <w:numFmt w:val="decimal"/>
      <w:lvlText w:val="%4."/>
      <w:lvlJc w:val="left"/>
      <w:pPr>
        <w:tabs>
          <w:tab w:val="left" w:pos="3480"/>
        </w:tabs>
        <w:ind w:left="3480" w:hanging="360"/>
      </w:pPr>
    </w:lvl>
    <w:lvl w:ilvl="4" w:tentative="0">
      <w:start w:val="1"/>
      <w:numFmt w:val="lowerLetter"/>
      <w:lvlText w:val="%5."/>
      <w:lvlJc w:val="left"/>
      <w:pPr>
        <w:tabs>
          <w:tab w:val="left" w:pos="4200"/>
        </w:tabs>
        <w:ind w:left="4200" w:hanging="360"/>
      </w:pPr>
    </w:lvl>
    <w:lvl w:ilvl="5" w:tentative="0">
      <w:start w:val="1"/>
      <w:numFmt w:val="lowerRoman"/>
      <w:lvlText w:val="%6."/>
      <w:lvlJc w:val="right"/>
      <w:pPr>
        <w:tabs>
          <w:tab w:val="left" w:pos="4920"/>
        </w:tabs>
        <w:ind w:left="4920" w:hanging="180"/>
      </w:pPr>
    </w:lvl>
    <w:lvl w:ilvl="6" w:tentative="0">
      <w:start w:val="1"/>
      <w:numFmt w:val="decimal"/>
      <w:lvlText w:val="%7."/>
      <w:lvlJc w:val="left"/>
      <w:pPr>
        <w:tabs>
          <w:tab w:val="left" w:pos="5640"/>
        </w:tabs>
        <w:ind w:left="5640" w:hanging="360"/>
      </w:pPr>
    </w:lvl>
    <w:lvl w:ilvl="7" w:tentative="0">
      <w:start w:val="1"/>
      <w:numFmt w:val="lowerLetter"/>
      <w:lvlText w:val="%8."/>
      <w:lvlJc w:val="left"/>
      <w:pPr>
        <w:tabs>
          <w:tab w:val="left" w:pos="6360"/>
        </w:tabs>
        <w:ind w:left="6360" w:hanging="360"/>
      </w:pPr>
    </w:lvl>
    <w:lvl w:ilvl="8" w:tentative="0">
      <w:start w:val="1"/>
      <w:numFmt w:val="lowerRoman"/>
      <w:lvlText w:val="%9."/>
      <w:lvlJc w:val="right"/>
      <w:pPr>
        <w:tabs>
          <w:tab w:val="left" w:pos="7080"/>
        </w:tabs>
        <w:ind w:left="7080" w:hanging="180"/>
      </w:pPr>
    </w:lvl>
  </w:abstractNum>
  <w:abstractNum w:abstractNumId="3">
    <w:nsid w:val="29222878"/>
    <w:multiLevelType w:val="multilevel"/>
    <w:tmpl w:val="29222878"/>
    <w:lvl w:ilvl="0" w:tentative="0">
      <w:start w:val="1"/>
      <w:numFmt w:val="bullet"/>
      <w:lvlText w:val="•"/>
      <w:lvlJc w:val="left"/>
      <w:pPr>
        <w:ind w:left="1260" w:hanging="420"/>
      </w:pPr>
      <w:rPr>
        <w:rFonts w:hint="default" w:ascii="Arial" w:hAnsi="Arial"/>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4">
    <w:nsid w:val="2C4C231E"/>
    <w:multiLevelType w:val="multilevel"/>
    <w:tmpl w:val="2C4C231E"/>
    <w:lvl w:ilvl="0" w:tentative="0">
      <w:start w:val="1"/>
      <w:numFmt w:val="bullet"/>
      <w:pStyle w:val="124"/>
      <w:lvlText w:val=""/>
      <w:lvlJc w:val="left"/>
      <w:pPr>
        <w:tabs>
          <w:tab w:val="left" w:pos="1320"/>
        </w:tabs>
        <w:ind w:left="1320" w:hanging="360"/>
      </w:pPr>
      <w:rPr>
        <w:rFonts w:hint="default" w:ascii="Wingdings" w:hAnsi="Wingdings"/>
      </w:rPr>
    </w:lvl>
    <w:lvl w:ilvl="1" w:tentative="0">
      <w:start w:val="1"/>
      <w:numFmt w:val="bullet"/>
      <w:lvlText w:val=""/>
      <w:lvlJc w:val="left"/>
      <w:pPr>
        <w:tabs>
          <w:tab w:val="left" w:pos="1800"/>
        </w:tabs>
        <w:ind w:left="1800" w:hanging="420"/>
      </w:pPr>
      <w:rPr>
        <w:rFonts w:hint="default" w:ascii="Wingdings" w:hAnsi="Wingdings"/>
      </w:rPr>
    </w:lvl>
    <w:lvl w:ilvl="2" w:tentative="0">
      <w:start w:val="1"/>
      <w:numFmt w:val="bullet"/>
      <w:lvlText w:val=""/>
      <w:lvlJc w:val="left"/>
      <w:pPr>
        <w:tabs>
          <w:tab w:val="left" w:pos="2220"/>
        </w:tabs>
        <w:ind w:left="2220" w:hanging="420"/>
      </w:pPr>
      <w:rPr>
        <w:rFonts w:hint="default" w:ascii="Wingdings" w:hAnsi="Wingdings"/>
      </w:rPr>
    </w:lvl>
    <w:lvl w:ilvl="3" w:tentative="0">
      <w:start w:val="1"/>
      <w:numFmt w:val="bullet"/>
      <w:lvlText w:val=""/>
      <w:lvlJc w:val="left"/>
      <w:pPr>
        <w:tabs>
          <w:tab w:val="left" w:pos="2640"/>
        </w:tabs>
        <w:ind w:left="2640" w:hanging="420"/>
      </w:pPr>
      <w:rPr>
        <w:rFonts w:hint="default" w:ascii="Wingdings" w:hAnsi="Wingdings"/>
      </w:rPr>
    </w:lvl>
    <w:lvl w:ilvl="4" w:tentative="0">
      <w:start w:val="1"/>
      <w:numFmt w:val="bullet"/>
      <w:lvlText w:val=""/>
      <w:lvlJc w:val="left"/>
      <w:pPr>
        <w:tabs>
          <w:tab w:val="left" w:pos="3060"/>
        </w:tabs>
        <w:ind w:left="3060" w:hanging="420"/>
      </w:pPr>
      <w:rPr>
        <w:rFonts w:hint="default" w:ascii="Wingdings" w:hAnsi="Wingdings"/>
      </w:rPr>
    </w:lvl>
    <w:lvl w:ilvl="5" w:tentative="0">
      <w:start w:val="1"/>
      <w:numFmt w:val="bullet"/>
      <w:lvlText w:val=""/>
      <w:lvlJc w:val="left"/>
      <w:pPr>
        <w:tabs>
          <w:tab w:val="left" w:pos="3480"/>
        </w:tabs>
        <w:ind w:left="3480" w:hanging="420"/>
      </w:pPr>
      <w:rPr>
        <w:rFonts w:hint="default" w:ascii="Wingdings" w:hAnsi="Wingdings"/>
      </w:rPr>
    </w:lvl>
    <w:lvl w:ilvl="6" w:tentative="0">
      <w:start w:val="1"/>
      <w:numFmt w:val="bullet"/>
      <w:lvlText w:val=""/>
      <w:lvlJc w:val="left"/>
      <w:pPr>
        <w:tabs>
          <w:tab w:val="left" w:pos="3900"/>
        </w:tabs>
        <w:ind w:left="3900" w:hanging="420"/>
      </w:pPr>
      <w:rPr>
        <w:rFonts w:hint="default" w:ascii="Wingdings" w:hAnsi="Wingdings"/>
      </w:rPr>
    </w:lvl>
    <w:lvl w:ilvl="7" w:tentative="0">
      <w:start w:val="1"/>
      <w:numFmt w:val="bullet"/>
      <w:lvlText w:val=""/>
      <w:lvlJc w:val="left"/>
      <w:pPr>
        <w:tabs>
          <w:tab w:val="left" w:pos="4320"/>
        </w:tabs>
        <w:ind w:left="4320" w:hanging="420"/>
      </w:pPr>
      <w:rPr>
        <w:rFonts w:hint="default" w:ascii="Wingdings" w:hAnsi="Wingdings"/>
      </w:rPr>
    </w:lvl>
    <w:lvl w:ilvl="8" w:tentative="0">
      <w:start w:val="1"/>
      <w:numFmt w:val="bullet"/>
      <w:lvlText w:val=""/>
      <w:lvlJc w:val="left"/>
      <w:pPr>
        <w:tabs>
          <w:tab w:val="left" w:pos="4740"/>
        </w:tabs>
        <w:ind w:left="4740" w:hanging="420"/>
      </w:pPr>
      <w:rPr>
        <w:rFonts w:hint="default" w:ascii="Wingdings" w:hAnsi="Wingdings"/>
      </w:rPr>
    </w:lvl>
  </w:abstractNum>
  <w:abstractNum w:abstractNumId="5">
    <w:nsid w:val="316D574D"/>
    <w:multiLevelType w:val="multilevel"/>
    <w:tmpl w:val="316D574D"/>
    <w:lvl w:ilvl="0" w:tentative="0">
      <w:start w:val="1"/>
      <w:numFmt w:val="decimal"/>
      <w:lvlText w:val="%1)"/>
      <w:lvlJc w:val="left"/>
      <w:pPr>
        <w:ind w:left="1300" w:hanging="420"/>
      </w:pPr>
    </w:lvl>
    <w:lvl w:ilvl="1" w:tentative="0">
      <w:start w:val="1"/>
      <w:numFmt w:val="lowerLetter"/>
      <w:lvlText w:val="%2)"/>
      <w:lvlJc w:val="left"/>
      <w:pPr>
        <w:ind w:left="1720" w:hanging="420"/>
      </w:pPr>
    </w:lvl>
    <w:lvl w:ilvl="2" w:tentative="0">
      <w:start w:val="1"/>
      <w:numFmt w:val="lowerRoman"/>
      <w:lvlText w:val="%3."/>
      <w:lvlJc w:val="right"/>
      <w:pPr>
        <w:ind w:left="2140" w:hanging="420"/>
      </w:pPr>
    </w:lvl>
    <w:lvl w:ilvl="3" w:tentative="0">
      <w:start w:val="1"/>
      <w:numFmt w:val="decimal"/>
      <w:lvlText w:val="%4."/>
      <w:lvlJc w:val="left"/>
      <w:pPr>
        <w:ind w:left="2560" w:hanging="420"/>
      </w:pPr>
    </w:lvl>
    <w:lvl w:ilvl="4" w:tentative="0">
      <w:start w:val="1"/>
      <w:numFmt w:val="lowerLetter"/>
      <w:lvlText w:val="%5)"/>
      <w:lvlJc w:val="left"/>
      <w:pPr>
        <w:ind w:left="2980" w:hanging="420"/>
      </w:pPr>
    </w:lvl>
    <w:lvl w:ilvl="5" w:tentative="0">
      <w:start w:val="1"/>
      <w:numFmt w:val="lowerRoman"/>
      <w:lvlText w:val="%6."/>
      <w:lvlJc w:val="right"/>
      <w:pPr>
        <w:ind w:left="3400" w:hanging="420"/>
      </w:pPr>
    </w:lvl>
    <w:lvl w:ilvl="6" w:tentative="0">
      <w:start w:val="1"/>
      <w:numFmt w:val="decimal"/>
      <w:lvlText w:val="%7."/>
      <w:lvlJc w:val="left"/>
      <w:pPr>
        <w:ind w:left="3820" w:hanging="420"/>
      </w:pPr>
    </w:lvl>
    <w:lvl w:ilvl="7" w:tentative="0">
      <w:start w:val="1"/>
      <w:numFmt w:val="lowerLetter"/>
      <w:lvlText w:val="%8)"/>
      <w:lvlJc w:val="left"/>
      <w:pPr>
        <w:ind w:left="4240" w:hanging="420"/>
      </w:pPr>
    </w:lvl>
    <w:lvl w:ilvl="8" w:tentative="0">
      <w:start w:val="1"/>
      <w:numFmt w:val="lowerRoman"/>
      <w:lvlText w:val="%9."/>
      <w:lvlJc w:val="right"/>
      <w:pPr>
        <w:ind w:left="4660" w:hanging="420"/>
      </w:pPr>
    </w:lvl>
  </w:abstractNum>
  <w:abstractNum w:abstractNumId="6">
    <w:nsid w:val="417E45E0"/>
    <w:multiLevelType w:val="multilevel"/>
    <w:tmpl w:val="417E45E0"/>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461E2BAC"/>
    <w:multiLevelType w:val="multilevel"/>
    <w:tmpl w:val="461E2BAC"/>
    <w:lvl w:ilvl="0" w:tentative="0">
      <w:start w:val="1"/>
      <w:numFmt w:val="decimal"/>
      <w:lvlText w:val="%1)"/>
      <w:lvlJc w:val="left"/>
      <w:pPr>
        <w:ind w:left="1240" w:hanging="420"/>
      </w:pPr>
    </w:lvl>
    <w:lvl w:ilvl="1" w:tentative="0">
      <w:start w:val="1"/>
      <w:numFmt w:val="lowerLetter"/>
      <w:lvlText w:val="%2)"/>
      <w:lvlJc w:val="left"/>
      <w:pPr>
        <w:ind w:left="1660" w:hanging="420"/>
      </w:pPr>
    </w:lvl>
    <w:lvl w:ilvl="2" w:tentative="0">
      <w:start w:val="1"/>
      <w:numFmt w:val="lowerRoman"/>
      <w:lvlText w:val="%3."/>
      <w:lvlJc w:val="right"/>
      <w:pPr>
        <w:ind w:left="2080" w:hanging="420"/>
      </w:pPr>
    </w:lvl>
    <w:lvl w:ilvl="3" w:tentative="0">
      <w:start w:val="1"/>
      <w:numFmt w:val="decimal"/>
      <w:lvlText w:val="%4."/>
      <w:lvlJc w:val="left"/>
      <w:pPr>
        <w:ind w:left="2500" w:hanging="420"/>
      </w:pPr>
    </w:lvl>
    <w:lvl w:ilvl="4" w:tentative="0">
      <w:start w:val="1"/>
      <w:numFmt w:val="lowerLetter"/>
      <w:lvlText w:val="%5)"/>
      <w:lvlJc w:val="left"/>
      <w:pPr>
        <w:ind w:left="2920" w:hanging="420"/>
      </w:pPr>
    </w:lvl>
    <w:lvl w:ilvl="5" w:tentative="0">
      <w:start w:val="1"/>
      <w:numFmt w:val="lowerRoman"/>
      <w:lvlText w:val="%6."/>
      <w:lvlJc w:val="right"/>
      <w:pPr>
        <w:ind w:left="3340" w:hanging="420"/>
      </w:pPr>
    </w:lvl>
    <w:lvl w:ilvl="6" w:tentative="0">
      <w:start w:val="1"/>
      <w:numFmt w:val="decimal"/>
      <w:lvlText w:val="%7."/>
      <w:lvlJc w:val="left"/>
      <w:pPr>
        <w:ind w:left="3760" w:hanging="420"/>
      </w:pPr>
    </w:lvl>
    <w:lvl w:ilvl="7" w:tentative="0">
      <w:start w:val="1"/>
      <w:numFmt w:val="lowerLetter"/>
      <w:lvlText w:val="%8)"/>
      <w:lvlJc w:val="left"/>
      <w:pPr>
        <w:ind w:left="4180" w:hanging="420"/>
      </w:pPr>
    </w:lvl>
    <w:lvl w:ilvl="8" w:tentative="0">
      <w:start w:val="1"/>
      <w:numFmt w:val="lowerRoman"/>
      <w:lvlText w:val="%9."/>
      <w:lvlJc w:val="right"/>
      <w:pPr>
        <w:ind w:left="4600" w:hanging="420"/>
      </w:pPr>
    </w:lvl>
  </w:abstractNum>
  <w:abstractNum w:abstractNumId="8">
    <w:nsid w:val="542F4E91"/>
    <w:multiLevelType w:val="multilevel"/>
    <w:tmpl w:val="542F4E91"/>
    <w:lvl w:ilvl="0" w:tentative="0">
      <w:start w:val="1"/>
      <w:numFmt w:val="decimal"/>
      <w:pStyle w:val="125"/>
      <w:lvlText w:val="%1、"/>
      <w:lvlJc w:val="left"/>
      <w:pPr>
        <w:tabs>
          <w:tab w:val="left" w:pos="960"/>
        </w:tabs>
        <w:ind w:left="96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9">
    <w:nsid w:val="55973B24"/>
    <w:multiLevelType w:val="multilevel"/>
    <w:tmpl w:val="55973B24"/>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0">
    <w:nsid w:val="6BD879AA"/>
    <w:multiLevelType w:val="multilevel"/>
    <w:tmpl w:val="6BD879AA"/>
    <w:lvl w:ilvl="0" w:tentative="0">
      <w:start w:val="1"/>
      <w:numFmt w:val="bullet"/>
      <w:pStyle w:val="104"/>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1">
    <w:nsid w:val="6EE81BF5"/>
    <w:multiLevelType w:val="multilevel"/>
    <w:tmpl w:val="6EE81BF5"/>
    <w:lvl w:ilvl="0" w:tentative="0">
      <w:start w:val="1"/>
      <w:numFmt w:val="bullet"/>
      <w:lvlText w:val="•"/>
      <w:lvlJc w:val="left"/>
      <w:pPr>
        <w:ind w:left="1259" w:hanging="420"/>
      </w:pPr>
      <w:rPr>
        <w:rFonts w:hint="default" w:ascii="Arial" w:hAnsi="Arial"/>
      </w:rPr>
    </w:lvl>
    <w:lvl w:ilvl="1" w:tentative="0">
      <w:start w:val="1"/>
      <w:numFmt w:val="bullet"/>
      <w:lvlText w:val=""/>
      <w:lvlJc w:val="left"/>
      <w:pPr>
        <w:ind w:left="1679" w:hanging="420"/>
      </w:pPr>
      <w:rPr>
        <w:rFonts w:hint="default" w:ascii="Wingdings" w:hAnsi="Wingdings"/>
      </w:rPr>
    </w:lvl>
    <w:lvl w:ilvl="2" w:tentative="0">
      <w:start w:val="1"/>
      <w:numFmt w:val="bullet"/>
      <w:lvlText w:val=""/>
      <w:lvlJc w:val="left"/>
      <w:pPr>
        <w:ind w:left="2099" w:hanging="420"/>
      </w:pPr>
      <w:rPr>
        <w:rFonts w:hint="default" w:ascii="Wingdings" w:hAnsi="Wingdings"/>
      </w:rPr>
    </w:lvl>
    <w:lvl w:ilvl="3" w:tentative="0">
      <w:start w:val="1"/>
      <w:numFmt w:val="bullet"/>
      <w:lvlText w:val=""/>
      <w:lvlJc w:val="left"/>
      <w:pPr>
        <w:ind w:left="2519" w:hanging="420"/>
      </w:pPr>
      <w:rPr>
        <w:rFonts w:hint="default" w:ascii="Wingdings" w:hAnsi="Wingdings"/>
      </w:rPr>
    </w:lvl>
    <w:lvl w:ilvl="4" w:tentative="0">
      <w:start w:val="1"/>
      <w:numFmt w:val="bullet"/>
      <w:lvlText w:val=""/>
      <w:lvlJc w:val="left"/>
      <w:pPr>
        <w:ind w:left="2939" w:hanging="420"/>
      </w:pPr>
      <w:rPr>
        <w:rFonts w:hint="default" w:ascii="Wingdings" w:hAnsi="Wingdings"/>
      </w:rPr>
    </w:lvl>
    <w:lvl w:ilvl="5" w:tentative="0">
      <w:start w:val="1"/>
      <w:numFmt w:val="bullet"/>
      <w:lvlText w:val=""/>
      <w:lvlJc w:val="left"/>
      <w:pPr>
        <w:ind w:left="3359" w:hanging="420"/>
      </w:pPr>
      <w:rPr>
        <w:rFonts w:hint="default" w:ascii="Wingdings" w:hAnsi="Wingdings"/>
      </w:rPr>
    </w:lvl>
    <w:lvl w:ilvl="6" w:tentative="0">
      <w:start w:val="1"/>
      <w:numFmt w:val="bullet"/>
      <w:lvlText w:val=""/>
      <w:lvlJc w:val="left"/>
      <w:pPr>
        <w:ind w:left="3779" w:hanging="420"/>
      </w:pPr>
      <w:rPr>
        <w:rFonts w:hint="default" w:ascii="Wingdings" w:hAnsi="Wingdings"/>
      </w:rPr>
    </w:lvl>
    <w:lvl w:ilvl="7" w:tentative="0">
      <w:start w:val="1"/>
      <w:numFmt w:val="bullet"/>
      <w:lvlText w:val=""/>
      <w:lvlJc w:val="left"/>
      <w:pPr>
        <w:ind w:left="4199" w:hanging="420"/>
      </w:pPr>
      <w:rPr>
        <w:rFonts w:hint="default" w:ascii="Wingdings" w:hAnsi="Wingdings"/>
      </w:rPr>
    </w:lvl>
    <w:lvl w:ilvl="8" w:tentative="0">
      <w:start w:val="1"/>
      <w:numFmt w:val="bullet"/>
      <w:lvlText w:val=""/>
      <w:lvlJc w:val="left"/>
      <w:pPr>
        <w:ind w:left="4619" w:hanging="420"/>
      </w:pPr>
      <w:rPr>
        <w:rFonts w:hint="default" w:ascii="Wingdings" w:hAnsi="Wingdings"/>
      </w:rPr>
    </w:lvl>
  </w:abstractNum>
  <w:abstractNum w:abstractNumId="12">
    <w:nsid w:val="714C3954"/>
    <w:multiLevelType w:val="multilevel"/>
    <w:tmpl w:val="714C3954"/>
    <w:lvl w:ilvl="0" w:tentative="0">
      <w:start w:val="1"/>
      <w:numFmt w:val="bullet"/>
      <w:pStyle w:val="131"/>
      <w:lvlText w:val=""/>
      <w:lvlJc w:val="left"/>
      <w:pPr>
        <w:tabs>
          <w:tab w:val="left" w:pos="620"/>
        </w:tabs>
        <w:ind w:left="620" w:hanging="420"/>
      </w:pPr>
      <w:rPr>
        <w:rFonts w:hint="default" w:ascii="Wingdings" w:hAnsi="Wingdings"/>
      </w:rPr>
    </w:lvl>
    <w:lvl w:ilvl="1" w:tentative="0">
      <w:start w:val="1"/>
      <w:numFmt w:val="decimal"/>
      <w:lvlText w:val="%2)"/>
      <w:lvlJc w:val="left"/>
      <w:pPr>
        <w:tabs>
          <w:tab w:val="left" w:pos="840"/>
        </w:tabs>
        <w:ind w:left="840" w:hanging="420"/>
      </w:pPr>
      <w:rPr>
        <w:rFonts w:hint="default"/>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3">
    <w:nsid w:val="778D393B"/>
    <w:multiLevelType w:val="multilevel"/>
    <w:tmpl w:val="778D393B"/>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7B181911"/>
    <w:multiLevelType w:val="multilevel"/>
    <w:tmpl w:val="7B181911"/>
    <w:lvl w:ilvl="0" w:tentative="0">
      <w:start w:val="1"/>
      <w:numFmt w:val="bullet"/>
      <w:lvlText w:val=""/>
      <w:lvlJc w:val="left"/>
      <w:pPr>
        <w:ind w:left="780" w:hanging="360"/>
      </w:pPr>
      <w:rPr>
        <w:rFonts w:hint="default" w:ascii="Wingdings" w:hAnsi="Wingding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7CC3C27E"/>
    <w:multiLevelType w:val="singleLevel"/>
    <w:tmpl w:val="7CC3C27E"/>
    <w:lvl w:ilvl="0" w:tentative="0">
      <w:start w:val="1"/>
      <w:numFmt w:val="decimal"/>
      <w:pStyle w:val="77"/>
      <w:lvlText w:val="(%1)"/>
      <w:lvlJc w:val="left"/>
      <w:pPr>
        <w:ind w:left="425" w:hanging="425"/>
      </w:pPr>
      <w:rPr>
        <w:rFonts w:hint="default"/>
      </w:rPr>
    </w:lvl>
  </w:abstractNum>
  <w:num w:numId="1">
    <w:abstractNumId w:val="15"/>
  </w:num>
  <w:num w:numId="2">
    <w:abstractNumId w:val="0"/>
  </w:num>
  <w:num w:numId="3">
    <w:abstractNumId w:val="10"/>
  </w:num>
  <w:num w:numId="4">
    <w:abstractNumId w:val="2"/>
  </w:num>
  <w:num w:numId="5">
    <w:abstractNumId w:val="4"/>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5"/>
  </w:num>
  <w:num w:numId="9">
    <w:abstractNumId w:val="7"/>
  </w:num>
  <w:num w:numId="10">
    <w:abstractNumId w:val="1"/>
  </w:num>
  <w:num w:numId="11">
    <w:abstractNumId w:val="9"/>
  </w:num>
  <w:num w:numId="12">
    <w:abstractNumId w:val="3"/>
  </w:num>
  <w:num w:numId="13">
    <w:abstractNumId w:val="11"/>
  </w:num>
  <w:num w:numId="14">
    <w:abstractNumId w:val="14"/>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trackRevisions w:val="true"/>
  <w:documentProtection w:enforcement="0"/>
  <w:defaultTabStop w:val="420"/>
  <w:doNotHyphenateCaps/>
  <w:drawingGridVerticalSpacing w:val="156"/>
  <w:displayHorizontalDrawingGridEvery w:val="1"/>
  <w:displayVerticalDrawingGridEvery w:val="1"/>
  <w:noPunctuationKerning w:val="true"/>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 w:name="KSO_WPS_MARK_KEY" w:val="65d34761-4703-4edb-afb2-c85fb610c406"/>
  </w:docVars>
  <w:rsids>
    <w:rsidRoot w:val="00FB57A8"/>
    <w:rsid w:val="00001798"/>
    <w:rsid w:val="00016876"/>
    <w:rsid w:val="0001736B"/>
    <w:rsid w:val="00021FC1"/>
    <w:rsid w:val="0002486F"/>
    <w:rsid w:val="00024CEE"/>
    <w:rsid w:val="00025A58"/>
    <w:rsid w:val="00026E71"/>
    <w:rsid w:val="0003726D"/>
    <w:rsid w:val="00040BF5"/>
    <w:rsid w:val="00044DD0"/>
    <w:rsid w:val="000474B5"/>
    <w:rsid w:val="000510D7"/>
    <w:rsid w:val="0005402E"/>
    <w:rsid w:val="000546BA"/>
    <w:rsid w:val="000558C5"/>
    <w:rsid w:val="00062A5C"/>
    <w:rsid w:val="0007152B"/>
    <w:rsid w:val="00080901"/>
    <w:rsid w:val="00081C75"/>
    <w:rsid w:val="00086D1E"/>
    <w:rsid w:val="000879C5"/>
    <w:rsid w:val="00092F6E"/>
    <w:rsid w:val="00093985"/>
    <w:rsid w:val="000A0488"/>
    <w:rsid w:val="000A0591"/>
    <w:rsid w:val="000A2C3A"/>
    <w:rsid w:val="000A36CD"/>
    <w:rsid w:val="000A4CF3"/>
    <w:rsid w:val="000B64B1"/>
    <w:rsid w:val="000B65CF"/>
    <w:rsid w:val="000B7895"/>
    <w:rsid w:val="000C48B2"/>
    <w:rsid w:val="000C4AF0"/>
    <w:rsid w:val="000D6A5B"/>
    <w:rsid w:val="000E241B"/>
    <w:rsid w:val="000E3875"/>
    <w:rsid w:val="000E7EE9"/>
    <w:rsid w:val="000F58E9"/>
    <w:rsid w:val="000F6249"/>
    <w:rsid w:val="0010660B"/>
    <w:rsid w:val="00110EF5"/>
    <w:rsid w:val="00111562"/>
    <w:rsid w:val="00113CDB"/>
    <w:rsid w:val="00114E5F"/>
    <w:rsid w:val="00116B6D"/>
    <w:rsid w:val="001218FB"/>
    <w:rsid w:val="001246E6"/>
    <w:rsid w:val="00125173"/>
    <w:rsid w:val="00125795"/>
    <w:rsid w:val="00126B92"/>
    <w:rsid w:val="00126CCF"/>
    <w:rsid w:val="0013074D"/>
    <w:rsid w:val="001323DD"/>
    <w:rsid w:val="00132EDB"/>
    <w:rsid w:val="001429D5"/>
    <w:rsid w:val="00151283"/>
    <w:rsid w:val="001577F6"/>
    <w:rsid w:val="00160ADB"/>
    <w:rsid w:val="00162612"/>
    <w:rsid w:val="00163B4B"/>
    <w:rsid w:val="00171B43"/>
    <w:rsid w:val="00172281"/>
    <w:rsid w:val="001752AA"/>
    <w:rsid w:val="001776DD"/>
    <w:rsid w:val="00181F44"/>
    <w:rsid w:val="00183531"/>
    <w:rsid w:val="00184AEA"/>
    <w:rsid w:val="0019177E"/>
    <w:rsid w:val="001924F9"/>
    <w:rsid w:val="00194A5D"/>
    <w:rsid w:val="001A0B0F"/>
    <w:rsid w:val="001A251D"/>
    <w:rsid w:val="001A72E4"/>
    <w:rsid w:val="001C7949"/>
    <w:rsid w:val="001D0541"/>
    <w:rsid w:val="001D1598"/>
    <w:rsid w:val="001D159B"/>
    <w:rsid w:val="001D1741"/>
    <w:rsid w:val="001D2D02"/>
    <w:rsid w:val="001D2FE5"/>
    <w:rsid w:val="001D467C"/>
    <w:rsid w:val="001D7518"/>
    <w:rsid w:val="001E7463"/>
    <w:rsid w:val="001F7B91"/>
    <w:rsid w:val="002011EF"/>
    <w:rsid w:val="00203746"/>
    <w:rsid w:val="002066FD"/>
    <w:rsid w:val="00206AB4"/>
    <w:rsid w:val="00210FFA"/>
    <w:rsid w:val="00212441"/>
    <w:rsid w:val="00214040"/>
    <w:rsid w:val="002154C8"/>
    <w:rsid w:val="00220671"/>
    <w:rsid w:val="002226DE"/>
    <w:rsid w:val="0022591E"/>
    <w:rsid w:val="00226060"/>
    <w:rsid w:val="00230421"/>
    <w:rsid w:val="002323A8"/>
    <w:rsid w:val="002327F0"/>
    <w:rsid w:val="00235BDA"/>
    <w:rsid w:val="0023643E"/>
    <w:rsid w:val="00243580"/>
    <w:rsid w:val="00245F5D"/>
    <w:rsid w:val="00250FA2"/>
    <w:rsid w:val="0025751D"/>
    <w:rsid w:val="00271D6C"/>
    <w:rsid w:val="00273141"/>
    <w:rsid w:val="00274068"/>
    <w:rsid w:val="002918A5"/>
    <w:rsid w:val="00293E71"/>
    <w:rsid w:val="0029442F"/>
    <w:rsid w:val="00294875"/>
    <w:rsid w:val="002A148D"/>
    <w:rsid w:val="002A24EB"/>
    <w:rsid w:val="002B2538"/>
    <w:rsid w:val="002B6B2D"/>
    <w:rsid w:val="002C4428"/>
    <w:rsid w:val="002D1BE9"/>
    <w:rsid w:val="002D3FA5"/>
    <w:rsid w:val="002D40B2"/>
    <w:rsid w:val="002E01C1"/>
    <w:rsid w:val="002E12A4"/>
    <w:rsid w:val="002E4F3C"/>
    <w:rsid w:val="002E5B01"/>
    <w:rsid w:val="002F29DA"/>
    <w:rsid w:val="002F6768"/>
    <w:rsid w:val="0030092A"/>
    <w:rsid w:val="00303226"/>
    <w:rsid w:val="0030554C"/>
    <w:rsid w:val="0031406B"/>
    <w:rsid w:val="00320EEF"/>
    <w:rsid w:val="00324AB4"/>
    <w:rsid w:val="00325E67"/>
    <w:rsid w:val="003277F3"/>
    <w:rsid w:val="003364B2"/>
    <w:rsid w:val="00337553"/>
    <w:rsid w:val="00341160"/>
    <w:rsid w:val="0034134A"/>
    <w:rsid w:val="003566FD"/>
    <w:rsid w:val="00361162"/>
    <w:rsid w:val="00363AC0"/>
    <w:rsid w:val="00364976"/>
    <w:rsid w:val="00366544"/>
    <w:rsid w:val="00373E26"/>
    <w:rsid w:val="00376314"/>
    <w:rsid w:val="00376504"/>
    <w:rsid w:val="00376A86"/>
    <w:rsid w:val="00382792"/>
    <w:rsid w:val="0038309C"/>
    <w:rsid w:val="00383AC2"/>
    <w:rsid w:val="00384197"/>
    <w:rsid w:val="00385461"/>
    <w:rsid w:val="00392CF1"/>
    <w:rsid w:val="00392F2B"/>
    <w:rsid w:val="00396F49"/>
    <w:rsid w:val="003A446A"/>
    <w:rsid w:val="003B017A"/>
    <w:rsid w:val="003B7611"/>
    <w:rsid w:val="003C0FC3"/>
    <w:rsid w:val="003C188D"/>
    <w:rsid w:val="003C354C"/>
    <w:rsid w:val="003C5B9C"/>
    <w:rsid w:val="003D18B0"/>
    <w:rsid w:val="003D45F9"/>
    <w:rsid w:val="003D666A"/>
    <w:rsid w:val="003D71EF"/>
    <w:rsid w:val="003E56AD"/>
    <w:rsid w:val="003E74C1"/>
    <w:rsid w:val="004061BB"/>
    <w:rsid w:val="004110B1"/>
    <w:rsid w:val="004334C2"/>
    <w:rsid w:val="00433729"/>
    <w:rsid w:val="00433894"/>
    <w:rsid w:val="004435DB"/>
    <w:rsid w:val="004513BC"/>
    <w:rsid w:val="004516D9"/>
    <w:rsid w:val="0045417B"/>
    <w:rsid w:val="00455EF5"/>
    <w:rsid w:val="00455FF4"/>
    <w:rsid w:val="00456B34"/>
    <w:rsid w:val="00457656"/>
    <w:rsid w:val="00460416"/>
    <w:rsid w:val="0046416C"/>
    <w:rsid w:val="004647C3"/>
    <w:rsid w:val="0046652B"/>
    <w:rsid w:val="00470351"/>
    <w:rsid w:val="00471FC3"/>
    <w:rsid w:val="00472E67"/>
    <w:rsid w:val="00476363"/>
    <w:rsid w:val="0047655C"/>
    <w:rsid w:val="004819AA"/>
    <w:rsid w:val="00486369"/>
    <w:rsid w:val="0049057F"/>
    <w:rsid w:val="004924E6"/>
    <w:rsid w:val="00492D57"/>
    <w:rsid w:val="00493D98"/>
    <w:rsid w:val="004944E7"/>
    <w:rsid w:val="004947B6"/>
    <w:rsid w:val="00497EE0"/>
    <w:rsid w:val="004A215E"/>
    <w:rsid w:val="004A7ABE"/>
    <w:rsid w:val="004B0730"/>
    <w:rsid w:val="004B1889"/>
    <w:rsid w:val="004B31D3"/>
    <w:rsid w:val="004B626E"/>
    <w:rsid w:val="004B733D"/>
    <w:rsid w:val="004B7AB8"/>
    <w:rsid w:val="004C47E7"/>
    <w:rsid w:val="004C68E0"/>
    <w:rsid w:val="004D15A5"/>
    <w:rsid w:val="004D1C16"/>
    <w:rsid w:val="004D319A"/>
    <w:rsid w:val="004D54DD"/>
    <w:rsid w:val="004D5FEC"/>
    <w:rsid w:val="004D687B"/>
    <w:rsid w:val="004E0A75"/>
    <w:rsid w:val="004E3C50"/>
    <w:rsid w:val="004E3CEF"/>
    <w:rsid w:val="004E53F2"/>
    <w:rsid w:val="004E60E9"/>
    <w:rsid w:val="004E6E8D"/>
    <w:rsid w:val="004F1679"/>
    <w:rsid w:val="004F33EB"/>
    <w:rsid w:val="004F621C"/>
    <w:rsid w:val="004F6277"/>
    <w:rsid w:val="005021D9"/>
    <w:rsid w:val="005063B0"/>
    <w:rsid w:val="00511B6B"/>
    <w:rsid w:val="005130C8"/>
    <w:rsid w:val="00514BD2"/>
    <w:rsid w:val="00514C0F"/>
    <w:rsid w:val="00521466"/>
    <w:rsid w:val="00521DB9"/>
    <w:rsid w:val="0052470B"/>
    <w:rsid w:val="00524FD9"/>
    <w:rsid w:val="005253EB"/>
    <w:rsid w:val="005256C9"/>
    <w:rsid w:val="0053097C"/>
    <w:rsid w:val="00531008"/>
    <w:rsid w:val="005333B2"/>
    <w:rsid w:val="0053679F"/>
    <w:rsid w:val="005413C5"/>
    <w:rsid w:val="00545E2C"/>
    <w:rsid w:val="00547A8A"/>
    <w:rsid w:val="00552B13"/>
    <w:rsid w:val="00556952"/>
    <w:rsid w:val="005571B8"/>
    <w:rsid w:val="0056312D"/>
    <w:rsid w:val="00563466"/>
    <w:rsid w:val="0056415C"/>
    <w:rsid w:val="005832D9"/>
    <w:rsid w:val="0058797E"/>
    <w:rsid w:val="00591112"/>
    <w:rsid w:val="00595131"/>
    <w:rsid w:val="005A1A4C"/>
    <w:rsid w:val="005B557F"/>
    <w:rsid w:val="005B75C7"/>
    <w:rsid w:val="005C0BB5"/>
    <w:rsid w:val="005C7733"/>
    <w:rsid w:val="005D0AEE"/>
    <w:rsid w:val="005D1367"/>
    <w:rsid w:val="005D1417"/>
    <w:rsid w:val="005D188C"/>
    <w:rsid w:val="005D20BD"/>
    <w:rsid w:val="005D32EE"/>
    <w:rsid w:val="005E2253"/>
    <w:rsid w:val="005E79AE"/>
    <w:rsid w:val="005F599B"/>
    <w:rsid w:val="005F79DA"/>
    <w:rsid w:val="005F7B99"/>
    <w:rsid w:val="006017C5"/>
    <w:rsid w:val="00601A36"/>
    <w:rsid w:val="00605A10"/>
    <w:rsid w:val="00610934"/>
    <w:rsid w:val="00622956"/>
    <w:rsid w:val="00622D5C"/>
    <w:rsid w:val="00630790"/>
    <w:rsid w:val="006308D4"/>
    <w:rsid w:val="006441CF"/>
    <w:rsid w:val="00644619"/>
    <w:rsid w:val="006446AC"/>
    <w:rsid w:val="00650408"/>
    <w:rsid w:val="006668A2"/>
    <w:rsid w:val="006708AB"/>
    <w:rsid w:val="0067092D"/>
    <w:rsid w:val="00672A1D"/>
    <w:rsid w:val="006737D6"/>
    <w:rsid w:val="006737EC"/>
    <w:rsid w:val="0068295D"/>
    <w:rsid w:val="006878A0"/>
    <w:rsid w:val="00696C28"/>
    <w:rsid w:val="00697575"/>
    <w:rsid w:val="006A7673"/>
    <w:rsid w:val="006A7FE8"/>
    <w:rsid w:val="006B2011"/>
    <w:rsid w:val="006B4C08"/>
    <w:rsid w:val="006C4FED"/>
    <w:rsid w:val="006D788E"/>
    <w:rsid w:val="006E0A34"/>
    <w:rsid w:val="006E6F23"/>
    <w:rsid w:val="006F5C1B"/>
    <w:rsid w:val="006F79A0"/>
    <w:rsid w:val="006F7F85"/>
    <w:rsid w:val="00700459"/>
    <w:rsid w:val="00705000"/>
    <w:rsid w:val="007108B9"/>
    <w:rsid w:val="00710A59"/>
    <w:rsid w:val="0071290D"/>
    <w:rsid w:val="00714441"/>
    <w:rsid w:val="00714EC0"/>
    <w:rsid w:val="007156ED"/>
    <w:rsid w:val="00741997"/>
    <w:rsid w:val="007442C1"/>
    <w:rsid w:val="007444DC"/>
    <w:rsid w:val="00745C25"/>
    <w:rsid w:val="00754514"/>
    <w:rsid w:val="007642CC"/>
    <w:rsid w:val="00764CB3"/>
    <w:rsid w:val="007652DD"/>
    <w:rsid w:val="007712F5"/>
    <w:rsid w:val="00772C61"/>
    <w:rsid w:val="007755DE"/>
    <w:rsid w:val="00775635"/>
    <w:rsid w:val="00775D14"/>
    <w:rsid w:val="00777E54"/>
    <w:rsid w:val="00781191"/>
    <w:rsid w:val="00785298"/>
    <w:rsid w:val="0079197A"/>
    <w:rsid w:val="00795EC9"/>
    <w:rsid w:val="007A0959"/>
    <w:rsid w:val="007A7A2E"/>
    <w:rsid w:val="007B0E83"/>
    <w:rsid w:val="007B639B"/>
    <w:rsid w:val="007C0120"/>
    <w:rsid w:val="007C0A9E"/>
    <w:rsid w:val="007C0E4C"/>
    <w:rsid w:val="007C3D3A"/>
    <w:rsid w:val="007C4A5C"/>
    <w:rsid w:val="007D32FE"/>
    <w:rsid w:val="007D4528"/>
    <w:rsid w:val="007E15AA"/>
    <w:rsid w:val="007E241E"/>
    <w:rsid w:val="007E40EC"/>
    <w:rsid w:val="007F0A5B"/>
    <w:rsid w:val="007F2AA9"/>
    <w:rsid w:val="007F49D6"/>
    <w:rsid w:val="00805EF3"/>
    <w:rsid w:val="008065F7"/>
    <w:rsid w:val="00811E3B"/>
    <w:rsid w:val="008123D3"/>
    <w:rsid w:val="00812CAE"/>
    <w:rsid w:val="00813ECD"/>
    <w:rsid w:val="00815F56"/>
    <w:rsid w:val="00817D55"/>
    <w:rsid w:val="00820E42"/>
    <w:rsid w:val="00820E83"/>
    <w:rsid w:val="008239EF"/>
    <w:rsid w:val="00832010"/>
    <w:rsid w:val="00832E3A"/>
    <w:rsid w:val="00835765"/>
    <w:rsid w:val="00835A10"/>
    <w:rsid w:val="00843B94"/>
    <w:rsid w:val="00843F62"/>
    <w:rsid w:val="008453F0"/>
    <w:rsid w:val="00851ABF"/>
    <w:rsid w:val="008520BD"/>
    <w:rsid w:val="00860299"/>
    <w:rsid w:val="008668C8"/>
    <w:rsid w:val="00873FC2"/>
    <w:rsid w:val="00876243"/>
    <w:rsid w:val="00876F02"/>
    <w:rsid w:val="00882138"/>
    <w:rsid w:val="0088294D"/>
    <w:rsid w:val="00882B0C"/>
    <w:rsid w:val="00887FE8"/>
    <w:rsid w:val="008909DB"/>
    <w:rsid w:val="0089380A"/>
    <w:rsid w:val="008A04A0"/>
    <w:rsid w:val="008A07F4"/>
    <w:rsid w:val="008B1603"/>
    <w:rsid w:val="008B66D5"/>
    <w:rsid w:val="008B6BBE"/>
    <w:rsid w:val="008C08E4"/>
    <w:rsid w:val="008C44D3"/>
    <w:rsid w:val="008C6080"/>
    <w:rsid w:val="008D037C"/>
    <w:rsid w:val="008D0789"/>
    <w:rsid w:val="008D2AAC"/>
    <w:rsid w:val="008D7E69"/>
    <w:rsid w:val="008E4E79"/>
    <w:rsid w:val="008F1AE4"/>
    <w:rsid w:val="008F1D7B"/>
    <w:rsid w:val="008F69D6"/>
    <w:rsid w:val="0090071B"/>
    <w:rsid w:val="00902460"/>
    <w:rsid w:val="009055EE"/>
    <w:rsid w:val="0090588C"/>
    <w:rsid w:val="00907474"/>
    <w:rsid w:val="00907BD7"/>
    <w:rsid w:val="009212F4"/>
    <w:rsid w:val="0092281A"/>
    <w:rsid w:val="009263A3"/>
    <w:rsid w:val="00927E69"/>
    <w:rsid w:val="009330D4"/>
    <w:rsid w:val="00940830"/>
    <w:rsid w:val="00945F36"/>
    <w:rsid w:val="00951CE1"/>
    <w:rsid w:val="009563FE"/>
    <w:rsid w:val="00960486"/>
    <w:rsid w:val="0096566A"/>
    <w:rsid w:val="0096782F"/>
    <w:rsid w:val="0097322B"/>
    <w:rsid w:val="0097353C"/>
    <w:rsid w:val="00974223"/>
    <w:rsid w:val="0097597C"/>
    <w:rsid w:val="0098077F"/>
    <w:rsid w:val="00983726"/>
    <w:rsid w:val="0098773A"/>
    <w:rsid w:val="00996C10"/>
    <w:rsid w:val="009A0A66"/>
    <w:rsid w:val="009A0D93"/>
    <w:rsid w:val="009A20B9"/>
    <w:rsid w:val="009A2424"/>
    <w:rsid w:val="009A2D75"/>
    <w:rsid w:val="009A4B56"/>
    <w:rsid w:val="009A54A3"/>
    <w:rsid w:val="009A60BF"/>
    <w:rsid w:val="009B312D"/>
    <w:rsid w:val="009B3548"/>
    <w:rsid w:val="009C5BD9"/>
    <w:rsid w:val="009D5B12"/>
    <w:rsid w:val="009D70CF"/>
    <w:rsid w:val="009D7594"/>
    <w:rsid w:val="009E3608"/>
    <w:rsid w:val="009E6E15"/>
    <w:rsid w:val="009E7D7B"/>
    <w:rsid w:val="009F4259"/>
    <w:rsid w:val="009F430A"/>
    <w:rsid w:val="009F49AD"/>
    <w:rsid w:val="009F542B"/>
    <w:rsid w:val="00A003B9"/>
    <w:rsid w:val="00A02A5D"/>
    <w:rsid w:val="00A061CF"/>
    <w:rsid w:val="00A06FBD"/>
    <w:rsid w:val="00A12041"/>
    <w:rsid w:val="00A204AC"/>
    <w:rsid w:val="00A21748"/>
    <w:rsid w:val="00A21C6C"/>
    <w:rsid w:val="00A26D1F"/>
    <w:rsid w:val="00A322C2"/>
    <w:rsid w:val="00A35C70"/>
    <w:rsid w:val="00A37372"/>
    <w:rsid w:val="00A37AA8"/>
    <w:rsid w:val="00A45339"/>
    <w:rsid w:val="00A52FCA"/>
    <w:rsid w:val="00A661FC"/>
    <w:rsid w:val="00A67BE5"/>
    <w:rsid w:val="00A7298C"/>
    <w:rsid w:val="00A777DB"/>
    <w:rsid w:val="00A85547"/>
    <w:rsid w:val="00A94B47"/>
    <w:rsid w:val="00A950ED"/>
    <w:rsid w:val="00A96C2A"/>
    <w:rsid w:val="00AA4A2E"/>
    <w:rsid w:val="00AA7F65"/>
    <w:rsid w:val="00AB40E9"/>
    <w:rsid w:val="00AB71ED"/>
    <w:rsid w:val="00AC0A36"/>
    <w:rsid w:val="00AC0E7D"/>
    <w:rsid w:val="00AC2677"/>
    <w:rsid w:val="00AC291E"/>
    <w:rsid w:val="00AC3240"/>
    <w:rsid w:val="00AC3F7C"/>
    <w:rsid w:val="00AC4EF1"/>
    <w:rsid w:val="00AC7523"/>
    <w:rsid w:val="00AD2995"/>
    <w:rsid w:val="00AD46DC"/>
    <w:rsid w:val="00AD7706"/>
    <w:rsid w:val="00AE043C"/>
    <w:rsid w:val="00AE29B8"/>
    <w:rsid w:val="00AE474C"/>
    <w:rsid w:val="00AF6153"/>
    <w:rsid w:val="00AF6F6B"/>
    <w:rsid w:val="00AF72AC"/>
    <w:rsid w:val="00B01656"/>
    <w:rsid w:val="00B0208E"/>
    <w:rsid w:val="00B04820"/>
    <w:rsid w:val="00B060BF"/>
    <w:rsid w:val="00B07843"/>
    <w:rsid w:val="00B1029C"/>
    <w:rsid w:val="00B11D59"/>
    <w:rsid w:val="00B150DE"/>
    <w:rsid w:val="00B169DF"/>
    <w:rsid w:val="00B22152"/>
    <w:rsid w:val="00B22833"/>
    <w:rsid w:val="00B24109"/>
    <w:rsid w:val="00B265AA"/>
    <w:rsid w:val="00B27BC8"/>
    <w:rsid w:val="00B32A0D"/>
    <w:rsid w:val="00B35E34"/>
    <w:rsid w:val="00B413F0"/>
    <w:rsid w:val="00B438CD"/>
    <w:rsid w:val="00B439E3"/>
    <w:rsid w:val="00B50A07"/>
    <w:rsid w:val="00B550B1"/>
    <w:rsid w:val="00B56084"/>
    <w:rsid w:val="00B56D32"/>
    <w:rsid w:val="00B62846"/>
    <w:rsid w:val="00B658FD"/>
    <w:rsid w:val="00B659B4"/>
    <w:rsid w:val="00B66476"/>
    <w:rsid w:val="00B66B1B"/>
    <w:rsid w:val="00B77D7F"/>
    <w:rsid w:val="00B812C8"/>
    <w:rsid w:val="00B83F90"/>
    <w:rsid w:val="00B859FD"/>
    <w:rsid w:val="00B96BEF"/>
    <w:rsid w:val="00B974F6"/>
    <w:rsid w:val="00B976D3"/>
    <w:rsid w:val="00BA0A4B"/>
    <w:rsid w:val="00BA131F"/>
    <w:rsid w:val="00BA355D"/>
    <w:rsid w:val="00BA38AB"/>
    <w:rsid w:val="00BA586F"/>
    <w:rsid w:val="00BB190B"/>
    <w:rsid w:val="00BB479F"/>
    <w:rsid w:val="00BB521D"/>
    <w:rsid w:val="00BB5F60"/>
    <w:rsid w:val="00BC0E91"/>
    <w:rsid w:val="00BC1627"/>
    <w:rsid w:val="00BC29E9"/>
    <w:rsid w:val="00BC6AE1"/>
    <w:rsid w:val="00BD44A5"/>
    <w:rsid w:val="00BD5738"/>
    <w:rsid w:val="00BD6C8D"/>
    <w:rsid w:val="00BD739C"/>
    <w:rsid w:val="00BE0815"/>
    <w:rsid w:val="00BE1848"/>
    <w:rsid w:val="00BE7EC9"/>
    <w:rsid w:val="00BF14FD"/>
    <w:rsid w:val="00BF1B13"/>
    <w:rsid w:val="00BF2A88"/>
    <w:rsid w:val="00BF32D7"/>
    <w:rsid w:val="00BF3B5E"/>
    <w:rsid w:val="00BF7CB2"/>
    <w:rsid w:val="00C01090"/>
    <w:rsid w:val="00C02CC0"/>
    <w:rsid w:val="00C03B9F"/>
    <w:rsid w:val="00C05ABD"/>
    <w:rsid w:val="00C113A7"/>
    <w:rsid w:val="00C1327B"/>
    <w:rsid w:val="00C16152"/>
    <w:rsid w:val="00C20BD7"/>
    <w:rsid w:val="00C23C4F"/>
    <w:rsid w:val="00C244EF"/>
    <w:rsid w:val="00C26617"/>
    <w:rsid w:val="00C2674E"/>
    <w:rsid w:val="00C27C43"/>
    <w:rsid w:val="00C30461"/>
    <w:rsid w:val="00C37971"/>
    <w:rsid w:val="00C430CF"/>
    <w:rsid w:val="00C51127"/>
    <w:rsid w:val="00C52F45"/>
    <w:rsid w:val="00C54DCD"/>
    <w:rsid w:val="00C563D0"/>
    <w:rsid w:val="00C6262F"/>
    <w:rsid w:val="00C628AF"/>
    <w:rsid w:val="00C723C0"/>
    <w:rsid w:val="00C72743"/>
    <w:rsid w:val="00C80540"/>
    <w:rsid w:val="00C81625"/>
    <w:rsid w:val="00C8167B"/>
    <w:rsid w:val="00C824D3"/>
    <w:rsid w:val="00C8361A"/>
    <w:rsid w:val="00C90B87"/>
    <w:rsid w:val="00C90C4F"/>
    <w:rsid w:val="00C92215"/>
    <w:rsid w:val="00C92293"/>
    <w:rsid w:val="00C924A3"/>
    <w:rsid w:val="00C938F1"/>
    <w:rsid w:val="00C94143"/>
    <w:rsid w:val="00C94A77"/>
    <w:rsid w:val="00C94E9F"/>
    <w:rsid w:val="00C956A3"/>
    <w:rsid w:val="00C9671D"/>
    <w:rsid w:val="00C97F12"/>
    <w:rsid w:val="00CA1C85"/>
    <w:rsid w:val="00CB3A07"/>
    <w:rsid w:val="00CB40CB"/>
    <w:rsid w:val="00CC1B24"/>
    <w:rsid w:val="00CD14B3"/>
    <w:rsid w:val="00CD2D38"/>
    <w:rsid w:val="00CD588F"/>
    <w:rsid w:val="00CD6FAB"/>
    <w:rsid w:val="00CE0DD6"/>
    <w:rsid w:val="00CE157C"/>
    <w:rsid w:val="00CE1A50"/>
    <w:rsid w:val="00CE283F"/>
    <w:rsid w:val="00CF53EA"/>
    <w:rsid w:val="00CF5A8C"/>
    <w:rsid w:val="00D00348"/>
    <w:rsid w:val="00D0256F"/>
    <w:rsid w:val="00D03359"/>
    <w:rsid w:val="00D05F95"/>
    <w:rsid w:val="00D13DE8"/>
    <w:rsid w:val="00D140D6"/>
    <w:rsid w:val="00D21D83"/>
    <w:rsid w:val="00D22575"/>
    <w:rsid w:val="00D2445F"/>
    <w:rsid w:val="00D255F9"/>
    <w:rsid w:val="00D41C4B"/>
    <w:rsid w:val="00D43688"/>
    <w:rsid w:val="00D448B0"/>
    <w:rsid w:val="00D47A2C"/>
    <w:rsid w:val="00D57600"/>
    <w:rsid w:val="00D66717"/>
    <w:rsid w:val="00D70528"/>
    <w:rsid w:val="00D70EE1"/>
    <w:rsid w:val="00D71D6F"/>
    <w:rsid w:val="00D770AF"/>
    <w:rsid w:val="00D7795E"/>
    <w:rsid w:val="00D80782"/>
    <w:rsid w:val="00D80787"/>
    <w:rsid w:val="00D80E83"/>
    <w:rsid w:val="00D830E3"/>
    <w:rsid w:val="00D85A3B"/>
    <w:rsid w:val="00D85FC5"/>
    <w:rsid w:val="00D94E2E"/>
    <w:rsid w:val="00DA1135"/>
    <w:rsid w:val="00DA24DA"/>
    <w:rsid w:val="00DA2CA9"/>
    <w:rsid w:val="00DA41F8"/>
    <w:rsid w:val="00DA78CB"/>
    <w:rsid w:val="00DB3DC2"/>
    <w:rsid w:val="00DB4203"/>
    <w:rsid w:val="00DB4DA3"/>
    <w:rsid w:val="00DB7CAD"/>
    <w:rsid w:val="00DC0A42"/>
    <w:rsid w:val="00DC3351"/>
    <w:rsid w:val="00DC3B79"/>
    <w:rsid w:val="00DC53A5"/>
    <w:rsid w:val="00DC6C64"/>
    <w:rsid w:val="00DD7BDE"/>
    <w:rsid w:val="00DE0ABE"/>
    <w:rsid w:val="00DE30C6"/>
    <w:rsid w:val="00DE38C4"/>
    <w:rsid w:val="00DE6A8D"/>
    <w:rsid w:val="00DF1BA8"/>
    <w:rsid w:val="00DF2D33"/>
    <w:rsid w:val="00E03B48"/>
    <w:rsid w:val="00E07A46"/>
    <w:rsid w:val="00E1191E"/>
    <w:rsid w:val="00E1192A"/>
    <w:rsid w:val="00E14927"/>
    <w:rsid w:val="00E24CDA"/>
    <w:rsid w:val="00E27DF7"/>
    <w:rsid w:val="00E33440"/>
    <w:rsid w:val="00E400A0"/>
    <w:rsid w:val="00E4047C"/>
    <w:rsid w:val="00E44A81"/>
    <w:rsid w:val="00E50E38"/>
    <w:rsid w:val="00E53293"/>
    <w:rsid w:val="00E57771"/>
    <w:rsid w:val="00E635AE"/>
    <w:rsid w:val="00E662F3"/>
    <w:rsid w:val="00E74361"/>
    <w:rsid w:val="00E75170"/>
    <w:rsid w:val="00E76D17"/>
    <w:rsid w:val="00E76FD8"/>
    <w:rsid w:val="00E813E5"/>
    <w:rsid w:val="00E83C00"/>
    <w:rsid w:val="00E90C46"/>
    <w:rsid w:val="00E90CFF"/>
    <w:rsid w:val="00E94696"/>
    <w:rsid w:val="00EB17E2"/>
    <w:rsid w:val="00EB2F15"/>
    <w:rsid w:val="00EB46D8"/>
    <w:rsid w:val="00EB5439"/>
    <w:rsid w:val="00EB6EF8"/>
    <w:rsid w:val="00EC0116"/>
    <w:rsid w:val="00EC0BFF"/>
    <w:rsid w:val="00EC2E78"/>
    <w:rsid w:val="00EC6E31"/>
    <w:rsid w:val="00ED2AC4"/>
    <w:rsid w:val="00ED2E35"/>
    <w:rsid w:val="00ED36E0"/>
    <w:rsid w:val="00ED5A2E"/>
    <w:rsid w:val="00EF1128"/>
    <w:rsid w:val="00EF1BFC"/>
    <w:rsid w:val="00F01B7C"/>
    <w:rsid w:val="00F02A6D"/>
    <w:rsid w:val="00F03B3E"/>
    <w:rsid w:val="00F10618"/>
    <w:rsid w:val="00F1372D"/>
    <w:rsid w:val="00F1493F"/>
    <w:rsid w:val="00F15525"/>
    <w:rsid w:val="00F16F19"/>
    <w:rsid w:val="00F171DC"/>
    <w:rsid w:val="00F24DC8"/>
    <w:rsid w:val="00F27CB5"/>
    <w:rsid w:val="00F30728"/>
    <w:rsid w:val="00F35D46"/>
    <w:rsid w:val="00F4784A"/>
    <w:rsid w:val="00F518BD"/>
    <w:rsid w:val="00F56416"/>
    <w:rsid w:val="00F60595"/>
    <w:rsid w:val="00F62505"/>
    <w:rsid w:val="00F661D6"/>
    <w:rsid w:val="00F67F62"/>
    <w:rsid w:val="00F7423C"/>
    <w:rsid w:val="00F76B9B"/>
    <w:rsid w:val="00F76FDA"/>
    <w:rsid w:val="00F817EE"/>
    <w:rsid w:val="00F85500"/>
    <w:rsid w:val="00F86F06"/>
    <w:rsid w:val="00F9011A"/>
    <w:rsid w:val="00F90562"/>
    <w:rsid w:val="00FA4F38"/>
    <w:rsid w:val="00FA601D"/>
    <w:rsid w:val="00FA6ABE"/>
    <w:rsid w:val="00FB094F"/>
    <w:rsid w:val="00FB1838"/>
    <w:rsid w:val="00FB37D0"/>
    <w:rsid w:val="00FB57A8"/>
    <w:rsid w:val="00FC1684"/>
    <w:rsid w:val="00FD06D4"/>
    <w:rsid w:val="00FD4D71"/>
    <w:rsid w:val="00FE756B"/>
    <w:rsid w:val="00FF3C3C"/>
    <w:rsid w:val="00FF4CF5"/>
    <w:rsid w:val="00FF52D0"/>
    <w:rsid w:val="02F247CC"/>
    <w:rsid w:val="02F82CD6"/>
    <w:rsid w:val="05453461"/>
    <w:rsid w:val="06120DFE"/>
    <w:rsid w:val="06277B8D"/>
    <w:rsid w:val="065A1D10"/>
    <w:rsid w:val="07046D8D"/>
    <w:rsid w:val="07D7554A"/>
    <w:rsid w:val="07D91D17"/>
    <w:rsid w:val="08136986"/>
    <w:rsid w:val="08482FE6"/>
    <w:rsid w:val="086C25CA"/>
    <w:rsid w:val="097D102A"/>
    <w:rsid w:val="0A766D81"/>
    <w:rsid w:val="0A83110A"/>
    <w:rsid w:val="0A997376"/>
    <w:rsid w:val="0AF65C36"/>
    <w:rsid w:val="0C136F47"/>
    <w:rsid w:val="0C9A7567"/>
    <w:rsid w:val="0D1234C3"/>
    <w:rsid w:val="0D3B0FD3"/>
    <w:rsid w:val="0D3B617E"/>
    <w:rsid w:val="0DB02A44"/>
    <w:rsid w:val="0E2E3441"/>
    <w:rsid w:val="0EF326FF"/>
    <w:rsid w:val="0F035B64"/>
    <w:rsid w:val="0F880195"/>
    <w:rsid w:val="0FE16FFE"/>
    <w:rsid w:val="10393BAA"/>
    <w:rsid w:val="106D0892"/>
    <w:rsid w:val="10A95343"/>
    <w:rsid w:val="10C65FC0"/>
    <w:rsid w:val="10CD0EE7"/>
    <w:rsid w:val="10E04C7A"/>
    <w:rsid w:val="112C1318"/>
    <w:rsid w:val="11F72B09"/>
    <w:rsid w:val="122A435A"/>
    <w:rsid w:val="12922832"/>
    <w:rsid w:val="1324792E"/>
    <w:rsid w:val="13E64BE3"/>
    <w:rsid w:val="13FE2D9A"/>
    <w:rsid w:val="14407F41"/>
    <w:rsid w:val="14787805"/>
    <w:rsid w:val="179D7824"/>
    <w:rsid w:val="17BC40B9"/>
    <w:rsid w:val="18E9004D"/>
    <w:rsid w:val="194C3354"/>
    <w:rsid w:val="1AB92FC1"/>
    <w:rsid w:val="1B084769"/>
    <w:rsid w:val="1B645938"/>
    <w:rsid w:val="1BB7FA39"/>
    <w:rsid w:val="1C1E0317"/>
    <w:rsid w:val="1C6F6E69"/>
    <w:rsid w:val="1D3C5B05"/>
    <w:rsid w:val="1DF77F22"/>
    <w:rsid w:val="1E697667"/>
    <w:rsid w:val="1F1E555E"/>
    <w:rsid w:val="1FBF52C5"/>
    <w:rsid w:val="1FBF65AD"/>
    <w:rsid w:val="21F5284F"/>
    <w:rsid w:val="22017DE0"/>
    <w:rsid w:val="221C75C0"/>
    <w:rsid w:val="22F547E9"/>
    <w:rsid w:val="23303F4C"/>
    <w:rsid w:val="238503D1"/>
    <w:rsid w:val="23AA0A62"/>
    <w:rsid w:val="245B443D"/>
    <w:rsid w:val="24DE624F"/>
    <w:rsid w:val="24E22490"/>
    <w:rsid w:val="254B5652"/>
    <w:rsid w:val="256419E9"/>
    <w:rsid w:val="25FC0296"/>
    <w:rsid w:val="264111FC"/>
    <w:rsid w:val="2713192D"/>
    <w:rsid w:val="27142199"/>
    <w:rsid w:val="27561C28"/>
    <w:rsid w:val="276C4AAF"/>
    <w:rsid w:val="277F2568"/>
    <w:rsid w:val="27A21B0F"/>
    <w:rsid w:val="27BA3B0B"/>
    <w:rsid w:val="28726438"/>
    <w:rsid w:val="28BC6805"/>
    <w:rsid w:val="294F185A"/>
    <w:rsid w:val="2A691145"/>
    <w:rsid w:val="2A96425F"/>
    <w:rsid w:val="2AE67BEE"/>
    <w:rsid w:val="2AF4645C"/>
    <w:rsid w:val="2B07190A"/>
    <w:rsid w:val="2B0B06B2"/>
    <w:rsid w:val="2B6B5732"/>
    <w:rsid w:val="2B8A6344"/>
    <w:rsid w:val="2BFF6BFA"/>
    <w:rsid w:val="2C1E6500"/>
    <w:rsid w:val="2C1F704C"/>
    <w:rsid w:val="2C82681E"/>
    <w:rsid w:val="2CD8636A"/>
    <w:rsid w:val="2DD7427D"/>
    <w:rsid w:val="2E0B5CB0"/>
    <w:rsid w:val="2E8203DE"/>
    <w:rsid w:val="2EA75E79"/>
    <w:rsid w:val="2FFA7341"/>
    <w:rsid w:val="300E30A0"/>
    <w:rsid w:val="31752AE6"/>
    <w:rsid w:val="31B475A1"/>
    <w:rsid w:val="3319445B"/>
    <w:rsid w:val="334330FE"/>
    <w:rsid w:val="337323F4"/>
    <w:rsid w:val="34046FB6"/>
    <w:rsid w:val="34776E38"/>
    <w:rsid w:val="35B53E09"/>
    <w:rsid w:val="35CF47BC"/>
    <w:rsid w:val="35E0728C"/>
    <w:rsid w:val="35FFB449"/>
    <w:rsid w:val="36066B48"/>
    <w:rsid w:val="36A1217A"/>
    <w:rsid w:val="36E5185A"/>
    <w:rsid w:val="36EE269E"/>
    <w:rsid w:val="377063EE"/>
    <w:rsid w:val="37B07132"/>
    <w:rsid w:val="37E1104B"/>
    <w:rsid w:val="384C70A8"/>
    <w:rsid w:val="38AE2BA2"/>
    <w:rsid w:val="38C20ECB"/>
    <w:rsid w:val="390C56EB"/>
    <w:rsid w:val="396C0E37"/>
    <w:rsid w:val="39BF81C0"/>
    <w:rsid w:val="3A7D3F97"/>
    <w:rsid w:val="3AAC38B3"/>
    <w:rsid w:val="3AF408AE"/>
    <w:rsid w:val="3B396DAC"/>
    <w:rsid w:val="3C703427"/>
    <w:rsid w:val="3CB545CD"/>
    <w:rsid w:val="3D663711"/>
    <w:rsid w:val="3E155F41"/>
    <w:rsid w:val="3E1C10F2"/>
    <w:rsid w:val="3EAE61C6"/>
    <w:rsid w:val="3EC24374"/>
    <w:rsid w:val="3F17097B"/>
    <w:rsid w:val="3F3814E8"/>
    <w:rsid w:val="3FD40C92"/>
    <w:rsid w:val="40155096"/>
    <w:rsid w:val="402041B5"/>
    <w:rsid w:val="40A610D2"/>
    <w:rsid w:val="40AF647D"/>
    <w:rsid w:val="410118CC"/>
    <w:rsid w:val="410D2467"/>
    <w:rsid w:val="41572E1D"/>
    <w:rsid w:val="425A3F23"/>
    <w:rsid w:val="430E7E2E"/>
    <w:rsid w:val="43811983"/>
    <w:rsid w:val="43895D8E"/>
    <w:rsid w:val="446A33C9"/>
    <w:rsid w:val="44E328F5"/>
    <w:rsid w:val="45E9E03A"/>
    <w:rsid w:val="4603066A"/>
    <w:rsid w:val="46130FB8"/>
    <w:rsid w:val="46D01A4F"/>
    <w:rsid w:val="477730AC"/>
    <w:rsid w:val="47B24801"/>
    <w:rsid w:val="480C42AF"/>
    <w:rsid w:val="48324842"/>
    <w:rsid w:val="48921B71"/>
    <w:rsid w:val="492C046E"/>
    <w:rsid w:val="496F35AE"/>
    <w:rsid w:val="49912595"/>
    <w:rsid w:val="49DF11B1"/>
    <w:rsid w:val="4A880A40"/>
    <w:rsid w:val="4BF662A3"/>
    <w:rsid w:val="4CC527A0"/>
    <w:rsid w:val="4CFA1D1B"/>
    <w:rsid w:val="4D31461A"/>
    <w:rsid w:val="4D5351E0"/>
    <w:rsid w:val="4DB017E2"/>
    <w:rsid w:val="4DB06571"/>
    <w:rsid w:val="4DCD65E7"/>
    <w:rsid w:val="4DE80F7C"/>
    <w:rsid w:val="4DF01093"/>
    <w:rsid w:val="4EE81CE9"/>
    <w:rsid w:val="4F7F6C87"/>
    <w:rsid w:val="501B74FB"/>
    <w:rsid w:val="5054476F"/>
    <w:rsid w:val="50B213CE"/>
    <w:rsid w:val="50C218CF"/>
    <w:rsid w:val="50DF0CAB"/>
    <w:rsid w:val="50F66B94"/>
    <w:rsid w:val="5221349E"/>
    <w:rsid w:val="52455CFF"/>
    <w:rsid w:val="52D20279"/>
    <w:rsid w:val="534837A7"/>
    <w:rsid w:val="54091C4C"/>
    <w:rsid w:val="54754922"/>
    <w:rsid w:val="5508395D"/>
    <w:rsid w:val="55233006"/>
    <w:rsid w:val="557D61BB"/>
    <w:rsid w:val="55C61DB0"/>
    <w:rsid w:val="56E4520F"/>
    <w:rsid w:val="57F33423"/>
    <w:rsid w:val="57FC042D"/>
    <w:rsid w:val="58DA0434"/>
    <w:rsid w:val="59332F66"/>
    <w:rsid w:val="5964472C"/>
    <w:rsid w:val="59BD6C48"/>
    <w:rsid w:val="5A2E20C7"/>
    <w:rsid w:val="5B2F675A"/>
    <w:rsid w:val="5BB16968"/>
    <w:rsid w:val="5BE4610C"/>
    <w:rsid w:val="5BFBFFF9"/>
    <w:rsid w:val="5CB00EB7"/>
    <w:rsid w:val="5D092B1C"/>
    <w:rsid w:val="5D972AB6"/>
    <w:rsid w:val="5E047993"/>
    <w:rsid w:val="5E391380"/>
    <w:rsid w:val="5EA042CC"/>
    <w:rsid w:val="5FA6FA21"/>
    <w:rsid w:val="5FCD7FD2"/>
    <w:rsid w:val="60007BE7"/>
    <w:rsid w:val="60082DB8"/>
    <w:rsid w:val="605D2BA3"/>
    <w:rsid w:val="6091610B"/>
    <w:rsid w:val="61502C69"/>
    <w:rsid w:val="6160217E"/>
    <w:rsid w:val="61F07B19"/>
    <w:rsid w:val="62B5640E"/>
    <w:rsid w:val="632B76BF"/>
    <w:rsid w:val="63DC31CF"/>
    <w:rsid w:val="63F468C1"/>
    <w:rsid w:val="643E177F"/>
    <w:rsid w:val="647B56A8"/>
    <w:rsid w:val="64842DDB"/>
    <w:rsid w:val="64F97173"/>
    <w:rsid w:val="65687A44"/>
    <w:rsid w:val="664E15A1"/>
    <w:rsid w:val="669C425A"/>
    <w:rsid w:val="66EDD4F9"/>
    <w:rsid w:val="67406646"/>
    <w:rsid w:val="6755062E"/>
    <w:rsid w:val="67D63910"/>
    <w:rsid w:val="67E501B7"/>
    <w:rsid w:val="67F50995"/>
    <w:rsid w:val="680C2A03"/>
    <w:rsid w:val="68151B03"/>
    <w:rsid w:val="683F336B"/>
    <w:rsid w:val="685C1EF3"/>
    <w:rsid w:val="689C2C37"/>
    <w:rsid w:val="692C508C"/>
    <w:rsid w:val="69C56B89"/>
    <w:rsid w:val="69FF4F95"/>
    <w:rsid w:val="6A0445F0"/>
    <w:rsid w:val="6A0900F2"/>
    <w:rsid w:val="6A671B31"/>
    <w:rsid w:val="6ABF4435"/>
    <w:rsid w:val="6B9769B5"/>
    <w:rsid w:val="6BCB71D3"/>
    <w:rsid w:val="6BEA780B"/>
    <w:rsid w:val="6C272818"/>
    <w:rsid w:val="6C2947E2"/>
    <w:rsid w:val="6CCD7863"/>
    <w:rsid w:val="6CF4154E"/>
    <w:rsid w:val="6E0E30B7"/>
    <w:rsid w:val="6EC45356"/>
    <w:rsid w:val="6F223D61"/>
    <w:rsid w:val="6F274D57"/>
    <w:rsid w:val="6FAE4512"/>
    <w:rsid w:val="6FFB6B82"/>
    <w:rsid w:val="706B4917"/>
    <w:rsid w:val="70787AE6"/>
    <w:rsid w:val="713C4FB8"/>
    <w:rsid w:val="718D33A2"/>
    <w:rsid w:val="71C76957"/>
    <w:rsid w:val="72C64D59"/>
    <w:rsid w:val="72DE511D"/>
    <w:rsid w:val="72FB5A81"/>
    <w:rsid w:val="735A3913"/>
    <w:rsid w:val="737BE403"/>
    <w:rsid w:val="73F7F5F3"/>
    <w:rsid w:val="740C0C71"/>
    <w:rsid w:val="743E350F"/>
    <w:rsid w:val="746E0692"/>
    <w:rsid w:val="74D31A8A"/>
    <w:rsid w:val="74F3589D"/>
    <w:rsid w:val="74FA1909"/>
    <w:rsid w:val="75E55C1E"/>
    <w:rsid w:val="76366479"/>
    <w:rsid w:val="763C6D56"/>
    <w:rsid w:val="76E32CA4"/>
    <w:rsid w:val="77380EA3"/>
    <w:rsid w:val="77CC68F0"/>
    <w:rsid w:val="78672ED2"/>
    <w:rsid w:val="79085901"/>
    <w:rsid w:val="791A291E"/>
    <w:rsid w:val="797E263C"/>
    <w:rsid w:val="797F098C"/>
    <w:rsid w:val="79961747"/>
    <w:rsid w:val="7A456C8B"/>
    <w:rsid w:val="7AA806E3"/>
    <w:rsid w:val="7AE15FA0"/>
    <w:rsid w:val="7B015F40"/>
    <w:rsid w:val="7C245FB3"/>
    <w:rsid w:val="7C6A423D"/>
    <w:rsid w:val="7DFE78CE"/>
    <w:rsid w:val="7E3E155D"/>
    <w:rsid w:val="7ECE71DB"/>
    <w:rsid w:val="7EEFBFAC"/>
    <w:rsid w:val="7F0F63A8"/>
    <w:rsid w:val="7F695E91"/>
    <w:rsid w:val="7F9E6796"/>
    <w:rsid w:val="7FD771D7"/>
    <w:rsid w:val="7FFDA513"/>
    <w:rsid w:val="7FFE6286"/>
    <w:rsid w:val="937F6788"/>
    <w:rsid w:val="99BC596F"/>
    <w:rsid w:val="AABD2531"/>
    <w:rsid w:val="B766C352"/>
    <w:rsid w:val="BA7B23C6"/>
    <w:rsid w:val="BF7EE4AF"/>
    <w:rsid w:val="BFF64C30"/>
    <w:rsid w:val="C71126E9"/>
    <w:rsid w:val="CDA7C635"/>
    <w:rsid w:val="D4EBED56"/>
    <w:rsid w:val="DBFF8280"/>
    <w:rsid w:val="DF9FAF51"/>
    <w:rsid w:val="E2FEE903"/>
    <w:rsid w:val="E7FFF6FA"/>
    <w:rsid w:val="EBBEC861"/>
    <w:rsid w:val="ECFF94CB"/>
    <w:rsid w:val="EEFB0967"/>
    <w:rsid w:val="EF2FD620"/>
    <w:rsid w:val="EF733852"/>
    <w:rsid w:val="EFF7D260"/>
    <w:rsid w:val="F3BB94B8"/>
    <w:rsid w:val="F4DCA1C9"/>
    <w:rsid w:val="F7CDEAF2"/>
    <w:rsid w:val="FB4F166B"/>
    <w:rsid w:val="FBBECAA4"/>
    <w:rsid w:val="FCCF19D2"/>
    <w:rsid w:val="FE553171"/>
    <w:rsid w:val="FF2BDEB3"/>
    <w:rsid w:val="FF37D0F5"/>
    <w:rsid w:val="FF5F2663"/>
    <w:rsid w:val="FF6FF351"/>
    <w:rsid w:val="FFBF8E95"/>
    <w:rsid w:val="FFFFF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ocked="1"/>
    <w:lsdException w:qFormat="1" w:unhideWhenUsed="0" w:uiPriority="9" w:semiHidden="0" w:name="heading 3" w:locked="1"/>
    <w:lsdException w:qFormat="1" w:unhideWhenUsed="0" w:uiPriority="0" w:semiHidden="0" w:name="heading 4" w:locked="1"/>
    <w:lsdException w:qFormat="1" w:unhideWhenUsed="0" w:uiPriority="9" w:semiHidden="0" w:name="heading 5" w:locked="1"/>
    <w:lsdException w:qFormat="1" w:unhideWhenUsed="0" w:uiPriority="9" w:semiHidden="0" w:name="heading 6" w:locked="1"/>
    <w:lsdException w:qFormat="1" w:unhideWhenUsed="0" w:uiPriority="9" w:semiHidden="0" w:name="heading 7" w:locked="1"/>
    <w:lsdException w:qFormat="1" w:unhideWhenUsed="0" w:uiPriority="9" w:semiHidden="0" w:name="heading 8" w:locked="1"/>
    <w:lsdException w:qFormat="1" w:unhideWhenUsed="0" w:uiPriority="9" w:semiHidden="0"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iPriority="39" w:semiHidden="0" w:name="toc 1" w:locked="1"/>
    <w:lsdException w:qFormat="1" w:uiPriority="39" w:semiHidden="0" w:name="toc 2" w:locked="1"/>
    <w:lsdException w:qFormat="1" w:uiPriority="39" w:semiHidden="0" w:name="toc 3" w:locked="1"/>
    <w:lsdException w:qFormat="1" w:uiPriority="39" w:semiHidden="0" w:name="toc 4" w:locked="1"/>
    <w:lsdException w:qFormat="1" w:uiPriority="39" w:semiHidden="0" w:name="toc 5" w:locked="1"/>
    <w:lsdException w:qFormat="1" w:uiPriority="39" w:semiHidden="0" w:name="toc 6" w:locked="1"/>
    <w:lsdException w:qFormat="1" w:uiPriority="39" w:semiHidden="0" w:name="toc 7" w:locked="1"/>
    <w:lsdException w:qFormat="1" w:uiPriority="39" w:semiHidden="0" w:name="toc 8" w:locked="1"/>
    <w:lsdException w:qFormat="1" w:uiPriority="39" w:semiHidden="0" w:name="toc 9" w:locked="1"/>
    <w:lsdException w:qFormat="1" w:unhideWhenUsed="0" w:uiPriority="0" w:semiHidden="0" w:name="Normal Indent"/>
    <w:lsdException w:uiPriority="99" w:name="footnote text" w:locked="1"/>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0"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qFormat="1" w:uiPriority="99" w:semiHidden="0" w:name="List Number" w:locked="1"/>
    <w:lsdException w:uiPriority="99" w:name="List 2" w:locked="1"/>
    <w:lsdException w:uiPriority="99" w:name="List 3" w:locked="1"/>
    <w:lsdException w:uiPriority="99" w:name="List 4" w:locked="1"/>
    <w:lsdException w:uiPriority="99" w:name="List 5" w:locked="1"/>
    <w:lsdException w:qFormat="1" w:uiPriority="99" w:semiHidden="0"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0" w:semiHidden="0" w:name="Body Text"/>
    <w:lsdException w:qFormat="1"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qFormat="1" w:unhideWhenUsed="0" w:uiPriority="0" w:semiHidden="0" w:name="Body Text First Indent" w:locked="1"/>
    <w:lsdException w:uiPriority="99" w:name="Body Text First Indent 2" w:locked="1"/>
    <w:lsdException w:uiPriority="99" w:name="Note Heading" w:locked="1"/>
    <w:lsdException w:qFormat="1" w:uiPriority="0" w:semiHidden="0"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iPriority="99" w:semiHidden="0" w:name="Hyperlink" w:locked="1"/>
    <w:lsdException w:uiPriority="99" w:name="FollowedHyperlink" w:locked="1"/>
    <w:lsdException w:qFormat="1" w:unhideWhenUsed="0" w:uiPriority="0" w:semiHidden="0" w:name="Strong" w:locked="1"/>
    <w:lsdException w:qFormat="1" w:unhideWhenUsed="0" w:uiPriority="20" w:semiHidden="0" w:name="Emphasis" w:locked="1"/>
    <w:lsdException w:qFormat="1" w:uiPriority="99" w:semiHidden="0" w:name="Document Map" w:locked="1"/>
    <w:lsdException w:qFormat="1" w:uiPriority="99" w:semiHidden="0" w:name="Plain Text" w:locked="1"/>
    <w:lsdException w:uiPriority="99" w:name="E-mail Signature" w:locked="1"/>
    <w:lsdException w:qFormat="1" w:uiPriority="99" w:semiHidden="0"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name="HTML Preformatted"/>
    <w:lsdException w:qFormat="1" w:unhideWhenUsed="0" w:uiPriority="0" w:semiHidden="0" w:name="HTML Sample" w:locked="1"/>
    <w:lsdException w:uiPriority="99" w:name="HTML Typewriter" w:locked="1"/>
    <w:lsdException w:uiPriority="99" w:name="HTML Variable" w:locked="1"/>
    <w:lsdException w:qFormat="1" w:uiPriority="99" w:name="Normal Table"/>
    <w:lsdException w:qFormat="1" w:unhideWhenUsed="0" w:uiPriority="0"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qFormat="1" w:uiPriority="0" w:name="Table Elegant" w:locked="1"/>
    <w:lsdException w:uiPriority="99" w:name="Table Professional" w:locked="1"/>
    <w:lsdException w:unhideWhenUsed="0" w:uiPriority="99" w:semiHidden="0" w:name="Table Subtle 1" w:locked="1"/>
    <w:lsdException w:uiPriority="99" w:name="Table Subtle 2" w:locked="1"/>
    <w:lsdException w:uiPriority="99" w:name="Table Web 1" w:locked="1"/>
    <w:lsdException w:unhideWhenUsed="0" w:uiPriority="99" w:semiHidden="0" w:name="Table Web 2" w:locked="1"/>
    <w:lsdException w:unhideWhenUsed="0" w:uiPriority="99" w:semiHidden="0" w:name="Table Web 3" w:locked="1"/>
    <w:lsdException w:qFormat="1" w:unhideWhenUsed="0" w:uiPriority="0" w:semiHidden="0" w:name="Balloon Text"/>
    <w:lsdException w:qFormat="1" w:unhideWhenUsed="0" w:uiPriority="0" w:semiHidden="0" w:name="Table Grid" w:locked="1"/>
    <w:lsdException w:uiPriority="99" w:name="Table Theme" w:locked="1"/>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160" w:line="278" w:lineRule="auto"/>
    </w:pPr>
    <w:rPr>
      <w:rFonts w:ascii="Times New Roman" w:hAnsi="Times New Roman" w:eastAsia="宋体" w:cs="Times New Roman"/>
      <w:lang w:val="en-US" w:eastAsia="zh-CN" w:bidi="ar-SA"/>
    </w:rPr>
  </w:style>
  <w:style w:type="paragraph" w:styleId="3">
    <w:name w:val="heading 1"/>
    <w:basedOn w:val="1"/>
    <w:next w:val="1"/>
    <w:link w:val="46"/>
    <w:qFormat/>
    <w:uiPriority w:val="9"/>
    <w:pPr>
      <w:keepNext/>
      <w:spacing w:line="440" w:lineRule="exact"/>
      <w:jc w:val="center"/>
      <w:outlineLvl w:val="0"/>
    </w:pPr>
    <w:rPr>
      <w:rFonts w:ascii="宋体" w:hAnsi="宋体" w:cs="宋体"/>
      <w:sz w:val="24"/>
      <w:szCs w:val="24"/>
    </w:rPr>
  </w:style>
  <w:style w:type="paragraph" w:styleId="4">
    <w:name w:val="heading 2"/>
    <w:basedOn w:val="1"/>
    <w:next w:val="5"/>
    <w:link w:val="47"/>
    <w:qFormat/>
    <w:locked/>
    <w:uiPriority w:val="9"/>
    <w:pPr>
      <w:keepNext/>
      <w:keepLines/>
      <w:widowControl w:val="0"/>
      <w:spacing w:before="260" w:after="260" w:line="416" w:lineRule="auto"/>
      <w:jc w:val="both"/>
      <w:outlineLvl w:val="1"/>
    </w:pPr>
    <w:rPr>
      <w:rFonts w:ascii="Cambria" w:hAnsi="Cambria" w:cs="Cambria"/>
      <w:b/>
      <w:bCs/>
      <w:kern w:val="2"/>
      <w:sz w:val="32"/>
      <w:szCs w:val="32"/>
    </w:rPr>
  </w:style>
  <w:style w:type="paragraph" w:styleId="6">
    <w:name w:val="heading 3"/>
    <w:basedOn w:val="1"/>
    <w:next w:val="1"/>
    <w:link w:val="49"/>
    <w:qFormat/>
    <w:locked/>
    <w:uiPriority w:val="9"/>
    <w:pPr>
      <w:keepNext/>
      <w:keepLines/>
      <w:spacing w:before="260" w:after="260" w:line="416" w:lineRule="auto"/>
      <w:outlineLvl w:val="2"/>
    </w:pPr>
    <w:rPr>
      <w:b/>
      <w:bCs/>
      <w:sz w:val="32"/>
      <w:szCs w:val="32"/>
    </w:rPr>
  </w:style>
  <w:style w:type="paragraph" w:styleId="7">
    <w:name w:val="heading 4"/>
    <w:basedOn w:val="1"/>
    <w:next w:val="1"/>
    <w:link w:val="50"/>
    <w:qFormat/>
    <w:locked/>
    <w:uiPriority w:val="0"/>
    <w:pPr>
      <w:keepNext/>
      <w:keepLines/>
      <w:spacing w:before="280" w:after="290" w:line="376" w:lineRule="auto"/>
      <w:outlineLvl w:val="3"/>
    </w:pPr>
    <w:rPr>
      <w:rFonts w:ascii="Cambria" w:hAnsi="Cambria" w:cs="Cambria"/>
      <w:b/>
      <w:bCs/>
      <w:sz w:val="28"/>
      <w:szCs w:val="28"/>
    </w:rPr>
  </w:style>
  <w:style w:type="paragraph" w:styleId="8">
    <w:name w:val="heading 5"/>
    <w:basedOn w:val="1"/>
    <w:next w:val="1"/>
    <w:link w:val="51"/>
    <w:qFormat/>
    <w:locked/>
    <w:uiPriority w:val="9"/>
    <w:pPr>
      <w:keepNext/>
      <w:keepLines/>
      <w:spacing w:before="280" w:after="290" w:line="376" w:lineRule="auto"/>
      <w:outlineLvl w:val="4"/>
    </w:pPr>
    <w:rPr>
      <w:b/>
      <w:bCs/>
      <w:sz w:val="28"/>
      <w:szCs w:val="28"/>
    </w:rPr>
  </w:style>
  <w:style w:type="paragraph" w:styleId="9">
    <w:name w:val="heading 6"/>
    <w:basedOn w:val="1"/>
    <w:next w:val="1"/>
    <w:link w:val="52"/>
    <w:qFormat/>
    <w:locked/>
    <w:uiPriority w:val="9"/>
    <w:pPr>
      <w:keepNext/>
      <w:keepLines/>
      <w:widowControl w:val="0"/>
      <w:tabs>
        <w:tab w:val="left" w:pos="360"/>
      </w:tabs>
      <w:spacing w:line="360" w:lineRule="auto"/>
      <w:ind w:left="360" w:firstLine="200" w:firstLineChars="200"/>
      <w:jc w:val="both"/>
      <w:outlineLvl w:val="5"/>
    </w:pPr>
    <w:rPr>
      <w:rFonts w:ascii="Calibri Light" w:hAnsi="Calibri Light"/>
      <w:b/>
      <w:bCs/>
      <w:kern w:val="2"/>
      <w:sz w:val="24"/>
      <w:szCs w:val="24"/>
    </w:rPr>
  </w:style>
  <w:style w:type="paragraph" w:styleId="10">
    <w:name w:val="heading 7"/>
    <w:basedOn w:val="1"/>
    <w:next w:val="1"/>
    <w:link w:val="53"/>
    <w:qFormat/>
    <w:locked/>
    <w:uiPriority w:val="9"/>
    <w:pPr>
      <w:keepNext/>
      <w:keepLines/>
      <w:widowControl w:val="0"/>
      <w:tabs>
        <w:tab w:val="left" w:pos="360"/>
      </w:tabs>
      <w:spacing w:line="360" w:lineRule="auto"/>
      <w:ind w:left="360" w:firstLine="200" w:firstLineChars="200"/>
      <w:jc w:val="both"/>
      <w:outlineLvl w:val="6"/>
    </w:pPr>
    <w:rPr>
      <w:b/>
      <w:bCs/>
      <w:kern w:val="2"/>
      <w:sz w:val="24"/>
      <w:szCs w:val="24"/>
    </w:rPr>
  </w:style>
  <w:style w:type="paragraph" w:styleId="11">
    <w:name w:val="heading 8"/>
    <w:basedOn w:val="1"/>
    <w:next w:val="1"/>
    <w:link w:val="54"/>
    <w:qFormat/>
    <w:locked/>
    <w:uiPriority w:val="9"/>
    <w:pPr>
      <w:keepNext/>
      <w:keepLines/>
      <w:widowControl w:val="0"/>
      <w:tabs>
        <w:tab w:val="left" w:pos="360"/>
      </w:tabs>
      <w:spacing w:line="360" w:lineRule="auto"/>
      <w:ind w:left="360" w:firstLine="200" w:firstLineChars="200"/>
      <w:jc w:val="both"/>
      <w:outlineLvl w:val="7"/>
    </w:pPr>
    <w:rPr>
      <w:rFonts w:ascii="Calibri Light" w:hAnsi="Calibri Light"/>
      <w:b/>
      <w:kern w:val="2"/>
      <w:sz w:val="24"/>
      <w:szCs w:val="24"/>
    </w:rPr>
  </w:style>
  <w:style w:type="paragraph" w:styleId="12">
    <w:name w:val="heading 9"/>
    <w:basedOn w:val="1"/>
    <w:next w:val="1"/>
    <w:link w:val="55"/>
    <w:qFormat/>
    <w:locked/>
    <w:uiPriority w:val="9"/>
    <w:pPr>
      <w:keepNext/>
      <w:keepLines/>
      <w:widowControl w:val="0"/>
      <w:tabs>
        <w:tab w:val="left" w:pos="360"/>
      </w:tabs>
      <w:spacing w:line="360" w:lineRule="auto"/>
      <w:ind w:left="-2" w:leftChars="-1" w:firstLine="2" w:firstLineChars="200"/>
      <w:jc w:val="both"/>
      <w:outlineLvl w:val="8"/>
    </w:pPr>
    <w:rPr>
      <w:rFonts w:ascii="Calibri Light" w:hAnsi="Calibri Light"/>
      <w:b/>
      <w:kern w:val="2"/>
      <w:sz w:val="24"/>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unhideWhenUsed/>
    <w:qFormat/>
    <w:locked/>
    <w:uiPriority w:val="39"/>
    <w:pPr>
      <w:widowControl w:val="0"/>
      <w:adjustRightInd w:val="0"/>
      <w:spacing w:line="360" w:lineRule="auto"/>
      <w:ind w:firstLine="560" w:firstLineChars="200"/>
      <w:jc w:val="both"/>
    </w:pPr>
    <w:rPr>
      <w:rFonts w:ascii="Calibri" w:hAnsi="Calibri"/>
      <w:kern w:val="2"/>
      <w:sz w:val="28"/>
      <w:szCs w:val="24"/>
    </w:rPr>
  </w:style>
  <w:style w:type="paragraph" w:customStyle="1" w:styleId="5">
    <w:name w:val="方案文档"/>
    <w:basedOn w:val="1"/>
    <w:link w:val="48"/>
    <w:qFormat/>
    <w:uiPriority w:val="99"/>
    <w:pPr>
      <w:widowControl w:val="0"/>
      <w:adjustRightInd w:val="0"/>
      <w:spacing w:line="360" w:lineRule="auto"/>
      <w:ind w:firstLine="485" w:firstLineChars="202"/>
      <w:jc w:val="both"/>
    </w:pPr>
    <w:rPr>
      <w:rFonts w:ascii="宋体" w:hAnsi="宋体"/>
      <w:sz w:val="24"/>
    </w:rPr>
  </w:style>
  <w:style w:type="paragraph" w:styleId="13">
    <w:name w:val="toc 7"/>
    <w:basedOn w:val="1"/>
    <w:next w:val="1"/>
    <w:unhideWhenUsed/>
    <w:qFormat/>
    <w:locked/>
    <w:uiPriority w:val="39"/>
    <w:pPr>
      <w:widowControl w:val="0"/>
      <w:ind w:left="2520" w:leftChars="1200"/>
      <w:jc w:val="both"/>
    </w:pPr>
    <w:rPr>
      <w:rFonts w:ascii="Calibri" w:hAnsi="Calibri"/>
      <w:kern w:val="2"/>
      <w:sz w:val="21"/>
      <w:szCs w:val="22"/>
    </w:rPr>
  </w:style>
  <w:style w:type="paragraph" w:styleId="14">
    <w:name w:val="List Number"/>
    <w:basedOn w:val="1"/>
    <w:unhideWhenUsed/>
    <w:qFormat/>
    <w:locked/>
    <w:uiPriority w:val="99"/>
    <w:pPr>
      <w:widowControl w:val="0"/>
      <w:tabs>
        <w:tab w:val="left" w:pos="360"/>
      </w:tabs>
      <w:adjustRightInd w:val="0"/>
      <w:spacing w:line="360" w:lineRule="auto"/>
      <w:ind w:left="360" w:firstLine="200" w:firstLineChars="200"/>
      <w:jc w:val="both"/>
    </w:pPr>
    <w:rPr>
      <w:rFonts w:ascii="Calibri" w:hAnsi="Calibri"/>
      <w:kern w:val="2"/>
      <w:sz w:val="28"/>
      <w:szCs w:val="24"/>
    </w:rPr>
  </w:style>
  <w:style w:type="paragraph" w:styleId="15">
    <w:name w:val="Normal Indent"/>
    <w:basedOn w:val="1"/>
    <w:link w:val="56"/>
    <w:qFormat/>
    <w:uiPriority w:val="0"/>
    <w:pPr>
      <w:widowControl w:val="0"/>
      <w:ind w:firstLine="480"/>
      <w:jc w:val="both"/>
    </w:pPr>
    <w:rPr>
      <w:rFonts w:ascii="等线" w:hAnsi="等线" w:eastAsia="等线" w:cs="等线"/>
      <w:kern w:val="2"/>
      <w:sz w:val="21"/>
      <w:szCs w:val="21"/>
    </w:rPr>
  </w:style>
  <w:style w:type="paragraph" w:styleId="16">
    <w:name w:val="Document Map"/>
    <w:basedOn w:val="1"/>
    <w:link w:val="57"/>
    <w:unhideWhenUsed/>
    <w:qFormat/>
    <w:locked/>
    <w:uiPriority w:val="99"/>
    <w:pPr>
      <w:widowControl w:val="0"/>
      <w:adjustRightInd w:val="0"/>
      <w:spacing w:line="360" w:lineRule="auto"/>
      <w:ind w:firstLine="560" w:firstLineChars="200"/>
      <w:jc w:val="both"/>
    </w:pPr>
    <w:rPr>
      <w:rFonts w:ascii="宋体" w:hAnsi="Calibri"/>
      <w:kern w:val="2"/>
      <w:sz w:val="24"/>
      <w:szCs w:val="24"/>
    </w:rPr>
  </w:style>
  <w:style w:type="paragraph" w:styleId="17">
    <w:name w:val="annotation text"/>
    <w:basedOn w:val="1"/>
    <w:link w:val="58"/>
    <w:qFormat/>
    <w:uiPriority w:val="99"/>
  </w:style>
  <w:style w:type="paragraph" w:styleId="18">
    <w:name w:val="Body Text"/>
    <w:basedOn w:val="1"/>
    <w:next w:val="1"/>
    <w:link w:val="59"/>
    <w:qFormat/>
    <w:uiPriority w:val="0"/>
    <w:pPr>
      <w:widowControl w:val="0"/>
      <w:spacing w:before="120" w:after="120" w:line="264" w:lineRule="auto"/>
      <w:jc w:val="both"/>
    </w:pPr>
    <w:rPr>
      <w:rFonts w:ascii="Calibri" w:hAnsi="Calibri" w:cs="Calibri"/>
      <w:kern w:val="2"/>
      <w:sz w:val="21"/>
      <w:szCs w:val="21"/>
    </w:rPr>
  </w:style>
  <w:style w:type="paragraph" w:styleId="19">
    <w:name w:val="Body Text Indent"/>
    <w:basedOn w:val="1"/>
    <w:link w:val="60"/>
    <w:unhideWhenUsed/>
    <w:qFormat/>
    <w:locked/>
    <w:uiPriority w:val="99"/>
    <w:pPr>
      <w:widowControl w:val="0"/>
      <w:adjustRightInd w:val="0"/>
      <w:spacing w:after="120" w:line="360" w:lineRule="auto"/>
      <w:ind w:left="420" w:leftChars="200" w:firstLine="560" w:firstLineChars="200"/>
      <w:jc w:val="both"/>
    </w:pPr>
    <w:rPr>
      <w:rFonts w:ascii="Calibri" w:hAnsi="Calibri"/>
      <w:szCs w:val="24"/>
    </w:rPr>
  </w:style>
  <w:style w:type="paragraph" w:styleId="20">
    <w:name w:val="List Bullet 2"/>
    <w:basedOn w:val="1"/>
    <w:unhideWhenUsed/>
    <w:qFormat/>
    <w:locked/>
    <w:uiPriority w:val="99"/>
    <w:pPr>
      <w:widowControl w:val="0"/>
      <w:tabs>
        <w:tab w:val="left" w:pos="780"/>
      </w:tabs>
      <w:adjustRightInd w:val="0"/>
      <w:spacing w:line="360" w:lineRule="auto"/>
      <w:ind w:left="780" w:firstLine="200" w:firstLineChars="200"/>
      <w:jc w:val="both"/>
    </w:pPr>
    <w:rPr>
      <w:rFonts w:ascii="Calibri" w:hAnsi="Calibri"/>
      <w:kern w:val="2"/>
      <w:sz w:val="28"/>
      <w:szCs w:val="24"/>
    </w:rPr>
  </w:style>
  <w:style w:type="paragraph" w:styleId="21">
    <w:name w:val="toc 5"/>
    <w:basedOn w:val="1"/>
    <w:next w:val="1"/>
    <w:unhideWhenUsed/>
    <w:qFormat/>
    <w:locked/>
    <w:uiPriority w:val="39"/>
    <w:pPr>
      <w:widowControl w:val="0"/>
      <w:ind w:left="1680" w:leftChars="800"/>
      <w:jc w:val="both"/>
    </w:pPr>
    <w:rPr>
      <w:rFonts w:ascii="Calibri" w:hAnsi="Calibri"/>
      <w:kern w:val="2"/>
      <w:sz w:val="21"/>
      <w:szCs w:val="22"/>
    </w:rPr>
  </w:style>
  <w:style w:type="paragraph" w:styleId="22">
    <w:name w:val="toc 3"/>
    <w:basedOn w:val="1"/>
    <w:next w:val="1"/>
    <w:unhideWhenUsed/>
    <w:qFormat/>
    <w:locked/>
    <w:uiPriority w:val="39"/>
    <w:pPr>
      <w:widowControl w:val="0"/>
      <w:adjustRightInd w:val="0"/>
      <w:spacing w:line="360" w:lineRule="auto"/>
      <w:ind w:left="840" w:leftChars="400" w:firstLine="560" w:firstLineChars="200"/>
      <w:jc w:val="both"/>
    </w:pPr>
    <w:rPr>
      <w:rFonts w:ascii="Calibri" w:hAnsi="Calibri"/>
      <w:kern w:val="2"/>
      <w:sz w:val="28"/>
      <w:szCs w:val="24"/>
    </w:rPr>
  </w:style>
  <w:style w:type="paragraph" w:styleId="23">
    <w:name w:val="Plain Text"/>
    <w:basedOn w:val="1"/>
    <w:link w:val="61"/>
    <w:unhideWhenUsed/>
    <w:qFormat/>
    <w:locked/>
    <w:uiPriority w:val="99"/>
    <w:pPr>
      <w:widowControl w:val="0"/>
      <w:adjustRightInd w:val="0"/>
      <w:spacing w:line="360" w:lineRule="auto"/>
      <w:ind w:firstLine="560" w:firstLineChars="200"/>
      <w:jc w:val="both"/>
    </w:pPr>
    <w:rPr>
      <w:rFonts w:ascii="宋体" w:hAnsi="Courier New"/>
      <w:kern w:val="2"/>
      <w:sz w:val="18"/>
      <w:szCs w:val="24"/>
    </w:rPr>
  </w:style>
  <w:style w:type="paragraph" w:styleId="24">
    <w:name w:val="toc 8"/>
    <w:basedOn w:val="1"/>
    <w:next w:val="1"/>
    <w:unhideWhenUsed/>
    <w:qFormat/>
    <w:locked/>
    <w:uiPriority w:val="39"/>
    <w:pPr>
      <w:widowControl w:val="0"/>
      <w:ind w:left="2940" w:leftChars="1400"/>
      <w:jc w:val="both"/>
    </w:pPr>
    <w:rPr>
      <w:rFonts w:ascii="Calibri" w:hAnsi="Calibri"/>
      <w:kern w:val="2"/>
      <w:sz w:val="21"/>
      <w:szCs w:val="22"/>
    </w:rPr>
  </w:style>
  <w:style w:type="paragraph" w:styleId="25">
    <w:name w:val="Balloon Text"/>
    <w:basedOn w:val="1"/>
    <w:link w:val="62"/>
    <w:qFormat/>
    <w:uiPriority w:val="0"/>
    <w:rPr>
      <w:sz w:val="18"/>
      <w:szCs w:val="18"/>
    </w:rPr>
  </w:style>
  <w:style w:type="paragraph" w:styleId="26">
    <w:name w:val="footer"/>
    <w:basedOn w:val="1"/>
    <w:link w:val="63"/>
    <w:qFormat/>
    <w:uiPriority w:val="99"/>
    <w:pPr>
      <w:tabs>
        <w:tab w:val="center" w:pos="4153"/>
        <w:tab w:val="right" w:pos="8306"/>
      </w:tabs>
      <w:snapToGrid w:val="0"/>
    </w:pPr>
    <w:rPr>
      <w:sz w:val="18"/>
      <w:szCs w:val="18"/>
    </w:rPr>
  </w:style>
  <w:style w:type="paragraph" w:styleId="27">
    <w:name w:val="header"/>
    <w:basedOn w:val="1"/>
    <w:link w:val="64"/>
    <w:qFormat/>
    <w:uiPriority w:val="0"/>
    <w:pPr>
      <w:pBdr>
        <w:bottom w:val="single" w:color="auto" w:sz="6" w:space="1"/>
      </w:pBdr>
      <w:tabs>
        <w:tab w:val="center" w:pos="4153"/>
        <w:tab w:val="right" w:pos="8306"/>
      </w:tabs>
      <w:snapToGrid w:val="0"/>
      <w:jc w:val="center"/>
    </w:pPr>
    <w:rPr>
      <w:sz w:val="18"/>
      <w:szCs w:val="18"/>
    </w:rPr>
  </w:style>
  <w:style w:type="paragraph" w:styleId="28">
    <w:name w:val="toc 4"/>
    <w:basedOn w:val="1"/>
    <w:next w:val="1"/>
    <w:unhideWhenUsed/>
    <w:qFormat/>
    <w:locked/>
    <w:uiPriority w:val="39"/>
    <w:pPr>
      <w:widowControl w:val="0"/>
      <w:ind w:left="1260" w:leftChars="600"/>
      <w:jc w:val="both"/>
    </w:pPr>
    <w:rPr>
      <w:rFonts w:ascii="Calibri" w:hAnsi="Calibri"/>
      <w:kern w:val="2"/>
      <w:sz w:val="21"/>
      <w:szCs w:val="22"/>
    </w:rPr>
  </w:style>
  <w:style w:type="paragraph" w:styleId="29">
    <w:name w:val="toc 6"/>
    <w:basedOn w:val="1"/>
    <w:next w:val="1"/>
    <w:unhideWhenUsed/>
    <w:qFormat/>
    <w:locked/>
    <w:uiPriority w:val="39"/>
    <w:pPr>
      <w:widowControl w:val="0"/>
      <w:ind w:left="2100" w:leftChars="1000"/>
      <w:jc w:val="both"/>
    </w:pPr>
    <w:rPr>
      <w:rFonts w:ascii="Calibri" w:hAnsi="Calibri"/>
      <w:kern w:val="2"/>
      <w:sz w:val="21"/>
      <w:szCs w:val="22"/>
    </w:rPr>
  </w:style>
  <w:style w:type="paragraph" w:styleId="30">
    <w:name w:val="toc 2"/>
    <w:basedOn w:val="1"/>
    <w:next w:val="1"/>
    <w:unhideWhenUsed/>
    <w:qFormat/>
    <w:locked/>
    <w:uiPriority w:val="39"/>
    <w:pPr>
      <w:widowControl w:val="0"/>
      <w:adjustRightInd w:val="0"/>
      <w:spacing w:line="360" w:lineRule="auto"/>
      <w:ind w:left="420" w:leftChars="200" w:firstLine="560" w:firstLineChars="200"/>
      <w:jc w:val="both"/>
    </w:pPr>
    <w:rPr>
      <w:rFonts w:ascii="Calibri" w:hAnsi="Calibri"/>
      <w:kern w:val="2"/>
      <w:sz w:val="28"/>
      <w:szCs w:val="24"/>
    </w:rPr>
  </w:style>
  <w:style w:type="paragraph" w:styleId="31">
    <w:name w:val="toc 9"/>
    <w:basedOn w:val="1"/>
    <w:next w:val="1"/>
    <w:unhideWhenUsed/>
    <w:qFormat/>
    <w:locked/>
    <w:uiPriority w:val="39"/>
    <w:pPr>
      <w:widowControl w:val="0"/>
      <w:ind w:left="3360" w:leftChars="1600"/>
      <w:jc w:val="both"/>
    </w:pPr>
    <w:rPr>
      <w:rFonts w:ascii="Calibri" w:hAnsi="Calibri"/>
      <w:kern w:val="2"/>
      <w:sz w:val="21"/>
      <w:szCs w:val="22"/>
    </w:rPr>
  </w:style>
  <w:style w:type="paragraph" w:styleId="32">
    <w:name w:val="Body Text 2"/>
    <w:basedOn w:val="1"/>
    <w:link w:val="65"/>
    <w:unhideWhenUsed/>
    <w:qFormat/>
    <w:locked/>
    <w:uiPriority w:val="0"/>
    <w:pPr>
      <w:widowControl w:val="0"/>
      <w:spacing w:after="120" w:line="480" w:lineRule="auto"/>
      <w:jc w:val="both"/>
    </w:pPr>
    <w:rPr>
      <w:kern w:val="2"/>
      <w:sz w:val="21"/>
      <w:szCs w:val="24"/>
    </w:rPr>
  </w:style>
  <w:style w:type="paragraph" w:styleId="33">
    <w:name w:val="HTML Preformatted"/>
    <w:basedOn w:val="1"/>
    <w:link w:val="66"/>
    <w:semiHidden/>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szCs w:val="24"/>
    </w:rPr>
  </w:style>
  <w:style w:type="paragraph" w:styleId="34">
    <w:name w:val="Normal (Web)"/>
    <w:basedOn w:val="1"/>
    <w:link w:val="67"/>
    <w:unhideWhenUsed/>
    <w:qFormat/>
    <w:locked/>
    <w:uiPriority w:val="99"/>
    <w:pPr>
      <w:spacing w:before="100" w:beforeAutospacing="1" w:after="100" w:afterAutospacing="1"/>
    </w:pPr>
    <w:rPr>
      <w:rFonts w:ascii="宋体" w:hAnsi="宋体" w:cs="宋体"/>
      <w:sz w:val="24"/>
      <w:szCs w:val="24"/>
    </w:rPr>
  </w:style>
  <w:style w:type="paragraph" w:styleId="35">
    <w:name w:val="Title"/>
    <w:basedOn w:val="1"/>
    <w:next w:val="1"/>
    <w:link w:val="68"/>
    <w:qFormat/>
    <w:locked/>
    <w:uiPriority w:val="10"/>
    <w:pPr>
      <w:widowControl w:val="0"/>
      <w:spacing w:before="240" w:after="60"/>
      <w:jc w:val="center"/>
      <w:outlineLvl w:val="0"/>
    </w:pPr>
    <w:rPr>
      <w:rFonts w:ascii="Cambria" w:hAnsi="Cambria"/>
      <w:b/>
      <w:bCs/>
      <w:kern w:val="2"/>
      <w:sz w:val="32"/>
      <w:szCs w:val="32"/>
    </w:rPr>
  </w:style>
  <w:style w:type="paragraph" w:styleId="36">
    <w:name w:val="annotation subject"/>
    <w:basedOn w:val="17"/>
    <w:next w:val="17"/>
    <w:link w:val="69"/>
    <w:qFormat/>
    <w:uiPriority w:val="0"/>
    <w:pPr>
      <w:widowControl w:val="0"/>
      <w:jc w:val="both"/>
    </w:pPr>
    <w:rPr>
      <w:rFonts w:ascii="Calibri" w:hAnsi="Calibri" w:eastAsia="微软雅黑" w:cs="Calibri"/>
      <w:kern w:val="2"/>
      <w:sz w:val="24"/>
      <w:szCs w:val="24"/>
    </w:rPr>
  </w:style>
  <w:style w:type="paragraph" w:styleId="37">
    <w:name w:val="Body Text First Indent"/>
    <w:basedOn w:val="18"/>
    <w:link w:val="70"/>
    <w:qFormat/>
    <w:locked/>
    <w:uiPriority w:val="0"/>
    <w:pPr>
      <w:spacing w:before="0" w:line="240" w:lineRule="auto"/>
      <w:ind w:firstLine="420" w:firstLineChars="100"/>
    </w:pPr>
    <w:rPr>
      <w:rFonts w:ascii="Times New Roman" w:hAnsi="Times New Roman" w:cs="Times New Roman"/>
      <w:szCs w:val="24"/>
    </w:rPr>
  </w:style>
  <w:style w:type="table" w:styleId="39">
    <w:name w:val="Table Grid"/>
    <w:basedOn w:val="38"/>
    <w:qFormat/>
    <w:locked/>
    <w:uiPriority w:val="0"/>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locked/>
    <w:uiPriority w:val="0"/>
    <w:rPr>
      <w:b/>
      <w:bCs/>
    </w:rPr>
  </w:style>
  <w:style w:type="character" w:styleId="42">
    <w:name w:val="page number"/>
    <w:qFormat/>
    <w:uiPriority w:val="99"/>
  </w:style>
  <w:style w:type="character" w:styleId="43">
    <w:name w:val="Hyperlink"/>
    <w:unhideWhenUsed/>
    <w:qFormat/>
    <w:locked/>
    <w:uiPriority w:val="99"/>
    <w:rPr>
      <w:color w:val="0000FF"/>
      <w:u w:val="single"/>
    </w:rPr>
  </w:style>
  <w:style w:type="character" w:styleId="44">
    <w:name w:val="annotation reference"/>
    <w:qFormat/>
    <w:uiPriority w:val="0"/>
    <w:rPr>
      <w:sz w:val="21"/>
      <w:szCs w:val="21"/>
    </w:rPr>
  </w:style>
  <w:style w:type="character" w:styleId="45">
    <w:name w:val="HTML Sample"/>
    <w:qFormat/>
    <w:locked/>
    <w:uiPriority w:val="0"/>
    <w:rPr>
      <w:rFonts w:ascii="Courier New" w:hAnsi="Courier New"/>
    </w:rPr>
  </w:style>
  <w:style w:type="character" w:customStyle="1" w:styleId="46">
    <w:name w:val="标题 1 字符"/>
    <w:link w:val="3"/>
    <w:qFormat/>
    <w:locked/>
    <w:uiPriority w:val="0"/>
    <w:rPr>
      <w:rFonts w:ascii="宋体" w:hAnsi="宋体" w:eastAsia="宋体" w:cs="宋体"/>
      <w:kern w:val="0"/>
      <w:sz w:val="20"/>
      <w:szCs w:val="20"/>
    </w:rPr>
  </w:style>
  <w:style w:type="character" w:customStyle="1" w:styleId="47">
    <w:name w:val="标题 2 字符"/>
    <w:link w:val="4"/>
    <w:qFormat/>
    <w:locked/>
    <w:uiPriority w:val="9"/>
    <w:rPr>
      <w:rFonts w:ascii="Cambria" w:hAnsi="Cambria" w:eastAsia="宋体" w:cs="Cambria"/>
      <w:b/>
      <w:bCs/>
      <w:kern w:val="2"/>
      <w:sz w:val="32"/>
      <w:szCs w:val="32"/>
    </w:rPr>
  </w:style>
  <w:style w:type="character" w:customStyle="1" w:styleId="48">
    <w:name w:val="方案文档 Char"/>
    <w:link w:val="5"/>
    <w:qFormat/>
    <w:locked/>
    <w:uiPriority w:val="99"/>
    <w:rPr>
      <w:rFonts w:ascii="宋体" w:hAnsi="宋体"/>
      <w:sz w:val="24"/>
    </w:rPr>
  </w:style>
  <w:style w:type="character" w:customStyle="1" w:styleId="49">
    <w:name w:val="标题 3 字符"/>
    <w:link w:val="6"/>
    <w:qFormat/>
    <w:locked/>
    <w:uiPriority w:val="9"/>
    <w:rPr>
      <w:b/>
      <w:bCs/>
      <w:sz w:val="32"/>
      <w:szCs w:val="32"/>
    </w:rPr>
  </w:style>
  <w:style w:type="character" w:customStyle="1" w:styleId="50">
    <w:name w:val="标题 4 字符"/>
    <w:link w:val="7"/>
    <w:qFormat/>
    <w:locked/>
    <w:uiPriority w:val="0"/>
    <w:rPr>
      <w:rFonts w:ascii="Cambria" w:hAnsi="Cambria" w:eastAsia="宋体" w:cs="Cambria"/>
      <w:b/>
      <w:bCs/>
      <w:sz w:val="28"/>
      <w:szCs w:val="28"/>
    </w:rPr>
  </w:style>
  <w:style w:type="character" w:customStyle="1" w:styleId="51">
    <w:name w:val="标题 5 字符"/>
    <w:link w:val="8"/>
    <w:qFormat/>
    <w:uiPriority w:val="9"/>
    <w:rPr>
      <w:b/>
      <w:bCs/>
      <w:sz w:val="28"/>
      <w:szCs w:val="28"/>
    </w:rPr>
  </w:style>
  <w:style w:type="character" w:customStyle="1" w:styleId="52">
    <w:name w:val="标题 6 字符"/>
    <w:link w:val="9"/>
    <w:qFormat/>
    <w:uiPriority w:val="9"/>
    <w:rPr>
      <w:rFonts w:ascii="Calibri Light" w:hAnsi="Calibri Light"/>
      <w:b/>
      <w:bCs/>
      <w:kern w:val="2"/>
      <w:sz w:val="24"/>
      <w:szCs w:val="24"/>
    </w:rPr>
  </w:style>
  <w:style w:type="character" w:customStyle="1" w:styleId="53">
    <w:name w:val="标题 7 字符"/>
    <w:link w:val="10"/>
    <w:qFormat/>
    <w:uiPriority w:val="9"/>
    <w:rPr>
      <w:b/>
      <w:bCs/>
      <w:kern w:val="2"/>
      <w:sz w:val="24"/>
      <w:szCs w:val="24"/>
    </w:rPr>
  </w:style>
  <w:style w:type="character" w:customStyle="1" w:styleId="54">
    <w:name w:val="标题 8 字符"/>
    <w:link w:val="11"/>
    <w:qFormat/>
    <w:uiPriority w:val="9"/>
    <w:rPr>
      <w:rFonts w:ascii="Calibri Light" w:hAnsi="Calibri Light"/>
      <w:b/>
      <w:kern w:val="2"/>
      <w:sz w:val="24"/>
      <w:szCs w:val="24"/>
    </w:rPr>
  </w:style>
  <w:style w:type="character" w:customStyle="1" w:styleId="55">
    <w:name w:val="标题 9 字符"/>
    <w:link w:val="12"/>
    <w:qFormat/>
    <w:uiPriority w:val="9"/>
    <w:rPr>
      <w:rFonts w:ascii="Calibri Light" w:hAnsi="Calibri Light"/>
      <w:b/>
      <w:kern w:val="2"/>
      <w:sz w:val="24"/>
      <w:szCs w:val="21"/>
    </w:rPr>
  </w:style>
  <w:style w:type="character" w:customStyle="1" w:styleId="56">
    <w:name w:val="正文缩进 字符"/>
    <w:link w:val="15"/>
    <w:qFormat/>
    <w:uiPriority w:val="0"/>
    <w:rPr>
      <w:rFonts w:ascii="等线" w:hAnsi="等线" w:eastAsia="等线" w:cs="等线"/>
      <w:kern w:val="2"/>
      <w:sz w:val="21"/>
      <w:szCs w:val="21"/>
    </w:rPr>
  </w:style>
  <w:style w:type="character" w:customStyle="1" w:styleId="57">
    <w:name w:val="文档结构图 字符"/>
    <w:link w:val="16"/>
    <w:semiHidden/>
    <w:qFormat/>
    <w:uiPriority w:val="99"/>
    <w:rPr>
      <w:rFonts w:ascii="宋体" w:hAnsi="Calibri" w:cs="Times New Roman"/>
      <w:kern w:val="2"/>
      <w:sz w:val="24"/>
      <w:szCs w:val="24"/>
    </w:rPr>
  </w:style>
  <w:style w:type="character" w:customStyle="1" w:styleId="58">
    <w:name w:val="批注文字 字符"/>
    <w:link w:val="17"/>
    <w:qFormat/>
    <w:locked/>
    <w:uiPriority w:val="99"/>
  </w:style>
  <w:style w:type="character" w:customStyle="1" w:styleId="59">
    <w:name w:val="正文文本 字符"/>
    <w:link w:val="18"/>
    <w:qFormat/>
    <w:locked/>
    <w:uiPriority w:val="99"/>
    <w:rPr>
      <w:rFonts w:ascii="Calibri" w:hAnsi="Calibri" w:cs="Calibri"/>
      <w:kern w:val="2"/>
      <w:sz w:val="21"/>
      <w:szCs w:val="21"/>
    </w:rPr>
  </w:style>
  <w:style w:type="character" w:customStyle="1" w:styleId="60">
    <w:name w:val="正文文本缩进 字符"/>
    <w:link w:val="19"/>
    <w:qFormat/>
    <w:uiPriority w:val="99"/>
    <w:rPr>
      <w:rFonts w:ascii="Calibri" w:hAnsi="Calibri" w:eastAsia="宋体" w:cs="Times New Roman"/>
      <w:szCs w:val="24"/>
    </w:rPr>
  </w:style>
  <w:style w:type="character" w:customStyle="1" w:styleId="61">
    <w:name w:val="纯文本 字符"/>
    <w:link w:val="23"/>
    <w:qFormat/>
    <w:uiPriority w:val="99"/>
    <w:rPr>
      <w:rFonts w:ascii="宋体" w:hAnsi="Courier New" w:eastAsia="宋体" w:cs="Times New Roman"/>
      <w:kern w:val="2"/>
      <w:sz w:val="18"/>
      <w:szCs w:val="24"/>
    </w:rPr>
  </w:style>
  <w:style w:type="character" w:customStyle="1" w:styleId="62">
    <w:name w:val="批注框文本 字符"/>
    <w:link w:val="25"/>
    <w:semiHidden/>
    <w:qFormat/>
    <w:locked/>
    <w:uiPriority w:val="99"/>
    <w:rPr>
      <w:sz w:val="18"/>
      <w:szCs w:val="18"/>
    </w:rPr>
  </w:style>
  <w:style w:type="character" w:customStyle="1" w:styleId="63">
    <w:name w:val="页脚 字符"/>
    <w:link w:val="26"/>
    <w:qFormat/>
    <w:locked/>
    <w:uiPriority w:val="99"/>
    <w:rPr>
      <w:rFonts w:ascii="Times New Roman" w:hAnsi="Times New Roman" w:eastAsia="宋体" w:cs="Times New Roman"/>
      <w:kern w:val="0"/>
      <w:sz w:val="18"/>
      <w:szCs w:val="18"/>
    </w:rPr>
  </w:style>
  <w:style w:type="character" w:customStyle="1" w:styleId="64">
    <w:name w:val="页眉 字符"/>
    <w:link w:val="27"/>
    <w:qFormat/>
    <w:locked/>
    <w:uiPriority w:val="0"/>
    <w:rPr>
      <w:rFonts w:ascii="Times New Roman" w:hAnsi="Times New Roman" w:eastAsia="宋体" w:cs="Times New Roman"/>
      <w:kern w:val="0"/>
      <w:sz w:val="18"/>
      <w:szCs w:val="18"/>
    </w:rPr>
  </w:style>
  <w:style w:type="character" w:customStyle="1" w:styleId="65">
    <w:name w:val="正文文本 2 字符"/>
    <w:link w:val="32"/>
    <w:qFormat/>
    <w:uiPriority w:val="0"/>
    <w:rPr>
      <w:kern w:val="2"/>
      <w:sz w:val="21"/>
      <w:szCs w:val="24"/>
    </w:rPr>
  </w:style>
  <w:style w:type="character" w:customStyle="1" w:styleId="66">
    <w:name w:val="HTML 预设格式 字符"/>
    <w:link w:val="33"/>
    <w:semiHidden/>
    <w:qFormat/>
    <w:locked/>
    <w:uiPriority w:val="99"/>
    <w:rPr>
      <w:rFonts w:ascii="Courier New" w:hAnsi="Courier New" w:cs="Courier New"/>
      <w:kern w:val="0"/>
      <w:sz w:val="20"/>
      <w:szCs w:val="20"/>
    </w:rPr>
  </w:style>
  <w:style w:type="character" w:customStyle="1" w:styleId="67">
    <w:name w:val="普通(网站) 字符"/>
    <w:link w:val="34"/>
    <w:qFormat/>
    <w:uiPriority w:val="99"/>
    <w:rPr>
      <w:rFonts w:ascii="宋体" w:hAnsi="宋体" w:cs="宋体"/>
      <w:sz w:val="24"/>
      <w:szCs w:val="24"/>
    </w:rPr>
  </w:style>
  <w:style w:type="character" w:customStyle="1" w:styleId="68">
    <w:name w:val="标题 字符"/>
    <w:link w:val="35"/>
    <w:qFormat/>
    <w:uiPriority w:val="10"/>
    <w:rPr>
      <w:rFonts w:ascii="Cambria" w:hAnsi="Cambria"/>
      <w:b/>
      <w:bCs/>
      <w:kern w:val="2"/>
      <w:sz w:val="32"/>
      <w:szCs w:val="32"/>
    </w:rPr>
  </w:style>
  <w:style w:type="character" w:customStyle="1" w:styleId="69">
    <w:name w:val="批注主题 字符"/>
    <w:link w:val="36"/>
    <w:qFormat/>
    <w:locked/>
    <w:uiPriority w:val="0"/>
    <w:rPr>
      <w:rFonts w:ascii="Calibri" w:hAnsi="Calibri" w:eastAsia="微软雅黑" w:cs="Calibri"/>
      <w:kern w:val="2"/>
      <w:sz w:val="24"/>
      <w:szCs w:val="24"/>
    </w:rPr>
  </w:style>
  <w:style w:type="character" w:customStyle="1" w:styleId="70">
    <w:name w:val="正文文本首行缩进 字符"/>
    <w:link w:val="37"/>
    <w:qFormat/>
    <w:uiPriority w:val="0"/>
    <w:rPr>
      <w:rFonts w:ascii="Calibri" w:hAnsi="Calibri" w:cs="Calibri"/>
      <w:kern w:val="2"/>
      <w:sz w:val="21"/>
      <w:szCs w:val="24"/>
    </w:rPr>
  </w:style>
  <w:style w:type="paragraph" w:customStyle="1" w:styleId="71">
    <w:name w:val="样式 样式 样式 样式 标题 2 + 宋体 五号 非加粗 黑色 + 段前: 6 磅 段后: 0 磅 行距: 单倍行距 + 段前:..."/>
    <w:basedOn w:val="1"/>
    <w:qFormat/>
    <w:uiPriority w:val="99"/>
    <w:pPr>
      <w:keepNext/>
      <w:keepLines/>
      <w:widowControl w:val="0"/>
      <w:adjustRightInd w:val="0"/>
      <w:spacing w:before="240"/>
      <w:ind w:left="480"/>
      <w:outlineLvl w:val="1"/>
    </w:pPr>
    <w:rPr>
      <w:rFonts w:ascii="宋体" w:hAnsi="宋体" w:cs="宋体"/>
      <w:b/>
      <w:bCs/>
      <w:color w:val="000000"/>
      <w:sz w:val="21"/>
      <w:szCs w:val="21"/>
    </w:rPr>
  </w:style>
  <w:style w:type="paragraph" w:customStyle="1" w:styleId="72">
    <w:name w:val="正文文本样式"/>
    <w:basedOn w:val="1"/>
    <w:qFormat/>
    <w:uiPriority w:val="99"/>
    <w:pPr>
      <w:spacing w:line="360" w:lineRule="auto"/>
      <w:ind w:firstLine="200" w:firstLineChars="200"/>
    </w:pPr>
    <w:rPr>
      <w:rFonts w:ascii="Arial" w:hAnsi="Arial" w:cs="Arial"/>
      <w:kern w:val="2"/>
      <w:sz w:val="24"/>
      <w:szCs w:val="24"/>
    </w:rPr>
  </w:style>
  <w:style w:type="paragraph" w:customStyle="1" w:styleId="73">
    <w:name w:val="Normal_0_1"/>
    <w:qFormat/>
    <w:uiPriority w:val="99"/>
    <w:pPr>
      <w:spacing w:after="160" w:line="278" w:lineRule="auto"/>
    </w:pPr>
    <w:rPr>
      <w:rFonts w:ascii="Times New Roman" w:hAnsi="Times New Roman" w:eastAsia="宋体" w:cs="Times New Roman"/>
      <w:sz w:val="24"/>
      <w:szCs w:val="24"/>
      <w:lang w:val="en-US" w:eastAsia="zh-CN" w:bidi="ar-SA"/>
    </w:rPr>
  </w:style>
  <w:style w:type="paragraph" w:styleId="74">
    <w:name w:val="List Paragraph"/>
    <w:basedOn w:val="1"/>
    <w:link w:val="75"/>
    <w:qFormat/>
    <w:uiPriority w:val="34"/>
    <w:pPr>
      <w:ind w:firstLine="420" w:firstLineChars="200"/>
    </w:pPr>
  </w:style>
  <w:style w:type="character" w:customStyle="1" w:styleId="75">
    <w:name w:val="列表段落 字符"/>
    <w:link w:val="74"/>
    <w:qFormat/>
    <w:locked/>
    <w:uiPriority w:val="34"/>
  </w:style>
  <w:style w:type="paragraph" w:customStyle="1" w:styleId="76">
    <w:name w:val="修订1"/>
    <w:semiHidden/>
    <w:qFormat/>
    <w:uiPriority w:val="99"/>
    <w:pPr>
      <w:spacing w:after="160" w:line="278" w:lineRule="auto"/>
    </w:pPr>
    <w:rPr>
      <w:rFonts w:ascii="Times New Roman" w:hAnsi="Times New Roman" w:eastAsia="宋体" w:cs="Times New Roman"/>
      <w:lang w:val="en-US" w:eastAsia="zh-CN" w:bidi="ar-SA"/>
    </w:rPr>
  </w:style>
  <w:style w:type="paragraph" w:customStyle="1" w:styleId="77">
    <w:name w:val="3级标题"/>
    <w:basedOn w:val="1"/>
    <w:qFormat/>
    <w:uiPriority w:val="99"/>
    <w:pPr>
      <w:keepLines/>
      <w:widowControl w:val="0"/>
      <w:numPr>
        <w:ilvl w:val="0"/>
        <w:numId w:val="1"/>
      </w:numPr>
      <w:spacing w:before="120" w:after="120" w:line="360" w:lineRule="auto"/>
      <w:outlineLvl w:val="2"/>
    </w:pPr>
    <w:rPr>
      <w:rFonts w:ascii="黑体" w:hAnsi="黑体" w:eastAsia="黑体" w:cs="黑体"/>
      <w:sz w:val="28"/>
      <w:szCs w:val="28"/>
      <w:lang w:val="zh-CN" w:eastAsia="en-US"/>
    </w:rPr>
  </w:style>
  <w:style w:type="paragraph" w:customStyle="1" w:styleId="78">
    <w:name w:val="List Paragraph1"/>
    <w:basedOn w:val="1"/>
    <w:qFormat/>
    <w:uiPriority w:val="99"/>
    <w:pPr>
      <w:widowControl w:val="0"/>
      <w:ind w:firstLine="420" w:firstLineChars="200"/>
      <w:jc w:val="both"/>
    </w:pPr>
    <w:rPr>
      <w:kern w:val="2"/>
      <w:sz w:val="21"/>
      <w:szCs w:val="21"/>
    </w:rPr>
  </w:style>
  <w:style w:type="paragraph" w:customStyle="1" w:styleId="79">
    <w:name w:val="my正文"/>
    <w:basedOn w:val="1"/>
    <w:qFormat/>
    <w:uiPriority w:val="99"/>
    <w:pPr>
      <w:widowControl w:val="0"/>
      <w:spacing w:line="360" w:lineRule="auto"/>
      <w:ind w:firstLine="200" w:firstLineChars="200"/>
      <w:jc w:val="both"/>
    </w:pPr>
    <w:rPr>
      <w:rFonts w:ascii="宋体" w:hAnsi="宋体" w:eastAsia="仿宋" w:cs="宋体"/>
      <w:kern w:val="2"/>
      <w:sz w:val="28"/>
      <w:szCs w:val="28"/>
    </w:rPr>
  </w:style>
  <w:style w:type="paragraph" w:customStyle="1" w:styleId="80">
    <w:name w:val="首行缩进"/>
    <w:basedOn w:val="1"/>
    <w:qFormat/>
    <w:uiPriority w:val="99"/>
    <w:pPr>
      <w:widowControl w:val="0"/>
      <w:spacing w:line="360" w:lineRule="auto"/>
      <w:ind w:firstLine="480" w:firstLineChars="200"/>
    </w:pPr>
    <w:rPr>
      <w:rFonts w:ascii="宋体" w:hAnsi="宋体" w:cs="宋体"/>
      <w:kern w:val="2"/>
      <w:sz w:val="24"/>
      <w:szCs w:val="24"/>
    </w:rPr>
  </w:style>
  <w:style w:type="paragraph" w:customStyle="1" w:styleId="81">
    <w:name w:val="_Style 299"/>
    <w:basedOn w:val="1"/>
    <w:next w:val="74"/>
    <w:qFormat/>
    <w:uiPriority w:val="99"/>
    <w:pPr>
      <w:widowControl w:val="0"/>
      <w:ind w:firstLine="420" w:firstLineChars="200"/>
      <w:jc w:val="both"/>
    </w:pPr>
    <w:rPr>
      <w:rFonts w:ascii="Calibri" w:hAnsi="Calibri" w:cs="Calibri"/>
      <w:kern w:val="2"/>
      <w:sz w:val="21"/>
      <w:szCs w:val="21"/>
    </w:rPr>
  </w:style>
  <w:style w:type="paragraph" w:customStyle="1" w:styleId="82">
    <w:name w:val="_Style 4"/>
    <w:basedOn w:val="1"/>
    <w:next w:val="74"/>
    <w:qFormat/>
    <w:uiPriority w:val="99"/>
    <w:pPr>
      <w:widowControl w:val="0"/>
      <w:ind w:firstLine="420" w:firstLineChars="200"/>
      <w:jc w:val="both"/>
    </w:pPr>
    <w:rPr>
      <w:rFonts w:ascii="Calibri" w:hAnsi="Calibri" w:cs="Calibri"/>
      <w:kern w:val="2"/>
      <w:sz w:val="21"/>
      <w:szCs w:val="21"/>
      <w:lang w:val="zh-CN"/>
    </w:rPr>
  </w:style>
  <w:style w:type="paragraph" w:customStyle="1" w:styleId="83">
    <w:name w:val="Default"/>
    <w:qFormat/>
    <w:uiPriority w:val="0"/>
    <w:pPr>
      <w:widowControl w:val="0"/>
      <w:autoSpaceDE w:val="0"/>
      <w:autoSpaceDN w:val="0"/>
      <w:adjustRightInd w:val="0"/>
      <w:spacing w:after="160" w:line="278" w:lineRule="auto"/>
    </w:pPr>
    <w:rPr>
      <w:rFonts w:ascii="宋体" w:hAnsi="Times New Roman" w:eastAsia="宋体" w:cs="宋体"/>
      <w:color w:val="000000"/>
      <w:sz w:val="24"/>
      <w:szCs w:val="24"/>
      <w:lang w:val="en-US" w:eastAsia="zh-CN" w:bidi="ar-SA"/>
    </w:rPr>
  </w:style>
  <w:style w:type="character" w:customStyle="1" w:styleId="84">
    <w:name w:val="font21"/>
    <w:qFormat/>
    <w:uiPriority w:val="0"/>
    <w:rPr>
      <w:rFonts w:ascii="微软雅黑" w:hAnsi="微软雅黑" w:eastAsia="微软雅黑" w:cs="微软雅黑"/>
      <w:color w:val="000000"/>
      <w:sz w:val="20"/>
      <w:szCs w:val="20"/>
      <w:u w:val="none"/>
    </w:rPr>
  </w:style>
  <w:style w:type="character" w:customStyle="1" w:styleId="85">
    <w:name w:val="font01"/>
    <w:qFormat/>
    <w:uiPriority w:val="0"/>
    <w:rPr>
      <w:rFonts w:ascii="宋体" w:hAnsi="宋体" w:eastAsia="宋体" w:cs="宋体"/>
      <w:color w:val="000000"/>
      <w:sz w:val="20"/>
      <w:szCs w:val="20"/>
      <w:u w:val="none"/>
    </w:rPr>
  </w:style>
  <w:style w:type="paragraph" w:customStyle="1" w:styleId="86">
    <w:name w:val="正文 A"/>
    <w:qFormat/>
    <w:uiPriority w:val="99"/>
    <w:pPr>
      <w:widowControl w:val="0"/>
      <w:spacing w:after="160" w:line="278" w:lineRule="auto"/>
      <w:jc w:val="both"/>
    </w:pPr>
    <w:rPr>
      <w:rFonts w:ascii="Times New Roman" w:hAnsi="Times New Roman" w:eastAsia="Arial Unicode MS" w:cs="Times New Roman"/>
      <w:color w:val="000000"/>
      <w:kern w:val="2"/>
      <w:sz w:val="21"/>
      <w:szCs w:val="21"/>
      <w:lang w:val="en-US" w:eastAsia="zh-CN" w:bidi="ar-SA"/>
    </w:rPr>
  </w:style>
  <w:style w:type="character" w:customStyle="1" w:styleId="87">
    <w:name w:val="fontstyle01"/>
    <w:qFormat/>
    <w:uiPriority w:val="0"/>
    <w:rPr>
      <w:rFonts w:ascii="宋体" w:hAnsi="宋体" w:eastAsia="宋体" w:cs="宋体"/>
      <w:color w:val="000000"/>
      <w:sz w:val="22"/>
      <w:szCs w:val="22"/>
    </w:rPr>
  </w:style>
  <w:style w:type="character" w:customStyle="1" w:styleId="88">
    <w:name w:val="font11"/>
    <w:qFormat/>
    <w:uiPriority w:val="0"/>
    <w:rPr>
      <w:rFonts w:ascii="宋体" w:hAnsi="宋体" w:eastAsia="宋体" w:cs="宋体"/>
      <w:color w:val="000000"/>
      <w:sz w:val="22"/>
      <w:szCs w:val="22"/>
      <w:u w:val="none"/>
    </w:rPr>
  </w:style>
  <w:style w:type="paragraph" w:customStyle="1" w:styleId="89">
    <w:name w:val="列表段落1"/>
    <w:basedOn w:val="1"/>
    <w:qFormat/>
    <w:uiPriority w:val="99"/>
    <w:pPr>
      <w:widowControl w:val="0"/>
      <w:ind w:firstLine="420" w:firstLineChars="200"/>
      <w:jc w:val="both"/>
    </w:pPr>
    <w:rPr>
      <w:rFonts w:ascii="等线" w:hAnsi="等线" w:eastAsia="等线" w:cs="等线"/>
      <w:kern w:val="2"/>
      <w:sz w:val="21"/>
      <w:szCs w:val="21"/>
    </w:rPr>
  </w:style>
  <w:style w:type="character" w:customStyle="1" w:styleId="90">
    <w:name w:val="msoins"/>
    <w:qFormat/>
    <w:uiPriority w:val="99"/>
    <w:rPr>
      <w:rFonts w:ascii="Arial" w:hAnsi="Arial" w:cs="Arial"/>
      <w:b/>
      <w:bCs/>
      <w:kern w:val="0"/>
      <w:sz w:val="24"/>
      <w:szCs w:val="24"/>
      <w:lang w:eastAsia="en-US"/>
    </w:rPr>
  </w:style>
  <w:style w:type="character" w:customStyle="1" w:styleId="91">
    <w:name w:val="页脚 Char1"/>
    <w:qFormat/>
    <w:uiPriority w:val="99"/>
    <w:rPr>
      <w:sz w:val="18"/>
      <w:szCs w:val="18"/>
    </w:rPr>
  </w:style>
  <w:style w:type="character" w:customStyle="1" w:styleId="92">
    <w:name w:val="textcontents"/>
    <w:qFormat/>
    <w:uiPriority w:val="0"/>
  </w:style>
  <w:style w:type="character" w:customStyle="1" w:styleId="93">
    <w:name w:val="标题 Char"/>
    <w:qFormat/>
    <w:uiPriority w:val="10"/>
    <w:rPr>
      <w:rFonts w:ascii="Cambria" w:hAnsi="Cambria" w:cs="Times New Roman"/>
      <w:b/>
      <w:bCs/>
      <w:sz w:val="32"/>
      <w:szCs w:val="32"/>
    </w:rPr>
  </w:style>
  <w:style w:type="paragraph" w:customStyle="1" w:styleId="94">
    <w:name w:val="_Style 16"/>
    <w:basedOn w:val="1"/>
    <w:next w:val="74"/>
    <w:qFormat/>
    <w:uiPriority w:val="34"/>
    <w:pPr>
      <w:widowControl w:val="0"/>
      <w:ind w:firstLine="420" w:firstLineChars="200"/>
      <w:jc w:val="both"/>
    </w:pPr>
    <w:rPr>
      <w:kern w:val="2"/>
      <w:sz w:val="21"/>
      <w:szCs w:val="24"/>
    </w:rPr>
  </w:style>
  <w:style w:type="paragraph" w:customStyle="1" w:styleId="95">
    <w:name w:val="列出段落5"/>
    <w:basedOn w:val="1"/>
    <w:qFormat/>
    <w:uiPriority w:val="99"/>
    <w:pPr>
      <w:widowControl w:val="0"/>
      <w:adjustRightInd w:val="0"/>
      <w:spacing w:line="360" w:lineRule="auto"/>
      <w:ind w:firstLine="420" w:firstLineChars="200"/>
      <w:jc w:val="both"/>
    </w:pPr>
    <w:rPr>
      <w:rFonts w:ascii="Calibri" w:hAnsi="Calibri"/>
      <w:kern w:val="2"/>
      <w:sz w:val="28"/>
      <w:szCs w:val="24"/>
    </w:rPr>
  </w:style>
  <w:style w:type="paragraph" w:customStyle="1" w:styleId="96">
    <w:name w:val="正文内容"/>
    <w:basedOn w:val="1"/>
    <w:link w:val="97"/>
    <w:qFormat/>
    <w:uiPriority w:val="0"/>
    <w:pPr>
      <w:widowControl w:val="0"/>
      <w:adjustRightInd w:val="0"/>
      <w:spacing w:line="360" w:lineRule="auto"/>
      <w:ind w:firstLine="480" w:firstLineChars="200"/>
      <w:jc w:val="both"/>
    </w:pPr>
    <w:rPr>
      <w:rFonts w:ascii="Calibri" w:hAnsi="Calibri"/>
      <w:kern w:val="2"/>
      <w:sz w:val="28"/>
      <w:szCs w:val="24"/>
    </w:rPr>
  </w:style>
  <w:style w:type="character" w:customStyle="1" w:styleId="97">
    <w:name w:val="正文内容 Char"/>
    <w:link w:val="96"/>
    <w:qFormat/>
    <w:uiPriority w:val="0"/>
    <w:rPr>
      <w:rFonts w:ascii="Calibri" w:hAnsi="Calibri" w:eastAsia="宋体" w:cs="Times New Roman"/>
      <w:kern w:val="2"/>
      <w:sz w:val="28"/>
      <w:szCs w:val="24"/>
    </w:rPr>
  </w:style>
  <w:style w:type="paragraph" w:customStyle="1" w:styleId="98">
    <w:name w:val="项目编号B"/>
    <w:basedOn w:val="1"/>
    <w:qFormat/>
    <w:uiPriority w:val="99"/>
    <w:pPr>
      <w:widowControl w:val="0"/>
      <w:numPr>
        <w:ilvl w:val="0"/>
        <w:numId w:val="2"/>
      </w:numPr>
      <w:adjustRightInd w:val="0"/>
      <w:spacing w:line="440" w:lineRule="exact"/>
      <w:ind w:firstLine="0"/>
      <w:jc w:val="both"/>
    </w:pPr>
    <w:rPr>
      <w:rFonts w:ascii="Arial" w:hAnsi="Arial"/>
      <w:kern w:val="2"/>
      <w:sz w:val="24"/>
      <w:szCs w:val="24"/>
    </w:rPr>
  </w:style>
  <w:style w:type="paragraph" w:customStyle="1" w:styleId="99">
    <w:name w:val="msolistparagraph"/>
    <w:basedOn w:val="1"/>
    <w:qFormat/>
    <w:uiPriority w:val="0"/>
    <w:pPr>
      <w:widowControl w:val="0"/>
      <w:adjustRightInd w:val="0"/>
      <w:spacing w:line="360" w:lineRule="auto"/>
      <w:ind w:firstLine="420" w:firstLineChars="200"/>
      <w:jc w:val="both"/>
    </w:pPr>
    <w:rPr>
      <w:rFonts w:ascii="Calibri" w:hAnsi="Calibri"/>
      <w:sz w:val="28"/>
      <w:szCs w:val="22"/>
    </w:rPr>
  </w:style>
  <w:style w:type="paragraph" w:customStyle="1" w:styleId="100">
    <w:name w:val="列出段落1"/>
    <w:basedOn w:val="1"/>
    <w:unhideWhenUsed/>
    <w:qFormat/>
    <w:uiPriority w:val="99"/>
    <w:pPr>
      <w:widowControl w:val="0"/>
      <w:adjustRightInd w:val="0"/>
      <w:spacing w:line="360" w:lineRule="auto"/>
      <w:ind w:firstLine="420" w:firstLineChars="200"/>
      <w:jc w:val="both"/>
    </w:pPr>
    <w:rPr>
      <w:rFonts w:ascii="Calibri" w:hAnsi="Calibri"/>
      <w:kern w:val="2"/>
      <w:sz w:val="28"/>
      <w:szCs w:val="24"/>
    </w:rPr>
  </w:style>
  <w:style w:type="paragraph" w:customStyle="1" w:styleId="101">
    <w:name w:val="列出段落2"/>
    <w:basedOn w:val="1"/>
    <w:unhideWhenUsed/>
    <w:qFormat/>
    <w:uiPriority w:val="99"/>
    <w:pPr>
      <w:widowControl w:val="0"/>
      <w:adjustRightInd w:val="0"/>
      <w:spacing w:line="360" w:lineRule="auto"/>
      <w:ind w:firstLine="420" w:firstLineChars="200"/>
      <w:jc w:val="both"/>
      <w:textAlignment w:val="baseline"/>
    </w:pPr>
    <w:rPr>
      <w:rFonts w:ascii="宋体" w:hAnsi="宋体"/>
      <w:sz w:val="28"/>
      <w:szCs w:val="28"/>
    </w:rPr>
  </w:style>
  <w:style w:type="paragraph" w:customStyle="1" w:styleId="102">
    <w:name w:val="正文-宋体"/>
    <w:basedOn w:val="1"/>
    <w:link w:val="103"/>
    <w:qFormat/>
    <w:uiPriority w:val="0"/>
    <w:pPr>
      <w:spacing w:line="360" w:lineRule="auto"/>
      <w:ind w:firstLine="200" w:firstLineChars="200"/>
      <w:jc w:val="both"/>
    </w:pPr>
    <w:rPr>
      <w:sz w:val="28"/>
      <w:szCs w:val="22"/>
    </w:rPr>
  </w:style>
  <w:style w:type="character" w:customStyle="1" w:styleId="103">
    <w:name w:val="正文-宋体 Char"/>
    <w:link w:val="102"/>
    <w:qFormat/>
    <w:uiPriority w:val="0"/>
    <w:rPr>
      <w:sz w:val="28"/>
      <w:szCs w:val="22"/>
    </w:rPr>
  </w:style>
  <w:style w:type="paragraph" w:customStyle="1" w:styleId="104">
    <w:name w:val="项目符号 1"/>
    <w:basedOn w:val="1"/>
    <w:link w:val="105"/>
    <w:qFormat/>
    <w:uiPriority w:val="0"/>
    <w:pPr>
      <w:numPr>
        <w:ilvl w:val="0"/>
        <w:numId w:val="3"/>
      </w:numPr>
      <w:adjustRightInd w:val="0"/>
      <w:spacing w:line="360" w:lineRule="auto"/>
      <w:ind w:left="0" w:firstLine="200" w:firstLineChars="200"/>
      <w:jc w:val="both"/>
    </w:pPr>
    <w:rPr>
      <w:rFonts w:ascii="Calibri" w:hAnsi="Calibri"/>
      <w:sz w:val="28"/>
      <w:szCs w:val="22"/>
    </w:rPr>
  </w:style>
  <w:style w:type="character" w:customStyle="1" w:styleId="105">
    <w:name w:val="项目符号 1 Char"/>
    <w:link w:val="104"/>
    <w:qFormat/>
    <w:uiPriority w:val="0"/>
    <w:rPr>
      <w:rFonts w:ascii="Calibri" w:hAnsi="Calibri"/>
      <w:sz w:val="28"/>
      <w:szCs w:val="22"/>
    </w:rPr>
  </w:style>
  <w:style w:type="paragraph" w:customStyle="1" w:styleId="106">
    <w:name w:val="正文1"/>
    <w:qFormat/>
    <w:uiPriority w:val="0"/>
    <w:pPr>
      <w:spacing w:after="160" w:line="278" w:lineRule="auto"/>
      <w:jc w:val="both"/>
    </w:pPr>
    <w:rPr>
      <w:rFonts w:ascii="Times New Roman" w:hAnsi="Times New Roman" w:eastAsia="宋体" w:cs="Times New Roman"/>
      <w:kern w:val="2"/>
      <w:sz w:val="21"/>
      <w:szCs w:val="21"/>
      <w:lang w:val="en-US" w:eastAsia="zh-CN" w:bidi="ar-SA"/>
    </w:rPr>
  </w:style>
  <w:style w:type="paragraph" w:customStyle="1" w:styleId="107">
    <w:name w:val="列出段落3"/>
    <w:basedOn w:val="1"/>
    <w:unhideWhenUsed/>
    <w:qFormat/>
    <w:uiPriority w:val="34"/>
    <w:pPr>
      <w:widowControl w:val="0"/>
      <w:adjustRightInd w:val="0"/>
      <w:spacing w:line="360" w:lineRule="auto"/>
      <w:ind w:firstLine="420" w:firstLineChars="200"/>
      <w:jc w:val="both"/>
      <w:textAlignment w:val="baseline"/>
    </w:pPr>
    <w:rPr>
      <w:rFonts w:ascii="Calibri" w:hAnsi="Calibri"/>
      <w:sz w:val="28"/>
      <w:szCs w:val="22"/>
    </w:rPr>
  </w:style>
  <w:style w:type="paragraph" w:customStyle="1" w:styleId="108">
    <w:name w:val="表格非标题文字"/>
    <w:link w:val="109"/>
    <w:qFormat/>
    <w:uiPriority w:val="0"/>
    <w:pPr>
      <w:snapToGrid w:val="0"/>
      <w:spacing w:before="80" w:after="40" w:line="278" w:lineRule="auto"/>
    </w:pPr>
    <w:rPr>
      <w:rFonts w:ascii="Futura Bk" w:hAnsi="Futura Bk" w:eastAsia="宋体" w:cs="Times New Roman"/>
      <w:kern w:val="2"/>
      <w:sz w:val="18"/>
      <w:szCs w:val="21"/>
      <w:lang w:val="en-US" w:eastAsia="zh-CN" w:bidi="ar-SA"/>
    </w:rPr>
  </w:style>
  <w:style w:type="character" w:customStyle="1" w:styleId="109">
    <w:name w:val="表格非标题文字 Char"/>
    <w:link w:val="108"/>
    <w:qFormat/>
    <w:uiPriority w:val="0"/>
    <w:rPr>
      <w:rFonts w:ascii="Futura Bk" w:hAnsi="Futura Bk"/>
      <w:kern w:val="2"/>
      <w:sz w:val="18"/>
      <w:szCs w:val="21"/>
    </w:rPr>
  </w:style>
  <w:style w:type="paragraph" w:customStyle="1" w:styleId="110">
    <w:name w:val="Table Text"/>
    <w:basedOn w:val="1"/>
    <w:link w:val="111"/>
    <w:qFormat/>
    <w:uiPriority w:val="0"/>
    <w:pPr>
      <w:widowControl w:val="0"/>
      <w:jc w:val="both"/>
    </w:pPr>
    <w:rPr>
      <w:kern w:val="2"/>
      <w:sz w:val="18"/>
      <w:szCs w:val="24"/>
    </w:rPr>
  </w:style>
  <w:style w:type="character" w:customStyle="1" w:styleId="111">
    <w:name w:val="Table Text Char1"/>
    <w:link w:val="110"/>
    <w:qFormat/>
    <w:uiPriority w:val="0"/>
    <w:rPr>
      <w:kern w:val="2"/>
      <w:sz w:val="18"/>
      <w:szCs w:val="24"/>
    </w:rPr>
  </w:style>
  <w:style w:type="paragraph" w:customStyle="1" w:styleId="112">
    <w:name w:val="TOC 标题1"/>
    <w:basedOn w:val="3"/>
    <w:next w:val="1"/>
    <w:unhideWhenUsed/>
    <w:qFormat/>
    <w:uiPriority w:val="39"/>
    <w:pPr>
      <w:keepLines/>
      <w:spacing w:before="480" w:line="276" w:lineRule="auto"/>
      <w:jc w:val="left"/>
      <w:outlineLvl w:val="9"/>
    </w:pPr>
    <w:rPr>
      <w:rFonts w:ascii="Cambria" w:hAnsi="Cambria" w:cs="Times New Roman"/>
      <w:b/>
      <w:bCs/>
      <w:color w:val="366091"/>
      <w:sz w:val="28"/>
      <w:szCs w:val="28"/>
    </w:rPr>
  </w:style>
  <w:style w:type="paragraph" w:customStyle="1" w:styleId="113">
    <w:name w:val="TOC 标题2"/>
    <w:basedOn w:val="3"/>
    <w:next w:val="1"/>
    <w:unhideWhenUsed/>
    <w:qFormat/>
    <w:uiPriority w:val="39"/>
    <w:pPr>
      <w:keepLines/>
      <w:spacing w:before="480" w:line="276" w:lineRule="auto"/>
      <w:jc w:val="left"/>
      <w:outlineLvl w:val="9"/>
    </w:pPr>
    <w:rPr>
      <w:rFonts w:ascii="Cambria" w:hAnsi="Cambria" w:cs="Times New Roman"/>
      <w:b/>
      <w:bCs/>
      <w:color w:val="366091"/>
      <w:sz w:val="28"/>
      <w:szCs w:val="28"/>
    </w:rPr>
  </w:style>
  <w:style w:type="paragraph" w:customStyle="1" w:styleId="114">
    <w:name w:val="1"/>
    <w:basedOn w:val="1"/>
    <w:qFormat/>
    <w:uiPriority w:val="0"/>
    <w:pPr>
      <w:adjustRightInd w:val="0"/>
      <w:spacing w:before="100" w:beforeAutospacing="1" w:after="100" w:afterAutospacing="1" w:line="360" w:lineRule="auto"/>
      <w:ind w:firstLine="560" w:firstLineChars="200"/>
    </w:pPr>
    <w:rPr>
      <w:rFonts w:ascii="宋体" w:hAnsi="宋体" w:cs="宋体"/>
      <w:sz w:val="24"/>
      <w:szCs w:val="24"/>
    </w:rPr>
  </w:style>
  <w:style w:type="character" w:customStyle="1" w:styleId="115">
    <w:name w:val="apple-converted-space"/>
    <w:qFormat/>
    <w:uiPriority w:val="0"/>
  </w:style>
  <w:style w:type="paragraph" w:customStyle="1" w:styleId="116">
    <w:name w:val="列出段落4"/>
    <w:basedOn w:val="1"/>
    <w:qFormat/>
    <w:uiPriority w:val="34"/>
    <w:pPr>
      <w:adjustRightInd w:val="0"/>
      <w:spacing w:before="100" w:beforeAutospacing="1" w:after="100" w:afterAutospacing="1" w:line="360" w:lineRule="auto"/>
      <w:ind w:firstLine="560" w:firstLineChars="200"/>
    </w:pPr>
    <w:rPr>
      <w:rFonts w:ascii="宋体" w:hAnsi="宋体" w:cs="宋体"/>
      <w:sz w:val="24"/>
      <w:szCs w:val="24"/>
    </w:rPr>
  </w:style>
  <w:style w:type="paragraph" w:customStyle="1" w:styleId="117">
    <w:name w:val="标书正文格式"/>
    <w:qFormat/>
    <w:uiPriority w:val="0"/>
    <w:pPr>
      <w:spacing w:after="160" w:line="278" w:lineRule="auto"/>
      <w:ind w:firstLine="200" w:firstLineChars="200"/>
    </w:pPr>
    <w:rPr>
      <w:rFonts w:ascii="Times New Roman" w:hAnsi="Times New Roman" w:eastAsia="宋体" w:cs="Times New Roman"/>
      <w:kern w:val="2"/>
      <w:sz w:val="24"/>
      <w:szCs w:val="24"/>
      <w:lang w:val="en-US" w:eastAsia="zh-CN" w:bidi="ar-SA"/>
    </w:rPr>
  </w:style>
  <w:style w:type="paragraph" w:customStyle="1" w:styleId="118">
    <w:name w:val="0-0"/>
    <w:basedOn w:val="15"/>
    <w:qFormat/>
    <w:uiPriority w:val="0"/>
    <w:pPr>
      <w:widowControl/>
      <w:adjustRightInd w:val="0"/>
      <w:spacing w:line="360" w:lineRule="auto"/>
      <w:ind w:firstLine="0"/>
      <w:jc w:val="left"/>
    </w:pPr>
    <w:rPr>
      <w:rFonts w:ascii="宋体" w:hAnsi="Times New Roman" w:eastAsia="宋体" w:cs="Calibri"/>
      <w:kern w:val="0"/>
      <w:sz w:val="24"/>
      <w:szCs w:val="20"/>
    </w:rPr>
  </w:style>
  <w:style w:type="paragraph" w:customStyle="1" w:styleId="119">
    <w:name w:val="_Style 1"/>
    <w:basedOn w:val="1"/>
    <w:qFormat/>
    <w:uiPriority w:val="34"/>
    <w:pPr>
      <w:widowControl w:val="0"/>
      <w:adjustRightInd w:val="0"/>
      <w:spacing w:line="360" w:lineRule="auto"/>
      <w:ind w:firstLine="420" w:firstLineChars="200"/>
      <w:jc w:val="both"/>
    </w:pPr>
    <w:rPr>
      <w:rFonts w:ascii="Calibri" w:hAnsi="Calibri"/>
      <w:kern w:val="2"/>
      <w:sz w:val="28"/>
      <w:szCs w:val="24"/>
    </w:rPr>
  </w:style>
  <w:style w:type="paragraph" w:customStyle="1" w:styleId="120">
    <w:name w:val="正文（首行缩进）"/>
    <w:basedOn w:val="1"/>
    <w:qFormat/>
    <w:uiPriority w:val="0"/>
    <w:pPr>
      <w:adjustRightInd w:val="0"/>
      <w:spacing w:afterLines="50" w:line="276" w:lineRule="auto"/>
      <w:ind w:firstLine="480" w:firstLineChars="200"/>
    </w:pPr>
    <w:rPr>
      <w:rFonts w:ascii="宋体" w:hAnsi="Calibri"/>
      <w:sz w:val="24"/>
      <w:szCs w:val="24"/>
      <w:lang w:eastAsia="en-US" w:bidi="en-US"/>
    </w:rPr>
  </w:style>
  <w:style w:type="paragraph" w:customStyle="1" w:styleId="121">
    <w:name w:val="Style14"/>
    <w:basedOn w:val="1"/>
    <w:qFormat/>
    <w:uiPriority w:val="0"/>
    <w:pPr>
      <w:widowControl w:val="0"/>
      <w:adjustRightInd w:val="0"/>
      <w:spacing w:line="360" w:lineRule="auto"/>
      <w:ind w:left="706" w:leftChars="336" w:firstLine="1" w:firstLineChars="200"/>
      <w:jc w:val="both"/>
    </w:pPr>
    <w:rPr>
      <w:rFonts w:ascii="宋体" w:hAnsi="宋体" w:cs="Arial"/>
      <w:kern w:val="2"/>
      <w:sz w:val="24"/>
      <w:szCs w:val="24"/>
    </w:rPr>
  </w:style>
  <w:style w:type="paragraph" w:customStyle="1" w:styleId="122">
    <w:name w:val="Style15"/>
    <w:basedOn w:val="1"/>
    <w:qFormat/>
    <w:uiPriority w:val="0"/>
    <w:pPr>
      <w:widowControl w:val="0"/>
      <w:numPr>
        <w:ilvl w:val="0"/>
        <w:numId w:val="4"/>
      </w:numPr>
      <w:adjustRightInd w:val="0"/>
      <w:spacing w:before="120" w:after="120" w:line="360" w:lineRule="auto"/>
      <w:ind w:firstLine="200" w:firstLineChars="200"/>
      <w:jc w:val="both"/>
    </w:pPr>
    <w:rPr>
      <w:rFonts w:ascii="宋体" w:hAnsi="宋体"/>
      <w:kern w:val="2"/>
      <w:sz w:val="24"/>
      <w:szCs w:val="24"/>
    </w:rPr>
  </w:style>
  <w:style w:type="character" w:customStyle="1" w:styleId="123">
    <w:name w:val="fontstyle21"/>
    <w:qFormat/>
    <w:uiPriority w:val="0"/>
    <w:rPr>
      <w:rFonts w:hint="eastAsia" w:ascii="宋体" w:hAnsi="宋体" w:eastAsia="宋体"/>
      <w:color w:val="000000"/>
      <w:sz w:val="24"/>
      <w:szCs w:val="24"/>
    </w:rPr>
  </w:style>
  <w:style w:type="paragraph" w:customStyle="1" w:styleId="124">
    <w:name w:val="Style13"/>
    <w:basedOn w:val="1"/>
    <w:qFormat/>
    <w:uiPriority w:val="0"/>
    <w:pPr>
      <w:numPr>
        <w:ilvl w:val="0"/>
        <w:numId w:val="5"/>
      </w:numPr>
    </w:pPr>
    <w:rPr>
      <w:rFonts w:ascii="宋体" w:hAnsi="宋体"/>
      <w:szCs w:val="24"/>
    </w:rPr>
  </w:style>
  <w:style w:type="paragraph" w:customStyle="1" w:styleId="125">
    <w:name w:val="Style11"/>
    <w:basedOn w:val="1"/>
    <w:qFormat/>
    <w:uiPriority w:val="0"/>
    <w:pPr>
      <w:numPr>
        <w:ilvl w:val="0"/>
        <w:numId w:val="6"/>
      </w:numPr>
      <w:spacing w:line="360" w:lineRule="auto"/>
    </w:pPr>
    <w:rPr>
      <w:rFonts w:ascii="宋体" w:hAnsi="宋体"/>
      <w:szCs w:val="24"/>
    </w:rPr>
  </w:style>
  <w:style w:type="paragraph" w:customStyle="1" w:styleId="126">
    <w:name w:val="标书样式"/>
    <w:basedOn w:val="1"/>
    <w:qFormat/>
    <w:uiPriority w:val="0"/>
    <w:pPr>
      <w:adjustRightInd w:val="0"/>
      <w:spacing w:line="360" w:lineRule="auto"/>
      <w:ind w:firstLine="480" w:firstLineChars="200"/>
    </w:pPr>
    <w:rPr>
      <w:rFonts w:eastAsia="仿宋_GB2312"/>
      <w:sz w:val="24"/>
    </w:rPr>
  </w:style>
  <w:style w:type="paragraph" w:customStyle="1" w:styleId="127">
    <w:name w:val="WPSOffice手动目录 1"/>
    <w:qFormat/>
    <w:uiPriority w:val="0"/>
    <w:pPr>
      <w:spacing w:after="160" w:line="278" w:lineRule="auto"/>
    </w:pPr>
    <w:rPr>
      <w:rFonts w:ascii="Calibri" w:hAnsi="Calibri" w:eastAsia="宋体" w:cs="Times New Roman"/>
      <w:lang w:val="en-US" w:eastAsia="zh-CN" w:bidi="ar-SA"/>
    </w:rPr>
  </w:style>
  <w:style w:type="paragraph" w:customStyle="1" w:styleId="128">
    <w:name w:val="WPSOffice手动目录 2"/>
    <w:qFormat/>
    <w:uiPriority w:val="0"/>
    <w:pPr>
      <w:spacing w:after="160" w:line="278" w:lineRule="auto"/>
      <w:ind w:left="200" w:leftChars="200"/>
    </w:pPr>
    <w:rPr>
      <w:rFonts w:ascii="Calibri" w:hAnsi="Calibri" w:eastAsia="宋体" w:cs="Times New Roman"/>
      <w:lang w:val="en-US" w:eastAsia="zh-CN" w:bidi="ar-SA"/>
    </w:rPr>
  </w:style>
  <w:style w:type="paragraph" w:customStyle="1" w:styleId="129">
    <w:name w:val="WPSOffice手动目录 3"/>
    <w:qFormat/>
    <w:uiPriority w:val="0"/>
    <w:pPr>
      <w:spacing w:after="160" w:line="278" w:lineRule="auto"/>
      <w:ind w:left="400" w:leftChars="400"/>
    </w:pPr>
    <w:rPr>
      <w:rFonts w:ascii="Calibri" w:hAnsi="Calibri" w:eastAsia="宋体" w:cs="Times New Roman"/>
      <w:lang w:val="en-US" w:eastAsia="zh-CN" w:bidi="ar-SA"/>
    </w:rPr>
  </w:style>
  <w:style w:type="character" w:customStyle="1" w:styleId="130">
    <w:name w:val="列出段落 Char1"/>
    <w:qFormat/>
    <w:locked/>
    <w:uiPriority w:val="34"/>
    <w:rPr>
      <w:rFonts w:ascii="Calibri" w:hAnsi="Calibri"/>
      <w:kern w:val="2"/>
      <w:sz w:val="21"/>
      <w:szCs w:val="22"/>
    </w:rPr>
  </w:style>
  <w:style w:type="paragraph" w:customStyle="1" w:styleId="131">
    <w:name w:val="项目编号A"/>
    <w:qFormat/>
    <w:uiPriority w:val="0"/>
    <w:pPr>
      <w:numPr>
        <w:ilvl w:val="0"/>
        <w:numId w:val="7"/>
      </w:numPr>
      <w:tabs>
        <w:tab w:val="left" w:pos="840"/>
      </w:tabs>
      <w:spacing w:after="160" w:line="360" w:lineRule="auto"/>
    </w:pPr>
    <w:rPr>
      <w:rFonts w:ascii="Times New Roman" w:hAnsi="Times New Roman" w:eastAsia="宋体" w:cs="Times New Roman"/>
      <w:kern w:val="2"/>
      <w:sz w:val="24"/>
      <w:szCs w:val="24"/>
      <w:lang w:val="en-US" w:eastAsia="zh-CN" w:bidi="ar-SA"/>
    </w:rPr>
  </w:style>
  <w:style w:type="paragraph" w:customStyle="1" w:styleId="132">
    <w:name w:val="修订2"/>
    <w:unhideWhenUsed/>
    <w:qFormat/>
    <w:uiPriority w:val="99"/>
    <w:pPr>
      <w:spacing w:after="160" w:line="278" w:lineRule="auto"/>
    </w:pPr>
    <w:rPr>
      <w:rFonts w:ascii="Times New Roman" w:hAnsi="Times New Roman" w:eastAsia="宋体" w:cs="Times New Roman"/>
      <w:lang w:val="en-US" w:eastAsia="zh-CN" w:bidi="ar-SA"/>
    </w:rPr>
  </w:style>
  <w:style w:type="character" w:customStyle="1" w:styleId="133">
    <w:name w:val="普通(网站) Char2"/>
    <w:qFormat/>
    <w:uiPriority w:val="99"/>
    <w:rPr>
      <w:rFonts w:ascii="宋体" w:hAnsi="宋体"/>
      <w:sz w:val="18"/>
      <w:szCs w:val="18"/>
    </w:rPr>
  </w:style>
  <w:style w:type="paragraph" w:customStyle="1" w:styleId="134">
    <w:name w:val="正文11"/>
    <w:qFormat/>
    <w:uiPriority w:val="0"/>
    <w:pPr>
      <w:spacing w:after="160" w:line="360" w:lineRule="auto"/>
      <w:ind w:firstLine="482"/>
    </w:pPr>
    <w:rPr>
      <w:rFonts w:ascii="Times New Roman" w:hAnsi="Times New Roman" w:eastAsia="宋体" w:cs="宋体"/>
      <w:sz w:val="24"/>
      <w:lang w:val="en-US" w:eastAsia="zh-CN" w:bidi="ar-SA"/>
    </w:rPr>
  </w:style>
  <w:style w:type="paragraph" w:customStyle="1" w:styleId="135">
    <w:name w:val="_Style 2"/>
    <w:qFormat/>
    <w:uiPriority w:val="1"/>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36">
    <w:name w:val="列表段落2"/>
    <w:basedOn w:val="1"/>
    <w:qFormat/>
    <w:uiPriority w:val="34"/>
    <w:pPr>
      <w:widowControl w:val="0"/>
      <w:ind w:firstLine="420" w:firstLineChars="200"/>
      <w:jc w:val="both"/>
    </w:pPr>
    <w:rPr>
      <w:rFonts w:ascii="Calibri" w:hAnsi="Calibri"/>
      <w:kern w:val="2"/>
      <w:sz w:val="21"/>
      <w:szCs w:val="22"/>
    </w:rPr>
  </w:style>
  <w:style w:type="character" w:customStyle="1" w:styleId="137">
    <w:name w:val="表格 字符"/>
    <w:link w:val="138"/>
    <w:qFormat/>
    <w:locked/>
    <w:uiPriority w:val="0"/>
    <w:rPr>
      <w:rFonts w:ascii="宋体" w:hAnsi="Courier New" w:cs="Courier New"/>
      <w:kern w:val="2"/>
      <w:sz w:val="21"/>
      <w:szCs w:val="21"/>
    </w:rPr>
  </w:style>
  <w:style w:type="paragraph" w:customStyle="1" w:styleId="138">
    <w:name w:val="表格"/>
    <w:basedOn w:val="23"/>
    <w:link w:val="137"/>
    <w:qFormat/>
    <w:uiPriority w:val="0"/>
    <w:pPr>
      <w:adjustRightInd/>
      <w:spacing w:line="240" w:lineRule="auto"/>
      <w:ind w:firstLine="0" w:firstLineChars="0"/>
      <w:jc w:val="left"/>
    </w:pPr>
    <w:rPr>
      <w:rFonts w:cs="Courier New"/>
      <w:sz w:val="21"/>
      <w:szCs w:val="21"/>
    </w:rPr>
  </w:style>
  <w:style w:type="character" w:customStyle="1" w:styleId="139">
    <w:name w:val="批注文字 Char1"/>
    <w:qFormat/>
    <w:uiPriority w:val="99"/>
    <w:rPr>
      <w:rFonts w:ascii="Times New Roman" w:hAnsi="Times New Roman" w:eastAsia="宋体" w:cs="Times New Roman"/>
      <w:kern w:val="0"/>
      <w:sz w:val="24"/>
      <w:szCs w:val="20"/>
    </w:rPr>
  </w:style>
  <w:style w:type="character" w:customStyle="1" w:styleId="140">
    <w:name w:val="批注框文本 Char1"/>
    <w:semiHidden/>
    <w:qFormat/>
    <w:uiPriority w:val="99"/>
    <w:rPr>
      <w:rFonts w:ascii="宋体" w:hAnsi="宋体" w:eastAsia="宋体" w:cs="宋体"/>
      <w:kern w:val="0"/>
      <w:sz w:val="18"/>
      <w:szCs w:val="18"/>
    </w:rPr>
  </w:style>
  <w:style w:type="character" w:customStyle="1" w:styleId="141">
    <w:name w:val="页眉 Char1"/>
    <w:qFormat/>
    <w:uiPriority w:val="99"/>
    <w:rPr>
      <w:sz w:val="18"/>
      <w:szCs w:val="18"/>
    </w:rPr>
  </w:style>
  <w:style w:type="character" w:customStyle="1" w:styleId="142">
    <w:name w:val="样式8 Char"/>
    <w:link w:val="143"/>
    <w:qFormat/>
    <w:locked/>
    <w:uiPriority w:val="0"/>
    <w:rPr>
      <w:rFonts w:ascii="黑体" w:hAnsi="黑体" w:eastAsia="黑体"/>
      <w:b/>
      <w:sz w:val="24"/>
      <w:szCs w:val="24"/>
    </w:rPr>
  </w:style>
  <w:style w:type="paragraph" w:customStyle="1" w:styleId="143">
    <w:name w:val="样式8"/>
    <w:basedOn w:val="144"/>
    <w:next w:val="1"/>
    <w:link w:val="142"/>
    <w:qFormat/>
    <w:uiPriority w:val="0"/>
    <w:pPr>
      <w:tabs>
        <w:tab w:val="left" w:pos="780"/>
      </w:tabs>
      <w:outlineLvl w:val="7"/>
    </w:pPr>
    <w:rPr>
      <w:sz w:val="24"/>
      <w:szCs w:val="24"/>
    </w:rPr>
  </w:style>
  <w:style w:type="paragraph" w:customStyle="1" w:styleId="144">
    <w:name w:val="样式1"/>
    <w:basedOn w:val="74"/>
    <w:next w:val="1"/>
    <w:link w:val="145"/>
    <w:qFormat/>
    <w:uiPriority w:val="0"/>
    <w:pPr>
      <w:widowControl w:val="0"/>
      <w:tabs>
        <w:tab w:val="left" w:pos="780"/>
      </w:tabs>
      <w:spacing w:beforeLines="50" w:afterLines="50" w:line="360" w:lineRule="auto"/>
      <w:ind w:left="780" w:firstLine="0" w:firstLineChars="0"/>
      <w:outlineLvl w:val="0"/>
    </w:pPr>
    <w:rPr>
      <w:rFonts w:ascii="黑体" w:hAnsi="黑体" w:eastAsia="黑体"/>
      <w:b/>
      <w:sz w:val="36"/>
      <w:szCs w:val="36"/>
    </w:rPr>
  </w:style>
  <w:style w:type="character" w:customStyle="1" w:styleId="145">
    <w:name w:val="样式1 Char"/>
    <w:link w:val="144"/>
    <w:qFormat/>
    <w:locked/>
    <w:uiPriority w:val="0"/>
    <w:rPr>
      <w:rFonts w:ascii="黑体" w:hAnsi="黑体" w:eastAsia="黑体"/>
      <w:b/>
      <w:sz w:val="36"/>
      <w:szCs w:val="36"/>
    </w:rPr>
  </w:style>
  <w:style w:type="character" w:customStyle="1" w:styleId="146">
    <w:name w:val="样式9 Char"/>
    <w:link w:val="147"/>
    <w:qFormat/>
    <w:locked/>
    <w:uiPriority w:val="0"/>
  </w:style>
  <w:style w:type="paragraph" w:customStyle="1" w:styleId="147">
    <w:name w:val="样式9"/>
    <w:basedOn w:val="143"/>
    <w:link w:val="146"/>
    <w:qFormat/>
    <w:uiPriority w:val="0"/>
    <w:pPr>
      <w:outlineLvl w:val="8"/>
    </w:pPr>
    <w:rPr>
      <w:rFonts w:ascii="Times New Roman" w:hAnsi="Times New Roman" w:eastAsia="宋体"/>
      <w:b w:val="0"/>
      <w:sz w:val="20"/>
      <w:szCs w:val="20"/>
    </w:rPr>
  </w:style>
  <w:style w:type="character" w:customStyle="1" w:styleId="148">
    <w:name w:val="图片 字符"/>
    <w:link w:val="149"/>
    <w:qFormat/>
    <w:locked/>
    <w:uiPriority w:val="0"/>
  </w:style>
  <w:style w:type="paragraph" w:customStyle="1" w:styleId="149">
    <w:name w:val="图片"/>
    <w:basedOn w:val="1"/>
    <w:next w:val="1"/>
    <w:link w:val="148"/>
    <w:qFormat/>
    <w:uiPriority w:val="0"/>
    <w:pPr>
      <w:widowControl w:val="0"/>
      <w:ind w:firstLine="200" w:firstLineChars="200"/>
      <w:jc w:val="center"/>
    </w:pPr>
  </w:style>
  <w:style w:type="character" w:customStyle="1" w:styleId="150">
    <w:name w:val="样式3 Char"/>
    <w:link w:val="151"/>
    <w:qFormat/>
    <w:locked/>
    <w:uiPriority w:val="0"/>
    <w:rPr>
      <w:rFonts w:ascii="黑体" w:hAnsi="黑体" w:eastAsia="黑体"/>
      <w:b/>
      <w:sz w:val="30"/>
      <w:szCs w:val="30"/>
    </w:rPr>
  </w:style>
  <w:style w:type="paragraph" w:customStyle="1" w:styleId="151">
    <w:name w:val="样式3"/>
    <w:basedOn w:val="74"/>
    <w:next w:val="1"/>
    <w:link w:val="150"/>
    <w:qFormat/>
    <w:uiPriority w:val="0"/>
    <w:pPr>
      <w:widowControl w:val="0"/>
      <w:tabs>
        <w:tab w:val="left" w:pos="780"/>
      </w:tabs>
      <w:spacing w:beforeLines="50" w:line="360" w:lineRule="auto"/>
      <w:ind w:left="780" w:firstLine="0" w:firstLineChars="0"/>
      <w:outlineLvl w:val="2"/>
    </w:pPr>
    <w:rPr>
      <w:rFonts w:ascii="黑体" w:hAnsi="黑体" w:eastAsia="黑体"/>
      <w:b/>
      <w:sz w:val="30"/>
      <w:szCs w:val="30"/>
    </w:rPr>
  </w:style>
  <w:style w:type="character" w:customStyle="1" w:styleId="152">
    <w:name w:val="样式7 Char"/>
    <w:link w:val="153"/>
    <w:qFormat/>
    <w:locked/>
    <w:uiPriority w:val="0"/>
    <w:rPr>
      <w:rFonts w:ascii="黑体" w:hAnsi="黑体" w:eastAsia="黑体"/>
      <w:b/>
      <w:sz w:val="24"/>
      <w:szCs w:val="24"/>
    </w:rPr>
  </w:style>
  <w:style w:type="paragraph" w:customStyle="1" w:styleId="153">
    <w:name w:val="样式7"/>
    <w:basedOn w:val="144"/>
    <w:next w:val="1"/>
    <w:link w:val="152"/>
    <w:qFormat/>
    <w:uiPriority w:val="0"/>
    <w:pPr>
      <w:outlineLvl w:val="6"/>
    </w:pPr>
    <w:rPr>
      <w:sz w:val="24"/>
      <w:szCs w:val="24"/>
    </w:rPr>
  </w:style>
  <w:style w:type="character" w:customStyle="1" w:styleId="154">
    <w:name w:val="样式5 Char"/>
    <w:link w:val="155"/>
    <w:qFormat/>
    <w:locked/>
    <w:uiPriority w:val="0"/>
    <w:rPr>
      <w:rFonts w:ascii="宋体" w:hAnsi="宋体" w:eastAsia="黑体"/>
      <w:b/>
      <w:sz w:val="24"/>
      <w:szCs w:val="24"/>
    </w:rPr>
  </w:style>
  <w:style w:type="paragraph" w:customStyle="1" w:styleId="155">
    <w:name w:val="样式5"/>
    <w:basedOn w:val="74"/>
    <w:next w:val="1"/>
    <w:link w:val="154"/>
    <w:qFormat/>
    <w:uiPriority w:val="0"/>
    <w:pPr>
      <w:widowControl w:val="0"/>
      <w:tabs>
        <w:tab w:val="left" w:pos="780"/>
      </w:tabs>
      <w:spacing w:beforeLines="50" w:line="360" w:lineRule="auto"/>
      <w:ind w:left="780" w:firstLine="0" w:firstLineChars="0"/>
      <w:outlineLvl w:val="4"/>
    </w:pPr>
    <w:rPr>
      <w:rFonts w:ascii="宋体" w:hAnsi="宋体" w:eastAsia="黑体"/>
      <w:b/>
      <w:sz w:val="24"/>
      <w:szCs w:val="24"/>
    </w:rPr>
  </w:style>
  <w:style w:type="character" w:customStyle="1" w:styleId="156">
    <w:name w:val="样式10 Char"/>
    <w:link w:val="157"/>
    <w:qFormat/>
    <w:locked/>
    <w:uiPriority w:val="0"/>
    <w:rPr>
      <w:rFonts w:ascii="宋体" w:hAnsi="宋体"/>
      <w:sz w:val="28"/>
      <w:szCs w:val="28"/>
    </w:rPr>
  </w:style>
  <w:style w:type="paragraph" w:customStyle="1" w:styleId="157">
    <w:name w:val="样式10"/>
    <w:basedOn w:val="3"/>
    <w:link w:val="156"/>
    <w:qFormat/>
    <w:uiPriority w:val="0"/>
    <w:pPr>
      <w:keepNext w:val="0"/>
      <w:widowControl w:val="0"/>
      <w:spacing w:beforeLines="50" w:afterLines="50" w:line="360" w:lineRule="auto"/>
      <w:ind w:firstLine="562"/>
      <w:jc w:val="left"/>
    </w:pPr>
    <w:rPr>
      <w:rFonts w:cs="Times New Roman"/>
      <w:sz w:val="28"/>
      <w:szCs w:val="28"/>
    </w:rPr>
  </w:style>
  <w:style w:type="character" w:customStyle="1" w:styleId="158">
    <w:name w:val="样式4 Char"/>
    <w:link w:val="159"/>
    <w:qFormat/>
    <w:locked/>
    <w:uiPriority w:val="0"/>
    <w:rPr>
      <w:rFonts w:ascii="宋体" w:hAnsi="宋体" w:eastAsia="黑体"/>
      <w:b/>
      <w:sz w:val="28"/>
      <w:szCs w:val="28"/>
    </w:rPr>
  </w:style>
  <w:style w:type="paragraph" w:customStyle="1" w:styleId="159">
    <w:name w:val="样式4"/>
    <w:basedOn w:val="74"/>
    <w:next w:val="1"/>
    <w:link w:val="158"/>
    <w:qFormat/>
    <w:uiPriority w:val="0"/>
    <w:pPr>
      <w:widowControl w:val="0"/>
      <w:tabs>
        <w:tab w:val="left" w:pos="780"/>
      </w:tabs>
      <w:spacing w:beforeLines="50" w:line="360" w:lineRule="auto"/>
      <w:ind w:left="850" w:firstLine="0" w:firstLineChars="0"/>
      <w:outlineLvl w:val="3"/>
    </w:pPr>
    <w:rPr>
      <w:rFonts w:ascii="宋体" w:hAnsi="宋体" w:eastAsia="黑体"/>
      <w:b/>
      <w:sz w:val="28"/>
      <w:szCs w:val="28"/>
    </w:rPr>
  </w:style>
  <w:style w:type="character" w:customStyle="1" w:styleId="160">
    <w:name w:val="样式6 Char"/>
    <w:link w:val="161"/>
    <w:qFormat/>
    <w:locked/>
    <w:uiPriority w:val="0"/>
    <w:rPr>
      <w:rFonts w:ascii="宋体" w:hAnsi="宋体" w:eastAsia="黑体"/>
      <w:b/>
      <w:sz w:val="24"/>
      <w:szCs w:val="24"/>
    </w:rPr>
  </w:style>
  <w:style w:type="paragraph" w:customStyle="1" w:styleId="161">
    <w:name w:val="样式6"/>
    <w:basedOn w:val="155"/>
    <w:next w:val="1"/>
    <w:link w:val="160"/>
    <w:qFormat/>
    <w:uiPriority w:val="0"/>
    <w:pPr>
      <w:ind w:left="4818"/>
      <w:outlineLvl w:val="5"/>
    </w:pPr>
  </w:style>
  <w:style w:type="character" w:customStyle="1" w:styleId="162">
    <w:name w:val="样式2 Char"/>
    <w:link w:val="163"/>
    <w:qFormat/>
    <w:locked/>
    <w:uiPriority w:val="0"/>
    <w:rPr>
      <w:rFonts w:ascii="黑体" w:hAnsi="黑体" w:eastAsia="黑体"/>
      <w:b/>
      <w:sz w:val="32"/>
      <w:szCs w:val="21"/>
    </w:rPr>
  </w:style>
  <w:style w:type="paragraph" w:customStyle="1" w:styleId="163">
    <w:name w:val="样式2"/>
    <w:basedOn w:val="74"/>
    <w:next w:val="1"/>
    <w:link w:val="162"/>
    <w:qFormat/>
    <w:uiPriority w:val="0"/>
    <w:pPr>
      <w:widowControl w:val="0"/>
      <w:tabs>
        <w:tab w:val="left" w:pos="780"/>
      </w:tabs>
      <w:spacing w:beforeLines="50" w:line="360" w:lineRule="auto"/>
      <w:ind w:left="780" w:firstLine="0" w:firstLineChars="0"/>
      <w:outlineLvl w:val="1"/>
    </w:pPr>
    <w:rPr>
      <w:rFonts w:ascii="黑体" w:hAnsi="黑体" w:eastAsia="黑体"/>
      <w:b/>
      <w:sz w:val="32"/>
      <w:szCs w:val="21"/>
    </w:rPr>
  </w:style>
  <w:style w:type="paragraph" w:customStyle="1" w:styleId="164">
    <w:name w:val="_Style 10"/>
    <w:basedOn w:val="1"/>
    <w:next w:val="74"/>
    <w:qFormat/>
    <w:uiPriority w:val="34"/>
    <w:pPr>
      <w:spacing w:line="360" w:lineRule="auto"/>
      <w:ind w:firstLine="420" w:firstLineChars="200"/>
      <w:jc w:val="both"/>
    </w:pPr>
    <w:rPr>
      <w:rFonts w:ascii="宋体" w:hAnsi="宋体" w:cs="宋体"/>
      <w:sz w:val="24"/>
      <w:szCs w:val="24"/>
    </w:rPr>
  </w:style>
  <w:style w:type="paragraph" w:customStyle="1" w:styleId="165">
    <w:name w:val="表格标注"/>
    <w:basedOn w:val="166"/>
    <w:next w:val="1"/>
    <w:qFormat/>
    <w:uiPriority w:val="99"/>
    <w:pPr>
      <w:numPr>
        <w:ilvl w:val="7"/>
      </w:numPr>
      <w:tabs>
        <w:tab w:val="left" w:pos="3480"/>
      </w:tabs>
    </w:pPr>
  </w:style>
  <w:style w:type="paragraph" w:customStyle="1" w:styleId="166">
    <w:name w:val="插图标注"/>
    <w:next w:val="1"/>
    <w:qFormat/>
    <w:uiPriority w:val="99"/>
    <w:pPr>
      <w:numPr>
        <w:ilvl w:val="6"/>
        <w:numId w:val="2"/>
      </w:numPr>
      <w:spacing w:after="156" w:line="278" w:lineRule="auto"/>
      <w:jc w:val="center"/>
    </w:pPr>
    <w:rPr>
      <w:rFonts w:ascii="Calibri Light" w:hAnsi="Calibri Light" w:eastAsia="宋体" w:cs="方正仿宋_GBK"/>
      <w:sz w:val="21"/>
      <w:szCs w:val="21"/>
      <w:lang w:val="en-US" w:eastAsia="zh-CN" w:bidi="ar-SA"/>
    </w:rPr>
  </w:style>
  <w:style w:type="table" w:customStyle="1" w:styleId="167">
    <w:name w:val="网格型1"/>
    <w:basedOn w:val="38"/>
    <w:qFormat/>
    <w:uiPriority w:val="99"/>
    <w:rPr>
      <w:rFonts w:ascii="Calibri" w:hAnsi="Calibri"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68">
    <w:name w:val="List Paragraph2"/>
    <w:basedOn w:val="1"/>
    <w:qFormat/>
    <w:uiPriority w:val="0"/>
    <w:pPr>
      <w:widowControl w:val="0"/>
      <w:ind w:firstLine="420" w:firstLineChars="200"/>
      <w:jc w:val="both"/>
    </w:pPr>
    <w:rPr>
      <w:kern w:val="2"/>
      <w:sz w:val="21"/>
      <w:szCs w:val="24"/>
    </w:rPr>
  </w:style>
  <w:style w:type="paragraph" w:customStyle="1" w:styleId="169">
    <w:name w:val="！正文"/>
    <w:basedOn w:val="1"/>
    <w:qFormat/>
    <w:uiPriority w:val="99"/>
    <w:pPr>
      <w:widowControl w:val="0"/>
      <w:ind w:firstLine="200" w:firstLineChars="200"/>
      <w:jc w:val="both"/>
    </w:pPr>
    <w:rPr>
      <w:rFonts w:ascii="Calibri" w:hAnsi="Calibri"/>
      <w:kern w:val="2"/>
      <w:sz w:val="21"/>
      <w:szCs w:val="21"/>
    </w:rPr>
  </w:style>
  <w:style w:type="character" w:customStyle="1" w:styleId="170">
    <w:name w:val="font31"/>
    <w:qFormat/>
    <w:uiPriority w:val="0"/>
    <w:rPr>
      <w:rFonts w:hint="eastAsia" w:ascii="宋体" w:hAnsi="宋体" w:eastAsia="宋体" w:cs="宋体"/>
      <w:color w:val="417FF9"/>
      <w:sz w:val="22"/>
      <w:szCs w:val="22"/>
      <w:u w:val="none"/>
    </w:rPr>
  </w:style>
  <w:style w:type="character" w:customStyle="1" w:styleId="171">
    <w:name w:val="font81"/>
    <w:basedOn w:val="40"/>
    <w:qFormat/>
    <w:uiPriority w:val="0"/>
    <w:rPr>
      <w:rFonts w:hint="default" w:ascii="Times New Roman" w:hAnsi="Times New Roman" w:cs="Times New Roman"/>
      <w:color w:val="000000"/>
      <w:sz w:val="22"/>
      <w:szCs w:val="22"/>
      <w:u w:val="none"/>
    </w:rPr>
  </w:style>
  <w:style w:type="paragraph" w:customStyle="1" w:styleId="172">
    <w:name w:val="修订3"/>
    <w:hidden/>
    <w:unhideWhenUsed/>
    <w:qFormat/>
    <w:uiPriority w:val="99"/>
    <w:pPr>
      <w:spacing w:after="160" w:line="278" w:lineRule="auto"/>
    </w:pPr>
    <w:rPr>
      <w:rFonts w:ascii="Times New Roman" w:hAnsi="Times New Roman" w:eastAsia="宋体" w:cs="Times New Roman"/>
      <w:lang w:val="en-US" w:eastAsia="zh-CN" w:bidi="ar-SA"/>
    </w:rPr>
  </w:style>
  <w:style w:type="paragraph" w:customStyle="1" w:styleId="173">
    <w:name w:val="修订4"/>
    <w:hidden/>
    <w:unhideWhenUsed/>
    <w:qFormat/>
    <w:uiPriority w:val="99"/>
    <w:pPr>
      <w:spacing w:after="160" w:line="278" w:lineRule="auto"/>
    </w:pPr>
    <w:rPr>
      <w:rFonts w:ascii="Times New Roman" w:hAnsi="Times New Roman" w:eastAsia="宋体" w:cs="Times New Roman"/>
      <w:lang w:val="en-US" w:eastAsia="zh-CN" w:bidi="ar-SA"/>
    </w:rPr>
  </w:style>
  <w:style w:type="paragraph" w:customStyle="1" w:styleId="174">
    <w:name w:val="修订5"/>
    <w:hidden/>
    <w:unhideWhenUsed/>
    <w:qFormat/>
    <w:uiPriority w:val="99"/>
    <w:pPr>
      <w:spacing w:after="160" w:line="278" w:lineRule="auto"/>
    </w:pPr>
    <w:rPr>
      <w:rFonts w:ascii="Times New Roman" w:hAnsi="Times New Roman" w:eastAsia="宋体" w:cs="Times New Roman"/>
      <w:lang w:val="en-US" w:eastAsia="zh-CN" w:bidi="ar-SA"/>
    </w:rPr>
  </w:style>
  <w:style w:type="paragraph" w:customStyle="1" w:styleId="175">
    <w:name w:val="修订6"/>
    <w:hidden/>
    <w:unhideWhenUsed/>
    <w:qFormat/>
    <w:uiPriority w:val="99"/>
    <w:pPr>
      <w:spacing w:after="160" w:line="278" w:lineRule="auto"/>
    </w:pPr>
    <w:rPr>
      <w:rFonts w:ascii="Times New Roman" w:hAnsi="Times New Roman" w:eastAsia="宋体" w:cs="Times New Roman"/>
      <w:lang w:val="en-US" w:eastAsia="zh-CN" w:bidi="ar-SA"/>
    </w:rPr>
  </w:style>
  <w:style w:type="paragraph" w:customStyle="1" w:styleId="176">
    <w:name w:val="修订7"/>
    <w:hidden/>
    <w:unhideWhenUsed/>
    <w:qFormat/>
    <w:uiPriority w:val="99"/>
    <w:rPr>
      <w:rFonts w:ascii="Times New Roman" w:hAnsi="Times New Roman" w:eastAsia="宋体" w:cs="Times New Roman"/>
      <w:lang w:val="en-US" w:eastAsia="zh-CN" w:bidi="ar-SA"/>
    </w:rPr>
  </w:style>
  <w:style w:type="paragraph" w:customStyle="1" w:styleId="17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178">
    <w:name w:val="No Spacing"/>
    <w:qFormat/>
    <w:uiPriority w:val="1"/>
    <w:pPr>
      <w:widowControl w:val="0"/>
      <w:spacing w:line="360" w:lineRule="auto"/>
      <w:jc w:val="center"/>
    </w:pPr>
    <w:rPr>
      <w:rFonts w:ascii="Calibri" w:hAnsi="Calibri" w:eastAsia="黑体" w:cs="Times New Roman"/>
      <w:b/>
      <w:kern w:val="2"/>
      <w:sz w:val="52"/>
      <w:szCs w:val="22"/>
      <w:lang w:val="en-US" w:eastAsia="zh-CN" w:bidi="ar-SA"/>
    </w:rPr>
  </w:style>
  <w:style w:type="paragraph" w:customStyle="1" w:styleId="179">
    <w:name w:val="正文＋缩进2字符"/>
    <w:basedOn w:val="1"/>
    <w:qFormat/>
    <w:uiPriority w:val="0"/>
    <w:pPr>
      <w:spacing w:line="360" w:lineRule="auto"/>
      <w:ind w:firstLine="480" w:firstLineChars="200"/>
    </w:pPr>
    <w:rPr>
      <w:rFonts w:cs="Arial"/>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12179</Words>
  <Characters>13320</Characters>
  <Lines>323</Lines>
  <Paragraphs>416</Paragraphs>
  <TotalTime>0</TotalTime>
  <ScaleCrop>false</ScaleCrop>
  <LinksUpToDate>false</LinksUpToDate>
  <CharactersWithSpaces>13434</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2026-04-19T00:20:00Z</dcterms:created>
  <dc:creator>user</dc:creator>
  <cp:lastModifiedBy>user</cp:lastModifiedBy>
  <cp:lastPrinted>2026-09-18T01:11:00Z</cp:lastPrinted>
  <dcterms:modified xsi:type="dcterms:W3CDTF">2026-09-21T11:05:53Z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F0804BCF64304E8BA7C2E2A636973D48_13</vt:lpwstr>
  </property>
  <property fmtid="{D5CDD505-2E9C-101B-9397-08002B2CF9AE}" pid="4" name="KSOTemplateDocerSaveRecord">
    <vt:lpwstr>eyJoZGlkIjoiZDEyZTE2ZWY0NWFjMTljYzc0OWVlZjFmMDVkY2U4ZmUiLCJ1c2VySWQiOiIzNzk2NzUzMzQifQ==</vt:lpwstr>
  </property>
</Properties>
</file>