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sz w:val="32"/>
          <w:szCs w:val="32"/>
          <w:highlight w:val="none"/>
          <w:lang w:eastAsia="zh-CN"/>
        </w:rPr>
      </w:pPr>
      <w:bookmarkStart w:id="0" w:name="_Toc165990972"/>
      <w:bookmarkStart w:id="11" w:name="_GoBack"/>
      <w:r>
        <w:rPr>
          <w:rFonts w:hint="eastAsia" w:asciiTheme="minorEastAsia" w:hAnsiTheme="minorEastAsia"/>
          <w:sz w:val="32"/>
          <w:szCs w:val="32"/>
          <w:highlight w:val="none"/>
          <w:lang w:eastAsia="zh-CN"/>
        </w:rPr>
        <w:t>长宁公安AI一线规范执法应用建设竞争性磋商项目</w:t>
      </w:r>
    </w:p>
    <w:p>
      <w:pPr>
        <w:jc w:val="center"/>
        <w:rPr>
          <w:rFonts w:asciiTheme="minorEastAsia" w:hAnsiTheme="minorEastAsia"/>
          <w:sz w:val="32"/>
          <w:szCs w:val="32"/>
          <w:highlight w:val="none"/>
        </w:rPr>
      </w:pPr>
      <w:r>
        <w:rPr>
          <w:rFonts w:hint="eastAsia" w:asciiTheme="minorEastAsia" w:hAnsiTheme="minorEastAsia"/>
          <w:sz w:val="32"/>
          <w:szCs w:val="32"/>
          <w:highlight w:val="none"/>
        </w:rPr>
        <w:t>需求文件</w:t>
      </w:r>
    </w:p>
    <w:bookmarkEnd w:id="0"/>
    <w:p>
      <w:pPr>
        <w:rPr>
          <w:highlight w:val="none"/>
        </w:rPr>
      </w:pPr>
    </w:p>
    <w:p>
      <w:pPr>
        <w:spacing w:line="560" w:lineRule="exact"/>
        <w:ind w:firstLine="482" w:firstLineChars="200"/>
        <w:contextualSpacing/>
        <w:rPr>
          <w:rFonts w:ascii="宋体" w:hAnsi="宋体" w:eastAsia="宋体"/>
          <w:b/>
          <w:sz w:val="24"/>
          <w:szCs w:val="24"/>
          <w:highlight w:val="none"/>
        </w:rPr>
      </w:pPr>
      <w:r>
        <w:rPr>
          <w:rFonts w:hint="eastAsia" w:ascii="宋体" w:hAnsi="宋体" w:eastAsia="宋体"/>
          <w:b/>
          <w:sz w:val="24"/>
          <w:szCs w:val="24"/>
          <w:highlight w:val="none"/>
        </w:rPr>
        <w:t>1、项目概括</w:t>
      </w:r>
    </w:p>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 xml:space="preserve"> 1.1项目背景、目标 </w:t>
      </w:r>
    </w:p>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上海市公安局长宁分局</w:t>
      </w:r>
      <w:r>
        <w:rPr>
          <w:rFonts w:ascii="宋体" w:hAnsi="宋体" w:eastAsia="宋体"/>
          <w:sz w:val="24"/>
          <w:szCs w:val="24"/>
          <w:highlight w:val="none"/>
        </w:rPr>
        <w:t>为紧跟 AI 技术发展趋势，分局</w:t>
      </w:r>
      <w:r>
        <w:rPr>
          <w:rFonts w:hint="eastAsia" w:ascii="宋体" w:hAnsi="宋体" w:eastAsia="宋体"/>
          <w:sz w:val="24"/>
          <w:szCs w:val="24"/>
          <w:highlight w:val="none"/>
        </w:rPr>
        <w:t>开展警务业务智能应用</w:t>
      </w:r>
      <w:r>
        <w:rPr>
          <w:rFonts w:ascii="宋体" w:hAnsi="宋体" w:eastAsia="宋体"/>
          <w:sz w:val="24"/>
          <w:szCs w:val="24"/>
          <w:highlight w:val="none"/>
        </w:rPr>
        <w:t>建设，构建智能化、标准化、可扩展的AI</w:t>
      </w:r>
      <w:r>
        <w:rPr>
          <w:rFonts w:hint="eastAsia" w:ascii="宋体" w:hAnsi="宋体" w:eastAsia="宋体"/>
          <w:sz w:val="24"/>
          <w:szCs w:val="24"/>
          <w:highlight w:val="none"/>
        </w:rPr>
        <w:t>应用能力，最终实现警务业务的智能化、规范化与精细化。</w:t>
      </w:r>
    </w:p>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1.2建设内容</w:t>
      </w:r>
    </w:p>
    <w:tbl>
      <w:tblPr>
        <w:tblStyle w:val="9"/>
        <w:tblW w:w="6670" w:type="dxa"/>
        <w:tblInd w:w="98" w:type="dxa"/>
        <w:tblLayout w:type="autofit"/>
        <w:tblCellMar>
          <w:top w:w="0" w:type="dxa"/>
          <w:left w:w="108" w:type="dxa"/>
          <w:bottom w:w="0" w:type="dxa"/>
          <w:right w:w="108" w:type="dxa"/>
        </w:tblCellMar>
      </w:tblPr>
      <w:tblGrid>
        <w:gridCol w:w="960"/>
        <w:gridCol w:w="1120"/>
        <w:gridCol w:w="2910"/>
        <w:gridCol w:w="1680"/>
      </w:tblGrid>
      <w:tr>
        <w:tblPrEx>
          <w:tblCellMar>
            <w:top w:w="0" w:type="dxa"/>
            <w:left w:w="108" w:type="dxa"/>
            <w:bottom w:w="0" w:type="dxa"/>
            <w:right w:w="108" w:type="dxa"/>
          </w:tblCellMar>
        </w:tblPrEx>
        <w:trPr>
          <w:trHeight w:val="500"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112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子系统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子模块</w:t>
            </w:r>
          </w:p>
        </w:tc>
        <w:tc>
          <w:tcPr>
            <w:tcW w:w="16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数量及单位</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bookmarkStart w:id="1" w:name="OLE_LINK1" w:colFirst="0" w:colLast="0"/>
            <w:r>
              <w:rPr>
                <w:rFonts w:hint="eastAsia" w:ascii="宋体" w:hAnsi="宋体" w:eastAsia="宋体" w:cs="宋体"/>
                <w:color w:val="000000"/>
                <w:kern w:val="0"/>
                <w:sz w:val="24"/>
                <w:szCs w:val="24"/>
                <w:highlight w:val="none"/>
                <w:lang w:bidi="ar"/>
              </w:rPr>
              <w:t>1</w:t>
            </w:r>
          </w:p>
        </w:tc>
        <w:tc>
          <w:tcPr>
            <w:tcW w:w="112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AI一线规范执法应用建设</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警务知识库</w:t>
            </w:r>
          </w:p>
        </w:tc>
        <w:tc>
          <w:tcPr>
            <w:tcW w:w="16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2套</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智能工具扩展应用</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1项</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bookmarkStart w:id="2" w:name="OLE_LINK4"/>
            <w:r>
              <w:rPr>
                <w:rFonts w:ascii="宋体" w:hAnsi="宋体" w:eastAsia="宋体" w:cs="宋体"/>
                <w:color w:val="000000"/>
                <w:kern w:val="0"/>
                <w:sz w:val="24"/>
                <w:szCs w:val="24"/>
                <w:highlight w:val="none"/>
                <w:lang w:bidi="ar"/>
              </w:rPr>
              <w:t>国产化数据库</w:t>
            </w:r>
            <w:bookmarkEnd w:id="2"/>
          </w:p>
        </w:tc>
        <w:tc>
          <w:tcPr>
            <w:tcW w:w="16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国产化操作系统</w:t>
            </w:r>
          </w:p>
        </w:tc>
        <w:tc>
          <w:tcPr>
            <w:tcW w:w="16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6套</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4"/>
                <w:szCs w:val="24"/>
                <w:highlight w:val="none"/>
                <w:lang w:bidi="ar"/>
              </w:rPr>
              <w:t>数据预处理</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bookmarkStart w:id="3" w:name="OLE_LINK6"/>
            <w:r>
              <w:rPr>
                <w:rFonts w:hint="eastAsia" w:ascii="宋体" w:hAnsi="宋体" w:eastAsia="宋体" w:cs="宋体"/>
                <w:color w:val="000000"/>
                <w:kern w:val="0"/>
                <w:sz w:val="24"/>
                <w:szCs w:val="24"/>
                <w:highlight w:val="none"/>
                <w:lang w:bidi="ar"/>
              </w:rPr>
              <w:t>1项</w:t>
            </w:r>
            <w:bookmarkEnd w:id="3"/>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语音合成识别引擎</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1项</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警务业务智能体</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kern w:val="0"/>
                <w:sz w:val="24"/>
                <w:szCs w:val="24"/>
                <w:highlight w:val="none"/>
                <w:lang w:bidi="ar"/>
              </w:rPr>
            </w:pPr>
            <w:bookmarkStart w:id="4" w:name="OLE_LINK2"/>
            <w:r>
              <w:rPr>
                <w:rFonts w:hint="eastAsia" w:ascii="宋体" w:hAnsi="宋体" w:eastAsia="宋体" w:cs="宋体"/>
                <w:color w:val="000000"/>
                <w:kern w:val="0"/>
                <w:sz w:val="24"/>
                <w:szCs w:val="24"/>
                <w:highlight w:val="none"/>
                <w:lang w:bidi="ar"/>
              </w:rPr>
              <w:t>1</w:t>
            </w:r>
            <w:bookmarkEnd w:id="4"/>
            <w:r>
              <w:rPr>
                <w:rFonts w:hint="eastAsia" w:ascii="宋体" w:hAnsi="宋体" w:eastAsia="宋体" w:cs="宋体"/>
                <w:color w:val="000000"/>
                <w:kern w:val="0"/>
                <w:sz w:val="24"/>
                <w:szCs w:val="24"/>
                <w:highlight w:val="none"/>
                <w:lang w:bidi="ar"/>
              </w:rPr>
              <w:t>项</w:t>
            </w:r>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警务业务智能应用（APP）</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bookmarkStart w:id="5" w:name="OLE_LINK5"/>
            <w:r>
              <w:rPr>
                <w:rFonts w:hint="eastAsia" w:ascii="宋体" w:hAnsi="宋体" w:eastAsia="宋体" w:cs="宋体"/>
                <w:color w:val="000000"/>
                <w:kern w:val="0"/>
                <w:sz w:val="24"/>
                <w:szCs w:val="24"/>
                <w:highlight w:val="none"/>
                <w:lang w:bidi="ar"/>
              </w:rPr>
              <w:t>1项</w:t>
            </w:r>
            <w:bookmarkEnd w:id="5"/>
          </w:p>
        </w:tc>
      </w:tr>
      <w:tr>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w:t>
            </w:r>
          </w:p>
        </w:tc>
        <w:tc>
          <w:tcPr>
            <w:tcW w:w="112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4"/>
                <w:szCs w:val="24"/>
                <w:highlight w:val="none"/>
              </w:rPr>
            </w:pP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4"/>
                <w:szCs w:val="24"/>
                <w:highlight w:val="none"/>
                <w:lang w:bidi="ar"/>
              </w:rPr>
            </w:pPr>
            <w:bookmarkStart w:id="6" w:name="OLE_LINK7"/>
            <w:r>
              <w:rPr>
                <w:rFonts w:hint="eastAsia" w:ascii="宋体" w:hAnsi="宋体" w:eastAsia="宋体" w:cs="宋体"/>
                <w:color w:val="000000"/>
                <w:kern w:val="0"/>
                <w:sz w:val="24"/>
                <w:szCs w:val="24"/>
                <w:highlight w:val="none"/>
                <w:lang w:bidi="ar"/>
              </w:rPr>
              <w:t>智能会议识别应用</w:t>
            </w:r>
            <w:bookmarkEnd w:id="6"/>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1项</w:t>
            </w:r>
          </w:p>
        </w:tc>
      </w:tr>
      <w:bookmarkEnd w:id="1"/>
    </w:tbl>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1.3服务时间</w:t>
      </w:r>
    </w:p>
    <w:p>
      <w:pPr>
        <w:spacing w:line="560" w:lineRule="exact"/>
        <w:ind w:firstLine="480" w:firstLineChars="200"/>
        <w:contextualSpacing/>
        <w:rPr>
          <w:rFonts w:ascii="宋体" w:hAnsi="宋体" w:eastAsia="宋体"/>
          <w:sz w:val="24"/>
          <w:szCs w:val="24"/>
          <w:highlight w:val="none"/>
        </w:rPr>
      </w:pPr>
      <w:bookmarkStart w:id="7" w:name="OLE_LINK14"/>
      <w:r>
        <w:rPr>
          <w:rFonts w:hint="eastAsia" w:ascii="宋体" w:hAnsi="宋体" w:eastAsia="宋体"/>
          <w:sz w:val="24"/>
          <w:szCs w:val="24"/>
          <w:highlight w:val="none"/>
        </w:rPr>
        <w:t xml:space="preserve"> 本项目总工期3个月：包括平台开发测试及部署、试运行、培训及最终验收。</w:t>
      </w:r>
    </w:p>
    <w:bookmarkEnd w:id="7"/>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 xml:space="preserve"> 1.4服务地点</w:t>
      </w:r>
    </w:p>
    <w:p>
      <w:pPr>
        <w:spacing w:line="560" w:lineRule="exact"/>
        <w:ind w:firstLine="480" w:firstLineChars="200"/>
        <w:contextualSpacing/>
        <w:rPr>
          <w:rFonts w:ascii="宋体" w:hAnsi="宋体" w:eastAsia="宋体"/>
          <w:sz w:val="24"/>
          <w:szCs w:val="24"/>
          <w:highlight w:val="none"/>
        </w:rPr>
      </w:pPr>
      <w:r>
        <w:rPr>
          <w:rFonts w:hint="eastAsia" w:ascii="宋体" w:hAnsi="宋体" w:eastAsia="宋体"/>
          <w:sz w:val="24"/>
          <w:szCs w:val="24"/>
          <w:highlight w:val="none"/>
        </w:rPr>
        <w:t xml:space="preserve"> 上海市公安局长宁分局</w:t>
      </w:r>
    </w:p>
    <w:p>
      <w:pPr>
        <w:spacing w:line="560" w:lineRule="exact"/>
        <w:ind w:firstLine="480" w:firstLineChars="200"/>
        <w:contextualSpacing/>
        <w:rPr>
          <w:rFonts w:ascii="宋体" w:hAnsi="宋体" w:eastAsia="宋体"/>
          <w:sz w:val="24"/>
          <w:szCs w:val="24"/>
          <w:highlight w:val="none"/>
        </w:rPr>
      </w:pPr>
    </w:p>
    <w:p>
      <w:pPr>
        <w:numPr>
          <w:ilvl w:val="0"/>
          <w:numId w:val="2"/>
        </w:numPr>
        <w:spacing w:line="560" w:lineRule="exact"/>
        <w:ind w:firstLine="482" w:firstLineChars="200"/>
        <w:contextualSpacing/>
        <w:rPr>
          <w:rFonts w:ascii="宋体" w:hAnsi="宋体" w:eastAsia="宋体"/>
          <w:b/>
          <w:sz w:val="24"/>
          <w:szCs w:val="24"/>
          <w:highlight w:val="none"/>
        </w:rPr>
      </w:pPr>
      <w:r>
        <w:rPr>
          <w:rFonts w:hint="eastAsia" w:ascii="宋体" w:hAnsi="宋体" w:eastAsia="宋体"/>
          <w:b/>
          <w:sz w:val="24"/>
          <w:szCs w:val="24"/>
          <w:highlight w:val="none"/>
        </w:rPr>
        <w:t>详细功能需求</w:t>
      </w:r>
    </w:p>
    <w:p>
      <w:pPr>
        <w:spacing w:line="560" w:lineRule="exact"/>
        <w:contextualSpacing/>
        <w:rPr>
          <w:rFonts w:ascii="宋体" w:hAnsi="宋体" w:eastAsia="宋体"/>
          <w:b/>
          <w:bCs/>
          <w:sz w:val="24"/>
          <w:szCs w:val="24"/>
          <w:highlight w:val="none"/>
        </w:rPr>
      </w:pPr>
      <w:r>
        <w:rPr>
          <w:rFonts w:hint="eastAsia" w:ascii="宋体" w:hAnsi="宋体" w:eastAsia="宋体"/>
          <w:b/>
          <w:bCs/>
          <w:sz w:val="24"/>
          <w:szCs w:val="24"/>
          <w:highlight w:val="none"/>
        </w:rPr>
        <w:t>2.1业务知识库</w:t>
      </w:r>
    </w:p>
    <w:tbl>
      <w:tblPr>
        <w:tblStyle w:val="9"/>
        <w:tblW w:w="0" w:type="auto"/>
        <w:tblInd w:w="113" w:type="dxa"/>
        <w:tblLayout w:type="autofit"/>
        <w:tblCellMar>
          <w:top w:w="0" w:type="dxa"/>
          <w:left w:w="108" w:type="dxa"/>
          <w:bottom w:w="0" w:type="dxa"/>
          <w:right w:w="108" w:type="dxa"/>
        </w:tblCellMar>
      </w:tblPr>
      <w:tblGrid>
        <w:gridCol w:w="616"/>
        <w:gridCol w:w="643"/>
        <w:gridCol w:w="733"/>
        <w:gridCol w:w="1616"/>
        <w:gridCol w:w="4801"/>
      </w:tblGrid>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内容项</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功能模块</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功能需求</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1</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业务知识库1</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交通规范执法知识库</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执法指引知识库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需要完成全执法门类法规文件结构化归集与拆解，实现法条关联检索、执法流程指引、文书模板智能匹配、法规版本动态管理，支撑一线民辅警执勤办案全流程标准化执法指引，统一全局执法尺度。</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2</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执法纠偏知识库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需要完成完成执法违规案例、风险点全量归集，建立执法风险标签库，实现案卷瑕疵智能校验、事前风险预警、典型案例反向检索，从源头预防执法违规，降低行政复议、行政诉讼败诉率。</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执法问答知识库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完成全业务场景高频执法问答素材标准化归集，基于大模型实现多轮智能问答、场景化精准匹配、答案权威溯源、问答素材动态扩充，适配多终端轻量化检索，实现一线执法疑问即时解答，提升办案处置效率。</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6</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知识库管理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知识库列表</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需要实现支持展示全部、标签过滤，和搜索功能的知识库卡片列表展示。</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7</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知识库设置</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需要实现支持对已创建的知识库进行编辑设置，包括知识库名称和知识库描述等信息。</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8</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创建知识库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需要实现支持创建知识库，可以配置知识库名称。选择上传文本文件数据源，支持TXT、PDF、HTML等文件类型。</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9</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知识文件管理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需要实现展示列表展示知识库内所有文件，支持搜索、启用禁用、添加、重命名、归档、删除等功能。</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10</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知识分段管理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需要实现展示列表展示文件内所有分段知识，支持搜索、元数据信息、技术参数、添加新分段、批量添加等功能。</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11</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上传知识文件</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需要实现支持上传txt、markdown、pdf、html、xlsx、xlm、docx、csv等格式文件。</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12</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分段处理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需要实现支持自动分段、自定义分段，支持分段标识符、最大长度、重叠长度、预处理规则。</w:t>
            </w:r>
          </w:p>
        </w:tc>
      </w:tr>
      <w:tr>
        <w:tblPrEx>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13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文本索引</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需要实现支持向量检索、全文检索、混合检索三种索引生成模式，也支持rerank重排模型。</w:t>
            </w:r>
          </w:p>
        </w:tc>
      </w:tr>
      <w:tr>
        <w:tblPrEx>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2"/>
                <w:highlight w:val="none"/>
              </w:rPr>
            </w:pPr>
            <w:r>
              <w:rPr>
                <w:rFonts w:ascii="宋体" w:hAnsi="宋体" w:eastAsia="宋体" w:cs="宋体"/>
                <w:color w:val="000000"/>
                <w:kern w:val="0"/>
                <w:sz w:val="22"/>
                <w:highlight w:val="none"/>
              </w:rPr>
              <w:t>14</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2"/>
                <w:highlight w:val="none"/>
              </w:rPr>
            </w:pPr>
            <w:r>
              <w:rPr>
                <w:rFonts w:ascii="宋体" w:hAnsi="宋体" w:eastAsia="宋体" w:cs="宋体"/>
                <w:color w:val="000000"/>
                <w:kern w:val="0"/>
                <w:sz w:val="22"/>
                <w:highlight w:val="none"/>
              </w:rPr>
              <w:t>业务知识库2</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派出所窗口业务知识库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需要完成派出所综合窗口全民生业务事项标准化梳理，实现办事流程 / 材料精准查询、群众咨询智能应答、特殊情形兜底指引、办事告知单自动生成、政策动态更新，统一窗口服务口径，提升基层民生服务质效。</w:t>
            </w:r>
          </w:p>
        </w:tc>
      </w:tr>
      <w:tr>
        <w:tblPrEx>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s="宋体"/>
                <w:color w:val="000000"/>
                <w:kern w:val="0"/>
                <w:sz w:val="22"/>
                <w:highlight w:val="none"/>
              </w:rPr>
            </w:pPr>
            <w:r>
              <w:rPr>
                <w:rFonts w:ascii="宋体" w:hAnsi="宋体" w:eastAsia="宋体" w:cs="宋体"/>
                <w:color w:val="000000"/>
                <w:kern w:val="0"/>
                <w:sz w:val="22"/>
                <w:highlight w:val="none"/>
              </w:rPr>
              <w:t>15</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2"/>
                <w:highlight w:val="none"/>
              </w:rPr>
            </w:pPr>
          </w:p>
        </w:tc>
        <w:tc>
          <w:tcPr>
            <w:tcW w:w="0" w:type="auto"/>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出入境政策问答知识库</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需要完成完成出入境全证件业务政策全量归集，实现分人群 / 签注类型精准政策问答、出入境风险提示、多场景群众话术生成、出行配套政策联动、补件指引自动输出，统一出入境政策答复标准，规范涉外业务处置。</w:t>
            </w:r>
          </w:p>
        </w:tc>
      </w:tr>
    </w:tbl>
    <w:p>
      <w:pPr>
        <w:spacing w:line="560" w:lineRule="exact"/>
        <w:ind w:firstLine="482" w:firstLineChars="200"/>
        <w:contextualSpacing/>
        <w:rPr>
          <w:rFonts w:ascii="宋体" w:hAnsi="宋体" w:eastAsia="宋体"/>
          <w:b/>
          <w:bCs/>
          <w:sz w:val="24"/>
          <w:szCs w:val="24"/>
          <w:highlight w:val="none"/>
        </w:rPr>
      </w:pPr>
      <w:r>
        <w:rPr>
          <w:rFonts w:hint="eastAsia" w:ascii="宋体" w:hAnsi="宋体" w:eastAsia="宋体"/>
          <w:b/>
          <w:bCs/>
          <w:sz w:val="24"/>
          <w:szCs w:val="24"/>
          <w:highlight w:val="none"/>
        </w:rPr>
        <w:t>2.2智能工具扩展应用</w:t>
      </w:r>
    </w:p>
    <w:tbl>
      <w:tblPr>
        <w:tblStyle w:val="9"/>
        <w:tblW w:w="8359" w:type="dxa"/>
        <w:tblInd w:w="113" w:type="dxa"/>
        <w:tblLayout w:type="fixed"/>
        <w:tblCellMar>
          <w:top w:w="0" w:type="dxa"/>
          <w:left w:w="108" w:type="dxa"/>
          <w:bottom w:w="0" w:type="dxa"/>
          <w:right w:w="108" w:type="dxa"/>
        </w:tblCellMar>
      </w:tblPr>
      <w:tblGrid>
        <w:gridCol w:w="834"/>
        <w:gridCol w:w="1726"/>
        <w:gridCol w:w="5799"/>
      </w:tblGrid>
      <w:tr>
        <w:tblPrEx>
          <w:tblCellMar>
            <w:top w:w="0" w:type="dxa"/>
            <w:left w:w="108" w:type="dxa"/>
            <w:bottom w:w="0" w:type="dxa"/>
            <w:right w:w="108" w:type="dxa"/>
          </w:tblCellMar>
        </w:tblPrEx>
        <w:trPr>
          <w:trHeight w:val="500"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序号</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一级功能</w:t>
            </w:r>
          </w:p>
        </w:tc>
        <w:tc>
          <w:tcPr>
            <w:tcW w:w="5799"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功能描述</w:t>
            </w:r>
          </w:p>
        </w:tc>
      </w:tr>
      <w:tr>
        <w:tblPrEx>
          <w:tblCellMar>
            <w:top w:w="0" w:type="dxa"/>
            <w:left w:w="108" w:type="dxa"/>
            <w:bottom w:w="0" w:type="dxa"/>
            <w:right w:w="108" w:type="dxa"/>
          </w:tblCellMar>
        </w:tblPrEx>
        <w:trPr>
          <w:trHeight w:val="905"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1</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图表生产工具</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需支持 Excel、CSV、数据库链接等常见数据格式导入，提供多种图表类型；支持颜色、字体、坐标轴自定义，可添加分局标识与水印；支持多文件格式导出。</w:t>
            </w:r>
          </w:p>
        </w:tc>
      </w:tr>
      <w:tr>
        <w:tblPrEx>
          <w:tblCellMar>
            <w:top w:w="0" w:type="dxa"/>
            <w:left w:w="108" w:type="dxa"/>
            <w:bottom w:w="0" w:type="dxa"/>
            <w:right w:w="108" w:type="dxa"/>
          </w:tblCellMar>
        </w:tblPrEx>
        <w:trPr>
          <w:trHeight w:val="946"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2</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网页抓取工具</w:t>
            </w:r>
            <w:r>
              <w:rPr>
                <w:rFonts w:ascii="Times New Roman" w:hAnsi="Times New Roman" w:cs="Times New Roman" w:eastAsiaTheme="majorEastAsia"/>
                <w:color w:val="000000"/>
                <w:kern w:val="0"/>
                <w:sz w:val="20"/>
                <w:szCs w:val="20"/>
                <w:highlight w:val="none"/>
              </w:rPr>
              <w:t>​</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需支持自定义 URL 与抓取规则，具备自动去重、数据清洗、结构化输出能力；支持定时与增量抓取，提供抓取日志追溯</w:t>
            </w:r>
          </w:p>
        </w:tc>
      </w:tr>
      <w:tr>
        <w:tblPrEx>
          <w:tblCellMar>
            <w:top w:w="0" w:type="dxa"/>
            <w:left w:w="108" w:type="dxa"/>
            <w:bottom w:w="0" w:type="dxa"/>
            <w:right w:w="108" w:type="dxa"/>
          </w:tblCellMar>
        </w:tblPrEx>
        <w:trPr>
          <w:trHeight w:val="988"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3</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公文助手</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需支持按公文主题智能生成规范大纲，可依据大纲与篇幅要求自动生成完整公文；生成内容支持在线编辑、保存与下载，符合机关公文格式与写作规范。</w:t>
            </w:r>
          </w:p>
        </w:tc>
      </w:tr>
      <w:tr>
        <w:tblPrEx>
          <w:tblCellMar>
            <w:top w:w="0" w:type="dxa"/>
            <w:left w:w="108" w:type="dxa"/>
            <w:bottom w:w="0" w:type="dxa"/>
            <w:right w:w="108" w:type="dxa"/>
          </w:tblCellMar>
        </w:tblPrEx>
        <w:trPr>
          <w:trHeight w:val="1116"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4</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代码解析器</w:t>
            </w:r>
            <w:r>
              <w:rPr>
                <w:rFonts w:hint="eastAsia" w:ascii="Times New Roman" w:hAnsi="Times New Roman" w:cs="Times New Roman" w:eastAsiaTheme="majorEastAsia"/>
                <w:color w:val="000000"/>
                <w:kern w:val="0"/>
                <w:sz w:val="20"/>
                <w:szCs w:val="20"/>
                <w:highlight w:val="none"/>
              </w:rPr>
              <w:t>工具</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需支持 Python、Java、JavaScript 等多语言解析，可对执法系统脚本、控制代码进行语法检查与错误提示；支持代码运行预览，提供代码片段保存与共享能力。</w:t>
            </w:r>
            <w:r>
              <w:rPr>
                <w:rFonts w:ascii="Times New Roman" w:hAnsi="Times New Roman" w:cs="Times New Roman" w:eastAsiaTheme="majorEastAsia"/>
                <w:color w:val="000000"/>
                <w:kern w:val="0"/>
                <w:sz w:val="20"/>
                <w:szCs w:val="20"/>
                <w:highlight w:val="none"/>
              </w:rPr>
              <w:t>​</w:t>
            </w:r>
          </w:p>
        </w:tc>
      </w:tr>
      <w:tr>
        <w:tblPrEx>
          <w:tblCellMar>
            <w:top w:w="0" w:type="dxa"/>
            <w:left w:w="108" w:type="dxa"/>
            <w:bottom w:w="0" w:type="dxa"/>
            <w:right w:w="108" w:type="dxa"/>
          </w:tblCellMar>
        </w:tblPrEx>
        <w:trPr>
          <w:trHeight w:val="1117"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5</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二维码工具</w:t>
            </w:r>
            <w:r>
              <w:rPr>
                <w:rFonts w:ascii="Times New Roman" w:hAnsi="Times New Roman" w:cs="Times New Roman" w:eastAsiaTheme="majorEastAsia"/>
                <w:color w:val="000000"/>
                <w:kern w:val="0"/>
                <w:sz w:val="20"/>
                <w:szCs w:val="20"/>
                <w:highlight w:val="none"/>
              </w:rPr>
              <w:t>​</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需支持文本、URL、文档等内容生成二维码，可自定义尺寸、支持二维码解码及批量生成、导出，满足执法标识、文书、信息快速传递需求。</w:t>
            </w:r>
            <w:r>
              <w:rPr>
                <w:rFonts w:ascii="Times New Roman" w:hAnsi="Times New Roman" w:cs="Times New Roman" w:eastAsiaTheme="majorEastAsia"/>
                <w:color w:val="000000"/>
                <w:kern w:val="0"/>
                <w:sz w:val="20"/>
                <w:szCs w:val="20"/>
                <w:highlight w:val="none"/>
              </w:rPr>
              <w:t>​</w:t>
            </w:r>
          </w:p>
        </w:tc>
      </w:tr>
      <w:tr>
        <w:tblPrEx>
          <w:tblCellMar>
            <w:top w:w="0" w:type="dxa"/>
            <w:left w:w="108" w:type="dxa"/>
            <w:bottom w:w="0" w:type="dxa"/>
            <w:right w:w="108" w:type="dxa"/>
          </w:tblCellMar>
        </w:tblPrEx>
        <w:trPr>
          <w:trHeight w:val="850"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cs="宋体" w:asciiTheme="majorEastAsia" w:hAnsiTheme="majorEastAsia" w:eastAsiaTheme="majorEastAsia"/>
                <w:color w:val="000000"/>
                <w:kern w:val="0"/>
                <w:sz w:val="20"/>
                <w:szCs w:val="20"/>
                <w:highlight w:val="none"/>
              </w:rPr>
            </w:pPr>
            <w:r>
              <w:rPr>
                <w:rFonts w:cs="宋体" w:asciiTheme="majorEastAsia" w:hAnsiTheme="majorEastAsia" w:eastAsiaTheme="majorEastAsia"/>
                <w:color w:val="000000"/>
                <w:kern w:val="0"/>
                <w:sz w:val="20"/>
                <w:szCs w:val="20"/>
                <w:highlight w:val="none"/>
              </w:rPr>
              <w:t>MC协议适配</w:t>
            </w:r>
            <w:r>
              <w:rPr>
                <w:rFonts w:hint="eastAsia" w:ascii="Times New Roman" w:hAnsi="Times New Roman" w:cs="Times New Roman" w:eastAsiaTheme="majorEastAsia"/>
                <w:color w:val="000000"/>
                <w:kern w:val="0"/>
                <w:sz w:val="20"/>
                <w:szCs w:val="20"/>
                <w:highlight w:val="none"/>
              </w:rPr>
              <w:t>工具</w:t>
            </w:r>
          </w:p>
        </w:tc>
        <w:tc>
          <w:tcPr>
            <w:tcW w:w="57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需实现 MCP 协议与现有 AI 应用通信适配，支持指令下发与数据双向传输，提升跨设备协同执法能力。</w:t>
            </w:r>
          </w:p>
        </w:tc>
      </w:tr>
    </w:tbl>
    <w:p>
      <w:pPr>
        <w:spacing w:line="560" w:lineRule="exact"/>
        <w:contextualSpacing/>
        <w:rPr>
          <w:rFonts w:ascii="宋体" w:hAnsi="宋体" w:eastAsia="宋体"/>
          <w:b/>
          <w:bCs/>
          <w:sz w:val="24"/>
          <w:szCs w:val="24"/>
          <w:highlight w:val="none"/>
        </w:rPr>
      </w:pPr>
      <w:r>
        <w:rPr>
          <w:rFonts w:hint="eastAsia" w:ascii="宋体" w:hAnsi="宋体" w:eastAsia="宋体"/>
          <w:b/>
          <w:bCs/>
          <w:sz w:val="24"/>
          <w:szCs w:val="24"/>
          <w:highlight w:val="none"/>
        </w:rPr>
        <w:t>2.3国产化数据库</w:t>
      </w:r>
    </w:p>
    <w:tbl>
      <w:tblPr>
        <w:tblStyle w:val="9"/>
        <w:tblW w:w="4998" w:type="pct"/>
        <w:tblInd w:w="0" w:type="dxa"/>
        <w:tblLayout w:type="autofit"/>
        <w:tblCellMar>
          <w:top w:w="0" w:type="dxa"/>
          <w:left w:w="108" w:type="dxa"/>
          <w:bottom w:w="0" w:type="dxa"/>
          <w:right w:w="108" w:type="dxa"/>
        </w:tblCellMar>
      </w:tblPr>
      <w:tblGrid>
        <w:gridCol w:w="809"/>
        <w:gridCol w:w="1497"/>
        <w:gridCol w:w="6213"/>
      </w:tblGrid>
      <w:tr>
        <w:tblPrEx>
          <w:tblCellMar>
            <w:top w:w="0" w:type="dxa"/>
            <w:left w:w="108" w:type="dxa"/>
            <w:bottom w:w="0" w:type="dxa"/>
            <w:right w:w="108" w:type="dxa"/>
          </w:tblCellMar>
        </w:tblPrEx>
        <w:trPr>
          <w:trHeight w:val="453" w:hRule="atLeast"/>
        </w:trPr>
        <w:tc>
          <w:tcPr>
            <w:tcW w:w="415"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序号</w:t>
            </w:r>
          </w:p>
        </w:tc>
        <w:tc>
          <w:tcPr>
            <w:tcW w:w="768"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内容项</w:t>
            </w:r>
          </w:p>
        </w:tc>
        <w:tc>
          <w:tcPr>
            <w:tcW w:w="3186"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2"/>
                <w:highlight w:val="none"/>
              </w:rPr>
              <w:t>产品功能</w:t>
            </w:r>
          </w:p>
        </w:tc>
      </w:tr>
      <w:tr>
        <w:tblPrEx>
          <w:tblCellMar>
            <w:top w:w="0" w:type="dxa"/>
            <w:left w:w="108" w:type="dxa"/>
            <w:bottom w:w="0" w:type="dxa"/>
            <w:right w:w="108" w:type="dxa"/>
          </w:tblCellMar>
        </w:tblPrEx>
        <w:trPr>
          <w:trHeight w:val="484" w:hRule="atLeast"/>
        </w:trPr>
        <w:tc>
          <w:tcPr>
            <w:tcW w:w="415"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1</w:t>
            </w:r>
          </w:p>
        </w:tc>
        <w:tc>
          <w:tcPr>
            <w:tcW w:w="768"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国产化数据库</w:t>
            </w:r>
          </w:p>
        </w:tc>
        <w:tc>
          <w:tcPr>
            <w:tcW w:w="3186"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要求具备数据存储、访问控制、身份鉴别、安全审计和数据备份恢复等功能。产品部署在服务器，以后台服务形式运行，数据库管理员及用户在管理主机上通过图形化管理工具或命令行工具可实现对数据对象(表、视图、约束、索引、触发器存储过程等)的配置管理。开发人员可通过标准化数据库访问接口，开发基于数据库的应用系统和软件产品。</w:t>
            </w:r>
          </w:p>
        </w:tc>
      </w:tr>
    </w:tbl>
    <w:p>
      <w:pPr>
        <w:spacing w:line="560" w:lineRule="exact"/>
        <w:contextualSpacing/>
        <w:rPr>
          <w:rFonts w:ascii="宋体" w:hAnsi="宋体" w:eastAsia="宋体"/>
          <w:b/>
          <w:bCs/>
          <w:sz w:val="24"/>
          <w:szCs w:val="24"/>
          <w:highlight w:val="none"/>
        </w:rPr>
      </w:pPr>
    </w:p>
    <w:p>
      <w:pPr>
        <w:spacing w:line="560" w:lineRule="exact"/>
        <w:contextualSpacing/>
        <w:rPr>
          <w:rFonts w:ascii="宋体" w:hAnsi="宋体" w:eastAsia="宋体"/>
          <w:b/>
          <w:bCs/>
          <w:sz w:val="24"/>
          <w:szCs w:val="24"/>
          <w:highlight w:val="none"/>
        </w:rPr>
      </w:pPr>
      <w:r>
        <w:rPr>
          <w:rFonts w:hint="eastAsia" w:ascii="宋体" w:hAnsi="宋体" w:eastAsia="宋体"/>
          <w:b/>
          <w:bCs/>
          <w:sz w:val="24"/>
          <w:szCs w:val="24"/>
          <w:highlight w:val="none"/>
        </w:rPr>
        <w:t>2.4国产化操作系统</w:t>
      </w:r>
    </w:p>
    <w:tbl>
      <w:tblPr>
        <w:tblStyle w:val="9"/>
        <w:tblW w:w="4998" w:type="pct"/>
        <w:tblInd w:w="0" w:type="dxa"/>
        <w:tblLayout w:type="autofit"/>
        <w:tblCellMar>
          <w:top w:w="0" w:type="dxa"/>
          <w:left w:w="108" w:type="dxa"/>
          <w:bottom w:w="0" w:type="dxa"/>
          <w:right w:w="108" w:type="dxa"/>
        </w:tblCellMar>
      </w:tblPr>
      <w:tblGrid>
        <w:gridCol w:w="809"/>
        <w:gridCol w:w="1498"/>
        <w:gridCol w:w="6212"/>
      </w:tblGrid>
      <w:tr>
        <w:tblPrEx>
          <w:tblCellMar>
            <w:top w:w="0" w:type="dxa"/>
            <w:left w:w="108" w:type="dxa"/>
            <w:bottom w:w="0" w:type="dxa"/>
            <w:right w:w="108" w:type="dxa"/>
          </w:tblCellMar>
        </w:tblPrEx>
        <w:trPr>
          <w:trHeight w:val="1192" w:hRule="atLeast"/>
        </w:trPr>
        <w:tc>
          <w:tcPr>
            <w:tcW w:w="475"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序号</w:t>
            </w:r>
          </w:p>
        </w:tc>
        <w:tc>
          <w:tcPr>
            <w:tcW w:w="879"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内容项</w:t>
            </w:r>
          </w:p>
        </w:tc>
        <w:tc>
          <w:tcPr>
            <w:tcW w:w="3646"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2"/>
                <w:highlight w:val="none"/>
              </w:rPr>
              <w:t>产品功能</w:t>
            </w:r>
          </w:p>
        </w:tc>
      </w:tr>
      <w:tr>
        <w:tblPrEx>
          <w:tblCellMar>
            <w:top w:w="0" w:type="dxa"/>
            <w:left w:w="108" w:type="dxa"/>
            <w:bottom w:w="0" w:type="dxa"/>
            <w:right w:w="108" w:type="dxa"/>
          </w:tblCellMar>
        </w:tblPrEx>
        <w:trPr>
          <w:trHeight w:val="1192" w:hRule="atLeast"/>
        </w:trPr>
        <w:tc>
          <w:tcPr>
            <w:tcW w:w="475"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1</w:t>
            </w:r>
          </w:p>
        </w:tc>
        <w:tc>
          <w:tcPr>
            <w:tcW w:w="879"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国产化操作系统</w:t>
            </w:r>
          </w:p>
        </w:tc>
        <w:tc>
          <w:tcPr>
            <w:tcW w:w="3646" w:type="pct"/>
            <w:tcBorders>
              <w:top w:val="single" w:color="000000" w:sz="4" w:space="0"/>
              <w:left w:val="nil"/>
              <w:bottom w:val="single" w:color="000000" w:sz="4" w:space="0"/>
              <w:right w:val="single" w:color="000000" w:sz="4" w:space="0"/>
            </w:tcBorders>
            <w:vAlign w:val="center"/>
          </w:tcPr>
          <w:p>
            <w:pPr>
              <w:widowControl/>
              <w:jc w:val="center"/>
              <w:rPr>
                <w:rFonts w:cs="宋体" w:asciiTheme="majorEastAsia" w:hAnsiTheme="majorEastAsia" w:eastAsiaTheme="majorEastAsia"/>
                <w:color w:val="000000"/>
                <w:kern w:val="0"/>
                <w:sz w:val="20"/>
                <w:szCs w:val="20"/>
                <w:highlight w:val="none"/>
              </w:rPr>
            </w:pPr>
            <w:r>
              <w:rPr>
                <w:rFonts w:hint="eastAsia" w:cs="宋体" w:asciiTheme="majorEastAsia" w:hAnsiTheme="majorEastAsia" w:eastAsiaTheme="majorEastAsia"/>
                <w:color w:val="000000"/>
                <w:kern w:val="0"/>
                <w:sz w:val="20"/>
                <w:szCs w:val="20"/>
                <w:highlight w:val="none"/>
              </w:rPr>
              <w:t>要求具备文件管理、设备管理、日志管理、服务进程和监控管理、网络管理、资源管理、软件包管理、硬盘管理等基本功能；</w:t>
            </w:r>
            <w:r>
              <w:rPr>
                <w:rFonts w:hint="eastAsia" w:cs="宋体" w:asciiTheme="majorEastAsia" w:hAnsiTheme="majorEastAsia" w:eastAsiaTheme="majorEastAsia"/>
                <w:color w:val="000000"/>
                <w:kern w:val="0"/>
                <w:sz w:val="20"/>
                <w:szCs w:val="20"/>
                <w:highlight w:val="none"/>
              </w:rPr>
              <w:br w:type="textWrapping"/>
            </w:r>
            <w:r>
              <w:rPr>
                <w:rFonts w:hint="eastAsia" w:cs="宋体" w:asciiTheme="majorEastAsia" w:hAnsiTheme="majorEastAsia" w:eastAsiaTheme="majorEastAsia"/>
                <w:color w:val="000000"/>
                <w:kern w:val="0"/>
                <w:sz w:val="20"/>
                <w:szCs w:val="20"/>
                <w:highlight w:val="none"/>
              </w:rPr>
              <w:t>要求提供语言支持工具、集成开发平台、管理工具等常用工具；</w:t>
            </w:r>
            <w:r>
              <w:rPr>
                <w:rFonts w:hint="eastAsia" w:cs="宋体" w:asciiTheme="majorEastAsia" w:hAnsiTheme="majorEastAsia" w:eastAsiaTheme="majorEastAsia"/>
                <w:color w:val="000000"/>
                <w:kern w:val="0"/>
                <w:sz w:val="20"/>
                <w:szCs w:val="20"/>
                <w:highlight w:val="none"/>
              </w:rPr>
              <w:br w:type="textWrapping"/>
            </w:r>
            <w:r>
              <w:rPr>
                <w:rFonts w:hint="eastAsia" w:cs="宋体" w:asciiTheme="majorEastAsia" w:hAnsiTheme="majorEastAsia" w:eastAsiaTheme="majorEastAsia"/>
                <w:color w:val="000000"/>
                <w:kern w:val="0"/>
                <w:sz w:val="20"/>
                <w:szCs w:val="20"/>
                <w:highlight w:val="none"/>
              </w:rPr>
              <w:t>要求支持KVM、Docker虚拟化技术，并提供远程网络批量部署；</w:t>
            </w:r>
            <w:r>
              <w:rPr>
                <w:rFonts w:hint="eastAsia" w:cs="宋体" w:asciiTheme="majorEastAsia" w:hAnsiTheme="majorEastAsia" w:eastAsiaTheme="majorEastAsia"/>
                <w:color w:val="000000"/>
                <w:kern w:val="0"/>
                <w:sz w:val="20"/>
                <w:szCs w:val="20"/>
                <w:highlight w:val="none"/>
              </w:rPr>
              <w:br w:type="textWrapping"/>
            </w:r>
            <w:r>
              <w:rPr>
                <w:rFonts w:hint="eastAsia" w:cs="宋体" w:asciiTheme="majorEastAsia" w:hAnsiTheme="majorEastAsia" w:eastAsiaTheme="majorEastAsia"/>
                <w:color w:val="000000"/>
                <w:kern w:val="0"/>
                <w:sz w:val="20"/>
                <w:szCs w:val="20"/>
                <w:highlight w:val="none"/>
              </w:rPr>
              <w:t>符合</w:t>
            </w:r>
            <w:r>
              <w:rPr>
                <w:rFonts w:hint="eastAsia" w:cs="宋体" w:asciiTheme="majorEastAsia" w:hAnsiTheme="majorEastAsia" w:eastAsiaTheme="majorEastAsia"/>
                <w:color w:val="000000"/>
                <w:kern w:val="0"/>
                <w:sz w:val="20"/>
                <w:szCs w:val="20"/>
                <w:highlight w:val="none"/>
                <w:lang w:eastAsia="zh-CN"/>
              </w:rPr>
              <w:t>信息创新</w:t>
            </w:r>
            <w:r>
              <w:rPr>
                <w:rFonts w:hint="eastAsia" w:cs="宋体" w:asciiTheme="majorEastAsia" w:hAnsiTheme="majorEastAsia" w:eastAsiaTheme="majorEastAsia"/>
                <w:color w:val="000000"/>
                <w:kern w:val="0"/>
                <w:sz w:val="20"/>
                <w:szCs w:val="20"/>
                <w:highlight w:val="none"/>
              </w:rPr>
              <w:t>要求。</w:t>
            </w:r>
          </w:p>
        </w:tc>
      </w:tr>
    </w:tbl>
    <w:p>
      <w:pPr>
        <w:spacing w:line="560" w:lineRule="exact"/>
        <w:ind w:firstLine="482" w:firstLineChars="200"/>
        <w:contextualSpacing/>
        <w:rPr>
          <w:rFonts w:ascii="宋体" w:hAnsi="宋体" w:eastAsia="宋体"/>
          <w:b/>
          <w:bCs/>
          <w:sz w:val="24"/>
          <w:szCs w:val="24"/>
          <w:highlight w:val="none"/>
        </w:rPr>
      </w:pPr>
      <w:r>
        <w:rPr>
          <w:rFonts w:hint="eastAsia" w:ascii="宋体" w:hAnsi="宋体" w:eastAsia="宋体"/>
          <w:b/>
          <w:bCs/>
          <w:sz w:val="24"/>
          <w:szCs w:val="24"/>
          <w:highlight w:val="none"/>
        </w:rPr>
        <w:t>2.5数据预处理</w:t>
      </w:r>
    </w:p>
    <w:tbl>
      <w:tblPr>
        <w:tblStyle w:val="9"/>
        <w:tblW w:w="4998" w:type="pct"/>
        <w:tblInd w:w="0" w:type="dxa"/>
        <w:tblLayout w:type="autofit"/>
        <w:tblCellMar>
          <w:top w:w="0" w:type="dxa"/>
          <w:left w:w="108" w:type="dxa"/>
          <w:bottom w:w="0" w:type="dxa"/>
          <w:right w:w="108" w:type="dxa"/>
        </w:tblCellMar>
      </w:tblPr>
      <w:tblGrid>
        <w:gridCol w:w="510"/>
        <w:gridCol w:w="833"/>
        <w:gridCol w:w="1220"/>
        <w:gridCol w:w="5956"/>
      </w:tblGrid>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序号</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一级功能</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二级功能</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功能需求</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1</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业务语料库</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业务语料库</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需要实现对一线规范执法、窗口接待业务等政策管理条例数据，从语料库中提取文本内容，并合理划分段落、句子等单元，为后续处理做支撑。</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2</w:t>
            </w:r>
          </w:p>
        </w:tc>
        <w:tc>
          <w:tcPr>
            <w:tcW w:w="489"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数据接入与采集</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多源异构数据接入</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需要支持接入多种政务数据源，包括结构化数据、半结构化数据、非结构化文档及接口数据。</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3</w:t>
            </w:r>
          </w:p>
        </w:tc>
        <w:tc>
          <w:tcPr>
            <w:tcW w:w="489"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2"/>
                <w:highlight w:val="none"/>
              </w:rPr>
            </w:pP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批量与增量采集</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需要支持全量历史数据的批量导入，同时支持配置定时任务或监测机制。</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4</w:t>
            </w:r>
          </w:p>
        </w:tc>
        <w:tc>
          <w:tcPr>
            <w:tcW w:w="489"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数据清洗与去重</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格式标准化清洗</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需要自动识别并处理文档中的乱码、特殊字符、多余空格、换行符及页眉页脚干扰信息。</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5</w:t>
            </w:r>
          </w:p>
        </w:tc>
        <w:tc>
          <w:tcPr>
            <w:tcW w:w="489"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2"/>
                <w:highlight w:val="none"/>
              </w:rPr>
            </w:pP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内容去重</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需要实现基于文本指纹或语义相似度算法，对采集到的文档进行比对，自动剔除完全重复或高度相似的内容</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6</w:t>
            </w:r>
          </w:p>
        </w:tc>
        <w:tc>
          <w:tcPr>
            <w:tcW w:w="489"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2"/>
                <w:highlight w:val="none"/>
              </w:rPr>
            </w:pP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隐私数据脱敏</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需要实现针对业务数据中可能包含的敏感数据、隐私信息自动掩码或替换处理，确保数据合规。</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7</w:t>
            </w:r>
          </w:p>
        </w:tc>
        <w:tc>
          <w:tcPr>
            <w:tcW w:w="489"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文档解析与提取</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复杂版面解析</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需要实现文档类文件、图片文档，实现提取文本内容，保持段落层级关系。</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8</w:t>
            </w:r>
          </w:p>
        </w:tc>
        <w:tc>
          <w:tcPr>
            <w:tcW w:w="489"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2"/>
                <w:highlight w:val="none"/>
              </w:rPr>
            </w:pP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元数据提取</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需要实现提取文档的元数据信息，为后续知识库的筛选和权限控制打基础。</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9</w:t>
            </w:r>
          </w:p>
        </w:tc>
        <w:tc>
          <w:tcPr>
            <w:tcW w:w="489"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数据切分</w:t>
            </w: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智能语义切片</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需要实现基于语义边界或固定窗口长度的算法进行切分。支持按段落、章节或特定逻辑进行分割，确保切片内容的语义完整性和独立性。</w:t>
            </w:r>
          </w:p>
        </w:tc>
      </w:tr>
      <w:tr>
        <w:tblPrEx>
          <w:tblCellMar>
            <w:top w:w="0" w:type="dxa"/>
            <w:left w:w="108" w:type="dxa"/>
            <w:bottom w:w="0" w:type="dxa"/>
            <w:right w:w="108" w:type="dxa"/>
          </w:tblCellMar>
        </w:tblPrEx>
        <w:trPr>
          <w:trHeight w:val="600" w:hRule="atLeast"/>
        </w:trPr>
        <w:tc>
          <w:tcPr>
            <w:tcW w:w="29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10</w:t>
            </w:r>
          </w:p>
        </w:tc>
        <w:tc>
          <w:tcPr>
            <w:tcW w:w="489"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2"/>
                <w:highlight w:val="none"/>
              </w:rPr>
            </w:pPr>
          </w:p>
        </w:tc>
        <w:tc>
          <w:tcPr>
            <w:tcW w:w="716"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切片重叠处理</w:t>
            </w:r>
          </w:p>
        </w:tc>
        <w:tc>
          <w:tcPr>
            <w:tcW w:w="3494"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需要实现可配置切片之间的重叠字符数，以避免上下文截断导致的信息丢失，提升智能体检索时的上下文连贯性。</w:t>
            </w:r>
          </w:p>
        </w:tc>
      </w:tr>
    </w:tbl>
    <w:p>
      <w:pPr>
        <w:spacing w:line="560" w:lineRule="exact"/>
        <w:ind w:firstLine="482" w:firstLineChars="200"/>
        <w:contextualSpacing/>
        <w:rPr>
          <w:rFonts w:ascii="宋体" w:hAnsi="宋体" w:eastAsia="宋体"/>
          <w:b/>
          <w:bCs/>
          <w:sz w:val="24"/>
          <w:szCs w:val="24"/>
          <w:highlight w:val="none"/>
        </w:rPr>
      </w:pPr>
      <w:r>
        <w:rPr>
          <w:rFonts w:hint="eastAsia" w:ascii="宋体" w:hAnsi="宋体" w:eastAsia="宋体"/>
          <w:b/>
          <w:bCs/>
          <w:sz w:val="24"/>
          <w:szCs w:val="24"/>
          <w:highlight w:val="none"/>
        </w:rPr>
        <w:t>2.6语音合成识别引擎</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838"/>
        <w:gridCol w:w="1757"/>
        <w:gridCol w:w="5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bookmarkStart w:id="8" w:name="OLE_LINK12"/>
            <w:r>
              <w:rPr>
                <w:rFonts w:ascii="宋体" w:hAnsi="宋体" w:eastAsia="宋体" w:cs="宋体"/>
                <w:color w:val="000000"/>
                <w:kern w:val="0"/>
                <w:sz w:val="22"/>
                <w:highlight w:val="none"/>
                <w:lang w:bidi="ar"/>
              </w:rPr>
              <w:t>序号</w:t>
            </w:r>
          </w:p>
        </w:tc>
        <w:tc>
          <w:tcPr>
            <w:tcW w:w="1522" w:type="pct"/>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内容项</w:t>
            </w:r>
          </w:p>
        </w:tc>
        <w:tc>
          <w:tcPr>
            <w:tcW w:w="2987"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产品功能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1</w:t>
            </w:r>
          </w:p>
        </w:tc>
        <w:tc>
          <w:tcPr>
            <w:tcW w:w="492"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语音合成引擎-TTS系统套件</w:t>
            </w:r>
          </w:p>
        </w:tc>
        <w:tc>
          <w:tcPr>
            <w:tcW w:w="1031"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播报功能</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发音人库与情感表达：需要支持多样化发音人库，提供 ≥10个以上高品质发音人选择，涵盖男声、女声、童声等多种音色，核心发音人支持≥7种情感风格。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2</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高度灵活的动态参数调节：需要支持对合成语音的语速、音高、音色亮度、音量等核心参数进行实时、灵活动态设置，开发者可根据具体应用场景，进行个性化配置，实现最佳的听觉体验。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3</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中文语言处理能力：需要提供精准多音字处理，支持中英混读，准确朗读各类常见符号。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4</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文本控制与定制能力：需要支持文本预处理、SSML支持、自定义词典、自定义发音规则、短语音合成、长语音合成一次性上传整篇文档功能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5</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集成与输出：需要支持多样化接口：包括 WebSocket API、Android SDK、iOS SDK、HarmonyOS  SDK等。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6</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同时支持输出PCM（无损）和MP3（高压缩）等主流音频格式。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7</w:t>
            </w:r>
          </w:p>
        </w:tc>
        <w:tc>
          <w:tcPr>
            <w:tcW w:w="492"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语音识别引擎-语音转写系统套件</w:t>
            </w:r>
          </w:p>
        </w:tc>
        <w:tc>
          <w:tcPr>
            <w:tcW w:w="10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语言识别</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需要提供沪语及普通话的识别解析能力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8</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10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实时转写</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需要支持以下功能：音频解码、自动断句（VAD 端点检测）、核心实时识别、语义断句与后处理、口语顺滑优化、中英文混合识别、WebSocket 连接鉴权、Appkey 并发数限制、IP 黑名单管理、VAD 尾点静默时长配置、上下文纠错与热词识别、多模型定制识别、流模式当前时间戳返回、识别置信度信息返回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9</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1031"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录音文件转写</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需要具备以下功能，文件格式支持、语音采样率、声道类型支持、语音文件分段上传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10</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、转写完成回调通知、集群扩展能力、VADNN 语音分片、多线程转写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11</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103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一句话识别</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需要支持把语音(≤60 秒)转换成对应的文字信息，文件格式支持：pcm、opus、adpcm、speex、amr音频属性：采样率 16k 或 8K、位长 16bit、单声道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12</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color w:val="000000"/>
                <w:kern w:val="0"/>
                <w:sz w:val="22"/>
                <w:highlight w:val="none"/>
                <w:lang w:bidi="ar"/>
              </w:rPr>
            </w:pPr>
          </w:p>
        </w:tc>
        <w:tc>
          <w:tcPr>
            <w:tcW w:w="103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语言自学习平台</w:t>
            </w:r>
          </w:p>
        </w:tc>
        <w:tc>
          <w:tcPr>
            <w:tcW w:w="298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需要支持定制语言模型、定制泛热词、定制类热词等功能。</w:t>
            </w:r>
          </w:p>
          <w:bookmarkEnd w:id="8"/>
        </w:tc>
      </w:tr>
    </w:tbl>
    <w:p>
      <w:pPr>
        <w:spacing w:line="560" w:lineRule="exact"/>
        <w:ind w:firstLine="482" w:firstLineChars="200"/>
        <w:contextualSpacing/>
        <w:rPr>
          <w:rFonts w:ascii="宋体" w:hAnsi="宋体" w:eastAsia="宋体"/>
          <w:b/>
          <w:bCs/>
          <w:sz w:val="24"/>
          <w:szCs w:val="24"/>
          <w:highlight w:val="none"/>
        </w:rPr>
      </w:pPr>
      <w:r>
        <w:rPr>
          <w:rFonts w:hint="eastAsia" w:ascii="宋体" w:hAnsi="宋体" w:eastAsia="宋体"/>
          <w:b/>
          <w:bCs/>
          <w:sz w:val="24"/>
          <w:szCs w:val="24"/>
          <w:highlight w:val="none"/>
        </w:rPr>
        <w:t>2.7警务业务智能体</w:t>
      </w:r>
    </w:p>
    <w:tbl>
      <w:tblPr>
        <w:tblStyle w:val="9"/>
        <w:tblW w:w="4998" w:type="pct"/>
        <w:tblInd w:w="0" w:type="dxa"/>
        <w:tblLayout w:type="autofit"/>
        <w:tblCellMar>
          <w:top w:w="0" w:type="dxa"/>
          <w:left w:w="108" w:type="dxa"/>
          <w:bottom w:w="0" w:type="dxa"/>
          <w:right w:w="108" w:type="dxa"/>
        </w:tblCellMar>
      </w:tblPr>
      <w:tblGrid>
        <w:gridCol w:w="742"/>
        <w:gridCol w:w="742"/>
        <w:gridCol w:w="742"/>
        <w:gridCol w:w="1816"/>
        <w:gridCol w:w="4477"/>
      </w:tblGrid>
      <w:tr>
        <w:tblPrEx>
          <w:tblCellMar>
            <w:top w:w="0" w:type="dxa"/>
            <w:left w:w="108" w:type="dxa"/>
            <w:bottom w:w="0" w:type="dxa"/>
            <w:right w:w="108" w:type="dxa"/>
          </w:tblCellMar>
        </w:tblPrEx>
        <w:trPr>
          <w:trHeight w:val="900" w:hRule="atLeast"/>
        </w:trPr>
        <w:tc>
          <w:tcPr>
            <w:tcW w:w="460" w:type="pct"/>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序号</w:t>
            </w:r>
          </w:p>
        </w:tc>
        <w:tc>
          <w:tcPr>
            <w:tcW w:w="460" w:type="pct"/>
            <w:tcBorders>
              <w:top w:val="single" w:color="000000" w:sz="8" w:space="0"/>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一级功能</w:t>
            </w:r>
          </w:p>
        </w:tc>
        <w:tc>
          <w:tcPr>
            <w:tcW w:w="460" w:type="pct"/>
            <w:tcBorders>
              <w:top w:val="single" w:color="000000" w:sz="8" w:space="0"/>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二级功能</w:t>
            </w:r>
          </w:p>
        </w:tc>
        <w:tc>
          <w:tcPr>
            <w:tcW w:w="968" w:type="pct"/>
            <w:tcBorders>
              <w:top w:val="single" w:color="000000" w:sz="8" w:space="0"/>
              <w:left w:val="nil"/>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三级功能</w:t>
            </w:r>
          </w:p>
        </w:tc>
        <w:tc>
          <w:tcPr>
            <w:tcW w:w="2651" w:type="pct"/>
            <w:tcBorders>
              <w:top w:val="single" w:color="000000" w:sz="8" w:space="0"/>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功能需求</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460" w:type="pct"/>
            <w:vMerge w:val="restar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规范执法智能体</w:t>
            </w: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执法指引智能应用</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执法指引业务提示词设计</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需要实现按照 智能业务场景特性设计对应 业务提示词，用于不同场景的业务流程执行指引。</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获取交通违法行为</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需要实现设计交通违法行为违法行为名词中匹配用户输入的信息中的违法行为，如果用户输入的信息中没有以下违法行为，则直接输出无。</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获取交通违法场景</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需要实现基于上下文内容从已知的分类中选择并输出，上下文内容通常会涉及场景或违法二字，请着重注意场景或违法二字前面的文字进行设计。</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执法指引语义及向量处理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需要实现对转写后的文本进行语义向量化处理，利用预训练模型结合交通执法领域语料库，识别关键要素，通过动态语义网络匹配，判断当前执法环节是否满足流程要求，检测是否存在缺失环节。</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情感与态度分析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需要实现运用情感分析模型，识别执法人员是否存在不文明用语或权利告知遗漏，为规范性干预提供依据。</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召回的知识文本处理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需要实现根据不同执法场景，动态调整校验规则。例如，酒驾场景重点检查是否进行呼气测试、是否双人执法、识别执法环境变量。</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执法指引业务反馈内容生成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需要实现当检测到流程缺失时，立即通过语音提示执法人员：“请按流程完成表明身份环节”。</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若发现不规范用语或权利告知遗漏，触发提醒：“请注意文明执法，依法告知当事人申请复议/诉讼的权利”。</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提醒内容可根据紧急程度分级，重要缺失环节（如未取证即作出处罚）以高优先级语音+文字双重提示。</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执法纠偏智能应用</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执法纠偏提示词设计</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需要实现对不文明用语、违规降格设计业务判定提示词，并细化逻辑场景业务描述设计。</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语义识别及流程匹配</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需要实现利用预训练的法律语义模型将文本转换为语义向量，与业务流程流程节点进行动态匹配。</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违规用语识别</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需要实现构建不文明用语词典，结合情感分析模型和关键词过滤技术，实时捕捉执法人员的违规语言，计算违规置信度评分。</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降格处理检测</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需要实现将违法事实描述转化为结构化数据，通过向量计算与处罚标准库中的幅度阈值进行比对，识别处罚建议是否低于法定要求。</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执法纠偏知识库的调用</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需要实现交通法律法规中关于执法程序、用语规范、处罚幅度的条款，构建结构化法规数据库，结合业务流程标准操作规范流程，明确每个环节的动作要求。</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召回的知识文本处理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需要实现提取法规关键要素并结构化， 整合信息生成违规证据链，解析数据算处罚区间并对比，助力合规执法。</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执法纠偏业务反馈内容生成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需要实现实时纠偏提醒会在流程遗漏时弹窗并语音提示补正；用语规范干预对不文明用语触发警告且推送合规模板；处罚幅度提醒在建议处罚过低时生成分级预警，还推送合规建议及条款。</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执法支撑智能应用</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警务要素信息查询接口</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需要实现通过警务要素信息查询接口，通过警务特征数据完成对应的要素信息查询。</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接口统一封装</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需要支持通过警务要素信息查询接口，查询的结果数据进行校验以及统一封装，保障数据的安全性以及时效性。</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执法支撑内容生成反馈</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需要支持对查询的警务要素信息进行融合汇总，推送至移动端。</w:t>
            </w:r>
          </w:p>
        </w:tc>
      </w:tr>
      <w:tr>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执法问答智能应用</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执法问答智能体提示词设计</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需要根据执法问答的业务场景设计业务提示词，用于业务的逻辑场景研判。</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执法问题语义匹配</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需要支持基于语义向量与动态语义网络中的法律法规条款进行匹配。计算问题向量与法条向量之间的相似度，快速找到最相关的法条，实现精准的法规查询和解答。</w:t>
            </w:r>
          </w:p>
        </w:tc>
      </w:tr>
      <w:tr>
        <w:tblPrEx>
          <w:tblCellMar>
            <w:top w:w="0" w:type="dxa"/>
            <w:left w:w="108" w:type="dxa"/>
            <w:bottom w:w="0" w:type="dxa"/>
            <w:right w:w="108" w:type="dxa"/>
          </w:tblCellMar>
        </w:tblPrEx>
        <w:trPr>
          <w:trHeight w:val="1055"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22</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执法问答知识库的调用</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需要支持检索算法精确匹配和模糊检索。对于交通执法相关问题，直接根据关键词在索引中查找对应的交通法条；对于模糊提问，通过语义相似度计算，扩展检索范围，关联相关的法条和知识。</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23</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召回的知识文本处理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需要支持对召回的法规文本进行解析，提取关键信息，如条款编号、具体内容、处罚金额适用条件等。</w:t>
            </w:r>
          </w:p>
        </w:tc>
      </w:tr>
      <w:tr>
        <w:tblPrEx>
          <w:tblCellMar>
            <w:top w:w="0" w:type="dxa"/>
            <w:left w:w="108" w:type="dxa"/>
            <w:bottom w:w="0" w:type="dxa"/>
            <w:right w:w="108" w:type="dxa"/>
          </w:tblCellMar>
        </w:tblPrEx>
        <w:trPr>
          <w:trHeight w:val="1055"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24</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执法问答业务反馈内容生成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需要支持根据语义匹配和知识库调用的结果，生成精准的法规解答。解答内容包括具体的法条条款、解释说明以及相关的处罚标准、适用条件等，确保解答的准确性和完整性，满足民警的执法需求。</w:t>
            </w:r>
          </w:p>
        </w:tc>
      </w:tr>
      <w:tr>
        <w:tblPrEx>
          <w:tblCellMar>
            <w:top w:w="0" w:type="dxa"/>
            <w:left w:w="108" w:type="dxa"/>
            <w:bottom w:w="0" w:type="dxa"/>
            <w:right w:w="108" w:type="dxa"/>
          </w:tblCellMar>
        </w:tblPrEx>
        <w:trPr>
          <w:trHeight w:val="795"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25</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执法智能评价</w:t>
            </w:r>
          </w:p>
        </w:tc>
        <w:tc>
          <w:tcPr>
            <w:tcW w:w="968" w:type="pct"/>
            <w:tcBorders>
              <w:top w:val="nil"/>
              <w:left w:val="nil"/>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执法过程打分评价</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需要支持对执法过程打分评价功能，整合多维度评估模块，结合事件列表呈现详情，从流程、用语、合规性等方面打分，为执法质量评估、问题改进提供数据支撑，助力规范执法行为。</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26</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执法评估数据分析</w:t>
            </w:r>
          </w:p>
        </w:tc>
        <w:tc>
          <w:tcPr>
            <w:tcW w:w="2651"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需要支持多维度数据分析功能，包括执法态势统计，能呈现整体执法趋势；执法类别统计等维度，为执法评估等提供数据支撑。</w:t>
            </w:r>
          </w:p>
        </w:tc>
      </w:tr>
      <w:tr>
        <w:tblPrEx>
          <w:tblCellMar>
            <w:top w:w="0" w:type="dxa"/>
            <w:left w:w="108" w:type="dxa"/>
            <w:bottom w:w="0" w:type="dxa"/>
            <w:right w:w="108" w:type="dxa"/>
          </w:tblCellMar>
        </w:tblPrEx>
        <w:trPr>
          <w:trHeight w:val="178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27</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1428" w:type="pct"/>
            <w:gridSpan w:val="2"/>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与智能硬件协同适配</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需要完成与智能眼镜设备智能适配，可以通过语音唤醒智能眼镜设备，基于智能眼镜完成智能体场景业务应用，如处置指引、执法纠偏的业务提示。智能眼镜网络模式支持WIFI6：802.11ac支持 2.4GHz /5GHz，蓝牙：支持 BT5。音频性能支持拾音：支持定向拾音 mic，3mic 阵列，降噪算法</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扬声器：2 颗及以上超线性定向高保真扬声器。</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28</w:t>
            </w:r>
          </w:p>
        </w:tc>
        <w:tc>
          <w:tcPr>
            <w:tcW w:w="460" w:type="pct"/>
            <w:vMerge w:val="restar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派出所窗口接待智能体</w:t>
            </w: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派出所窗口接待预警推送首页</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派出所列表查看接口</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需提供派出所列表查看接口，支持不同派出所窗口接待情况实时查看。</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29</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窗口接待统计接口</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需提供窗口接待统计接口，支持按时间范围筛选统计预警事件总数，展示本周、本月、本日预警数据。</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事件列表模块</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需支持云之声平台拾音器语音转文字内容展示，包含序号、推送时间、时长等字段，支持多维度筛选查询。</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关注事件模块</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需支持预警词词云统计展示（按时间周期筛选），点击事件列表可查看事件概述与预警内容详情。</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32</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收藏列表模块</w:t>
            </w:r>
          </w:p>
        </w:tc>
        <w:tc>
          <w:tcPr>
            <w:tcW w:w="2651"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通过收藏 取消收藏按钮，可以将需要关注的预警信息收藏到左下角的收藏列表</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33</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派出所窗口接待预警推送会话详情页</w:t>
            </w: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窗口接待语音合并功能</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需支持特定条件语音合并功能（预警词记录、同一编号），实现不少于6条语音合并展示及转文字内容合并分析。</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34</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语音转文字功能</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需支持语音转文字功能，转换结果以对话框形式清晰呈现，保障内容可读性。</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35</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事件概述模块</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需支持基于语音转文字内容生成事件概述，100 字以内且不遗漏重要警情信息，辅助民警快速掌握核心情况。</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36</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预警内容模块</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需支持结合知识库预设预警词，基于语音转文字内容生成预警词列表，精准识别预警信息。</w:t>
            </w:r>
          </w:p>
        </w:tc>
      </w:tr>
      <w:tr>
        <w:tblPrEx>
          <w:tblCellMar>
            <w:top w:w="0" w:type="dxa"/>
            <w:left w:w="108" w:type="dxa"/>
            <w:bottom w:w="0" w:type="dxa"/>
            <w:right w:w="108" w:type="dxa"/>
          </w:tblCellMar>
        </w:tblPrEx>
        <w:trPr>
          <w:trHeight w:val="1055"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37</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1428" w:type="pct"/>
            <w:gridSpan w:val="2"/>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与智能硬件协同适配</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需要实现与派出所8进8出的数字音频处理器设备以及拾音设备智能协同适配。拾音设备具备1-3米定向拾音功能，8进8出的数字音频处理器设备具备支持以下功能，文件格式 MP3 、音频采样 32KHz 、采样位数 16bit 、音频码流 64kbps </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38</w:t>
            </w:r>
          </w:p>
        </w:tc>
        <w:tc>
          <w:tcPr>
            <w:tcW w:w="460" w:type="pct"/>
            <w:vMerge w:val="restar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出入境综合业务智能体</w:t>
            </w: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出入境业务问答智能化应用</w:t>
            </w: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知识库调用</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需要基于语义向量精准检索知识库，按政策层级、场景、地域、时效性筛选匹配权威知识</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召回知识文本处理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需要对召回知识筛选、整合、精简，去除冗余内容，形成逻辑连贯的解答素材</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40</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业务反馈内容生成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需要按用户类型与场景生成个性化文字 / 语音解答，支持附加示意图与链接，提供主动服务</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41</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restar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出入境窗口服务监测智能化应用</w:t>
            </w: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语义及向量处理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需要实时语音转写与关键信息提取，语气语态向量化分析，初步匹配政策语义偏差</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42</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知识库调用</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需要调用权威政策知识作为核验基准，与知识库实时同步，保障判断依据准确</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43</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召回知识文本处理</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对比服务内容与权威知识，核验政策解释准确性，量化服务态度并分类标注问题</w:t>
            </w:r>
          </w:p>
        </w:tc>
      </w:tr>
      <w:tr>
        <w:tblPrEx>
          <w:tblCellMar>
            <w:top w:w="0" w:type="dxa"/>
            <w:left w:w="108" w:type="dxa"/>
            <w:bottom w:w="0" w:type="dxa"/>
            <w:right w:w="108" w:type="dxa"/>
          </w:tblCellMar>
        </w:tblPrEx>
        <w:trPr>
          <w:trHeight w:val="900" w:hRule="atLeast"/>
        </w:trPr>
        <w:tc>
          <w:tcPr>
            <w:tcW w:w="460" w:type="pct"/>
            <w:tcBorders>
              <w:top w:val="nil"/>
              <w:left w:val="single" w:color="000000" w:sz="8" w:space="0"/>
              <w:bottom w:val="single" w:color="000000" w:sz="8" w:space="0"/>
              <w:right w:val="single" w:color="000000" w:sz="8"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44</w:t>
            </w:r>
          </w:p>
        </w:tc>
        <w:tc>
          <w:tcPr>
            <w:tcW w:w="460" w:type="pct"/>
            <w:vMerge w:val="continue"/>
            <w:tcBorders>
              <w:top w:val="nil"/>
              <w:left w:val="nil"/>
              <w:bottom w:val="single" w:color="000000" w:sz="8" w:space="0"/>
              <w:right w:val="single" w:color="000000" w:sz="8" w:space="0"/>
            </w:tcBorders>
            <w:vAlign w:val="center"/>
          </w:tcPr>
          <w:p>
            <w:pPr>
              <w:jc w:val="center"/>
              <w:rPr>
                <w:rFonts w:ascii="宋体" w:hAnsi="宋体" w:eastAsia="宋体" w:cs="宋体"/>
                <w:color w:val="000000"/>
                <w:sz w:val="20"/>
                <w:szCs w:val="20"/>
                <w:highlight w:val="none"/>
              </w:rPr>
            </w:pPr>
          </w:p>
        </w:tc>
        <w:tc>
          <w:tcPr>
            <w:tcW w:w="460" w:type="pct"/>
            <w:vMerge w:val="continue"/>
            <w:tcBorders>
              <w:top w:val="nil"/>
              <w:left w:val="nil"/>
              <w:bottom w:val="single" w:color="000000" w:sz="8" w:space="0"/>
              <w:right w:val="single" w:color="000000" w:sz="8" w:space="0"/>
            </w:tcBorders>
            <w:vAlign w:val="center"/>
          </w:tcPr>
          <w:p>
            <w:pPr>
              <w:jc w:val="left"/>
              <w:rPr>
                <w:rFonts w:ascii="宋体" w:hAnsi="宋体" w:eastAsia="宋体" w:cs="宋体"/>
                <w:color w:val="000000"/>
                <w:sz w:val="20"/>
                <w:szCs w:val="20"/>
                <w:highlight w:val="none"/>
              </w:rPr>
            </w:pPr>
          </w:p>
        </w:tc>
        <w:tc>
          <w:tcPr>
            <w:tcW w:w="968" w:type="pct"/>
            <w:tcBorders>
              <w:top w:val="nil"/>
              <w:left w:val="nil"/>
              <w:bottom w:val="single" w:color="000000" w:sz="8" w:space="0"/>
              <w:right w:val="single" w:color="000000" w:sz="8"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业务反馈内容生成</w:t>
            </w:r>
          </w:p>
        </w:tc>
        <w:tc>
          <w:tcPr>
            <w:tcW w:w="2651" w:type="pct"/>
            <w:tcBorders>
              <w:top w:val="nil"/>
              <w:left w:val="nil"/>
              <w:bottom w:val="single" w:color="000000" w:sz="8" w:space="0"/>
              <w:right w:val="single" w:color="000000" w:sz="8" w:space="0"/>
            </w:tcBorders>
            <w:vAlign w:val="center"/>
          </w:tcPr>
          <w:p>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需要实时推送问题预警，定期生成服务质量分析报告，支撑服务优化与人员培训</w:t>
            </w:r>
          </w:p>
        </w:tc>
      </w:tr>
    </w:tbl>
    <w:p>
      <w:pPr>
        <w:spacing w:line="560" w:lineRule="exact"/>
        <w:contextualSpacing/>
        <w:rPr>
          <w:rFonts w:ascii="宋体" w:hAnsi="宋体" w:eastAsia="宋体"/>
          <w:b/>
          <w:bCs/>
          <w:sz w:val="24"/>
          <w:szCs w:val="24"/>
          <w:highlight w:val="none"/>
        </w:rPr>
      </w:pPr>
      <w:r>
        <w:rPr>
          <w:rFonts w:hint="eastAsia" w:ascii="宋体" w:hAnsi="宋体" w:eastAsia="宋体"/>
          <w:b/>
          <w:bCs/>
          <w:sz w:val="24"/>
          <w:szCs w:val="24"/>
          <w:highlight w:val="none"/>
        </w:rPr>
        <w:t>2.8警务业务智能应用（APP）</w:t>
      </w:r>
    </w:p>
    <w:tbl>
      <w:tblPr>
        <w:tblStyle w:val="9"/>
        <w:tblW w:w="4999" w:type="pct"/>
        <w:tblInd w:w="0" w:type="dxa"/>
        <w:tblLayout w:type="autofit"/>
        <w:tblCellMar>
          <w:top w:w="0" w:type="dxa"/>
          <w:left w:w="108" w:type="dxa"/>
          <w:bottom w:w="0" w:type="dxa"/>
          <w:right w:w="108" w:type="dxa"/>
        </w:tblCellMar>
      </w:tblPr>
      <w:tblGrid>
        <w:gridCol w:w="797"/>
        <w:gridCol w:w="798"/>
        <w:gridCol w:w="798"/>
        <w:gridCol w:w="1671"/>
        <w:gridCol w:w="4456"/>
      </w:tblGrid>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序号</w:t>
            </w:r>
          </w:p>
        </w:tc>
        <w:tc>
          <w:tcPr>
            <w:tcW w:w="4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一级功能</w:t>
            </w:r>
          </w:p>
        </w:tc>
        <w:tc>
          <w:tcPr>
            <w:tcW w:w="4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二级功能</w:t>
            </w:r>
          </w:p>
        </w:tc>
        <w:tc>
          <w:tcPr>
            <w:tcW w:w="980"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三级功能</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功能描述</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智能体应用APP</w:t>
            </w: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工作站</w:t>
            </w: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执法统计</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需要支持实时采集执法数据，汇总展示执法规范执行、不文明用语提醒、人车预警处置等关键指标</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执法列表</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需要支持按时间、人员等维度生成执法记录列表，支持执法信息快速检索查阅</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要素准确率展示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需要支持分析执法规范执行数据，计算并直观展示要素执法规范准确率</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执法纠偏率统计展示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需要支持统计执法不规范占比，可视化展示执法纠偏率</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AI问答统计展示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需要支持汇总智能问答记录，统计咨询次数与高频问题类型</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问题采纳统计展示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需要支持汇总智能问答采纳数据，形成图表化统计结果</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实时执法</w:t>
            </w: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要素动态识别展示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需要支持基于音视频与操作数据，动态识别并可视化展示五要素执法执行情况</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不文明用于动态识别展示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需要支持实时解析执法对话，动态识别并展示不文明用语</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人车预警动态展示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 联动后台数据，动态展示执法现场人车预警信息</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人车预警详情展示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需要支持点击查看人车预警对象信息、历史记录及标签详情</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智能问答动态识别展示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需要支持基于交互数据，动态展示问答热点、高频问题与需求趋势</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智能问答列表展示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需要支持按时间、类型生成问答列表，清晰呈现问答内容与交互记录</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执法对话明细</w:t>
            </w: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实时对话展示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需要支持实时展示执法现场对话内容与系统执法指引信息</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中断收音</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需要支持按操作指令暂停执法现场音频采集</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恢复收音</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需要支持按操作指令重启执法现场音频采集，保障数据完整</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语音基础</w:t>
            </w: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声纹管理</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需要支持存储、分类、维护声纹数据，建立声纹数据库</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声纹识别</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需要支持基于声纹库对现场语音进行比对识别</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文字转语音播报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需要支持将执法规范、提醒文字转换为语音实时播报</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语音转写对接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需要支持对接语音转写技术，实时将语音转为文字</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文字转语音播报对接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需要支持对接文字转语音接口，实现文字快速转语音播报</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应用保活</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需要支持保障移动端应用后台持续稳定运行</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22</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大模型对接</w:t>
            </w: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目标文本上传</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需要支持将执法文本数据上传至对接大模型</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23</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接收大模型返回结果并展示</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需要支持实时接收并展示大模型分析处理结果</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24</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要素命中接口对接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需要支持对接大模型接口，实现要素执行数据联动分析</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25</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不文明用语命中接口对接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需要支持对接大模型接口，精准识别执法对话不文明用语</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26</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人车预警列表命中接口对接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需要支持对接大模型接口，联动人车预警分析结果</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27</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人车预警详情接口对接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需要支持对接大模型接口，完善人车预警详情分析展示</w:t>
            </w:r>
          </w:p>
        </w:tc>
      </w:tr>
      <w:tr>
        <w:tblPrEx>
          <w:tblCellMar>
            <w:top w:w="0" w:type="dxa"/>
            <w:left w:w="108" w:type="dxa"/>
            <w:bottom w:w="0" w:type="dxa"/>
            <w:right w:w="108" w:type="dxa"/>
          </w:tblCellMar>
        </w:tblPrEx>
        <w:trPr>
          <w:trHeight w:val="50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28</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98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智能问答命中接口对接</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需要支持对接大模型接口，提升智能问答准确性与响应速度</w:t>
            </w:r>
          </w:p>
        </w:tc>
      </w:tr>
      <w:tr>
        <w:tblPrEx>
          <w:tblCellMar>
            <w:top w:w="0" w:type="dxa"/>
            <w:left w:w="108" w:type="dxa"/>
            <w:bottom w:w="0" w:type="dxa"/>
            <w:right w:w="108" w:type="dxa"/>
          </w:tblCellMar>
        </w:tblPrEx>
        <w:trPr>
          <w:trHeight w:val="520" w:hRule="atLeast"/>
        </w:trPr>
        <w:tc>
          <w:tcPr>
            <w:tcW w:w="4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29</w:t>
            </w:r>
          </w:p>
        </w:tc>
        <w:tc>
          <w:tcPr>
            <w:tcW w:w="468"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highlight w:val="none"/>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一键智能设备唤醒</w:t>
            </w:r>
          </w:p>
        </w:tc>
        <w:tc>
          <w:tcPr>
            <w:tcW w:w="2614"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需要具备与智能硬件设备一件唤醒功能（如音频处理器、拾音设备等），实现基于语音的内容的采集、处理</w:t>
            </w:r>
          </w:p>
        </w:tc>
      </w:tr>
    </w:tbl>
    <w:p>
      <w:pPr>
        <w:spacing w:line="560" w:lineRule="exact"/>
        <w:contextualSpacing/>
        <w:rPr>
          <w:rFonts w:ascii="宋体" w:hAnsi="宋体" w:eastAsia="宋体"/>
          <w:b/>
          <w:bCs/>
          <w:sz w:val="24"/>
          <w:szCs w:val="24"/>
          <w:highlight w:val="none"/>
        </w:rPr>
      </w:pPr>
      <w:bookmarkStart w:id="9" w:name="OLE_LINK9"/>
      <w:r>
        <w:rPr>
          <w:rFonts w:hint="eastAsia" w:ascii="宋体" w:hAnsi="宋体" w:eastAsia="宋体"/>
          <w:b/>
          <w:bCs/>
          <w:sz w:val="24"/>
          <w:szCs w:val="24"/>
          <w:highlight w:val="none"/>
        </w:rPr>
        <w:t>2.9智能会议识别应用</w:t>
      </w:r>
      <w:bookmarkEnd w:id="9"/>
    </w:p>
    <w:p>
      <w:pPr>
        <w:spacing w:line="560" w:lineRule="exact"/>
        <w:contextualSpacing/>
        <w:rPr>
          <w:rFonts w:ascii="宋体" w:hAnsi="宋体" w:eastAsia="宋体" w:cs="宋体"/>
          <w:color w:val="000000"/>
          <w:kern w:val="0"/>
          <w:sz w:val="22"/>
          <w:highlight w:val="none"/>
          <w:lang w:bidi="ar"/>
        </w:rPr>
      </w:pPr>
    </w:p>
    <w:p>
      <w:pPr>
        <w:spacing w:line="560" w:lineRule="exact"/>
        <w:contextualSpacing/>
        <w:rPr>
          <w:rFonts w:ascii="宋体" w:hAnsi="宋体" w:eastAsia="宋体" w:cs="宋体"/>
          <w:color w:val="000000"/>
          <w:kern w:val="0"/>
          <w:sz w:val="22"/>
          <w:highlight w:val="none"/>
          <w:lang w:bidi="ar"/>
        </w:rPr>
      </w:pPr>
    </w:p>
    <w:tbl>
      <w:tblPr>
        <w:tblStyle w:val="9"/>
        <w:tblW w:w="4997" w:type="pct"/>
        <w:tblInd w:w="0" w:type="dxa"/>
        <w:tblLayout w:type="autofit"/>
        <w:tblCellMar>
          <w:top w:w="0" w:type="dxa"/>
          <w:left w:w="108" w:type="dxa"/>
          <w:bottom w:w="0" w:type="dxa"/>
          <w:right w:w="108" w:type="dxa"/>
        </w:tblCellMar>
      </w:tblPr>
      <w:tblGrid>
        <w:gridCol w:w="489"/>
        <w:gridCol w:w="833"/>
        <w:gridCol w:w="1450"/>
        <w:gridCol w:w="5745"/>
      </w:tblGrid>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序号</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一级功能</w:t>
            </w: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二级功能</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功能需求</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1</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软件平台</w:t>
            </w: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基础管理平台</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须提供语音转写管理后台，涵盖AI能力管理、系统监控、运维分析、日志管理、识别效果优化等基础功能模块；支持</w:t>
            </w:r>
            <w:r>
              <w:rPr>
                <w:rFonts w:hint="eastAsia" w:ascii="宋体" w:hAnsi="宋体" w:eastAsia="宋体" w:cs="宋体"/>
                <w:color w:val="000000"/>
                <w:sz w:val="22"/>
                <w:highlight w:val="none"/>
                <w:lang w:eastAsia="zh-CN"/>
              </w:rPr>
              <w:t>信息创新</w:t>
            </w:r>
            <w:r>
              <w:rPr>
                <w:rFonts w:hint="eastAsia" w:ascii="宋体" w:hAnsi="宋体" w:eastAsia="宋体" w:cs="宋体"/>
                <w:color w:val="000000"/>
                <w:sz w:val="22"/>
                <w:highlight w:val="none"/>
              </w:rPr>
              <w:t>环境下私有化部署。</w:t>
            </w:r>
          </w:p>
        </w:tc>
      </w:tr>
      <w:tr>
        <w:tblPrEx>
          <w:tblCellMar>
            <w:top w:w="0" w:type="dxa"/>
            <w:left w:w="108" w:type="dxa"/>
            <w:bottom w:w="0" w:type="dxa"/>
            <w:right w:w="108" w:type="dxa"/>
          </w:tblCellMar>
        </w:tblPrEx>
        <w:trPr>
          <w:trHeight w:val="9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2</w:t>
            </w:r>
          </w:p>
        </w:tc>
        <w:tc>
          <w:tcPr>
            <w:tcW w:w="489" w:type="pct"/>
            <w:vMerge w:val="restar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移动端语音速记模块</w:t>
            </w: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用户登录</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ascii="宋体" w:hAnsi="宋体" w:eastAsia="宋体" w:cs="宋体"/>
                <w:color w:val="000000"/>
                <w:sz w:val="22"/>
                <w:highlight w:val="none"/>
              </w:rPr>
              <w:t>须与现有警务通 APP 用户体系完成对接，实现统一身份认证登录。</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3</w:t>
            </w:r>
          </w:p>
        </w:tc>
        <w:tc>
          <w:tcPr>
            <w:tcW w:w="489" w:type="pct"/>
            <w:vMerge w:val="continue"/>
            <w:tcBorders>
              <w:left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一键快速开启转写</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应支持获取警务通麦克风权限，在用户授权允许的情况下实现一键快速开启语音转写，转写文字在警务通APP内实时呈现。</w:t>
            </w:r>
          </w:p>
        </w:tc>
      </w:tr>
      <w:tr>
        <w:tblPrEx>
          <w:tblCellMar>
            <w:top w:w="0" w:type="dxa"/>
            <w:left w:w="108" w:type="dxa"/>
            <w:bottom w:w="0" w:type="dxa"/>
            <w:right w:w="108" w:type="dxa"/>
          </w:tblCellMar>
        </w:tblPrEx>
        <w:trPr>
          <w:trHeight w:val="604"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4</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声纹分离</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应支持声纹分离功能开关控制，利用转写引擎内置声纹分离技术，依据声纹特征完成不同发言人的内容区分。</w:t>
            </w:r>
          </w:p>
        </w:tc>
      </w:tr>
      <w:tr>
        <w:tblPrEx>
          <w:tblCellMar>
            <w:top w:w="0" w:type="dxa"/>
            <w:left w:w="108" w:type="dxa"/>
            <w:bottom w:w="0" w:type="dxa"/>
            <w:right w:w="108" w:type="dxa"/>
          </w:tblCellMar>
        </w:tblPrEx>
        <w:trPr>
          <w:trHeight w:val="604"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5</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调整字号大小</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ascii="宋体" w:hAnsi="宋体" w:eastAsia="宋体" w:cs="宋体"/>
                <w:color w:val="000000"/>
                <w:kern w:val="0"/>
                <w:sz w:val="22"/>
                <w:highlight w:val="none"/>
                <w:lang w:bidi="ar"/>
              </w:rPr>
              <w:t>警务通转写页面支持字号大小自定义调节。</w:t>
            </w:r>
          </w:p>
        </w:tc>
      </w:tr>
      <w:tr>
        <w:tblPrEx>
          <w:tblCellMar>
            <w:top w:w="0" w:type="dxa"/>
            <w:left w:w="108" w:type="dxa"/>
            <w:bottom w:w="0" w:type="dxa"/>
            <w:right w:w="108" w:type="dxa"/>
          </w:tblCellMar>
        </w:tblPrEx>
        <w:trPr>
          <w:trHeight w:val="604"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6</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会中暂停</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警务通转写页面支持转写任务暂停操作。</w:t>
            </w:r>
          </w:p>
        </w:tc>
      </w:tr>
      <w:tr>
        <w:tblPrEx>
          <w:tblCellMar>
            <w:top w:w="0" w:type="dxa"/>
            <w:left w:w="108" w:type="dxa"/>
            <w:bottom w:w="0" w:type="dxa"/>
            <w:right w:w="108" w:type="dxa"/>
          </w:tblCellMar>
        </w:tblPrEx>
        <w:trPr>
          <w:trHeight w:val="604"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7</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sz w:val="22"/>
                <w:highlight w:val="none"/>
              </w:rPr>
              <w:t>文字编辑</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2"/>
                <w:highlight w:val="none"/>
              </w:rPr>
            </w:pPr>
            <w:r>
              <w:rPr>
                <w:rFonts w:hint="eastAsia" w:ascii="宋体" w:hAnsi="宋体" w:eastAsia="宋体" w:cs="宋体"/>
                <w:color w:val="000000"/>
                <w:kern w:val="0"/>
                <w:sz w:val="22"/>
                <w:highlight w:val="none"/>
                <w:lang w:bidi="ar"/>
              </w:rPr>
              <w:t>应支持在警务通转写页面对已生成的转写文本进行编辑修改</w:t>
            </w:r>
            <w:r>
              <w:rPr>
                <w:rFonts w:hint="eastAsia" w:ascii="宋体" w:hAnsi="宋体" w:eastAsia="宋体" w:cs="宋体"/>
                <w:color w:val="000000"/>
                <w:sz w:val="22"/>
                <w:highlight w:val="none"/>
              </w:rPr>
              <w:t>。</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8</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转写结束</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警务通转写页面支持快速结束当前转写会话。</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9</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导入音视频转写</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应支持选取警务通设备本地存储的音视频文件开展导入转写；转写前可自定义选定转写区间，设置转写起止时间后执行转写任务。</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10</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转写记录搜索</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应支持按照文件名称搜索转写记录。</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11</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转写记录筛选</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应支持按转写记录的时间、任务状态完成条件筛选。</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12</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转写记录下载</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应支持对转写记录进行下载。</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13</w:t>
            </w:r>
          </w:p>
        </w:tc>
        <w:tc>
          <w:tcPr>
            <w:tcW w:w="489" w:type="pct"/>
            <w:vMerge w:val="continue"/>
            <w:tcBorders>
              <w:left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转写记录重命名</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应支持对转写记录进行重命名。</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14</w:t>
            </w:r>
          </w:p>
        </w:tc>
        <w:tc>
          <w:tcPr>
            <w:tcW w:w="489" w:type="pct"/>
            <w:vMerge w:val="continue"/>
            <w:tcBorders>
              <w:left w:val="single" w:color="000000" w:sz="4" w:space="0"/>
              <w:bottom w:val="single" w:color="000000" w:sz="4" w:space="0"/>
              <w:right w:val="single" w:color="000000" w:sz="4" w:space="0"/>
            </w:tcBorders>
            <w:vAlign w:val="center"/>
          </w:tcPr>
          <w:p>
            <w:pPr>
              <w:rPr>
                <w:rFonts w:ascii="Times New Roman" w:hAnsi="Times New Roman" w:cs="Times New Roman"/>
                <w:sz w:val="20"/>
                <w:szCs w:val="20"/>
                <w:highlight w:val="none"/>
              </w:rPr>
            </w:pP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转写记录删除</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支持批量删除转写记录文件。</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15</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移动端识别引擎授权</w:t>
            </w: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移动端实时语音识别大模型引擎授权</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局域网部署，提供3路并发授权；单引擎支持中文、英文、主流方言混合实时识别，覆盖国内主流方言。</w:t>
            </w:r>
          </w:p>
        </w:tc>
      </w:tr>
      <w:tr>
        <w:tblPrEx>
          <w:tblCellMar>
            <w:top w:w="0" w:type="dxa"/>
            <w:left w:w="108" w:type="dxa"/>
            <w:bottom w:w="0" w:type="dxa"/>
            <w:right w:w="108" w:type="dxa"/>
          </w:tblCellMar>
        </w:tblPrEx>
        <w:trPr>
          <w:trHeight w:val="600" w:hRule="atLeast"/>
        </w:trPr>
        <w:tc>
          <w:tcPr>
            <w:tcW w:w="28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16</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项目定制服务</w:t>
            </w:r>
          </w:p>
        </w:tc>
        <w:tc>
          <w:tcPr>
            <w:tcW w:w="85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警务通APP端转写功能接入及呈现调整</w:t>
            </w:r>
          </w:p>
        </w:tc>
        <w:tc>
          <w:tcPr>
            <w:tcW w:w="3371"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kern w:val="0"/>
                <w:sz w:val="22"/>
                <w:highlight w:val="none"/>
                <w:lang w:bidi="ar"/>
              </w:rPr>
            </w:pPr>
            <w:r>
              <w:rPr>
                <w:rFonts w:hint="eastAsia" w:ascii="宋体" w:hAnsi="宋体" w:eastAsia="宋体" w:cs="宋体"/>
                <w:color w:val="000000"/>
                <w:kern w:val="0"/>
                <w:sz w:val="22"/>
                <w:highlight w:val="none"/>
                <w:lang w:bidi="ar"/>
              </w:rPr>
              <w:t>采用H5页面方式集成至警务通 APP，完成统一身份登录、APP收音权限对接、实时转写与结果展现。同时，可在能够安装警务通 APP 的平板设备上正常使用语音速记全部功能。</w:t>
            </w:r>
          </w:p>
        </w:tc>
      </w:tr>
    </w:tbl>
    <w:p>
      <w:pPr>
        <w:rPr>
          <w:highlight w:val="none"/>
        </w:rPr>
      </w:pPr>
    </w:p>
    <w:p>
      <w:pPr>
        <w:pStyle w:val="3"/>
        <w:numPr>
          <w:ilvl w:val="1"/>
          <w:numId w:val="0"/>
        </w:numPr>
        <w:bidi w:val="0"/>
        <w:ind w:firstLine="241" w:firstLineChars="100"/>
        <w:rPr>
          <w:rFonts w:hint="eastAsia" w:ascii="宋体" w:hAnsi="宋体" w:eastAsia="宋体"/>
          <w:b/>
          <w:bCs/>
          <w:sz w:val="24"/>
          <w:szCs w:val="24"/>
          <w:highlight w:val="none"/>
          <w:lang w:val="en-US" w:eastAsia="zh-CN"/>
        </w:rPr>
      </w:pPr>
      <w:r>
        <w:rPr>
          <w:rFonts w:hint="eastAsia" w:ascii="宋体" w:hAnsi="宋体" w:eastAsia="宋体"/>
          <w:b/>
          <w:bCs/>
          <w:sz w:val="24"/>
          <w:szCs w:val="24"/>
          <w:highlight w:val="none"/>
        </w:rPr>
        <w:t>2.</w:t>
      </w:r>
      <w:r>
        <w:rPr>
          <w:rFonts w:hint="eastAsia" w:eastAsia="宋体"/>
          <w:b/>
          <w:bCs/>
          <w:sz w:val="24"/>
          <w:szCs w:val="24"/>
          <w:highlight w:val="none"/>
          <w:lang w:val="en-US" w:eastAsia="zh-CN"/>
        </w:rPr>
        <w:t xml:space="preserve">10 </w:t>
      </w:r>
      <w:r>
        <w:rPr>
          <w:rFonts w:hint="eastAsia" w:ascii="宋体" w:hAnsi="宋体" w:eastAsia="宋体"/>
          <w:b/>
          <w:bCs/>
          <w:sz w:val="24"/>
          <w:szCs w:val="24"/>
          <w:highlight w:val="none"/>
          <w:lang w:val="en-US" w:eastAsia="zh-CN"/>
        </w:rPr>
        <w:t>其他配套</w:t>
      </w:r>
      <w:r>
        <w:rPr>
          <w:rFonts w:hint="eastAsia" w:ascii="宋体" w:hAnsi="宋体" w:eastAsia="宋体"/>
          <w:b/>
          <w:bCs/>
          <w:sz w:val="24"/>
          <w:szCs w:val="24"/>
          <w:highlight w:val="none"/>
        </w:rPr>
        <w:t>建设需求</w:t>
      </w:r>
    </w:p>
    <w:p>
      <w:pPr>
        <w:widowControl/>
        <w:spacing w:line="360" w:lineRule="auto"/>
        <w:ind w:firstLine="482" w:firstLineChars="200"/>
        <w:jc w:val="left"/>
        <w:rPr>
          <w:rFonts w:hint="eastAsia" w:ascii="宋体" w:hAnsi="宋体" w:eastAsia="宋体" w:cs="Times New Roman"/>
          <w:b/>
          <w:bCs/>
          <w:sz w:val="24"/>
          <w:highlight w:val="none"/>
          <w:u w:val="single"/>
        </w:rPr>
      </w:pPr>
      <w:r>
        <w:rPr>
          <w:rFonts w:hint="eastAsia" w:ascii="宋体" w:hAnsi="宋体" w:eastAsia="宋体" w:cs="Times New Roman"/>
          <w:b/>
          <w:bCs/>
          <w:sz w:val="24"/>
          <w:highlight w:val="none"/>
          <w:u w:val="single"/>
        </w:rPr>
        <w:t>本项目涉及接入分局现有网络。设备部署不仅须符合分局内网安全接入及安全管理规定，还应与现有网络实现合规、稳定、可靠对接，确保不影响现有业务运行和安全防护。设备部署过程中产生的全部费用（包括但不限于设备材料、施工、调试、集成、协调、验收等费用）及所需人力投入，均包含在本次招标/投标报价范围内，由中标方承担，招标单位不再另行支付。</w:t>
      </w:r>
    </w:p>
    <w:p>
      <w:pPr>
        <w:widowControl/>
        <w:spacing w:line="360" w:lineRule="auto"/>
        <w:ind w:firstLine="480" w:firstLineChars="200"/>
        <w:jc w:val="left"/>
        <w:rPr>
          <w:rFonts w:hint="eastAsia" w:ascii="宋体" w:hAnsi="宋体" w:eastAsia="宋体" w:cs="Times New Roman"/>
          <w:b/>
          <w:bCs/>
          <w:sz w:val="24"/>
          <w:highlight w:val="none"/>
          <w:u w:val="single"/>
        </w:rPr>
      </w:pPr>
      <w:r>
        <w:rPr>
          <w:rFonts w:hint="eastAsia" w:ascii="宋体" w:hAnsi="宋体" w:eastAsia="宋体" w:cs="Times New Roman"/>
          <w:sz w:val="24"/>
          <w:highlight w:val="none"/>
        </w:rPr>
        <w:t>本项目中所有新增硬件设备，包括</w:t>
      </w:r>
      <w:r>
        <w:rPr>
          <w:rFonts w:hint="eastAsia" w:ascii="宋体" w:hAnsi="宋体" w:eastAsia="宋体" w:cs="Times New Roman"/>
          <w:sz w:val="24"/>
          <w:highlight w:val="none"/>
          <w:lang w:val="en-US" w:eastAsia="zh-CN"/>
        </w:rPr>
        <w:t>不限于</w:t>
      </w:r>
      <w:r>
        <w:rPr>
          <w:rFonts w:hint="eastAsia" w:ascii="宋体" w:hAnsi="宋体" w:eastAsia="宋体" w:cs="Times New Roman"/>
          <w:sz w:val="24"/>
          <w:highlight w:val="none"/>
        </w:rPr>
        <w:t>实体服务器、监控、光端机、终端设备等，</w:t>
      </w:r>
      <w:r>
        <w:rPr>
          <w:rFonts w:hint="eastAsia" w:ascii="宋体" w:hAnsi="宋体" w:eastAsia="宋体" w:cs="Times New Roman"/>
          <w:sz w:val="24"/>
          <w:highlight w:val="none"/>
          <w:lang w:val="en-US" w:eastAsia="zh-CN"/>
        </w:rPr>
        <w:t>在</w:t>
      </w:r>
      <w:r>
        <w:rPr>
          <w:rFonts w:hint="eastAsia" w:ascii="宋体" w:hAnsi="宋体" w:eastAsia="宋体" w:cs="Times New Roman"/>
          <w:sz w:val="24"/>
          <w:highlight w:val="none"/>
        </w:rPr>
        <w:t>入网调试、光纤跳接、网络布线产生的所有工作量，均由中标单位承担</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rPr>
        <w:t>相关人工、辅材全部包含在投标总价内，采购人不再另行付费；所有进场施工人员必须完成公安部合作企业人员背景审核系统录入，未完成录入人员不得进场开展本项目施工作业。</w:t>
      </w:r>
    </w:p>
    <w:p>
      <w:pPr>
        <w:spacing w:line="560" w:lineRule="exact"/>
        <w:contextualSpacing/>
        <w:rPr>
          <w:rFonts w:ascii="宋体" w:hAnsi="宋体" w:eastAsia="宋体"/>
          <w:b/>
          <w:bCs/>
          <w:sz w:val="24"/>
          <w:szCs w:val="24"/>
          <w:highlight w:val="none"/>
        </w:rPr>
      </w:pPr>
    </w:p>
    <w:p>
      <w:pPr>
        <w:spacing w:line="560" w:lineRule="exact"/>
        <w:ind w:firstLine="482" w:firstLineChars="200"/>
        <w:rPr>
          <w:rFonts w:ascii="宋体" w:hAnsi="宋体" w:eastAsia="宋体"/>
          <w:b/>
          <w:sz w:val="24"/>
          <w:szCs w:val="24"/>
          <w:highlight w:val="none"/>
        </w:rPr>
      </w:pPr>
      <w:r>
        <w:rPr>
          <w:rFonts w:hint="eastAsia" w:ascii="宋体" w:hAnsi="宋体" w:eastAsia="宋体"/>
          <w:b/>
          <w:sz w:val="24"/>
          <w:szCs w:val="24"/>
          <w:highlight w:val="none"/>
        </w:rPr>
        <w:t>3、 保密要求、知识产权、工作纪律要求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3.1如果甲方或乙方提供的内容属于保密的，应签订保密协议，甲乙双方均有保密义务。</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3.2保密期限由保密内容提供方确定，保密期限届满后，保密内容公开时，应书面征得保密内容提供方同意。</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3.3甲方委托开发软件的知识产权归甲方所有。乙方向甲方交付使用的信息系统已享有知识产权的，甲方可在合同文件明确的范围内自主使用。信息系统中所有文档资料和数据、收集和储存的个人信息所有权均属于甲方，未经甲方允许不得访问、修改、披露、利用、转让、销毁。</w:t>
      </w:r>
    </w:p>
    <w:p>
      <w:pPr>
        <w:spacing w:line="560" w:lineRule="exact"/>
        <w:ind w:firstLine="482" w:firstLineChars="200"/>
        <w:rPr>
          <w:rFonts w:ascii="宋体" w:hAnsi="宋体" w:eastAsia="宋体"/>
          <w:b/>
          <w:sz w:val="24"/>
          <w:szCs w:val="24"/>
          <w:highlight w:val="none"/>
        </w:rPr>
      </w:pPr>
      <w:r>
        <w:rPr>
          <w:rFonts w:hint="eastAsia" w:ascii="宋体" w:hAnsi="宋体" w:eastAsia="宋体"/>
          <w:b/>
          <w:sz w:val="24"/>
          <w:szCs w:val="24"/>
          <w:highlight w:val="none"/>
        </w:rPr>
        <w:t>4、 项目验收、售后服务、质保要求及违约罚则</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4.1 实施要求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4.1.1 本项目总工期3个月：包括平台开发测试及部署、试运行、培训及最终验收。</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4.1.2 本项目要求在合同签订后2个月内完成本项目软件开发、调试；试运行满1个月后无任何问题进行验收。中标人在签署合同后需确保在承诺工期内完成；中标人在中标后，应认真组织好技术及管理队伍，做好工作计划并提出长期维护、服务以及今后技术支持的措施、计划和承诺。</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4.1.3 项目人员要求：为确保完成本项目，投标人应组建工作小组，在提交的投标响应文件中安排的人员，须为投标人单位的正式职员，中标后未经采购人同意，项目组成员不得随意更换；响应投标文件内应提供参加本项目人员的履历表、相关资格证明材料。</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4.2 项目团队人员要求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4.2.1 拟投入本项目的主要开发人员不少于10人(含项目经理)，另配备驻场维护人员不少于1人，驻场运维人员需要提供驻场维护人员需满足7*24小时上门响应需求。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4.2.2 项目经理资质要求:项目经理应具备丰富的类似项目管理经验，投标人投标时，应提供具有信息系统项目管理师（高级）和数据库系统工程师证书，提供相关证书及公司近3个月为其缴纳社保证明。</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4.2.3 项目团队要求:投标人应选派具备有丰富的类似项目实施经验的技术工程师组成本项的实施团队。考虑到本项目为软件开发类项目，故要求本项目的实施团队具有较强的软件开发管理能力。项目团队的主要人员应提供相关职称证书：中级系统集成项目管理工程师、中级数据库系统工程师、中级信息安全工程师、高级大数据分析师证书，提供相关证书及公司近3个月为其缴纳社保证明。</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4.3 项目实施保障要求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投标人提供完整的项目保障实施方案，描述项目的实施过程，确保本项目提出正常有序实施的措施和办法。包括同现有软件的对接、个性化定制、测试、试运行、培训及上线计划。</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4.4 应急要求</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投标人对软件故障应能够实时响应，质保期内不得少于1名运维支持人员，若软件发生故障，接到通知后30分钟之内响应，专业软件人员2小时内到达现场。特殊故障与客户沟通协商后，按照协商的方式制定解决方案并进行处理。</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4.5第三方测试</w:t>
      </w:r>
    </w:p>
    <w:p>
      <w:pPr>
        <w:spacing w:line="560" w:lineRule="exact"/>
        <w:ind w:firstLine="720" w:firstLineChars="300"/>
        <w:rPr>
          <w:rFonts w:ascii="宋体" w:hAnsi="宋体" w:eastAsia="宋体"/>
          <w:sz w:val="24"/>
          <w:szCs w:val="24"/>
          <w:highlight w:val="none"/>
        </w:rPr>
      </w:pPr>
      <w:r>
        <w:rPr>
          <w:rFonts w:hint="eastAsia" w:ascii="宋体" w:hAnsi="宋体" w:eastAsia="宋体"/>
          <w:sz w:val="24"/>
          <w:szCs w:val="24"/>
          <w:highlight w:val="none"/>
        </w:rPr>
        <w:t>投标人需要配合用户完成第三方安全测试报告、软件测试报告以及密码测试报告。</w:t>
      </w:r>
    </w:p>
    <w:p>
      <w:pPr>
        <w:spacing w:line="560" w:lineRule="exact"/>
        <w:ind w:firstLine="480" w:firstLineChars="200"/>
        <w:rPr>
          <w:rFonts w:ascii="宋体" w:hAnsi="宋体" w:eastAsia="宋体"/>
          <w:sz w:val="24"/>
          <w:szCs w:val="24"/>
          <w:highlight w:val="none"/>
        </w:rPr>
      </w:pP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4.6验收条件</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4.6.1 平台开发按合同全部完成，能满足运行的需要；</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4.6.2 试运行无重大缺陷、无重大故障且试运行期间产生的所有问题都已得到解决；</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4.6.3 项目文件资料齐全，并符合相关规定。</w:t>
      </w:r>
    </w:p>
    <w:p>
      <w:pPr>
        <w:spacing w:line="560" w:lineRule="exact"/>
        <w:ind w:firstLine="720" w:firstLineChars="300"/>
        <w:rPr>
          <w:rFonts w:ascii="宋体" w:hAnsi="宋体" w:eastAsia="宋体"/>
          <w:sz w:val="24"/>
          <w:szCs w:val="24"/>
          <w:highlight w:val="none"/>
        </w:rPr>
      </w:pPr>
      <w:r>
        <w:rPr>
          <w:rFonts w:hint="eastAsia" w:ascii="宋体" w:hAnsi="宋体" w:eastAsia="宋体"/>
          <w:sz w:val="24"/>
          <w:szCs w:val="24"/>
          <w:highlight w:val="none"/>
        </w:rPr>
        <w:t>4.6.4 测试材料：具备第三方安全测试报告、软件测试报告以及密码测试报告。</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4.7售后服务维护方式</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双方验收合格之日起，所有软件开发及产品软件均提供免费售后服务和运维服务3年。采取远程服务的方式，进行提供质保期运维服务。可通过专家进行电话或远程指导，必要时派专家到现场提供运维服务，并通过远程工具辅助解决运维问题技术顾问，及时为客户提供有关的技术信息。中标人应制定相应的培训计划，对采购人进行免费培训；培训讲师应持证上岗，培训采购人的系统管理员、业务操作人员、运维人员能够独立地对系统进行日常运行维护和操作。</w:t>
      </w:r>
    </w:p>
    <w:p>
      <w:pPr>
        <w:spacing w:line="560" w:lineRule="exact"/>
        <w:ind w:firstLine="482" w:firstLineChars="200"/>
        <w:rPr>
          <w:rFonts w:ascii="宋体" w:hAnsi="宋体" w:eastAsia="宋体"/>
          <w:b/>
          <w:sz w:val="24"/>
          <w:szCs w:val="24"/>
          <w:highlight w:val="none"/>
        </w:rPr>
      </w:pPr>
      <w:r>
        <w:rPr>
          <w:rFonts w:hint="eastAsia" w:ascii="宋体" w:hAnsi="宋体" w:eastAsia="宋体"/>
          <w:b/>
          <w:sz w:val="24"/>
          <w:szCs w:val="24"/>
          <w:highlight w:val="none"/>
        </w:rPr>
        <w:t>5、付款方式</w:t>
      </w:r>
    </w:p>
    <w:p>
      <w:pPr>
        <w:spacing w:line="560" w:lineRule="exact"/>
        <w:ind w:firstLine="480" w:firstLineChars="200"/>
        <w:rPr>
          <w:rFonts w:hint="eastAsia" w:ascii="宋体" w:hAnsi="宋体" w:eastAsia="宋体"/>
          <w:sz w:val="24"/>
          <w:szCs w:val="24"/>
          <w:highlight w:val="none"/>
        </w:rPr>
      </w:pPr>
      <w:bookmarkStart w:id="10" w:name="OLE_LINK13"/>
      <w:r>
        <w:rPr>
          <w:rFonts w:hint="eastAsia" w:ascii="宋体" w:hAnsi="宋体" w:eastAsia="宋体"/>
          <w:sz w:val="24"/>
          <w:szCs w:val="24"/>
          <w:highlight w:val="none"/>
        </w:rPr>
        <w:t>首付款：甲方在本合同签订后并收到乙方提供的正式发票后，向乙方支付合总价款78万。项目验收款:所有软件功能模块经检查合格完成安装调试，系统整体进入试运行并通过验收在收到乙方提供的正式发票后支付合同总价款50%。项目尾款:项目并经决算审计后，支付剩余款项。</w:t>
      </w:r>
      <w:bookmarkEnd w:id="10"/>
    </w:p>
    <w:p>
      <w:pPr>
        <w:spacing w:line="240" w:lineRule="auto"/>
        <w:ind w:left="480"/>
        <w:rPr>
          <w:rFonts w:hint="eastAsia" w:ascii="宋体" w:hAnsi="宋体" w:eastAsia="宋体" w:cs="宋体"/>
          <w:b w:val="0"/>
          <w:sz w:val="24"/>
          <w:highlight w:val="none"/>
          <w:lang w:eastAsia="zh-CN"/>
        </w:rPr>
      </w:pPr>
      <w:r>
        <w:rPr>
          <w:rFonts w:hint="eastAsia" w:ascii="宋体" w:hAnsi="宋体" w:eastAsia="宋体" w:cs="宋体"/>
          <w:b/>
          <w:bCs/>
          <w:sz w:val="24"/>
          <w:szCs w:val="24"/>
          <w:highlight w:val="none"/>
        </w:rPr>
        <w:t>（合同履约事宜：采购人和成交供应商应通过完善内部流程缩短合同签订期限，在中标、成交通知书发出之日起30日内，按照采购文件确定的事项签订政府采购合同，在合同中约定资金支付的方式、时间和条件，明确逾期支付资金的违约责任。</w:t>
      </w:r>
      <w:r>
        <w:rPr>
          <w:rFonts w:hint="eastAsia" w:ascii="宋体" w:hAnsi="宋体" w:eastAsia="宋体" w:cs="宋体"/>
          <w:b/>
          <w:bCs/>
          <w:sz w:val="24"/>
          <w:szCs w:val="24"/>
          <w:highlight w:val="none"/>
          <w:lang w:eastAsia="zh-CN"/>
        </w:rPr>
        <w:t>）</w:t>
      </w:r>
    </w:p>
    <w:p>
      <w:pPr>
        <w:spacing w:line="560" w:lineRule="exact"/>
        <w:ind w:firstLine="480" w:firstLineChars="200"/>
        <w:rPr>
          <w:rFonts w:hint="eastAsia" w:ascii="宋体" w:hAnsi="宋体" w:eastAsia="宋体"/>
          <w:sz w:val="24"/>
          <w:szCs w:val="24"/>
          <w:highlight w:val="none"/>
        </w:rPr>
      </w:pPr>
    </w:p>
    <w:p>
      <w:pPr>
        <w:spacing w:line="560" w:lineRule="exact"/>
        <w:ind w:firstLine="482" w:firstLineChars="200"/>
        <w:rPr>
          <w:rFonts w:ascii="宋体" w:hAnsi="宋体" w:eastAsia="宋体"/>
          <w:b/>
          <w:sz w:val="24"/>
          <w:szCs w:val="24"/>
          <w:highlight w:val="none"/>
        </w:rPr>
      </w:pPr>
      <w:r>
        <w:rPr>
          <w:rFonts w:hint="eastAsia" w:ascii="宋体" w:hAnsi="宋体" w:eastAsia="宋体"/>
          <w:b/>
          <w:sz w:val="24"/>
          <w:szCs w:val="24"/>
          <w:highlight w:val="none"/>
        </w:rPr>
        <w:t>6、其他说明</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6.1 知识产权承诺函</w:t>
      </w:r>
    </w:p>
    <w:p>
      <w:pPr>
        <w:spacing w:line="5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 xml:space="preserve"> </w:t>
      </w:r>
      <w:r>
        <w:rPr>
          <w:rFonts w:hint="eastAsia" w:ascii="宋体" w:hAnsi="宋体" w:eastAsia="宋体" w:cs="宋体"/>
          <w:sz w:val="24"/>
          <w:szCs w:val="24"/>
          <w:highlight w:val="none"/>
        </w:rPr>
        <w:t>★</w:t>
      </w:r>
      <w:r>
        <w:rPr>
          <w:rFonts w:hint="eastAsia" w:ascii="宋体" w:hAnsi="宋体" w:eastAsia="宋体"/>
          <w:sz w:val="24"/>
          <w:szCs w:val="24"/>
          <w:highlight w:val="none"/>
        </w:rPr>
        <w:t>投标人须承诺：保证对技术需求中涉及的知识产权是自有的或是被授权可使用的，否则采购人被诉侵权产生的费用由投标人负责；本项目为公安科技专项项目，项目中所委托开发的软件其著作权归长宁分局所有。（未见承诺的投标不予接受）</w:t>
      </w:r>
    </w:p>
    <w:p>
      <w:pPr>
        <w:rPr>
          <w:rFonts w:asciiTheme="minorEastAsia" w:hAnsiTheme="minorEastAsia"/>
          <w:sz w:val="24"/>
          <w:szCs w:val="24"/>
          <w:highlight w:val="none"/>
        </w:rPr>
      </w:pPr>
    </w:p>
    <w:bookmarkEnd w:id="11"/>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eastAsiaTheme="minorEastAsia"/>
        <w:lang w:val="en-US" w:eastAsia="zh-CN"/>
      </w:rPr>
    </w:pPr>
    <w:r>
      <w:rPr>
        <w:rFonts w:hint="eastAsia"/>
      </w:rPr>
      <w:t>ZC20260172</w:t>
    </w:r>
    <w:r>
      <w:rPr>
        <w:rFonts w:hint="eastAsia"/>
        <w:lang w:val="en-US" w:eastAsia="zh-CN"/>
      </w:rPr>
      <w:t xml:space="preserve">    长宁公安AI一线规范执法应用建设竞争性磋商项目   采购需求文件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879D8"/>
    <w:multiLevelType w:val="multilevel"/>
    <w:tmpl w:val="075879D8"/>
    <w:lvl w:ilvl="0" w:tentative="0">
      <w:start w:val="1"/>
      <w:numFmt w:val="decimal"/>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lvlText w:val="%1.%2.%3."/>
      <w:lvlJc w:val="left"/>
      <w:pPr>
        <w:ind w:left="709" w:hanging="709"/>
      </w:pPr>
      <w:rPr>
        <w:rFonts w:hint="default"/>
        <w:b/>
        <w:bCs/>
      </w:rPr>
    </w:lvl>
    <w:lvl w:ilvl="3" w:tentative="0">
      <w:start w:val="1"/>
      <w:numFmt w:val="decimal"/>
      <w:lvlText w:val="%1.%2.%3.%4."/>
      <w:lvlJc w:val="left"/>
      <w:pPr>
        <w:ind w:left="850" w:hanging="850"/>
      </w:pPr>
      <w:rPr>
        <w:rFonts w:hint="default"/>
        <w:b/>
        <w:bCs w:val="0"/>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1A87536B"/>
    <w:multiLevelType w:val="singleLevel"/>
    <w:tmpl w:val="1A87536B"/>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3BA"/>
    <w:rsid w:val="000028B2"/>
    <w:rsid w:val="00016E93"/>
    <w:rsid w:val="00074C65"/>
    <w:rsid w:val="00131FEF"/>
    <w:rsid w:val="00134F69"/>
    <w:rsid w:val="001E12A6"/>
    <w:rsid w:val="00201F7D"/>
    <w:rsid w:val="00211039"/>
    <w:rsid w:val="0022412B"/>
    <w:rsid w:val="0026725E"/>
    <w:rsid w:val="00281C52"/>
    <w:rsid w:val="002C513B"/>
    <w:rsid w:val="00331421"/>
    <w:rsid w:val="00335CDE"/>
    <w:rsid w:val="00344E28"/>
    <w:rsid w:val="00356C07"/>
    <w:rsid w:val="003633C5"/>
    <w:rsid w:val="003A51AB"/>
    <w:rsid w:val="003A5602"/>
    <w:rsid w:val="003F0875"/>
    <w:rsid w:val="00401182"/>
    <w:rsid w:val="0040780B"/>
    <w:rsid w:val="004128CB"/>
    <w:rsid w:val="00432EFA"/>
    <w:rsid w:val="00444E62"/>
    <w:rsid w:val="00455522"/>
    <w:rsid w:val="004B72BC"/>
    <w:rsid w:val="004E51C4"/>
    <w:rsid w:val="004E68D8"/>
    <w:rsid w:val="005109B0"/>
    <w:rsid w:val="00525D04"/>
    <w:rsid w:val="005553E5"/>
    <w:rsid w:val="0056201F"/>
    <w:rsid w:val="005D478F"/>
    <w:rsid w:val="0060178A"/>
    <w:rsid w:val="00611F3A"/>
    <w:rsid w:val="00653E44"/>
    <w:rsid w:val="00663A51"/>
    <w:rsid w:val="0069040F"/>
    <w:rsid w:val="00697364"/>
    <w:rsid w:val="006C71EF"/>
    <w:rsid w:val="006E6815"/>
    <w:rsid w:val="006F611A"/>
    <w:rsid w:val="006F6E14"/>
    <w:rsid w:val="00712AA6"/>
    <w:rsid w:val="00797FF5"/>
    <w:rsid w:val="007C073D"/>
    <w:rsid w:val="007D50D4"/>
    <w:rsid w:val="007E59C0"/>
    <w:rsid w:val="007F146A"/>
    <w:rsid w:val="00813B2A"/>
    <w:rsid w:val="0082366C"/>
    <w:rsid w:val="008334C5"/>
    <w:rsid w:val="0084517A"/>
    <w:rsid w:val="0089611E"/>
    <w:rsid w:val="008A74E9"/>
    <w:rsid w:val="008E5F9E"/>
    <w:rsid w:val="00901AFC"/>
    <w:rsid w:val="009663BA"/>
    <w:rsid w:val="009D623B"/>
    <w:rsid w:val="009E02DA"/>
    <w:rsid w:val="009F668A"/>
    <w:rsid w:val="00A63757"/>
    <w:rsid w:val="00AF410E"/>
    <w:rsid w:val="00B158D2"/>
    <w:rsid w:val="00B46DFF"/>
    <w:rsid w:val="00B53B4D"/>
    <w:rsid w:val="00B676C1"/>
    <w:rsid w:val="00B953F6"/>
    <w:rsid w:val="00B95BB0"/>
    <w:rsid w:val="00BB76FE"/>
    <w:rsid w:val="00C05683"/>
    <w:rsid w:val="00C5339D"/>
    <w:rsid w:val="00C6070C"/>
    <w:rsid w:val="00C6449F"/>
    <w:rsid w:val="00C96AB8"/>
    <w:rsid w:val="00D0475C"/>
    <w:rsid w:val="00D0674E"/>
    <w:rsid w:val="00D75706"/>
    <w:rsid w:val="00DB5D5E"/>
    <w:rsid w:val="00E604A0"/>
    <w:rsid w:val="00EE422C"/>
    <w:rsid w:val="00F41400"/>
    <w:rsid w:val="00F44A12"/>
    <w:rsid w:val="00F9308B"/>
    <w:rsid w:val="00FA0AC1"/>
    <w:rsid w:val="00FA6BCC"/>
    <w:rsid w:val="00FB157C"/>
    <w:rsid w:val="040F63EF"/>
    <w:rsid w:val="05765F0E"/>
    <w:rsid w:val="0D772B9F"/>
    <w:rsid w:val="11122334"/>
    <w:rsid w:val="176376F1"/>
    <w:rsid w:val="19701672"/>
    <w:rsid w:val="1D2B3667"/>
    <w:rsid w:val="28EE3D72"/>
    <w:rsid w:val="2B9672CD"/>
    <w:rsid w:val="2CB7584A"/>
    <w:rsid w:val="2DD25285"/>
    <w:rsid w:val="3281463C"/>
    <w:rsid w:val="35451CDE"/>
    <w:rsid w:val="38E463D4"/>
    <w:rsid w:val="398619B5"/>
    <w:rsid w:val="3CDB4AAC"/>
    <w:rsid w:val="3D0457DE"/>
    <w:rsid w:val="3FBE186D"/>
    <w:rsid w:val="45D7453B"/>
    <w:rsid w:val="47F366F3"/>
    <w:rsid w:val="50F02CE0"/>
    <w:rsid w:val="51AD72B4"/>
    <w:rsid w:val="56384123"/>
    <w:rsid w:val="5F0B23AD"/>
    <w:rsid w:val="5F391FCF"/>
    <w:rsid w:val="5F75414A"/>
    <w:rsid w:val="60B5200F"/>
    <w:rsid w:val="6A296DC0"/>
    <w:rsid w:val="6B772050"/>
    <w:rsid w:val="6B8D5D68"/>
    <w:rsid w:val="78646B9C"/>
    <w:rsid w:val="78E17C35"/>
    <w:rsid w:val="78EC4965"/>
    <w:rsid w:val="7A2D7B76"/>
    <w:rsid w:val="7B6E0463"/>
    <w:rsid w:val="7F325392"/>
    <w:rsid w:val="7FCB1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4"/>
    <w:next w:val="1"/>
    <w:unhideWhenUsed/>
    <w:qFormat/>
    <w:uiPriority w:val="9"/>
    <w:pPr>
      <w:numPr>
        <w:ilvl w:val="1"/>
        <w:numId w:val="1"/>
      </w:numPr>
      <w:spacing w:before="120" w:after="120"/>
      <w:ind w:left="0" w:firstLine="0" w:firstLineChars="0"/>
      <w:jc w:val="left"/>
      <w:outlineLvl w:val="1"/>
    </w:pPr>
    <w:rPr>
      <w:b/>
      <w:sz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4">
    <w:name w:val="*正文"/>
    <w:basedOn w:val="1"/>
    <w:qFormat/>
    <w:uiPriority w:val="0"/>
    <w:pPr>
      <w:spacing w:line="360" w:lineRule="auto"/>
      <w:ind w:firstLine="200" w:firstLineChars="200"/>
    </w:pPr>
    <w:rPr>
      <w:rFonts w:ascii="宋体" w:hAnsi="宋体"/>
      <w:sz w:val="24"/>
      <w:szCs w:val="24"/>
    </w:rPr>
  </w:style>
  <w:style w:type="paragraph" w:styleId="5">
    <w:name w:val="annotation text"/>
    <w:basedOn w:val="1"/>
    <w:link w:val="19"/>
    <w:unhideWhenUsed/>
    <w:qFormat/>
    <w:uiPriority w:val="99"/>
    <w:pPr>
      <w:jc w:val="left"/>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tabs>
        <w:tab w:val="center" w:pos="4153"/>
        <w:tab w:val="right" w:pos="8306"/>
      </w:tabs>
      <w:snapToGrid w:val="0"/>
      <w:jc w:val="center"/>
    </w:pPr>
    <w:rPr>
      <w:sz w:val="18"/>
      <w:szCs w:val="18"/>
    </w:rPr>
  </w:style>
  <w:style w:type="paragraph" w:styleId="8">
    <w:name w:val="annotation subject"/>
    <w:basedOn w:val="5"/>
    <w:next w:val="5"/>
    <w:link w:val="20"/>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font21"/>
    <w:basedOn w:val="10"/>
    <w:qFormat/>
    <w:uiPriority w:val="0"/>
    <w:rPr>
      <w:rFonts w:hint="default" w:ascii="Times New Roman" w:hAnsi="Times New Roman" w:cs="Times New Roman"/>
      <w:color w:val="000000"/>
      <w:sz w:val="21"/>
      <w:szCs w:val="21"/>
      <w:u w:val="none"/>
    </w:rPr>
  </w:style>
  <w:style w:type="character" w:customStyle="1" w:styleId="13">
    <w:name w:val="页眉 字符"/>
    <w:basedOn w:val="10"/>
    <w:link w:val="7"/>
    <w:qFormat/>
    <w:uiPriority w:val="99"/>
    <w:rPr>
      <w:rFonts w:asciiTheme="minorHAnsi" w:hAnsiTheme="minorHAnsi" w:eastAsiaTheme="minorEastAsia" w:cstheme="minorBidi"/>
      <w:kern w:val="2"/>
      <w:sz w:val="18"/>
      <w:szCs w:val="18"/>
    </w:rPr>
  </w:style>
  <w:style w:type="character" w:customStyle="1" w:styleId="14">
    <w:name w:val="页脚 字符"/>
    <w:basedOn w:val="10"/>
    <w:link w:val="6"/>
    <w:qFormat/>
    <w:uiPriority w:val="99"/>
    <w:rPr>
      <w:rFonts w:asciiTheme="minorHAnsi" w:hAnsiTheme="minorHAnsi" w:eastAsiaTheme="minorEastAsia" w:cstheme="minorBidi"/>
      <w:kern w:val="2"/>
      <w:sz w:val="18"/>
      <w:szCs w:val="18"/>
    </w:rPr>
  </w:style>
  <w:style w:type="paragraph" w:styleId="15">
    <w:name w:val="List Paragraph"/>
    <w:basedOn w:val="1"/>
    <w:unhideWhenUsed/>
    <w:qFormat/>
    <w:uiPriority w:val="99"/>
    <w:pPr>
      <w:ind w:firstLine="420" w:firstLineChars="200"/>
    </w:pPr>
  </w:style>
  <w:style w:type="character" w:customStyle="1" w:styleId="16">
    <w:name w:val="font31"/>
    <w:basedOn w:val="10"/>
    <w:qFormat/>
    <w:uiPriority w:val="0"/>
    <w:rPr>
      <w:rFonts w:hint="eastAsia" w:ascii="仿宋" w:hAnsi="仿宋" w:eastAsia="仿宋"/>
      <w:color w:val="000000"/>
      <w:sz w:val="22"/>
      <w:szCs w:val="22"/>
      <w:u w:val="none"/>
    </w:rPr>
  </w:style>
  <w:style w:type="character" w:customStyle="1" w:styleId="17">
    <w:name w:val="font41"/>
    <w:basedOn w:val="10"/>
    <w:qFormat/>
    <w:uiPriority w:val="0"/>
    <w:rPr>
      <w:rFonts w:hint="default" w:ascii="Times New Roman" w:hAnsi="Times New Roman" w:cs="Times New Roman"/>
      <w:color w:val="000000"/>
      <w:sz w:val="22"/>
      <w:szCs w:val="22"/>
      <w:u w:val="none"/>
    </w:rPr>
  </w:style>
  <w:style w:type="character" w:customStyle="1" w:styleId="18">
    <w:name w:val="font11"/>
    <w:basedOn w:val="10"/>
    <w:qFormat/>
    <w:uiPriority w:val="0"/>
    <w:rPr>
      <w:rFonts w:hint="eastAsia" w:ascii="宋体" w:hAnsi="宋体" w:eastAsia="宋体"/>
      <w:color w:val="000000"/>
      <w:sz w:val="24"/>
      <w:szCs w:val="24"/>
      <w:u w:val="none"/>
    </w:rPr>
  </w:style>
  <w:style w:type="character" w:customStyle="1" w:styleId="19">
    <w:name w:val="批注文字 字符"/>
    <w:basedOn w:val="10"/>
    <w:link w:val="5"/>
    <w:qFormat/>
    <w:uiPriority w:val="99"/>
    <w:rPr>
      <w:rFonts w:asciiTheme="minorHAnsi" w:hAnsiTheme="minorHAnsi" w:eastAsiaTheme="minorEastAsia" w:cstheme="minorBidi"/>
      <w:kern w:val="2"/>
      <w:sz w:val="21"/>
      <w:szCs w:val="22"/>
    </w:rPr>
  </w:style>
  <w:style w:type="character" w:customStyle="1" w:styleId="20">
    <w:name w:val="批注主题 字符"/>
    <w:basedOn w:val="19"/>
    <w:link w:val="8"/>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7B9B9-FD83-4648-BFCC-ACFAC2A0D7F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1798</Words>
  <Characters>1892</Characters>
  <DocSecurity>0</DocSecurity>
  <Lines>91</Lines>
  <Paragraphs>25</Paragraphs>
  <ScaleCrop>false</ScaleCrop>
  <LinksUpToDate>false</LinksUpToDate>
  <CharactersWithSpaces>1912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2026-09-04T07:41:00Z</dcterms:created>
  <dcterms:modified xsi:type="dcterms:W3CDTF">2026-10-14T13:13:45Z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eyJoZGlkIjoiMDZjMmY0MTE1ODYxYTRlODFhMTQ4YjQwNTZmM2Q4M2EiLCJ1c2VySWQiOiIyOTczNTE4MzEifQ==</vt:lpwstr>
  </property>
  <property fmtid="{D5CDD505-2E9C-101B-9397-08002B2CF9AE}" pid="3" name="KSOProductBuildVer">
    <vt:lpwstr>2052-12.8.2.15091</vt:lpwstr>
  </property>
  <property fmtid="{D5CDD505-2E9C-101B-9397-08002B2CF9AE}" pid="4" name="ICV">
    <vt:lpwstr>D6EE05E8F7ED4A38BF0E91C9D880ACD6_13</vt:lpwstr>
  </property>
</Properties>
</file>