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360" w:lineRule="auto"/>
        <w:jc w:val="center"/>
        <w:rPr>
          <w:rFonts w:hint="eastAsia" w:ascii="宋体" w:hAnsi="宋体" w:cs="宋体"/>
          <w:bCs/>
          <w:sz w:val="40"/>
          <w:szCs w:val="40"/>
        </w:rPr>
      </w:pPr>
      <w:bookmarkStart w:id="0" w:name="OLE_LINK5"/>
      <w:r>
        <w:rPr>
          <w:rFonts w:hint="eastAsia" w:ascii="宋体" w:hAnsi="宋体" w:cs="宋体"/>
          <w:bCs/>
          <w:sz w:val="40"/>
          <w:szCs w:val="40"/>
        </w:rPr>
        <w:t>长宁公安视图大模型应用建设公开招标项目</w:t>
      </w:r>
      <w:bookmarkEnd w:id="0"/>
    </w:p>
    <w:p>
      <w:pPr>
        <w:widowControl/>
        <w:adjustRightInd w:val="0"/>
        <w:snapToGrid w:val="0"/>
        <w:spacing w:line="360" w:lineRule="auto"/>
        <w:jc w:val="center"/>
        <w:rPr>
          <w:rFonts w:hint="eastAsia" w:ascii="宋体" w:hAnsi="宋体" w:cs="宋体"/>
          <w:bCs/>
          <w:sz w:val="44"/>
          <w:szCs w:val="44"/>
        </w:rPr>
      </w:pPr>
      <w:r>
        <w:rPr>
          <w:rFonts w:hint="eastAsia" w:ascii="宋体" w:hAnsi="宋体" w:cs="宋体"/>
          <w:bCs/>
          <w:sz w:val="44"/>
          <w:szCs w:val="44"/>
        </w:rPr>
        <w:t>采购需求文件</w:t>
      </w:r>
    </w:p>
    <w:p>
      <w:pPr>
        <w:widowControl/>
        <w:jc w:val="center"/>
        <w:rPr>
          <w:rFonts w:hint="eastAsia" w:ascii="宋体" w:hAnsi="宋体" w:cs="宋体"/>
          <w:b/>
          <w:bCs/>
          <w:sz w:val="24"/>
          <w:szCs w:val="24"/>
        </w:rPr>
      </w:pPr>
    </w:p>
    <w:p>
      <w:pPr>
        <w:pStyle w:val="2"/>
        <w:rPr>
          <w:rFonts w:hint="eastAsia"/>
        </w:rPr>
      </w:pPr>
      <w:bookmarkStart w:id="1" w:name="_Toc167352824"/>
      <w:bookmarkStart w:id="2" w:name="_Toc146535493"/>
      <w:r>
        <w:rPr>
          <w:rFonts w:hint="eastAsia"/>
        </w:rPr>
        <w:t>项目概况</w:t>
      </w:r>
      <w:bookmarkEnd w:id="1"/>
      <w:bookmarkEnd w:id="2"/>
    </w:p>
    <w:p>
      <w:pPr>
        <w:pStyle w:val="4"/>
        <w:rPr>
          <w:rFonts w:hint="eastAsia"/>
        </w:rPr>
      </w:pPr>
      <w:r>
        <w:rPr>
          <w:rFonts w:hint="eastAsia"/>
        </w:rPr>
        <w:t>项目概况</w:t>
      </w:r>
    </w:p>
    <w:p>
      <w:pPr>
        <w:pStyle w:val="3"/>
        <w:ind w:firstLine="48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次项目主要完成三部分内容，第一部分为：采购一体化智能分析设备，实现社会面通用视频监控智能化管控、全天候AI智能分析、高清视频存储解码、异常事件自动预警及人员数据统计分析。第二部分为：依据大模型技术规范的中市、区两级架构建设要求，建设长宁分局视觉大模型应用模块，实现多模态检索、场景策略编排、大模型应用展示、微训练等应用功能及预警数据级联。第三部分为：按照《关于进一步推进上海公安视频图像建设应用高质量发展的指导意见》和《上海公安街面治安防控四类“机器看视频”场景应用推进方案》相关要求，聚集街面治安常态化巡防业务场景，部署人车物事件多类型多要素场景异动识别检测算法，充分挖掘算力算法软硬件协同计算潜力，深化机器看视频应用能力建设，以更好的支撑和赋能长宁公安各警种业务实战应用能力和重大任务活动保障能力。</w:t>
      </w:r>
    </w:p>
    <w:p>
      <w:pPr>
        <w:pStyle w:val="2"/>
        <w:rPr>
          <w:rFonts w:hint="eastAsia"/>
        </w:rPr>
      </w:pPr>
      <w:r>
        <w:rPr>
          <w:rFonts w:hint="eastAsia"/>
        </w:rPr>
        <w:t>建设内容及要求</w:t>
      </w:r>
    </w:p>
    <w:p>
      <w:pPr>
        <w:pStyle w:val="4"/>
        <w:rPr>
          <w:rFonts w:hint="eastAsia"/>
        </w:rPr>
      </w:pPr>
      <w:r>
        <w:rPr>
          <w:rFonts w:hint="eastAsia"/>
        </w:rPr>
        <w:t>建设内容</w:t>
      </w:r>
    </w:p>
    <w:p>
      <w:pPr>
        <w:pStyle w:val="5"/>
        <w:rPr>
          <w:rFonts w:hint="eastAsia"/>
        </w:rPr>
      </w:pPr>
      <w:r>
        <w:rPr>
          <w:rFonts w:hint="eastAsia"/>
        </w:rPr>
        <w:t>级联结构建设及多厂商大模型能力集群对接</w:t>
      </w:r>
    </w:p>
    <w:p>
      <w:pPr>
        <w:pStyle w:val="55"/>
        <w:spacing w:line="360" w:lineRule="auto"/>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依据大模型技术规范的中市、区两级架构建设要求，分局公安视频传输网侧：在城市之眼系统能力服务架构下，建设长宁分局视觉大模型能力集群，依托视觉大模型跨模态解析、比对、训练等基础设施，提供检索、预警、微训练等服务及任务管理、语义分析、策略生成等能力，实现统一接口调用。分局公安信息网侧：在城市之眼系统应用服务架构下，建设长宁分局视觉大模型应用模块，实现多模态检索、场景策略编排、大模型应用展示、微训练等应用功能及预警数据级联，赋能新质战斗力合成作战平台等业务系统，并接收核处结果。</w:t>
      </w:r>
    </w:p>
    <w:p>
      <w:pPr>
        <w:pStyle w:val="5"/>
        <w:rPr>
          <w:rFonts w:hint="eastAsia"/>
        </w:rPr>
      </w:pPr>
      <w:r>
        <w:rPr>
          <w:rFonts w:hint="eastAsia"/>
        </w:rPr>
        <w:t>智能算法支撑</w:t>
      </w:r>
    </w:p>
    <w:p>
      <w:pPr>
        <w:pStyle w:val="55"/>
        <w:spacing w:line="360" w:lineRule="auto"/>
        <w:ind w:firstLine="480"/>
        <w:rPr>
          <w:rFonts w:hint="eastAsia" w:ascii="宋体" w:hAnsi="宋体"/>
          <w:sz w:val="24"/>
          <w:szCs w:val="24"/>
        </w:rPr>
      </w:pPr>
      <w:r>
        <w:rPr>
          <w:rFonts w:hint="eastAsia" w:ascii="宋体" w:hAnsi="宋体"/>
          <w:sz w:val="24"/>
          <w:szCs w:val="24"/>
        </w:rPr>
        <w:t>针对长宁区公共安全领域以往事件的类型特点和常态化巡防工作关注的重点目标，聚焦街面安全防控重点，面向220路社会面安防重点关注区域、场所、目标采集的视频场景，新建15种场景异动类智能算法，包括人群聚集、拉不特定标识、人员徘徊、人员奔跑、人员摔倒、人员穿着奇装异服、机动车闯入、行人非机动车闯入、机动车逆行、大型四脚动物、遛狗未牵狗绳、烟雾火焰等，实现对场景内人、车、物、事件等要素的异动检测和分析预警能力，为上层实战应用提供必要的底层智能算法支撑。后端配套部署一定数量的高性能、具备深度学习能力的视频计算GPU算力设备和少量信创基础设施，用于平台软件运行环境的搭建。</w:t>
      </w:r>
    </w:p>
    <w:p>
      <w:pPr>
        <w:pStyle w:val="5"/>
        <w:rPr>
          <w:rFonts w:hint="eastAsia"/>
        </w:rPr>
      </w:pPr>
      <w:bookmarkStart w:id="3" w:name="_Toc459132041"/>
      <w:bookmarkStart w:id="4" w:name="_Toc459132034"/>
      <w:r>
        <w:rPr>
          <w:rFonts w:hint="eastAsia"/>
        </w:rPr>
        <w:t>智能分析服务器部署</w:t>
      </w:r>
    </w:p>
    <w:p>
      <w:pPr>
        <w:pStyle w:val="55"/>
        <w:spacing w:line="360" w:lineRule="auto"/>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集成视频接入、存储转发、高清解码、AI智能分析、报警联动、算法迭代等一体化功能，依托国产系统实现信创安全，通过高密度算力实现多场景智能安防应用，以高可靠硬件架构保障系统稳定运行，简化项目安防系统架构，降低运维成本，实现监控业务智能化、精细化、数字化管控。</w:t>
      </w:r>
    </w:p>
    <w:p>
      <w:pPr>
        <w:pStyle w:val="55"/>
        <w:spacing w:line="360" w:lineRule="auto"/>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支持大于300路前端智能摄像机接入，可并行实现人脸检测、人脸识别、视频结构化、通用行为分析四大核心智能业务，完成视频画面智能解析与特征数据提取。</w:t>
      </w:r>
    </w:p>
    <w:bookmarkEnd w:id="3"/>
    <w:bookmarkEnd w:id="4"/>
    <w:p>
      <w:pPr>
        <w:pStyle w:val="4"/>
        <w:rPr>
          <w:rFonts w:hint="eastAsia"/>
        </w:rPr>
      </w:pPr>
      <w:bookmarkStart w:id="5" w:name="_Toc167352835"/>
      <w:r>
        <w:rPr>
          <w:rFonts w:hint="eastAsia"/>
        </w:rPr>
        <w:t>级联结构建设及多厂商大模型能力集群对接具体建设需求</w:t>
      </w:r>
    </w:p>
    <w:p>
      <w:pPr>
        <w:pStyle w:val="3"/>
        <w:ind w:firstLine="480"/>
        <w:rPr>
          <w:rFonts w:hint="eastAsia"/>
        </w:rPr>
      </w:pPr>
      <w:r>
        <w:rPr>
          <w:rFonts w:hint="eastAsia"/>
        </w:rPr>
        <w:t>依据大模型技术规范的中市、区两级架构建设要求，分局公安视频传输网侧：在城市之眼系统能力服务架构下，建设长宁分局视觉大模型能力集群，依托视觉大模型跨模态解析、比对、训练等基础设施，提供检索、预警、微训练等服务及任务管理、语义分析、策略生成等能力，实现统一接口调用。分局公安信息网侧：在城市之眼系统应用服务架构下，建设长宁分局视觉大模型应用模块，实现多模态检索、场景策略编排、大模型应用展示、微训练等应用功能及预警数据级联，赋能新质战斗力合成作战平台等业务系统，并接收核处结果。</w:t>
      </w:r>
    </w:p>
    <w:p>
      <w:pPr>
        <w:pStyle w:val="3"/>
        <w:ind w:firstLine="480"/>
        <w:rPr>
          <w:rFonts w:hint="eastAsia"/>
        </w:rPr>
      </w:pPr>
      <w:r>
        <w:rPr>
          <w:rFonts w:hint="eastAsia"/>
        </w:rPr>
        <w:t>本次项目仅针对城市安全管理大模型技术规范中，市局考核相关接口模块进行软件定制，不涉及上层相关应用功能开发。</w:t>
      </w:r>
    </w:p>
    <w:p>
      <w:pPr>
        <w:pStyle w:val="3"/>
        <w:ind w:firstLine="480"/>
        <w:rPr>
          <w:rFonts w:hint="eastAsia"/>
        </w:rPr>
      </w:pPr>
    </w:p>
    <w:p>
      <w:pPr>
        <w:pStyle w:val="5"/>
        <w:rPr>
          <w:rFonts w:hint="eastAsia"/>
        </w:rPr>
      </w:pPr>
      <w:r>
        <w:rPr>
          <w:rFonts w:hint="eastAsia"/>
        </w:rPr>
        <w:t>级联结构建设要求</w:t>
      </w:r>
    </w:p>
    <w:p>
      <w:pPr>
        <w:pStyle w:val="3"/>
        <w:ind w:firstLine="480"/>
        <w:rPr>
          <w:rFonts w:hint="eastAsia"/>
        </w:rPr>
      </w:pPr>
      <w:r>
        <w:rPr>
          <w:rFonts w:hint="eastAsia"/>
        </w:rPr>
        <w:t>级联结构上包含2类，上下级联和双网级联。市局和分局的平台都按编码规范生成唯一的系统编码标识。</w:t>
      </w:r>
    </w:p>
    <w:p>
      <w:pPr>
        <w:pStyle w:val="3"/>
        <w:ind w:firstLine="480"/>
        <w:rPr>
          <w:rFonts w:hint="eastAsia"/>
        </w:rPr>
      </w:pPr>
      <w:r>
        <w:rPr>
          <w:rFonts w:hint="eastAsia"/>
        </w:rPr>
        <w:t>上下级联：市局和分局之间的平台形成1对N的上下级联关系，上下级联的网络保证在API接口（信令）传输可进行双向通信、在数据传输可进行单向通信。</w:t>
      </w:r>
    </w:p>
    <w:p>
      <w:pPr>
        <w:pStyle w:val="3"/>
        <w:ind w:firstLine="480"/>
        <w:rPr>
          <w:rFonts w:hint="eastAsia"/>
        </w:rPr>
      </w:pPr>
      <w:r>
        <w:rPr>
          <w:rFonts w:hint="eastAsia"/>
        </w:rPr>
        <w:t>双网级联：市、区两级视觉大模型能力集群部署在公安视频传输网内，市、区两级城市之眼系统视觉大模型应用模块部署在公安信息网内，双网之间的视觉大模型能力集群和城市之眼系统视觉大模型应用模块之间形成1对1的双网级联关系，双网级联的网络保证在API接口（信令）传输可进行双向通信、在数据传输可进行单向通信。</w:t>
      </w:r>
    </w:p>
    <w:p>
      <w:pPr>
        <w:pStyle w:val="5"/>
        <w:rPr>
          <w:rFonts w:hint="eastAsia"/>
        </w:rPr>
      </w:pPr>
      <w:r>
        <w:rPr>
          <w:rFonts w:hint="eastAsia"/>
        </w:rPr>
        <w:t>接口模块概览建设要求</w:t>
      </w:r>
    </w:p>
    <w:p>
      <w:pPr>
        <w:ind w:firstLine="480"/>
        <w:rPr>
          <w:rFonts w:hint="eastAsia" w:ascii="宋体" w:hAnsi="宋体" w:cs="宋体"/>
          <w:sz w:val="24"/>
          <w:szCs w:val="24"/>
        </w:rPr>
      </w:pPr>
      <w:r>
        <w:rPr>
          <w:rFonts w:hint="eastAsia" w:ascii="宋体" w:hAnsi="宋体" w:cs="宋体"/>
          <w:sz w:val="24"/>
          <w:szCs w:val="24"/>
        </w:rPr>
        <w:t>（1）上下级联</w:t>
      </w:r>
    </w:p>
    <w:tbl>
      <w:tblPr>
        <w:tblStyle w:val="28"/>
        <w:tblW w:w="43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3"/>
        <w:gridCol w:w="4263"/>
        <w:gridCol w:w="1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2" w:type="pct"/>
            <w:shd w:val="clear" w:color="auto" w:fill="D9D9D9"/>
            <w:vAlign w:val="center"/>
          </w:tcPr>
          <w:p>
            <w:pPr>
              <w:jc w:val="center"/>
              <w:rPr>
                <w:rFonts w:hint="eastAsia" w:ascii="宋体" w:hAnsi="宋体" w:cs="宋体"/>
                <w:sz w:val="24"/>
                <w:szCs w:val="24"/>
              </w:rPr>
            </w:pPr>
            <w:r>
              <w:rPr>
                <w:rFonts w:hint="eastAsia" w:ascii="宋体" w:hAnsi="宋体" w:cs="宋体"/>
                <w:sz w:val="24"/>
                <w:szCs w:val="24"/>
              </w:rPr>
              <w:t>序号</w:t>
            </w:r>
          </w:p>
        </w:tc>
        <w:tc>
          <w:tcPr>
            <w:tcW w:w="2979" w:type="pct"/>
            <w:shd w:val="clear" w:color="auto" w:fill="D9D9D9"/>
            <w:vAlign w:val="center"/>
          </w:tcPr>
          <w:p>
            <w:pPr>
              <w:jc w:val="center"/>
              <w:rPr>
                <w:rFonts w:hint="eastAsia" w:ascii="宋体" w:hAnsi="宋体" w:cs="宋体"/>
                <w:sz w:val="24"/>
                <w:szCs w:val="24"/>
              </w:rPr>
            </w:pPr>
            <w:r>
              <w:rPr>
                <w:rFonts w:hint="eastAsia" w:ascii="宋体" w:hAnsi="宋体" w:cs="宋体"/>
                <w:sz w:val="24"/>
                <w:szCs w:val="24"/>
              </w:rPr>
              <w:t>说明</w:t>
            </w:r>
          </w:p>
        </w:tc>
        <w:tc>
          <w:tcPr>
            <w:tcW w:w="1230" w:type="pct"/>
            <w:shd w:val="clear" w:color="auto" w:fill="D9D9D9"/>
            <w:vAlign w:val="center"/>
          </w:tcPr>
          <w:p>
            <w:pPr>
              <w:jc w:val="center"/>
              <w:rPr>
                <w:rFonts w:hint="eastAsia" w:ascii="宋体" w:hAnsi="宋体" w:cs="宋体"/>
                <w:sz w:val="24"/>
                <w:szCs w:val="24"/>
              </w:rPr>
            </w:pPr>
            <w:r>
              <w:rPr>
                <w:rFonts w:hint="eastAsia" w:ascii="宋体" w:hAnsi="宋体" w:cs="宋体"/>
                <w:sz w:val="24"/>
                <w:szCs w:val="24"/>
              </w:rPr>
              <w:t>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2" w:type="pct"/>
            <w:vAlign w:val="center"/>
          </w:tcPr>
          <w:p>
            <w:pPr>
              <w:jc w:val="center"/>
              <w:rPr>
                <w:rFonts w:hint="eastAsia" w:ascii="宋体" w:hAnsi="宋体" w:cs="宋体"/>
                <w:sz w:val="24"/>
                <w:szCs w:val="24"/>
              </w:rPr>
            </w:pPr>
            <w:r>
              <w:rPr>
                <w:rFonts w:hint="eastAsia" w:ascii="宋体" w:hAnsi="宋体" w:cs="宋体"/>
                <w:sz w:val="24"/>
                <w:szCs w:val="24"/>
              </w:rPr>
              <w:t>1</w:t>
            </w:r>
          </w:p>
        </w:tc>
        <w:tc>
          <w:tcPr>
            <w:tcW w:w="2979" w:type="pct"/>
            <w:vAlign w:val="center"/>
          </w:tcPr>
          <w:p>
            <w:pPr>
              <w:jc w:val="center"/>
              <w:rPr>
                <w:rFonts w:hint="eastAsia" w:ascii="宋体" w:hAnsi="宋体" w:cs="宋体"/>
                <w:sz w:val="24"/>
                <w:szCs w:val="24"/>
              </w:rPr>
            </w:pPr>
            <w:r>
              <w:rPr>
                <w:rFonts w:hint="eastAsia" w:ascii="宋体" w:hAnsi="宋体" w:cs="宋体"/>
                <w:sz w:val="24"/>
                <w:szCs w:val="24"/>
              </w:rPr>
              <w:t>注册</w:t>
            </w:r>
          </w:p>
        </w:tc>
        <w:tc>
          <w:tcPr>
            <w:tcW w:w="1230" w:type="pct"/>
            <w:vMerge w:val="restart"/>
            <w:vAlign w:val="center"/>
          </w:tcPr>
          <w:p>
            <w:pPr>
              <w:jc w:val="center"/>
              <w:rPr>
                <w:rFonts w:hint="eastAsia" w:ascii="宋体" w:hAnsi="宋体" w:cs="宋体"/>
                <w:sz w:val="24"/>
                <w:szCs w:val="24"/>
              </w:rPr>
            </w:pPr>
            <w:r>
              <w:rPr>
                <w:rFonts w:hint="eastAsia" w:ascii="宋体" w:hAnsi="宋体" w:cs="宋体"/>
                <w:sz w:val="24"/>
                <w:szCs w:val="24"/>
              </w:rPr>
              <w:t>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2" w:type="pct"/>
            <w:vAlign w:val="center"/>
          </w:tcPr>
          <w:p>
            <w:pPr>
              <w:jc w:val="center"/>
              <w:rPr>
                <w:rFonts w:hint="eastAsia" w:ascii="宋体" w:hAnsi="宋体" w:cs="宋体"/>
                <w:sz w:val="24"/>
                <w:szCs w:val="24"/>
              </w:rPr>
            </w:pPr>
            <w:r>
              <w:rPr>
                <w:rFonts w:hint="eastAsia" w:ascii="宋体" w:hAnsi="宋体" w:cs="宋体"/>
                <w:sz w:val="24"/>
                <w:szCs w:val="24"/>
              </w:rPr>
              <w:t>2</w:t>
            </w:r>
          </w:p>
        </w:tc>
        <w:tc>
          <w:tcPr>
            <w:tcW w:w="2979" w:type="pct"/>
            <w:vAlign w:val="center"/>
          </w:tcPr>
          <w:p>
            <w:pPr>
              <w:jc w:val="center"/>
              <w:rPr>
                <w:rFonts w:hint="eastAsia" w:ascii="宋体" w:hAnsi="宋体" w:cs="宋体"/>
                <w:sz w:val="24"/>
                <w:szCs w:val="24"/>
              </w:rPr>
            </w:pPr>
            <w:r>
              <w:rPr>
                <w:rFonts w:hint="eastAsia" w:ascii="宋体" w:hAnsi="宋体" w:cs="宋体"/>
                <w:sz w:val="24"/>
                <w:szCs w:val="24"/>
              </w:rPr>
              <w:t>注销</w:t>
            </w:r>
          </w:p>
        </w:tc>
        <w:tc>
          <w:tcPr>
            <w:tcW w:w="1230" w:type="pct"/>
            <w:vMerge w:val="continue"/>
            <w:vAlign w:val="center"/>
          </w:tcPr>
          <w:p>
            <w:pPr>
              <w:jc w:val="center"/>
              <w:rPr>
                <w:rFonts w:hint="eastAsia"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2" w:type="pct"/>
            <w:vAlign w:val="center"/>
          </w:tcPr>
          <w:p>
            <w:pPr>
              <w:jc w:val="center"/>
              <w:rPr>
                <w:rFonts w:hint="eastAsia" w:ascii="宋体" w:hAnsi="宋体" w:cs="宋体"/>
                <w:sz w:val="24"/>
                <w:szCs w:val="24"/>
              </w:rPr>
            </w:pPr>
            <w:r>
              <w:rPr>
                <w:rFonts w:hint="eastAsia" w:ascii="宋体" w:hAnsi="宋体" w:cs="宋体"/>
                <w:sz w:val="24"/>
                <w:szCs w:val="24"/>
              </w:rPr>
              <w:t>3</w:t>
            </w:r>
          </w:p>
        </w:tc>
        <w:tc>
          <w:tcPr>
            <w:tcW w:w="2979" w:type="pct"/>
            <w:vAlign w:val="center"/>
          </w:tcPr>
          <w:p>
            <w:pPr>
              <w:jc w:val="center"/>
              <w:rPr>
                <w:rFonts w:hint="eastAsia" w:ascii="宋体" w:hAnsi="宋体" w:cs="宋体"/>
                <w:sz w:val="24"/>
                <w:szCs w:val="24"/>
              </w:rPr>
            </w:pPr>
            <w:r>
              <w:rPr>
                <w:rFonts w:hint="eastAsia" w:ascii="宋体" w:hAnsi="宋体" w:cs="宋体"/>
                <w:sz w:val="24"/>
                <w:szCs w:val="24"/>
              </w:rPr>
              <w:t>保活</w:t>
            </w:r>
          </w:p>
        </w:tc>
        <w:tc>
          <w:tcPr>
            <w:tcW w:w="1230" w:type="pct"/>
            <w:vMerge w:val="continue"/>
            <w:vAlign w:val="center"/>
          </w:tcPr>
          <w:p>
            <w:pPr>
              <w:jc w:val="center"/>
              <w:rPr>
                <w:rFonts w:hint="eastAsia"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2" w:type="pct"/>
            <w:vAlign w:val="center"/>
          </w:tcPr>
          <w:p>
            <w:pPr>
              <w:jc w:val="center"/>
              <w:rPr>
                <w:rFonts w:hint="eastAsia" w:ascii="宋体" w:hAnsi="宋体" w:cs="宋体"/>
                <w:sz w:val="24"/>
                <w:szCs w:val="24"/>
              </w:rPr>
            </w:pPr>
            <w:r>
              <w:rPr>
                <w:rFonts w:hint="eastAsia" w:ascii="宋体" w:hAnsi="宋体" w:cs="宋体"/>
                <w:sz w:val="24"/>
                <w:szCs w:val="24"/>
              </w:rPr>
              <w:t>4</w:t>
            </w:r>
          </w:p>
        </w:tc>
        <w:tc>
          <w:tcPr>
            <w:tcW w:w="2979" w:type="pct"/>
            <w:vAlign w:val="center"/>
          </w:tcPr>
          <w:p>
            <w:pPr>
              <w:jc w:val="center"/>
              <w:rPr>
                <w:rFonts w:hint="eastAsia" w:ascii="宋体" w:hAnsi="宋体" w:cs="宋体"/>
                <w:sz w:val="24"/>
                <w:szCs w:val="24"/>
              </w:rPr>
            </w:pPr>
            <w:r>
              <w:rPr>
                <w:rFonts w:hint="eastAsia" w:ascii="宋体" w:hAnsi="宋体" w:cs="宋体"/>
                <w:sz w:val="24"/>
                <w:szCs w:val="24"/>
              </w:rPr>
              <w:t>场景查询接口</w:t>
            </w:r>
          </w:p>
        </w:tc>
        <w:tc>
          <w:tcPr>
            <w:tcW w:w="1230" w:type="pct"/>
            <w:vAlign w:val="center"/>
          </w:tcPr>
          <w:p>
            <w:pPr>
              <w:jc w:val="center"/>
              <w:rPr>
                <w:rFonts w:hint="eastAsia" w:ascii="宋体" w:hAnsi="宋体" w:cs="宋体"/>
                <w:sz w:val="24"/>
                <w:szCs w:val="24"/>
              </w:rPr>
            </w:pPr>
            <w:r>
              <w:rPr>
                <w:rFonts w:hint="eastAsia" w:ascii="宋体" w:hAnsi="宋体" w:cs="宋体"/>
                <w:sz w:val="24"/>
                <w:szCs w:val="24"/>
              </w:rPr>
              <w:t>场景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2" w:type="pct"/>
            <w:vAlign w:val="center"/>
          </w:tcPr>
          <w:p>
            <w:pPr>
              <w:jc w:val="center"/>
              <w:rPr>
                <w:rFonts w:hint="eastAsia" w:ascii="宋体" w:hAnsi="宋体" w:cs="宋体"/>
                <w:sz w:val="24"/>
                <w:szCs w:val="24"/>
              </w:rPr>
            </w:pPr>
            <w:r>
              <w:rPr>
                <w:rFonts w:hint="eastAsia" w:ascii="宋体" w:hAnsi="宋体" w:cs="宋体"/>
                <w:sz w:val="24"/>
                <w:szCs w:val="24"/>
              </w:rPr>
              <w:t>5</w:t>
            </w:r>
          </w:p>
        </w:tc>
        <w:tc>
          <w:tcPr>
            <w:tcW w:w="2979" w:type="pct"/>
            <w:vAlign w:val="center"/>
          </w:tcPr>
          <w:p>
            <w:pPr>
              <w:jc w:val="center"/>
              <w:rPr>
                <w:rFonts w:hint="eastAsia" w:ascii="宋体" w:hAnsi="宋体" w:cs="宋体"/>
                <w:sz w:val="24"/>
                <w:szCs w:val="24"/>
              </w:rPr>
            </w:pPr>
            <w:r>
              <w:rPr>
                <w:rFonts w:hint="eastAsia" w:ascii="宋体" w:hAnsi="宋体" w:cs="宋体"/>
                <w:sz w:val="24"/>
                <w:szCs w:val="24"/>
              </w:rPr>
              <w:t>算力资源统计查询接口</w:t>
            </w:r>
          </w:p>
        </w:tc>
        <w:tc>
          <w:tcPr>
            <w:tcW w:w="1230" w:type="pct"/>
            <w:vAlign w:val="center"/>
          </w:tcPr>
          <w:p>
            <w:pPr>
              <w:jc w:val="center"/>
              <w:rPr>
                <w:rFonts w:hint="eastAsia" w:ascii="宋体" w:hAnsi="宋体" w:cs="宋体"/>
                <w:sz w:val="24"/>
                <w:szCs w:val="24"/>
              </w:rPr>
            </w:pPr>
            <w:r>
              <w:rPr>
                <w:rFonts w:hint="eastAsia" w:ascii="宋体" w:hAnsi="宋体" w:cs="宋体"/>
                <w:sz w:val="24"/>
                <w:szCs w:val="24"/>
              </w:rPr>
              <w:t>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2" w:type="pct"/>
            <w:vAlign w:val="center"/>
          </w:tcPr>
          <w:p>
            <w:pPr>
              <w:jc w:val="center"/>
              <w:rPr>
                <w:rFonts w:hint="eastAsia" w:ascii="宋体" w:hAnsi="宋体" w:cs="宋体"/>
                <w:sz w:val="24"/>
                <w:szCs w:val="24"/>
              </w:rPr>
            </w:pPr>
            <w:r>
              <w:rPr>
                <w:rFonts w:hint="eastAsia" w:ascii="宋体" w:hAnsi="宋体" w:cs="宋体"/>
                <w:sz w:val="24"/>
                <w:szCs w:val="24"/>
              </w:rPr>
              <w:t>6</w:t>
            </w:r>
          </w:p>
        </w:tc>
        <w:tc>
          <w:tcPr>
            <w:tcW w:w="2979" w:type="pct"/>
            <w:vAlign w:val="center"/>
          </w:tcPr>
          <w:p>
            <w:pPr>
              <w:jc w:val="center"/>
              <w:rPr>
                <w:rFonts w:hint="eastAsia" w:ascii="宋体" w:hAnsi="宋体" w:cs="宋体"/>
                <w:sz w:val="24"/>
                <w:szCs w:val="24"/>
              </w:rPr>
            </w:pPr>
            <w:r>
              <w:rPr>
                <w:rFonts w:hint="eastAsia" w:ascii="宋体" w:hAnsi="宋体" w:cs="宋体"/>
                <w:sz w:val="24"/>
                <w:szCs w:val="24"/>
              </w:rPr>
              <w:t>预警结果推送</w:t>
            </w:r>
          </w:p>
        </w:tc>
        <w:tc>
          <w:tcPr>
            <w:tcW w:w="1230" w:type="pct"/>
            <w:vMerge w:val="restart"/>
            <w:vAlign w:val="center"/>
          </w:tcPr>
          <w:p>
            <w:pPr>
              <w:jc w:val="center"/>
              <w:rPr>
                <w:rFonts w:hint="eastAsia" w:ascii="宋体" w:hAnsi="宋体" w:cs="宋体"/>
                <w:sz w:val="24"/>
                <w:szCs w:val="24"/>
              </w:rPr>
            </w:pPr>
            <w:r>
              <w:rPr>
                <w:rFonts w:hint="eastAsia" w:ascii="宋体" w:hAnsi="宋体" w:cs="宋体"/>
                <w:sz w:val="24"/>
                <w:szCs w:val="24"/>
              </w:rPr>
              <w:t>预警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2" w:type="pct"/>
            <w:vAlign w:val="center"/>
          </w:tcPr>
          <w:p>
            <w:pPr>
              <w:jc w:val="center"/>
              <w:rPr>
                <w:rFonts w:hint="eastAsia" w:ascii="宋体" w:hAnsi="宋体" w:cs="宋体"/>
                <w:sz w:val="24"/>
                <w:szCs w:val="24"/>
              </w:rPr>
            </w:pPr>
            <w:r>
              <w:rPr>
                <w:rFonts w:hint="eastAsia" w:ascii="宋体" w:hAnsi="宋体" w:cs="宋体"/>
                <w:sz w:val="24"/>
                <w:szCs w:val="24"/>
              </w:rPr>
              <w:t>7</w:t>
            </w:r>
          </w:p>
        </w:tc>
        <w:tc>
          <w:tcPr>
            <w:tcW w:w="2979" w:type="pct"/>
            <w:vAlign w:val="center"/>
          </w:tcPr>
          <w:p>
            <w:pPr>
              <w:jc w:val="center"/>
              <w:rPr>
                <w:rFonts w:hint="eastAsia" w:ascii="宋体" w:hAnsi="宋体" w:cs="宋体"/>
                <w:sz w:val="24"/>
                <w:szCs w:val="24"/>
              </w:rPr>
            </w:pPr>
            <w:r>
              <w:rPr>
                <w:rFonts w:hint="eastAsia" w:ascii="宋体" w:hAnsi="宋体" w:cs="宋体"/>
                <w:sz w:val="24"/>
                <w:szCs w:val="24"/>
              </w:rPr>
              <w:t>预警核处反馈</w:t>
            </w:r>
          </w:p>
        </w:tc>
        <w:tc>
          <w:tcPr>
            <w:tcW w:w="1230" w:type="pct"/>
            <w:vMerge w:val="continue"/>
            <w:vAlign w:val="center"/>
          </w:tcPr>
          <w:p>
            <w:pPr>
              <w:jc w:val="center"/>
              <w:rPr>
                <w:rFonts w:hint="eastAsia"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2" w:type="pct"/>
            <w:vAlign w:val="center"/>
          </w:tcPr>
          <w:p>
            <w:pPr>
              <w:jc w:val="center"/>
              <w:rPr>
                <w:rFonts w:hint="eastAsia" w:ascii="宋体" w:hAnsi="宋体" w:cs="宋体"/>
                <w:sz w:val="24"/>
                <w:szCs w:val="24"/>
              </w:rPr>
            </w:pPr>
            <w:r>
              <w:rPr>
                <w:rFonts w:hint="eastAsia" w:ascii="宋体" w:hAnsi="宋体" w:cs="宋体"/>
                <w:sz w:val="24"/>
                <w:szCs w:val="24"/>
              </w:rPr>
              <w:t>8</w:t>
            </w:r>
          </w:p>
        </w:tc>
        <w:tc>
          <w:tcPr>
            <w:tcW w:w="2979" w:type="pct"/>
            <w:vAlign w:val="center"/>
          </w:tcPr>
          <w:p>
            <w:pPr>
              <w:jc w:val="center"/>
              <w:rPr>
                <w:rFonts w:hint="eastAsia" w:ascii="宋体" w:hAnsi="宋体" w:cs="宋体"/>
                <w:sz w:val="24"/>
                <w:szCs w:val="24"/>
              </w:rPr>
            </w:pPr>
            <w:r>
              <w:rPr>
                <w:rFonts w:hint="eastAsia" w:ascii="宋体" w:hAnsi="宋体" w:cs="宋体"/>
                <w:sz w:val="24"/>
                <w:szCs w:val="24"/>
              </w:rPr>
              <w:t>语义分析任务管理</w:t>
            </w:r>
          </w:p>
        </w:tc>
        <w:tc>
          <w:tcPr>
            <w:tcW w:w="1230" w:type="pct"/>
            <w:vMerge w:val="restart"/>
            <w:vAlign w:val="center"/>
          </w:tcPr>
          <w:p>
            <w:pPr>
              <w:jc w:val="center"/>
              <w:rPr>
                <w:rFonts w:hint="eastAsia" w:ascii="宋体" w:hAnsi="宋体" w:cs="宋体"/>
                <w:sz w:val="24"/>
                <w:szCs w:val="24"/>
              </w:rPr>
            </w:pPr>
            <w:r>
              <w:rPr>
                <w:rFonts w:hint="eastAsia" w:ascii="宋体" w:hAnsi="宋体" w:cs="宋体"/>
                <w:sz w:val="24"/>
                <w:szCs w:val="24"/>
              </w:rPr>
              <w:t>检索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2" w:type="pct"/>
            <w:vAlign w:val="center"/>
          </w:tcPr>
          <w:p>
            <w:pPr>
              <w:jc w:val="center"/>
              <w:rPr>
                <w:rFonts w:hint="eastAsia" w:ascii="宋体" w:hAnsi="宋体" w:cs="宋体"/>
                <w:sz w:val="24"/>
                <w:szCs w:val="24"/>
              </w:rPr>
            </w:pPr>
            <w:r>
              <w:rPr>
                <w:rFonts w:hint="eastAsia" w:ascii="宋体" w:hAnsi="宋体" w:cs="宋体"/>
                <w:sz w:val="24"/>
                <w:szCs w:val="24"/>
              </w:rPr>
              <w:t>9</w:t>
            </w:r>
          </w:p>
        </w:tc>
        <w:tc>
          <w:tcPr>
            <w:tcW w:w="2979" w:type="pct"/>
            <w:vAlign w:val="center"/>
          </w:tcPr>
          <w:p>
            <w:pPr>
              <w:jc w:val="center"/>
              <w:rPr>
                <w:rFonts w:hint="eastAsia" w:ascii="宋体" w:hAnsi="宋体" w:cs="宋体"/>
                <w:sz w:val="24"/>
                <w:szCs w:val="24"/>
              </w:rPr>
            </w:pPr>
            <w:r>
              <w:rPr>
                <w:rFonts w:hint="eastAsia" w:ascii="宋体" w:hAnsi="宋体" w:cs="宋体"/>
                <w:sz w:val="24"/>
                <w:szCs w:val="24"/>
              </w:rPr>
              <w:t>语义任务状态查询</w:t>
            </w:r>
          </w:p>
        </w:tc>
        <w:tc>
          <w:tcPr>
            <w:tcW w:w="1230" w:type="pct"/>
            <w:vMerge w:val="continue"/>
            <w:vAlign w:val="center"/>
          </w:tcPr>
          <w:p>
            <w:pPr>
              <w:jc w:val="center"/>
              <w:rPr>
                <w:rFonts w:hint="eastAsia"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2" w:type="pct"/>
            <w:vAlign w:val="center"/>
          </w:tcPr>
          <w:p>
            <w:pPr>
              <w:jc w:val="center"/>
              <w:rPr>
                <w:rFonts w:hint="eastAsia" w:ascii="宋体" w:hAnsi="宋体" w:cs="宋体"/>
                <w:sz w:val="24"/>
                <w:szCs w:val="24"/>
              </w:rPr>
            </w:pPr>
            <w:r>
              <w:rPr>
                <w:rFonts w:hint="eastAsia" w:ascii="宋体" w:hAnsi="宋体" w:cs="宋体"/>
                <w:sz w:val="24"/>
                <w:szCs w:val="24"/>
              </w:rPr>
              <w:t>10</w:t>
            </w:r>
          </w:p>
        </w:tc>
        <w:tc>
          <w:tcPr>
            <w:tcW w:w="2979" w:type="pct"/>
            <w:vAlign w:val="center"/>
          </w:tcPr>
          <w:p>
            <w:pPr>
              <w:jc w:val="center"/>
              <w:rPr>
                <w:rFonts w:hint="eastAsia" w:ascii="宋体" w:hAnsi="宋体" w:cs="宋体"/>
                <w:sz w:val="24"/>
                <w:szCs w:val="24"/>
              </w:rPr>
            </w:pPr>
            <w:r>
              <w:rPr>
                <w:rFonts w:hint="eastAsia" w:ascii="宋体" w:hAnsi="宋体" w:cs="宋体"/>
                <w:sz w:val="24"/>
                <w:szCs w:val="24"/>
              </w:rPr>
              <w:t>语义检索同步接口</w:t>
            </w:r>
          </w:p>
        </w:tc>
        <w:tc>
          <w:tcPr>
            <w:tcW w:w="1230" w:type="pct"/>
            <w:vMerge w:val="continue"/>
            <w:vAlign w:val="center"/>
          </w:tcPr>
          <w:p>
            <w:pPr>
              <w:jc w:val="center"/>
              <w:rPr>
                <w:rFonts w:hint="eastAsia"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2" w:type="pct"/>
            <w:vAlign w:val="center"/>
          </w:tcPr>
          <w:p>
            <w:pPr>
              <w:jc w:val="center"/>
              <w:rPr>
                <w:rFonts w:hint="eastAsia" w:ascii="宋体" w:hAnsi="宋体" w:cs="宋体"/>
                <w:sz w:val="24"/>
                <w:szCs w:val="24"/>
              </w:rPr>
            </w:pPr>
            <w:r>
              <w:rPr>
                <w:rFonts w:hint="eastAsia" w:ascii="宋体" w:hAnsi="宋体" w:cs="宋体"/>
                <w:sz w:val="24"/>
                <w:szCs w:val="24"/>
              </w:rPr>
              <w:t>11</w:t>
            </w:r>
          </w:p>
        </w:tc>
        <w:tc>
          <w:tcPr>
            <w:tcW w:w="2979" w:type="pct"/>
            <w:vAlign w:val="center"/>
          </w:tcPr>
          <w:p>
            <w:pPr>
              <w:jc w:val="center"/>
              <w:rPr>
                <w:rFonts w:hint="eastAsia" w:ascii="宋体" w:hAnsi="宋体" w:cs="宋体"/>
                <w:sz w:val="24"/>
                <w:szCs w:val="24"/>
              </w:rPr>
            </w:pPr>
            <w:r>
              <w:rPr>
                <w:rFonts w:hint="eastAsia" w:ascii="宋体" w:hAnsi="宋体" w:cs="宋体"/>
                <w:sz w:val="24"/>
                <w:szCs w:val="24"/>
              </w:rPr>
              <w:t>标注素材接口</w:t>
            </w:r>
          </w:p>
        </w:tc>
        <w:tc>
          <w:tcPr>
            <w:tcW w:w="1230" w:type="pct"/>
            <w:vMerge w:val="restart"/>
            <w:vAlign w:val="center"/>
          </w:tcPr>
          <w:p>
            <w:pPr>
              <w:jc w:val="center"/>
              <w:rPr>
                <w:rFonts w:hint="eastAsia" w:ascii="宋体" w:hAnsi="宋体" w:cs="宋体"/>
                <w:sz w:val="24"/>
                <w:szCs w:val="24"/>
              </w:rPr>
            </w:pPr>
            <w:r>
              <w:rPr>
                <w:rFonts w:hint="eastAsia" w:ascii="宋体" w:hAnsi="宋体" w:cs="宋体"/>
                <w:sz w:val="24"/>
                <w:szCs w:val="24"/>
              </w:rPr>
              <w:t>训练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2" w:type="pct"/>
            <w:vAlign w:val="center"/>
          </w:tcPr>
          <w:p>
            <w:pPr>
              <w:jc w:val="center"/>
              <w:rPr>
                <w:rFonts w:hint="eastAsia" w:ascii="宋体" w:hAnsi="宋体" w:cs="宋体"/>
                <w:sz w:val="24"/>
                <w:szCs w:val="24"/>
              </w:rPr>
            </w:pPr>
            <w:r>
              <w:rPr>
                <w:rFonts w:hint="eastAsia" w:ascii="宋体" w:hAnsi="宋体" w:cs="宋体"/>
                <w:sz w:val="24"/>
                <w:szCs w:val="24"/>
              </w:rPr>
              <w:t>12</w:t>
            </w:r>
          </w:p>
        </w:tc>
        <w:tc>
          <w:tcPr>
            <w:tcW w:w="2979" w:type="pct"/>
            <w:vAlign w:val="center"/>
          </w:tcPr>
          <w:p>
            <w:pPr>
              <w:jc w:val="center"/>
              <w:rPr>
                <w:rFonts w:hint="eastAsia" w:ascii="宋体" w:hAnsi="宋体" w:cs="宋体"/>
                <w:sz w:val="24"/>
                <w:szCs w:val="24"/>
              </w:rPr>
            </w:pPr>
            <w:r>
              <w:rPr>
                <w:rFonts w:hint="eastAsia" w:ascii="宋体" w:hAnsi="宋体" w:cs="宋体"/>
                <w:sz w:val="24"/>
                <w:szCs w:val="24"/>
              </w:rPr>
              <w:t>创建微训练任务接口</w:t>
            </w:r>
          </w:p>
        </w:tc>
        <w:tc>
          <w:tcPr>
            <w:tcW w:w="1230" w:type="pct"/>
            <w:vMerge w:val="continue"/>
            <w:vAlign w:val="center"/>
          </w:tcPr>
          <w:p>
            <w:pPr>
              <w:jc w:val="center"/>
              <w:rPr>
                <w:rFonts w:hint="eastAsia"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2" w:type="pct"/>
            <w:vAlign w:val="center"/>
          </w:tcPr>
          <w:p>
            <w:pPr>
              <w:jc w:val="center"/>
              <w:rPr>
                <w:rFonts w:hint="eastAsia" w:ascii="宋体" w:hAnsi="宋体" w:cs="宋体"/>
                <w:sz w:val="24"/>
                <w:szCs w:val="24"/>
              </w:rPr>
            </w:pPr>
            <w:r>
              <w:rPr>
                <w:rFonts w:hint="eastAsia" w:ascii="宋体" w:hAnsi="宋体" w:cs="宋体"/>
                <w:sz w:val="24"/>
                <w:szCs w:val="24"/>
              </w:rPr>
              <w:t>13</w:t>
            </w:r>
          </w:p>
        </w:tc>
        <w:tc>
          <w:tcPr>
            <w:tcW w:w="2979" w:type="pct"/>
            <w:vAlign w:val="center"/>
          </w:tcPr>
          <w:p>
            <w:pPr>
              <w:jc w:val="center"/>
              <w:rPr>
                <w:rFonts w:hint="eastAsia" w:ascii="宋体" w:hAnsi="宋体" w:cs="宋体"/>
                <w:sz w:val="24"/>
                <w:szCs w:val="24"/>
              </w:rPr>
            </w:pPr>
            <w:r>
              <w:rPr>
                <w:rFonts w:hint="eastAsia" w:ascii="宋体" w:hAnsi="宋体" w:cs="宋体"/>
                <w:sz w:val="24"/>
                <w:szCs w:val="24"/>
              </w:rPr>
              <w:t>查询微训练任务状态及进度接口</w:t>
            </w:r>
          </w:p>
        </w:tc>
        <w:tc>
          <w:tcPr>
            <w:tcW w:w="1230" w:type="pct"/>
            <w:vMerge w:val="continue"/>
            <w:vAlign w:val="center"/>
          </w:tcPr>
          <w:p>
            <w:pPr>
              <w:jc w:val="center"/>
              <w:rPr>
                <w:rFonts w:hint="eastAsia"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2" w:type="pct"/>
            <w:vAlign w:val="center"/>
          </w:tcPr>
          <w:p>
            <w:pPr>
              <w:jc w:val="center"/>
              <w:rPr>
                <w:rFonts w:hint="eastAsia" w:ascii="宋体" w:hAnsi="宋体" w:cs="宋体"/>
                <w:sz w:val="24"/>
                <w:szCs w:val="24"/>
              </w:rPr>
            </w:pPr>
            <w:r>
              <w:rPr>
                <w:rFonts w:hint="eastAsia" w:ascii="宋体" w:hAnsi="宋体" w:cs="宋体"/>
                <w:sz w:val="24"/>
                <w:szCs w:val="24"/>
              </w:rPr>
              <w:t>14</w:t>
            </w:r>
          </w:p>
        </w:tc>
        <w:tc>
          <w:tcPr>
            <w:tcW w:w="2979" w:type="pct"/>
            <w:vAlign w:val="center"/>
          </w:tcPr>
          <w:p>
            <w:pPr>
              <w:jc w:val="center"/>
              <w:rPr>
                <w:rFonts w:hint="eastAsia" w:ascii="宋体" w:hAnsi="宋体" w:cs="宋体"/>
                <w:sz w:val="24"/>
                <w:szCs w:val="24"/>
              </w:rPr>
            </w:pPr>
            <w:r>
              <w:rPr>
                <w:rFonts w:hint="eastAsia" w:ascii="宋体" w:hAnsi="宋体" w:cs="宋体"/>
                <w:sz w:val="24"/>
                <w:szCs w:val="24"/>
              </w:rPr>
              <w:t>采集设备查询接口</w:t>
            </w:r>
          </w:p>
        </w:tc>
        <w:tc>
          <w:tcPr>
            <w:tcW w:w="1230" w:type="pct"/>
            <w:vAlign w:val="center"/>
          </w:tcPr>
          <w:p>
            <w:pPr>
              <w:jc w:val="center"/>
              <w:rPr>
                <w:rFonts w:hint="eastAsia" w:ascii="宋体" w:hAnsi="宋体" w:cs="宋体"/>
                <w:sz w:val="24"/>
                <w:szCs w:val="24"/>
              </w:rPr>
            </w:pPr>
            <w:r>
              <w:rPr>
                <w:rFonts w:hint="eastAsia" w:ascii="宋体" w:hAnsi="宋体" w:cs="宋体"/>
                <w:sz w:val="24"/>
                <w:szCs w:val="24"/>
              </w:rPr>
              <w:t>设备</w:t>
            </w:r>
          </w:p>
        </w:tc>
      </w:tr>
    </w:tbl>
    <w:p>
      <w:pPr>
        <w:rPr>
          <w:rFonts w:hint="eastAsia" w:ascii="宋体" w:hAnsi="宋体" w:cs="宋体"/>
          <w:sz w:val="24"/>
          <w:szCs w:val="24"/>
        </w:rPr>
      </w:pPr>
    </w:p>
    <w:p>
      <w:pPr>
        <w:ind w:firstLine="480"/>
        <w:rPr>
          <w:rFonts w:hint="eastAsia" w:ascii="宋体" w:hAnsi="宋体" w:cs="宋体"/>
          <w:sz w:val="24"/>
          <w:szCs w:val="24"/>
        </w:rPr>
      </w:pPr>
      <w:r>
        <w:rPr>
          <w:rFonts w:hint="eastAsia" w:ascii="宋体" w:hAnsi="宋体" w:cs="宋体"/>
          <w:sz w:val="24"/>
          <w:szCs w:val="24"/>
        </w:rPr>
        <w:t>（2）双网级联</w:t>
      </w:r>
    </w:p>
    <w:tbl>
      <w:tblPr>
        <w:tblStyle w:val="28"/>
        <w:tblW w:w="43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93"/>
        <w:gridCol w:w="4279"/>
        <w:gridCol w:w="1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2" w:type="pct"/>
            <w:shd w:val="clear" w:color="auto" w:fill="D9D9D9"/>
            <w:vAlign w:val="center"/>
          </w:tcPr>
          <w:p>
            <w:pPr>
              <w:jc w:val="center"/>
              <w:rPr>
                <w:rFonts w:hint="eastAsia" w:ascii="宋体" w:hAnsi="宋体" w:cs="宋体"/>
                <w:sz w:val="24"/>
                <w:szCs w:val="24"/>
              </w:rPr>
            </w:pPr>
            <w:r>
              <w:rPr>
                <w:rFonts w:hint="eastAsia" w:ascii="宋体" w:hAnsi="宋体" w:cs="宋体"/>
                <w:sz w:val="24"/>
                <w:szCs w:val="24"/>
              </w:rPr>
              <w:t>序号</w:t>
            </w:r>
          </w:p>
        </w:tc>
        <w:tc>
          <w:tcPr>
            <w:tcW w:w="2983" w:type="pct"/>
            <w:shd w:val="clear" w:color="auto" w:fill="D9D9D9"/>
            <w:vAlign w:val="center"/>
          </w:tcPr>
          <w:p>
            <w:pPr>
              <w:jc w:val="center"/>
              <w:rPr>
                <w:rFonts w:hint="eastAsia" w:ascii="宋体" w:hAnsi="宋体" w:cs="宋体"/>
                <w:sz w:val="24"/>
                <w:szCs w:val="24"/>
              </w:rPr>
            </w:pPr>
            <w:r>
              <w:rPr>
                <w:rFonts w:hint="eastAsia" w:ascii="宋体" w:hAnsi="宋体" w:cs="宋体"/>
                <w:sz w:val="24"/>
                <w:szCs w:val="24"/>
              </w:rPr>
              <w:t>说明</w:t>
            </w:r>
          </w:p>
        </w:tc>
        <w:tc>
          <w:tcPr>
            <w:tcW w:w="1325" w:type="pct"/>
            <w:shd w:val="clear" w:color="auto" w:fill="D9D9D9"/>
            <w:vAlign w:val="center"/>
          </w:tcPr>
          <w:p>
            <w:pPr>
              <w:jc w:val="center"/>
              <w:rPr>
                <w:rFonts w:hint="eastAsia" w:ascii="宋体" w:hAnsi="宋体" w:cs="宋体"/>
                <w:sz w:val="24"/>
                <w:szCs w:val="24"/>
              </w:rPr>
            </w:pPr>
            <w:r>
              <w:rPr>
                <w:rFonts w:hint="eastAsia" w:ascii="宋体" w:hAnsi="宋体" w:cs="宋体"/>
                <w:sz w:val="24"/>
                <w:szCs w:val="24"/>
              </w:rPr>
              <w:t>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2" w:type="pct"/>
            <w:vAlign w:val="center"/>
          </w:tcPr>
          <w:p>
            <w:pPr>
              <w:jc w:val="center"/>
              <w:rPr>
                <w:rFonts w:hint="eastAsia" w:ascii="宋体" w:hAnsi="宋体" w:cs="宋体"/>
                <w:sz w:val="24"/>
                <w:szCs w:val="24"/>
              </w:rPr>
            </w:pPr>
            <w:r>
              <w:rPr>
                <w:rFonts w:hint="eastAsia" w:ascii="宋体" w:hAnsi="宋体" w:cs="宋体"/>
                <w:sz w:val="24"/>
                <w:szCs w:val="24"/>
              </w:rPr>
              <w:t>1</w:t>
            </w:r>
          </w:p>
        </w:tc>
        <w:tc>
          <w:tcPr>
            <w:tcW w:w="2983" w:type="pct"/>
            <w:vAlign w:val="center"/>
          </w:tcPr>
          <w:p>
            <w:pPr>
              <w:jc w:val="center"/>
              <w:rPr>
                <w:rFonts w:hint="eastAsia" w:ascii="宋体" w:hAnsi="宋体" w:cs="宋体"/>
                <w:sz w:val="24"/>
                <w:szCs w:val="24"/>
              </w:rPr>
            </w:pPr>
            <w:r>
              <w:rPr>
                <w:rFonts w:hint="eastAsia" w:ascii="宋体" w:hAnsi="宋体" w:cs="宋体"/>
                <w:sz w:val="24"/>
                <w:szCs w:val="24"/>
              </w:rPr>
              <w:t>预警任务创建</w:t>
            </w:r>
          </w:p>
        </w:tc>
        <w:tc>
          <w:tcPr>
            <w:tcW w:w="1325" w:type="pct"/>
            <w:vMerge w:val="restart"/>
            <w:vAlign w:val="center"/>
          </w:tcPr>
          <w:p>
            <w:pPr>
              <w:jc w:val="center"/>
              <w:rPr>
                <w:rFonts w:hint="eastAsia" w:ascii="宋体" w:hAnsi="宋体" w:cs="宋体"/>
                <w:sz w:val="24"/>
                <w:szCs w:val="24"/>
              </w:rPr>
            </w:pPr>
            <w:r>
              <w:rPr>
                <w:rFonts w:hint="eastAsia" w:ascii="宋体" w:hAnsi="宋体" w:cs="宋体"/>
                <w:sz w:val="24"/>
                <w:szCs w:val="24"/>
              </w:rPr>
              <w:t>预警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2" w:type="pct"/>
            <w:vAlign w:val="center"/>
          </w:tcPr>
          <w:p>
            <w:pPr>
              <w:jc w:val="center"/>
              <w:rPr>
                <w:rFonts w:hint="eastAsia" w:ascii="宋体" w:hAnsi="宋体" w:cs="宋体"/>
                <w:sz w:val="24"/>
                <w:szCs w:val="24"/>
              </w:rPr>
            </w:pPr>
            <w:r>
              <w:rPr>
                <w:rFonts w:hint="eastAsia" w:ascii="宋体" w:hAnsi="宋体" w:cs="宋体"/>
                <w:sz w:val="24"/>
                <w:szCs w:val="24"/>
              </w:rPr>
              <w:t>2</w:t>
            </w:r>
          </w:p>
        </w:tc>
        <w:tc>
          <w:tcPr>
            <w:tcW w:w="2983" w:type="pct"/>
            <w:vAlign w:val="center"/>
          </w:tcPr>
          <w:p>
            <w:pPr>
              <w:jc w:val="center"/>
              <w:rPr>
                <w:rFonts w:hint="eastAsia" w:ascii="宋体" w:hAnsi="宋体" w:cs="宋体"/>
                <w:sz w:val="24"/>
                <w:szCs w:val="24"/>
              </w:rPr>
            </w:pPr>
            <w:r>
              <w:rPr>
                <w:rFonts w:hint="eastAsia" w:ascii="宋体" w:hAnsi="宋体" w:cs="宋体"/>
                <w:sz w:val="24"/>
                <w:szCs w:val="24"/>
              </w:rPr>
              <w:t>预警结果推送</w:t>
            </w:r>
          </w:p>
        </w:tc>
        <w:tc>
          <w:tcPr>
            <w:tcW w:w="1325" w:type="pct"/>
            <w:vMerge w:val="continue"/>
            <w:vAlign w:val="center"/>
          </w:tcPr>
          <w:p>
            <w:pPr>
              <w:jc w:val="center"/>
              <w:rPr>
                <w:rFonts w:hint="eastAsia"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2" w:type="pct"/>
            <w:vAlign w:val="center"/>
          </w:tcPr>
          <w:p>
            <w:pPr>
              <w:jc w:val="center"/>
              <w:rPr>
                <w:rFonts w:hint="eastAsia" w:ascii="宋体" w:hAnsi="宋体" w:cs="宋体"/>
                <w:sz w:val="24"/>
                <w:szCs w:val="24"/>
              </w:rPr>
            </w:pPr>
            <w:r>
              <w:rPr>
                <w:rFonts w:hint="eastAsia" w:ascii="宋体" w:hAnsi="宋体" w:cs="宋体"/>
                <w:sz w:val="24"/>
                <w:szCs w:val="24"/>
              </w:rPr>
              <w:t>3</w:t>
            </w:r>
          </w:p>
        </w:tc>
        <w:tc>
          <w:tcPr>
            <w:tcW w:w="2983" w:type="pct"/>
            <w:vAlign w:val="center"/>
          </w:tcPr>
          <w:p>
            <w:pPr>
              <w:jc w:val="center"/>
              <w:rPr>
                <w:rFonts w:hint="eastAsia" w:ascii="宋体" w:hAnsi="宋体" w:cs="宋体"/>
                <w:sz w:val="24"/>
                <w:szCs w:val="24"/>
              </w:rPr>
            </w:pPr>
            <w:r>
              <w:rPr>
                <w:rFonts w:hint="eastAsia" w:ascii="宋体" w:hAnsi="宋体" w:cs="宋体"/>
                <w:sz w:val="24"/>
                <w:szCs w:val="24"/>
              </w:rPr>
              <w:t>预警核处反馈</w:t>
            </w:r>
          </w:p>
        </w:tc>
        <w:tc>
          <w:tcPr>
            <w:tcW w:w="1325" w:type="pct"/>
            <w:vMerge w:val="continue"/>
            <w:vAlign w:val="center"/>
          </w:tcPr>
          <w:p>
            <w:pPr>
              <w:jc w:val="center"/>
              <w:rPr>
                <w:rFonts w:hint="eastAsia"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2" w:type="pct"/>
            <w:vAlign w:val="center"/>
          </w:tcPr>
          <w:p>
            <w:pPr>
              <w:jc w:val="center"/>
              <w:rPr>
                <w:rFonts w:hint="eastAsia" w:ascii="宋体" w:hAnsi="宋体" w:cs="宋体"/>
                <w:sz w:val="24"/>
                <w:szCs w:val="24"/>
              </w:rPr>
            </w:pPr>
            <w:r>
              <w:rPr>
                <w:rFonts w:hint="eastAsia" w:ascii="宋体" w:hAnsi="宋体" w:cs="宋体"/>
                <w:sz w:val="24"/>
                <w:szCs w:val="24"/>
              </w:rPr>
              <w:t>4</w:t>
            </w:r>
          </w:p>
        </w:tc>
        <w:tc>
          <w:tcPr>
            <w:tcW w:w="2983" w:type="pct"/>
            <w:vAlign w:val="center"/>
          </w:tcPr>
          <w:p>
            <w:pPr>
              <w:jc w:val="center"/>
              <w:rPr>
                <w:rFonts w:hint="eastAsia" w:ascii="宋体" w:hAnsi="宋体" w:cs="宋体"/>
                <w:sz w:val="24"/>
                <w:szCs w:val="24"/>
              </w:rPr>
            </w:pPr>
            <w:r>
              <w:rPr>
                <w:rFonts w:hint="eastAsia" w:ascii="宋体" w:hAnsi="宋体" w:cs="宋体"/>
                <w:sz w:val="24"/>
                <w:szCs w:val="24"/>
              </w:rPr>
              <w:t>语义分析任务管理</w:t>
            </w:r>
          </w:p>
        </w:tc>
        <w:tc>
          <w:tcPr>
            <w:tcW w:w="1325" w:type="pct"/>
            <w:vMerge w:val="restart"/>
            <w:vAlign w:val="center"/>
          </w:tcPr>
          <w:p>
            <w:pPr>
              <w:jc w:val="center"/>
              <w:rPr>
                <w:rFonts w:hint="eastAsia" w:ascii="宋体" w:hAnsi="宋体" w:cs="宋体"/>
                <w:sz w:val="24"/>
                <w:szCs w:val="24"/>
              </w:rPr>
            </w:pPr>
            <w:r>
              <w:rPr>
                <w:rFonts w:hint="eastAsia" w:ascii="宋体" w:hAnsi="宋体" w:cs="宋体"/>
                <w:sz w:val="24"/>
                <w:szCs w:val="24"/>
              </w:rPr>
              <w:t>检索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2" w:type="pct"/>
            <w:vAlign w:val="center"/>
          </w:tcPr>
          <w:p>
            <w:pPr>
              <w:jc w:val="center"/>
              <w:rPr>
                <w:rFonts w:hint="eastAsia" w:ascii="宋体" w:hAnsi="宋体" w:cs="宋体"/>
                <w:sz w:val="24"/>
                <w:szCs w:val="24"/>
              </w:rPr>
            </w:pPr>
            <w:r>
              <w:rPr>
                <w:rFonts w:hint="eastAsia" w:ascii="宋体" w:hAnsi="宋体" w:cs="宋体"/>
                <w:sz w:val="24"/>
                <w:szCs w:val="24"/>
              </w:rPr>
              <w:t>5</w:t>
            </w:r>
          </w:p>
        </w:tc>
        <w:tc>
          <w:tcPr>
            <w:tcW w:w="2983" w:type="pct"/>
            <w:vAlign w:val="center"/>
          </w:tcPr>
          <w:p>
            <w:pPr>
              <w:jc w:val="center"/>
              <w:rPr>
                <w:rFonts w:hint="eastAsia" w:ascii="宋体" w:hAnsi="宋体" w:cs="宋体"/>
                <w:sz w:val="24"/>
                <w:szCs w:val="24"/>
              </w:rPr>
            </w:pPr>
            <w:r>
              <w:rPr>
                <w:rFonts w:hint="eastAsia" w:ascii="宋体" w:hAnsi="宋体" w:cs="宋体"/>
                <w:sz w:val="24"/>
                <w:szCs w:val="24"/>
              </w:rPr>
              <w:t>语义任务状态查询</w:t>
            </w:r>
          </w:p>
        </w:tc>
        <w:tc>
          <w:tcPr>
            <w:tcW w:w="1325" w:type="pct"/>
            <w:vMerge w:val="continue"/>
            <w:vAlign w:val="center"/>
          </w:tcPr>
          <w:p>
            <w:pPr>
              <w:jc w:val="center"/>
              <w:rPr>
                <w:rFonts w:hint="eastAsia"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2" w:type="pct"/>
            <w:vAlign w:val="center"/>
          </w:tcPr>
          <w:p>
            <w:pPr>
              <w:jc w:val="center"/>
              <w:rPr>
                <w:rFonts w:hint="eastAsia" w:ascii="宋体" w:hAnsi="宋体" w:cs="宋体"/>
                <w:sz w:val="24"/>
                <w:szCs w:val="24"/>
              </w:rPr>
            </w:pPr>
            <w:r>
              <w:rPr>
                <w:rFonts w:hint="eastAsia" w:ascii="宋体" w:hAnsi="宋体" w:cs="宋体"/>
                <w:sz w:val="24"/>
                <w:szCs w:val="24"/>
              </w:rPr>
              <w:t>6</w:t>
            </w:r>
          </w:p>
        </w:tc>
        <w:tc>
          <w:tcPr>
            <w:tcW w:w="2983" w:type="pct"/>
            <w:vAlign w:val="center"/>
          </w:tcPr>
          <w:p>
            <w:pPr>
              <w:jc w:val="center"/>
              <w:rPr>
                <w:rFonts w:hint="eastAsia" w:ascii="宋体" w:hAnsi="宋体" w:cs="宋体"/>
                <w:sz w:val="24"/>
                <w:szCs w:val="24"/>
              </w:rPr>
            </w:pPr>
            <w:r>
              <w:rPr>
                <w:rFonts w:hint="eastAsia" w:ascii="宋体" w:hAnsi="宋体" w:cs="宋体"/>
                <w:sz w:val="24"/>
                <w:szCs w:val="24"/>
              </w:rPr>
              <w:t>语义检索同步接口</w:t>
            </w:r>
          </w:p>
        </w:tc>
        <w:tc>
          <w:tcPr>
            <w:tcW w:w="1325" w:type="pct"/>
            <w:vMerge w:val="continue"/>
            <w:vAlign w:val="center"/>
          </w:tcPr>
          <w:p>
            <w:pPr>
              <w:jc w:val="center"/>
              <w:rPr>
                <w:rFonts w:hint="eastAsia"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2" w:type="pct"/>
            <w:vAlign w:val="center"/>
          </w:tcPr>
          <w:p>
            <w:pPr>
              <w:jc w:val="center"/>
              <w:rPr>
                <w:rFonts w:hint="eastAsia" w:ascii="宋体" w:hAnsi="宋体" w:cs="宋体"/>
                <w:sz w:val="24"/>
                <w:szCs w:val="24"/>
              </w:rPr>
            </w:pPr>
            <w:r>
              <w:rPr>
                <w:rFonts w:hint="eastAsia" w:ascii="宋体" w:hAnsi="宋体" w:cs="宋体"/>
                <w:sz w:val="24"/>
                <w:szCs w:val="24"/>
              </w:rPr>
              <w:t>7</w:t>
            </w:r>
          </w:p>
        </w:tc>
        <w:tc>
          <w:tcPr>
            <w:tcW w:w="2983" w:type="pct"/>
            <w:vAlign w:val="center"/>
          </w:tcPr>
          <w:p>
            <w:pPr>
              <w:jc w:val="center"/>
              <w:rPr>
                <w:rFonts w:hint="eastAsia" w:ascii="宋体" w:hAnsi="宋体" w:cs="宋体"/>
                <w:sz w:val="24"/>
                <w:szCs w:val="24"/>
              </w:rPr>
            </w:pPr>
            <w:r>
              <w:rPr>
                <w:rFonts w:hint="eastAsia" w:ascii="宋体" w:hAnsi="宋体" w:cs="宋体"/>
                <w:sz w:val="24"/>
                <w:szCs w:val="24"/>
              </w:rPr>
              <w:t>标注素材接口</w:t>
            </w:r>
          </w:p>
        </w:tc>
        <w:tc>
          <w:tcPr>
            <w:tcW w:w="1325" w:type="pct"/>
            <w:vMerge w:val="restart"/>
            <w:vAlign w:val="center"/>
          </w:tcPr>
          <w:p>
            <w:pPr>
              <w:jc w:val="center"/>
              <w:rPr>
                <w:rFonts w:hint="eastAsia" w:ascii="宋体" w:hAnsi="宋体" w:cs="宋体"/>
                <w:sz w:val="24"/>
                <w:szCs w:val="24"/>
              </w:rPr>
            </w:pPr>
            <w:r>
              <w:rPr>
                <w:rFonts w:hint="eastAsia" w:ascii="宋体" w:hAnsi="宋体" w:cs="宋体"/>
                <w:sz w:val="24"/>
                <w:szCs w:val="24"/>
              </w:rPr>
              <w:t>训练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2" w:type="pct"/>
            <w:vAlign w:val="center"/>
          </w:tcPr>
          <w:p>
            <w:pPr>
              <w:jc w:val="center"/>
              <w:rPr>
                <w:rFonts w:hint="eastAsia" w:ascii="宋体" w:hAnsi="宋体" w:cs="宋体"/>
                <w:sz w:val="24"/>
                <w:szCs w:val="24"/>
              </w:rPr>
            </w:pPr>
            <w:r>
              <w:rPr>
                <w:rFonts w:hint="eastAsia" w:ascii="宋体" w:hAnsi="宋体" w:cs="宋体"/>
                <w:sz w:val="24"/>
                <w:szCs w:val="24"/>
              </w:rPr>
              <w:t>8</w:t>
            </w:r>
          </w:p>
        </w:tc>
        <w:tc>
          <w:tcPr>
            <w:tcW w:w="2983" w:type="pct"/>
            <w:vAlign w:val="center"/>
          </w:tcPr>
          <w:p>
            <w:pPr>
              <w:jc w:val="center"/>
              <w:rPr>
                <w:rFonts w:hint="eastAsia" w:ascii="宋体" w:hAnsi="宋体" w:cs="宋体"/>
                <w:sz w:val="24"/>
                <w:szCs w:val="24"/>
              </w:rPr>
            </w:pPr>
            <w:r>
              <w:rPr>
                <w:rFonts w:hint="eastAsia" w:ascii="宋体" w:hAnsi="宋体" w:cs="宋体"/>
                <w:sz w:val="24"/>
                <w:szCs w:val="24"/>
              </w:rPr>
              <w:t>创建微训练任务接口</w:t>
            </w:r>
          </w:p>
        </w:tc>
        <w:tc>
          <w:tcPr>
            <w:tcW w:w="1325" w:type="pct"/>
            <w:vMerge w:val="continue"/>
            <w:vAlign w:val="center"/>
          </w:tcPr>
          <w:p>
            <w:pPr>
              <w:jc w:val="center"/>
              <w:rPr>
                <w:rFonts w:hint="eastAsia"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2" w:type="pct"/>
            <w:vAlign w:val="center"/>
          </w:tcPr>
          <w:p>
            <w:pPr>
              <w:jc w:val="center"/>
              <w:rPr>
                <w:rFonts w:hint="eastAsia" w:ascii="宋体" w:hAnsi="宋体" w:cs="宋体"/>
                <w:sz w:val="24"/>
                <w:szCs w:val="24"/>
              </w:rPr>
            </w:pPr>
            <w:r>
              <w:rPr>
                <w:rFonts w:hint="eastAsia" w:ascii="宋体" w:hAnsi="宋体" w:cs="宋体"/>
                <w:sz w:val="24"/>
                <w:szCs w:val="24"/>
              </w:rPr>
              <w:t>9</w:t>
            </w:r>
          </w:p>
        </w:tc>
        <w:tc>
          <w:tcPr>
            <w:tcW w:w="2983" w:type="pct"/>
            <w:vAlign w:val="center"/>
          </w:tcPr>
          <w:p>
            <w:pPr>
              <w:jc w:val="center"/>
              <w:rPr>
                <w:rFonts w:hint="eastAsia" w:ascii="宋体" w:hAnsi="宋体" w:cs="宋体"/>
                <w:sz w:val="24"/>
                <w:szCs w:val="24"/>
              </w:rPr>
            </w:pPr>
            <w:r>
              <w:rPr>
                <w:rFonts w:hint="eastAsia" w:ascii="宋体" w:hAnsi="宋体" w:cs="宋体"/>
                <w:sz w:val="24"/>
                <w:szCs w:val="24"/>
              </w:rPr>
              <w:t>查询微训练任务状态及进度接口</w:t>
            </w:r>
          </w:p>
        </w:tc>
        <w:tc>
          <w:tcPr>
            <w:tcW w:w="1325" w:type="pct"/>
            <w:vMerge w:val="continue"/>
            <w:vAlign w:val="center"/>
          </w:tcPr>
          <w:p>
            <w:pPr>
              <w:jc w:val="center"/>
              <w:rPr>
                <w:rFonts w:hint="eastAsia"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2" w:type="pct"/>
            <w:vAlign w:val="center"/>
          </w:tcPr>
          <w:p>
            <w:pPr>
              <w:jc w:val="center"/>
              <w:rPr>
                <w:rFonts w:hint="eastAsia" w:ascii="宋体" w:hAnsi="宋体" w:cs="宋体"/>
                <w:sz w:val="24"/>
                <w:szCs w:val="24"/>
              </w:rPr>
            </w:pPr>
            <w:r>
              <w:rPr>
                <w:rFonts w:hint="eastAsia" w:ascii="宋体" w:hAnsi="宋体" w:cs="宋体"/>
                <w:sz w:val="24"/>
                <w:szCs w:val="24"/>
              </w:rPr>
              <w:t>10</w:t>
            </w:r>
          </w:p>
        </w:tc>
        <w:tc>
          <w:tcPr>
            <w:tcW w:w="2983" w:type="pct"/>
            <w:vAlign w:val="center"/>
          </w:tcPr>
          <w:p>
            <w:pPr>
              <w:jc w:val="center"/>
              <w:rPr>
                <w:rFonts w:hint="eastAsia" w:ascii="宋体" w:hAnsi="宋体" w:cs="宋体"/>
                <w:sz w:val="24"/>
                <w:szCs w:val="24"/>
              </w:rPr>
            </w:pPr>
            <w:r>
              <w:rPr>
                <w:rFonts w:hint="eastAsia" w:ascii="宋体" w:hAnsi="宋体" w:cs="宋体"/>
                <w:sz w:val="24"/>
                <w:szCs w:val="24"/>
              </w:rPr>
              <w:t>场景查询接口</w:t>
            </w:r>
          </w:p>
        </w:tc>
        <w:tc>
          <w:tcPr>
            <w:tcW w:w="1325" w:type="pct"/>
            <w:vAlign w:val="center"/>
          </w:tcPr>
          <w:p>
            <w:pPr>
              <w:jc w:val="center"/>
              <w:rPr>
                <w:rFonts w:hint="eastAsia" w:ascii="宋体" w:hAnsi="宋体" w:cs="宋体"/>
                <w:sz w:val="24"/>
                <w:szCs w:val="24"/>
              </w:rPr>
            </w:pPr>
            <w:r>
              <w:rPr>
                <w:rFonts w:hint="eastAsia" w:ascii="宋体" w:hAnsi="宋体" w:cs="宋体"/>
                <w:sz w:val="24"/>
                <w:szCs w:val="24"/>
              </w:rPr>
              <w:t>场景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2" w:type="pct"/>
            <w:vAlign w:val="center"/>
          </w:tcPr>
          <w:p>
            <w:pPr>
              <w:jc w:val="center"/>
              <w:rPr>
                <w:rFonts w:hint="eastAsia" w:ascii="宋体" w:hAnsi="宋体" w:cs="宋体"/>
                <w:sz w:val="24"/>
                <w:szCs w:val="24"/>
              </w:rPr>
            </w:pPr>
            <w:r>
              <w:rPr>
                <w:rFonts w:hint="eastAsia" w:ascii="宋体" w:hAnsi="宋体" w:cs="宋体"/>
                <w:sz w:val="24"/>
                <w:szCs w:val="24"/>
              </w:rPr>
              <w:t>11</w:t>
            </w:r>
          </w:p>
        </w:tc>
        <w:tc>
          <w:tcPr>
            <w:tcW w:w="2983" w:type="pct"/>
            <w:vAlign w:val="center"/>
          </w:tcPr>
          <w:p>
            <w:pPr>
              <w:jc w:val="center"/>
              <w:rPr>
                <w:rFonts w:hint="eastAsia" w:ascii="宋体" w:hAnsi="宋体" w:cs="宋体"/>
                <w:sz w:val="24"/>
                <w:szCs w:val="24"/>
              </w:rPr>
            </w:pPr>
            <w:r>
              <w:rPr>
                <w:rFonts w:hint="eastAsia" w:ascii="宋体" w:hAnsi="宋体" w:cs="宋体"/>
                <w:sz w:val="24"/>
                <w:szCs w:val="24"/>
              </w:rPr>
              <w:t>算力资源统计查询接口</w:t>
            </w:r>
          </w:p>
        </w:tc>
        <w:tc>
          <w:tcPr>
            <w:tcW w:w="1325" w:type="pct"/>
            <w:vAlign w:val="center"/>
          </w:tcPr>
          <w:p>
            <w:pPr>
              <w:jc w:val="center"/>
              <w:rPr>
                <w:rFonts w:hint="eastAsia" w:ascii="宋体" w:hAnsi="宋体" w:cs="宋体"/>
                <w:sz w:val="24"/>
                <w:szCs w:val="24"/>
              </w:rPr>
            </w:pPr>
            <w:r>
              <w:rPr>
                <w:rFonts w:hint="eastAsia" w:ascii="宋体" w:hAnsi="宋体" w:cs="宋体"/>
                <w:sz w:val="24"/>
                <w:szCs w:val="24"/>
              </w:rPr>
              <w:t>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2" w:type="pct"/>
            <w:vAlign w:val="center"/>
          </w:tcPr>
          <w:p>
            <w:pPr>
              <w:jc w:val="center"/>
              <w:rPr>
                <w:rFonts w:hint="eastAsia" w:ascii="宋体" w:hAnsi="宋体" w:cs="宋体"/>
                <w:sz w:val="24"/>
                <w:szCs w:val="24"/>
              </w:rPr>
            </w:pPr>
            <w:r>
              <w:rPr>
                <w:rFonts w:hint="eastAsia" w:ascii="宋体" w:hAnsi="宋体" w:cs="宋体"/>
                <w:sz w:val="24"/>
                <w:szCs w:val="24"/>
              </w:rPr>
              <w:t>12</w:t>
            </w:r>
          </w:p>
        </w:tc>
        <w:tc>
          <w:tcPr>
            <w:tcW w:w="2983" w:type="pct"/>
            <w:vAlign w:val="center"/>
          </w:tcPr>
          <w:p>
            <w:pPr>
              <w:jc w:val="center"/>
              <w:rPr>
                <w:rFonts w:hint="eastAsia" w:ascii="宋体" w:hAnsi="宋体" w:cs="宋体"/>
                <w:sz w:val="24"/>
                <w:szCs w:val="24"/>
              </w:rPr>
            </w:pPr>
            <w:r>
              <w:rPr>
                <w:rFonts w:hint="eastAsia" w:ascii="宋体" w:hAnsi="宋体" w:cs="宋体"/>
                <w:sz w:val="24"/>
                <w:szCs w:val="24"/>
              </w:rPr>
              <w:t>采集设备查询接口</w:t>
            </w:r>
          </w:p>
        </w:tc>
        <w:tc>
          <w:tcPr>
            <w:tcW w:w="1325" w:type="pct"/>
            <w:vAlign w:val="center"/>
          </w:tcPr>
          <w:p>
            <w:pPr>
              <w:jc w:val="center"/>
              <w:rPr>
                <w:rFonts w:hint="eastAsia" w:ascii="宋体" w:hAnsi="宋体" w:cs="宋体"/>
                <w:sz w:val="24"/>
                <w:szCs w:val="24"/>
              </w:rPr>
            </w:pPr>
            <w:r>
              <w:rPr>
                <w:rFonts w:hint="eastAsia" w:ascii="宋体" w:hAnsi="宋体" w:cs="宋体"/>
                <w:sz w:val="24"/>
                <w:szCs w:val="24"/>
              </w:rPr>
              <w:t>设备</w:t>
            </w:r>
          </w:p>
        </w:tc>
      </w:tr>
    </w:tbl>
    <w:p/>
    <w:p>
      <w:pPr>
        <w:ind w:firstLine="480"/>
        <w:rPr>
          <w:rFonts w:hint="eastAsia" w:ascii="宋体" w:hAnsi="宋体" w:cs="宋体"/>
          <w:sz w:val="24"/>
          <w:szCs w:val="24"/>
        </w:rPr>
      </w:pPr>
      <w:r>
        <w:rPr>
          <w:rFonts w:hint="eastAsia" w:ascii="宋体" w:hAnsi="宋体" w:cs="宋体"/>
          <w:sz w:val="24"/>
          <w:szCs w:val="24"/>
        </w:rPr>
        <w:t>（3）三方共享</w:t>
      </w:r>
    </w:p>
    <w:tbl>
      <w:tblPr>
        <w:tblStyle w:val="28"/>
        <w:tblW w:w="42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4"/>
        <w:gridCol w:w="4086"/>
        <w:gridCol w:w="19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5" w:type="pct"/>
            <w:shd w:val="clear" w:color="auto" w:fill="D9D9D9"/>
          </w:tcPr>
          <w:p>
            <w:pPr>
              <w:jc w:val="center"/>
              <w:rPr>
                <w:rFonts w:hint="eastAsia" w:ascii="宋体" w:hAnsi="宋体" w:cs="宋体"/>
                <w:sz w:val="24"/>
                <w:szCs w:val="24"/>
              </w:rPr>
            </w:pPr>
            <w:r>
              <w:rPr>
                <w:rFonts w:hint="eastAsia" w:ascii="宋体" w:hAnsi="宋体" w:cs="宋体"/>
                <w:sz w:val="24"/>
                <w:szCs w:val="24"/>
              </w:rPr>
              <w:t>序号</w:t>
            </w:r>
          </w:p>
        </w:tc>
        <w:tc>
          <w:tcPr>
            <w:tcW w:w="2865" w:type="pct"/>
            <w:shd w:val="clear" w:color="auto" w:fill="D9D9D9"/>
          </w:tcPr>
          <w:p>
            <w:pPr>
              <w:jc w:val="center"/>
              <w:rPr>
                <w:rFonts w:hint="eastAsia" w:ascii="宋体" w:hAnsi="宋体" w:cs="宋体"/>
                <w:sz w:val="24"/>
                <w:szCs w:val="24"/>
              </w:rPr>
            </w:pPr>
            <w:r>
              <w:rPr>
                <w:rFonts w:hint="eastAsia" w:ascii="宋体" w:hAnsi="宋体" w:cs="宋体"/>
                <w:sz w:val="24"/>
                <w:szCs w:val="24"/>
              </w:rPr>
              <w:t>说明</w:t>
            </w:r>
          </w:p>
        </w:tc>
        <w:tc>
          <w:tcPr>
            <w:tcW w:w="1339" w:type="pct"/>
            <w:shd w:val="clear" w:color="auto" w:fill="D9D9D9"/>
          </w:tcPr>
          <w:p>
            <w:pPr>
              <w:jc w:val="center"/>
              <w:rPr>
                <w:rFonts w:hint="eastAsia" w:ascii="宋体" w:hAnsi="宋体" w:cs="宋体"/>
                <w:sz w:val="24"/>
                <w:szCs w:val="24"/>
              </w:rPr>
            </w:pPr>
            <w:r>
              <w:rPr>
                <w:rFonts w:hint="eastAsia" w:ascii="宋体" w:hAnsi="宋体" w:cs="宋体"/>
                <w:sz w:val="24"/>
                <w:szCs w:val="24"/>
              </w:rPr>
              <w:t>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5" w:type="pct"/>
          </w:tcPr>
          <w:p>
            <w:pPr>
              <w:jc w:val="center"/>
              <w:rPr>
                <w:rFonts w:hint="eastAsia" w:ascii="宋体" w:hAnsi="宋体" w:cs="宋体"/>
                <w:sz w:val="24"/>
                <w:szCs w:val="24"/>
              </w:rPr>
            </w:pPr>
            <w:r>
              <w:rPr>
                <w:rFonts w:hint="eastAsia" w:ascii="宋体" w:hAnsi="宋体" w:cs="宋体"/>
                <w:sz w:val="24"/>
                <w:szCs w:val="24"/>
              </w:rPr>
              <w:t>1</w:t>
            </w:r>
          </w:p>
        </w:tc>
        <w:tc>
          <w:tcPr>
            <w:tcW w:w="2865" w:type="pct"/>
          </w:tcPr>
          <w:p>
            <w:pPr>
              <w:jc w:val="center"/>
              <w:rPr>
                <w:rFonts w:hint="eastAsia" w:ascii="宋体" w:hAnsi="宋体" w:cs="宋体"/>
                <w:sz w:val="24"/>
                <w:szCs w:val="24"/>
              </w:rPr>
            </w:pPr>
            <w:r>
              <w:rPr>
                <w:rFonts w:hint="eastAsia" w:ascii="宋体" w:hAnsi="宋体" w:cs="宋体"/>
                <w:sz w:val="24"/>
                <w:szCs w:val="24"/>
              </w:rPr>
              <w:t>预警结果推送</w:t>
            </w:r>
          </w:p>
        </w:tc>
        <w:tc>
          <w:tcPr>
            <w:tcW w:w="1339" w:type="pct"/>
            <w:vMerge w:val="restart"/>
            <w:vAlign w:val="center"/>
          </w:tcPr>
          <w:p>
            <w:pPr>
              <w:jc w:val="center"/>
              <w:rPr>
                <w:rFonts w:hint="eastAsia" w:ascii="宋体" w:hAnsi="宋体" w:cs="宋体"/>
                <w:sz w:val="24"/>
                <w:szCs w:val="24"/>
              </w:rPr>
            </w:pPr>
            <w:r>
              <w:rPr>
                <w:rFonts w:hint="eastAsia" w:ascii="宋体" w:hAnsi="宋体" w:cs="宋体"/>
                <w:sz w:val="24"/>
                <w:szCs w:val="24"/>
              </w:rPr>
              <w:t>预警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95" w:type="pct"/>
          </w:tcPr>
          <w:p>
            <w:pPr>
              <w:jc w:val="center"/>
              <w:rPr>
                <w:rFonts w:hint="eastAsia" w:ascii="宋体" w:hAnsi="宋体" w:cs="宋体"/>
                <w:sz w:val="24"/>
                <w:szCs w:val="24"/>
              </w:rPr>
            </w:pPr>
            <w:r>
              <w:rPr>
                <w:rFonts w:hint="eastAsia" w:ascii="宋体" w:hAnsi="宋体" w:cs="宋体"/>
                <w:sz w:val="24"/>
                <w:szCs w:val="24"/>
              </w:rPr>
              <w:t>2</w:t>
            </w:r>
          </w:p>
        </w:tc>
        <w:tc>
          <w:tcPr>
            <w:tcW w:w="2865" w:type="pct"/>
          </w:tcPr>
          <w:p>
            <w:pPr>
              <w:jc w:val="center"/>
              <w:rPr>
                <w:rFonts w:hint="eastAsia" w:ascii="宋体" w:hAnsi="宋体" w:cs="宋体"/>
                <w:sz w:val="24"/>
                <w:szCs w:val="24"/>
              </w:rPr>
            </w:pPr>
            <w:r>
              <w:rPr>
                <w:rFonts w:hint="eastAsia" w:ascii="宋体" w:hAnsi="宋体" w:cs="宋体"/>
                <w:sz w:val="24"/>
                <w:szCs w:val="24"/>
              </w:rPr>
              <w:t>预警核处反馈</w:t>
            </w:r>
          </w:p>
        </w:tc>
        <w:tc>
          <w:tcPr>
            <w:tcW w:w="1339" w:type="pct"/>
            <w:vMerge w:val="continue"/>
            <w:vAlign w:val="center"/>
          </w:tcPr>
          <w:p>
            <w:pPr>
              <w:jc w:val="center"/>
            </w:pPr>
          </w:p>
        </w:tc>
      </w:tr>
    </w:tbl>
    <w:p>
      <w:pPr>
        <w:ind w:firstLine="480"/>
      </w:pPr>
    </w:p>
    <w:p>
      <w:pPr>
        <w:pStyle w:val="5"/>
        <w:rPr>
          <w:rFonts w:hint="eastAsia"/>
        </w:rPr>
      </w:pPr>
      <w:r>
        <w:rPr>
          <w:rFonts w:hint="eastAsia"/>
        </w:rPr>
        <w:t>接口模块功能指标需求</w:t>
      </w:r>
    </w:p>
    <w:p>
      <w:pPr>
        <w:pStyle w:val="3"/>
        <w:ind w:firstLine="480"/>
        <w:rPr>
          <w:rFonts w:hint="eastAsia"/>
        </w:rPr>
      </w:pPr>
      <w:r>
        <w:rPr>
          <w:rFonts w:hint="eastAsia"/>
        </w:rPr>
        <w:t>（1）管理接口</w:t>
      </w:r>
    </w:p>
    <w:p>
      <w:pPr>
        <w:pStyle w:val="3"/>
        <w:ind w:firstLine="480"/>
        <w:rPr>
          <w:rFonts w:hint="eastAsia"/>
        </w:rPr>
      </w:pPr>
      <w:r>
        <w:rPr>
          <w:rFonts w:hint="eastAsia"/>
        </w:rPr>
        <w:t>本接口用于系统之间在通信先进行身份确认，系统之间是双网级联关系还是上下级联关系，不通过协议体现，由系统内部实现和区分。</w:t>
      </w:r>
    </w:p>
    <w:p>
      <w:pPr>
        <w:pStyle w:val="3"/>
        <w:ind w:firstLine="480"/>
        <w:rPr>
          <w:rFonts w:hint="eastAsia"/>
        </w:rPr>
      </w:pPr>
      <w:r>
        <w:rPr>
          <w:rFonts w:hint="eastAsia"/>
        </w:rPr>
        <w:t>本接口应具备注册、注销、保活功能。</w:t>
      </w:r>
    </w:p>
    <w:p>
      <w:pPr>
        <w:pStyle w:val="3"/>
        <w:ind w:firstLine="480"/>
        <w:rPr>
          <w:rFonts w:hint="eastAsia"/>
        </w:rPr>
      </w:pPr>
      <w:r>
        <w:rPr>
          <w:rFonts w:hint="eastAsia"/>
        </w:rPr>
        <w:t>（2）语义检索接口</w:t>
      </w:r>
    </w:p>
    <w:p>
      <w:pPr>
        <w:pStyle w:val="3"/>
        <w:ind w:firstLine="480"/>
        <w:rPr>
          <w:rFonts w:hint="eastAsia"/>
        </w:rPr>
      </w:pPr>
      <w:r>
        <w:rPr>
          <w:rFonts w:hint="eastAsia"/>
        </w:rPr>
        <w:t>本接口用于对上层多模态检索（文搜/图搜）功能提供接口封装，其中文搜/图搜图片，采用同步接口。文搜/图搜视频（历史录像），采用先创建语义分析任务，再用同步接口关联分析任务ID去检索。</w:t>
      </w:r>
    </w:p>
    <w:p>
      <w:pPr>
        <w:pStyle w:val="3"/>
        <w:ind w:firstLine="480"/>
        <w:rPr>
          <w:rFonts w:hint="eastAsia"/>
        </w:rPr>
      </w:pPr>
      <w:r>
        <w:rPr>
          <w:rFonts w:hint="eastAsia"/>
        </w:rPr>
        <w:t>本接口应具备语义分析任务管理、语义任务状态查询、语义检索同步接口（文搜/图搜）功能。</w:t>
      </w:r>
    </w:p>
    <w:p>
      <w:pPr>
        <w:pStyle w:val="3"/>
        <w:ind w:firstLine="480"/>
        <w:rPr>
          <w:rFonts w:hint="eastAsia"/>
        </w:rPr>
      </w:pPr>
      <w:r>
        <w:rPr>
          <w:rFonts w:hint="eastAsia"/>
        </w:rPr>
        <w:t>语义分析任务管理：增加、删除、查询分析任务对象，支持批量操作。</w:t>
      </w:r>
    </w:p>
    <w:p>
      <w:pPr>
        <w:pStyle w:val="3"/>
        <w:ind w:firstLine="480"/>
        <w:rPr>
          <w:rFonts w:hint="eastAsia"/>
        </w:rPr>
      </w:pPr>
      <w:r>
        <w:rPr>
          <w:rFonts w:hint="eastAsia"/>
        </w:rPr>
        <w:t>语义任务状态查询：查询视频图像分析任务状态。</w:t>
      </w:r>
    </w:p>
    <w:p>
      <w:pPr>
        <w:pStyle w:val="3"/>
        <w:ind w:firstLine="480"/>
        <w:rPr>
          <w:rFonts w:hint="eastAsia"/>
        </w:rPr>
      </w:pPr>
      <w:r>
        <w:rPr>
          <w:rFonts w:hint="eastAsia"/>
        </w:rPr>
        <w:t>（3）场景接口</w:t>
      </w:r>
    </w:p>
    <w:p>
      <w:pPr>
        <w:pStyle w:val="3"/>
        <w:ind w:firstLine="480"/>
        <w:rPr>
          <w:rFonts w:hint="eastAsia"/>
        </w:rPr>
      </w:pPr>
      <w:r>
        <w:rPr>
          <w:rFonts w:hint="eastAsia"/>
        </w:rPr>
        <w:t>本接口用于对上层场景策略编排功能提供接口封装。</w:t>
      </w:r>
    </w:p>
    <w:p>
      <w:pPr>
        <w:pStyle w:val="3"/>
        <w:ind w:firstLine="480"/>
        <w:rPr>
          <w:rFonts w:hint="eastAsia"/>
        </w:rPr>
      </w:pPr>
      <w:r>
        <w:rPr>
          <w:rFonts w:hint="eastAsia"/>
        </w:rPr>
        <w:t>本接口应具备查询、新增场景信息功能。</w:t>
      </w:r>
    </w:p>
    <w:p>
      <w:pPr>
        <w:pStyle w:val="3"/>
        <w:ind w:firstLine="480"/>
        <w:rPr>
          <w:rFonts w:hint="eastAsia"/>
        </w:rPr>
      </w:pPr>
      <w:r>
        <w:rPr>
          <w:rFonts w:hint="eastAsia"/>
        </w:rPr>
        <w:t>（4）预警开放接口</w:t>
      </w:r>
    </w:p>
    <w:p>
      <w:pPr>
        <w:pStyle w:val="3"/>
        <w:ind w:firstLine="480"/>
        <w:rPr>
          <w:rFonts w:hint="eastAsia"/>
        </w:rPr>
      </w:pPr>
      <w:r>
        <w:rPr>
          <w:rFonts w:hint="eastAsia"/>
        </w:rPr>
        <w:t>本接口用于上层大模型应用展示关于对各类预警进行统一展示、历史查询的能力提供接口封装。</w:t>
      </w:r>
    </w:p>
    <w:p>
      <w:pPr>
        <w:pStyle w:val="3"/>
        <w:ind w:firstLine="480"/>
        <w:rPr>
          <w:rFonts w:hint="eastAsia"/>
        </w:rPr>
      </w:pPr>
      <w:r>
        <w:rPr>
          <w:rFonts w:hint="eastAsia"/>
        </w:rPr>
        <w:t>本接口应具备预警任务、预警结果推送、预警核处反馈、预警任务查询功能。</w:t>
      </w:r>
    </w:p>
    <w:p>
      <w:pPr>
        <w:pStyle w:val="3"/>
        <w:ind w:firstLine="480"/>
        <w:rPr>
          <w:rFonts w:hint="eastAsia"/>
        </w:rPr>
      </w:pPr>
      <w:r>
        <w:rPr>
          <w:rFonts w:hint="eastAsia"/>
        </w:rPr>
        <w:t>预警任务：增加、查询、更新和删除布控任务，支持批量操作。</w:t>
      </w:r>
    </w:p>
    <w:p>
      <w:pPr>
        <w:pStyle w:val="3"/>
        <w:ind w:firstLine="480"/>
        <w:rPr>
          <w:rFonts w:hint="eastAsia"/>
        </w:rPr>
      </w:pPr>
      <w:r>
        <w:rPr>
          <w:rFonts w:hint="eastAsia"/>
        </w:rPr>
        <w:t>预警结果推送：增加告警对象，实现向任务创建发出方上报告警信息，推送前，对告警初步研判有效无效，支持批量操作。</w:t>
      </w:r>
    </w:p>
    <w:p>
      <w:pPr>
        <w:pStyle w:val="3"/>
        <w:ind w:firstLine="480"/>
        <w:rPr>
          <w:rFonts w:hint="eastAsia"/>
        </w:rPr>
      </w:pPr>
      <w:r>
        <w:rPr>
          <w:rFonts w:hint="eastAsia"/>
        </w:rPr>
        <w:t>预警核处反馈：增加预警反馈对象，实现向发起方反馈信息，支持批量操作。</w:t>
      </w:r>
    </w:p>
    <w:p>
      <w:pPr>
        <w:pStyle w:val="3"/>
        <w:ind w:firstLine="480"/>
        <w:rPr>
          <w:rFonts w:hint="eastAsia"/>
        </w:rPr>
      </w:pPr>
      <w:r>
        <w:rPr>
          <w:rFonts w:hint="eastAsia"/>
        </w:rPr>
        <w:t>预警任务查询：支持根据属性、分页参数查询查询信息，返回对象中添加总数。</w:t>
      </w:r>
    </w:p>
    <w:p>
      <w:pPr>
        <w:pStyle w:val="3"/>
        <w:ind w:firstLine="480"/>
        <w:rPr>
          <w:rFonts w:hint="eastAsia"/>
        </w:rPr>
      </w:pPr>
      <w:r>
        <w:rPr>
          <w:rFonts w:hint="eastAsia"/>
        </w:rPr>
        <w:t>（5）微训练接口</w:t>
      </w:r>
    </w:p>
    <w:p>
      <w:pPr>
        <w:pStyle w:val="3"/>
        <w:ind w:firstLine="480"/>
        <w:rPr>
          <w:rFonts w:hint="eastAsia"/>
        </w:rPr>
      </w:pPr>
      <w:r>
        <w:rPr>
          <w:rFonts w:hint="eastAsia"/>
        </w:rPr>
        <w:t>本接口用于上层微训练功能提供接口封装。</w:t>
      </w:r>
    </w:p>
    <w:p>
      <w:pPr>
        <w:pStyle w:val="3"/>
        <w:ind w:firstLine="480"/>
        <w:rPr>
          <w:rFonts w:hint="eastAsia"/>
        </w:rPr>
      </w:pPr>
      <w:r>
        <w:rPr>
          <w:rFonts w:hint="eastAsia"/>
        </w:rPr>
        <w:t>本接口应具备标注素材、创建微训练任务、查询微训练任务状态进度功能。</w:t>
      </w:r>
    </w:p>
    <w:p>
      <w:pPr>
        <w:pStyle w:val="3"/>
        <w:ind w:firstLine="480"/>
        <w:rPr>
          <w:rFonts w:hint="eastAsia"/>
        </w:rPr>
      </w:pPr>
      <w:r>
        <w:rPr>
          <w:rFonts w:hint="eastAsia"/>
        </w:rPr>
        <w:t>标注素材：标注信息。</w:t>
      </w:r>
    </w:p>
    <w:p>
      <w:pPr>
        <w:pStyle w:val="3"/>
        <w:ind w:firstLine="480"/>
        <w:rPr>
          <w:rFonts w:hint="eastAsia"/>
        </w:rPr>
      </w:pPr>
      <w:r>
        <w:rPr>
          <w:rFonts w:hint="eastAsia"/>
        </w:rPr>
        <w:t>创建微训练任务：下发训练任务。</w:t>
      </w:r>
    </w:p>
    <w:p>
      <w:pPr>
        <w:pStyle w:val="3"/>
        <w:ind w:firstLine="480"/>
        <w:rPr>
          <w:rFonts w:hint="eastAsia"/>
        </w:rPr>
      </w:pPr>
      <w:r>
        <w:rPr>
          <w:rFonts w:hint="eastAsia"/>
        </w:rPr>
        <w:t>查询微训练任务状态进度：支持批量上传素材+标注信息。</w:t>
      </w:r>
    </w:p>
    <w:p>
      <w:pPr>
        <w:pStyle w:val="3"/>
        <w:ind w:firstLine="480"/>
        <w:rPr>
          <w:rFonts w:hint="eastAsia"/>
        </w:rPr>
      </w:pPr>
      <w:r>
        <w:rPr>
          <w:rFonts w:hint="eastAsia"/>
        </w:rPr>
        <w:t>（6）统计接口</w:t>
      </w:r>
    </w:p>
    <w:p>
      <w:pPr>
        <w:pStyle w:val="3"/>
        <w:ind w:firstLine="480"/>
        <w:rPr>
          <w:rFonts w:hint="eastAsia"/>
        </w:rPr>
      </w:pPr>
      <w:r>
        <w:rPr>
          <w:rFonts w:hint="eastAsia"/>
        </w:rPr>
        <w:t>本接口用于上层算力资源统计查询能力提供接口封装。</w:t>
      </w:r>
    </w:p>
    <w:p>
      <w:pPr>
        <w:pStyle w:val="3"/>
        <w:ind w:firstLine="480"/>
        <w:rPr>
          <w:rFonts w:hint="eastAsia"/>
        </w:rPr>
      </w:pPr>
      <w:r>
        <w:rPr>
          <w:rFonts w:hint="eastAsia"/>
        </w:rPr>
        <w:t>本接口应具备算力资源统计查询功能。</w:t>
      </w:r>
    </w:p>
    <w:p>
      <w:pPr>
        <w:pStyle w:val="3"/>
        <w:ind w:firstLine="480"/>
        <w:rPr>
          <w:rFonts w:hint="eastAsia"/>
        </w:rPr>
      </w:pPr>
      <w:r>
        <w:rPr>
          <w:rFonts w:hint="eastAsia"/>
        </w:rPr>
        <w:t>算力资源统计查询：查询系统资源和状态。</w:t>
      </w:r>
    </w:p>
    <w:p>
      <w:pPr>
        <w:pStyle w:val="3"/>
        <w:ind w:firstLine="480"/>
        <w:rPr>
          <w:rFonts w:hint="eastAsia"/>
        </w:rPr>
      </w:pPr>
      <w:r>
        <w:rPr>
          <w:rFonts w:hint="eastAsia"/>
        </w:rPr>
        <w:t>（7）采集设备接口</w:t>
      </w:r>
    </w:p>
    <w:p>
      <w:pPr>
        <w:pStyle w:val="3"/>
        <w:ind w:firstLine="480"/>
        <w:rPr>
          <w:rFonts w:hint="eastAsia"/>
        </w:rPr>
      </w:pPr>
      <w:r>
        <w:rPr>
          <w:rFonts w:hint="eastAsia"/>
        </w:rPr>
        <w:t>本接口用于上层大模型应用展示关于设备资源查询能力的接口封装。</w:t>
      </w:r>
    </w:p>
    <w:p>
      <w:pPr>
        <w:pStyle w:val="3"/>
        <w:ind w:firstLine="480"/>
        <w:rPr>
          <w:rFonts w:hint="eastAsia"/>
        </w:rPr>
      </w:pPr>
      <w:r>
        <w:rPr>
          <w:rFonts w:hint="eastAsia"/>
        </w:rPr>
        <w:t>本接口应具备采集设备查询功能。</w:t>
      </w:r>
    </w:p>
    <w:p>
      <w:pPr>
        <w:pStyle w:val="3"/>
        <w:ind w:firstLine="480"/>
        <w:rPr>
          <w:rFonts w:hint="eastAsia"/>
        </w:rPr>
      </w:pPr>
      <w:r>
        <w:rPr>
          <w:rFonts w:hint="eastAsia"/>
        </w:rPr>
        <w:t>采集设备查询：获取设备列表。</w:t>
      </w:r>
    </w:p>
    <w:p>
      <w:pPr>
        <w:pStyle w:val="3"/>
        <w:ind w:firstLine="480"/>
        <w:rPr>
          <w:rFonts w:hint="eastAsia"/>
        </w:rPr>
      </w:pPr>
      <w:r>
        <w:rPr>
          <w:rFonts w:hint="eastAsia"/>
        </w:rPr>
        <w:t>（8）上下级级联跨边界对接接口</w:t>
      </w:r>
    </w:p>
    <w:p>
      <w:pPr>
        <w:pStyle w:val="3"/>
        <w:ind w:firstLine="480"/>
        <w:rPr>
          <w:rFonts w:hint="eastAsia"/>
        </w:rPr>
      </w:pPr>
      <w:r>
        <w:rPr>
          <w:rFonts w:hint="eastAsia"/>
        </w:rPr>
        <w:t>按照市局安全边界跨网传输交互要求，开发相关对接接口，进行分局公安信息网和上级市局公安信息网的纵向安全边界的申请、对接、调试，实现公安信息网侧大模型模块市局、分局上下级级联跨边界对接交互。</w:t>
      </w:r>
    </w:p>
    <w:p>
      <w:pPr>
        <w:pStyle w:val="3"/>
        <w:ind w:firstLine="480"/>
        <w:rPr>
          <w:rFonts w:hint="eastAsia"/>
        </w:rPr>
      </w:pPr>
      <w:r>
        <w:rPr>
          <w:rFonts w:hint="eastAsia"/>
        </w:rPr>
        <w:t>（9）双网级联跨边界对接接口</w:t>
      </w:r>
    </w:p>
    <w:p>
      <w:pPr>
        <w:pStyle w:val="3"/>
        <w:ind w:firstLine="480"/>
        <w:rPr>
          <w:rFonts w:hint="eastAsia"/>
        </w:rPr>
      </w:pPr>
      <w:r>
        <w:rPr>
          <w:rFonts w:hint="eastAsia"/>
        </w:rPr>
        <w:t>按照分局安全边界跨网传输交互要求，开发相关对接接口，进行分局公安信息网和视频传输网通过市局两网横向安全边界的申请、对接、调试，实现分局公安信息网侧大模型模块与分局视频传输网大模型能力集群双网级联跨边界对接交互。</w:t>
      </w:r>
    </w:p>
    <w:p>
      <w:pPr>
        <w:pStyle w:val="5"/>
        <w:rPr>
          <w:rFonts w:hint="eastAsia"/>
        </w:rPr>
      </w:pPr>
      <w:r>
        <w:rPr>
          <w:rFonts w:hint="eastAsia"/>
        </w:rPr>
        <w:t xml:space="preserve"> 多厂商大模型能力集群对接功能指标需求</w:t>
      </w:r>
    </w:p>
    <w:p>
      <w:pPr>
        <w:pStyle w:val="3"/>
        <w:ind w:firstLine="480"/>
        <w:rPr>
          <w:rFonts w:hint="eastAsia"/>
        </w:rPr>
      </w:pPr>
      <w:r>
        <w:rPr>
          <w:rFonts w:hint="eastAsia"/>
        </w:rPr>
        <w:t>依据分局视频传输网侧视觉大模型能力集群建设部署情况，按市局技术规范要求，完成与2家不同大模型能力集群厂商平台的接口开发、对接、调试，满足市局对于分局“机器看视频”城市安全管理大模型相关场景预警考核要求。</w:t>
      </w:r>
    </w:p>
    <w:p>
      <w:pPr>
        <w:pStyle w:val="5"/>
        <w:rPr>
          <w:rFonts w:hint="eastAsia"/>
        </w:rPr>
      </w:pPr>
      <w:r>
        <w:rPr>
          <w:rFonts w:hint="eastAsia"/>
        </w:rPr>
        <w:t>此部分建设内容工程量清单</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975"/>
        <w:gridCol w:w="1565"/>
        <w:gridCol w:w="5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44" w:type="pct"/>
            <w:noWrap/>
            <w:vAlign w:val="center"/>
          </w:tcPr>
          <w:p>
            <w:pPr>
              <w:jc w:val="center"/>
              <w:rPr>
                <w:rFonts w:hint="eastAsia" w:ascii="宋体" w:hAnsi="宋体" w:cs="宋体"/>
                <w:b/>
                <w:bCs/>
                <w:sz w:val="24"/>
                <w:szCs w:val="22"/>
              </w:rPr>
            </w:pPr>
            <w:r>
              <w:rPr>
                <w:rFonts w:hint="eastAsia" w:ascii="宋体" w:hAnsi="宋体" w:cs="宋体"/>
                <w:b/>
                <w:bCs/>
                <w:sz w:val="24"/>
                <w:szCs w:val="22"/>
              </w:rPr>
              <w:t>序号</w:t>
            </w:r>
          </w:p>
        </w:tc>
        <w:tc>
          <w:tcPr>
            <w:tcW w:w="572" w:type="pct"/>
            <w:noWrap/>
            <w:vAlign w:val="center"/>
          </w:tcPr>
          <w:p>
            <w:pPr>
              <w:jc w:val="center"/>
              <w:rPr>
                <w:rFonts w:hint="eastAsia" w:ascii="宋体" w:hAnsi="宋体" w:cs="宋体"/>
                <w:b/>
                <w:bCs/>
                <w:sz w:val="24"/>
                <w:szCs w:val="22"/>
              </w:rPr>
            </w:pPr>
            <w:r>
              <w:rPr>
                <w:rFonts w:hint="eastAsia" w:ascii="宋体" w:hAnsi="宋体" w:cs="宋体"/>
                <w:b/>
                <w:bCs/>
                <w:sz w:val="24"/>
                <w:szCs w:val="22"/>
              </w:rPr>
              <w:t>模块</w:t>
            </w:r>
          </w:p>
        </w:tc>
        <w:tc>
          <w:tcPr>
            <w:tcW w:w="918" w:type="pct"/>
            <w:noWrap/>
            <w:vAlign w:val="center"/>
          </w:tcPr>
          <w:p>
            <w:pPr>
              <w:jc w:val="center"/>
              <w:rPr>
                <w:rFonts w:hint="eastAsia" w:ascii="宋体" w:hAnsi="宋体" w:cs="宋体"/>
                <w:b/>
                <w:bCs/>
                <w:sz w:val="24"/>
                <w:szCs w:val="22"/>
              </w:rPr>
            </w:pPr>
            <w:r>
              <w:rPr>
                <w:rFonts w:hint="eastAsia" w:ascii="宋体" w:hAnsi="宋体" w:cs="宋体"/>
                <w:b/>
                <w:bCs/>
                <w:sz w:val="24"/>
                <w:szCs w:val="22"/>
              </w:rPr>
              <w:t>子模块</w:t>
            </w:r>
          </w:p>
        </w:tc>
        <w:tc>
          <w:tcPr>
            <w:tcW w:w="3065" w:type="pct"/>
            <w:vAlign w:val="center"/>
          </w:tcPr>
          <w:p>
            <w:pPr>
              <w:jc w:val="center"/>
              <w:rPr>
                <w:rFonts w:hint="eastAsia" w:ascii="宋体" w:hAnsi="宋体" w:cs="宋体"/>
                <w:b/>
                <w:bCs/>
                <w:sz w:val="24"/>
                <w:szCs w:val="22"/>
              </w:rPr>
            </w:pPr>
            <w:r>
              <w:rPr>
                <w:rFonts w:hint="eastAsia" w:ascii="宋体" w:hAnsi="宋体" w:cs="宋体"/>
                <w:b/>
                <w:bCs/>
                <w:sz w:val="24"/>
                <w:szCs w:val="22"/>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444" w:type="pct"/>
            <w:vAlign w:val="center"/>
          </w:tcPr>
          <w:p>
            <w:pPr>
              <w:jc w:val="center"/>
              <w:rPr>
                <w:rFonts w:hint="eastAsia" w:ascii="宋体" w:hAnsi="宋体" w:cs="宋体"/>
                <w:sz w:val="24"/>
                <w:szCs w:val="22"/>
              </w:rPr>
            </w:pPr>
            <w:r>
              <w:rPr>
                <w:rFonts w:hint="eastAsia" w:ascii="宋体" w:hAnsi="宋体" w:cs="宋体"/>
                <w:sz w:val="24"/>
                <w:szCs w:val="22"/>
              </w:rPr>
              <w:t>1</w:t>
            </w:r>
          </w:p>
        </w:tc>
        <w:tc>
          <w:tcPr>
            <w:tcW w:w="572" w:type="pct"/>
            <w:vMerge w:val="restart"/>
            <w:vAlign w:val="center"/>
          </w:tcPr>
          <w:p>
            <w:pPr>
              <w:jc w:val="center"/>
              <w:rPr>
                <w:rFonts w:hint="eastAsia" w:ascii="宋体" w:hAnsi="宋体" w:cs="宋体"/>
                <w:sz w:val="24"/>
                <w:szCs w:val="22"/>
              </w:rPr>
            </w:pPr>
            <w:r>
              <w:rPr>
                <w:rFonts w:hint="eastAsia" w:ascii="宋体" w:hAnsi="宋体" w:cs="宋体"/>
                <w:sz w:val="24"/>
                <w:szCs w:val="22"/>
              </w:rPr>
              <w:t>城市安全管理大模型</w:t>
            </w:r>
            <w:r>
              <w:rPr>
                <w:rFonts w:hint="eastAsia" w:ascii="宋体" w:hAnsi="宋体" w:cs="宋体"/>
                <w:sz w:val="24"/>
                <w:szCs w:val="22"/>
              </w:rPr>
              <w:br w:type="textWrapping"/>
            </w:r>
            <w:r>
              <w:rPr>
                <w:rFonts w:hint="eastAsia" w:ascii="宋体" w:hAnsi="宋体" w:cs="宋体"/>
                <w:sz w:val="24"/>
                <w:szCs w:val="22"/>
              </w:rPr>
              <w:t>考核相关接口</w:t>
            </w:r>
            <w:r>
              <w:rPr>
                <w:rFonts w:hint="eastAsia" w:ascii="宋体" w:hAnsi="宋体" w:cs="宋体"/>
                <w:sz w:val="24"/>
                <w:szCs w:val="22"/>
              </w:rPr>
              <w:br w:type="textWrapping"/>
            </w:r>
            <w:r>
              <w:rPr>
                <w:rFonts w:hint="eastAsia" w:ascii="宋体" w:hAnsi="宋体" w:cs="宋体"/>
                <w:sz w:val="24"/>
                <w:szCs w:val="22"/>
              </w:rPr>
              <w:t>（公安信息网侧）</w:t>
            </w:r>
          </w:p>
        </w:tc>
        <w:tc>
          <w:tcPr>
            <w:tcW w:w="918" w:type="pct"/>
            <w:vAlign w:val="center"/>
          </w:tcPr>
          <w:p>
            <w:pPr>
              <w:jc w:val="left"/>
              <w:rPr>
                <w:rFonts w:hint="eastAsia" w:ascii="宋体" w:hAnsi="宋体" w:cs="宋体"/>
                <w:sz w:val="24"/>
                <w:szCs w:val="22"/>
              </w:rPr>
            </w:pPr>
            <w:r>
              <w:rPr>
                <w:rFonts w:hint="eastAsia" w:ascii="宋体" w:hAnsi="宋体" w:cs="宋体"/>
                <w:sz w:val="24"/>
                <w:szCs w:val="22"/>
              </w:rPr>
              <w:t>大模型模块上下级级联跨边界对接</w:t>
            </w:r>
          </w:p>
        </w:tc>
        <w:tc>
          <w:tcPr>
            <w:tcW w:w="3065" w:type="pct"/>
            <w:vAlign w:val="center"/>
          </w:tcPr>
          <w:p>
            <w:pPr>
              <w:jc w:val="left"/>
              <w:rPr>
                <w:rFonts w:hint="eastAsia" w:ascii="宋体" w:hAnsi="宋体" w:cs="宋体"/>
                <w:sz w:val="24"/>
                <w:szCs w:val="22"/>
              </w:rPr>
            </w:pPr>
            <w:r>
              <w:rPr>
                <w:rFonts w:hint="eastAsia" w:ascii="宋体" w:hAnsi="宋体" w:cs="宋体"/>
                <w:sz w:val="24"/>
                <w:szCs w:val="22"/>
              </w:rPr>
              <w:t>开发相关对接接口，进行分局公安信息网和上级市局公安信息网的纵向安全边界的申请、对接、调试，实现大模型模块上下级级联跨边界对接。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44" w:type="pct"/>
            <w:vAlign w:val="center"/>
          </w:tcPr>
          <w:p>
            <w:pPr>
              <w:jc w:val="center"/>
              <w:rPr>
                <w:rFonts w:hint="eastAsia" w:ascii="宋体" w:hAnsi="宋体" w:cs="宋体"/>
                <w:sz w:val="24"/>
                <w:szCs w:val="22"/>
              </w:rPr>
            </w:pPr>
            <w:r>
              <w:rPr>
                <w:rFonts w:hint="eastAsia" w:ascii="宋体" w:hAnsi="宋体" w:cs="宋体"/>
                <w:sz w:val="24"/>
                <w:szCs w:val="22"/>
              </w:rPr>
              <w:t>2</w:t>
            </w:r>
          </w:p>
        </w:tc>
        <w:tc>
          <w:tcPr>
            <w:tcW w:w="572" w:type="pct"/>
            <w:vMerge w:val="continue"/>
            <w:vAlign w:val="center"/>
          </w:tcPr>
          <w:p>
            <w:pPr>
              <w:jc w:val="left"/>
              <w:rPr>
                <w:rFonts w:hint="eastAsia" w:ascii="宋体" w:hAnsi="宋体" w:cs="宋体"/>
                <w:sz w:val="24"/>
                <w:szCs w:val="22"/>
              </w:rPr>
            </w:pPr>
          </w:p>
        </w:tc>
        <w:tc>
          <w:tcPr>
            <w:tcW w:w="918" w:type="pct"/>
            <w:vMerge w:val="restart"/>
            <w:vAlign w:val="center"/>
          </w:tcPr>
          <w:p>
            <w:pPr>
              <w:jc w:val="left"/>
              <w:rPr>
                <w:rFonts w:hint="eastAsia" w:ascii="宋体" w:hAnsi="宋体" w:cs="宋体"/>
                <w:sz w:val="24"/>
                <w:szCs w:val="22"/>
              </w:rPr>
            </w:pPr>
            <w:r>
              <w:rPr>
                <w:rFonts w:hint="eastAsia" w:ascii="宋体" w:hAnsi="宋体" w:cs="宋体"/>
                <w:sz w:val="24"/>
                <w:szCs w:val="22"/>
              </w:rPr>
              <w:t>接口开发对接</w:t>
            </w:r>
          </w:p>
        </w:tc>
        <w:tc>
          <w:tcPr>
            <w:tcW w:w="3065" w:type="pct"/>
            <w:vAlign w:val="center"/>
          </w:tcPr>
          <w:p>
            <w:pPr>
              <w:jc w:val="left"/>
              <w:rPr>
                <w:rFonts w:hint="eastAsia" w:ascii="宋体" w:hAnsi="宋体" w:cs="宋体"/>
                <w:sz w:val="24"/>
                <w:szCs w:val="22"/>
              </w:rPr>
            </w:pPr>
            <w:r>
              <w:rPr>
                <w:rFonts w:hint="eastAsia" w:ascii="宋体" w:hAnsi="宋体" w:cs="宋体"/>
                <w:sz w:val="24"/>
                <w:szCs w:val="22"/>
              </w:rPr>
              <w:t>分局公安信息网侧，满足市局接口规范中定义的【管理接口】开发、对接、调试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44" w:type="pct"/>
            <w:vAlign w:val="center"/>
          </w:tcPr>
          <w:p>
            <w:pPr>
              <w:jc w:val="center"/>
              <w:rPr>
                <w:rFonts w:hint="eastAsia" w:ascii="宋体" w:hAnsi="宋体" w:cs="宋体"/>
                <w:sz w:val="24"/>
                <w:szCs w:val="22"/>
              </w:rPr>
            </w:pPr>
            <w:r>
              <w:rPr>
                <w:rFonts w:hint="eastAsia" w:ascii="宋体" w:hAnsi="宋体" w:cs="宋体"/>
                <w:sz w:val="24"/>
                <w:szCs w:val="22"/>
              </w:rPr>
              <w:t>3</w:t>
            </w:r>
          </w:p>
        </w:tc>
        <w:tc>
          <w:tcPr>
            <w:tcW w:w="572" w:type="pct"/>
            <w:vMerge w:val="continue"/>
            <w:vAlign w:val="center"/>
          </w:tcPr>
          <w:p>
            <w:pPr>
              <w:jc w:val="left"/>
              <w:rPr>
                <w:rFonts w:hint="eastAsia" w:ascii="宋体" w:hAnsi="宋体" w:cs="宋体"/>
                <w:sz w:val="24"/>
                <w:szCs w:val="22"/>
              </w:rPr>
            </w:pPr>
          </w:p>
        </w:tc>
        <w:tc>
          <w:tcPr>
            <w:tcW w:w="918" w:type="pct"/>
            <w:vMerge w:val="continue"/>
            <w:noWrap/>
            <w:vAlign w:val="center"/>
          </w:tcPr>
          <w:p>
            <w:pPr>
              <w:jc w:val="left"/>
              <w:rPr>
                <w:rFonts w:hint="eastAsia" w:ascii="宋体" w:hAnsi="宋体" w:cs="宋体"/>
                <w:sz w:val="24"/>
                <w:szCs w:val="22"/>
              </w:rPr>
            </w:pPr>
          </w:p>
        </w:tc>
        <w:tc>
          <w:tcPr>
            <w:tcW w:w="3065" w:type="pct"/>
            <w:vAlign w:val="center"/>
          </w:tcPr>
          <w:p>
            <w:pPr>
              <w:jc w:val="left"/>
              <w:rPr>
                <w:rFonts w:hint="eastAsia" w:ascii="宋体" w:hAnsi="宋体" w:cs="宋体"/>
                <w:sz w:val="24"/>
                <w:szCs w:val="22"/>
              </w:rPr>
            </w:pPr>
            <w:r>
              <w:rPr>
                <w:rFonts w:hint="eastAsia" w:ascii="宋体" w:hAnsi="宋体" w:cs="宋体"/>
                <w:sz w:val="24"/>
                <w:szCs w:val="22"/>
              </w:rPr>
              <w:t>分局公安信息网侧，满足市局接口规范中定义的【语义检索接口】开发、对接、调试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44" w:type="pct"/>
            <w:vAlign w:val="center"/>
          </w:tcPr>
          <w:p>
            <w:pPr>
              <w:jc w:val="center"/>
              <w:rPr>
                <w:rFonts w:hint="eastAsia" w:ascii="宋体" w:hAnsi="宋体" w:cs="宋体"/>
                <w:sz w:val="24"/>
                <w:szCs w:val="22"/>
              </w:rPr>
            </w:pPr>
            <w:r>
              <w:rPr>
                <w:rFonts w:hint="eastAsia" w:ascii="宋体" w:hAnsi="宋体" w:cs="宋体"/>
                <w:sz w:val="24"/>
                <w:szCs w:val="22"/>
              </w:rPr>
              <w:t>4</w:t>
            </w:r>
          </w:p>
        </w:tc>
        <w:tc>
          <w:tcPr>
            <w:tcW w:w="572" w:type="pct"/>
            <w:vMerge w:val="continue"/>
            <w:vAlign w:val="center"/>
          </w:tcPr>
          <w:p>
            <w:pPr>
              <w:jc w:val="left"/>
              <w:rPr>
                <w:rFonts w:hint="eastAsia" w:ascii="宋体" w:hAnsi="宋体" w:cs="宋体"/>
                <w:sz w:val="24"/>
                <w:szCs w:val="22"/>
              </w:rPr>
            </w:pPr>
          </w:p>
        </w:tc>
        <w:tc>
          <w:tcPr>
            <w:tcW w:w="918" w:type="pct"/>
            <w:vMerge w:val="continue"/>
            <w:vAlign w:val="center"/>
          </w:tcPr>
          <w:p>
            <w:pPr>
              <w:jc w:val="left"/>
              <w:rPr>
                <w:rFonts w:hint="eastAsia" w:ascii="宋体" w:hAnsi="宋体" w:cs="宋体"/>
                <w:sz w:val="24"/>
                <w:szCs w:val="22"/>
              </w:rPr>
            </w:pPr>
          </w:p>
        </w:tc>
        <w:tc>
          <w:tcPr>
            <w:tcW w:w="3065" w:type="pct"/>
            <w:vAlign w:val="center"/>
          </w:tcPr>
          <w:p>
            <w:pPr>
              <w:jc w:val="left"/>
              <w:rPr>
                <w:rFonts w:hint="eastAsia" w:ascii="宋体" w:hAnsi="宋体" w:cs="宋体"/>
                <w:sz w:val="24"/>
                <w:szCs w:val="22"/>
              </w:rPr>
            </w:pPr>
            <w:r>
              <w:rPr>
                <w:rFonts w:hint="eastAsia" w:ascii="宋体" w:hAnsi="宋体" w:cs="宋体"/>
                <w:sz w:val="24"/>
                <w:szCs w:val="22"/>
              </w:rPr>
              <w:t>分局公安信息网侧，满足市局接口规范中定义的【场景接口】开发、对接、调试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44" w:type="pct"/>
            <w:vAlign w:val="center"/>
          </w:tcPr>
          <w:p>
            <w:pPr>
              <w:jc w:val="center"/>
              <w:rPr>
                <w:rFonts w:hint="eastAsia" w:ascii="宋体" w:hAnsi="宋体" w:cs="宋体"/>
                <w:sz w:val="24"/>
                <w:szCs w:val="22"/>
              </w:rPr>
            </w:pPr>
            <w:r>
              <w:rPr>
                <w:rFonts w:hint="eastAsia" w:ascii="宋体" w:hAnsi="宋体" w:cs="宋体"/>
                <w:sz w:val="24"/>
                <w:szCs w:val="22"/>
              </w:rPr>
              <w:t>5</w:t>
            </w:r>
          </w:p>
        </w:tc>
        <w:tc>
          <w:tcPr>
            <w:tcW w:w="572" w:type="pct"/>
            <w:vMerge w:val="continue"/>
            <w:vAlign w:val="center"/>
          </w:tcPr>
          <w:p>
            <w:pPr>
              <w:jc w:val="left"/>
              <w:rPr>
                <w:rFonts w:hint="eastAsia" w:ascii="宋体" w:hAnsi="宋体" w:cs="宋体"/>
                <w:sz w:val="24"/>
                <w:szCs w:val="22"/>
              </w:rPr>
            </w:pPr>
          </w:p>
        </w:tc>
        <w:tc>
          <w:tcPr>
            <w:tcW w:w="918" w:type="pct"/>
            <w:vMerge w:val="continue"/>
            <w:vAlign w:val="center"/>
          </w:tcPr>
          <w:p>
            <w:pPr>
              <w:jc w:val="left"/>
              <w:rPr>
                <w:rFonts w:hint="eastAsia" w:ascii="宋体" w:hAnsi="宋体" w:cs="宋体"/>
                <w:sz w:val="24"/>
                <w:szCs w:val="22"/>
              </w:rPr>
            </w:pPr>
          </w:p>
        </w:tc>
        <w:tc>
          <w:tcPr>
            <w:tcW w:w="3065" w:type="pct"/>
            <w:vAlign w:val="center"/>
          </w:tcPr>
          <w:p>
            <w:pPr>
              <w:jc w:val="left"/>
              <w:rPr>
                <w:rFonts w:hint="eastAsia" w:ascii="宋体" w:hAnsi="宋体" w:cs="宋体"/>
                <w:sz w:val="24"/>
                <w:szCs w:val="22"/>
              </w:rPr>
            </w:pPr>
            <w:r>
              <w:rPr>
                <w:rFonts w:hint="eastAsia" w:ascii="宋体" w:hAnsi="宋体" w:cs="宋体"/>
                <w:sz w:val="24"/>
                <w:szCs w:val="22"/>
              </w:rPr>
              <w:t>分局公安信息网侧，满足市局接口规范中定义的【预警开放接口】开发、对接、调试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44" w:type="pct"/>
            <w:vAlign w:val="center"/>
          </w:tcPr>
          <w:p>
            <w:pPr>
              <w:jc w:val="center"/>
              <w:rPr>
                <w:rFonts w:hint="eastAsia" w:ascii="宋体" w:hAnsi="宋体" w:cs="宋体"/>
                <w:sz w:val="24"/>
                <w:szCs w:val="22"/>
              </w:rPr>
            </w:pPr>
            <w:r>
              <w:rPr>
                <w:rFonts w:hint="eastAsia" w:ascii="宋体" w:hAnsi="宋体" w:cs="宋体"/>
                <w:sz w:val="24"/>
                <w:szCs w:val="22"/>
              </w:rPr>
              <w:t>6</w:t>
            </w:r>
          </w:p>
        </w:tc>
        <w:tc>
          <w:tcPr>
            <w:tcW w:w="572" w:type="pct"/>
            <w:vMerge w:val="continue"/>
            <w:vAlign w:val="center"/>
          </w:tcPr>
          <w:p>
            <w:pPr>
              <w:jc w:val="left"/>
              <w:rPr>
                <w:rFonts w:hint="eastAsia" w:ascii="宋体" w:hAnsi="宋体" w:cs="宋体"/>
                <w:sz w:val="24"/>
                <w:szCs w:val="22"/>
              </w:rPr>
            </w:pPr>
          </w:p>
        </w:tc>
        <w:tc>
          <w:tcPr>
            <w:tcW w:w="918" w:type="pct"/>
            <w:vMerge w:val="continue"/>
            <w:vAlign w:val="center"/>
          </w:tcPr>
          <w:p>
            <w:pPr>
              <w:jc w:val="left"/>
              <w:rPr>
                <w:rFonts w:hint="eastAsia" w:ascii="宋体" w:hAnsi="宋体" w:cs="宋体"/>
                <w:sz w:val="24"/>
                <w:szCs w:val="22"/>
              </w:rPr>
            </w:pPr>
          </w:p>
        </w:tc>
        <w:tc>
          <w:tcPr>
            <w:tcW w:w="3065" w:type="pct"/>
            <w:vAlign w:val="center"/>
          </w:tcPr>
          <w:p>
            <w:pPr>
              <w:jc w:val="left"/>
              <w:rPr>
                <w:rFonts w:hint="eastAsia" w:ascii="宋体" w:hAnsi="宋体" w:cs="宋体"/>
                <w:sz w:val="24"/>
                <w:szCs w:val="22"/>
              </w:rPr>
            </w:pPr>
            <w:r>
              <w:rPr>
                <w:rFonts w:hint="eastAsia" w:ascii="宋体" w:hAnsi="宋体" w:cs="宋体"/>
                <w:sz w:val="24"/>
                <w:szCs w:val="22"/>
              </w:rPr>
              <w:t>分局公安信息网侧，满足市局接口规范中定义的【微训练接口】开发、对接、调试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44" w:type="pct"/>
            <w:vAlign w:val="center"/>
          </w:tcPr>
          <w:p>
            <w:pPr>
              <w:jc w:val="center"/>
              <w:rPr>
                <w:rFonts w:hint="eastAsia" w:ascii="宋体" w:hAnsi="宋体" w:cs="宋体"/>
                <w:sz w:val="24"/>
                <w:szCs w:val="22"/>
              </w:rPr>
            </w:pPr>
            <w:r>
              <w:rPr>
                <w:rFonts w:hint="eastAsia" w:ascii="宋体" w:hAnsi="宋体" w:cs="宋体"/>
                <w:sz w:val="24"/>
                <w:szCs w:val="22"/>
              </w:rPr>
              <w:t>7</w:t>
            </w:r>
          </w:p>
        </w:tc>
        <w:tc>
          <w:tcPr>
            <w:tcW w:w="572" w:type="pct"/>
            <w:vMerge w:val="continue"/>
            <w:vAlign w:val="center"/>
          </w:tcPr>
          <w:p>
            <w:pPr>
              <w:jc w:val="left"/>
              <w:rPr>
                <w:rFonts w:hint="eastAsia" w:ascii="宋体" w:hAnsi="宋体" w:cs="宋体"/>
                <w:sz w:val="24"/>
                <w:szCs w:val="22"/>
              </w:rPr>
            </w:pPr>
          </w:p>
        </w:tc>
        <w:tc>
          <w:tcPr>
            <w:tcW w:w="918" w:type="pct"/>
            <w:vMerge w:val="continue"/>
            <w:vAlign w:val="center"/>
          </w:tcPr>
          <w:p>
            <w:pPr>
              <w:jc w:val="left"/>
              <w:rPr>
                <w:rFonts w:hint="eastAsia" w:ascii="宋体" w:hAnsi="宋体" w:cs="宋体"/>
                <w:sz w:val="24"/>
                <w:szCs w:val="22"/>
              </w:rPr>
            </w:pPr>
          </w:p>
        </w:tc>
        <w:tc>
          <w:tcPr>
            <w:tcW w:w="3065" w:type="pct"/>
            <w:vAlign w:val="center"/>
          </w:tcPr>
          <w:p>
            <w:pPr>
              <w:jc w:val="left"/>
              <w:rPr>
                <w:rFonts w:hint="eastAsia" w:ascii="宋体" w:hAnsi="宋体" w:cs="宋体"/>
                <w:sz w:val="24"/>
                <w:szCs w:val="22"/>
              </w:rPr>
            </w:pPr>
            <w:r>
              <w:rPr>
                <w:rFonts w:hint="eastAsia" w:ascii="宋体" w:hAnsi="宋体" w:cs="宋体"/>
                <w:sz w:val="24"/>
                <w:szCs w:val="22"/>
              </w:rPr>
              <w:t>分局公安信息网侧，满足市局接口规范中定义的【统计接口】开发、对接、调试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44" w:type="pct"/>
            <w:vAlign w:val="center"/>
          </w:tcPr>
          <w:p>
            <w:pPr>
              <w:jc w:val="center"/>
              <w:rPr>
                <w:rFonts w:hint="eastAsia" w:ascii="宋体" w:hAnsi="宋体" w:cs="宋体"/>
                <w:sz w:val="24"/>
                <w:szCs w:val="22"/>
              </w:rPr>
            </w:pPr>
            <w:r>
              <w:rPr>
                <w:rFonts w:hint="eastAsia" w:ascii="宋体" w:hAnsi="宋体" w:cs="宋体"/>
                <w:sz w:val="24"/>
                <w:szCs w:val="22"/>
              </w:rPr>
              <w:t>8</w:t>
            </w:r>
          </w:p>
        </w:tc>
        <w:tc>
          <w:tcPr>
            <w:tcW w:w="572" w:type="pct"/>
            <w:vMerge w:val="continue"/>
            <w:vAlign w:val="center"/>
          </w:tcPr>
          <w:p>
            <w:pPr>
              <w:jc w:val="left"/>
              <w:rPr>
                <w:rFonts w:hint="eastAsia" w:ascii="宋体" w:hAnsi="宋体" w:cs="宋体"/>
                <w:sz w:val="24"/>
                <w:szCs w:val="22"/>
              </w:rPr>
            </w:pPr>
          </w:p>
        </w:tc>
        <w:tc>
          <w:tcPr>
            <w:tcW w:w="918" w:type="pct"/>
            <w:vMerge w:val="continue"/>
            <w:vAlign w:val="center"/>
          </w:tcPr>
          <w:p>
            <w:pPr>
              <w:jc w:val="left"/>
              <w:rPr>
                <w:rFonts w:hint="eastAsia" w:ascii="宋体" w:hAnsi="宋体" w:cs="宋体"/>
                <w:sz w:val="24"/>
                <w:szCs w:val="22"/>
              </w:rPr>
            </w:pPr>
          </w:p>
        </w:tc>
        <w:tc>
          <w:tcPr>
            <w:tcW w:w="3065" w:type="pct"/>
            <w:vAlign w:val="center"/>
          </w:tcPr>
          <w:p>
            <w:pPr>
              <w:jc w:val="left"/>
              <w:rPr>
                <w:rFonts w:hint="eastAsia" w:ascii="宋体" w:hAnsi="宋体" w:cs="宋体"/>
                <w:sz w:val="24"/>
                <w:szCs w:val="22"/>
              </w:rPr>
            </w:pPr>
            <w:r>
              <w:rPr>
                <w:rFonts w:hint="eastAsia" w:ascii="宋体" w:hAnsi="宋体" w:cs="宋体"/>
                <w:sz w:val="24"/>
                <w:szCs w:val="22"/>
              </w:rPr>
              <w:t>分局公安信息网侧，满足市局接口规范中定义的【采集设备接口】开发、对接、调试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444" w:type="pct"/>
            <w:vAlign w:val="center"/>
          </w:tcPr>
          <w:p>
            <w:pPr>
              <w:jc w:val="center"/>
              <w:rPr>
                <w:rFonts w:hint="eastAsia" w:ascii="宋体" w:hAnsi="宋体" w:cs="宋体"/>
                <w:sz w:val="24"/>
                <w:szCs w:val="22"/>
              </w:rPr>
            </w:pPr>
            <w:r>
              <w:rPr>
                <w:rFonts w:hint="eastAsia" w:ascii="宋体" w:hAnsi="宋体" w:cs="宋体"/>
                <w:sz w:val="24"/>
                <w:szCs w:val="22"/>
              </w:rPr>
              <w:t>9</w:t>
            </w:r>
          </w:p>
        </w:tc>
        <w:tc>
          <w:tcPr>
            <w:tcW w:w="572" w:type="pct"/>
            <w:vMerge w:val="restart"/>
            <w:vAlign w:val="center"/>
          </w:tcPr>
          <w:p>
            <w:pPr>
              <w:jc w:val="center"/>
              <w:rPr>
                <w:rFonts w:hint="eastAsia" w:ascii="宋体" w:hAnsi="宋体" w:cs="宋体"/>
                <w:sz w:val="24"/>
                <w:szCs w:val="22"/>
              </w:rPr>
            </w:pPr>
            <w:r>
              <w:rPr>
                <w:rFonts w:hint="eastAsia" w:ascii="宋体" w:hAnsi="宋体" w:cs="宋体"/>
                <w:sz w:val="24"/>
                <w:szCs w:val="22"/>
              </w:rPr>
              <w:t>城市安全管理大模型</w:t>
            </w:r>
            <w:r>
              <w:rPr>
                <w:rFonts w:hint="eastAsia" w:ascii="宋体" w:hAnsi="宋体" w:cs="宋体"/>
                <w:sz w:val="24"/>
                <w:szCs w:val="22"/>
              </w:rPr>
              <w:br w:type="textWrapping"/>
            </w:r>
            <w:r>
              <w:rPr>
                <w:rFonts w:hint="eastAsia" w:ascii="宋体" w:hAnsi="宋体" w:cs="宋体"/>
                <w:sz w:val="24"/>
                <w:szCs w:val="22"/>
              </w:rPr>
              <w:t>考核相关接口</w:t>
            </w:r>
            <w:r>
              <w:rPr>
                <w:rFonts w:hint="eastAsia" w:ascii="宋体" w:hAnsi="宋体" w:cs="宋体"/>
                <w:sz w:val="24"/>
                <w:szCs w:val="22"/>
              </w:rPr>
              <w:br w:type="textWrapping"/>
            </w:r>
            <w:r>
              <w:rPr>
                <w:rFonts w:hint="eastAsia" w:ascii="宋体" w:hAnsi="宋体" w:cs="宋体"/>
                <w:sz w:val="24"/>
                <w:szCs w:val="22"/>
              </w:rPr>
              <w:t>（视频传输网侧）</w:t>
            </w:r>
          </w:p>
        </w:tc>
        <w:tc>
          <w:tcPr>
            <w:tcW w:w="918" w:type="pct"/>
            <w:vAlign w:val="center"/>
          </w:tcPr>
          <w:p>
            <w:pPr>
              <w:jc w:val="left"/>
              <w:rPr>
                <w:rFonts w:hint="eastAsia" w:ascii="宋体" w:hAnsi="宋体" w:cs="宋体"/>
                <w:sz w:val="24"/>
                <w:szCs w:val="22"/>
              </w:rPr>
            </w:pPr>
            <w:r>
              <w:rPr>
                <w:rFonts w:hint="eastAsia" w:ascii="宋体" w:hAnsi="宋体" w:cs="宋体"/>
                <w:sz w:val="24"/>
                <w:szCs w:val="22"/>
              </w:rPr>
              <w:t>大模型模块双网级联跨边界对接</w:t>
            </w:r>
          </w:p>
        </w:tc>
        <w:tc>
          <w:tcPr>
            <w:tcW w:w="3065" w:type="pct"/>
            <w:vAlign w:val="center"/>
          </w:tcPr>
          <w:p>
            <w:pPr>
              <w:jc w:val="left"/>
              <w:rPr>
                <w:rFonts w:hint="eastAsia" w:ascii="宋体" w:hAnsi="宋体" w:cs="宋体"/>
                <w:sz w:val="24"/>
                <w:szCs w:val="22"/>
              </w:rPr>
            </w:pPr>
            <w:r>
              <w:rPr>
                <w:rFonts w:hint="eastAsia" w:ascii="宋体" w:hAnsi="宋体" w:cs="宋体"/>
                <w:sz w:val="24"/>
                <w:szCs w:val="22"/>
              </w:rPr>
              <w:t>开发相关对接接口，进行分局公安信息网和视频传输网通过市局两网横向安全边界的申请、对接、调试，实现大模型模块双网级联跨边界对接。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444" w:type="pct"/>
            <w:vAlign w:val="center"/>
          </w:tcPr>
          <w:p>
            <w:pPr>
              <w:jc w:val="center"/>
              <w:rPr>
                <w:rFonts w:hint="eastAsia" w:ascii="宋体" w:hAnsi="宋体" w:cs="宋体"/>
                <w:sz w:val="24"/>
                <w:szCs w:val="22"/>
              </w:rPr>
            </w:pPr>
            <w:r>
              <w:rPr>
                <w:rFonts w:hint="eastAsia" w:ascii="宋体" w:hAnsi="宋体" w:cs="宋体"/>
                <w:sz w:val="24"/>
                <w:szCs w:val="22"/>
              </w:rPr>
              <w:t>10</w:t>
            </w:r>
          </w:p>
        </w:tc>
        <w:tc>
          <w:tcPr>
            <w:tcW w:w="572" w:type="pct"/>
            <w:vMerge w:val="continue"/>
            <w:vAlign w:val="center"/>
          </w:tcPr>
          <w:p>
            <w:pPr>
              <w:jc w:val="left"/>
              <w:rPr>
                <w:rFonts w:hint="eastAsia" w:ascii="宋体" w:hAnsi="宋体" w:cs="宋体"/>
                <w:sz w:val="24"/>
                <w:szCs w:val="22"/>
              </w:rPr>
            </w:pPr>
          </w:p>
        </w:tc>
        <w:tc>
          <w:tcPr>
            <w:tcW w:w="918" w:type="pct"/>
            <w:vMerge w:val="restart"/>
            <w:vAlign w:val="center"/>
          </w:tcPr>
          <w:p>
            <w:pPr>
              <w:jc w:val="left"/>
              <w:rPr>
                <w:rFonts w:hint="eastAsia" w:ascii="宋体" w:hAnsi="宋体" w:cs="宋体"/>
                <w:sz w:val="24"/>
                <w:szCs w:val="22"/>
              </w:rPr>
            </w:pPr>
            <w:r>
              <w:rPr>
                <w:rFonts w:hint="eastAsia" w:ascii="宋体" w:hAnsi="宋体" w:cs="宋体"/>
                <w:sz w:val="24"/>
                <w:szCs w:val="22"/>
              </w:rPr>
              <w:t>接口开发对接</w:t>
            </w:r>
          </w:p>
        </w:tc>
        <w:tc>
          <w:tcPr>
            <w:tcW w:w="3065" w:type="pct"/>
            <w:vAlign w:val="center"/>
          </w:tcPr>
          <w:p>
            <w:pPr>
              <w:jc w:val="left"/>
              <w:rPr>
                <w:rFonts w:hint="eastAsia" w:ascii="宋体" w:hAnsi="宋体" w:cs="宋体"/>
                <w:sz w:val="24"/>
                <w:szCs w:val="22"/>
              </w:rPr>
            </w:pPr>
            <w:r>
              <w:rPr>
                <w:rFonts w:hint="eastAsia" w:ascii="宋体" w:hAnsi="宋体" w:cs="宋体"/>
                <w:sz w:val="24"/>
                <w:szCs w:val="22"/>
              </w:rPr>
              <w:t>分局视频传输网侧，满足市局接口规范中定义的【管理接口】开发、对接、调试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44" w:type="pct"/>
            <w:vAlign w:val="center"/>
          </w:tcPr>
          <w:p>
            <w:pPr>
              <w:jc w:val="center"/>
              <w:rPr>
                <w:rFonts w:hint="eastAsia" w:ascii="宋体" w:hAnsi="宋体" w:cs="宋体"/>
                <w:sz w:val="24"/>
                <w:szCs w:val="22"/>
              </w:rPr>
            </w:pPr>
            <w:r>
              <w:rPr>
                <w:rFonts w:hint="eastAsia" w:ascii="宋体" w:hAnsi="宋体" w:cs="宋体"/>
                <w:sz w:val="24"/>
                <w:szCs w:val="22"/>
              </w:rPr>
              <w:t>11</w:t>
            </w:r>
          </w:p>
        </w:tc>
        <w:tc>
          <w:tcPr>
            <w:tcW w:w="572" w:type="pct"/>
            <w:vMerge w:val="continue"/>
            <w:vAlign w:val="center"/>
          </w:tcPr>
          <w:p>
            <w:pPr>
              <w:jc w:val="left"/>
              <w:rPr>
                <w:rFonts w:hint="eastAsia" w:ascii="宋体" w:hAnsi="宋体" w:cs="宋体"/>
                <w:sz w:val="24"/>
                <w:szCs w:val="22"/>
              </w:rPr>
            </w:pPr>
          </w:p>
        </w:tc>
        <w:tc>
          <w:tcPr>
            <w:tcW w:w="918" w:type="pct"/>
            <w:vMerge w:val="continue"/>
            <w:noWrap/>
            <w:vAlign w:val="center"/>
          </w:tcPr>
          <w:p>
            <w:pPr>
              <w:jc w:val="left"/>
              <w:rPr>
                <w:rFonts w:hint="eastAsia" w:ascii="宋体" w:hAnsi="宋体" w:cs="宋体"/>
                <w:sz w:val="24"/>
                <w:szCs w:val="22"/>
              </w:rPr>
            </w:pPr>
          </w:p>
        </w:tc>
        <w:tc>
          <w:tcPr>
            <w:tcW w:w="3065" w:type="pct"/>
            <w:vAlign w:val="center"/>
          </w:tcPr>
          <w:p>
            <w:pPr>
              <w:jc w:val="left"/>
              <w:rPr>
                <w:rFonts w:hint="eastAsia" w:ascii="宋体" w:hAnsi="宋体" w:cs="宋体"/>
                <w:sz w:val="24"/>
                <w:szCs w:val="22"/>
              </w:rPr>
            </w:pPr>
            <w:r>
              <w:rPr>
                <w:rFonts w:hint="eastAsia" w:ascii="宋体" w:hAnsi="宋体" w:cs="宋体"/>
                <w:sz w:val="24"/>
                <w:szCs w:val="22"/>
              </w:rPr>
              <w:t>分局视频传输网侧，满足市局接口规范中定义的【语义检索接口】开发、对接、调试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44" w:type="pct"/>
            <w:vAlign w:val="center"/>
          </w:tcPr>
          <w:p>
            <w:pPr>
              <w:jc w:val="center"/>
              <w:rPr>
                <w:rFonts w:hint="eastAsia" w:ascii="宋体" w:hAnsi="宋体" w:cs="宋体"/>
                <w:sz w:val="24"/>
                <w:szCs w:val="22"/>
              </w:rPr>
            </w:pPr>
            <w:r>
              <w:rPr>
                <w:rFonts w:hint="eastAsia" w:ascii="宋体" w:hAnsi="宋体" w:cs="宋体"/>
                <w:sz w:val="24"/>
                <w:szCs w:val="22"/>
              </w:rPr>
              <w:t>12</w:t>
            </w:r>
          </w:p>
        </w:tc>
        <w:tc>
          <w:tcPr>
            <w:tcW w:w="572" w:type="pct"/>
            <w:vMerge w:val="continue"/>
            <w:vAlign w:val="center"/>
          </w:tcPr>
          <w:p>
            <w:pPr>
              <w:jc w:val="left"/>
              <w:rPr>
                <w:rFonts w:hint="eastAsia" w:ascii="宋体" w:hAnsi="宋体" w:cs="宋体"/>
                <w:sz w:val="24"/>
                <w:szCs w:val="22"/>
              </w:rPr>
            </w:pPr>
          </w:p>
        </w:tc>
        <w:tc>
          <w:tcPr>
            <w:tcW w:w="918" w:type="pct"/>
            <w:vMerge w:val="continue"/>
            <w:vAlign w:val="center"/>
          </w:tcPr>
          <w:p>
            <w:pPr>
              <w:jc w:val="left"/>
              <w:rPr>
                <w:rFonts w:hint="eastAsia" w:ascii="宋体" w:hAnsi="宋体" w:cs="宋体"/>
                <w:sz w:val="24"/>
                <w:szCs w:val="22"/>
              </w:rPr>
            </w:pPr>
          </w:p>
        </w:tc>
        <w:tc>
          <w:tcPr>
            <w:tcW w:w="3065" w:type="pct"/>
            <w:vAlign w:val="center"/>
          </w:tcPr>
          <w:p>
            <w:pPr>
              <w:jc w:val="left"/>
              <w:rPr>
                <w:rFonts w:hint="eastAsia" w:ascii="宋体" w:hAnsi="宋体" w:cs="宋体"/>
                <w:sz w:val="24"/>
                <w:szCs w:val="22"/>
              </w:rPr>
            </w:pPr>
            <w:r>
              <w:rPr>
                <w:rFonts w:hint="eastAsia" w:ascii="宋体" w:hAnsi="宋体" w:cs="宋体"/>
                <w:sz w:val="24"/>
                <w:szCs w:val="22"/>
              </w:rPr>
              <w:t>分局视频传输网侧，满足市局接口规范中定义的【场景接口】开发、对接、调试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44" w:type="pct"/>
            <w:vAlign w:val="center"/>
          </w:tcPr>
          <w:p>
            <w:pPr>
              <w:jc w:val="center"/>
              <w:rPr>
                <w:rFonts w:hint="eastAsia" w:ascii="宋体" w:hAnsi="宋体" w:cs="宋体"/>
                <w:sz w:val="24"/>
                <w:szCs w:val="22"/>
              </w:rPr>
            </w:pPr>
            <w:r>
              <w:rPr>
                <w:rFonts w:hint="eastAsia" w:ascii="宋体" w:hAnsi="宋体" w:cs="宋体"/>
                <w:sz w:val="24"/>
                <w:szCs w:val="22"/>
              </w:rPr>
              <w:t>13</w:t>
            </w:r>
          </w:p>
        </w:tc>
        <w:tc>
          <w:tcPr>
            <w:tcW w:w="572" w:type="pct"/>
            <w:vMerge w:val="continue"/>
            <w:vAlign w:val="center"/>
          </w:tcPr>
          <w:p>
            <w:pPr>
              <w:jc w:val="left"/>
              <w:rPr>
                <w:rFonts w:hint="eastAsia" w:ascii="宋体" w:hAnsi="宋体" w:cs="宋体"/>
                <w:sz w:val="24"/>
                <w:szCs w:val="22"/>
              </w:rPr>
            </w:pPr>
          </w:p>
        </w:tc>
        <w:tc>
          <w:tcPr>
            <w:tcW w:w="918" w:type="pct"/>
            <w:vMerge w:val="continue"/>
            <w:vAlign w:val="center"/>
          </w:tcPr>
          <w:p>
            <w:pPr>
              <w:jc w:val="left"/>
              <w:rPr>
                <w:rFonts w:hint="eastAsia" w:ascii="宋体" w:hAnsi="宋体" w:cs="宋体"/>
                <w:sz w:val="24"/>
                <w:szCs w:val="22"/>
              </w:rPr>
            </w:pPr>
          </w:p>
        </w:tc>
        <w:tc>
          <w:tcPr>
            <w:tcW w:w="3065" w:type="pct"/>
            <w:vAlign w:val="center"/>
          </w:tcPr>
          <w:p>
            <w:pPr>
              <w:jc w:val="left"/>
              <w:rPr>
                <w:rFonts w:hint="eastAsia" w:ascii="宋体" w:hAnsi="宋体" w:cs="宋体"/>
                <w:sz w:val="24"/>
                <w:szCs w:val="22"/>
              </w:rPr>
            </w:pPr>
            <w:r>
              <w:rPr>
                <w:rFonts w:hint="eastAsia" w:ascii="宋体" w:hAnsi="宋体" w:cs="宋体"/>
                <w:sz w:val="24"/>
                <w:szCs w:val="22"/>
              </w:rPr>
              <w:t>分局视频传输网侧，满足市局接口规范中定义的【预警开放接口】开发、对接、调试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44" w:type="pct"/>
            <w:vAlign w:val="center"/>
          </w:tcPr>
          <w:p>
            <w:pPr>
              <w:jc w:val="center"/>
              <w:rPr>
                <w:rFonts w:hint="eastAsia" w:ascii="宋体" w:hAnsi="宋体" w:cs="宋体"/>
                <w:sz w:val="24"/>
                <w:szCs w:val="22"/>
              </w:rPr>
            </w:pPr>
            <w:r>
              <w:rPr>
                <w:rFonts w:hint="eastAsia" w:ascii="宋体" w:hAnsi="宋体" w:cs="宋体"/>
                <w:sz w:val="24"/>
                <w:szCs w:val="22"/>
              </w:rPr>
              <w:t>14</w:t>
            </w:r>
          </w:p>
        </w:tc>
        <w:tc>
          <w:tcPr>
            <w:tcW w:w="572" w:type="pct"/>
            <w:vMerge w:val="continue"/>
            <w:vAlign w:val="center"/>
          </w:tcPr>
          <w:p>
            <w:pPr>
              <w:jc w:val="left"/>
              <w:rPr>
                <w:rFonts w:hint="eastAsia" w:ascii="宋体" w:hAnsi="宋体" w:cs="宋体"/>
                <w:sz w:val="24"/>
                <w:szCs w:val="22"/>
              </w:rPr>
            </w:pPr>
          </w:p>
        </w:tc>
        <w:tc>
          <w:tcPr>
            <w:tcW w:w="918" w:type="pct"/>
            <w:vMerge w:val="continue"/>
            <w:vAlign w:val="center"/>
          </w:tcPr>
          <w:p>
            <w:pPr>
              <w:jc w:val="left"/>
              <w:rPr>
                <w:rFonts w:hint="eastAsia" w:ascii="宋体" w:hAnsi="宋体" w:cs="宋体"/>
                <w:sz w:val="24"/>
                <w:szCs w:val="22"/>
              </w:rPr>
            </w:pPr>
          </w:p>
        </w:tc>
        <w:tc>
          <w:tcPr>
            <w:tcW w:w="3065" w:type="pct"/>
            <w:vAlign w:val="center"/>
          </w:tcPr>
          <w:p>
            <w:pPr>
              <w:jc w:val="left"/>
              <w:rPr>
                <w:rFonts w:hint="eastAsia" w:ascii="宋体" w:hAnsi="宋体" w:cs="宋体"/>
                <w:sz w:val="24"/>
                <w:szCs w:val="22"/>
              </w:rPr>
            </w:pPr>
            <w:r>
              <w:rPr>
                <w:rFonts w:hint="eastAsia" w:ascii="宋体" w:hAnsi="宋体" w:cs="宋体"/>
                <w:sz w:val="24"/>
                <w:szCs w:val="22"/>
              </w:rPr>
              <w:t>分局视频传输网侧，满足市局接口规范中定义的【微训练接口】开发、对接、调试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44" w:type="pct"/>
            <w:vAlign w:val="center"/>
          </w:tcPr>
          <w:p>
            <w:pPr>
              <w:jc w:val="center"/>
              <w:rPr>
                <w:rFonts w:hint="eastAsia" w:ascii="宋体" w:hAnsi="宋体" w:cs="宋体"/>
                <w:sz w:val="24"/>
                <w:szCs w:val="22"/>
              </w:rPr>
            </w:pPr>
            <w:r>
              <w:rPr>
                <w:rFonts w:hint="eastAsia" w:ascii="宋体" w:hAnsi="宋体" w:cs="宋体"/>
                <w:sz w:val="24"/>
                <w:szCs w:val="22"/>
              </w:rPr>
              <w:t>15</w:t>
            </w:r>
          </w:p>
        </w:tc>
        <w:tc>
          <w:tcPr>
            <w:tcW w:w="572" w:type="pct"/>
            <w:vMerge w:val="continue"/>
            <w:vAlign w:val="center"/>
          </w:tcPr>
          <w:p>
            <w:pPr>
              <w:jc w:val="left"/>
              <w:rPr>
                <w:rFonts w:hint="eastAsia" w:ascii="宋体" w:hAnsi="宋体" w:cs="宋体"/>
                <w:sz w:val="24"/>
                <w:szCs w:val="22"/>
              </w:rPr>
            </w:pPr>
          </w:p>
        </w:tc>
        <w:tc>
          <w:tcPr>
            <w:tcW w:w="918" w:type="pct"/>
            <w:vMerge w:val="continue"/>
            <w:vAlign w:val="center"/>
          </w:tcPr>
          <w:p>
            <w:pPr>
              <w:jc w:val="left"/>
              <w:rPr>
                <w:rFonts w:hint="eastAsia" w:ascii="宋体" w:hAnsi="宋体" w:cs="宋体"/>
                <w:sz w:val="24"/>
                <w:szCs w:val="22"/>
              </w:rPr>
            </w:pPr>
          </w:p>
        </w:tc>
        <w:tc>
          <w:tcPr>
            <w:tcW w:w="3065" w:type="pct"/>
            <w:vAlign w:val="center"/>
          </w:tcPr>
          <w:p>
            <w:pPr>
              <w:jc w:val="left"/>
              <w:rPr>
                <w:rFonts w:hint="eastAsia" w:ascii="宋体" w:hAnsi="宋体" w:cs="宋体"/>
                <w:sz w:val="24"/>
                <w:szCs w:val="22"/>
              </w:rPr>
            </w:pPr>
            <w:r>
              <w:rPr>
                <w:rFonts w:hint="eastAsia" w:ascii="宋体" w:hAnsi="宋体" w:cs="宋体"/>
                <w:sz w:val="24"/>
                <w:szCs w:val="22"/>
              </w:rPr>
              <w:t>分局视频传输网侧，满足市局接口规范中定义的【统计接口】开发、对接、调试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44" w:type="pct"/>
            <w:vAlign w:val="center"/>
          </w:tcPr>
          <w:p>
            <w:pPr>
              <w:jc w:val="center"/>
              <w:rPr>
                <w:rFonts w:hint="eastAsia" w:ascii="宋体" w:hAnsi="宋体" w:cs="宋体"/>
                <w:sz w:val="24"/>
                <w:szCs w:val="22"/>
              </w:rPr>
            </w:pPr>
            <w:r>
              <w:rPr>
                <w:rFonts w:hint="eastAsia" w:ascii="宋体" w:hAnsi="宋体" w:cs="宋体"/>
                <w:sz w:val="24"/>
                <w:szCs w:val="22"/>
              </w:rPr>
              <w:t>16</w:t>
            </w:r>
          </w:p>
        </w:tc>
        <w:tc>
          <w:tcPr>
            <w:tcW w:w="572" w:type="pct"/>
            <w:vMerge w:val="continue"/>
            <w:vAlign w:val="center"/>
          </w:tcPr>
          <w:p>
            <w:pPr>
              <w:jc w:val="left"/>
              <w:rPr>
                <w:rFonts w:hint="eastAsia" w:ascii="宋体" w:hAnsi="宋体" w:cs="宋体"/>
                <w:sz w:val="24"/>
                <w:szCs w:val="22"/>
              </w:rPr>
            </w:pPr>
          </w:p>
        </w:tc>
        <w:tc>
          <w:tcPr>
            <w:tcW w:w="918" w:type="pct"/>
            <w:vMerge w:val="continue"/>
            <w:vAlign w:val="center"/>
          </w:tcPr>
          <w:p>
            <w:pPr>
              <w:jc w:val="left"/>
              <w:rPr>
                <w:rFonts w:hint="eastAsia" w:ascii="宋体" w:hAnsi="宋体" w:cs="宋体"/>
                <w:sz w:val="24"/>
                <w:szCs w:val="22"/>
              </w:rPr>
            </w:pPr>
          </w:p>
        </w:tc>
        <w:tc>
          <w:tcPr>
            <w:tcW w:w="3065" w:type="pct"/>
            <w:vAlign w:val="center"/>
          </w:tcPr>
          <w:p>
            <w:pPr>
              <w:jc w:val="left"/>
              <w:rPr>
                <w:rFonts w:hint="eastAsia" w:ascii="宋体" w:hAnsi="宋体" w:cs="宋体"/>
                <w:sz w:val="24"/>
                <w:szCs w:val="22"/>
              </w:rPr>
            </w:pPr>
            <w:r>
              <w:rPr>
                <w:rFonts w:hint="eastAsia" w:ascii="宋体" w:hAnsi="宋体" w:cs="宋体"/>
                <w:sz w:val="24"/>
                <w:szCs w:val="22"/>
              </w:rPr>
              <w:t>分局视频传输网侧，满足市局接口规范中定义的【采集设备接口】开发、对接、调试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444" w:type="pct"/>
            <w:vAlign w:val="center"/>
          </w:tcPr>
          <w:p>
            <w:pPr>
              <w:jc w:val="center"/>
              <w:rPr>
                <w:rFonts w:hint="eastAsia" w:ascii="宋体" w:hAnsi="宋体" w:cs="宋体"/>
                <w:sz w:val="24"/>
                <w:szCs w:val="22"/>
              </w:rPr>
            </w:pPr>
            <w:r>
              <w:rPr>
                <w:rFonts w:hint="eastAsia" w:ascii="宋体" w:hAnsi="宋体" w:cs="宋体"/>
                <w:sz w:val="24"/>
                <w:szCs w:val="22"/>
              </w:rPr>
              <w:t>17</w:t>
            </w:r>
          </w:p>
        </w:tc>
        <w:tc>
          <w:tcPr>
            <w:tcW w:w="1490" w:type="pct"/>
            <w:gridSpan w:val="2"/>
            <w:vAlign w:val="center"/>
          </w:tcPr>
          <w:p>
            <w:pPr>
              <w:jc w:val="center"/>
              <w:rPr>
                <w:rFonts w:hint="eastAsia" w:ascii="宋体" w:hAnsi="宋体" w:cs="宋体"/>
                <w:sz w:val="24"/>
                <w:szCs w:val="22"/>
              </w:rPr>
            </w:pPr>
            <w:r>
              <w:rPr>
                <w:rFonts w:hint="eastAsia" w:ascii="宋体" w:hAnsi="宋体" w:cs="宋体"/>
                <w:sz w:val="24"/>
                <w:szCs w:val="22"/>
              </w:rPr>
              <w:t>多厂商大模型能力集群对接</w:t>
            </w:r>
          </w:p>
        </w:tc>
        <w:tc>
          <w:tcPr>
            <w:tcW w:w="3065" w:type="pct"/>
            <w:vAlign w:val="center"/>
          </w:tcPr>
          <w:p>
            <w:pPr>
              <w:jc w:val="left"/>
              <w:rPr>
                <w:rFonts w:hint="eastAsia" w:ascii="宋体" w:hAnsi="宋体" w:cs="宋体"/>
                <w:sz w:val="24"/>
                <w:szCs w:val="22"/>
              </w:rPr>
            </w:pPr>
            <w:r>
              <w:rPr>
                <w:rFonts w:hint="eastAsia" w:ascii="宋体" w:hAnsi="宋体" w:cs="宋体"/>
                <w:sz w:val="24"/>
                <w:szCs w:val="22"/>
              </w:rPr>
              <w:t>完成与2家不同大模型能力集群厂商平台的接口开发、对接、调试，满足市局对于分局“机器看视频”城市安全管理大模型相关场景预警考核要求。</w:t>
            </w:r>
          </w:p>
        </w:tc>
      </w:tr>
    </w:tbl>
    <w:p>
      <w:pPr>
        <w:pStyle w:val="3"/>
        <w:ind w:firstLine="480"/>
        <w:rPr>
          <w:rFonts w:hint="eastAsia"/>
        </w:rPr>
      </w:pPr>
    </w:p>
    <w:p>
      <w:pPr>
        <w:pStyle w:val="3"/>
        <w:ind w:firstLine="480"/>
        <w:rPr>
          <w:rFonts w:hint="eastAsia"/>
        </w:rPr>
      </w:pPr>
    </w:p>
    <w:p>
      <w:pPr>
        <w:pStyle w:val="4"/>
        <w:rPr>
          <w:rFonts w:hint="eastAsia"/>
        </w:rPr>
      </w:pPr>
      <w:r>
        <w:rPr>
          <w:rFonts w:hint="eastAsia"/>
        </w:rPr>
        <w:t>智能算法支撑具体建设需求</w:t>
      </w:r>
    </w:p>
    <w:p>
      <w:pPr>
        <w:pStyle w:val="5"/>
        <w:rPr>
          <w:rFonts w:hint="eastAsia"/>
        </w:rPr>
      </w:pPr>
      <w:r>
        <w:rPr>
          <w:rFonts w:hint="eastAsia"/>
        </w:rPr>
        <w:t>场景异动类算法产品业务需求</w:t>
      </w:r>
    </w:p>
    <w:p>
      <w:pPr>
        <w:pStyle w:val="3"/>
        <w:ind w:firstLine="480"/>
        <w:rPr>
          <w:rFonts w:hint="eastAsia"/>
        </w:rPr>
      </w:pPr>
      <w:r>
        <w:rPr>
          <w:rFonts w:hint="eastAsia"/>
        </w:rPr>
        <w:t>本项目依据长宁辖区地理环境的客观情况和区情区况实际业务需求，拟配套构建相关场景异动预警底层计算能力。即面向220路社会面安防重点关注区域、场所、目标采集的视频场景，新建不少于15种常用场景异动类智能算法，包括但不限于人群聚集行为检测、人员拉不特定标识行为检测、人员摔倒检测、人员绊线/区域入侵行为检测、人员徘徊行为检测、人员穿着奇装异服行为检测、人员奔跑行为检测，行人非机动车闯入检测、机动车闯入检测、机动车逆行检测、非机车逆行检测、机动车绊线入侵检测、大型四脚动物检测、遛狗未牵狗绳检测、烟雾火焰检测等，以实现在多类型细分场景的具体算法实战化应用实践。</w:t>
      </w:r>
    </w:p>
    <w:p>
      <w:pPr>
        <w:pStyle w:val="6"/>
        <w:rPr>
          <w:rFonts w:hint="eastAsia" w:ascii="宋体" w:hAnsi="宋体" w:eastAsia="宋体"/>
        </w:rPr>
      </w:pPr>
      <w:r>
        <w:rPr>
          <w:rFonts w:hint="eastAsia" w:ascii="宋体" w:hAnsi="宋体" w:eastAsia="宋体"/>
        </w:rPr>
        <w:t>场景异动类算法产品1</w:t>
      </w:r>
    </w:p>
    <w:p>
      <w:pPr>
        <w:pStyle w:val="3"/>
        <w:ind w:firstLine="480"/>
        <w:rPr>
          <w:rFonts w:hint="eastAsia"/>
        </w:rPr>
      </w:pPr>
      <w:r>
        <w:rPr>
          <w:rFonts w:hint="eastAsia"/>
        </w:rPr>
        <w:t>面向110路社会面安防重点关注区域、场所、目标采集的视频场景，除了前述2种场景异动类算法产品外，基于大模型、多模态等新技术，提供与前述场景异动类检测算法不同，可实现如离线解析、实时图像结构化解析、录像结构化解析、特征要素多模态解析、以文字和图片搜图片、以文字和图片搜视频等功能，且不少于1种用户认可的特定类场景应用或特定类算法。</w:t>
      </w:r>
    </w:p>
    <w:p>
      <w:pPr>
        <w:pStyle w:val="3"/>
        <w:ind w:firstLine="480"/>
        <w:rPr>
          <w:rFonts w:hint="eastAsia"/>
        </w:rPr>
      </w:pPr>
      <w:r>
        <w:rPr>
          <w:rFonts w:hint="eastAsia"/>
        </w:rPr>
        <w:t>算法产品供应商需承诺在建设及免费质保期内，针对上述算法提供免费升级、迭代更新服务，以确保用户实战使用效果。</w:t>
      </w:r>
    </w:p>
    <w:p>
      <w:pPr>
        <w:pStyle w:val="6"/>
        <w:rPr>
          <w:rFonts w:hint="eastAsia" w:ascii="宋体" w:hAnsi="宋体" w:eastAsia="宋体"/>
        </w:rPr>
      </w:pPr>
      <w:r>
        <w:rPr>
          <w:rFonts w:hint="eastAsia" w:ascii="宋体" w:hAnsi="宋体" w:eastAsia="宋体"/>
        </w:rPr>
        <w:t>场景异动类算法产品</w:t>
      </w:r>
      <w:r>
        <w:rPr>
          <w:rFonts w:ascii="宋体" w:hAnsi="宋体" w:eastAsia="宋体"/>
        </w:rPr>
        <w:t>2</w:t>
      </w:r>
    </w:p>
    <w:p>
      <w:pPr>
        <w:pStyle w:val="3"/>
        <w:ind w:firstLine="480"/>
        <w:rPr>
          <w:rFonts w:hint="eastAsia"/>
        </w:rPr>
      </w:pPr>
      <w:r>
        <w:rPr>
          <w:rFonts w:hint="eastAsia"/>
        </w:rPr>
        <w:t>面向110路社会面安防重点关注区域、场所、目标采集的视频场景，除了前述2种场景异动类算法产品外，基于大模型、多模态等新技术，提供与前述场景异动类检测算法不同，可实现如离线解析、实时图像结构化解析、录像结构化解析、特征要素多模态解析、以文字和图片搜图片、以文字和图片搜视频等功能，且不少于1种用户认可的特定类场景应用或特定类算法。</w:t>
      </w:r>
    </w:p>
    <w:p>
      <w:pPr>
        <w:pStyle w:val="3"/>
        <w:ind w:firstLine="480"/>
        <w:rPr>
          <w:rFonts w:hint="eastAsia"/>
        </w:rPr>
      </w:pPr>
      <w:r>
        <w:rPr>
          <w:rFonts w:hint="eastAsia"/>
        </w:rPr>
        <w:t>算法产品供应商需承诺在建设及免费质保期内，针对上述算法提供免费升级、迭代更新服务，以确保用户实战使用效果。</w:t>
      </w:r>
    </w:p>
    <w:p>
      <w:pPr>
        <w:pStyle w:val="5"/>
        <w:rPr>
          <w:rFonts w:hint="eastAsia"/>
          <w:color w:val="auto"/>
        </w:rPr>
      </w:pPr>
      <w:r>
        <w:rPr>
          <w:rFonts w:hint="eastAsia"/>
        </w:rPr>
        <w:t>平台视频计算能力设备（GPU）需求</w:t>
      </w:r>
    </w:p>
    <w:p>
      <w:pPr>
        <w:pStyle w:val="3"/>
        <w:ind w:firstLine="480"/>
        <w:rPr>
          <w:rFonts w:hint="eastAsia"/>
        </w:rPr>
      </w:pPr>
      <w:r>
        <w:rPr>
          <w:rFonts w:hint="eastAsia"/>
        </w:rPr>
        <w:t>为实现面向22</w:t>
      </w:r>
      <w:r>
        <w:t>0</w:t>
      </w:r>
      <w:r>
        <w:rPr>
          <w:rFonts w:hint="eastAsia"/>
        </w:rPr>
        <w:t>路社会面安防重点关注区域、场所、目标采集的视频场景，新建的15种场景异动类智能算法顺利运行，本项目拟新增配套部署1台高性能算力G</w:t>
      </w:r>
      <w:r>
        <w:t>PU</w:t>
      </w:r>
      <w:r>
        <w:rPr>
          <w:rFonts w:hint="eastAsia"/>
        </w:rPr>
        <w:t>硬件设备。</w:t>
      </w:r>
    </w:p>
    <w:p>
      <w:pPr>
        <w:pStyle w:val="3"/>
        <w:ind w:firstLine="480"/>
        <w:rPr>
          <w:rFonts w:hint="eastAsia"/>
        </w:rPr>
      </w:pPr>
      <w:r>
        <w:rPr>
          <w:rFonts w:hint="eastAsia"/>
        </w:rPr>
        <w:t>单台G</w:t>
      </w:r>
      <w:r>
        <w:t>PU</w:t>
      </w:r>
      <w:r>
        <w:rPr>
          <w:rFonts w:hint="eastAsia"/>
        </w:rPr>
        <w:t>设备硬件配置要求如下：</w:t>
      </w:r>
    </w:p>
    <w:p>
      <w:pPr>
        <w:pStyle w:val="3"/>
        <w:ind w:firstLine="480"/>
        <w:rPr>
          <w:rFonts w:hint="eastAsia"/>
        </w:rPr>
      </w:pPr>
      <w:r>
        <w:rPr>
          <w:rFonts w:hint="eastAsia"/>
        </w:rPr>
        <w:t>1、核心处理器：不少于4颗国产高性能处理器，每颗CPU核心数不低于48核，每颗CPU主频不低于2.6GHz；</w:t>
      </w:r>
    </w:p>
    <w:p>
      <w:pPr>
        <w:pStyle w:val="3"/>
        <w:ind w:firstLine="480"/>
        <w:rPr>
          <w:rFonts w:hint="eastAsia"/>
        </w:rPr>
      </w:pPr>
      <w:r>
        <w:rPr>
          <w:rFonts w:hint="eastAsia"/>
        </w:rPr>
        <w:t>2、内存：不少于32*32GB，DDR4内存；内存频率不低于3200MHz；</w:t>
      </w:r>
    </w:p>
    <w:p>
      <w:pPr>
        <w:pStyle w:val="3"/>
        <w:ind w:firstLine="480"/>
        <w:rPr>
          <w:rFonts w:hint="eastAsia"/>
        </w:rPr>
      </w:pPr>
      <w:r>
        <w:rPr>
          <w:rFonts w:hint="eastAsia"/>
        </w:rPr>
        <w:t>3、硬盘1：不少于2块960G，SSD硬盘</w:t>
      </w:r>
    </w:p>
    <w:p>
      <w:pPr>
        <w:pStyle w:val="3"/>
        <w:ind w:firstLine="480"/>
        <w:rPr>
          <w:rFonts w:hint="eastAsia"/>
        </w:rPr>
      </w:pPr>
      <w:r>
        <w:rPr>
          <w:rFonts w:hint="eastAsia"/>
        </w:rPr>
        <w:t>4、硬盘2：不少于2块3.84T，NVMe硬盘；</w:t>
      </w:r>
    </w:p>
    <w:p>
      <w:pPr>
        <w:pStyle w:val="3"/>
        <w:ind w:firstLine="480"/>
        <w:rPr>
          <w:rFonts w:hint="eastAsia"/>
        </w:rPr>
      </w:pPr>
      <w:r>
        <w:rPr>
          <w:rFonts w:hint="eastAsia"/>
        </w:rPr>
        <w:t>5、RAID卡：不少于1块高性能RAID控制器，板载不低于4GB缓存，支持RAID 0/1/10/6/5/50/60，配置超级电容保护;</w:t>
      </w:r>
    </w:p>
    <w:p>
      <w:pPr>
        <w:pStyle w:val="3"/>
        <w:ind w:firstLine="480"/>
        <w:rPr>
          <w:rFonts w:hint="eastAsia"/>
        </w:rPr>
      </w:pPr>
      <w:r>
        <w:rPr>
          <w:rFonts w:hint="eastAsia"/>
        </w:rPr>
        <w:t>6、AI处理器：不少于8颗国产AI处理器，单芯片提供不低于280T FLOPS FP16算力，AI处理器支持直出不低于200GE网络接口，单颗AI处理器HBM不低于64GB；</w:t>
      </w:r>
    </w:p>
    <w:p>
      <w:pPr>
        <w:pStyle w:val="3"/>
        <w:ind w:firstLine="480"/>
        <w:rPr>
          <w:rFonts w:hint="eastAsia"/>
        </w:rPr>
      </w:pPr>
      <w:r>
        <w:rPr>
          <w:rFonts w:hint="eastAsia"/>
        </w:rPr>
        <w:t xml:space="preserve">7、网卡：配置不少于8*200GE光口（含满配光模块）；不少于2*100GE光口（含满配光模块）；不少于4*25GE光口（含满配光模块）；  </w:t>
      </w:r>
    </w:p>
    <w:p>
      <w:pPr>
        <w:pStyle w:val="3"/>
        <w:ind w:firstLine="480"/>
        <w:rPr>
          <w:rFonts w:hint="eastAsia"/>
        </w:rPr>
      </w:pPr>
      <w:r>
        <w:rPr>
          <w:rFonts w:hint="eastAsia"/>
        </w:rPr>
        <w:t xml:space="preserve">8、电源模块：满配冗电单电功率不低于2600W电源4个；  </w:t>
      </w:r>
    </w:p>
    <w:p>
      <w:pPr>
        <w:pStyle w:val="3"/>
        <w:ind w:firstLine="480"/>
        <w:rPr>
          <w:rFonts w:hint="eastAsia"/>
        </w:rPr>
      </w:pPr>
      <w:r>
        <w:rPr>
          <w:rFonts w:hint="eastAsia"/>
          <w:lang w:val="en-US" w:eastAsia="zh-CN"/>
        </w:rPr>
        <w:t xml:space="preserve">9、 </w:t>
      </w:r>
      <w:r>
        <w:rPr>
          <w:rFonts w:hint="eastAsia"/>
        </w:rPr>
        <w:t xml:space="preserve">不少于8个风扇，支持单风扇失效；  </w:t>
      </w:r>
    </w:p>
    <w:p>
      <w:pPr>
        <w:pStyle w:val="3"/>
        <w:ind w:firstLine="480"/>
        <w:rPr>
          <w:rFonts w:hint="eastAsia"/>
        </w:rPr>
      </w:pPr>
      <w:r>
        <w:rPr>
          <w:rFonts w:hint="eastAsia"/>
        </w:rPr>
        <w:t>10、提供存储介质保留服务，提供原厂售后服务承诺函和授权书。</w:t>
      </w:r>
    </w:p>
    <w:p>
      <w:pPr>
        <w:pStyle w:val="5"/>
        <w:ind w:left="0"/>
        <w:rPr>
          <w:rFonts w:hint="eastAsia"/>
        </w:rPr>
      </w:pPr>
      <w:r>
        <w:rPr>
          <w:rFonts w:hint="eastAsia"/>
        </w:rPr>
        <w:t>软件开发部署配套基础设施需求</w:t>
      </w:r>
    </w:p>
    <w:p>
      <w:pPr>
        <w:pStyle w:val="6"/>
        <w:rPr>
          <w:rFonts w:hint="eastAsia"/>
        </w:rPr>
      </w:pPr>
      <w:r>
        <w:rPr>
          <w:rFonts w:hint="eastAsia"/>
        </w:rPr>
        <w:t>通用服务器</w:t>
      </w:r>
    </w:p>
    <w:p>
      <w:pPr>
        <w:pStyle w:val="3"/>
        <w:ind w:firstLine="480"/>
        <w:rPr>
          <w:rFonts w:hint="eastAsia"/>
        </w:rPr>
      </w:pPr>
      <w:r>
        <w:rPr>
          <w:rFonts w:hint="eastAsia"/>
        </w:rPr>
        <w:t>结合分局现有通用服务器资源现状，本次项目新建视图智能计算预警应用软件平台，拟利旧分局现有云计算硬件空余资源按虚拟机方式部署运行环境，按用途分具体部署形态为：部署1台虚拟机为应用服务器，用于平台软件的部署；</w:t>
      </w:r>
      <w:r>
        <w:t>2</w:t>
      </w:r>
      <w:r>
        <w:rPr>
          <w:rFonts w:hint="eastAsia"/>
        </w:rPr>
        <w:t>台虚拟机为对接服务器，分别对接外部算力资源，外部算法资源、第三方应用系统；2台虚拟机为数据库服务器（一主一备）。</w:t>
      </w:r>
    </w:p>
    <w:bookmarkEnd w:id="5"/>
    <w:p>
      <w:pPr>
        <w:pStyle w:val="4"/>
        <w:rPr>
          <w:rFonts w:hint="eastAsia"/>
          <w:color w:val="000000" w:themeColor="text1"/>
          <w14:textFill>
            <w14:solidFill>
              <w14:schemeClr w14:val="tx1"/>
            </w14:solidFill>
          </w14:textFill>
        </w:rPr>
      </w:pPr>
      <w:bookmarkStart w:id="6" w:name="_Toc167116763"/>
      <w:bookmarkStart w:id="7" w:name="_Toc167116762"/>
      <w:r>
        <w:rPr>
          <w:rFonts w:hint="eastAsia"/>
          <w:color w:val="000000" w:themeColor="text1"/>
          <w14:textFill>
            <w14:solidFill>
              <w14:schemeClr w14:val="tx1"/>
            </w14:solidFill>
          </w14:textFill>
        </w:rPr>
        <w:t>智能分析服务器部署</w:t>
      </w:r>
      <w:r>
        <w:rPr>
          <w:rFonts w:hint="eastAsia"/>
        </w:rPr>
        <w:t>具体建设需求</w:t>
      </w:r>
    </w:p>
    <w:p>
      <w:pPr>
        <w:pStyle w:val="3"/>
        <w:ind w:firstLine="480"/>
        <w:rPr>
          <w:rFonts w:hint="eastAsia"/>
        </w:rPr>
      </w:pPr>
      <w:r>
        <w:rPr>
          <w:rFonts w:hint="eastAsia"/>
        </w:rPr>
        <w:t>集成视频接入、存储转发、高清解码、AI智能分析、报警联动、算法迭代等一体化功能，依托国产系统实现信创安全，通过高密度算力实现多场景智能安防应用，以高可靠硬件架构保障系统稳定运行，简化项目安防系统架构，降低运维成本，实现监控业务智能化、精细化、数字化管控。</w:t>
      </w:r>
    </w:p>
    <w:p>
      <w:pPr>
        <w:pStyle w:val="3"/>
        <w:ind w:firstLine="480"/>
        <w:rPr>
          <w:rFonts w:hint="eastAsia"/>
        </w:rPr>
      </w:pPr>
      <w:r>
        <w:rPr>
          <w:rFonts w:hint="eastAsia"/>
        </w:rPr>
        <w:t>单台支持大于300路前端智能摄像机接入，可并行实现人脸检测、人脸识别、视频结构化、通用行为分析四大核心智能业务，完成视频画面智能解析与特征数据提取。</w:t>
      </w:r>
    </w:p>
    <w:p>
      <w:pPr>
        <w:pStyle w:val="5"/>
        <w:rPr>
          <w:rFonts w:hint="eastAsia"/>
        </w:rPr>
      </w:pPr>
      <w:r>
        <w:rPr>
          <w:rFonts w:hint="eastAsia"/>
        </w:rPr>
        <w:t>核心硬件平台需求</w:t>
      </w:r>
    </w:p>
    <w:p>
      <w:pPr>
        <w:pStyle w:val="3"/>
        <w:ind w:firstLine="480"/>
        <w:rPr>
          <w:rFonts w:hint="eastAsia"/>
        </w:rPr>
      </w:pPr>
      <w:r>
        <w:rPr>
          <w:rFonts w:hint="eastAsia"/>
        </w:rPr>
        <w:t>1. 核心配置：设备搭载64位高性能多核处理器，预装国产操作系统，满足信创建设要求，系统安全稳定、兼容性强，可承载多业务并发运行。</w:t>
      </w:r>
    </w:p>
    <w:p>
      <w:pPr>
        <w:pStyle w:val="3"/>
        <w:ind w:firstLine="480"/>
        <w:rPr>
          <w:rFonts w:hint="eastAsia"/>
        </w:rPr>
      </w:pPr>
      <w:r>
        <w:rPr>
          <w:rFonts w:hint="eastAsia"/>
        </w:rPr>
        <w:t>2. AI算力配置：内置高密度GPU算力模组，配备32颗高性能GPU，单颗GPU算力要求22TOPS（INT8）；支持GPU虚拟化，单颗GPU可虚拟多组独立智能引擎，可灵活分配资源，支持多类AI算法并行运行。</w:t>
      </w:r>
    </w:p>
    <w:p>
      <w:pPr>
        <w:pStyle w:val="3"/>
        <w:ind w:firstLine="480"/>
        <w:rPr>
          <w:rFonts w:hint="eastAsia"/>
          <w:b/>
          <w:bCs/>
          <w:highlight w:val="none"/>
        </w:rPr>
      </w:pPr>
      <w:r>
        <w:rPr>
          <w:rFonts w:hint="eastAsia" w:ascii="Segoe UI Emoji" w:hAnsi="Segoe UI Emoji" w:eastAsia="Segoe UI Emoji" w:cs="Segoe UI Emoji"/>
        </w:rPr>
        <w:t>▲</w:t>
      </w:r>
      <w:r>
        <w:rPr>
          <w:rFonts w:hint="eastAsia" w:ascii="Segoe UI Emoji" w:hAnsi="Segoe UI Emoji" w:cs="Segoe UI Emoji" w:eastAsiaTheme="minorEastAsia"/>
        </w:rPr>
        <w:t xml:space="preserve"> </w:t>
      </w:r>
      <w:r>
        <w:rPr>
          <w:rFonts w:hint="eastAsia"/>
        </w:rPr>
        <w:t>3、GPU引擎状态界面可现实引擎工作温度，可查看引擎配置及利用率。</w:t>
      </w:r>
      <w:r>
        <w:rPr>
          <w:rFonts w:hint="eastAsia"/>
          <w:b/>
          <w:bCs/>
          <w:highlight w:val="none"/>
        </w:rPr>
        <w:t>（提供原厂授权及证明材料）</w:t>
      </w:r>
    </w:p>
    <w:p>
      <w:pPr>
        <w:pStyle w:val="5"/>
        <w:rPr>
          <w:rFonts w:hint="eastAsia"/>
        </w:rPr>
      </w:pPr>
      <w:r>
        <w:rPr>
          <w:rFonts w:hint="eastAsia"/>
        </w:rPr>
        <w:t>视频接入与网络性能需求</w:t>
      </w:r>
    </w:p>
    <w:p>
      <w:pPr>
        <w:pStyle w:val="3"/>
        <w:ind w:firstLine="480"/>
        <w:rPr>
          <w:rFonts w:hint="eastAsia"/>
        </w:rPr>
      </w:pPr>
      <w:r>
        <w:rPr>
          <w:rFonts w:hint="eastAsia"/>
        </w:rPr>
        <w:t>1. 接入能力：设备最大支持384路高清视频同时接入，可集中管控项目内各类高清、超高清前端摄像机，满足大规模视频点位统一管理需求。</w:t>
      </w:r>
    </w:p>
    <w:p>
      <w:pPr>
        <w:pStyle w:val="3"/>
        <w:ind w:firstLine="480"/>
        <w:rPr>
          <w:rFonts w:hint="eastAsia"/>
        </w:rPr>
      </w:pPr>
      <w:r>
        <w:rPr>
          <w:rFonts w:hint="eastAsia"/>
        </w:rPr>
        <w:t>2. 带宽性能：接入、存储、转发带宽均不低于1280Mbps，实现高码流视频稳定接入、高速存储、低延迟转发，适配高并发监控场景。</w:t>
      </w:r>
    </w:p>
    <w:p>
      <w:pPr>
        <w:pStyle w:val="3"/>
        <w:ind w:firstLine="480"/>
        <w:rPr>
          <w:rFonts w:hint="eastAsia"/>
        </w:rPr>
      </w:pPr>
      <w:r>
        <w:rPr>
          <w:rFonts w:hint="eastAsia"/>
        </w:rPr>
        <w:t>3. 分辨率兼容：全面兼容720P至32MP全系列主流视频分辨率，适配项目各类标清、高清、超高清前端设备接入。</w:t>
      </w:r>
    </w:p>
    <w:p>
      <w:pPr>
        <w:pStyle w:val="3"/>
        <w:ind w:firstLine="480"/>
        <w:rPr>
          <w:rFonts w:hint="eastAsia"/>
        </w:rPr>
      </w:pPr>
      <w:r>
        <w:t xml:space="preserve"> </w:t>
      </w:r>
      <w:r>
        <w:rPr>
          <w:rFonts w:hint="eastAsia"/>
        </w:rPr>
        <w:t>4、支持对动态视频惊醒不低于13倍的压缩，压缩前后视频文件帧率、分辨率、时长不变。压缩后图像峰值信噪比PSNR≥33.7dB；结构相似度</w:t>
      </w:r>
      <w:r>
        <w:t>SSIM</w:t>
      </w:r>
      <w:r>
        <w:rPr>
          <w:rFonts w:hint="eastAsia"/>
        </w:rPr>
        <w:t>≥0.98。</w:t>
      </w:r>
    </w:p>
    <w:p>
      <w:pPr>
        <w:pStyle w:val="5"/>
        <w:rPr>
          <w:rFonts w:hint="eastAsia"/>
        </w:rPr>
      </w:pPr>
      <w:r>
        <w:rPr>
          <w:rFonts w:hint="eastAsia"/>
        </w:rPr>
        <w:t>视频解码能力需求</w:t>
      </w:r>
    </w:p>
    <w:p>
      <w:pPr>
        <w:pStyle w:val="3"/>
        <w:ind w:firstLine="480"/>
        <w:rPr>
          <w:rFonts w:hint="eastAsia"/>
        </w:rPr>
      </w:pPr>
      <w:r>
        <w:rPr>
          <w:rFonts w:hint="eastAsia"/>
        </w:rPr>
        <w:t>设备需具备超强多路多级解码能力，支持32MP、24MP、16MP、12MP、8MP及以下各分辨率视频多路并发解码，满足监控大屏实时预览、视频回放、录像调取等业务需求。12MP以上超高清视频支持H.265高效解码，适配超高清视频传输存储标准，节约系统带宽与存储资源。</w:t>
      </w:r>
    </w:p>
    <w:p>
      <w:pPr>
        <w:pStyle w:val="5"/>
        <w:rPr>
          <w:rFonts w:hint="eastAsia"/>
        </w:rPr>
      </w:pPr>
      <w:r>
        <w:rPr>
          <w:rFonts w:hint="eastAsia"/>
        </w:rPr>
        <w:t>智能算法功能需求</w:t>
      </w:r>
    </w:p>
    <w:p>
      <w:pPr>
        <w:pStyle w:val="3"/>
        <w:ind w:firstLine="480"/>
        <w:rPr>
          <w:rFonts w:hint="eastAsia"/>
        </w:rPr>
      </w:pPr>
      <w:r>
        <w:rPr>
          <w:rFonts w:hint="eastAsia"/>
        </w:rPr>
        <w:t>（一）后端智能分析能力</w:t>
      </w:r>
    </w:p>
    <w:p>
      <w:pPr>
        <w:pStyle w:val="3"/>
        <w:ind w:firstLine="480"/>
        <w:rPr>
          <w:rFonts w:hint="eastAsia"/>
        </w:rPr>
      </w:pPr>
      <w:r>
        <w:rPr>
          <w:rFonts w:hint="eastAsia"/>
        </w:rPr>
        <w:t>设备支持最多16类智能算法选配部署，具备实时分析、分时轮巡双模式切换能力，可根据场景灵活配置分析策略；支持算法版本查看、状态监测及手动在线升级，便捷完成算法迭代更新。</w:t>
      </w:r>
    </w:p>
    <w:p>
      <w:pPr>
        <w:pStyle w:val="3"/>
        <w:ind w:firstLine="480"/>
        <w:rPr>
          <w:rFonts w:hint="eastAsia"/>
        </w:rPr>
      </w:pPr>
      <w:r>
        <w:rPr>
          <w:rFonts w:hint="eastAsia"/>
        </w:rPr>
        <w:t>（二）前端智能识别能力</w:t>
      </w:r>
    </w:p>
    <w:p>
      <w:pPr>
        <w:pStyle w:val="3"/>
        <w:ind w:firstLine="480"/>
        <w:rPr>
          <w:rFonts w:hint="eastAsia"/>
        </w:rPr>
      </w:pPr>
      <w:r>
        <w:rPr>
          <w:rFonts w:hint="eastAsia"/>
        </w:rPr>
        <w:t>支持300路前端智能摄像机接入，可并行实现人脸检测、人脸识别、视频结构化、通用行为分析四大核心智能业务，完成视频画面智能解析与特征数据提取。</w:t>
      </w:r>
    </w:p>
    <w:p>
      <w:pPr>
        <w:pStyle w:val="3"/>
        <w:ind w:firstLine="480"/>
        <w:rPr>
          <w:rFonts w:hint="eastAsia"/>
        </w:rPr>
      </w:pPr>
      <w:r>
        <w:rPr>
          <w:rFonts w:hint="eastAsia"/>
        </w:rPr>
        <w:t>（三）专项安防智能应用</w:t>
      </w:r>
    </w:p>
    <w:p>
      <w:pPr>
        <w:pStyle w:val="3"/>
        <w:ind w:firstLine="480"/>
        <w:rPr>
          <w:rFonts w:hint="eastAsia"/>
        </w:rPr>
      </w:pPr>
      <w:r>
        <w:rPr>
          <w:rFonts w:hint="eastAsia"/>
        </w:rPr>
        <w:t>1. 具备智能客流统计功能，支持绊线统计、区域人数统计、排队监测、区域拥堵检测，满足园区人流管控、态势分析需求。</w:t>
      </w:r>
    </w:p>
    <w:p>
      <w:pPr>
        <w:pStyle w:val="3"/>
        <w:ind w:firstLine="480"/>
        <w:rPr>
          <w:rFonts w:hint="eastAsia"/>
        </w:rPr>
      </w:pPr>
      <w:r>
        <w:rPr>
          <w:rFonts w:hint="eastAsia"/>
        </w:rPr>
        <w:t>（四）其他功能</w:t>
      </w:r>
    </w:p>
    <w:p>
      <w:pPr>
        <w:pStyle w:val="3"/>
        <w:ind w:firstLine="480"/>
        <w:rPr>
          <w:rFonts w:hint="eastAsia"/>
          <w:highlight w:val="none"/>
        </w:rPr>
      </w:pPr>
      <w:r>
        <w:rPr>
          <w:rFonts w:hint="eastAsia" w:ascii="Segoe UI Emoji" w:hAnsi="Segoe UI Emoji" w:eastAsia="Segoe UI Emoji" w:cs="Segoe UI Emoji"/>
        </w:rPr>
        <w:t>▲</w:t>
      </w:r>
      <w:r>
        <w:rPr>
          <w:rFonts w:hint="eastAsia" w:ascii="Segoe UI Emoji" w:hAnsi="Segoe UI Emoji" w:cs="Segoe UI Emoji" w:eastAsiaTheme="minorEastAsia"/>
        </w:rPr>
        <w:t xml:space="preserve"> </w:t>
      </w:r>
      <w:r>
        <w:rPr>
          <w:rFonts w:hint="eastAsia"/>
        </w:rPr>
        <w:t>1、支持利用大模型对分析结果进行二次研判；支持去除误报和增补漏报两种模式；经过二次研判的结果均自动打标，包括正报、疑似误报、漏报三种状</w:t>
      </w:r>
      <w:r>
        <w:rPr>
          <w:rFonts w:hint="eastAsia"/>
          <w:highlight w:val="none"/>
        </w:rPr>
        <w:t>态，支持人工复合。</w:t>
      </w:r>
      <w:r>
        <w:rPr>
          <w:rFonts w:hint="eastAsia"/>
          <w:b/>
          <w:bCs/>
          <w:highlight w:val="none"/>
        </w:rPr>
        <w:t>（提供原厂授权及证明材料）</w:t>
      </w:r>
    </w:p>
    <w:p>
      <w:pPr>
        <w:pStyle w:val="3"/>
        <w:ind w:firstLine="480"/>
        <w:rPr>
          <w:rFonts w:hint="eastAsia"/>
          <w:highlight w:val="none"/>
        </w:rPr>
      </w:pPr>
      <w:r>
        <w:rPr>
          <w:rFonts w:hint="eastAsia" w:ascii="Segoe UI Emoji" w:hAnsi="Segoe UI Emoji" w:eastAsia="Segoe UI Emoji" w:cs="Segoe UI Emoji"/>
        </w:rPr>
        <w:t>▲</w:t>
      </w:r>
      <w:r>
        <w:rPr>
          <w:rFonts w:hint="eastAsia" w:ascii="Segoe UI Emoji" w:hAnsi="Segoe UI Emoji" w:cs="Segoe UI Emoji" w:eastAsiaTheme="minorEastAsia"/>
        </w:rPr>
        <w:t xml:space="preserve"> </w:t>
      </w:r>
      <w:r>
        <w:rPr>
          <w:rFonts w:hint="eastAsia"/>
        </w:rPr>
        <w:t>2、每个GPU支持3种引擎功能设置：视频压缩、智能分析、大模型引擎；智能分析引擎支持人脸识别、周界防范、视频结构化、行为分析、物品类分析、时间类分析和AI训练算法混合运行；大模型引擎可选择加载视觉大模型、多模</w:t>
      </w:r>
      <w:r>
        <w:rPr>
          <w:rFonts w:hint="eastAsia"/>
          <w:highlight w:val="none"/>
        </w:rPr>
        <w:t>态大模型、语言大模型。</w:t>
      </w:r>
      <w:r>
        <w:rPr>
          <w:rFonts w:hint="eastAsia"/>
          <w:b/>
          <w:bCs/>
          <w:highlight w:val="none"/>
        </w:rPr>
        <w:t>（提供原厂授权及证明材料）</w:t>
      </w:r>
    </w:p>
    <w:p>
      <w:pPr>
        <w:pStyle w:val="5"/>
        <w:rPr>
          <w:rFonts w:hint="eastAsia"/>
        </w:rPr>
      </w:pPr>
      <w:r>
        <w:rPr>
          <w:rFonts w:hint="eastAsia"/>
        </w:rPr>
        <w:t>接口与存储需求</w:t>
      </w:r>
    </w:p>
    <w:p>
      <w:pPr>
        <w:pStyle w:val="3"/>
        <w:ind w:firstLine="480"/>
        <w:rPr>
          <w:rFonts w:hint="eastAsia"/>
        </w:rPr>
      </w:pPr>
      <w:r>
        <w:rPr>
          <w:rFonts w:hint="eastAsia"/>
        </w:rPr>
        <w:t>1. 配备独立RCA音频输入、输出接口，支持音视频同步收录与语音联动播报；</w:t>
      </w:r>
    </w:p>
    <w:p>
      <w:pPr>
        <w:pStyle w:val="3"/>
        <w:ind w:firstLine="480"/>
        <w:rPr>
          <w:rFonts w:hint="eastAsia"/>
        </w:rPr>
      </w:pPr>
      <w:r>
        <w:rPr>
          <w:rFonts w:hint="eastAsia"/>
        </w:rPr>
        <w:t>2. 具备16路报警输入、8路报警输出，可对接各类安防报警外设，实现智能事件与硬件报警联动；</w:t>
      </w:r>
    </w:p>
    <w:p>
      <w:pPr>
        <w:pStyle w:val="3"/>
        <w:ind w:firstLine="480"/>
        <w:rPr>
          <w:rFonts w:hint="eastAsia"/>
        </w:rPr>
      </w:pPr>
      <w:r>
        <w:rPr>
          <w:rFonts w:hint="eastAsia"/>
        </w:rPr>
        <w:t>3. 搭载24个SATA硬盘接口，单盘最大支持24TB大容量硬盘，存储扩展性强，可满足海量高清视频长期存储、7×24小时持续读写的专业安防需求。</w:t>
      </w:r>
    </w:p>
    <w:p>
      <w:pPr>
        <w:pStyle w:val="5"/>
        <w:rPr>
          <w:rFonts w:hint="eastAsia"/>
        </w:rPr>
      </w:pPr>
      <w:r>
        <w:rPr>
          <w:rFonts w:hint="eastAsia"/>
        </w:rPr>
        <w:t>参数配置需求</w:t>
      </w:r>
    </w:p>
    <w:tbl>
      <w:tblPr>
        <w:tblStyle w:val="28"/>
        <w:tblW w:w="4998" w:type="pct"/>
        <w:tblInd w:w="0" w:type="dxa"/>
        <w:tblLayout w:type="autofit"/>
        <w:tblCellMar>
          <w:top w:w="0" w:type="dxa"/>
          <w:left w:w="108" w:type="dxa"/>
          <w:bottom w:w="0" w:type="dxa"/>
          <w:right w:w="108" w:type="dxa"/>
        </w:tblCellMar>
      </w:tblPr>
      <w:tblGrid>
        <w:gridCol w:w="1705"/>
        <w:gridCol w:w="1918"/>
        <w:gridCol w:w="2343"/>
        <w:gridCol w:w="2556"/>
      </w:tblGrid>
      <w:tr>
        <w:tblPrEx>
          <w:tblCellMar>
            <w:top w:w="0" w:type="dxa"/>
            <w:left w:w="108" w:type="dxa"/>
            <w:bottom w:w="0" w:type="dxa"/>
            <w:right w:w="108" w:type="dxa"/>
          </w:tblCellMar>
        </w:tblPrEx>
        <w:trPr>
          <w:trHeight w:val="315" w:hRule="atLeast"/>
          <w:tblHeader/>
        </w:trPr>
        <w:tc>
          <w:tcPr>
            <w:tcW w:w="852"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bCs/>
                <w:color w:val="000000"/>
                <w:sz w:val="24"/>
                <w:szCs w:val="24"/>
              </w:rPr>
            </w:pPr>
            <w:r>
              <w:rPr>
                <w:rFonts w:hint="eastAsia" w:ascii="宋体" w:hAnsi="宋体" w:cs="宋体"/>
                <w:b/>
                <w:bCs/>
                <w:color w:val="000000"/>
                <w:kern w:val="0"/>
                <w:sz w:val="24"/>
                <w:szCs w:val="24"/>
                <w:lang w:bidi="ar"/>
              </w:rPr>
              <w:t>产品名称</w:t>
            </w:r>
          </w:p>
        </w:tc>
        <w:tc>
          <w:tcPr>
            <w:tcW w:w="960"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bCs/>
                <w:color w:val="000000"/>
                <w:sz w:val="24"/>
                <w:szCs w:val="24"/>
              </w:rPr>
            </w:pPr>
            <w:r>
              <w:rPr>
                <w:rFonts w:hint="eastAsia" w:ascii="宋体" w:hAnsi="宋体" w:cs="宋体"/>
                <w:b/>
                <w:bCs/>
                <w:color w:val="000000"/>
                <w:kern w:val="0"/>
                <w:sz w:val="24"/>
                <w:szCs w:val="24"/>
                <w:lang w:bidi="ar"/>
              </w:rPr>
              <w:t>参数分类</w:t>
            </w: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bCs/>
                <w:color w:val="000000"/>
                <w:sz w:val="24"/>
                <w:szCs w:val="24"/>
              </w:rPr>
            </w:pPr>
            <w:r>
              <w:rPr>
                <w:rFonts w:hint="eastAsia" w:ascii="宋体" w:hAnsi="宋体" w:cs="宋体"/>
                <w:b/>
                <w:bCs/>
                <w:color w:val="000000"/>
                <w:kern w:val="0"/>
                <w:sz w:val="24"/>
                <w:szCs w:val="24"/>
                <w:lang w:bidi="ar"/>
              </w:rPr>
              <w:t>参数项</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cs="宋体"/>
                <w:b/>
                <w:bCs/>
                <w:color w:val="000000"/>
                <w:sz w:val="24"/>
                <w:szCs w:val="24"/>
              </w:rPr>
            </w:pPr>
            <w:r>
              <w:rPr>
                <w:rFonts w:hint="eastAsia" w:ascii="宋体" w:hAnsi="宋体" w:cs="宋体"/>
                <w:b/>
                <w:bCs/>
                <w:color w:val="000000"/>
                <w:kern w:val="0"/>
                <w:sz w:val="24"/>
                <w:szCs w:val="24"/>
                <w:lang w:bidi="ar"/>
              </w:rPr>
              <w:t>描述</w:t>
            </w:r>
          </w:p>
        </w:tc>
      </w:tr>
      <w:tr>
        <w:tblPrEx>
          <w:tblCellMar>
            <w:top w:w="0" w:type="dxa"/>
            <w:left w:w="108" w:type="dxa"/>
            <w:bottom w:w="0" w:type="dxa"/>
            <w:right w:w="108" w:type="dxa"/>
          </w:tblCellMar>
        </w:tblPrEx>
        <w:trPr>
          <w:trHeight w:val="315" w:hRule="atLeast"/>
        </w:trPr>
        <w:tc>
          <w:tcPr>
            <w:tcW w:w="852"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智能分析服务器</w:t>
            </w:r>
          </w:p>
        </w:tc>
        <w:tc>
          <w:tcPr>
            <w:tcW w:w="960"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整机硬件规格</w:t>
            </w: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机箱规格</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4U 机箱</w:t>
            </w:r>
          </w:p>
        </w:tc>
      </w:tr>
      <w:tr>
        <w:tblPrEx>
          <w:tblCellMar>
            <w:top w:w="0" w:type="dxa"/>
            <w:left w:w="108" w:type="dxa"/>
            <w:bottom w:w="0" w:type="dxa"/>
            <w:right w:w="108" w:type="dxa"/>
          </w:tblCellMar>
        </w:tblPrEx>
        <w:trPr>
          <w:trHeight w:val="315"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电源配置</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1+1 冗余电源</w:t>
            </w:r>
          </w:p>
        </w:tc>
      </w:tr>
      <w:tr>
        <w:tblPrEx>
          <w:tblCellMar>
            <w:top w:w="0" w:type="dxa"/>
            <w:left w:w="108" w:type="dxa"/>
            <w:bottom w:w="0" w:type="dxa"/>
            <w:right w:w="108" w:type="dxa"/>
          </w:tblCellMar>
        </w:tblPrEx>
        <w:trPr>
          <w:trHeight w:val="315"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硬盘方案</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24 盘位，最大可满配24TB硬盘</w:t>
            </w:r>
          </w:p>
        </w:tc>
      </w:tr>
      <w:tr>
        <w:tblPrEx>
          <w:tblCellMar>
            <w:top w:w="0" w:type="dxa"/>
            <w:left w:w="108" w:type="dxa"/>
            <w:bottom w:w="0" w:type="dxa"/>
            <w:right w:w="108" w:type="dxa"/>
          </w:tblCellMar>
        </w:tblPrEx>
        <w:trPr>
          <w:trHeight w:val="630"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存储控制器</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支持 RAID0/1/5/6/10/50/60，支持全局热备盘</w:t>
            </w:r>
          </w:p>
        </w:tc>
      </w:tr>
      <w:tr>
        <w:tblPrEx>
          <w:tblCellMar>
            <w:top w:w="0" w:type="dxa"/>
            <w:left w:w="108" w:type="dxa"/>
            <w:bottom w:w="0" w:type="dxa"/>
            <w:right w:w="108" w:type="dxa"/>
          </w:tblCellMar>
        </w:tblPrEx>
        <w:trPr>
          <w:trHeight w:val="315"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系统配置</w:t>
            </w: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主处理器</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非国产 64 位高性能多核处理器</w:t>
            </w:r>
          </w:p>
        </w:tc>
      </w:tr>
      <w:tr>
        <w:tblPrEx>
          <w:tblCellMar>
            <w:top w:w="0" w:type="dxa"/>
            <w:left w:w="108" w:type="dxa"/>
            <w:bottom w:w="0" w:type="dxa"/>
            <w:right w:w="108" w:type="dxa"/>
          </w:tblCellMar>
        </w:tblPrEx>
        <w:trPr>
          <w:trHeight w:val="315"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操作系统</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国产操作系统</w:t>
            </w:r>
          </w:p>
        </w:tc>
      </w:tr>
      <w:tr>
        <w:tblPrEx>
          <w:tblCellMar>
            <w:top w:w="0" w:type="dxa"/>
            <w:left w:w="108" w:type="dxa"/>
            <w:bottom w:w="0" w:type="dxa"/>
            <w:right w:w="108" w:type="dxa"/>
          </w:tblCellMar>
        </w:tblPrEx>
        <w:trPr>
          <w:trHeight w:val="315"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GPU 算力配置</w:t>
            </w: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GPU 数量</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设备内置 32 颗高性能 GPU</w:t>
            </w:r>
          </w:p>
        </w:tc>
      </w:tr>
      <w:tr>
        <w:tblPrEx>
          <w:tblCellMar>
            <w:top w:w="0" w:type="dxa"/>
            <w:left w:w="108" w:type="dxa"/>
            <w:bottom w:w="0" w:type="dxa"/>
            <w:right w:w="108" w:type="dxa"/>
          </w:tblCellMar>
        </w:tblPrEx>
        <w:trPr>
          <w:trHeight w:val="315"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单颗算力</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单颗 GPU 算力 22TOPS（int8）</w:t>
            </w:r>
          </w:p>
        </w:tc>
      </w:tr>
      <w:tr>
        <w:tblPrEx>
          <w:tblCellMar>
            <w:top w:w="0" w:type="dxa"/>
            <w:left w:w="108" w:type="dxa"/>
            <w:bottom w:w="0" w:type="dxa"/>
            <w:right w:w="108" w:type="dxa"/>
          </w:tblCellMar>
        </w:tblPrEx>
        <w:trPr>
          <w:trHeight w:val="945"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虚拟化能力</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每颗 GPU 最多可虚拟成 4 个智能引擎；每个智能引擎支持最多单独运行1类算法（以具体算法的加载要求为准）</w:t>
            </w:r>
          </w:p>
        </w:tc>
      </w:tr>
      <w:tr>
        <w:tblPrEx>
          <w:tblCellMar>
            <w:top w:w="0" w:type="dxa"/>
            <w:left w:w="108" w:type="dxa"/>
            <w:bottom w:w="0" w:type="dxa"/>
            <w:right w:w="108" w:type="dxa"/>
          </w:tblCellMar>
        </w:tblPrEx>
        <w:trPr>
          <w:trHeight w:val="945"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端口</w:t>
            </w: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显示输出</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1路VGA输出，4路HDMI输出，其中VGA1和HDMI 1同源输出，支持1个4K显示输出，支持前面板液晶屏操作展示；</w:t>
            </w:r>
          </w:p>
        </w:tc>
      </w:tr>
      <w:tr>
        <w:tblPrEx>
          <w:tblCellMar>
            <w:top w:w="0" w:type="dxa"/>
            <w:left w:w="108" w:type="dxa"/>
            <w:bottom w:w="0" w:type="dxa"/>
            <w:right w:w="108" w:type="dxa"/>
          </w:tblCellMar>
        </w:tblPrEx>
        <w:trPr>
          <w:trHeight w:val="630"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网络</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4个10/100/1000/2500Mbps自适应以太网口；</w:t>
            </w:r>
          </w:p>
        </w:tc>
      </w:tr>
      <w:tr>
        <w:tblPrEx>
          <w:tblCellMar>
            <w:top w:w="0" w:type="dxa"/>
            <w:left w:w="108" w:type="dxa"/>
            <w:bottom w:w="0" w:type="dxa"/>
            <w:right w:w="108" w:type="dxa"/>
          </w:tblCellMar>
        </w:tblPrEx>
        <w:trPr>
          <w:trHeight w:val="945"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视频接入</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支持384路H.264/H.265混合接入，网络带宽1280Mbps接入、1280Mbps存储、1280Mbps转发；</w:t>
            </w:r>
          </w:p>
        </w:tc>
      </w:tr>
      <w:tr>
        <w:tblPrEx>
          <w:tblCellMar>
            <w:top w:w="0" w:type="dxa"/>
            <w:left w:w="108" w:type="dxa"/>
            <w:bottom w:w="0" w:type="dxa"/>
            <w:right w:w="108" w:type="dxa"/>
          </w:tblCellMar>
        </w:tblPrEx>
        <w:trPr>
          <w:trHeight w:val="945"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视频解码能力</w:t>
            </w: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解码输出</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支持28个1080P解码显示输出，支持Smart H.265;H.265;Smart H.264;H.264混合解码；</w:t>
            </w:r>
          </w:p>
        </w:tc>
      </w:tr>
      <w:tr>
        <w:tblPrEx>
          <w:tblCellMar>
            <w:top w:w="0" w:type="dxa"/>
            <w:left w:w="108" w:type="dxa"/>
            <w:bottom w:w="0" w:type="dxa"/>
            <w:right w:w="108" w:type="dxa"/>
          </w:tblCellMar>
        </w:tblPrEx>
        <w:trPr>
          <w:trHeight w:val="945"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智能算法</w:t>
            </w: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算法管理</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支持最大选配16类算法，支持展示所有安装的算法及版本，展示算法状态，可对已安装的算法进行手动更新；</w:t>
            </w:r>
          </w:p>
        </w:tc>
      </w:tr>
      <w:tr>
        <w:tblPrEx>
          <w:tblCellMar>
            <w:top w:w="0" w:type="dxa"/>
            <w:left w:w="108" w:type="dxa"/>
            <w:bottom w:w="0" w:type="dxa"/>
            <w:right w:w="108" w:type="dxa"/>
          </w:tblCellMar>
        </w:tblPrEx>
        <w:trPr>
          <w:trHeight w:val="1260"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文搜图功能</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支持一句话检索图片并关联录像和按目标精准检索，单GPU支持全通道事件抓图图片流分析与全通道定时抓拍分析，并发解析能力16张/秒；</w:t>
            </w:r>
          </w:p>
        </w:tc>
      </w:tr>
      <w:tr>
        <w:tblPrEx>
          <w:tblCellMar>
            <w:top w:w="0" w:type="dxa"/>
            <w:left w:w="108" w:type="dxa"/>
            <w:bottom w:w="0" w:type="dxa"/>
            <w:right w:w="108" w:type="dxa"/>
          </w:tblCellMar>
        </w:tblPrEx>
        <w:trPr>
          <w:trHeight w:val="1260"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文本布控功能</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支持一句话生成算法，支持正向提示词和负向提示词，关联指定智能事件抓图实现文本算法报警，单GPU支持16路1080p或400万分辨率图片流分析，并发解析能力16张/秒；</w:t>
            </w:r>
          </w:p>
        </w:tc>
      </w:tr>
      <w:tr>
        <w:tblPrEx>
          <w:tblCellMar>
            <w:top w:w="0" w:type="dxa"/>
            <w:left w:w="108" w:type="dxa"/>
            <w:bottom w:w="0" w:type="dxa"/>
            <w:right w:w="108" w:type="dxa"/>
          </w:tblCellMar>
        </w:tblPrEx>
        <w:trPr>
          <w:trHeight w:val="1575"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配套前端智能算法</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支持人脸检测、人脸识别 、视频结构化、通用行为分析（绊线入侵、区域入侵、人员聚集、停车检测、徘徊检测、穿越围栏、物品遗留、物品搬移、快速移动）、人数统计（人数统计、排队、拥堵）</w:t>
            </w:r>
          </w:p>
        </w:tc>
      </w:tr>
      <w:tr>
        <w:tblPrEx>
          <w:tblCellMar>
            <w:top w:w="0" w:type="dxa"/>
            <w:left w:w="108" w:type="dxa"/>
            <w:bottom w:w="0" w:type="dxa"/>
            <w:right w:w="108" w:type="dxa"/>
          </w:tblCellMar>
        </w:tblPrEx>
        <w:trPr>
          <w:trHeight w:val="630"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视频压缩能力</w:t>
            </w: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压缩路数（压缩模式）</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最大支持 256 路 400 万 或 384 路 1080p（1080p 及以下）视频压缩</w:t>
            </w:r>
          </w:p>
        </w:tc>
      </w:tr>
      <w:tr>
        <w:tblPrEx>
          <w:tblCellMar>
            <w:top w:w="0" w:type="dxa"/>
            <w:left w:w="108" w:type="dxa"/>
            <w:bottom w:w="0" w:type="dxa"/>
            <w:right w:w="108" w:type="dxa"/>
          </w:tblCellMar>
        </w:tblPrEx>
        <w:trPr>
          <w:trHeight w:val="630"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压缩配套功能</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支持压缩预览、压缩回放、压缩下载、水印叠加</w:t>
            </w:r>
          </w:p>
        </w:tc>
      </w:tr>
      <w:tr>
        <w:tblPrEx>
          <w:tblCellMar>
            <w:top w:w="0" w:type="dxa"/>
            <w:left w:w="108" w:type="dxa"/>
            <w:bottom w:w="0" w:type="dxa"/>
            <w:right w:w="108" w:type="dxa"/>
          </w:tblCellMar>
        </w:tblPrEx>
        <w:trPr>
          <w:trHeight w:val="315"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平均压缩率</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75%</w:t>
            </w:r>
          </w:p>
        </w:tc>
      </w:tr>
      <w:tr>
        <w:tblPrEx>
          <w:tblCellMar>
            <w:top w:w="0" w:type="dxa"/>
            <w:left w:w="108" w:type="dxa"/>
            <w:bottom w:w="0" w:type="dxa"/>
            <w:right w:w="108" w:type="dxa"/>
          </w:tblCellMar>
        </w:tblPrEx>
        <w:trPr>
          <w:trHeight w:val="315"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智能分析运行模式</w:t>
            </w: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单通道</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算法能力范围内，支持单通道多智能</w:t>
            </w:r>
          </w:p>
        </w:tc>
      </w:tr>
      <w:tr>
        <w:tblPrEx>
          <w:tblCellMar>
            <w:top w:w="0" w:type="dxa"/>
            <w:left w:w="108" w:type="dxa"/>
            <w:bottom w:w="0" w:type="dxa"/>
            <w:right w:w="108" w:type="dxa"/>
          </w:tblCellMar>
        </w:tblPrEx>
        <w:trPr>
          <w:trHeight w:val="1575"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后智能分析</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支持实时模式和分时轮巡模式切换，在分时轮巡模式下，依据算法能力不同，可配置分时视频分析和轮巡视频分析；单个轮巡任务最大支持384路，轮巡间隔可配置30-3600秒；</w:t>
            </w:r>
          </w:p>
        </w:tc>
      </w:tr>
      <w:tr>
        <w:tblPrEx>
          <w:tblCellMar>
            <w:top w:w="0" w:type="dxa"/>
            <w:left w:w="108" w:type="dxa"/>
            <w:bottom w:w="0" w:type="dxa"/>
            <w:right w:w="108" w:type="dxa"/>
          </w:tblCellMar>
        </w:tblPrEx>
        <w:trPr>
          <w:trHeight w:val="945" w:hRule="atLeast"/>
        </w:trPr>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24"/>
                <w:szCs w:val="24"/>
              </w:rPr>
            </w:pPr>
          </w:p>
        </w:tc>
        <w:tc>
          <w:tcPr>
            <w:tcW w:w="960"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报警联动机制</w:t>
            </w:r>
          </w:p>
        </w:tc>
        <w:tc>
          <w:tcPr>
            <w:tcW w:w="1176"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联动类型</w:t>
            </w:r>
          </w:p>
        </w:tc>
        <w:tc>
          <w:tcPr>
            <w:tcW w:w="2009" w:type="pc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支持联动录像、抓图、日志、蜂鸣、邮件、预置点、本地报警输出、IPC 报警输出、门禁、语音播报、声光报警</w:t>
            </w:r>
          </w:p>
        </w:tc>
      </w:tr>
    </w:tbl>
    <w:p>
      <w:pPr>
        <w:pStyle w:val="3"/>
        <w:ind w:firstLine="480"/>
        <w:rPr>
          <w:rFonts w:hint="eastAsia"/>
        </w:rPr>
      </w:pPr>
    </w:p>
    <w:p>
      <w:pPr>
        <w:pStyle w:val="2"/>
        <w:rPr>
          <w:rFonts w:hint="eastAsia"/>
        </w:rPr>
      </w:pPr>
      <w:r>
        <w:rPr>
          <w:rFonts w:hint="eastAsia"/>
        </w:rPr>
        <w:t>保密要求、知识产权、工作纪律要求</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3.1  合同签订时，甲乙双方应签订保密协议，双方均有保密义务。</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3.2  保密期限由保密内容提供方确定，保密期限届满后，保密内容公开时，应书面征得保密内容提供方同意。</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3.3  委托开发软件的知识产权归委托方所有。供应商交付使用的信息系统已享有知识产权的，使用方可在合同文件明确的范围内自主使用。信息系统中所有文档资料和数据、收集和储存的个人信息所有权均属于使用方，未经使用方允许不得访问、修改、披露、利用、转让、销毁。</w:t>
      </w:r>
    </w:p>
    <w:p>
      <w:pPr>
        <w:spacing w:line="360" w:lineRule="auto"/>
        <w:ind w:firstLine="482"/>
        <w:rPr>
          <w:rFonts w:hint="eastAsia" w:ascii="宋体" w:hAnsi="宋体" w:cs="宋体"/>
          <w:kern w:val="0"/>
          <w:sz w:val="24"/>
          <w:szCs w:val="24"/>
        </w:rPr>
      </w:pPr>
      <w:bookmarkStart w:id="8" w:name="_Toc134435581"/>
      <w:bookmarkStart w:id="9" w:name="_Toc727073087"/>
      <w:r>
        <w:rPr>
          <w:rFonts w:hint="eastAsia" w:ascii="宋体" w:hAnsi="宋体" w:cs="宋体"/>
          <w:kern w:val="0"/>
          <w:sz w:val="24"/>
          <w:szCs w:val="24"/>
        </w:rPr>
        <w:t>3.4</w:t>
      </w:r>
      <w:bookmarkEnd w:id="8"/>
      <w:bookmarkEnd w:id="9"/>
      <w:r>
        <w:rPr>
          <w:rFonts w:hint="eastAsia" w:ascii="宋体" w:hAnsi="宋体" w:cs="宋体"/>
          <w:kern w:val="0"/>
          <w:sz w:val="24"/>
          <w:szCs w:val="24"/>
        </w:rPr>
        <w:t xml:space="preserve">  供应商应在建设工作期间保证参与项目的技术人员的相对固定，不得随意调换。如确有原因需要调换的，需提前一个月向业主方提出并备案，经业主方同意后方可调换。供应商应对技术人员调换的交接工作进行严格管理，确保数据不外泄、工作界面不留空白。</w:t>
      </w:r>
    </w:p>
    <w:p>
      <w:pPr>
        <w:spacing w:line="360" w:lineRule="auto"/>
        <w:ind w:firstLine="482"/>
        <w:rPr>
          <w:rFonts w:hint="eastAsia" w:ascii="宋体" w:hAnsi="宋体" w:cs="宋体"/>
          <w:kern w:val="0"/>
          <w:sz w:val="24"/>
          <w:szCs w:val="24"/>
        </w:rPr>
      </w:pPr>
      <w:bookmarkStart w:id="10" w:name="_Toc956178045"/>
      <w:bookmarkStart w:id="11" w:name="_Toc134435582"/>
      <w:r>
        <w:rPr>
          <w:rFonts w:hint="eastAsia" w:ascii="宋体" w:hAnsi="宋体" w:cs="宋体"/>
          <w:kern w:val="0"/>
          <w:sz w:val="24"/>
          <w:szCs w:val="24"/>
        </w:rPr>
        <w:t xml:space="preserve">3.5  </w:t>
      </w:r>
      <w:bookmarkEnd w:id="10"/>
      <w:bookmarkEnd w:id="11"/>
      <w:r>
        <w:rPr>
          <w:rFonts w:hint="eastAsia" w:ascii="宋体" w:hAnsi="宋体" w:cs="宋体"/>
          <w:kern w:val="0"/>
          <w:sz w:val="24"/>
          <w:szCs w:val="24"/>
        </w:rPr>
        <w:t>供应商应参加业主方组织项目负责人及相关技术人员进行安全保密教育，并记录学习情况。所有参与项目的技术人员均应参加学习并在学习记录上签字。</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3.6  遵守以下相关条款：</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（场所管理）合作单位及其技术人员未经允许，不得擅自进入民警办公区域、业务机房等重要场所。</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（设备管理）合作单位及其技术人员未经允许，不得使用公安网计算机和涉密计算机单机，严禁将自己携带的计算机联入公安网络和可存储警务秘密（含）以上密级信息的各类计算机、复印机、速印机等设备。</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（禁止行为）合作单位及其技术人员获得民警授权使用指定的公安网计算机时，须由民警全程陪同，并严格遵守以下规定：</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（一）不得违反禁止“一机两用”的有关规定，不得擅自删除监控程序、逃避监控、扰乱上网注册工作。</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（二）不得使用民警的数字身份证书访问公安业务系统，如确需使用的，必须由民警亲自使用证书进行操作。</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（三）不得擅自使用自带的移动存储介质或擅自开设FTP、共享文件夹在公安网计算机上进行文件拷贝与传递。</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（四）不得使用公安网计算机玩游戏、聊天或从事其它与本职工作无关的活动。</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（五）不得浏览、访问与本职工作无关的公安信息网站（页），不得尝试登录或使用与本职工作无关的公安业务系统。</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（六）严禁将公安网上发布的各类警务信息通过下载、打印等方式带出公安机关。</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（七）禁止使用点对点（P2P）文件共享类软件（如BitTorrent、BitComet、BitSpirit、eMule、eDonkey、Kazaa、WinMx、迅雷等软件）进行数据下载。</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（八）不得擅自对公安业务用计算机重新安装或加装操作系统，不得安装黑客类工具。</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（九）不得编制或故意传播破坏计算机功能、破坏信息数据的病毒，或者恶意攻击、删改各类信息网站和信息系统数据。</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（十）不得有其它违反党纪、政纪、社会公德、职业道德的网上行为。</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（操作管理）合作单位及其技术人员不得使用远程拨号上公安网方式进行系统维护、软件开发、设备调试等工作，只允许在项目建设单位指定的区域内使用专用设备进行操作，并由公安民警全程陪同。</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（保密责任）对于警务工作秘密（含）以上的事项，合作单位及其技术人员应当做到不该问的不问，不该说的不说，并且在知悉秘密事项的情况下自觉负有保密义务，不得以任何形式泄露给无关人员。</w:t>
      </w:r>
    </w:p>
    <w:p>
      <w:pPr>
        <w:pStyle w:val="2"/>
        <w:rPr>
          <w:rFonts w:hint="eastAsia"/>
        </w:rPr>
      </w:pPr>
      <w:r>
        <w:rPr>
          <w:rFonts w:hint="eastAsia"/>
        </w:rPr>
        <w:t>项目工期、人员、售后服务、培训、验收及质保要求</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1、本项目整体建设工期为12个月，含试运行期1个月。免费质保期为最终竣工验收日期起免费维保3年。</w:t>
      </w:r>
    </w:p>
    <w:p>
      <w:pPr>
        <w:spacing w:line="360" w:lineRule="auto"/>
        <w:ind w:firstLine="482"/>
        <w:rPr>
          <w:rFonts w:hint="eastAsia" w:ascii="宋体" w:hAnsi="宋体" w:cs="宋体"/>
          <w:color w:val="auto"/>
          <w:kern w:val="0"/>
          <w:sz w:val="24"/>
          <w:szCs w:val="24"/>
        </w:rPr>
      </w:pPr>
      <w:r>
        <w:rPr>
          <w:rFonts w:hint="eastAsia" w:ascii="宋体" w:hAnsi="宋体" w:cs="宋体"/>
          <w:color w:val="auto"/>
          <w:kern w:val="0"/>
          <w:sz w:val="24"/>
          <w:szCs w:val="24"/>
        </w:rPr>
        <w:t>投标人需在上海本地有固定的经营场所、维护人员和故障报修电话，且能提供良好的技术支持。投标人应提供人员稳定、素质和技能水平良好的项目管理和运维服务团队，为本项目提供 7× 24小时应急抢修的服务响应。中标人在项目建设周期内安排1名专职项目经理（需具有信息化工作类高级工程师和系统集成项目管理工程师证书及</w:t>
      </w:r>
      <w:r>
        <w:rPr>
          <w:rFonts w:hint="eastAsia" w:ascii="宋体" w:hAnsi="宋体" w:cs="宋体"/>
          <w:color w:val="auto"/>
          <w:kern w:val="0"/>
          <w:sz w:val="24"/>
          <w:szCs w:val="24"/>
          <w:lang w:val="en-US" w:eastAsia="zh-CN"/>
        </w:rPr>
        <w:t>不少于5年的</w:t>
      </w:r>
      <w:r>
        <w:rPr>
          <w:rFonts w:hint="eastAsia" w:ascii="宋体" w:hAnsi="宋体" w:cs="宋体"/>
          <w:color w:val="auto"/>
          <w:kern w:val="0"/>
          <w:sz w:val="24"/>
          <w:szCs w:val="24"/>
        </w:rPr>
        <w:t>公安图像监控项目建设经验）负责整个项目的过程管理和进度质量把控。项目经理组建的项目团队中相关技术、实施成员需具有2年以上公安图像监控项目建设经验及相应的资质资格证书，确保能高效顺利的开展项目各项建设任务。</w:t>
      </w:r>
    </w:p>
    <w:p>
      <w:pPr>
        <w:spacing w:line="360" w:lineRule="auto"/>
        <w:ind w:firstLine="482"/>
        <w:rPr>
          <w:rFonts w:hint="eastAsia" w:ascii="宋体" w:hAnsi="宋体" w:cs="宋体"/>
          <w:kern w:val="0"/>
          <w:sz w:val="24"/>
          <w:szCs w:val="24"/>
        </w:rPr>
      </w:pPr>
      <w:r>
        <w:rPr>
          <w:rFonts w:hint="eastAsia" w:ascii="宋体" w:hAnsi="宋体" w:cs="宋体"/>
          <w:color w:val="auto"/>
          <w:kern w:val="0"/>
          <w:sz w:val="24"/>
          <w:szCs w:val="24"/>
        </w:rPr>
        <w:t>在免费质保期内，中标人须为本项目组建专属本地服务日常团队，项目团队人员(除项目负责人外)需配备超过10人(含10人)。需提供至少1名运维工程师</w:t>
      </w:r>
      <w:r>
        <w:rPr>
          <w:rFonts w:hint="eastAsia" w:ascii="宋体" w:hAnsi="宋体" w:cs="宋体"/>
          <w:kern w:val="0"/>
          <w:sz w:val="24"/>
          <w:szCs w:val="24"/>
        </w:rPr>
        <w:t>常驻分局提供驻场服务，常驻工程师需熟悉本项目各子系统软硬件系统架构、功能、性能、常见问题的基本处置操作等。重大活动期间应根据用户具体活动任务安排，视情况再增派相关保障人员提供现场值守服务。维护维修人员须具备一定的图像监控类信息化系统维护维修经验，各系统核心部件应由专业工程师维护。在免费维保期内，设备内外、场故障自报修起24小时内完成排故，内外场发生非常见基础故障需更换相应配件才能解决的，需及时上报用户并尽快联系相关厂家调配部件、跟进解决。</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中标公司在免费质保期间内，必须保证提供充足的备品备件用来保证业主方完成运维目标。</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2、本项目设备涉及到的故障硬盘维护，采取硬盘介质保留、直接换新方式。如果有被替换的硬盘介质，将被采购方留存，不予返还给成交方。</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3、中标人在项目交付时应针对平台及系统提供至少为期3天的详细技术培训服务。使培训后的相关人员能够快速熟练的掌握相关的基础知识和系统操作，能够熟练查询各种手册和资料，能够熟练的进行日常技术维护，能够对系统的各级提示和告警进行初步判断，能够独立安装、调试供应商提供的产品，同时对单位人员进行相关资质证书培训，如C</w:t>
      </w:r>
      <w:r>
        <w:rPr>
          <w:rFonts w:ascii="宋体" w:hAnsi="宋体" w:cs="宋体"/>
          <w:kern w:val="0"/>
          <w:sz w:val="24"/>
          <w:szCs w:val="24"/>
        </w:rPr>
        <w:t>ISP</w:t>
      </w:r>
      <w:r>
        <w:rPr>
          <w:rFonts w:hint="eastAsia" w:ascii="宋体" w:hAnsi="宋体" w:cs="宋体"/>
          <w:kern w:val="0"/>
          <w:sz w:val="24"/>
          <w:szCs w:val="24"/>
        </w:rPr>
        <w:t>、PMP证书等。针对培训服务的具体要求包括：</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1）培训教师必须具有专业的培训经历和经验，所讲内容要有针对性和操作系统。</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2）培训对象按照领导、业务人员和技术人员进行分类培训。</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3）培训课件和培训教材：包括培训课件和培训教材。</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4）根据用户的工作安排，详细制定人员培训方案，包括培训的详细课程、培训方式、培训教材安排、培训时间安排等内容。</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5）培训人数应满足招标人的实际需求。</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6）针对单位相关人员资质证书培训，如C</w:t>
      </w:r>
      <w:r>
        <w:rPr>
          <w:rFonts w:ascii="宋体" w:hAnsi="宋体" w:cs="宋体"/>
          <w:kern w:val="0"/>
          <w:sz w:val="24"/>
          <w:szCs w:val="24"/>
        </w:rPr>
        <w:t>ISP</w:t>
      </w:r>
      <w:r>
        <w:rPr>
          <w:rFonts w:hint="eastAsia" w:ascii="宋体" w:hAnsi="宋体" w:cs="宋体"/>
          <w:kern w:val="0"/>
          <w:sz w:val="24"/>
          <w:szCs w:val="24"/>
        </w:rPr>
        <w:t>、PMP证书，共计需提供10人次。</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4、本项目具有一定的保密性，中标公司要注意加强对项目资料、网络拓扑、作业文件等内容的保密，不得以任何理由任何名义有意或无意提供给第三方。</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5、中标公司在本项目建设及执行作业过程中要加强注意自身人员及周围人员的安全，对具有危险性的作业要采取必要的防护措施。中标公司需自行承担维护作业过程中因防护不周全而引起的损害责任。</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6、本项目的报价须包含向招标人提供的为服务于本项目所发生的全部费用（含车辆等一切交通工具延展费用）、人员食宿、远程及现场技术协助、培训、技术指导等其他全部必须或视同必须提供的关联费用等。</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7、投标方在投标报价时需充分考虑，节假日、双休日除正常服务保障人员外，因业主方工作需要需增加人员的情况，中标方必须全力配合。</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8、投标方在投标报价时，需充分考虑到国家调整职工最低工资保障线的情况以及物价上涨等因素。业主方不会因国家调整职工最低工资保障线以及物价上涨等因素，而另行支付任何费用。</w:t>
      </w:r>
    </w:p>
    <w:p>
      <w:pPr>
        <w:spacing w:line="360" w:lineRule="auto"/>
        <w:ind w:firstLine="482"/>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9、本项目有长宁公安自行验收。</w:t>
      </w:r>
    </w:p>
    <w:bookmarkEnd w:id="6"/>
    <w:bookmarkEnd w:id="7"/>
    <w:p>
      <w:pPr>
        <w:pStyle w:val="2"/>
        <w:rPr>
          <w:rFonts w:hint="eastAsia"/>
        </w:rPr>
      </w:pPr>
      <w:r>
        <w:rPr>
          <w:rFonts w:hint="eastAsia"/>
        </w:rPr>
        <w:t>付款方式</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本项目采取分期付款方式，具体要求如下：</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1、合同签订后30个工作日内支付预付款,金额为872000元；</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2、在完成主要设备到货、</w:t>
      </w:r>
      <w:r>
        <w:rPr>
          <w:rFonts w:ascii="宋体" w:hAnsi="宋体" w:cs="宋体"/>
          <w:kern w:val="0"/>
          <w:sz w:val="24"/>
          <w:szCs w:val="24"/>
        </w:rPr>
        <w:t>签收</w:t>
      </w:r>
      <w:r>
        <w:rPr>
          <w:rFonts w:hint="eastAsia" w:ascii="宋体" w:hAnsi="宋体" w:cs="宋体"/>
          <w:kern w:val="0"/>
          <w:sz w:val="24"/>
          <w:szCs w:val="24"/>
        </w:rPr>
        <w:t>；</w:t>
      </w:r>
      <w:r>
        <w:rPr>
          <w:rFonts w:ascii="宋体" w:hAnsi="宋体" w:cs="宋体"/>
          <w:kern w:val="0"/>
          <w:sz w:val="24"/>
          <w:szCs w:val="24"/>
        </w:rPr>
        <w:t>系统部署完成</w:t>
      </w:r>
      <w:r>
        <w:rPr>
          <w:rFonts w:hint="eastAsia" w:ascii="宋体" w:hAnsi="宋体" w:cs="宋体"/>
          <w:kern w:val="0"/>
          <w:sz w:val="24"/>
          <w:szCs w:val="24"/>
        </w:rPr>
        <w:t>进入</w:t>
      </w:r>
      <w:r>
        <w:rPr>
          <w:rFonts w:ascii="宋体" w:hAnsi="宋体" w:cs="宋体"/>
          <w:kern w:val="0"/>
          <w:sz w:val="24"/>
          <w:szCs w:val="24"/>
        </w:rPr>
        <w:t>试</w:t>
      </w:r>
      <w:r>
        <w:rPr>
          <w:rFonts w:hint="eastAsia" w:ascii="宋体" w:hAnsi="宋体" w:cs="宋体"/>
          <w:kern w:val="0"/>
          <w:sz w:val="24"/>
          <w:szCs w:val="24"/>
        </w:rPr>
        <w:t>=</w:t>
      </w:r>
      <w:r>
        <w:rPr>
          <w:rFonts w:ascii="宋体" w:hAnsi="宋体" w:cs="宋体"/>
          <w:kern w:val="0"/>
          <w:sz w:val="24"/>
          <w:szCs w:val="24"/>
        </w:rPr>
        <w:t>运行阶段</w:t>
      </w:r>
      <w:r>
        <w:rPr>
          <w:rFonts w:hint="eastAsia" w:ascii="宋体" w:hAnsi="宋体" w:cs="宋体"/>
          <w:kern w:val="0"/>
          <w:sz w:val="24"/>
          <w:szCs w:val="24"/>
        </w:rPr>
        <w:t>后，支付合同金额的50%；</w:t>
      </w:r>
    </w:p>
    <w:p>
      <w:pPr>
        <w:spacing w:line="360" w:lineRule="auto"/>
        <w:ind w:firstLine="482"/>
        <w:rPr>
          <w:rFonts w:hint="eastAsia" w:ascii="宋体" w:hAnsi="宋体" w:cs="宋体"/>
          <w:kern w:val="0"/>
          <w:sz w:val="24"/>
          <w:szCs w:val="24"/>
        </w:rPr>
      </w:pPr>
      <w:r>
        <w:rPr>
          <w:rFonts w:hint="eastAsia" w:ascii="宋体" w:hAnsi="宋体" w:cs="宋体"/>
          <w:kern w:val="0"/>
          <w:sz w:val="24"/>
          <w:szCs w:val="24"/>
        </w:rPr>
        <w:t>3、项目通过验收后支付剩余合同金额。</w:t>
      </w:r>
    </w:p>
    <w:p>
      <w:pPr>
        <w:spacing w:line="360" w:lineRule="auto"/>
        <w:ind w:firstLine="482"/>
        <w:rPr>
          <w:rFonts w:hint="eastAsia" w:ascii="宋体" w:hAnsi="宋体" w:cs="宋体"/>
          <w:kern w:val="0"/>
          <w:sz w:val="24"/>
          <w:szCs w:val="24"/>
        </w:rPr>
        <w:sectPr>
          <w:headerReference r:id="rId3" w:type="default"/>
          <w:footerReference r:id="rId4" w:type="default"/>
          <w:pgSz w:w="11906" w:h="16838"/>
          <w:pgMar w:top="1440" w:right="1800" w:bottom="1440" w:left="1800" w:header="851" w:footer="992" w:gutter="0"/>
          <w:cols w:space="720" w:num="1"/>
          <w:docGrid w:linePitch="312" w:charSpace="0"/>
        </w:sectPr>
      </w:pPr>
      <w:r>
        <w:rPr>
          <w:rFonts w:hint="eastAsia" w:ascii="宋体" w:hAnsi="宋体" w:cs="宋体"/>
          <w:kern w:val="0"/>
          <w:sz w:val="24"/>
          <w:szCs w:val="24"/>
        </w:rPr>
        <w:t>（合同履约事宜：采购人和成交供应商应通过完善内部流程缩短合同签订期限，在中标、成交通知书发出之日起30日内，按照采购文件确定的事项签订政府采购合同，在合同中约定资金支付的方式、时间和条件，明确逾期支付资金的违约责任。）</w:t>
      </w:r>
    </w:p>
    <w:p>
      <w:pPr>
        <w:pStyle w:val="2"/>
        <w:ind w:left="0"/>
        <w:rPr>
          <w:rFonts w:hint="eastAsia"/>
          <w:highlight w:val="none"/>
        </w:rPr>
      </w:pPr>
      <w:r>
        <w:rPr>
          <w:rFonts w:hint="eastAsia"/>
          <w:highlight w:val="none"/>
        </w:rPr>
        <w:t>项目采购清单</w:t>
      </w:r>
    </w:p>
    <w:p>
      <w:pPr>
        <w:spacing w:line="360" w:lineRule="auto"/>
        <w:ind w:firstLine="482"/>
        <w:rPr>
          <w:sz w:val="24"/>
          <w:szCs w:val="22"/>
        </w:rPr>
      </w:pPr>
      <w:r>
        <w:rPr>
          <w:rFonts w:hint="eastAsia"/>
          <w:sz w:val="24"/>
          <w:szCs w:val="22"/>
        </w:rPr>
        <w:t>本项目的预估工程量清单如下：</w:t>
      </w:r>
    </w:p>
    <w:tbl>
      <w:tblPr>
        <w:tblStyle w:val="2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2999"/>
        <w:gridCol w:w="5331"/>
        <w:gridCol w:w="2313"/>
        <w:gridCol w:w="921"/>
        <w:gridCol w:w="881"/>
        <w:gridCol w:w="9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blHeader/>
        </w:trPr>
        <w:tc>
          <w:tcPr>
            <w:tcW w:w="279" w:type="pct"/>
            <w:vAlign w:val="center"/>
          </w:tcPr>
          <w:p>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序号</w:t>
            </w:r>
          </w:p>
        </w:tc>
        <w:tc>
          <w:tcPr>
            <w:tcW w:w="1058" w:type="pct"/>
            <w:vAlign w:val="center"/>
          </w:tcPr>
          <w:p>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设备/模块名称</w:t>
            </w:r>
          </w:p>
        </w:tc>
        <w:tc>
          <w:tcPr>
            <w:tcW w:w="1881" w:type="pct"/>
            <w:vAlign w:val="center"/>
          </w:tcPr>
          <w:p>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设备/模块二级名称</w:t>
            </w:r>
          </w:p>
        </w:tc>
        <w:tc>
          <w:tcPr>
            <w:tcW w:w="815" w:type="pct"/>
            <w:vAlign w:val="center"/>
          </w:tcPr>
          <w:p>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功能/性能描述</w:t>
            </w:r>
          </w:p>
        </w:tc>
        <w:tc>
          <w:tcPr>
            <w:tcW w:w="325" w:type="pct"/>
            <w:vAlign w:val="center"/>
          </w:tcPr>
          <w:p>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数量</w:t>
            </w:r>
          </w:p>
        </w:tc>
        <w:tc>
          <w:tcPr>
            <w:tcW w:w="311" w:type="pct"/>
            <w:vAlign w:val="center"/>
          </w:tcPr>
          <w:p>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单位</w:t>
            </w:r>
          </w:p>
        </w:tc>
        <w:tc>
          <w:tcPr>
            <w:tcW w:w="330" w:type="pct"/>
            <w:vAlign w:val="center"/>
          </w:tcPr>
          <w:p>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是否主要设备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034" w:type="pct"/>
            <w:gridSpan w:val="4"/>
            <w:noWrap/>
            <w:vAlign w:val="center"/>
          </w:tcPr>
          <w:p>
            <w:pPr>
              <w:widowControl/>
              <w:jc w:val="left"/>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一、视图大模型应用--大模型能力集群对接</w:t>
            </w:r>
          </w:p>
        </w:tc>
        <w:tc>
          <w:tcPr>
            <w:tcW w:w="325" w:type="pct"/>
            <w:vAlign w:val="center"/>
          </w:tcPr>
          <w:p>
            <w:pPr>
              <w:jc w:val="center"/>
              <w:rPr>
                <w:rFonts w:hint="eastAsia" w:ascii="宋体" w:hAnsi="宋体" w:cs="宋体"/>
                <w:color w:val="000000"/>
                <w:sz w:val="22"/>
                <w:szCs w:val="22"/>
              </w:rPr>
            </w:pPr>
          </w:p>
        </w:tc>
        <w:tc>
          <w:tcPr>
            <w:tcW w:w="311" w:type="pct"/>
            <w:vAlign w:val="center"/>
          </w:tcPr>
          <w:p>
            <w:pPr>
              <w:jc w:val="center"/>
              <w:rPr>
                <w:rFonts w:hint="eastAsia" w:ascii="宋体" w:hAnsi="宋体" w:cs="宋体"/>
                <w:color w:val="000000"/>
                <w:sz w:val="22"/>
                <w:szCs w:val="22"/>
              </w:rPr>
            </w:pPr>
          </w:p>
        </w:tc>
        <w:tc>
          <w:tcPr>
            <w:tcW w:w="330" w:type="pct"/>
            <w:vAlign w:val="center"/>
          </w:tcPr>
          <w:p>
            <w:pPr>
              <w:jc w:val="center"/>
              <w:rPr>
                <w:rFonts w:hint="eastAsia" w:ascii="宋体"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034" w:type="pct"/>
            <w:gridSpan w:val="4"/>
            <w:noWrap/>
            <w:vAlign w:val="center"/>
          </w:tcPr>
          <w:p>
            <w:pPr>
              <w:widowControl/>
              <w:jc w:val="left"/>
              <w:textAlignment w:val="center"/>
              <w:rPr>
                <w:rFonts w:hint="eastAsia" w:ascii="宋体" w:hAnsi="宋体" w:cs="宋体"/>
                <w:b/>
                <w:bCs/>
                <w:color w:val="000000"/>
                <w:sz w:val="20"/>
              </w:rPr>
            </w:pPr>
            <w:r>
              <w:rPr>
                <w:rFonts w:hint="eastAsia" w:ascii="宋体" w:hAnsi="宋体" w:cs="宋体"/>
                <w:b/>
                <w:bCs/>
                <w:color w:val="000000"/>
                <w:kern w:val="0"/>
                <w:sz w:val="20"/>
                <w:lang w:bidi="ar"/>
              </w:rPr>
              <w:t>（一）城市安全管理大模型考核相关接口（公安信息网侧）</w:t>
            </w:r>
          </w:p>
        </w:tc>
        <w:tc>
          <w:tcPr>
            <w:tcW w:w="325" w:type="pct"/>
            <w:vAlign w:val="center"/>
          </w:tcPr>
          <w:p>
            <w:pPr>
              <w:jc w:val="right"/>
              <w:rPr>
                <w:rFonts w:hint="eastAsia" w:ascii="宋体" w:hAnsi="宋体" w:cs="宋体"/>
                <w:color w:val="000000"/>
                <w:sz w:val="22"/>
                <w:szCs w:val="22"/>
              </w:rPr>
            </w:pPr>
          </w:p>
        </w:tc>
        <w:tc>
          <w:tcPr>
            <w:tcW w:w="311" w:type="pct"/>
            <w:vAlign w:val="center"/>
          </w:tcPr>
          <w:p>
            <w:pPr>
              <w:jc w:val="center"/>
              <w:rPr>
                <w:rFonts w:hint="eastAsia" w:ascii="宋体" w:hAnsi="宋体" w:cs="宋体"/>
                <w:color w:val="000000"/>
                <w:sz w:val="22"/>
                <w:szCs w:val="22"/>
              </w:rPr>
            </w:pPr>
          </w:p>
        </w:tc>
        <w:tc>
          <w:tcPr>
            <w:tcW w:w="330" w:type="pct"/>
            <w:vAlign w:val="center"/>
          </w:tcPr>
          <w:p>
            <w:pPr>
              <w:jc w:val="center"/>
              <w:rPr>
                <w:rFonts w:hint="eastAsia" w:ascii="宋体"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5"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1058" w:type="pct"/>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大模型模块上下级级联跨边界对接</w:t>
            </w: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上下级级联跨边界对接</w:t>
            </w:r>
          </w:p>
        </w:tc>
        <w:tc>
          <w:tcPr>
            <w:tcW w:w="815" w:type="pct"/>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开发相关对接接口，进行分局公安信息网和上级市局公安信息网的纵向安全边界的申请、对接、调试，实现大模型模块上下级级联跨边界对接。</w:t>
            </w:r>
          </w:p>
        </w:tc>
        <w:tc>
          <w:tcPr>
            <w:tcW w:w="325"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1058" w:type="pct"/>
            <w:vMerge w:val="restart"/>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接口开发对接</w:t>
            </w: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管理接口</w:t>
            </w:r>
          </w:p>
        </w:tc>
        <w:tc>
          <w:tcPr>
            <w:tcW w:w="815" w:type="pct"/>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分局公安信息网侧，满足市局接口规范中定义的【管理接口】开发、对接、调试</w:t>
            </w:r>
          </w:p>
        </w:tc>
        <w:tc>
          <w:tcPr>
            <w:tcW w:w="325"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1058" w:type="pct"/>
            <w:vMerge w:val="continue"/>
            <w:vAlign w:val="center"/>
          </w:tcPr>
          <w:p>
            <w:pPr>
              <w:jc w:val="center"/>
              <w:rPr>
                <w:rFonts w:hint="eastAsia" w:ascii="宋体" w:hAnsi="宋体" w:cs="宋体"/>
                <w:color w:val="000000"/>
                <w:sz w:val="24"/>
                <w:szCs w:val="24"/>
              </w:rPr>
            </w:pP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语义检索接口</w:t>
            </w:r>
          </w:p>
        </w:tc>
        <w:tc>
          <w:tcPr>
            <w:tcW w:w="815" w:type="pct"/>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分局公安信息网侧，满足市局接口规范中定义的【语义检索接口】开发、对接、调试</w:t>
            </w:r>
          </w:p>
        </w:tc>
        <w:tc>
          <w:tcPr>
            <w:tcW w:w="325"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w:t>
            </w:r>
          </w:p>
        </w:tc>
        <w:tc>
          <w:tcPr>
            <w:tcW w:w="1058" w:type="pct"/>
            <w:vMerge w:val="continue"/>
            <w:vAlign w:val="center"/>
          </w:tcPr>
          <w:p>
            <w:pPr>
              <w:jc w:val="center"/>
              <w:rPr>
                <w:rFonts w:hint="eastAsia" w:ascii="宋体" w:hAnsi="宋体" w:cs="宋体"/>
                <w:color w:val="000000"/>
                <w:sz w:val="24"/>
                <w:szCs w:val="24"/>
              </w:rPr>
            </w:pP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场景接口</w:t>
            </w:r>
          </w:p>
        </w:tc>
        <w:tc>
          <w:tcPr>
            <w:tcW w:w="815" w:type="pct"/>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分局公安信息网侧，满足市局接口规范中定义的【场景接口】开发、对接、调试</w:t>
            </w:r>
          </w:p>
        </w:tc>
        <w:tc>
          <w:tcPr>
            <w:tcW w:w="325"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w:t>
            </w:r>
          </w:p>
        </w:tc>
        <w:tc>
          <w:tcPr>
            <w:tcW w:w="1058" w:type="pct"/>
            <w:vMerge w:val="continue"/>
            <w:vAlign w:val="center"/>
          </w:tcPr>
          <w:p>
            <w:pPr>
              <w:jc w:val="center"/>
              <w:rPr>
                <w:rFonts w:hint="eastAsia" w:ascii="宋体" w:hAnsi="宋体" w:cs="宋体"/>
                <w:color w:val="000000"/>
                <w:sz w:val="24"/>
                <w:szCs w:val="24"/>
              </w:rPr>
            </w:pP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预警开放接口</w:t>
            </w:r>
          </w:p>
        </w:tc>
        <w:tc>
          <w:tcPr>
            <w:tcW w:w="815" w:type="pct"/>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分局公安信息网侧，满足市局接口规范中定义的【预警开放接口】开发、对接、调试</w:t>
            </w:r>
          </w:p>
        </w:tc>
        <w:tc>
          <w:tcPr>
            <w:tcW w:w="325"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w:t>
            </w:r>
          </w:p>
        </w:tc>
        <w:tc>
          <w:tcPr>
            <w:tcW w:w="1058" w:type="pct"/>
            <w:vMerge w:val="continue"/>
            <w:vAlign w:val="center"/>
          </w:tcPr>
          <w:p>
            <w:pPr>
              <w:jc w:val="center"/>
              <w:rPr>
                <w:rFonts w:hint="eastAsia" w:ascii="宋体" w:hAnsi="宋体" w:cs="宋体"/>
                <w:color w:val="000000"/>
                <w:sz w:val="24"/>
                <w:szCs w:val="24"/>
              </w:rPr>
            </w:pP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微训练接口</w:t>
            </w:r>
          </w:p>
        </w:tc>
        <w:tc>
          <w:tcPr>
            <w:tcW w:w="815" w:type="pct"/>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分局公安信息网侧，满足市局接口规范中定义的【微训练接口】开发、对接、调试</w:t>
            </w:r>
          </w:p>
        </w:tc>
        <w:tc>
          <w:tcPr>
            <w:tcW w:w="325"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7</w:t>
            </w:r>
          </w:p>
        </w:tc>
        <w:tc>
          <w:tcPr>
            <w:tcW w:w="1058" w:type="pct"/>
            <w:vMerge w:val="continue"/>
            <w:vAlign w:val="center"/>
          </w:tcPr>
          <w:p>
            <w:pPr>
              <w:jc w:val="center"/>
              <w:rPr>
                <w:rFonts w:hint="eastAsia" w:ascii="宋体" w:hAnsi="宋体" w:cs="宋体"/>
                <w:color w:val="000000"/>
                <w:sz w:val="24"/>
                <w:szCs w:val="24"/>
              </w:rPr>
            </w:pP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统计接口</w:t>
            </w:r>
          </w:p>
        </w:tc>
        <w:tc>
          <w:tcPr>
            <w:tcW w:w="815" w:type="pct"/>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分局公安信息网侧，满足市局接口规范中定义的【统计接口】开发、对接、调试</w:t>
            </w:r>
          </w:p>
        </w:tc>
        <w:tc>
          <w:tcPr>
            <w:tcW w:w="325"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8</w:t>
            </w:r>
          </w:p>
        </w:tc>
        <w:tc>
          <w:tcPr>
            <w:tcW w:w="1058" w:type="pct"/>
            <w:vMerge w:val="continue"/>
            <w:vAlign w:val="center"/>
          </w:tcPr>
          <w:p>
            <w:pPr>
              <w:jc w:val="center"/>
              <w:rPr>
                <w:rFonts w:hint="eastAsia" w:ascii="宋体" w:hAnsi="宋体" w:cs="宋体"/>
                <w:color w:val="000000"/>
                <w:sz w:val="24"/>
                <w:szCs w:val="24"/>
              </w:rPr>
            </w:pP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采集设备接口</w:t>
            </w:r>
          </w:p>
        </w:tc>
        <w:tc>
          <w:tcPr>
            <w:tcW w:w="815" w:type="pct"/>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分局公安信息网侧，满足市局接口规范中定义的【采集设备接口】开发、对接、调试</w:t>
            </w:r>
          </w:p>
        </w:tc>
        <w:tc>
          <w:tcPr>
            <w:tcW w:w="325"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034" w:type="pct"/>
            <w:gridSpan w:val="4"/>
            <w:noWrap/>
            <w:vAlign w:val="center"/>
          </w:tcPr>
          <w:p>
            <w:pPr>
              <w:widowControl/>
              <w:jc w:val="left"/>
              <w:textAlignment w:val="center"/>
              <w:rPr>
                <w:rFonts w:hint="eastAsia" w:ascii="宋体" w:hAnsi="宋体" w:cs="宋体"/>
                <w:b/>
                <w:bCs/>
                <w:color w:val="000000"/>
                <w:sz w:val="20"/>
              </w:rPr>
            </w:pPr>
            <w:r>
              <w:rPr>
                <w:rFonts w:hint="eastAsia" w:ascii="宋体" w:hAnsi="宋体" w:cs="宋体"/>
                <w:b/>
                <w:bCs/>
                <w:color w:val="000000"/>
                <w:kern w:val="0"/>
                <w:sz w:val="20"/>
                <w:lang w:bidi="ar"/>
              </w:rPr>
              <w:t>（二）城市安全管理大模型考核相关接口（视频传输网侧）</w:t>
            </w:r>
          </w:p>
        </w:tc>
        <w:tc>
          <w:tcPr>
            <w:tcW w:w="325" w:type="pct"/>
            <w:vAlign w:val="center"/>
          </w:tcPr>
          <w:p>
            <w:pPr>
              <w:jc w:val="right"/>
              <w:rPr>
                <w:rFonts w:hint="eastAsia" w:ascii="宋体" w:hAnsi="宋体" w:cs="宋体"/>
                <w:color w:val="000000"/>
                <w:sz w:val="22"/>
                <w:szCs w:val="22"/>
              </w:rPr>
            </w:pPr>
          </w:p>
        </w:tc>
        <w:tc>
          <w:tcPr>
            <w:tcW w:w="311" w:type="pct"/>
            <w:vAlign w:val="center"/>
          </w:tcPr>
          <w:p>
            <w:pPr>
              <w:jc w:val="center"/>
              <w:rPr>
                <w:rFonts w:hint="eastAsia" w:ascii="宋体" w:hAnsi="宋体" w:cs="宋体"/>
                <w:color w:val="000000"/>
                <w:sz w:val="22"/>
                <w:szCs w:val="22"/>
              </w:rPr>
            </w:pPr>
          </w:p>
        </w:tc>
        <w:tc>
          <w:tcPr>
            <w:tcW w:w="330" w:type="pct"/>
            <w:vAlign w:val="center"/>
          </w:tcPr>
          <w:p>
            <w:pPr>
              <w:jc w:val="center"/>
              <w:rPr>
                <w:rFonts w:hint="eastAsia" w:ascii="宋体"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5"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9</w:t>
            </w:r>
          </w:p>
        </w:tc>
        <w:tc>
          <w:tcPr>
            <w:tcW w:w="1058" w:type="pct"/>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大模型模块双网级联跨边界对接</w:t>
            </w: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双网级联跨边界对接</w:t>
            </w:r>
          </w:p>
        </w:tc>
        <w:tc>
          <w:tcPr>
            <w:tcW w:w="815" w:type="pct"/>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开发相关对接接口，进行分局公安信息网和视频传输网通过市局两网横向安全边界的申请、对接、调试，实现大模型模块双网级联跨边界对接。</w:t>
            </w:r>
          </w:p>
        </w:tc>
        <w:tc>
          <w:tcPr>
            <w:tcW w:w="325"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w:t>
            </w:r>
          </w:p>
        </w:tc>
        <w:tc>
          <w:tcPr>
            <w:tcW w:w="1058" w:type="pct"/>
            <w:vMerge w:val="restart"/>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接口开发对接</w:t>
            </w: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管理接口</w:t>
            </w:r>
          </w:p>
        </w:tc>
        <w:tc>
          <w:tcPr>
            <w:tcW w:w="815" w:type="pct"/>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分局视频传输网侧，满足市局接口规范中定义的【管理接口】开发、对接、调试</w:t>
            </w:r>
          </w:p>
        </w:tc>
        <w:tc>
          <w:tcPr>
            <w:tcW w:w="325"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11</w:t>
            </w:r>
          </w:p>
        </w:tc>
        <w:tc>
          <w:tcPr>
            <w:tcW w:w="1058" w:type="pct"/>
            <w:vMerge w:val="continue"/>
            <w:vAlign w:val="center"/>
          </w:tcPr>
          <w:p>
            <w:pPr>
              <w:jc w:val="center"/>
              <w:rPr>
                <w:rFonts w:hint="eastAsia" w:ascii="宋体" w:hAnsi="宋体" w:cs="宋体"/>
                <w:color w:val="000000"/>
                <w:sz w:val="24"/>
                <w:szCs w:val="24"/>
              </w:rPr>
            </w:pP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语义检索接口</w:t>
            </w:r>
          </w:p>
        </w:tc>
        <w:tc>
          <w:tcPr>
            <w:tcW w:w="815" w:type="pct"/>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分局视频传输网侧，满足市局接口规范中定义的【语义检索接口】开发、对接、调试</w:t>
            </w:r>
          </w:p>
        </w:tc>
        <w:tc>
          <w:tcPr>
            <w:tcW w:w="325"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12</w:t>
            </w:r>
          </w:p>
        </w:tc>
        <w:tc>
          <w:tcPr>
            <w:tcW w:w="1058" w:type="pct"/>
            <w:vMerge w:val="continue"/>
            <w:vAlign w:val="center"/>
          </w:tcPr>
          <w:p>
            <w:pPr>
              <w:jc w:val="center"/>
              <w:rPr>
                <w:rFonts w:hint="eastAsia" w:ascii="宋体" w:hAnsi="宋体" w:cs="宋体"/>
                <w:color w:val="000000"/>
                <w:sz w:val="24"/>
                <w:szCs w:val="24"/>
              </w:rPr>
            </w:pP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场景接口</w:t>
            </w:r>
          </w:p>
        </w:tc>
        <w:tc>
          <w:tcPr>
            <w:tcW w:w="815" w:type="pct"/>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分局视频传输网侧，满足市局接口规范中定义的【场景接口】开发、对接、调试</w:t>
            </w:r>
          </w:p>
        </w:tc>
        <w:tc>
          <w:tcPr>
            <w:tcW w:w="325"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13</w:t>
            </w:r>
          </w:p>
        </w:tc>
        <w:tc>
          <w:tcPr>
            <w:tcW w:w="1058" w:type="pct"/>
            <w:vMerge w:val="continue"/>
            <w:vAlign w:val="center"/>
          </w:tcPr>
          <w:p>
            <w:pPr>
              <w:jc w:val="center"/>
              <w:rPr>
                <w:rFonts w:hint="eastAsia" w:ascii="宋体" w:hAnsi="宋体" w:cs="宋体"/>
                <w:color w:val="000000"/>
                <w:sz w:val="24"/>
                <w:szCs w:val="24"/>
              </w:rPr>
            </w:pP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预警开放接口</w:t>
            </w:r>
          </w:p>
        </w:tc>
        <w:tc>
          <w:tcPr>
            <w:tcW w:w="815" w:type="pct"/>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分局视频传输网侧，满足市局接口规范中定义的【预警开放接口】开发、对接、调试</w:t>
            </w:r>
          </w:p>
        </w:tc>
        <w:tc>
          <w:tcPr>
            <w:tcW w:w="325"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14</w:t>
            </w:r>
          </w:p>
        </w:tc>
        <w:tc>
          <w:tcPr>
            <w:tcW w:w="1058" w:type="pct"/>
            <w:vMerge w:val="continue"/>
            <w:vAlign w:val="center"/>
          </w:tcPr>
          <w:p>
            <w:pPr>
              <w:jc w:val="center"/>
              <w:rPr>
                <w:rFonts w:hint="eastAsia" w:ascii="宋体" w:hAnsi="宋体" w:cs="宋体"/>
                <w:color w:val="000000"/>
                <w:sz w:val="24"/>
                <w:szCs w:val="24"/>
              </w:rPr>
            </w:pP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微训练接口</w:t>
            </w:r>
          </w:p>
        </w:tc>
        <w:tc>
          <w:tcPr>
            <w:tcW w:w="815" w:type="pct"/>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分局视频传输网侧，满足市局接口规范中定义的【微训练接口】开发、对接、调试</w:t>
            </w:r>
          </w:p>
        </w:tc>
        <w:tc>
          <w:tcPr>
            <w:tcW w:w="325"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15</w:t>
            </w:r>
          </w:p>
        </w:tc>
        <w:tc>
          <w:tcPr>
            <w:tcW w:w="1058" w:type="pct"/>
            <w:vMerge w:val="continue"/>
            <w:vAlign w:val="center"/>
          </w:tcPr>
          <w:p>
            <w:pPr>
              <w:jc w:val="center"/>
              <w:rPr>
                <w:rFonts w:hint="eastAsia" w:ascii="宋体" w:hAnsi="宋体" w:cs="宋体"/>
                <w:color w:val="000000"/>
                <w:sz w:val="24"/>
                <w:szCs w:val="24"/>
              </w:rPr>
            </w:pP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统计接口</w:t>
            </w:r>
          </w:p>
        </w:tc>
        <w:tc>
          <w:tcPr>
            <w:tcW w:w="815" w:type="pct"/>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分局视频传输网侧，满足市局接口规范中定义的【统计接口】开发、对接、调试</w:t>
            </w:r>
          </w:p>
        </w:tc>
        <w:tc>
          <w:tcPr>
            <w:tcW w:w="325"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16</w:t>
            </w:r>
          </w:p>
        </w:tc>
        <w:tc>
          <w:tcPr>
            <w:tcW w:w="1058" w:type="pct"/>
            <w:vMerge w:val="continue"/>
            <w:vAlign w:val="center"/>
          </w:tcPr>
          <w:p>
            <w:pPr>
              <w:jc w:val="center"/>
              <w:rPr>
                <w:rFonts w:hint="eastAsia" w:ascii="宋体" w:hAnsi="宋体" w:cs="宋体"/>
                <w:color w:val="000000"/>
                <w:sz w:val="24"/>
                <w:szCs w:val="24"/>
              </w:rPr>
            </w:pP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采集设备接口</w:t>
            </w:r>
          </w:p>
        </w:tc>
        <w:tc>
          <w:tcPr>
            <w:tcW w:w="815" w:type="pct"/>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分局视频传输网侧，满足市局接口规范中定义的【采集设备接口】开发、对接、调试</w:t>
            </w:r>
          </w:p>
        </w:tc>
        <w:tc>
          <w:tcPr>
            <w:tcW w:w="325"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034" w:type="pct"/>
            <w:gridSpan w:val="4"/>
            <w:noWrap/>
            <w:vAlign w:val="center"/>
          </w:tcPr>
          <w:p>
            <w:pPr>
              <w:widowControl/>
              <w:jc w:val="left"/>
              <w:textAlignment w:val="center"/>
              <w:rPr>
                <w:rFonts w:hint="eastAsia" w:ascii="宋体" w:hAnsi="宋体" w:cs="宋体"/>
                <w:b/>
                <w:bCs/>
                <w:color w:val="000000"/>
                <w:sz w:val="20"/>
              </w:rPr>
            </w:pPr>
            <w:r>
              <w:rPr>
                <w:rFonts w:hint="eastAsia" w:ascii="宋体" w:hAnsi="宋体" w:cs="宋体"/>
                <w:b/>
                <w:bCs/>
                <w:color w:val="000000"/>
                <w:kern w:val="0"/>
                <w:sz w:val="20"/>
                <w:lang w:bidi="ar"/>
              </w:rPr>
              <w:t>（二）城市安全管理大模型考核相关接口（视频传输网侧）</w:t>
            </w:r>
          </w:p>
        </w:tc>
        <w:tc>
          <w:tcPr>
            <w:tcW w:w="325" w:type="pct"/>
            <w:vAlign w:val="center"/>
          </w:tcPr>
          <w:p>
            <w:pPr>
              <w:jc w:val="right"/>
              <w:rPr>
                <w:rFonts w:hint="eastAsia" w:ascii="宋体" w:hAnsi="宋体" w:cs="宋体"/>
                <w:color w:val="000000"/>
                <w:sz w:val="22"/>
                <w:szCs w:val="22"/>
              </w:rPr>
            </w:pPr>
          </w:p>
        </w:tc>
        <w:tc>
          <w:tcPr>
            <w:tcW w:w="311" w:type="pct"/>
            <w:vAlign w:val="center"/>
          </w:tcPr>
          <w:p>
            <w:pPr>
              <w:jc w:val="center"/>
              <w:rPr>
                <w:rFonts w:hint="eastAsia" w:ascii="宋体" w:hAnsi="宋体" w:cs="宋体"/>
                <w:color w:val="000000"/>
                <w:sz w:val="22"/>
                <w:szCs w:val="22"/>
              </w:rPr>
            </w:pPr>
          </w:p>
        </w:tc>
        <w:tc>
          <w:tcPr>
            <w:tcW w:w="330" w:type="pct"/>
            <w:vAlign w:val="center"/>
          </w:tcPr>
          <w:p>
            <w:pPr>
              <w:jc w:val="center"/>
              <w:rPr>
                <w:rFonts w:hint="eastAsia" w:ascii="宋体"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5"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17</w:t>
            </w:r>
          </w:p>
        </w:tc>
        <w:tc>
          <w:tcPr>
            <w:tcW w:w="1058" w:type="pct"/>
            <w:vAlign w:val="center"/>
          </w:tcPr>
          <w:p>
            <w:pPr>
              <w:widowControl/>
              <w:jc w:val="center"/>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多厂商大模型能力集群对接</w:t>
            </w: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多平台对接</w:t>
            </w:r>
          </w:p>
        </w:tc>
        <w:tc>
          <w:tcPr>
            <w:tcW w:w="815" w:type="pct"/>
            <w:vAlign w:val="center"/>
          </w:tcPr>
          <w:p>
            <w:pPr>
              <w:widowControl/>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完成与2家不同大模型能力集群厂商平台的接口开发、对接、调试，满足市局对于分局“机器看视频”城市安全管理大模型相关场景预警考核要求。</w:t>
            </w:r>
          </w:p>
        </w:tc>
        <w:tc>
          <w:tcPr>
            <w:tcW w:w="325" w:type="pct"/>
            <w:vAlign w:val="center"/>
          </w:tcPr>
          <w:p>
            <w:pPr>
              <w:jc w:val="right"/>
              <w:rPr>
                <w:rFonts w:hint="eastAsia" w:ascii="宋体" w:hAnsi="宋体" w:cs="宋体"/>
                <w:color w:val="000000"/>
                <w:sz w:val="22"/>
                <w:szCs w:val="22"/>
              </w:rPr>
            </w:pPr>
            <w:r>
              <w:rPr>
                <w:rFonts w:hint="eastAsia" w:ascii="宋体" w:hAnsi="宋体" w:cs="宋体"/>
                <w:color w:val="000000"/>
                <w:sz w:val="22"/>
                <w:szCs w:val="22"/>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034" w:type="pct"/>
            <w:gridSpan w:val="4"/>
            <w:noWrap/>
            <w:vAlign w:val="center"/>
          </w:tcPr>
          <w:p>
            <w:pPr>
              <w:widowControl/>
              <w:jc w:val="left"/>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val="en-US" w:eastAsia="zh-CN" w:bidi="ar"/>
              </w:rPr>
              <w:t>二</w:t>
            </w:r>
            <w:r>
              <w:rPr>
                <w:rFonts w:hint="eastAsia" w:ascii="宋体" w:hAnsi="宋体" w:cs="宋体"/>
                <w:b/>
                <w:bCs/>
                <w:color w:val="000000"/>
                <w:kern w:val="0"/>
                <w:sz w:val="22"/>
                <w:szCs w:val="22"/>
                <w:lang w:bidi="ar"/>
              </w:rPr>
              <w:t>、视图大模型应用--智能分析服务器部署</w:t>
            </w:r>
          </w:p>
        </w:tc>
        <w:tc>
          <w:tcPr>
            <w:tcW w:w="325" w:type="pct"/>
            <w:vAlign w:val="center"/>
          </w:tcPr>
          <w:p>
            <w:pPr>
              <w:jc w:val="center"/>
              <w:rPr>
                <w:rFonts w:hint="eastAsia" w:ascii="宋体" w:hAnsi="宋体" w:cs="宋体"/>
                <w:color w:val="000000"/>
                <w:sz w:val="22"/>
                <w:szCs w:val="22"/>
              </w:rPr>
            </w:pPr>
          </w:p>
        </w:tc>
        <w:tc>
          <w:tcPr>
            <w:tcW w:w="311" w:type="pct"/>
            <w:vAlign w:val="center"/>
          </w:tcPr>
          <w:p>
            <w:pPr>
              <w:jc w:val="center"/>
              <w:rPr>
                <w:rFonts w:hint="eastAsia" w:ascii="宋体" w:hAnsi="宋体" w:cs="宋体"/>
                <w:color w:val="000000"/>
                <w:sz w:val="22"/>
                <w:szCs w:val="22"/>
              </w:rPr>
            </w:pPr>
          </w:p>
        </w:tc>
        <w:tc>
          <w:tcPr>
            <w:tcW w:w="330" w:type="pct"/>
            <w:vAlign w:val="center"/>
          </w:tcPr>
          <w:p>
            <w:pPr>
              <w:jc w:val="center"/>
              <w:rPr>
                <w:rFonts w:hint="eastAsia" w:ascii="宋体"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034" w:type="pct"/>
            <w:gridSpan w:val="4"/>
            <w:noWrap/>
            <w:vAlign w:val="center"/>
          </w:tcPr>
          <w:p>
            <w:pPr>
              <w:widowControl/>
              <w:jc w:val="left"/>
              <w:textAlignment w:val="center"/>
              <w:rPr>
                <w:rFonts w:hint="eastAsia" w:ascii="宋体" w:hAnsi="宋体" w:cs="宋体"/>
                <w:b/>
                <w:bCs/>
                <w:color w:val="000000"/>
                <w:sz w:val="20"/>
              </w:rPr>
            </w:pPr>
            <w:r>
              <w:rPr>
                <w:rFonts w:hint="eastAsia" w:ascii="宋体" w:hAnsi="宋体" w:cs="宋体"/>
                <w:b/>
                <w:bCs/>
                <w:color w:val="000000"/>
                <w:kern w:val="0"/>
                <w:sz w:val="20"/>
                <w:lang w:bidi="ar"/>
              </w:rPr>
              <w:t>（一）智能分析设备</w:t>
            </w:r>
          </w:p>
        </w:tc>
        <w:tc>
          <w:tcPr>
            <w:tcW w:w="325" w:type="pct"/>
            <w:vAlign w:val="center"/>
          </w:tcPr>
          <w:p>
            <w:pPr>
              <w:jc w:val="center"/>
              <w:rPr>
                <w:rFonts w:hint="eastAsia" w:ascii="宋体" w:hAnsi="宋体" w:cs="宋体"/>
                <w:b/>
                <w:bCs/>
                <w:color w:val="000000"/>
                <w:sz w:val="20"/>
              </w:rPr>
            </w:pPr>
          </w:p>
        </w:tc>
        <w:tc>
          <w:tcPr>
            <w:tcW w:w="311" w:type="pct"/>
            <w:vAlign w:val="center"/>
          </w:tcPr>
          <w:p>
            <w:pPr>
              <w:jc w:val="center"/>
              <w:rPr>
                <w:rFonts w:hint="eastAsia" w:ascii="宋体" w:hAnsi="宋体" w:cs="宋体"/>
                <w:b/>
                <w:bCs/>
                <w:color w:val="000000"/>
                <w:sz w:val="20"/>
              </w:rPr>
            </w:pPr>
          </w:p>
        </w:tc>
        <w:tc>
          <w:tcPr>
            <w:tcW w:w="330" w:type="pct"/>
            <w:vAlign w:val="center"/>
          </w:tcPr>
          <w:p>
            <w:pPr>
              <w:jc w:val="center"/>
              <w:rPr>
                <w:rFonts w:hint="eastAsia" w:ascii="宋体" w:hAnsi="宋体" w:cs="宋体"/>
                <w:b/>
                <w:bCs/>
                <w:color w:val="00000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18</w:t>
            </w:r>
          </w:p>
        </w:tc>
        <w:tc>
          <w:tcPr>
            <w:tcW w:w="1058"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智能分析服务器</w:t>
            </w: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不低于“智能分析服务器部署参数配置需求”</w:t>
            </w:r>
          </w:p>
        </w:tc>
        <w:tc>
          <w:tcPr>
            <w:tcW w:w="815" w:type="pct"/>
            <w:vAlign w:val="center"/>
          </w:tcPr>
          <w:p>
            <w:pPr>
              <w:jc w:val="left"/>
              <w:rPr>
                <w:rFonts w:hint="eastAsia" w:ascii="宋体" w:hAnsi="宋体" w:cs="宋体"/>
                <w:color w:val="000000"/>
                <w:sz w:val="22"/>
                <w:szCs w:val="22"/>
              </w:rPr>
            </w:pPr>
          </w:p>
        </w:tc>
        <w:tc>
          <w:tcPr>
            <w:tcW w:w="325"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3</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套</w:t>
            </w:r>
          </w:p>
        </w:tc>
        <w:tc>
          <w:tcPr>
            <w:tcW w:w="330" w:type="pct"/>
            <w:vAlign w:val="center"/>
          </w:tcPr>
          <w:p>
            <w:pPr>
              <w:jc w:val="center"/>
              <w:rPr>
                <w:rFonts w:hint="eastAsia" w:ascii="宋体" w:hAnsi="宋体" w:cs="宋体"/>
                <w:color w:val="000000"/>
                <w:sz w:val="22"/>
                <w:szCs w:val="22"/>
              </w:rPr>
            </w:pPr>
            <w:r>
              <w:rPr>
                <w:rFonts w:hint="eastAsia" w:ascii="宋体" w:hAnsi="宋体" w:cs="宋体"/>
                <w:color w:val="000000"/>
                <w:sz w:val="22"/>
                <w:szCs w:val="2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034" w:type="pct"/>
            <w:gridSpan w:val="4"/>
            <w:noWrap/>
            <w:vAlign w:val="center"/>
          </w:tcPr>
          <w:p>
            <w:pPr>
              <w:widowControl/>
              <w:jc w:val="left"/>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val="en-US" w:eastAsia="zh-CN" w:bidi="ar"/>
              </w:rPr>
              <w:t>三</w:t>
            </w:r>
            <w:r>
              <w:rPr>
                <w:rFonts w:hint="eastAsia" w:ascii="宋体" w:hAnsi="宋体" w:cs="宋体"/>
                <w:b/>
                <w:bCs/>
                <w:color w:val="000000"/>
                <w:kern w:val="0"/>
                <w:sz w:val="22"/>
                <w:szCs w:val="22"/>
                <w:lang w:bidi="ar"/>
              </w:rPr>
              <w:t>、视图大模型应用--多类型算法购置</w:t>
            </w:r>
          </w:p>
        </w:tc>
        <w:tc>
          <w:tcPr>
            <w:tcW w:w="325" w:type="pct"/>
            <w:noWrap/>
            <w:vAlign w:val="center"/>
          </w:tcPr>
          <w:p>
            <w:pPr>
              <w:jc w:val="center"/>
              <w:rPr>
                <w:rFonts w:hint="eastAsia" w:ascii="宋体" w:hAnsi="宋体" w:cs="宋体"/>
                <w:b/>
                <w:bCs/>
                <w:color w:val="000000"/>
                <w:sz w:val="22"/>
                <w:szCs w:val="22"/>
              </w:rPr>
            </w:pPr>
          </w:p>
        </w:tc>
        <w:tc>
          <w:tcPr>
            <w:tcW w:w="311" w:type="pct"/>
            <w:vAlign w:val="center"/>
          </w:tcPr>
          <w:p>
            <w:pPr>
              <w:jc w:val="center"/>
              <w:rPr>
                <w:rFonts w:hint="eastAsia" w:ascii="宋体" w:hAnsi="宋体" w:cs="宋体"/>
                <w:b/>
                <w:bCs/>
                <w:color w:val="000000"/>
                <w:sz w:val="22"/>
                <w:szCs w:val="22"/>
              </w:rPr>
            </w:pPr>
          </w:p>
        </w:tc>
        <w:tc>
          <w:tcPr>
            <w:tcW w:w="330" w:type="pct"/>
            <w:vAlign w:val="center"/>
          </w:tcPr>
          <w:p>
            <w:pPr>
              <w:jc w:val="center"/>
              <w:rPr>
                <w:rFonts w:hint="eastAsia" w:ascii="宋体" w:hAnsi="宋体" w:cs="宋体"/>
                <w:b/>
                <w:bCs/>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034" w:type="pct"/>
            <w:gridSpan w:val="4"/>
            <w:noWrap/>
            <w:vAlign w:val="center"/>
          </w:tcPr>
          <w:p>
            <w:pPr>
              <w:widowControl/>
              <w:jc w:val="left"/>
              <w:textAlignment w:val="center"/>
              <w:rPr>
                <w:rFonts w:hint="eastAsia" w:ascii="宋体" w:hAnsi="宋体" w:cs="宋体"/>
                <w:b/>
                <w:bCs/>
                <w:color w:val="000000"/>
                <w:sz w:val="20"/>
              </w:rPr>
            </w:pPr>
            <w:r>
              <w:rPr>
                <w:rFonts w:hint="eastAsia" w:ascii="宋体" w:hAnsi="宋体" w:cs="宋体"/>
                <w:b/>
                <w:bCs/>
                <w:color w:val="000000"/>
                <w:kern w:val="0"/>
                <w:sz w:val="20"/>
                <w:lang w:bidi="ar"/>
              </w:rPr>
              <w:t>（一）算法产品1</w:t>
            </w:r>
          </w:p>
        </w:tc>
        <w:tc>
          <w:tcPr>
            <w:tcW w:w="325" w:type="pct"/>
            <w:vAlign w:val="center"/>
          </w:tcPr>
          <w:p>
            <w:pPr>
              <w:jc w:val="center"/>
              <w:rPr>
                <w:rFonts w:hint="eastAsia" w:ascii="宋体" w:hAnsi="宋体" w:cs="宋体"/>
                <w:b/>
                <w:bCs/>
                <w:color w:val="000000"/>
                <w:sz w:val="22"/>
                <w:szCs w:val="22"/>
              </w:rPr>
            </w:pPr>
          </w:p>
        </w:tc>
        <w:tc>
          <w:tcPr>
            <w:tcW w:w="311" w:type="pct"/>
            <w:vAlign w:val="center"/>
          </w:tcPr>
          <w:p>
            <w:pPr>
              <w:jc w:val="center"/>
              <w:rPr>
                <w:rFonts w:hint="eastAsia" w:ascii="宋体" w:hAnsi="宋体" w:cs="宋体"/>
                <w:b/>
                <w:bCs/>
                <w:color w:val="000000"/>
                <w:sz w:val="22"/>
                <w:szCs w:val="22"/>
              </w:rPr>
            </w:pPr>
          </w:p>
        </w:tc>
        <w:tc>
          <w:tcPr>
            <w:tcW w:w="330" w:type="pct"/>
            <w:vAlign w:val="center"/>
          </w:tcPr>
          <w:p>
            <w:pPr>
              <w:jc w:val="center"/>
              <w:rPr>
                <w:rFonts w:hint="eastAsia" w:ascii="宋体" w:hAnsi="宋体" w:cs="宋体"/>
                <w:b/>
                <w:bCs/>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19</w:t>
            </w:r>
          </w:p>
        </w:tc>
        <w:tc>
          <w:tcPr>
            <w:tcW w:w="1058" w:type="pct"/>
            <w:noWrap/>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场景异动类算法</w:t>
            </w: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基于大模型、多模态等新技术，提供与前述场景异动类检测算法不同，可实现如离线解析、实时图像结构化解析、录像结构化解析、特征要素多模态解析、以文字和图片搜图片、以文字和图片搜视频等功能，且不少于1种用户认可的特定类场景应用或特定类算法（重点</w:t>
            </w:r>
            <w:r>
              <w:rPr>
                <w:rFonts w:ascii="宋体" w:hAnsi="宋体" w:cs="宋体"/>
                <w:color w:val="000000"/>
                <w:kern w:val="0"/>
                <w:sz w:val="22"/>
                <w:szCs w:val="22"/>
                <w:lang w:bidi="ar"/>
              </w:rPr>
              <w:t>人车告警应用</w:t>
            </w:r>
            <w:r>
              <w:rPr>
                <w:rFonts w:hint="eastAsia" w:ascii="宋体" w:hAnsi="宋体" w:cs="宋体"/>
                <w:color w:val="000000"/>
                <w:kern w:val="0"/>
                <w:sz w:val="22"/>
                <w:szCs w:val="22"/>
                <w:lang w:bidi="ar"/>
              </w:rPr>
              <w:t>、人员</w:t>
            </w:r>
            <w:r>
              <w:rPr>
                <w:rFonts w:ascii="宋体" w:hAnsi="宋体" w:cs="宋体"/>
                <w:color w:val="000000"/>
                <w:kern w:val="0"/>
                <w:sz w:val="22"/>
                <w:szCs w:val="22"/>
                <w:lang w:bidi="ar"/>
              </w:rPr>
              <w:t>异动</w:t>
            </w:r>
            <w:r>
              <w:rPr>
                <w:rFonts w:hint="eastAsia" w:ascii="宋体" w:hAnsi="宋体" w:cs="宋体"/>
                <w:color w:val="000000"/>
                <w:kern w:val="0"/>
                <w:sz w:val="22"/>
                <w:szCs w:val="22"/>
                <w:lang w:bidi="ar"/>
              </w:rPr>
              <w:t>类）。</w:t>
            </w:r>
          </w:p>
        </w:tc>
        <w:tc>
          <w:tcPr>
            <w:tcW w:w="815" w:type="pct"/>
            <w:vAlign w:val="center"/>
          </w:tcPr>
          <w:p>
            <w:pPr>
              <w:jc w:val="left"/>
              <w:rPr>
                <w:rFonts w:hint="eastAsia" w:ascii="宋体" w:hAnsi="宋体" w:cs="宋体"/>
                <w:color w:val="000000"/>
                <w:sz w:val="22"/>
                <w:szCs w:val="22"/>
              </w:rPr>
            </w:pPr>
          </w:p>
        </w:tc>
        <w:tc>
          <w:tcPr>
            <w:tcW w:w="325"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110</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路</w:t>
            </w:r>
          </w:p>
        </w:tc>
        <w:tc>
          <w:tcPr>
            <w:tcW w:w="330"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034" w:type="pct"/>
            <w:gridSpan w:val="4"/>
            <w:noWrap/>
            <w:vAlign w:val="center"/>
          </w:tcPr>
          <w:p>
            <w:pPr>
              <w:widowControl/>
              <w:jc w:val="left"/>
              <w:textAlignment w:val="center"/>
              <w:rPr>
                <w:rFonts w:hint="eastAsia" w:ascii="宋体" w:hAnsi="宋体" w:cs="宋体"/>
                <w:b/>
                <w:bCs/>
                <w:color w:val="000000"/>
                <w:sz w:val="20"/>
              </w:rPr>
            </w:pPr>
            <w:r>
              <w:rPr>
                <w:rFonts w:hint="eastAsia" w:ascii="宋体" w:hAnsi="宋体" w:cs="宋体"/>
                <w:b/>
                <w:bCs/>
                <w:color w:val="000000"/>
                <w:kern w:val="0"/>
                <w:sz w:val="20"/>
                <w:lang w:bidi="ar"/>
              </w:rPr>
              <w:t>（二）算法产品2</w:t>
            </w:r>
          </w:p>
        </w:tc>
        <w:tc>
          <w:tcPr>
            <w:tcW w:w="325" w:type="pct"/>
            <w:vAlign w:val="center"/>
          </w:tcPr>
          <w:p>
            <w:pPr>
              <w:jc w:val="center"/>
              <w:rPr>
                <w:rFonts w:hint="eastAsia" w:ascii="宋体" w:hAnsi="宋体" w:cs="宋体"/>
                <w:b/>
                <w:bCs/>
                <w:color w:val="000000"/>
                <w:sz w:val="22"/>
                <w:szCs w:val="22"/>
              </w:rPr>
            </w:pPr>
          </w:p>
        </w:tc>
        <w:tc>
          <w:tcPr>
            <w:tcW w:w="311" w:type="pct"/>
            <w:vAlign w:val="center"/>
          </w:tcPr>
          <w:p>
            <w:pPr>
              <w:jc w:val="center"/>
              <w:rPr>
                <w:rFonts w:hint="eastAsia" w:ascii="宋体" w:hAnsi="宋体" w:cs="宋体"/>
                <w:b/>
                <w:bCs/>
                <w:color w:val="000000"/>
                <w:sz w:val="22"/>
                <w:szCs w:val="22"/>
              </w:rPr>
            </w:pPr>
          </w:p>
        </w:tc>
        <w:tc>
          <w:tcPr>
            <w:tcW w:w="330" w:type="pct"/>
            <w:vAlign w:val="center"/>
          </w:tcPr>
          <w:p>
            <w:pPr>
              <w:jc w:val="center"/>
              <w:rPr>
                <w:rFonts w:hint="eastAsia" w:ascii="宋体" w:hAnsi="宋体" w:cs="宋体"/>
                <w:b/>
                <w:bCs/>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20</w:t>
            </w:r>
          </w:p>
        </w:tc>
        <w:tc>
          <w:tcPr>
            <w:tcW w:w="1058" w:type="pct"/>
            <w:noWrap/>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场景异动类算法</w:t>
            </w:r>
          </w:p>
        </w:tc>
        <w:tc>
          <w:tcPr>
            <w:tcW w:w="1881"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基于大模型、多模态等新技术，提供与前述场景异动类检测算法不同，可实现如离线解析、实时图像结构化解析、录像结构化解析、特征要素多模态解析、以文字和图片搜图片、以文字和图片搜视频等功能，且不少于1种用户认可的特定类场景应用或特定类算法（车辆</w:t>
            </w:r>
            <w:r>
              <w:rPr>
                <w:rFonts w:ascii="宋体" w:hAnsi="宋体" w:cs="宋体"/>
                <w:color w:val="000000"/>
                <w:kern w:val="0"/>
                <w:sz w:val="22"/>
                <w:szCs w:val="22"/>
                <w:lang w:bidi="ar"/>
              </w:rPr>
              <w:t>异动类、物类异动类、事件异动类</w:t>
            </w:r>
            <w:r>
              <w:rPr>
                <w:rFonts w:hint="eastAsia" w:ascii="宋体" w:hAnsi="宋体" w:cs="宋体"/>
                <w:color w:val="000000"/>
                <w:kern w:val="0"/>
                <w:sz w:val="22"/>
                <w:szCs w:val="22"/>
                <w:lang w:bidi="ar"/>
              </w:rPr>
              <w:t>）。</w:t>
            </w:r>
          </w:p>
        </w:tc>
        <w:tc>
          <w:tcPr>
            <w:tcW w:w="815" w:type="pct"/>
            <w:vAlign w:val="center"/>
          </w:tcPr>
          <w:p>
            <w:pPr>
              <w:jc w:val="left"/>
              <w:rPr>
                <w:rFonts w:hint="eastAsia" w:ascii="宋体" w:hAnsi="宋体" w:cs="宋体"/>
                <w:color w:val="000000"/>
                <w:sz w:val="22"/>
                <w:szCs w:val="22"/>
              </w:rPr>
            </w:pPr>
          </w:p>
        </w:tc>
        <w:tc>
          <w:tcPr>
            <w:tcW w:w="325"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110</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路</w:t>
            </w:r>
          </w:p>
        </w:tc>
        <w:tc>
          <w:tcPr>
            <w:tcW w:w="330"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034" w:type="pct"/>
            <w:gridSpan w:val="4"/>
            <w:noWrap/>
            <w:vAlign w:val="center"/>
          </w:tcPr>
          <w:p>
            <w:pPr>
              <w:widowControl/>
              <w:jc w:val="left"/>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val="en-US" w:eastAsia="zh-CN" w:bidi="ar"/>
              </w:rPr>
              <w:t>四</w:t>
            </w:r>
            <w:bookmarkStart w:id="12" w:name="_GoBack"/>
            <w:bookmarkEnd w:id="12"/>
            <w:r>
              <w:rPr>
                <w:rFonts w:hint="eastAsia" w:ascii="宋体" w:hAnsi="宋体" w:cs="宋体"/>
                <w:b/>
                <w:bCs/>
                <w:color w:val="000000"/>
                <w:kern w:val="0"/>
                <w:sz w:val="22"/>
                <w:szCs w:val="22"/>
                <w:lang w:bidi="ar"/>
              </w:rPr>
              <w:t>、图数融合应用能力--配套软硬件</w:t>
            </w:r>
          </w:p>
        </w:tc>
        <w:tc>
          <w:tcPr>
            <w:tcW w:w="325" w:type="pct"/>
            <w:vAlign w:val="center"/>
          </w:tcPr>
          <w:p>
            <w:pPr>
              <w:jc w:val="center"/>
              <w:rPr>
                <w:rFonts w:hint="eastAsia" w:ascii="宋体" w:hAnsi="宋体" w:cs="宋体"/>
                <w:color w:val="000000"/>
                <w:sz w:val="22"/>
                <w:szCs w:val="22"/>
              </w:rPr>
            </w:pPr>
          </w:p>
        </w:tc>
        <w:tc>
          <w:tcPr>
            <w:tcW w:w="311" w:type="pct"/>
            <w:vAlign w:val="center"/>
          </w:tcPr>
          <w:p>
            <w:pPr>
              <w:jc w:val="center"/>
              <w:rPr>
                <w:rFonts w:hint="eastAsia" w:ascii="宋体" w:hAnsi="宋体" w:cs="宋体"/>
                <w:color w:val="000000"/>
                <w:sz w:val="22"/>
                <w:szCs w:val="22"/>
              </w:rPr>
            </w:pPr>
          </w:p>
        </w:tc>
        <w:tc>
          <w:tcPr>
            <w:tcW w:w="330" w:type="pct"/>
            <w:vAlign w:val="center"/>
          </w:tcPr>
          <w:p>
            <w:pPr>
              <w:jc w:val="center"/>
              <w:rPr>
                <w:rFonts w:hint="eastAsia" w:ascii="宋体"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034" w:type="pct"/>
            <w:gridSpan w:val="4"/>
            <w:noWrap/>
            <w:vAlign w:val="center"/>
          </w:tcPr>
          <w:p>
            <w:pPr>
              <w:widowControl/>
              <w:jc w:val="left"/>
              <w:textAlignment w:val="center"/>
              <w:rPr>
                <w:rFonts w:hint="eastAsia" w:ascii="宋体" w:hAnsi="宋体" w:cs="宋体"/>
                <w:b/>
                <w:bCs/>
                <w:color w:val="000000"/>
                <w:sz w:val="20"/>
              </w:rPr>
            </w:pPr>
            <w:r>
              <w:rPr>
                <w:rFonts w:hint="eastAsia" w:ascii="宋体" w:hAnsi="宋体" w:cs="宋体"/>
                <w:b/>
                <w:bCs/>
                <w:color w:val="000000"/>
                <w:kern w:val="0"/>
                <w:sz w:val="20"/>
                <w:lang w:bidi="ar"/>
              </w:rPr>
              <w:t>（一）算力设备</w:t>
            </w:r>
          </w:p>
        </w:tc>
        <w:tc>
          <w:tcPr>
            <w:tcW w:w="325" w:type="pct"/>
            <w:vAlign w:val="center"/>
          </w:tcPr>
          <w:p>
            <w:pPr>
              <w:jc w:val="center"/>
              <w:rPr>
                <w:rFonts w:hint="eastAsia" w:ascii="宋体" w:hAnsi="宋体" w:cs="宋体"/>
                <w:color w:val="000000"/>
                <w:sz w:val="22"/>
                <w:szCs w:val="22"/>
              </w:rPr>
            </w:pPr>
          </w:p>
        </w:tc>
        <w:tc>
          <w:tcPr>
            <w:tcW w:w="311" w:type="pct"/>
            <w:vAlign w:val="center"/>
          </w:tcPr>
          <w:p>
            <w:pPr>
              <w:jc w:val="center"/>
              <w:rPr>
                <w:rFonts w:hint="eastAsia" w:ascii="宋体" w:hAnsi="宋体" w:cs="宋体"/>
                <w:color w:val="000000"/>
                <w:sz w:val="22"/>
                <w:szCs w:val="22"/>
              </w:rPr>
            </w:pPr>
          </w:p>
        </w:tc>
        <w:tc>
          <w:tcPr>
            <w:tcW w:w="330" w:type="pct"/>
            <w:vAlign w:val="center"/>
          </w:tcPr>
          <w:p>
            <w:pPr>
              <w:jc w:val="center"/>
              <w:rPr>
                <w:rFonts w:hint="eastAsia" w:ascii="宋体"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79"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21</w:t>
            </w:r>
          </w:p>
        </w:tc>
        <w:tc>
          <w:tcPr>
            <w:tcW w:w="1058" w:type="pct"/>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平台视频计算能力设备（GPU）</w:t>
            </w:r>
          </w:p>
        </w:tc>
        <w:tc>
          <w:tcPr>
            <w:tcW w:w="1881" w:type="pct"/>
            <w:noWrap/>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　不低于“平台视频计算能力设备（GPU）需求”</w:t>
            </w:r>
          </w:p>
        </w:tc>
        <w:tc>
          <w:tcPr>
            <w:tcW w:w="815" w:type="pct"/>
            <w:vAlign w:val="center"/>
          </w:tcPr>
          <w:p>
            <w:pPr>
              <w:jc w:val="left"/>
              <w:rPr>
                <w:rFonts w:hint="eastAsia" w:ascii="宋体" w:hAnsi="宋体" w:cs="宋体"/>
                <w:color w:val="000000"/>
                <w:sz w:val="22"/>
                <w:szCs w:val="22"/>
              </w:rPr>
            </w:pPr>
          </w:p>
        </w:tc>
        <w:tc>
          <w:tcPr>
            <w:tcW w:w="325"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311"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330" w:type="pct"/>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是</w:t>
            </w:r>
          </w:p>
        </w:tc>
      </w:tr>
    </w:tbl>
    <w:p>
      <w:pPr>
        <w:spacing w:line="360" w:lineRule="auto"/>
        <w:rPr>
          <w:sz w:val="24"/>
          <w:szCs w:val="22"/>
        </w:rPr>
      </w:pPr>
    </w:p>
    <w:sectPr>
      <w:pgSz w:w="16838" w:h="11906" w:orient="landscape"/>
      <w:pgMar w:top="1797" w:right="1440" w:bottom="1797" w:left="144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思源黑体 CN Light">
    <w:altName w:val="黑体"/>
    <w:panose1 w:val="00000000000000000000"/>
    <w:charset w:val="86"/>
    <w:family w:val="swiss"/>
    <w:pitch w:val="default"/>
    <w:sig w:usb0="00000000" w:usb1="00000000" w:usb2="00000016" w:usb3="00000000" w:csb0="00060107" w:csb1="00000000"/>
  </w:font>
  <w:font w:name="方正悠黑_504L">
    <w:altName w:val="黑体"/>
    <w:panose1 w:val="00000000000000000000"/>
    <w:charset w:val="86"/>
    <w:family w:val="auto"/>
    <w:pitch w:val="default"/>
    <w:sig w:usb0="00000000" w:usb1="00000000" w:usb2="00000016" w:usb3="00000000" w:csb0="00040001" w:csb1="00000000"/>
  </w:font>
  <w:font w:name="方正悠黑简体_501L">
    <w:altName w:val="黑体"/>
    <w:panose1 w:val="00000000000000000000"/>
    <w:charset w:val="86"/>
    <w:family w:val="auto"/>
    <w:pitch w:val="default"/>
    <w:sig w:usb0="00000000" w:usb1="00000000" w:usb2="00000016" w:usb3="00000000" w:csb0="00040001" w:csb1="00000000"/>
  </w:font>
  <w:font w:name="Segoe UI Emoji">
    <w:panose1 w:val="020B0502040204020203"/>
    <w:charset w:val="00"/>
    <w:family w:val="swiss"/>
    <w:pitch w:val="default"/>
    <w:sig w:usb0="00000001" w:usb1="02000000" w:usb2="08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56484436"/>
    </w:sdtPr>
    <w:sdtContent>
      <w:sdt>
        <w:sdtPr>
          <w:id w:val="1728636285"/>
        </w:sdtPr>
        <w:sdtContent>
          <w:p>
            <w:pPr>
              <w:pStyle w:val="2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22</w:t>
            </w:r>
            <w:r>
              <w:rPr>
                <w:b/>
                <w:bCs/>
                <w:sz w:val="24"/>
                <w:szCs w:val="24"/>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w:rPr>
        <w:rFonts w:hint="eastAsia"/>
      </w:rPr>
      <w:t>长宁公安视图大模型应用建设公开招标项目    采购需求文件     ZC20260174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E40996"/>
    <w:multiLevelType w:val="multilevel"/>
    <w:tmpl w:val="06E40996"/>
    <w:lvl w:ilvl="0" w:tentative="0">
      <w:start w:val="1"/>
      <w:numFmt w:val="bullet"/>
      <w:pStyle w:val="84"/>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075879D8"/>
    <w:multiLevelType w:val="multilevel"/>
    <w:tmpl w:val="075879D8"/>
    <w:lvl w:ilvl="0" w:tentative="0">
      <w:start w:val="1"/>
      <w:numFmt w:val="decimal"/>
      <w:pStyle w:val="2"/>
      <w:lvlText w:val="%1、"/>
      <w:lvlJc w:val="left"/>
      <w:pPr>
        <w:ind w:left="425" w:hanging="425"/>
      </w:pPr>
      <w:rPr>
        <w:rFonts w:hint="default"/>
      </w:rPr>
    </w:lvl>
    <w:lvl w:ilvl="1" w:tentative="0">
      <w:start w:val="1"/>
      <w:numFmt w:val="decimal"/>
      <w:pStyle w:val="4"/>
      <w:lvlText w:val="%1.%2."/>
      <w:lvlJc w:val="left"/>
      <w:pPr>
        <w:ind w:left="567" w:hanging="567"/>
      </w:pPr>
      <w:rPr>
        <w:rFonts w:hint="default"/>
      </w:rPr>
    </w:lvl>
    <w:lvl w:ilvl="2" w:tentative="0">
      <w:start w:val="1"/>
      <w:numFmt w:val="decimal"/>
      <w:pStyle w:val="5"/>
      <w:lvlText w:val="%1.%2.%3."/>
      <w:lvlJc w:val="left"/>
      <w:pPr>
        <w:ind w:left="709" w:hanging="709"/>
      </w:pPr>
      <w:rPr>
        <w:rFonts w:hint="default"/>
        <w:b/>
        <w:bCs/>
      </w:rPr>
    </w:lvl>
    <w:lvl w:ilvl="3" w:tentative="0">
      <w:start w:val="1"/>
      <w:numFmt w:val="decimal"/>
      <w:pStyle w:val="6"/>
      <w:lvlText w:val="%1.%2.%3.%4."/>
      <w:lvlJc w:val="left"/>
      <w:pPr>
        <w:ind w:left="850" w:hanging="850"/>
      </w:pPr>
      <w:rPr>
        <w:rFonts w:hint="default"/>
        <w:b/>
        <w:bCs w:val="0"/>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208A7ABE"/>
    <w:multiLevelType w:val="multilevel"/>
    <w:tmpl w:val="208A7ABE"/>
    <w:lvl w:ilvl="0" w:tentative="0">
      <w:start w:val="1"/>
      <w:numFmt w:val="decimal"/>
      <w:pStyle w:val="71"/>
      <w:suff w:val="space"/>
      <w:lvlText w:val="表%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3BBD9C5B"/>
    <w:multiLevelType w:val="multilevel"/>
    <w:tmpl w:val="3BBD9C5B"/>
    <w:lvl w:ilvl="0" w:tentative="0">
      <w:start w:val="1"/>
      <w:numFmt w:val="decimal"/>
      <w:lvlText w:val="第%1章"/>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pStyle w:val="7"/>
      <w:lvlText w:val="%1.%2.%3.%4.%5"/>
      <w:lvlJc w:val="left"/>
      <w:pPr>
        <w:ind w:left="0" w:firstLine="0"/>
      </w:pPr>
      <w:rPr>
        <w:rFonts w:hint="eastAsia"/>
      </w:rPr>
    </w:lvl>
    <w:lvl w:ilvl="5" w:tentative="0">
      <w:start w:val="1"/>
      <w:numFmt w:val="decimal"/>
      <w:pStyle w:val="8"/>
      <w:lvlText w:val="%1.%2.%3.%4.%5.%6"/>
      <w:lvlJc w:val="left"/>
      <w:pPr>
        <w:ind w:left="0" w:firstLine="0"/>
      </w:pPr>
      <w:rPr>
        <w:rFonts w:hint="eastAsia"/>
      </w:rPr>
    </w:lvl>
    <w:lvl w:ilvl="6" w:tentative="0">
      <w:start w:val="1"/>
      <w:numFmt w:val="decimal"/>
      <w:pStyle w:val="9"/>
      <w:lvlText w:val="%1.%2.%3.%4.%5.%6.%7"/>
      <w:lvlJc w:val="left"/>
      <w:pPr>
        <w:ind w:left="0" w:firstLine="0"/>
      </w:pPr>
      <w:rPr>
        <w:rFonts w:hint="eastAsia"/>
      </w:rPr>
    </w:lvl>
    <w:lvl w:ilvl="7" w:tentative="0">
      <w:start w:val="1"/>
      <w:numFmt w:val="decimal"/>
      <w:pStyle w:val="10"/>
      <w:lvlText w:val="%1.%2.%3.%4.%5.%6.%7.%8"/>
      <w:lvlJc w:val="left"/>
      <w:pPr>
        <w:ind w:left="0" w:firstLine="0"/>
      </w:pPr>
      <w:rPr>
        <w:rFonts w:hint="eastAsia"/>
      </w:rPr>
    </w:lvl>
    <w:lvl w:ilvl="8" w:tentative="0">
      <w:start w:val="1"/>
      <w:numFmt w:val="decimal"/>
      <w:pStyle w:val="11"/>
      <w:lvlText w:val="%1.%2.%3.%4.%5.%6.%7.%8.%9"/>
      <w:lvlJc w:val="left"/>
      <w:pPr>
        <w:ind w:left="0" w:firstLine="0"/>
      </w:pPr>
      <w:rPr>
        <w:rFonts w:hint="eastAsia"/>
      </w:rPr>
    </w:lvl>
  </w:abstractNum>
  <w:abstractNum w:abstractNumId="4">
    <w:nsid w:val="62466B09"/>
    <w:multiLevelType w:val="multilevel"/>
    <w:tmpl w:val="62466B09"/>
    <w:lvl w:ilvl="0" w:tentative="0">
      <w:start w:val="1"/>
      <w:numFmt w:val="decimalEnclosedCircle"/>
      <w:lvlText w:val="%1"/>
      <w:lvlJc w:val="left"/>
      <w:pPr>
        <w:ind w:left="360" w:hanging="360"/>
      </w:pPr>
      <w:rPr>
        <w:rFonts w:hint="default"/>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81"/>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embedSystemFonts/>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5MjgwOTBkYTQ4MDM1ZmMyNjRjZjk2ZjQ1Y2VkNDYifQ=="/>
  </w:docVars>
  <w:rsids>
    <w:rsidRoot w:val="038E531B"/>
    <w:rsid w:val="000053E5"/>
    <w:rsid w:val="000073F1"/>
    <w:rsid w:val="00011A9C"/>
    <w:rsid w:val="000128A6"/>
    <w:rsid w:val="000211D5"/>
    <w:rsid w:val="000312CC"/>
    <w:rsid w:val="00031DAD"/>
    <w:rsid w:val="0003617F"/>
    <w:rsid w:val="00042A80"/>
    <w:rsid w:val="00043B70"/>
    <w:rsid w:val="00043C04"/>
    <w:rsid w:val="00051C2C"/>
    <w:rsid w:val="00055E39"/>
    <w:rsid w:val="00056462"/>
    <w:rsid w:val="00065E6A"/>
    <w:rsid w:val="00066916"/>
    <w:rsid w:val="0007316C"/>
    <w:rsid w:val="00073784"/>
    <w:rsid w:val="00074DC3"/>
    <w:rsid w:val="0007592E"/>
    <w:rsid w:val="00076D62"/>
    <w:rsid w:val="00086EE4"/>
    <w:rsid w:val="0009090B"/>
    <w:rsid w:val="00094815"/>
    <w:rsid w:val="00096DE9"/>
    <w:rsid w:val="000B7515"/>
    <w:rsid w:val="000C0163"/>
    <w:rsid w:val="000C1911"/>
    <w:rsid w:val="000C70C4"/>
    <w:rsid w:val="000D139D"/>
    <w:rsid w:val="000D412A"/>
    <w:rsid w:val="000D4330"/>
    <w:rsid w:val="000E1DA4"/>
    <w:rsid w:val="000E27D7"/>
    <w:rsid w:val="000E604C"/>
    <w:rsid w:val="000F1357"/>
    <w:rsid w:val="00101D0B"/>
    <w:rsid w:val="0010322A"/>
    <w:rsid w:val="00105B44"/>
    <w:rsid w:val="00106795"/>
    <w:rsid w:val="00114020"/>
    <w:rsid w:val="0011750A"/>
    <w:rsid w:val="0013043C"/>
    <w:rsid w:val="00134DC9"/>
    <w:rsid w:val="001361B6"/>
    <w:rsid w:val="00153337"/>
    <w:rsid w:val="00153B14"/>
    <w:rsid w:val="00161594"/>
    <w:rsid w:val="00166962"/>
    <w:rsid w:val="00166E56"/>
    <w:rsid w:val="001756CC"/>
    <w:rsid w:val="00184AC2"/>
    <w:rsid w:val="001A0D32"/>
    <w:rsid w:val="001A4E12"/>
    <w:rsid w:val="001A4E39"/>
    <w:rsid w:val="001B17FE"/>
    <w:rsid w:val="001B5C4B"/>
    <w:rsid w:val="001B6910"/>
    <w:rsid w:val="001B7510"/>
    <w:rsid w:val="001C482E"/>
    <w:rsid w:val="001C5226"/>
    <w:rsid w:val="001C53C6"/>
    <w:rsid w:val="001C7C2D"/>
    <w:rsid w:val="001D0CA5"/>
    <w:rsid w:val="001E135E"/>
    <w:rsid w:val="001E6879"/>
    <w:rsid w:val="001E6B84"/>
    <w:rsid w:val="001F7094"/>
    <w:rsid w:val="00201D75"/>
    <w:rsid w:val="00203B9B"/>
    <w:rsid w:val="0021447A"/>
    <w:rsid w:val="0021476B"/>
    <w:rsid w:val="00216129"/>
    <w:rsid w:val="00225388"/>
    <w:rsid w:val="00226197"/>
    <w:rsid w:val="00226302"/>
    <w:rsid w:val="00232D05"/>
    <w:rsid w:val="002341B0"/>
    <w:rsid w:val="0024485E"/>
    <w:rsid w:val="00247443"/>
    <w:rsid w:val="00252BD1"/>
    <w:rsid w:val="00260B56"/>
    <w:rsid w:val="0026167D"/>
    <w:rsid w:val="00265624"/>
    <w:rsid w:val="00280606"/>
    <w:rsid w:val="00286A57"/>
    <w:rsid w:val="0029123A"/>
    <w:rsid w:val="002A419A"/>
    <w:rsid w:val="002B7B12"/>
    <w:rsid w:val="002C2B39"/>
    <w:rsid w:val="002C3767"/>
    <w:rsid w:val="002C46CA"/>
    <w:rsid w:val="002C6389"/>
    <w:rsid w:val="002C6D4B"/>
    <w:rsid w:val="002C6D98"/>
    <w:rsid w:val="002D22FC"/>
    <w:rsid w:val="002D26AE"/>
    <w:rsid w:val="002D2BB7"/>
    <w:rsid w:val="002D4F7F"/>
    <w:rsid w:val="002E1D97"/>
    <w:rsid w:val="002E2665"/>
    <w:rsid w:val="002E2B45"/>
    <w:rsid w:val="002F04E9"/>
    <w:rsid w:val="002F4288"/>
    <w:rsid w:val="002F5126"/>
    <w:rsid w:val="00300594"/>
    <w:rsid w:val="00307536"/>
    <w:rsid w:val="00313158"/>
    <w:rsid w:val="003148D8"/>
    <w:rsid w:val="00316910"/>
    <w:rsid w:val="00317DD9"/>
    <w:rsid w:val="0032407E"/>
    <w:rsid w:val="00324414"/>
    <w:rsid w:val="003245A7"/>
    <w:rsid w:val="003251CA"/>
    <w:rsid w:val="003300BA"/>
    <w:rsid w:val="003338C3"/>
    <w:rsid w:val="00335AC5"/>
    <w:rsid w:val="0033668F"/>
    <w:rsid w:val="00342180"/>
    <w:rsid w:val="00347DDE"/>
    <w:rsid w:val="0035572B"/>
    <w:rsid w:val="00361609"/>
    <w:rsid w:val="00373B0D"/>
    <w:rsid w:val="00376F87"/>
    <w:rsid w:val="003813F6"/>
    <w:rsid w:val="00381B2B"/>
    <w:rsid w:val="00384333"/>
    <w:rsid w:val="003872F7"/>
    <w:rsid w:val="00390714"/>
    <w:rsid w:val="00395206"/>
    <w:rsid w:val="0039553D"/>
    <w:rsid w:val="00395D8F"/>
    <w:rsid w:val="003A07F5"/>
    <w:rsid w:val="003A1ABF"/>
    <w:rsid w:val="003A3B54"/>
    <w:rsid w:val="003B240C"/>
    <w:rsid w:val="003C05E8"/>
    <w:rsid w:val="003D0638"/>
    <w:rsid w:val="003D11B5"/>
    <w:rsid w:val="003D1940"/>
    <w:rsid w:val="003D2B2E"/>
    <w:rsid w:val="003D553D"/>
    <w:rsid w:val="003D6CA1"/>
    <w:rsid w:val="003F1815"/>
    <w:rsid w:val="003F3653"/>
    <w:rsid w:val="003F643C"/>
    <w:rsid w:val="003F7319"/>
    <w:rsid w:val="00404115"/>
    <w:rsid w:val="00405769"/>
    <w:rsid w:val="004073A4"/>
    <w:rsid w:val="00411389"/>
    <w:rsid w:val="0041636A"/>
    <w:rsid w:val="00423919"/>
    <w:rsid w:val="0042747D"/>
    <w:rsid w:val="0043069F"/>
    <w:rsid w:val="0043343B"/>
    <w:rsid w:val="00442558"/>
    <w:rsid w:val="00455402"/>
    <w:rsid w:val="00455BBF"/>
    <w:rsid w:val="00455C42"/>
    <w:rsid w:val="004565AA"/>
    <w:rsid w:val="004642D6"/>
    <w:rsid w:val="00470410"/>
    <w:rsid w:val="00470B75"/>
    <w:rsid w:val="00472672"/>
    <w:rsid w:val="00473F56"/>
    <w:rsid w:val="004746AD"/>
    <w:rsid w:val="00474B25"/>
    <w:rsid w:val="00476964"/>
    <w:rsid w:val="00480D7C"/>
    <w:rsid w:val="00484221"/>
    <w:rsid w:val="004861CA"/>
    <w:rsid w:val="00490ABF"/>
    <w:rsid w:val="00495DAD"/>
    <w:rsid w:val="004A34B4"/>
    <w:rsid w:val="004A5C6E"/>
    <w:rsid w:val="004B2140"/>
    <w:rsid w:val="004B435B"/>
    <w:rsid w:val="004B7A1C"/>
    <w:rsid w:val="004C0631"/>
    <w:rsid w:val="004C4B46"/>
    <w:rsid w:val="004C554D"/>
    <w:rsid w:val="004D03C0"/>
    <w:rsid w:val="004D244A"/>
    <w:rsid w:val="004D4331"/>
    <w:rsid w:val="004D49F1"/>
    <w:rsid w:val="004E1EA6"/>
    <w:rsid w:val="004E3529"/>
    <w:rsid w:val="004E7340"/>
    <w:rsid w:val="004F4578"/>
    <w:rsid w:val="0050254C"/>
    <w:rsid w:val="00503521"/>
    <w:rsid w:val="0050674F"/>
    <w:rsid w:val="00506EC6"/>
    <w:rsid w:val="005135F1"/>
    <w:rsid w:val="00514F59"/>
    <w:rsid w:val="00523677"/>
    <w:rsid w:val="00532BE5"/>
    <w:rsid w:val="005418E0"/>
    <w:rsid w:val="00542F43"/>
    <w:rsid w:val="00562029"/>
    <w:rsid w:val="00563411"/>
    <w:rsid w:val="0056577B"/>
    <w:rsid w:val="005729F8"/>
    <w:rsid w:val="00574DE6"/>
    <w:rsid w:val="00582DF7"/>
    <w:rsid w:val="00587584"/>
    <w:rsid w:val="005910D5"/>
    <w:rsid w:val="005913E8"/>
    <w:rsid w:val="00596A8A"/>
    <w:rsid w:val="005B24B0"/>
    <w:rsid w:val="005B6B01"/>
    <w:rsid w:val="005C162B"/>
    <w:rsid w:val="005D1B40"/>
    <w:rsid w:val="005D1D55"/>
    <w:rsid w:val="005D38B1"/>
    <w:rsid w:val="005E020F"/>
    <w:rsid w:val="005E4BBD"/>
    <w:rsid w:val="005E6654"/>
    <w:rsid w:val="005F1E8D"/>
    <w:rsid w:val="005F3D33"/>
    <w:rsid w:val="00602B2A"/>
    <w:rsid w:val="0062315A"/>
    <w:rsid w:val="00632EF9"/>
    <w:rsid w:val="006356FF"/>
    <w:rsid w:val="00637652"/>
    <w:rsid w:val="0064241F"/>
    <w:rsid w:val="006506AB"/>
    <w:rsid w:val="0065201C"/>
    <w:rsid w:val="00653E75"/>
    <w:rsid w:val="006620AA"/>
    <w:rsid w:val="00671B4A"/>
    <w:rsid w:val="00671B8D"/>
    <w:rsid w:val="006741EC"/>
    <w:rsid w:val="006748D0"/>
    <w:rsid w:val="006766DB"/>
    <w:rsid w:val="00680111"/>
    <w:rsid w:val="006843AB"/>
    <w:rsid w:val="00694047"/>
    <w:rsid w:val="006A1DA3"/>
    <w:rsid w:val="006A2A7E"/>
    <w:rsid w:val="006A30C7"/>
    <w:rsid w:val="006A58D2"/>
    <w:rsid w:val="006A6217"/>
    <w:rsid w:val="006A6284"/>
    <w:rsid w:val="006B16B3"/>
    <w:rsid w:val="006C01B1"/>
    <w:rsid w:val="006C4425"/>
    <w:rsid w:val="006C76FA"/>
    <w:rsid w:val="006C7D2B"/>
    <w:rsid w:val="006D4B13"/>
    <w:rsid w:val="006D624B"/>
    <w:rsid w:val="006E6D3E"/>
    <w:rsid w:val="006E72F4"/>
    <w:rsid w:val="006E7871"/>
    <w:rsid w:val="006F2FD2"/>
    <w:rsid w:val="006F3296"/>
    <w:rsid w:val="006F4D74"/>
    <w:rsid w:val="00703CCC"/>
    <w:rsid w:val="00705329"/>
    <w:rsid w:val="00710EBD"/>
    <w:rsid w:val="00715902"/>
    <w:rsid w:val="00716D88"/>
    <w:rsid w:val="00723D85"/>
    <w:rsid w:val="00725FBF"/>
    <w:rsid w:val="00732AAE"/>
    <w:rsid w:val="00732FDE"/>
    <w:rsid w:val="00740DA2"/>
    <w:rsid w:val="00741548"/>
    <w:rsid w:val="007419E8"/>
    <w:rsid w:val="00742A7D"/>
    <w:rsid w:val="007539D4"/>
    <w:rsid w:val="007642B4"/>
    <w:rsid w:val="0076483B"/>
    <w:rsid w:val="007710B7"/>
    <w:rsid w:val="00775525"/>
    <w:rsid w:val="00780936"/>
    <w:rsid w:val="007815EE"/>
    <w:rsid w:val="007927F9"/>
    <w:rsid w:val="00794214"/>
    <w:rsid w:val="007A1221"/>
    <w:rsid w:val="007B465A"/>
    <w:rsid w:val="007C482B"/>
    <w:rsid w:val="007C5DCB"/>
    <w:rsid w:val="007D1166"/>
    <w:rsid w:val="007D42D7"/>
    <w:rsid w:val="007E124F"/>
    <w:rsid w:val="007E25D3"/>
    <w:rsid w:val="007E3EFD"/>
    <w:rsid w:val="007E531B"/>
    <w:rsid w:val="007F0A2C"/>
    <w:rsid w:val="007F3E41"/>
    <w:rsid w:val="007F4D11"/>
    <w:rsid w:val="00811173"/>
    <w:rsid w:val="0082072F"/>
    <w:rsid w:val="00826304"/>
    <w:rsid w:val="00833E40"/>
    <w:rsid w:val="00834A88"/>
    <w:rsid w:val="008608CF"/>
    <w:rsid w:val="008650D3"/>
    <w:rsid w:val="00881500"/>
    <w:rsid w:val="008845D8"/>
    <w:rsid w:val="008A32B7"/>
    <w:rsid w:val="008A543C"/>
    <w:rsid w:val="008A63DD"/>
    <w:rsid w:val="008A6859"/>
    <w:rsid w:val="008B33A5"/>
    <w:rsid w:val="008C32C4"/>
    <w:rsid w:val="008D2E70"/>
    <w:rsid w:val="008D3AB9"/>
    <w:rsid w:val="008D582B"/>
    <w:rsid w:val="008E3EF7"/>
    <w:rsid w:val="008E4035"/>
    <w:rsid w:val="008E47A7"/>
    <w:rsid w:val="008E7A22"/>
    <w:rsid w:val="008F239E"/>
    <w:rsid w:val="00907D99"/>
    <w:rsid w:val="00912B1A"/>
    <w:rsid w:val="00912BA3"/>
    <w:rsid w:val="00912DB8"/>
    <w:rsid w:val="00915447"/>
    <w:rsid w:val="00922BCC"/>
    <w:rsid w:val="00931B2E"/>
    <w:rsid w:val="0093653B"/>
    <w:rsid w:val="00942E1E"/>
    <w:rsid w:val="00943DDD"/>
    <w:rsid w:val="00945F58"/>
    <w:rsid w:val="00950767"/>
    <w:rsid w:val="0095245F"/>
    <w:rsid w:val="00954183"/>
    <w:rsid w:val="00960C8E"/>
    <w:rsid w:val="00966122"/>
    <w:rsid w:val="00967D2E"/>
    <w:rsid w:val="009700C5"/>
    <w:rsid w:val="009819B6"/>
    <w:rsid w:val="00987FDF"/>
    <w:rsid w:val="00991F21"/>
    <w:rsid w:val="009920FF"/>
    <w:rsid w:val="00992744"/>
    <w:rsid w:val="00995365"/>
    <w:rsid w:val="00995DBE"/>
    <w:rsid w:val="00997895"/>
    <w:rsid w:val="009B5D54"/>
    <w:rsid w:val="009C04FD"/>
    <w:rsid w:val="009C119F"/>
    <w:rsid w:val="009C292E"/>
    <w:rsid w:val="009C68AF"/>
    <w:rsid w:val="009C6903"/>
    <w:rsid w:val="009C6D70"/>
    <w:rsid w:val="009D1C8B"/>
    <w:rsid w:val="009D4C5E"/>
    <w:rsid w:val="009E36FD"/>
    <w:rsid w:val="009F4FAF"/>
    <w:rsid w:val="009F560D"/>
    <w:rsid w:val="009F667D"/>
    <w:rsid w:val="00A04573"/>
    <w:rsid w:val="00A105C0"/>
    <w:rsid w:val="00A11730"/>
    <w:rsid w:val="00A1258C"/>
    <w:rsid w:val="00A212D2"/>
    <w:rsid w:val="00A21343"/>
    <w:rsid w:val="00A21893"/>
    <w:rsid w:val="00A24E82"/>
    <w:rsid w:val="00A32230"/>
    <w:rsid w:val="00A32D90"/>
    <w:rsid w:val="00A35A62"/>
    <w:rsid w:val="00A445E4"/>
    <w:rsid w:val="00A46EF4"/>
    <w:rsid w:val="00A46FF7"/>
    <w:rsid w:val="00A57222"/>
    <w:rsid w:val="00A67DEE"/>
    <w:rsid w:val="00A70FC5"/>
    <w:rsid w:val="00A72383"/>
    <w:rsid w:val="00A74D97"/>
    <w:rsid w:val="00A768A8"/>
    <w:rsid w:val="00A76A00"/>
    <w:rsid w:val="00A96024"/>
    <w:rsid w:val="00A96087"/>
    <w:rsid w:val="00A964C7"/>
    <w:rsid w:val="00AB468C"/>
    <w:rsid w:val="00AC160D"/>
    <w:rsid w:val="00AC3337"/>
    <w:rsid w:val="00AC6A3D"/>
    <w:rsid w:val="00AC6CE7"/>
    <w:rsid w:val="00AD0CA6"/>
    <w:rsid w:val="00AD7CE9"/>
    <w:rsid w:val="00AE50C9"/>
    <w:rsid w:val="00AE7093"/>
    <w:rsid w:val="00AE72C7"/>
    <w:rsid w:val="00AF2D64"/>
    <w:rsid w:val="00AF5855"/>
    <w:rsid w:val="00AF7C1E"/>
    <w:rsid w:val="00AF7FC2"/>
    <w:rsid w:val="00B07913"/>
    <w:rsid w:val="00B12747"/>
    <w:rsid w:val="00B13436"/>
    <w:rsid w:val="00B17BFC"/>
    <w:rsid w:val="00B21B71"/>
    <w:rsid w:val="00B242DB"/>
    <w:rsid w:val="00B2498B"/>
    <w:rsid w:val="00B25AEE"/>
    <w:rsid w:val="00B26230"/>
    <w:rsid w:val="00B3259E"/>
    <w:rsid w:val="00B33114"/>
    <w:rsid w:val="00B34EF6"/>
    <w:rsid w:val="00B542D3"/>
    <w:rsid w:val="00B55AB1"/>
    <w:rsid w:val="00B5663B"/>
    <w:rsid w:val="00B566BF"/>
    <w:rsid w:val="00B6388C"/>
    <w:rsid w:val="00B816B8"/>
    <w:rsid w:val="00B85E5F"/>
    <w:rsid w:val="00B87C2B"/>
    <w:rsid w:val="00B919E9"/>
    <w:rsid w:val="00B93450"/>
    <w:rsid w:val="00BA1C6A"/>
    <w:rsid w:val="00BB10B9"/>
    <w:rsid w:val="00BC21C1"/>
    <w:rsid w:val="00BC5485"/>
    <w:rsid w:val="00BE48F3"/>
    <w:rsid w:val="00BE5363"/>
    <w:rsid w:val="00BF0C52"/>
    <w:rsid w:val="00BF356B"/>
    <w:rsid w:val="00BF7B02"/>
    <w:rsid w:val="00C0059E"/>
    <w:rsid w:val="00C0323F"/>
    <w:rsid w:val="00C03553"/>
    <w:rsid w:val="00C064BC"/>
    <w:rsid w:val="00C12FE1"/>
    <w:rsid w:val="00C14FC1"/>
    <w:rsid w:val="00C20197"/>
    <w:rsid w:val="00C20B59"/>
    <w:rsid w:val="00C20FC6"/>
    <w:rsid w:val="00C3068B"/>
    <w:rsid w:val="00C41945"/>
    <w:rsid w:val="00C46650"/>
    <w:rsid w:val="00C476F7"/>
    <w:rsid w:val="00C51CDB"/>
    <w:rsid w:val="00C55863"/>
    <w:rsid w:val="00C601D0"/>
    <w:rsid w:val="00C60CF9"/>
    <w:rsid w:val="00C82790"/>
    <w:rsid w:val="00C830D8"/>
    <w:rsid w:val="00C91F90"/>
    <w:rsid w:val="00C92484"/>
    <w:rsid w:val="00C9300A"/>
    <w:rsid w:val="00C95604"/>
    <w:rsid w:val="00CA1914"/>
    <w:rsid w:val="00CB193A"/>
    <w:rsid w:val="00CC2F42"/>
    <w:rsid w:val="00CC32F7"/>
    <w:rsid w:val="00CC4BD6"/>
    <w:rsid w:val="00CC62A4"/>
    <w:rsid w:val="00CD25FC"/>
    <w:rsid w:val="00CD3981"/>
    <w:rsid w:val="00CD41C5"/>
    <w:rsid w:val="00CD6B0E"/>
    <w:rsid w:val="00CE209E"/>
    <w:rsid w:val="00CE3F81"/>
    <w:rsid w:val="00CE5981"/>
    <w:rsid w:val="00CE75F1"/>
    <w:rsid w:val="00CE7D99"/>
    <w:rsid w:val="00CF032C"/>
    <w:rsid w:val="00CF21FD"/>
    <w:rsid w:val="00CF2E49"/>
    <w:rsid w:val="00CF3AE4"/>
    <w:rsid w:val="00CF4DE5"/>
    <w:rsid w:val="00CF5346"/>
    <w:rsid w:val="00D2208F"/>
    <w:rsid w:val="00D224C3"/>
    <w:rsid w:val="00D22C4F"/>
    <w:rsid w:val="00D23196"/>
    <w:rsid w:val="00D2463D"/>
    <w:rsid w:val="00D32E90"/>
    <w:rsid w:val="00D37B4E"/>
    <w:rsid w:val="00D4548F"/>
    <w:rsid w:val="00D46984"/>
    <w:rsid w:val="00D51847"/>
    <w:rsid w:val="00D52C82"/>
    <w:rsid w:val="00D54E41"/>
    <w:rsid w:val="00D62512"/>
    <w:rsid w:val="00D66B16"/>
    <w:rsid w:val="00D7149A"/>
    <w:rsid w:val="00D73BD1"/>
    <w:rsid w:val="00D760C5"/>
    <w:rsid w:val="00D7647D"/>
    <w:rsid w:val="00D77260"/>
    <w:rsid w:val="00D85727"/>
    <w:rsid w:val="00D86EB0"/>
    <w:rsid w:val="00D87DCD"/>
    <w:rsid w:val="00DA7FF9"/>
    <w:rsid w:val="00DB16A3"/>
    <w:rsid w:val="00DB1AFC"/>
    <w:rsid w:val="00DB2B94"/>
    <w:rsid w:val="00DB3F32"/>
    <w:rsid w:val="00DC2CDB"/>
    <w:rsid w:val="00DC7A92"/>
    <w:rsid w:val="00DD5049"/>
    <w:rsid w:val="00DE5CA6"/>
    <w:rsid w:val="00DE7A83"/>
    <w:rsid w:val="00DF55E0"/>
    <w:rsid w:val="00E01643"/>
    <w:rsid w:val="00E05F21"/>
    <w:rsid w:val="00E1097C"/>
    <w:rsid w:val="00E135F4"/>
    <w:rsid w:val="00E13C57"/>
    <w:rsid w:val="00E154AE"/>
    <w:rsid w:val="00E1758C"/>
    <w:rsid w:val="00E17853"/>
    <w:rsid w:val="00E212C9"/>
    <w:rsid w:val="00E24D50"/>
    <w:rsid w:val="00E24E4C"/>
    <w:rsid w:val="00E273FB"/>
    <w:rsid w:val="00E31C6B"/>
    <w:rsid w:val="00E36621"/>
    <w:rsid w:val="00E37FDB"/>
    <w:rsid w:val="00E46388"/>
    <w:rsid w:val="00E56326"/>
    <w:rsid w:val="00E56A59"/>
    <w:rsid w:val="00E608F9"/>
    <w:rsid w:val="00E71BF6"/>
    <w:rsid w:val="00E75C8E"/>
    <w:rsid w:val="00E842F8"/>
    <w:rsid w:val="00E84DD5"/>
    <w:rsid w:val="00E86E28"/>
    <w:rsid w:val="00EC29EB"/>
    <w:rsid w:val="00EC33E1"/>
    <w:rsid w:val="00EC7CE6"/>
    <w:rsid w:val="00ED21D1"/>
    <w:rsid w:val="00ED5E91"/>
    <w:rsid w:val="00ED666C"/>
    <w:rsid w:val="00EE765B"/>
    <w:rsid w:val="00F066E7"/>
    <w:rsid w:val="00F15803"/>
    <w:rsid w:val="00F15A5C"/>
    <w:rsid w:val="00F17213"/>
    <w:rsid w:val="00F2093C"/>
    <w:rsid w:val="00F23D38"/>
    <w:rsid w:val="00F260CE"/>
    <w:rsid w:val="00F325E2"/>
    <w:rsid w:val="00F364B1"/>
    <w:rsid w:val="00F3762B"/>
    <w:rsid w:val="00F405B0"/>
    <w:rsid w:val="00F40B4F"/>
    <w:rsid w:val="00F4135D"/>
    <w:rsid w:val="00F42067"/>
    <w:rsid w:val="00F45432"/>
    <w:rsid w:val="00F562CA"/>
    <w:rsid w:val="00F635F3"/>
    <w:rsid w:val="00F75BF2"/>
    <w:rsid w:val="00F75D15"/>
    <w:rsid w:val="00F76170"/>
    <w:rsid w:val="00F82917"/>
    <w:rsid w:val="00F8417C"/>
    <w:rsid w:val="00F86124"/>
    <w:rsid w:val="00F86782"/>
    <w:rsid w:val="00F86C48"/>
    <w:rsid w:val="00F87D09"/>
    <w:rsid w:val="00F917C0"/>
    <w:rsid w:val="00F959EB"/>
    <w:rsid w:val="00FA15FE"/>
    <w:rsid w:val="00FA2E1C"/>
    <w:rsid w:val="00FB14F3"/>
    <w:rsid w:val="00FB6E5F"/>
    <w:rsid w:val="00FC0336"/>
    <w:rsid w:val="00FC2476"/>
    <w:rsid w:val="00FC25D7"/>
    <w:rsid w:val="00FC436B"/>
    <w:rsid w:val="00FC54EE"/>
    <w:rsid w:val="00FC6FF3"/>
    <w:rsid w:val="00FD48E7"/>
    <w:rsid w:val="00FE0034"/>
    <w:rsid w:val="00FE2A30"/>
    <w:rsid w:val="00FE7333"/>
    <w:rsid w:val="00FF016C"/>
    <w:rsid w:val="00FF60EB"/>
    <w:rsid w:val="00FF7A25"/>
    <w:rsid w:val="038E531B"/>
    <w:rsid w:val="03D177E1"/>
    <w:rsid w:val="045C7E41"/>
    <w:rsid w:val="06E606F1"/>
    <w:rsid w:val="0DDD2588"/>
    <w:rsid w:val="1091203B"/>
    <w:rsid w:val="121D4A3C"/>
    <w:rsid w:val="12255A8E"/>
    <w:rsid w:val="12B6401E"/>
    <w:rsid w:val="12F41C35"/>
    <w:rsid w:val="13083DF9"/>
    <w:rsid w:val="145167EC"/>
    <w:rsid w:val="16E4531E"/>
    <w:rsid w:val="184162A7"/>
    <w:rsid w:val="18CB1AFE"/>
    <w:rsid w:val="199668EC"/>
    <w:rsid w:val="1A345379"/>
    <w:rsid w:val="1A59243B"/>
    <w:rsid w:val="1C0C12DF"/>
    <w:rsid w:val="1D697A79"/>
    <w:rsid w:val="1EEC593A"/>
    <w:rsid w:val="21345CD9"/>
    <w:rsid w:val="26E439B1"/>
    <w:rsid w:val="277B0C04"/>
    <w:rsid w:val="28A71576"/>
    <w:rsid w:val="29BA649E"/>
    <w:rsid w:val="2DF7189D"/>
    <w:rsid w:val="2E254A4D"/>
    <w:rsid w:val="32D26C74"/>
    <w:rsid w:val="33887D33"/>
    <w:rsid w:val="33896EE1"/>
    <w:rsid w:val="36A563EC"/>
    <w:rsid w:val="37505376"/>
    <w:rsid w:val="377FF20C"/>
    <w:rsid w:val="37E9003C"/>
    <w:rsid w:val="37FE1690"/>
    <w:rsid w:val="39DD2268"/>
    <w:rsid w:val="3C1E630E"/>
    <w:rsid w:val="3D454ED8"/>
    <w:rsid w:val="3FF878C8"/>
    <w:rsid w:val="405655CA"/>
    <w:rsid w:val="40566539"/>
    <w:rsid w:val="4080090B"/>
    <w:rsid w:val="422F1072"/>
    <w:rsid w:val="435E5ABD"/>
    <w:rsid w:val="438950C0"/>
    <w:rsid w:val="443A60BE"/>
    <w:rsid w:val="481903DC"/>
    <w:rsid w:val="487F015B"/>
    <w:rsid w:val="4A686320"/>
    <w:rsid w:val="4CA006CB"/>
    <w:rsid w:val="4D2B015F"/>
    <w:rsid w:val="4D852049"/>
    <w:rsid w:val="4F5F701C"/>
    <w:rsid w:val="523A11B8"/>
    <w:rsid w:val="5489003F"/>
    <w:rsid w:val="54C23B39"/>
    <w:rsid w:val="550C1D9C"/>
    <w:rsid w:val="58D52BCC"/>
    <w:rsid w:val="592E3DFE"/>
    <w:rsid w:val="5A597FE5"/>
    <w:rsid w:val="5BD55359"/>
    <w:rsid w:val="5D6668D8"/>
    <w:rsid w:val="5DA93138"/>
    <w:rsid w:val="5EA51731"/>
    <w:rsid w:val="5F0A1E74"/>
    <w:rsid w:val="603B6405"/>
    <w:rsid w:val="605579FF"/>
    <w:rsid w:val="61434C30"/>
    <w:rsid w:val="61E06711"/>
    <w:rsid w:val="636873F6"/>
    <w:rsid w:val="63D04AB7"/>
    <w:rsid w:val="6662434C"/>
    <w:rsid w:val="681A19A0"/>
    <w:rsid w:val="68E274FF"/>
    <w:rsid w:val="68EC2FF1"/>
    <w:rsid w:val="69B25A4E"/>
    <w:rsid w:val="69F16BF1"/>
    <w:rsid w:val="6A01333E"/>
    <w:rsid w:val="6B8937AF"/>
    <w:rsid w:val="6B943FBD"/>
    <w:rsid w:val="6BCA3369"/>
    <w:rsid w:val="6BFB1A23"/>
    <w:rsid w:val="6C783F83"/>
    <w:rsid w:val="6CA74CD2"/>
    <w:rsid w:val="6D743DF0"/>
    <w:rsid w:val="6EED5DCD"/>
    <w:rsid w:val="70F53CFA"/>
    <w:rsid w:val="728D3302"/>
    <w:rsid w:val="73903399"/>
    <w:rsid w:val="7416190C"/>
    <w:rsid w:val="7479553F"/>
    <w:rsid w:val="76AF5AC7"/>
    <w:rsid w:val="770C5D0A"/>
    <w:rsid w:val="7A6F259C"/>
    <w:rsid w:val="7D1E37D2"/>
    <w:rsid w:val="7DF140CC"/>
    <w:rsid w:val="7E490D14"/>
    <w:rsid w:val="7F073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3"/>
    <w:next w:val="1"/>
    <w:link w:val="48"/>
    <w:qFormat/>
    <w:uiPriority w:val="9"/>
    <w:pPr>
      <w:numPr>
        <w:ilvl w:val="0"/>
        <w:numId w:val="1"/>
      </w:numPr>
      <w:spacing w:before="80" w:after="80"/>
      <w:ind w:firstLine="0" w:firstLineChars="0"/>
      <w:jc w:val="left"/>
      <w:outlineLvl w:val="0"/>
    </w:pPr>
    <w:rPr>
      <w:b/>
      <w:sz w:val="30"/>
    </w:rPr>
  </w:style>
  <w:style w:type="paragraph" w:styleId="4">
    <w:name w:val="heading 2"/>
    <w:basedOn w:val="3"/>
    <w:next w:val="1"/>
    <w:link w:val="97"/>
    <w:unhideWhenUsed/>
    <w:qFormat/>
    <w:uiPriority w:val="9"/>
    <w:pPr>
      <w:numPr>
        <w:ilvl w:val="1"/>
        <w:numId w:val="1"/>
      </w:numPr>
      <w:spacing w:before="120" w:after="120"/>
      <w:ind w:left="0" w:firstLine="0" w:firstLineChars="0"/>
      <w:jc w:val="left"/>
      <w:outlineLvl w:val="1"/>
    </w:pPr>
    <w:rPr>
      <w:b/>
      <w:sz w:val="28"/>
    </w:rPr>
  </w:style>
  <w:style w:type="paragraph" w:styleId="5">
    <w:name w:val="heading 3"/>
    <w:basedOn w:val="3"/>
    <w:next w:val="1"/>
    <w:link w:val="39"/>
    <w:unhideWhenUsed/>
    <w:qFormat/>
    <w:uiPriority w:val="9"/>
    <w:pPr>
      <w:numPr>
        <w:ilvl w:val="2"/>
        <w:numId w:val="1"/>
      </w:numPr>
      <w:ind w:firstLine="0" w:firstLineChars="0"/>
      <w:jc w:val="left"/>
      <w:outlineLvl w:val="2"/>
    </w:pPr>
    <w:rPr>
      <w:b/>
      <w:bCs/>
      <w:color w:val="000000" w:themeColor="text1"/>
      <w14:textFill>
        <w14:solidFill>
          <w14:schemeClr w14:val="tx1"/>
        </w14:solidFill>
      </w14:textFill>
    </w:rPr>
  </w:style>
  <w:style w:type="paragraph" w:styleId="6">
    <w:name w:val="heading 4"/>
    <w:basedOn w:val="1"/>
    <w:next w:val="1"/>
    <w:link w:val="36"/>
    <w:unhideWhenUsed/>
    <w:qFormat/>
    <w:uiPriority w:val="9"/>
    <w:pPr>
      <w:numPr>
        <w:ilvl w:val="3"/>
        <w:numId w:val="1"/>
      </w:numPr>
      <w:tabs>
        <w:tab w:val="left" w:pos="0"/>
      </w:tabs>
      <w:spacing w:before="80" w:after="90" w:line="377" w:lineRule="auto"/>
      <w:jc w:val="left"/>
      <w:outlineLvl w:val="3"/>
    </w:pPr>
    <w:rPr>
      <w:rFonts w:asciiTheme="majorEastAsia" w:hAnsiTheme="majorEastAsia" w:eastAsiaTheme="majorEastAsia" w:cstheme="majorBidi"/>
      <w:b/>
      <w:bCs/>
      <w:sz w:val="24"/>
      <w:szCs w:val="24"/>
    </w:rPr>
  </w:style>
  <w:style w:type="paragraph" w:styleId="7">
    <w:name w:val="heading 5"/>
    <w:basedOn w:val="1"/>
    <w:next w:val="1"/>
    <w:link w:val="37"/>
    <w:semiHidden/>
    <w:unhideWhenUsed/>
    <w:qFormat/>
    <w:uiPriority w:val="9"/>
    <w:pPr>
      <w:keepNext/>
      <w:keepLines/>
      <w:numPr>
        <w:ilvl w:val="4"/>
        <w:numId w:val="2"/>
      </w:numPr>
      <w:spacing w:before="280" w:after="290" w:line="372" w:lineRule="auto"/>
      <w:outlineLvl w:val="4"/>
    </w:pPr>
    <w:rPr>
      <w:b/>
      <w:sz w:val="28"/>
    </w:rPr>
  </w:style>
  <w:style w:type="paragraph" w:styleId="8">
    <w:name w:val="heading 6"/>
    <w:basedOn w:val="1"/>
    <w:next w:val="1"/>
    <w:link w:val="101"/>
    <w:semiHidden/>
    <w:unhideWhenUsed/>
    <w:qFormat/>
    <w:uiPriority w:val="9"/>
    <w:pPr>
      <w:keepNext/>
      <w:keepLines/>
      <w:numPr>
        <w:ilvl w:val="5"/>
        <w:numId w:val="2"/>
      </w:numPr>
      <w:spacing w:before="240" w:after="64" w:line="317" w:lineRule="auto"/>
      <w:outlineLvl w:val="5"/>
    </w:pPr>
    <w:rPr>
      <w:rFonts w:ascii="Arial" w:hAnsi="Arial" w:eastAsia="黑体"/>
      <w:b/>
      <w:sz w:val="24"/>
    </w:rPr>
  </w:style>
  <w:style w:type="paragraph" w:styleId="9">
    <w:name w:val="heading 7"/>
    <w:basedOn w:val="1"/>
    <w:next w:val="1"/>
    <w:link w:val="102"/>
    <w:semiHidden/>
    <w:unhideWhenUsed/>
    <w:qFormat/>
    <w:uiPriority w:val="9"/>
    <w:pPr>
      <w:keepNext/>
      <w:keepLines/>
      <w:numPr>
        <w:ilvl w:val="6"/>
        <w:numId w:val="2"/>
      </w:numPr>
      <w:spacing w:before="240" w:after="64" w:line="317" w:lineRule="auto"/>
      <w:outlineLvl w:val="6"/>
    </w:pPr>
    <w:rPr>
      <w:b/>
      <w:sz w:val="24"/>
    </w:rPr>
  </w:style>
  <w:style w:type="paragraph" w:styleId="10">
    <w:name w:val="heading 8"/>
    <w:basedOn w:val="1"/>
    <w:next w:val="1"/>
    <w:link w:val="103"/>
    <w:semiHidden/>
    <w:unhideWhenUsed/>
    <w:qFormat/>
    <w:uiPriority w:val="9"/>
    <w:pPr>
      <w:keepNext/>
      <w:keepLines/>
      <w:numPr>
        <w:ilvl w:val="7"/>
        <w:numId w:val="2"/>
      </w:numPr>
      <w:spacing w:before="240" w:after="64" w:line="317" w:lineRule="auto"/>
      <w:outlineLvl w:val="7"/>
    </w:pPr>
    <w:rPr>
      <w:rFonts w:ascii="Arial" w:hAnsi="Arial" w:eastAsia="黑体"/>
      <w:sz w:val="24"/>
    </w:rPr>
  </w:style>
  <w:style w:type="paragraph" w:styleId="11">
    <w:name w:val="heading 9"/>
    <w:basedOn w:val="1"/>
    <w:next w:val="1"/>
    <w:link w:val="104"/>
    <w:semiHidden/>
    <w:unhideWhenUsed/>
    <w:qFormat/>
    <w:uiPriority w:val="9"/>
    <w:pPr>
      <w:keepNext/>
      <w:keepLines/>
      <w:numPr>
        <w:ilvl w:val="8"/>
        <w:numId w:val="2"/>
      </w:numPr>
      <w:spacing w:before="240" w:after="64" w:line="317" w:lineRule="auto"/>
      <w:outlineLvl w:val="8"/>
    </w:pPr>
    <w:rPr>
      <w:rFonts w:ascii="Arial" w:hAnsi="Arial" w:eastAsia="黑体"/>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customStyle="1" w:styleId="3">
    <w:name w:val="*正文"/>
    <w:basedOn w:val="1"/>
    <w:link w:val="58"/>
    <w:qFormat/>
    <w:uiPriority w:val="0"/>
    <w:pPr>
      <w:spacing w:line="360" w:lineRule="auto"/>
      <w:ind w:firstLine="200" w:firstLineChars="200"/>
    </w:pPr>
    <w:rPr>
      <w:rFonts w:ascii="宋体" w:hAnsi="宋体"/>
      <w:sz w:val="24"/>
      <w:szCs w:val="24"/>
    </w:rPr>
  </w:style>
  <w:style w:type="paragraph" w:styleId="12">
    <w:name w:val="Normal Indent"/>
    <w:basedOn w:val="1"/>
    <w:link w:val="78"/>
    <w:qFormat/>
    <w:uiPriority w:val="0"/>
    <w:pPr>
      <w:ind w:firstLine="420"/>
    </w:pPr>
  </w:style>
  <w:style w:type="paragraph" w:styleId="13">
    <w:name w:val="caption"/>
    <w:basedOn w:val="1"/>
    <w:next w:val="1"/>
    <w:qFormat/>
    <w:uiPriority w:val="0"/>
    <w:pPr>
      <w:spacing w:line="360" w:lineRule="auto"/>
    </w:pPr>
    <w:rPr>
      <w:rFonts w:ascii="Calibri Light" w:hAnsi="Calibri Light" w:eastAsia="黑体"/>
      <w:sz w:val="24"/>
      <w:szCs w:val="24"/>
    </w:rPr>
  </w:style>
  <w:style w:type="paragraph" w:styleId="14">
    <w:name w:val="annotation text"/>
    <w:basedOn w:val="1"/>
    <w:link w:val="76"/>
    <w:qFormat/>
    <w:uiPriority w:val="99"/>
    <w:pPr>
      <w:spacing w:line="360" w:lineRule="auto"/>
      <w:jc w:val="left"/>
    </w:pPr>
    <w:rPr>
      <w:kern w:val="0"/>
      <w:sz w:val="28"/>
    </w:rPr>
  </w:style>
  <w:style w:type="paragraph" w:styleId="15">
    <w:name w:val="Body Text"/>
    <w:basedOn w:val="1"/>
    <w:link w:val="98"/>
    <w:qFormat/>
    <w:uiPriority w:val="1"/>
    <w:rPr>
      <w:rFonts w:ascii="宋体" w:hAnsi="宋体" w:cs="宋体"/>
      <w:sz w:val="24"/>
      <w:szCs w:val="24"/>
      <w:lang w:val="zh-CN" w:bidi="zh-CN"/>
    </w:rPr>
  </w:style>
  <w:style w:type="paragraph" w:styleId="16">
    <w:name w:val="Body Text Indent"/>
    <w:basedOn w:val="1"/>
    <w:link w:val="99"/>
    <w:qFormat/>
    <w:uiPriority w:val="0"/>
    <w:pPr>
      <w:ind w:firstLine="630"/>
    </w:pPr>
    <w:rPr>
      <w:sz w:val="32"/>
    </w:rPr>
  </w:style>
  <w:style w:type="paragraph" w:styleId="17">
    <w:name w:val="Plain Text"/>
    <w:basedOn w:val="1"/>
    <w:qFormat/>
    <w:uiPriority w:val="0"/>
    <w:rPr>
      <w:rFonts w:ascii="宋体" w:hAnsi="Courier New"/>
      <w:szCs w:val="21"/>
    </w:rPr>
  </w:style>
  <w:style w:type="paragraph" w:styleId="18">
    <w:name w:val="Body Text Indent 2"/>
    <w:basedOn w:val="1"/>
    <w:qFormat/>
    <w:uiPriority w:val="0"/>
    <w:pPr>
      <w:ind w:firstLine="630"/>
    </w:pPr>
    <w:rPr>
      <w:sz w:val="32"/>
    </w:rPr>
  </w:style>
  <w:style w:type="paragraph" w:styleId="19">
    <w:name w:val="Balloon Text"/>
    <w:basedOn w:val="1"/>
    <w:link w:val="82"/>
    <w:qFormat/>
    <w:uiPriority w:val="0"/>
    <w:rPr>
      <w:sz w:val="18"/>
      <w:szCs w:val="18"/>
    </w:rPr>
  </w:style>
  <w:style w:type="paragraph" w:styleId="20">
    <w:name w:val="footer"/>
    <w:basedOn w:val="1"/>
    <w:link w:val="100"/>
    <w:qFormat/>
    <w:uiPriority w:val="99"/>
    <w:pPr>
      <w:tabs>
        <w:tab w:val="center" w:pos="4153"/>
        <w:tab w:val="right" w:pos="8306"/>
      </w:tabs>
      <w:snapToGrid w:val="0"/>
      <w:jc w:val="left"/>
    </w:pPr>
    <w:rPr>
      <w:sz w:val="18"/>
    </w:rPr>
  </w:style>
  <w:style w:type="paragraph" w:styleId="21">
    <w:name w:val="header"/>
    <w:basedOn w:val="1"/>
    <w:link w:val="83"/>
    <w:qFormat/>
    <w:uiPriority w:val="99"/>
    <w:pPr>
      <w:pBdr>
        <w:bottom w:val="single" w:color="auto" w:sz="6" w:space="1"/>
      </w:pBdr>
      <w:tabs>
        <w:tab w:val="center" w:pos="4153"/>
        <w:tab w:val="right" w:pos="8306"/>
      </w:tabs>
      <w:snapToGrid w:val="0"/>
      <w:jc w:val="center"/>
    </w:pPr>
    <w:rPr>
      <w:sz w:val="18"/>
    </w:rPr>
  </w:style>
  <w:style w:type="paragraph" w:styleId="22">
    <w:name w:val="toc 1"/>
    <w:basedOn w:val="1"/>
    <w:next w:val="1"/>
    <w:qFormat/>
    <w:uiPriority w:val="39"/>
    <w:pPr>
      <w:tabs>
        <w:tab w:val="right" w:leader="dot" w:pos="8398"/>
      </w:tabs>
      <w:spacing w:before="120" w:after="120"/>
      <w:ind w:firstLine="240" w:firstLineChars="100"/>
      <w:jc w:val="left"/>
    </w:pPr>
    <w:rPr>
      <w:rFonts w:ascii="宋体" w:hAnsi="宋体"/>
      <w:b/>
      <w:bCs/>
      <w:caps/>
      <w:sz w:val="24"/>
      <w:szCs w:val="24"/>
    </w:rPr>
  </w:style>
  <w:style w:type="paragraph" w:styleId="23">
    <w:name w:val="Subtitle"/>
    <w:basedOn w:val="1"/>
    <w:next w:val="1"/>
    <w:link w:val="10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4">
    <w:name w:val="toc 2"/>
    <w:basedOn w:val="1"/>
    <w:next w:val="1"/>
    <w:qFormat/>
    <w:uiPriority w:val="39"/>
    <w:pPr>
      <w:tabs>
        <w:tab w:val="right" w:leader="dot" w:pos="8400"/>
      </w:tabs>
      <w:ind w:left="210"/>
      <w:jc w:val="left"/>
    </w:pPr>
    <w:rPr>
      <w:rFonts w:ascii="宋体" w:hAnsi="宋体"/>
      <w:b/>
      <w:bCs/>
      <w:smallCaps/>
      <w:sz w:val="24"/>
      <w:szCs w:val="24"/>
    </w:rPr>
  </w:style>
  <w:style w:type="paragraph" w:styleId="25">
    <w:name w:val="Normal (Web)"/>
    <w:basedOn w:val="1"/>
    <w:qFormat/>
    <w:uiPriority w:val="99"/>
    <w:pPr>
      <w:widowControl/>
      <w:spacing w:before="100" w:beforeAutospacing="1" w:after="100" w:afterAutospacing="1"/>
      <w:jc w:val="left"/>
    </w:pPr>
    <w:rPr>
      <w:rFonts w:ascii="宋体" w:hAnsi="宋体"/>
      <w:kern w:val="0"/>
      <w:sz w:val="18"/>
      <w:szCs w:val="18"/>
    </w:rPr>
  </w:style>
  <w:style w:type="paragraph" w:styleId="26">
    <w:name w:val="Title"/>
    <w:basedOn w:val="1"/>
    <w:next w:val="1"/>
    <w:link w:val="106"/>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7">
    <w:name w:val="annotation subject"/>
    <w:basedOn w:val="14"/>
    <w:next w:val="14"/>
    <w:link w:val="107"/>
    <w:unhideWhenUsed/>
    <w:qFormat/>
    <w:uiPriority w:val="99"/>
    <w:pPr>
      <w:spacing w:line="240" w:lineRule="auto"/>
    </w:pPr>
    <w:rPr>
      <w:rFonts w:asciiTheme="minorHAnsi" w:hAnsiTheme="minorHAnsi" w:eastAsiaTheme="minorEastAsia" w:cstheme="minorBidi"/>
      <w:b/>
      <w:bCs/>
      <w:kern w:val="2"/>
      <w:sz w:val="21"/>
      <w:szCs w:val="24"/>
    </w:rPr>
  </w:style>
  <w:style w:type="table" w:styleId="29">
    <w:name w:val="Table Grid"/>
    <w:basedOn w:val="28"/>
    <w:qFormat/>
    <w:uiPriority w:val="0"/>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22"/>
    <w:rPr>
      <w:b/>
    </w:rPr>
  </w:style>
  <w:style w:type="character" w:styleId="32">
    <w:name w:val="page number"/>
    <w:basedOn w:val="30"/>
    <w:qFormat/>
    <w:uiPriority w:val="0"/>
  </w:style>
  <w:style w:type="character" w:styleId="33">
    <w:name w:val="Hyperlink"/>
    <w:basedOn w:val="30"/>
    <w:qFormat/>
    <w:uiPriority w:val="99"/>
    <w:rPr>
      <w:color w:val="0000FF"/>
      <w:u w:val="single"/>
    </w:rPr>
  </w:style>
  <w:style w:type="character" w:styleId="34">
    <w:name w:val="annotation reference"/>
    <w:qFormat/>
    <w:uiPriority w:val="99"/>
    <w:rPr>
      <w:sz w:val="21"/>
      <w:szCs w:val="21"/>
    </w:rPr>
  </w:style>
  <w:style w:type="character" w:customStyle="1" w:styleId="35">
    <w:name w:val="标题 1 字符"/>
    <w:basedOn w:val="30"/>
    <w:qFormat/>
    <w:uiPriority w:val="9"/>
    <w:rPr>
      <w:rFonts w:ascii="宋体" w:hAnsi="宋体" w:eastAsia="宋体"/>
      <w:b/>
      <w:bCs/>
      <w:kern w:val="44"/>
      <w:sz w:val="36"/>
      <w:szCs w:val="44"/>
    </w:rPr>
  </w:style>
  <w:style w:type="character" w:customStyle="1" w:styleId="36">
    <w:name w:val="标题 4 字符"/>
    <w:basedOn w:val="30"/>
    <w:link w:val="6"/>
    <w:qFormat/>
    <w:uiPriority w:val="9"/>
    <w:rPr>
      <w:rFonts w:asciiTheme="majorEastAsia" w:hAnsiTheme="majorEastAsia" w:eastAsiaTheme="majorEastAsia" w:cstheme="majorBidi"/>
      <w:b/>
      <w:bCs/>
      <w:kern w:val="2"/>
      <w:sz w:val="24"/>
      <w:szCs w:val="24"/>
    </w:rPr>
  </w:style>
  <w:style w:type="character" w:customStyle="1" w:styleId="37">
    <w:name w:val="标题 5 字符"/>
    <w:basedOn w:val="30"/>
    <w:link w:val="7"/>
    <w:semiHidden/>
    <w:qFormat/>
    <w:uiPriority w:val="9"/>
    <w:rPr>
      <w:b/>
      <w:kern w:val="2"/>
      <w:sz w:val="28"/>
    </w:rPr>
  </w:style>
  <w:style w:type="character" w:customStyle="1" w:styleId="38">
    <w:name w:val="标题 2 字符"/>
    <w:basedOn w:val="30"/>
    <w:qFormat/>
    <w:uiPriority w:val="9"/>
    <w:rPr>
      <w:rFonts w:hint="default" w:ascii="Cambria" w:hAnsi="Cambria" w:eastAsia="仿宋" w:cs="Times New Roman"/>
      <w:b/>
      <w:bCs/>
      <w:sz w:val="32"/>
      <w:szCs w:val="32"/>
    </w:rPr>
  </w:style>
  <w:style w:type="character" w:customStyle="1" w:styleId="39">
    <w:name w:val="标题 3 字符"/>
    <w:basedOn w:val="30"/>
    <w:link w:val="5"/>
    <w:qFormat/>
    <w:uiPriority w:val="9"/>
    <w:rPr>
      <w:rFonts w:ascii="宋体" w:hAnsi="宋体"/>
      <w:b/>
      <w:bCs/>
      <w:color w:val="000000" w:themeColor="text1"/>
      <w:kern w:val="2"/>
      <w:sz w:val="24"/>
      <w:szCs w:val="24"/>
      <w14:textFill>
        <w14:solidFill>
          <w14:schemeClr w14:val="tx1"/>
        </w14:solidFill>
      </w14:textFill>
    </w:rPr>
  </w:style>
  <w:style w:type="character" w:customStyle="1" w:styleId="40">
    <w:name w:val="标题 2 Char"/>
    <w:qFormat/>
    <w:uiPriority w:val="0"/>
    <w:rPr>
      <w:rFonts w:ascii="Arial" w:hAnsi="Arial" w:eastAsia="宋体" w:cs="Times New Roman"/>
      <w:b/>
      <w:sz w:val="28"/>
      <w:szCs w:val="24"/>
    </w:rPr>
  </w:style>
  <w:style w:type="paragraph" w:customStyle="1" w:styleId="41">
    <w:name w:val="BodyText1I2"/>
    <w:basedOn w:val="42"/>
    <w:qFormat/>
    <w:uiPriority w:val="0"/>
    <w:pPr>
      <w:ind w:firstLine="420" w:firstLineChars="200"/>
    </w:pPr>
  </w:style>
  <w:style w:type="paragraph" w:customStyle="1" w:styleId="42">
    <w:name w:val="BodyTextIndent"/>
    <w:basedOn w:val="1"/>
    <w:qFormat/>
    <w:uiPriority w:val="0"/>
    <w:pPr>
      <w:spacing w:after="120"/>
      <w:ind w:left="420" w:leftChars="200"/>
      <w:textAlignment w:val="baseline"/>
    </w:pPr>
  </w:style>
  <w:style w:type="paragraph" w:customStyle="1" w:styleId="4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44">
    <w:name w:val="样式2"/>
    <w:basedOn w:val="4"/>
    <w:qFormat/>
    <w:uiPriority w:val="0"/>
    <w:pPr>
      <w:spacing w:line="400" w:lineRule="exact"/>
      <w:jc w:val="center"/>
    </w:pPr>
    <w:rPr>
      <w:rFonts w:ascii="黑体"/>
      <w:bCs/>
      <w:color w:val="000000"/>
    </w:rPr>
  </w:style>
  <w:style w:type="paragraph" w:customStyle="1" w:styleId="45">
    <w:name w:val="样式1"/>
    <w:basedOn w:val="2"/>
    <w:next w:val="6"/>
    <w:qFormat/>
    <w:uiPriority w:val="0"/>
  </w:style>
  <w:style w:type="paragraph" w:customStyle="1" w:styleId="46">
    <w:name w:val="表格"/>
    <w:basedOn w:val="1"/>
    <w:qFormat/>
    <w:uiPriority w:val="0"/>
    <w:pPr>
      <w:spacing w:line="400" w:lineRule="exact"/>
    </w:pPr>
    <w:rPr>
      <w:sz w:val="24"/>
      <w:szCs w:val="24"/>
    </w:rPr>
  </w:style>
  <w:style w:type="paragraph" w:customStyle="1" w:styleId="47">
    <w:name w:val="Char1"/>
    <w:basedOn w:val="1"/>
    <w:qFormat/>
    <w:uiPriority w:val="0"/>
    <w:rPr>
      <w:szCs w:val="21"/>
    </w:rPr>
  </w:style>
  <w:style w:type="character" w:customStyle="1" w:styleId="48">
    <w:name w:val="标题 1 字符1"/>
    <w:link w:val="2"/>
    <w:qFormat/>
    <w:uiPriority w:val="0"/>
    <w:rPr>
      <w:rFonts w:ascii="宋体" w:hAnsi="宋体"/>
      <w:b/>
      <w:kern w:val="2"/>
      <w:sz w:val="30"/>
      <w:szCs w:val="24"/>
    </w:rPr>
  </w:style>
  <w:style w:type="paragraph" w:customStyle="1" w:styleId="49">
    <w:name w:val="样式 首行缩进:  2 字符"/>
    <w:basedOn w:val="1"/>
    <w:qFormat/>
    <w:uiPriority w:val="0"/>
    <w:pPr>
      <w:spacing w:line="400" w:lineRule="exact"/>
      <w:ind w:firstLine="200" w:firstLineChars="200"/>
    </w:pPr>
    <w:rPr>
      <w:rFonts w:cs="宋体"/>
      <w:sz w:val="24"/>
      <w:szCs w:val="24"/>
    </w:rPr>
  </w:style>
  <w:style w:type="paragraph" w:customStyle="1" w:styleId="50">
    <w:name w:val="CM3"/>
    <w:basedOn w:val="51"/>
    <w:next w:val="51"/>
    <w:unhideWhenUsed/>
    <w:qFormat/>
    <w:uiPriority w:val="99"/>
  </w:style>
  <w:style w:type="paragraph" w:customStyle="1" w:styleId="51">
    <w:name w:val="Default"/>
    <w:unhideWhenUsed/>
    <w:qFormat/>
    <w:uiPriority w:val="99"/>
    <w:pPr>
      <w:widowControl w:val="0"/>
      <w:autoSpaceDE w:val="0"/>
      <w:autoSpaceDN w:val="0"/>
      <w:adjustRightInd w:val="0"/>
    </w:pPr>
    <w:rPr>
      <w:rFonts w:hint="eastAsia" w:ascii="仿宋" w:hAnsi="仿宋" w:eastAsia="仿宋" w:cs="Times New Roman"/>
      <w:color w:val="000000"/>
      <w:sz w:val="24"/>
      <w:lang w:val="en-US" w:eastAsia="zh-CN" w:bidi="ar-SA"/>
    </w:rPr>
  </w:style>
  <w:style w:type="paragraph" w:customStyle="1" w:styleId="52">
    <w:name w:val="CM2"/>
    <w:basedOn w:val="51"/>
    <w:next w:val="51"/>
    <w:unhideWhenUsed/>
    <w:qFormat/>
    <w:uiPriority w:val="99"/>
    <w:pPr>
      <w:spacing w:line="468" w:lineRule="atLeast"/>
    </w:pPr>
  </w:style>
  <w:style w:type="paragraph" w:customStyle="1" w:styleId="53">
    <w:name w:val="CM4"/>
    <w:basedOn w:val="51"/>
    <w:next w:val="51"/>
    <w:unhideWhenUsed/>
    <w:qFormat/>
    <w:uiPriority w:val="99"/>
  </w:style>
  <w:style w:type="paragraph" w:customStyle="1" w:styleId="54">
    <w:name w:val="N"/>
    <w:basedOn w:val="1"/>
    <w:next w:val="1"/>
    <w:qFormat/>
    <w:uiPriority w:val="0"/>
    <w:pPr>
      <w:pageBreakBefore/>
      <w:spacing w:beforeLines="100" w:afterLines="100" w:line="720" w:lineRule="auto"/>
      <w:jc w:val="center"/>
      <w:outlineLvl w:val="0"/>
    </w:pPr>
    <w:rPr>
      <w:rFonts w:ascii="黑体" w:hAnsi="微软雅黑" w:eastAsia="微软雅黑"/>
      <w:b/>
      <w:sz w:val="44"/>
      <w:szCs w:val="44"/>
      <w:lang w:val="zh-CN"/>
    </w:rPr>
  </w:style>
  <w:style w:type="paragraph" w:styleId="55">
    <w:name w:val="List Paragraph"/>
    <w:basedOn w:val="1"/>
    <w:qFormat/>
    <w:uiPriority w:val="34"/>
    <w:pPr>
      <w:ind w:firstLine="420" w:firstLineChars="200"/>
    </w:pPr>
  </w:style>
  <w:style w:type="paragraph" w:customStyle="1" w:styleId="56">
    <w:name w:val="可研正文"/>
    <w:basedOn w:val="1"/>
    <w:qFormat/>
    <w:uiPriority w:val="0"/>
    <w:pPr>
      <w:spacing w:line="360" w:lineRule="auto"/>
      <w:ind w:firstLine="560" w:firstLineChars="200"/>
    </w:pPr>
    <w:rPr>
      <w:rFonts w:ascii="仿宋_GB2312" w:hAnsi="宋体" w:eastAsia="仿宋_GB2312"/>
      <w:kern w:val="0"/>
      <w:sz w:val="28"/>
    </w:rPr>
  </w:style>
  <w:style w:type="paragraph" w:customStyle="1" w:styleId="57">
    <w:name w:val="表格格式"/>
    <w:basedOn w:val="1"/>
    <w:next w:val="55"/>
    <w:qFormat/>
    <w:uiPriority w:val="99"/>
    <w:pPr>
      <w:spacing w:line="360" w:lineRule="auto"/>
      <w:ind w:firstLine="420" w:firstLineChars="200"/>
    </w:pPr>
    <w:rPr>
      <w:sz w:val="24"/>
    </w:rPr>
  </w:style>
  <w:style w:type="character" w:customStyle="1" w:styleId="58">
    <w:name w:val="*正文 Char"/>
    <w:link w:val="3"/>
    <w:qFormat/>
    <w:uiPriority w:val="0"/>
    <w:rPr>
      <w:rFonts w:ascii="宋体" w:hAnsi="宋体"/>
      <w:sz w:val="24"/>
      <w:szCs w:val="24"/>
    </w:rPr>
  </w:style>
  <w:style w:type="character" w:customStyle="1" w:styleId="59">
    <w:name w:val="列出段落 字符"/>
    <w:basedOn w:val="30"/>
    <w:link w:val="60"/>
    <w:qFormat/>
    <w:uiPriority w:val="0"/>
    <w:rPr>
      <w:rFonts w:hint="default" w:ascii="Calibri" w:hAnsi="Calibri" w:eastAsia="仿宋" w:cs="Times New Roman"/>
      <w:sz w:val="24"/>
      <w:szCs w:val="20"/>
    </w:rPr>
  </w:style>
  <w:style w:type="paragraph" w:customStyle="1" w:styleId="60">
    <w:name w:val="列出段落1"/>
    <w:basedOn w:val="1"/>
    <w:link w:val="59"/>
    <w:qFormat/>
    <w:uiPriority w:val="0"/>
    <w:pPr>
      <w:spacing w:line="360" w:lineRule="auto"/>
      <w:ind w:firstLine="420" w:firstLineChars="200"/>
    </w:pPr>
    <w:rPr>
      <w:rFonts w:ascii="Calibri" w:hAnsi="Calibri" w:eastAsia="仿宋"/>
      <w:sz w:val="24"/>
    </w:rPr>
  </w:style>
  <w:style w:type="paragraph" w:customStyle="1" w:styleId="61">
    <w:name w:val="gjt_正文"/>
    <w:basedOn w:val="1"/>
    <w:qFormat/>
    <w:uiPriority w:val="0"/>
    <w:pPr>
      <w:spacing w:line="360" w:lineRule="auto"/>
      <w:ind w:firstLine="420"/>
    </w:pPr>
    <w:rPr>
      <w:rFonts w:ascii="Calibri" w:hAnsi="Calibri" w:eastAsia="仿宋_GB2312"/>
      <w:color w:val="000000"/>
      <w:sz w:val="24"/>
      <w:szCs w:val="24"/>
      <w:u w:color="000000"/>
    </w:rPr>
  </w:style>
  <w:style w:type="character" w:customStyle="1" w:styleId="62">
    <w:name w:val="font01"/>
    <w:basedOn w:val="30"/>
    <w:qFormat/>
    <w:uiPriority w:val="0"/>
    <w:rPr>
      <w:rFonts w:hint="eastAsia" w:ascii="宋体" w:hAnsi="宋体" w:eastAsia="宋体" w:cs="宋体"/>
      <w:color w:val="000000"/>
      <w:sz w:val="22"/>
      <w:szCs w:val="22"/>
      <w:u w:val="none"/>
    </w:rPr>
  </w:style>
  <w:style w:type="character" w:customStyle="1" w:styleId="63">
    <w:name w:val="font11"/>
    <w:basedOn w:val="30"/>
    <w:qFormat/>
    <w:uiPriority w:val="0"/>
    <w:rPr>
      <w:rFonts w:hint="default" w:ascii="Tahoma" w:hAnsi="Tahoma" w:eastAsia="Tahoma" w:cs="Tahoma"/>
      <w:color w:val="000000"/>
      <w:sz w:val="22"/>
      <w:szCs w:val="22"/>
      <w:u w:val="none"/>
    </w:rPr>
  </w:style>
  <w:style w:type="character" w:customStyle="1" w:styleId="64">
    <w:name w:val="font21"/>
    <w:basedOn w:val="30"/>
    <w:qFormat/>
    <w:uiPriority w:val="0"/>
    <w:rPr>
      <w:rFonts w:hint="default" w:ascii="Tahoma" w:hAnsi="Tahoma" w:eastAsia="Tahoma" w:cs="Tahoma"/>
      <w:color w:val="000000"/>
      <w:sz w:val="22"/>
      <w:szCs w:val="22"/>
      <w:u w:val="none"/>
    </w:rPr>
  </w:style>
  <w:style w:type="paragraph" w:customStyle="1" w:styleId="65">
    <w:name w:val="WPSOffice手动目录 1"/>
    <w:qFormat/>
    <w:uiPriority w:val="0"/>
    <w:rPr>
      <w:rFonts w:ascii="Times New Roman" w:hAnsi="Times New Roman" w:eastAsia="宋体" w:cs="Times New Roman"/>
      <w:lang w:val="en-US" w:eastAsia="zh-CN" w:bidi="ar-SA"/>
    </w:rPr>
  </w:style>
  <w:style w:type="paragraph" w:customStyle="1" w:styleId="6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67">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68">
    <w:name w:val="S标题2"/>
    <w:basedOn w:val="4"/>
    <w:link w:val="70"/>
    <w:qFormat/>
    <w:uiPriority w:val="0"/>
    <w:pPr>
      <w:spacing w:beforeLines="50" w:afterLines="50"/>
    </w:pPr>
    <w:rPr>
      <w:color w:val="000000" w:themeColor="text1"/>
      <w14:textFill>
        <w14:solidFill>
          <w14:schemeClr w14:val="tx1"/>
        </w14:solidFill>
      </w14:textFill>
    </w:rPr>
  </w:style>
  <w:style w:type="paragraph" w:customStyle="1" w:styleId="69">
    <w:name w:val="样式 首行缩进:  0 字符"/>
    <w:basedOn w:val="1"/>
    <w:link w:val="72"/>
    <w:qFormat/>
    <w:uiPriority w:val="0"/>
    <w:pPr>
      <w:spacing w:line="360" w:lineRule="auto"/>
      <w:ind w:firstLine="200" w:firstLineChars="200"/>
    </w:pPr>
    <w:rPr>
      <w:rFonts w:cs="宋体"/>
      <w:sz w:val="24"/>
    </w:rPr>
  </w:style>
  <w:style w:type="character" w:customStyle="1" w:styleId="70">
    <w:name w:val="S标题2 字符"/>
    <w:basedOn w:val="40"/>
    <w:link w:val="68"/>
    <w:qFormat/>
    <w:uiPriority w:val="0"/>
    <w:rPr>
      <w:rFonts w:ascii="宋体" w:hAnsi="宋体" w:eastAsia="宋体" w:cs="Times New Roman"/>
      <w:color w:val="000000" w:themeColor="text1"/>
      <w:kern w:val="2"/>
      <w:sz w:val="28"/>
      <w:szCs w:val="24"/>
      <w14:textFill>
        <w14:solidFill>
          <w14:schemeClr w14:val="tx1"/>
        </w14:solidFill>
      </w14:textFill>
    </w:rPr>
  </w:style>
  <w:style w:type="paragraph" w:customStyle="1" w:styleId="71">
    <w:name w:val="表1"/>
    <w:basedOn w:val="1"/>
    <w:qFormat/>
    <w:uiPriority w:val="0"/>
    <w:pPr>
      <w:numPr>
        <w:ilvl w:val="0"/>
        <w:numId w:val="3"/>
      </w:numPr>
      <w:spacing w:line="360" w:lineRule="auto"/>
      <w:ind w:firstLine="0"/>
      <w:jc w:val="center"/>
    </w:pPr>
    <w:rPr>
      <w:szCs w:val="24"/>
    </w:rPr>
  </w:style>
  <w:style w:type="character" w:customStyle="1" w:styleId="72">
    <w:name w:val="样式 首行缩进:  0 字符 Char"/>
    <w:link w:val="69"/>
    <w:qFormat/>
    <w:locked/>
    <w:uiPriority w:val="0"/>
    <w:rPr>
      <w:rFonts w:cs="宋体"/>
      <w:kern w:val="2"/>
      <w:sz w:val="24"/>
    </w:rPr>
  </w:style>
  <w:style w:type="paragraph" w:customStyle="1" w:styleId="73">
    <w:name w:val="1正文"/>
    <w:basedOn w:val="1"/>
    <w:qFormat/>
    <w:uiPriority w:val="0"/>
    <w:pPr>
      <w:spacing w:line="360" w:lineRule="auto"/>
      <w:ind w:firstLine="200" w:firstLineChars="200"/>
    </w:pPr>
    <w:rPr>
      <w:rFonts w:ascii="仿宋_GB2312" w:hAnsi="Arial" w:eastAsia="仿宋"/>
      <w:sz w:val="24"/>
      <w:szCs w:val="28"/>
    </w:rPr>
  </w:style>
  <w:style w:type="paragraph" w:customStyle="1" w:styleId="74">
    <w:name w:val="正文（缩进）"/>
    <w:basedOn w:val="1"/>
    <w:link w:val="75"/>
    <w:qFormat/>
    <w:uiPriority w:val="0"/>
    <w:pPr>
      <w:spacing w:beforeLines="50" w:afterLines="50"/>
      <w:ind w:firstLine="200" w:firstLineChars="200"/>
    </w:pPr>
    <w:rPr>
      <w:rFonts w:asciiTheme="minorHAnsi" w:hAnsiTheme="minorHAnsi" w:eastAsiaTheme="minorEastAsia" w:cstheme="minorBidi"/>
      <w:kern w:val="0"/>
      <w:szCs w:val="22"/>
    </w:rPr>
  </w:style>
  <w:style w:type="character" w:customStyle="1" w:styleId="75">
    <w:name w:val="正文（缩进） Char"/>
    <w:link w:val="74"/>
    <w:qFormat/>
    <w:uiPriority w:val="0"/>
    <w:rPr>
      <w:rFonts w:asciiTheme="minorHAnsi" w:hAnsiTheme="minorHAnsi" w:eastAsiaTheme="minorEastAsia" w:cstheme="minorBidi"/>
      <w:sz w:val="21"/>
      <w:szCs w:val="22"/>
    </w:rPr>
  </w:style>
  <w:style w:type="character" w:customStyle="1" w:styleId="76">
    <w:name w:val="批注文字 字符"/>
    <w:link w:val="14"/>
    <w:qFormat/>
    <w:uiPriority w:val="99"/>
    <w:rPr>
      <w:sz w:val="28"/>
    </w:rPr>
  </w:style>
  <w:style w:type="character" w:customStyle="1" w:styleId="77">
    <w:name w:val="批注文字 字符1"/>
    <w:basedOn w:val="30"/>
    <w:qFormat/>
    <w:uiPriority w:val="0"/>
    <w:rPr>
      <w:kern w:val="2"/>
      <w:sz w:val="21"/>
    </w:rPr>
  </w:style>
  <w:style w:type="character" w:customStyle="1" w:styleId="78">
    <w:name w:val="正文缩进 字符"/>
    <w:link w:val="12"/>
    <w:qFormat/>
    <w:locked/>
    <w:uiPriority w:val="0"/>
    <w:rPr>
      <w:kern w:val="2"/>
      <w:sz w:val="21"/>
    </w:rPr>
  </w:style>
  <w:style w:type="character" w:customStyle="1" w:styleId="79">
    <w:name w:val="正文对齐 Char"/>
    <w:basedOn w:val="30"/>
    <w:link w:val="80"/>
    <w:qFormat/>
    <w:locked/>
    <w:uiPriority w:val="0"/>
    <w:rPr>
      <w:bCs/>
      <w:szCs w:val="21"/>
    </w:rPr>
  </w:style>
  <w:style w:type="paragraph" w:customStyle="1" w:styleId="80">
    <w:name w:val="正文对齐"/>
    <w:basedOn w:val="1"/>
    <w:link w:val="79"/>
    <w:qFormat/>
    <w:uiPriority w:val="0"/>
    <w:pPr>
      <w:spacing w:before="60" w:line="300" w:lineRule="auto"/>
      <w:ind w:left="420" w:leftChars="200"/>
      <w:jc w:val="left"/>
    </w:pPr>
    <w:rPr>
      <w:bCs/>
      <w:kern w:val="0"/>
      <w:sz w:val="20"/>
      <w:szCs w:val="21"/>
    </w:rPr>
  </w:style>
  <w:style w:type="paragraph" w:customStyle="1" w:styleId="81">
    <w:name w:val="样式A4"/>
    <w:basedOn w:val="6"/>
    <w:qFormat/>
    <w:uiPriority w:val="0"/>
    <w:pPr>
      <w:numPr>
        <w:numId w:val="4"/>
      </w:numPr>
      <w:spacing w:beforeLines="50" w:afterLines="50" w:line="360" w:lineRule="auto"/>
      <w:ind w:left="0" w:right="240" w:rightChars="100"/>
      <w:jc w:val="both"/>
    </w:pPr>
    <w:rPr>
      <w:rFonts w:ascii="Times New Roman" w:hAnsi="Times New Roman" w:eastAsia="宋体" w:cs="Times New Roman"/>
      <w:kern w:val="0"/>
    </w:rPr>
  </w:style>
  <w:style w:type="character" w:customStyle="1" w:styleId="82">
    <w:name w:val="批注框文本 字符"/>
    <w:basedOn w:val="30"/>
    <w:link w:val="19"/>
    <w:qFormat/>
    <w:uiPriority w:val="0"/>
    <w:rPr>
      <w:kern w:val="2"/>
      <w:sz w:val="18"/>
      <w:szCs w:val="18"/>
    </w:rPr>
  </w:style>
  <w:style w:type="character" w:customStyle="1" w:styleId="83">
    <w:name w:val="页眉 字符"/>
    <w:basedOn w:val="30"/>
    <w:link w:val="21"/>
    <w:qFormat/>
    <w:uiPriority w:val="99"/>
    <w:rPr>
      <w:kern w:val="2"/>
      <w:sz w:val="18"/>
    </w:rPr>
  </w:style>
  <w:style w:type="paragraph" w:customStyle="1" w:styleId="84">
    <w:name w:val="功能亮点"/>
    <w:basedOn w:val="55"/>
    <w:qFormat/>
    <w:uiPriority w:val="0"/>
    <w:pPr>
      <w:framePr w:hSpace="180" w:wrap="around" w:vAnchor="text" w:hAnchor="margin" w:xAlign="right" w:y="1822"/>
      <w:numPr>
        <w:ilvl w:val="0"/>
        <w:numId w:val="5"/>
      </w:numPr>
      <w:spacing w:line="300" w:lineRule="exact"/>
      <w:ind w:left="0" w:hanging="181" w:hangingChars="100"/>
      <w:jc w:val="left"/>
    </w:pPr>
    <w:rPr>
      <w:rFonts w:ascii="思源黑体 CN Light" w:hAnsi="思源黑体 CN Light" w:eastAsia="思源黑体 CN Light" w:cstheme="minorBidi"/>
      <w:sz w:val="18"/>
      <w:szCs w:val="22"/>
    </w:rPr>
  </w:style>
  <w:style w:type="paragraph" w:customStyle="1" w:styleId="85">
    <w:name w:val="表格白标题"/>
    <w:basedOn w:val="1"/>
    <w:qFormat/>
    <w:uiPriority w:val="0"/>
    <w:pPr>
      <w:framePr w:hSpace="180" w:wrap="around" w:vAnchor="margin" w:hAnchor="text" w:y="654"/>
      <w:spacing w:afterLines="10" w:line="300" w:lineRule="exact"/>
      <w:ind w:left="50" w:leftChars="50"/>
    </w:pPr>
    <w:rPr>
      <w:rFonts w:ascii="思源黑体 CN Light" w:hAnsi="思源黑体 CN Light" w:eastAsia="思源黑体 CN Light" w:cstheme="minorBidi"/>
      <w:sz w:val="18"/>
      <w:szCs w:val="22"/>
    </w:rPr>
  </w:style>
  <w:style w:type="paragraph" w:customStyle="1" w:styleId="86">
    <w:name w:val="表格左标题"/>
    <w:basedOn w:val="1"/>
    <w:qFormat/>
    <w:uiPriority w:val="0"/>
    <w:pPr>
      <w:framePr w:hSpace="180" w:wrap="around" w:vAnchor="margin" w:hAnchor="text" w:y="654"/>
      <w:suppressAutoHyphens/>
      <w:autoSpaceDE w:val="0"/>
      <w:autoSpaceDN w:val="0"/>
      <w:adjustRightInd w:val="0"/>
      <w:spacing w:line="240" w:lineRule="exact"/>
      <w:ind w:left="50" w:leftChars="50"/>
      <w:textAlignment w:val="center"/>
    </w:pPr>
    <w:rPr>
      <w:rFonts w:ascii="思源黑体 CN Light" w:hAnsi="思源黑体 CN Light" w:eastAsia="思源黑体 CN Light" w:cs="方正悠黑_504L"/>
      <w:color w:val="000000"/>
      <w:kern w:val="0"/>
      <w:sz w:val="15"/>
      <w:szCs w:val="15"/>
    </w:rPr>
  </w:style>
  <w:style w:type="paragraph" w:customStyle="1" w:styleId="87">
    <w:name w:val="表格右参数"/>
    <w:basedOn w:val="1"/>
    <w:qFormat/>
    <w:uiPriority w:val="0"/>
    <w:pPr>
      <w:suppressAutoHyphens/>
      <w:autoSpaceDE w:val="0"/>
      <w:autoSpaceDN w:val="0"/>
      <w:adjustRightInd w:val="0"/>
      <w:spacing w:beforeLines="20" w:afterLines="20" w:line="168" w:lineRule="exact"/>
      <w:ind w:left="50" w:leftChars="50"/>
      <w:jc w:val="left"/>
      <w:textAlignment w:val="center"/>
    </w:pPr>
    <w:rPr>
      <w:rFonts w:ascii="思源黑体 CN Light" w:hAnsi="思源黑体 CN Light" w:eastAsia="思源黑体 CN Light" w:cs="方正悠黑_504L"/>
      <w:color w:val="000000"/>
      <w:kern w:val="0"/>
      <w:sz w:val="14"/>
      <w:szCs w:val="14"/>
    </w:rPr>
  </w:style>
  <w:style w:type="paragraph" w:customStyle="1" w:styleId="88">
    <w:name w:val="表格大类"/>
    <w:basedOn w:val="1"/>
    <w:qFormat/>
    <w:uiPriority w:val="99"/>
    <w:pPr>
      <w:suppressAutoHyphens/>
      <w:autoSpaceDE w:val="0"/>
      <w:autoSpaceDN w:val="0"/>
      <w:adjustRightInd w:val="0"/>
      <w:spacing w:line="288" w:lineRule="auto"/>
      <w:jc w:val="left"/>
      <w:textAlignment w:val="center"/>
    </w:pPr>
    <w:rPr>
      <w:rFonts w:ascii="方正悠黑简体_501L" w:eastAsia="方正悠黑简体_501L" w:cs="方正悠黑简体_501L" w:hAnsiTheme="minorHAnsi"/>
      <w:color w:val="000000"/>
      <w:kern w:val="0"/>
      <w:sz w:val="18"/>
      <w:szCs w:val="18"/>
    </w:rPr>
  </w:style>
  <w:style w:type="paragraph" w:customStyle="1" w:styleId="89">
    <w:name w:val="配件图"/>
    <w:basedOn w:val="1"/>
    <w:qFormat/>
    <w:uiPriority w:val="0"/>
    <w:pPr>
      <w:framePr w:hSpace="180" w:wrap="around" w:vAnchor="page" w:hAnchor="margin" w:y="5726"/>
      <w:widowControl/>
      <w:jc w:val="center"/>
    </w:pPr>
    <w:rPr>
      <w:rFonts w:ascii="思源黑体 CN Light" w:hAnsi="思源黑体 CN Light" w:eastAsia="思源黑体 CN Light" w:cstheme="minorBidi"/>
      <w:sz w:val="18"/>
      <w:szCs w:val="22"/>
    </w:rPr>
  </w:style>
  <w:style w:type="table" w:customStyle="1" w:styleId="90">
    <w:name w:val="网格型浅色1"/>
    <w:basedOn w:val="28"/>
    <w:qFormat/>
    <w:uiPriority w:val="40"/>
    <w:rPr>
      <w:rFonts w:asciiTheme="minorHAnsi" w:hAnsiTheme="minorHAnsi" w:eastAsiaTheme="minorEastAsia" w:cstheme="minorBidi"/>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91">
    <w:name w:val="Table Paragraph"/>
    <w:basedOn w:val="1"/>
    <w:qFormat/>
    <w:uiPriority w:val="1"/>
  </w:style>
  <w:style w:type="character" w:customStyle="1" w:styleId="92">
    <w:name w:val="font31"/>
    <w:basedOn w:val="30"/>
    <w:qFormat/>
    <w:uiPriority w:val="0"/>
    <w:rPr>
      <w:rFonts w:hint="default" w:ascii="Tahoma" w:hAnsi="Tahoma" w:eastAsia="Tahoma" w:cs="Tahoma"/>
      <w:color w:val="000000"/>
      <w:sz w:val="22"/>
      <w:szCs w:val="22"/>
      <w:u w:val="none"/>
    </w:rPr>
  </w:style>
  <w:style w:type="character" w:customStyle="1" w:styleId="93">
    <w:name w:val="font61"/>
    <w:basedOn w:val="30"/>
    <w:qFormat/>
    <w:uiPriority w:val="0"/>
    <w:rPr>
      <w:rFonts w:ascii="仿宋" w:hAnsi="仿宋" w:eastAsia="仿宋" w:cs="仿宋"/>
      <w:color w:val="1D1B10"/>
      <w:sz w:val="22"/>
      <w:szCs w:val="22"/>
      <w:u w:val="none"/>
    </w:rPr>
  </w:style>
  <w:style w:type="character" w:customStyle="1" w:styleId="94">
    <w:name w:val="font41"/>
    <w:basedOn w:val="30"/>
    <w:qFormat/>
    <w:uiPriority w:val="0"/>
    <w:rPr>
      <w:rFonts w:hint="eastAsia" w:ascii="宋体" w:hAnsi="宋体" w:eastAsia="宋体" w:cs="宋体"/>
      <w:color w:val="000000"/>
      <w:sz w:val="24"/>
      <w:szCs w:val="24"/>
      <w:u w:val="none"/>
    </w:rPr>
  </w:style>
  <w:style w:type="character" w:customStyle="1" w:styleId="95">
    <w:name w:val="!我的正文 Ctr+Q Char"/>
    <w:link w:val="96"/>
    <w:qFormat/>
    <w:uiPriority w:val="0"/>
    <w:rPr>
      <w:rFonts w:ascii="Arial" w:hAnsi="Arial"/>
      <w:b/>
      <w:sz w:val="24"/>
      <w:szCs w:val="21"/>
    </w:rPr>
  </w:style>
  <w:style w:type="paragraph" w:customStyle="1" w:styleId="96">
    <w:name w:val="!我的正文 Ctr+Q"/>
    <w:basedOn w:val="1"/>
    <w:link w:val="95"/>
    <w:qFormat/>
    <w:uiPriority w:val="0"/>
    <w:pPr>
      <w:adjustRightInd w:val="0"/>
      <w:snapToGrid w:val="0"/>
      <w:spacing w:line="360" w:lineRule="auto"/>
      <w:ind w:firstLine="482" w:firstLineChars="200"/>
      <w:jc w:val="left"/>
    </w:pPr>
    <w:rPr>
      <w:rFonts w:ascii="Arial" w:hAnsi="Arial"/>
      <w:b/>
      <w:kern w:val="0"/>
      <w:sz w:val="24"/>
      <w:szCs w:val="21"/>
    </w:rPr>
  </w:style>
  <w:style w:type="character" w:customStyle="1" w:styleId="97">
    <w:name w:val="标题 2 字符1"/>
    <w:basedOn w:val="30"/>
    <w:link w:val="4"/>
    <w:qFormat/>
    <w:uiPriority w:val="0"/>
    <w:rPr>
      <w:rFonts w:ascii="宋体" w:hAnsi="宋体"/>
      <w:b/>
      <w:kern w:val="2"/>
      <w:sz w:val="28"/>
      <w:szCs w:val="24"/>
    </w:rPr>
  </w:style>
  <w:style w:type="character" w:customStyle="1" w:styleId="98">
    <w:name w:val="正文文本 字符"/>
    <w:basedOn w:val="30"/>
    <w:link w:val="15"/>
    <w:qFormat/>
    <w:uiPriority w:val="1"/>
    <w:rPr>
      <w:rFonts w:ascii="宋体" w:hAnsi="宋体" w:cs="宋体"/>
      <w:kern w:val="2"/>
      <w:sz w:val="24"/>
      <w:szCs w:val="24"/>
      <w:lang w:val="zh-CN" w:bidi="zh-CN"/>
    </w:rPr>
  </w:style>
  <w:style w:type="character" w:customStyle="1" w:styleId="99">
    <w:name w:val="正文文本缩进 字符"/>
    <w:basedOn w:val="30"/>
    <w:link w:val="16"/>
    <w:qFormat/>
    <w:uiPriority w:val="0"/>
    <w:rPr>
      <w:kern w:val="2"/>
      <w:sz w:val="32"/>
    </w:rPr>
  </w:style>
  <w:style w:type="character" w:customStyle="1" w:styleId="100">
    <w:name w:val="页脚 字符"/>
    <w:basedOn w:val="30"/>
    <w:link w:val="20"/>
    <w:qFormat/>
    <w:uiPriority w:val="99"/>
    <w:rPr>
      <w:kern w:val="2"/>
      <w:sz w:val="18"/>
    </w:rPr>
  </w:style>
  <w:style w:type="character" w:customStyle="1" w:styleId="101">
    <w:name w:val="标题 6 字符"/>
    <w:basedOn w:val="30"/>
    <w:link w:val="8"/>
    <w:semiHidden/>
    <w:qFormat/>
    <w:uiPriority w:val="9"/>
    <w:rPr>
      <w:rFonts w:ascii="Arial" w:hAnsi="Arial" w:eastAsia="黑体"/>
      <w:b/>
      <w:kern w:val="2"/>
      <w:sz w:val="24"/>
    </w:rPr>
  </w:style>
  <w:style w:type="character" w:customStyle="1" w:styleId="102">
    <w:name w:val="标题 7 字符"/>
    <w:basedOn w:val="30"/>
    <w:link w:val="9"/>
    <w:semiHidden/>
    <w:qFormat/>
    <w:uiPriority w:val="9"/>
    <w:rPr>
      <w:b/>
      <w:kern w:val="2"/>
      <w:sz w:val="24"/>
    </w:rPr>
  </w:style>
  <w:style w:type="character" w:customStyle="1" w:styleId="103">
    <w:name w:val="标题 8 字符"/>
    <w:basedOn w:val="30"/>
    <w:link w:val="10"/>
    <w:semiHidden/>
    <w:qFormat/>
    <w:uiPriority w:val="9"/>
    <w:rPr>
      <w:rFonts w:ascii="Arial" w:hAnsi="Arial" w:eastAsia="黑体"/>
      <w:kern w:val="2"/>
      <w:sz w:val="24"/>
    </w:rPr>
  </w:style>
  <w:style w:type="character" w:customStyle="1" w:styleId="104">
    <w:name w:val="标题 9 字符"/>
    <w:basedOn w:val="30"/>
    <w:link w:val="11"/>
    <w:semiHidden/>
    <w:qFormat/>
    <w:uiPriority w:val="9"/>
    <w:rPr>
      <w:rFonts w:ascii="Arial" w:hAnsi="Arial" w:eastAsia="黑体"/>
      <w:kern w:val="2"/>
      <w:sz w:val="21"/>
    </w:rPr>
  </w:style>
  <w:style w:type="character" w:customStyle="1" w:styleId="105">
    <w:name w:val="副标题 字符"/>
    <w:basedOn w:val="30"/>
    <w:link w:val="23"/>
    <w:qFormat/>
    <w:uiPriority w:val="11"/>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character" w:customStyle="1" w:styleId="106">
    <w:name w:val="标题 字符"/>
    <w:basedOn w:val="30"/>
    <w:link w:val="26"/>
    <w:qFormat/>
    <w:uiPriority w:val="10"/>
    <w:rPr>
      <w:rFonts w:asciiTheme="majorHAnsi" w:hAnsiTheme="majorHAnsi" w:eastAsiaTheme="majorEastAsia" w:cstheme="majorBidi"/>
      <w:spacing w:val="-10"/>
      <w:kern w:val="28"/>
      <w:sz w:val="56"/>
      <w:szCs w:val="56"/>
    </w:rPr>
  </w:style>
  <w:style w:type="character" w:customStyle="1" w:styleId="107">
    <w:name w:val="批注主题 字符"/>
    <w:basedOn w:val="76"/>
    <w:link w:val="27"/>
    <w:qFormat/>
    <w:uiPriority w:val="99"/>
    <w:rPr>
      <w:rFonts w:asciiTheme="minorHAnsi" w:hAnsiTheme="minorHAnsi" w:eastAsiaTheme="minorEastAsia" w:cstheme="minorBidi"/>
      <w:b/>
      <w:bCs/>
      <w:kern w:val="2"/>
      <w:sz w:val="21"/>
      <w:szCs w:val="24"/>
    </w:rPr>
  </w:style>
  <w:style w:type="paragraph" w:styleId="108">
    <w:name w:val="Quote"/>
    <w:basedOn w:val="1"/>
    <w:next w:val="1"/>
    <w:link w:val="109"/>
    <w:qFormat/>
    <w:uiPriority w:val="29"/>
    <w:pPr>
      <w:spacing w:before="160" w:after="160"/>
      <w:jc w:val="center"/>
    </w:pPr>
    <w:rPr>
      <w:rFonts w:asciiTheme="minorHAnsi" w:hAnsiTheme="minorHAnsi" w:eastAsiaTheme="minorEastAsia" w:cstheme="minorBidi"/>
      <w:i/>
      <w:iCs/>
      <w:color w:val="404040" w:themeColor="text1" w:themeTint="BF"/>
      <w:szCs w:val="24"/>
      <w14:textFill>
        <w14:solidFill>
          <w14:schemeClr w14:val="tx1">
            <w14:lumMod w14:val="75000"/>
            <w14:lumOff w14:val="25000"/>
          </w14:schemeClr>
        </w14:solidFill>
      </w14:textFill>
    </w:rPr>
  </w:style>
  <w:style w:type="character" w:customStyle="1" w:styleId="109">
    <w:name w:val="引用 字符"/>
    <w:basedOn w:val="30"/>
    <w:link w:val="108"/>
    <w:qFormat/>
    <w:uiPriority w:val="29"/>
    <w:rPr>
      <w:rFonts w:asciiTheme="minorHAnsi" w:hAnsiTheme="minorHAnsi" w:eastAsiaTheme="minorEastAsia" w:cstheme="minorBidi"/>
      <w:i/>
      <w:iCs/>
      <w:color w:val="404040" w:themeColor="text1" w:themeTint="BF"/>
      <w:kern w:val="2"/>
      <w:sz w:val="21"/>
      <w:szCs w:val="24"/>
      <w14:textFill>
        <w14:solidFill>
          <w14:schemeClr w14:val="tx1">
            <w14:lumMod w14:val="75000"/>
            <w14:lumOff w14:val="25000"/>
          </w14:schemeClr>
        </w14:solidFill>
      </w14:textFill>
    </w:rPr>
  </w:style>
  <w:style w:type="character" w:customStyle="1" w:styleId="110">
    <w:name w:val="明显强调1"/>
    <w:basedOn w:val="30"/>
    <w:qFormat/>
    <w:uiPriority w:val="21"/>
    <w:rPr>
      <w:i/>
      <w:iCs/>
      <w:color w:val="2E75B6" w:themeColor="accent1" w:themeShade="BF"/>
    </w:rPr>
  </w:style>
  <w:style w:type="paragraph" w:styleId="111">
    <w:name w:val="Intense Quote"/>
    <w:basedOn w:val="1"/>
    <w:next w:val="1"/>
    <w:link w:val="112"/>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rFonts w:asciiTheme="minorHAnsi" w:hAnsiTheme="minorHAnsi" w:eastAsiaTheme="minorEastAsia" w:cstheme="minorBidi"/>
      <w:i/>
      <w:iCs/>
      <w:color w:val="2E75B6" w:themeColor="accent1" w:themeShade="BF"/>
      <w:szCs w:val="24"/>
    </w:rPr>
  </w:style>
  <w:style w:type="character" w:customStyle="1" w:styleId="112">
    <w:name w:val="明显引用 字符"/>
    <w:basedOn w:val="30"/>
    <w:link w:val="111"/>
    <w:qFormat/>
    <w:uiPriority w:val="30"/>
    <w:rPr>
      <w:rFonts w:asciiTheme="minorHAnsi" w:hAnsiTheme="minorHAnsi" w:eastAsiaTheme="minorEastAsia" w:cstheme="minorBidi"/>
      <w:i/>
      <w:iCs/>
      <w:color w:val="2E75B6" w:themeColor="accent1" w:themeShade="BF"/>
      <w:kern w:val="2"/>
      <w:sz w:val="21"/>
      <w:szCs w:val="24"/>
    </w:rPr>
  </w:style>
  <w:style w:type="character" w:customStyle="1" w:styleId="113">
    <w:name w:val="明显参考1"/>
    <w:basedOn w:val="30"/>
    <w:qFormat/>
    <w:uiPriority w:val="32"/>
    <w:rPr>
      <w:b/>
      <w:bCs/>
      <w:smallCaps/>
      <w:color w:val="2E75B6"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6529</Words>
  <Characters>6857</Characters>
  <Lines>571</Lines>
  <Paragraphs>514</Paragraphs>
  <TotalTime>1</TotalTime>
  <ScaleCrop>false</ScaleCrop>
  <LinksUpToDate>false</LinksUpToDate>
  <CharactersWithSpaces>12872</CharactersWithSpaces>
  <Application>WPS Office_12.8.2.15091_F1E327BC-269C-435d-A152-05C5408002CA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2025-02-25T04:36:00Z</dcterms:created>
  <dcterms:modified xsi:type="dcterms:W3CDTF">2026-10-14T10:33:15Z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2052-12.8.2.15091</vt:lpwstr>
  </property>
  <property fmtid="{D5CDD505-2E9C-101B-9397-08002B2CF9AE}" pid="3" name="ICV">
    <vt:lpwstr>B9A64776EA8544169F21A8943291BBA6_13</vt:lpwstr>
  </property>
  <property fmtid="{D5CDD505-2E9C-101B-9397-08002B2CF9AE}" pid="4" name="GSEDS_TWMT">
    <vt:lpwstr>d46a6755_b77b54e0_bde4de1ad5d3bf6c3d890214368db3bba200b42e5b9a6bba9f4d8cc7e7eedd89</vt:lpwstr>
  </property>
  <property fmtid="{D5CDD505-2E9C-101B-9397-08002B2CF9AE}" pid="5" name="GSEDS_HWMT_d46a6755">
    <vt:lpwstr>f2442d73_mFV3wT84Kyk0O8pOmXv/qoenQQM=_8QYrr15fIzUrO9JOmHjgrqZUfq+FpZaC+dPgC3SJGluRnQrnSGZH28VxuXCwC516XQRmDlRluR3KELbwq4A9Q77pumI=_24033cf5</vt:lpwstr>
  </property>
  <property fmtid="{D5CDD505-2E9C-101B-9397-08002B2CF9AE}" pid="6" name="KSOTemplateDocerSaveRecord">
    <vt:lpwstr>eyJoZGlkIjoiOTc3M2Y5NzIzMDFlZjAyY2Q4Njk5ODkyYjFjNzBiNTQiLCJ1c2VySWQiOiIyOTcyNzUxODYifQ==</vt:lpwstr>
  </property>
</Properties>
</file>