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ascii="黑体" w:hAnsi="黑体" w:eastAsia="黑体"/>
          <w:b/>
          <w:color w:val="000000"/>
          <w:sz w:val="36"/>
          <w:lang w:eastAsia="zh-CN"/>
        </w:rPr>
      </w:pPr>
      <w:r>
        <w:rPr>
          <w:rFonts w:hint="eastAsia" w:ascii="黑体" w:hAnsi="黑体" w:eastAsia="黑体"/>
          <w:b/>
          <w:color w:val="000000"/>
          <w:sz w:val="36"/>
          <w:lang w:eastAsia="zh-CN"/>
        </w:rPr>
        <w:t>长宁区域卫生平台XC升级改造公开招标项目</w:t>
      </w:r>
    </w:p>
    <w:p>
      <w:pPr>
        <w:pStyle w:val="25"/>
        <w:jc w:val="center"/>
        <w:rPr>
          <w:rFonts w:hint="default" w:eastAsia="黑体"/>
          <w:lang w:val="en-US" w:eastAsia="zh-CN"/>
        </w:rPr>
      </w:pPr>
      <w:r>
        <w:rPr>
          <w:rFonts w:hint="eastAsia" w:ascii="黑体" w:hAnsi="黑体" w:eastAsia="黑体"/>
          <w:b/>
          <w:color w:val="000000"/>
          <w:sz w:val="36"/>
          <w:lang w:val="en-US" w:eastAsia="zh-CN"/>
        </w:rPr>
        <w:t>采购需求文件</w:t>
      </w:r>
    </w:p>
    <w:p>
      <w:pPr>
        <w:spacing w:line="360" w:lineRule="auto"/>
        <w:outlineLvl w:val="0"/>
      </w:pPr>
      <w:r>
        <w:rPr>
          <w:rFonts w:ascii="黑体" w:hAnsi="黑体" w:eastAsia="黑体"/>
          <w:b/>
          <w:color w:val="000000"/>
          <w:sz w:val="30"/>
        </w:rPr>
        <w:t>一、项目概况</w:t>
      </w:r>
    </w:p>
    <w:p>
      <w:pPr>
        <w:spacing w:line="360" w:lineRule="auto"/>
      </w:pPr>
      <w:r>
        <w:rPr>
          <w:rFonts w:ascii="宋体" w:hAnsi="宋体" w:eastAsia="宋体"/>
          <w:b w:val="0"/>
          <w:color w:val="000000"/>
          <w:sz w:val="24"/>
        </w:rPr>
        <w:t>1.1 项目名称：</w:t>
      </w:r>
      <w:r>
        <w:rPr>
          <w:rFonts w:hint="eastAsia"/>
          <w:b w:val="0"/>
          <w:color w:val="000000"/>
          <w:sz w:val="24"/>
          <w:lang w:eastAsia="zh-CN"/>
        </w:rPr>
        <w:t>长宁区域卫生平台XC升级改造公开招标项目</w:t>
      </w:r>
      <w:r>
        <w:rPr>
          <w:rFonts w:ascii="宋体" w:hAnsi="宋体" w:eastAsia="宋体"/>
          <w:b w:val="0"/>
          <w:color w:val="000000"/>
          <w:sz w:val="24"/>
        </w:rPr>
        <w:t>。</w:t>
      </w:r>
    </w:p>
    <w:p>
      <w:pPr>
        <w:spacing w:line="360" w:lineRule="auto"/>
      </w:pPr>
      <w:r>
        <w:rPr>
          <w:rFonts w:ascii="宋体" w:hAnsi="宋体" w:eastAsia="宋体"/>
          <w:b w:val="0"/>
          <w:color w:val="000000"/>
          <w:sz w:val="24"/>
        </w:rPr>
        <w:t>1.2 项目单位（采购人）：长宁区公立医院和社区卫生管理中心。</w:t>
      </w:r>
    </w:p>
    <w:p>
      <w:pPr>
        <w:spacing w:line="360" w:lineRule="auto"/>
        <w:outlineLvl w:val="0"/>
      </w:pPr>
      <w:r>
        <w:rPr>
          <w:rFonts w:ascii="黑体" w:hAnsi="黑体" w:eastAsia="黑体"/>
          <w:b/>
          <w:color w:val="000000"/>
          <w:sz w:val="30"/>
        </w:rPr>
        <w:t>二、建设背景</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2.</w:t>
      </w:r>
      <w:r>
        <w:rPr>
          <w:rFonts w:hint="eastAsia"/>
          <w:b w:val="0"/>
          <w:color w:val="000000"/>
          <w:sz w:val="24"/>
          <w:lang w:val="en-US" w:eastAsia="zh-CN"/>
        </w:rPr>
        <w:t>1</w:t>
      </w:r>
      <w:r>
        <w:rPr>
          <w:rFonts w:hint="eastAsia" w:ascii="宋体" w:hAnsi="宋体" w:eastAsia="宋体"/>
          <w:b w:val="0"/>
          <w:color w:val="000000"/>
          <w:sz w:val="24"/>
        </w:rPr>
        <w:t>《关于印发&lt;上海市市级医疗机构深化信息技术应用创新工作实施方案&gt;的通知》（沪卫信息〔2023〕5号）提出，“提供互联网诊疗服务的业务系统应进行</w:t>
      </w:r>
      <w:r>
        <w:rPr>
          <w:rFonts w:hint="eastAsia"/>
          <w:b w:val="0"/>
          <w:color w:val="000000"/>
          <w:sz w:val="24"/>
          <w:lang w:eastAsia="zh-CN"/>
        </w:rPr>
        <w:t>XC</w:t>
      </w:r>
      <w:r>
        <w:rPr>
          <w:rFonts w:hint="eastAsia" w:ascii="宋体" w:hAnsi="宋体" w:eastAsia="宋体"/>
          <w:b w:val="0"/>
          <w:color w:val="000000"/>
          <w:sz w:val="24"/>
        </w:rPr>
        <w:t>改造与密码应用改造，除部分与核心业务系统有交互的功能模块，经论证后可保留使用非</w:t>
      </w:r>
      <w:r>
        <w:rPr>
          <w:rFonts w:hint="eastAsia"/>
          <w:b w:val="0"/>
          <w:color w:val="000000"/>
          <w:sz w:val="24"/>
          <w:lang w:eastAsia="zh-CN"/>
        </w:rPr>
        <w:t>XC</w:t>
      </w:r>
      <w:r>
        <w:rPr>
          <w:rFonts w:hint="eastAsia" w:ascii="宋体" w:hAnsi="宋体" w:eastAsia="宋体"/>
          <w:b w:val="0"/>
          <w:color w:val="000000"/>
          <w:sz w:val="24"/>
        </w:rPr>
        <w:t>技术，其余部分应实现‘应替尽替、真替真用’的目标”。为满足国家及上海市XC战略与医疗安全自主可控要求，</w:t>
      </w:r>
      <w:r>
        <w:rPr>
          <w:rFonts w:hint="eastAsia"/>
          <w:b w:val="0"/>
          <w:color w:val="000000"/>
          <w:sz w:val="24"/>
          <w:lang w:val="en-US" w:eastAsia="zh-CN"/>
        </w:rPr>
        <w:t>需</w:t>
      </w:r>
      <w:r>
        <w:rPr>
          <w:rFonts w:hint="eastAsia" w:ascii="宋体" w:hAnsi="宋体" w:eastAsia="宋体"/>
          <w:b w:val="0"/>
          <w:color w:val="000000"/>
          <w:sz w:val="24"/>
        </w:rPr>
        <w:t>对现有区域卫生核心系统开展XC改造工作。长宁区区域卫生核心系统中，业务协同平台</w:t>
      </w:r>
      <w:r>
        <w:rPr>
          <w:rFonts w:hint="eastAsia"/>
          <w:b w:val="0"/>
          <w:color w:val="000000"/>
          <w:sz w:val="24"/>
          <w:lang w:val="en-US" w:eastAsia="zh-CN"/>
        </w:rPr>
        <w:t>及</w:t>
      </w:r>
      <w:r>
        <w:rPr>
          <w:rFonts w:hint="eastAsia" w:ascii="宋体" w:hAnsi="宋体" w:eastAsia="宋体"/>
          <w:b w:val="0"/>
          <w:color w:val="000000"/>
          <w:sz w:val="24"/>
        </w:rPr>
        <w:t>处方点评系统建于201</w:t>
      </w:r>
      <w:r>
        <w:rPr>
          <w:rFonts w:hint="eastAsia"/>
          <w:b w:val="0"/>
          <w:color w:val="000000"/>
          <w:sz w:val="24"/>
          <w:lang w:val="en-US" w:eastAsia="zh-CN"/>
        </w:rPr>
        <w:t>6</w:t>
      </w:r>
      <w:r>
        <w:rPr>
          <w:rFonts w:hint="eastAsia" w:ascii="宋体" w:hAnsi="宋体" w:eastAsia="宋体"/>
          <w:b w:val="0"/>
          <w:color w:val="000000"/>
          <w:sz w:val="24"/>
        </w:rPr>
        <w:t>年、201</w:t>
      </w:r>
      <w:r>
        <w:rPr>
          <w:rFonts w:hint="eastAsia"/>
          <w:b w:val="0"/>
          <w:color w:val="000000"/>
          <w:sz w:val="24"/>
          <w:lang w:val="en-US" w:eastAsia="zh-CN"/>
        </w:rPr>
        <w:t>5</w:t>
      </w:r>
      <w:r>
        <w:rPr>
          <w:rFonts w:hint="eastAsia" w:ascii="宋体" w:hAnsi="宋体" w:eastAsia="宋体"/>
          <w:b w:val="0"/>
          <w:color w:val="000000"/>
          <w:sz w:val="24"/>
        </w:rPr>
        <w:t>年，技术架构陈旧，已难以适应</w:t>
      </w:r>
      <w:r>
        <w:rPr>
          <w:rFonts w:hint="eastAsia"/>
          <w:b w:val="0"/>
          <w:color w:val="000000"/>
          <w:sz w:val="24"/>
          <w:lang w:eastAsia="zh-CN"/>
        </w:rPr>
        <w:t>XC</w:t>
      </w:r>
      <w:r>
        <w:rPr>
          <w:rFonts w:hint="eastAsia" w:ascii="宋体" w:hAnsi="宋体" w:eastAsia="宋体"/>
          <w:b w:val="0"/>
          <w:color w:val="000000"/>
          <w:sz w:val="24"/>
        </w:rPr>
        <w:t>环境要求,存在信息安全风险，亟须通过国产化技术路径重构系统底座，筑牢区域医疗信息安全防线。同时，结合市级工作要求，承接市级回落的本区卫生数据，</w:t>
      </w:r>
      <w:r>
        <w:rPr>
          <w:rFonts w:hint="eastAsia"/>
          <w:b w:val="0"/>
          <w:color w:val="000000"/>
          <w:sz w:val="24"/>
          <w:lang w:val="en-US" w:eastAsia="zh-CN"/>
        </w:rPr>
        <w:t>并</w:t>
      </w:r>
      <w:r>
        <w:rPr>
          <w:rFonts w:hint="eastAsia" w:ascii="宋体" w:hAnsi="宋体" w:eastAsia="宋体"/>
          <w:b w:val="0"/>
          <w:color w:val="000000"/>
          <w:sz w:val="24"/>
        </w:rPr>
        <w:t>支撑社区云HIS系统医防融合应用，</w:t>
      </w:r>
      <w:r>
        <w:rPr>
          <w:rFonts w:hint="eastAsia"/>
          <w:b w:val="0"/>
          <w:color w:val="000000"/>
          <w:sz w:val="24"/>
          <w:lang w:val="en-US" w:eastAsia="zh-CN"/>
        </w:rPr>
        <w:t>以及</w:t>
      </w:r>
      <w:r>
        <w:rPr>
          <w:rFonts w:hint="eastAsia" w:ascii="宋体" w:hAnsi="宋体" w:eastAsia="宋体"/>
          <w:b w:val="0"/>
          <w:color w:val="000000"/>
          <w:sz w:val="24"/>
        </w:rPr>
        <w:t>对本区数据进行质控。</w:t>
      </w:r>
    </w:p>
    <w:p>
      <w:pPr>
        <w:spacing w:line="360" w:lineRule="auto"/>
        <w:outlineLvl w:val="0"/>
      </w:pPr>
      <w:r>
        <w:rPr>
          <w:rFonts w:ascii="黑体" w:hAnsi="黑体" w:eastAsia="黑体"/>
          <w:b/>
          <w:color w:val="000000"/>
          <w:sz w:val="30"/>
        </w:rPr>
        <w:t>三、建设目标</w:t>
      </w:r>
    </w:p>
    <w:p>
      <w:pPr>
        <w:spacing w:line="360" w:lineRule="auto"/>
        <w:rPr>
          <w:rFonts w:ascii="宋体" w:hAnsi="宋体" w:eastAsia="宋体"/>
          <w:b w:val="0"/>
          <w:color w:val="000000"/>
          <w:sz w:val="24"/>
        </w:rPr>
      </w:pPr>
      <w:r>
        <w:rPr>
          <w:rFonts w:hint="eastAsia" w:ascii="宋体" w:hAnsi="宋体" w:eastAsia="宋体"/>
          <w:b w:val="0"/>
          <w:color w:val="000000"/>
          <w:sz w:val="24"/>
        </w:rPr>
        <w:t>3.1 总体目标。</w:t>
      </w:r>
      <w:r>
        <w:rPr>
          <w:rFonts w:ascii="宋体" w:hAnsi="宋体" w:eastAsia="宋体"/>
          <w:b w:val="0"/>
          <w:color w:val="000000"/>
          <w:sz w:val="24"/>
        </w:rPr>
        <w:t>以智慧医疗建设为蓝图，以深化</w:t>
      </w:r>
      <w:r>
        <w:rPr>
          <w:rFonts w:hint="eastAsia"/>
          <w:b w:val="0"/>
          <w:color w:val="000000"/>
          <w:sz w:val="24"/>
          <w:lang w:eastAsia="zh-CN"/>
        </w:rPr>
        <w:t>XC</w:t>
      </w:r>
      <w:r>
        <w:rPr>
          <w:rFonts w:ascii="宋体" w:hAnsi="宋体" w:eastAsia="宋体"/>
          <w:b w:val="0"/>
          <w:color w:val="000000"/>
          <w:sz w:val="24"/>
        </w:rPr>
        <w:t>工作为引领、国密应用为支撑，聚焦公共卫生核心系统与区卫生健康核心系统应用，推动业务应用系统向</w:t>
      </w:r>
      <w:r>
        <w:rPr>
          <w:rFonts w:hint="eastAsia"/>
          <w:b w:val="0"/>
          <w:color w:val="000000"/>
          <w:sz w:val="24"/>
          <w:lang w:eastAsia="zh-CN"/>
        </w:rPr>
        <w:t>XC</w:t>
      </w:r>
      <w:r>
        <w:rPr>
          <w:rFonts w:ascii="宋体" w:hAnsi="宋体" w:eastAsia="宋体"/>
          <w:b w:val="0"/>
          <w:color w:val="000000"/>
          <w:sz w:val="24"/>
        </w:rPr>
        <w:t>基础软硬件环境及应用支撑软件迁移适配，在保障应用成效的同时严控替代成本，最终通过国产化技术路径重构系统底座，筑牢长宁区医疗信息安全防线；实现市级数据安全、完整、及时回落与利用，建成区级医疗数据质量监测与</w:t>
      </w:r>
      <w:r>
        <w:rPr>
          <w:rFonts w:hint="eastAsia" w:ascii="宋体" w:hAnsi="宋体" w:eastAsia="宋体"/>
          <w:b w:val="0"/>
          <w:color w:val="000000"/>
          <w:sz w:val="24"/>
        </w:rPr>
        <w:t>社区云HIS与市级系统协同</w:t>
      </w:r>
      <w:r>
        <w:rPr>
          <w:rFonts w:ascii="宋体" w:hAnsi="宋体" w:eastAsia="宋体"/>
          <w:b w:val="0"/>
          <w:color w:val="000000"/>
          <w:sz w:val="24"/>
        </w:rPr>
        <w:t>能力，全面支撑区域卫生健康事业高质量发展。</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3.2 分项目标。</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自主可控：核心业务系统及支撑环境实现服务器CPU、操作系统、数据库、中间件、安全设备等关键软硬件100%</w:t>
      </w:r>
      <w:r>
        <w:rPr>
          <w:rFonts w:hint="eastAsia"/>
          <w:b w:val="0"/>
          <w:color w:val="000000"/>
          <w:sz w:val="24"/>
          <w:lang w:val="en-US" w:eastAsia="zh-CN"/>
        </w:rPr>
        <w:t>XC</w:t>
      </w:r>
      <w:r>
        <w:rPr>
          <w:rFonts w:hint="eastAsia" w:ascii="宋体" w:hAnsi="宋体" w:eastAsia="宋体"/>
          <w:b w:val="0"/>
          <w:color w:val="000000"/>
          <w:sz w:val="24"/>
        </w:rPr>
        <w:t>替代</w:t>
      </w:r>
      <w:r>
        <w:rPr>
          <w:rFonts w:hint="eastAsia"/>
          <w:b w:val="0"/>
          <w:color w:val="000000"/>
          <w:sz w:val="24"/>
          <w:lang w:eastAsia="zh-CN"/>
        </w:rPr>
        <w:t>。</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业务连续：迁移与改造过程中保障区域卫生业务不中断或中断窗口最小化，数据完整、一致、可追溯，平稳过渡至</w:t>
      </w:r>
      <w:r>
        <w:rPr>
          <w:rFonts w:hint="eastAsia"/>
          <w:b w:val="0"/>
          <w:color w:val="000000"/>
          <w:sz w:val="24"/>
          <w:lang w:eastAsia="zh-CN"/>
        </w:rPr>
        <w:t>XC</w:t>
      </w:r>
      <w:r>
        <w:rPr>
          <w:rFonts w:hint="eastAsia" w:ascii="宋体" w:hAnsi="宋体" w:eastAsia="宋体"/>
          <w:b w:val="0"/>
          <w:color w:val="000000"/>
          <w:sz w:val="24"/>
        </w:rPr>
        <w:t>环境。</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数据贯通：建立市级数据向区级平台安全、完整、及时的回落机制，支撑市、区两级卫生数据共享与业务协同。</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能力升级：新建业务协同平台、处方点评系统；以社区云HIS为核心打通市级五大系统市区协同；新建区级医疗数据质量监测能力，整体提升区域卫生信息化服务水平与处方监管、质量管理能力。</w:t>
      </w:r>
    </w:p>
    <w:p>
      <w:pPr>
        <w:spacing w:line="360" w:lineRule="auto"/>
        <w:rPr>
          <w:rFonts w:ascii="宋体" w:hAnsi="宋体" w:eastAsia="宋体"/>
          <w:b w:val="0"/>
          <w:color w:val="000000"/>
          <w:sz w:val="24"/>
        </w:rPr>
      </w:pPr>
      <w:r>
        <w:rPr>
          <w:rFonts w:hint="eastAsia" w:ascii="宋体" w:hAnsi="宋体" w:eastAsia="宋体"/>
          <w:b w:val="0"/>
          <w:color w:val="000000"/>
          <w:sz w:val="24"/>
        </w:rPr>
        <w:t>安全合规：项目竣工前通过网络安全等级保护第三级测评与商用密码应用安全性评估（密评）。</w:t>
      </w:r>
    </w:p>
    <w:p>
      <w:pPr>
        <w:numPr>
          <w:ilvl w:val="0"/>
          <w:numId w:val="7"/>
        </w:numPr>
        <w:spacing w:line="360" w:lineRule="auto"/>
        <w:outlineLvl w:val="0"/>
        <w:rPr>
          <w:rFonts w:ascii="黑体" w:hAnsi="黑体" w:eastAsia="黑体"/>
          <w:b/>
          <w:color w:val="000000"/>
          <w:sz w:val="30"/>
        </w:rPr>
      </w:pPr>
      <w:r>
        <w:rPr>
          <w:rFonts w:ascii="黑体" w:hAnsi="黑体" w:eastAsia="黑体"/>
          <w:b/>
          <w:color w:val="000000"/>
          <w:sz w:val="30"/>
        </w:rPr>
        <w:t>建设内容</w:t>
      </w:r>
    </w:p>
    <w:p>
      <w:pPr>
        <w:spacing w:line="360" w:lineRule="auto"/>
        <w:ind w:firstLine="0" w:firstLineChars="0"/>
        <w:rPr>
          <w:rFonts w:hint="eastAsia" w:cstheme="minorBidi"/>
          <w:b w:val="0"/>
          <w:color w:val="000000"/>
          <w:kern w:val="0"/>
          <w:sz w:val="24"/>
          <w:szCs w:val="22"/>
          <w:lang w:val="en-US" w:eastAsia="zh-CN" w:bidi="ar-SA"/>
        </w:rPr>
      </w:pPr>
      <w:r>
        <w:rPr>
          <w:rFonts w:hint="eastAsia" w:cstheme="minorBidi"/>
          <w:b w:val="0"/>
          <w:color w:val="000000"/>
          <w:kern w:val="0"/>
          <w:sz w:val="24"/>
          <w:szCs w:val="22"/>
          <w:lang w:val="en-US" w:eastAsia="zh-CN" w:bidi="ar-SA"/>
        </w:rPr>
        <w:t>本项目以区域卫生核心系统XC升级改造为主线，对长宁区仍在使用的信息系统进行国产化改造和升级，建设内容由区域卫生核心系统XC改造、市级数据回落配套、区域卫生核心系统升级改造、社区云HIS与市级系统协同、医疗数据质量监测五个部分构成。通过本项目的建设，11个核心系统完成XC替代，业务协同平台和处方点评系统建成投用，市级数据回落贯通，区级数据资产完整性得到保障，社区云HIS与市级五大系统协同增强，区级医疗数据质量监测常态化，项目竣工前通过等保三级测评和密评，全面筑牢区域医疗信息安全防线，支撑区域卫生健康事业高质量发展。</w:t>
      </w:r>
    </w:p>
    <w:p>
      <w:pPr>
        <w:spacing w:line="360" w:lineRule="auto"/>
        <w:rPr>
          <w:rFonts w:hint="default"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4.</w:t>
      </w:r>
      <w:r>
        <w:rPr>
          <w:rFonts w:hint="eastAsia" w:cstheme="minorBidi"/>
          <w:b w:val="0"/>
          <w:color w:val="000000"/>
          <w:kern w:val="0"/>
          <w:sz w:val="24"/>
          <w:szCs w:val="22"/>
          <w:lang w:val="en-US" w:eastAsia="zh-CN" w:bidi="ar-SA"/>
        </w:rPr>
        <w:t>1</w:t>
      </w:r>
      <w:r>
        <w:rPr>
          <w:rFonts w:hint="eastAsia" w:ascii="宋体" w:hAnsi="宋体" w:eastAsia="宋体" w:cstheme="minorBidi"/>
          <w:b w:val="0"/>
          <w:color w:val="000000"/>
          <w:kern w:val="0"/>
          <w:sz w:val="24"/>
          <w:szCs w:val="22"/>
          <w:lang w:val="en-US" w:eastAsia="zh-CN" w:bidi="ar-SA"/>
        </w:rPr>
        <w:t>区域卫生核心系统</w:t>
      </w:r>
      <w:r>
        <w:rPr>
          <w:rFonts w:hint="eastAsia" w:cstheme="minorBidi"/>
          <w:b w:val="0"/>
          <w:color w:val="000000"/>
          <w:kern w:val="0"/>
          <w:sz w:val="24"/>
          <w:szCs w:val="22"/>
          <w:lang w:val="en-US" w:eastAsia="zh-CN" w:bidi="ar-SA"/>
        </w:rPr>
        <w:t>XC</w:t>
      </w:r>
      <w:r>
        <w:rPr>
          <w:rFonts w:hint="eastAsia" w:ascii="宋体" w:hAnsi="宋体" w:eastAsia="宋体" w:cstheme="minorBidi"/>
          <w:b w:val="0"/>
          <w:color w:val="000000"/>
          <w:kern w:val="0"/>
          <w:sz w:val="24"/>
          <w:szCs w:val="22"/>
          <w:lang w:val="en-US" w:eastAsia="zh-CN" w:bidi="ar-SA"/>
        </w:rPr>
        <w:t>改造：包含康复管理系统、中医管理系统、老年人保健管理系统、健康教育管理系统、传染病数据登记子系统、老年人体检子系统、伤害报告管理系统、“便捷就医服务”电子出院小结推送、区域医疗信息互联互通互认子系统、预约转诊系统（四医联动转诊和区级号源管理）、处方延伸系统，共11个系统的</w:t>
      </w:r>
      <w:r>
        <w:rPr>
          <w:rFonts w:hint="eastAsia" w:cstheme="minorBidi"/>
          <w:b w:val="0"/>
          <w:color w:val="000000"/>
          <w:kern w:val="0"/>
          <w:sz w:val="24"/>
          <w:szCs w:val="22"/>
          <w:lang w:val="en-US" w:eastAsia="zh-CN" w:bidi="ar-SA"/>
        </w:rPr>
        <w:t>XC</w:t>
      </w:r>
      <w:r>
        <w:rPr>
          <w:rFonts w:hint="eastAsia" w:ascii="宋体" w:hAnsi="宋体" w:eastAsia="宋体" w:cstheme="minorBidi"/>
          <w:b w:val="0"/>
          <w:color w:val="000000"/>
          <w:kern w:val="0"/>
          <w:sz w:val="24"/>
          <w:szCs w:val="22"/>
          <w:lang w:val="en-US" w:eastAsia="zh-CN" w:bidi="ar-SA"/>
        </w:rPr>
        <w:t>改造。各系统在保持原有业务功能的前提下，完成国产CPU、操作系统、数据库、中间件等基础软硬件适配改造，并同步完成密码应用功能模块开发。</w:t>
      </w:r>
      <w:r>
        <w:rPr>
          <w:rFonts w:hint="eastAsia" w:cstheme="minorBidi"/>
          <w:b w:val="0"/>
          <w:color w:val="000000"/>
          <w:kern w:val="0"/>
          <w:sz w:val="24"/>
          <w:szCs w:val="22"/>
          <w:lang w:val="en-US" w:eastAsia="zh-CN" w:bidi="ar-SA"/>
        </w:rPr>
        <w:t>主要建设内容包括：</w:t>
      </w:r>
    </w:p>
    <w:p>
      <w:pPr>
        <w:numPr>
          <w:ilvl w:val="0"/>
          <w:numId w:val="8"/>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康复管理系统</w:t>
      </w:r>
      <w:r>
        <w:rPr>
          <w:rFonts w:hint="eastAsia" w:cstheme="minorBidi"/>
          <w:b w:val="0"/>
          <w:color w:val="000000"/>
          <w:kern w:val="0"/>
          <w:sz w:val="24"/>
          <w:szCs w:val="22"/>
          <w:lang w:val="en-US" w:eastAsia="zh-CN" w:bidi="ar-SA"/>
        </w:rPr>
        <w:t>：</w:t>
      </w:r>
      <w:r>
        <w:rPr>
          <w:rFonts w:hint="eastAsia" w:ascii="宋体" w:hAnsi="宋体" w:eastAsia="宋体" w:cstheme="minorBidi"/>
          <w:b w:val="0"/>
          <w:color w:val="000000"/>
          <w:kern w:val="0"/>
          <w:sz w:val="24"/>
          <w:szCs w:val="22"/>
          <w:lang w:val="en-US" w:eastAsia="zh-CN" w:bidi="ar-SA"/>
        </w:rPr>
        <w:t>用于康复医学专科的评估及治疗信息化管理，规范诊断、评估、治疗等环节。主要实现康复病历、康复评定、康复计划、康复治疗、康复指导、业务协同等功能，并与居民电子健康档案及区内10家社区卫生服务中心HIS系统对接。</w:t>
      </w:r>
    </w:p>
    <w:p>
      <w:pPr>
        <w:numPr>
          <w:ilvl w:val="0"/>
          <w:numId w:val="8"/>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中医管理系统</w:t>
      </w:r>
      <w:r>
        <w:rPr>
          <w:rFonts w:hint="eastAsia" w:cstheme="minorBidi"/>
          <w:b w:val="0"/>
          <w:color w:val="000000"/>
          <w:kern w:val="0"/>
          <w:sz w:val="24"/>
          <w:szCs w:val="22"/>
          <w:lang w:val="en-US" w:eastAsia="zh-CN" w:bidi="ar-SA"/>
        </w:rPr>
        <w:t>：</w:t>
      </w:r>
      <w:r>
        <w:rPr>
          <w:rFonts w:hint="eastAsia" w:ascii="宋体" w:hAnsi="宋体" w:eastAsia="宋体" w:cstheme="minorBidi"/>
          <w:b w:val="0"/>
          <w:color w:val="000000"/>
          <w:kern w:val="0"/>
          <w:sz w:val="24"/>
          <w:szCs w:val="22"/>
          <w:lang w:val="en-US" w:eastAsia="zh-CN" w:bidi="ar-SA"/>
        </w:rPr>
        <w:t>用于社区中医管理服务，实现中医建档、中医宣教、中医体质辨识、查询统计等功能，覆盖0—6岁儿童、孕产妇、老年人、高血压、糖尿病等重点人群。与儿童保健、孕产妇保健、老年人保健、健康档案及疾控高血压、糖尿病管理等系统协同，实现中西医并轨式健康管理。</w:t>
      </w:r>
    </w:p>
    <w:p>
      <w:pPr>
        <w:numPr>
          <w:ilvl w:val="0"/>
          <w:numId w:val="8"/>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老年人保健管理系统</w:t>
      </w:r>
      <w:r>
        <w:rPr>
          <w:rFonts w:hint="eastAsia" w:cstheme="minorBidi"/>
          <w:b w:val="0"/>
          <w:color w:val="000000"/>
          <w:kern w:val="0"/>
          <w:sz w:val="24"/>
          <w:szCs w:val="22"/>
          <w:lang w:val="en-US" w:eastAsia="zh-CN" w:bidi="ar-SA"/>
        </w:rPr>
        <w:t>:</w:t>
      </w:r>
      <w:r>
        <w:rPr>
          <w:rFonts w:hint="eastAsia" w:ascii="宋体" w:hAnsi="宋体" w:eastAsia="宋体" w:cstheme="minorBidi"/>
          <w:b w:val="0"/>
          <w:color w:val="000000"/>
          <w:kern w:val="0"/>
          <w:sz w:val="24"/>
          <w:szCs w:val="22"/>
          <w:lang w:val="en-US" w:eastAsia="zh-CN" w:bidi="ar-SA"/>
        </w:rPr>
        <w:t>为辖区内65岁以上老年人提供健康管理服务，主要包括生活方式和健康状况评估、体格检查、辅助检查和健康指导。主要实现老年人健康档案管理、专项档案、体检管理、随访管理、统计分析等功能，与健康档案、健康体检等系统业务协同及数据交换共享。</w:t>
      </w:r>
    </w:p>
    <w:p>
      <w:pPr>
        <w:numPr>
          <w:ilvl w:val="0"/>
          <w:numId w:val="8"/>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健康教育管理系统</w:t>
      </w:r>
      <w:r>
        <w:rPr>
          <w:rFonts w:hint="eastAsia" w:cstheme="minorBidi"/>
          <w:b w:val="0"/>
          <w:color w:val="000000"/>
          <w:kern w:val="0"/>
          <w:sz w:val="24"/>
          <w:szCs w:val="22"/>
          <w:lang w:val="en-US" w:eastAsia="zh-CN" w:bidi="ar-SA"/>
        </w:rPr>
        <w:t>:</w:t>
      </w:r>
      <w:r>
        <w:rPr>
          <w:rFonts w:hint="eastAsia" w:ascii="宋体" w:hAnsi="宋体" w:eastAsia="宋体" w:cstheme="minorBidi"/>
          <w:b w:val="0"/>
          <w:color w:val="000000"/>
          <w:kern w:val="0"/>
          <w:sz w:val="24"/>
          <w:szCs w:val="22"/>
          <w:lang w:val="en-US" w:eastAsia="zh-CN" w:bidi="ar-SA"/>
        </w:rPr>
        <w:t>用于基层健康教育信息记录和管理，实现健教资料管理、健教计划管理、个人健康教育、健教活动管理、健教处方维护、健康教育监测、统计分析等功能，利用健康教育知识库为社区各种管理服务提供健康教育处方。</w:t>
      </w:r>
    </w:p>
    <w:p>
      <w:pPr>
        <w:numPr>
          <w:ilvl w:val="0"/>
          <w:numId w:val="8"/>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传染病数据登记子系统</w:t>
      </w:r>
      <w:r>
        <w:rPr>
          <w:rFonts w:hint="eastAsia" w:cstheme="minorBidi"/>
          <w:b w:val="0"/>
          <w:color w:val="000000"/>
          <w:kern w:val="0"/>
          <w:sz w:val="24"/>
          <w:szCs w:val="22"/>
          <w:lang w:val="en-US" w:eastAsia="zh-CN" w:bidi="ar-SA"/>
        </w:rPr>
        <w:t>:</w:t>
      </w:r>
      <w:r>
        <w:rPr>
          <w:rFonts w:hint="eastAsia" w:ascii="宋体" w:hAnsi="宋体" w:eastAsia="宋体" w:cstheme="minorBidi"/>
          <w:b w:val="0"/>
          <w:color w:val="000000"/>
          <w:kern w:val="0"/>
          <w:sz w:val="24"/>
          <w:szCs w:val="22"/>
          <w:lang w:val="en-US" w:eastAsia="zh-CN" w:bidi="ar-SA"/>
        </w:rPr>
        <w:t>用于传染病综合监测登记，通过智能插件与医生工作站对接，自动判断监测对象并提醒登记。主要实现症候群监测登记、实验室信息管理、查询统计、相关管理、打印管理、外部接口等功能，与市级传染病综合监测预警平台、区传染病直报系统数据交互。</w:t>
      </w:r>
    </w:p>
    <w:p>
      <w:pPr>
        <w:numPr>
          <w:ilvl w:val="0"/>
          <w:numId w:val="8"/>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老年人体检子系统</w:t>
      </w:r>
      <w:r>
        <w:rPr>
          <w:rFonts w:hint="eastAsia" w:cstheme="minorBidi"/>
          <w:b w:val="0"/>
          <w:color w:val="000000"/>
          <w:kern w:val="0"/>
          <w:sz w:val="24"/>
          <w:szCs w:val="22"/>
          <w:lang w:val="en-US" w:eastAsia="zh-CN" w:bidi="ar-SA"/>
        </w:rPr>
        <w:t>:</w:t>
      </w:r>
      <w:r>
        <w:rPr>
          <w:rFonts w:hint="eastAsia" w:ascii="宋体" w:hAnsi="宋体" w:eastAsia="宋体" w:cstheme="minorBidi"/>
          <w:b w:val="0"/>
          <w:color w:val="000000"/>
          <w:kern w:val="0"/>
          <w:sz w:val="24"/>
          <w:szCs w:val="22"/>
          <w:lang w:val="en-US" w:eastAsia="zh-CN" w:bidi="ar-SA"/>
        </w:rPr>
        <w:t>用于老年人体检业务管理，实现体检登记、体检录入、医生体检、医生总检、报告查询、系统设置、查询统计、打印样式设置、结核病筛查等功能，确保老年人体检业务连续开展，体检数据完整、准确、可追溯。</w:t>
      </w:r>
    </w:p>
    <w:p>
      <w:pPr>
        <w:numPr>
          <w:ilvl w:val="0"/>
          <w:numId w:val="8"/>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伤害报告管理系统</w:t>
      </w:r>
      <w:r>
        <w:rPr>
          <w:rFonts w:hint="eastAsia" w:cstheme="minorBidi"/>
          <w:b w:val="0"/>
          <w:color w:val="000000"/>
          <w:kern w:val="0"/>
          <w:sz w:val="24"/>
          <w:szCs w:val="22"/>
          <w:lang w:val="en-US" w:eastAsia="zh-CN" w:bidi="ar-SA"/>
        </w:rPr>
        <w:t>:</w:t>
      </w:r>
      <w:r>
        <w:rPr>
          <w:rFonts w:hint="eastAsia" w:ascii="宋体" w:hAnsi="宋体" w:eastAsia="宋体" w:cstheme="minorBidi"/>
          <w:b w:val="0"/>
          <w:color w:val="000000"/>
          <w:kern w:val="0"/>
          <w:sz w:val="24"/>
          <w:szCs w:val="22"/>
          <w:lang w:val="en-US" w:eastAsia="zh-CN" w:bidi="ar-SA"/>
        </w:rPr>
        <w:t>用于区县疾控中心、区级监测医院和社区卫生服务中心的伤害监测业务，实现伤害监测质控、伤害病例信息登记、报告查重剔重、审核完善、个案漏报管理、统计分析、权限管理等功能，支持伤害监测数据的规范采集和上报。</w:t>
      </w:r>
    </w:p>
    <w:p>
      <w:pPr>
        <w:numPr>
          <w:ilvl w:val="0"/>
          <w:numId w:val="8"/>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“便捷就医服务”电子出院小结推送</w:t>
      </w:r>
      <w:r>
        <w:rPr>
          <w:rFonts w:hint="eastAsia" w:cstheme="minorBidi"/>
          <w:b w:val="0"/>
          <w:color w:val="000000"/>
          <w:kern w:val="0"/>
          <w:sz w:val="24"/>
          <w:szCs w:val="22"/>
          <w:lang w:val="en-US" w:eastAsia="zh-CN" w:bidi="ar-SA"/>
        </w:rPr>
        <w:t>:</w:t>
      </w:r>
      <w:r>
        <w:rPr>
          <w:rFonts w:hint="eastAsia" w:ascii="宋体" w:hAnsi="宋体" w:eastAsia="宋体" w:cstheme="minorBidi"/>
          <w:b w:val="0"/>
          <w:color w:val="000000"/>
          <w:kern w:val="0"/>
          <w:sz w:val="24"/>
          <w:szCs w:val="22"/>
          <w:lang w:val="en-US" w:eastAsia="zh-CN" w:bidi="ar-SA"/>
        </w:rPr>
        <w:t>通过标准接口采集区属医疗机构电子出院小结，完成当日电子出院小结信息归集。主要实现区级采集服务、区级报送服务、上传查询分析、后台服务管理、电子出院小结患者端查询等功能，确保电子出院小结安全、准确、及时推送。</w:t>
      </w:r>
    </w:p>
    <w:p>
      <w:pPr>
        <w:numPr>
          <w:ilvl w:val="0"/>
          <w:numId w:val="8"/>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区域医疗信息互联互通互认子系统</w:t>
      </w:r>
      <w:r>
        <w:rPr>
          <w:rFonts w:hint="eastAsia" w:cstheme="minorBidi"/>
          <w:b w:val="0"/>
          <w:color w:val="000000"/>
          <w:kern w:val="0"/>
          <w:sz w:val="24"/>
          <w:szCs w:val="22"/>
          <w:lang w:val="en-US" w:eastAsia="zh-CN" w:bidi="ar-SA"/>
        </w:rPr>
        <w:t>:</w:t>
      </w:r>
      <w:r>
        <w:rPr>
          <w:rFonts w:hint="eastAsia" w:ascii="宋体" w:hAnsi="宋体" w:eastAsia="宋体" w:cstheme="minorBidi"/>
          <w:b w:val="0"/>
          <w:color w:val="000000"/>
          <w:kern w:val="0"/>
          <w:sz w:val="24"/>
          <w:szCs w:val="22"/>
          <w:lang w:val="en-US" w:eastAsia="zh-CN" w:bidi="ar-SA"/>
        </w:rPr>
        <w:t>针对9类医学影像检查资料和31项医学检验结果实现合理互认，主要实现合理互认服务、互认统计分析、后台支撑服务等功能，支持互认提醒、报告调阅、互认确认和不互认理由管理，提高医疗资源利用效率。</w:t>
      </w:r>
    </w:p>
    <w:p>
      <w:pPr>
        <w:numPr>
          <w:ilvl w:val="0"/>
          <w:numId w:val="8"/>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预约转诊系统（四医联动转诊和区级号源管理）</w:t>
      </w:r>
      <w:r>
        <w:rPr>
          <w:rFonts w:hint="eastAsia" w:cstheme="minorBidi"/>
          <w:b w:val="0"/>
          <w:color w:val="000000"/>
          <w:kern w:val="0"/>
          <w:sz w:val="24"/>
          <w:szCs w:val="22"/>
          <w:lang w:val="en-US" w:eastAsia="zh-CN" w:bidi="ar-SA"/>
        </w:rPr>
        <w:t>:</w:t>
      </w:r>
      <w:r>
        <w:rPr>
          <w:rFonts w:hint="eastAsia" w:ascii="宋体" w:hAnsi="宋体" w:eastAsia="宋体" w:cstheme="minorBidi"/>
          <w:b w:val="0"/>
          <w:color w:val="000000"/>
          <w:kern w:val="0"/>
          <w:sz w:val="24"/>
          <w:szCs w:val="22"/>
          <w:lang w:val="en-US" w:eastAsia="zh-CN" w:bidi="ar-SA"/>
        </w:rPr>
        <w:t>供家庭医生帮助患者进行转诊、预约等操作，二三级签约医院医生也进行反向转诊操作。主要实现转诊管理、转检管理、社区卫生服务预约管理、查询统计、履约管理、黑名单管理、提醒服务、监管分析、第三方接口管理、区级号源管理及区级医技资源管理等功能。</w:t>
      </w:r>
    </w:p>
    <w:p>
      <w:pPr>
        <w:numPr>
          <w:ilvl w:val="0"/>
          <w:numId w:val="8"/>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处方延伸系统</w:t>
      </w:r>
      <w:r>
        <w:rPr>
          <w:rFonts w:hint="eastAsia" w:cstheme="minorBidi"/>
          <w:b w:val="0"/>
          <w:color w:val="000000"/>
          <w:kern w:val="0"/>
          <w:sz w:val="24"/>
          <w:szCs w:val="22"/>
          <w:lang w:val="en-US" w:eastAsia="zh-CN" w:bidi="ar-SA"/>
        </w:rPr>
        <w:t>:</w:t>
      </w:r>
      <w:r>
        <w:rPr>
          <w:rFonts w:hint="eastAsia" w:ascii="宋体" w:hAnsi="宋体" w:eastAsia="宋体" w:cstheme="minorBidi"/>
          <w:b w:val="0"/>
          <w:color w:val="000000"/>
          <w:kern w:val="0"/>
          <w:sz w:val="24"/>
          <w:szCs w:val="22"/>
          <w:lang w:val="en-US" w:eastAsia="zh-CN" w:bidi="ar-SA"/>
        </w:rPr>
        <w:t>针对延续上级医院用药医嘱的转诊患者，由家庭医生开具与转诊疾病相对应的、风险可控、符合家庭医生处方权限、本市医保目录内的治疗性药品，并通过药企实现药品配送。主要实现诊疗及处方信息调阅、药品品种及库存信息查阅、延伸处方开具、电子处方审核、处方打印、电子订单生成、药品订单打印、配送信息查阅、药品签收、药品订单取消、数据交换等功能。</w:t>
      </w:r>
    </w:p>
    <w:p>
      <w:pPr>
        <w:numPr>
          <w:ilvl w:val="0"/>
          <w:numId w:val="8"/>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密码应用功能模块开发</w:t>
      </w:r>
      <w:r>
        <w:rPr>
          <w:rFonts w:hint="eastAsia" w:cstheme="minorBidi"/>
          <w:b w:val="0"/>
          <w:color w:val="000000"/>
          <w:kern w:val="0"/>
          <w:sz w:val="24"/>
          <w:szCs w:val="22"/>
          <w:lang w:val="en-US" w:eastAsia="zh-CN" w:bidi="ar-SA"/>
        </w:rPr>
        <w:t>:</w:t>
      </w:r>
      <w:r>
        <w:rPr>
          <w:rFonts w:hint="eastAsia" w:ascii="宋体" w:hAnsi="宋体" w:eastAsia="宋体" w:cstheme="minorBidi"/>
          <w:b w:val="0"/>
          <w:color w:val="000000"/>
          <w:kern w:val="0"/>
          <w:sz w:val="24"/>
          <w:szCs w:val="22"/>
          <w:lang w:val="en-US" w:eastAsia="zh-CN" w:bidi="ar-SA"/>
        </w:rPr>
        <w:t>在11个系统XC改造过程中同步开发密码应用功能模块，主要实现用户身份认证、业务重要数据安全传输、服务器虚拟机设备日志/访问控制信息完整性、重要可执行程序签名验签、用户访问控制信息签名验签、应用系统重要数据加解密、应用系统重要数据签名验签等密码应用功能，满足商用密码应用安全性评估要求。</w:t>
      </w:r>
    </w:p>
    <w:p>
      <w:pPr>
        <w:spacing w:line="360" w:lineRule="auto"/>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4.</w:t>
      </w:r>
      <w:r>
        <w:rPr>
          <w:rFonts w:hint="eastAsia" w:cstheme="minorBidi"/>
          <w:b w:val="0"/>
          <w:color w:val="000000"/>
          <w:kern w:val="0"/>
          <w:sz w:val="24"/>
          <w:szCs w:val="22"/>
          <w:lang w:val="en-US" w:eastAsia="zh-CN" w:bidi="ar-SA"/>
        </w:rPr>
        <w:t>2</w:t>
      </w:r>
      <w:r>
        <w:rPr>
          <w:rFonts w:hint="eastAsia" w:ascii="宋体" w:hAnsi="宋体" w:eastAsia="宋体" w:cstheme="minorBidi"/>
          <w:b w:val="0"/>
          <w:color w:val="000000"/>
          <w:kern w:val="0"/>
          <w:sz w:val="24"/>
          <w:szCs w:val="22"/>
          <w:lang w:val="en-US" w:eastAsia="zh-CN" w:bidi="ar-SA"/>
        </w:rPr>
        <w:t>市级数据回落配套：建设市级数据回落配套接口及软件，实现本区疾控、慢病、死亡、妇幼等数据从市级返还前置库的主动抽取、安全解密与本地存储，须与市级平台接口规范保持一致，保证回落数据的完整性、时效性与一致性，包含数据回落接收、解密、清洗、归集与调度监测等配套能力。主要建设内容包括：</w:t>
      </w:r>
    </w:p>
    <w:p>
      <w:pPr>
        <w:numPr>
          <w:ilvl w:val="0"/>
          <w:numId w:val="9"/>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数据抽取、调度及监测引擎：支持数据抽取及调度、数据抽取监测、备份库数据抽取。数据抽取及调度支持定时任务配置与增量抽取机制，可按日、周、月等周期同步数据。数据抽取监测通过延迟、流量、错误、饱和度等指标监控抽取异常，支持告警和任务运行日志查询。备份库数据抽取支持按需拉取历史备份数据，用于数据补传、历史数据回溯和数据校验。</w:t>
      </w:r>
    </w:p>
    <w:p>
      <w:pPr>
        <w:numPr>
          <w:ilvl w:val="0"/>
          <w:numId w:val="9"/>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疾控数据接口：包括传染病监测数据接口、结核病数据接口、应急处置数据接口、应急资源数据接口、预防接种档案信息接口、实验室病原监测数据接口、污水监测数据接口、病媒监测数据接口。具体数据表以市级实际下推为准。</w:t>
      </w:r>
    </w:p>
    <w:p>
      <w:pPr>
        <w:numPr>
          <w:ilvl w:val="0"/>
          <w:numId w:val="9"/>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慢病数据接口：包括慢病管理卡数据接口、慢病随访数据接口、既往史及家族史数据接口、高血压筛查数据接口、糖尿病筛查数据接口、慢阻肺筛查数据接口、糖尿病并发症筛查数据接口、高血压靶器官损害筛查数据接口、慢病评估管理数据接口、脑卒中高危人群筛查和干预管理数据接口、血脂检测重点人群筛查数据接口、肿瘤筛查初筛数据接口、肿瘤筛查临床筛查数据接口、肿瘤筛查国家版临床筛查数据接口。具体数据表以市级实际下推为准。</w:t>
      </w:r>
    </w:p>
    <w:p>
      <w:pPr>
        <w:numPr>
          <w:ilvl w:val="0"/>
          <w:numId w:val="9"/>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死亡数据接口：包括死亡报告卡数据接口、死亡报告卡审核数据接口、5岁以下儿童死亡数据接口、死亡记录操作履历数据接口。具体数据表以市级实际下推为准。</w:t>
      </w:r>
    </w:p>
    <w:p>
      <w:pPr>
        <w:numPr>
          <w:ilvl w:val="0"/>
          <w:numId w:val="9"/>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妇女保健数据接口：包括孕产妇保健数据接口、产前筛查与诊断接口、计划生育数据接口、婚孕前保健数据接口、妇女病筛查数据接口、妇女保健报表数据接口、更年期保健数据接口、危重孕产妇数据接口、辅助生殖数据接口。具体数据表以市级实际下推为准。</w:t>
      </w:r>
    </w:p>
    <w:p>
      <w:pPr>
        <w:numPr>
          <w:ilvl w:val="0"/>
          <w:numId w:val="9"/>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儿童保健数据接口：包括散居儿童数据接口、集体儿童数据接口、高危儿管理数据接口、新生儿保健数据接口、危重新生儿数据接口、特殊儿童管理数据接口、孤独症管理数据接口、出生缺陷管理数据接口、5岁以下儿童死亡管理数据接口、儿童报表管理数据接口、儿童早期发展数据接口、五官管理数据接口、艾梅乙管理数据接口。具体数据表以市级实际下推为准。</w:t>
      </w:r>
    </w:p>
    <w:p>
      <w:pPr>
        <w:numPr>
          <w:ilvl w:val="0"/>
          <w:numId w:val="9"/>
        </w:numPr>
        <w:spacing w:line="360" w:lineRule="auto"/>
        <w:ind w:left="425" w:hanging="425"/>
        <w:rPr>
          <w:rFonts w:hint="eastAsia" w:ascii="宋体" w:hAnsi="宋体" w:eastAsia="宋体" w:cstheme="minorBidi"/>
          <w:b w:val="0"/>
          <w:color w:val="000000"/>
          <w:kern w:val="0"/>
          <w:sz w:val="24"/>
          <w:szCs w:val="22"/>
          <w:lang w:val="en-US" w:eastAsia="zh-CN" w:bidi="ar-SA"/>
        </w:rPr>
      </w:pPr>
      <w:r>
        <w:rPr>
          <w:rFonts w:hint="eastAsia" w:ascii="宋体" w:hAnsi="宋体" w:eastAsia="宋体" w:cstheme="minorBidi"/>
          <w:b w:val="0"/>
          <w:color w:val="000000"/>
          <w:kern w:val="0"/>
          <w:sz w:val="24"/>
          <w:szCs w:val="22"/>
          <w:lang w:val="en-US" w:eastAsia="zh-CN" w:bidi="ar-SA"/>
        </w:rPr>
        <w:t>数据解密：部署数据加解密SDK，对市级返还密文库中的加密数据进行解密处理，支持国密算法，解密后数据按字段级权限进行访问控制。</w:t>
      </w:r>
    </w:p>
    <w:p>
      <w:pPr>
        <w:spacing w:line="360" w:lineRule="auto"/>
        <w:rPr>
          <w:rFonts w:hint="eastAsia" w:ascii="宋体" w:hAnsi="宋体" w:eastAsia="宋体"/>
          <w:b w:val="0"/>
          <w:color w:val="000000"/>
          <w:sz w:val="24"/>
        </w:rPr>
      </w:pPr>
      <w:r>
        <w:rPr>
          <w:rFonts w:hint="eastAsia"/>
          <w:b w:val="0"/>
          <w:color w:val="000000"/>
          <w:sz w:val="24"/>
          <w:lang w:val="en-US" w:eastAsia="zh-CN"/>
        </w:rPr>
        <w:t>4.3</w:t>
      </w:r>
      <w:r>
        <w:rPr>
          <w:rFonts w:hint="eastAsia" w:ascii="宋体" w:hAnsi="宋体" w:eastAsia="宋体"/>
          <w:b w:val="0"/>
          <w:color w:val="000000"/>
          <w:sz w:val="24"/>
        </w:rPr>
        <w:t>区域卫生核心系统升级改造：包含业务协同平台、处方点评系统，共2个系统的新建。业务协同平台承担全区医生工作站实时消息推送、协同任务分发及统一入口服务。处方点评系统实现处方数据抽取、智能点评、一般点评、专项点评、统计分析及知识规则引擎等功能。</w:t>
      </w:r>
    </w:p>
    <w:p>
      <w:pPr>
        <w:numPr>
          <w:ilvl w:val="0"/>
          <w:numId w:val="10"/>
        </w:numPr>
        <w:spacing w:line="360" w:lineRule="auto"/>
        <w:ind w:left="425" w:hanging="425"/>
        <w:rPr>
          <w:rFonts w:hint="eastAsia" w:ascii="宋体" w:hAnsi="宋体" w:eastAsia="宋体"/>
          <w:b w:val="0"/>
          <w:color w:val="000000"/>
          <w:sz w:val="24"/>
        </w:rPr>
      </w:pPr>
      <w:r>
        <w:rPr>
          <w:rFonts w:hint="eastAsia" w:ascii="宋体" w:hAnsi="宋体" w:eastAsia="宋体"/>
          <w:b w:val="0"/>
          <w:color w:val="000000"/>
          <w:sz w:val="24"/>
        </w:rPr>
        <w:t>业务协同平台</w:t>
      </w:r>
      <w:r>
        <w:rPr>
          <w:rFonts w:hint="eastAsia"/>
          <w:b w:val="0"/>
          <w:color w:val="000000"/>
          <w:sz w:val="24"/>
          <w:lang w:eastAsia="zh-CN"/>
        </w:rPr>
        <w:t>：</w:t>
      </w:r>
      <w:r>
        <w:rPr>
          <w:rFonts w:hint="eastAsia" w:ascii="宋体" w:hAnsi="宋体" w:eastAsia="宋体"/>
          <w:b w:val="0"/>
          <w:color w:val="000000"/>
          <w:sz w:val="24"/>
        </w:rPr>
        <w:t>新建业务协同平台，承担全区医生工作站实时消息推送、协同任务分发及统一入口服务。主要实现应用快捷入口、协同消息、协同任务、客户端配置管理、自动更新、自动隐藏、调阅信息展示等功能，以及基础数据管理、业务应用管理、推送管理、协同管理、审计管理、版本管理、系统管理等后台管理功能。</w:t>
      </w:r>
    </w:p>
    <w:p>
      <w:pPr>
        <w:numPr>
          <w:ilvl w:val="0"/>
          <w:numId w:val="10"/>
        </w:numPr>
        <w:spacing w:line="360" w:lineRule="auto"/>
        <w:ind w:left="425" w:hanging="425"/>
        <w:rPr>
          <w:rFonts w:hint="eastAsia" w:ascii="宋体" w:hAnsi="宋体" w:eastAsia="宋体"/>
          <w:b w:val="0"/>
          <w:color w:val="000000"/>
          <w:sz w:val="24"/>
        </w:rPr>
      </w:pPr>
      <w:r>
        <w:rPr>
          <w:rFonts w:hint="eastAsia" w:ascii="宋体" w:hAnsi="宋体" w:eastAsia="宋体"/>
          <w:b w:val="0"/>
          <w:color w:val="000000"/>
          <w:sz w:val="24"/>
        </w:rPr>
        <w:t>处方点评系统</w:t>
      </w:r>
      <w:r>
        <w:rPr>
          <w:rFonts w:hint="eastAsia"/>
          <w:b w:val="0"/>
          <w:color w:val="000000"/>
          <w:sz w:val="24"/>
          <w:lang w:eastAsia="zh-CN"/>
        </w:rPr>
        <w:t>：</w:t>
      </w:r>
      <w:r>
        <w:rPr>
          <w:rFonts w:hint="eastAsia" w:ascii="宋体" w:hAnsi="宋体" w:eastAsia="宋体"/>
          <w:b w:val="0"/>
          <w:color w:val="000000"/>
          <w:sz w:val="24"/>
        </w:rPr>
        <w:t>新建处方点评系统，通过区域卫生信息平台统一采集区属医院、社区诊疗数据，按照处方合理性、药物适应症、药物用法等规则筛选质量问题处方。主要实现数据抽取、智能点评、一般点评、专项点评、统计分析、知识规则引擎等功能，并将处方点评结果同步到区平台监管系统。</w:t>
      </w:r>
    </w:p>
    <w:p>
      <w:pPr>
        <w:spacing w:line="360" w:lineRule="auto"/>
        <w:rPr>
          <w:rFonts w:hint="eastAsia" w:ascii="宋体" w:hAnsi="宋体" w:eastAsia="宋体"/>
          <w:b w:val="0"/>
          <w:color w:val="000000"/>
          <w:sz w:val="24"/>
        </w:rPr>
      </w:pPr>
      <w:r>
        <w:rPr>
          <w:rFonts w:hint="eastAsia"/>
          <w:b w:val="0"/>
          <w:color w:val="000000"/>
          <w:sz w:val="24"/>
          <w:lang w:val="en-US" w:eastAsia="zh-CN"/>
        </w:rPr>
        <w:t>4.4</w:t>
      </w:r>
      <w:r>
        <w:rPr>
          <w:rFonts w:hint="eastAsia" w:ascii="宋体" w:hAnsi="宋体" w:eastAsia="宋体"/>
          <w:b w:val="0"/>
          <w:color w:val="000000"/>
          <w:sz w:val="24"/>
        </w:rPr>
        <w:t>社区云HIS与市级系统协同：以社区云HIS为核心入口，通过业务中台打通与市级新慢病、死亡、检查检验互认、分级诊疗、健康档案五大系统的数据链路，在诊间实现慢病报卡、随访登记、检查检验互认提醒、签约续约改签、转诊协同及健康档案调阅等业务协同。</w:t>
      </w:r>
    </w:p>
    <w:p>
      <w:pPr>
        <w:spacing w:line="360" w:lineRule="auto"/>
        <w:rPr>
          <w:rFonts w:hint="eastAsia" w:ascii="宋体" w:hAnsi="宋体" w:eastAsia="宋体"/>
          <w:b/>
          <w:bCs/>
          <w:color w:val="000000"/>
          <w:sz w:val="24"/>
        </w:rPr>
      </w:pPr>
      <w:r>
        <w:rPr>
          <w:rFonts w:hint="eastAsia"/>
          <w:b w:val="0"/>
          <w:color w:val="000000"/>
          <w:sz w:val="24"/>
          <w:lang w:val="en-US" w:eastAsia="zh-CN"/>
        </w:rPr>
        <w:t>4.5</w:t>
      </w:r>
      <w:r>
        <w:rPr>
          <w:rFonts w:hint="eastAsia" w:ascii="宋体" w:hAnsi="宋体" w:eastAsia="宋体"/>
          <w:b w:val="0"/>
          <w:color w:val="000000"/>
          <w:sz w:val="24"/>
        </w:rPr>
        <w:t>医疗数据质量监测：对回落数据开展覆盖完整性、准确性、及时性、连续性、合法性、关联性等维度的常态化质量监测与量化评估。</w:t>
      </w:r>
    </w:p>
    <w:p>
      <w:pPr>
        <w:spacing w:line="360" w:lineRule="auto"/>
        <w:rPr>
          <w:rFonts w:hint="eastAsia" w:ascii="宋体" w:hAnsi="宋体" w:eastAsia="宋体"/>
          <w:b w:val="0"/>
          <w:color w:val="000000"/>
          <w:sz w:val="24"/>
        </w:rPr>
      </w:pPr>
      <w:r>
        <w:rPr>
          <w:rFonts w:hint="eastAsia"/>
          <w:b w:val="0"/>
          <w:color w:val="000000"/>
          <w:sz w:val="24"/>
          <w:lang w:val="en-US" w:eastAsia="zh-CN"/>
        </w:rPr>
        <w:t>4.6</w:t>
      </w:r>
      <w:r>
        <w:rPr>
          <w:rFonts w:hint="eastAsia" w:ascii="宋体" w:hAnsi="宋体" w:eastAsia="宋体"/>
          <w:b w:val="0"/>
          <w:color w:val="000000"/>
          <w:sz w:val="24"/>
        </w:rPr>
        <w:t>本次招标的建设内容</w:t>
      </w:r>
      <w:r>
        <w:rPr>
          <w:rFonts w:hint="eastAsia"/>
          <w:b w:val="0"/>
          <w:color w:val="000000"/>
          <w:sz w:val="24"/>
          <w:lang w:val="en-US" w:eastAsia="zh-CN"/>
        </w:rPr>
        <w:t>为</w:t>
      </w:r>
      <w:r>
        <w:rPr>
          <w:rFonts w:hint="eastAsia" w:ascii="宋体" w:hAnsi="宋体" w:eastAsia="宋体"/>
          <w:b w:val="0"/>
          <w:color w:val="000000"/>
          <w:sz w:val="24"/>
        </w:rPr>
        <w:t>软件开发。具体模块如下：</w:t>
      </w:r>
    </w:p>
    <w:tbl>
      <w:tblPr>
        <w:tblStyle w:val="3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5"/>
        <w:gridCol w:w="2951"/>
        <w:gridCol w:w="52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90"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b/>
                <w:bCs/>
                <w:i w:val="0"/>
                <w:iCs w:val="0"/>
                <w:color w:val="000000"/>
                <w:kern w:val="2"/>
                <w:sz w:val="24"/>
                <w:szCs w:val="24"/>
                <w:u w:val="none"/>
                <w:lang w:eastAsia="zh-CN"/>
              </w:rPr>
            </w:pPr>
            <w:r>
              <w:rPr>
                <w:rFonts w:hint="eastAsia" w:ascii="宋体" w:hAnsi="宋体" w:eastAsia="宋体" w:cs="宋体"/>
                <w:b/>
                <w:bCs/>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b/>
                <w:bCs/>
                <w:i w:val="0"/>
                <w:iCs w:val="0"/>
                <w:color w:val="000000"/>
                <w:kern w:val="2"/>
                <w:sz w:val="24"/>
                <w:szCs w:val="24"/>
                <w:u w:val="none"/>
                <w:lang w:eastAsia="zh-CN"/>
              </w:rPr>
            </w:pPr>
            <w:r>
              <w:rPr>
                <w:rFonts w:hint="eastAsia" w:ascii="宋体" w:hAnsi="宋体" w:eastAsia="宋体" w:cs="宋体"/>
                <w:b/>
                <w:bCs/>
                <w:i w:val="0"/>
                <w:iCs w:val="0"/>
                <w:color w:val="000000"/>
                <w:kern w:val="0"/>
                <w:sz w:val="24"/>
                <w:szCs w:val="24"/>
                <w:u w:val="none"/>
                <w:lang w:val="en-US" w:eastAsia="zh-CN" w:bidi="ar"/>
              </w:rPr>
              <w:t>分类</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b/>
                <w:bCs/>
                <w:i w:val="0"/>
                <w:iCs w:val="0"/>
                <w:color w:val="000000"/>
                <w:kern w:val="2"/>
                <w:sz w:val="24"/>
                <w:szCs w:val="24"/>
                <w:u w:val="none"/>
                <w:lang w:eastAsia="zh-CN"/>
              </w:rPr>
            </w:pPr>
            <w:r>
              <w:rPr>
                <w:rFonts w:hint="eastAsia" w:ascii="宋体" w:hAnsi="宋体" w:eastAsia="宋体" w:cs="宋体"/>
                <w:b/>
                <w:bCs/>
                <w:i w:val="0"/>
                <w:iCs w:val="0"/>
                <w:color w:val="000000"/>
                <w:kern w:val="0"/>
                <w:sz w:val="24"/>
                <w:szCs w:val="24"/>
                <w:u w:val="none"/>
                <w:lang w:val="en-US" w:eastAsia="zh-CN" w:bidi="ar"/>
              </w:rPr>
              <w:t>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区域卫生核心系统</w:t>
            </w:r>
            <w:r>
              <w:rPr>
                <w:rFonts w:hint="eastAsia" w:cs="宋体"/>
                <w:i w:val="0"/>
                <w:iCs w:val="0"/>
                <w:color w:val="000000"/>
                <w:kern w:val="0"/>
                <w:sz w:val="24"/>
                <w:szCs w:val="24"/>
                <w:u w:val="none"/>
                <w:lang w:val="en-US" w:eastAsia="zh-CN" w:bidi="ar"/>
              </w:rPr>
              <w:t>XC</w:t>
            </w:r>
            <w:r>
              <w:rPr>
                <w:rFonts w:hint="eastAsia" w:ascii="宋体" w:hAnsi="宋体" w:eastAsia="宋体" w:cs="宋体"/>
                <w:i w:val="0"/>
                <w:iCs w:val="0"/>
                <w:color w:val="000000"/>
                <w:kern w:val="0"/>
                <w:sz w:val="24"/>
                <w:szCs w:val="24"/>
                <w:u w:val="none"/>
                <w:lang w:val="en-US" w:eastAsia="zh-CN" w:bidi="ar"/>
              </w:rPr>
              <w:t>改造</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康复管理系统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2</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spacing w:after="0" w:line="240" w:lineRule="auto"/>
              <w:jc w:val="center"/>
              <w:rPr>
                <w:rFonts w:hint="eastAsia" w:ascii="宋体" w:hAnsi="宋体" w:eastAsia="宋体" w:cs="宋体"/>
                <w:i w:val="0"/>
                <w:iCs w:val="0"/>
                <w:color w:val="000000"/>
                <w:kern w:val="2"/>
                <w:sz w:val="24"/>
                <w:szCs w:val="24"/>
                <w:u w:val="none"/>
                <w:lang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中医管理系统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3</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spacing w:after="0" w:line="240" w:lineRule="auto"/>
              <w:jc w:val="center"/>
              <w:rPr>
                <w:rFonts w:hint="eastAsia" w:ascii="宋体" w:hAnsi="宋体" w:eastAsia="宋体" w:cs="宋体"/>
                <w:i w:val="0"/>
                <w:iCs w:val="0"/>
                <w:color w:val="000000"/>
                <w:kern w:val="2"/>
                <w:sz w:val="24"/>
                <w:szCs w:val="24"/>
                <w:u w:val="none"/>
                <w:lang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老年人保健管理系统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4</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spacing w:after="0" w:line="240" w:lineRule="auto"/>
              <w:jc w:val="center"/>
              <w:rPr>
                <w:rFonts w:hint="eastAsia" w:ascii="宋体" w:hAnsi="宋体" w:eastAsia="宋体" w:cs="宋体"/>
                <w:i w:val="0"/>
                <w:iCs w:val="0"/>
                <w:color w:val="000000"/>
                <w:kern w:val="2"/>
                <w:sz w:val="24"/>
                <w:szCs w:val="24"/>
                <w:u w:val="none"/>
                <w:lang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健康教育管理系统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5</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spacing w:after="0" w:line="240" w:lineRule="auto"/>
              <w:jc w:val="center"/>
              <w:rPr>
                <w:rFonts w:hint="eastAsia" w:ascii="宋体" w:hAnsi="宋体" w:eastAsia="宋体" w:cs="宋体"/>
                <w:i w:val="0"/>
                <w:iCs w:val="0"/>
                <w:color w:val="000000"/>
                <w:kern w:val="2"/>
                <w:sz w:val="24"/>
                <w:szCs w:val="24"/>
                <w:u w:val="none"/>
                <w:lang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传染病数据登记子系统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spacing w:after="0" w:line="240" w:lineRule="auto"/>
              <w:jc w:val="center"/>
              <w:rPr>
                <w:rFonts w:hint="eastAsia" w:ascii="宋体" w:hAnsi="宋体" w:eastAsia="宋体" w:cs="宋体"/>
                <w:i w:val="0"/>
                <w:iCs w:val="0"/>
                <w:color w:val="000000"/>
                <w:kern w:val="2"/>
                <w:sz w:val="24"/>
                <w:szCs w:val="24"/>
                <w:u w:val="none"/>
                <w:lang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老年人体检子系统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7</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spacing w:after="0" w:line="240" w:lineRule="auto"/>
              <w:jc w:val="center"/>
              <w:rPr>
                <w:rFonts w:hint="eastAsia" w:ascii="宋体" w:hAnsi="宋体" w:eastAsia="宋体" w:cs="宋体"/>
                <w:i w:val="0"/>
                <w:iCs w:val="0"/>
                <w:color w:val="000000"/>
                <w:kern w:val="2"/>
                <w:sz w:val="24"/>
                <w:szCs w:val="24"/>
                <w:u w:val="none"/>
                <w:lang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伤害报告管理系统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8</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spacing w:after="0" w:line="240" w:lineRule="auto"/>
              <w:jc w:val="center"/>
              <w:rPr>
                <w:rFonts w:hint="eastAsia" w:ascii="宋体" w:hAnsi="宋体" w:eastAsia="宋体" w:cs="宋体"/>
                <w:i w:val="0"/>
                <w:iCs w:val="0"/>
                <w:color w:val="000000"/>
                <w:kern w:val="2"/>
                <w:sz w:val="24"/>
                <w:szCs w:val="24"/>
                <w:u w:val="none"/>
                <w:lang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“便捷就医服务”电子出院小结推送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9</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spacing w:after="0" w:line="240" w:lineRule="auto"/>
              <w:jc w:val="center"/>
              <w:rPr>
                <w:rFonts w:hint="eastAsia" w:ascii="宋体" w:hAnsi="宋体" w:eastAsia="宋体" w:cs="宋体"/>
                <w:i w:val="0"/>
                <w:iCs w:val="0"/>
                <w:color w:val="000000"/>
                <w:kern w:val="2"/>
                <w:sz w:val="24"/>
                <w:szCs w:val="24"/>
                <w:u w:val="none"/>
                <w:lang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区域医疗信息互联互通互认子系统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10</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spacing w:after="0" w:line="240" w:lineRule="auto"/>
              <w:jc w:val="center"/>
              <w:rPr>
                <w:rFonts w:hint="eastAsia" w:ascii="宋体" w:hAnsi="宋体" w:eastAsia="宋体" w:cs="宋体"/>
                <w:i w:val="0"/>
                <w:iCs w:val="0"/>
                <w:color w:val="000000"/>
                <w:kern w:val="2"/>
                <w:sz w:val="24"/>
                <w:szCs w:val="24"/>
                <w:u w:val="none"/>
                <w:lang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预约转诊系统（四医联动转诊和区级号源管理）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11</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spacing w:after="0" w:line="240" w:lineRule="auto"/>
              <w:jc w:val="center"/>
              <w:rPr>
                <w:rFonts w:hint="eastAsia" w:ascii="宋体" w:hAnsi="宋体" w:eastAsia="宋体" w:cs="宋体"/>
                <w:i w:val="0"/>
                <w:iCs w:val="0"/>
                <w:color w:val="000000"/>
                <w:kern w:val="2"/>
                <w:sz w:val="24"/>
                <w:szCs w:val="24"/>
                <w:u w:val="none"/>
                <w:lang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处方延伸系统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12</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val="0"/>
              <w:spacing w:after="0" w:line="240" w:lineRule="auto"/>
              <w:jc w:val="center"/>
              <w:rPr>
                <w:rFonts w:hint="eastAsia" w:ascii="宋体" w:hAnsi="宋体" w:eastAsia="宋体" w:cs="宋体"/>
                <w:i w:val="0"/>
                <w:iCs w:val="0"/>
                <w:color w:val="000000"/>
                <w:kern w:val="2"/>
                <w:sz w:val="24"/>
                <w:szCs w:val="24"/>
                <w:u w:val="none"/>
                <w:lang w:eastAsia="zh-CN"/>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after="0" w:line="240" w:lineRule="auto"/>
              <w:jc w:val="center"/>
              <w:textAlignment w:val="center"/>
              <w:rPr>
                <w:rFonts w:hint="eastAsia" w:ascii="宋体" w:hAnsi="宋体" w:eastAsia="宋体" w:cs="宋体"/>
                <w:i w:val="0"/>
                <w:iCs w:val="0"/>
                <w:color w:val="000000"/>
                <w:kern w:val="2"/>
                <w:sz w:val="24"/>
                <w:szCs w:val="24"/>
                <w:u w:val="none"/>
                <w:lang w:eastAsia="zh-CN"/>
              </w:rPr>
            </w:pPr>
            <w:r>
              <w:rPr>
                <w:rFonts w:hint="eastAsia" w:ascii="宋体" w:hAnsi="宋体" w:eastAsia="宋体" w:cs="宋体"/>
                <w:i w:val="0"/>
                <w:iCs w:val="0"/>
                <w:color w:val="000000"/>
                <w:kern w:val="0"/>
                <w:sz w:val="24"/>
                <w:szCs w:val="24"/>
                <w:u w:val="none"/>
                <w:lang w:val="en-US" w:eastAsia="zh-CN" w:bidi="ar"/>
              </w:rPr>
              <w:t>密码应用功能模块开发</w:t>
            </w:r>
          </w:p>
        </w:tc>
      </w:tr>
    </w:tbl>
    <w:p>
      <w:pPr>
        <w:spacing w:line="360" w:lineRule="auto"/>
        <w:rPr>
          <w:rFonts w:hint="eastAsia" w:ascii="宋体" w:hAnsi="宋体" w:eastAsia="宋体"/>
          <w:b w:val="0"/>
          <w:color w:val="000000"/>
          <w:sz w:val="24"/>
        </w:rPr>
      </w:pPr>
    </w:p>
    <w:p>
      <w:pPr>
        <w:pStyle w:val="25"/>
        <w:rPr>
          <w:rFonts w:hint="eastAsia"/>
        </w:rPr>
      </w:pPr>
    </w:p>
    <w:tbl>
      <w:tblPr>
        <w:tblStyle w:val="34"/>
        <w:tblW w:w="87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08"/>
        <w:gridCol w:w="1776"/>
        <w:gridCol w:w="1945"/>
        <w:gridCol w:w="1873"/>
        <w:gridCol w:w="2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blHeader/>
          <w:jc w:val="center"/>
        </w:trPr>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536" w:type="dxa"/>
            <w:gridSpan w:val="4"/>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blHeader/>
          <w:jc w:val="center"/>
        </w:trPr>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b/>
                <w:bCs/>
                <w:i w:val="0"/>
                <w:iCs w:val="0"/>
                <w:color w:val="000000"/>
                <w:sz w:val="22"/>
                <w:szCs w:val="22"/>
                <w:u w:val="none"/>
              </w:rPr>
            </w:pPr>
          </w:p>
        </w:tc>
        <w:tc>
          <w:tcPr>
            <w:tcW w:w="2536" w:type="dxa"/>
            <w:gridSpan w:val="4"/>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b/>
                <w:bCs/>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6" w:type="dxa"/>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市级数据回落配套</w:t>
            </w: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市级数据回落配套接口及软件</w:t>
            </w: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数据抽取、调度及监测引擎</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数据抽取及调度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数据抽取监测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备份库数据抽取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疾控数据接口</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传染病监测数据接口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结核病数据接口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应急处置数据接口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应急资源数据接口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预防接种档案信息接口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实验室病原监测数据接口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污水监测数据接口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病媒监测数据接口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慢病数据接口</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慢病管理卡数据接口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慢病随访数据接口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既往史及家族史数据接口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高血压筛查数据接口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糖尿病筛查数据接口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慢阻肺筛查数据接口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糖尿病并发症筛查数据接口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高血压靶器官损害筛查数据接口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慢病评估管理数据接口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脑卒中高危人群筛查和干预管理数据接口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血脂检测重点人群筛查数据接口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肿瘤筛查初筛数据接口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肿瘤筛查临床筛查数据接口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肿瘤筛查国家版临床筛查数据接口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死亡数据接口</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死亡报告卡数据接口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死亡报告卡审核数据接口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5岁以下儿童死亡数据接口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死亡记录操作履历数据接口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妇女保健数据接口</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孕产妇保健数据接口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产前筛查与诊断接口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计划生育数据接口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婚孕前保健数据接口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妇女病筛查数据接口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妇女保健报表数据接口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更年期保健数据接口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危重孕产妇数据接口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辅助生殖数据接口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儿童保健数据接口</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散居儿童数据接口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集体儿童数据接口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高危儿管理数据接口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新生儿保健数据接口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危重新生儿数据接口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特殊儿童管理数据接口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孤独症管理数据接口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出生缺陷管理数据接口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5岁以下儿童死亡管理数据接口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儿童报表管理数据接口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儿童早期发展数据接口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五官管理数据接口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艾梅乙管理数据接口</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艾梅乙管理数据接口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数据解密</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数据加解密SDK部署及接口调用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776" w:type="dxa"/>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区域卫生核心系统升级改造</w:t>
            </w: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业务协同平台</w:t>
            </w: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应用快捷入口</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快捷导航菜单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常驻导航菜单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协同消息</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公告通知信息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提醒消息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链接消息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摘要信息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错误信息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协同任务</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任务分级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任务记数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任务总览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客户端配置管理</w:t>
            </w:r>
          </w:p>
        </w:tc>
        <w:tc>
          <w:tcPr>
            <w:tcW w:w="2536" w:type="dxa"/>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自动更新功能</w:t>
            </w:r>
          </w:p>
        </w:tc>
        <w:tc>
          <w:tcPr>
            <w:tcW w:w="2536" w:type="dxa"/>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自动隐藏功能</w:t>
            </w:r>
          </w:p>
        </w:tc>
        <w:tc>
          <w:tcPr>
            <w:tcW w:w="2536" w:type="dxa"/>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调阅信息展示</w:t>
            </w:r>
          </w:p>
        </w:tc>
        <w:tc>
          <w:tcPr>
            <w:tcW w:w="2536" w:type="dxa"/>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基础数据管理</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客户端管理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用户管理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角色管理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业务应用管理</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业务应用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触发点配置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初始数据配置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业务插件管理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内置服务管理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推送管理</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公告推送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新闻推送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协同管理</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我的接诊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我的消息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审计管理</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客户端日志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操作日志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版本管理</w:t>
            </w:r>
          </w:p>
        </w:tc>
        <w:tc>
          <w:tcPr>
            <w:tcW w:w="2536" w:type="dxa"/>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系统管理</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配置参数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黑名单管理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授权管理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缓存管理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分表配置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处方点评系统</w:t>
            </w: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数据抽取</w:t>
            </w:r>
          </w:p>
        </w:tc>
        <w:tc>
          <w:tcPr>
            <w:tcW w:w="2536" w:type="dxa"/>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智能点评</w:t>
            </w:r>
          </w:p>
        </w:tc>
        <w:tc>
          <w:tcPr>
            <w:tcW w:w="2536" w:type="dxa"/>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一般点评</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专项点评</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抗菌药物专项点评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异动药品专项点评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药品使用排名专项点评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毒麻精放专项点评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统计分析</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点评汇总分析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自动点评统计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抗菌药物专项统计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业务统计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处方点评统计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知识规则引擎</w:t>
            </w:r>
          </w:p>
        </w:tc>
        <w:tc>
          <w:tcPr>
            <w:tcW w:w="2536" w:type="dxa"/>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1776" w:type="dxa"/>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社区云HIS与市级系统协同</w:t>
            </w: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社区云HIS与市级系统协同</w:t>
            </w: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与新慢病系统协同</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脑卒中报卡协同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心梗报卡协同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伤害登记选择(门急诊)协同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伤害登记(门急诊)协同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慢病登记协同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慢病随访协同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高血压筛查测压协同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慢病首访协同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糖尿病高危筛查协同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慢阻肺问卷筛查协同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慢阻肺门诊提醒协同</w:t>
            </w:r>
            <w:r>
              <w:rPr>
                <w:rFonts w:hint="eastAsia" w:cs="宋体"/>
                <w:i w:val="0"/>
                <w:iCs w:val="0"/>
                <w:color w:val="000000"/>
                <w:kern w:val="0"/>
                <w:sz w:val="22"/>
                <w:szCs w:val="22"/>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114</w:t>
            </w:r>
            <w:r>
              <w:rPr>
                <w:rFonts w:hint="eastAsia" w:cs="宋体"/>
                <w:i w:val="0"/>
                <w:iCs w:val="0"/>
                <w:color w:val="000000"/>
                <w:kern w:val="0"/>
                <w:sz w:val="22"/>
                <w:szCs w:val="22"/>
                <w:u w:val="none"/>
                <w:lang w:val="en-US" w:eastAsia="zh-CN" w:bidi="ar"/>
              </w:rPr>
              <w:t xml:space="preserve"> </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drawing>
                <wp:inline distT="0" distB="0" distL="114300" distR="114300">
                  <wp:extent cx="1333500" cy="276225"/>
                  <wp:effectExtent l="0" t="0" r="762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1333500" cy="276225"/>
                          </a:xfrm>
                          <a:prstGeom prst="rect">
                            <a:avLst/>
                          </a:prstGeom>
                          <a:noFill/>
                          <a:ln>
                            <a:noFill/>
                          </a:ln>
                        </pic:spPr>
                      </pic:pic>
                    </a:graphicData>
                  </a:graphic>
                </wp:inline>
              </w:drawing>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知情同意门诊提醒协同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异常随访追踪协同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与死亡系统协同</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死亡报卡（主动登记）协同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与检查检验互认系统协同</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检验互认协同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检查互认协同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与分级诊疗协同</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签约协同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续约协同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改签协同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转诊协同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与健康档案协同</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市级健康档案协同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1776" w:type="dxa"/>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医疗数据质量监测</w:t>
            </w: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医疗数据质量监测</w:t>
            </w: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质控规则及模型管理</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数据质控规则管理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数据质控评分模型管理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数据质量总览</w:t>
            </w:r>
          </w:p>
        </w:tc>
        <w:tc>
          <w:tcPr>
            <w:tcW w:w="2536" w:type="dxa"/>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数据质量维度分析</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数据连续性质控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数据合法性质控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数据及时性质控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数据完整性质控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数据准确性形式质控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数据准确性内涵质控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数据关联性质控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数据质量模拟评分</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数据连续性模拟评分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数据合法性模拟评分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数据及时性模拟评分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数据完整性模拟评分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数据准确性模拟评分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数据关联性质控模拟评分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数据质量总分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数据质量区内排名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下推数据对比分析</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数据差异总览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数据差异明细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异常指标预警</w:t>
            </w:r>
          </w:p>
        </w:tc>
        <w:tc>
          <w:tcPr>
            <w:tcW w:w="2536" w:type="dxa"/>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数据质控报告</w:t>
            </w:r>
          </w:p>
        </w:tc>
        <w:tc>
          <w:tcPr>
            <w:tcW w:w="2536" w:type="dxa"/>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短信通知</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短信推送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短信设置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restart"/>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基础管理</w:t>
            </w: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8" w:type="dxa"/>
            <w:shd w:val="clear" w:color="auto" w:fill="auto"/>
            <w:vAlign w:val="center"/>
          </w:tcPr>
          <w:p>
            <w:pPr>
              <w:keepNext/>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1776"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945"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874" w:type="dxa"/>
            <w:vMerge w:val="continue"/>
            <w:shd w:val="clear" w:color="auto" w:fill="auto"/>
            <w:vAlign w:val="center"/>
          </w:tcPr>
          <w:p>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36" w:type="dxa"/>
            <w:shd w:val="clear" w:color="auto" w:fill="auto"/>
            <w:vAlign w:val="center"/>
          </w:tcPr>
          <w:p>
            <w:pPr>
              <w:keepNext/>
              <w:keepLines w:val="0"/>
              <w:widowControl/>
              <w:suppressLineNumbers w:val="0"/>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用户及权限管理</w:t>
            </w:r>
          </w:p>
        </w:tc>
      </w:tr>
    </w:tbl>
    <w:p>
      <w:pPr>
        <w:rPr>
          <w:rFonts w:ascii="黑体" w:hAnsi="黑体" w:eastAsia="黑体"/>
          <w:b/>
          <w:color w:val="000000"/>
          <w:sz w:val="30"/>
        </w:rPr>
      </w:pPr>
      <w:r>
        <w:rPr>
          <w:rFonts w:ascii="黑体" w:hAnsi="黑体" w:eastAsia="黑体"/>
          <w:b/>
          <w:color w:val="000000"/>
          <w:sz w:val="30"/>
        </w:rPr>
        <w:br w:type="page"/>
      </w:r>
    </w:p>
    <w:p>
      <w:pPr>
        <w:spacing w:line="360" w:lineRule="auto"/>
        <w:outlineLvl w:val="0"/>
      </w:pPr>
      <w:r>
        <w:rPr>
          <w:rFonts w:ascii="黑体" w:hAnsi="黑体" w:eastAsia="黑体"/>
          <w:b/>
          <w:color w:val="000000"/>
          <w:sz w:val="30"/>
        </w:rPr>
        <w:t>五、采购标的与预算</w:t>
      </w:r>
    </w:p>
    <w:p>
      <w:pPr>
        <w:spacing w:line="360" w:lineRule="auto"/>
        <w:rPr>
          <w:rFonts w:ascii="宋体" w:hAnsi="宋体" w:eastAsia="宋体"/>
          <w:b w:val="0"/>
          <w:color w:val="000000"/>
          <w:sz w:val="24"/>
        </w:rPr>
      </w:pPr>
      <w:r>
        <w:rPr>
          <w:rFonts w:ascii="宋体" w:hAnsi="宋体" w:eastAsia="宋体"/>
          <w:b w:val="0"/>
          <w:color w:val="000000"/>
          <w:sz w:val="24"/>
        </w:rPr>
        <w:t>5.</w:t>
      </w:r>
      <w:r>
        <w:rPr>
          <w:rFonts w:hint="eastAsia"/>
          <w:b w:val="0"/>
          <w:color w:val="000000"/>
          <w:sz w:val="24"/>
          <w:lang w:val="en-US" w:eastAsia="zh-CN"/>
        </w:rPr>
        <w:t>1</w:t>
      </w:r>
      <w:r>
        <w:rPr>
          <w:rFonts w:ascii="宋体" w:hAnsi="宋体" w:eastAsia="宋体"/>
          <w:b w:val="0"/>
          <w:color w:val="000000"/>
          <w:sz w:val="24"/>
        </w:rPr>
        <w:t xml:space="preserve">采购预算 / 最高投标限价：人民币 </w:t>
      </w:r>
      <w:r>
        <w:rPr>
          <w:rFonts w:ascii="宋体" w:hAnsi="宋体" w:eastAsia="宋体"/>
          <w:b/>
          <w:color w:val="000000"/>
          <w:sz w:val="24"/>
        </w:rPr>
        <w:t>454.76 万元</w:t>
      </w:r>
      <w:r>
        <w:rPr>
          <w:rFonts w:ascii="宋体" w:hAnsi="宋体" w:eastAsia="宋体"/>
          <w:b w:val="0"/>
          <w:color w:val="000000"/>
          <w:sz w:val="24"/>
        </w:rPr>
        <w:t>（肆佰伍拾肆万柒仟陆佰元整）。投标报价超过最高投标限价的，按投标无效处理。</w:t>
      </w:r>
    </w:p>
    <w:p>
      <w:pPr>
        <w:spacing w:line="360" w:lineRule="auto"/>
        <w:rPr>
          <w:rFonts w:ascii="宋体" w:hAnsi="宋体" w:eastAsia="宋体"/>
          <w:b w:val="0"/>
          <w:color w:val="000000"/>
          <w:sz w:val="24"/>
        </w:rPr>
      </w:pPr>
      <w:r>
        <w:rPr>
          <w:rFonts w:hint="eastAsia" w:ascii="宋体" w:hAnsi="宋体" w:eastAsia="宋体"/>
          <w:b w:val="0"/>
          <w:color w:val="000000"/>
          <w:sz w:val="24"/>
        </w:rPr>
        <w:t>本次项目仅包含软件开发建设费，其他二类费用包括可行性方案设计服务费、项目监理费、由第三方机构对系统进行验收前的安全测试</w:t>
      </w:r>
      <w:r>
        <w:rPr>
          <w:rFonts w:hint="eastAsia"/>
          <w:b w:val="0"/>
          <w:color w:val="000000"/>
          <w:sz w:val="24"/>
          <w:lang w:eastAsia="zh-CN"/>
        </w:rPr>
        <w:t>、</w:t>
      </w:r>
      <w:r>
        <w:rPr>
          <w:rFonts w:hint="eastAsia" w:ascii="宋体" w:hAnsi="宋体" w:eastAsia="宋体"/>
          <w:b w:val="0"/>
          <w:color w:val="000000"/>
          <w:sz w:val="24"/>
        </w:rPr>
        <w:t>软件测试费</w:t>
      </w:r>
      <w:r>
        <w:rPr>
          <w:rFonts w:hint="eastAsia"/>
          <w:b w:val="0"/>
          <w:color w:val="000000"/>
          <w:sz w:val="24"/>
          <w:lang w:val="en-US" w:eastAsia="zh-CN"/>
        </w:rPr>
        <w:t>及密码应用测评费</w:t>
      </w:r>
      <w:r>
        <w:rPr>
          <w:rFonts w:hint="eastAsia" w:ascii="宋体" w:hAnsi="宋体" w:eastAsia="宋体"/>
          <w:b w:val="0"/>
          <w:color w:val="000000"/>
          <w:sz w:val="24"/>
        </w:rPr>
        <w:t>不计算在内。</w:t>
      </w:r>
    </w:p>
    <w:p>
      <w:pPr>
        <w:spacing w:line="360" w:lineRule="auto"/>
        <w:outlineLvl w:val="0"/>
        <w:rPr>
          <w:rFonts w:hint="eastAsia" w:ascii="黑体" w:hAnsi="黑体" w:eastAsia="黑体"/>
          <w:b/>
          <w:color w:val="000000"/>
          <w:sz w:val="30"/>
        </w:rPr>
      </w:pPr>
      <w:r>
        <w:rPr>
          <w:rFonts w:hint="eastAsia" w:ascii="黑体" w:hAnsi="黑体" w:eastAsia="黑体"/>
          <w:b/>
          <w:color w:val="000000"/>
          <w:sz w:val="30"/>
          <w:lang w:val="en-US" w:eastAsia="zh-CN"/>
        </w:rPr>
        <w:t>六</w:t>
      </w:r>
      <w:r>
        <w:rPr>
          <w:rFonts w:hint="eastAsia" w:ascii="黑体" w:hAnsi="黑体" w:eastAsia="黑体"/>
          <w:b/>
          <w:color w:val="000000"/>
          <w:sz w:val="30"/>
        </w:rPr>
        <w:t>、其他工作要求</w:t>
      </w:r>
    </w:p>
    <w:p>
      <w:pPr>
        <w:spacing w:line="360" w:lineRule="auto"/>
        <w:outlineLvl w:val="1"/>
        <w:rPr>
          <w:rFonts w:hint="eastAsia" w:ascii="宋体" w:hAnsi="宋体" w:eastAsia="宋体"/>
          <w:b w:val="0"/>
          <w:color w:val="000000"/>
          <w:sz w:val="24"/>
        </w:rPr>
      </w:pPr>
      <w:r>
        <w:rPr>
          <w:rFonts w:hint="eastAsia"/>
          <w:b w:val="0"/>
          <w:color w:val="000000"/>
          <w:sz w:val="24"/>
          <w:lang w:val="en-US" w:eastAsia="zh-CN"/>
        </w:rPr>
        <w:t>6</w:t>
      </w:r>
      <w:r>
        <w:rPr>
          <w:rFonts w:hint="eastAsia" w:ascii="宋体" w:hAnsi="宋体" w:eastAsia="宋体"/>
          <w:b w:val="0"/>
          <w:color w:val="000000"/>
          <w:sz w:val="24"/>
        </w:rPr>
        <w:t>.1 售后服务要求</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成交单位应提供至少1年免费质保及运维服务，质保期自项目验收合格之日起计算。服务内容包括系统故障修复、性能优化、数据备份恢复检查、安全加固等。提供7×24小时技术支持服务，紧急故障2小时内响应，4小时内到达现场，一般故障24小时内解决。</w:t>
      </w:r>
    </w:p>
    <w:p>
      <w:pPr>
        <w:spacing w:line="360" w:lineRule="auto"/>
        <w:outlineLvl w:val="1"/>
        <w:rPr>
          <w:rFonts w:hint="eastAsia" w:ascii="宋体" w:hAnsi="宋体" w:eastAsia="宋体"/>
          <w:b w:val="0"/>
          <w:color w:val="000000"/>
          <w:sz w:val="24"/>
        </w:rPr>
      </w:pPr>
      <w:r>
        <w:rPr>
          <w:rFonts w:hint="eastAsia"/>
          <w:b w:val="0"/>
          <w:color w:val="000000"/>
          <w:sz w:val="24"/>
          <w:lang w:val="en-US" w:eastAsia="zh-CN"/>
        </w:rPr>
        <w:t>6</w:t>
      </w:r>
      <w:r>
        <w:rPr>
          <w:rFonts w:hint="eastAsia" w:ascii="宋体" w:hAnsi="宋体" w:eastAsia="宋体"/>
          <w:b w:val="0"/>
          <w:color w:val="000000"/>
          <w:sz w:val="24"/>
        </w:rPr>
        <w:t>.2 应急响应要求</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在突发公共卫生事件或重大活动保障期间，成交单位需提供专人现场保障服务，确保系统稳定运行。需制定详细的应急预案，包括系统故障、数据丢失、网络攻击等场景下的应急处理流程。</w:t>
      </w:r>
    </w:p>
    <w:p>
      <w:pPr>
        <w:spacing w:line="360" w:lineRule="auto"/>
        <w:outlineLvl w:val="1"/>
        <w:rPr>
          <w:rFonts w:hint="eastAsia" w:ascii="宋体" w:hAnsi="宋体" w:eastAsia="宋体"/>
          <w:b w:val="0"/>
          <w:color w:val="000000"/>
          <w:sz w:val="24"/>
        </w:rPr>
      </w:pPr>
      <w:r>
        <w:rPr>
          <w:rFonts w:hint="eastAsia"/>
          <w:b w:val="0"/>
          <w:color w:val="000000"/>
          <w:sz w:val="24"/>
          <w:lang w:val="en-US" w:eastAsia="zh-CN"/>
        </w:rPr>
        <w:t>6</w:t>
      </w:r>
      <w:r>
        <w:rPr>
          <w:rFonts w:hint="eastAsia" w:ascii="宋体" w:hAnsi="宋体" w:eastAsia="宋体"/>
          <w:b w:val="0"/>
          <w:color w:val="000000"/>
          <w:sz w:val="24"/>
        </w:rPr>
        <w:t>.3 培训要求</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提供不少于2场次的现场培训，包括系统管理员培训（2人，5天）和业务用户培训（20人，2天）。培训内容应涵盖系统功能、操作流程、日常维护、常见问题处理等。提供完整的培训教材和操作手册。</w:t>
      </w:r>
    </w:p>
    <w:p>
      <w:pPr>
        <w:spacing w:line="360" w:lineRule="auto"/>
        <w:outlineLvl w:val="1"/>
        <w:rPr>
          <w:rFonts w:hint="eastAsia" w:ascii="宋体" w:hAnsi="宋体" w:eastAsia="宋体"/>
          <w:b w:val="0"/>
          <w:color w:val="000000"/>
          <w:sz w:val="24"/>
        </w:rPr>
      </w:pPr>
      <w:r>
        <w:rPr>
          <w:rFonts w:hint="eastAsia"/>
          <w:b w:val="0"/>
          <w:color w:val="000000"/>
          <w:sz w:val="24"/>
          <w:lang w:val="en-US" w:eastAsia="zh-CN"/>
        </w:rPr>
        <w:t>6</w:t>
      </w:r>
      <w:r>
        <w:rPr>
          <w:rFonts w:hint="eastAsia" w:ascii="宋体" w:hAnsi="宋体" w:eastAsia="宋体"/>
          <w:b w:val="0"/>
          <w:color w:val="000000"/>
          <w:sz w:val="24"/>
        </w:rPr>
        <w:t>.4 验收要求</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项目按照合同约定完成全部开发、部署、测试后，由采购人组织验收。验收依据包括：招标文件、投标文件、合同、需求规格说明书、设计方案、测试报告等。成交单位需提供完整的项目文档（需求文档、设计文档、数据库说明、接口文档、部署手册、用户手册、运维手册等）。系统需通过第三方软件测评和安全测评（等保三级、密码应用测评）。</w:t>
      </w:r>
    </w:p>
    <w:p>
      <w:pPr>
        <w:spacing w:line="360" w:lineRule="auto"/>
        <w:outlineLvl w:val="1"/>
        <w:rPr>
          <w:rFonts w:hint="eastAsia" w:ascii="宋体" w:hAnsi="宋体" w:eastAsia="宋体"/>
          <w:b w:val="0"/>
          <w:color w:val="000000"/>
          <w:sz w:val="24"/>
        </w:rPr>
      </w:pPr>
      <w:r>
        <w:rPr>
          <w:rFonts w:hint="eastAsia"/>
          <w:b w:val="0"/>
          <w:color w:val="000000"/>
          <w:sz w:val="24"/>
          <w:lang w:val="en-US" w:eastAsia="zh-CN"/>
        </w:rPr>
        <w:t>6</w:t>
      </w:r>
      <w:r>
        <w:rPr>
          <w:rFonts w:hint="eastAsia" w:ascii="宋体" w:hAnsi="宋体" w:eastAsia="宋体"/>
          <w:b w:val="0"/>
          <w:color w:val="000000"/>
          <w:sz w:val="24"/>
        </w:rPr>
        <w:t>.5 进度要求</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项目建设周期为18个月，自合同签订之日起计算。成交单位应制定详细的项目实施计划，明确各阶段里程碑和交付物，并按计划推进。关键节点需向采购人汇报进度。</w:t>
      </w:r>
    </w:p>
    <w:p>
      <w:pPr>
        <w:spacing w:line="360" w:lineRule="auto"/>
        <w:outlineLvl w:val="1"/>
        <w:rPr>
          <w:rFonts w:hint="eastAsia" w:ascii="宋体" w:hAnsi="宋体" w:eastAsia="宋体"/>
          <w:b w:val="0"/>
          <w:color w:val="000000"/>
          <w:sz w:val="24"/>
        </w:rPr>
      </w:pPr>
      <w:r>
        <w:rPr>
          <w:rFonts w:hint="eastAsia"/>
          <w:b w:val="0"/>
          <w:color w:val="000000"/>
          <w:sz w:val="24"/>
          <w:lang w:val="en-US" w:eastAsia="zh-CN"/>
        </w:rPr>
        <w:t>6</w:t>
      </w:r>
      <w:r>
        <w:rPr>
          <w:rFonts w:hint="eastAsia" w:ascii="宋体" w:hAnsi="宋体" w:eastAsia="宋体"/>
          <w:b w:val="0"/>
          <w:color w:val="000000"/>
          <w:sz w:val="24"/>
        </w:rPr>
        <w:t>.6 项目团队及驻场人员要求</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成交单位需组建不少于</w:t>
      </w:r>
      <w:r>
        <w:rPr>
          <w:rFonts w:hint="eastAsia"/>
          <w:b w:val="0"/>
          <w:color w:val="000000"/>
          <w:sz w:val="24"/>
          <w:lang w:val="en-US" w:eastAsia="zh-CN"/>
        </w:rPr>
        <w:t>10</w:t>
      </w:r>
      <w:r>
        <w:rPr>
          <w:rFonts w:hint="eastAsia" w:ascii="宋体" w:hAnsi="宋体" w:eastAsia="宋体"/>
          <w:b w:val="0"/>
          <w:color w:val="000000"/>
          <w:sz w:val="24"/>
        </w:rPr>
        <w:t>人的项目团队，包括项目经理（具备同类项目管理经验）、系统架构师、开发工程师、测试工程师、实施工程师等。实施期间，需至少指派</w:t>
      </w:r>
      <w:r>
        <w:rPr>
          <w:rFonts w:hint="eastAsia"/>
          <w:b w:val="0"/>
          <w:color w:val="000000"/>
          <w:sz w:val="24"/>
          <w:lang w:val="en-US" w:eastAsia="zh-CN"/>
        </w:rPr>
        <w:t>1</w:t>
      </w:r>
      <w:r>
        <w:rPr>
          <w:rFonts w:hint="eastAsia" w:ascii="宋体" w:hAnsi="宋体" w:eastAsia="宋体"/>
          <w:b w:val="0"/>
          <w:color w:val="000000"/>
          <w:sz w:val="24"/>
        </w:rPr>
        <w:t>名技术人员驻场开发，确保沟通效率和交付质量。</w:t>
      </w:r>
    </w:p>
    <w:p>
      <w:pPr>
        <w:spacing w:line="360" w:lineRule="auto"/>
        <w:outlineLvl w:val="1"/>
        <w:rPr>
          <w:rFonts w:hint="eastAsia" w:ascii="宋体" w:hAnsi="宋体" w:eastAsia="宋体"/>
          <w:b w:val="0"/>
          <w:color w:val="000000"/>
          <w:sz w:val="24"/>
        </w:rPr>
      </w:pPr>
      <w:r>
        <w:rPr>
          <w:rFonts w:hint="eastAsia"/>
          <w:b w:val="0"/>
          <w:color w:val="000000"/>
          <w:sz w:val="24"/>
          <w:lang w:val="en-US" w:eastAsia="zh-CN"/>
        </w:rPr>
        <w:t>6</w:t>
      </w:r>
      <w:r>
        <w:rPr>
          <w:rFonts w:hint="eastAsia" w:ascii="宋体" w:hAnsi="宋体" w:eastAsia="宋体"/>
          <w:b w:val="0"/>
          <w:color w:val="000000"/>
          <w:sz w:val="24"/>
        </w:rPr>
        <w:t>.7 等级保护要求</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系统需按照网络安全等级保护三级标准进行设计、建设和测评。成交单位应配合完成等保定级、备案、测评及整改工作，确保系统通过等级保护测评。</w:t>
      </w:r>
    </w:p>
    <w:p>
      <w:pPr>
        <w:spacing w:line="360" w:lineRule="auto"/>
        <w:outlineLvl w:val="1"/>
        <w:rPr>
          <w:rFonts w:hint="eastAsia" w:ascii="宋体" w:hAnsi="宋体" w:eastAsia="宋体"/>
          <w:b w:val="0"/>
          <w:color w:val="000000"/>
          <w:sz w:val="24"/>
        </w:rPr>
      </w:pPr>
      <w:r>
        <w:rPr>
          <w:rFonts w:hint="eastAsia"/>
          <w:b w:val="0"/>
          <w:color w:val="000000"/>
          <w:sz w:val="24"/>
          <w:lang w:val="en-US" w:eastAsia="zh-CN"/>
        </w:rPr>
        <w:t>6</w:t>
      </w:r>
      <w:r>
        <w:rPr>
          <w:rFonts w:hint="eastAsia" w:ascii="宋体" w:hAnsi="宋体" w:eastAsia="宋体"/>
          <w:b w:val="0"/>
          <w:color w:val="000000"/>
          <w:sz w:val="24"/>
        </w:rPr>
        <w:t>.8 技术文件要求</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成交单位应在项目各阶段提交完整的技术文档，包括但不限于：《需求规格说明书》、《系统设计说明书》、《数据库设计说明书》、《接口规范》、《测试报告》、《用户手册》、《运维手册》、《项目总结报告》等。文档需符合国家及行业标准，电子版与纸质版同时交付。</w:t>
      </w:r>
    </w:p>
    <w:p>
      <w:pPr>
        <w:spacing w:line="360" w:lineRule="auto"/>
        <w:outlineLvl w:val="0"/>
        <w:rPr>
          <w:rFonts w:hint="eastAsia" w:ascii="黑体" w:hAnsi="黑体" w:eastAsia="黑体"/>
          <w:b/>
          <w:color w:val="000000"/>
          <w:sz w:val="30"/>
          <w:lang w:val="en-US" w:eastAsia="zh-CN"/>
        </w:rPr>
      </w:pPr>
      <w:r>
        <w:rPr>
          <w:rFonts w:hint="eastAsia" w:ascii="黑体" w:hAnsi="黑体" w:eastAsia="黑体"/>
          <w:b/>
          <w:color w:val="000000"/>
          <w:sz w:val="30"/>
          <w:lang w:val="en-US" w:eastAsia="zh-CN"/>
        </w:rPr>
        <w:t>七、管理要求</w:t>
      </w:r>
    </w:p>
    <w:p>
      <w:pPr>
        <w:spacing w:line="360" w:lineRule="auto"/>
        <w:rPr>
          <w:rFonts w:hint="eastAsia" w:ascii="宋体" w:hAnsi="宋体" w:eastAsia="宋体"/>
          <w:b w:val="0"/>
          <w:color w:val="000000"/>
          <w:sz w:val="24"/>
        </w:rPr>
      </w:pPr>
      <w:r>
        <w:rPr>
          <w:rFonts w:hint="eastAsia"/>
          <w:b w:val="0"/>
          <w:color w:val="000000"/>
          <w:sz w:val="24"/>
          <w:lang w:val="en-US" w:eastAsia="zh-CN"/>
        </w:rPr>
        <w:t>7.1</w:t>
      </w:r>
      <w:r>
        <w:rPr>
          <w:rFonts w:hint="eastAsia" w:ascii="宋体" w:hAnsi="宋体" w:eastAsia="宋体"/>
          <w:b w:val="0"/>
          <w:color w:val="000000"/>
          <w:sz w:val="24"/>
        </w:rPr>
        <w:t>成交单位应严格遵守采购人关于项目管理的各项规定，包括进度管理、质量管理、变更管理、沟通管理、文档管理等。定期参加项目例会，汇报进展。采购人有权对项目实施过程进行监督、检查，成交单位应予以配合。</w:t>
      </w:r>
    </w:p>
    <w:p>
      <w:pPr>
        <w:spacing w:line="360" w:lineRule="auto"/>
        <w:outlineLvl w:val="0"/>
        <w:rPr>
          <w:rFonts w:hint="eastAsia" w:ascii="黑体" w:hAnsi="黑体" w:eastAsia="黑体"/>
          <w:b/>
          <w:color w:val="000000"/>
          <w:sz w:val="30"/>
          <w:lang w:val="en-US" w:eastAsia="zh-CN"/>
        </w:rPr>
      </w:pPr>
      <w:r>
        <w:rPr>
          <w:rFonts w:hint="eastAsia" w:ascii="黑体" w:hAnsi="黑体" w:eastAsia="黑体"/>
          <w:b/>
          <w:color w:val="000000"/>
          <w:sz w:val="30"/>
          <w:lang w:val="en-US" w:eastAsia="zh-CN"/>
        </w:rPr>
        <w:t>八、知识产权及保密要求</w:t>
      </w:r>
    </w:p>
    <w:p>
      <w:pPr>
        <w:spacing w:line="360" w:lineRule="auto"/>
        <w:rPr>
          <w:rFonts w:hint="eastAsia" w:ascii="宋体" w:hAnsi="宋体" w:eastAsia="宋体"/>
          <w:b w:val="0"/>
          <w:color w:val="000000"/>
          <w:sz w:val="24"/>
        </w:rPr>
      </w:pPr>
      <w:r>
        <w:rPr>
          <w:rFonts w:hint="eastAsia"/>
          <w:b w:val="0"/>
          <w:color w:val="000000"/>
          <w:sz w:val="24"/>
          <w:lang w:val="en-US" w:eastAsia="zh-CN"/>
        </w:rPr>
        <w:t>8</w:t>
      </w:r>
      <w:r>
        <w:rPr>
          <w:rFonts w:hint="eastAsia" w:ascii="宋体" w:hAnsi="宋体" w:eastAsia="宋体"/>
          <w:b w:val="0"/>
          <w:color w:val="000000"/>
          <w:sz w:val="24"/>
        </w:rPr>
        <w:t>.</w:t>
      </w:r>
      <w:r>
        <w:rPr>
          <w:rFonts w:hint="eastAsia"/>
          <w:b w:val="0"/>
          <w:color w:val="000000"/>
          <w:sz w:val="24"/>
          <w:lang w:val="en-US" w:eastAsia="zh-CN"/>
        </w:rPr>
        <w:t>1</w:t>
      </w:r>
      <w:r>
        <w:rPr>
          <w:rFonts w:hint="eastAsia" w:ascii="宋体" w:hAnsi="宋体" w:eastAsia="宋体"/>
          <w:b w:val="0"/>
          <w:color w:val="000000"/>
          <w:sz w:val="24"/>
        </w:rPr>
        <w:t xml:space="preserve"> 成交单位数据、文件、资料知识产权：本项目产生的所有源代码、技术文档、设计图纸、数据库结构等知识产权归采购人所有。成交单位不得将本项目相关资料用于其他商业用途。</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8.</w:t>
      </w:r>
      <w:r>
        <w:rPr>
          <w:rFonts w:hint="eastAsia"/>
          <w:b w:val="0"/>
          <w:color w:val="000000"/>
          <w:sz w:val="24"/>
          <w:lang w:val="en-US" w:eastAsia="zh-CN"/>
        </w:rPr>
        <w:t>2</w:t>
      </w:r>
      <w:r>
        <w:rPr>
          <w:rFonts w:hint="eastAsia" w:ascii="宋体" w:hAnsi="宋体" w:eastAsia="宋体"/>
          <w:b w:val="0"/>
          <w:color w:val="000000"/>
          <w:sz w:val="24"/>
        </w:rPr>
        <w:t xml:space="preserve"> 项目保密要求：成交单位及其工作人员应对在项目实施过程中接触到的采购人业务数据、居民健康信息、疫情数据等严格保密，不得泄露、复制或擅自使用。需签订保密协议。</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8.</w:t>
      </w:r>
      <w:r>
        <w:rPr>
          <w:rFonts w:hint="eastAsia"/>
          <w:b w:val="0"/>
          <w:color w:val="000000"/>
          <w:sz w:val="24"/>
          <w:lang w:val="en-US" w:eastAsia="zh-CN"/>
        </w:rPr>
        <w:t>3</w:t>
      </w:r>
      <w:r>
        <w:rPr>
          <w:rFonts w:hint="eastAsia" w:ascii="宋体" w:hAnsi="宋体" w:eastAsia="宋体"/>
          <w:b w:val="0"/>
          <w:color w:val="000000"/>
          <w:sz w:val="24"/>
        </w:rPr>
        <w:t xml:space="preserve"> 临时账号等使用要求：项目实施过程中使用的测试账号、临时权限等应在项目验收前全部回收或注销，不得留存后门。</w:t>
      </w:r>
    </w:p>
    <w:p>
      <w:pPr>
        <w:spacing w:line="360" w:lineRule="auto"/>
        <w:outlineLvl w:val="0"/>
        <w:rPr>
          <w:rFonts w:hint="eastAsia" w:ascii="黑体" w:hAnsi="黑体" w:eastAsia="黑体"/>
          <w:b/>
          <w:color w:val="000000"/>
          <w:sz w:val="30"/>
          <w:lang w:val="en-US" w:eastAsia="zh-CN"/>
        </w:rPr>
      </w:pPr>
      <w:r>
        <w:rPr>
          <w:rFonts w:hint="eastAsia" w:ascii="黑体" w:hAnsi="黑体" w:eastAsia="黑体"/>
          <w:b/>
          <w:color w:val="000000"/>
          <w:sz w:val="30"/>
          <w:lang w:val="en-US" w:eastAsia="zh-CN"/>
        </w:rPr>
        <w:t>九、项目的变更、解除和终止</w:t>
      </w:r>
    </w:p>
    <w:p>
      <w:pPr>
        <w:spacing w:line="360" w:lineRule="auto"/>
        <w:rPr>
          <w:rFonts w:hint="eastAsia" w:ascii="宋体" w:hAnsi="宋体" w:eastAsia="宋体"/>
          <w:b w:val="0"/>
          <w:color w:val="000000"/>
          <w:sz w:val="24"/>
        </w:rPr>
      </w:pPr>
      <w:r>
        <w:rPr>
          <w:rFonts w:hint="eastAsia"/>
          <w:b w:val="0"/>
          <w:color w:val="000000"/>
          <w:sz w:val="24"/>
          <w:lang w:val="en-US" w:eastAsia="zh-CN"/>
        </w:rPr>
        <w:t>9.1</w:t>
      </w:r>
      <w:r>
        <w:rPr>
          <w:rFonts w:hint="eastAsia" w:ascii="宋体" w:hAnsi="宋体" w:eastAsia="宋体"/>
          <w:b w:val="0"/>
          <w:color w:val="000000"/>
          <w:sz w:val="24"/>
        </w:rPr>
        <w:t>项目实施过程中如需变更，应由双方协商一致并签署书面变更协议。如因政策调整、不可抗力等导致项目无法继续，双方可协商解除合同。因一方违约导致合同无法履行的，守约方有权单方解除合同。</w:t>
      </w:r>
    </w:p>
    <w:p>
      <w:pPr>
        <w:spacing w:line="360" w:lineRule="auto"/>
        <w:outlineLvl w:val="0"/>
        <w:rPr>
          <w:rFonts w:hint="eastAsia" w:ascii="黑体" w:hAnsi="黑体" w:eastAsia="黑体"/>
          <w:b/>
          <w:color w:val="000000"/>
          <w:sz w:val="30"/>
          <w:lang w:val="en-US" w:eastAsia="zh-CN"/>
        </w:rPr>
      </w:pPr>
      <w:r>
        <w:rPr>
          <w:rFonts w:hint="eastAsia" w:ascii="黑体" w:hAnsi="黑体" w:eastAsia="黑体"/>
          <w:b/>
          <w:color w:val="000000"/>
          <w:sz w:val="30"/>
          <w:lang w:val="en-US" w:eastAsia="zh-CN"/>
        </w:rPr>
        <w:t>十、违约责任</w:t>
      </w:r>
    </w:p>
    <w:p>
      <w:pPr>
        <w:spacing w:line="360" w:lineRule="auto"/>
        <w:rPr>
          <w:rFonts w:hint="eastAsia" w:ascii="宋体" w:hAnsi="宋体" w:eastAsia="宋体"/>
          <w:b w:val="0"/>
          <w:color w:val="000000"/>
          <w:sz w:val="24"/>
        </w:rPr>
      </w:pPr>
      <w:r>
        <w:rPr>
          <w:rFonts w:hint="eastAsia"/>
          <w:b w:val="0"/>
          <w:color w:val="000000"/>
          <w:sz w:val="24"/>
          <w:lang w:val="en-US" w:eastAsia="zh-CN"/>
        </w:rPr>
        <w:t>10.1</w:t>
      </w:r>
      <w:r>
        <w:rPr>
          <w:rFonts w:hint="eastAsia" w:ascii="宋体" w:hAnsi="宋体" w:eastAsia="宋体"/>
          <w:b w:val="0"/>
          <w:color w:val="000000"/>
          <w:sz w:val="24"/>
        </w:rPr>
        <w:t>成交单位如未能按合同约定进度交付，每延期一天，应向采购人支付合同最高限价千分之一的违约金。延期超过30天的，采购人有权解除合同并要求成交单位承担相应损失。如交付的系统存在严重质量问题，成交单位应负责免费修复，并承担因此造成的损失。</w:t>
      </w:r>
    </w:p>
    <w:p>
      <w:pPr>
        <w:spacing w:line="360" w:lineRule="auto"/>
        <w:outlineLvl w:val="0"/>
        <w:rPr>
          <w:rFonts w:hint="eastAsia" w:ascii="黑体" w:hAnsi="黑体" w:eastAsia="黑体"/>
          <w:b/>
          <w:color w:val="000000"/>
          <w:sz w:val="30"/>
          <w:lang w:val="en-US" w:eastAsia="zh-CN"/>
        </w:rPr>
      </w:pPr>
      <w:r>
        <w:rPr>
          <w:rFonts w:hint="eastAsia" w:ascii="黑体" w:hAnsi="黑体" w:eastAsia="黑体"/>
          <w:b/>
          <w:color w:val="000000"/>
          <w:sz w:val="30"/>
          <w:lang w:val="en-US" w:eastAsia="zh-CN"/>
        </w:rPr>
        <w:t>十一、付款方式及验收</w:t>
      </w:r>
    </w:p>
    <w:p>
      <w:pPr>
        <w:spacing w:line="360" w:lineRule="auto"/>
        <w:rPr>
          <w:rFonts w:hint="default"/>
          <w:b w:val="0"/>
          <w:color w:val="000000"/>
          <w:sz w:val="24"/>
          <w:lang w:val="en-US" w:eastAsia="zh-CN"/>
        </w:rPr>
      </w:pPr>
      <w:r>
        <w:rPr>
          <w:rFonts w:hint="eastAsia"/>
          <w:b w:val="0"/>
          <w:color w:val="000000"/>
          <w:sz w:val="24"/>
          <w:lang w:val="en-US" w:eastAsia="zh-CN"/>
        </w:rPr>
        <w:t>11.1 付款方式：</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第一笔款：合同签订后30日内，根据2026年财政具体预算资金执行（约为合同金额的40%）；</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第二笔款：所有应用软件上线且稳定运行1个月后10个工作日内支付合同额的50%；</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第三笔款：项目通过甲方正式验收后10个工作日内支付剩余尾款。</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11.</w:t>
      </w:r>
      <w:r>
        <w:rPr>
          <w:rFonts w:hint="eastAsia"/>
          <w:b w:val="0"/>
          <w:color w:val="000000"/>
          <w:sz w:val="24"/>
          <w:lang w:val="en-US" w:eastAsia="zh-CN"/>
        </w:rPr>
        <w:t>2</w:t>
      </w:r>
      <w:r>
        <w:rPr>
          <w:rFonts w:hint="eastAsia" w:ascii="宋体" w:hAnsi="宋体" w:eastAsia="宋体"/>
          <w:b w:val="0"/>
          <w:color w:val="000000"/>
          <w:sz w:val="24"/>
        </w:rPr>
        <w:t>付款条件备注：成交单位应当在采购人每次付款前提前至少15个工作日向采购人提供等额有效发票。</w:t>
      </w:r>
    </w:p>
    <w:p>
      <w:pPr>
        <w:spacing w:line="360" w:lineRule="auto"/>
        <w:rPr>
          <w:rFonts w:hint="eastAsia" w:ascii="宋体" w:hAnsi="宋体" w:eastAsia="宋体"/>
          <w:b w:val="0"/>
          <w:color w:val="000000"/>
          <w:sz w:val="24"/>
        </w:rPr>
      </w:pPr>
      <w:r>
        <w:rPr>
          <w:rFonts w:hint="eastAsia" w:ascii="宋体" w:hAnsi="宋体" w:eastAsia="宋体"/>
          <w:b w:val="0"/>
          <w:color w:val="000000"/>
          <w:sz w:val="24"/>
        </w:rPr>
        <w:t>11.</w:t>
      </w:r>
      <w:r>
        <w:rPr>
          <w:rFonts w:hint="eastAsia"/>
          <w:b w:val="0"/>
          <w:color w:val="000000"/>
          <w:sz w:val="24"/>
          <w:lang w:val="en-US" w:eastAsia="zh-CN"/>
        </w:rPr>
        <w:t>3</w:t>
      </w:r>
      <w:r>
        <w:rPr>
          <w:rFonts w:hint="eastAsia" w:ascii="宋体" w:hAnsi="宋体" w:eastAsia="宋体"/>
          <w:b w:val="0"/>
          <w:color w:val="000000"/>
          <w:sz w:val="24"/>
        </w:rPr>
        <w:t>本项目由采购人自行组织验收。</w:t>
      </w:r>
    </w:p>
    <w:p>
      <w:pPr>
        <w:spacing w:line="240" w:lineRule="auto"/>
        <w:ind w:left="480"/>
        <w:rPr>
          <w:rFonts w:hint="eastAsia" w:ascii="宋体" w:hAnsi="宋体" w:eastAsia="宋体" w:cs="宋体"/>
          <w:b w:val="0"/>
          <w:sz w:val="24"/>
          <w:highlight w:val="none"/>
          <w:lang w:eastAsia="zh-CN"/>
        </w:rPr>
      </w:pPr>
      <w:r>
        <w:rPr>
          <w:rFonts w:hint="eastAsia" w:ascii="宋体" w:hAnsi="宋体" w:eastAsia="宋体" w:cs="宋体"/>
          <w:b/>
          <w:bCs/>
          <w:sz w:val="24"/>
          <w:szCs w:val="24"/>
          <w:highlight w:val="none"/>
        </w:rPr>
        <w:t>（合同履约事宜：采购人和成交供应商应通过完善内部流程缩短合同签订期限，在中标、成交通知书发出之日起30日内，按照采购文件确定的事项签订政府采购合同，在合同中约定资金支付的方式、时间和条件，明确逾期支付资金的违约责任。</w:t>
      </w:r>
      <w:r>
        <w:rPr>
          <w:rFonts w:hint="eastAsia" w:ascii="宋体" w:hAnsi="宋体" w:eastAsia="宋体" w:cs="宋体"/>
          <w:b/>
          <w:bCs/>
          <w:sz w:val="24"/>
          <w:szCs w:val="24"/>
          <w:highlight w:val="none"/>
          <w:lang w:eastAsia="zh-CN"/>
        </w:rPr>
        <w:t>）</w:t>
      </w:r>
    </w:p>
    <w:p>
      <w:pPr>
        <w:pStyle w:val="25"/>
      </w:pPr>
    </w:p>
    <w:sectPr>
      <w:headerReference r:id="rId5" w:type="default"/>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default" w:eastAsia="宋体"/>
        <w:lang w:val="en-US" w:eastAsia="zh-CN"/>
      </w:rPr>
    </w:pPr>
    <w:r>
      <w:rPr>
        <w:rFonts w:hint="eastAsia"/>
      </w:rPr>
      <w:t>ZC20260167</w:t>
    </w:r>
    <w:r>
      <w:rPr>
        <w:rFonts w:hint="eastAsia"/>
        <w:lang w:val="en-US" w:eastAsia="zh-CN"/>
      </w:rPr>
      <w:t xml:space="preserve">     </w:t>
    </w:r>
    <w:r>
      <w:rPr>
        <w:rFonts w:hint="eastAsia"/>
        <w:lang w:eastAsia="zh-CN"/>
      </w:rPr>
      <w:t>长宁区域卫生平台XC升级改造公开招标项目</w:t>
    </w:r>
    <w:r>
      <w:rPr>
        <w:rFonts w:hint="eastAsia"/>
        <w:lang w:val="en-US" w:eastAsia="zh-CN"/>
      </w:rPr>
      <w:t xml:space="preserve">   采购需求文件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D7021B"/>
    <w:multiLevelType w:val="singleLevel"/>
    <w:tmpl w:val="AED7021B"/>
    <w:lvl w:ilvl="0" w:tentative="0">
      <w:start w:val="4"/>
      <w:numFmt w:val="chineseCounting"/>
      <w:suff w:val="nothing"/>
      <w:lvlText w:val="%1、"/>
      <w:lvlJc w:val="left"/>
      <w:rPr>
        <w:rFonts w:hint="eastAsia"/>
      </w:rPr>
    </w:lvl>
  </w:abstractNum>
  <w:abstractNum w:abstractNumId="1">
    <w:nsid w:val="AF753815"/>
    <w:multiLevelType w:val="singleLevel"/>
    <w:tmpl w:val="AF753815"/>
    <w:lvl w:ilvl="0" w:tentative="0">
      <w:start w:val="1"/>
      <w:numFmt w:val="decimal"/>
      <w:lvlText w:val="(%1)"/>
      <w:lvlJc w:val="left"/>
      <w:pPr>
        <w:ind w:left="425" w:hanging="425"/>
      </w:pPr>
      <w:rPr>
        <w:rFonts w:hint="default"/>
      </w:rPr>
    </w:lvl>
  </w:abstractNum>
  <w:abstractNum w:abstractNumId="2">
    <w:nsid w:val="C0A201DA"/>
    <w:multiLevelType w:val="singleLevel"/>
    <w:tmpl w:val="C0A201DA"/>
    <w:lvl w:ilvl="0" w:tentative="0">
      <w:start w:val="1"/>
      <w:numFmt w:val="decimal"/>
      <w:lvlText w:val="(%1)"/>
      <w:lvlJc w:val="left"/>
      <w:pPr>
        <w:ind w:left="425" w:hanging="425"/>
      </w:pPr>
      <w:rPr>
        <w:rFonts w:hint="default"/>
      </w:rPr>
    </w:lvl>
  </w:abstractNum>
  <w:abstractNum w:abstractNumId="3">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4">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5">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6">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7">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8">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9">
    <w:nsid w:val="5D1E9554"/>
    <w:multiLevelType w:val="singleLevel"/>
    <w:tmpl w:val="5D1E9554"/>
    <w:lvl w:ilvl="0" w:tentative="0">
      <w:start w:val="1"/>
      <w:numFmt w:val="decimal"/>
      <w:lvlText w:val="(%1)"/>
      <w:lvlJc w:val="left"/>
      <w:pPr>
        <w:ind w:left="425" w:hanging="425"/>
      </w:pPr>
      <w:rPr>
        <w:rFonts w:hint="default"/>
      </w:rPr>
    </w:lvl>
  </w:abstractNum>
  <w:num w:numId="1">
    <w:abstractNumId w:val="4"/>
  </w:num>
  <w:num w:numId="2">
    <w:abstractNumId w:val="7"/>
  </w:num>
  <w:num w:numId="3">
    <w:abstractNumId w:val="8"/>
  </w:num>
  <w:num w:numId="4">
    <w:abstractNumId w:val="5"/>
  </w:num>
  <w:num w:numId="5">
    <w:abstractNumId w:val="3"/>
  </w:num>
  <w:num w:numId="6">
    <w:abstractNumId w:val="6"/>
  </w:num>
  <w:num w:numId="7">
    <w:abstractNumId w:val="0"/>
  </w:num>
  <w:num w:numId="8">
    <w:abstractNumId w:val="2"/>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846044"/>
    <w:rsid w:val="08773372"/>
    <w:rsid w:val="09B87F5C"/>
    <w:rsid w:val="1017069F"/>
    <w:rsid w:val="1246139A"/>
    <w:rsid w:val="132658AE"/>
    <w:rsid w:val="1A074A8A"/>
    <w:rsid w:val="1EA00D7A"/>
    <w:rsid w:val="1FF638BC"/>
    <w:rsid w:val="23490170"/>
    <w:rsid w:val="23C21C9E"/>
    <w:rsid w:val="24DC2ABA"/>
    <w:rsid w:val="257537F7"/>
    <w:rsid w:val="2B5B780D"/>
    <w:rsid w:val="2CF03612"/>
    <w:rsid w:val="3B700563"/>
    <w:rsid w:val="45390FA1"/>
    <w:rsid w:val="57172442"/>
    <w:rsid w:val="57E1103B"/>
    <w:rsid w:val="590B416B"/>
    <w:rsid w:val="5AE4031F"/>
    <w:rsid w:val="5B540A75"/>
    <w:rsid w:val="65140CE3"/>
    <w:rsid w:val="6AB052E9"/>
    <w:rsid w:val="6EDB3A4C"/>
    <w:rsid w:val="743416B5"/>
    <w:rsid w:val="787942D9"/>
    <w:rsid w:val="789607FB"/>
    <w:rsid w:val="7B5D37F9"/>
    <w:rsid w:val="7CD16015"/>
    <w:rsid w:val="7DA0242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color w:val="000000"/>
      <w:sz w:val="24"/>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pPr>
      <w:jc w:val="left"/>
    </w:pPr>
  </w:style>
  <w:style w:type="paragraph" w:styleId="18">
    <w:name w:val="Body Text 3"/>
    <w:basedOn w:val="1"/>
    <w:link w:val="148"/>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6"/>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Balloon Text"/>
    <w:qFormat/>
    <w:uiPriority w:val="0"/>
    <w:pPr>
      <w:widowControl w:val="0"/>
      <w:jc w:val="both"/>
    </w:pPr>
    <w:rPr>
      <w:rFonts w:ascii="Calibri" w:hAnsi="Calibri" w:eastAsia="宋体" w:cs="Times New Roman"/>
      <w:kern w:val="2"/>
      <w:sz w:val="18"/>
      <w:szCs w:val="21"/>
      <w:lang w:val="en-US" w:eastAsia="zh-CN" w:bidi="ar-SA"/>
    </w:rPr>
  </w:style>
  <w:style w:type="paragraph" w:styleId="26">
    <w:name w:val="footer"/>
    <w:basedOn w:val="1"/>
    <w:link w:val="138"/>
    <w:unhideWhenUsed/>
    <w:qFormat/>
    <w:uiPriority w:val="99"/>
    <w:pPr>
      <w:tabs>
        <w:tab w:val="center" w:pos="4680"/>
        <w:tab w:val="right" w:pos="9360"/>
      </w:tabs>
      <w:spacing w:after="0" w:line="240" w:lineRule="auto"/>
    </w:pPr>
  </w:style>
  <w:style w:type="paragraph" w:styleId="27">
    <w:name w:val="header"/>
    <w:basedOn w:val="1"/>
    <w:link w:val="137"/>
    <w:unhideWhenUsed/>
    <w:qFormat/>
    <w:uiPriority w:val="99"/>
    <w:pPr>
      <w:tabs>
        <w:tab w:val="center" w:pos="4680"/>
        <w:tab w:val="right" w:pos="9360"/>
      </w:tabs>
      <w:spacing w:after="0" w:line="240" w:lineRule="auto"/>
    </w:pPr>
  </w:style>
  <w:style w:type="paragraph" w:styleId="28">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Body Text 2"/>
    <w:basedOn w:val="1"/>
    <w:link w:val="147"/>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7"/>
    <w:qFormat/>
    <w:uiPriority w:val="99"/>
  </w:style>
  <w:style w:type="character" w:customStyle="1" w:styleId="138">
    <w:name w:val="Footer Char"/>
    <w:basedOn w:val="134"/>
    <w:link w:val="26"/>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20"/>
    <w:qFormat/>
    <w:uiPriority w:val="99"/>
  </w:style>
  <w:style w:type="character" w:customStyle="1" w:styleId="147">
    <w:name w:val="Body Text 2 Char"/>
    <w:basedOn w:val="134"/>
    <w:link w:val="30"/>
    <w:qFormat/>
    <w:uiPriority w:val="99"/>
  </w:style>
  <w:style w:type="character" w:customStyle="1" w:styleId="148">
    <w:name w:val="Body Text 3 Char"/>
    <w:basedOn w:val="134"/>
    <w:link w:val="18"/>
    <w:qFormat/>
    <w:uiPriority w:val="99"/>
    <w:rPr>
      <w:sz w:val="16"/>
      <w:szCs w:val="16"/>
    </w:rPr>
  </w:style>
  <w:style w:type="character" w:customStyle="1" w:styleId="149">
    <w:name w:val="Macro Text Char"/>
    <w:basedOn w:val="134"/>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 w:type="character" w:customStyle="1" w:styleId="166">
    <w:name w:val="font31"/>
    <w:basedOn w:val="13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18</Pages>
  <Words>4714</Words>
  <Characters>4802</Characters>
  <DocSecurity>0</DocSecurity>
  <Lines>0</Lines>
  <Paragraphs>0</Paragraphs>
  <ScaleCrop>false</ScaleCrop>
  <LinksUpToDate>false</LinksUpToDate>
  <CharactersWithSpaces>4808</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terms:modified xsi:type="dcterms:W3CDTF">2026-10-14T12:52:32Z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eyJoZGlkIjoiYTljNTczNTBiYzdlMjg0YjllOGRmN2I3NTAyZjZlYjYiLCJ1c2VySWQiOiIyNTExNjI5MDgifQ==</vt:lpwstr>
  </property>
  <property fmtid="{D5CDD505-2E9C-101B-9397-08002B2CF9AE}" pid="3" name="KSOProductBuildVer">
    <vt:lpwstr>2052-12.8.2.15091</vt:lpwstr>
  </property>
  <property fmtid="{D5CDD505-2E9C-101B-9397-08002B2CF9AE}" pid="4" name="ICV">
    <vt:lpwstr>6CB647855C0C495FB411639064678D1A_13</vt:lpwstr>
  </property>
</Properties>
</file>