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00550">
      <w:pPr>
        <w:widowControl w:val="0"/>
        <w:adjustRightInd w:val="0"/>
        <w:snapToGrid w:val="0"/>
        <w:spacing w:line="560" w:lineRule="exact"/>
        <w:ind w:left="200" w:leftChars="100"/>
        <w:jc w:val="center"/>
        <w:rPr>
          <w:rFonts w:eastAsia="方正小标宋简体"/>
          <w:color w:val="auto"/>
          <w:kern w:val="2"/>
          <w:sz w:val="44"/>
          <w:szCs w:val="44"/>
          <w:highlight w:val="none"/>
        </w:rPr>
      </w:pPr>
      <w:r>
        <w:rPr>
          <w:rFonts w:hint="eastAsia" w:eastAsia="方正小标宋简体"/>
          <w:color w:val="auto"/>
          <w:kern w:val="2"/>
          <w:sz w:val="44"/>
          <w:szCs w:val="44"/>
          <w:highlight w:val="none"/>
        </w:rPr>
        <w:t>上海市公安局长宁分局2026年度综合应用系统技术服务竞争性磋商项目采购需求文件</w:t>
      </w:r>
    </w:p>
    <w:p w14:paraId="46A18E80">
      <w:pPr>
        <w:spacing w:line="360" w:lineRule="auto"/>
        <w:ind w:firstLine="480" w:firstLineChars="200"/>
        <w:rPr>
          <w:rFonts w:ascii="宋体" w:hAnsi="宋体" w:cs="宋体"/>
          <w:color w:val="auto"/>
          <w:sz w:val="24"/>
          <w:szCs w:val="24"/>
          <w:highlight w:val="none"/>
        </w:rPr>
      </w:pPr>
      <w:bookmarkStart w:id="0" w:name="_Toc491179324"/>
      <w:bookmarkEnd w:id="0"/>
      <w:bookmarkStart w:id="1" w:name="_Toc491178032"/>
      <w:bookmarkEnd w:id="1"/>
      <w:bookmarkStart w:id="2" w:name="_Toc491179317"/>
      <w:bookmarkEnd w:id="2"/>
      <w:bookmarkStart w:id="3" w:name="_Toc491179298"/>
      <w:bookmarkEnd w:id="3"/>
      <w:bookmarkStart w:id="4" w:name="_Toc491179281"/>
      <w:bookmarkEnd w:id="4"/>
      <w:bookmarkStart w:id="5" w:name="_Toc491179303"/>
      <w:bookmarkEnd w:id="5"/>
      <w:bookmarkStart w:id="6" w:name="_Toc491179323"/>
      <w:bookmarkEnd w:id="6"/>
      <w:bookmarkStart w:id="7" w:name="_Toc491178739"/>
      <w:bookmarkEnd w:id="7"/>
      <w:bookmarkStart w:id="8" w:name="_Toc491179322"/>
      <w:bookmarkEnd w:id="8"/>
      <w:bookmarkStart w:id="9" w:name="_Toc491179288"/>
      <w:bookmarkEnd w:id="9"/>
      <w:bookmarkStart w:id="10" w:name="_Toc491166449"/>
      <w:bookmarkEnd w:id="10"/>
      <w:bookmarkStart w:id="11" w:name="_Toc491179300"/>
      <w:bookmarkEnd w:id="11"/>
      <w:bookmarkStart w:id="12" w:name="_Toc491166296"/>
      <w:bookmarkEnd w:id="12"/>
      <w:bookmarkStart w:id="13" w:name="_Toc491164462"/>
      <w:bookmarkEnd w:id="13"/>
      <w:bookmarkStart w:id="14" w:name="_Toc491179311"/>
      <w:bookmarkEnd w:id="14"/>
      <w:bookmarkStart w:id="15" w:name="_Toc491164457"/>
      <w:bookmarkEnd w:id="15"/>
      <w:bookmarkStart w:id="16" w:name="_Toc491179320"/>
      <w:bookmarkEnd w:id="16"/>
      <w:bookmarkStart w:id="17" w:name="_Toc485998977"/>
      <w:bookmarkEnd w:id="17"/>
      <w:bookmarkStart w:id="18" w:name="_Toc491166301"/>
      <w:bookmarkEnd w:id="18"/>
      <w:bookmarkStart w:id="19" w:name="_Toc491179321"/>
      <w:bookmarkEnd w:id="19"/>
      <w:bookmarkStart w:id="20" w:name="_Toc491166523"/>
      <w:bookmarkEnd w:id="20"/>
      <w:bookmarkStart w:id="21" w:name="_Toc491179319"/>
      <w:bookmarkEnd w:id="21"/>
      <w:bookmarkStart w:id="22" w:name="_Toc491179318"/>
      <w:bookmarkEnd w:id="22"/>
      <w:bookmarkStart w:id="23" w:name="OLE_LINK2"/>
      <w:bookmarkEnd w:id="23"/>
      <w:bookmarkStart w:id="24" w:name="_Toc491179301"/>
      <w:bookmarkEnd w:id="24"/>
      <w:bookmarkStart w:id="25" w:name="_Toc491178743"/>
      <w:bookmarkEnd w:id="25"/>
      <w:bookmarkStart w:id="26" w:name="_Toc491178027"/>
      <w:bookmarkEnd w:id="26"/>
      <w:bookmarkStart w:id="27" w:name="_Toc491166519"/>
      <w:bookmarkEnd w:id="27"/>
      <w:bookmarkStart w:id="28" w:name="_Toc491166518"/>
      <w:bookmarkEnd w:id="28"/>
      <w:bookmarkStart w:id="29" w:name="_Toc491166445"/>
      <w:bookmarkEnd w:id="29"/>
      <w:bookmarkStart w:id="30" w:name="_Toc491179325"/>
      <w:bookmarkEnd w:id="30"/>
      <w:bookmarkStart w:id="31" w:name="_Toc491179310"/>
      <w:bookmarkEnd w:id="31"/>
      <w:bookmarkStart w:id="32" w:name="_Toc491179287"/>
      <w:bookmarkEnd w:id="32"/>
      <w:bookmarkStart w:id="33" w:name="_Toc491179308"/>
      <w:bookmarkEnd w:id="33"/>
      <w:bookmarkStart w:id="34" w:name="_Toc491179315"/>
      <w:bookmarkEnd w:id="34"/>
      <w:bookmarkStart w:id="35" w:name="_Toc491166444"/>
      <w:bookmarkEnd w:id="35"/>
      <w:bookmarkStart w:id="36" w:name="_Toc491179299"/>
      <w:bookmarkEnd w:id="36"/>
      <w:bookmarkStart w:id="37" w:name="_Toc491179296"/>
      <w:bookmarkEnd w:id="37"/>
      <w:bookmarkStart w:id="38" w:name="_Toc491179309"/>
      <w:bookmarkEnd w:id="38"/>
      <w:bookmarkStart w:id="39" w:name="_Toc491179327"/>
      <w:bookmarkEnd w:id="39"/>
      <w:bookmarkStart w:id="40" w:name="_Toc491164458"/>
      <w:bookmarkEnd w:id="40"/>
      <w:bookmarkStart w:id="41" w:name="_Toc491179328"/>
      <w:bookmarkEnd w:id="41"/>
      <w:bookmarkStart w:id="42" w:name="_Toc491179295"/>
      <w:bookmarkEnd w:id="42"/>
      <w:bookmarkStart w:id="43" w:name="_Toc491179314"/>
      <w:bookmarkEnd w:id="43"/>
      <w:bookmarkStart w:id="44" w:name="_Toc491179316"/>
      <w:bookmarkEnd w:id="44"/>
      <w:bookmarkStart w:id="45" w:name="_Toc491166297"/>
      <w:bookmarkEnd w:id="45"/>
      <w:bookmarkStart w:id="46" w:name="_Toc491179289"/>
      <w:bookmarkEnd w:id="46"/>
      <w:bookmarkStart w:id="47" w:name="_Toc491166371"/>
      <w:bookmarkEnd w:id="47"/>
      <w:bookmarkStart w:id="48" w:name="_Toc491179282"/>
      <w:bookmarkEnd w:id="48"/>
      <w:bookmarkStart w:id="49" w:name="_Toc491179297"/>
      <w:bookmarkEnd w:id="49"/>
      <w:bookmarkStart w:id="50" w:name="_Toc485896653"/>
      <w:bookmarkEnd w:id="50"/>
      <w:bookmarkStart w:id="51" w:name="_Toc491178738"/>
      <w:bookmarkEnd w:id="51"/>
      <w:bookmarkStart w:id="52" w:name="_Toc491179326"/>
      <w:bookmarkEnd w:id="52"/>
      <w:bookmarkStart w:id="53" w:name="_Toc491179294"/>
      <w:bookmarkEnd w:id="53"/>
      <w:bookmarkStart w:id="54" w:name="_Toc491179313"/>
      <w:bookmarkEnd w:id="54"/>
      <w:bookmarkStart w:id="55" w:name="_Toc491179306"/>
      <w:bookmarkEnd w:id="55"/>
      <w:bookmarkStart w:id="56" w:name="_Toc480637051"/>
      <w:bookmarkEnd w:id="56"/>
      <w:bookmarkStart w:id="57" w:name="_Toc491178028"/>
      <w:bookmarkEnd w:id="57"/>
      <w:bookmarkStart w:id="58" w:name="_Toc491179304"/>
      <w:bookmarkEnd w:id="58"/>
      <w:bookmarkStart w:id="59" w:name="_Toc491179283"/>
      <w:bookmarkEnd w:id="59"/>
      <w:bookmarkStart w:id="60" w:name="_Toc491166370"/>
      <w:bookmarkEnd w:id="60"/>
      <w:bookmarkStart w:id="61" w:name="_Toc491179307"/>
      <w:bookmarkEnd w:id="61"/>
      <w:bookmarkStart w:id="62" w:name="_Toc491179302"/>
      <w:bookmarkEnd w:id="62"/>
      <w:bookmarkStart w:id="63" w:name="_Toc491179292"/>
      <w:bookmarkEnd w:id="63"/>
      <w:bookmarkStart w:id="64" w:name="_Toc491179305"/>
      <w:bookmarkEnd w:id="64"/>
      <w:bookmarkStart w:id="65" w:name="_Toc491166375"/>
      <w:bookmarkEnd w:id="65"/>
      <w:bookmarkStart w:id="66" w:name="_Hlk88809546"/>
      <w:bookmarkStart w:id="71" w:name="_GoBack"/>
      <w:bookmarkEnd w:id="71"/>
    </w:p>
    <w:p w14:paraId="62FF3CB4">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1、项目概况</w:t>
      </w:r>
    </w:p>
    <w:p w14:paraId="45800D02">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1.1 项目背景</w:t>
      </w:r>
    </w:p>
    <w:p w14:paraId="6FA0AE56">
      <w:pPr>
        <w:spacing w:line="360" w:lineRule="auto"/>
        <w:ind w:firstLine="597" w:firstLineChars="249"/>
        <w:rPr>
          <w:rFonts w:ascii="宋体" w:hAnsi="宋体" w:cs="宋体"/>
          <w:color w:val="auto"/>
          <w:sz w:val="24"/>
          <w:szCs w:val="24"/>
          <w:highlight w:val="none"/>
        </w:rPr>
      </w:pPr>
      <w:r>
        <w:rPr>
          <w:rFonts w:hint="eastAsia" w:ascii="宋体" w:hAnsi="宋体" w:cs="宋体"/>
          <w:color w:val="auto"/>
          <w:sz w:val="24"/>
          <w:szCs w:val="24"/>
          <w:highlight w:val="none"/>
        </w:rPr>
        <w:t>为了满足业务需求，上海市公安局长宁分局在历年信息化推进中建设了一批虚拟机云平台、数据库系统及业务应用系统，这些系统已经过保，拟采用运维服务外包的方式进行维保，以保障业务的正常运行。</w:t>
      </w:r>
    </w:p>
    <w:p w14:paraId="59A494D1">
      <w:pPr>
        <w:spacing w:line="360" w:lineRule="auto"/>
        <w:ind w:firstLine="361" w:firstLineChars="150"/>
        <w:rPr>
          <w:rFonts w:ascii="宋体" w:hAnsi="宋体"/>
          <w:b/>
          <w:color w:val="auto"/>
          <w:sz w:val="24"/>
          <w:szCs w:val="24"/>
          <w:highlight w:val="none"/>
        </w:rPr>
      </w:pPr>
      <w:r>
        <w:rPr>
          <w:rFonts w:hint="eastAsia" w:ascii="宋体" w:hAnsi="宋体" w:cs="宋体"/>
          <w:b/>
          <w:color w:val="auto"/>
          <w:sz w:val="24"/>
          <w:szCs w:val="24"/>
          <w:highlight w:val="none"/>
        </w:rPr>
        <w:t>1.2 项目</w:t>
      </w:r>
      <w:r>
        <w:rPr>
          <w:rFonts w:hint="eastAsia" w:ascii="宋体" w:hAnsi="宋体"/>
          <w:b/>
          <w:color w:val="auto"/>
          <w:sz w:val="24"/>
          <w:szCs w:val="24"/>
          <w:highlight w:val="none"/>
        </w:rPr>
        <w:t>目标</w:t>
      </w:r>
    </w:p>
    <w:p w14:paraId="1486CF95">
      <w:pPr>
        <w:spacing w:line="360" w:lineRule="auto"/>
        <w:ind w:firstLine="361" w:firstLineChars="150"/>
        <w:rPr>
          <w:rFonts w:ascii="宋体" w:hAnsi="宋体"/>
          <w:b/>
          <w:color w:val="auto"/>
          <w:sz w:val="24"/>
          <w:szCs w:val="24"/>
          <w:highlight w:val="none"/>
        </w:rPr>
      </w:pPr>
      <w:r>
        <w:rPr>
          <w:rFonts w:hint="eastAsia" w:ascii="宋体" w:hAnsi="宋体"/>
          <w:b/>
          <w:color w:val="auto"/>
          <w:sz w:val="24"/>
          <w:szCs w:val="24"/>
          <w:highlight w:val="none"/>
        </w:rPr>
        <w:t xml:space="preserve">  </w:t>
      </w:r>
      <w:r>
        <w:rPr>
          <w:rFonts w:hint="eastAsia" w:ascii="宋体" w:hAnsi="宋体" w:cs="宋体"/>
          <w:color w:val="auto"/>
          <w:sz w:val="24"/>
          <w:szCs w:val="24"/>
          <w:highlight w:val="none"/>
        </w:rPr>
        <w:t>主要目标是例行巡检、驻场服务能主动发现各类预故障，并在发生故障后能得到及时的响应和处置，把对工作的影响降到最低，同时，与时俱进配合用户需求变化进行完善升级与扩容维护，以适应现实工作需要。</w:t>
      </w:r>
    </w:p>
    <w:p w14:paraId="0F3E09E4">
      <w:pPr>
        <w:spacing w:line="360" w:lineRule="auto"/>
        <w:ind w:firstLine="361" w:firstLineChars="150"/>
        <w:rPr>
          <w:rFonts w:ascii="宋体" w:hAnsi="宋体" w:cs="宋体"/>
          <w:b/>
          <w:color w:val="auto"/>
          <w:sz w:val="24"/>
          <w:szCs w:val="24"/>
          <w:highlight w:val="none"/>
        </w:rPr>
      </w:pPr>
      <w:r>
        <w:rPr>
          <w:rFonts w:hint="eastAsia" w:ascii="宋体" w:hAnsi="宋体"/>
          <w:b/>
          <w:color w:val="auto"/>
          <w:sz w:val="24"/>
          <w:szCs w:val="24"/>
          <w:highlight w:val="none"/>
        </w:rPr>
        <w:t>1.3 主要服务内容</w:t>
      </w:r>
    </w:p>
    <w:p w14:paraId="1A2783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本项目运维对象包括分局虚拟化软件平台5套、数据库系统13套、</w:t>
      </w:r>
      <w:r>
        <w:rPr>
          <w:rFonts w:hint="eastAsia" w:ascii="宋体" w:hAnsi="宋体" w:cs="宋体"/>
          <w:color w:val="auto"/>
          <w:sz w:val="24"/>
          <w:szCs w:val="24"/>
          <w:highlight w:val="none"/>
          <w:lang w:val="en-US" w:eastAsia="zh-CN"/>
        </w:rPr>
        <w:t>分局各类网站及各类</w:t>
      </w:r>
      <w:r>
        <w:rPr>
          <w:rFonts w:hint="eastAsia" w:ascii="宋体" w:hAnsi="宋体" w:cs="宋体"/>
          <w:color w:val="auto"/>
          <w:sz w:val="24"/>
          <w:szCs w:val="24"/>
          <w:highlight w:val="none"/>
        </w:rPr>
        <w:t>业务相关应用系统</w:t>
      </w:r>
      <w:r>
        <w:rPr>
          <w:rFonts w:hint="eastAsia" w:ascii="宋体" w:hAnsi="宋体" w:cs="宋体"/>
          <w:color w:val="auto"/>
          <w:sz w:val="24"/>
          <w:szCs w:val="24"/>
          <w:highlight w:val="none"/>
          <w:lang w:val="en-US" w:eastAsia="zh-CN"/>
        </w:rPr>
        <w:t>共30</w:t>
      </w:r>
      <w:r>
        <w:rPr>
          <w:rFonts w:hint="eastAsia" w:ascii="宋体" w:hAnsi="宋体" w:cs="宋体"/>
          <w:color w:val="auto"/>
          <w:sz w:val="24"/>
          <w:szCs w:val="24"/>
          <w:highlight w:val="none"/>
        </w:rPr>
        <w:t>个、应用系统的升级开发、加班等。</w:t>
      </w:r>
    </w:p>
    <w:p w14:paraId="0F740C4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本项目运维服务内容包括现场例行巡检和应急维护、安全加固、升级完善、临时服务等工作。</w:t>
      </w:r>
    </w:p>
    <w:p w14:paraId="7004BA88">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  1.4</w:t>
      </w:r>
      <w:r>
        <w:rPr>
          <w:rFonts w:hint="eastAsia" w:ascii="宋体" w:hAnsi="宋体"/>
          <w:b/>
          <w:color w:val="auto"/>
          <w:sz w:val="24"/>
          <w:szCs w:val="24"/>
          <w:highlight w:val="none"/>
        </w:rPr>
        <w:t>服务时间</w:t>
      </w:r>
    </w:p>
    <w:p w14:paraId="40258FFA">
      <w:pPr>
        <w:spacing w:line="360" w:lineRule="auto"/>
        <w:ind w:firstLine="240" w:firstLineChars="1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2026年7月1日--2027年6月30日</w:t>
      </w:r>
    </w:p>
    <w:p w14:paraId="3D3D1B88">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1.5 服务地点</w:t>
      </w:r>
    </w:p>
    <w:p w14:paraId="113B70F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长宁公安分局机房。</w:t>
      </w:r>
    </w:p>
    <w:p w14:paraId="77BBB12F">
      <w:pPr>
        <w:spacing w:line="360" w:lineRule="auto"/>
        <w:ind w:firstLine="480" w:firstLineChars="200"/>
        <w:rPr>
          <w:rFonts w:ascii="宋体" w:hAnsi="宋体" w:cs="宋体"/>
          <w:color w:val="auto"/>
          <w:sz w:val="24"/>
          <w:szCs w:val="24"/>
          <w:highlight w:val="none"/>
        </w:rPr>
      </w:pPr>
    </w:p>
    <w:p w14:paraId="5D9156B8">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2、服务内容及要求</w:t>
      </w:r>
    </w:p>
    <w:p w14:paraId="3D7D6CAC">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2.1虚拟化软件平台运维需求</w:t>
      </w:r>
    </w:p>
    <w:p w14:paraId="34B82B83">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2.1.1 虚拟化软件平台运维对象：</w:t>
      </w:r>
    </w:p>
    <w:p w14:paraId="1FD89737">
      <w:pPr>
        <w:spacing w:line="360" w:lineRule="auto"/>
        <w:ind w:firstLine="708" w:firstLineChars="295"/>
        <w:rPr>
          <w:rFonts w:ascii="宋体" w:hAnsi="宋体" w:cs="宋体"/>
          <w:color w:val="auto"/>
          <w:sz w:val="24"/>
          <w:szCs w:val="24"/>
          <w:highlight w:val="none"/>
        </w:rPr>
      </w:pPr>
      <w:r>
        <w:rPr>
          <w:rFonts w:hint="eastAsia" w:ascii="宋体" w:hAnsi="宋体" w:cs="宋体"/>
          <w:color w:val="auto"/>
          <w:sz w:val="24"/>
          <w:szCs w:val="24"/>
          <w:highlight w:val="none"/>
        </w:rPr>
        <w:t>为5套虚拟化软件系统。</w:t>
      </w:r>
    </w:p>
    <w:tbl>
      <w:tblPr>
        <w:tblStyle w:val="16"/>
        <w:tblW w:w="7229" w:type="dxa"/>
        <w:tblInd w:w="817" w:type="dxa"/>
        <w:tblLayout w:type="autofit"/>
        <w:tblCellMar>
          <w:top w:w="0" w:type="dxa"/>
          <w:left w:w="108" w:type="dxa"/>
          <w:bottom w:w="0" w:type="dxa"/>
          <w:right w:w="108" w:type="dxa"/>
        </w:tblCellMar>
      </w:tblPr>
      <w:tblGrid>
        <w:gridCol w:w="1701"/>
        <w:gridCol w:w="1985"/>
        <w:gridCol w:w="1417"/>
        <w:gridCol w:w="2126"/>
      </w:tblGrid>
      <w:tr w14:paraId="7E2153F2">
        <w:tblPrEx>
          <w:tblCellMar>
            <w:top w:w="0" w:type="dxa"/>
            <w:left w:w="108" w:type="dxa"/>
            <w:bottom w:w="0" w:type="dxa"/>
            <w:right w:w="108" w:type="dxa"/>
          </w:tblCellMar>
        </w:tblPrEx>
        <w:trPr>
          <w:trHeight w:val="439" w:hRule="atLeast"/>
        </w:trPr>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E64AF">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所属网络</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039E6218">
            <w:pPr>
              <w:jc w:val="center"/>
              <w:rPr>
                <w:rFonts w:ascii="宋体" w:hAnsi="宋体" w:cs="宋体"/>
                <w:b/>
                <w:bCs/>
                <w:color w:val="auto"/>
                <w:sz w:val="24"/>
                <w:szCs w:val="24"/>
                <w:highlight w:val="none"/>
              </w:rPr>
            </w:pPr>
            <w:r>
              <w:rPr>
                <w:rFonts w:hint="eastAsia" w:ascii="宋体" w:hAnsi="宋体" w:cs="宋体"/>
                <w:color w:val="auto"/>
                <w:sz w:val="24"/>
                <w:szCs w:val="24"/>
                <w:highlight w:val="none"/>
              </w:rPr>
              <w:t>虚拟化软件品牌</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551D5F50">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软件版本</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5E62FD69">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系统规模</w:t>
            </w:r>
          </w:p>
        </w:tc>
      </w:tr>
      <w:tr w14:paraId="3A399741">
        <w:tblPrEx>
          <w:tblCellMar>
            <w:top w:w="0" w:type="dxa"/>
            <w:left w:w="108" w:type="dxa"/>
            <w:bottom w:w="0" w:type="dxa"/>
            <w:right w:w="108" w:type="dxa"/>
          </w:tblCellMar>
        </w:tblPrEx>
        <w:trPr>
          <w:trHeight w:val="439" w:hRule="atLeast"/>
        </w:trPr>
        <w:tc>
          <w:tcPr>
            <w:tcW w:w="1701" w:type="dxa"/>
            <w:vMerge w:val="restart"/>
            <w:tcBorders>
              <w:top w:val="nil"/>
              <w:left w:val="single" w:color="auto" w:sz="4" w:space="0"/>
              <w:bottom w:val="single" w:color="auto" w:sz="4" w:space="0"/>
              <w:right w:val="single" w:color="auto" w:sz="4" w:space="0"/>
            </w:tcBorders>
            <w:shd w:val="clear" w:color="auto" w:fill="auto"/>
            <w:noWrap/>
            <w:vAlign w:val="center"/>
          </w:tcPr>
          <w:p w14:paraId="2CBC3F91">
            <w:pPr>
              <w:jc w:val="center"/>
              <w:rPr>
                <w:rFonts w:ascii="宋体" w:hAnsi="宋体" w:cs="宋体"/>
                <w:color w:val="auto"/>
                <w:sz w:val="24"/>
                <w:szCs w:val="24"/>
                <w:highlight w:val="none"/>
              </w:rPr>
            </w:pPr>
            <w:r>
              <w:rPr>
                <w:rFonts w:hint="eastAsia" w:ascii="宋体" w:hAnsi="宋体" w:cs="宋体"/>
                <w:color w:val="auto"/>
                <w:sz w:val="24"/>
                <w:szCs w:val="24"/>
                <w:highlight w:val="none"/>
              </w:rPr>
              <w:t>TX网</w:t>
            </w:r>
          </w:p>
        </w:tc>
        <w:tc>
          <w:tcPr>
            <w:tcW w:w="1985" w:type="dxa"/>
            <w:tcBorders>
              <w:top w:val="nil"/>
              <w:left w:val="nil"/>
              <w:bottom w:val="single" w:color="auto" w:sz="4" w:space="0"/>
              <w:right w:val="single" w:color="auto" w:sz="4" w:space="0"/>
            </w:tcBorders>
            <w:shd w:val="clear" w:color="auto" w:fill="auto"/>
            <w:noWrap/>
            <w:vAlign w:val="center"/>
          </w:tcPr>
          <w:p w14:paraId="21EA8D78">
            <w:pPr>
              <w:jc w:val="center"/>
              <w:rPr>
                <w:rFonts w:ascii="宋体" w:hAnsi="宋体" w:cs="宋体"/>
                <w:color w:val="auto"/>
                <w:sz w:val="24"/>
                <w:szCs w:val="24"/>
                <w:highlight w:val="none"/>
              </w:rPr>
            </w:pPr>
            <w:r>
              <w:rPr>
                <w:rFonts w:hint="eastAsia" w:ascii="宋体" w:hAnsi="宋体" w:cs="宋体"/>
                <w:color w:val="auto"/>
                <w:sz w:val="24"/>
                <w:szCs w:val="24"/>
                <w:highlight w:val="none"/>
              </w:rPr>
              <w:t>VMWare</w:t>
            </w:r>
          </w:p>
        </w:tc>
        <w:tc>
          <w:tcPr>
            <w:tcW w:w="1417" w:type="dxa"/>
            <w:tcBorders>
              <w:top w:val="nil"/>
              <w:left w:val="nil"/>
              <w:bottom w:val="single" w:color="auto" w:sz="4" w:space="0"/>
              <w:right w:val="single" w:color="auto" w:sz="4" w:space="0"/>
            </w:tcBorders>
            <w:shd w:val="clear" w:color="auto" w:fill="auto"/>
            <w:noWrap/>
            <w:vAlign w:val="center"/>
          </w:tcPr>
          <w:p w14:paraId="11673054">
            <w:pPr>
              <w:jc w:val="center"/>
              <w:rPr>
                <w:rFonts w:ascii="宋体" w:hAnsi="宋体" w:cs="宋体"/>
                <w:color w:val="auto"/>
                <w:sz w:val="24"/>
                <w:szCs w:val="24"/>
                <w:highlight w:val="none"/>
              </w:rPr>
            </w:pPr>
            <w:r>
              <w:rPr>
                <w:rFonts w:hint="eastAsia" w:ascii="宋体" w:hAnsi="宋体" w:cs="宋体"/>
                <w:color w:val="auto"/>
                <w:sz w:val="24"/>
                <w:szCs w:val="24"/>
                <w:highlight w:val="none"/>
              </w:rPr>
              <w:t>6.7</w:t>
            </w:r>
          </w:p>
        </w:tc>
        <w:tc>
          <w:tcPr>
            <w:tcW w:w="2126" w:type="dxa"/>
            <w:tcBorders>
              <w:top w:val="nil"/>
              <w:left w:val="nil"/>
              <w:bottom w:val="single" w:color="auto" w:sz="4" w:space="0"/>
              <w:right w:val="single" w:color="auto" w:sz="4" w:space="0"/>
            </w:tcBorders>
            <w:shd w:val="clear" w:color="auto" w:fill="auto"/>
            <w:noWrap/>
            <w:vAlign w:val="center"/>
          </w:tcPr>
          <w:p w14:paraId="00F24BFB">
            <w:pPr>
              <w:jc w:val="center"/>
              <w:rPr>
                <w:rFonts w:ascii="宋体" w:hAnsi="宋体" w:cs="宋体"/>
                <w:color w:val="auto"/>
                <w:sz w:val="24"/>
                <w:szCs w:val="24"/>
                <w:highlight w:val="none"/>
              </w:rPr>
            </w:pPr>
            <w:r>
              <w:rPr>
                <w:rFonts w:hint="eastAsia" w:ascii="宋体" w:hAnsi="宋体" w:cs="宋体"/>
                <w:bCs/>
                <w:color w:val="auto"/>
                <w:sz w:val="24"/>
                <w:szCs w:val="24"/>
                <w:highlight w:val="none"/>
              </w:rPr>
              <w:t>百级CPU核数</w:t>
            </w:r>
          </w:p>
        </w:tc>
      </w:tr>
      <w:tr w14:paraId="7556377E">
        <w:tblPrEx>
          <w:tblCellMar>
            <w:top w:w="0" w:type="dxa"/>
            <w:left w:w="108" w:type="dxa"/>
            <w:bottom w:w="0" w:type="dxa"/>
            <w:right w:w="108" w:type="dxa"/>
          </w:tblCellMar>
        </w:tblPrEx>
        <w:trPr>
          <w:trHeight w:val="439" w:hRule="atLeast"/>
        </w:trPr>
        <w:tc>
          <w:tcPr>
            <w:tcW w:w="1701" w:type="dxa"/>
            <w:vMerge w:val="continue"/>
            <w:tcBorders>
              <w:top w:val="nil"/>
              <w:left w:val="single" w:color="auto" w:sz="4" w:space="0"/>
              <w:bottom w:val="single" w:color="auto" w:sz="4" w:space="0"/>
              <w:right w:val="single" w:color="auto" w:sz="4" w:space="0"/>
            </w:tcBorders>
            <w:vAlign w:val="center"/>
          </w:tcPr>
          <w:p w14:paraId="4E3D06CD">
            <w:pPr>
              <w:rPr>
                <w:rFonts w:ascii="宋体" w:hAnsi="宋体" w:cs="宋体"/>
                <w:color w:val="auto"/>
                <w:sz w:val="24"/>
                <w:szCs w:val="24"/>
                <w:highlight w:val="none"/>
              </w:rPr>
            </w:pPr>
          </w:p>
        </w:tc>
        <w:tc>
          <w:tcPr>
            <w:tcW w:w="1985" w:type="dxa"/>
            <w:tcBorders>
              <w:top w:val="nil"/>
              <w:left w:val="nil"/>
              <w:bottom w:val="single" w:color="auto" w:sz="4" w:space="0"/>
              <w:right w:val="single" w:color="auto" w:sz="4" w:space="0"/>
            </w:tcBorders>
            <w:shd w:val="clear" w:color="auto" w:fill="auto"/>
            <w:noWrap/>
            <w:vAlign w:val="center"/>
          </w:tcPr>
          <w:p w14:paraId="74B1B151">
            <w:pPr>
              <w:jc w:val="center"/>
              <w:rPr>
                <w:rFonts w:ascii="宋体" w:hAnsi="宋体" w:cs="宋体"/>
                <w:color w:val="auto"/>
                <w:sz w:val="24"/>
                <w:szCs w:val="24"/>
                <w:highlight w:val="none"/>
              </w:rPr>
            </w:pPr>
            <w:r>
              <w:rPr>
                <w:rFonts w:hint="eastAsia" w:ascii="宋体" w:hAnsi="宋体" w:cs="宋体"/>
                <w:color w:val="auto"/>
                <w:sz w:val="24"/>
                <w:szCs w:val="24"/>
                <w:highlight w:val="none"/>
              </w:rPr>
              <w:t>华为云平台</w:t>
            </w:r>
          </w:p>
        </w:tc>
        <w:tc>
          <w:tcPr>
            <w:tcW w:w="1417" w:type="dxa"/>
            <w:tcBorders>
              <w:top w:val="nil"/>
              <w:left w:val="nil"/>
              <w:bottom w:val="single" w:color="auto" w:sz="4" w:space="0"/>
              <w:right w:val="single" w:color="auto" w:sz="4" w:space="0"/>
            </w:tcBorders>
            <w:shd w:val="clear" w:color="auto" w:fill="auto"/>
            <w:noWrap/>
            <w:vAlign w:val="center"/>
          </w:tcPr>
          <w:p w14:paraId="19E789F1">
            <w:pPr>
              <w:jc w:val="center"/>
              <w:rPr>
                <w:rFonts w:ascii="宋体" w:hAnsi="宋体" w:cs="宋体"/>
                <w:color w:val="auto"/>
                <w:sz w:val="24"/>
                <w:szCs w:val="24"/>
                <w:highlight w:val="none"/>
              </w:rPr>
            </w:pPr>
            <w:r>
              <w:rPr>
                <w:rFonts w:hint="eastAsia" w:ascii="宋体" w:hAnsi="宋体" w:cs="宋体"/>
                <w:color w:val="auto"/>
                <w:sz w:val="24"/>
                <w:szCs w:val="24"/>
                <w:highlight w:val="none"/>
              </w:rPr>
              <w:t>6.5.1</w:t>
            </w:r>
          </w:p>
        </w:tc>
        <w:tc>
          <w:tcPr>
            <w:tcW w:w="2126" w:type="dxa"/>
            <w:tcBorders>
              <w:top w:val="nil"/>
              <w:left w:val="nil"/>
              <w:bottom w:val="single" w:color="auto" w:sz="4" w:space="0"/>
              <w:right w:val="single" w:color="auto" w:sz="4" w:space="0"/>
            </w:tcBorders>
            <w:shd w:val="clear" w:color="auto" w:fill="auto"/>
            <w:noWrap/>
            <w:vAlign w:val="center"/>
          </w:tcPr>
          <w:p w14:paraId="1DCC0B6A">
            <w:pPr>
              <w:jc w:val="right"/>
              <w:rPr>
                <w:rFonts w:ascii="宋体" w:hAnsi="宋体" w:cs="宋体"/>
                <w:color w:val="auto"/>
                <w:sz w:val="24"/>
                <w:szCs w:val="24"/>
                <w:highlight w:val="none"/>
              </w:rPr>
            </w:pPr>
            <w:r>
              <w:rPr>
                <w:rFonts w:hint="eastAsia" w:ascii="宋体" w:hAnsi="宋体" w:cs="宋体"/>
                <w:color w:val="auto"/>
                <w:sz w:val="24"/>
                <w:szCs w:val="24"/>
                <w:highlight w:val="none"/>
              </w:rPr>
              <w:t>三万级CPU核</w:t>
            </w:r>
            <w:r>
              <w:rPr>
                <w:rFonts w:hint="eastAsia" w:ascii="宋体" w:hAnsi="宋体" w:cs="宋体"/>
                <w:bCs/>
                <w:color w:val="auto"/>
                <w:sz w:val="24"/>
                <w:szCs w:val="24"/>
                <w:highlight w:val="none"/>
              </w:rPr>
              <w:t>数</w:t>
            </w:r>
            <w:r>
              <w:rPr>
                <w:rFonts w:hint="eastAsia" w:ascii="宋体" w:hAnsi="宋体" w:cs="宋体"/>
                <w:color w:val="auto"/>
                <w:sz w:val="24"/>
                <w:szCs w:val="24"/>
                <w:highlight w:val="none"/>
              </w:rPr>
              <w:t xml:space="preserve"> </w:t>
            </w:r>
          </w:p>
        </w:tc>
      </w:tr>
      <w:tr w14:paraId="11F79A54">
        <w:tblPrEx>
          <w:tblCellMar>
            <w:top w:w="0" w:type="dxa"/>
            <w:left w:w="108" w:type="dxa"/>
            <w:bottom w:w="0" w:type="dxa"/>
            <w:right w:w="108" w:type="dxa"/>
          </w:tblCellMar>
        </w:tblPrEx>
        <w:trPr>
          <w:trHeight w:val="439" w:hRule="atLeast"/>
        </w:trPr>
        <w:tc>
          <w:tcPr>
            <w:tcW w:w="1701" w:type="dxa"/>
            <w:vMerge w:val="restart"/>
            <w:tcBorders>
              <w:top w:val="nil"/>
              <w:left w:val="single" w:color="auto" w:sz="4" w:space="0"/>
              <w:bottom w:val="single" w:color="auto" w:sz="4" w:space="0"/>
              <w:right w:val="single" w:color="auto" w:sz="4" w:space="0"/>
            </w:tcBorders>
            <w:shd w:val="clear" w:color="auto" w:fill="auto"/>
            <w:noWrap/>
            <w:vAlign w:val="center"/>
          </w:tcPr>
          <w:p w14:paraId="215D01FB">
            <w:pPr>
              <w:jc w:val="center"/>
              <w:rPr>
                <w:rFonts w:ascii="宋体" w:hAnsi="宋体" w:cs="宋体"/>
                <w:color w:val="auto"/>
                <w:sz w:val="24"/>
                <w:szCs w:val="24"/>
                <w:highlight w:val="none"/>
              </w:rPr>
            </w:pPr>
            <w:r>
              <w:rPr>
                <w:rFonts w:hint="eastAsia" w:ascii="宋体" w:hAnsi="宋体" w:cs="宋体"/>
                <w:color w:val="auto"/>
                <w:sz w:val="24"/>
                <w:szCs w:val="24"/>
                <w:highlight w:val="none"/>
              </w:rPr>
              <w:t>GA网三类区</w:t>
            </w:r>
          </w:p>
        </w:tc>
        <w:tc>
          <w:tcPr>
            <w:tcW w:w="1985" w:type="dxa"/>
            <w:tcBorders>
              <w:top w:val="nil"/>
              <w:left w:val="nil"/>
              <w:bottom w:val="single" w:color="auto" w:sz="4" w:space="0"/>
              <w:right w:val="single" w:color="auto" w:sz="4" w:space="0"/>
            </w:tcBorders>
            <w:shd w:val="clear" w:color="auto" w:fill="auto"/>
            <w:noWrap/>
            <w:vAlign w:val="center"/>
          </w:tcPr>
          <w:p w14:paraId="30DEE37B">
            <w:pPr>
              <w:jc w:val="center"/>
              <w:rPr>
                <w:rFonts w:ascii="宋体" w:hAnsi="宋体" w:cs="宋体"/>
                <w:color w:val="auto"/>
                <w:sz w:val="24"/>
                <w:szCs w:val="24"/>
                <w:highlight w:val="none"/>
              </w:rPr>
            </w:pPr>
            <w:r>
              <w:rPr>
                <w:rFonts w:hint="eastAsia" w:ascii="宋体" w:hAnsi="宋体" w:cs="宋体"/>
                <w:color w:val="auto"/>
                <w:sz w:val="24"/>
                <w:szCs w:val="24"/>
                <w:highlight w:val="none"/>
              </w:rPr>
              <w:t>VMWare</w:t>
            </w:r>
          </w:p>
        </w:tc>
        <w:tc>
          <w:tcPr>
            <w:tcW w:w="1417" w:type="dxa"/>
            <w:tcBorders>
              <w:top w:val="nil"/>
              <w:left w:val="nil"/>
              <w:bottom w:val="single" w:color="auto" w:sz="4" w:space="0"/>
              <w:right w:val="single" w:color="auto" w:sz="4" w:space="0"/>
            </w:tcBorders>
            <w:shd w:val="clear" w:color="auto" w:fill="auto"/>
            <w:noWrap/>
            <w:vAlign w:val="center"/>
          </w:tcPr>
          <w:p w14:paraId="6A66260A">
            <w:pPr>
              <w:jc w:val="center"/>
              <w:rPr>
                <w:rFonts w:ascii="宋体" w:hAnsi="宋体" w:cs="宋体"/>
                <w:color w:val="auto"/>
                <w:sz w:val="24"/>
                <w:szCs w:val="24"/>
                <w:highlight w:val="none"/>
              </w:rPr>
            </w:pPr>
            <w:r>
              <w:rPr>
                <w:rFonts w:hint="eastAsia" w:ascii="宋体" w:hAnsi="宋体" w:cs="宋体"/>
                <w:color w:val="auto"/>
                <w:sz w:val="24"/>
                <w:szCs w:val="24"/>
                <w:highlight w:val="none"/>
              </w:rPr>
              <w:t>6.7</w:t>
            </w:r>
          </w:p>
        </w:tc>
        <w:tc>
          <w:tcPr>
            <w:tcW w:w="2126" w:type="dxa"/>
            <w:tcBorders>
              <w:top w:val="nil"/>
              <w:left w:val="nil"/>
              <w:bottom w:val="single" w:color="auto" w:sz="4" w:space="0"/>
              <w:right w:val="single" w:color="auto" w:sz="4" w:space="0"/>
            </w:tcBorders>
            <w:shd w:val="clear" w:color="auto" w:fill="auto"/>
            <w:noWrap/>
            <w:vAlign w:val="center"/>
          </w:tcPr>
          <w:p w14:paraId="46EEECF1">
            <w:pPr>
              <w:jc w:val="right"/>
              <w:rPr>
                <w:rFonts w:ascii="宋体" w:hAnsi="宋体" w:cs="宋体"/>
                <w:color w:val="auto"/>
                <w:sz w:val="24"/>
                <w:szCs w:val="24"/>
                <w:highlight w:val="none"/>
              </w:rPr>
            </w:pPr>
            <w:r>
              <w:rPr>
                <w:rFonts w:hint="eastAsia" w:ascii="宋体" w:hAnsi="宋体" w:cs="宋体"/>
                <w:bCs/>
                <w:color w:val="auto"/>
                <w:sz w:val="24"/>
                <w:szCs w:val="24"/>
                <w:highlight w:val="none"/>
              </w:rPr>
              <w:t>二百级CPU核数</w:t>
            </w:r>
          </w:p>
        </w:tc>
      </w:tr>
      <w:tr w14:paraId="155CB5A0">
        <w:tblPrEx>
          <w:tblCellMar>
            <w:top w:w="0" w:type="dxa"/>
            <w:left w:w="108" w:type="dxa"/>
            <w:bottom w:w="0" w:type="dxa"/>
            <w:right w:w="108" w:type="dxa"/>
          </w:tblCellMar>
        </w:tblPrEx>
        <w:trPr>
          <w:trHeight w:val="439" w:hRule="atLeast"/>
        </w:trPr>
        <w:tc>
          <w:tcPr>
            <w:tcW w:w="1701" w:type="dxa"/>
            <w:vMerge w:val="continue"/>
            <w:tcBorders>
              <w:top w:val="nil"/>
              <w:left w:val="single" w:color="auto" w:sz="4" w:space="0"/>
              <w:bottom w:val="single" w:color="auto" w:sz="4" w:space="0"/>
              <w:right w:val="single" w:color="auto" w:sz="4" w:space="0"/>
            </w:tcBorders>
            <w:vAlign w:val="center"/>
          </w:tcPr>
          <w:p w14:paraId="2322F2B3">
            <w:pPr>
              <w:rPr>
                <w:rFonts w:ascii="宋体" w:hAnsi="宋体" w:cs="宋体"/>
                <w:color w:val="auto"/>
                <w:sz w:val="24"/>
                <w:szCs w:val="24"/>
                <w:highlight w:val="none"/>
              </w:rPr>
            </w:pPr>
          </w:p>
        </w:tc>
        <w:tc>
          <w:tcPr>
            <w:tcW w:w="1985" w:type="dxa"/>
            <w:tcBorders>
              <w:top w:val="nil"/>
              <w:left w:val="nil"/>
              <w:bottom w:val="single" w:color="auto" w:sz="4" w:space="0"/>
              <w:right w:val="single" w:color="auto" w:sz="4" w:space="0"/>
            </w:tcBorders>
            <w:shd w:val="clear" w:color="auto" w:fill="auto"/>
            <w:noWrap/>
            <w:vAlign w:val="center"/>
          </w:tcPr>
          <w:p w14:paraId="5D304C99">
            <w:pPr>
              <w:jc w:val="center"/>
              <w:rPr>
                <w:rFonts w:ascii="宋体" w:hAnsi="宋体" w:cs="宋体"/>
                <w:color w:val="auto"/>
                <w:sz w:val="24"/>
                <w:szCs w:val="24"/>
                <w:highlight w:val="none"/>
              </w:rPr>
            </w:pPr>
            <w:r>
              <w:rPr>
                <w:rFonts w:hint="eastAsia" w:ascii="宋体" w:hAnsi="宋体" w:cs="宋体"/>
                <w:color w:val="auto"/>
                <w:sz w:val="24"/>
                <w:szCs w:val="24"/>
                <w:highlight w:val="none"/>
              </w:rPr>
              <w:t>华为云平台</w:t>
            </w:r>
          </w:p>
        </w:tc>
        <w:tc>
          <w:tcPr>
            <w:tcW w:w="1417" w:type="dxa"/>
            <w:tcBorders>
              <w:top w:val="nil"/>
              <w:left w:val="nil"/>
              <w:bottom w:val="single" w:color="auto" w:sz="4" w:space="0"/>
              <w:right w:val="single" w:color="auto" w:sz="4" w:space="0"/>
            </w:tcBorders>
            <w:shd w:val="clear" w:color="auto" w:fill="auto"/>
            <w:noWrap/>
            <w:vAlign w:val="center"/>
          </w:tcPr>
          <w:p w14:paraId="1FFD800E">
            <w:pPr>
              <w:jc w:val="center"/>
              <w:rPr>
                <w:rFonts w:ascii="宋体" w:hAnsi="宋体" w:cs="宋体"/>
                <w:color w:val="auto"/>
                <w:sz w:val="24"/>
                <w:szCs w:val="24"/>
                <w:highlight w:val="none"/>
              </w:rPr>
            </w:pPr>
            <w:r>
              <w:rPr>
                <w:rFonts w:hint="eastAsia" w:ascii="宋体" w:hAnsi="宋体" w:cs="宋体"/>
                <w:color w:val="auto"/>
                <w:sz w:val="24"/>
                <w:szCs w:val="24"/>
                <w:highlight w:val="none"/>
              </w:rPr>
              <w:t>8.0.3</w:t>
            </w:r>
          </w:p>
        </w:tc>
        <w:tc>
          <w:tcPr>
            <w:tcW w:w="2126" w:type="dxa"/>
            <w:tcBorders>
              <w:top w:val="nil"/>
              <w:left w:val="nil"/>
              <w:bottom w:val="single" w:color="auto" w:sz="4" w:space="0"/>
              <w:right w:val="single" w:color="auto" w:sz="4" w:space="0"/>
            </w:tcBorders>
            <w:shd w:val="clear" w:color="auto" w:fill="auto"/>
            <w:noWrap/>
            <w:vAlign w:val="center"/>
          </w:tcPr>
          <w:p w14:paraId="7EDEC5AC">
            <w:pPr>
              <w:jc w:val="right"/>
              <w:rPr>
                <w:rFonts w:ascii="宋体" w:hAnsi="宋体" w:cs="宋体"/>
                <w:color w:val="auto"/>
                <w:sz w:val="24"/>
                <w:szCs w:val="24"/>
                <w:highlight w:val="none"/>
              </w:rPr>
            </w:pPr>
            <w:r>
              <w:rPr>
                <w:rFonts w:hint="eastAsia" w:ascii="宋体" w:hAnsi="宋体" w:cs="宋体"/>
                <w:color w:val="auto"/>
                <w:sz w:val="24"/>
                <w:szCs w:val="24"/>
                <w:highlight w:val="none"/>
              </w:rPr>
              <w:t>五千级CPU核</w:t>
            </w:r>
            <w:r>
              <w:rPr>
                <w:rFonts w:hint="eastAsia" w:ascii="宋体" w:hAnsi="宋体" w:cs="宋体"/>
                <w:bCs/>
                <w:color w:val="auto"/>
                <w:sz w:val="24"/>
                <w:szCs w:val="24"/>
                <w:highlight w:val="none"/>
              </w:rPr>
              <w:t>数</w:t>
            </w:r>
          </w:p>
        </w:tc>
      </w:tr>
      <w:tr w14:paraId="09103C87">
        <w:tblPrEx>
          <w:tblCellMar>
            <w:top w:w="0" w:type="dxa"/>
            <w:left w:w="108" w:type="dxa"/>
            <w:bottom w:w="0" w:type="dxa"/>
            <w:right w:w="108" w:type="dxa"/>
          </w:tblCellMar>
        </w:tblPrEx>
        <w:trPr>
          <w:trHeight w:val="533" w:hRule="atLeast"/>
        </w:trPr>
        <w:tc>
          <w:tcPr>
            <w:tcW w:w="1701" w:type="dxa"/>
            <w:tcBorders>
              <w:top w:val="nil"/>
              <w:left w:val="single" w:color="auto" w:sz="4" w:space="0"/>
              <w:bottom w:val="single" w:color="auto" w:sz="4" w:space="0"/>
              <w:right w:val="single" w:color="auto" w:sz="4" w:space="0"/>
            </w:tcBorders>
            <w:shd w:val="clear" w:color="auto" w:fill="auto"/>
            <w:noWrap/>
            <w:vAlign w:val="center"/>
          </w:tcPr>
          <w:p w14:paraId="53EE3204">
            <w:pPr>
              <w:jc w:val="center"/>
              <w:rPr>
                <w:rFonts w:ascii="宋体" w:hAnsi="宋体" w:cs="宋体"/>
                <w:color w:val="auto"/>
                <w:sz w:val="24"/>
                <w:szCs w:val="24"/>
                <w:highlight w:val="none"/>
              </w:rPr>
            </w:pPr>
            <w:r>
              <w:rPr>
                <w:rFonts w:hint="eastAsia" w:ascii="宋体" w:hAnsi="宋体" w:cs="宋体"/>
                <w:color w:val="auto"/>
                <w:sz w:val="24"/>
                <w:szCs w:val="24"/>
                <w:highlight w:val="none"/>
              </w:rPr>
              <w:t>GA网二类区</w:t>
            </w:r>
          </w:p>
        </w:tc>
        <w:tc>
          <w:tcPr>
            <w:tcW w:w="1985" w:type="dxa"/>
            <w:tcBorders>
              <w:top w:val="nil"/>
              <w:left w:val="nil"/>
              <w:bottom w:val="single" w:color="auto" w:sz="4" w:space="0"/>
              <w:right w:val="single" w:color="auto" w:sz="4" w:space="0"/>
            </w:tcBorders>
            <w:shd w:val="clear" w:color="auto" w:fill="auto"/>
            <w:noWrap/>
            <w:vAlign w:val="center"/>
          </w:tcPr>
          <w:p w14:paraId="5029B020">
            <w:pPr>
              <w:jc w:val="center"/>
              <w:rPr>
                <w:rFonts w:ascii="宋体" w:hAnsi="宋体" w:cs="宋体"/>
                <w:color w:val="auto"/>
                <w:sz w:val="24"/>
                <w:szCs w:val="24"/>
                <w:highlight w:val="none"/>
              </w:rPr>
            </w:pPr>
            <w:r>
              <w:rPr>
                <w:rFonts w:hint="eastAsia" w:ascii="宋体" w:hAnsi="宋体" w:cs="宋体"/>
                <w:color w:val="auto"/>
                <w:sz w:val="24"/>
                <w:szCs w:val="24"/>
                <w:highlight w:val="none"/>
              </w:rPr>
              <w:t>华为云平台</w:t>
            </w:r>
          </w:p>
        </w:tc>
        <w:tc>
          <w:tcPr>
            <w:tcW w:w="1417" w:type="dxa"/>
            <w:tcBorders>
              <w:top w:val="nil"/>
              <w:left w:val="nil"/>
              <w:bottom w:val="single" w:color="auto" w:sz="4" w:space="0"/>
              <w:right w:val="single" w:color="auto" w:sz="4" w:space="0"/>
            </w:tcBorders>
            <w:shd w:val="clear" w:color="auto" w:fill="auto"/>
            <w:noWrap/>
            <w:vAlign w:val="center"/>
          </w:tcPr>
          <w:p w14:paraId="5A3CEE72">
            <w:pPr>
              <w:jc w:val="center"/>
              <w:rPr>
                <w:rFonts w:ascii="宋体" w:hAnsi="宋体" w:cs="宋体"/>
                <w:color w:val="auto"/>
                <w:sz w:val="24"/>
                <w:szCs w:val="24"/>
                <w:highlight w:val="none"/>
              </w:rPr>
            </w:pPr>
            <w:r>
              <w:rPr>
                <w:rFonts w:hint="eastAsia" w:ascii="宋体" w:hAnsi="宋体" w:cs="宋体"/>
                <w:color w:val="auto"/>
                <w:sz w:val="24"/>
                <w:szCs w:val="24"/>
                <w:highlight w:val="none"/>
              </w:rPr>
              <w:t>8.2.0</w:t>
            </w:r>
          </w:p>
        </w:tc>
        <w:tc>
          <w:tcPr>
            <w:tcW w:w="2126" w:type="dxa"/>
            <w:tcBorders>
              <w:top w:val="nil"/>
              <w:left w:val="nil"/>
              <w:bottom w:val="single" w:color="auto" w:sz="4" w:space="0"/>
              <w:right w:val="single" w:color="auto" w:sz="4" w:space="0"/>
            </w:tcBorders>
            <w:shd w:val="clear" w:color="auto" w:fill="auto"/>
            <w:noWrap/>
            <w:vAlign w:val="center"/>
          </w:tcPr>
          <w:p w14:paraId="0658917F">
            <w:pPr>
              <w:jc w:val="right"/>
              <w:rPr>
                <w:rFonts w:ascii="宋体" w:hAnsi="宋体" w:cs="宋体"/>
                <w:color w:val="auto"/>
                <w:sz w:val="24"/>
                <w:szCs w:val="24"/>
                <w:highlight w:val="none"/>
              </w:rPr>
            </w:pPr>
            <w:r>
              <w:rPr>
                <w:rFonts w:hint="eastAsia" w:ascii="宋体" w:hAnsi="宋体" w:cs="宋体"/>
                <w:bCs/>
                <w:color w:val="auto"/>
                <w:sz w:val="24"/>
                <w:szCs w:val="24"/>
                <w:highlight w:val="none"/>
              </w:rPr>
              <w:t>三百级CPU核数</w:t>
            </w:r>
          </w:p>
        </w:tc>
      </w:tr>
    </w:tbl>
    <w:p w14:paraId="492423D1">
      <w:pPr>
        <w:spacing w:line="360" w:lineRule="auto"/>
        <w:ind w:firstLine="424" w:firstLineChars="177"/>
        <w:rPr>
          <w:rFonts w:ascii="宋体" w:hAnsi="宋体" w:cs="宋体"/>
          <w:color w:val="auto"/>
          <w:sz w:val="24"/>
          <w:szCs w:val="24"/>
          <w:highlight w:val="none"/>
        </w:rPr>
      </w:pPr>
    </w:p>
    <w:p w14:paraId="07A45D22">
      <w:pPr>
        <w:spacing w:line="360" w:lineRule="auto"/>
        <w:ind w:left="0" w:leftChars="0" w:firstLine="48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虚拟化软件运维维护服务内容如下：</w:t>
      </w:r>
    </w:p>
    <w:p w14:paraId="5713C2A2">
      <w:pPr>
        <w:spacing w:line="360" w:lineRule="auto"/>
        <w:ind w:leftChars="0" w:firstLine="48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本项目供应商须一价全包提供虚拟化软件运维服务，涵盖VMware 虚拟化集群、华为云平台全生命周期运维保障，所有服务、技术支撑、第三方协作及相关费用均包含在本项目总价内，甲方不另行采购、不额外支付任何费用。</w:t>
      </w:r>
      <w:r>
        <w:rPr>
          <w:rFonts w:hint="eastAsia" w:ascii="宋体" w:hAnsi="宋体" w:eastAsia="宋体" w:cs="宋体"/>
          <w:color w:val="auto"/>
          <w:sz w:val="24"/>
          <w:szCs w:val="24"/>
          <w:highlight w:val="none"/>
          <w:lang w:val="en-US" w:eastAsia="zh-CN" w:bidi="ar-SA"/>
        </w:rPr>
        <w:t>供应商须提供驻场服务、日常运维、例行巡检、故障处置、应急响应、台账月报等一体化运维保障，确保虚拟化平台与云平台稳定、安全、高效运行。</w:t>
      </w:r>
    </w:p>
    <w:p w14:paraId="7CBE626D">
      <w:pPr>
        <w:spacing w:line="360" w:lineRule="auto"/>
        <w:ind w:firstLine="482" w:firstLineChars="20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服务范围与责任界定</w:t>
      </w:r>
    </w:p>
    <w:p w14:paraId="0DBFAE9E">
      <w:pPr>
        <w:keepNext w:val="0"/>
        <w:keepLines w:val="0"/>
        <w:widowControl/>
        <w:suppressLineNumbers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VMware组件的全生命周期维保服务，具体包括但不限于：软件版本升级、安全补丁更新、漏洞修复；7×24小时技术支持、故障应急处理、远程协助；定期巡检、系统性能优化、配置变更指导、数据备份与恢复支持；重大活动/节假日驻场保障；原厂技术文档、知识库共享及技术培训服务。</w:t>
      </w:r>
    </w:p>
    <w:p w14:paraId="3F8EB1DB">
      <w:pPr>
        <w:spacing w:line="360" w:lineRule="auto"/>
        <w:ind w:firstLine="480" w:firstLineChars="200"/>
        <w:rPr>
          <w:rFonts w:hint="default" w:ascii="宋体" w:hAnsi="宋体" w:eastAsia="宋体" w:cs="宋体"/>
          <w:b/>
          <w:bCs/>
          <w:color w:val="auto"/>
          <w:sz w:val="24"/>
          <w:szCs w:val="24"/>
          <w:highlight w:val="none"/>
          <w:lang w:val="en-US" w:eastAsia="zh-CN" w:bidi="ar-SA"/>
        </w:rPr>
      </w:pPr>
      <w:r>
        <w:rPr>
          <w:rFonts w:hint="eastAsia" w:ascii="宋体" w:hAnsi="宋体" w:cs="宋体"/>
          <w:color w:val="auto"/>
          <w:sz w:val="24"/>
          <w:szCs w:val="24"/>
          <w:highlight w:val="none"/>
          <w:lang w:val="en-US" w:eastAsia="zh-CN"/>
        </w:rPr>
        <w:t>华为云平台运维要求：供应商全权负责日常运维、季度例行巡检、复杂故障恢复、7×24 小时应急服务、资源监控、告警处置、平台联动等全部工作，所需技术支持与费用由供应商自行承担。</w:t>
      </w:r>
    </w:p>
    <w:p w14:paraId="6C63CE57">
      <w:pPr>
        <w:numPr>
          <w:ilvl w:val="-1"/>
          <w:numId w:val="0"/>
        </w:numPr>
        <w:spacing w:line="360" w:lineRule="auto"/>
        <w:ind w:left="0" w:firstLine="482" w:firstLineChars="200"/>
        <w:rPr>
          <w:rFonts w:ascii="宋体" w:hAnsi="宋体" w:eastAsia="宋体" w:cs="宋体"/>
          <w:color w:val="auto"/>
          <w:sz w:val="24"/>
          <w:szCs w:val="24"/>
          <w:highlight w:val="none"/>
        </w:rPr>
      </w:pPr>
      <w:r>
        <w:rPr>
          <w:rStyle w:val="19"/>
          <w:rFonts w:hint="eastAsia" w:ascii="宋体" w:hAnsi="宋体" w:cs="宋体"/>
          <w:b/>
          <w:bCs/>
          <w:color w:val="auto"/>
          <w:sz w:val="24"/>
          <w:szCs w:val="24"/>
          <w:highlight w:val="none"/>
          <w:lang w:val="en-US" w:eastAsia="zh-CN"/>
        </w:rPr>
        <w:t>公安网</w:t>
      </w:r>
      <w:r>
        <w:rPr>
          <w:rStyle w:val="19"/>
          <w:rFonts w:ascii="宋体" w:hAnsi="宋体" w:eastAsia="宋体" w:cs="宋体"/>
          <w:b/>
          <w:bCs/>
          <w:color w:val="auto"/>
          <w:sz w:val="24"/>
          <w:szCs w:val="24"/>
          <w:highlight w:val="none"/>
        </w:rPr>
        <w:t>华为云私有化平台</w:t>
      </w:r>
      <w:r>
        <w:rPr>
          <w:rFonts w:hint="eastAsia" w:ascii="宋体" w:hAnsi="宋体" w:eastAsia="宋体" w:cs="宋体"/>
          <w:b/>
          <w:bCs/>
          <w:color w:val="auto"/>
          <w:sz w:val="24"/>
          <w:szCs w:val="24"/>
          <w:highlight w:val="none"/>
          <w:lang w:val="en-US" w:eastAsia="zh-CN" w:bidi="ar-SA"/>
        </w:rPr>
        <w:t>软件维保</w:t>
      </w:r>
      <w:r>
        <w:rPr>
          <w:rStyle w:val="19"/>
          <w:rFonts w:ascii="宋体" w:hAnsi="宋体" w:eastAsia="宋体" w:cs="宋体"/>
          <w:b/>
          <w:bCs/>
          <w:color w:val="auto"/>
          <w:sz w:val="24"/>
          <w:szCs w:val="24"/>
          <w:highlight w:val="none"/>
        </w:rPr>
        <w:t>（FusionSphere 云套件、eSight、ManageOne）</w:t>
      </w:r>
      <w:r>
        <w:rPr>
          <w:rFonts w:ascii="宋体" w:hAnsi="宋体" w:eastAsia="宋体" w:cs="宋体"/>
          <w:color w:val="auto"/>
          <w:sz w:val="24"/>
          <w:szCs w:val="24"/>
          <w:highlight w:val="none"/>
        </w:rPr>
        <w:t xml:space="preserve"> </w:t>
      </w:r>
    </w:p>
    <w:p w14:paraId="3AC165ED">
      <w:pPr>
        <w:numPr>
          <w:ilvl w:val="-1"/>
          <w:numId w:val="0"/>
        </w:numPr>
        <w:spacing w:line="360" w:lineRule="auto"/>
        <w:ind w:left="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提供原厂软件订阅与保障（SnS）维保服务，保障平台稳定运行、系统安全及业务连续性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运维时间为一年。</w:t>
      </w:r>
    </w:p>
    <w:p w14:paraId="25E2A118">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服务范围与组件清单</w:t>
      </w:r>
    </w:p>
    <w:p w14:paraId="41A6C696">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（一）服务组件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FusionSphere 云套件 SnS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eSight SnS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ManageOne SnS</w:t>
      </w:r>
    </w:p>
    <w:p w14:paraId="41B45AC0">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（二）服务范围</w:t>
      </w:r>
      <w:r>
        <w:rPr>
          <w:rFonts w:hint="eastAsia" w:ascii="宋体" w:hAnsi="宋体" w:cs="宋体"/>
          <w:color w:val="auto"/>
          <w:sz w:val="24"/>
          <w:szCs w:val="24"/>
          <w:highlight w:val="none"/>
          <w:lang w:eastAsia="zh-CN"/>
        </w:rPr>
        <w:t>：</w:t>
      </w:r>
    </w:p>
    <w:p w14:paraId="4424EE35">
      <w:pPr>
        <w:spacing w:line="360" w:lineRule="auto"/>
        <w:ind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热线受理7×24覆盖，实时响应</w:t>
      </w:r>
    </w:p>
    <w:p w14:paraId="166B80F6">
      <w:pPr>
        <w:spacing w:line="360" w:lineRule="auto"/>
        <w:ind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远程问题处理7×24覆盖</w:t>
      </w:r>
    </w:p>
    <w:p w14:paraId="10C8D468">
      <w:pPr>
        <w:spacing w:line="360" w:lineRule="auto"/>
        <w:ind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在线技术支持7×24技术信息共享和补丁下载</w:t>
      </w:r>
    </w:p>
    <w:p w14:paraId="647AC875">
      <w:pPr>
        <w:spacing w:line="360" w:lineRule="auto"/>
        <w:ind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应用软件更新授权7×24提供应用软件的补丁和小版本更新授权</w:t>
      </w:r>
    </w:p>
    <w:p w14:paraId="29A5F260">
      <w:pPr>
        <w:spacing w:line="360" w:lineRule="auto"/>
        <w:ind w:firstLine="960" w:firstLineChars="400"/>
        <w:rPr>
          <w:rFonts w:hint="default"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rPr>
        <w:t>应用软件升级授权7×24提供应用软件的主要版本更新授权</w:t>
      </w:r>
    </w:p>
    <w:p w14:paraId="54507E3B">
      <w:pPr>
        <w:spacing w:line="360" w:lineRule="auto"/>
        <w:ind w:firstLine="600" w:firstLineChars="24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驻场服务要求</w:t>
      </w:r>
    </w:p>
    <w:p w14:paraId="310B4467">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人员要求：供应商须指派具备专业工程师提供驻场服务，驻场人员须全职投入本项目，不得兼任其他项目工作。</w:t>
      </w:r>
    </w:p>
    <w:p w14:paraId="279F16C4">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驻场时间：严格遵循甲方国家规定上班时间（工作日正常工作时段），法定节假日按甲方要求安排应急值守，值守方案须提前报甲方确认。</w:t>
      </w:r>
    </w:p>
    <w:p w14:paraId="458553C5">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台账管理：驻场期间须建立完整服务台账，详细记录每日工作内容、处理事项、问题及处置结果，做到全程可追溯、可核查。</w:t>
      </w:r>
    </w:p>
    <w:p w14:paraId="2EF801A8">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月报提交：每月初提交上一月度驻场服务月报，内容包含巡检总结、问题处理统计、资源使用分析、优化建议、下月工作计划，经甲方负责人签字确认后归档留存。</w:t>
      </w:r>
    </w:p>
    <w:p w14:paraId="0B60F595">
      <w:pPr>
        <w:spacing w:line="360" w:lineRule="auto"/>
        <w:ind w:firstLine="600" w:firstLineChars="24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日常运维服务内容</w:t>
      </w:r>
    </w:p>
    <w:p w14:paraId="259AB63B">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运行状态巡检</w:t>
      </w:r>
    </w:p>
    <w:p w14:paraId="00EA32F3">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对虚拟化软件及关联组件开展全面运行状态检查，重点监测以下内容，并形成资源瓶颈分析与优化建议：</w:t>
      </w:r>
    </w:p>
    <w:p w14:paraId="1731178E">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硬盘资源：存储池容量、磁盘 IO 读写、磁盘坏道检测；</w:t>
      </w:r>
    </w:p>
    <w:p w14:paraId="60439E51">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CPU 资源：单主机 CPU 使用率、集群负载均衡、峰值占用分析；</w:t>
      </w:r>
    </w:p>
    <w:p w14:paraId="6BA05652">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内存资源：内存利用率、内存泄漏排查、缓存命中率；</w:t>
      </w:r>
    </w:p>
    <w:p w14:paraId="1BDE5066">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网络资源：带宽占用、端口流量、丢包率、网络延迟。供应商结合历史数据开展趋势分析，提出资源调整、负载均衡、冗余配置等优化方案，并协助甲方落地实施。</w:t>
      </w:r>
    </w:p>
    <w:p w14:paraId="22643338">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告警状态巡检</w:t>
      </w:r>
    </w:p>
    <w:p w14:paraId="69B93692">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实时监控虚拟化平台告警日志、事件日志，覆盖硬件故障、资源不足、配置异常、网络中断、虚拟机故障等各类告警。按高、中、低三级分级处置：高优先级告警：立即响应、现场排查；中低优先级告警：规定时限内完成分析处置；无法现场解决的问题：立即启动内部应急支撑流程，全程跟踪闭环，并记入服务台账。</w:t>
      </w:r>
    </w:p>
    <w:p w14:paraId="5A20E357">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其他辅助运维</w:t>
      </w:r>
    </w:p>
    <w:p w14:paraId="4BDD86FA">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定期核查虚拟化软件补丁更新，提供兼容性测试与风险评估；</w:t>
      </w:r>
    </w:p>
    <w:p w14:paraId="05AF52AB">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检查虚拟机快照、备份策略执行情况，确保备份可恢复；</w:t>
      </w:r>
    </w:p>
    <w:p w14:paraId="2B6FD214">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核查平台权限配置，排查权限滥用、泄露等安全隐患；</w:t>
      </w:r>
    </w:p>
    <w:p w14:paraId="1A3C1F1E">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检查与监控系统、备份系统等联动状态，保障数据同步正常。</w:t>
      </w:r>
    </w:p>
    <w:p w14:paraId="58904865">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使用管理服务</w:t>
      </w:r>
    </w:p>
    <w:p w14:paraId="364DDFED">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按照甲方要求，及时完成虚拟机开通、注销、配置调整等操作，规范流程、快速响应。</w:t>
      </w:r>
    </w:p>
    <w:p w14:paraId="38A47B06">
      <w:pPr>
        <w:spacing w:line="360" w:lineRule="auto"/>
        <w:ind w:firstLine="600" w:firstLineChars="24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例行巡检服务要求</w:t>
      </w:r>
    </w:p>
    <w:p w14:paraId="2FBE4650">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VMware 虚拟化集群：供应商须每月开展 1 次全面深度巡检，覆盖集群健康、主机 / 存储 / 网络、HA/FT、备份有效性、性能瓶颈等，出具正式巡检报告并闭环整改。</w:t>
      </w:r>
    </w:p>
    <w:p w14:paraId="48008C5D">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华为云平台：供应商须每季度开展 1 次全面深度巡检，覆盖平台运行、资源使用、高可用、安全配置、服务可用性等，出具正式巡检报告并闭环整改。</w:t>
      </w:r>
    </w:p>
    <w:p w14:paraId="5A5E3509">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紧急故障定义：影响业务系统运行，或不立即修复将造成甲方利益损失的故障。响应原则：驻场人员接到报修后立即响应，优先恢复业务，再排查根因、消除隐患。</w:t>
      </w:r>
    </w:p>
    <w:p w14:paraId="099739A8">
      <w:pPr>
        <w:spacing w:line="360" w:lineRule="auto"/>
        <w:ind w:firstLine="600" w:firstLineChars="24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分类处置</w:t>
      </w:r>
    </w:p>
    <w:p w14:paraId="03A7CE51">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硬件 / 网络类故障：供应商第一时间协调资源到场处置，全程闭环、限时解决；</w:t>
      </w:r>
    </w:p>
    <w:p w14:paraId="24781F90">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软件类故障：以最快方式恢复业务，随后现场查明原因、完成整改与隐患治理。</w:t>
      </w:r>
    </w:p>
    <w:p w14:paraId="43282AAD">
      <w:pPr>
        <w:spacing w:line="360" w:lineRule="auto"/>
        <w:ind w:firstLine="597" w:firstLineChars="24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服务时效：提供全年 7×24 小时不间断应急响应服务，确保关键业务不中断。</w:t>
      </w:r>
    </w:p>
    <w:p w14:paraId="0625BE06">
      <w:pPr>
        <w:widowControl w:val="0"/>
        <w:spacing w:line="360" w:lineRule="auto"/>
        <w:ind w:firstLine="420" w:firstLineChars="200"/>
        <w:jc w:val="both"/>
        <w:rPr>
          <w:rFonts w:ascii="宋体" w:hAnsi="Calibri"/>
          <w:color w:val="auto"/>
          <w:sz w:val="21"/>
          <w:szCs w:val="21"/>
          <w:highlight w:val="none"/>
        </w:rPr>
      </w:pPr>
    </w:p>
    <w:p w14:paraId="1271991D">
      <w:pPr>
        <w:spacing w:line="360" w:lineRule="auto"/>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2.2 数据库系统运维需求</w:t>
      </w:r>
    </w:p>
    <w:p w14:paraId="3A320673">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2.2.1 数据库系统运维对象：</w:t>
      </w:r>
    </w:p>
    <w:p w14:paraId="449A76F7">
      <w:pPr>
        <w:spacing w:line="360" w:lineRule="auto"/>
        <w:ind w:firstLine="849" w:firstLineChars="354"/>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为13套达梦国产数据库系统的运维。</w:t>
      </w:r>
    </w:p>
    <w:p w14:paraId="0DEAA79D">
      <w:pPr>
        <w:spacing w:line="360" w:lineRule="auto"/>
        <w:ind w:firstLine="664" w:firstLineChars="277"/>
        <w:rPr>
          <w:rFonts w:ascii="宋体" w:hAnsi="宋体" w:cs="宋体"/>
          <w:bCs/>
          <w:color w:val="auto"/>
          <w:kern w:val="2"/>
          <w:sz w:val="24"/>
          <w:szCs w:val="24"/>
          <w:highlight w:val="none"/>
        </w:rPr>
      </w:pPr>
      <w:r>
        <w:rPr>
          <w:rFonts w:hint="eastAsia" w:ascii="宋体" w:hAnsi="宋体" w:cs="宋体"/>
          <w:color w:val="auto"/>
          <w:sz w:val="24"/>
          <w:szCs w:val="24"/>
          <w:highlight w:val="none"/>
        </w:rPr>
        <w:t>2.2.2 数据库系统运维</w:t>
      </w:r>
      <w:r>
        <w:rPr>
          <w:rFonts w:hint="eastAsia" w:ascii="宋体" w:hAnsi="宋体"/>
          <w:color w:val="auto"/>
          <w:kern w:val="2"/>
          <w:sz w:val="21"/>
          <w:szCs w:val="21"/>
          <w:highlight w:val="none"/>
        </w:rPr>
        <w:t>维</w:t>
      </w:r>
      <w:r>
        <w:rPr>
          <w:rFonts w:hint="eastAsia" w:ascii="宋体" w:hAnsi="宋体" w:cs="宋体"/>
          <w:bCs/>
          <w:color w:val="auto"/>
          <w:kern w:val="2"/>
          <w:sz w:val="24"/>
          <w:szCs w:val="24"/>
          <w:highlight w:val="none"/>
        </w:rPr>
        <w:t>护服务内容如下：</w:t>
      </w:r>
    </w:p>
    <w:tbl>
      <w:tblPr>
        <w:tblStyle w:val="9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3402"/>
        <w:gridCol w:w="3828"/>
      </w:tblGrid>
      <w:tr w14:paraId="4DEB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321A996D">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类别</w:t>
            </w:r>
          </w:p>
        </w:tc>
        <w:tc>
          <w:tcPr>
            <w:tcW w:w="3402" w:type="dxa"/>
          </w:tcPr>
          <w:p w14:paraId="760A3A07">
            <w:pPr>
              <w:widowControl w:val="0"/>
              <w:spacing w:line="360" w:lineRule="auto"/>
              <w:jc w:val="center"/>
              <w:rPr>
                <w:rFonts w:ascii="宋体" w:hAnsi="宋体" w:cs="宋体"/>
                <w:color w:val="auto"/>
                <w:sz w:val="24"/>
                <w:szCs w:val="24"/>
                <w:highlight w:val="none"/>
              </w:rPr>
            </w:pPr>
            <w:r>
              <w:rPr>
                <w:rFonts w:hint="eastAsia" w:ascii="Calibri" w:hAnsi="Calibri"/>
                <w:b/>
                <w:bCs/>
                <w:color w:val="auto"/>
                <w:sz w:val="24"/>
                <w:szCs w:val="24"/>
                <w:highlight w:val="none"/>
                <w:lang w:eastAsia="zh-Hans"/>
              </w:rPr>
              <w:t>项目</w:t>
            </w:r>
          </w:p>
        </w:tc>
        <w:tc>
          <w:tcPr>
            <w:tcW w:w="3828" w:type="dxa"/>
          </w:tcPr>
          <w:p w14:paraId="32B502B8">
            <w:pPr>
              <w:widowControl w:val="0"/>
              <w:spacing w:line="360" w:lineRule="auto"/>
              <w:jc w:val="center"/>
              <w:rPr>
                <w:rFonts w:ascii="宋体" w:hAnsi="宋体" w:cs="宋体"/>
                <w:color w:val="auto"/>
                <w:sz w:val="24"/>
                <w:szCs w:val="24"/>
                <w:highlight w:val="none"/>
              </w:rPr>
            </w:pPr>
            <w:r>
              <w:rPr>
                <w:rFonts w:hint="eastAsia" w:ascii="Calibri" w:hAnsi="Calibri"/>
                <w:b/>
                <w:bCs/>
                <w:color w:val="auto"/>
                <w:sz w:val="24"/>
                <w:szCs w:val="24"/>
                <w:highlight w:val="none"/>
                <w:lang w:eastAsia="zh-Hans"/>
              </w:rPr>
              <w:t>要求</w:t>
            </w:r>
          </w:p>
        </w:tc>
      </w:tr>
      <w:tr w14:paraId="6CB0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418433F5">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驻场服务</w:t>
            </w:r>
          </w:p>
        </w:tc>
        <w:tc>
          <w:tcPr>
            <w:tcW w:w="3402" w:type="dxa"/>
            <w:vAlign w:val="center"/>
          </w:tcPr>
          <w:p w14:paraId="6933B1B9">
            <w:pPr>
              <w:widowControl w:val="0"/>
              <w:spacing w:line="360" w:lineRule="auto"/>
              <w:jc w:val="left"/>
              <w:rPr>
                <w:rFonts w:ascii="Calibri" w:hAnsi="Calibri"/>
                <w:bCs/>
                <w:color w:val="auto"/>
                <w:sz w:val="24"/>
                <w:szCs w:val="24"/>
                <w:highlight w:val="none"/>
                <w:lang w:eastAsia="zh-Hans"/>
              </w:rPr>
            </w:pPr>
            <w:r>
              <w:rPr>
                <w:rFonts w:hint="eastAsia" w:ascii="Calibri" w:hAnsi="Calibri"/>
                <w:bCs/>
                <w:color w:val="auto"/>
                <w:sz w:val="24"/>
                <w:szCs w:val="24"/>
                <w:highlight w:val="none"/>
                <w:lang w:eastAsia="zh-Hans"/>
              </w:rPr>
              <w:t>运行状态日常巡检</w:t>
            </w:r>
          </w:p>
        </w:tc>
        <w:tc>
          <w:tcPr>
            <w:tcW w:w="3828" w:type="dxa"/>
          </w:tcPr>
          <w:p w14:paraId="58335B16">
            <w:pPr>
              <w:widowControl w:val="0"/>
              <w:spacing w:line="360" w:lineRule="auto"/>
              <w:jc w:val="left"/>
              <w:rPr>
                <w:rFonts w:ascii="Calibri" w:hAnsi="Calibri"/>
                <w:bCs/>
                <w:color w:val="auto"/>
                <w:sz w:val="24"/>
                <w:szCs w:val="24"/>
                <w:highlight w:val="none"/>
                <w:lang w:eastAsia="zh-Hans"/>
              </w:rPr>
            </w:pPr>
            <w:r>
              <w:rPr>
                <w:rFonts w:hint="eastAsia" w:ascii="Calibri" w:hAnsi="Calibri"/>
                <w:bCs/>
                <w:color w:val="auto"/>
                <w:sz w:val="24"/>
                <w:szCs w:val="24"/>
                <w:highlight w:val="none"/>
              </w:rPr>
              <w:t>本项目供应商需提供驻场服务，驻场时间为国家规定的上班时间，提供月报</w:t>
            </w:r>
          </w:p>
        </w:tc>
      </w:tr>
      <w:tr w14:paraId="6722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75" w:type="dxa"/>
            <w:vMerge w:val="restart"/>
            <w:vAlign w:val="center"/>
          </w:tcPr>
          <w:p w14:paraId="6018819C">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原</w:t>
            </w:r>
          </w:p>
          <w:p w14:paraId="5B0BA7B2">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厂</w:t>
            </w:r>
          </w:p>
          <w:p w14:paraId="0F28E727">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标</w:t>
            </w:r>
          </w:p>
          <w:p w14:paraId="6F8D2C3C">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准</w:t>
            </w:r>
          </w:p>
          <w:p w14:paraId="600778A9">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服</w:t>
            </w:r>
          </w:p>
          <w:p w14:paraId="041492AA">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务</w:t>
            </w:r>
          </w:p>
        </w:tc>
        <w:tc>
          <w:tcPr>
            <w:tcW w:w="3402" w:type="dxa"/>
            <w:vAlign w:val="center"/>
          </w:tcPr>
          <w:p w14:paraId="2977DBB8">
            <w:pPr>
              <w:widowControl w:val="0"/>
              <w:spacing w:line="360" w:lineRule="auto"/>
              <w:jc w:val="left"/>
              <w:rPr>
                <w:rFonts w:ascii="宋体" w:hAnsi="宋体" w:cs="宋体"/>
                <w:color w:val="auto"/>
                <w:sz w:val="24"/>
                <w:szCs w:val="24"/>
                <w:highlight w:val="none"/>
              </w:rPr>
            </w:pPr>
            <w:r>
              <w:rPr>
                <w:rFonts w:hint="eastAsia" w:ascii="宋体" w:hAnsi="宋体"/>
                <w:color w:val="auto"/>
                <w:sz w:val="24"/>
                <w:szCs w:val="24"/>
                <w:highlight w:val="none"/>
              </w:rPr>
              <w:t>定期巡检服务</w:t>
            </w:r>
          </w:p>
        </w:tc>
        <w:tc>
          <w:tcPr>
            <w:tcW w:w="3828" w:type="dxa"/>
            <w:vAlign w:val="center"/>
          </w:tcPr>
          <w:p w14:paraId="6301CBA0">
            <w:pPr>
              <w:widowControl w:val="0"/>
              <w:spacing w:line="360" w:lineRule="auto"/>
              <w:jc w:val="both"/>
              <w:rPr>
                <w:rFonts w:hint="eastAsia" w:ascii="宋体" w:hAnsi="宋体" w:eastAsia="宋体" w:cs="宋体"/>
                <w:color w:val="auto"/>
                <w:sz w:val="24"/>
                <w:szCs w:val="24"/>
                <w:highlight w:val="none"/>
                <w:lang w:eastAsia="zh-CN"/>
              </w:rPr>
            </w:pPr>
            <w:r>
              <w:rPr>
                <w:rFonts w:hint="eastAsia" w:ascii="Calibri" w:hAnsi="Calibri"/>
                <w:color w:val="auto"/>
                <w:sz w:val="24"/>
                <w:szCs w:val="24"/>
                <w:highlight w:val="none"/>
              </w:rPr>
              <w:t>季度巡检，全年4次</w:t>
            </w:r>
          </w:p>
        </w:tc>
      </w:tr>
      <w:tr w14:paraId="53FC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14:paraId="611C2D53">
            <w:pPr>
              <w:widowControl w:val="0"/>
              <w:spacing w:line="360" w:lineRule="auto"/>
              <w:jc w:val="center"/>
              <w:rPr>
                <w:rFonts w:ascii="宋体" w:hAnsi="宋体" w:cs="宋体"/>
                <w:color w:val="auto"/>
                <w:sz w:val="24"/>
                <w:szCs w:val="24"/>
                <w:highlight w:val="none"/>
              </w:rPr>
            </w:pPr>
          </w:p>
        </w:tc>
        <w:tc>
          <w:tcPr>
            <w:tcW w:w="3402" w:type="dxa"/>
            <w:vAlign w:val="center"/>
          </w:tcPr>
          <w:p w14:paraId="0D0ADC4C">
            <w:pPr>
              <w:widowControl w:val="0"/>
              <w:spacing w:line="360" w:lineRule="auto"/>
              <w:jc w:val="left"/>
              <w:rPr>
                <w:rFonts w:ascii="宋体" w:hAnsi="宋体" w:cs="宋体"/>
                <w:color w:val="auto"/>
                <w:sz w:val="24"/>
                <w:szCs w:val="24"/>
                <w:highlight w:val="none"/>
              </w:rPr>
            </w:pPr>
            <w:r>
              <w:rPr>
                <w:rFonts w:hint="eastAsia" w:ascii="宋体" w:hAnsi="宋体"/>
                <w:color w:val="auto"/>
                <w:sz w:val="24"/>
                <w:szCs w:val="24"/>
                <w:highlight w:val="none"/>
              </w:rPr>
              <w:t>紧急故障援救服务</w:t>
            </w:r>
          </w:p>
        </w:tc>
        <w:tc>
          <w:tcPr>
            <w:tcW w:w="3828" w:type="dxa"/>
            <w:vAlign w:val="center"/>
          </w:tcPr>
          <w:p w14:paraId="741EC367">
            <w:pPr>
              <w:widowControl w:val="0"/>
              <w:spacing w:line="360" w:lineRule="auto"/>
              <w:jc w:val="both"/>
              <w:rPr>
                <w:rFonts w:ascii="宋体" w:hAnsi="宋体" w:cs="宋体"/>
                <w:color w:val="auto"/>
                <w:sz w:val="24"/>
                <w:szCs w:val="24"/>
                <w:highlight w:val="none"/>
              </w:rPr>
            </w:pPr>
            <w:r>
              <w:rPr>
                <w:rFonts w:hint="eastAsia" w:ascii="宋体" w:hAnsi="宋体" w:cs="宋体"/>
                <w:color w:val="auto"/>
                <w:kern w:val="2"/>
                <w:sz w:val="24"/>
                <w:szCs w:val="24"/>
                <w:highlight w:val="none"/>
                <w:lang w:eastAsia="zh-Hans"/>
              </w:rPr>
              <w:t>接到客户现场</w:t>
            </w:r>
            <w:r>
              <w:rPr>
                <w:rFonts w:hint="eastAsia" w:ascii="宋体" w:hAnsi="宋体" w:cs="宋体"/>
                <w:color w:val="auto"/>
                <w:kern w:val="2"/>
                <w:sz w:val="24"/>
                <w:szCs w:val="24"/>
                <w:highlight w:val="none"/>
              </w:rPr>
              <w:t>服务</w:t>
            </w:r>
            <w:r>
              <w:rPr>
                <w:rFonts w:hint="eastAsia" w:ascii="宋体" w:hAnsi="宋体" w:cs="宋体"/>
                <w:color w:val="auto"/>
                <w:kern w:val="2"/>
                <w:sz w:val="24"/>
                <w:szCs w:val="24"/>
                <w:highlight w:val="none"/>
                <w:lang w:eastAsia="zh-Hans"/>
              </w:rPr>
              <w:t>请求</w:t>
            </w:r>
            <w:r>
              <w:rPr>
                <w:rFonts w:hint="eastAsia" w:ascii="宋体" w:hAnsi="宋体" w:cs="宋体"/>
                <w:color w:val="auto"/>
                <w:kern w:val="2"/>
                <w:sz w:val="24"/>
                <w:szCs w:val="24"/>
                <w:highlight w:val="none"/>
              </w:rPr>
              <w:t>电话后30分钟内响应，在2小时内到达现场提供服务。</w:t>
            </w:r>
            <w:r>
              <w:rPr>
                <w:rFonts w:hint="eastAsia" w:ascii="宋体" w:hAnsi="Calibri"/>
                <w:color w:val="auto"/>
                <w:sz w:val="24"/>
                <w:szCs w:val="24"/>
                <w:highlight w:val="none"/>
              </w:rPr>
              <w:t>服务响应时间为 7*24小时</w:t>
            </w:r>
          </w:p>
        </w:tc>
      </w:tr>
      <w:tr w14:paraId="2439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14:paraId="29AF9D51">
            <w:pPr>
              <w:widowControl w:val="0"/>
              <w:spacing w:line="360" w:lineRule="auto"/>
              <w:jc w:val="center"/>
              <w:rPr>
                <w:rFonts w:ascii="宋体" w:hAnsi="宋体" w:cs="宋体"/>
                <w:color w:val="auto"/>
                <w:sz w:val="24"/>
                <w:szCs w:val="24"/>
                <w:highlight w:val="none"/>
              </w:rPr>
            </w:pPr>
          </w:p>
        </w:tc>
        <w:tc>
          <w:tcPr>
            <w:tcW w:w="3402" w:type="dxa"/>
            <w:vAlign w:val="center"/>
          </w:tcPr>
          <w:p w14:paraId="1D620589">
            <w:pPr>
              <w:widowControl w:val="0"/>
              <w:spacing w:line="360" w:lineRule="auto"/>
              <w:jc w:val="left"/>
              <w:rPr>
                <w:rFonts w:ascii="宋体" w:hAnsi="宋体" w:cs="宋体"/>
                <w:color w:val="auto"/>
                <w:sz w:val="24"/>
                <w:szCs w:val="24"/>
                <w:highlight w:val="none"/>
              </w:rPr>
            </w:pPr>
            <w:r>
              <w:rPr>
                <w:rFonts w:hint="eastAsia" w:ascii="宋体" w:hAnsi="宋体"/>
                <w:color w:val="auto"/>
                <w:sz w:val="24"/>
                <w:szCs w:val="24"/>
                <w:highlight w:val="none"/>
              </w:rPr>
              <w:t>数据库补丁升级服务</w:t>
            </w:r>
          </w:p>
        </w:tc>
        <w:tc>
          <w:tcPr>
            <w:tcW w:w="3828" w:type="dxa"/>
            <w:vAlign w:val="center"/>
          </w:tcPr>
          <w:p w14:paraId="5FEF3085">
            <w:pPr>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按需</w:t>
            </w:r>
          </w:p>
        </w:tc>
      </w:tr>
      <w:tr w14:paraId="4B41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75" w:type="dxa"/>
            <w:vMerge w:val="continue"/>
          </w:tcPr>
          <w:p w14:paraId="6CBF1BE6">
            <w:pPr>
              <w:widowControl w:val="0"/>
              <w:spacing w:line="360" w:lineRule="auto"/>
              <w:jc w:val="center"/>
              <w:rPr>
                <w:rFonts w:ascii="宋体" w:hAnsi="宋体" w:cs="宋体"/>
                <w:color w:val="auto"/>
                <w:sz w:val="24"/>
                <w:szCs w:val="24"/>
                <w:highlight w:val="none"/>
              </w:rPr>
            </w:pPr>
          </w:p>
        </w:tc>
        <w:tc>
          <w:tcPr>
            <w:tcW w:w="3402" w:type="dxa"/>
            <w:vAlign w:val="center"/>
          </w:tcPr>
          <w:p w14:paraId="4FC24E9A">
            <w:pPr>
              <w:widowControl w:val="0"/>
              <w:spacing w:line="360" w:lineRule="auto"/>
              <w:jc w:val="left"/>
              <w:rPr>
                <w:rFonts w:ascii="宋体" w:hAnsi="宋体" w:cs="宋体"/>
                <w:color w:val="auto"/>
                <w:sz w:val="24"/>
                <w:szCs w:val="24"/>
                <w:highlight w:val="none"/>
              </w:rPr>
            </w:pPr>
            <w:r>
              <w:rPr>
                <w:rFonts w:hint="eastAsia" w:ascii="宋体" w:hAnsi="宋体"/>
                <w:color w:val="auto"/>
                <w:sz w:val="24"/>
                <w:szCs w:val="24"/>
                <w:highlight w:val="none"/>
              </w:rPr>
              <w:t>远程技术服务</w:t>
            </w:r>
          </w:p>
        </w:tc>
        <w:tc>
          <w:tcPr>
            <w:tcW w:w="3828" w:type="dxa"/>
            <w:vAlign w:val="center"/>
          </w:tcPr>
          <w:p w14:paraId="7D7D63AE">
            <w:pPr>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不限次</w:t>
            </w:r>
          </w:p>
        </w:tc>
      </w:tr>
      <w:tr w14:paraId="3534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14:paraId="3EDE5133">
            <w:pPr>
              <w:widowControl w:val="0"/>
              <w:spacing w:line="360" w:lineRule="auto"/>
              <w:jc w:val="center"/>
              <w:rPr>
                <w:rFonts w:ascii="宋体" w:hAnsi="宋体" w:cs="宋体"/>
                <w:color w:val="auto"/>
                <w:sz w:val="24"/>
                <w:szCs w:val="24"/>
                <w:highlight w:val="none"/>
              </w:rPr>
            </w:pPr>
          </w:p>
        </w:tc>
        <w:tc>
          <w:tcPr>
            <w:tcW w:w="3402" w:type="dxa"/>
            <w:vAlign w:val="center"/>
          </w:tcPr>
          <w:p w14:paraId="1480C6BB">
            <w:pPr>
              <w:widowControl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电话、E-mail、</w:t>
            </w:r>
            <w:r>
              <w:rPr>
                <w:rFonts w:hint="eastAsia" w:ascii="宋体" w:hAnsi="宋体" w:cs="宋体"/>
                <w:color w:val="auto"/>
                <w:sz w:val="24"/>
                <w:szCs w:val="24"/>
                <w:highlight w:val="none"/>
                <w:lang w:eastAsia="zh-Hans"/>
              </w:rPr>
              <w:t>微信等社交工具</w:t>
            </w:r>
            <w:r>
              <w:rPr>
                <w:rFonts w:hint="eastAsia" w:ascii="宋体" w:hAnsi="宋体" w:cs="宋体"/>
                <w:color w:val="auto"/>
                <w:sz w:val="24"/>
                <w:szCs w:val="24"/>
                <w:highlight w:val="none"/>
              </w:rPr>
              <w:t>咨询服务</w:t>
            </w:r>
          </w:p>
        </w:tc>
        <w:tc>
          <w:tcPr>
            <w:tcW w:w="3828" w:type="dxa"/>
            <w:vAlign w:val="center"/>
          </w:tcPr>
          <w:p w14:paraId="7FDFD346">
            <w:pPr>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不限次</w:t>
            </w:r>
          </w:p>
        </w:tc>
      </w:tr>
      <w:tr w14:paraId="75F9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75" w:type="dxa"/>
            <w:vMerge w:val="restart"/>
          </w:tcPr>
          <w:p w14:paraId="4BF9A46D">
            <w:pPr>
              <w:widowControl w:val="0"/>
              <w:spacing w:line="360" w:lineRule="auto"/>
              <w:jc w:val="center"/>
              <w:rPr>
                <w:rFonts w:ascii="宋体" w:hAnsi="宋体" w:cs="宋体"/>
                <w:color w:val="auto"/>
                <w:sz w:val="24"/>
                <w:szCs w:val="24"/>
                <w:highlight w:val="none"/>
              </w:rPr>
            </w:pPr>
          </w:p>
          <w:p w14:paraId="6A40F3CB">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原</w:t>
            </w:r>
          </w:p>
          <w:p w14:paraId="16244C04">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厂</w:t>
            </w:r>
          </w:p>
          <w:p w14:paraId="06EC1FDE">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专</w:t>
            </w:r>
          </w:p>
          <w:p w14:paraId="4C835D22">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w:t>
            </w:r>
          </w:p>
          <w:p w14:paraId="3F845AE9">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服</w:t>
            </w:r>
          </w:p>
          <w:p w14:paraId="06939B09">
            <w:pPr>
              <w:widowControl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务</w:t>
            </w:r>
          </w:p>
        </w:tc>
        <w:tc>
          <w:tcPr>
            <w:tcW w:w="3402" w:type="dxa"/>
            <w:vAlign w:val="center"/>
          </w:tcPr>
          <w:p w14:paraId="140AE1AD">
            <w:pPr>
              <w:widowControl w:val="0"/>
              <w:spacing w:line="360" w:lineRule="auto"/>
              <w:jc w:val="left"/>
              <w:rPr>
                <w:rFonts w:ascii="宋体" w:hAnsi="宋体" w:cs="宋体"/>
                <w:color w:val="auto"/>
                <w:sz w:val="24"/>
                <w:szCs w:val="24"/>
                <w:highlight w:val="none"/>
              </w:rPr>
            </w:pPr>
            <w:r>
              <w:rPr>
                <w:rFonts w:hint="eastAsia" w:ascii="宋体" w:hAnsi="宋体"/>
                <w:color w:val="auto"/>
                <w:sz w:val="24"/>
                <w:szCs w:val="24"/>
                <w:highlight w:val="none"/>
              </w:rPr>
              <w:t>数据库移植服务</w:t>
            </w:r>
          </w:p>
        </w:tc>
        <w:tc>
          <w:tcPr>
            <w:tcW w:w="3828" w:type="dxa"/>
            <w:vMerge w:val="restart"/>
            <w:vAlign w:val="center"/>
          </w:tcPr>
          <w:p w14:paraId="3CF2A717">
            <w:pPr>
              <w:widowControl w:val="0"/>
              <w:spacing w:line="360" w:lineRule="auto"/>
              <w:jc w:val="both"/>
              <w:rPr>
                <w:rFonts w:ascii="宋体" w:hAnsi="宋体" w:cs="宋体"/>
                <w:b/>
                <w:color w:val="auto"/>
                <w:sz w:val="24"/>
                <w:szCs w:val="24"/>
                <w:highlight w:val="none"/>
              </w:rPr>
            </w:pPr>
            <w:r>
              <w:rPr>
                <w:rFonts w:hint="eastAsia" w:ascii="宋体" w:hAnsi="宋体" w:cs="宋体"/>
                <w:b/>
                <w:color w:val="auto"/>
                <w:sz w:val="24"/>
                <w:szCs w:val="24"/>
                <w:highlight w:val="none"/>
              </w:rPr>
              <w:t>现场服务至少</w:t>
            </w:r>
            <w:r>
              <w:rPr>
                <w:rFonts w:hint="eastAsia" w:ascii="宋体" w:hAnsi="宋体" w:cs="宋体"/>
                <w:b/>
                <w:color w:val="auto"/>
                <w:sz w:val="24"/>
                <w:szCs w:val="24"/>
                <w:highlight w:val="none"/>
                <w:lang w:val="en-US" w:eastAsia="zh-CN"/>
              </w:rPr>
              <w:t>1人*</w:t>
            </w:r>
            <w:r>
              <w:rPr>
                <w:rFonts w:hint="eastAsia" w:ascii="宋体" w:hAnsi="宋体" w:cs="宋体"/>
                <w:b/>
                <w:color w:val="auto"/>
                <w:sz w:val="24"/>
                <w:szCs w:val="24"/>
                <w:highlight w:val="none"/>
              </w:rPr>
              <w:t>6天</w:t>
            </w:r>
          </w:p>
        </w:tc>
      </w:tr>
      <w:tr w14:paraId="2523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75" w:type="dxa"/>
            <w:vMerge w:val="continue"/>
          </w:tcPr>
          <w:p w14:paraId="1D92C427">
            <w:pPr>
              <w:widowControl w:val="0"/>
              <w:spacing w:line="360" w:lineRule="auto"/>
              <w:jc w:val="center"/>
              <w:rPr>
                <w:rFonts w:ascii="宋体" w:hAnsi="宋体" w:cs="宋体"/>
                <w:color w:val="auto"/>
                <w:sz w:val="24"/>
                <w:szCs w:val="24"/>
                <w:highlight w:val="none"/>
              </w:rPr>
            </w:pPr>
          </w:p>
        </w:tc>
        <w:tc>
          <w:tcPr>
            <w:tcW w:w="3402" w:type="dxa"/>
          </w:tcPr>
          <w:p w14:paraId="13660057">
            <w:pPr>
              <w:widowControl w:val="0"/>
              <w:spacing w:line="360" w:lineRule="auto"/>
              <w:jc w:val="left"/>
              <w:rPr>
                <w:rFonts w:ascii="宋体" w:hAnsi="宋体" w:cs="宋体"/>
                <w:color w:val="auto"/>
                <w:sz w:val="24"/>
                <w:szCs w:val="24"/>
                <w:highlight w:val="none"/>
              </w:rPr>
            </w:pPr>
            <w:r>
              <w:rPr>
                <w:rFonts w:hint="eastAsia" w:ascii="宋体" w:hAnsi="宋体"/>
                <w:color w:val="auto"/>
                <w:sz w:val="24"/>
                <w:szCs w:val="24"/>
                <w:highlight w:val="none"/>
              </w:rPr>
              <w:t>数据库调优服务</w:t>
            </w:r>
          </w:p>
        </w:tc>
        <w:tc>
          <w:tcPr>
            <w:tcW w:w="3828" w:type="dxa"/>
            <w:vMerge w:val="continue"/>
          </w:tcPr>
          <w:p w14:paraId="766730DB">
            <w:pPr>
              <w:widowControl w:val="0"/>
              <w:spacing w:line="360" w:lineRule="auto"/>
              <w:jc w:val="center"/>
              <w:rPr>
                <w:rFonts w:ascii="宋体" w:hAnsi="宋体" w:cs="宋体"/>
                <w:color w:val="auto"/>
                <w:sz w:val="24"/>
                <w:szCs w:val="24"/>
                <w:highlight w:val="none"/>
              </w:rPr>
            </w:pPr>
          </w:p>
        </w:tc>
      </w:tr>
      <w:tr w14:paraId="4AD1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75" w:type="dxa"/>
            <w:vMerge w:val="continue"/>
          </w:tcPr>
          <w:p w14:paraId="69C86323">
            <w:pPr>
              <w:widowControl w:val="0"/>
              <w:spacing w:line="360" w:lineRule="auto"/>
              <w:jc w:val="center"/>
              <w:rPr>
                <w:rFonts w:ascii="宋体" w:hAnsi="宋体" w:cs="宋体"/>
                <w:color w:val="auto"/>
                <w:sz w:val="24"/>
                <w:szCs w:val="24"/>
                <w:highlight w:val="none"/>
              </w:rPr>
            </w:pPr>
          </w:p>
        </w:tc>
        <w:tc>
          <w:tcPr>
            <w:tcW w:w="3402" w:type="dxa"/>
          </w:tcPr>
          <w:p w14:paraId="573C2787">
            <w:pPr>
              <w:widowControl w:val="0"/>
              <w:spacing w:line="360" w:lineRule="auto"/>
              <w:jc w:val="left"/>
              <w:rPr>
                <w:rFonts w:ascii="宋体" w:hAnsi="宋体" w:cs="宋体"/>
                <w:color w:val="auto"/>
                <w:sz w:val="24"/>
                <w:szCs w:val="24"/>
                <w:highlight w:val="none"/>
              </w:rPr>
            </w:pPr>
            <w:r>
              <w:rPr>
                <w:rFonts w:hint="eastAsia" w:ascii="宋体" w:hAnsi="宋体"/>
                <w:color w:val="auto"/>
                <w:sz w:val="24"/>
                <w:szCs w:val="24"/>
                <w:highlight w:val="none"/>
              </w:rPr>
              <w:t>数据备份</w:t>
            </w:r>
          </w:p>
        </w:tc>
        <w:tc>
          <w:tcPr>
            <w:tcW w:w="3828" w:type="dxa"/>
            <w:vMerge w:val="continue"/>
          </w:tcPr>
          <w:p w14:paraId="5197BB28">
            <w:pPr>
              <w:widowControl w:val="0"/>
              <w:spacing w:line="360" w:lineRule="auto"/>
              <w:jc w:val="center"/>
              <w:rPr>
                <w:rFonts w:ascii="宋体" w:hAnsi="宋体" w:cs="宋体"/>
                <w:color w:val="auto"/>
                <w:sz w:val="24"/>
                <w:szCs w:val="24"/>
                <w:highlight w:val="none"/>
              </w:rPr>
            </w:pPr>
          </w:p>
        </w:tc>
      </w:tr>
      <w:tr w14:paraId="3A7D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14:paraId="61D355AD">
            <w:pPr>
              <w:widowControl w:val="0"/>
              <w:spacing w:line="360" w:lineRule="auto"/>
              <w:jc w:val="center"/>
              <w:rPr>
                <w:rFonts w:ascii="宋体" w:hAnsi="宋体" w:cs="宋体"/>
                <w:color w:val="auto"/>
                <w:sz w:val="24"/>
                <w:szCs w:val="24"/>
                <w:highlight w:val="none"/>
              </w:rPr>
            </w:pPr>
          </w:p>
        </w:tc>
        <w:tc>
          <w:tcPr>
            <w:tcW w:w="3402" w:type="dxa"/>
          </w:tcPr>
          <w:p w14:paraId="4C0AB9B0">
            <w:pPr>
              <w:widowControl w:val="0"/>
              <w:spacing w:line="360" w:lineRule="auto"/>
              <w:jc w:val="left"/>
              <w:rPr>
                <w:rFonts w:ascii="宋体" w:hAnsi="宋体" w:cs="宋体"/>
                <w:color w:val="auto"/>
                <w:sz w:val="24"/>
                <w:szCs w:val="24"/>
                <w:highlight w:val="none"/>
              </w:rPr>
            </w:pPr>
            <w:r>
              <w:rPr>
                <w:rFonts w:hint="eastAsia" w:ascii="宋体" w:hAnsi="宋体"/>
                <w:color w:val="auto"/>
                <w:sz w:val="24"/>
                <w:szCs w:val="24"/>
                <w:highlight w:val="none"/>
              </w:rPr>
              <w:t>数据库恢复</w:t>
            </w:r>
          </w:p>
        </w:tc>
        <w:tc>
          <w:tcPr>
            <w:tcW w:w="3828" w:type="dxa"/>
            <w:vMerge w:val="continue"/>
          </w:tcPr>
          <w:p w14:paraId="0B62281F">
            <w:pPr>
              <w:widowControl w:val="0"/>
              <w:spacing w:line="360" w:lineRule="auto"/>
              <w:jc w:val="center"/>
              <w:rPr>
                <w:rFonts w:ascii="宋体" w:hAnsi="宋体" w:cs="宋体"/>
                <w:color w:val="auto"/>
                <w:sz w:val="24"/>
                <w:szCs w:val="24"/>
                <w:highlight w:val="none"/>
              </w:rPr>
            </w:pPr>
          </w:p>
        </w:tc>
      </w:tr>
      <w:tr w14:paraId="3636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14:paraId="77A1A345">
            <w:pPr>
              <w:widowControl w:val="0"/>
              <w:spacing w:line="360" w:lineRule="auto"/>
              <w:jc w:val="center"/>
              <w:rPr>
                <w:rFonts w:ascii="宋体" w:hAnsi="宋体" w:cs="宋体"/>
                <w:color w:val="auto"/>
                <w:sz w:val="24"/>
                <w:szCs w:val="24"/>
                <w:highlight w:val="none"/>
              </w:rPr>
            </w:pPr>
          </w:p>
        </w:tc>
        <w:tc>
          <w:tcPr>
            <w:tcW w:w="3402" w:type="dxa"/>
          </w:tcPr>
          <w:p w14:paraId="2E741C71">
            <w:pPr>
              <w:widowControl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特殊时段现场保障服务（重大变更、事件的现场STANDBY）</w:t>
            </w:r>
          </w:p>
        </w:tc>
        <w:tc>
          <w:tcPr>
            <w:tcW w:w="3828" w:type="dxa"/>
            <w:vMerge w:val="continue"/>
          </w:tcPr>
          <w:p w14:paraId="15B285C4">
            <w:pPr>
              <w:widowControl w:val="0"/>
              <w:spacing w:line="360" w:lineRule="auto"/>
              <w:jc w:val="center"/>
              <w:rPr>
                <w:rFonts w:ascii="宋体" w:hAnsi="宋体" w:cs="宋体"/>
                <w:color w:val="auto"/>
                <w:sz w:val="24"/>
                <w:szCs w:val="24"/>
                <w:highlight w:val="none"/>
              </w:rPr>
            </w:pPr>
          </w:p>
        </w:tc>
      </w:tr>
    </w:tbl>
    <w:p w14:paraId="6FD4DB49">
      <w:pPr>
        <w:spacing w:line="360" w:lineRule="auto"/>
        <w:ind w:firstLine="480" w:firstLineChars="200"/>
        <w:rPr>
          <w:rFonts w:ascii="宋体" w:hAnsi="宋体" w:cs="宋体"/>
          <w:color w:val="auto"/>
          <w:sz w:val="24"/>
          <w:szCs w:val="24"/>
          <w:highlight w:val="none"/>
        </w:rPr>
      </w:pPr>
    </w:p>
    <w:p w14:paraId="75BDBD57">
      <w:pPr>
        <w:spacing w:line="360" w:lineRule="auto"/>
        <w:rPr>
          <w:rFonts w:ascii="宋体" w:hAnsi="宋体" w:cs="宋体"/>
          <w:color w:val="auto"/>
          <w:sz w:val="24"/>
          <w:szCs w:val="24"/>
          <w:highlight w:val="none"/>
        </w:rPr>
      </w:pPr>
    </w:p>
    <w:p w14:paraId="66D75D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9FC8C14">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2.</w:t>
      </w: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应用系统的运维需求</w:t>
      </w:r>
    </w:p>
    <w:p w14:paraId="3C0A2C0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.1 应用系统运维的对象清单</w:t>
      </w:r>
    </w:p>
    <w:p w14:paraId="387682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应用系统范围包括安装在分局三楼信息中心机房内服务器上的18套接处警、警保综合应用平台等业务相关应用系统（部分含专用配套设备），如下表所列：</w:t>
      </w:r>
    </w:p>
    <w:tbl>
      <w:tblPr>
        <w:tblStyle w:val="1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2"/>
        <w:gridCol w:w="3828"/>
      </w:tblGrid>
      <w:tr w14:paraId="2A6E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5DA5F20">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4252" w:type="dxa"/>
            <w:vAlign w:val="center"/>
          </w:tcPr>
          <w:p w14:paraId="501EEFA8">
            <w:pPr>
              <w:jc w:val="center"/>
              <w:rPr>
                <w:rFonts w:ascii="宋体" w:hAnsi="宋体" w:cs="宋体"/>
                <w:color w:val="auto"/>
                <w:sz w:val="24"/>
                <w:szCs w:val="24"/>
                <w:highlight w:val="none"/>
              </w:rPr>
            </w:pPr>
            <w:r>
              <w:rPr>
                <w:rFonts w:hint="eastAsia" w:ascii="宋体" w:hAnsi="宋体" w:cs="宋体"/>
                <w:color w:val="auto"/>
                <w:sz w:val="24"/>
                <w:szCs w:val="24"/>
                <w:highlight w:val="none"/>
              </w:rPr>
              <w:t>应用系统名称</w:t>
            </w:r>
          </w:p>
        </w:tc>
        <w:tc>
          <w:tcPr>
            <w:tcW w:w="3828" w:type="dxa"/>
            <w:vAlign w:val="center"/>
          </w:tcPr>
          <w:p w14:paraId="51DC6F90">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6E5A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2EC573C">
            <w:pPr>
              <w:pStyle w:val="9"/>
              <w:jc w:val="center"/>
              <w:rPr>
                <w:color w:val="auto"/>
                <w:highlight w:val="none"/>
              </w:rPr>
            </w:pPr>
            <w:r>
              <w:rPr>
                <w:rFonts w:hint="eastAsia"/>
                <w:color w:val="auto"/>
                <w:highlight w:val="none"/>
              </w:rPr>
              <w:t>1</w:t>
            </w:r>
          </w:p>
        </w:tc>
        <w:tc>
          <w:tcPr>
            <w:tcW w:w="4252" w:type="dxa"/>
            <w:vAlign w:val="center"/>
          </w:tcPr>
          <w:p w14:paraId="1B54E880">
            <w:pPr>
              <w:spacing w:line="360" w:lineRule="auto"/>
              <w:ind w:firstLine="12" w:firstLineChars="5"/>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4G记录仪音视频综合应用平台</w:t>
            </w:r>
          </w:p>
        </w:tc>
        <w:tc>
          <w:tcPr>
            <w:tcW w:w="3828" w:type="dxa"/>
            <w:vAlign w:val="center"/>
          </w:tcPr>
          <w:p w14:paraId="15399A0A">
            <w:pPr>
              <w:pStyle w:val="9"/>
              <w:rPr>
                <w:color w:val="auto"/>
                <w:highlight w:val="none"/>
              </w:rPr>
            </w:pPr>
          </w:p>
        </w:tc>
      </w:tr>
      <w:tr w14:paraId="2ABF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07287F2">
            <w:pPr>
              <w:pStyle w:val="9"/>
              <w:jc w:val="center"/>
              <w:rPr>
                <w:color w:val="auto"/>
                <w:highlight w:val="none"/>
              </w:rPr>
            </w:pPr>
            <w:r>
              <w:rPr>
                <w:rFonts w:hint="eastAsia"/>
                <w:color w:val="auto"/>
                <w:highlight w:val="none"/>
              </w:rPr>
              <w:t>2</w:t>
            </w:r>
          </w:p>
        </w:tc>
        <w:tc>
          <w:tcPr>
            <w:tcW w:w="4252" w:type="dxa"/>
            <w:vAlign w:val="center"/>
          </w:tcPr>
          <w:p w14:paraId="326BB211">
            <w:pPr>
              <w:spacing w:line="360" w:lineRule="auto"/>
              <w:ind w:firstLine="12" w:firstLineChars="5"/>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GA网加*机系列系统</w:t>
            </w:r>
            <w:r>
              <w:rPr>
                <w:rFonts w:hint="eastAsia" w:ascii="宋体" w:hAnsi="宋体" w:cs="宋体"/>
                <w:color w:val="auto"/>
                <w:kern w:val="2"/>
                <w:sz w:val="24"/>
                <w:szCs w:val="24"/>
                <w:highlight w:val="none"/>
              </w:rPr>
              <w:t xml:space="preserve"> </w:t>
            </w:r>
          </w:p>
        </w:tc>
        <w:tc>
          <w:tcPr>
            <w:tcW w:w="3828" w:type="dxa"/>
            <w:vAlign w:val="center"/>
          </w:tcPr>
          <w:p w14:paraId="1954FE3A">
            <w:pPr>
              <w:pStyle w:val="9"/>
              <w:rPr>
                <w:color w:val="auto"/>
                <w:highlight w:val="none"/>
              </w:rPr>
            </w:pPr>
          </w:p>
        </w:tc>
      </w:tr>
      <w:tr w14:paraId="52B6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578117D">
            <w:pPr>
              <w:pStyle w:val="9"/>
              <w:jc w:val="center"/>
              <w:rPr>
                <w:color w:val="auto"/>
                <w:highlight w:val="none"/>
              </w:rPr>
            </w:pPr>
            <w:r>
              <w:rPr>
                <w:rFonts w:hint="eastAsia"/>
                <w:color w:val="auto"/>
                <w:highlight w:val="none"/>
              </w:rPr>
              <w:t>3</w:t>
            </w:r>
          </w:p>
        </w:tc>
        <w:tc>
          <w:tcPr>
            <w:tcW w:w="4252" w:type="dxa"/>
            <w:vAlign w:val="center"/>
          </w:tcPr>
          <w:p w14:paraId="7015C2EE">
            <w:pPr>
              <w:spacing w:line="360" w:lineRule="auto"/>
              <w:ind w:firstLine="12" w:firstLineChars="5"/>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警保综合应用平台管理系统</w:t>
            </w:r>
          </w:p>
        </w:tc>
        <w:tc>
          <w:tcPr>
            <w:tcW w:w="3828" w:type="dxa"/>
            <w:vAlign w:val="center"/>
          </w:tcPr>
          <w:p w14:paraId="260CD01E">
            <w:pPr>
              <w:pStyle w:val="9"/>
              <w:rPr>
                <w:color w:val="auto"/>
                <w:highlight w:val="none"/>
              </w:rPr>
            </w:pPr>
          </w:p>
        </w:tc>
      </w:tr>
      <w:tr w14:paraId="7525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5858D766">
            <w:pPr>
              <w:pStyle w:val="9"/>
              <w:jc w:val="center"/>
              <w:rPr>
                <w:color w:val="auto"/>
                <w:highlight w:val="none"/>
              </w:rPr>
            </w:pPr>
            <w:r>
              <w:rPr>
                <w:rFonts w:hint="eastAsia"/>
                <w:color w:val="auto"/>
                <w:highlight w:val="none"/>
              </w:rPr>
              <w:t>4</w:t>
            </w:r>
          </w:p>
        </w:tc>
        <w:tc>
          <w:tcPr>
            <w:tcW w:w="4252" w:type="dxa"/>
            <w:vAlign w:val="center"/>
          </w:tcPr>
          <w:p w14:paraId="5ECF9E1C">
            <w:pPr>
              <w:pStyle w:val="9"/>
              <w:rPr>
                <w:color w:val="auto"/>
                <w:highlight w:val="none"/>
              </w:rPr>
            </w:pPr>
            <w:r>
              <w:rPr>
                <w:rFonts w:hint="eastAsia"/>
                <w:color w:val="auto"/>
                <w:highlight w:val="none"/>
              </w:rPr>
              <w:t>***短信回访平台</w:t>
            </w:r>
          </w:p>
        </w:tc>
        <w:tc>
          <w:tcPr>
            <w:tcW w:w="3828" w:type="dxa"/>
            <w:vAlign w:val="center"/>
          </w:tcPr>
          <w:p w14:paraId="63EA2BFD">
            <w:pPr>
              <w:pStyle w:val="9"/>
              <w:rPr>
                <w:color w:val="auto"/>
                <w:highlight w:val="none"/>
              </w:rPr>
            </w:pPr>
          </w:p>
        </w:tc>
      </w:tr>
      <w:tr w14:paraId="1734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1146DE4">
            <w:pPr>
              <w:pStyle w:val="9"/>
              <w:jc w:val="center"/>
              <w:rPr>
                <w:color w:val="auto"/>
                <w:highlight w:val="none"/>
              </w:rPr>
            </w:pPr>
            <w:r>
              <w:rPr>
                <w:rFonts w:hint="eastAsia"/>
                <w:color w:val="auto"/>
                <w:highlight w:val="none"/>
              </w:rPr>
              <w:t>5</w:t>
            </w:r>
          </w:p>
        </w:tc>
        <w:tc>
          <w:tcPr>
            <w:tcW w:w="4252" w:type="dxa"/>
            <w:vAlign w:val="center"/>
          </w:tcPr>
          <w:p w14:paraId="0331F9AF">
            <w:pPr>
              <w:pStyle w:val="9"/>
              <w:rPr>
                <w:color w:val="auto"/>
                <w:highlight w:val="none"/>
              </w:rPr>
            </w:pPr>
            <w:r>
              <w:rPr>
                <w:rFonts w:hint="eastAsia"/>
                <w:color w:val="auto"/>
                <w:highlight w:val="none"/>
              </w:rPr>
              <w:t>分局NTP时钟同步及DNS域名解析系统</w:t>
            </w:r>
          </w:p>
        </w:tc>
        <w:tc>
          <w:tcPr>
            <w:tcW w:w="3828" w:type="dxa"/>
            <w:vAlign w:val="center"/>
          </w:tcPr>
          <w:p w14:paraId="73786D77">
            <w:pPr>
              <w:pStyle w:val="9"/>
              <w:rPr>
                <w:color w:val="auto"/>
                <w:highlight w:val="none"/>
              </w:rPr>
            </w:pPr>
            <w:r>
              <w:rPr>
                <w:rFonts w:hint="eastAsia"/>
                <w:color w:val="auto"/>
                <w:highlight w:val="none"/>
              </w:rPr>
              <w:t>包括TX网2套NTP、政务网2套NTP、内网1套NTP、TX网1套DNS、内网1套DNS</w:t>
            </w:r>
          </w:p>
        </w:tc>
      </w:tr>
      <w:tr w14:paraId="2994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58536A90">
            <w:pPr>
              <w:pStyle w:val="9"/>
              <w:jc w:val="center"/>
              <w:rPr>
                <w:color w:val="auto"/>
                <w:highlight w:val="none"/>
              </w:rPr>
            </w:pPr>
            <w:r>
              <w:rPr>
                <w:rFonts w:hint="eastAsia"/>
                <w:color w:val="auto"/>
                <w:highlight w:val="none"/>
              </w:rPr>
              <w:t>6</w:t>
            </w:r>
          </w:p>
        </w:tc>
        <w:tc>
          <w:tcPr>
            <w:tcW w:w="4252" w:type="dxa"/>
            <w:vAlign w:val="center"/>
          </w:tcPr>
          <w:p w14:paraId="649C3C4B">
            <w:pPr>
              <w:pStyle w:val="9"/>
              <w:rPr>
                <w:color w:val="auto"/>
                <w:highlight w:val="none"/>
              </w:rPr>
            </w:pPr>
            <w:r>
              <w:rPr>
                <w:rFonts w:hint="eastAsia"/>
                <w:color w:val="auto"/>
                <w:highlight w:val="none"/>
              </w:rPr>
              <w:t>邮件系统</w:t>
            </w:r>
          </w:p>
        </w:tc>
        <w:tc>
          <w:tcPr>
            <w:tcW w:w="3828" w:type="dxa"/>
            <w:vAlign w:val="center"/>
          </w:tcPr>
          <w:p w14:paraId="11BB50F1">
            <w:pPr>
              <w:pStyle w:val="9"/>
              <w:rPr>
                <w:color w:val="auto"/>
                <w:highlight w:val="none"/>
              </w:rPr>
            </w:pPr>
          </w:p>
        </w:tc>
      </w:tr>
      <w:tr w14:paraId="6761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19D40607">
            <w:pPr>
              <w:pStyle w:val="9"/>
              <w:jc w:val="center"/>
              <w:rPr>
                <w:color w:val="auto"/>
                <w:highlight w:val="none"/>
              </w:rPr>
            </w:pPr>
            <w:r>
              <w:rPr>
                <w:rFonts w:hint="eastAsia"/>
                <w:color w:val="auto"/>
                <w:highlight w:val="none"/>
              </w:rPr>
              <w:t>7</w:t>
            </w:r>
          </w:p>
        </w:tc>
        <w:tc>
          <w:tcPr>
            <w:tcW w:w="4252" w:type="dxa"/>
            <w:vAlign w:val="center"/>
          </w:tcPr>
          <w:p w14:paraId="50B399F1">
            <w:pPr>
              <w:pStyle w:val="9"/>
              <w:rPr>
                <w:color w:val="auto"/>
                <w:highlight w:val="none"/>
              </w:rPr>
            </w:pPr>
            <w:r>
              <w:rPr>
                <w:rFonts w:hint="eastAsia"/>
                <w:color w:val="auto"/>
                <w:highlight w:val="none"/>
              </w:rPr>
              <w:t>网盘系统</w:t>
            </w:r>
          </w:p>
        </w:tc>
        <w:tc>
          <w:tcPr>
            <w:tcW w:w="3828" w:type="dxa"/>
            <w:vAlign w:val="center"/>
          </w:tcPr>
          <w:p w14:paraId="40573E16">
            <w:pPr>
              <w:pStyle w:val="9"/>
              <w:rPr>
                <w:color w:val="auto"/>
                <w:highlight w:val="none"/>
              </w:rPr>
            </w:pPr>
          </w:p>
        </w:tc>
      </w:tr>
      <w:tr w14:paraId="7A6F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104B4857">
            <w:pPr>
              <w:pStyle w:val="9"/>
              <w:jc w:val="center"/>
              <w:rPr>
                <w:color w:val="auto"/>
                <w:highlight w:val="none"/>
              </w:rPr>
            </w:pPr>
            <w:r>
              <w:rPr>
                <w:rFonts w:hint="eastAsia"/>
                <w:color w:val="auto"/>
                <w:highlight w:val="none"/>
              </w:rPr>
              <w:t>8</w:t>
            </w:r>
          </w:p>
        </w:tc>
        <w:tc>
          <w:tcPr>
            <w:tcW w:w="4252" w:type="dxa"/>
            <w:vAlign w:val="center"/>
          </w:tcPr>
          <w:p w14:paraId="194B359B">
            <w:pPr>
              <w:pStyle w:val="9"/>
              <w:rPr>
                <w:color w:val="auto"/>
                <w:highlight w:val="none"/>
              </w:rPr>
            </w:pPr>
            <w:r>
              <w:rPr>
                <w:rFonts w:hint="eastAsia"/>
                <w:color w:val="auto"/>
                <w:highlight w:val="none"/>
              </w:rPr>
              <w:t>大监督平台</w:t>
            </w:r>
          </w:p>
        </w:tc>
        <w:tc>
          <w:tcPr>
            <w:tcW w:w="3828" w:type="dxa"/>
            <w:vAlign w:val="center"/>
          </w:tcPr>
          <w:p w14:paraId="4D732794">
            <w:pPr>
              <w:pStyle w:val="9"/>
              <w:rPr>
                <w:color w:val="auto"/>
                <w:highlight w:val="none"/>
              </w:rPr>
            </w:pPr>
          </w:p>
        </w:tc>
      </w:tr>
      <w:tr w14:paraId="4F3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shd w:val="clear" w:color="auto" w:fill="auto"/>
            <w:vAlign w:val="center"/>
          </w:tcPr>
          <w:p w14:paraId="31A49F93">
            <w:pPr>
              <w:pStyle w:val="9"/>
              <w:jc w:val="center"/>
              <w:rPr>
                <w:rFonts w:hint="eastAsia" w:ascii="宋体" w:hAnsi="宋体" w:eastAsia="宋体" w:cs="宋体"/>
                <w:color w:val="auto"/>
                <w:kern w:val="2"/>
                <w:sz w:val="24"/>
                <w:szCs w:val="24"/>
                <w:highlight w:val="none"/>
                <w:lang w:val="en-US" w:eastAsia="zh-CN" w:bidi="ar-SA"/>
              </w:rPr>
            </w:pPr>
            <w:r>
              <w:rPr>
                <w:rFonts w:hint="eastAsia"/>
                <w:color w:val="auto"/>
                <w:highlight w:val="none"/>
                <w:lang w:val="en-US" w:eastAsia="zh-CN"/>
              </w:rPr>
              <w:t>9</w:t>
            </w:r>
          </w:p>
        </w:tc>
        <w:tc>
          <w:tcPr>
            <w:tcW w:w="4252" w:type="dxa"/>
            <w:shd w:val="clear" w:color="auto" w:fill="auto"/>
            <w:vAlign w:val="center"/>
          </w:tcPr>
          <w:p w14:paraId="60A1CB31">
            <w:pPr>
              <w:pStyle w:val="9"/>
              <w:rPr>
                <w:rFonts w:hint="default" w:ascii="宋体" w:hAnsi="宋体" w:eastAsia="宋体" w:cs="宋体"/>
                <w:color w:val="auto"/>
                <w:kern w:val="2"/>
                <w:sz w:val="24"/>
                <w:szCs w:val="24"/>
                <w:highlight w:val="none"/>
                <w:lang w:val="en-US" w:eastAsia="zh-CN" w:bidi="ar-SA"/>
              </w:rPr>
            </w:pPr>
            <w:r>
              <w:rPr>
                <w:rFonts w:hint="eastAsia"/>
                <w:color w:val="auto"/>
                <w:highlight w:val="none"/>
                <w:lang w:val="en-US" w:eastAsia="zh-CN"/>
              </w:rPr>
              <w:t>分局各类网站维护</w:t>
            </w:r>
          </w:p>
        </w:tc>
        <w:tc>
          <w:tcPr>
            <w:tcW w:w="3828" w:type="dxa"/>
            <w:shd w:val="clear" w:color="auto" w:fill="auto"/>
            <w:vAlign w:val="center"/>
          </w:tcPr>
          <w:p w14:paraId="16BC71E1">
            <w:pPr>
              <w:pStyle w:val="9"/>
              <w:rPr>
                <w:rFonts w:hint="default" w:ascii="宋体" w:hAnsi="宋体" w:eastAsia="宋体" w:cs="宋体"/>
                <w:color w:val="auto"/>
                <w:kern w:val="2"/>
                <w:sz w:val="24"/>
                <w:szCs w:val="24"/>
                <w:highlight w:val="none"/>
                <w:lang w:val="en-US" w:eastAsia="zh-CN" w:bidi="ar-SA"/>
              </w:rPr>
            </w:pPr>
            <w:r>
              <w:rPr>
                <w:rFonts w:hint="eastAsia"/>
                <w:color w:val="auto"/>
                <w:highlight w:val="none"/>
                <w:lang w:val="en-US" w:eastAsia="zh-CN"/>
              </w:rPr>
              <w:t>共计22个</w:t>
            </w:r>
          </w:p>
        </w:tc>
      </w:tr>
      <w:tr w14:paraId="038A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51" w:type="dxa"/>
            <w:shd w:val="clear" w:color="auto" w:fill="auto"/>
            <w:vAlign w:val="center"/>
          </w:tcPr>
          <w:p w14:paraId="30D6540A">
            <w:pPr>
              <w:pStyle w:val="9"/>
              <w:jc w:val="center"/>
              <w:rPr>
                <w:rFonts w:hint="default" w:ascii="宋体" w:hAnsi="宋体" w:eastAsia="宋体" w:cs="宋体"/>
                <w:b/>
                <w:bCs/>
                <w:color w:val="auto"/>
                <w:kern w:val="2"/>
                <w:sz w:val="24"/>
                <w:szCs w:val="24"/>
                <w:highlight w:val="none"/>
                <w:lang w:val="en-US" w:eastAsia="zh-CN" w:bidi="ar-SA"/>
              </w:rPr>
            </w:pPr>
            <w:r>
              <w:rPr>
                <w:rFonts w:hint="eastAsia"/>
                <w:b/>
                <w:bCs/>
                <w:color w:val="auto"/>
                <w:highlight w:val="none"/>
                <w:lang w:val="en-US" w:eastAsia="zh-CN"/>
              </w:rPr>
              <w:t>10</w:t>
            </w:r>
          </w:p>
        </w:tc>
        <w:tc>
          <w:tcPr>
            <w:tcW w:w="4252" w:type="dxa"/>
            <w:shd w:val="clear" w:color="auto" w:fill="auto"/>
            <w:vAlign w:val="center"/>
          </w:tcPr>
          <w:p w14:paraId="4AB297B4">
            <w:pPr>
              <w:pStyle w:val="9"/>
              <w:rPr>
                <w:rFonts w:hint="default" w:ascii="宋体" w:hAnsi="宋体" w:eastAsia="宋体" w:cs="宋体"/>
                <w:b/>
                <w:bCs/>
                <w:color w:val="auto"/>
                <w:kern w:val="2"/>
                <w:sz w:val="24"/>
                <w:szCs w:val="24"/>
                <w:highlight w:val="none"/>
                <w:lang w:val="en-US" w:eastAsia="zh-CN" w:bidi="ar-SA"/>
              </w:rPr>
            </w:pPr>
            <w:r>
              <w:rPr>
                <w:rFonts w:hint="eastAsia"/>
                <w:b/>
                <w:bCs/>
                <w:color w:val="auto"/>
                <w:highlight w:val="none"/>
                <w:lang w:val="en-US" w:eastAsia="zh-CN"/>
              </w:rPr>
              <w:t>总计</w:t>
            </w:r>
          </w:p>
        </w:tc>
        <w:tc>
          <w:tcPr>
            <w:tcW w:w="3828" w:type="dxa"/>
            <w:shd w:val="clear" w:color="auto" w:fill="auto"/>
            <w:vAlign w:val="center"/>
          </w:tcPr>
          <w:p w14:paraId="1D1151FC">
            <w:pPr>
              <w:pStyle w:val="9"/>
              <w:rPr>
                <w:rFonts w:hint="default" w:ascii="宋体" w:hAnsi="宋体" w:eastAsia="宋体" w:cs="宋体"/>
                <w:b/>
                <w:bCs/>
                <w:color w:val="auto"/>
                <w:kern w:val="2"/>
                <w:sz w:val="24"/>
                <w:szCs w:val="24"/>
                <w:highlight w:val="none"/>
                <w:lang w:val="en-US" w:eastAsia="zh-CN" w:bidi="ar-SA"/>
              </w:rPr>
            </w:pPr>
            <w:r>
              <w:rPr>
                <w:rFonts w:hint="eastAsia"/>
                <w:b/>
                <w:bCs/>
                <w:color w:val="auto"/>
                <w:highlight w:val="none"/>
                <w:lang w:val="en-US" w:eastAsia="zh-CN"/>
              </w:rPr>
              <w:t>共计30个应用系统及网站</w:t>
            </w:r>
          </w:p>
        </w:tc>
      </w:tr>
    </w:tbl>
    <w:p w14:paraId="7D9BEA17">
      <w:pPr>
        <w:spacing w:line="360" w:lineRule="auto"/>
        <w:rPr>
          <w:rFonts w:ascii="宋体" w:hAnsi="宋体" w:cs="宋体"/>
          <w:color w:val="auto"/>
          <w:sz w:val="24"/>
          <w:szCs w:val="24"/>
          <w:highlight w:val="none"/>
        </w:rPr>
      </w:pPr>
    </w:p>
    <w:p w14:paraId="3629EED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.2 应用系统运维的工作内容</w:t>
      </w:r>
    </w:p>
    <w:p w14:paraId="3AD8431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应用软件运维的主要工作内容为：例行巡检、应急维护、功能升级，具体描述如下：</w:t>
      </w:r>
    </w:p>
    <w:p w14:paraId="26EE1592">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.2.1 运维台账的建立</w:t>
      </w:r>
    </w:p>
    <w:p w14:paraId="43B07B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首次巡检维护前，应进行运维基础资料的整理与提交。在年度运维工作开始后要求对工作所涉及的软件、硬件的基础台帐进行一次全面梳理核对，并在合同履行期内保持对基础台帐资料的实时更新。</w:t>
      </w:r>
    </w:p>
    <w:p w14:paraId="60E7F55F">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.2.2 例行巡检</w:t>
      </w:r>
    </w:p>
    <w:p w14:paraId="4D1CC3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维护公司负责对软件及其运行环境逐项进行健康状态检查，预测可能发生的问题后，及时处理，保证各项功能正常运行。</w:t>
      </w:r>
    </w:p>
    <w:p w14:paraId="6437395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要求每月进行一次巡检并提交报告，发现问题的还要进行口头汇报并在巡检报告中进行描述，当月未解决的需进行后续工作安排。</w:t>
      </w:r>
    </w:p>
    <w:p w14:paraId="12A9EE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应用系统巡检检查项包括但不限于：硬盘空间检查、数据库表空间检查、病毒查杀与更新、运行日志、报错日志、数据库及文件类数据的备份完成情况、碎片清理等。   </w:t>
      </w:r>
    </w:p>
    <w:p w14:paraId="2C52B1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如果所维护的系统涉及到分局或市局数据考核的，则必须予以重点巡视、保证系统合规与优秀。</w:t>
      </w:r>
    </w:p>
    <w:p w14:paraId="2ADDC30F">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.2.3 应急维护</w:t>
      </w:r>
    </w:p>
    <w:p w14:paraId="55B03E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一旦接到业主方的故障报修要求，维护公司必须提供应急服务。</w:t>
      </w:r>
    </w:p>
    <w:p w14:paraId="1F28D8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应急维护还包括：分析性能下降原因并予以解决；纠正应用程序BUG；用户的使用培训。</w:t>
      </w:r>
    </w:p>
    <w:p w14:paraId="4A83BBDF">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.2.4 临时服务</w:t>
      </w:r>
    </w:p>
    <w:p w14:paraId="570BB5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临时性工作任务还包括数据统计、数据分析、数据咨询、系统优化等。</w:t>
      </w:r>
    </w:p>
    <w:p w14:paraId="76C733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临时性工作任务可视任务工作量情况向甲方提交临时费用审核，另行结算。</w:t>
      </w:r>
    </w:p>
    <w:p w14:paraId="7274DBE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 xml:space="preserve">.2.5 功能升级 </w:t>
      </w:r>
    </w:p>
    <w:p w14:paraId="438D46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方因政策原因等情况，需要对应用系统进行功能升级的，则乙方应配合给予修改，如果甲方对系统作较大调整（如系统功能变更、增加功能、涉及数据表结构调整等），则双方应另行协商解决，可视任务工作量情况向甲方提交临时费用审核，另行结算。</w:t>
      </w:r>
    </w:p>
    <w:p w14:paraId="2CFB02B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.2.6 数据安全工作</w:t>
      </w:r>
    </w:p>
    <w:p w14:paraId="7B27C2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为了提高网络信息安全性，需要完成以下工作： </w:t>
      </w:r>
    </w:p>
    <w:p w14:paraId="38230D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数据冷备份要求。维护公司承诺对所维护应用软件的数据库和文件数据的异机冷备份功能。计划每天进行备份，按周替换存放，并在例行巡检中巡视异地备份完成情况及准确性。</w:t>
      </w:r>
    </w:p>
    <w:p w14:paraId="1C6447E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双机热备要求。如果所维护的应用软件被采购方选中为重要应用系统，则维护公司须配合实施双机热备机制改造。</w:t>
      </w:r>
    </w:p>
    <w:p w14:paraId="7B3D3559">
      <w:pPr>
        <w:spacing w:line="360" w:lineRule="auto"/>
        <w:ind w:firstLine="480" w:firstLineChars="200"/>
        <w:rPr>
          <w:rFonts w:hint="eastAsia" w:eastAsia="宋体"/>
          <w:color w:val="auto"/>
          <w:highlight w:val="none"/>
          <w:lang w:eastAsia="zh-CN"/>
        </w:rPr>
      </w:pPr>
      <w:r>
        <w:rPr>
          <w:rFonts w:hint="eastAsia" w:ascii="宋体" w:hAnsi="宋体" w:cs="宋体"/>
          <w:color w:val="auto"/>
          <w:sz w:val="24"/>
          <w:szCs w:val="24"/>
          <w:highlight w:val="none"/>
          <w:lang w:eastAsia="zh-CN"/>
        </w:rPr>
        <w:t xml:space="preserve">分局数据备份软件的使用  </w:t>
      </w:r>
    </w:p>
    <w:p w14:paraId="05476C1A">
      <w:pPr>
        <w:spacing w:line="360" w:lineRule="auto"/>
        <w:ind w:firstLine="480" w:firstLineChars="200"/>
        <w:rPr>
          <w:rFonts w:hint="eastAsia" w:eastAsia="宋体"/>
          <w:color w:val="auto"/>
          <w:highlight w:val="none"/>
          <w:lang w:eastAsia="zh-CN"/>
        </w:rPr>
      </w:pPr>
      <w:r>
        <w:rPr>
          <w:rFonts w:hint="eastAsia" w:ascii="宋体" w:hAnsi="宋体" w:cs="宋体"/>
          <w:color w:val="auto"/>
          <w:sz w:val="24"/>
          <w:szCs w:val="24"/>
          <w:highlight w:val="none"/>
          <w:lang w:eastAsia="zh-CN"/>
        </w:rPr>
        <w:t xml:space="preserve">软件兼容性：投标方在系统维护期间，需承诺使用分局指定的数据备份软件进行数据库与文件数据的备份操作，不得私自采用其他备份工具或方案。  </w:t>
      </w:r>
    </w:p>
    <w:p w14:paraId="2450C705">
      <w:pPr>
        <w:spacing w:line="360" w:lineRule="auto"/>
        <w:ind w:firstLine="480" w:firstLineChars="200"/>
        <w:rPr>
          <w:rFonts w:hint="eastAsia" w:eastAsia="宋体"/>
          <w:color w:val="auto"/>
          <w:highlight w:val="none"/>
          <w:lang w:eastAsia="zh-CN"/>
        </w:rPr>
      </w:pPr>
      <w:r>
        <w:rPr>
          <w:rFonts w:hint="eastAsia" w:ascii="宋体" w:hAnsi="宋体" w:cs="宋体"/>
          <w:color w:val="auto"/>
          <w:sz w:val="24"/>
          <w:szCs w:val="24"/>
          <w:highlight w:val="none"/>
          <w:lang w:eastAsia="zh-CN"/>
        </w:rPr>
        <w:t>巡检配合：投标方应配合分局科信部门开展例行巡检工作，如实提交备份执行记录、存储位置及验证报告；针对巡检中发现的备份异常或数据不完整情况，需在24小时内完成整改并反馈处理结果。</w:t>
      </w:r>
    </w:p>
    <w:p w14:paraId="46921928">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7</w:t>
      </w: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补丁升级</w:t>
      </w:r>
    </w:p>
    <w:p w14:paraId="628888C4">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根据版本升级迭代实际需求，不定期由运维技术人员进行分析并进行漏洞补打以及版本升级，需要硬件服务器承载的业务应用软件的供应商前来配合维护的，则由业主方进行联系后联合解决。 注：若该业务应用软件不在本维护需求清单中的话，则应用软件供应商参与解决问题所涉及的费用由业主方另行负责安排。</w:t>
      </w:r>
    </w:p>
    <w:p w14:paraId="59CAA2D8">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补丁升级前，运维技术人员需对拟升级补丁或版本进行充分的兼容性测试与风险评估，包括与现有操作系统、数据库、中间件及其他相关应用软件的兼容性验证，以及对业务功能、性能可能产生的影响分析，并形成详细的测试报告和升级方案。升级方案应明确升级目标、操作步骤、时间窗口、回滚预案、责任人及联系方式等内容，并提前向业主方及相关业务部门进行告知。在获得业主方书面同意后，严格按照升级方案执行操作，升级过程中需密切监控系统运行状态，确保各项指标正常。升级完成后，需进行全面的功能验证和性能测试，确认业务系统运行稳定、数据完整无误，并将升级实施情况、测试结果及相关文档整理归档，及时反馈给业主方。对于涉及安全漏洞的紧急补丁，应在业主方要求的时限内完成评估与部署，确保系统安全。</w:t>
      </w:r>
    </w:p>
    <w:p w14:paraId="5E1EC172">
      <w:pPr>
        <w:spacing w:line="360" w:lineRule="auto"/>
        <w:ind w:firstLine="480" w:firstLineChars="200"/>
        <w:rPr>
          <w:rFonts w:hint="eastAsia" w:ascii="宋体" w:hAnsi="宋体" w:cs="宋体"/>
          <w:color w:val="auto"/>
          <w:sz w:val="24"/>
          <w:szCs w:val="24"/>
          <w:highlight w:val="none"/>
        </w:rPr>
      </w:pPr>
    </w:p>
    <w:p w14:paraId="33FEE35F">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.3 应用软件运维的服务要求</w:t>
      </w:r>
    </w:p>
    <w:p w14:paraId="3375C02D">
      <w:pPr>
        <w:spacing w:line="360" w:lineRule="auto"/>
        <w:ind w:firstLine="482" w:firstLineChars="200"/>
        <w:rPr>
          <w:rFonts w:ascii="宋体" w:hAnsi="宋体" w:cs="宋体"/>
          <w:b/>
          <w:color w:val="auto"/>
          <w:sz w:val="24"/>
          <w:szCs w:val="24"/>
          <w:highlight w:val="none"/>
        </w:rPr>
      </w:pPr>
    </w:p>
    <w:tbl>
      <w:tblPr>
        <w:tblStyle w:val="16"/>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6379"/>
      </w:tblGrid>
      <w:tr w14:paraId="0847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Align w:val="center"/>
          </w:tcPr>
          <w:p w14:paraId="4AA366D5">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序号</w:t>
            </w:r>
          </w:p>
        </w:tc>
        <w:tc>
          <w:tcPr>
            <w:tcW w:w="1559" w:type="dxa"/>
            <w:vAlign w:val="center"/>
          </w:tcPr>
          <w:p w14:paraId="4BAD7CF4">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服务要求项</w:t>
            </w:r>
          </w:p>
        </w:tc>
        <w:tc>
          <w:tcPr>
            <w:tcW w:w="6379" w:type="dxa"/>
          </w:tcPr>
          <w:p w14:paraId="42CF0836">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描 述</w:t>
            </w:r>
          </w:p>
        </w:tc>
      </w:tr>
      <w:tr w14:paraId="3CC7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Align w:val="center"/>
          </w:tcPr>
          <w:p w14:paraId="224AF791">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w:t>
            </w:r>
          </w:p>
        </w:tc>
        <w:tc>
          <w:tcPr>
            <w:tcW w:w="1559" w:type="dxa"/>
            <w:vAlign w:val="center"/>
          </w:tcPr>
          <w:p w14:paraId="2D683546">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服务人员</w:t>
            </w:r>
          </w:p>
        </w:tc>
        <w:tc>
          <w:tcPr>
            <w:tcW w:w="6379" w:type="dxa"/>
          </w:tcPr>
          <w:p w14:paraId="4C284BBE">
            <w:pPr>
              <w:spacing w:line="276" w:lineRule="auto"/>
              <w:ind w:firstLine="240" w:firstLineChars="100"/>
              <w:jc w:val="both"/>
              <w:rPr>
                <w:rFonts w:ascii="宋体" w:hAnsi="宋体" w:cs="宋体"/>
                <w:color w:val="auto"/>
                <w:kern w:val="2"/>
                <w:sz w:val="24"/>
                <w:szCs w:val="24"/>
                <w:highlight w:val="none"/>
              </w:rPr>
            </w:pPr>
            <w:r>
              <w:rPr>
                <w:rFonts w:hint="eastAsia" w:ascii="宋体" w:hAnsi="宋体" w:cs="宋体"/>
                <w:color w:val="auto"/>
                <w:sz w:val="24"/>
                <w:szCs w:val="24"/>
                <w:highlight w:val="none"/>
              </w:rPr>
              <w:t>中标供应商负责安排每月各套应用系统的专业上门例行巡检任务、负责接受甲方项目专管人员的报修要求并安排相应技术人员上门提供应急维护。</w:t>
            </w:r>
          </w:p>
        </w:tc>
      </w:tr>
      <w:tr w14:paraId="6443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Align w:val="center"/>
          </w:tcPr>
          <w:p w14:paraId="71EA8140">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w:t>
            </w:r>
          </w:p>
        </w:tc>
        <w:tc>
          <w:tcPr>
            <w:tcW w:w="1559" w:type="dxa"/>
            <w:vAlign w:val="center"/>
          </w:tcPr>
          <w:p w14:paraId="05BB1734">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服务响应</w:t>
            </w:r>
          </w:p>
        </w:tc>
        <w:tc>
          <w:tcPr>
            <w:tcW w:w="6379" w:type="dxa"/>
          </w:tcPr>
          <w:p w14:paraId="524DDB7B">
            <w:pPr>
              <w:spacing w:line="276"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例行巡检：每月一次。</w:t>
            </w:r>
          </w:p>
          <w:p w14:paraId="056AD7A3">
            <w:pPr>
              <w:spacing w:line="276" w:lineRule="auto"/>
              <w:jc w:val="both"/>
              <w:rPr>
                <w:rFonts w:ascii="宋体" w:hAnsi="宋体" w:cs="宋体"/>
                <w:color w:val="auto"/>
                <w:sz w:val="24"/>
                <w:szCs w:val="24"/>
                <w:highlight w:val="none"/>
              </w:rPr>
            </w:pPr>
            <w:r>
              <w:rPr>
                <w:rFonts w:hint="eastAsia" w:ascii="宋体" w:hAnsi="宋体" w:cs="宋体"/>
                <w:color w:val="auto"/>
                <w:kern w:val="2"/>
                <w:sz w:val="24"/>
                <w:szCs w:val="24"/>
                <w:highlight w:val="none"/>
              </w:rPr>
              <w:t>应急维护：提供每周7*24小时的服务响应，电话解决不了的则接修通知后4小时内到达现场，核心应用系统故障报修2小时到场，小修2小时解决。一般故障不过夜，确保在次日上午8：00前恢复系统正常。</w:t>
            </w:r>
          </w:p>
        </w:tc>
      </w:tr>
      <w:tr w14:paraId="7A51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53B9150F">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3</w:t>
            </w:r>
          </w:p>
        </w:tc>
        <w:tc>
          <w:tcPr>
            <w:tcW w:w="1559" w:type="dxa"/>
            <w:vAlign w:val="center"/>
          </w:tcPr>
          <w:p w14:paraId="3B5328FD">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服务方式</w:t>
            </w:r>
          </w:p>
        </w:tc>
        <w:tc>
          <w:tcPr>
            <w:tcW w:w="6379" w:type="dxa"/>
            <w:vAlign w:val="center"/>
          </w:tcPr>
          <w:p w14:paraId="6C7D643F">
            <w:pPr>
              <w:spacing w:line="276" w:lineRule="auto"/>
              <w:ind w:firstLine="12" w:firstLineChars="5"/>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上门服务为主、电话交流为辅。</w:t>
            </w:r>
          </w:p>
        </w:tc>
      </w:tr>
      <w:tr w14:paraId="19A0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09" w:type="dxa"/>
            <w:vAlign w:val="center"/>
          </w:tcPr>
          <w:p w14:paraId="00178EA6">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4</w:t>
            </w:r>
          </w:p>
        </w:tc>
        <w:tc>
          <w:tcPr>
            <w:tcW w:w="1559" w:type="dxa"/>
            <w:vAlign w:val="center"/>
          </w:tcPr>
          <w:p w14:paraId="182D340E">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实施方式</w:t>
            </w:r>
          </w:p>
        </w:tc>
        <w:tc>
          <w:tcPr>
            <w:tcW w:w="6379" w:type="dxa"/>
            <w:vAlign w:val="center"/>
          </w:tcPr>
          <w:p w14:paraId="6D5EEEB1">
            <w:pPr>
              <w:spacing w:line="276" w:lineRule="auto"/>
              <w:ind w:firstLine="12" w:firstLineChars="5"/>
              <w:jc w:val="both"/>
              <w:rPr>
                <w:rFonts w:ascii="宋体" w:hAnsi="宋体" w:cs="宋体"/>
                <w:color w:val="auto"/>
                <w:kern w:val="2"/>
                <w:sz w:val="24"/>
                <w:szCs w:val="24"/>
                <w:highlight w:val="none"/>
              </w:rPr>
            </w:pPr>
            <w:r>
              <w:rPr>
                <w:rFonts w:hint="eastAsia" w:ascii="宋体" w:hAnsi="宋体" w:cs="宋体"/>
                <w:color w:val="auto"/>
                <w:sz w:val="24"/>
                <w:szCs w:val="24"/>
                <w:highlight w:val="none"/>
              </w:rPr>
              <w:t>中标</w:t>
            </w:r>
            <w:r>
              <w:rPr>
                <w:rFonts w:hint="eastAsia" w:ascii="宋体" w:hAnsi="宋体" w:cs="宋体"/>
                <w:color w:val="auto"/>
                <w:kern w:val="2"/>
                <w:sz w:val="24"/>
                <w:szCs w:val="24"/>
                <w:highlight w:val="none"/>
              </w:rPr>
              <w:t>供应商承诺按照工作内容</w:t>
            </w:r>
            <w:r>
              <w:rPr>
                <w:rFonts w:hint="eastAsia" w:ascii="宋体" w:hAnsi="宋体" w:cs="宋体"/>
                <w:color w:val="auto"/>
                <w:sz w:val="24"/>
                <w:szCs w:val="24"/>
                <w:highlight w:val="none"/>
              </w:rPr>
              <w:t>需求</w:t>
            </w:r>
            <w:r>
              <w:rPr>
                <w:rFonts w:hint="eastAsia" w:ascii="宋体" w:hAnsi="宋体" w:cs="宋体"/>
                <w:color w:val="auto"/>
                <w:kern w:val="2"/>
                <w:sz w:val="24"/>
                <w:szCs w:val="24"/>
                <w:highlight w:val="none"/>
              </w:rPr>
              <w:t>提供</w:t>
            </w:r>
            <w:r>
              <w:rPr>
                <w:rFonts w:hint="eastAsia" w:ascii="宋体" w:hAnsi="宋体" w:cs="宋体"/>
                <w:color w:val="auto"/>
                <w:sz w:val="24"/>
                <w:szCs w:val="24"/>
                <w:highlight w:val="none"/>
              </w:rPr>
              <w:t>服务，为了保证应急维护的质量，建议视各种应用软件对象的具体情况为不同应用软件购买对应的专业维护服务提供更可靠的技术支撑。</w:t>
            </w:r>
          </w:p>
        </w:tc>
      </w:tr>
      <w:tr w14:paraId="2E59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39648C9B">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5</w:t>
            </w:r>
          </w:p>
        </w:tc>
        <w:tc>
          <w:tcPr>
            <w:tcW w:w="1559" w:type="dxa"/>
            <w:vAlign w:val="center"/>
          </w:tcPr>
          <w:p w14:paraId="09A39C49">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服务所需工具</w:t>
            </w:r>
          </w:p>
        </w:tc>
        <w:tc>
          <w:tcPr>
            <w:tcW w:w="6379" w:type="dxa"/>
            <w:vAlign w:val="center"/>
          </w:tcPr>
          <w:p w14:paraId="53178546">
            <w:pPr>
              <w:spacing w:line="276" w:lineRule="auto"/>
              <w:ind w:firstLine="12" w:firstLineChars="5"/>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由维护公司自配。</w:t>
            </w:r>
          </w:p>
        </w:tc>
      </w:tr>
      <w:tr w14:paraId="2E83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0D1AAEA0">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6</w:t>
            </w:r>
          </w:p>
        </w:tc>
        <w:tc>
          <w:tcPr>
            <w:tcW w:w="1559" w:type="dxa"/>
            <w:vAlign w:val="center"/>
          </w:tcPr>
          <w:p w14:paraId="48E1F655">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记录与档案</w:t>
            </w:r>
          </w:p>
        </w:tc>
        <w:tc>
          <w:tcPr>
            <w:tcW w:w="6379" w:type="dxa"/>
            <w:vAlign w:val="center"/>
          </w:tcPr>
          <w:p w14:paraId="7DCF8174">
            <w:pPr>
              <w:spacing w:line="276" w:lineRule="auto"/>
              <w:ind w:firstLine="12" w:firstLineChars="5"/>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每次服务有记录，每月编写总结报告，提交业务主管部门和监理公司的监督。</w:t>
            </w:r>
          </w:p>
        </w:tc>
      </w:tr>
      <w:tr w14:paraId="3A4F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vAlign w:val="center"/>
          </w:tcPr>
          <w:p w14:paraId="22F6B3AF">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7</w:t>
            </w:r>
          </w:p>
        </w:tc>
        <w:tc>
          <w:tcPr>
            <w:tcW w:w="1559" w:type="dxa"/>
            <w:vAlign w:val="center"/>
          </w:tcPr>
          <w:p w14:paraId="60F00BD4">
            <w:pPr>
              <w:spacing w:line="276" w:lineRule="auto"/>
              <w:ind w:firstLine="12" w:firstLineChars="5"/>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安全要求</w:t>
            </w:r>
          </w:p>
        </w:tc>
        <w:tc>
          <w:tcPr>
            <w:tcW w:w="6379" w:type="dxa"/>
            <w:vAlign w:val="center"/>
          </w:tcPr>
          <w:p w14:paraId="4F8029EB">
            <w:pPr>
              <w:spacing w:line="276" w:lineRule="auto"/>
              <w:ind w:firstLine="12" w:firstLineChars="5"/>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维护公司与分局签订保密协议；维护人员须参加安全培训会议。</w:t>
            </w:r>
          </w:p>
        </w:tc>
      </w:tr>
    </w:tbl>
    <w:p w14:paraId="0D13614A">
      <w:pPr>
        <w:spacing w:line="360" w:lineRule="auto"/>
        <w:rPr>
          <w:rFonts w:ascii="宋体" w:hAnsi="宋体" w:cs="宋体"/>
          <w:color w:val="auto"/>
          <w:sz w:val="24"/>
          <w:szCs w:val="24"/>
          <w:highlight w:val="none"/>
        </w:rPr>
      </w:pPr>
    </w:p>
    <w:p w14:paraId="37586442">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 xml:space="preserve"> “应用系统的升级开发、加班等”要求</w:t>
      </w:r>
    </w:p>
    <w:p w14:paraId="6D6E0665">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在应用系统运行的过程中，可能会因为政策变化或业务管理工作变化，需要对应用系统进行较大的改变（如数据库结构变化、流程再造、功能升级等），需要进行升级开发或优化开发。</w:t>
      </w:r>
      <w:r>
        <w:rPr>
          <w:rFonts w:hint="eastAsia" w:ascii="宋体" w:hAnsi="宋体"/>
          <w:color w:val="auto"/>
          <w:sz w:val="24"/>
          <w:szCs w:val="24"/>
          <w:highlight w:val="none"/>
        </w:rPr>
        <w:t>客观上,在维保实施过程中存在不可预见的因素，即本项目立项和招标时无法预测在未来一年维保过程中会有哪些应用系统需要升级，因此需要在本项目实施的过程中，由采购单位内部根据工作需要走科技日常业务工作项目申报审批流程，由中标供应商按业务进行开发。</w:t>
      </w:r>
    </w:p>
    <w:p w14:paraId="470A01E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另外，在</w:t>
      </w:r>
      <w:r>
        <w:rPr>
          <w:rFonts w:hint="eastAsia" w:ascii="宋体" w:hAnsi="宋体"/>
          <w:color w:val="auto"/>
          <w:sz w:val="24"/>
          <w:szCs w:val="24"/>
          <w:highlight w:val="none"/>
        </w:rPr>
        <w:t>维保实施过程中需要中标供应商提供加值班服务。</w:t>
      </w:r>
    </w:p>
    <w:p w14:paraId="1E38F92A">
      <w:pPr>
        <w:spacing w:line="360" w:lineRule="auto"/>
        <w:rPr>
          <w:rFonts w:ascii="宋体" w:hAnsi="宋体" w:cs="宋体"/>
          <w:color w:val="auto"/>
          <w:sz w:val="24"/>
          <w:szCs w:val="24"/>
          <w:highlight w:val="none"/>
        </w:rPr>
      </w:pPr>
    </w:p>
    <w:p w14:paraId="2D18FAA6">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3、保密要求、知识产权、工作纪律要求</w:t>
      </w:r>
    </w:p>
    <w:p w14:paraId="43B1A076">
      <w:pPr>
        <w:widowControl w:val="0"/>
        <w:adjustRightInd w:val="0"/>
        <w:snapToGrid w:val="0"/>
        <w:spacing w:line="360" w:lineRule="auto"/>
        <w:ind w:firstLine="424" w:firstLineChars="177"/>
        <w:jc w:val="both"/>
        <w:rPr>
          <w:rFonts w:ascii="宋体" w:hAnsi="宋体"/>
          <w:color w:val="auto"/>
          <w:kern w:val="2"/>
          <w:sz w:val="24"/>
          <w:szCs w:val="22"/>
          <w:highlight w:val="none"/>
        </w:rPr>
      </w:pPr>
      <w:r>
        <w:rPr>
          <w:rFonts w:hint="eastAsia" w:ascii="宋体" w:hAnsi="宋体"/>
          <w:color w:val="auto"/>
          <w:kern w:val="2"/>
          <w:sz w:val="24"/>
          <w:szCs w:val="22"/>
          <w:highlight w:val="none"/>
        </w:rPr>
        <w:t>3.1  合同签订时，甲乙双方应签订保密协议，双方均有保密义务。</w:t>
      </w:r>
    </w:p>
    <w:p w14:paraId="78CBD6BA">
      <w:pPr>
        <w:widowControl w:val="0"/>
        <w:adjustRightInd w:val="0"/>
        <w:snapToGrid w:val="0"/>
        <w:spacing w:line="360" w:lineRule="auto"/>
        <w:ind w:firstLine="420"/>
        <w:jc w:val="both"/>
        <w:rPr>
          <w:rFonts w:ascii="宋体" w:hAnsi="宋体"/>
          <w:color w:val="auto"/>
          <w:kern w:val="2"/>
          <w:sz w:val="24"/>
          <w:szCs w:val="22"/>
          <w:highlight w:val="none"/>
        </w:rPr>
      </w:pPr>
      <w:r>
        <w:rPr>
          <w:rFonts w:hint="eastAsia" w:ascii="宋体" w:hAnsi="宋体"/>
          <w:color w:val="auto"/>
          <w:kern w:val="2"/>
          <w:sz w:val="24"/>
          <w:szCs w:val="22"/>
          <w:highlight w:val="none"/>
        </w:rPr>
        <w:t>3.2  保密期限由保密内容提供方确定，保密期限届满后，保密内容公开时，应书面征得保密内容提供方同意。</w:t>
      </w:r>
    </w:p>
    <w:p w14:paraId="10465006">
      <w:pPr>
        <w:widowControl w:val="0"/>
        <w:adjustRightInd w:val="0"/>
        <w:snapToGrid w:val="0"/>
        <w:spacing w:line="360" w:lineRule="auto"/>
        <w:ind w:firstLine="420"/>
        <w:jc w:val="both"/>
        <w:rPr>
          <w:rFonts w:ascii="宋体" w:hAnsi="宋体"/>
          <w:color w:val="auto"/>
          <w:kern w:val="2"/>
          <w:sz w:val="24"/>
          <w:szCs w:val="22"/>
          <w:highlight w:val="none"/>
        </w:rPr>
      </w:pPr>
      <w:r>
        <w:rPr>
          <w:rFonts w:hint="eastAsia" w:ascii="宋体" w:hAnsi="宋体"/>
          <w:color w:val="auto"/>
          <w:kern w:val="2"/>
          <w:sz w:val="24"/>
          <w:szCs w:val="22"/>
          <w:highlight w:val="none"/>
        </w:rPr>
        <w:t>3.3  委托开发软件的知识产权归委托方所有。供应商交付使用的信息系统已享有知识产权的，使用方可在合同文件明确的范围内自主使用。信息系统中所有文档资料和数据、收集和储存的个人信息所有权均属于使用方，未经使用方允许不得访问、修改、披露、利用、转让、销毁。</w:t>
      </w:r>
    </w:p>
    <w:p w14:paraId="00B1C562">
      <w:pPr>
        <w:widowControl w:val="0"/>
        <w:adjustRightInd w:val="0"/>
        <w:snapToGrid w:val="0"/>
        <w:spacing w:line="360" w:lineRule="auto"/>
        <w:ind w:firstLine="424" w:firstLineChars="177"/>
        <w:jc w:val="both"/>
        <w:rPr>
          <w:rFonts w:ascii="宋体" w:hAnsi="宋体" w:cs="宋体"/>
          <w:color w:val="auto"/>
          <w:sz w:val="24"/>
          <w:szCs w:val="24"/>
          <w:highlight w:val="none"/>
        </w:rPr>
      </w:pPr>
      <w:bookmarkStart w:id="67" w:name="_Toc134435581"/>
      <w:bookmarkStart w:id="68" w:name="_Toc727073087"/>
      <w:r>
        <w:rPr>
          <w:rFonts w:hint="eastAsia" w:ascii="宋体" w:hAnsi="宋体"/>
          <w:color w:val="auto"/>
          <w:kern w:val="2"/>
          <w:sz w:val="24"/>
          <w:szCs w:val="22"/>
          <w:highlight w:val="none"/>
        </w:rPr>
        <w:t>3.4</w:t>
      </w:r>
      <w:bookmarkEnd w:id="67"/>
      <w:bookmarkEnd w:id="68"/>
      <w:r>
        <w:rPr>
          <w:rFonts w:hint="eastAsia" w:ascii="宋体" w:hAnsi="宋体"/>
          <w:color w:val="auto"/>
          <w:kern w:val="2"/>
          <w:sz w:val="24"/>
          <w:szCs w:val="22"/>
          <w:highlight w:val="none"/>
        </w:rPr>
        <w:t xml:space="preserve">  </w:t>
      </w:r>
      <w:r>
        <w:rPr>
          <w:rFonts w:hint="eastAsia" w:ascii="宋体" w:hAnsi="宋体" w:cs="宋体"/>
          <w:color w:val="auto"/>
          <w:sz w:val="24"/>
          <w:szCs w:val="24"/>
          <w:highlight w:val="none"/>
        </w:rPr>
        <w:t>供应商应在建设工作期间保证参与项目的技术人员的相对固定，不得随意调换。如确有原因需要调换的，需提前一个月向业主方提出并备案，经业主方同意后方可调换。供应商应对技术人员调换的交接工作进行严格管理，确保数据不外泄、工作界面不留空白。</w:t>
      </w:r>
    </w:p>
    <w:p w14:paraId="6F98343E">
      <w:pPr>
        <w:widowControl w:val="0"/>
        <w:spacing w:line="360" w:lineRule="auto"/>
        <w:ind w:firstLine="482"/>
        <w:jc w:val="both"/>
        <w:rPr>
          <w:rFonts w:ascii="宋体" w:hAnsi="宋体" w:cs="宋体"/>
          <w:color w:val="auto"/>
          <w:sz w:val="24"/>
          <w:szCs w:val="24"/>
          <w:highlight w:val="none"/>
        </w:rPr>
      </w:pPr>
      <w:bookmarkStart w:id="69" w:name="_Toc956178045"/>
      <w:bookmarkStart w:id="70" w:name="_Toc134435582"/>
      <w:r>
        <w:rPr>
          <w:rFonts w:hint="eastAsia" w:ascii="宋体" w:hAnsi="宋体" w:cs="宋体"/>
          <w:color w:val="auto"/>
          <w:sz w:val="24"/>
          <w:szCs w:val="24"/>
          <w:highlight w:val="none"/>
        </w:rPr>
        <w:t xml:space="preserve">3.5  </w:t>
      </w:r>
      <w:bookmarkEnd w:id="69"/>
      <w:bookmarkEnd w:id="70"/>
      <w:r>
        <w:rPr>
          <w:rFonts w:hint="eastAsia" w:ascii="宋体" w:hAnsi="宋体" w:cs="宋体"/>
          <w:color w:val="auto"/>
          <w:sz w:val="24"/>
          <w:szCs w:val="24"/>
          <w:highlight w:val="none"/>
        </w:rPr>
        <w:t>供应商应参加业主方组织项目负责人及相关技术人员进行安全保密教育，并记录学习情况。所有参与项目的技术人员均应参加学习并在学习记录上签字。</w:t>
      </w:r>
    </w:p>
    <w:p w14:paraId="34F21171">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3.6  遵守以下相关条款：</w:t>
      </w:r>
    </w:p>
    <w:p w14:paraId="43A80F61">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（场所管理）合作单位及其技术人员未经允许，不得擅自进入民警办公区域、业务机房等重要场所。</w:t>
      </w:r>
    </w:p>
    <w:p w14:paraId="72FAA9BD">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（设备管理）合作单位及其技术人员未经允许，不得使用公安网计算机和涉密计算机单机，严禁将自己携带的计算机联入公安网络和可存储警务秘密（含）以上密级信息的各类计算机、复印机、速印机等设备。</w:t>
      </w:r>
    </w:p>
    <w:p w14:paraId="417D78B0">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（禁止行为）合作单位及其技术人员获得民警授权使用指定的公安网计算机时，须由民警全程陪同，并严格遵守以下规定：</w:t>
      </w:r>
    </w:p>
    <w:p w14:paraId="62B69900">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（一）不得违反禁止“一机两用”的有关规定，不得擅自删除监控程序、逃避监控、扰乱上网注册工作。</w:t>
      </w:r>
    </w:p>
    <w:p w14:paraId="2ADEE260">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（二）不得使用民警的数字身份证书访问公安业务系统，如确需使用的，必须由民警亲自使用证书进行操作。</w:t>
      </w:r>
    </w:p>
    <w:p w14:paraId="107F500A">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（三）不得擅自使用自带的移动存储介质或擅自开设FTP、共享文件夹在公安网计算机上进行文件拷贝与传递。</w:t>
      </w:r>
    </w:p>
    <w:p w14:paraId="472EF605">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（四）不得使用公安网计算机玩游戏、聊天或从事其它与本职工作无关的活动。</w:t>
      </w:r>
    </w:p>
    <w:p w14:paraId="6DE78350">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（五）不得浏览、访问与本职工作无关的公安信息网站（页），不得尝试登录或使用与本职工作无关的公安业务系统。</w:t>
      </w:r>
    </w:p>
    <w:p w14:paraId="2C43A71A">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（六）严禁将公安网上发布的各类警务信息通过下载、打印等方式带出公安机关。</w:t>
      </w:r>
    </w:p>
    <w:p w14:paraId="17604A31">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（七）禁止使用点对点（P2P）文件共享类软件（如BitTorrent、BitComet、BitSpirit、eMule、eDonkey、Kazaa、WinMx、迅雷等软件）进行数据下载。</w:t>
      </w:r>
    </w:p>
    <w:p w14:paraId="6E197D2B">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（八）不得擅自对公安业务用计算机重新安装或加装操作系统，不得安装黑客类工具。</w:t>
      </w:r>
    </w:p>
    <w:p w14:paraId="7A08EB65">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（九）不得编制或故意传播破坏计算机功能、破坏信息数据的病毒，或者恶意攻击、删改各类信息网站和信息系统数据。</w:t>
      </w:r>
    </w:p>
    <w:p w14:paraId="41DECFBA">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（十）不得有其它违反党纪、政纪、社会公德、职业道德的网上行为。</w:t>
      </w:r>
    </w:p>
    <w:p w14:paraId="3C02A75B">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（操作管理）合作单位及其技术人员不得使用远程拨号上公安网方式进行系统维护、软件开发、设备调试等工作，只允许在项目建设单位指定的区域内使用专用设备进行操作，并由公安民警全程陪同。</w:t>
      </w:r>
    </w:p>
    <w:p w14:paraId="516D0558">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（保密责任）对于警务工作秘密（含）以上的事项，合作单位及其技术人员应当做到不该问的不问，不该说的不说，并且在知悉秘密事项的情况下自觉负有保密义务，不得以任何形式泄露给无关人员。</w:t>
      </w:r>
    </w:p>
    <w:p w14:paraId="795D87AA">
      <w:pPr>
        <w:spacing w:line="360" w:lineRule="auto"/>
        <w:rPr>
          <w:rFonts w:ascii="宋体" w:hAnsi="宋体" w:cs="宋体"/>
          <w:color w:val="auto"/>
          <w:sz w:val="24"/>
          <w:szCs w:val="24"/>
          <w:highlight w:val="none"/>
        </w:rPr>
      </w:pPr>
    </w:p>
    <w:p w14:paraId="132A77E5">
      <w:pPr>
        <w:widowControl w:val="0"/>
        <w:spacing w:line="500" w:lineRule="exact"/>
        <w:jc w:val="both"/>
        <w:rPr>
          <w:rFonts w:ascii="宋体" w:hAnsi="宋体"/>
          <w:b/>
          <w:color w:val="auto"/>
          <w:kern w:val="2"/>
          <w:sz w:val="24"/>
          <w:szCs w:val="24"/>
          <w:highlight w:val="none"/>
        </w:rPr>
      </w:pPr>
      <w:r>
        <w:rPr>
          <w:rFonts w:hint="eastAsia" w:ascii="宋体" w:hAnsi="宋体"/>
          <w:b/>
          <w:color w:val="auto"/>
          <w:kern w:val="2"/>
          <w:sz w:val="24"/>
          <w:szCs w:val="24"/>
          <w:highlight w:val="none"/>
        </w:rPr>
        <w:t>4、项目验收、违约罚则、质保要求及售后服务</w:t>
      </w:r>
    </w:p>
    <w:p w14:paraId="71BD07E1">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4.1 验收标准</w:t>
      </w:r>
    </w:p>
    <w:p w14:paraId="3FC59741">
      <w:pPr>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 xml:space="preserve">      （1）维护响应率≥99%</w:t>
      </w:r>
    </w:p>
    <w:p w14:paraId="7969CF11">
      <w:pPr>
        <w:widowControl w:val="0"/>
        <w:spacing w:line="360" w:lineRule="auto"/>
        <w:ind w:firstLine="1274" w:firstLineChars="531"/>
        <w:jc w:val="both"/>
        <w:rPr>
          <w:rFonts w:ascii="宋体" w:hAnsi="宋体" w:cs="宋体"/>
          <w:color w:val="auto"/>
          <w:sz w:val="24"/>
          <w:szCs w:val="24"/>
          <w:highlight w:val="none"/>
        </w:rPr>
      </w:pPr>
      <w:r>
        <w:rPr>
          <w:rFonts w:hint="eastAsia" w:ascii="宋体" w:hAnsi="宋体" w:cs="宋体"/>
          <w:color w:val="auto"/>
          <w:sz w:val="24"/>
          <w:szCs w:val="24"/>
          <w:highlight w:val="none"/>
        </w:rPr>
        <w:t>维护响应率=按时上门的维护记录/全部维护记录×100%；</w:t>
      </w:r>
    </w:p>
    <w:p w14:paraId="29FC3AF1">
      <w:pPr>
        <w:widowControl w:val="0"/>
        <w:spacing w:line="360" w:lineRule="auto"/>
        <w:ind w:firstLine="720" w:firstLineChars="300"/>
        <w:jc w:val="both"/>
        <w:rPr>
          <w:rFonts w:ascii="宋体" w:hAnsi="宋体" w:cs="宋体"/>
          <w:color w:val="auto"/>
          <w:sz w:val="24"/>
          <w:szCs w:val="24"/>
          <w:highlight w:val="none"/>
        </w:rPr>
      </w:pPr>
      <w:r>
        <w:rPr>
          <w:rFonts w:hint="eastAsia" w:ascii="宋体" w:hAnsi="宋体" w:cs="宋体"/>
          <w:color w:val="auto"/>
          <w:sz w:val="24"/>
          <w:szCs w:val="24"/>
          <w:highlight w:val="none"/>
        </w:rPr>
        <w:t>（2）维护及时性≥98%</w:t>
      </w:r>
    </w:p>
    <w:p w14:paraId="0CC5C46E">
      <w:pPr>
        <w:widowControl w:val="0"/>
        <w:spacing w:line="360" w:lineRule="auto"/>
        <w:ind w:firstLine="1200" w:firstLineChars="500"/>
        <w:jc w:val="both"/>
        <w:rPr>
          <w:rFonts w:ascii="宋体" w:hAnsi="宋体" w:cs="宋体"/>
          <w:color w:val="auto"/>
          <w:sz w:val="24"/>
          <w:szCs w:val="24"/>
          <w:highlight w:val="none"/>
        </w:rPr>
      </w:pPr>
      <w:r>
        <w:rPr>
          <w:rFonts w:hint="eastAsia" w:ascii="宋体" w:hAnsi="宋体" w:cs="宋体"/>
          <w:color w:val="auto"/>
          <w:sz w:val="24"/>
          <w:szCs w:val="24"/>
          <w:highlight w:val="none"/>
        </w:rPr>
        <w:t>在网络及硬件的支持下，软件维护及时性=按时解决的系统问题/全部维护记录×100%；</w:t>
      </w:r>
    </w:p>
    <w:p w14:paraId="650F06D8">
      <w:pPr>
        <w:widowControl w:val="0"/>
        <w:spacing w:line="360" w:lineRule="auto"/>
        <w:ind w:firstLine="720" w:firstLineChars="300"/>
        <w:jc w:val="both"/>
        <w:rPr>
          <w:rFonts w:ascii="宋体" w:hAnsi="宋体" w:cs="宋体"/>
          <w:color w:val="auto"/>
          <w:sz w:val="24"/>
          <w:szCs w:val="24"/>
          <w:highlight w:val="none"/>
        </w:rPr>
      </w:pPr>
      <w:r>
        <w:rPr>
          <w:rFonts w:hint="eastAsia" w:ascii="宋体" w:hAnsi="宋体" w:cs="宋体"/>
          <w:color w:val="auto"/>
          <w:sz w:val="24"/>
          <w:szCs w:val="24"/>
          <w:highlight w:val="none"/>
        </w:rPr>
        <w:t>（3）系统稳定性≥98%</w:t>
      </w:r>
    </w:p>
    <w:p w14:paraId="40F7BDF0">
      <w:pPr>
        <w:widowControl w:val="0"/>
        <w:spacing w:line="360" w:lineRule="auto"/>
        <w:ind w:firstLine="1274" w:firstLineChars="531"/>
        <w:jc w:val="both"/>
        <w:rPr>
          <w:rFonts w:ascii="宋体" w:hAnsi="宋体" w:cs="宋体"/>
          <w:color w:val="auto"/>
          <w:sz w:val="24"/>
          <w:szCs w:val="24"/>
          <w:highlight w:val="none"/>
        </w:rPr>
      </w:pPr>
      <w:r>
        <w:rPr>
          <w:rFonts w:hint="eastAsia" w:ascii="宋体" w:hAnsi="宋体" w:cs="宋体"/>
          <w:color w:val="auto"/>
          <w:sz w:val="24"/>
          <w:szCs w:val="24"/>
          <w:highlight w:val="none"/>
        </w:rPr>
        <w:t>在网络、硬件及原厂软件稳定的支持下，保证该软件应用程序正常运行时间（分钟）/应正常运行时间×100%)</w:t>
      </w:r>
    </w:p>
    <w:p w14:paraId="5A585362">
      <w:pPr>
        <w:widowControl w:val="0"/>
        <w:spacing w:line="360" w:lineRule="auto"/>
        <w:ind w:firstLine="720" w:firstLineChars="300"/>
        <w:jc w:val="both"/>
        <w:rPr>
          <w:rFonts w:ascii="宋体" w:hAnsi="宋体" w:cs="宋体"/>
          <w:color w:val="auto"/>
          <w:sz w:val="24"/>
          <w:szCs w:val="24"/>
          <w:highlight w:val="none"/>
        </w:rPr>
      </w:pPr>
      <w:r>
        <w:rPr>
          <w:rFonts w:hint="eastAsia" w:ascii="宋体" w:hAnsi="宋体" w:cs="宋体"/>
          <w:color w:val="auto"/>
          <w:sz w:val="24"/>
          <w:szCs w:val="24"/>
          <w:highlight w:val="none"/>
        </w:rPr>
        <w:t>（4）数据完整性达到100%</w:t>
      </w:r>
    </w:p>
    <w:p w14:paraId="6417A4A5">
      <w:pPr>
        <w:widowControl w:val="0"/>
        <w:spacing w:line="360" w:lineRule="auto"/>
        <w:ind w:firstLine="1200" w:firstLineChars="500"/>
        <w:jc w:val="both"/>
        <w:rPr>
          <w:rFonts w:ascii="宋体" w:hAnsi="宋体" w:cs="宋体"/>
          <w:color w:val="auto"/>
          <w:sz w:val="24"/>
          <w:szCs w:val="24"/>
          <w:highlight w:val="none"/>
        </w:rPr>
      </w:pPr>
      <w:r>
        <w:rPr>
          <w:rFonts w:hint="eastAsia" w:ascii="宋体" w:hAnsi="宋体" w:cs="宋体"/>
          <w:color w:val="auto"/>
          <w:sz w:val="24"/>
          <w:szCs w:val="24"/>
          <w:highlight w:val="none"/>
        </w:rPr>
        <w:t>在备份条件的支持下，保证数据无丢失。</w:t>
      </w:r>
    </w:p>
    <w:p w14:paraId="17646F18">
      <w:pPr>
        <w:widowControl w:val="0"/>
        <w:spacing w:line="360" w:lineRule="auto"/>
        <w:ind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4.2 违约与罚则</w:t>
      </w:r>
    </w:p>
    <w:p w14:paraId="09B18B8D">
      <w:pPr>
        <w:widowControl w:val="0"/>
        <w:adjustRightInd w:val="0"/>
        <w:snapToGrid w:val="0"/>
        <w:spacing w:line="560" w:lineRule="exact"/>
        <w:ind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在履行本项目的过程中若因乙方违反维护需求未提供合格的维护服务导致甲方考核扣分或发生重大事故，每发生一次，甲方有权根据问题影响的严重程度按合同总额的0.1%-1%扣除。</w:t>
      </w:r>
      <w:r>
        <w:rPr>
          <w:rFonts w:hint="eastAsia" w:ascii="宋体" w:hAnsi="宋体"/>
          <w:color w:val="auto"/>
          <w:kern w:val="2"/>
          <w:sz w:val="24"/>
          <w:szCs w:val="24"/>
          <w:highlight w:val="none"/>
        </w:rPr>
        <w:t>若全年度整体运维情况良好，分局顺利完成市局各项运维考核任务，全市排名靠前，则将对运维项目负责团队予以一定的激励措施。</w:t>
      </w:r>
    </w:p>
    <w:p w14:paraId="6F86CED8">
      <w:pPr>
        <w:widowControl w:val="0"/>
        <w:adjustRightInd w:val="0"/>
        <w:snapToGrid w:val="0"/>
        <w:spacing w:line="560" w:lineRule="exact"/>
        <w:ind w:firstLine="566" w:firstLineChars="236"/>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4.2.2 服务过失整改与罚则。</w:t>
      </w:r>
    </w:p>
    <w:p w14:paraId="6F76C239">
      <w:pPr>
        <w:widowControl w:val="0"/>
        <w:adjustRightInd w:val="0"/>
        <w:snapToGrid w:val="0"/>
        <w:spacing w:line="560" w:lineRule="exact"/>
        <w:ind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按照分局整体运维要求，无特殊原因超时的工单（包括接单超时、应急响应/设备维修/故障处理超时、工作记录提交超时等），每个工单（不含重复点位）扣除500元人民币，每个黑名工单扣除2000元人民币。</w:t>
      </w:r>
    </w:p>
    <w:p w14:paraId="1DEA1BD2">
      <w:pPr>
        <w:widowControl w:val="0"/>
        <w:adjustRightInd w:val="0"/>
        <w:snapToGrid w:val="0"/>
        <w:spacing w:line="560" w:lineRule="exact"/>
        <w:ind w:firstLine="480" w:firstLineChars="200"/>
        <w:jc w:val="both"/>
        <w:rPr>
          <w:rFonts w:ascii="宋体" w:hAnsi="宋体"/>
          <w:color w:val="auto"/>
          <w:kern w:val="2"/>
          <w:sz w:val="24"/>
          <w:szCs w:val="24"/>
          <w:highlight w:val="none"/>
        </w:rPr>
      </w:pPr>
      <w:r>
        <w:rPr>
          <w:rFonts w:hint="eastAsia" w:ascii="宋体" w:hAnsi="宋体"/>
          <w:color w:val="auto"/>
          <w:kern w:val="2"/>
          <w:sz w:val="24"/>
          <w:szCs w:val="24"/>
          <w:highlight w:val="none"/>
        </w:rPr>
        <w:t>根据运维管理规定、运维流程的要求，运维单位在运维工作期间，未按照合同要求完成相应工作（包括考核指标不达标、漏洞未按时修复、基础资料提交不完整、文档提交不及时、安全管理混乱等），招标方将会同运维监理视情节严重程度向运维单位予以警告或</w:t>
      </w:r>
      <w:r>
        <w:rPr>
          <w:rFonts w:hint="eastAsia" w:ascii="宋体" w:hAnsi="宋体" w:cs="宋体"/>
          <w:color w:val="auto"/>
          <w:kern w:val="2"/>
          <w:sz w:val="24"/>
          <w:szCs w:val="24"/>
          <w:highlight w:val="none"/>
        </w:rPr>
        <w:t>扣除运维费用</w:t>
      </w:r>
      <w:r>
        <w:rPr>
          <w:rFonts w:hint="eastAsia" w:ascii="宋体" w:hAnsi="宋体"/>
          <w:color w:val="auto"/>
          <w:kern w:val="2"/>
          <w:sz w:val="24"/>
          <w:szCs w:val="24"/>
          <w:highlight w:val="none"/>
        </w:rPr>
        <w:t>，并开具整改通知书。</w:t>
      </w:r>
    </w:p>
    <w:p w14:paraId="1CBA64C8">
      <w:pPr>
        <w:widowControl w:val="0"/>
        <w:adjustRightInd w:val="0"/>
        <w:snapToGrid w:val="0"/>
        <w:spacing w:line="560" w:lineRule="exact"/>
        <w:ind w:firstLine="424" w:firstLineChars="177"/>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4.2.3 人员过失整改与罚则。</w:t>
      </w:r>
    </w:p>
    <w:p w14:paraId="040DB570">
      <w:pPr>
        <w:widowControl w:val="0"/>
        <w:adjustRightInd w:val="0"/>
        <w:snapToGrid w:val="0"/>
        <w:spacing w:line="560" w:lineRule="exact"/>
        <w:ind w:firstLine="480" w:firstLineChars="200"/>
        <w:jc w:val="both"/>
        <w:rPr>
          <w:rFonts w:ascii="宋体" w:hAnsi="宋体"/>
          <w:color w:val="auto"/>
          <w:kern w:val="2"/>
          <w:sz w:val="24"/>
          <w:szCs w:val="24"/>
          <w:highlight w:val="none"/>
        </w:rPr>
      </w:pPr>
      <w:r>
        <w:rPr>
          <w:rFonts w:hint="eastAsia" w:ascii="宋体" w:hAnsi="宋体"/>
          <w:color w:val="auto"/>
          <w:kern w:val="2"/>
          <w:sz w:val="24"/>
          <w:szCs w:val="24"/>
          <w:highlight w:val="none"/>
        </w:rPr>
        <w:t>运维单位技术人员故意违反安全管理规定，或多次过失违反安全管理规定的，应当责令其工作单位将其带回，依照有关规定进行处罚，招标方将会同运维监理视情节严重程度向运维单位予以警告或</w:t>
      </w:r>
      <w:r>
        <w:rPr>
          <w:rFonts w:hint="eastAsia" w:ascii="宋体" w:hAnsi="宋体" w:cs="宋体"/>
          <w:color w:val="auto"/>
          <w:kern w:val="2"/>
          <w:sz w:val="24"/>
          <w:szCs w:val="24"/>
          <w:highlight w:val="none"/>
        </w:rPr>
        <w:t>扣除运维费用</w:t>
      </w:r>
      <w:r>
        <w:rPr>
          <w:rFonts w:hint="eastAsia" w:ascii="宋体" w:hAnsi="宋体"/>
          <w:color w:val="auto"/>
          <w:kern w:val="2"/>
          <w:sz w:val="24"/>
          <w:szCs w:val="24"/>
          <w:highlight w:val="none"/>
        </w:rPr>
        <w:t>，并开具整改通知书。情节严重的应根据国家有关法律、法规，追究相应的法律责任，并另行安排技术人员顶替其工作；运维单位违反安全管理规定的，业主方有权依照有关规定进行处罚，情节严重的应立即终止合同，并根据国家有关法律、法规追究相应责任，取消今后项目合作建设的资格。</w:t>
      </w:r>
    </w:p>
    <w:p w14:paraId="08A02D89">
      <w:pPr>
        <w:widowControl w:val="0"/>
        <w:adjustRightInd w:val="0"/>
        <w:snapToGrid w:val="0"/>
        <w:spacing w:line="560" w:lineRule="exact"/>
        <w:ind w:firstLine="424" w:firstLineChars="177"/>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4.2.4 事故与财产损失罚则。</w:t>
      </w:r>
    </w:p>
    <w:p w14:paraId="486F1ADB">
      <w:pPr>
        <w:widowControl w:val="0"/>
        <w:adjustRightInd w:val="0"/>
        <w:snapToGrid w:val="0"/>
        <w:spacing w:line="560" w:lineRule="exact"/>
        <w:ind w:firstLine="480" w:firstLineChars="200"/>
        <w:jc w:val="both"/>
        <w:rPr>
          <w:rFonts w:ascii="宋体" w:hAnsi="宋体"/>
          <w:color w:val="auto"/>
          <w:kern w:val="2"/>
          <w:sz w:val="24"/>
          <w:szCs w:val="24"/>
          <w:highlight w:val="none"/>
        </w:rPr>
      </w:pPr>
      <w:r>
        <w:rPr>
          <w:rFonts w:hint="eastAsia" w:ascii="宋体" w:hAnsi="宋体"/>
          <w:color w:val="auto"/>
          <w:kern w:val="2"/>
          <w:sz w:val="24"/>
          <w:szCs w:val="24"/>
          <w:highlight w:val="none"/>
        </w:rPr>
        <w:t>在履行本项目的过程中若因乙方违反操作规范而导致事故发生，则乙方及时予以整改，并承担整改所需的费用。如果发生事故与财产损失，则甲乙双方友好协商解决或委托第三方具有事故认定资质的单位进行事故原因鉴定，乙方按认可的鉴定情况承担责任，乙方所承担的赔偿数额将按协商或鉴定结论中乙方应承担责任比例来计算，赔偿数额等于（责任比例*整改费用全额），因为甲方等单位的客观条件限制和在项目中的行为引起的责任，乙方免责。</w:t>
      </w:r>
    </w:p>
    <w:p w14:paraId="1F1FE86C">
      <w:pPr>
        <w:widowControl w:val="0"/>
        <w:adjustRightInd w:val="0"/>
        <w:snapToGrid w:val="0"/>
        <w:spacing w:line="560" w:lineRule="exact"/>
        <w:ind w:firstLine="480" w:firstLineChars="200"/>
        <w:jc w:val="both"/>
        <w:rPr>
          <w:rFonts w:ascii="宋体" w:hAnsi="宋体" w:cs="宋体"/>
          <w:color w:val="auto"/>
          <w:kern w:val="2"/>
          <w:sz w:val="24"/>
          <w:szCs w:val="24"/>
          <w:highlight w:val="none"/>
        </w:rPr>
      </w:pPr>
      <w:r>
        <w:rPr>
          <w:rFonts w:hint="eastAsia" w:ascii="宋体" w:hAnsi="宋体"/>
          <w:color w:val="auto"/>
          <w:kern w:val="2"/>
          <w:sz w:val="24"/>
          <w:szCs w:val="24"/>
          <w:highlight w:val="none"/>
        </w:rPr>
        <w:t>运维单位因4.2违约与罚则中所述事项被开具整改通知书的。</w:t>
      </w:r>
      <w:r>
        <w:rPr>
          <w:rFonts w:hint="eastAsia" w:ascii="宋体" w:hAnsi="宋体" w:cs="宋体"/>
          <w:color w:val="auto"/>
          <w:kern w:val="2"/>
          <w:sz w:val="24"/>
          <w:szCs w:val="24"/>
          <w:highlight w:val="none"/>
        </w:rPr>
        <w:t>首次收到整改通知书后，中标单位应于两个工作日内提交整改报告并落实整改要求；第二次收到整改通知书后，中标单位除上述要求外，扣除运维费用3000元；三次以上（含三次）收到整改通知书，每次扣除运维费用5000元，同时招标方可正式书面函告中标单位，并有权终止运维合同，取消中标方今后参与分局各项运维工作的资格。</w:t>
      </w:r>
    </w:p>
    <w:p w14:paraId="74CB8F85">
      <w:pPr>
        <w:spacing w:line="360" w:lineRule="auto"/>
        <w:rPr>
          <w:rFonts w:ascii="宋体" w:hAnsi="宋体" w:cs="宋体"/>
          <w:b/>
          <w:color w:val="auto"/>
          <w:sz w:val="24"/>
          <w:szCs w:val="24"/>
          <w:highlight w:val="none"/>
        </w:rPr>
      </w:pPr>
    </w:p>
    <w:p w14:paraId="78D5D74F">
      <w:pPr>
        <w:spacing w:line="500" w:lineRule="exact"/>
        <w:rPr>
          <w:rFonts w:ascii="宋体" w:hAnsi="宋体" w:cs="宋体"/>
          <w:b/>
          <w:color w:val="auto"/>
          <w:sz w:val="28"/>
          <w:szCs w:val="28"/>
          <w:highlight w:val="none"/>
        </w:rPr>
      </w:pPr>
      <w:r>
        <w:rPr>
          <w:rFonts w:hint="eastAsia" w:ascii="宋体" w:hAnsi="宋体" w:cs="宋体"/>
          <w:b/>
          <w:color w:val="auto"/>
          <w:sz w:val="28"/>
          <w:szCs w:val="28"/>
          <w:highlight w:val="none"/>
        </w:rPr>
        <w:t>5、付款方式</w:t>
      </w:r>
    </w:p>
    <w:p w14:paraId="3F801AB1">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5.1．</w:t>
      </w:r>
      <w:r>
        <w:rPr>
          <w:rFonts w:hint="eastAsia" w:ascii="宋体" w:hAnsi="宋体" w:cs="宋体"/>
          <w:color w:val="auto"/>
          <w:sz w:val="24"/>
          <w:szCs w:val="24"/>
          <w:highlight w:val="none"/>
        </w:rPr>
        <w:t>合同签订后收到发票，业主方向维护公司支付</w:t>
      </w:r>
      <w:r>
        <w:rPr>
          <w:rFonts w:hint="eastAsia" w:ascii="宋体" w:hAnsi="宋体" w:cs="宋体"/>
          <w:color w:val="auto"/>
          <w:sz w:val="24"/>
          <w:szCs w:val="24"/>
          <w:highlight w:val="none"/>
          <w:lang w:val="en-US" w:eastAsia="zh-CN"/>
        </w:rPr>
        <w:t>322000元</w:t>
      </w:r>
      <w:r>
        <w:rPr>
          <w:rFonts w:hint="eastAsia" w:ascii="宋体" w:hAnsi="宋体" w:cs="宋体"/>
          <w:color w:val="auto"/>
          <w:sz w:val="24"/>
          <w:szCs w:val="24"/>
          <w:highlight w:val="none"/>
        </w:rPr>
        <w:t>；</w:t>
      </w:r>
    </w:p>
    <w:p w14:paraId="4E5AD006">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5.2．</w:t>
      </w:r>
      <w:r>
        <w:rPr>
          <w:rFonts w:hint="eastAsia" w:ascii="宋体" w:hAnsi="宋体" w:cs="宋体"/>
          <w:color w:val="auto"/>
          <w:sz w:val="24"/>
          <w:szCs w:val="24"/>
          <w:highlight w:val="none"/>
        </w:rPr>
        <w:t>运维周期过半后双方进行项目阶段性总结（简易验收），总结合格后业主方向维护公司支付合同总金额的50%；</w:t>
      </w:r>
    </w:p>
    <w:p w14:paraId="195A48B8">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5.3．</w:t>
      </w:r>
      <w:r>
        <w:rPr>
          <w:rFonts w:hint="eastAsia" w:ascii="宋体" w:hAnsi="宋体" w:cs="宋体"/>
          <w:color w:val="auto"/>
          <w:sz w:val="24"/>
          <w:szCs w:val="24"/>
          <w:highlight w:val="none"/>
        </w:rPr>
        <w:t>项目履行结束，</w:t>
      </w:r>
      <w:r>
        <w:rPr>
          <w:rFonts w:ascii="宋体" w:hAnsi="宋体" w:cs="宋体"/>
          <w:color w:val="auto"/>
          <w:sz w:val="24"/>
          <w:szCs w:val="24"/>
          <w:highlight w:val="none"/>
        </w:rPr>
        <w:t>通过</w:t>
      </w:r>
      <w:r>
        <w:rPr>
          <w:rFonts w:hint="eastAsia" w:ascii="宋体" w:hAnsi="宋体" w:cs="宋体"/>
          <w:color w:val="auto"/>
          <w:sz w:val="24"/>
          <w:szCs w:val="24"/>
          <w:highlight w:val="none"/>
        </w:rPr>
        <w:t>验收及审价</w:t>
      </w:r>
      <w:r>
        <w:rPr>
          <w:rFonts w:ascii="宋体" w:hAnsi="宋体" w:cs="宋体"/>
          <w:color w:val="auto"/>
          <w:sz w:val="24"/>
          <w:szCs w:val="24"/>
          <w:highlight w:val="none"/>
        </w:rPr>
        <w:t>后</w:t>
      </w:r>
      <w:r>
        <w:rPr>
          <w:rFonts w:hint="eastAsia" w:ascii="宋体" w:hAnsi="宋体" w:cs="宋体"/>
          <w:color w:val="auto"/>
          <w:sz w:val="24"/>
          <w:szCs w:val="24"/>
          <w:highlight w:val="none"/>
        </w:rPr>
        <w:t>，业主方支付剩余款项。</w:t>
      </w:r>
    </w:p>
    <w:p w14:paraId="0E4C79EA">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5.4</w:t>
      </w:r>
      <w:r>
        <w:rPr>
          <w:rFonts w:hint="eastAsia" w:ascii="宋体" w:hAnsi="宋体" w:cs="宋体"/>
          <w:color w:val="auto"/>
          <w:sz w:val="24"/>
          <w:szCs w:val="24"/>
          <w:highlight w:val="none"/>
        </w:rPr>
        <w:t>．超前运维期的费用结算办法。</w:t>
      </w:r>
    </w:p>
    <w:p w14:paraId="69DCA8D0">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5.4.1</w:t>
      </w:r>
      <w:r>
        <w:rPr>
          <w:rFonts w:hint="eastAsia" w:ascii="宋体" w:hAnsi="宋体" w:cs="宋体"/>
          <w:color w:val="auto"/>
          <w:sz w:val="24"/>
          <w:szCs w:val="24"/>
          <w:highlight w:val="none"/>
        </w:rPr>
        <w:t>超前运维期时间的计算办法约定。因为客观上应用系统、服务器的运维工作需要连续性，所以采购方在上一年度运维合同到期出保后、在本项目合同生效之日前的时间段里仍需邀请2025年度运维合同的供应商提供延期服务保障，由此产生了“超前运维期”，本项目的超前运维期时间=（本项目合同生效之日-202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年6月30日）,按日历天计算。</w:t>
      </w:r>
    </w:p>
    <w:p w14:paraId="48730252">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5</w:t>
      </w:r>
      <w:r>
        <w:rPr>
          <w:rFonts w:ascii="宋体" w:hAnsi="宋体" w:cs="宋体"/>
          <w:b/>
          <w:color w:val="auto"/>
          <w:sz w:val="24"/>
          <w:szCs w:val="24"/>
          <w:highlight w:val="none"/>
        </w:rPr>
        <w:t>.4.2</w:t>
      </w:r>
      <w:r>
        <w:rPr>
          <w:rFonts w:hint="eastAsia" w:ascii="宋体" w:hAnsi="宋体" w:cs="宋体"/>
          <w:color w:val="auto"/>
          <w:sz w:val="24"/>
          <w:szCs w:val="24"/>
          <w:highlight w:val="none"/>
        </w:rPr>
        <w:t>超前运维期费用包括虚拟化软件运维、数据库系统运维费、应用系统运维费、基础软件系统运维费、应用系统的升级开发费、加班补贴等相关费用，每项费用=该项费用的合同价*超前运维期时间（天）/ 365（天）。</w:t>
      </w:r>
    </w:p>
    <w:p w14:paraId="7F19BF94">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5</w:t>
      </w:r>
      <w:r>
        <w:rPr>
          <w:rFonts w:ascii="宋体" w:hAnsi="宋体" w:cs="宋体"/>
          <w:b/>
          <w:color w:val="auto"/>
          <w:sz w:val="24"/>
          <w:szCs w:val="24"/>
          <w:highlight w:val="none"/>
        </w:rPr>
        <w:t>.4.3</w:t>
      </w:r>
      <w:r>
        <w:rPr>
          <w:rFonts w:hint="eastAsia" w:ascii="宋体" w:hAnsi="宋体" w:cs="宋体"/>
          <w:color w:val="auto"/>
          <w:sz w:val="24"/>
          <w:szCs w:val="24"/>
          <w:highlight w:val="none"/>
        </w:rPr>
        <w:t>超前运维期费用的支付方式约定。 超前运维期产生的费用由本项目的成交供应商支付给2025年度运维合同的供应商。</w:t>
      </w:r>
    </w:p>
    <w:p w14:paraId="7C3335B8">
      <w:pPr>
        <w:spacing w:line="360" w:lineRule="auto"/>
        <w:ind w:firstLine="482" w:firstLineChars="200"/>
        <w:jc w:val="center"/>
        <w:rPr>
          <w:rFonts w:ascii="宋体" w:hAnsi="宋体" w:cs="宋体"/>
          <w:color w:val="auto"/>
          <w:sz w:val="24"/>
          <w:szCs w:val="24"/>
          <w:highlight w:val="none"/>
        </w:rPr>
      </w:pPr>
      <w:r>
        <w:rPr>
          <w:rFonts w:hint="eastAsia" w:ascii="宋体" w:hAnsi="宋体" w:cs="宋体"/>
          <w:b/>
          <w:bCs/>
          <w:color w:val="auto"/>
          <w:sz w:val="24"/>
          <w:szCs w:val="24"/>
          <w:highlight w:val="none"/>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14:paraId="3F2D7621">
      <w:pPr>
        <w:spacing w:line="360" w:lineRule="auto"/>
        <w:rPr>
          <w:rFonts w:ascii="宋体" w:hAnsi="宋体" w:cs="宋体"/>
          <w:color w:val="auto"/>
          <w:sz w:val="24"/>
          <w:szCs w:val="24"/>
          <w:highlight w:val="none"/>
        </w:rPr>
      </w:pPr>
    </w:p>
    <w:p w14:paraId="62D13D7E">
      <w:pPr>
        <w:adjustRightInd w:val="0"/>
        <w:spacing w:line="500" w:lineRule="exac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6、项目投资预算及报价要求</w:t>
      </w:r>
    </w:p>
    <w:p w14:paraId="5F6B09C4">
      <w:pPr>
        <w:spacing w:line="360" w:lineRule="auto"/>
        <w:ind w:firstLine="482" w:firstLineChars="200"/>
        <w:rPr>
          <w:rFonts w:hint="eastAsia" w:ascii="宋体" w:hAnsi="宋体" w:cs="宋体"/>
          <w:color w:val="auto"/>
          <w:sz w:val="24"/>
          <w:szCs w:val="24"/>
          <w:highlight w:val="none"/>
          <w:lang w:eastAsia="zh-CN"/>
        </w:rPr>
      </w:pPr>
      <w:r>
        <w:rPr>
          <w:rFonts w:hint="eastAsia" w:ascii="宋体" w:hAnsi="宋体" w:cs="宋体"/>
          <w:b/>
          <w:color w:val="auto"/>
          <w:sz w:val="24"/>
          <w:szCs w:val="24"/>
          <w:highlight w:val="none"/>
        </w:rPr>
        <w:t>6.1 项目总预算</w:t>
      </w:r>
      <w:r>
        <w:rPr>
          <w:rFonts w:hint="eastAsia" w:ascii="宋体" w:hAnsi="宋体" w:cs="宋体"/>
          <w:color w:val="auto"/>
          <w:sz w:val="24"/>
          <w:szCs w:val="24"/>
          <w:highlight w:val="none"/>
        </w:rPr>
        <w:t>。总预算资金为</w:t>
      </w:r>
      <w:r>
        <w:rPr>
          <w:rFonts w:hint="eastAsia" w:ascii="宋体" w:hAnsi="宋体" w:cs="宋体"/>
          <w:b/>
          <w:color w:val="auto"/>
          <w:sz w:val="24"/>
          <w:szCs w:val="24"/>
          <w:highlight w:val="none"/>
          <w:lang w:val="en-US" w:eastAsia="zh-CN"/>
        </w:rPr>
        <w:t>161</w:t>
      </w:r>
      <w:r>
        <w:rPr>
          <w:rFonts w:hint="eastAsia" w:ascii="宋体" w:hAnsi="宋体" w:cs="宋体"/>
          <w:color w:val="auto"/>
          <w:sz w:val="24"/>
          <w:szCs w:val="24"/>
          <w:highlight w:val="none"/>
        </w:rPr>
        <w:t>万元人民币</w:t>
      </w:r>
      <w:bookmarkEnd w:id="66"/>
      <w:r>
        <w:rPr>
          <w:rFonts w:hint="eastAsia" w:ascii="宋体" w:hAnsi="宋体" w:cs="宋体"/>
          <w:color w:val="auto"/>
          <w:sz w:val="24"/>
          <w:szCs w:val="24"/>
          <w:highlight w:val="none"/>
          <w:lang w:eastAsia="zh-CN"/>
        </w:rPr>
        <w:t>。</w:t>
      </w:r>
    </w:p>
    <w:p w14:paraId="36C724CE">
      <w:pPr>
        <w:spacing w:line="360" w:lineRule="auto"/>
        <w:ind w:firstLine="482" w:firstLineChars="200"/>
        <w:rPr>
          <w:rFonts w:ascii="宋体" w:hAnsi="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rPr>
        <w:t xml:space="preserve">6.2 </w:t>
      </w:r>
      <w:r>
        <w:rPr>
          <w:rFonts w:hint="eastAsia" w:ascii="宋体" w:hAnsi="宋体" w:cs="宋体"/>
          <w:color w:val="auto"/>
          <w:sz w:val="24"/>
          <w:szCs w:val="24"/>
          <w:highlight w:val="none"/>
        </w:rPr>
        <w:t>投标报价要求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供应商投标时，要求在投标报价明细表中至少包括</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部分：</w:t>
      </w:r>
    </w:p>
    <w:p w14:paraId="02864F75">
      <w:pPr>
        <w:spacing w:line="360" w:lineRule="auto"/>
        <w:ind w:firstLine="991" w:firstLineChars="413"/>
        <w:rPr>
          <w:rFonts w:ascii="宋体" w:hAnsi="宋体" w:cs="宋体"/>
          <w:color w:val="auto"/>
          <w:sz w:val="24"/>
          <w:szCs w:val="24"/>
          <w:highlight w:val="none"/>
        </w:rPr>
      </w:pPr>
      <w:r>
        <w:rPr>
          <w:rFonts w:hint="eastAsia" w:ascii="宋体" w:hAnsi="宋体" w:cs="宋体"/>
          <w:color w:val="auto"/>
          <w:sz w:val="24"/>
          <w:szCs w:val="24"/>
          <w:highlight w:val="none"/>
        </w:rPr>
        <w:t>虚拟化软件运维报价</w:t>
      </w:r>
    </w:p>
    <w:p w14:paraId="03E9EA11">
      <w:pPr>
        <w:spacing w:line="360" w:lineRule="auto"/>
        <w:ind w:firstLine="991" w:firstLineChars="413"/>
        <w:rPr>
          <w:rFonts w:ascii="宋体" w:hAnsi="宋体" w:cs="宋体"/>
          <w:color w:val="auto"/>
          <w:sz w:val="24"/>
          <w:szCs w:val="24"/>
          <w:highlight w:val="none"/>
        </w:rPr>
      </w:pPr>
      <w:r>
        <w:rPr>
          <w:rFonts w:hint="eastAsia" w:ascii="宋体" w:hAnsi="宋体" w:cs="宋体"/>
          <w:color w:val="auto"/>
          <w:sz w:val="24"/>
          <w:szCs w:val="24"/>
          <w:highlight w:val="none"/>
        </w:rPr>
        <w:t>数据库系统运维报价</w:t>
      </w:r>
    </w:p>
    <w:p w14:paraId="4375317D">
      <w:pPr>
        <w:spacing w:line="360" w:lineRule="auto"/>
        <w:ind w:firstLine="991" w:firstLineChars="413"/>
        <w:rPr>
          <w:rFonts w:ascii="宋体" w:hAnsi="宋体" w:cs="宋体"/>
          <w:color w:val="auto"/>
          <w:sz w:val="24"/>
          <w:szCs w:val="24"/>
          <w:highlight w:val="none"/>
        </w:rPr>
      </w:pPr>
      <w:r>
        <w:rPr>
          <w:rFonts w:hint="eastAsia" w:ascii="宋体" w:hAnsi="宋体" w:cs="宋体"/>
          <w:color w:val="auto"/>
          <w:sz w:val="24"/>
          <w:szCs w:val="24"/>
          <w:highlight w:val="none"/>
        </w:rPr>
        <w:t>应用系统运维报价</w:t>
      </w:r>
    </w:p>
    <w:p w14:paraId="1430B4EF">
      <w:pPr>
        <w:spacing w:line="360" w:lineRule="auto"/>
        <w:ind w:firstLine="991" w:firstLineChars="413"/>
        <w:rPr>
          <w:rFonts w:ascii="宋体" w:hAnsi="宋体" w:cs="宋体"/>
          <w:color w:val="auto"/>
          <w:sz w:val="24"/>
          <w:szCs w:val="24"/>
          <w:highlight w:val="none"/>
        </w:rPr>
      </w:pPr>
      <w:r>
        <w:rPr>
          <w:rFonts w:hint="eastAsia" w:ascii="宋体" w:hAnsi="宋体" w:cs="宋体"/>
          <w:color w:val="auto"/>
          <w:sz w:val="24"/>
          <w:szCs w:val="24"/>
          <w:highlight w:val="none"/>
        </w:rPr>
        <w:t>应用系统的升级开发、加班补贴等报价</w:t>
      </w:r>
    </w:p>
    <w:p w14:paraId="6C5B4C94">
      <w:pPr>
        <w:spacing w:line="360" w:lineRule="auto"/>
        <w:ind w:firstLine="808" w:firstLineChars="337"/>
        <w:rPr>
          <w:rFonts w:ascii="宋体" w:hAnsi="宋体" w:cs="宋体"/>
          <w:color w:val="auto"/>
          <w:sz w:val="24"/>
          <w:szCs w:val="24"/>
          <w:highlight w:val="none"/>
        </w:rPr>
      </w:pPr>
      <w:r>
        <w:rPr>
          <w:rFonts w:hint="eastAsia" w:ascii="宋体" w:hAnsi="宋体" w:cs="宋体"/>
          <w:color w:val="auto"/>
          <w:sz w:val="24"/>
          <w:szCs w:val="24"/>
          <w:highlight w:val="none"/>
        </w:rPr>
        <w:t>相关报价说明如下。</w:t>
      </w:r>
    </w:p>
    <w:p w14:paraId="4AAD082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1、“虚拟化软件运维</w:t>
      </w:r>
      <w:r>
        <w:rPr>
          <w:rFonts w:hint="eastAsia" w:ascii="宋体" w:hAnsi="宋体" w:cs="宋体"/>
          <w:b/>
          <w:color w:val="auto"/>
          <w:kern w:val="2"/>
          <w:sz w:val="24"/>
          <w:szCs w:val="24"/>
          <w:highlight w:val="none"/>
        </w:rPr>
        <w:t xml:space="preserve">报价”的说明 </w:t>
      </w:r>
    </w:p>
    <w:p w14:paraId="32B4D3B6">
      <w:pPr>
        <w:spacing w:line="360" w:lineRule="auto"/>
        <w:ind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由供应商在满足以上</w:t>
      </w:r>
      <w:r>
        <w:rPr>
          <w:rFonts w:hint="eastAsia" w:ascii="宋体" w:hAnsi="宋体" w:cs="宋体"/>
          <w:color w:val="auto"/>
          <w:sz w:val="24"/>
          <w:szCs w:val="24"/>
          <w:highlight w:val="none"/>
        </w:rPr>
        <w:t>虚拟化软件运维的工作内容和服务要求的前提下，</w:t>
      </w:r>
      <w:r>
        <w:rPr>
          <w:rFonts w:hint="eastAsia" w:ascii="宋体" w:hAnsi="宋体" w:cs="宋体"/>
          <w:color w:val="auto"/>
          <w:kern w:val="2"/>
          <w:sz w:val="24"/>
          <w:szCs w:val="24"/>
          <w:highlight w:val="none"/>
        </w:rPr>
        <w:t>提出</w:t>
      </w:r>
      <w:r>
        <w:rPr>
          <w:rFonts w:hint="eastAsia" w:ascii="宋体" w:hAnsi="宋体" w:cs="宋体"/>
          <w:color w:val="auto"/>
          <w:sz w:val="24"/>
          <w:szCs w:val="24"/>
          <w:highlight w:val="none"/>
        </w:rPr>
        <w:t>在</w:t>
      </w:r>
      <w:r>
        <w:rPr>
          <w:rFonts w:hint="eastAsia" w:ascii="宋体" w:hAnsi="宋体" w:cs="宋体"/>
          <w:color w:val="auto"/>
          <w:kern w:val="2"/>
          <w:sz w:val="24"/>
          <w:szCs w:val="24"/>
          <w:highlight w:val="none"/>
        </w:rPr>
        <w:t>一个年度内的运维报价。</w:t>
      </w:r>
    </w:p>
    <w:p w14:paraId="136D7C6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2、“数据库系统运维</w:t>
      </w:r>
      <w:r>
        <w:rPr>
          <w:rFonts w:hint="eastAsia" w:ascii="宋体" w:hAnsi="宋体" w:cs="宋体"/>
          <w:b/>
          <w:color w:val="auto"/>
          <w:kern w:val="2"/>
          <w:sz w:val="24"/>
          <w:szCs w:val="24"/>
          <w:highlight w:val="none"/>
        </w:rPr>
        <w:t xml:space="preserve">报价”的说明 </w:t>
      </w:r>
    </w:p>
    <w:p w14:paraId="4F8D7BFA">
      <w:pPr>
        <w:spacing w:line="360" w:lineRule="auto"/>
        <w:ind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由供应商在满足以上</w:t>
      </w:r>
      <w:r>
        <w:rPr>
          <w:rFonts w:hint="eastAsia" w:ascii="宋体" w:hAnsi="宋体" w:cs="宋体"/>
          <w:color w:val="auto"/>
          <w:sz w:val="24"/>
          <w:szCs w:val="24"/>
          <w:highlight w:val="none"/>
        </w:rPr>
        <w:t>数据库系统运维的工作内容和服务要求的前提下，</w:t>
      </w:r>
      <w:r>
        <w:rPr>
          <w:rFonts w:hint="eastAsia" w:ascii="宋体" w:hAnsi="宋体" w:cs="宋体"/>
          <w:color w:val="auto"/>
          <w:kern w:val="2"/>
          <w:sz w:val="24"/>
          <w:szCs w:val="24"/>
          <w:highlight w:val="none"/>
        </w:rPr>
        <w:t>提出</w:t>
      </w:r>
      <w:r>
        <w:rPr>
          <w:rFonts w:hint="eastAsia" w:ascii="宋体" w:hAnsi="宋体" w:cs="宋体"/>
          <w:color w:val="auto"/>
          <w:sz w:val="24"/>
          <w:szCs w:val="24"/>
          <w:highlight w:val="none"/>
        </w:rPr>
        <w:t>在</w:t>
      </w:r>
      <w:r>
        <w:rPr>
          <w:rFonts w:hint="eastAsia" w:ascii="宋体" w:hAnsi="宋体" w:cs="宋体"/>
          <w:color w:val="auto"/>
          <w:kern w:val="2"/>
          <w:sz w:val="24"/>
          <w:szCs w:val="24"/>
          <w:highlight w:val="none"/>
        </w:rPr>
        <w:t>一个年度内的运维报价。</w:t>
      </w:r>
    </w:p>
    <w:p w14:paraId="7D6D92C3">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、“应用系统运维</w:t>
      </w:r>
      <w:r>
        <w:rPr>
          <w:rFonts w:hint="eastAsia" w:ascii="宋体" w:hAnsi="宋体" w:cs="宋体"/>
          <w:b/>
          <w:color w:val="auto"/>
          <w:kern w:val="2"/>
          <w:sz w:val="24"/>
          <w:szCs w:val="24"/>
          <w:highlight w:val="none"/>
        </w:rPr>
        <w:t xml:space="preserve">报价”的说明 </w:t>
      </w:r>
    </w:p>
    <w:p w14:paraId="3352C12A">
      <w:pPr>
        <w:spacing w:line="360" w:lineRule="auto"/>
        <w:ind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由供应商在满足以上</w:t>
      </w:r>
      <w:r>
        <w:rPr>
          <w:rFonts w:hint="eastAsia" w:ascii="宋体" w:hAnsi="宋体" w:cs="宋体"/>
          <w:color w:val="auto"/>
          <w:sz w:val="24"/>
          <w:szCs w:val="24"/>
          <w:highlight w:val="none"/>
        </w:rPr>
        <w:t>应用系统运维的工作内容和服务要求的前提下，</w:t>
      </w:r>
      <w:r>
        <w:rPr>
          <w:rFonts w:hint="eastAsia" w:ascii="宋体" w:hAnsi="宋体" w:cs="宋体"/>
          <w:color w:val="auto"/>
          <w:kern w:val="2"/>
          <w:sz w:val="24"/>
          <w:szCs w:val="24"/>
          <w:highlight w:val="none"/>
        </w:rPr>
        <w:t>按软件行业常规方式进行</w:t>
      </w:r>
      <w:r>
        <w:rPr>
          <w:rFonts w:hint="eastAsia" w:ascii="宋体" w:hAnsi="宋体" w:cs="宋体"/>
          <w:b/>
          <w:color w:val="auto"/>
          <w:sz w:val="24"/>
          <w:szCs w:val="24"/>
          <w:highlight w:val="none"/>
        </w:rPr>
        <w:t>18套</w:t>
      </w:r>
      <w:r>
        <w:rPr>
          <w:rFonts w:hint="eastAsia" w:ascii="宋体" w:hAnsi="宋体" w:cs="宋体"/>
          <w:color w:val="auto"/>
          <w:sz w:val="24"/>
          <w:szCs w:val="24"/>
          <w:highlight w:val="none"/>
        </w:rPr>
        <w:t>应用软件在</w:t>
      </w:r>
      <w:r>
        <w:rPr>
          <w:rFonts w:hint="eastAsia" w:ascii="宋体" w:hAnsi="宋体" w:cs="宋体"/>
          <w:color w:val="auto"/>
          <w:kern w:val="2"/>
          <w:sz w:val="24"/>
          <w:szCs w:val="24"/>
          <w:highlight w:val="none"/>
        </w:rPr>
        <w:t>一个年度内的运维总报价。</w:t>
      </w:r>
    </w:p>
    <w:p w14:paraId="2E2A8CAE">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、“应用系统的升级开发、加班补贴等报价”的说明</w:t>
      </w:r>
    </w:p>
    <w:p w14:paraId="66B81483">
      <w:pPr>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“应用系统的升级开发、加班补贴等报价”的投标总报价为</w:t>
      </w:r>
      <w:r>
        <w:rPr>
          <w:rFonts w:hint="eastAsia" w:ascii="宋体" w:hAnsi="宋体" w:cs="宋体"/>
          <w:b/>
          <w:bCs/>
          <w:color w:val="auto"/>
          <w:sz w:val="24"/>
          <w:szCs w:val="24"/>
          <w:highlight w:val="none"/>
          <w:lang w:val="en-US" w:eastAsia="zh-CN"/>
        </w:rPr>
        <w:t>15</w:t>
      </w:r>
      <w:r>
        <w:rPr>
          <w:rFonts w:hint="eastAsia" w:ascii="宋体" w:hAnsi="宋体" w:cs="宋体"/>
          <w:b/>
          <w:bCs/>
          <w:color w:val="auto"/>
          <w:sz w:val="24"/>
          <w:szCs w:val="24"/>
          <w:highlight w:val="none"/>
        </w:rPr>
        <w:t>万元</w:t>
      </w:r>
      <w:r>
        <w:rPr>
          <w:rFonts w:hint="eastAsia" w:ascii="宋体" w:hAnsi="宋体" w:cs="宋体"/>
          <w:color w:val="auto"/>
          <w:sz w:val="24"/>
          <w:szCs w:val="24"/>
          <w:highlight w:val="none"/>
        </w:rPr>
        <w:t>人民币，为固定数额，但</w:t>
      </w:r>
      <w:r>
        <w:rPr>
          <w:rFonts w:hint="eastAsia" w:ascii="宋体" w:hAnsi="宋体"/>
          <w:color w:val="auto"/>
          <w:sz w:val="24"/>
          <w:szCs w:val="24"/>
          <w:highlight w:val="none"/>
        </w:rPr>
        <w:t>投标供应商</w:t>
      </w:r>
      <w:r>
        <w:rPr>
          <w:rFonts w:hint="eastAsia" w:ascii="宋体" w:hAnsi="宋体" w:cs="Courier New"/>
          <w:color w:val="auto"/>
          <w:kern w:val="2"/>
          <w:sz w:val="24"/>
          <w:szCs w:val="24"/>
          <w:highlight w:val="none"/>
        </w:rPr>
        <w:t>在</w:t>
      </w:r>
      <w:r>
        <w:rPr>
          <w:rFonts w:hint="eastAsia" w:ascii="宋体" w:hAnsi="宋体" w:cs="Courier New"/>
          <w:b/>
          <w:color w:val="auto"/>
          <w:kern w:val="2"/>
          <w:sz w:val="24"/>
          <w:szCs w:val="24"/>
          <w:highlight w:val="none"/>
        </w:rPr>
        <w:t>项目实际实施过程中</w:t>
      </w:r>
      <w:r>
        <w:rPr>
          <w:rFonts w:hint="eastAsia" w:ascii="宋体" w:hAnsi="宋体" w:cs="Courier New"/>
          <w:color w:val="auto"/>
          <w:kern w:val="2"/>
          <w:sz w:val="24"/>
          <w:szCs w:val="24"/>
          <w:highlight w:val="none"/>
        </w:rPr>
        <w:t>，</w:t>
      </w:r>
      <w:r>
        <w:rPr>
          <w:rFonts w:hint="eastAsia" w:ascii="宋体" w:hAnsi="宋体"/>
          <w:color w:val="auto"/>
          <w:sz w:val="24"/>
          <w:szCs w:val="24"/>
          <w:highlight w:val="none"/>
        </w:rPr>
        <w:t>“应用系统的升级开发、加班补贴等费用”为按实际结算。客观上,在维保实施过程中存在不可预见的因素，即本项目立项和招标时无法预测在未来一年维保过程中会有哪些应用系统需要升级。在本项目实施的过程中，该类费用的每一笔的使用都要办理审核流程手续。</w:t>
      </w:r>
    </w:p>
    <w:p w14:paraId="3A6FC1C4">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应用系统升级开发的实施步骤如下</w:t>
      </w:r>
      <w:r>
        <w:rPr>
          <w:rFonts w:hint="eastAsia" w:ascii="宋体" w:hAnsi="宋体"/>
          <w:color w:val="auto"/>
          <w:sz w:val="24"/>
          <w:szCs w:val="24"/>
          <w:highlight w:val="none"/>
        </w:rPr>
        <w:t>：</w:t>
      </w:r>
    </w:p>
    <w:p w14:paraId="370B0C3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第1步，中标供应商根据采购单位内部工作需要编写升级方案，含升级改造预算表；</w:t>
      </w:r>
    </w:p>
    <w:p w14:paraId="5CEA587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第2步，采购单位内部根据升级实施情况，走科技日常业务工作项目申报审批流程来确认该项工作，其中该项升级开发价格=固定单价*开发工作量，固定单价为2万元/人月，开发工作量为按实计算； </w:t>
      </w:r>
    </w:p>
    <w:p w14:paraId="41961D2C">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加班补贴</w:t>
      </w:r>
      <w:r>
        <w:rPr>
          <w:rFonts w:hint="eastAsia" w:ascii="宋体" w:hAnsi="宋体"/>
          <w:b/>
          <w:color w:val="auto"/>
          <w:sz w:val="24"/>
          <w:szCs w:val="24"/>
          <w:highlight w:val="none"/>
        </w:rPr>
        <w:t>的实施步骤如下</w:t>
      </w:r>
      <w:r>
        <w:rPr>
          <w:rFonts w:hint="eastAsia" w:ascii="宋体" w:hAnsi="宋体"/>
          <w:color w:val="auto"/>
          <w:sz w:val="24"/>
          <w:szCs w:val="24"/>
          <w:highlight w:val="none"/>
        </w:rPr>
        <w:t>：</w:t>
      </w:r>
    </w:p>
    <w:p w14:paraId="42BD71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第1步，中标供应商根据采购单位工作安排实施加值班；</w:t>
      </w:r>
    </w:p>
    <w:p w14:paraId="694249B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第2步，采购单位内部根据加值班实际情况，走科技日常业务工作项目申报审批流程来确认该项工作，其中该项加值班价格=固定单价*加值班工作量，固定单价为“每人每天工作时间外加班半天（即一次不超过4小时）的按200元加班补贴计算；每人每天工作时间外加班一天（即一次超过4小时）按400元加班补贴计算；国家法定节假日加班以普通加班费的三倍计算”，加值班工作量按实计算。 </w:t>
      </w:r>
    </w:p>
    <w:p w14:paraId="11AADABE">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应用系统的升级开发、加班补贴等费用的统计：</w:t>
      </w:r>
    </w:p>
    <w:p w14:paraId="70D7B0F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中标供应商每月整理应用系统升级开发、加班清单，写到运维月报中并予以统计。</w:t>
      </w:r>
    </w:p>
    <w:p w14:paraId="363E16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2"/>
          <w:sz w:val="24"/>
          <w:szCs w:val="24"/>
          <w:highlight w:val="none"/>
        </w:rPr>
        <w:t>本项目运维年度结束后，</w:t>
      </w:r>
      <w:r>
        <w:rPr>
          <w:rFonts w:hint="eastAsia" w:ascii="宋体" w:hAnsi="宋体" w:cs="宋体"/>
          <w:color w:val="auto"/>
          <w:sz w:val="24"/>
          <w:szCs w:val="24"/>
          <w:highlight w:val="none"/>
        </w:rPr>
        <w:t>中标供应商整理所有该项费用列表，作为整个项目验收材料的组成部分一起提交项目验收；该类费用总计不能超过该类费用总报价，用不完的则在项目审计中予以裁减。</w:t>
      </w:r>
    </w:p>
    <w:p w14:paraId="6C40F02D">
      <w:pPr>
        <w:spacing w:line="360" w:lineRule="auto"/>
        <w:rPr>
          <w:rFonts w:ascii="宋体" w:hAnsi="宋体"/>
          <w:color w:val="auto"/>
          <w:sz w:val="21"/>
          <w:szCs w:val="21"/>
          <w:highlight w:val="none"/>
        </w:rPr>
      </w:pPr>
    </w:p>
    <w:sectPr>
      <w:headerReference r:id="rId3" w:type="default"/>
      <w:footerReference r:id="rId4" w:type="default"/>
      <w:pgSz w:w="11906" w:h="16838"/>
      <w:pgMar w:top="1440" w:right="155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732881"/>
    </w:sdtPr>
    <w:sdtContent>
      <w:sdt>
        <w:sdtPr>
          <w:id w:val="-1669238322"/>
        </w:sdtPr>
        <w:sdtContent>
          <w:p w14:paraId="27FB0E05">
            <w:pPr>
              <w:pStyle w:val="11"/>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B2D3">
    <w:pPr>
      <w:pStyle w:val="12"/>
      <w:rPr>
        <w:rFonts w:hint="default" w:eastAsia="宋体"/>
        <w:lang w:val="en-US" w:eastAsia="zh-CN"/>
      </w:rPr>
    </w:pPr>
    <w:r>
      <w:rPr>
        <w:rFonts w:hint="eastAsia"/>
      </w:rPr>
      <w:t>ZC20260066</w:t>
    </w:r>
    <w:r>
      <w:rPr>
        <w:rFonts w:hint="eastAsia"/>
        <w:lang w:val="en-US" w:eastAsia="zh-CN"/>
      </w:rPr>
      <w:t xml:space="preserve">    </w:t>
    </w:r>
    <w:r>
      <w:rPr>
        <w:rFonts w:hint="eastAsia"/>
      </w:rPr>
      <w:t>上海市公安局长宁分局2026年度综合应用系统技术服务竞争性磋商项目</w:t>
    </w:r>
    <w:r>
      <w:rPr>
        <w:rFonts w:hint="eastAsia"/>
        <w:lang w:val="en-US" w:eastAsia="zh-CN"/>
      </w:rPr>
      <w:t xml:space="preserve">          采购需求文件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1MmQ2ZjQ0NmU0ZTYxMDM3MGM1OWJlYWEzMDNlODcifQ=="/>
  </w:docVars>
  <w:rsids>
    <w:rsidRoot w:val="00FB57A8"/>
    <w:rsid w:val="00000B84"/>
    <w:rsid w:val="00001A14"/>
    <w:rsid w:val="0000572A"/>
    <w:rsid w:val="0001313F"/>
    <w:rsid w:val="00014450"/>
    <w:rsid w:val="000148BE"/>
    <w:rsid w:val="000154C8"/>
    <w:rsid w:val="0001736B"/>
    <w:rsid w:val="000212C3"/>
    <w:rsid w:val="00021FC1"/>
    <w:rsid w:val="000271F9"/>
    <w:rsid w:val="00027F5E"/>
    <w:rsid w:val="000335FF"/>
    <w:rsid w:val="00043975"/>
    <w:rsid w:val="000449C0"/>
    <w:rsid w:val="0004629A"/>
    <w:rsid w:val="00047677"/>
    <w:rsid w:val="00050FA7"/>
    <w:rsid w:val="000512C2"/>
    <w:rsid w:val="00053A31"/>
    <w:rsid w:val="0005402E"/>
    <w:rsid w:val="00054C87"/>
    <w:rsid w:val="00057F7F"/>
    <w:rsid w:val="000600B1"/>
    <w:rsid w:val="0006121D"/>
    <w:rsid w:val="00061477"/>
    <w:rsid w:val="000628FE"/>
    <w:rsid w:val="00062A5C"/>
    <w:rsid w:val="00062DA4"/>
    <w:rsid w:val="000634C5"/>
    <w:rsid w:val="00063ED0"/>
    <w:rsid w:val="00065822"/>
    <w:rsid w:val="0006586A"/>
    <w:rsid w:val="00071846"/>
    <w:rsid w:val="000730CE"/>
    <w:rsid w:val="0007727C"/>
    <w:rsid w:val="00077C9C"/>
    <w:rsid w:val="00080475"/>
    <w:rsid w:val="00080901"/>
    <w:rsid w:val="00081834"/>
    <w:rsid w:val="0008493E"/>
    <w:rsid w:val="0008619E"/>
    <w:rsid w:val="0009710E"/>
    <w:rsid w:val="000A47F7"/>
    <w:rsid w:val="000A660B"/>
    <w:rsid w:val="000A69FC"/>
    <w:rsid w:val="000A7F7B"/>
    <w:rsid w:val="000B0E29"/>
    <w:rsid w:val="000B5456"/>
    <w:rsid w:val="000B6717"/>
    <w:rsid w:val="000B6DF8"/>
    <w:rsid w:val="000B7895"/>
    <w:rsid w:val="000C0128"/>
    <w:rsid w:val="000C0B67"/>
    <w:rsid w:val="000C47D7"/>
    <w:rsid w:val="000C4AF0"/>
    <w:rsid w:val="000C69D0"/>
    <w:rsid w:val="000C74EB"/>
    <w:rsid w:val="000D0D28"/>
    <w:rsid w:val="000D199B"/>
    <w:rsid w:val="000D2422"/>
    <w:rsid w:val="000D2649"/>
    <w:rsid w:val="000D292D"/>
    <w:rsid w:val="000D30E4"/>
    <w:rsid w:val="000D3220"/>
    <w:rsid w:val="000D767F"/>
    <w:rsid w:val="000D7B5D"/>
    <w:rsid w:val="000E3884"/>
    <w:rsid w:val="000E3CD7"/>
    <w:rsid w:val="000E458F"/>
    <w:rsid w:val="000E5493"/>
    <w:rsid w:val="000E6E2F"/>
    <w:rsid w:val="000E745F"/>
    <w:rsid w:val="000F2ABD"/>
    <w:rsid w:val="000F3FAF"/>
    <w:rsid w:val="000F6BC7"/>
    <w:rsid w:val="000F74EF"/>
    <w:rsid w:val="000F7AD2"/>
    <w:rsid w:val="00100BCA"/>
    <w:rsid w:val="001034F8"/>
    <w:rsid w:val="001058A6"/>
    <w:rsid w:val="0010660B"/>
    <w:rsid w:val="00110EF5"/>
    <w:rsid w:val="00111562"/>
    <w:rsid w:val="0011318D"/>
    <w:rsid w:val="001144B1"/>
    <w:rsid w:val="00116B6D"/>
    <w:rsid w:val="001222D5"/>
    <w:rsid w:val="0012267B"/>
    <w:rsid w:val="001246E6"/>
    <w:rsid w:val="00124AAD"/>
    <w:rsid w:val="001304E7"/>
    <w:rsid w:val="001330D9"/>
    <w:rsid w:val="00133CE2"/>
    <w:rsid w:val="001356EB"/>
    <w:rsid w:val="00135AE8"/>
    <w:rsid w:val="00135BE1"/>
    <w:rsid w:val="00136B53"/>
    <w:rsid w:val="00140C2A"/>
    <w:rsid w:val="00142018"/>
    <w:rsid w:val="00144CF1"/>
    <w:rsid w:val="0015071A"/>
    <w:rsid w:val="00150804"/>
    <w:rsid w:val="00150A05"/>
    <w:rsid w:val="00152522"/>
    <w:rsid w:val="00156061"/>
    <w:rsid w:val="00156FED"/>
    <w:rsid w:val="001609C6"/>
    <w:rsid w:val="00160ADB"/>
    <w:rsid w:val="00162989"/>
    <w:rsid w:val="001645A7"/>
    <w:rsid w:val="001650C9"/>
    <w:rsid w:val="0016513E"/>
    <w:rsid w:val="0017151D"/>
    <w:rsid w:val="00171CA4"/>
    <w:rsid w:val="00172EC2"/>
    <w:rsid w:val="0017350C"/>
    <w:rsid w:val="00175D96"/>
    <w:rsid w:val="001772C5"/>
    <w:rsid w:val="00181F44"/>
    <w:rsid w:val="00184128"/>
    <w:rsid w:val="00184EA4"/>
    <w:rsid w:val="00187ACB"/>
    <w:rsid w:val="0019067E"/>
    <w:rsid w:val="001934FD"/>
    <w:rsid w:val="00194D8E"/>
    <w:rsid w:val="0019728A"/>
    <w:rsid w:val="00197C7C"/>
    <w:rsid w:val="001A710E"/>
    <w:rsid w:val="001B0A03"/>
    <w:rsid w:val="001B5D2B"/>
    <w:rsid w:val="001C12B7"/>
    <w:rsid w:val="001C1E72"/>
    <w:rsid w:val="001C73C0"/>
    <w:rsid w:val="001D1246"/>
    <w:rsid w:val="001D1741"/>
    <w:rsid w:val="001D635E"/>
    <w:rsid w:val="001E5FBB"/>
    <w:rsid w:val="001E7463"/>
    <w:rsid w:val="001F2905"/>
    <w:rsid w:val="001F309C"/>
    <w:rsid w:val="001F770D"/>
    <w:rsid w:val="00200CA7"/>
    <w:rsid w:val="002011EF"/>
    <w:rsid w:val="0020198D"/>
    <w:rsid w:val="002030A3"/>
    <w:rsid w:val="002051F6"/>
    <w:rsid w:val="002139E4"/>
    <w:rsid w:val="00213BFC"/>
    <w:rsid w:val="0021514A"/>
    <w:rsid w:val="00215542"/>
    <w:rsid w:val="00215D9B"/>
    <w:rsid w:val="00216340"/>
    <w:rsid w:val="002216B7"/>
    <w:rsid w:val="00221D0D"/>
    <w:rsid w:val="0022591E"/>
    <w:rsid w:val="002261A1"/>
    <w:rsid w:val="002265E7"/>
    <w:rsid w:val="00226EA7"/>
    <w:rsid w:val="00227375"/>
    <w:rsid w:val="00231E1C"/>
    <w:rsid w:val="00233ADD"/>
    <w:rsid w:val="00234C2C"/>
    <w:rsid w:val="0023643E"/>
    <w:rsid w:val="00243539"/>
    <w:rsid w:val="002448E6"/>
    <w:rsid w:val="00246AFD"/>
    <w:rsid w:val="00246B98"/>
    <w:rsid w:val="00247028"/>
    <w:rsid w:val="00250C08"/>
    <w:rsid w:val="00253BE7"/>
    <w:rsid w:val="00260FF6"/>
    <w:rsid w:val="00261483"/>
    <w:rsid w:val="00262463"/>
    <w:rsid w:val="00263CD3"/>
    <w:rsid w:val="002664A4"/>
    <w:rsid w:val="002670D6"/>
    <w:rsid w:val="00274068"/>
    <w:rsid w:val="0027736A"/>
    <w:rsid w:val="00280758"/>
    <w:rsid w:val="00283974"/>
    <w:rsid w:val="0028741F"/>
    <w:rsid w:val="00295413"/>
    <w:rsid w:val="00295AAF"/>
    <w:rsid w:val="002968C8"/>
    <w:rsid w:val="002A31C7"/>
    <w:rsid w:val="002A4F04"/>
    <w:rsid w:val="002A5364"/>
    <w:rsid w:val="002B265D"/>
    <w:rsid w:val="002B380A"/>
    <w:rsid w:val="002B3DD4"/>
    <w:rsid w:val="002B4789"/>
    <w:rsid w:val="002B660B"/>
    <w:rsid w:val="002C1741"/>
    <w:rsid w:val="002C20AE"/>
    <w:rsid w:val="002C2484"/>
    <w:rsid w:val="002C3E9E"/>
    <w:rsid w:val="002C6740"/>
    <w:rsid w:val="002C6FC5"/>
    <w:rsid w:val="002D10F8"/>
    <w:rsid w:val="002D1E6B"/>
    <w:rsid w:val="002D31E5"/>
    <w:rsid w:val="002D3FA5"/>
    <w:rsid w:val="002D4255"/>
    <w:rsid w:val="002D5752"/>
    <w:rsid w:val="002E0EE5"/>
    <w:rsid w:val="002E1296"/>
    <w:rsid w:val="002E25B0"/>
    <w:rsid w:val="002E7C38"/>
    <w:rsid w:val="002F2E6A"/>
    <w:rsid w:val="002F3A3E"/>
    <w:rsid w:val="002F72DC"/>
    <w:rsid w:val="0030554C"/>
    <w:rsid w:val="003105DE"/>
    <w:rsid w:val="00322B93"/>
    <w:rsid w:val="00324057"/>
    <w:rsid w:val="0032592F"/>
    <w:rsid w:val="00325B7F"/>
    <w:rsid w:val="00331CD0"/>
    <w:rsid w:val="00334130"/>
    <w:rsid w:val="00334E26"/>
    <w:rsid w:val="00335959"/>
    <w:rsid w:val="0033733C"/>
    <w:rsid w:val="00337A65"/>
    <w:rsid w:val="00341160"/>
    <w:rsid w:val="00341247"/>
    <w:rsid w:val="003415F3"/>
    <w:rsid w:val="0034167B"/>
    <w:rsid w:val="0034215C"/>
    <w:rsid w:val="00353C6C"/>
    <w:rsid w:val="003566FD"/>
    <w:rsid w:val="0035672D"/>
    <w:rsid w:val="0035730B"/>
    <w:rsid w:val="003609E5"/>
    <w:rsid w:val="00360C96"/>
    <w:rsid w:val="00363B04"/>
    <w:rsid w:val="00365FB2"/>
    <w:rsid w:val="00373E26"/>
    <w:rsid w:val="0037498C"/>
    <w:rsid w:val="0037535C"/>
    <w:rsid w:val="003775FC"/>
    <w:rsid w:val="00377DD9"/>
    <w:rsid w:val="00382C8D"/>
    <w:rsid w:val="00390573"/>
    <w:rsid w:val="00392D84"/>
    <w:rsid w:val="00392DBA"/>
    <w:rsid w:val="00393827"/>
    <w:rsid w:val="003A09ED"/>
    <w:rsid w:val="003A0EA3"/>
    <w:rsid w:val="003A446A"/>
    <w:rsid w:val="003A5E98"/>
    <w:rsid w:val="003B1983"/>
    <w:rsid w:val="003B2218"/>
    <w:rsid w:val="003B49FD"/>
    <w:rsid w:val="003B4F7E"/>
    <w:rsid w:val="003B699D"/>
    <w:rsid w:val="003C0218"/>
    <w:rsid w:val="003C17AE"/>
    <w:rsid w:val="003C3353"/>
    <w:rsid w:val="003C354C"/>
    <w:rsid w:val="003C4BA1"/>
    <w:rsid w:val="003C6C94"/>
    <w:rsid w:val="003C6F97"/>
    <w:rsid w:val="003C6FC5"/>
    <w:rsid w:val="003D4327"/>
    <w:rsid w:val="003D66A4"/>
    <w:rsid w:val="003D6FC9"/>
    <w:rsid w:val="003D71EF"/>
    <w:rsid w:val="003E515E"/>
    <w:rsid w:val="003F1BFC"/>
    <w:rsid w:val="003F30CD"/>
    <w:rsid w:val="00400D3F"/>
    <w:rsid w:val="004016D8"/>
    <w:rsid w:val="00404274"/>
    <w:rsid w:val="0040490D"/>
    <w:rsid w:val="004061BB"/>
    <w:rsid w:val="00407666"/>
    <w:rsid w:val="004108E7"/>
    <w:rsid w:val="00411ECF"/>
    <w:rsid w:val="00413200"/>
    <w:rsid w:val="0041452B"/>
    <w:rsid w:val="00420479"/>
    <w:rsid w:val="0042137C"/>
    <w:rsid w:val="00421D05"/>
    <w:rsid w:val="0042352F"/>
    <w:rsid w:val="00424BBE"/>
    <w:rsid w:val="00426137"/>
    <w:rsid w:val="0042632F"/>
    <w:rsid w:val="00426F28"/>
    <w:rsid w:val="0043255C"/>
    <w:rsid w:val="00432ACE"/>
    <w:rsid w:val="00433894"/>
    <w:rsid w:val="004355E1"/>
    <w:rsid w:val="004363A8"/>
    <w:rsid w:val="004435DB"/>
    <w:rsid w:val="00443B3B"/>
    <w:rsid w:val="004562F3"/>
    <w:rsid w:val="00456D15"/>
    <w:rsid w:val="00457377"/>
    <w:rsid w:val="00457656"/>
    <w:rsid w:val="00457F87"/>
    <w:rsid w:val="004602AA"/>
    <w:rsid w:val="00460F61"/>
    <w:rsid w:val="004647C3"/>
    <w:rsid w:val="00465E47"/>
    <w:rsid w:val="0046652B"/>
    <w:rsid w:val="0047037E"/>
    <w:rsid w:val="00474ECF"/>
    <w:rsid w:val="00477926"/>
    <w:rsid w:val="00481060"/>
    <w:rsid w:val="00482541"/>
    <w:rsid w:val="00484F05"/>
    <w:rsid w:val="00485F76"/>
    <w:rsid w:val="00486995"/>
    <w:rsid w:val="00486B07"/>
    <w:rsid w:val="00487280"/>
    <w:rsid w:val="00487806"/>
    <w:rsid w:val="0049057F"/>
    <w:rsid w:val="00490DA7"/>
    <w:rsid w:val="00491E51"/>
    <w:rsid w:val="0049362B"/>
    <w:rsid w:val="00493D98"/>
    <w:rsid w:val="004947B6"/>
    <w:rsid w:val="00496068"/>
    <w:rsid w:val="00497EE0"/>
    <w:rsid w:val="004A7D4F"/>
    <w:rsid w:val="004B1889"/>
    <w:rsid w:val="004B567D"/>
    <w:rsid w:val="004B591A"/>
    <w:rsid w:val="004B6AED"/>
    <w:rsid w:val="004B733D"/>
    <w:rsid w:val="004B7AB8"/>
    <w:rsid w:val="004C0B90"/>
    <w:rsid w:val="004C1DF6"/>
    <w:rsid w:val="004C3B31"/>
    <w:rsid w:val="004C6068"/>
    <w:rsid w:val="004C70C8"/>
    <w:rsid w:val="004D15A5"/>
    <w:rsid w:val="004D1C16"/>
    <w:rsid w:val="004D319A"/>
    <w:rsid w:val="004D554A"/>
    <w:rsid w:val="004D5FEC"/>
    <w:rsid w:val="004D6564"/>
    <w:rsid w:val="004D687B"/>
    <w:rsid w:val="004E0A75"/>
    <w:rsid w:val="004E39AC"/>
    <w:rsid w:val="004E3D77"/>
    <w:rsid w:val="004E5F28"/>
    <w:rsid w:val="004E60E9"/>
    <w:rsid w:val="004E71F9"/>
    <w:rsid w:val="004F0870"/>
    <w:rsid w:val="004F0DFB"/>
    <w:rsid w:val="004F1679"/>
    <w:rsid w:val="004F528B"/>
    <w:rsid w:val="004F7790"/>
    <w:rsid w:val="00501C2C"/>
    <w:rsid w:val="00501CAD"/>
    <w:rsid w:val="005040A5"/>
    <w:rsid w:val="00506120"/>
    <w:rsid w:val="00510A1F"/>
    <w:rsid w:val="00511D73"/>
    <w:rsid w:val="005146BD"/>
    <w:rsid w:val="00515014"/>
    <w:rsid w:val="00515E4D"/>
    <w:rsid w:val="00522534"/>
    <w:rsid w:val="005225B4"/>
    <w:rsid w:val="00523299"/>
    <w:rsid w:val="00523D06"/>
    <w:rsid w:val="0052625B"/>
    <w:rsid w:val="005265C4"/>
    <w:rsid w:val="00527117"/>
    <w:rsid w:val="005272D4"/>
    <w:rsid w:val="00532F8E"/>
    <w:rsid w:val="00537774"/>
    <w:rsid w:val="00540273"/>
    <w:rsid w:val="005408F8"/>
    <w:rsid w:val="00542687"/>
    <w:rsid w:val="005431F1"/>
    <w:rsid w:val="00543869"/>
    <w:rsid w:val="00543D94"/>
    <w:rsid w:val="00552D5B"/>
    <w:rsid w:val="00556A96"/>
    <w:rsid w:val="00562EA9"/>
    <w:rsid w:val="0056312D"/>
    <w:rsid w:val="00563466"/>
    <w:rsid w:val="005642DF"/>
    <w:rsid w:val="00564BBF"/>
    <w:rsid w:val="005658AC"/>
    <w:rsid w:val="00566887"/>
    <w:rsid w:val="00570A65"/>
    <w:rsid w:val="00572850"/>
    <w:rsid w:val="00572AA1"/>
    <w:rsid w:val="00575F83"/>
    <w:rsid w:val="005818F4"/>
    <w:rsid w:val="00581ECC"/>
    <w:rsid w:val="005828F8"/>
    <w:rsid w:val="00582A67"/>
    <w:rsid w:val="005832D9"/>
    <w:rsid w:val="00584791"/>
    <w:rsid w:val="005862D9"/>
    <w:rsid w:val="0058797E"/>
    <w:rsid w:val="00591114"/>
    <w:rsid w:val="00592CE5"/>
    <w:rsid w:val="00592DE5"/>
    <w:rsid w:val="00593E72"/>
    <w:rsid w:val="0059512C"/>
    <w:rsid w:val="0059566F"/>
    <w:rsid w:val="005A278E"/>
    <w:rsid w:val="005A4801"/>
    <w:rsid w:val="005A4DDC"/>
    <w:rsid w:val="005A6055"/>
    <w:rsid w:val="005A60D2"/>
    <w:rsid w:val="005B2846"/>
    <w:rsid w:val="005C3396"/>
    <w:rsid w:val="005C43ED"/>
    <w:rsid w:val="005C731B"/>
    <w:rsid w:val="005D0CFC"/>
    <w:rsid w:val="005D1417"/>
    <w:rsid w:val="005D188C"/>
    <w:rsid w:val="005D4617"/>
    <w:rsid w:val="005D7CDA"/>
    <w:rsid w:val="005E1457"/>
    <w:rsid w:val="005E26B7"/>
    <w:rsid w:val="005E27EB"/>
    <w:rsid w:val="005E2FB3"/>
    <w:rsid w:val="005E54E4"/>
    <w:rsid w:val="005E636F"/>
    <w:rsid w:val="005E66CC"/>
    <w:rsid w:val="005E6A0C"/>
    <w:rsid w:val="005E7161"/>
    <w:rsid w:val="005F1986"/>
    <w:rsid w:val="005F1C22"/>
    <w:rsid w:val="005F2397"/>
    <w:rsid w:val="005F54B6"/>
    <w:rsid w:val="005F5DAB"/>
    <w:rsid w:val="005F718D"/>
    <w:rsid w:val="005F7BD3"/>
    <w:rsid w:val="005F7C58"/>
    <w:rsid w:val="00600CB6"/>
    <w:rsid w:val="0060197B"/>
    <w:rsid w:val="00603A51"/>
    <w:rsid w:val="00605A10"/>
    <w:rsid w:val="006226CE"/>
    <w:rsid w:val="00623882"/>
    <w:rsid w:val="00626907"/>
    <w:rsid w:val="00630751"/>
    <w:rsid w:val="00630CA3"/>
    <w:rsid w:val="00632413"/>
    <w:rsid w:val="00632788"/>
    <w:rsid w:val="00633F7C"/>
    <w:rsid w:val="00637AB7"/>
    <w:rsid w:val="00640F90"/>
    <w:rsid w:val="006441CF"/>
    <w:rsid w:val="00644619"/>
    <w:rsid w:val="006462FA"/>
    <w:rsid w:val="00650AC5"/>
    <w:rsid w:val="0065298C"/>
    <w:rsid w:val="00652C63"/>
    <w:rsid w:val="006531B5"/>
    <w:rsid w:val="006554D9"/>
    <w:rsid w:val="00655D93"/>
    <w:rsid w:val="00657C0C"/>
    <w:rsid w:val="00660834"/>
    <w:rsid w:val="00661212"/>
    <w:rsid w:val="00661C15"/>
    <w:rsid w:val="00662C1E"/>
    <w:rsid w:val="0066393F"/>
    <w:rsid w:val="00663D3E"/>
    <w:rsid w:val="0066596E"/>
    <w:rsid w:val="00667457"/>
    <w:rsid w:val="00667B86"/>
    <w:rsid w:val="00675D21"/>
    <w:rsid w:val="006772C6"/>
    <w:rsid w:val="006823A2"/>
    <w:rsid w:val="00682DAA"/>
    <w:rsid w:val="00684E01"/>
    <w:rsid w:val="006853FB"/>
    <w:rsid w:val="00685676"/>
    <w:rsid w:val="00686D6C"/>
    <w:rsid w:val="00687670"/>
    <w:rsid w:val="00690C65"/>
    <w:rsid w:val="00693DC0"/>
    <w:rsid w:val="00695CFD"/>
    <w:rsid w:val="00697575"/>
    <w:rsid w:val="006A0116"/>
    <w:rsid w:val="006A020E"/>
    <w:rsid w:val="006A02C4"/>
    <w:rsid w:val="006A1A8D"/>
    <w:rsid w:val="006A37C9"/>
    <w:rsid w:val="006A698C"/>
    <w:rsid w:val="006B261E"/>
    <w:rsid w:val="006B3D3C"/>
    <w:rsid w:val="006C0BBE"/>
    <w:rsid w:val="006C1EA2"/>
    <w:rsid w:val="006C7140"/>
    <w:rsid w:val="006D1A85"/>
    <w:rsid w:val="006D35BA"/>
    <w:rsid w:val="006D56C2"/>
    <w:rsid w:val="006D64DD"/>
    <w:rsid w:val="006E06DE"/>
    <w:rsid w:val="006E0A34"/>
    <w:rsid w:val="006E28E4"/>
    <w:rsid w:val="006E3318"/>
    <w:rsid w:val="006E3720"/>
    <w:rsid w:val="006E3E3A"/>
    <w:rsid w:val="006E4832"/>
    <w:rsid w:val="006E4B45"/>
    <w:rsid w:val="006E5630"/>
    <w:rsid w:val="006E7680"/>
    <w:rsid w:val="006E77BA"/>
    <w:rsid w:val="006F001A"/>
    <w:rsid w:val="006F55A1"/>
    <w:rsid w:val="006F5C1B"/>
    <w:rsid w:val="00700459"/>
    <w:rsid w:val="0070213B"/>
    <w:rsid w:val="00703D82"/>
    <w:rsid w:val="0070498A"/>
    <w:rsid w:val="00704F5D"/>
    <w:rsid w:val="00706E23"/>
    <w:rsid w:val="007106F1"/>
    <w:rsid w:val="00710FAB"/>
    <w:rsid w:val="00712ADD"/>
    <w:rsid w:val="0071381F"/>
    <w:rsid w:val="00714441"/>
    <w:rsid w:val="007156EB"/>
    <w:rsid w:val="007156ED"/>
    <w:rsid w:val="00716675"/>
    <w:rsid w:val="00722EE5"/>
    <w:rsid w:val="00723195"/>
    <w:rsid w:val="0072784C"/>
    <w:rsid w:val="007312B6"/>
    <w:rsid w:val="00731A2D"/>
    <w:rsid w:val="00731F81"/>
    <w:rsid w:val="00741BD8"/>
    <w:rsid w:val="0074219C"/>
    <w:rsid w:val="00746A1D"/>
    <w:rsid w:val="00746CC9"/>
    <w:rsid w:val="00747AA6"/>
    <w:rsid w:val="00750517"/>
    <w:rsid w:val="007513B8"/>
    <w:rsid w:val="0075366E"/>
    <w:rsid w:val="007565AB"/>
    <w:rsid w:val="00760A5D"/>
    <w:rsid w:val="007634EF"/>
    <w:rsid w:val="00764C1B"/>
    <w:rsid w:val="00765F78"/>
    <w:rsid w:val="007755DE"/>
    <w:rsid w:val="00775A3F"/>
    <w:rsid w:val="00781404"/>
    <w:rsid w:val="007817BC"/>
    <w:rsid w:val="007817D9"/>
    <w:rsid w:val="00783809"/>
    <w:rsid w:val="00783A5A"/>
    <w:rsid w:val="00784270"/>
    <w:rsid w:val="00784F0D"/>
    <w:rsid w:val="00785298"/>
    <w:rsid w:val="0078722F"/>
    <w:rsid w:val="00791C7C"/>
    <w:rsid w:val="00793F29"/>
    <w:rsid w:val="0079421F"/>
    <w:rsid w:val="00795096"/>
    <w:rsid w:val="0079646F"/>
    <w:rsid w:val="00797C08"/>
    <w:rsid w:val="007A08CA"/>
    <w:rsid w:val="007A0C79"/>
    <w:rsid w:val="007A3C4E"/>
    <w:rsid w:val="007A4175"/>
    <w:rsid w:val="007A4414"/>
    <w:rsid w:val="007A7B47"/>
    <w:rsid w:val="007A7EB6"/>
    <w:rsid w:val="007B0CB7"/>
    <w:rsid w:val="007B1D2B"/>
    <w:rsid w:val="007B1DCE"/>
    <w:rsid w:val="007B2EAE"/>
    <w:rsid w:val="007B639B"/>
    <w:rsid w:val="007B67E1"/>
    <w:rsid w:val="007C2090"/>
    <w:rsid w:val="007C2EC0"/>
    <w:rsid w:val="007C4A5C"/>
    <w:rsid w:val="007E00C3"/>
    <w:rsid w:val="007E3312"/>
    <w:rsid w:val="007E5FF4"/>
    <w:rsid w:val="007E62F0"/>
    <w:rsid w:val="007E69E9"/>
    <w:rsid w:val="007E7E3A"/>
    <w:rsid w:val="007F008E"/>
    <w:rsid w:val="007F0A5B"/>
    <w:rsid w:val="007F3774"/>
    <w:rsid w:val="008010EC"/>
    <w:rsid w:val="00811779"/>
    <w:rsid w:val="00811E3B"/>
    <w:rsid w:val="00813003"/>
    <w:rsid w:val="0081615A"/>
    <w:rsid w:val="008173AC"/>
    <w:rsid w:val="00820A29"/>
    <w:rsid w:val="0083002D"/>
    <w:rsid w:val="008304D8"/>
    <w:rsid w:val="00831610"/>
    <w:rsid w:val="00831E45"/>
    <w:rsid w:val="00832015"/>
    <w:rsid w:val="00835A10"/>
    <w:rsid w:val="00840C6C"/>
    <w:rsid w:val="00841B4D"/>
    <w:rsid w:val="00842913"/>
    <w:rsid w:val="00843448"/>
    <w:rsid w:val="00844015"/>
    <w:rsid w:val="00847CB6"/>
    <w:rsid w:val="00847DEF"/>
    <w:rsid w:val="008510F7"/>
    <w:rsid w:val="008517FD"/>
    <w:rsid w:val="00851842"/>
    <w:rsid w:val="00853130"/>
    <w:rsid w:val="00857676"/>
    <w:rsid w:val="00861F05"/>
    <w:rsid w:val="00862402"/>
    <w:rsid w:val="008633BC"/>
    <w:rsid w:val="00864DC7"/>
    <w:rsid w:val="00865B0C"/>
    <w:rsid w:val="00871795"/>
    <w:rsid w:val="00876243"/>
    <w:rsid w:val="0088422A"/>
    <w:rsid w:val="00884E00"/>
    <w:rsid w:val="00885753"/>
    <w:rsid w:val="00886CB7"/>
    <w:rsid w:val="008879F9"/>
    <w:rsid w:val="00890DB8"/>
    <w:rsid w:val="00893ABE"/>
    <w:rsid w:val="00895794"/>
    <w:rsid w:val="008962F4"/>
    <w:rsid w:val="008971BE"/>
    <w:rsid w:val="008A07F4"/>
    <w:rsid w:val="008A5265"/>
    <w:rsid w:val="008A585B"/>
    <w:rsid w:val="008A5FA7"/>
    <w:rsid w:val="008A68B9"/>
    <w:rsid w:val="008B0BB8"/>
    <w:rsid w:val="008B1E06"/>
    <w:rsid w:val="008B1F95"/>
    <w:rsid w:val="008B2852"/>
    <w:rsid w:val="008B427C"/>
    <w:rsid w:val="008B45E5"/>
    <w:rsid w:val="008B6BBE"/>
    <w:rsid w:val="008C0573"/>
    <w:rsid w:val="008C3702"/>
    <w:rsid w:val="008C402A"/>
    <w:rsid w:val="008C4CBC"/>
    <w:rsid w:val="008C554E"/>
    <w:rsid w:val="008C55AC"/>
    <w:rsid w:val="008C7D9E"/>
    <w:rsid w:val="008D0789"/>
    <w:rsid w:val="008D1BC1"/>
    <w:rsid w:val="008D41F2"/>
    <w:rsid w:val="008D5A29"/>
    <w:rsid w:val="008D78C5"/>
    <w:rsid w:val="008E077A"/>
    <w:rsid w:val="008E09A9"/>
    <w:rsid w:val="008E4A7E"/>
    <w:rsid w:val="008E56B2"/>
    <w:rsid w:val="008F2F52"/>
    <w:rsid w:val="008F411F"/>
    <w:rsid w:val="0090071B"/>
    <w:rsid w:val="00900953"/>
    <w:rsid w:val="00901483"/>
    <w:rsid w:val="00902A56"/>
    <w:rsid w:val="00902B80"/>
    <w:rsid w:val="00904A34"/>
    <w:rsid w:val="0090614C"/>
    <w:rsid w:val="00911F4A"/>
    <w:rsid w:val="00912221"/>
    <w:rsid w:val="0091593E"/>
    <w:rsid w:val="009176BD"/>
    <w:rsid w:val="00917E26"/>
    <w:rsid w:val="00920985"/>
    <w:rsid w:val="00921CC0"/>
    <w:rsid w:val="00921D4B"/>
    <w:rsid w:val="0092254D"/>
    <w:rsid w:val="00922585"/>
    <w:rsid w:val="0092380E"/>
    <w:rsid w:val="0092682B"/>
    <w:rsid w:val="00926DC8"/>
    <w:rsid w:val="00927579"/>
    <w:rsid w:val="0093281E"/>
    <w:rsid w:val="00932C6A"/>
    <w:rsid w:val="009421B7"/>
    <w:rsid w:val="00943868"/>
    <w:rsid w:val="00944985"/>
    <w:rsid w:val="009470A9"/>
    <w:rsid w:val="00947E74"/>
    <w:rsid w:val="009530BB"/>
    <w:rsid w:val="00953286"/>
    <w:rsid w:val="009552DC"/>
    <w:rsid w:val="009564FF"/>
    <w:rsid w:val="0096027C"/>
    <w:rsid w:val="0096061C"/>
    <w:rsid w:val="00963EB0"/>
    <w:rsid w:val="00965B87"/>
    <w:rsid w:val="009711C7"/>
    <w:rsid w:val="009724D3"/>
    <w:rsid w:val="00974C2A"/>
    <w:rsid w:val="0097597C"/>
    <w:rsid w:val="0098012B"/>
    <w:rsid w:val="0098087F"/>
    <w:rsid w:val="00982E83"/>
    <w:rsid w:val="00983726"/>
    <w:rsid w:val="00983B0A"/>
    <w:rsid w:val="0098446D"/>
    <w:rsid w:val="009851A6"/>
    <w:rsid w:val="0098643C"/>
    <w:rsid w:val="0098646F"/>
    <w:rsid w:val="009911C1"/>
    <w:rsid w:val="00992BB4"/>
    <w:rsid w:val="009956F9"/>
    <w:rsid w:val="00996E22"/>
    <w:rsid w:val="00997DEE"/>
    <w:rsid w:val="009A14CA"/>
    <w:rsid w:val="009A1F71"/>
    <w:rsid w:val="009A24D0"/>
    <w:rsid w:val="009A2B11"/>
    <w:rsid w:val="009A398E"/>
    <w:rsid w:val="009A54A3"/>
    <w:rsid w:val="009B26AC"/>
    <w:rsid w:val="009B6E10"/>
    <w:rsid w:val="009B7751"/>
    <w:rsid w:val="009C11AC"/>
    <w:rsid w:val="009C6901"/>
    <w:rsid w:val="009C775D"/>
    <w:rsid w:val="009D0F4D"/>
    <w:rsid w:val="009D1B86"/>
    <w:rsid w:val="009D2902"/>
    <w:rsid w:val="009D4A84"/>
    <w:rsid w:val="009D5EFE"/>
    <w:rsid w:val="009D70CF"/>
    <w:rsid w:val="009E0014"/>
    <w:rsid w:val="009E3D1C"/>
    <w:rsid w:val="009E49FB"/>
    <w:rsid w:val="009E73EB"/>
    <w:rsid w:val="009F43FF"/>
    <w:rsid w:val="009F539A"/>
    <w:rsid w:val="009F55DD"/>
    <w:rsid w:val="009F6FE2"/>
    <w:rsid w:val="009F7505"/>
    <w:rsid w:val="00A0022D"/>
    <w:rsid w:val="00A00490"/>
    <w:rsid w:val="00A00812"/>
    <w:rsid w:val="00A00EE5"/>
    <w:rsid w:val="00A04F65"/>
    <w:rsid w:val="00A06A48"/>
    <w:rsid w:val="00A112A7"/>
    <w:rsid w:val="00A1330B"/>
    <w:rsid w:val="00A152C0"/>
    <w:rsid w:val="00A15904"/>
    <w:rsid w:val="00A17E37"/>
    <w:rsid w:val="00A201BD"/>
    <w:rsid w:val="00A20512"/>
    <w:rsid w:val="00A21748"/>
    <w:rsid w:val="00A21826"/>
    <w:rsid w:val="00A22C2C"/>
    <w:rsid w:val="00A23213"/>
    <w:rsid w:val="00A23D44"/>
    <w:rsid w:val="00A24E28"/>
    <w:rsid w:val="00A2500F"/>
    <w:rsid w:val="00A255E6"/>
    <w:rsid w:val="00A25F83"/>
    <w:rsid w:val="00A275B3"/>
    <w:rsid w:val="00A27ADB"/>
    <w:rsid w:val="00A30C21"/>
    <w:rsid w:val="00A321D1"/>
    <w:rsid w:val="00A32917"/>
    <w:rsid w:val="00A3512A"/>
    <w:rsid w:val="00A351E9"/>
    <w:rsid w:val="00A35C70"/>
    <w:rsid w:val="00A403CC"/>
    <w:rsid w:val="00A426D0"/>
    <w:rsid w:val="00A46F7F"/>
    <w:rsid w:val="00A51162"/>
    <w:rsid w:val="00A55C39"/>
    <w:rsid w:val="00A576BF"/>
    <w:rsid w:val="00A60678"/>
    <w:rsid w:val="00A60B36"/>
    <w:rsid w:val="00A61499"/>
    <w:rsid w:val="00A62F16"/>
    <w:rsid w:val="00A65596"/>
    <w:rsid w:val="00A65822"/>
    <w:rsid w:val="00A661FC"/>
    <w:rsid w:val="00A70BAB"/>
    <w:rsid w:val="00A7298C"/>
    <w:rsid w:val="00A74370"/>
    <w:rsid w:val="00A74D8A"/>
    <w:rsid w:val="00A7716A"/>
    <w:rsid w:val="00A77C49"/>
    <w:rsid w:val="00A8097B"/>
    <w:rsid w:val="00A81A00"/>
    <w:rsid w:val="00A82560"/>
    <w:rsid w:val="00A82FB3"/>
    <w:rsid w:val="00A835F9"/>
    <w:rsid w:val="00A8781F"/>
    <w:rsid w:val="00A91B20"/>
    <w:rsid w:val="00A91CC8"/>
    <w:rsid w:val="00A93D02"/>
    <w:rsid w:val="00A94B66"/>
    <w:rsid w:val="00A97034"/>
    <w:rsid w:val="00AA331B"/>
    <w:rsid w:val="00AA4BDA"/>
    <w:rsid w:val="00AB4136"/>
    <w:rsid w:val="00AB5C11"/>
    <w:rsid w:val="00AB6983"/>
    <w:rsid w:val="00AB6B26"/>
    <w:rsid w:val="00AB7828"/>
    <w:rsid w:val="00AC3F7C"/>
    <w:rsid w:val="00AC685C"/>
    <w:rsid w:val="00AC78A1"/>
    <w:rsid w:val="00AD138A"/>
    <w:rsid w:val="00AD1A1B"/>
    <w:rsid w:val="00AD2518"/>
    <w:rsid w:val="00AD4695"/>
    <w:rsid w:val="00AD46DC"/>
    <w:rsid w:val="00AD6AC9"/>
    <w:rsid w:val="00AE0E6D"/>
    <w:rsid w:val="00AE14BE"/>
    <w:rsid w:val="00AE1769"/>
    <w:rsid w:val="00AE29B8"/>
    <w:rsid w:val="00AE2E9C"/>
    <w:rsid w:val="00AE3947"/>
    <w:rsid w:val="00AE474C"/>
    <w:rsid w:val="00AE7D16"/>
    <w:rsid w:val="00AF10ED"/>
    <w:rsid w:val="00AF1F82"/>
    <w:rsid w:val="00AF6153"/>
    <w:rsid w:val="00AF6884"/>
    <w:rsid w:val="00B00235"/>
    <w:rsid w:val="00B0073A"/>
    <w:rsid w:val="00B01656"/>
    <w:rsid w:val="00B0208E"/>
    <w:rsid w:val="00B023D0"/>
    <w:rsid w:val="00B02CFE"/>
    <w:rsid w:val="00B033B2"/>
    <w:rsid w:val="00B10050"/>
    <w:rsid w:val="00B1029C"/>
    <w:rsid w:val="00B10BA3"/>
    <w:rsid w:val="00B10D77"/>
    <w:rsid w:val="00B20127"/>
    <w:rsid w:val="00B2162B"/>
    <w:rsid w:val="00B21B32"/>
    <w:rsid w:val="00B22833"/>
    <w:rsid w:val="00B2368E"/>
    <w:rsid w:val="00B241FD"/>
    <w:rsid w:val="00B254E8"/>
    <w:rsid w:val="00B2753C"/>
    <w:rsid w:val="00B301BC"/>
    <w:rsid w:val="00B306A3"/>
    <w:rsid w:val="00B31022"/>
    <w:rsid w:val="00B3255A"/>
    <w:rsid w:val="00B32A0D"/>
    <w:rsid w:val="00B35DFA"/>
    <w:rsid w:val="00B410C3"/>
    <w:rsid w:val="00B4308B"/>
    <w:rsid w:val="00B443F5"/>
    <w:rsid w:val="00B50149"/>
    <w:rsid w:val="00B50A07"/>
    <w:rsid w:val="00B50D19"/>
    <w:rsid w:val="00B57C74"/>
    <w:rsid w:val="00B6101F"/>
    <w:rsid w:val="00B62B5B"/>
    <w:rsid w:val="00B63509"/>
    <w:rsid w:val="00B63E32"/>
    <w:rsid w:val="00B658E3"/>
    <w:rsid w:val="00B658FD"/>
    <w:rsid w:val="00B65BEC"/>
    <w:rsid w:val="00B66476"/>
    <w:rsid w:val="00B67162"/>
    <w:rsid w:val="00B72097"/>
    <w:rsid w:val="00B73CBB"/>
    <w:rsid w:val="00B77DF2"/>
    <w:rsid w:val="00B812C8"/>
    <w:rsid w:val="00B83A24"/>
    <w:rsid w:val="00B8622D"/>
    <w:rsid w:val="00B8748C"/>
    <w:rsid w:val="00B87C29"/>
    <w:rsid w:val="00B90E68"/>
    <w:rsid w:val="00B948CA"/>
    <w:rsid w:val="00B95708"/>
    <w:rsid w:val="00BA3A01"/>
    <w:rsid w:val="00BA4ECA"/>
    <w:rsid w:val="00BA500C"/>
    <w:rsid w:val="00BA548D"/>
    <w:rsid w:val="00BA5C15"/>
    <w:rsid w:val="00BA6FAA"/>
    <w:rsid w:val="00BB2149"/>
    <w:rsid w:val="00BB39DD"/>
    <w:rsid w:val="00BB521D"/>
    <w:rsid w:val="00BC441D"/>
    <w:rsid w:val="00BC6AE1"/>
    <w:rsid w:val="00BC7FE8"/>
    <w:rsid w:val="00BD1830"/>
    <w:rsid w:val="00BD264E"/>
    <w:rsid w:val="00BD44A5"/>
    <w:rsid w:val="00BD4B4C"/>
    <w:rsid w:val="00BD60CD"/>
    <w:rsid w:val="00BE1848"/>
    <w:rsid w:val="00BE1BCB"/>
    <w:rsid w:val="00BE593F"/>
    <w:rsid w:val="00BE64F1"/>
    <w:rsid w:val="00BE6E37"/>
    <w:rsid w:val="00BE7C6F"/>
    <w:rsid w:val="00BE7EC9"/>
    <w:rsid w:val="00BF0329"/>
    <w:rsid w:val="00BF2C1D"/>
    <w:rsid w:val="00BF2FE5"/>
    <w:rsid w:val="00BF3B5E"/>
    <w:rsid w:val="00BF5639"/>
    <w:rsid w:val="00BF7110"/>
    <w:rsid w:val="00BF7348"/>
    <w:rsid w:val="00BF7429"/>
    <w:rsid w:val="00C0578C"/>
    <w:rsid w:val="00C1294D"/>
    <w:rsid w:val="00C16CE2"/>
    <w:rsid w:val="00C16D84"/>
    <w:rsid w:val="00C177D6"/>
    <w:rsid w:val="00C17C9A"/>
    <w:rsid w:val="00C20004"/>
    <w:rsid w:val="00C203A4"/>
    <w:rsid w:val="00C206C7"/>
    <w:rsid w:val="00C2094E"/>
    <w:rsid w:val="00C21051"/>
    <w:rsid w:val="00C221FD"/>
    <w:rsid w:val="00C23C4F"/>
    <w:rsid w:val="00C24901"/>
    <w:rsid w:val="00C26E25"/>
    <w:rsid w:val="00C2765F"/>
    <w:rsid w:val="00C27D55"/>
    <w:rsid w:val="00C3432F"/>
    <w:rsid w:val="00C37F74"/>
    <w:rsid w:val="00C40399"/>
    <w:rsid w:val="00C41B0C"/>
    <w:rsid w:val="00C43E34"/>
    <w:rsid w:val="00C44050"/>
    <w:rsid w:val="00C52D85"/>
    <w:rsid w:val="00C52F45"/>
    <w:rsid w:val="00C535E6"/>
    <w:rsid w:val="00C53B10"/>
    <w:rsid w:val="00C53B9E"/>
    <w:rsid w:val="00C54936"/>
    <w:rsid w:val="00C557BB"/>
    <w:rsid w:val="00C56240"/>
    <w:rsid w:val="00C563D0"/>
    <w:rsid w:val="00C60F28"/>
    <w:rsid w:val="00C6262F"/>
    <w:rsid w:val="00C74D3A"/>
    <w:rsid w:val="00C75397"/>
    <w:rsid w:val="00C76F48"/>
    <w:rsid w:val="00C80540"/>
    <w:rsid w:val="00C81625"/>
    <w:rsid w:val="00C8167B"/>
    <w:rsid w:val="00C8177F"/>
    <w:rsid w:val="00C845E3"/>
    <w:rsid w:val="00C85307"/>
    <w:rsid w:val="00C90DDC"/>
    <w:rsid w:val="00C92293"/>
    <w:rsid w:val="00C924A3"/>
    <w:rsid w:val="00C956A3"/>
    <w:rsid w:val="00C97562"/>
    <w:rsid w:val="00CA01CE"/>
    <w:rsid w:val="00CA42EF"/>
    <w:rsid w:val="00CB0A92"/>
    <w:rsid w:val="00CB180F"/>
    <w:rsid w:val="00CB22A3"/>
    <w:rsid w:val="00CB2806"/>
    <w:rsid w:val="00CB5CD3"/>
    <w:rsid w:val="00CC11CA"/>
    <w:rsid w:val="00CC1567"/>
    <w:rsid w:val="00CC24ED"/>
    <w:rsid w:val="00CC303F"/>
    <w:rsid w:val="00CD20D0"/>
    <w:rsid w:val="00CD2D38"/>
    <w:rsid w:val="00CD3C47"/>
    <w:rsid w:val="00CD65E6"/>
    <w:rsid w:val="00CE00BE"/>
    <w:rsid w:val="00CE0DD6"/>
    <w:rsid w:val="00CE599A"/>
    <w:rsid w:val="00CF50E9"/>
    <w:rsid w:val="00CF53EA"/>
    <w:rsid w:val="00CF60C0"/>
    <w:rsid w:val="00D04411"/>
    <w:rsid w:val="00D05F95"/>
    <w:rsid w:val="00D065C7"/>
    <w:rsid w:val="00D106EB"/>
    <w:rsid w:val="00D10F15"/>
    <w:rsid w:val="00D11A4D"/>
    <w:rsid w:val="00D13667"/>
    <w:rsid w:val="00D140D6"/>
    <w:rsid w:val="00D1596C"/>
    <w:rsid w:val="00D21481"/>
    <w:rsid w:val="00D255F9"/>
    <w:rsid w:val="00D25721"/>
    <w:rsid w:val="00D26B8D"/>
    <w:rsid w:val="00D27714"/>
    <w:rsid w:val="00D322C9"/>
    <w:rsid w:val="00D326DD"/>
    <w:rsid w:val="00D339C0"/>
    <w:rsid w:val="00D362A6"/>
    <w:rsid w:val="00D4295E"/>
    <w:rsid w:val="00D4588F"/>
    <w:rsid w:val="00D5217A"/>
    <w:rsid w:val="00D55A96"/>
    <w:rsid w:val="00D55F60"/>
    <w:rsid w:val="00D578C9"/>
    <w:rsid w:val="00D57FE9"/>
    <w:rsid w:val="00D66DFF"/>
    <w:rsid w:val="00D66F61"/>
    <w:rsid w:val="00D70ED1"/>
    <w:rsid w:val="00D70EE1"/>
    <w:rsid w:val="00D75807"/>
    <w:rsid w:val="00D7688F"/>
    <w:rsid w:val="00D77606"/>
    <w:rsid w:val="00D80445"/>
    <w:rsid w:val="00D80782"/>
    <w:rsid w:val="00D8088B"/>
    <w:rsid w:val="00D82444"/>
    <w:rsid w:val="00D830E3"/>
    <w:rsid w:val="00D837F2"/>
    <w:rsid w:val="00D85F06"/>
    <w:rsid w:val="00D86876"/>
    <w:rsid w:val="00D909F6"/>
    <w:rsid w:val="00D924C4"/>
    <w:rsid w:val="00D9559F"/>
    <w:rsid w:val="00DA1064"/>
    <w:rsid w:val="00DA2B1A"/>
    <w:rsid w:val="00DA2CA9"/>
    <w:rsid w:val="00DA5580"/>
    <w:rsid w:val="00DA7D2F"/>
    <w:rsid w:val="00DB1884"/>
    <w:rsid w:val="00DB420F"/>
    <w:rsid w:val="00DC0A42"/>
    <w:rsid w:val="00DC26B7"/>
    <w:rsid w:val="00DC38C9"/>
    <w:rsid w:val="00DC3C14"/>
    <w:rsid w:val="00DC6A5A"/>
    <w:rsid w:val="00DC6AF1"/>
    <w:rsid w:val="00DD0F00"/>
    <w:rsid w:val="00DD14DA"/>
    <w:rsid w:val="00DD2261"/>
    <w:rsid w:val="00DD4643"/>
    <w:rsid w:val="00DF1578"/>
    <w:rsid w:val="00DF202E"/>
    <w:rsid w:val="00DF2D33"/>
    <w:rsid w:val="00DF2D90"/>
    <w:rsid w:val="00DF4B13"/>
    <w:rsid w:val="00E00514"/>
    <w:rsid w:val="00E01AFD"/>
    <w:rsid w:val="00E03B48"/>
    <w:rsid w:val="00E04E24"/>
    <w:rsid w:val="00E11355"/>
    <w:rsid w:val="00E13D1A"/>
    <w:rsid w:val="00E13E6C"/>
    <w:rsid w:val="00E13F1D"/>
    <w:rsid w:val="00E1636E"/>
    <w:rsid w:val="00E16638"/>
    <w:rsid w:val="00E16FE0"/>
    <w:rsid w:val="00E17C86"/>
    <w:rsid w:val="00E204B7"/>
    <w:rsid w:val="00E206ED"/>
    <w:rsid w:val="00E23566"/>
    <w:rsid w:val="00E24CDA"/>
    <w:rsid w:val="00E24F32"/>
    <w:rsid w:val="00E261D3"/>
    <w:rsid w:val="00E306EF"/>
    <w:rsid w:val="00E30D0A"/>
    <w:rsid w:val="00E3225C"/>
    <w:rsid w:val="00E3310F"/>
    <w:rsid w:val="00E33B4C"/>
    <w:rsid w:val="00E35598"/>
    <w:rsid w:val="00E360B8"/>
    <w:rsid w:val="00E36306"/>
    <w:rsid w:val="00E37D8E"/>
    <w:rsid w:val="00E400A0"/>
    <w:rsid w:val="00E40CAA"/>
    <w:rsid w:val="00E40CC0"/>
    <w:rsid w:val="00E426B9"/>
    <w:rsid w:val="00E43533"/>
    <w:rsid w:val="00E43754"/>
    <w:rsid w:val="00E44A81"/>
    <w:rsid w:val="00E505B7"/>
    <w:rsid w:val="00E50CDE"/>
    <w:rsid w:val="00E51A34"/>
    <w:rsid w:val="00E549D2"/>
    <w:rsid w:val="00E55224"/>
    <w:rsid w:val="00E56023"/>
    <w:rsid w:val="00E61C01"/>
    <w:rsid w:val="00E61D48"/>
    <w:rsid w:val="00E63159"/>
    <w:rsid w:val="00E65F78"/>
    <w:rsid w:val="00E663DF"/>
    <w:rsid w:val="00E6670E"/>
    <w:rsid w:val="00E67373"/>
    <w:rsid w:val="00E74EF7"/>
    <w:rsid w:val="00E813E5"/>
    <w:rsid w:val="00E817F6"/>
    <w:rsid w:val="00E8786B"/>
    <w:rsid w:val="00E87B98"/>
    <w:rsid w:val="00E9131F"/>
    <w:rsid w:val="00E92777"/>
    <w:rsid w:val="00E944E2"/>
    <w:rsid w:val="00E97B33"/>
    <w:rsid w:val="00EA0AE1"/>
    <w:rsid w:val="00EA4477"/>
    <w:rsid w:val="00EA4CE6"/>
    <w:rsid w:val="00EB0B1F"/>
    <w:rsid w:val="00EB17E2"/>
    <w:rsid w:val="00EB26B7"/>
    <w:rsid w:val="00EB3BC4"/>
    <w:rsid w:val="00EB46D8"/>
    <w:rsid w:val="00EB4B36"/>
    <w:rsid w:val="00EB6EF8"/>
    <w:rsid w:val="00EC54DE"/>
    <w:rsid w:val="00EC6E6D"/>
    <w:rsid w:val="00ED46D0"/>
    <w:rsid w:val="00ED7F8A"/>
    <w:rsid w:val="00EE005D"/>
    <w:rsid w:val="00EE0C18"/>
    <w:rsid w:val="00EE309D"/>
    <w:rsid w:val="00EE30DE"/>
    <w:rsid w:val="00EE73B8"/>
    <w:rsid w:val="00EE7908"/>
    <w:rsid w:val="00EF0308"/>
    <w:rsid w:val="00EF26AC"/>
    <w:rsid w:val="00EF6C1D"/>
    <w:rsid w:val="00F0336F"/>
    <w:rsid w:val="00F039B7"/>
    <w:rsid w:val="00F03B3E"/>
    <w:rsid w:val="00F060BA"/>
    <w:rsid w:val="00F14DC3"/>
    <w:rsid w:val="00F15525"/>
    <w:rsid w:val="00F16B7E"/>
    <w:rsid w:val="00F171DC"/>
    <w:rsid w:val="00F2217E"/>
    <w:rsid w:val="00F30213"/>
    <w:rsid w:val="00F30549"/>
    <w:rsid w:val="00F31634"/>
    <w:rsid w:val="00F32AE3"/>
    <w:rsid w:val="00F32E1B"/>
    <w:rsid w:val="00F34260"/>
    <w:rsid w:val="00F34F02"/>
    <w:rsid w:val="00F417EB"/>
    <w:rsid w:val="00F41CDB"/>
    <w:rsid w:val="00F4202E"/>
    <w:rsid w:val="00F4612D"/>
    <w:rsid w:val="00F518BD"/>
    <w:rsid w:val="00F56052"/>
    <w:rsid w:val="00F563E6"/>
    <w:rsid w:val="00F56416"/>
    <w:rsid w:val="00F5660C"/>
    <w:rsid w:val="00F56F18"/>
    <w:rsid w:val="00F60595"/>
    <w:rsid w:val="00F617BC"/>
    <w:rsid w:val="00F657C6"/>
    <w:rsid w:val="00F658E2"/>
    <w:rsid w:val="00F670B4"/>
    <w:rsid w:val="00F675F4"/>
    <w:rsid w:val="00F7290C"/>
    <w:rsid w:val="00F746D7"/>
    <w:rsid w:val="00F7661F"/>
    <w:rsid w:val="00F77860"/>
    <w:rsid w:val="00F80EFB"/>
    <w:rsid w:val="00F82BB3"/>
    <w:rsid w:val="00F859B7"/>
    <w:rsid w:val="00F86BD7"/>
    <w:rsid w:val="00F879FA"/>
    <w:rsid w:val="00F87A0F"/>
    <w:rsid w:val="00F90262"/>
    <w:rsid w:val="00F94F95"/>
    <w:rsid w:val="00FA035F"/>
    <w:rsid w:val="00FA0369"/>
    <w:rsid w:val="00FA35DB"/>
    <w:rsid w:val="00FA3659"/>
    <w:rsid w:val="00FA4127"/>
    <w:rsid w:val="00FA4F38"/>
    <w:rsid w:val="00FA552D"/>
    <w:rsid w:val="00FA57F7"/>
    <w:rsid w:val="00FA5E6E"/>
    <w:rsid w:val="00FB00D0"/>
    <w:rsid w:val="00FB094F"/>
    <w:rsid w:val="00FB57A8"/>
    <w:rsid w:val="00FB65E6"/>
    <w:rsid w:val="00FB7AF2"/>
    <w:rsid w:val="00FC0C23"/>
    <w:rsid w:val="00FC3ECC"/>
    <w:rsid w:val="00FC48A8"/>
    <w:rsid w:val="00FC5147"/>
    <w:rsid w:val="00FC517B"/>
    <w:rsid w:val="00FC7899"/>
    <w:rsid w:val="00FD06D4"/>
    <w:rsid w:val="00FE09B9"/>
    <w:rsid w:val="00FE3336"/>
    <w:rsid w:val="00FE3555"/>
    <w:rsid w:val="00FE48B4"/>
    <w:rsid w:val="00FF0322"/>
    <w:rsid w:val="00FF2B81"/>
    <w:rsid w:val="00FF7638"/>
    <w:rsid w:val="021F2C11"/>
    <w:rsid w:val="0730368E"/>
    <w:rsid w:val="096E5786"/>
    <w:rsid w:val="0AB24212"/>
    <w:rsid w:val="0C0D731C"/>
    <w:rsid w:val="0CC15647"/>
    <w:rsid w:val="0CFD1647"/>
    <w:rsid w:val="0D200E92"/>
    <w:rsid w:val="13086525"/>
    <w:rsid w:val="1BE21D8D"/>
    <w:rsid w:val="1D246E1B"/>
    <w:rsid w:val="1D900CB1"/>
    <w:rsid w:val="1F9924AA"/>
    <w:rsid w:val="245E44D6"/>
    <w:rsid w:val="28274D6A"/>
    <w:rsid w:val="2A96425F"/>
    <w:rsid w:val="2D7F600E"/>
    <w:rsid w:val="30572631"/>
    <w:rsid w:val="338F2E9D"/>
    <w:rsid w:val="34732BC3"/>
    <w:rsid w:val="37555607"/>
    <w:rsid w:val="3A005DD0"/>
    <w:rsid w:val="3A52002D"/>
    <w:rsid w:val="3CCF4CCC"/>
    <w:rsid w:val="3E615145"/>
    <w:rsid w:val="3EC24374"/>
    <w:rsid w:val="47E20774"/>
    <w:rsid w:val="49242CAC"/>
    <w:rsid w:val="63387553"/>
    <w:rsid w:val="63DC31CF"/>
    <w:rsid w:val="65520D0E"/>
    <w:rsid w:val="6609036B"/>
    <w:rsid w:val="671F6C4D"/>
    <w:rsid w:val="6B9769B5"/>
    <w:rsid w:val="6E0E3452"/>
    <w:rsid w:val="6FA300B9"/>
    <w:rsid w:val="6FAE4512"/>
    <w:rsid w:val="70BF5EC7"/>
    <w:rsid w:val="72EE5F75"/>
    <w:rsid w:val="743E350F"/>
    <w:rsid w:val="74486C5B"/>
    <w:rsid w:val="758210CC"/>
    <w:rsid w:val="79EF13BE"/>
    <w:rsid w:val="7E531145"/>
    <w:rsid w:val="7ECE71DB"/>
    <w:rsid w:val="BFF64C30"/>
    <w:rsid w:val="EFF7D260"/>
    <w:rsid w:val="F37D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ocked="1"/>
    <w:lsdException w:unhideWhenUsed="0" w:uiPriority="0" w:name="toc 2" w:locked="1"/>
    <w:lsdException w:unhideWhenUsed="0" w:uiPriority="0" w:name="toc 3" w:locked="1"/>
    <w:lsdException w:unhideWhenUsed="0" w:uiPriority="0" w:name="toc 4" w:locked="1"/>
    <w:lsdException w:unhideWhenUsed="0" w:uiPriority="0" w:name="toc 5" w:locked="1"/>
    <w:lsdException w:unhideWhenUsed="0" w:uiPriority="0" w:name="toc 6" w:locked="1"/>
    <w:lsdException w:unhideWhenUsed="0" w:uiPriority="0" w:name="toc 7" w:locked="1"/>
    <w:lsdException w:unhideWhenUsed="0" w:uiPriority="0" w:name="toc 8" w:locked="1"/>
    <w:lsdException w:unhideWhenUsed="0" w:uiPriority="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0"/>
    <w:qFormat/>
    <w:uiPriority w:val="0"/>
    <w:pPr>
      <w:keepNext/>
      <w:spacing w:line="440" w:lineRule="exact"/>
      <w:jc w:val="center"/>
      <w:outlineLvl w:val="0"/>
    </w:pPr>
    <w:rPr>
      <w:rFonts w:ascii="宋体" w:hAnsi="宋体"/>
      <w:lang w:val="zh-CN"/>
    </w:rPr>
  </w:style>
  <w:style w:type="paragraph" w:styleId="3">
    <w:name w:val="heading 2"/>
    <w:basedOn w:val="1"/>
    <w:next w:val="1"/>
    <w:link w:val="29"/>
    <w:qFormat/>
    <w:locked/>
    <w:uiPriority w:val="0"/>
    <w:pPr>
      <w:keepNext/>
      <w:keepLines/>
      <w:widowControl w:val="0"/>
      <w:spacing w:before="260" w:after="260" w:line="416" w:lineRule="auto"/>
      <w:jc w:val="both"/>
      <w:outlineLvl w:val="1"/>
    </w:pPr>
    <w:rPr>
      <w:rFonts w:ascii="Cambria" w:hAnsi="Cambria"/>
      <w:b/>
      <w:bCs/>
      <w:kern w:val="2"/>
      <w:sz w:val="32"/>
      <w:szCs w:val="32"/>
      <w:lang w:val="zh-CN"/>
    </w:rPr>
  </w:style>
  <w:style w:type="paragraph" w:styleId="4">
    <w:name w:val="heading 3"/>
    <w:basedOn w:val="1"/>
    <w:next w:val="1"/>
    <w:link w:val="26"/>
    <w:qFormat/>
    <w:locked/>
    <w:uiPriority w:val="0"/>
    <w:pPr>
      <w:keepNext/>
      <w:keepLines/>
      <w:spacing w:before="260" w:after="260" w:line="416" w:lineRule="auto"/>
      <w:outlineLvl w:val="2"/>
    </w:pPr>
    <w:rPr>
      <w:b/>
      <w:bCs/>
      <w:sz w:val="32"/>
      <w:szCs w:val="32"/>
      <w:lang w:val="zh-CN"/>
    </w:rPr>
  </w:style>
  <w:style w:type="paragraph" w:styleId="5">
    <w:name w:val="heading 4"/>
    <w:basedOn w:val="1"/>
    <w:next w:val="1"/>
    <w:link w:val="34"/>
    <w:qFormat/>
    <w:locked/>
    <w:uiPriority w:val="0"/>
    <w:pPr>
      <w:keepNext/>
      <w:keepLines/>
      <w:spacing w:before="280" w:after="290" w:line="376" w:lineRule="auto"/>
      <w:outlineLvl w:val="3"/>
    </w:pPr>
    <w:rPr>
      <w:rFonts w:ascii="Cambria" w:hAnsi="Cambria"/>
      <w:b/>
      <w:bCs/>
      <w:sz w:val="28"/>
      <w:szCs w:val="28"/>
      <w:lang w:val="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val="0"/>
      <w:ind w:firstLine="480"/>
      <w:jc w:val="both"/>
    </w:pPr>
    <w:rPr>
      <w:rFonts w:ascii="等线" w:hAnsi="等线" w:eastAsia="等线"/>
      <w:kern w:val="2"/>
      <w:sz w:val="21"/>
    </w:rPr>
  </w:style>
  <w:style w:type="paragraph" w:styleId="7">
    <w:name w:val="annotation text"/>
    <w:basedOn w:val="1"/>
    <w:link w:val="37"/>
    <w:unhideWhenUsed/>
    <w:qFormat/>
    <w:uiPriority w:val="99"/>
  </w:style>
  <w:style w:type="paragraph" w:styleId="8">
    <w:name w:val="Body Text"/>
    <w:basedOn w:val="1"/>
    <w:next w:val="1"/>
    <w:link w:val="25"/>
    <w:qFormat/>
    <w:uiPriority w:val="99"/>
    <w:pPr>
      <w:widowControl w:val="0"/>
      <w:spacing w:before="120" w:after="120" w:line="264" w:lineRule="auto"/>
      <w:jc w:val="both"/>
    </w:pPr>
    <w:rPr>
      <w:rFonts w:ascii="Calibri" w:hAnsi="Calibri"/>
      <w:kern w:val="2"/>
      <w:sz w:val="21"/>
      <w:lang w:val="zh-CN"/>
    </w:rPr>
  </w:style>
  <w:style w:type="paragraph" w:styleId="9">
    <w:name w:val="Plain Text"/>
    <w:basedOn w:val="1"/>
    <w:link w:val="55"/>
    <w:qFormat/>
    <w:uiPriority w:val="0"/>
    <w:pPr>
      <w:widowControl w:val="0"/>
      <w:spacing w:line="360" w:lineRule="auto"/>
    </w:pPr>
    <w:rPr>
      <w:rFonts w:ascii="宋体" w:hAnsi="宋体" w:cs="宋体"/>
      <w:kern w:val="2"/>
      <w:sz w:val="24"/>
      <w:szCs w:val="24"/>
    </w:rPr>
  </w:style>
  <w:style w:type="paragraph" w:styleId="10">
    <w:name w:val="Balloon Text"/>
    <w:basedOn w:val="1"/>
    <w:link w:val="31"/>
    <w:unhideWhenUsed/>
    <w:qFormat/>
    <w:uiPriority w:val="99"/>
    <w:rPr>
      <w:sz w:val="18"/>
      <w:szCs w:val="18"/>
      <w:lang w:val="zh-CN"/>
    </w:rPr>
  </w:style>
  <w:style w:type="paragraph" w:styleId="11">
    <w:name w:val="footer"/>
    <w:basedOn w:val="1"/>
    <w:link w:val="33"/>
    <w:qFormat/>
    <w:uiPriority w:val="99"/>
    <w:pPr>
      <w:tabs>
        <w:tab w:val="center" w:pos="4153"/>
        <w:tab w:val="right" w:pos="8306"/>
      </w:tabs>
      <w:snapToGrid w:val="0"/>
    </w:pPr>
    <w:rPr>
      <w:sz w:val="18"/>
      <w:szCs w:val="18"/>
      <w:lang w:val="zh-CN"/>
    </w:rPr>
  </w:style>
  <w:style w:type="paragraph" w:styleId="12">
    <w:name w:val="header"/>
    <w:basedOn w:val="1"/>
    <w:link w:val="30"/>
    <w:qFormat/>
    <w:uiPriority w:val="99"/>
    <w:pPr>
      <w:pBdr>
        <w:bottom w:val="single" w:color="auto" w:sz="6" w:space="1"/>
      </w:pBdr>
      <w:tabs>
        <w:tab w:val="center" w:pos="4153"/>
        <w:tab w:val="right" w:pos="8306"/>
      </w:tabs>
      <w:snapToGrid w:val="0"/>
      <w:jc w:val="center"/>
    </w:pPr>
    <w:rPr>
      <w:sz w:val="18"/>
      <w:szCs w:val="18"/>
      <w:lang w:val="zh-CN"/>
    </w:r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7"/>
    <w:next w:val="7"/>
    <w:link w:val="32"/>
    <w:qFormat/>
    <w:uiPriority w:val="0"/>
    <w:pPr>
      <w:widowControl w:val="0"/>
      <w:jc w:val="both"/>
    </w:pPr>
    <w:rPr>
      <w:rFonts w:ascii="Calibri" w:hAnsi="Calibri" w:eastAsia="微软雅黑"/>
      <w:kern w:val="2"/>
      <w:sz w:val="24"/>
      <w:szCs w:val="24"/>
      <w:lang w:val="zh-CN"/>
    </w:rPr>
  </w:style>
  <w:style w:type="table" w:styleId="17">
    <w:name w:val="Table Grid"/>
    <w:basedOn w:val="16"/>
    <w:qFormat/>
    <w:locked/>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locked/>
    <w:uiPriority w:val="0"/>
    <w:rPr>
      <w:b/>
    </w:rPr>
  </w:style>
  <w:style w:type="character" w:styleId="20">
    <w:name w:val="page number"/>
    <w:basedOn w:val="18"/>
    <w:qFormat/>
    <w:uiPriority w:val="0"/>
  </w:style>
  <w:style w:type="character" w:styleId="21">
    <w:name w:val="FollowedHyperlink"/>
    <w:basedOn w:val="18"/>
    <w:semiHidden/>
    <w:unhideWhenUsed/>
    <w:qFormat/>
    <w:uiPriority w:val="99"/>
    <w:rPr>
      <w:color w:val="800080"/>
      <w:u w:val="single"/>
    </w:rPr>
  </w:style>
  <w:style w:type="character" w:styleId="22">
    <w:name w:val="Hyperlink"/>
    <w:basedOn w:val="18"/>
    <w:semiHidden/>
    <w:unhideWhenUsed/>
    <w:qFormat/>
    <w:uiPriority w:val="99"/>
    <w:rPr>
      <w:color w:val="0000FF"/>
      <w:u w:val="single"/>
    </w:rPr>
  </w:style>
  <w:style w:type="character" w:styleId="23">
    <w:name w:val="annotation reference"/>
    <w:unhideWhenUsed/>
    <w:qFormat/>
    <w:uiPriority w:val="99"/>
    <w:rPr>
      <w:sz w:val="21"/>
      <w:szCs w:val="21"/>
    </w:rPr>
  </w:style>
  <w:style w:type="character" w:customStyle="1" w:styleId="24">
    <w:name w:val="font21"/>
    <w:qFormat/>
    <w:uiPriority w:val="0"/>
    <w:rPr>
      <w:rFonts w:hint="eastAsia" w:ascii="微软雅黑" w:hAnsi="微软雅黑" w:eastAsia="微软雅黑" w:cs="微软雅黑"/>
      <w:color w:val="000000"/>
      <w:sz w:val="20"/>
      <w:szCs w:val="20"/>
      <w:u w:val="none"/>
    </w:rPr>
  </w:style>
  <w:style w:type="character" w:customStyle="1" w:styleId="25">
    <w:name w:val="正文文本 Char"/>
    <w:link w:val="8"/>
    <w:qFormat/>
    <w:uiPriority w:val="99"/>
    <w:rPr>
      <w:rFonts w:ascii="Calibri" w:hAnsi="Calibri"/>
      <w:kern w:val="2"/>
      <w:sz w:val="21"/>
    </w:rPr>
  </w:style>
  <w:style w:type="character" w:customStyle="1" w:styleId="26">
    <w:name w:val="标题 3 Char"/>
    <w:link w:val="4"/>
    <w:qFormat/>
    <w:uiPriority w:val="0"/>
    <w:rPr>
      <w:b/>
      <w:bCs/>
      <w:sz w:val="32"/>
      <w:szCs w:val="32"/>
    </w:rPr>
  </w:style>
  <w:style w:type="character" w:customStyle="1" w:styleId="27">
    <w:name w:val="font11"/>
    <w:qFormat/>
    <w:uiPriority w:val="0"/>
    <w:rPr>
      <w:rFonts w:hint="eastAsia" w:ascii="宋体" w:hAnsi="宋体" w:eastAsia="宋体" w:cs="宋体"/>
      <w:color w:val="000000"/>
      <w:sz w:val="22"/>
      <w:szCs w:val="22"/>
      <w:u w:val="none"/>
    </w:rPr>
  </w:style>
  <w:style w:type="character" w:customStyle="1" w:styleId="28">
    <w:name w:val="font01"/>
    <w:qFormat/>
    <w:uiPriority w:val="0"/>
    <w:rPr>
      <w:rFonts w:hint="eastAsia" w:ascii="宋体" w:hAnsi="宋体" w:eastAsia="宋体" w:cs="宋体"/>
      <w:color w:val="000000"/>
      <w:sz w:val="20"/>
      <w:szCs w:val="20"/>
      <w:u w:val="none"/>
    </w:rPr>
  </w:style>
  <w:style w:type="character" w:customStyle="1" w:styleId="29">
    <w:name w:val="标题 2 Char"/>
    <w:link w:val="3"/>
    <w:qFormat/>
    <w:uiPriority w:val="0"/>
    <w:rPr>
      <w:rFonts w:ascii="Cambria" w:hAnsi="Cambria" w:eastAsia="宋体" w:cs="Times New Roman"/>
      <w:b/>
      <w:bCs/>
      <w:kern w:val="2"/>
      <w:sz w:val="32"/>
      <w:szCs w:val="32"/>
    </w:rPr>
  </w:style>
  <w:style w:type="character" w:customStyle="1" w:styleId="30">
    <w:name w:val="页眉 Char"/>
    <w:link w:val="12"/>
    <w:qFormat/>
    <w:locked/>
    <w:uiPriority w:val="99"/>
    <w:rPr>
      <w:rFonts w:ascii="Times New Roman" w:hAnsi="Times New Roman" w:eastAsia="宋体" w:cs="Times New Roman"/>
      <w:kern w:val="0"/>
      <w:sz w:val="18"/>
      <w:szCs w:val="18"/>
    </w:rPr>
  </w:style>
  <w:style w:type="character" w:customStyle="1" w:styleId="31">
    <w:name w:val="批注框文本 Char"/>
    <w:link w:val="10"/>
    <w:semiHidden/>
    <w:qFormat/>
    <w:uiPriority w:val="99"/>
    <w:rPr>
      <w:sz w:val="18"/>
      <w:szCs w:val="18"/>
    </w:rPr>
  </w:style>
  <w:style w:type="character" w:customStyle="1" w:styleId="32">
    <w:name w:val="批注主题 Char"/>
    <w:link w:val="15"/>
    <w:qFormat/>
    <w:uiPriority w:val="0"/>
    <w:rPr>
      <w:rFonts w:ascii="Calibri" w:hAnsi="Calibri" w:eastAsia="微软雅黑" w:cs="Times New Roman"/>
      <w:kern w:val="2"/>
      <w:sz w:val="24"/>
      <w:szCs w:val="24"/>
    </w:rPr>
  </w:style>
  <w:style w:type="character" w:customStyle="1" w:styleId="33">
    <w:name w:val="页脚 Char"/>
    <w:link w:val="11"/>
    <w:qFormat/>
    <w:locked/>
    <w:uiPriority w:val="99"/>
    <w:rPr>
      <w:rFonts w:ascii="Times New Roman" w:hAnsi="Times New Roman" w:eastAsia="宋体" w:cs="Times New Roman"/>
      <w:kern w:val="0"/>
      <w:sz w:val="18"/>
      <w:szCs w:val="18"/>
    </w:rPr>
  </w:style>
  <w:style w:type="character" w:customStyle="1" w:styleId="34">
    <w:name w:val="标题 4 Char"/>
    <w:link w:val="5"/>
    <w:semiHidden/>
    <w:qFormat/>
    <w:uiPriority w:val="0"/>
    <w:rPr>
      <w:rFonts w:ascii="Cambria" w:hAnsi="Cambria" w:eastAsia="宋体" w:cs="Times New Roman"/>
      <w:b/>
      <w:bCs/>
      <w:sz w:val="28"/>
      <w:szCs w:val="28"/>
    </w:rPr>
  </w:style>
  <w:style w:type="character" w:customStyle="1" w:styleId="35">
    <w:name w:val="列出段落 Char"/>
    <w:basedOn w:val="18"/>
    <w:link w:val="36"/>
    <w:qFormat/>
    <w:uiPriority w:val="0"/>
  </w:style>
  <w:style w:type="paragraph" w:styleId="36">
    <w:name w:val="List Paragraph"/>
    <w:basedOn w:val="1"/>
    <w:link w:val="35"/>
    <w:qFormat/>
    <w:uiPriority w:val="34"/>
    <w:pPr>
      <w:ind w:firstLine="420" w:firstLineChars="200"/>
    </w:pPr>
  </w:style>
  <w:style w:type="character" w:customStyle="1" w:styleId="37">
    <w:name w:val="批注文字 Char"/>
    <w:basedOn w:val="18"/>
    <w:link w:val="7"/>
    <w:semiHidden/>
    <w:qFormat/>
    <w:uiPriority w:val="99"/>
  </w:style>
  <w:style w:type="character" w:customStyle="1" w:styleId="38">
    <w:name w:val="msoins"/>
    <w:qFormat/>
    <w:uiPriority w:val="0"/>
    <w:rPr>
      <w:rFonts w:ascii="Arial" w:hAnsi="Arial" w:eastAsia="Times New Roman" w:cs="Times New Roman"/>
      <w:b/>
      <w:kern w:val="0"/>
      <w:sz w:val="24"/>
      <w:szCs w:val="24"/>
      <w:lang w:eastAsia="en-US"/>
    </w:rPr>
  </w:style>
  <w:style w:type="character" w:customStyle="1" w:styleId="39">
    <w:name w:val="fontstyle01"/>
    <w:qFormat/>
    <w:uiPriority w:val="0"/>
    <w:rPr>
      <w:rFonts w:hint="eastAsia" w:ascii="宋体" w:hAnsi="宋体" w:eastAsia="宋体"/>
      <w:color w:val="000000"/>
      <w:sz w:val="22"/>
      <w:szCs w:val="22"/>
    </w:rPr>
  </w:style>
  <w:style w:type="character" w:customStyle="1" w:styleId="40">
    <w:name w:val="标题 1 Char"/>
    <w:link w:val="2"/>
    <w:qFormat/>
    <w:locked/>
    <w:uiPriority w:val="0"/>
    <w:rPr>
      <w:rFonts w:ascii="宋体" w:hAnsi="宋体" w:eastAsia="宋体" w:cs="宋体"/>
      <w:kern w:val="0"/>
      <w:sz w:val="20"/>
      <w:szCs w:val="20"/>
    </w:rPr>
  </w:style>
  <w:style w:type="paragraph" w:customStyle="1" w:styleId="41">
    <w:name w:val="列表段落1"/>
    <w:basedOn w:val="1"/>
    <w:qFormat/>
    <w:uiPriority w:val="34"/>
    <w:pPr>
      <w:widowControl w:val="0"/>
      <w:ind w:firstLine="420" w:firstLineChars="200"/>
      <w:jc w:val="both"/>
    </w:pPr>
    <w:rPr>
      <w:rFonts w:ascii="等线" w:hAnsi="等线" w:eastAsia="等线"/>
      <w:kern w:val="2"/>
      <w:sz w:val="21"/>
      <w:szCs w:val="21"/>
    </w:rPr>
  </w:style>
  <w:style w:type="paragraph" w:customStyle="1" w:styleId="42">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rPr>
  </w:style>
  <w:style w:type="paragraph" w:customStyle="1" w:styleId="43">
    <w:name w:val="_Style 4"/>
    <w:basedOn w:val="1"/>
    <w:next w:val="36"/>
    <w:qFormat/>
    <w:uiPriority w:val="34"/>
    <w:pPr>
      <w:widowControl w:val="0"/>
      <w:ind w:firstLine="420" w:firstLineChars="200"/>
      <w:jc w:val="both"/>
    </w:pPr>
    <w:rPr>
      <w:rFonts w:ascii="Calibri" w:hAnsi="Calibri"/>
      <w:kern w:val="2"/>
      <w:sz w:val="21"/>
      <w:szCs w:val="22"/>
      <w:lang w:val="zh-CN"/>
    </w:rPr>
  </w:style>
  <w:style w:type="paragraph" w:customStyle="1" w:styleId="44">
    <w:name w:val="my正文"/>
    <w:basedOn w:val="1"/>
    <w:qFormat/>
    <w:uiPriority w:val="0"/>
    <w:pPr>
      <w:widowControl w:val="0"/>
      <w:spacing w:line="360" w:lineRule="auto"/>
      <w:ind w:firstLine="200" w:firstLineChars="200"/>
      <w:jc w:val="both"/>
    </w:pPr>
    <w:rPr>
      <w:rFonts w:ascii="宋体" w:hAnsi="宋体" w:eastAsia="仿宋"/>
      <w:kern w:val="2"/>
      <w:sz w:val="28"/>
      <w:szCs w:val="24"/>
    </w:rPr>
  </w:style>
  <w:style w:type="paragraph" w:customStyle="1" w:styleId="4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6">
    <w:name w:val="_Style 299"/>
    <w:basedOn w:val="1"/>
    <w:next w:val="36"/>
    <w:qFormat/>
    <w:uiPriority w:val="34"/>
    <w:pPr>
      <w:widowControl w:val="0"/>
      <w:ind w:firstLine="420" w:firstLineChars="200"/>
      <w:jc w:val="both"/>
    </w:pPr>
    <w:rPr>
      <w:rFonts w:ascii="Calibri" w:hAnsi="Calibri"/>
      <w:kern w:val="2"/>
      <w:sz w:val="21"/>
      <w:szCs w:val="22"/>
    </w:rPr>
  </w:style>
  <w:style w:type="paragraph" w:customStyle="1" w:styleId="47">
    <w:name w:val="3级标题"/>
    <w:basedOn w:val="1"/>
    <w:qFormat/>
    <w:uiPriority w:val="0"/>
    <w:pPr>
      <w:keepLines/>
      <w:widowControl w:val="0"/>
      <w:spacing w:before="120" w:after="120" w:line="360" w:lineRule="auto"/>
      <w:ind w:left="425" w:hanging="425"/>
      <w:contextualSpacing/>
      <w:outlineLvl w:val="2"/>
    </w:pPr>
    <w:rPr>
      <w:rFonts w:ascii="黑体" w:hAnsi="黑体" w:eastAsia="黑体"/>
      <w:sz w:val="28"/>
      <w:szCs w:val="36"/>
      <w:lang w:val="zh-CN" w:eastAsia="en-US" w:bidi="en-US"/>
    </w:rPr>
  </w:style>
  <w:style w:type="paragraph" w:customStyle="1" w:styleId="48">
    <w:name w:val="首行缩进"/>
    <w:basedOn w:val="1"/>
    <w:qFormat/>
    <w:uiPriority w:val="0"/>
    <w:pPr>
      <w:widowControl w:val="0"/>
      <w:spacing w:line="360" w:lineRule="auto"/>
      <w:ind w:firstLine="480" w:firstLineChars="200"/>
    </w:pPr>
    <w:rPr>
      <w:rFonts w:ascii="宋体" w:hAnsi="宋体"/>
      <w:kern w:val="2"/>
      <w:sz w:val="24"/>
      <w:szCs w:val="24"/>
    </w:rPr>
  </w:style>
  <w:style w:type="paragraph" w:customStyle="1" w:styleId="49">
    <w:name w:val="List Paragraph1"/>
    <w:basedOn w:val="1"/>
    <w:qFormat/>
    <w:uiPriority w:val="0"/>
    <w:pPr>
      <w:widowControl w:val="0"/>
      <w:ind w:firstLine="420" w:firstLineChars="200"/>
      <w:jc w:val="both"/>
    </w:pPr>
    <w:rPr>
      <w:kern w:val="2"/>
      <w:sz w:val="21"/>
      <w:szCs w:val="24"/>
    </w:rPr>
  </w:style>
  <w:style w:type="paragraph" w:customStyle="1" w:styleId="50">
    <w:name w:val="Normal_0_1"/>
    <w:qFormat/>
    <w:uiPriority w:val="99"/>
    <w:rPr>
      <w:rFonts w:ascii="Times New Roman" w:hAnsi="Times New Roman" w:eastAsia="宋体" w:cs="Times New Roman"/>
      <w:sz w:val="24"/>
      <w:szCs w:val="24"/>
      <w:lang w:val="en-US" w:eastAsia="zh-CN" w:bidi="ar-SA"/>
    </w:rPr>
  </w:style>
  <w:style w:type="paragraph" w:customStyle="1" w:styleId="51">
    <w:name w:val="正文部分"/>
    <w:basedOn w:val="1"/>
    <w:qFormat/>
    <w:uiPriority w:val="0"/>
    <w:pPr>
      <w:widowControl w:val="0"/>
      <w:spacing w:line="360" w:lineRule="auto"/>
      <w:ind w:firstLine="200" w:firstLineChars="200"/>
      <w:jc w:val="both"/>
    </w:pPr>
    <w:rPr>
      <w:rFonts w:ascii="宋体" w:hAnsi="宋体"/>
      <w:kern w:val="2"/>
      <w:sz w:val="24"/>
      <w:szCs w:val="24"/>
    </w:rPr>
  </w:style>
  <w:style w:type="paragraph" w:customStyle="1" w:styleId="5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53">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54">
    <w:name w:val="修订1"/>
    <w:semiHidden/>
    <w:qFormat/>
    <w:uiPriority w:val="99"/>
    <w:rPr>
      <w:rFonts w:ascii="Times New Roman" w:hAnsi="Times New Roman" w:eastAsia="宋体" w:cs="Times New Roman"/>
      <w:lang w:val="en-US" w:eastAsia="zh-CN" w:bidi="ar-SA"/>
    </w:rPr>
  </w:style>
  <w:style w:type="character" w:customStyle="1" w:styleId="55">
    <w:name w:val="纯文本 Char1"/>
    <w:link w:val="9"/>
    <w:qFormat/>
    <w:uiPriority w:val="0"/>
    <w:rPr>
      <w:rFonts w:ascii="宋体" w:hAnsi="宋体" w:cs="宋体"/>
      <w:kern w:val="2"/>
      <w:sz w:val="24"/>
      <w:szCs w:val="24"/>
    </w:rPr>
  </w:style>
  <w:style w:type="character" w:customStyle="1" w:styleId="56">
    <w:name w:val="纯文本 Char"/>
    <w:semiHidden/>
    <w:qFormat/>
    <w:uiPriority w:val="99"/>
    <w:rPr>
      <w:rFonts w:ascii="宋体" w:hAnsi="Courier New" w:cs="Courier New"/>
      <w:sz w:val="21"/>
      <w:szCs w:val="21"/>
    </w:rPr>
  </w:style>
  <w:style w:type="paragraph" w:customStyle="1" w:styleId="57">
    <w:name w:val="font5"/>
    <w:basedOn w:val="1"/>
    <w:qFormat/>
    <w:uiPriority w:val="0"/>
    <w:pPr>
      <w:spacing w:before="100" w:beforeAutospacing="1" w:after="100" w:afterAutospacing="1"/>
    </w:pPr>
    <w:rPr>
      <w:rFonts w:ascii="宋体" w:hAnsi="宋体" w:cs="宋体"/>
      <w:color w:val="000000"/>
      <w:sz w:val="22"/>
      <w:szCs w:val="22"/>
    </w:rPr>
  </w:style>
  <w:style w:type="paragraph" w:customStyle="1" w:styleId="58">
    <w:name w:val="xl65"/>
    <w:basedOn w:val="1"/>
    <w:qFormat/>
    <w:uiPriority w:val="0"/>
    <w:pPr>
      <w:shd w:val="clear" w:color="000000" w:fill="FFFFFF"/>
      <w:spacing w:before="100" w:beforeAutospacing="1" w:after="100" w:afterAutospacing="1"/>
      <w:jc w:val="center"/>
    </w:pPr>
    <w:rPr>
      <w:rFonts w:ascii="宋体" w:hAnsi="宋体" w:cs="宋体"/>
      <w:b/>
      <w:bCs/>
      <w:color w:val="000000"/>
      <w:sz w:val="28"/>
      <w:szCs w:val="28"/>
    </w:rPr>
  </w:style>
  <w:style w:type="paragraph" w:customStyle="1" w:styleId="59">
    <w:name w:val="xl66"/>
    <w:basedOn w:val="1"/>
    <w:qFormat/>
    <w:uiPriority w:val="0"/>
    <w:pPr>
      <w:shd w:val="clear" w:color="000000" w:fill="FFFFFF"/>
      <w:spacing w:before="100" w:beforeAutospacing="1" w:after="100" w:afterAutospacing="1"/>
      <w:jc w:val="center"/>
    </w:pPr>
    <w:rPr>
      <w:rFonts w:ascii="宋体" w:hAnsi="宋体" w:cs="宋体"/>
      <w:color w:val="000000"/>
      <w:sz w:val="24"/>
      <w:szCs w:val="24"/>
    </w:rPr>
  </w:style>
  <w:style w:type="paragraph" w:customStyle="1" w:styleId="60">
    <w:name w:val="xl67"/>
    <w:basedOn w:val="1"/>
    <w:qFormat/>
    <w:uiPriority w:val="0"/>
    <w:pPr>
      <w:shd w:val="clear" w:color="000000" w:fill="FFFFFF"/>
      <w:spacing w:before="100" w:beforeAutospacing="1" w:after="100" w:afterAutospacing="1"/>
      <w:jc w:val="center"/>
    </w:pPr>
    <w:rPr>
      <w:rFonts w:ascii="宋体" w:hAnsi="宋体" w:cs="宋体"/>
      <w:color w:val="000000"/>
      <w:sz w:val="24"/>
      <w:szCs w:val="24"/>
    </w:rPr>
  </w:style>
  <w:style w:type="paragraph" w:customStyle="1" w:styleId="61">
    <w:name w:val="xl68"/>
    <w:basedOn w:val="1"/>
    <w:qFormat/>
    <w:uiPriority w:val="0"/>
    <w:pPr>
      <w:shd w:val="clear" w:color="000000" w:fill="FFFFFF"/>
      <w:spacing w:before="100" w:beforeAutospacing="1" w:after="100" w:afterAutospacing="1"/>
      <w:jc w:val="center"/>
    </w:pPr>
    <w:rPr>
      <w:rFonts w:ascii="宋体" w:hAnsi="宋体" w:cs="宋体"/>
      <w:color w:val="000000"/>
      <w:sz w:val="24"/>
      <w:szCs w:val="24"/>
    </w:rPr>
  </w:style>
  <w:style w:type="paragraph" w:customStyle="1" w:styleId="62">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sz w:val="28"/>
      <w:szCs w:val="28"/>
    </w:rPr>
  </w:style>
  <w:style w:type="paragraph" w:customStyle="1" w:styleId="63">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sz w:val="28"/>
      <w:szCs w:val="28"/>
    </w:rPr>
  </w:style>
  <w:style w:type="paragraph" w:customStyle="1" w:styleId="64">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65">
    <w:name w:val="xl7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66">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cs="Calibri"/>
      <w:color w:val="000000"/>
      <w:sz w:val="24"/>
      <w:szCs w:val="24"/>
    </w:rPr>
  </w:style>
  <w:style w:type="paragraph" w:customStyle="1" w:styleId="67">
    <w:name w:val="xl7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sz w:val="24"/>
      <w:szCs w:val="24"/>
    </w:rPr>
  </w:style>
  <w:style w:type="paragraph" w:customStyle="1" w:styleId="68">
    <w:name w:val="xl75"/>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sz w:val="24"/>
      <w:szCs w:val="24"/>
    </w:rPr>
  </w:style>
  <w:style w:type="paragraph" w:customStyle="1" w:styleId="69">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0">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1">
    <w:name w:val="xl7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sz w:val="24"/>
      <w:szCs w:val="24"/>
    </w:rPr>
  </w:style>
  <w:style w:type="paragraph" w:customStyle="1" w:styleId="72">
    <w:name w:val="xl7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sz w:val="24"/>
      <w:szCs w:val="24"/>
    </w:rPr>
  </w:style>
  <w:style w:type="paragraph" w:customStyle="1" w:styleId="73">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u w:val="single"/>
    </w:rPr>
  </w:style>
  <w:style w:type="paragraph" w:customStyle="1" w:styleId="74">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4"/>
      <w:szCs w:val="24"/>
    </w:rPr>
  </w:style>
  <w:style w:type="paragraph" w:customStyle="1" w:styleId="75">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6">
    <w:name w:val="xl83"/>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7">
    <w:name w:val="xl84"/>
    <w:basedOn w:val="1"/>
    <w:qFormat/>
    <w:uiPriority w:val="0"/>
    <w:pPr>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8">
    <w:name w:val="xl85"/>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79">
    <w:name w:val="xl8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sz w:val="24"/>
      <w:szCs w:val="24"/>
      <w:u w:val="single"/>
    </w:rPr>
  </w:style>
  <w:style w:type="paragraph" w:customStyle="1" w:styleId="80">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81">
    <w:name w:val="xl88"/>
    <w:basedOn w:val="1"/>
    <w:qFormat/>
    <w:uiPriority w:val="0"/>
    <w:pPr>
      <w:pBdr>
        <w:bottom w:val="single" w:color="auto" w:sz="4" w:space="0"/>
      </w:pBdr>
      <w:shd w:val="clear" w:color="000000" w:fill="FFFFFF"/>
      <w:spacing w:before="100" w:beforeAutospacing="1" w:after="100" w:afterAutospacing="1"/>
      <w:jc w:val="center"/>
    </w:pPr>
    <w:rPr>
      <w:rFonts w:ascii="黑体" w:hAnsi="黑体" w:eastAsia="黑体" w:cs="宋体"/>
      <w:color w:val="000000"/>
      <w:sz w:val="56"/>
      <w:szCs w:val="56"/>
    </w:rPr>
  </w:style>
  <w:style w:type="paragraph" w:customStyle="1" w:styleId="82">
    <w:name w:val="xl89"/>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83">
    <w:name w:val="xl90"/>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84">
    <w:name w:val="xl91"/>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sz w:val="24"/>
      <w:szCs w:val="24"/>
      <w:u w:val="single"/>
    </w:rPr>
  </w:style>
  <w:style w:type="paragraph" w:customStyle="1" w:styleId="85">
    <w:name w:val="xl92"/>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sz w:val="24"/>
      <w:szCs w:val="24"/>
      <w:u w:val="single"/>
    </w:rPr>
  </w:style>
  <w:style w:type="paragraph" w:customStyle="1" w:styleId="86">
    <w:name w:val="xl93"/>
    <w:basedOn w:val="1"/>
    <w:qFormat/>
    <w:uiPriority w:val="0"/>
    <w:pPr>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cs="宋体"/>
      <w:color w:val="000000"/>
      <w:sz w:val="24"/>
      <w:szCs w:val="24"/>
    </w:rPr>
  </w:style>
  <w:style w:type="paragraph" w:customStyle="1" w:styleId="87">
    <w:name w:val="xl94"/>
    <w:basedOn w:val="1"/>
    <w:qFormat/>
    <w:uiPriority w:val="0"/>
    <w:pPr>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sz w:val="24"/>
      <w:szCs w:val="24"/>
    </w:rPr>
  </w:style>
  <w:style w:type="paragraph" w:customStyle="1" w:styleId="88">
    <w:name w:val="xl95"/>
    <w:basedOn w:val="1"/>
    <w:qFormat/>
    <w:uiPriority w:val="0"/>
    <w:pPr>
      <w:shd w:val="clear" w:color="000000" w:fill="FFFFFF"/>
      <w:spacing w:before="100" w:beforeAutospacing="1" w:after="100" w:afterAutospacing="1"/>
    </w:pPr>
    <w:rPr>
      <w:rFonts w:ascii="宋体" w:hAnsi="宋体" w:cs="宋体"/>
      <w:color w:val="000000"/>
      <w:sz w:val="24"/>
      <w:szCs w:val="24"/>
    </w:rPr>
  </w:style>
  <w:style w:type="paragraph" w:customStyle="1" w:styleId="89">
    <w:name w:val="font6"/>
    <w:basedOn w:val="1"/>
    <w:qFormat/>
    <w:uiPriority w:val="0"/>
    <w:pPr>
      <w:spacing w:before="100" w:beforeAutospacing="1" w:after="100" w:afterAutospacing="1"/>
    </w:pPr>
    <w:rPr>
      <w:rFonts w:ascii="宋体" w:hAnsi="宋体" w:cs="宋体"/>
      <w:sz w:val="18"/>
      <w:szCs w:val="18"/>
    </w:rPr>
  </w:style>
  <w:style w:type="table" w:customStyle="1" w:styleId="90">
    <w:name w:val="网格型1"/>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TotalTime>
  <Pages>14</Pages>
  <Words>8674</Words>
  <Characters>9116</Characters>
  <DocSecurity>0</DocSecurity>
  <Lines>7</Lines>
  <Paragraphs>19</Paragraphs>
  <ScaleCrop>false</ScaleCrop>
  <LinksUpToDate>false</LinksUpToDate>
  <CharactersWithSpaces>9219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2024-03-28T02:47:00Z</dcterms:created>
  <cp:lastPrinted>2026-04-16T04:10:00Z</cp:lastPrinted>
  <dcterms:modified xsi:type="dcterms:W3CDTF">2026-05-19T06:51:17Z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1FE69FE38EC24E5C88A724F3B8F350CA_13</vt:lpwstr>
  </property>
  <property fmtid="{D5CDD505-2E9C-101B-9397-08002B2CF9AE}" pid="4" name="KSOTemplateDocerSaveRecord">
    <vt:lpwstr>eyJoZGlkIjoiOTMxYWNkNDYyZWI5MzI4ZjNkY2ZlMTM3ZWE0MzIzNmYiLCJ1c2VySWQiOiI1Njk1NTUzMTgifQ==</vt:lpwstr>
  </property>
</Properties>
</file>