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1"/>
          <w:numId w:val="0"/>
        </w:numPr>
        <w:jc w:val="center"/>
        <w:rPr>
          <w:rFonts w:asciiTheme="minorEastAsia" w:hAnsiTheme="minorEastAsia"/>
          <w:sz w:val="48"/>
          <w:szCs w:val="48"/>
          <w:highlight w:val="none"/>
        </w:rPr>
      </w:pPr>
      <w:r>
        <w:rPr>
          <w:rFonts w:hint="eastAsia" w:asciiTheme="minorEastAsia" w:hAnsiTheme="minorEastAsia"/>
          <w:sz w:val="48"/>
          <w:szCs w:val="48"/>
          <w:highlight w:val="none"/>
        </w:rPr>
        <w:t>上海市公安局长宁分局图像网云平台升级竞争性磋商项目</w:t>
      </w:r>
      <w:r>
        <w:rPr>
          <w:rFonts w:hint="eastAsia" w:asciiTheme="minorEastAsia" w:hAnsiTheme="minorEastAsia"/>
          <w:sz w:val="48"/>
          <w:szCs w:val="48"/>
          <w:highlight w:val="none"/>
          <w:lang w:val="en-US" w:eastAsia="zh-CN"/>
        </w:rPr>
        <w:t>采购</w:t>
      </w:r>
      <w:r>
        <w:rPr>
          <w:rFonts w:hint="eastAsia" w:asciiTheme="minorEastAsia" w:hAnsiTheme="minorEastAsia"/>
          <w:sz w:val="48"/>
          <w:szCs w:val="48"/>
          <w:highlight w:val="none"/>
        </w:rPr>
        <w:t>需求文件</w:t>
      </w:r>
      <w:bookmarkStart w:id="89" w:name="_GoBack"/>
      <w:bookmarkEnd w:id="89"/>
    </w:p>
    <w:p>
      <w:pPr>
        <w:rPr>
          <w:highlight w:val="none"/>
        </w:rPr>
      </w:pPr>
    </w:p>
    <w:p>
      <w:pPr>
        <w:pStyle w:val="4"/>
        <w:ind w:left="855" w:hanging="855"/>
        <w:rPr>
          <w:highlight w:val="none"/>
        </w:rPr>
      </w:pPr>
      <w:r>
        <w:rPr>
          <w:highlight w:val="none"/>
        </w:rPr>
        <w:t>项目建设背景</w:t>
      </w:r>
    </w:p>
    <w:p>
      <w:pPr>
        <w:spacing w:line="360" w:lineRule="auto"/>
        <w:ind w:firstLine="444" w:firstLineChars="185"/>
        <w:rPr>
          <w:rFonts w:asciiTheme="minorEastAsia" w:hAnsiTheme="minorEastAsia"/>
          <w:szCs w:val="28"/>
          <w:highlight w:val="none"/>
        </w:rPr>
      </w:pPr>
      <w:r>
        <w:rPr>
          <w:rFonts w:hint="eastAsia" w:asciiTheme="minorEastAsia" w:hAnsiTheme="minorEastAsia"/>
          <w:szCs w:val="28"/>
          <w:highlight w:val="none"/>
        </w:rPr>
        <w:t>由于长宁分局原图像网云平台使用的华为HCS 6.5.1版本生命周期已于2025年12月31日截止，导致平台无法进行资源扩容，原厂已停止提供技术支持、补丁优化及维保服务。为保障平台持续稳定运行并满足后续业务增长需求，需对原图像网云平台实施版本升级，并同步完成配套软硬件的业务迁移。</w:t>
      </w:r>
    </w:p>
    <w:p>
      <w:pPr>
        <w:spacing w:line="360" w:lineRule="auto"/>
        <w:ind w:firstLine="444" w:firstLineChars="185"/>
        <w:rPr>
          <w:rFonts w:ascii="宋体" w:hAnsi="宋体" w:cs="宋体"/>
          <w:szCs w:val="24"/>
          <w:highlight w:val="none"/>
        </w:rPr>
      </w:pPr>
      <w:r>
        <w:rPr>
          <w:rFonts w:hint="eastAsia" w:asciiTheme="minorEastAsia" w:hAnsiTheme="minorEastAsia"/>
          <w:szCs w:val="28"/>
          <w:highlight w:val="none"/>
        </w:rPr>
        <w:t>本次升级以提升业务应用建设水平为核心目标，在图像网区域建设符合公安信息化标准的</w:t>
      </w:r>
      <w:r>
        <w:rPr>
          <w:rFonts w:hint="eastAsia" w:asciiTheme="minorEastAsia" w:hAnsiTheme="minorEastAsia"/>
          <w:szCs w:val="28"/>
          <w:highlight w:val="none"/>
          <w:lang w:eastAsia="zh-CN"/>
        </w:rPr>
        <w:t>Xc</w:t>
      </w:r>
      <w:r>
        <w:rPr>
          <w:rFonts w:hint="eastAsia" w:asciiTheme="minorEastAsia" w:hAnsiTheme="minorEastAsia"/>
          <w:szCs w:val="28"/>
          <w:highlight w:val="none"/>
        </w:rPr>
        <w:t>云平台。平台将具备统一调度、智能运维、弹性扩展、分层解耦等特性，提供基于</w:t>
      </w:r>
      <w:r>
        <w:rPr>
          <w:rFonts w:hint="eastAsia" w:asciiTheme="minorEastAsia" w:hAnsiTheme="minorEastAsia"/>
          <w:szCs w:val="28"/>
          <w:highlight w:val="none"/>
          <w:lang w:eastAsia="zh-CN"/>
        </w:rPr>
        <w:t>Xc</w:t>
      </w:r>
      <w:r>
        <w:rPr>
          <w:rFonts w:hint="eastAsia" w:asciiTheme="minorEastAsia" w:hAnsiTheme="minorEastAsia"/>
          <w:szCs w:val="28"/>
          <w:highlight w:val="none"/>
        </w:rPr>
        <w:t>环境的基础IaaS服务及PaaS扩展能力，通过精细化管理与资源合理分配，构建高效、灵活的基础设施架构，实现资源统一管理和调度，为公安业务系统提供稳定、可靠的云服务。</w:t>
      </w:r>
    </w:p>
    <w:p>
      <w:pPr>
        <w:pStyle w:val="4"/>
        <w:ind w:left="855" w:hanging="855"/>
        <w:rPr>
          <w:highlight w:val="none"/>
        </w:rPr>
      </w:pPr>
      <w:bookmarkStart w:id="0" w:name="_Toc28267"/>
      <w:bookmarkStart w:id="1" w:name="_Toc130539732"/>
      <w:bookmarkStart w:id="2" w:name="_Toc23573"/>
      <w:r>
        <w:rPr>
          <w:highlight w:val="none"/>
        </w:rPr>
        <w:t>项目建设内容</w:t>
      </w:r>
      <w:bookmarkEnd w:id="0"/>
      <w:bookmarkEnd w:id="1"/>
      <w:bookmarkEnd w:id="2"/>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本期建设内容主要包括</w:t>
      </w:r>
      <w:r>
        <w:rPr>
          <w:rFonts w:hint="eastAsia" w:ascii="宋体" w:hAnsi="宋体" w:cs="宋体"/>
          <w:szCs w:val="24"/>
          <w:highlight w:val="none"/>
        </w:rPr>
        <w:t>云基础规划设计与实施服务，云IAAS软件、硬件管理平台、云管软件许可及3年订阅服务，云基础架构升级与软件迁移服务,</w:t>
      </w:r>
      <w:r>
        <w:rPr>
          <w:rFonts w:hint="eastAsia" w:asciiTheme="minorEastAsia" w:hAnsiTheme="minorEastAsia"/>
          <w:szCs w:val="28"/>
          <w:highlight w:val="none"/>
        </w:rPr>
        <w:t>HCS 6.5.1版本授权维保及</w:t>
      </w:r>
      <w:r>
        <w:rPr>
          <w:rFonts w:hint="eastAsia" w:ascii="宋体" w:hAnsi="宋体" w:cs="宋体"/>
          <w:szCs w:val="24"/>
          <w:highlight w:val="none"/>
        </w:rPr>
        <w:t>配套硬件搬迁服务。</w:t>
      </w:r>
    </w:p>
    <w:p>
      <w:pPr>
        <w:pStyle w:val="5"/>
        <w:tabs>
          <w:tab w:val="left" w:pos="432"/>
          <w:tab w:val="left" w:pos="720"/>
          <w:tab w:val="left" w:pos="1288"/>
        </w:tabs>
        <w:adjustRightInd w:val="0"/>
        <w:snapToGrid w:val="0"/>
        <w:spacing w:before="0" w:after="0" w:line="360" w:lineRule="auto"/>
        <w:ind w:left="855" w:hanging="855"/>
        <w:rPr>
          <w:rFonts w:asciiTheme="minorEastAsia" w:hAnsiTheme="minorEastAsia"/>
          <w:color w:val="000000"/>
          <w:highlight w:val="none"/>
        </w:rPr>
      </w:pPr>
      <w:bookmarkStart w:id="3" w:name="_Toc8601"/>
      <w:bookmarkStart w:id="4" w:name="_Toc11179"/>
      <w:r>
        <w:rPr>
          <w:rFonts w:hint="eastAsia" w:ascii="宋体" w:hAnsi="宋体" w:cs="宋体"/>
          <w:highlight w:val="none"/>
        </w:rPr>
        <w:t>云基础规划设计与实施服务</w:t>
      </w:r>
      <w:bookmarkEnd w:id="3"/>
      <w:bookmarkEnd w:id="4"/>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提供云基础规划设计与实施服务，搭建架构合理、性能卓越、安全稳定的新私有云平台，确保其具备良好的兼容性，能够无缝对接现有的业务系统和数据架构，提升资源利用率、弹性伸缩能力、数据处理速度等方面能力，为业务迁移提供坚实的基础。</w:t>
      </w:r>
    </w:p>
    <w:p>
      <w:pPr>
        <w:pStyle w:val="5"/>
        <w:tabs>
          <w:tab w:val="left" w:pos="432"/>
          <w:tab w:val="left" w:pos="720"/>
          <w:tab w:val="left" w:pos="1288"/>
        </w:tabs>
        <w:adjustRightInd w:val="0"/>
        <w:snapToGrid w:val="0"/>
        <w:spacing w:before="0" w:after="0" w:line="360" w:lineRule="auto"/>
        <w:ind w:left="855" w:hanging="855"/>
        <w:rPr>
          <w:rFonts w:asciiTheme="minorEastAsia" w:hAnsiTheme="minorEastAsia"/>
          <w:color w:val="000000"/>
          <w:highlight w:val="none"/>
        </w:rPr>
      </w:pPr>
      <w:bookmarkStart w:id="5" w:name="_Toc6330"/>
      <w:bookmarkStart w:id="6" w:name="_Toc32036"/>
      <w:r>
        <w:rPr>
          <w:rFonts w:hint="eastAsia" w:ascii="宋体" w:hAnsi="宋体" w:cs="宋体"/>
          <w:highlight w:val="none"/>
        </w:rPr>
        <w:t>云IAAS软件、硬件管理平台、云管软件许可及3年订阅服务</w:t>
      </w:r>
      <w:bookmarkEnd w:id="5"/>
      <w:bookmarkEnd w:id="6"/>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提供新版本平台云111个节点IAAS软件、硬件管理平台、云管软件许可及原厂3年的软件订阅服务。</w:t>
      </w:r>
    </w:p>
    <w:p>
      <w:pPr>
        <w:pStyle w:val="5"/>
        <w:tabs>
          <w:tab w:val="left" w:pos="432"/>
          <w:tab w:val="left" w:pos="720"/>
          <w:tab w:val="left" w:pos="1288"/>
        </w:tabs>
        <w:adjustRightInd w:val="0"/>
        <w:snapToGrid w:val="0"/>
        <w:spacing w:before="0" w:after="0" w:line="360" w:lineRule="auto"/>
        <w:ind w:left="855" w:hanging="855"/>
        <w:rPr>
          <w:rFonts w:asciiTheme="minorEastAsia" w:hAnsiTheme="minorEastAsia"/>
          <w:color w:val="000000"/>
          <w:highlight w:val="none"/>
        </w:rPr>
      </w:pPr>
      <w:bookmarkStart w:id="7" w:name="_Toc4014"/>
      <w:bookmarkStart w:id="8" w:name="_Toc30339"/>
      <w:r>
        <w:rPr>
          <w:rFonts w:hint="eastAsia" w:ascii="宋体" w:hAnsi="宋体" w:cs="宋体"/>
          <w:highlight w:val="none"/>
        </w:rPr>
        <w:t>云基础架构升级与业务迁移服务</w:t>
      </w:r>
      <w:bookmarkEnd w:id="7"/>
      <w:bookmarkEnd w:id="8"/>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制定业务迁移计划和方案，业务迁移过程原</w:t>
      </w:r>
      <w:r>
        <w:rPr>
          <w:rFonts w:hint="eastAsia" w:asciiTheme="minorEastAsia" w:hAnsiTheme="minorEastAsia"/>
          <w:szCs w:val="28"/>
          <w:highlight w:val="none"/>
        </w:rPr>
        <w:t>图像网云平台</w:t>
      </w:r>
      <w:r>
        <w:rPr>
          <w:rFonts w:hint="eastAsia" w:asciiTheme="minorEastAsia" w:hAnsiTheme="minorEastAsia"/>
          <w:szCs w:val="24"/>
          <w:highlight w:val="none"/>
        </w:rPr>
        <w:t>的业务按照优先级和业务关联性，分多个批次平稳、有序地迁移到新平台，确保每次迁移过程中的数据完整性、一致性和准确性以及数据迁移的成功率。每次迁移批次的业务停机时间控制在12小时以内，最大限度地减少正常业务运营的影响，保障业务的连续性。</w:t>
      </w:r>
    </w:p>
    <w:p>
      <w:pPr>
        <w:pStyle w:val="5"/>
        <w:tabs>
          <w:tab w:val="left" w:pos="432"/>
          <w:tab w:val="left" w:pos="720"/>
          <w:tab w:val="left" w:pos="1288"/>
        </w:tabs>
        <w:adjustRightInd w:val="0"/>
        <w:snapToGrid w:val="0"/>
        <w:spacing w:before="0" w:after="0" w:line="360" w:lineRule="auto"/>
        <w:ind w:left="855" w:hanging="855"/>
        <w:rPr>
          <w:rFonts w:asciiTheme="minorEastAsia" w:hAnsiTheme="minorEastAsia"/>
          <w:color w:val="000000"/>
          <w:highlight w:val="none"/>
        </w:rPr>
      </w:pPr>
      <w:bookmarkStart w:id="9" w:name="_Toc1271"/>
      <w:bookmarkStart w:id="10" w:name="_Toc6970"/>
      <w:r>
        <w:rPr>
          <w:rFonts w:hint="eastAsia" w:asciiTheme="minorEastAsia" w:hAnsiTheme="minorEastAsia"/>
          <w:color w:val="000000"/>
          <w:highlight w:val="none"/>
        </w:rPr>
        <w:t>原有云平台</w:t>
      </w:r>
      <w:r>
        <w:rPr>
          <w:rFonts w:hint="eastAsia" w:asciiTheme="minorEastAsia" w:hAnsiTheme="minorEastAsia"/>
          <w:szCs w:val="28"/>
          <w:highlight w:val="none"/>
        </w:rPr>
        <w:t>HCS 6.5.1软件维保服务</w:t>
      </w:r>
      <w:bookmarkEnd w:id="9"/>
      <w:bookmarkEnd w:id="10"/>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提供原有云平台FusionSphere 6.5.1 软件订阅授权及专业维保服务。</w:t>
      </w:r>
    </w:p>
    <w:p>
      <w:pPr>
        <w:pStyle w:val="5"/>
        <w:tabs>
          <w:tab w:val="left" w:pos="432"/>
          <w:tab w:val="left" w:pos="720"/>
          <w:tab w:val="left" w:pos="1288"/>
        </w:tabs>
        <w:adjustRightInd w:val="0"/>
        <w:snapToGrid w:val="0"/>
        <w:spacing w:before="0" w:after="0" w:line="360" w:lineRule="auto"/>
        <w:ind w:left="855" w:hanging="855"/>
        <w:rPr>
          <w:rFonts w:asciiTheme="minorEastAsia" w:hAnsiTheme="minorEastAsia"/>
          <w:color w:val="000000"/>
          <w:highlight w:val="none"/>
        </w:rPr>
      </w:pPr>
      <w:bookmarkStart w:id="11" w:name="_Toc24097"/>
      <w:bookmarkStart w:id="12" w:name="_Toc22283"/>
      <w:r>
        <w:rPr>
          <w:rFonts w:hint="eastAsia" w:ascii="宋体" w:hAnsi="宋体" w:cs="宋体"/>
          <w:highlight w:val="none"/>
        </w:rPr>
        <w:t>配套硬件搬迁服务</w:t>
      </w:r>
      <w:bookmarkEnd w:id="11"/>
      <w:bookmarkEnd w:id="12"/>
    </w:p>
    <w:p>
      <w:pPr>
        <w:spacing w:before="156" w:beforeLines="50" w:after="156" w:afterLines="50" w:line="360" w:lineRule="auto"/>
        <w:ind w:firstLine="420"/>
        <w:rPr>
          <w:rFonts w:asciiTheme="minorEastAsia" w:hAnsiTheme="minorEastAsia"/>
          <w:szCs w:val="24"/>
          <w:highlight w:val="none"/>
        </w:rPr>
      </w:pPr>
      <w:r>
        <w:rPr>
          <w:rFonts w:hint="eastAsia" w:asciiTheme="minorEastAsia" w:hAnsiTheme="minorEastAsia"/>
          <w:szCs w:val="24"/>
          <w:highlight w:val="none"/>
        </w:rPr>
        <w:t>采用分批次方式将硬件搬迁至灾备中心机房，保障业务连续。</w:t>
      </w:r>
    </w:p>
    <w:p>
      <w:pPr>
        <w:pStyle w:val="4"/>
        <w:ind w:left="855" w:hanging="855"/>
        <w:rPr>
          <w:highlight w:val="none"/>
        </w:rPr>
      </w:pPr>
      <w:bookmarkStart w:id="13" w:name="_Toc20586"/>
      <w:bookmarkStart w:id="14" w:name="_Toc4420"/>
      <w:bookmarkStart w:id="15" w:name="_Toc114136882"/>
      <w:r>
        <w:rPr>
          <w:rFonts w:hint="eastAsia"/>
          <w:highlight w:val="none"/>
        </w:rPr>
        <w:t>项目建设周期</w:t>
      </w:r>
      <w:bookmarkEnd w:id="13"/>
      <w:bookmarkEnd w:id="14"/>
      <w:bookmarkEnd w:id="15"/>
    </w:p>
    <w:p>
      <w:pPr>
        <w:spacing w:before="156" w:beforeLines="50" w:after="156" w:afterLines="50"/>
        <w:ind w:firstLine="420"/>
        <w:rPr>
          <w:rFonts w:asciiTheme="minorEastAsia" w:hAnsiTheme="minorEastAsia"/>
          <w:szCs w:val="24"/>
          <w:highlight w:val="none"/>
        </w:rPr>
      </w:pPr>
      <w:r>
        <w:rPr>
          <w:rFonts w:hint="eastAsia" w:asciiTheme="minorEastAsia" w:hAnsiTheme="minorEastAsia"/>
          <w:szCs w:val="24"/>
          <w:highlight w:val="none"/>
        </w:rPr>
        <w:t>项目总周期为4个月：建设期3个月，试运行1个月。</w:t>
      </w:r>
    </w:p>
    <w:p>
      <w:pPr>
        <w:pStyle w:val="4"/>
        <w:ind w:left="855" w:hanging="855"/>
        <w:rPr>
          <w:highlight w:val="none"/>
        </w:rPr>
      </w:pPr>
      <w:bookmarkStart w:id="16" w:name="_Toc509944222"/>
      <w:bookmarkEnd w:id="16"/>
      <w:bookmarkStart w:id="17" w:name="_Toc510019940"/>
      <w:bookmarkEnd w:id="17"/>
      <w:bookmarkStart w:id="18" w:name="_Toc510020047"/>
      <w:bookmarkEnd w:id="18"/>
      <w:bookmarkStart w:id="19" w:name="_Toc510019833"/>
      <w:bookmarkEnd w:id="19"/>
      <w:bookmarkStart w:id="20" w:name="_Toc510019297"/>
      <w:bookmarkEnd w:id="20"/>
      <w:bookmarkStart w:id="21" w:name="_Toc509999127"/>
      <w:bookmarkEnd w:id="21"/>
      <w:bookmarkStart w:id="22" w:name="_Toc509995843"/>
      <w:bookmarkEnd w:id="22"/>
      <w:bookmarkStart w:id="23" w:name="_Toc510021502"/>
      <w:bookmarkEnd w:id="23"/>
      <w:bookmarkStart w:id="24" w:name="_Toc510019726"/>
      <w:bookmarkEnd w:id="24"/>
      <w:bookmarkStart w:id="25" w:name="_Toc510040422"/>
      <w:bookmarkEnd w:id="25"/>
      <w:bookmarkStart w:id="26" w:name="_Toc17733"/>
      <w:bookmarkStart w:id="27" w:name="_Toc5993"/>
      <w:r>
        <w:rPr>
          <w:highlight w:val="none"/>
        </w:rPr>
        <w:t>项目技术要求</w:t>
      </w:r>
      <w:bookmarkEnd w:id="26"/>
      <w:bookmarkEnd w:id="27"/>
    </w:p>
    <w:p>
      <w:pPr>
        <w:pStyle w:val="5"/>
        <w:ind w:left="855" w:hanging="855"/>
        <w:rPr>
          <w:highlight w:val="none"/>
        </w:rPr>
      </w:pPr>
      <w:bookmarkStart w:id="28" w:name="_Toc19840"/>
      <w:bookmarkStart w:id="29" w:name="_Toc21498"/>
      <w:r>
        <w:rPr>
          <w:rFonts w:hint="eastAsia" w:ascii="宋体" w:hAnsi="宋体" w:cs="宋体"/>
          <w:highlight w:val="none"/>
        </w:rPr>
        <w:t>云基础规划设计与实施服务</w:t>
      </w:r>
      <w:r>
        <w:rPr>
          <w:highlight w:val="none"/>
        </w:rPr>
        <w:t>要求</w:t>
      </w:r>
      <w:bookmarkEnd w:id="28"/>
      <w:bookmarkEnd w:id="29"/>
    </w:p>
    <w:p>
      <w:pPr>
        <w:spacing w:line="360" w:lineRule="auto"/>
        <w:ind w:firstLine="480" w:firstLineChars="200"/>
        <w:rPr>
          <w:rFonts w:ascii="宋体" w:hAnsi="宋体"/>
          <w:szCs w:val="24"/>
          <w:highlight w:val="none"/>
        </w:rPr>
      </w:pPr>
      <w:r>
        <w:rPr>
          <w:rFonts w:hint="eastAsia" w:ascii="宋体" w:hAnsi="宋体" w:eastAsia="宋体" w:cs="宋体"/>
          <w:szCs w:val="24"/>
          <w:highlight w:val="none"/>
        </w:rPr>
        <w:t>充分利用现有资源，</w:t>
      </w:r>
      <w:r>
        <w:rPr>
          <w:rFonts w:ascii="宋体" w:hAnsi="宋体" w:eastAsia="宋体" w:cs="宋体"/>
          <w:szCs w:val="24"/>
          <w:highlight w:val="none"/>
        </w:rPr>
        <w:t>搭建稳定、安全、兼容的新私有云平台，实现统一管理、监控、运维与自动化操作；</w:t>
      </w:r>
      <w:r>
        <w:rPr>
          <w:rFonts w:hint="eastAsia" w:ascii="宋体" w:hAnsi="宋体" w:eastAsia="宋体" w:cs="宋体"/>
          <w:szCs w:val="24"/>
          <w:highlight w:val="none"/>
        </w:rPr>
        <w:t>具有可视化界面，包括资源使用情况、业务运行状态、性能指标等信息。</w:t>
      </w:r>
      <w:r>
        <w:rPr>
          <w:rFonts w:ascii="宋体" w:hAnsi="宋体" w:eastAsia="宋体" w:cs="宋体"/>
          <w:szCs w:val="24"/>
          <w:highlight w:val="none"/>
        </w:rPr>
        <w:t>新平台部署不影响旧平台业务，完成兼容性测试，支撑业务平稳迁移。</w:t>
      </w:r>
      <w:r>
        <w:rPr>
          <w:rFonts w:ascii="宋体" w:hAnsi="宋体" w:cs="Arial"/>
          <w:color w:val="000000"/>
          <w:szCs w:val="24"/>
          <w:highlight w:val="none"/>
        </w:rPr>
        <w:t>为后续业务迁移奠定坚实基础，实现资源高效利用与业务平稳保障的双重目标</w:t>
      </w:r>
      <w:r>
        <w:rPr>
          <w:rFonts w:hint="eastAsia" w:ascii="宋体" w:hAnsi="宋体" w:cs="Arial"/>
          <w:color w:val="000000"/>
          <w:szCs w:val="24"/>
          <w:highlight w:val="none"/>
        </w:rPr>
        <w:t>。</w:t>
      </w:r>
    </w:p>
    <w:p>
      <w:pPr>
        <w:pStyle w:val="5"/>
        <w:ind w:left="855" w:hanging="855"/>
        <w:rPr>
          <w:rFonts w:asciiTheme="majorEastAsia" w:hAnsiTheme="majorEastAsia" w:eastAsiaTheme="majorEastAsia" w:cstheme="majorEastAsia"/>
          <w:highlight w:val="none"/>
        </w:rPr>
      </w:pPr>
      <w:bookmarkStart w:id="30" w:name="_Toc9050"/>
      <w:bookmarkStart w:id="31" w:name="_Toc26677"/>
      <w:r>
        <w:rPr>
          <w:rFonts w:hint="eastAsia" w:ascii="宋体" w:hAnsi="宋体" w:cs="宋体"/>
          <w:highlight w:val="none"/>
        </w:rPr>
        <w:t>云IAAS软件、硬件管理平台、云管软件许可及3年订阅服务</w:t>
      </w:r>
      <w:r>
        <w:rPr>
          <w:rFonts w:hint="eastAsia" w:asciiTheme="majorEastAsia" w:hAnsiTheme="majorEastAsia" w:eastAsiaTheme="majorEastAsia" w:cstheme="majorEastAsia"/>
          <w:highlight w:val="none"/>
        </w:rPr>
        <w:t>要求</w:t>
      </w:r>
      <w:bookmarkEnd w:id="30"/>
      <w:bookmarkEnd w:id="31"/>
    </w:p>
    <w:p>
      <w:pPr>
        <w:pStyle w:val="6"/>
        <w:ind w:left="855" w:hanging="855"/>
        <w:rPr>
          <w:highlight w:val="none"/>
        </w:rPr>
      </w:pPr>
      <w:bookmarkStart w:id="32" w:name="_Toc11607"/>
      <w:bookmarkStart w:id="33" w:name="_Toc26861"/>
      <w:r>
        <w:rPr>
          <w:rFonts w:hint="eastAsia"/>
          <w:highlight w:val="none"/>
        </w:rPr>
        <w:t>软件许可</w:t>
      </w:r>
      <w:bookmarkEnd w:id="32"/>
      <w:bookmarkEnd w:id="33"/>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本次项目111个节点软件许可需包含如下三项：</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（1）云IAAS软件：提供虚拟计算、虚拟存储和虚拟网络的资源池化和管理功能。</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（2）硬件管理平台：帮助企业级管理员对设备进行监控和管理，支持自动化运维、业务管理、北向接口等功能。</w:t>
      </w:r>
    </w:p>
    <w:p>
      <w:pPr>
        <w:spacing w:line="360" w:lineRule="auto"/>
        <w:ind w:firstLine="480" w:firstLineChars="200"/>
        <w:rPr>
          <w:rFonts w:asciiTheme="minorEastAsia" w:hAnsiTheme="minorEastAsia"/>
          <w:highlight w:val="none"/>
        </w:rPr>
      </w:pPr>
      <w:r>
        <w:rPr>
          <w:rFonts w:hint="eastAsia" w:ascii="宋体" w:hAnsi="宋体" w:eastAsia="宋体" w:cs="宋体"/>
          <w:szCs w:val="24"/>
          <w:highlight w:val="none"/>
        </w:rPr>
        <w:t>（3）云管软件：提供租户管理、云平台用户管理、服务目录管理、云资源申请和生命周期管理等功能；运维管理平台提供集中告警、资源拓扑、运维分析和系统管理等功能。</w:t>
      </w:r>
    </w:p>
    <w:p>
      <w:pPr>
        <w:pStyle w:val="6"/>
        <w:ind w:left="855" w:hanging="855"/>
        <w:rPr>
          <w:rFonts w:asciiTheme="minorEastAsia" w:hAnsiTheme="minorEastAsia"/>
          <w:highlight w:val="none"/>
        </w:rPr>
      </w:pPr>
      <w:bookmarkStart w:id="34" w:name="_Toc10029"/>
      <w:bookmarkStart w:id="35" w:name="_Toc7420"/>
      <w:r>
        <w:rPr>
          <w:rFonts w:hint="eastAsia" w:ascii="宋体" w:hAnsi="宋体" w:cs="宋体"/>
          <w:highlight w:val="none"/>
        </w:rPr>
        <w:t>3年订阅服务</w:t>
      </w:r>
      <w:bookmarkEnd w:id="34"/>
      <w:bookmarkEnd w:id="35"/>
    </w:p>
    <w:p>
      <w:pPr>
        <w:spacing w:line="360" w:lineRule="auto"/>
        <w:ind w:firstLine="480" w:firstLineChars="200"/>
        <w:rPr>
          <w:rFonts w:asciiTheme="minorEastAsia" w:hAnsiTheme="minorEastAsia"/>
          <w:highlight w:val="none"/>
        </w:rPr>
      </w:pPr>
      <w:r>
        <w:rPr>
          <w:rFonts w:hint="eastAsia" w:ascii="宋体" w:hAnsi="宋体"/>
          <w:szCs w:val="24"/>
          <w:highlight w:val="none"/>
        </w:rPr>
        <w:t>自最终验收签字之日起</w:t>
      </w:r>
      <w:r>
        <w:rPr>
          <w:rFonts w:ascii="宋体" w:hAnsi="宋体"/>
          <w:szCs w:val="24"/>
          <w:highlight w:val="none"/>
        </w:rPr>
        <w:t>3年</w:t>
      </w:r>
      <w:r>
        <w:rPr>
          <w:rFonts w:hint="eastAsia" w:ascii="宋体" w:hAnsi="宋体"/>
          <w:szCs w:val="24"/>
          <w:highlight w:val="none"/>
        </w:rPr>
        <w:t>内，免费提供原厂缺陷修复、补丁即时修复与小版本每季度升级服务。</w:t>
      </w:r>
    </w:p>
    <w:p>
      <w:pPr>
        <w:pStyle w:val="5"/>
        <w:ind w:left="855" w:hanging="855"/>
        <w:rPr>
          <w:highlight w:val="none"/>
        </w:rPr>
      </w:pPr>
      <w:bookmarkStart w:id="36" w:name="_Toc758"/>
      <w:bookmarkStart w:id="37" w:name="_Toc21214"/>
      <w:r>
        <w:rPr>
          <w:rFonts w:hint="eastAsia" w:ascii="宋体" w:hAnsi="宋体" w:cs="宋体"/>
          <w:highlight w:val="none"/>
        </w:rPr>
        <w:t>云基础架构升级与业务迁移服务</w:t>
      </w:r>
      <w:r>
        <w:rPr>
          <w:highlight w:val="none"/>
        </w:rPr>
        <w:t>要求</w:t>
      </w:r>
      <w:bookmarkEnd w:id="36"/>
      <w:bookmarkEnd w:id="37"/>
    </w:p>
    <w:p>
      <w:pPr>
        <w:pStyle w:val="6"/>
        <w:ind w:left="855" w:hanging="855"/>
        <w:rPr>
          <w:rFonts w:asciiTheme="minorEastAsia" w:hAnsiTheme="minorEastAsia"/>
          <w:highlight w:val="none"/>
        </w:rPr>
      </w:pPr>
      <w:bookmarkStart w:id="38" w:name="_Toc8619"/>
      <w:bookmarkStart w:id="39" w:name="_Toc7418"/>
      <w:r>
        <w:rPr>
          <w:rFonts w:hint="eastAsia" w:ascii="宋体" w:hAnsi="宋体"/>
          <w:bCs w:val="0"/>
          <w:highlight w:val="none"/>
        </w:rPr>
        <w:t>云平台软件</w:t>
      </w:r>
      <w:r>
        <w:rPr>
          <w:rFonts w:ascii="宋体" w:hAnsi="宋体"/>
          <w:bCs w:val="0"/>
          <w:highlight w:val="none"/>
        </w:rPr>
        <w:t>指标及</w:t>
      </w:r>
      <w:r>
        <w:rPr>
          <w:rFonts w:hint="eastAsia" w:ascii="宋体" w:hAnsi="宋体"/>
          <w:bCs w:val="0"/>
          <w:highlight w:val="none"/>
        </w:rPr>
        <w:t>特性</w:t>
      </w:r>
      <w:r>
        <w:rPr>
          <w:rFonts w:ascii="宋体" w:hAnsi="宋体"/>
          <w:bCs w:val="0"/>
          <w:highlight w:val="none"/>
        </w:rPr>
        <w:t>要求</w:t>
      </w:r>
      <w:bookmarkEnd w:id="38"/>
      <w:bookmarkEnd w:id="39"/>
    </w:p>
    <w:p>
      <w:pPr>
        <w:pStyle w:val="7"/>
        <w:rPr>
          <w:highlight w:val="none"/>
        </w:rPr>
      </w:pPr>
      <w:r>
        <w:rPr>
          <w:highlight w:val="none"/>
        </w:rPr>
        <w:t>云平台能力</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▲提供私有云软件产品的原厂应该满足《信息技术 云计算 云服务运营通用要求》，并通过ITSS云计算服务能力标准认证，达到能力一级标准，提供</w:t>
      </w:r>
      <w:r>
        <w:rPr>
          <w:rFonts w:hint="eastAsia" w:ascii="宋体" w:hAnsi="宋体" w:eastAsia="宋体" w:cs="宋体"/>
          <w:szCs w:val="24"/>
          <w:highlight w:val="none"/>
          <w:lang w:val="en-US" w:eastAsia="zh-CN"/>
        </w:rPr>
        <w:t>原厂授权及</w:t>
      </w:r>
      <w:r>
        <w:rPr>
          <w:rFonts w:hint="eastAsia" w:ascii="宋体" w:hAnsi="宋体" w:eastAsia="宋体" w:cs="宋体"/>
          <w:szCs w:val="24"/>
          <w:highlight w:val="none"/>
        </w:rPr>
        <w:t>证明材料。</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▲需通过由工业和信息化部电子第五研究所组织的软件产品可信评估，并提供</w:t>
      </w:r>
      <w:r>
        <w:rPr>
          <w:rFonts w:hint="eastAsia" w:ascii="宋体" w:hAnsi="宋体" w:eastAsia="宋体" w:cs="宋体"/>
          <w:szCs w:val="24"/>
          <w:highlight w:val="none"/>
          <w:lang w:val="en-US" w:eastAsia="zh-CN"/>
        </w:rPr>
        <w:t>原厂授权及</w:t>
      </w:r>
      <w:r>
        <w:rPr>
          <w:rFonts w:hint="eastAsia" w:ascii="宋体" w:hAnsi="宋体" w:eastAsia="宋体" w:cs="宋体"/>
          <w:szCs w:val="24"/>
          <w:highlight w:val="none"/>
        </w:rPr>
        <w:t>证明材料。</w:t>
      </w:r>
    </w:p>
    <w:p>
      <w:pPr>
        <w:pStyle w:val="7"/>
        <w:rPr>
          <w:highlight w:val="none"/>
        </w:rPr>
      </w:pPr>
      <w:bookmarkStart w:id="40" w:name="_Toc226461980"/>
      <w:r>
        <w:rPr>
          <w:highlight w:val="none"/>
        </w:rPr>
        <w:t>计算服务</w:t>
      </w:r>
      <w:bookmarkEnd w:id="40"/>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可以通过管理平台来申请虚拟机资源，并且配置虚拟机规格，可以配置的规格包括但不限于CPU、内存、磁盘、网卡以及非root/administrator用户的用户名、密码）；用户可以通过管理平台对虚拟机执行开机、关机、重启、删除、远程登录、快照、克隆、重置密码、在线克隆（无需中断业务）、离线克隆、挂载光驱，也可以根据虚拟机名称、IP、ID、运行状态以及自定义标签等快速查找、过滤虚拟机。</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2）支持镜像服务能力。支持公共镜像、私有镜像以及共享镜像等多种方式。支持整机镜像。通过租户界面制作包含系统盘和数据盘的镜像，提供操作系统、预装的公共应用及用户的私有应用和用户业务数据；查看已经上传的所有镜像，包括镜像名称、镜像磁盘容量、OS类型、镜像实际大小等。</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（3）支持提供多种云主机类型和规格，包括通用型、GPU加速型、超高IO型、USB直通型、内存优化型等，方便用户根据不同业务场景选择不同云主机规格。</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4）通过预先配置好的策略自动调整资源；保证弹性扩容行为可控，扩容的虚拟机可用；支持按资源使用情况来配置伸缩策略；支持资源的定时和周期性的弹性策略；持弹性伸缩的管理，支持查看当前的虚拟机数量、历史的弹性情况日志以及伸缩组内资源的性能情况。</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（5）支持云主机在线规格变更CPU和内存，变更过程中无需停止正在运行的业务，变更完成后无需重启云主机即可生效。</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（6）支持提供多种云主机类型和规格，包括通用型、GPU加速型、超高IO型、USB直通型、内存优化型等，方便用户根据不同业务场景选择不同云主机规格</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7）支持云主机生命周期管理，用户申请云主机后，可以通过管理平台对云主机执行开机、关机、重启、删除、远程登录、磁盘快照、整机快照、重置密码、在线克隆（无需中断业务）、离线克隆、挂载光驱等，也可以根据云主机名称、私有IP、弹性IP、ID、运行状态以及自定义标签等快速查找、过滤云主机。</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8）为确保主机或者虚拟机故障时，主机组中有足够的剩余资源可供虚拟机HA使用，支持两种方式进行资源预留配置：1、支持配置主机组预留CPU和内存，保障HA的可用资源，2、支持配置专用故障切换主机，保障HA的可用资源。</w:t>
      </w:r>
    </w:p>
    <w:p>
      <w:pPr>
        <w:pStyle w:val="7"/>
        <w:rPr>
          <w:highlight w:val="none"/>
        </w:rPr>
      </w:pPr>
      <w:bookmarkStart w:id="41" w:name="_Toc226461981"/>
      <w:r>
        <w:rPr>
          <w:highlight w:val="none"/>
        </w:rPr>
        <w:t>网络服务</w:t>
      </w:r>
      <w:bookmarkEnd w:id="41"/>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支持用户自助创建私有、隔离的虚拟网络环境，每个虚拟网络环境包含一套虚拟出口路由器、若干虚拟防火墙以及子网网络等。用户可以独立配置自己的网络环境，包括自助创建子网（IPV4、IPV4&amp;IPV6）、指定子网网段/网关/掩码等参数，支持为子网中云服务器配置静态路由。</w:t>
      </w:r>
    </w:p>
    <w:p>
      <w:pPr>
        <w:spacing w:line="360" w:lineRule="auto"/>
        <w:ind w:firstLine="480" w:firstLineChars="200"/>
        <w:rPr>
          <w:rFonts w:ascii="宋体" w:hAnsi="宋体" w:cs="宋体"/>
          <w:b/>
          <w:bCs/>
          <w:szCs w:val="24"/>
          <w:highlight w:val="none"/>
        </w:rPr>
      </w:pPr>
      <w:r>
        <w:rPr>
          <w:rFonts w:hint="eastAsia" w:ascii="宋体" w:hAnsi="宋体" w:eastAsia="宋体" w:cs="宋体"/>
          <w:szCs w:val="24"/>
          <w:highlight w:val="none"/>
        </w:rPr>
        <w:t>（2）支持网络ACL(虚拟防火墙)服务，用户可以在管理界面上进行网络ACL的申请、修改、删除操作，支持对规则创建、修改、删除操作。用户可以在管理界面对规则进行禁用、启用等操作，无需管理员参与。</w:t>
      </w:r>
    </w:p>
    <w:p>
      <w:pPr>
        <w:pStyle w:val="7"/>
        <w:rPr>
          <w:highlight w:val="none"/>
        </w:rPr>
      </w:pPr>
      <w:bookmarkStart w:id="42" w:name="_Toc226461982"/>
      <w:r>
        <w:rPr>
          <w:highlight w:val="none"/>
        </w:rPr>
        <w:t>存储服务</w:t>
      </w:r>
      <w:bookmarkEnd w:id="42"/>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支持云硬盘服务。用户可以通过管理平台为虚拟机或者物理机申请磁盘，用户可以将申请到的磁盘空间分配给一台或者多台虚拟机/物理机使用，在操作系统支持的情况下，可以对已经在使用的云硬盘进行在线/离线扩容。</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 xml:space="preserve">（2）支持从各种数据源创建云硬盘（系统盘&amp;数据盘），包括从镜像创建云硬盘，从已有云硬盘创建云硬盘，从备份创建云硬盘，从快照创建云硬盘。 </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（3）支持磁盘QoS限速，能对指定磁盘类型的IO性能进行限制，包括磁盘的IOPS上限、带宽、IO优先级，防止某些业务抢占存储性能资源，保障所有业务性能均衡。</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（4）支持快照服务，用户可以通过管理平台为自己的虚拟机/虚拟机磁盘/裸机磁盘创建快照，单磁盘支持最多128个快照，支持自助完成快照恢复。</w:t>
      </w:r>
    </w:p>
    <w:p>
      <w:pPr>
        <w:pStyle w:val="7"/>
        <w:rPr>
          <w:highlight w:val="none"/>
        </w:rPr>
      </w:pPr>
      <w:bookmarkStart w:id="43" w:name="_Toc226461983"/>
      <w:r>
        <w:rPr>
          <w:highlight w:val="none"/>
        </w:rPr>
        <w:t>兼容性</w:t>
      </w:r>
      <w:bookmarkEnd w:id="43"/>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（1）云平台兼容多种类型的底层硬件架构，支持X86、华为鲲鹏、海光等CPU。</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w:t>
      </w:r>
      <w:r>
        <w:rPr>
          <w:rFonts w:ascii="宋体" w:hAnsi="宋体" w:eastAsia="宋体" w:cs="宋体"/>
          <w:szCs w:val="24"/>
          <w:highlight w:val="none"/>
        </w:rPr>
        <w:t>2</w:t>
      </w:r>
      <w:r>
        <w:rPr>
          <w:rFonts w:hint="eastAsia" w:ascii="宋体" w:hAnsi="宋体" w:eastAsia="宋体" w:cs="宋体"/>
          <w:szCs w:val="24"/>
          <w:highlight w:val="none"/>
        </w:rPr>
        <w:t>）为保障云平台自主可控，要求云主机、容器服务支持昇腾等国产AI智能芯片。</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w:t>
      </w:r>
      <w:r>
        <w:rPr>
          <w:rFonts w:ascii="宋体" w:hAnsi="宋体" w:eastAsia="宋体" w:cs="宋体"/>
          <w:szCs w:val="24"/>
          <w:highlight w:val="none"/>
        </w:rPr>
        <w:t>3</w:t>
      </w:r>
      <w:r>
        <w:rPr>
          <w:rFonts w:hint="eastAsia" w:ascii="宋体" w:hAnsi="宋体" w:eastAsia="宋体" w:cs="宋体"/>
          <w:szCs w:val="24"/>
          <w:highlight w:val="none"/>
        </w:rPr>
        <w:t>）操作系统兼容性：云主机支持丰富的国产操作系统类型，至少包括中标麒麟、银河麒麟、统信OS等国产操作系统。</w:t>
      </w:r>
    </w:p>
    <w:p>
      <w:pPr>
        <w:pStyle w:val="7"/>
        <w:rPr>
          <w:highlight w:val="none"/>
        </w:rPr>
      </w:pPr>
      <w:bookmarkStart w:id="44" w:name="_Toc226461984"/>
      <w:r>
        <w:rPr>
          <w:highlight w:val="none"/>
        </w:rPr>
        <w:t>运营管理</w:t>
      </w:r>
      <w:bookmarkEnd w:id="44"/>
    </w:p>
    <w:p>
      <w:pPr>
        <w:numPr>
          <w:ilvl w:val="0"/>
          <w:numId w:val="5"/>
        </w:num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支持通过计量计价可以统计各部门的资源使用情况、费用使用。</w:t>
      </w:r>
    </w:p>
    <w:p>
      <w:pPr>
        <w:numPr>
          <w:ilvl w:val="0"/>
          <w:numId w:val="5"/>
        </w:num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提供虚拟数据中心（VDC）管理能力，并支持在VDC下再划分多级子VDC（可以支持到5级VDC），以匹配业主的组织/租户体系进行管理。</w:t>
      </w:r>
    </w:p>
    <w:p>
      <w:pPr>
        <w:numPr>
          <w:ilvl w:val="0"/>
          <w:numId w:val="5"/>
        </w:num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支持自定义服务目录，包括自定义云主机、云硬盘、网络等基础云服务、自定义组合的应用服务，满足客户灵活的云服务扩展诉求。提供截图证明</w:t>
      </w:r>
    </w:p>
    <w:p>
      <w:pPr>
        <w:numPr>
          <w:ilvl w:val="0"/>
          <w:numId w:val="5"/>
        </w:num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支持用户可申请服务的白名单能力，提供截图证明。</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（5）云管平台支持跨租户代维管理，支持跨一级VDC代维，代维账号可以进入被代维的多个一级VDC进行代维。</w:t>
      </w:r>
    </w:p>
    <w:p>
      <w:pPr>
        <w:spacing w:line="360" w:lineRule="auto"/>
        <w:ind w:firstLine="480" w:firstLineChars="200"/>
        <w:rPr>
          <w:rFonts w:hint="default" w:ascii="宋体" w:hAnsi="宋体" w:eastAsia="宋体" w:cs="宋体"/>
          <w:szCs w:val="24"/>
          <w:highlight w:val="none"/>
          <w:lang w:val="en-US" w:eastAsia="zh-CN"/>
        </w:rPr>
      </w:pPr>
      <w:r>
        <w:rPr>
          <w:rFonts w:hint="eastAsia" w:ascii="宋体" w:hAnsi="宋体" w:eastAsia="宋体" w:cs="宋体"/>
          <w:szCs w:val="24"/>
          <w:highlight w:val="none"/>
        </w:rPr>
        <w:t>（6）▲产品需具备国家颁发的软件著作权证书，提供云数据中心运营运维软件著作权登记证书。</w:t>
      </w:r>
      <w:r>
        <w:rPr>
          <w:rFonts w:hint="eastAsia" w:ascii="宋体" w:hAnsi="宋体" w:eastAsia="宋体" w:cs="宋体"/>
          <w:szCs w:val="24"/>
          <w:highlight w:val="none"/>
          <w:lang w:val="en-US" w:eastAsia="zh-CN"/>
        </w:rPr>
        <w:t>需提供原厂授权文件。</w:t>
      </w:r>
    </w:p>
    <w:p>
      <w:pPr>
        <w:pStyle w:val="7"/>
        <w:rPr>
          <w:highlight w:val="none"/>
        </w:rPr>
      </w:pPr>
      <w:bookmarkStart w:id="45" w:name="_Toc226461985"/>
      <w:r>
        <w:rPr>
          <w:highlight w:val="none"/>
        </w:rPr>
        <w:t>运维管理</w:t>
      </w:r>
      <w:bookmarkEnd w:id="45"/>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云平台具备统一运维管理能力，提供集中监控、资源拓扑、日常运维、运维分析、系统管理等能力，实现物理设备到应用的全方位监控，收集并展示运维对象的告警、日志等信息，同时提供报表、大屏、自动化以及高级运维数据分析能力，简化日常运维工作，提升运维效率。</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（2）支持对各区域资源的告警、性能指标等进行全方位监控，及时了解资源运行状态，当发生告警时快速通过页面、短信、邮件等方式通知相关人员，对故障进行定位定界，提高运维效率。</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3）提供大屏展示能力。支持用户定义多种不同的大屏展示内容。支持容量、性能、资源统计、告警等对象的自定义大屏展示，且可以定义每个内容的不同呈现形式（例如柱状图、饼图、仪表盘等等）。提供截图证明。</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（4）支持健康繁忙度评估，从应用视角量化评估业务健康、繁忙状态。支持根据业务实际情况设置关键节点，可调整关键节点对系统健康繁忙度影响权重。提供功能截图证明材料。</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（5）提供统一运行日志中心，支持按需下载各云服务管理面和租户面运行日志，辅助故障定位。通过查看运行日志，可以及时发现影响系统运行状态的因素，以采取相应措施，保证系统的正常运行</w:t>
      </w:r>
    </w:p>
    <w:p>
      <w:pPr>
        <w:pStyle w:val="6"/>
        <w:ind w:left="855" w:hanging="855"/>
        <w:rPr>
          <w:rFonts w:asciiTheme="minorEastAsia" w:hAnsiTheme="minorEastAsia"/>
          <w:highlight w:val="none"/>
        </w:rPr>
      </w:pPr>
      <w:bookmarkStart w:id="46" w:name="_Toc17804"/>
      <w:bookmarkStart w:id="47" w:name="_Toc5523"/>
      <w:r>
        <w:rPr>
          <w:rFonts w:hint="eastAsia" w:ascii="宋体" w:hAnsi="宋体"/>
          <w:bCs w:val="0"/>
          <w:highlight w:val="none"/>
        </w:rPr>
        <w:t>业务迁移服务</w:t>
      </w:r>
      <w:r>
        <w:rPr>
          <w:rFonts w:ascii="宋体" w:hAnsi="宋体"/>
          <w:bCs w:val="0"/>
          <w:highlight w:val="none"/>
        </w:rPr>
        <w:t>要求</w:t>
      </w:r>
      <w:bookmarkEnd w:id="46"/>
      <w:bookmarkEnd w:id="47"/>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分批次推进现有业务向新平台迁移，每批次迁移均具备完整回退方案（含回退触发条件、操作流程、责任分工），出现异常可快速回退至旧平台，最大限度保障业务连续性，降低迁移风险。</w:t>
      </w:r>
    </w:p>
    <w:p>
      <w:pPr>
        <w:pStyle w:val="5"/>
        <w:ind w:left="855" w:hanging="855"/>
        <w:rPr>
          <w:highlight w:val="none"/>
        </w:rPr>
      </w:pPr>
      <w:bookmarkStart w:id="48" w:name="_Toc22361"/>
      <w:bookmarkStart w:id="49" w:name="_Toc6255"/>
      <w:r>
        <w:rPr>
          <w:rFonts w:hint="eastAsia"/>
          <w:highlight w:val="none"/>
        </w:rPr>
        <w:t>原有云平台HCS 6.5.1软件维保服务要求</w:t>
      </w:r>
      <w:bookmarkEnd w:id="48"/>
      <w:bookmarkEnd w:id="49"/>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提供原有云平台FusionSphere 6.5.1 软件订阅授权及专业维保服务。授权周期由合同签订起至2027年6月30日。</w:t>
      </w:r>
    </w:p>
    <w:p>
      <w:pPr>
        <w:pStyle w:val="5"/>
        <w:ind w:left="855" w:hanging="855"/>
        <w:rPr>
          <w:highlight w:val="none"/>
        </w:rPr>
      </w:pPr>
      <w:bookmarkStart w:id="50" w:name="_Toc29015"/>
      <w:bookmarkStart w:id="51" w:name="_Toc13715"/>
      <w:r>
        <w:rPr>
          <w:rFonts w:hint="eastAsia" w:ascii="宋体" w:hAnsi="宋体" w:cs="宋体"/>
          <w:highlight w:val="none"/>
        </w:rPr>
        <w:t>配套硬件搬迁服务要求</w:t>
      </w:r>
      <w:bookmarkEnd w:id="50"/>
      <w:bookmarkEnd w:id="51"/>
    </w:p>
    <w:p>
      <w:pPr>
        <w:spacing w:line="360" w:lineRule="auto"/>
        <w:ind w:firstLine="480" w:firstLineChars="200"/>
        <w:rPr>
          <w:rFonts w:ascii="宋体" w:hAnsi="宋体" w:cs="宋体"/>
          <w:szCs w:val="24"/>
          <w:highlight w:val="none"/>
        </w:rPr>
      </w:pPr>
      <w:r>
        <w:rPr>
          <w:rFonts w:hint="eastAsia" w:ascii="宋体" w:hAnsi="宋体" w:cs="宋体"/>
          <w:szCs w:val="24"/>
          <w:highlight w:val="none"/>
        </w:rPr>
        <w:t>制定搬迁服务方案，分批次将原有云平台设备（共计111台服务器，6套存储，11台交换机）搬迁至客户指定新机房并完成设备上架联调，完成新云平台部署搭建。全流程包括搬迁前资产清点备份、规范停机下架、减震运输；抵达新机房后开展设备就位安装、综合布线、线缆统一标签制作、全量资产梳理、上架通电及新云平台功能核验，全面保障搬迁后硬件设备稳定运行，业务正常恢复。</w:t>
      </w:r>
    </w:p>
    <w:p>
      <w:pPr>
        <w:pStyle w:val="4"/>
        <w:ind w:left="855" w:hanging="855"/>
        <w:rPr>
          <w:highlight w:val="none"/>
        </w:rPr>
      </w:pPr>
      <w:bookmarkStart w:id="52" w:name="_Toc7709"/>
      <w:bookmarkStart w:id="53" w:name="_Toc27112"/>
      <w:r>
        <w:rPr>
          <w:rFonts w:hint="eastAsia"/>
          <w:highlight w:val="none"/>
        </w:rPr>
        <w:t>建设进度要求</w:t>
      </w:r>
      <w:bookmarkEnd w:id="52"/>
      <w:bookmarkEnd w:id="53"/>
    </w:p>
    <w:p>
      <w:pPr>
        <w:spacing w:line="360" w:lineRule="auto"/>
        <w:ind w:firstLine="480" w:firstLineChars="200"/>
        <w:rPr>
          <w:rFonts w:hAnsi="宋体"/>
          <w:color w:val="000000"/>
          <w:szCs w:val="24"/>
          <w:highlight w:val="none"/>
        </w:rPr>
      </w:pPr>
      <w:r>
        <w:rPr>
          <w:rFonts w:hint="eastAsia" w:hAnsi="宋体"/>
          <w:color w:val="000000"/>
          <w:szCs w:val="24"/>
          <w:highlight w:val="none"/>
        </w:rPr>
        <w:t>实施阶段：按招标人要求，3个月内完成项目建设相关工作。</w:t>
      </w:r>
    </w:p>
    <w:p>
      <w:pPr>
        <w:spacing w:line="360" w:lineRule="auto"/>
        <w:ind w:firstLine="480" w:firstLineChars="200"/>
        <w:rPr>
          <w:rFonts w:hAnsi="宋体"/>
          <w:color w:val="000000"/>
          <w:szCs w:val="24"/>
          <w:highlight w:val="none"/>
        </w:rPr>
      </w:pPr>
      <w:r>
        <w:rPr>
          <w:rFonts w:hint="eastAsia" w:hAnsi="宋体"/>
          <w:color w:val="000000"/>
          <w:szCs w:val="24"/>
          <w:highlight w:val="none"/>
        </w:rPr>
        <w:t>试运行阶段：试运行期1个月，试运行期无重大故障进行项目整体验收。</w:t>
      </w:r>
    </w:p>
    <w:p>
      <w:pPr>
        <w:pStyle w:val="4"/>
        <w:ind w:left="855" w:hanging="855"/>
        <w:rPr>
          <w:highlight w:val="none"/>
        </w:rPr>
      </w:pPr>
      <w:bookmarkStart w:id="54" w:name="_Toc11451"/>
      <w:bookmarkStart w:id="55" w:name="_Toc29401"/>
      <w:r>
        <w:rPr>
          <w:rFonts w:hint="eastAsia"/>
          <w:highlight w:val="none"/>
        </w:rPr>
        <w:t>人员配置要求</w:t>
      </w:r>
      <w:bookmarkEnd w:id="54"/>
      <w:bookmarkEnd w:id="55"/>
    </w:p>
    <w:p>
      <w:pPr>
        <w:spacing w:line="360" w:lineRule="auto"/>
        <w:ind w:firstLine="480" w:firstLineChars="200"/>
        <w:rPr>
          <w:rFonts w:hAnsi="宋体"/>
          <w:color w:val="000000"/>
          <w:szCs w:val="24"/>
          <w:highlight w:val="none"/>
        </w:rPr>
      </w:pPr>
      <w:r>
        <w:rPr>
          <w:rFonts w:hint="eastAsia" w:hAnsi="宋体"/>
          <w:color w:val="000000"/>
          <w:szCs w:val="24"/>
          <w:highlight w:val="none"/>
        </w:rPr>
        <w:t>投标方</w:t>
      </w:r>
      <w:r>
        <w:rPr>
          <w:rFonts w:hint="eastAsia" w:hAnsi="宋体"/>
          <w:color w:val="000000"/>
          <w:szCs w:val="24"/>
          <w:highlight w:val="none"/>
          <w:lang w:val="en-US" w:eastAsia="zh-CN"/>
        </w:rPr>
        <w:t>技术总监</w:t>
      </w:r>
      <w:r>
        <w:rPr>
          <w:rFonts w:hint="eastAsia" w:hAnsi="宋体"/>
          <w:color w:val="000000"/>
          <w:szCs w:val="24"/>
          <w:highlight w:val="none"/>
        </w:rPr>
        <w:t>需具备类似相关项目工作经验2年以上，具备PMP证书和</w:t>
      </w:r>
      <w:r>
        <w:rPr>
          <w:rFonts w:hint="eastAsia" w:hAnsi="宋体"/>
          <w:color w:val="000000"/>
          <w:szCs w:val="24"/>
          <w:highlight w:val="none"/>
          <w:lang w:val="en-US" w:eastAsia="zh-CN"/>
        </w:rPr>
        <w:t>信息系统项目管理师</w:t>
      </w:r>
      <w:r>
        <w:rPr>
          <w:rFonts w:hint="eastAsia" w:hAnsi="宋体"/>
          <w:color w:val="000000"/>
          <w:szCs w:val="24"/>
          <w:highlight w:val="none"/>
        </w:rPr>
        <w:t>资格证书。</w:t>
      </w:r>
    </w:p>
    <w:p>
      <w:pPr>
        <w:spacing w:line="360" w:lineRule="auto"/>
        <w:ind w:firstLine="480" w:firstLineChars="200"/>
        <w:rPr>
          <w:rFonts w:hAnsi="宋体"/>
          <w:color w:val="000000"/>
          <w:szCs w:val="24"/>
          <w:highlight w:val="none"/>
        </w:rPr>
      </w:pPr>
      <w:r>
        <w:rPr>
          <w:rFonts w:hint="eastAsia" w:hAnsi="宋体"/>
          <w:color w:val="000000"/>
          <w:szCs w:val="24"/>
          <w:highlight w:val="none"/>
        </w:rPr>
        <w:t>团队成员</w:t>
      </w:r>
      <w:r>
        <w:rPr>
          <w:rFonts w:hint="eastAsia" w:hAnsi="宋体"/>
          <w:color w:val="000000"/>
          <w:szCs w:val="24"/>
          <w:highlight w:val="none"/>
          <w:lang w:val="en-US" w:eastAsia="zh-CN"/>
        </w:rPr>
        <w:t>数量不少于8人，</w:t>
      </w:r>
      <w:r>
        <w:rPr>
          <w:rFonts w:hint="eastAsia" w:hAnsi="宋体"/>
          <w:color w:val="000000"/>
          <w:szCs w:val="24"/>
          <w:highlight w:val="none"/>
        </w:rPr>
        <w:t>具备类相关项目维护工作经验2年以上（含2年）。</w:t>
      </w:r>
    </w:p>
    <w:p>
      <w:pPr>
        <w:spacing w:line="360" w:lineRule="auto"/>
        <w:ind w:firstLine="480" w:firstLineChars="200"/>
        <w:rPr>
          <w:rFonts w:ascii="宋体" w:hAnsi="宋体" w:cs="宋体"/>
          <w:szCs w:val="24"/>
          <w:highlight w:val="none"/>
        </w:rPr>
      </w:pPr>
      <w:r>
        <w:rPr>
          <w:rFonts w:hint="eastAsia" w:ascii="宋体" w:hAnsi="宋体" w:cs="宋体"/>
          <w:szCs w:val="24"/>
          <w:highlight w:val="none"/>
        </w:rPr>
        <w:t>签订合同后中标单位不得随意更换本项目的</w:t>
      </w:r>
      <w:r>
        <w:rPr>
          <w:rFonts w:hint="eastAsia" w:ascii="宋体" w:hAnsi="宋体" w:cs="宋体"/>
          <w:szCs w:val="24"/>
          <w:highlight w:val="none"/>
          <w:lang w:val="en-US" w:eastAsia="zh-CN"/>
        </w:rPr>
        <w:t>技术总监、</w:t>
      </w:r>
      <w:r>
        <w:rPr>
          <w:rFonts w:hint="eastAsia" w:ascii="宋体" w:hAnsi="宋体" w:cs="宋体"/>
          <w:szCs w:val="24"/>
          <w:highlight w:val="none"/>
        </w:rPr>
        <w:t>项目经理及主要技术负责人，如确需更换，在征得招标单位同意后方可更换，如未经同意私自更换项目经理或主要技术负责人，招标单位有权终止合同，中标单位承担因此造成的经济损失及相关责任</w:t>
      </w:r>
      <w:r>
        <w:rPr>
          <w:rFonts w:ascii="宋体" w:hAnsi="宋体" w:cs="宋体"/>
          <w:szCs w:val="24"/>
          <w:highlight w:val="none"/>
        </w:rPr>
        <w:t>。</w:t>
      </w:r>
    </w:p>
    <w:p>
      <w:pPr>
        <w:pStyle w:val="4"/>
        <w:ind w:left="855" w:hanging="855"/>
        <w:rPr>
          <w:highlight w:val="none"/>
        </w:rPr>
      </w:pPr>
      <w:bookmarkStart w:id="56" w:name="_Toc19116"/>
      <w:bookmarkStart w:id="57" w:name="_Toc29309"/>
      <w:r>
        <w:rPr>
          <w:rFonts w:hint="eastAsia"/>
          <w:highlight w:val="none"/>
        </w:rPr>
        <w:t>升级实施要求</w:t>
      </w:r>
      <w:bookmarkEnd w:id="56"/>
      <w:bookmarkEnd w:id="57"/>
    </w:p>
    <w:p>
      <w:pPr>
        <w:pStyle w:val="5"/>
        <w:ind w:left="855" w:hanging="855"/>
        <w:rPr>
          <w:highlight w:val="none"/>
        </w:rPr>
      </w:pPr>
      <w:bookmarkStart w:id="58" w:name="_Toc31508"/>
      <w:bookmarkStart w:id="59" w:name="_Toc32244"/>
      <w:r>
        <w:rPr>
          <w:rFonts w:hint="eastAsia"/>
          <w:highlight w:val="none"/>
        </w:rPr>
        <w:t>升级实施原则</w:t>
      </w:r>
      <w:bookmarkEnd w:id="58"/>
      <w:bookmarkEnd w:id="59"/>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(1)平滑过渡原则：新旧平台并行，业务分批迁移，无大规模中断。</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(2)最小影响原则：割接操作安排在 22:00 - 次日 6:00 或周末。</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(3)安全可控原则：所有操作可记录、可追溯、可回退。</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(4)利旧增效原则：最大限度复用现有设备，降低投资。</w:t>
      </w:r>
    </w:p>
    <w:p>
      <w:pPr>
        <w:spacing w:line="360" w:lineRule="auto"/>
        <w:ind w:firstLine="480" w:firstLineChars="200"/>
        <w:rPr>
          <w:rFonts w:ascii="宋体" w:hAnsi="宋体" w:eastAsia="宋体" w:cs="宋体"/>
          <w:szCs w:val="24"/>
          <w:highlight w:val="none"/>
        </w:rPr>
      </w:pPr>
      <w:r>
        <w:rPr>
          <w:rFonts w:hint="eastAsia" w:ascii="宋体" w:hAnsi="宋体" w:eastAsia="宋体" w:cs="宋体"/>
          <w:szCs w:val="24"/>
          <w:highlight w:val="none"/>
        </w:rPr>
        <w:t>(5)保密合规原则：严格遵守公安内网安全与保密规定。</w:t>
      </w:r>
    </w:p>
    <w:p>
      <w:pPr>
        <w:pStyle w:val="4"/>
        <w:ind w:left="855" w:hanging="855"/>
        <w:rPr>
          <w:rFonts w:asciiTheme="minorEastAsia" w:hAnsiTheme="minorEastAsia"/>
          <w:color w:val="000000"/>
          <w:highlight w:val="none"/>
        </w:rPr>
      </w:pPr>
      <w:bookmarkStart w:id="60" w:name="_Toc15303"/>
      <w:bookmarkStart w:id="61" w:name="_Toc1964"/>
      <w:r>
        <w:rPr>
          <w:rFonts w:hint="eastAsia" w:ascii="宋体" w:hAnsi="宋体" w:cs="宋体"/>
          <w:highlight w:val="none"/>
        </w:rPr>
        <w:t>售后服务要求</w:t>
      </w:r>
    </w:p>
    <w:p>
      <w:pPr>
        <w:spacing w:before="156" w:beforeLines="50" w:after="156" w:afterLines="50" w:line="360" w:lineRule="auto"/>
        <w:ind w:firstLine="440" w:firstLineChars="200"/>
        <w:rPr>
          <w:rFonts w:hint="eastAsia" w:ascii="宋体" w:hAnsi="宋体" w:eastAsia="宋体" w:cs="宋体"/>
          <w:color w:val="000000"/>
          <w:kern w:val="0"/>
          <w:sz w:val="22"/>
          <w:highlight w:val="none"/>
          <w:lang w:eastAsia="zh-CN"/>
        </w:rPr>
      </w:pPr>
      <w:r>
        <w:rPr>
          <w:rFonts w:hint="eastAsia" w:ascii="宋体" w:hAnsi="宋体" w:eastAsia="宋体" w:cs="宋体"/>
          <w:color w:val="000000"/>
          <w:kern w:val="0"/>
          <w:sz w:val="22"/>
          <w:highlight w:val="none"/>
          <w:lang w:val="en-US" w:eastAsia="zh-CN"/>
        </w:rPr>
        <w:t>需具备</w:t>
      </w:r>
      <w:r>
        <w:rPr>
          <w:rFonts w:hint="eastAsia" w:ascii="宋体" w:hAnsi="宋体" w:eastAsia="宋体" w:cs="宋体"/>
          <w:color w:val="000000"/>
          <w:kern w:val="0"/>
          <w:sz w:val="22"/>
          <w:highlight w:val="none"/>
        </w:rPr>
        <w:t>完善的售后服务体系。包含售后服务机构和人员、售后服务内容和流程、售后服务响应时间和质量、售后服务方式和特色</w:t>
      </w:r>
      <w:r>
        <w:rPr>
          <w:rFonts w:hint="eastAsia" w:ascii="宋体" w:hAnsi="宋体" w:eastAsia="宋体" w:cs="宋体"/>
          <w:color w:val="000000"/>
          <w:kern w:val="0"/>
          <w:sz w:val="22"/>
          <w:highlight w:val="none"/>
          <w:lang w:eastAsia="zh-CN"/>
        </w:rPr>
        <w:t>。</w:t>
      </w:r>
    </w:p>
    <w:p>
      <w:pPr>
        <w:spacing w:before="156" w:beforeLines="50" w:after="156" w:afterLines="50" w:line="360" w:lineRule="auto"/>
        <w:ind w:firstLine="440" w:firstLineChars="200"/>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本项目针对原有存量云平台、新建云平台建设完成进入运维期后，能获得专属、配套、可落地的原厂售后服务保障，全面覆盖平台运维、技术支撑、资源授权、培训赋能等服务内容，保障新旧云平台平稳过渡、稳定运行、业务持续可用，具体服务要求如下：</w:t>
      </w:r>
    </w:p>
    <w:p>
      <w:pPr>
        <w:pStyle w:val="36"/>
        <w:numPr>
          <w:ilvl w:val="0"/>
          <w:numId w:val="6"/>
        </w:numPr>
        <w:spacing w:before="156" w:beforeLines="50" w:after="156" w:afterLines="50" w:line="360" w:lineRule="auto"/>
        <w:ind w:firstLineChars="0"/>
        <w:rPr>
          <w:rFonts w:hint="eastAsia" w:ascii="宋体" w:hAnsi="宋体" w:eastAsia="宋体" w:cs="宋体"/>
          <w:color w:val="000000"/>
          <w:kern w:val="0"/>
          <w:sz w:val="22"/>
          <w:highlight w:val="none"/>
        </w:rPr>
      </w:pPr>
      <w:r>
        <w:rPr>
          <w:rFonts w:hint="eastAsia" w:ascii="宋体" w:hAnsi="宋体" w:eastAsia="宋体" w:cs="宋体"/>
          <w:color w:val="000000"/>
          <w:kern w:val="0"/>
          <w:sz w:val="22"/>
          <w:szCs w:val="24"/>
          <w:highlight w:val="none"/>
          <w:lang w:val="en-US" w:eastAsia="zh-CN" w:bidi="ar"/>
        </w:rPr>
        <w:t>免费服务期内提供 7×24 小时</w:t>
      </w:r>
      <w:r>
        <w:rPr>
          <w:rFonts w:hint="eastAsia" w:ascii="宋体" w:hAnsi="宋体" w:eastAsia="宋体" w:cs="宋体"/>
          <w:color w:val="000000"/>
          <w:kern w:val="0"/>
          <w:sz w:val="22"/>
          <w:highlight w:val="none"/>
        </w:rPr>
        <w:t>原厂专属远程技术支撑服务</w:t>
      </w:r>
      <w:r>
        <w:rPr>
          <w:rFonts w:hint="eastAsia" w:ascii="宋体" w:hAnsi="宋体" w:eastAsia="宋体" w:cs="宋体"/>
          <w:color w:val="000000"/>
          <w:kern w:val="0"/>
          <w:sz w:val="22"/>
          <w:szCs w:val="24"/>
          <w:highlight w:val="none"/>
          <w:lang w:val="en-US" w:eastAsia="zh-CN" w:bidi="ar"/>
        </w:rPr>
        <w:t>；</w:t>
      </w:r>
    </w:p>
    <w:p>
      <w:pPr>
        <w:pStyle w:val="36"/>
        <w:numPr>
          <w:ilvl w:val="0"/>
          <w:numId w:val="6"/>
        </w:numPr>
        <w:spacing w:before="156" w:beforeLines="50" w:after="156" w:afterLines="50" w:line="360" w:lineRule="auto"/>
        <w:ind w:firstLineChars="0"/>
        <w:rPr>
          <w:rFonts w:hint="eastAsia" w:asciiTheme="minorEastAsia" w:hAnsiTheme="minorEastAsia"/>
          <w:highlight w:val="none"/>
        </w:rPr>
      </w:pPr>
      <w:r>
        <w:rPr>
          <w:rFonts w:hint="eastAsia" w:ascii="宋体" w:hAnsi="宋体" w:eastAsia="宋体" w:cs="宋体"/>
          <w:color w:val="000000"/>
          <w:kern w:val="0"/>
          <w:sz w:val="22"/>
          <w:highlight w:val="none"/>
          <w:lang w:val="en-US" w:eastAsia="zh-CN"/>
        </w:rPr>
        <w:t>具备</w:t>
      </w:r>
      <w:r>
        <w:rPr>
          <w:rFonts w:hint="eastAsia" w:ascii="宋体" w:hAnsi="宋体" w:eastAsia="宋体" w:cs="宋体"/>
          <w:color w:val="000000"/>
          <w:kern w:val="0"/>
          <w:sz w:val="22"/>
          <w:highlight w:val="none"/>
        </w:rPr>
        <w:t>配套完整在线技术支持资源（如官方技术论坛、多媒体线上培训资源）。</w:t>
      </w:r>
    </w:p>
    <w:p>
      <w:pPr>
        <w:pStyle w:val="4"/>
        <w:ind w:left="855" w:hanging="855"/>
        <w:rPr>
          <w:highlight w:val="none"/>
        </w:rPr>
      </w:pPr>
      <w:r>
        <w:rPr>
          <w:rFonts w:hint="eastAsia"/>
          <w:highlight w:val="none"/>
        </w:rPr>
        <w:t>项目建设清单</w:t>
      </w:r>
      <w:bookmarkEnd w:id="60"/>
      <w:bookmarkEnd w:id="61"/>
    </w:p>
    <w:p>
      <w:pPr>
        <w:rPr>
          <w:highlight w:val="none"/>
        </w:rPr>
      </w:pPr>
    </w:p>
    <w:p>
      <w:pPr>
        <w:rPr>
          <w:highlight w:val="none"/>
        </w:rPr>
      </w:pPr>
    </w:p>
    <w:tbl>
      <w:tblPr>
        <w:tblStyle w:val="21"/>
        <w:tblW w:w="4999" w:type="pct"/>
        <w:tblInd w:w="0" w:type="dxa"/>
        <w:tblLayout w:type="autofit"/>
        <w:tblCellMar>
          <w:top w:w="0" w:type="dxa"/>
          <w:left w:w="108" w:type="dxa"/>
          <w:bottom w:w="0" w:type="dxa"/>
          <w:right w:w="108" w:type="dxa"/>
        </w:tblCellMar>
      </w:tblPr>
      <w:tblGrid>
        <w:gridCol w:w="1379"/>
        <w:gridCol w:w="2127"/>
        <w:gridCol w:w="5014"/>
      </w:tblGrid>
      <w:tr>
        <w:tblPrEx>
          <w:tblCellMar>
            <w:top w:w="0" w:type="dxa"/>
            <w:left w:w="108" w:type="dxa"/>
            <w:bottom w:w="0" w:type="dxa"/>
            <w:right w:w="108" w:type="dxa"/>
          </w:tblCellMar>
        </w:tblPrEx>
        <w:trPr>
          <w:trHeight w:val="639" w:hRule="atLeast"/>
        </w:trPr>
        <w:tc>
          <w:tcPr>
            <w:tcW w:w="809" w:type="pct"/>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ascii="Times New Roman" w:hAnsi="Times New Roman" w:eastAsia="宋体" w:cs="Times New Roman"/>
                <w:color w:val="000000"/>
                <w:szCs w:val="24"/>
                <w:highlight w:val="none"/>
              </w:rPr>
            </w:pPr>
            <w:r>
              <w:rPr>
                <w:rFonts w:ascii="Times New Roman" w:hAnsi="Times New Roman" w:eastAsia="宋体" w:cs="Times New Roman"/>
                <w:color w:val="000000"/>
                <w:kern w:val="0"/>
                <w:szCs w:val="24"/>
                <w:highlight w:val="none"/>
                <w:lang w:bidi="ar"/>
              </w:rPr>
              <w:t>序号</w:t>
            </w:r>
          </w:p>
        </w:tc>
        <w:tc>
          <w:tcPr>
            <w:tcW w:w="1248" w:type="pct"/>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ascii="Times New Roman" w:hAnsi="Times New Roman" w:eastAsia="宋体" w:cs="Times New Roman"/>
                <w:color w:val="000000"/>
                <w:szCs w:val="24"/>
                <w:highlight w:val="none"/>
              </w:rPr>
            </w:pPr>
            <w:r>
              <w:rPr>
                <w:rFonts w:ascii="Times New Roman" w:hAnsi="Times New Roman" w:eastAsia="宋体" w:cs="Times New Roman"/>
                <w:color w:val="000000"/>
                <w:kern w:val="0"/>
                <w:szCs w:val="24"/>
                <w:highlight w:val="none"/>
                <w:lang w:bidi="ar"/>
              </w:rPr>
              <w:t>建设项</w:t>
            </w:r>
          </w:p>
        </w:tc>
        <w:tc>
          <w:tcPr>
            <w:tcW w:w="2941" w:type="pct"/>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ascii="Times New Roman" w:hAnsi="Times New Roman" w:eastAsia="宋体" w:cs="Times New Roman"/>
                <w:color w:val="000000"/>
                <w:szCs w:val="24"/>
                <w:highlight w:val="none"/>
              </w:rPr>
            </w:pPr>
            <w:r>
              <w:rPr>
                <w:rFonts w:ascii="Times New Roman" w:hAnsi="Times New Roman" w:eastAsia="宋体" w:cs="Times New Roman"/>
                <w:color w:val="000000"/>
                <w:kern w:val="0"/>
                <w:szCs w:val="24"/>
                <w:highlight w:val="none"/>
                <w:lang w:bidi="ar"/>
              </w:rPr>
              <w:t>建设内容</w:t>
            </w:r>
          </w:p>
        </w:tc>
      </w:tr>
      <w:tr>
        <w:tblPrEx>
          <w:tblCellMar>
            <w:top w:w="0" w:type="dxa"/>
            <w:left w:w="108" w:type="dxa"/>
            <w:bottom w:w="0" w:type="dxa"/>
            <w:right w:w="108" w:type="dxa"/>
          </w:tblCellMar>
        </w:tblPrEx>
        <w:trPr>
          <w:trHeight w:val="990" w:hRule="atLeast"/>
        </w:trPr>
        <w:tc>
          <w:tcPr>
            <w:tcW w:w="809"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center"/>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1</w:t>
            </w:r>
          </w:p>
        </w:tc>
        <w:tc>
          <w:tcPr>
            <w:tcW w:w="1248"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云基础规划设计与实施服务</w:t>
            </w:r>
          </w:p>
        </w:tc>
        <w:tc>
          <w:tcPr>
            <w:tcW w:w="2941"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提供新建云平台基础规划设计与实施服务</w:t>
            </w:r>
          </w:p>
        </w:tc>
      </w:tr>
      <w:tr>
        <w:tblPrEx>
          <w:tblCellMar>
            <w:top w:w="0" w:type="dxa"/>
            <w:left w:w="108" w:type="dxa"/>
            <w:bottom w:w="0" w:type="dxa"/>
            <w:right w:w="108" w:type="dxa"/>
          </w:tblCellMar>
        </w:tblPrEx>
        <w:trPr>
          <w:trHeight w:val="1294" w:hRule="atLeast"/>
        </w:trPr>
        <w:tc>
          <w:tcPr>
            <w:tcW w:w="809"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center"/>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2</w:t>
            </w:r>
          </w:p>
        </w:tc>
        <w:tc>
          <w:tcPr>
            <w:tcW w:w="1248"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云平台软件许可</w:t>
            </w:r>
          </w:p>
        </w:tc>
        <w:tc>
          <w:tcPr>
            <w:tcW w:w="2941"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提供云IAAS软件、硬件管理平台、云管软件许可及3年订阅服务</w:t>
            </w:r>
          </w:p>
        </w:tc>
      </w:tr>
      <w:tr>
        <w:tblPrEx>
          <w:tblCellMar>
            <w:top w:w="0" w:type="dxa"/>
            <w:left w:w="108" w:type="dxa"/>
            <w:bottom w:w="0" w:type="dxa"/>
            <w:right w:w="108" w:type="dxa"/>
          </w:tblCellMar>
        </w:tblPrEx>
        <w:trPr>
          <w:trHeight w:val="1525" w:hRule="atLeast"/>
        </w:trPr>
        <w:tc>
          <w:tcPr>
            <w:tcW w:w="809"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center"/>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3</w:t>
            </w:r>
          </w:p>
        </w:tc>
        <w:tc>
          <w:tcPr>
            <w:tcW w:w="1248"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云基础架构升级与业务迁移服务</w:t>
            </w:r>
          </w:p>
        </w:tc>
        <w:tc>
          <w:tcPr>
            <w:tcW w:w="2941"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制定业务迁移计划与实施方案，有序完成原图像网云平台业务割接迁移，同步实施云基础架构升级改造</w:t>
            </w:r>
          </w:p>
        </w:tc>
      </w:tr>
      <w:tr>
        <w:tblPrEx>
          <w:tblCellMar>
            <w:top w:w="0" w:type="dxa"/>
            <w:left w:w="108" w:type="dxa"/>
            <w:bottom w:w="0" w:type="dxa"/>
            <w:right w:w="108" w:type="dxa"/>
          </w:tblCellMar>
        </w:tblPrEx>
        <w:trPr>
          <w:trHeight w:val="1525" w:hRule="atLeast"/>
        </w:trPr>
        <w:tc>
          <w:tcPr>
            <w:tcW w:w="809"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center"/>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4</w:t>
            </w:r>
          </w:p>
        </w:tc>
        <w:tc>
          <w:tcPr>
            <w:tcW w:w="1248"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原有云平台HCS 6.5.1软件维保</w:t>
            </w:r>
          </w:p>
        </w:tc>
        <w:tc>
          <w:tcPr>
            <w:tcW w:w="2941"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提供原有云平台FusionSphere 6.5.1 软件订阅授权及专业维保服务。授权周期至2027年6月30日</w:t>
            </w:r>
          </w:p>
        </w:tc>
      </w:tr>
      <w:tr>
        <w:tblPrEx>
          <w:tblCellMar>
            <w:top w:w="0" w:type="dxa"/>
            <w:left w:w="108" w:type="dxa"/>
            <w:bottom w:w="0" w:type="dxa"/>
            <w:right w:w="108" w:type="dxa"/>
          </w:tblCellMar>
        </w:tblPrEx>
        <w:trPr>
          <w:trHeight w:val="1387" w:hRule="atLeast"/>
        </w:trPr>
        <w:tc>
          <w:tcPr>
            <w:tcW w:w="809"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center"/>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5</w:t>
            </w:r>
          </w:p>
        </w:tc>
        <w:tc>
          <w:tcPr>
            <w:tcW w:w="1248"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配套硬件搬迁服务</w:t>
            </w:r>
          </w:p>
        </w:tc>
        <w:tc>
          <w:tcPr>
            <w:tcW w:w="2941" w:type="pct"/>
            <w:tcBorders>
              <w:top w:val="nil"/>
              <w:left w:val="single" w:color="000000" w:sz="8" w:space="0"/>
              <w:bottom w:val="single" w:color="000000" w:sz="8" w:space="0"/>
              <w:right w:val="single" w:color="000000" w:sz="8" w:space="0"/>
            </w:tcBorders>
            <w:shd w:val="clear" w:color="auto" w:fill="auto"/>
          </w:tcPr>
          <w:p>
            <w:pPr>
              <w:widowControl/>
              <w:spacing w:line="360" w:lineRule="auto"/>
              <w:jc w:val="left"/>
              <w:textAlignment w:val="top"/>
              <w:rPr>
                <w:rFonts w:ascii="Times New Roman" w:hAnsi="Times New Roman" w:eastAsia="宋体" w:cs="Times New Roman"/>
                <w:color w:val="000000"/>
                <w:kern w:val="0"/>
                <w:szCs w:val="24"/>
                <w:highlight w:val="none"/>
                <w:lang w:bidi="ar"/>
              </w:rPr>
            </w:pPr>
            <w:r>
              <w:rPr>
                <w:rFonts w:ascii="Times New Roman" w:hAnsi="Times New Roman" w:eastAsia="宋体" w:cs="Times New Roman"/>
                <w:color w:val="000000"/>
                <w:kern w:val="0"/>
                <w:szCs w:val="24"/>
                <w:highlight w:val="none"/>
                <w:lang w:bidi="ar"/>
              </w:rPr>
              <w:t>完成原有云平台共计111台服务器，6套存储，11台交换机设备搬迁，完成上架、联调及新平台搭建；</w:t>
            </w:r>
          </w:p>
        </w:tc>
      </w:tr>
    </w:tbl>
    <w:p>
      <w:pPr>
        <w:spacing w:line="360" w:lineRule="auto"/>
        <w:ind w:firstLine="480" w:firstLineChars="200"/>
        <w:rPr>
          <w:rFonts w:hAnsi="宋体"/>
          <w:color w:val="000000"/>
          <w:szCs w:val="24"/>
          <w:highlight w:val="none"/>
        </w:rPr>
      </w:pPr>
    </w:p>
    <w:p>
      <w:pPr>
        <w:pStyle w:val="4"/>
        <w:ind w:left="855" w:hanging="855"/>
        <w:rPr>
          <w:highlight w:val="none"/>
        </w:rPr>
      </w:pPr>
      <w:bookmarkStart w:id="62" w:name="_Toc4865"/>
      <w:bookmarkStart w:id="63" w:name="_Toc9082"/>
      <w:r>
        <w:rPr>
          <w:rFonts w:hint="eastAsia"/>
          <w:highlight w:val="none"/>
        </w:rPr>
        <w:t>投标方</w:t>
      </w:r>
      <w:r>
        <w:rPr>
          <w:highlight w:val="none"/>
        </w:rPr>
        <w:t>其他</w:t>
      </w:r>
      <w:r>
        <w:rPr>
          <w:rFonts w:hint="eastAsia"/>
          <w:highlight w:val="none"/>
        </w:rPr>
        <w:t>要求</w:t>
      </w:r>
      <w:bookmarkEnd w:id="62"/>
      <w:bookmarkEnd w:id="63"/>
    </w:p>
    <w:p>
      <w:pPr>
        <w:spacing w:line="360" w:lineRule="auto"/>
        <w:ind w:firstLine="480" w:firstLineChars="200"/>
        <w:rPr>
          <w:rFonts w:hAnsi="宋体"/>
          <w:color w:val="000000"/>
          <w:szCs w:val="24"/>
          <w:highlight w:val="none"/>
        </w:rPr>
      </w:pPr>
      <w:r>
        <w:rPr>
          <w:rFonts w:hint="eastAsia" w:hAnsi="宋体"/>
          <w:color w:val="000000"/>
          <w:szCs w:val="24"/>
          <w:highlight w:val="none"/>
        </w:rPr>
        <w:t>近三年以来具有类似项目经验，且需要熟悉公安领域网络架构、机房基础设施及相关应用情况</w:t>
      </w:r>
      <w:r>
        <w:rPr>
          <w:rFonts w:hAnsi="宋体"/>
          <w:color w:val="000000"/>
          <w:szCs w:val="24"/>
          <w:highlight w:val="none"/>
        </w:rPr>
        <w:t>。</w:t>
      </w:r>
    </w:p>
    <w:p>
      <w:pPr>
        <w:pStyle w:val="4"/>
        <w:ind w:left="855" w:hanging="855"/>
        <w:rPr>
          <w:highlight w:val="none"/>
        </w:rPr>
      </w:pPr>
      <w:bookmarkStart w:id="64" w:name="_Toc20560"/>
      <w:bookmarkStart w:id="65" w:name="_Toc12566"/>
      <w:r>
        <w:rPr>
          <w:rFonts w:hint="eastAsia"/>
          <w:highlight w:val="none"/>
        </w:rPr>
        <w:t>保密要求、知识产权、工作纪律要求</w:t>
      </w:r>
      <w:bookmarkEnd w:id="64"/>
      <w:bookmarkEnd w:id="65"/>
    </w:p>
    <w:p>
      <w:pPr>
        <w:adjustRightInd w:val="0"/>
        <w:snapToGrid w:val="0"/>
        <w:spacing w:line="360" w:lineRule="auto"/>
        <w:ind w:firstLine="484" w:firstLineChars="202"/>
        <w:rPr>
          <w:rFonts w:ascii="宋体" w:hAnsi="宋体"/>
          <w:szCs w:val="24"/>
          <w:highlight w:val="none"/>
        </w:rPr>
      </w:pPr>
      <w:bookmarkStart w:id="66" w:name="_Toc22711"/>
      <w:r>
        <w:rPr>
          <w:rFonts w:hint="eastAsia" w:ascii="宋体" w:hAnsi="宋体"/>
          <w:szCs w:val="24"/>
          <w:highlight w:val="none"/>
        </w:rPr>
        <w:t>10.1  合同签订时，甲乙双方应签订保密协议，双方均有保密义务。</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10.2  保密期限由保密内容提供方确定，保密期限届满后，保密内容公开时，应书面征得保密内容提供方同意。</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10.3  委托开发软件的知识产权归委托方所有。供应商交付使用的信息系统已享有知识产权的，使用方可在合同文件明确的范围内自主使用。信息系统中所有文档资料和数据、收集和储存的个人信息所有权均属于使用方，未经使用方允许不得访问、修改、披露、利用、转让、销毁。</w:t>
      </w:r>
    </w:p>
    <w:p>
      <w:pPr>
        <w:adjustRightInd w:val="0"/>
        <w:snapToGrid w:val="0"/>
        <w:spacing w:line="360" w:lineRule="auto"/>
        <w:ind w:firstLine="484" w:firstLineChars="202"/>
        <w:rPr>
          <w:rFonts w:ascii="宋体" w:hAnsi="宋体"/>
          <w:szCs w:val="24"/>
          <w:highlight w:val="none"/>
        </w:rPr>
      </w:pPr>
      <w:bookmarkStart w:id="67" w:name="_Toc727073087"/>
      <w:bookmarkStart w:id="68" w:name="_Toc134435581"/>
      <w:r>
        <w:rPr>
          <w:rFonts w:hint="eastAsia" w:ascii="宋体" w:hAnsi="宋体"/>
          <w:szCs w:val="24"/>
          <w:highlight w:val="none"/>
        </w:rPr>
        <w:t>10.4</w:t>
      </w:r>
      <w:bookmarkEnd w:id="67"/>
      <w:bookmarkEnd w:id="68"/>
      <w:r>
        <w:rPr>
          <w:rFonts w:hint="eastAsia" w:ascii="宋体" w:hAnsi="宋体"/>
          <w:szCs w:val="24"/>
          <w:highlight w:val="none"/>
        </w:rPr>
        <w:t xml:space="preserve">  供应商应在建设工作期间保证参与项目的技术人员的相对固定，不得随意调换。如确有原因需要调换的，需提前一个月向业主方提出并备案，经业主方同意后方可调换。供应商应对技术人员调换的交接工作进行严格管理，确保数据不外泄、工作界面不留空白。</w:t>
      </w:r>
    </w:p>
    <w:p>
      <w:pPr>
        <w:adjustRightInd w:val="0"/>
        <w:snapToGrid w:val="0"/>
        <w:spacing w:line="360" w:lineRule="auto"/>
        <w:ind w:firstLine="484" w:firstLineChars="202"/>
        <w:rPr>
          <w:rFonts w:ascii="宋体" w:hAnsi="宋体"/>
          <w:szCs w:val="24"/>
          <w:highlight w:val="none"/>
        </w:rPr>
      </w:pPr>
      <w:bookmarkStart w:id="69" w:name="_Toc956178045"/>
      <w:bookmarkStart w:id="70" w:name="_Toc134435582"/>
      <w:r>
        <w:rPr>
          <w:rFonts w:hint="eastAsia" w:ascii="宋体" w:hAnsi="宋体"/>
          <w:szCs w:val="24"/>
          <w:highlight w:val="none"/>
        </w:rPr>
        <w:t xml:space="preserve">10.5 </w:t>
      </w:r>
      <w:bookmarkEnd w:id="69"/>
      <w:bookmarkEnd w:id="70"/>
      <w:r>
        <w:rPr>
          <w:rFonts w:hint="eastAsia" w:ascii="宋体" w:hAnsi="宋体"/>
          <w:szCs w:val="24"/>
          <w:highlight w:val="none"/>
        </w:rPr>
        <w:t>供应商应参加业主方组织项目负责人及相关技术人员进行安全保密教育，并记录学习情况。所有参与项目的技术人员均应参加学习并在学习记录上签字。</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10.6 遵守以下相关条款：</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（场所管理）合作单位及其技术人员未经允许，不得擅自进入民警办公区域、业务机房等重要场所。</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设备管理）合作单位及其技术人员未经允许，不得使用公安网计算机和涉密计算机单机，严禁将自己携带的计算机联入公安网络和可存储警务秘密（含）以上密级信息的各类计算机、复印机、速印机等设备，特殊场合未经允许不得擅自携带电子产品（如手机、电脑、PAD等）进入。</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（禁止行为）合作单位及其技术人员获得民警授权使用指定的公安网计算机时，须由民警全程陪同，并严格遵守以下规定：</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（一）不得违反禁止“一机两用”的有关规定，不得擅自删除监控程序、逃避监控、扰乱上网注册工作。</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（二）不得使用民警的数字身份证书访问公安业务系统，如确需使用的，必须由民警亲自使用证书进行操作。</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（三）不得擅自使用自带的移动存储介质或擅自开设FTP、共享文件夹在公安网计算机上进行文件拷贝与传递。</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（四）不得使用公安网计算机玩游戏、聊天或从事其它与本职工作无关的活动。</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（五）不得浏览、访问与本职工作无关的公安信息网站（页），不得尝试登录或使用与本职工作无关的公安业务系统。</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（六）严禁将公安网上发布的各类警务信息通过下载、打印等方式带出公安机关。</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（七）禁止使用点对点（P2P）文件共享类软件（如BitTorrent、BitComet、BitSpirit、eMule、eDonkey、Kazaa、WinMx、迅雷等软件）进行数据下载。</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（八）不得擅自对公安业务用计算机重新安装或加装操作系统，不得安装黑客类工具。</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（九）不得编制或故意传播破坏计算机功能、破坏信息数据的病毒，或者恶意攻击、删改各类信息网站和信息系统数据。</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（十）不得随意拍摄、传播工作中涉及的图像、图片、文件等信息。</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（十一）不得使用正在开发或业主提供的工具查询与工作无关的信息。</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（十二）不得有其它违反党纪、政纪、社会公德、职业道德的网上行为。</w:t>
      </w:r>
    </w:p>
    <w:p>
      <w:pPr>
        <w:adjustRightInd w:val="0"/>
        <w:snapToGrid w:val="0"/>
        <w:spacing w:line="360" w:lineRule="auto"/>
        <w:ind w:firstLine="484" w:firstLineChars="202"/>
        <w:rPr>
          <w:rFonts w:ascii="宋体" w:hAnsi="宋体"/>
          <w:szCs w:val="24"/>
          <w:highlight w:val="none"/>
        </w:rPr>
      </w:pPr>
      <w:r>
        <w:rPr>
          <w:rFonts w:hint="eastAsia" w:ascii="宋体" w:hAnsi="宋体"/>
          <w:szCs w:val="24"/>
          <w:highlight w:val="none"/>
        </w:rPr>
        <w:t>（操作管理）合作单位及其技术人员不得使用远程拨号上公安网方式进行系统维护、软件开发、设备调试等工作，只允许在项目建设单位指定的区域内使用专用设备进行操作，并由公安民警全程陪同。</w:t>
      </w:r>
    </w:p>
    <w:p>
      <w:pPr>
        <w:adjustRightInd w:val="0"/>
        <w:snapToGrid w:val="0"/>
        <w:spacing w:line="360" w:lineRule="auto"/>
        <w:ind w:firstLine="484" w:firstLineChars="202"/>
        <w:rPr>
          <w:rFonts w:ascii="宋体" w:hAnsi="宋体" w:cs="宋体"/>
          <w:b/>
          <w:bCs/>
          <w:szCs w:val="24"/>
          <w:highlight w:val="none"/>
        </w:rPr>
      </w:pPr>
      <w:r>
        <w:rPr>
          <w:rFonts w:hint="eastAsia" w:ascii="宋体" w:hAnsi="宋体"/>
          <w:szCs w:val="24"/>
          <w:highlight w:val="none"/>
        </w:rPr>
        <w:t>（保密责任）对于警务工作秘密（含）以上的事项，合作单位及其技术人员应当做到不该问的不问，不该说的不说，并且在知悉秘密事项的情况下自觉负有保密义务，不得以任何形式泄露给无关人员。</w:t>
      </w:r>
    </w:p>
    <w:p>
      <w:pPr>
        <w:pStyle w:val="4"/>
        <w:ind w:left="855" w:hanging="855"/>
        <w:rPr>
          <w:highlight w:val="none"/>
        </w:rPr>
      </w:pPr>
      <w:bookmarkStart w:id="71" w:name="_Toc23624"/>
      <w:bookmarkStart w:id="72" w:name="_Toc1970"/>
      <w:r>
        <w:rPr>
          <w:rFonts w:hint="eastAsia"/>
          <w:highlight w:val="none"/>
        </w:rPr>
        <w:t>付款方式</w:t>
      </w:r>
      <w:bookmarkEnd w:id="66"/>
      <w:bookmarkEnd w:id="71"/>
      <w:bookmarkEnd w:id="72"/>
    </w:p>
    <w:p>
      <w:pPr>
        <w:pStyle w:val="5"/>
        <w:ind w:left="855" w:hanging="855"/>
        <w:rPr>
          <w:highlight w:val="none"/>
        </w:rPr>
      </w:pPr>
      <w:bookmarkStart w:id="73" w:name="_Toc14676"/>
      <w:bookmarkStart w:id="74" w:name="_Toc10959"/>
      <w:r>
        <w:rPr>
          <w:rFonts w:hint="eastAsia"/>
          <w:highlight w:val="none"/>
        </w:rPr>
        <w:t>项目周期</w:t>
      </w:r>
      <w:bookmarkEnd w:id="73"/>
      <w:bookmarkEnd w:id="74"/>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本项目整体建设周期为4个月（3个月建设期、1个月试运行）。</w:t>
      </w:r>
    </w:p>
    <w:p>
      <w:pPr>
        <w:pStyle w:val="5"/>
        <w:ind w:left="855" w:hanging="855"/>
        <w:rPr>
          <w:highlight w:val="none"/>
        </w:rPr>
      </w:pPr>
      <w:bookmarkStart w:id="75" w:name="_Toc7389"/>
      <w:bookmarkStart w:id="76" w:name="_Toc31095"/>
      <w:r>
        <w:rPr>
          <w:rFonts w:hint="eastAsia"/>
          <w:highlight w:val="none"/>
        </w:rPr>
        <w:t>支付方式</w:t>
      </w:r>
      <w:bookmarkEnd w:id="75"/>
      <w:bookmarkEnd w:id="76"/>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服务合同签订后，用户方向成交供应商支付合同首付款的</w:t>
      </w:r>
      <w:r>
        <w:rPr>
          <w:rFonts w:ascii="宋体" w:hAnsi="宋体" w:cs="宋体"/>
          <w:szCs w:val="24"/>
          <w:highlight w:val="none"/>
        </w:rPr>
        <w:t>2</w:t>
      </w:r>
      <w:r>
        <w:rPr>
          <w:rFonts w:hint="eastAsia" w:ascii="宋体" w:hAnsi="宋体" w:cs="宋体"/>
          <w:szCs w:val="24"/>
          <w:highlight w:val="none"/>
        </w:rPr>
        <w:t>8</w:t>
      </w:r>
      <w:r>
        <w:rPr>
          <w:rFonts w:ascii="宋体" w:hAnsi="宋体" w:cs="宋体"/>
          <w:szCs w:val="24"/>
          <w:highlight w:val="none"/>
        </w:rPr>
        <w:t>8000</w:t>
      </w:r>
      <w:r>
        <w:rPr>
          <w:rFonts w:hint="eastAsia" w:ascii="宋体" w:hAnsi="宋体" w:cs="宋体"/>
          <w:szCs w:val="24"/>
          <w:highlight w:val="none"/>
        </w:rPr>
        <w:t>元整；</w:t>
      </w:r>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建设完成并投入试运行性，出具试运行报告，支付成交供应商可提交合同总价50%的发票,申请支付合同的第二笔付款；</w:t>
      </w:r>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项目通过验收、审计后支付剩余部分（具体金额根据最终审计结果而定）。</w:t>
      </w:r>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项目履约验收工作由采购人按照相应方案组织实施。具体依据项目合同中的履约验收方案执行，合同中的履约验收方案将明确履约验收的主体、时间、方式、程序、内容和验收标准等事项。</w:t>
      </w:r>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合同履约事宜：采购人和成交供应商应通过完善内部流程缩短合同签订期限，在中标、成交通知书发出之日起30日内，按照采购文件确定的事项签订政府采购合同，在合同中约定资金支付的方式、时间和条件，明确逾期支付资金的违约责任。）</w:t>
      </w:r>
    </w:p>
    <w:p>
      <w:pPr>
        <w:pStyle w:val="4"/>
        <w:ind w:left="855" w:hanging="855"/>
        <w:rPr>
          <w:highlight w:val="none"/>
        </w:rPr>
      </w:pPr>
      <w:bookmarkStart w:id="77" w:name="_Toc20214"/>
      <w:bookmarkStart w:id="78" w:name="_Toc6570"/>
      <w:r>
        <w:rPr>
          <w:rFonts w:hint="eastAsia"/>
          <w:highlight w:val="none"/>
        </w:rPr>
        <w:t>违约与罚则</w:t>
      </w:r>
      <w:bookmarkEnd w:id="77"/>
      <w:bookmarkEnd w:id="78"/>
    </w:p>
    <w:p>
      <w:pPr>
        <w:pStyle w:val="5"/>
        <w:ind w:left="855" w:hanging="855"/>
        <w:rPr>
          <w:highlight w:val="none"/>
        </w:rPr>
      </w:pPr>
      <w:bookmarkStart w:id="79" w:name="_Toc9198"/>
      <w:bookmarkStart w:id="80" w:name="_Toc4238"/>
      <w:r>
        <w:rPr>
          <w:rFonts w:hint="eastAsia"/>
          <w:highlight w:val="none"/>
        </w:rPr>
        <w:t>事故与财产损失罚则</w:t>
      </w:r>
      <w:bookmarkEnd w:id="79"/>
      <w:bookmarkEnd w:id="80"/>
    </w:p>
    <w:p>
      <w:pPr>
        <w:adjustRightInd w:val="0"/>
        <w:snapToGrid w:val="0"/>
        <w:spacing w:line="360" w:lineRule="auto"/>
        <w:ind w:firstLine="480" w:firstLineChars="200"/>
        <w:rPr>
          <w:rFonts w:ascii="宋体" w:hAnsi="宋体"/>
          <w:szCs w:val="24"/>
          <w:highlight w:val="none"/>
        </w:rPr>
      </w:pPr>
      <w:r>
        <w:rPr>
          <w:rFonts w:hint="eastAsia" w:ascii="宋体" w:hAnsi="宋体"/>
          <w:szCs w:val="24"/>
          <w:highlight w:val="none"/>
        </w:rPr>
        <w:t>在履行本项目的过程中若因</w:t>
      </w:r>
      <w:r>
        <w:rPr>
          <w:rFonts w:hint="eastAsia" w:ascii="宋体" w:hAnsi="宋体" w:cs="宋体"/>
          <w:szCs w:val="24"/>
          <w:highlight w:val="none"/>
        </w:rPr>
        <w:t>成交人</w:t>
      </w:r>
      <w:r>
        <w:rPr>
          <w:rFonts w:hint="eastAsia" w:ascii="宋体" w:hAnsi="宋体"/>
          <w:szCs w:val="24"/>
          <w:highlight w:val="none"/>
        </w:rPr>
        <w:t>违反操作规范而导致事故发生，则</w:t>
      </w:r>
      <w:r>
        <w:rPr>
          <w:rFonts w:hint="eastAsia" w:ascii="宋体" w:hAnsi="宋体" w:cs="宋体"/>
          <w:szCs w:val="24"/>
          <w:highlight w:val="none"/>
        </w:rPr>
        <w:t>成交人</w:t>
      </w:r>
      <w:r>
        <w:rPr>
          <w:rFonts w:hint="eastAsia" w:ascii="宋体" w:hAnsi="宋体"/>
          <w:szCs w:val="24"/>
          <w:highlight w:val="none"/>
        </w:rPr>
        <w:t>及时予以整改，并承担整改所需的费用。如果发生事故与财产损失，则双方友好协商解决或委托第三方具有事故认定资质的单位进行事故原因鉴定，</w:t>
      </w:r>
      <w:r>
        <w:rPr>
          <w:rFonts w:hint="eastAsia" w:ascii="宋体" w:hAnsi="宋体" w:cs="宋体"/>
          <w:szCs w:val="24"/>
          <w:highlight w:val="none"/>
        </w:rPr>
        <w:t>成交人</w:t>
      </w:r>
      <w:r>
        <w:rPr>
          <w:rFonts w:hint="eastAsia" w:ascii="宋体" w:hAnsi="宋体"/>
          <w:szCs w:val="24"/>
          <w:highlight w:val="none"/>
        </w:rPr>
        <w:t>按认可的鉴定情况承担责任，</w:t>
      </w:r>
      <w:r>
        <w:rPr>
          <w:rFonts w:hint="eastAsia" w:ascii="宋体" w:hAnsi="宋体" w:cs="宋体"/>
          <w:szCs w:val="24"/>
          <w:highlight w:val="none"/>
        </w:rPr>
        <w:t>成交人</w:t>
      </w:r>
      <w:r>
        <w:rPr>
          <w:rFonts w:hint="eastAsia" w:ascii="宋体" w:hAnsi="宋体"/>
          <w:szCs w:val="24"/>
          <w:highlight w:val="none"/>
        </w:rPr>
        <w:t>所承担的赔偿数额将按协商或鉴定结论中</w:t>
      </w:r>
      <w:r>
        <w:rPr>
          <w:rFonts w:hint="eastAsia" w:ascii="宋体" w:hAnsi="宋体" w:cs="宋体"/>
          <w:szCs w:val="24"/>
          <w:highlight w:val="none"/>
        </w:rPr>
        <w:t>成交人</w:t>
      </w:r>
      <w:r>
        <w:rPr>
          <w:rFonts w:hint="eastAsia" w:ascii="宋体" w:hAnsi="宋体"/>
          <w:szCs w:val="24"/>
          <w:highlight w:val="none"/>
        </w:rPr>
        <w:t>应承担责任比例来计算，赔偿数额等于（责任比例*整改费用全额），因为</w:t>
      </w:r>
      <w:r>
        <w:rPr>
          <w:rFonts w:hint="eastAsia" w:ascii="宋体" w:hAnsi="宋体" w:cs="宋体"/>
          <w:szCs w:val="24"/>
          <w:highlight w:val="none"/>
        </w:rPr>
        <w:t>采购人</w:t>
      </w:r>
      <w:r>
        <w:rPr>
          <w:rFonts w:hint="eastAsia" w:ascii="宋体" w:hAnsi="宋体"/>
          <w:szCs w:val="24"/>
          <w:highlight w:val="none"/>
        </w:rPr>
        <w:t>等单位的客观条件限制和在项目中的行为引起的责任，</w:t>
      </w:r>
      <w:r>
        <w:rPr>
          <w:rFonts w:hint="eastAsia" w:ascii="宋体" w:hAnsi="宋体" w:cs="宋体"/>
          <w:szCs w:val="24"/>
          <w:highlight w:val="none"/>
        </w:rPr>
        <w:t>成交人</w:t>
      </w:r>
      <w:r>
        <w:rPr>
          <w:rFonts w:hint="eastAsia" w:ascii="宋体" w:hAnsi="宋体"/>
          <w:szCs w:val="24"/>
          <w:highlight w:val="none"/>
        </w:rPr>
        <w:t>免责。</w:t>
      </w:r>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成交人</w:t>
      </w:r>
      <w:r>
        <w:rPr>
          <w:rFonts w:hint="eastAsia" w:ascii="宋体" w:hAnsi="宋体"/>
          <w:szCs w:val="24"/>
          <w:highlight w:val="none"/>
        </w:rPr>
        <w:t>因1</w:t>
      </w:r>
      <w:r>
        <w:rPr>
          <w:rFonts w:hint="eastAsia" w:ascii="宋体" w:hAnsi="宋体"/>
          <w:szCs w:val="24"/>
          <w:highlight w:val="none"/>
          <w:lang w:val="en-US" w:eastAsia="zh-CN"/>
        </w:rPr>
        <w:t>3</w:t>
      </w:r>
      <w:r>
        <w:rPr>
          <w:rFonts w:hint="eastAsia" w:ascii="宋体" w:hAnsi="宋体"/>
          <w:szCs w:val="24"/>
          <w:highlight w:val="none"/>
        </w:rPr>
        <w:t>.2-1</w:t>
      </w:r>
      <w:r>
        <w:rPr>
          <w:rFonts w:hint="eastAsia" w:ascii="宋体" w:hAnsi="宋体"/>
          <w:szCs w:val="24"/>
          <w:highlight w:val="none"/>
          <w:lang w:val="en-US" w:eastAsia="zh-CN"/>
        </w:rPr>
        <w:t>3</w:t>
      </w:r>
      <w:r>
        <w:rPr>
          <w:rFonts w:hint="eastAsia" w:ascii="宋体" w:hAnsi="宋体"/>
          <w:szCs w:val="24"/>
          <w:highlight w:val="none"/>
        </w:rPr>
        <w:t>.4中所述事项被开具整改通知书的。</w:t>
      </w:r>
      <w:r>
        <w:rPr>
          <w:rFonts w:hint="eastAsia" w:ascii="宋体" w:hAnsi="宋体" w:cs="宋体"/>
          <w:szCs w:val="24"/>
          <w:highlight w:val="none"/>
        </w:rPr>
        <w:t>首次收到整改通知书后，成交人应于两个工作日内提交整改报告并落实整改要求；第二次收到整改通知书后，成交人除上述要求外，扣除运维费用3000元；三次以上（含三次）收到整改通知书，每次扣除运维费用5000元，同时采购人可正式书面函告成交人，并有权终止运维合同，取消成交人今后参与分局各项运维工作的资格。</w:t>
      </w:r>
    </w:p>
    <w:p>
      <w:pPr>
        <w:pStyle w:val="5"/>
        <w:ind w:left="855" w:hanging="855"/>
        <w:rPr>
          <w:highlight w:val="none"/>
        </w:rPr>
      </w:pPr>
      <w:bookmarkStart w:id="81" w:name="_Toc12813"/>
      <w:bookmarkStart w:id="82" w:name="_Toc24185"/>
      <w:r>
        <w:rPr>
          <w:rFonts w:hint="eastAsia"/>
          <w:highlight w:val="none"/>
        </w:rPr>
        <w:t>违约与罚则</w:t>
      </w:r>
      <w:bookmarkEnd w:id="81"/>
      <w:bookmarkEnd w:id="82"/>
    </w:p>
    <w:p>
      <w:pPr>
        <w:adjustRightInd w:val="0"/>
        <w:snapToGrid w:val="0"/>
        <w:spacing w:line="360" w:lineRule="auto"/>
        <w:ind w:firstLine="480" w:firstLineChars="200"/>
        <w:rPr>
          <w:rFonts w:ascii="宋体" w:hAnsi="宋体"/>
          <w:szCs w:val="24"/>
          <w:highlight w:val="none"/>
        </w:rPr>
      </w:pPr>
      <w:r>
        <w:rPr>
          <w:rFonts w:hint="eastAsia" w:ascii="宋体" w:hAnsi="宋体" w:cs="宋体"/>
          <w:szCs w:val="24"/>
          <w:highlight w:val="none"/>
        </w:rPr>
        <w:t>在履行本项目的过程中若因乙方违反维护需求未提供合格的维护服务导致甲方考核扣分或发生重大事故，每发生一次，甲方有权根据问题影响的严重程度按合同总额的0.1%-1%扣除。</w:t>
      </w:r>
      <w:r>
        <w:rPr>
          <w:rFonts w:hint="eastAsia" w:ascii="宋体" w:hAnsi="宋体"/>
          <w:szCs w:val="24"/>
          <w:highlight w:val="none"/>
        </w:rPr>
        <w:t>若全年度整体运维情况良好，分局顺利完成市局各项运维考核任务，全市排名靠前，则将对运维项目负责团队予以一定的激励措施。</w:t>
      </w:r>
    </w:p>
    <w:p>
      <w:pPr>
        <w:pStyle w:val="5"/>
        <w:ind w:left="855" w:hanging="855"/>
        <w:rPr>
          <w:highlight w:val="none"/>
        </w:rPr>
      </w:pPr>
      <w:bookmarkStart w:id="83" w:name="_Toc5380"/>
      <w:bookmarkStart w:id="84" w:name="_Toc4330"/>
      <w:r>
        <w:rPr>
          <w:rFonts w:hint="eastAsia"/>
          <w:highlight w:val="none"/>
        </w:rPr>
        <w:t>服务过失整改与罚则</w:t>
      </w:r>
      <w:bookmarkEnd w:id="83"/>
      <w:bookmarkEnd w:id="84"/>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按照分局整体运维要求，无特殊原因超时的工单（包括接单超时、应急响应/设备维修/故障处理超时、工作记录提交超时等），每个工单（不含重复点位）扣除500元人民币，每个黑名工单扣除2000元人民币。</w:t>
      </w:r>
    </w:p>
    <w:p>
      <w:pPr>
        <w:adjustRightInd w:val="0"/>
        <w:snapToGrid w:val="0"/>
        <w:spacing w:line="360" w:lineRule="auto"/>
        <w:ind w:firstLine="480" w:firstLineChars="200"/>
        <w:rPr>
          <w:rFonts w:ascii="宋体" w:hAnsi="宋体"/>
          <w:szCs w:val="24"/>
          <w:highlight w:val="none"/>
        </w:rPr>
      </w:pPr>
      <w:r>
        <w:rPr>
          <w:rFonts w:hint="eastAsia" w:ascii="宋体" w:hAnsi="宋体"/>
          <w:szCs w:val="24"/>
          <w:highlight w:val="none"/>
        </w:rPr>
        <w:t>根据运维管理规定、运维流程的要求，成交人在运维工作期间，未按照合同要求完成相应工作（包括考核指标不达标、漏洞未按时修复、基础资料提交不完整、文档提交不及时、安全管理混乱等），</w:t>
      </w:r>
      <w:r>
        <w:rPr>
          <w:rFonts w:hint="eastAsia" w:ascii="宋体" w:hAnsi="宋体" w:cs="宋体"/>
          <w:szCs w:val="24"/>
          <w:highlight w:val="none"/>
        </w:rPr>
        <w:t>采购人</w:t>
      </w:r>
      <w:r>
        <w:rPr>
          <w:rFonts w:hint="eastAsia" w:ascii="宋体" w:hAnsi="宋体"/>
          <w:szCs w:val="24"/>
          <w:highlight w:val="none"/>
        </w:rPr>
        <w:t>将会同运维监理视情节严重程度向</w:t>
      </w:r>
      <w:r>
        <w:rPr>
          <w:rFonts w:hint="eastAsia" w:ascii="宋体" w:hAnsi="宋体" w:cs="宋体"/>
          <w:szCs w:val="24"/>
          <w:highlight w:val="none"/>
        </w:rPr>
        <w:t>成交人</w:t>
      </w:r>
      <w:r>
        <w:rPr>
          <w:rFonts w:hint="eastAsia" w:ascii="宋体" w:hAnsi="宋体"/>
          <w:szCs w:val="24"/>
          <w:highlight w:val="none"/>
        </w:rPr>
        <w:t>予以警告或</w:t>
      </w:r>
      <w:r>
        <w:rPr>
          <w:rFonts w:hint="eastAsia" w:ascii="宋体" w:hAnsi="宋体" w:cs="宋体"/>
          <w:szCs w:val="24"/>
          <w:highlight w:val="none"/>
        </w:rPr>
        <w:t>扣除运维费用</w:t>
      </w:r>
      <w:r>
        <w:rPr>
          <w:rFonts w:hint="eastAsia" w:ascii="宋体" w:hAnsi="宋体"/>
          <w:szCs w:val="24"/>
          <w:highlight w:val="none"/>
        </w:rPr>
        <w:t>，并开具整改通知书。</w:t>
      </w:r>
    </w:p>
    <w:p>
      <w:pPr>
        <w:pStyle w:val="5"/>
        <w:ind w:left="855" w:hanging="855"/>
        <w:rPr>
          <w:highlight w:val="none"/>
        </w:rPr>
      </w:pPr>
      <w:bookmarkStart w:id="85" w:name="_Toc10321"/>
      <w:bookmarkStart w:id="86" w:name="_Toc1976"/>
      <w:r>
        <w:rPr>
          <w:rFonts w:hint="eastAsia"/>
          <w:highlight w:val="none"/>
        </w:rPr>
        <w:t>人员过失整改与罚则</w:t>
      </w:r>
      <w:bookmarkEnd w:id="85"/>
      <w:bookmarkEnd w:id="86"/>
    </w:p>
    <w:p>
      <w:pPr>
        <w:adjustRightInd w:val="0"/>
        <w:snapToGrid w:val="0"/>
        <w:spacing w:line="360" w:lineRule="auto"/>
        <w:ind w:firstLine="480" w:firstLineChars="200"/>
        <w:rPr>
          <w:rFonts w:ascii="宋体" w:hAnsi="宋体"/>
          <w:szCs w:val="24"/>
          <w:highlight w:val="none"/>
        </w:rPr>
      </w:pPr>
      <w:r>
        <w:rPr>
          <w:rFonts w:hint="eastAsia" w:ascii="宋体" w:hAnsi="宋体"/>
          <w:szCs w:val="24"/>
          <w:highlight w:val="none"/>
        </w:rPr>
        <w:t>运维单位技术人员故意违反安全管理规定，或多次过失违反安全管理规定的，应当责令其工作单位将其带回，依照有关规定进行处罚，</w:t>
      </w:r>
      <w:r>
        <w:rPr>
          <w:rFonts w:hint="eastAsia" w:ascii="宋体" w:hAnsi="宋体" w:cs="宋体"/>
          <w:szCs w:val="24"/>
          <w:highlight w:val="none"/>
        </w:rPr>
        <w:t>采购人</w:t>
      </w:r>
      <w:r>
        <w:rPr>
          <w:rFonts w:hint="eastAsia" w:ascii="宋体" w:hAnsi="宋体"/>
          <w:szCs w:val="24"/>
          <w:highlight w:val="none"/>
        </w:rPr>
        <w:t>将会同运维监理视情节严重程度向</w:t>
      </w:r>
      <w:r>
        <w:rPr>
          <w:rFonts w:hint="eastAsia" w:ascii="宋体" w:hAnsi="宋体" w:cs="宋体"/>
          <w:szCs w:val="24"/>
          <w:highlight w:val="none"/>
        </w:rPr>
        <w:t>成交人</w:t>
      </w:r>
      <w:r>
        <w:rPr>
          <w:rFonts w:hint="eastAsia" w:ascii="宋体" w:hAnsi="宋体"/>
          <w:szCs w:val="24"/>
          <w:highlight w:val="none"/>
        </w:rPr>
        <w:t>予以警告或</w:t>
      </w:r>
      <w:r>
        <w:rPr>
          <w:rFonts w:hint="eastAsia" w:ascii="宋体" w:hAnsi="宋体" w:cs="宋体"/>
          <w:szCs w:val="24"/>
          <w:highlight w:val="none"/>
        </w:rPr>
        <w:t>扣除运维费用</w:t>
      </w:r>
      <w:r>
        <w:rPr>
          <w:rFonts w:hint="eastAsia" w:ascii="宋体" w:hAnsi="宋体"/>
          <w:szCs w:val="24"/>
          <w:highlight w:val="none"/>
        </w:rPr>
        <w:t>，并开具整改通知书。情节严重的应根据国家有关法律、法规，追究相应的法律责任，并另行安排技术人员顶替其工作；</w:t>
      </w:r>
      <w:r>
        <w:rPr>
          <w:rFonts w:hint="eastAsia" w:ascii="宋体" w:hAnsi="宋体" w:cs="宋体"/>
          <w:szCs w:val="24"/>
          <w:highlight w:val="none"/>
        </w:rPr>
        <w:t>成交人</w:t>
      </w:r>
      <w:r>
        <w:rPr>
          <w:rFonts w:hint="eastAsia" w:ascii="宋体" w:hAnsi="宋体"/>
          <w:szCs w:val="24"/>
          <w:highlight w:val="none"/>
        </w:rPr>
        <w:t>违反安全管理规定的，</w:t>
      </w:r>
      <w:r>
        <w:rPr>
          <w:rFonts w:hint="eastAsia" w:ascii="宋体" w:hAnsi="宋体" w:cs="宋体"/>
          <w:szCs w:val="24"/>
          <w:highlight w:val="none"/>
        </w:rPr>
        <w:t>采购人</w:t>
      </w:r>
      <w:r>
        <w:rPr>
          <w:rFonts w:hint="eastAsia" w:ascii="宋体" w:hAnsi="宋体"/>
          <w:szCs w:val="24"/>
          <w:highlight w:val="none"/>
        </w:rPr>
        <w:t>有权依照有关规定进行处罚，情节严重的应立即终止合同，并根据国家有关法律、法规追究相应责任，取消今后项目合作建设的资格。</w:t>
      </w:r>
    </w:p>
    <w:p>
      <w:pPr>
        <w:pStyle w:val="5"/>
        <w:ind w:left="855" w:hanging="855"/>
        <w:rPr>
          <w:highlight w:val="none"/>
        </w:rPr>
      </w:pPr>
      <w:bookmarkStart w:id="87" w:name="_Toc19794"/>
      <w:bookmarkStart w:id="88" w:name="_Toc4300"/>
      <w:r>
        <w:rPr>
          <w:rFonts w:hint="eastAsia"/>
          <w:highlight w:val="none"/>
        </w:rPr>
        <w:t>文档过失整改与罚则</w:t>
      </w:r>
      <w:bookmarkEnd w:id="87"/>
      <w:bookmarkEnd w:id="88"/>
    </w:p>
    <w:p>
      <w:pPr>
        <w:adjustRightInd w:val="0"/>
        <w:snapToGrid w:val="0"/>
        <w:spacing w:line="360" w:lineRule="auto"/>
        <w:ind w:firstLine="480" w:firstLineChars="200"/>
        <w:rPr>
          <w:rFonts w:ascii="宋体" w:hAnsi="宋体" w:cs="宋体"/>
          <w:szCs w:val="24"/>
          <w:highlight w:val="none"/>
        </w:rPr>
      </w:pPr>
      <w:r>
        <w:rPr>
          <w:rFonts w:hint="eastAsia" w:ascii="宋体" w:hAnsi="宋体" w:cs="宋体"/>
          <w:szCs w:val="24"/>
          <w:highlight w:val="none"/>
        </w:rPr>
        <w:t>不按期限提交维护文档的，每发生一次，则需支付违约金，每次违约金为该项运维服务金额的5%，采购人直接在合同总金额中扣除，若扣完后则由成交人另行向采购人支付。</w:t>
      </w:r>
    </w:p>
    <w:p>
      <w:pPr>
        <w:rPr>
          <w:rFonts w:ascii="宋体" w:hAnsi="宋体" w:cs="宋体"/>
          <w:color w:val="FF0000"/>
          <w:szCs w:val="24"/>
          <w:highlight w:val="none"/>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0569226"/>
    </w:sdtPr>
    <w:sdtContent>
      <w:p>
        <w:pPr>
          <w:pStyle w:val="15"/>
          <w:jc w:val="cente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default" w:eastAsiaTheme="minorEastAsia"/>
        <w:lang w:val="en-US" w:eastAsia="zh-CN"/>
      </w:rPr>
    </w:pPr>
    <w:r>
      <w:rPr>
        <w:rFonts w:hint="eastAsia"/>
      </w:rPr>
      <w:t>ZC20260121</w:t>
    </w:r>
    <w:r>
      <w:rPr>
        <w:rFonts w:hint="eastAsia"/>
        <w:lang w:val="en-US" w:eastAsia="zh-CN"/>
      </w:rPr>
      <w:t xml:space="preserve">     上海市公安局长宁分局图像网云平台升级竞争性磋商项目   采购需求文件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4F2FC6"/>
    <w:multiLevelType w:val="singleLevel"/>
    <w:tmpl w:val="C34F2FC6"/>
    <w:lvl w:ilvl="0" w:tentative="0">
      <w:start w:val="1"/>
      <w:numFmt w:val="decimal"/>
      <w:suff w:val="nothing"/>
      <w:lvlText w:val="（%1）"/>
      <w:lvlJc w:val="left"/>
    </w:lvl>
  </w:abstractNum>
  <w:abstractNum w:abstractNumId="1">
    <w:nsid w:val="C4BC6C0B"/>
    <w:multiLevelType w:val="singleLevel"/>
    <w:tmpl w:val="C4BC6C0B"/>
    <w:lvl w:ilvl="0" w:tentative="0">
      <w:start w:val="1"/>
      <w:numFmt w:val="decimal"/>
      <w:pStyle w:val="7"/>
      <w:lvlText w:val="%1)"/>
      <w:lvlJc w:val="left"/>
      <w:pPr>
        <w:ind w:left="425" w:hanging="425"/>
      </w:pPr>
      <w:rPr>
        <w:rFonts w:hint="default"/>
      </w:rPr>
    </w:lvl>
  </w:abstractNum>
  <w:abstractNum w:abstractNumId="2">
    <w:nsid w:val="031A260B"/>
    <w:multiLevelType w:val="multilevel"/>
    <w:tmpl w:val="031A260B"/>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eastAsia="宋体" w:asciiTheme="majorHAnsi" w:hAnsiTheme="majorHAnsi"/>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pStyle w:val="9"/>
      <w:lvlText w:val="%1.%2.%3.%4.%5.%6.%7"/>
      <w:lvlJc w:val="left"/>
      <w:pPr>
        <w:ind w:left="1296" w:hanging="1296"/>
      </w:pPr>
      <w:rPr>
        <w:rFonts w:hint="eastAsia"/>
      </w:rPr>
    </w:lvl>
    <w:lvl w:ilvl="7" w:tentative="0">
      <w:start w:val="1"/>
      <w:numFmt w:val="decimal"/>
      <w:pStyle w:val="10"/>
      <w:lvlText w:val="%1.%2.%3.%4.%5.%6.%7.%8"/>
      <w:lvlJc w:val="left"/>
      <w:pPr>
        <w:ind w:left="1440" w:hanging="1440"/>
      </w:pPr>
      <w:rPr>
        <w:rFonts w:hint="eastAsia"/>
      </w:rPr>
    </w:lvl>
    <w:lvl w:ilvl="8" w:tentative="0">
      <w:start w:val="1"/>
      <w:numFmt w:val="decimal"/>
      <w:pStyle w:val="11"/>
      <w:lvlText w:val="%1.%2.%3.%4.%5.%6.%7.%8.%9"/>
      <w:lvlJc w:val="left"/>
      <w:pPr>
        <w:ind w:left="1584" w:hanging="1584"/>
      </w:pPr>
      <w:rPr>
        <w:rFonts w:hint="eastAsia"/>
      </w:rPr>
    </w:lvl>
  </w:abstractNum>
  <w:abstractNum w:abstractNumId="3">
    <w:nsid w:val="2F642510"/>
    <w:multiLevelType w:val="multilevel"/>
    <w:tmpl w:val="2F642510"/>
    <w:lvl w:ilvl="0" w:tentative="0">
      <w:start w:val="1"/>
      <w:numFmt w:val="chineseCountingThousand"/>
      <w:pStyle w:val="2"/>
      <w:suff w:val="space"/>
      <w:lvlText w:val="%1."/>
      <w:lvlJc w:val="left"/>
      <w:pPr>
        <w:ind w:left="425" w:hanging="425"/>
      </w:pPr>
      <w:rPr>
        <w:rFonts w:hint="eastAsia"/>
      </w:rPr>
    </w:lvl>
    <w:lvl w:ilvl="1" w:tentative="0">
      <w:start w:val="1"/>
      <w:numFmt w:val="decimal"/>
      <w:pStyle w:val="4"/>
      <w:suff w:val="space"/>
      <w:lvlText w:val="%2."/>
      <w:lvlJc w:val="left"/>
      <w:pPr>
        <w:ind w:left="851" w:hanging="851"/>
      </w:pPr>
      <w:rPr>
        <w:rFonts w:hint="eastAsia"/>
      </w:rPr>
    </w:lvl>
    <w:lvl w:ilvl="2" w:tentative="0">
      <w:start w:val="1"/>
      <w:numFmt w:val="decimal"/>
      <w:pStyle w:val="5"/>
      <w:suff w:val="space"/>
      <w:lvlText w:val="%2.%3."/>
      <w:lvlJc w:val="left"/>
      <w:pPr>
        <w:tabs>
          <w:tab w:val="left" w:pos="0"/>
        </w:tabs>
        <w:ind w:left="851" w:hanging="851"/>
      </w:pPr>
      <w:rPr>
        <w:rFonts w:hint="eastAsia" w:ascii="Times New Roman" w:hAnsi="Times New Roman" w:eastAsia="宋体"/>
        <w:b/>
        <w:bCs/>
        <w:sz w:val="24"/>
        <w:szCs w:val="24"/>
      </w:rPr>
    </w:lvl>
    <w:lvl w:ilvl="3" w:tentative="0">
      <w:start w:val="1"/>
      <w:numFmt w:val="decimal"/>
      <w:pStyle w:val="6"/>
      <w:suff w:val="space"/>
      <w:lvlText w:val="%2.%3.%4."/>
      <w:lvlJc w:val="left"/>
      <w:pPr>
        <w:tabs>
          <w:tab w:val="left" w:pos="0"/>
        </w:tabs>
        <w:ind w:left="851" w:hanging="851"/>
      </w:pPr>
      <w:rPr>
        <w:rFonts w:hint="eastAsia" w:ascii="Times New Roman" w:hAnsi="Times New Roman"/>
        <w:b/>
        <w:bCs/>
        <w:sz w:val="24"/>
        <w:szCs w:val="24"/>
      </w:rPr>
    </w:lvl>
    <w:lvl w:ilvl="4" w:tentative="0">
      <w:start w:val="1"/>
      <w:numFmt w:val="decimal"/>
      <w:suff w:val="space"/>
      <w:lvlText w:val="%2.%3.%4.%5."/>
      <w:lvlJc w:val="left"/>
      <w:pPr>
        <w:ind w:left="3005" w:hanging="2381"/>
      </w:pPr>
      <w:rPr>
        <w:rFonts w:hint="eastAsia" w:ascii="Arial" w:hAnsi="Arial"/>
        <w:b/>
        <w:i w:val="0"/>
        <w:sz w:val="21"/>
        <w:szCs w:val="21"/>
      </w:rPr>
    </w:lvl>
    <w:lvl w:ilvl="5" w:tentative="0">
      <w:start w:val="1"/>
      <w:numFmt w:val="decimal"/>
      <w:suff w:val="space"/>
      <w:lvlText w:val="%2.%3.%4.%5.%6."/>
      <w:lvlJc w:val="left"/>
      <w:pPr>
        <w:ind w:left="2155" w:hanging="1588"/>
      </w:pPr>
      <w:rPr>
        <w:rFonts w:hint="eastAsia"/>
      </w:rPr>
    </w:lvl>
    <w:lvl w:ilvl="6" w:tentative="0">
      <w:start w:val="1"/>
      <w:numFmt w:val="decimal"/>
      <w:lvlText w:val="%2.%3.%4.%5.%6.%7"/>
      <w:lvlJc w:val="left"/>
      <w:pPr>
        <w:tabs>
          <w:tab w:val="left" w:pos="2975"/>
        </w:tabs>
        <w:ind w:left="2975" w:hanging="2408"/>
      </w:pPr>
      <w:rPr>
        <w:rFonts w:hint="eastAsia" w:ascii="Arial" w:hAnsi="Arial" w:eastAsia="黑体"/>
        <w:b/>
        <w:i w:val="0"/>
        <w:sz w:val="28"/>
      </w:rPr>
    </w:lvl>
    <w:lvl w:ilvl="7" w:tentative="0">
      <w:start w:val="1"/>
      <w:numFmt w:val="none"/>
      <w:lvlText w:val="(%8)"/>
      <w:lvlJc w:val="left"/>
      <w:pPr>
        <w:tabs>
          <w:tab w:val="left" w:pos="3695"/>
        </w:tabs>
        <w:ind w:left="3400" w:hanging="425"/>
      </w:pPr>
      <w:rPr>
        <w:rFonts w:hint="eastAsia"/>
      </w:rPr>
    </w:lvl>
    <w:lvl w:ilvl="8" w:tentative="0">
      <w:start w:val="1"/>
      <w:numFmt w:val="none"/>
      <w:lvlText w:val="(%9)"/>
      <w:lvlJc w:val="left"/>
      <w:pPr>
        <w:tabs>
          <w:tab w:val="left" w:pos="4120"/>
        </w:tabs>
        <w:ind w:left="3825" w:hanging="425"/>
      </w:pPr>
      <w:rPr>
        <w:rFonts w:hint="eastAsia"/>
      </w:rPr>
    </w:lvl>
  </w:abstractNum>
  <w:abstractNum w:abstractNumId="4">
    <w:nsid w:val="63606C02"/>
    <w:multiLevelType w:val="multilevel"/>
    <w:tmpl w:val="63606C02"/>
    <w:lvl w:ilvl="0" w:tentative="0">
      <w:start w:val="1"/>
      <w:numFmt w:val="bullet"/>
      <w:lvlText w:val=""/>
      <w:lvlJc w:val="left"/>
      <w:pPr>
        <w:ind w:left="420" w:hanging="420"/>
      </w:pPr>
      <w:rPr>
        <w:rFonts w:hint="default" w:ascii="Wingdings" w:hAnsi="Wingdings"/>
      </w:rPr>
    </w:lvl>
    <w:lvl w:ilvl="1" w:tentative="0">
      <w:start w:val="1"/>
      <w:numFmt w:val="bullet"/>
      <w:pStyle w:val="8"/>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70B63496"/>
    <w:multiLevelType w:val="multilevel"/>
    <w:tmpl w:val="70B6349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0ZDQ3MWZjYjg3MmY2MjRiNWIxZjBjMjU4MDIzNjYifQ=="/>
  </w:docVars>
  <w:rsids>
    <w:rsidRoot w:val="008E5593"/>
    <w:rsid w:val="0000011D"/>
    <w:rsid w:val="000135B1"/>
    <w:rsid w:val="00022196"/>
    <w:rsid w:val="000228EC"/>
    <w:rsid w:val="00040D49"/>
    <w:rsid w:val="00042472"/>
    <w:rsid w:val="000552C6"/>
    <w:rsid w:val="00083F96"/>
    <w:rsid w:val="00094EAE"/>
    <w:rsid w:val="000962BE"/>
    <w:rsid w:val="000C0CDB"/>
    <w:rsid w:val="00122531"/>
    <w:rsid w:val="00144746"/>
    <w:rsid w:val="0016214E"/>
    <w:rsid w:val="00166536"/>
    <w:rsid w:val="00166FEB"/>
    <w:rsid w:val="0016796C"/>
    <w:rsid w:val="00171532"/>
    <w:rsid w:val="00186869"/>
    <w:rsid w:val="00187F63"/>
    <w:rsid w:val="001937B9"/>
    <w:rsid w:val="001B085A"/>
    <w:rsid w:val="001B3E48"/>
    <w:rsid w:val="001B798A"/>
    <w:rsid w:val="001D2F8E"/>
    <w:rsid w:val="001D7816"/>
    <w:rsid w:val="001E7978"/>
    <w:rsid w:val="001F372F"/>
    <w:rsid w:val="00201F69"/>
    <w:rsid w:val="00205D42"/>
    <w:rsid w:val="002173BE"/>
    <w:rsid w:val="00217B35"/>
    <w:rsid w:val="002242F3"/>
    <w:rsid w:val="00225DC8"/>
    <w:rsid w:val="00226E7D"/>
    <w:rsid w:val="00232C99"/>
    <w:rsid w:val="00246943"/>
    <w:rsid w:val="0025466E"/>
    <w:rsid w:val="00257FF8"/>
    <w:rsid w:val="002620D8"/>
    <w:rsid w:val="0026293E"/>
    <w:rsid w:val="0027623D"/>
    <w:rsid w:val="00297EA2"/>
    <w:rsid w:val="002C02A9"/>
    <w:rsid w:val="002D3791"/>
    <w:rsid w:val="002D3AA1"/>
    <w:rsid w:val="002E5571"/>
    <w:rsid w:val="003027E7"/>
    <w:rsid w:val="00302A2A"/>
    <w:rsid w:val="0031134B"/>
    <w:rsid w:val="00314D38"/>
    <w:rsid w:val="00326372"/>
    <w:rsid w:val="0034708B"/>
    <w:rsid w:val="0035469B"/>
    <w:rsid w:val="003562DB"/>
    <w:rsid w:val="003578AA"/>
    <w:rsid w:val="00362B3E"/>
    <w:rsid w:val="00380C35"/>
    <w:rsid w:val="00383B59"/>
    <w:rsid w:val="003B228C"/>
    <w:rsid w:val="003B773F"/>
    <w:rsid w:val="003C61F4"/>
    <w:rsid w:val="003E408B"/>
    <w:rsid w:val="00402B5D"/>
    <w:rsid w:val="00407D2B"/>
    <w:rsid w:val="00416134"/>
    <w:rsid w:val="00420265"/>
    <w:rsid w:val="00422540"/>
    <w:rsid w:val="00433D84"/>
    <w:rsid w:val="00436AD0"/>
    <w:rsid w:val="004418E3"/>
    <w:rsid w:val="00446AD6"/>
    <w:rsid w:val="00477D81"/>
    <w:rsid w:val="0049333E"/>
    <w:rsid w:val="004A0B74"/>
    <w:rsid w:val="004C3503"/>
    <w:rsid w:val="004C5AA3"/>
    <w:rsid w:val="004F2728"/>
    <w:rsid w:val="004F3CA8"/>
    <w:rsid w:val="004F62E5"/>
    <w:rsid w:val="00504C3E"/>
    <w:rsid w:val="005434E2"/>
    <w:rsid w:val="00546529"/>
    <w:rsid w:val="005504D7"/>
    <w:rsid w:val="00553BC6"/>
    <w:rsid w:val="005553F0"/>
    <w:rsid w:val="0055664C"/>
    <w:rsid w:val="0058077B"/>
    <w:rsid w:val="00587CF7"/>
    <w:rsid w:val="00590D15"/>
    <w:rsid w:val="00591ED8"/>
    <w:rsid w:val="005B6813"/>
    <w:rsid w:val="005C1025"/>
    <w:rsid w:val="005C7FD0"/>
    <w:rsid w:val="005D60A5"/>
    <w:rsid w:val="005E3742"/>
    <w:rsid w:val="005F5B2A"/>
    <w:rsid w:val="006030A1"/>
    <w:rsid w:val="00607384"/>
    <w:rsid w:val="00616FB7"/>
    <w:rsid w:val="00656A97"/>
    <w:rsid w:val="00691614"/>
    <w:rsid w:val="006A36B2"/>
    <w:rsid w:val="006B7AA9"/>
    <w:rsid w:val="006C2305"/>
    <w:rsid w:val="006C74D0"/>
    <w:rsid w:val="00700ACD"/>
    <w:rsid w:val="00703287"/>
    <w:rsid w:val="00705CA5"/>
    <w:rsid w:val="007202E4"/>
    <w:rsid w:val="0072720C"/>
    <w:rsid w:val="007313FB"/>
    <w:rsid w:val="00740005"/>
    <w:rsid w:val="0076585C"/>
    <w:rsid w:val="00765D0A"/>
    <w:rsid w:val="00773259"/>
    <w:rsid w:val="00777F0C"/>
    <w:rsid w:val="00795309"/>
    <w:rsid w:val="007A18B8"/>
    <w:rsid w:val="007A24CC"/>
    <w:rsid w:val="007A3516"/>
    <w:rsid w:val="007A3968"/>
    <w:rsid w:val="007A594D"/>
    <w:rsid w:val="007A7273"/>
    <w:rsid w:val="007A77B9"/>
    <w:rsid w:val="007D30B1"/>
    <w:rsid w:val="007D7B7C"/>
    <w:rsid w:val="007E540B"/>
    <w:rsid w:val="007F68DC"/>
    <w:rsid w:val="007F7C12"/>
    <w:rsid w:val="00815861"/>
    <w:rsid w:val="00816DB0"/>
    <w:rsid w:val="00843776"/>
    <w:rsid w:val="00852B6A"/>
    <w:rsid w:val="00853CA4"/>
    <w:rsid w:val="00871ADF"/>
    <w:rsid w:val="008950CD"/>
    <w:rsid w:val="008B3C91"/>
    <w:rsid w:val="008B70B7"/>
    <w:rsid w:val="008C676F"/>
    <w:rsid w:val="008E0E3E"/>
    <w:rsid w:val="008E4D66"/>
    <w:rsid w:val="008E5593"/>
    <w:rsid w:val="008E637C"/>
    <w:rsid w:val="008F6EBF"/>
    <w:rsid w:val="00900EE1"/>
    <w:rsid w:val="009054CD"/>
    <w:rsid w:val="0091195D"/>
    <w:rsid w:val="00916E1D"/>
    <w:rsid w:val="00936539"/>
    <w:rsid w:val="00950CC9"/>
    <w:rsid w:val="009632B5"/>
    <w:rsid w:val="00974EFC"/>
    <w:rsid w:val="00976F8D"/>
    <w:rsid w:val="00980ED5"/>
    <w:rsid w:val="00981672"/>
    <w:rsid w:val="00990E12"/>
    <w:rsid w:val="00995C4A"/>
    <w:rsid w:val="0099731D"/>
    <w:rsid w:val="009A382E"/>
    <w:rsid w:val="009B1782"/>
    <w:rsid w:val="009D1793"/>
    <w:rsid w:val="009D479E"/>
    <w:rsid w:val="009D53A9"/>
    <w:rsid w:val="00A01403"/>
    <w:rsid w:val="00A15A99"/>
    <w:rsid w:val="00A167C4"/>
    <w:rsid w:val="00A22D90"/>
    <w:rsid w:val="00A23178"/>
    <w:rsid w:val="00A27239"/>
    <w:rsid w:val="00A35F5D"/>
    <w:rsid w:val="00A85935"/>
    <w:rsid w:val="00A87DA7"/>
    <w:rsid w:val="00AA2254"/>
    <w:rsid w:val="00AD1BBB"/>
    <w:rsid w:val="00AD27F0"/>
    <w:rsid w:val="00AF5E52"/>
    <w:rsid w:val="00B00FF5"/>
    <w:rsid w:val="00B10A6D"/>
    <w:rsid w:val="00B11A42"/>
    <w:rsid w:val="00B4062D"/>
    <w:rsid w:val="00B40B52"/>
    <w:rsid w:val="00B4374E"/>
    <w:rsid w:val="00B439EF"/>
    <w:rsid w:val="00B47162"/>
    <w:rsid w:val="00B5375C"/>
    <w:rsid w:val="00B53F5B"/>
    <w:rsid w:val="00B55E2C"/>
    <w:rsid w:val="00B60FD0"/>
    <w:rsid w:val="00B61620"/>
    <w:rsid w:val="00B62DFF"/>
    <w:rsid w:val="00B66C9D"/>
    <w:rsid w:val="00B67978"/>
    <w:rsid w:val="00B67D1B"/>
    <w:rsid w:val="00B70979"/>
    <w:rsid w:val="00B75D71"/>
    <w:rsid w:val="00B77FBE"/>
    <w:rsid w:val="00B800F6"/>
    <w:rsid w:val="00B84AE8"/>
    <w:rsid w:val="00B97A76"/>
    <w:rsid w:val="00BA2584"/>
    <w:rsid w:val="00BA28D0"/>
    <w:rsid w:val="00BC3889"/>
    <w:rsid w:val="00BC716A"/>
    <w:rsid w:val="00BD7102"/>
    <w:rsid w:val="00C0451D"/>
    <w:rsid w:val="00C050DA"/>
    <w:rsid w:val="00C26071"/>
    <w:rsid w:val="00C53F41"/>
    <w:rsid w:val="00C574B0"/>
    <w:rsid w:val="00C6317B"/>
    <w:rsid w:val="00C64516"/>
    <w:rsid w:val="00C81B62"/>
    <w:rsid w:val="00C83F7D"/>
    <w:rsid w:val="00C87087"/>
    <w:rsid w:val="00CA264D"/>
    <w:rsid w:val="00CA2775"/>
    <w:rsid w:val="00CA38B9"/>
    <w:rsid w:val="00CA3B4B"/>
    <w:rsid w:val="00CB0B6A"/>
    <w:rsid w:val="00CB6CA5"/>
    <w:rsid w:val="00CC0C5C"/>
    <w:rsid w:val="00CD2FD6"/>
    <w:rsid w:val="00CE1824"/>
    <w:rsid w:val="00CE2E8D"/>
    <w:rsid w:val="00CF4123"/>
    <w:rsid w:val="00CF6105"/>
    <w:rsid w:val="00CF7FCE"/>
    <w:rsid w:val="00D006DD"/>
    <w:rsid w:val="00D13ED2"/>
    <w:rsid w:val="00D17834"/>
    <w:rsid w:val="00D244A9"/>
    <w:rsid w:val="00D25E74"/>
    <w:rsid w:val="00D454B7"/>
    <w:rsid w:val="00D47683"/>
    <w:rsid w:val="00D501C3"/>
    <w:rsid w:val="00D64225"/>
    <w:rsid w:val="00D75DA2"/>
    <w:rsid w:val="00D93D89"/>
    <w:rsid w:val="00DA16D9"/>
    <w:rsid w:val="00DB2398"/>
    <w:rsid w:val="00DD688C"/>
    <w:rsid w:val="00DE3602"/>
    <w:rsid w:val="00DE7456"/>
    <w:rsid w:val="00DF6B31"/>
    <w:rsid w:val="00E23DE8"/>
    <w:rsid w:val="00E327A7"/>
    <w:rsid w:val="00E514CD"/>
    <w:rsid w:val="00E52BC7"/>
    <w:rsid w:val="00E74991"/>
    <w:rsid w:val="00E85946"/>
    <w:rsid w:val="00E8755D"/>
    <w:rsid w:val="00E93EE0"/>
    <w:rsid w:val="00E94EBE"/>
    <w:rsid w:val="00EA010D"/>
    <w:rsid w:val="00EB1572"/>
    <w:rsid w:val="00ED5957"/>
    <w:rsid w:val="00EF4F11"/>
    <w:rsid w:val="00F10893"/>
    <w:rsid w:val="00F164B4"/>
    <w:rsid w:val="00F42AB5"/>
    <w:rsid w:val="00F43A1B"/>
    <w:rsid w:val="00F66AA5"/>
    <w:rsid w:val="00F70484"/>
    <w:rsid w:val="00F707AF"/>
    <w:rsid w:val="00F72E23"/>
    <w:rsid w:val="00FA6F4C"/>
    <w:rsid w:val="00FB038E"/>
    <w:rsid w:val="00FC203C"/>
    <w:rsid w:val="00FC20F2"/>
    <w:rsid w:val="00FE54DD"/>
    <w:rsid w:val="02332EE7"/>
    <w:rsid w:val="02392DC7"/>
    <w:rsid w:val="05D63C46"/>
    <w:rsid w:val="077F7D9A"/>
    <w:rsid w:val="08493425"/>
    <w:rsid w:val="09C1037A"/>
    <w:rsid w:val="0F0533C0"/>
    <w:rsid w:val="0F0E0161"/>
    <w:rsid w:val="12C754DE"/>
    <w:rsid w:val="13811C06"/>
    <w:rsid w:val="145A54B5"/>
    <w:rsid w:val="14AB4047"/>
    <w:rsid w:val="1CFC6F44"/>
    <w:rsid w:val="22153965"/>
    <w:rsid w:val="25311305"/>
    <w:rsid w:val="26263230"/>
    <w:rsid w:val="2A1D7608"/>
    <w:rsid w:val="2B236341"/>
    <w:rsid w:val="2BC97FA1"/>
    <w:rsid w:val="2CAF6B3A"/>
    <w:rsid w:val="2DAB2220"/>
    <w:rsid w:val="2F2111E1"/>
    <w:rsid w:val="33FA35E8"/>
    <w:rsid w:val="3CD4132B"/>
    <w:rsid w:val="3D021D99"/>
    <w:rsid w:val="3DBA8D94"/>
    <w:rsid w:val="42BF7FB6"/>
    <w:rsid w:val="440E15D0"/>
    <w:rsid w:val="44A41AFB"/>
    <w:rsid w:val="44AD0167"/>
    <w:rsid w:val="44F020CA"/>
    <w:rsid w:val="47D73A0E"/>
    <w:rsid w:val="4A2C1D3E"/>
    <w:rsid w:val="4A7D70DE"/>
    <w:rsid w:val="4B7452C3"/>
    <w:rsid w:val="4C114CDB"/>
    <w:rsid w:val="576D2680"/>
    <w:rsid w:val="58530075"/>
    <w:rsid w:val="5A3313D4"/>
    <w:rsid w:val="5CBD5A36"/>
    <w:rsid w:val="60111901"/>
    <w:rsid w:val="60547E83"/>
    <w:rsid w:val="608F662A"/>
    <w:rsid w:val="61C931C4"/>
    <w:rsid w:val="653869D9"/>
    <w:rsid w:val="695B379A"/>
    <w:rsid w:val="69EA1B54"/>
    <w:rsid w:val="6D7D3E5D"/>
    <w:rsid w:val="6E2F080B"/>
    <w:rsid w:val="70FD3A68"/>
    <w:rsid w:val="727D6AE5"/>
    <w:rsid w:val="74FA1108"/>
    <w:rsid w:val="77931708"/>
    <w:rsid w:val="77B425C1"/>
    <w:rsid w:val="77F7F0A0"/>
    <w:rsid w:val="BEB7F5B2"/>
    <w:rsid w:val="D6F3D9F7"/>
    <w:rsid w:val="EB77C354"/>
    <w:rsid w:val="F7F79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2">
    <w:name w:val="heading 1"/>
    <w:basedOn w:val="3"/>
    <w:next w:val="1"/>
    <w:link w:val="27"/>
    <w:qFormat/>
    <w:uiPriority w:val="9"/>
    <w:pPr>
      <w:keepNext/>
      <w:keepLines/>
      <w:numPr>
        <w:ilvl w:val="0"/>
        <w:numId w:val="1"/>
      </w:numPr>
      <w:tabs>
        <w:tab w:val="right" w:pos="-2120"/>
      </w:tabs>
      <w:spacing w:before="340" w:after="330" w:line="360" w:lineRule="auto"/>
    </w:pPr>
    <w:rPr>
      <w:rFonts w:eastAsiaTheme="majorEastAsia"/>
      <w:kern w:val="44"/>
      <w:szCs w:val="44"/>
    </w:rPr>
  </w:style>
  <w:style w:type="paragraph" w:styleId="4">
    <w:name w:val="heading 2"/>
    <w:basedOn w:val="1"/>
    <w:next w:val="1"/>
    <w:link w:val="28"/>
    <w:qFormat/>
    <w:uiPriority w:val="0"/>
    <w:pPr>
      <w:numPr>
        <w:ilvl w:val="1"/>
        <w:numId w:val="1"/>
      </w:numPr>
      <w:spacing w:before="260" w:after="260" w:line="360" w:lineRule="auto"/>
      <w:ind w:left="0" w:hanging="355" w:hangingChars="355"/>
      <w:outlineLvl w:val="1"/>
    </w:pPr>
    <w:rPr>
      <w:rFonts w:ascii="Times New Roman" w:hAnsi="Times New Roman" w:cs="Times New Roman" w:eastAsiaTheme="majorEastAsia"/>
      <w:b/>
      <w:bCs/>
      <w:szCs w:val="24"/>
    </w:rPr>
  </w:style>
  <w:style w:type="paragraph" w:styleId="5">
    <w:name w:val="heading 3"/>
    <w:basedOn w:val="1"/>
    <w:next w:val="1"/>
    <w:link w:val="29"/>
    <w:qFormat/>
    <w:uiPriority w:val="0"/>
    <w:pPr>
      <w:numPr>
        <w:ilvl w:val="2"/>
        <w:numId w:val="1"/>
      </w:numPr>
      <w:spacing w:before="260" w:after="260" w:line="415" w:lineRule="auto"/>
      <w:ind w:left="0" w:hanging="355" w:hangingChars="355"/>
      <w:outlineLvl w:val="2"/>
    </w:pPr>
    <w:rPr>
      <w:rFonts w:ascii="Times New Roman" w:hAnsi="Times New Roman" w:eastAsia="宋体" w:cs="Times New Roman"/>
      <w:b/>
      <w:bCs/>
      <w:szCs w:val="24"/>
    </w:rPr>
  </w:style>
  <w:style w:type="paragraph" w:styleId="6">
    <w:name w:val="heading 4"/>
    <w:basedOn w:val="1"/>
    <w:next w:val="1"/>
    <w:link w:val="30"/>
    <w:qFormat/>
    <w:uiPriority w:val="0"/>
    <w:pPr>
      <w:numPr>
        <w:ilvl w:val="3"/>
        <w:numId w:val="1"/>
      </w:numPr>
      <w:spacing w:before="280" w:after="290" w:line="377" w:lineRule="auto"/>
      <w:ind w:left="0" w:hanging="355" w:hangingChars="355"/>
      <w:outlineLvl w:val="3"/>
    </w:pPr>
    <w:rPr>
      <w:rFonts w:ascii="Times New Roman" w:hAnsi="Times New Roman" w:eastAsia="宋体" w:cs="Times New Roman"/>
      <w:b/>
      <w:bCs/>
      <w:szCs w:val="24"/>
    </w:rPr>
  </w:style>
  <w:style w:type="paragraph" w:styleId="7">
    <w:name w:val="heading 5"/>
    <w:basedOn w:val="1"/>
    <w:next w:val="1"/>
    <w:link w:val="31"/>
    <w:qFormat/>
    <w:uiPriority w:val="0"/>
    <w:pPr>
      <w:numPr>
        <w:ilvl w:val="0"/>
        <w:numId w:val="2"/>
      </w:numPr>
      <w:spacing w:before="280" w:after="290"/>
      <w:outlineLvl w:val="4"/>
    </w:pPr>
    <w:rPr>
      <w:rFonts w:ascii="Times New Roman" w:hAnsi="Times New Roman" w:eastAsia="宋体" w:cs="Times New Roman"/>
      <w:b/>
      <w:bCs/>
      <w:szCs w:val="24"/>
    </w:rPr>
  </w:style>
  <w:style w:type="paragraph" w:styleId="8">
    <w:name w:val="heading 6"/>
    <w:basedOn w:val="1"/>
    <w:next w:val="1"/>
    <w:link w:val="32"/>
    <w:unhideWhenUsed/>
    <w:qFormat/>
    <w:uiPriority w:val="9"/>
    <w:pPr>
      <w:numPr>
        <w:ilvl w:val="1"/>
        <w:numId w:val="3"/>
      </w:numPr>
      <w:spacing w:before="240" w:after="240" w:line="319" w:lineRule="auto"/>
      <w:outlineLvl w:val="5"/>
    </w:pPr>
    <w:rPr>
      <w:rFonts w:asciiTheme="majorHAnsi" w:hAnsiTheme="majorHAnsi" w:eastAsiaTheme="majorEastAsia" w:cstheme="majorBidi"/>
      <w:b/>
      <w:bCs/>
      <w:szCs w:val="24"/>
    </w:rPr>
  </w:style>
  <w:style w:type="paragraph" w:styleId="9">
    <w:name w:val="heading 7"/>
    <w:basedOn w:val="1"/>
    <w:next w:val="1"/>
    <w:link w:val="33"/>
    <w:unhideWhenUsed/>
    <w:qFormat/>
    <w:uiPriority w:val="9"/>
    <w:pPr>
      <w:keepNext/>
      <w:keepLines/>
      <w:numPr>
        <w:ilvl w:val="6"/>
        <w:numId w:val="4"/>
      </w:numPr>
      <w:spacing w:before="240" w:after="64" w:line="320" w:lineRule="auto"/>
      <w:outlineLvl w:val="6"/>
    </w:pPr>
    <w:rPr>
      <w:rFonts w:eastAsiaTheme="majorEastAsia"/>
      <w:b/>
      <w:bCs/>
      <w:szCs w:val="24"/>
    </w:rPr>
  </w:style>
  <w:style w:type="paragraph" w:styleId="10">
    <w:name w:val="heading 8"/>
    <w:basedOn w:val="1"/>
    <w:next w:val="1"/>
    <w:link w:val="34"/>
    <w:unhideWhenUsed/>
    <w:qFormat/>
    <w:uiPriority w:val="9"/>
    <w:pPr>
      <w:keepNext/>
      <w:keepLines/>
      <w:numPr>
        <w:ilvl w:val="7"/>
        <w:numId w:val="4"/>
      </w:numPr>
      <w:spacing w:before="240" w:after="64" w:line="320" w:lineRule="auto"/>
      <w:outlineLvl w:val="7"/>
    </w:pPr>
    <w:rPr>
      <w:rFonts w:asciiTheme="majorHAnsi" w:hAnsiTheme="majorHAnsi" w:eastAsiaTheme="majorEastAsia" w:cstheme="majorBidi"/>
      <w:szCs w:val="24"/>
    </w:rPr>
  </w:style>
  <w:style w:type="paragraph" w:styleId="11">
    <w:name w:val="heading 9"/>
    <w:basedOn w:val="1"/>
    <w:next w:val="1"/>
    <w:link w:val="35"/>
    <w:unhideWhenUsed/>
    <w:qFormat/>
    <w:uiPriority w:val="9"/>
    <w:pPr>
      <w:keepNext/>
      <w:keepLines/>
      <w:numPr>
        <w:ilvl w:val="8"/>
        <w:numId w:val="4"/>
      </w:numPr>
      <w:spacing w:before="240" w:after="64" w:line="320" w:lineRule="auto"/>
      <w:outlineLvl w:val="8"/>
    </w:pPr>
    <w:rPr>
      <w:rFonts w:asciiTheme="majorHAnsi" w:hAnsiTheme="majorHAnsi" w:eastAsiaTheme="majorEastAsia" w:cstheme="majorBidi"/>
      <w:szCs w:val="21"/>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26"/>
    <w:qFormat/>
    <w:uiPriority w:val="0"/>
    <w:pPr>
      <w:tabs>
        <w:tab w:val="right" w:pos="-2120"/>
      </w:tabs>
      <w:snapToGrid w:val="0"/>
      <w:spacing w:before="240" w:after="60" w:line="460" w:lineRule="atLeast"/>
      <w:ind w:firstLine="567"/>
      <w:jc w:val="center"/>
      <w:outlineLvl w:val="0"/>
    </w:pPr>
    <w:rPr>
      <w:rFonts w:ascii="Cambria" w:hAnsi="Cambria" w:eastAsia="宋体" w:cs="Times New Roman"/>
      <w:b/>
      <w:bCs/>
      <w:sz w:val="32"/>
      <w:szCs w:val="32"/>
    </w:rPr>
  </w:style>
  <w:style w:type="paragraph" w:styleId="12">
    <w:name w:val="annotation text"/>
    <w:basedOn w:val="1"/>
    <w:link w:val="43"/>
    <w:unhideWhenUsed/>
    <w:qFormat/>
    <w:uiPriority w:val="99"/>
    <w:pPr>
      <w:jc w:val="left"/>
    </w:pPr>
  </w:style>
  <w:style w:type="paragraph" w:styleId="13">
    <w:name w:val="toc 3"/>
    <w:basedOn w:val="1"/>
    <w:next w:val="1"/>
    <w:unhideWhenUsed/>
    <w:qFormat/>
    <w:uiPriority w:val="39"/>
    <w:pPr>
      <w:ind w:left="840" w:leftChars="400"/>
    </w:pPr>
  </w:style>
  <w:style w:type="paragraph" w:styleId="14">
    <w:name w:val="Balloon Text"/>
    <w:basedOn w:val="1"/>
    <w:link w:val="45"/>
    <w:semiHidden/>
    <w:unhideWhenUsed/>
    <w:qFormat/>
    <w:uiPriority w:val="99"/>
    <w:rPr>
      <w:sz w:val="18"/>
      <w:szCs w:val="18"/>
    </w:rPr>
  </w:style>
  <w:style w:type="paragraph" w:styleId="15">
    <w:name w:val="footer"/>
    <w:basedOn w:val="1"/>
    <w:link w:val="42"/>
    <w:unhideWhenUsed/>
    <w:qFormat/>
    <w:uiPriority w:val="99"/>
    <w:pPr>
      <w:tabs>
        <w:tab w:val="center" w:pos="4153"/>
        <w:tab w:val="right" w:pos="8306"/>
      </w:tabs>
      <w:snapToGrid w:val="0"/>
      <w:jc w:val="left"/>
    </w:pPr>
    <w:rPr>
      <w:sz w:val="18"/>
      <w:szCs w:val="18"/>
    </w:rPr>
  </w:style>
  <w:style w:type="paragraph" w:styleId="16">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toc 4"/>
    <w:basedOn w:val="1"/>
    <w:next w:val="1"/>
    <w:unhideWhenUsed/>
    <w:qFormat/>
    <w:uiPriority w:val="39"/>
    <w:pPr>
      <w:ind w:left="1260" w:leftChars="600"/>
    </w:pPr>
  </w:style>
  <w:style w:type="paragraph" w:styleId="19">
    <w:name w:val="toc 2"/>
    <w:basedOn w:val="1"/>
    <w:next w:val="1"/>
    <w:unhideWhenUsed/>
    <w:qFormat/>
    <w:uiPriority w:val="39"/>
    <w:pPr>
      <w:ind w:left="420" w:leftChars="200"/>
    </w:pPr>
  </w:style>
  <w:style w:type="paragraph" w:styleId="20">
    <w:name w:val="annotation subject"/>
    <w:basedOn w:val="12"/>
    <w:next w:val="12"/>
    <w:link w:val="44"/>
    <w:semiHidden/>
    <w:unhideWhenUsed/>
    <w:qFormat/>
    <w:uiPriority w:val="99"/>
    <w:rPr>
      <w:b/>
      <w:bCs/>
    </w:rPr>
  </w:style>
  <w:style w:type="table" w:styleId="22">
    <w:name w:val="Table Grid"/>
    <w:basedOn w:val="2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qFormat/>
    <w:uiPriority w:val="99"/>
    <w:rPr>
      <w:color w:val="0563C1" w:themeColor="hyperlink"/>
      <w:u w:val="single"/>
      <w14:textFill>
        <w14:solidFill>
          <w14:schemeClr w14:val="hlink"/>
        </w14:solidFill>
      </w14:textFill>
    </w:rPr>
  </w:style>
  <w:style w:type="character" w:styleId="25">
    <w:name w:val="annotation reference"/>
    <w:basedOn w:val="23"/>
    <w:semiHidden/>
    <w:unhideWhenUsed/>
    <w:qFormat/>
    <w:uiPriority w:val="99"/>
    <w:rPr>
      <w:sz w:val="21"/>
      <w:szCs w:val="21"/>
    </w:rPr>
  </w:style>
  <w:style w:type="character" w:customStyle="1" w:styleId="26">
    <w:name w:val="标题 字符"/>
    <w:basedOn w:val="23"/>
    <w:link w:val="3"/>
    <w:qFormat/>
    <w:uiPriority w:val="0"/>
    <w:rPr>
      <w:rFonts w:ascii="Cambria" w:hAnsi="Cambria" w:eastAsia="宋体" w:cs="Times New Roman"/>
      <w:b/>
      <w:bCs/>
      <w:sz w:val="32"/>
      <w:szCs w:val="32"/>
    </w:rPr>
  </w:style>
  <w:style w:type="character" w:customStyle="1" w:styleId="27">
    <w:name w:val="标题 1 字符"/>
    <w:basedOn w:val="23"/>
    <w:link w:val="2"/>
    <w:qFormat/>
    <w:uiPriority w:val="9"/>
    <w:rPr>
      <w:rFonts w:eastAsiaTheme="majorEastAsia"/>
      <w:b/>
      <w:bCs/>
      <w:kern w:val="44"/>
      <w:sz w:val="32"/>
      <w:szCs w:val="44"/>
    </w:rPr>
  </w:style>
  <w:style w:type="character" w:customStyle="1" w:styleId="28">
    <w:name w:val="标题 2 字符"/>
    <w:basedOn w:val="23"/>
    <w:link w:val="4"/>
    <w:qFormat/>
    <w:uiPriority w:val="0"/>
    <w:rPr>
      <w:rFonts w:ascii="Times New Roman" w:hAnsi="Times New Roman" w:cs="Times New Roman" w:eastAsiaTheme="majorEastAsia"/>
      <w:b/>
      <w:bCs/>
      <w:kern w:val="2"/>
      <w:sz w:val="24"/>
      <w:szCs w:val="24"/>
    </w:rPr>
  </w:style>
  <w:style w:type="character" w:customStyle="1" w:styleId="29">
    <w:name w:val="标题 3 字符"/>
    <w:basedOn w:val="23"/>
    <w:link w:val="5"/>
    <w:qFormat/>
    <w:uiPriority w:val="0"/>
    <w:rPr>
      <w:rFonts w:ascii="Times New Roman" w:hAnsi="Times New Roman" w:eastAsia="宋体" w:cs="Times New Roman"/>
      <w:b/>
      <w:bCs/>
      <w:kern w:val="2"/>
      <w:sz w:val="24"/>
      <w:szCs w:val="24"/>
    </w:rPr>
  </w:style>
  <w:style w:type="character" w:customStyle="1" w:styleId="30">
    <w:name w:val="标题 4 字符"/>
    <w:basedOn w:val="23"/>
    <w:link w:val="6"/>
    <w:qFormat/>
    <w:uiPriority w:val="0"/>
    <w:rPr>
      <w:rFonts w:ascii="Times New Roman" w:hAnsi="Times New Roman" w:eastAsia="宋体" w:cs="Times New Roman"/>
      <w:b/>
      <w:bCs/>
      <w:kern w:val="2"/>
      <w:sz w:val="24"/>
      <w:szCs w:val="24"/>
    </w:rPr>
  </w:style>
  <w:style w:type="character" w:customStyle="1" w:styleId="31">
    <w:name w:val="标题 5 字符"/>
    <w:basedOn w:val="23"/>
    <w:link w:val="7"/>
    <w:qFormat/>
    <w:uiPriority w:val="0"/>
    <w:rPr>
      <w:rFonts w:ascii="Times New Roman" w:hAnsi="Times New Roman" w:eastAsia="宋体" w:cs="Times New Roman"/>
      <w:b/>
      <w:bCs/>
      <w:kern w:val="2"/>
      <w:sz w:val="24"/>
      <w:szCs w:val="24"/>
    </w:rPr>
  </w:style>
  <w:style w:type="character" w:customStyle="1" w:styleId="32">
    <w:name w:val="标题 6 字符"/>
    <w:basedOn w:val="23"/>
    <w:link w:val="8"/>
    <w:qFormat/>
    <w:uiPriority w:val="9"/>
    <w:rPr>
      <w:rFonts w:asciiTheme="majorHAnsi" w:hAnsiTheme="majorHAnsi" w:eastAsiaTheme="majorEastAsia" w:cstheme="majorBidi"/>
      <w:b/>
      <w:bCs/>
      <w:kern w:val="2"/>
      <w:sz w:val="24"/>
      <w:szCs w:val="24"/>
    </w:rPr>
  </w:style>
  <w:style w:type="character" w:customStyle="1" w:styleId="33">
    <w:name w:val="标题 7 字符"/>
    <w:basedOn w:val="23"/>
    <w:link w:val="9"/>
    <w:qFormat/>
    <w:uiPriority w:val="9"/>
    <w:rPr>
      <w:rFonts w:eastAsiaTheme="majorEastAsia"/>
      <w:b/>
      <w:bCs/>
      <w:sz w:val="24"/>
      <w:szCs w:val="24"/>
    </w:rPr>
  </w:style>
  <w:style w:type="character" w:customStyle="1" w:styleId="34">
    <w:name w:val="标题 8 字符"/>
    <w:basedOn w:val="23"/>
    <w:link w:val="10"/>
    <w:qFormat/>
    <w:uiPriority w:val="9"/>
    <w:rPr>
      <w:rFonts w:asciiTheme="majorHAnsi" w:hAnsiTheme="majorHAnsi" w:eastAsiaTheme="majorEastAsia" w:cstheme="majorBidi"/>
      <w:sz w:val="24"/>
      <w:szCs w:val="24"/>
    </w:rPr>
  </w:style>
  <w:style w:type="character" w:customStyle="1" w:styleId="35">
    <w:name w:val="标题 9 字符"/>
    <w:basedOn w:val="23"/>
    <w:link w:val="11"/>
    <w:qFormat/>
    <w:uiPriority w:val="9"/>
    <w:rPr>
      <w:rFonts w:asciiTheme="majorHAnsi" w:hAnsiTheme="majorHAnsi" w:eastAsiaTheme="majorEastAsia" w:cstheme="majorBidi"/>
      <w:sz w:val="24"/>
      <w:szCs w:val="21"/>
    </w:rPr>
  </w:style>
  <w:style w:type="paragraph" w:styleId="36">
    <w:name w:val="List Paragraph"/>
    <w:basedOn w:val="1"/>
    <w:link w:val="37"/>
    <w:qFormat/>
    <w:uiPriority w:val="34"/>
    <w:pPr>
      <w:ind w:firstLine="420" w:firstLineChars="200"/>
    </w:pPr>
    <w:rPr>
      <w:rFonts w:eastAsiaTheme="majorEastAsia"/>
      <w:szCs w:val="24"/>
    </w:rPr>
  </w:style>
  <w:style w:type="character" w:customStyle="1" w:styleId="37">
    <w:name w:val="列表段落 字符"/>
    <w:link w:val="36"/>
    <w:qFormat/>
    <w:uiPriority w:val="34"/>
    <w:rPr>
      <w:rFonts w:eastAsiaTheme="majorEastAsia"/>
      <w:sz w:val="24"/>
      <w:szCs w:val="24"/>
    </w:rPr>
  </w:style>
  <w:style w:type="character" w:customStyle="1" w:styleId="38">
    <w:name w:val="标题 2 字符1"/>
    <w:qFormat/>
    <w:locked/>
    <w:uiPriority w:val="9"/>
    <w:rPr>
      <w:rFonts w:ascii="Arial" w:hAnsi="Arial" w:eastAsia="黑体"/>
      <w:b/>
      <w:bCs/>
      <w:kern w:val="2"/>
      <w:sz w:val="30"/>
      <w:szCs w:val="30"/>
    </w:rPr>
  </w:style>
  <w:style w:type="character" w:customStyle="1" w:styleId="39">
    <w:name w:val="标题 3 字符1"/>
    <w:qFormat/>
    <w:uiPriority w:val="9"/>
    <w:rPr>
      <w:b/>
      <w:bCs/>
      <w:kern w:val="2"/>
      <w:sz w:val="28"/>
      <w:szCs w:val="28"/>
    </w:rPr>
  </w:style>
  <w:style w:type="paragraph" w:customStyle="1" w:styleId="40">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cstheme="majorBidi"/>
      <w:b w:val="0"/>
      <w:bCs w:val="0"/>
      <w:color w:val="2E75B6" w:themeColor="accent1" w:themeShade="BF"/>
      <w:kern w:val="0"/>
      <w:szCs w:val="32"/>
    </w:rPr>
  </w:style>
  <w:style w:type="character" w:customStyle="1" w:styleId="41">
    <w:name w:val="页眉 字符"/>
    <w:basedOn w:val="23"/>
    <w:link w:val="16"/>
    <w:qFormat/>
    <w:uiPriority w:val="99"/>
    <w:rPr>
      <w:sz w:val="18"/>
      <w:szCs w:val="18"/>
    </w:rPr>
  </w:style>
  <w:style w:type="character" w:customStyle="1" w:styleId="42">
    <w:name w:val="页脚 字符"/>
    <w:basedOn w:val="23"/>
    <w:link w:val="15"/>
    <w:qFormat/>
    <w:uiPriority w:val="99"/>
    <w:rPr>
      <w:sz w:val="18"/>
      <w:szCs w:val="18"/>
    </w:rPr>
  </w:style>
  <w:style w:type="character" w:customStyle="1" w:styleId="43">
    <w:name w:val="批注文字 字符"/>
    <w:basedOn w:val="23"/>
    <w:link w:val="12"/>
    <w:qFormat/>
    <w:uiPriority w:val="99"/>
  </w:style>
  <w:style w:type="character" w:customStyle="1" w:styleId="44">
    <w:name w:val="批注主题 字符"/>
    <w:basedOn w:val="43"/>
    <w:link w:val="20"/>
    <w:semiHidden/>
    <w:qFormat/>
    <w:uiPriority w:val="99"/>
    <w:rPr>
      <w:b/>
      <w:bCs/>
    </w:rPr>
  </w:style>
  <w:style w:type="character" w:customStyle="1" w:styleId="45">
    <w:name w:val="批注框文本 字符"/>
    <w:basedOn w:val="23"/>
    <w:link w:val="14"/>
    <w:semiHidden/>
    <w:qFormat/>
    <w:uiPriority w:val="99"/>
    <w:rPr>
      <w:sz w:val="18"/>
      <w:szCs w:val="18"/>
    </w:rPr>
  </w:style>
  <w:style w:type="character" w:customStyle="1" w:styleId="46">
    <w:name w:val="列出段落 Char2"/>
    <w:qFormat/>
    <w:uiPriority w:val="34"/>
    <w:rPr>
      <w:rFonts w:ascii="Calibri" w:hAnsi="Calibri"/>
      <w:kern w:val="2"/>
      <w:sz w:val="24"/>
      <w:szCs w:val="22"/>
    </w:rPr>
  </w:style>
  <w:style w:type="character" w:customStyle="1" w:styleId="47">
    <w:name w:val="列出段落 字符2"/>
    <w:qFormat/>
    <w:uiPriority w:val="34"/>
    <w:rPr>
      <w:rFonts w:ascii="Calibri" w:hAnsi="Calibri"/>
      <w:kern w:val="2"/>
      <w:sz w:val="24"/>
      <w:szCs w:val="22"/>
    </w:rPr>
  </w:style>
  <w:style w:type="paragraph" w:customStyle="1" w:styleId="48">
    <w:name w:val="标题1"/>
    <w:basedOn w:val="2"/>
    <w:qFormat/>
    <w:uiPriority w:val="0"/>
    <w:pPr>
      <w:numPr>
        <w:numId w:val="0"/>
      </w:numPr>
      <w:spacing w:before="100" w:beforeLines="100" w:after="100" w:afterLines="100" w:line="240" w:lineRule="auto"/>
      <w:jc w:val="left"/>
    </w:pPr>
    <w:rPr>
      <w:rFonts w:eastAsia="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TotalTime>
  <Pages>16</Pages>
  <Words>7651</Words>
  <Characters>7983</Characters>
  <DocSecurity>0</DocSecurity>
  <Lines>73</Lines>
  <Paragraphs>20</Paragraphs>
  <ScaleCrop>false</ScaleCrop>
  <LinksUpToDate>false</LinksUpToDate>
  <CharactersWithSpaces>8014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2026-06-26T02:23:00Z</dcterms:created>
  <dcterms:modified xsi:type="dcterms:W3CDTF">2026-07-03T02:10:49Z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FB34B4722ED24E17A2BF61D8B0330D83_13</vt:lpwstr>
  </property>
  <property fmtid="{D5CDD505-2E9C-101B-9397-08002B2CF9AE}" pid="4" name="KSOTemplateDocerSaveRecord">
    <vt:lpwstr>eyJoZGlkIjoiMDZjMmY0MTE1ODYxYTRlODFhMTQ4YjQwNTZmM2Q4M2EiLCJ1c2VySWQiOiIyOTczNTE4MzEifQ==</vt:lpwstr>
  </property>
</Properties>
</file>