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outlineLvl w:val="0"/>
        <w:rPr>
          <w:rFonts w:hint="eastAsia" w:ascii="宋体" w:hAnsi="宋体" w:eastAsia="宋体" w:cs="宋体"/>
          <w:b/>
          <w:bCs w:val="0"/>
          <w:sz w:val="36"/>
          <w:szCs w:val="36"/>
          <w:highlight w:val="none"/>
          <w:lang w:eastAsia="zh-CN"/>
        </w:rPr>
      </w:pPr>
      <w:bookmarkStart w:id="0" w:name="_GoBack"/>
      <w:r>
        <w:rPr>
          <w:rFonts w:hint="eastAsia" w:ascii="宋体" w:hAnsi="宋体" w:eastAsia="宋体" w:cs="宋体"/>
          <w:b/>
          <w:bCs w:val="0"/>
          <w:sz w:val="36"/>
          <w:szCs w:val="36"/>
          <w:highlight w:val="none"/>
          <w:lang w:eastAsia="zh-CN"/>
        </w:rPr>
        <w:t>上海市长宁区公立医院和社区卫生管理中心医疗服务（智慧医疗）大系统2026运维竞争性磋商项目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outlineLvl w:val="0"/>
        <w:rPr>
          <w:rFonts w:hint="eastAsia" w:ascii="宋体" w:hAnsi="宋体" w:eastAsia="宋体" w:cs="宋体"/>
          <w:b/>
          <w:bCs w:val="0"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  <w:highlight w:val="none"/>
        </w:rPr>
        <w:t>采购需求文件</w:t>
      </w:r>
    </w:p>
    <w:p>
      <w:pPr>
        <w:pStyle w:val="3"/>
        <w:bidi w:val="0"/>
        <w:rPr>
          <w:highlight w:val="none"/>
        </w:rPr>
      </w:pPr>
      <w:r>
        <w:rPr>
          <w:highlight w:val="none"/>
        </w:rPr>
        <w:t>一、项目概况</w:t>
      </w:r>
    </w:p>
    <w:p>
      <w:pPr>
        <w:pStyle w:val="4"/>
        <w:bidi w:val="0"/>
        <w:rPr>
          <w:highlight w:val="none"/>
        </w:rPr>
      </w:pPr>
      <w:r>
        <w:rPr>
          <w:highlight w:val="none"/>
        </w:rPr>
        <w:t>1.1 项目名称</w:t>
      </w:r>
    </w:p>
    <w:p>
      <w:pPr>
        <w:spacing w:line="360" w:lineRule="auto"/>
        <w:ind w:firstLine="480"/>
        <w:rPr>
          <w:highlight w:val="none"/>
        </w:rPr>
      </w:pPr>
      <w:r>
        <w:rPr>
          <w:rFonts w:hint="eastAsia"/>
          <w:b w:val="0"/>
          <w:sz w:val="24"/>
          <w:highlight w:val="none"/>
          <w:lang w:eastAsia="zh-CN"/>
        </w:rPr>
        <w:t>上海市长宁区公立医院和社区卫生管理中心医疗服务（智慧医疗）大系统2026运维竞争性磋商项目</w:t>
      </w:r>
      <w:r>
        <w:rPr>
          <w:rFonts w:ascii="仿宋" w:hAnsi="仿宋" w:eastAsia="仿宋"/>
          <w:b w:val="0"/>
          <w:sz w:val="24"/>
          <w:highlight w:val="none"/>
        </w:rPr>
        <w:t>。</w:t>
      </w:r>
    </w:p>
    <w:p>
      <w:pPr>
        <w:pStyle w:val="4"/>
        <w:bidi w:val="0"/>
        <w:rPr>
          <w:highlight w:val="none"/>
        </w:rPr>
      </w:pPr>
      <w:r>
        <w:rPr>
          <w:highlight w:val="none"/>
        </w:rPr>
        <w:t>1.2 项目背景</w:t>
      </w:r>
    </w:p>
    <w:p>
      <w:pPr>
        <w:spacing w:line="360" w:lineRule="auto"/>
        <w:ind w:firstLine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长宁区已建成区域医疗服务（智慧医疗）大系统，作为区域医疗卫生信息化的核心支撑平台，覆盖区内公立医院、社区卫生服务中心等多家医疗机构</w:t>
      </w:r>
      <w:r>
        <w:rPr>
          <w:rFonts w:hint="eastAsia"/>
          <w:b w:val="0"/>
          <w:sz w:val="24"/>
          <w:highlight w:val="none"/>
          <w:lang w:eastAsia="zh-CN"/>
        </w:rPr>
        <w:t>。</w:t>
      </w:r>
      <w:r>
        <w:rPr>
          <w:rFonts w:ascii="仿宋" w:hAnsi="仿宋" w:eastAsia="仿宋"/>
          <w:b w:val="0"/>
          <w:sz w:val="24"/>
          <w:highlight w:val="none"/>
        </w:rPr>
        <w:t>平台涵盖双向转诊、全流程陪诊及智能诊后随访、区域影像共享、智能助医、互联网护理、区域LIS、卫生核心业务协同等系列应用系统，是支撑临床诊疗、卫生监管与居民就医服务的重要信息化基础设施。</w:t>
      </w:r>
    </w:p>
    <w:p>
      <w:pPr>
        <w:spacing w:line="360" w:lineRule="auto"/>
        <w:ind w:firstLine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随着长宁区医疗卫生信息化的发展，区卫生数据中心项目不断发展和完善，目前长宁区卫生信息数据中心的系统软件、</w:t>
      </w:r>
      <w:r>
        <w:rPr>
          <w:rFonts w:hint="eastAsia"/>
          <w:b w:val="0"/>
          <w:sz w:val="24"/>
          <w:highlight w:val="none"/>
          <w:lang w:val="en-US" w:eastAsia="zh-CN"/>
        </w:rPr>
        <w:t>软</w:t>
      </w:r>
      <w:r>
        <w:rPr>
          <w:rFonts w:hint="eastAsia" w:ascii="仿宋" w:hAnsi="仿宋" w:eastAsia="仿宋"/>
          <w:b w:val="0"/>
          <w:sz w:val="24"/>
          <w:highlight w:val="none"/>
        </w:rPr>
        <w:t>硬件产品、安全产品和数据中心应用系统运行平稳，且已经进入有偿服务期。为保障各信息系统安全、连续、可靠的有效运行，本次项目对卫生数据中心区域卫生软件维护服务进行采购，保障各信息系统的安全、连续、可靠的有效运行。</w:t>
      </w:r>
    </w:p>
    <w:p>
      <w:pPr>
        <w:spacing w:line="360" w:lineRule="auto"/>
        <w:ind w:firstLine="480"/>
        <w:rPr>
          <w:rFonts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本次采购内容为：一年的长宁区医疗服务（智慧医疗）大系统运行维护保修服务。</w:t>
      </w:r>
    </w:p>
    <w:p>
      <w:pPr>
        <w:pStyle w:val="4"/>
        <w:bidi w:val="0"/>
        <w:rPr>
          <w:highlight w:val="none"/>
        </w:rPr>
      </w:pPr>
      <w:r>
        <w:rPr>
          <w:rFonts w:ascii="黑体" w:hAnsi="黑体" w:eastAsia="黑体"/>
          <w:b/>
          <w:sz w:val="28"/>
          <w:highlight w:val="none"/>
        </w:rPr>
        <w:t>1.3 运维目标</w:t>
      </w:r>
    </w:p>
    <w:p>
      <w:pPr>
        <w:spacing w:line="360" w:lineRule="auto"/>
        <w:ind w:firstLine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本次运维服务以保障系统稳定、数据安全、业务连续、服务高效为核心导向，全面支撑长宁区智慧医疗大系统常态化运行。通过专业化、标准化、全流程的运维保障，确保各业务系统全年稳定可靠运行，实现数据采集、存储、传输、共享、调阅及远程协同等功能正常可用，杜绝因系统故障影响医疗机构正常诊疗业务</w:t>
      </w:r>
      <w:r>
        <w:rPr>
          <w:rFonts w:hint="eastAsia"/>
          <w:b w:val="0"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/>
          <w:b w:val="0"/>
          <w:sz w:val="24"/>
          <w:highlight w:val="none"/>
        </w:rPr>
        <w:t>保障各信息系统的安全、连续、可靠的有效运行。</w:t>
      </w:r>
    </w:p>
    <w:p>
      <w:pPr>
        <w:pStyle w:val="4"/>
        <w:bidi w:val="0"/>
        <w:rPr>
          <w:highlight w:val="none"/>
        </w:rPr>
      </w:pPr>
      <w:r>
        <w:rPr>
          <w:rFonts w:ascii="黑体" w:hAnsi="黑体" w:eastAsia="黑体"/>
          <w:b/>
          <w:sz w:val="28"/>
          <w:highlight w:val="none"/>
        </w:rPr>
        <w:t>1.4 采购预算金额</w:t>
      </w:r>
    </w:p>
    <w:p>
      <w:pPr>
        <w:keepNext w:val="0"/>
        <w:keepLines w:val="0"/>
        <w:widowControl/>
        <w:suppressLineNumbers w:val="0"/>
        <w:spacing w:line="360" w:lineRule="auto"/>
        <w:ind w:firstLine="480"/>
        <w:jc w:val="left"/>
        <w:rPr>
          <w:rFonts w:hint="eastAsia"/>
          <w:b w:val="0"/>
          <w:sz w:val="24"/>
          <w:highlight w:val="none"/>
          <w:lang w:eastAsia="zh-CN"/>
        </w:rPr>
      </w:pPr>
      <w:r>
        <w:rPr>
          <w:rFonts w:ascii="仿宋" w:hAnsi="仿宋" w:eastAsia="仿宋"/>
          <w:b w:val="0"/>
          <w:sz w:val="24"/>
          <w:highlight w:val="none"/>
        </w:rPr>
        <w:t xml:space="preserve">本项目总预算金额为人民币 </w:t>
      </w:r>
      <w:r>
        <w:rPr>
          <w:rFonts w:hint="eastAsia"/>
          <w:b w:val="0"/>
          <w:sz w:val="24"/>
          <w:highlight w:val="none"/>
          <w:lang w:val="en-US" w:eastAsia="zh-CN"/>
        </w:rPr>
        <w:t>1</w:t>
      </w:r>
      <w:r>
        <w:rPr>
          <w:rFonts w:ascii="仿宋" w:hAnsi="仿宋" w:eastAsia="仿宋"/>
          <w:b w:val="0"/>
          <w:sz w:val="24"/>
          <w:highlight w:val="none"/>
        </w:rPr>
        <w:t>,</w:t>
      </w:r>
      <w:r>
        <w:rPr>
          <w:rFonts w:hint="eastAsia"/>
          <w:b w:val="0"/>
          <w:sz w:val="24"/>
          <w:highlight w:val="none"/>
          <w:lang w:val="en-US" w:eastAsia="zh-CN"/>
        </w:rPr>
        <w:t>988</w:t>
      </w:r>
      <w:r>
        <w:rPr>
          <w:rFonts w:ascii="仿宋" w:hAnsi="仿宋" w:eastAsia="仿宋"/>
          <w:b w:val="0"/>
          <w:sz w:val="24"/>
          <w:highlight w:val="none"/>
        </w:rPr>
        <w:t>,</w:t>
      </w:r>
      <w:r>
        <w:rPr>
          <w:rFonts w:hint="eastAsia"/>
          <w:b w:val="0"/>
          <w:sz w:val="24"/>
          <w:highlight w:val="none"/>
          <w:lang w:val="en-US" w:eastAsia="zh-CN"/>
        </w:rPr>
        <w:t>789</w:t>
      </w:r>
      <w:r>
        <w:rPr>
          <w:rFonts w:ascii="仿宋" w:hAnsi="仿宋" w:eastAsia="仿宋"/>
          <w:b w:val="0"/>
          <w:sz w:val="24"/>
          <w:highlight w:val="none"/>
        </w:rPr>
        <w:t xml:space="preserve"> 元（大写：</w:t>
      </w:r>
      <w:r>
        <w:rPr>
          <w:rFonts w:ascii="仿宋" w:hAnsi="仿宋" w:eastAsia="仿宋"/>
          <w:b w:val="0"/>
          <w:sz w:val="24"/>
          <w:highlight w:val="none"/>
          <w:lang w:val="en-US" w:eastAsia="zh-CN"/>
        </w:rPr>
        <w:t>壹佰玖拾捌万捌仟柒佰</w:t>
      </w:r>
      <w:r>
        <w:rPr>
          <w:rFonts w:hint="eastAsia"/>
          <w:b w:val="0"/>
          <w:sz w:val="24"/>
          <w:highlight w:val="none"/>
          <w:lang w:val="en-US" w:eastAsia="zh-CN"/>
        </w:rPr>
        <w:t>捌拾</w:t>
      </w:r>
      <w:r>
        <w:rPr>
          <w:rFonts w:ascii="仿宋" w:hAnsi="仿宋" w:eastAsia="仿宋"/>
          <w:b w:val="0"/>
          <w:sz w:val="24"/>
          <w:highlight w:val="none"/>
          <w:lang w:val="en-US" w:eastAsia="zh-CN"/>
        </w:rPr>
        <w:t>玖元整</w:t>
      </w:r>
      <w:r>
        <w:rPr>
          <w:rFonts w:ascii="仿宋" w:hAnsi="仿宋" w:eastAsia="仿宋"/>
          <w:b w:val="0"/>
          <w:sz w:val="24"/>
          <w:highlight w:val="none"/>
        </w:rPr>
        <w:t>）</w:t>
      </w:r>
      <w:r>
        <w:rPr>
          <w:rFonts w:hint="eastAsia"/>
          <w:b w:val="0"/>
          <w:sz w:val="24"/>
          <w:highlight w:val="none"/>
          <w:lang w:eastAsia="zh-CN"/>
        </w:rPr>
        <w:t>。</w:t>
      </w:r>
      <w:r>
        <w:rPr>
          <w:rFonts w:hint="default"/>
          <w:b w:val="0"/>
          <w:sz w:val="24"/>
          <w:highlight w:val="none"/>
          <w:lang w:val="en-US" w:eastAsia="zh-CN"/>
        </w:rPr>
        <w:t>其中，</w:t>
      </w:r>
      <w:r>
        <w:rPr>
          <w:rFonts w:hint="default"/>
          <w:b w:val="0"/>
          <w:sz w:val="24"/>
          <w:highlight w:val="none"/>
          <w:lang w:eastAsia="zh-CN"/>
        </w:rPr>
        <w:t>长宁区</w:t>
      </w:r>
      <w:r>
        <w:rPr>
          <w:rFonts w:hint="default"/>
          <w:b w:val="0"/>
          <w:sz w:val="24"/>
          <w:highlight w:val="none"/>
          <w:lang w:val="en-US" w:eastAsia="zh-CN"/>
        </w:rPr>
        <w:t>卫生核心系统不超过32.466万元；区域医疗机构LIS系统和互联网护理平台维护服务不超过17.8万元；区卫健委影像共享平台不超过52.9219万元；全流程陪诊及智能诊后随访</w:t>
      </w:r>
      <w:r>
        <w:rPr>
          <w:rFonts w:hint="eastAsia"/>
          <w:b w:val="0"/>
          <w:sz w:val="24"/>
          <w:highlight w:val="none"/>
          <w:lang w:val="en-US" w:eastAsia="zh-CN"/>
        </w:rPr>
        <w:t>服务</w:t>
      </w:r>
      <w:r>
        <w:rPr>
          <w:rFonts w:hint="default"/>
          <w:b w:val="0"/>
          <w:sz w:val="24"/>
          <w:highlight w:val="none"/>
          <w:lang w:val="en-US" w:eastAsia="zh-CN"/>
        </w:rPr>
        <w:t>不超过</w:t>
      </w:r>
      <w:r>
        <w:rPr>
          <w:rFonts w:hint="eastAsia"/>
          <w:b w:val="0"/>
          <w:sz w:val="24"/>
          <w:highlight w:val="none"/>
          <w:lang w:val="en-US" w:eastAsia="zh-CN"/>
        </w:rPr>
        <w:t>63.16</w:t>
      </w:r>
      <w:r>
        <w:rPr>
          <w:rFonts w:hint="default"/>
          <w:b w:val="0"/>
          <w:sz w:val="24"/>
          <w:highlight w:val="none"/>
          <w:lang w:val="en-US" w:eastAsia="zh-CN"/>
        </w:rPr>
        <w:t>万元</w:t>
      </w:r>
      <w:r>
        <w:rPr>
          <w:rFonts w:hint="eastAsia"/>
          <w:b w:val="0"/>
          <w:sz w:val="24"/>
          <w:highlight w:val="none"/>
          <w:lang w:val="en-US" w:eastAsia="zh-CN"/>
        </w:rPr>
        <w:t>，</w:t>
      </w:r>
      <w:r>
        <w:rPr>
          <w:rFonts w:hint="default"/>
          <w:b w:val="0"/>
          <w:sz w:val="24"/>
          <w:highlight w:val="none"/>
          <w:lang w:val="en-US" w:eastAsia="zh-CN"/>
        </w:rPr>
        <w:t>双向转诊一体化平台</w:t>
      </w:r>
      <w:r>
        <w:rPr>
          <w:rFonts w:hint="eastAsia"/>
          <w:b w:val="0"/>
          <w:sz w:val="24"/>
          <w:highlight w:val="none"/>
          <w:lang w:val="en-US" w:eastAsia="zh-CN"/>
        </w:rPr>
        <w:t>不超过6.68万元，</w:t>
      </w:r>
      <w:r>
        <w:rPr>
          <w:rFonts w:hint="default"/>
          <w:b w:val="0"/>
          <w:sz w:val="24"/>
          <w:highlight w:val="none"/>
          <w:lang w:val="en-US" w:eastAsia="zh-CN"/>
        </w:rPr>
        <w:t>长宁区卫健委“智能助医”信息化建设项目</w:t>
      </w:r>
      <w:r>
        <w:rPr>
          <w:rFonts w:hint="eastAsia"/>
          <w:b w:val="0"/>
          <w:sz w:val="24"/>
          <w:highlight w:val="none"/>
          <w:lang w:val="en-US" w:eastAsia="zh-CN"/>
        </w:rPr>
        <w:t>不超过25.851万元</w:t>
      </w:r>
      <w:r>
        <w:rPr>
          <w:rFonts w:hint="default"/>
          <w:b w:val="0"/>
          <w:sz w:val="24"/>
          <w:highlight w:val="none"/>
          <w:lang w:val="en-US" w:eastAsia="zh-CN"/>
        </w:rPr>
        <w:t>。</w:t>
      </w:r>
    </w:p>
    <w:p>
      <w:pPr>
        <w:pStyle w:val="4"/>
        <w:bidi w:val="0"/>
        <w:rPr>
          <w:highlight w:val="none"/>
        </w:rPr>
      </w:pPr>
      <w:r>
        <w:rPr>
          <w:rFonts w:ascii="黑体" w:hAnsi="黑体" w:eastAsia="黑体"/>
          <w:b/>
          <w:sz w:val="28"/>
          <w:highlight w:val="none"/>
        </w:rPr>
        <w:t>1.5 服务期限</w:t>
      </w:r>
    </w:p>
    <w:p>
      <w:pPr>
        <w:spacing w:line="360" w:lineRule="auto"/>
        <w:ind w:firstLine="480"/>
        <w:rPr>
          <w:highlight w:val="none"/>
        </w:rPr>
      </w:pPr>
      <w:r>
        <w:rPr>
          <w:rFonts w:hint="eastAsia"/>
          <w:b w:val="0"/>
          <w:sz w:val="24"/>
          <w:highlight w:val="none"/>
          <w:lang w:val="en-US" w:eastAsia="zh-CN"/>
        </w:rPr>
        <w:t>12个月</w:t>
      </w:r>
      <w:r>
        <w:rPr>
          <w:rFonts w:ascii="仿宋" w:hAnsi="仿宋" w:eastAsia="仿宋"/>
          <w:b w:val="0"/>
          <w:sz w:val="24"/>
          <w:highlight w:val="none"/>
        </w:rPr>
        <w:t>。</w:t>
      </w:r>
    </w:p>
    <w:p>
      <w:pPr>
        <w:pStyle w:val="3"/>
        <w:bidi w:val="0"/>
        <w:rPr>
          <w:highlight w:val="none"/>
        </w:rPr>
      </w:pPr>
      <w:r>
        <w:rPr>
          <w:highlight w:val="none"/>
        </w:rPr>
        <w:t>二、运维服务总则</w:t>
      </w:r>
    </w:p>
    <w:p>
      <w:pPr>
        <w:spacing w:line="360" w:lineRule="auto"/>
        <w:ind w:firstLine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本项目运维服务遵循以下总体原则：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/>
          <w:sz w:val="24"/>
          <w:highlight w:val="none"/>
        </w:rPr>
        <w:t>（1）安全性：</w:t>
      </w:r>
      <w:r>
        <w:rPr>
          <w:rFonts w:ascii="仿宋" w:hAnsi="仿宋" w:eastAsia="仿宋"/>
          <w:b w:val="0"/>
          <w:sz w:val="24"/>
          <w:highlight w:val="none"/>
        </w:rPr>
        <w:t>由于本项目是长宁区卫生健康委员会重要业务系统的运维保障需求，必须确保系统的安全、有效，并且在出现故障后能得到及时的修复。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/>
          <w:sz w:val="24"/>
          <w:highlight w:val="none"/>
        </w:rPr>
        <w:t>（2）可用性：</w:t>
      </w:r>
      <w:r>
        <w:rPr>
          <w:rFonts w:ascii="仿宋" w:hAnsi="仿宋" w:eastAsia="仿宋"/>
          <w:b w:val="0"/>
          <w:sz w:val="24"/>
          <w:highlight w:val="none"/>
        </w:rPr>
        <w:t>必须确保系统的可用性，尽可能减少故障的发生，保障各业务系统持续稳定运行。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/>
          <w:sz w:val="24"/>
          <w:highlight w:val="none"/>
        </w:rPr>
        <w:t>（3）保护原有投资：</w:t>
      </w:r>
      <w:r>
        <w:rPr>
          <w:rFonts w:ascii="仿宋" w:hAnsi="仿宋" w:eastAsia="仿宋"/>
          <w:b w:val="0"/>
          <w:sz w:val="24"/>
          <w:highlight w:val="none"/>
        </w:rPr>
        <w:t>国家财政要求尽可能保护原有的投资，因此采用“有保续保”的原则，尽可能采用购买续保的方式，对原有系统的设备进行充分利用，保护原有投资。</w:t>
      </w:r>
    </w:p>
    <w:p>
      <w:pPr>
        <w:pStyle w:val="3"/>
        <w:bidi w:val="0"/>
        <w:rPr>
          <w:highlight w:val="none"/>
        </w:rPr>
      </w:pPr>
      <w:r>
        <w:rPr>
          <w:rFonts w:ascii="黑体" w:hAnsi="黑体" w:eastAsia="黑体"/>
          <w:b/>
          <w:sz w:val="32"/>
          <w:highlight w:val="none"/>
        </w:rPr>
        <w:t>三、运维范围与内容</w:t>
      </w:r>
    </w:p>
    <w:p>
      <w:pPr>
        <w:pStyle w:val="4"/>
        <w:bidi w:val="0"/>
        <w:rPr>
          <w:highlight w:val="none"/>
        </w:rPr>
      </w:pPr>
      <w:r>
        <w:rPr>
          <w:highlight w:val="none"/>
        </w:rPr>
        <w:t>3.1软件运维</w:t>
      </w:r>
      <w:r>
        <w:rPr>
          <w:rFonts w:hint="eastAsia"/>
          <w:highlight w:val="none"/>
          <w:lang w:val="en-US" w:eastAsia="zh-CN"/>
        </w:rPr>
        <w:t>总览</w:t>
      </w:r>
    </w:p>
    <w:tbl>
      <w:tblPr>
        <w:tblStyle w:val="34"/>
        <w:tblW w:w="480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2902"/>
        <w:gridCol w:w="2638"/>
        <w:gridCol w:w="26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1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序号</w:t>
            </w:r>
          </w:p>
        </w:tc>
        <w:tc>
          <w:tcPr>
            <w:tcW w:w="162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黑体" w:eastAsia="黑体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b/>
                <w:sz w:val="24"/>
                <w:highlight w:val="none"/>
                <w:lang w:val="en-US" w:eastAsia="zh-CN"/>
              </w:rPr>
              <w:t>系统</w:t>
            </w:r>
          </w:p>
        </w:tc>
        <w:tc>
          <w:tcPr>
            <w:tcW w:w="1479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黑体" w:eastAsia="黑体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b/>
                <w:sz w:val="24"/>
                <w:highlight w:val="none"/>
                <w:lang w:val="en-US" w:eastAsia="zh-CN"/>
              </w:rPr>
              <w:t>子系统</w:t>
            </w:r>
          </w:p>
        </w:tc>
        <w:tc>
          <w:tcPr>
            <w:tcW w:w="1479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维护</w:t>
            </w:r>
            <w:r>
              <w:rPr>
                <w:rFonts w:hint="eastAsia" w:ascii="黑体" w:hAnsi="黑体" w:eastAsia="黑体"/>
                <w:b/>
                <w:sz w:val="24"/>
                <w:highlight w:val="none"/>
                <w:lang w:val="en-US" w:eastAsia="zh-CN"/>
              </w:rPr>
              <w:t>金额限价（万元）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</w:t>
            </w:r>
          </w:p>
        </w:tc>
        <w:tc>
          <w:tcPr>
            <w:tcW w:w="1627" w:type="pct"/>
            <w:vMerge w:val="restart"/>
            <w:vAlign w:val="center"/>
          </w:tcPr>
          <w:p>
            <w:pPr>
              <w:rPr>
                <w:highlight w:val="none"/>
              </w:rPr>
            </w:pPr>
            <w:r>
              <w:rPr>
                <w:rFonts w:hint="default"/>
                <w:b w:val="0"/>
                <w:sz w:val="24"/>
                <w:highlight w:val="none"/>
                <w:lang w:eastAsia="zh-CN"/>
              </w:rPr>
              <w:t>医疗服务（智慧医疗）大系统</w:t>
            </w:r>
          </w:p>
        </w:tc>
        <w:tc>
          <w:tcPr>
            <w:tcW w:w="1479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hint="default"/>
                <w:b w:val="0"/>
                <w:sz w:val="24"/>
                <w:highlight w:val="none"/>
                <w:lang w:eastAsia="zh-CN"/>
              </w:rPr>
              <w:t>长宁区</w:t>
            </w:r>
            <w:r>
              <w:rPr>
                <w:rFonts w:hint="default"/>
                <w:b w:val="0"/>
                <w:sz w:val="24"/>
                <w:highlight w:val="none"/>
                <w:lang w:val="en-US" w:eastAsia="zh-CN"/>
              </w:rPr>
              <w:t>卫生核心系统</w:t>
            </w:r>
          </w:p>
        </w:tc>
        <w:tc>
          <w:tcPr>
            <w:tcW w:w="1479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/>
                <w:b w:val="0"/>
                <w:sz w:val="24"/>
                <w:highlight w:val="none"/>
                <w:lang w:val="en-US" w:eastAsia="zh-CN"/>
              </w:rPr>
            </w:pPr>
            <w:r>
              <w:rPr>
                <w:rFonts w:hint="default"/>
                <w:b w:val="0"/>
                <w:sz w:val="24"/>
                <w:highlight w:val="none"/>
                <w:lang w:val="en-US" w:eastAsia="zh-CN"/>
              </w:rPr>
              <w:t>32.466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2</w:t>
            </w:r>
          </w:p>
        </w:tc>
        <w:tc>
          <w:tcPr>
            <w:tcW w:w="1627" w:type="pct"/>
            <w:vMerge w:val="continue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</w:p>
        </w:tc>
        <w:tc>
          <w:tcPr>
            <w:tcW w:w="1479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hint="default"/>
                <w:b w:val="0"/>
                <w:sz w:val="24"/>
                <w:highlight w:val="none"/>
                <w:lang w:val="en-US" w:eastAsia="zh-CN"/>
              </w:rPr>
              <w:t>互联网护理平台</w:t>
            </w:r>
          </w:p>
        </w:tc>
        <w:tc>
          <w:tcPr>
            <w:tcW w:w="1479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/>
                <w:b w:val="0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sz w:val="24"/>
                <w:highlight w:val="none"/>
                <w:lang w:val="en-US" w:eastAsia="zh-CN"/>
              </w:rPr>
              <w:t>8.76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b w:val="0"/>
                <w:sz w:val="24"/>
                <w:highlight w:val="none"/>
              </w:rPr>
            </w:pPr>
          </w:p>
        </w:tc>
        <w:tc>
          <w:tcPr>
            <w:tcW w:w="1627" w:type="pct"/>
            <w:vMerge w:val="continue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</w:p>
        </w:tc>
        <w:tc>
          <w:tcPr>
            <w:tcW w:w="1479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/>
                <w:b w:val="0"/>
                <w:sz w:val="24"/>
                <w:highlight w:val="none"/>
                <w:lang w:val="en-US" w:eastAsia="zh-CN"/>
              </w:rPr>
            </w:pPr>
            <w:r>
              <w:rPr>
                <w:rFonts w:hint="default"/>
                <w:b w:val="0"/>
                <w:sz w:val="24"/>
                <w:highlight w:val="none"/>
                <w:lang w:val="en-US" w:eastAsia="zh-CN"/>
              </w:rPr>
              <w:t>区域医疗机构LIS系统</w:t>
            </w:r>
          </w:p>
        </w:tc>
        <w:tc>
          <w:tcPr>
            <w:tcW w:w="1479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/>
                <w:b w:val="0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sz w:val="24"/>
                <w:highlight w:val="none"/>
                <w:lang w:val="en-US" w:eastAsia="zh-CN"/>
              </w:rPr>
              <w:t>9.04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3</w:t>
            </w:r>
          </w:p>
        </w:tc>
        <w:tc>
          <w:tcPr>
            <w:tcW w:w="1627" w:type="pct"/>
            <w:vMerge w:val="continue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</w:p>
        </w:tc>
        <w:tc>
          <w:tcPr>
            <w:tcW w:w="1479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hint="default"/>
                <w:b w:val="0"/>
                <w:sz w:val="24"/>
                <w:highlight w:val="none"/>
                <w:lang w:val="en-US" w:eastAsia="zh-CN"/>
              </w:rPr>
              <w:t>区卫健委影像共享平台</w:t>
            </w:r>
          </w:p>
        </w:tc>
        <w:tc>
          <w:tcPr>
            <w:tcW w:w="1479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/>
                <w:b w:val="0"/>
                <w:sz w:val="24"/>
                <w:highlight w:val="none"/>
                <w:lang w:val="en-US" w:eastAsia="zh-CN"/>
              </w:rPr>
            </w:pPr>
            <w:r>
              <w:rPr>
                <w:rFonts w:hint="default"/>
                <w:b w:val="0"/>
                <w:sz w:val="24"/>
                <w:highlight w:val="none"/>
                <w:lang w:val="en-US" w:eastAsia="zh-CN"/>
              </w:rPr>
              <w:t>52.9219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2" w:type="pct"/>
            <w:vAlign w:val="center"/>
          </w:tcPr>
          <w:p>
            <w:pPr>
              <w:jc w:val="center"/>
              <w:rPr>
                <w:rFonts w:hint="eastAsia" w:eastAsia="仿宋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</w:t>
            </w:r>
          </w:p>
        </w:tc>
        <w:tc>
          <w:tcPr>
            <w:tcW w:w="1627" w:type="pct"/>
            <w:vMerge w:val="continue"/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479" w:type="pct"/>
            <w:vAlign w:val="center"/>
          </w:tcPr>
          <w:p>
            <w:pPr>
              <w:keepNext/>
              <w:snapToGrid w:val="0"/>
              <w:spacing w:after="0" w:line="240" w:lineRule="auto"/>
              <w:rPr>
                <w:highlight w:val="none"/>
                <w:lang w:eastAsia="zh-CN"/>
              </w:rPr>
            </w:pPr>
            <w:r>
              <w:rPr>
                <w:rFonts w:hint="default"/>
                <w:b w:val="0"/>
                <w:sz w:val="24"/>
                <w:highlight w:val="none"/>
                <w:lang w:val="en-US" w:eastAsia="zh-CN"/>
              </w:rPr>
              <w:t>全流程陪诊及智能诊后随访</w:t>
            </w:r>
          </w:p>
        </w:tc>
        <w:tc>
          <w:tcPr>
            <w:tcW w:w="1479" w:type="pct"/>
            <w:vAlign w:val="center"/>
          </w:tcPr>
          <w:p>
            <w:pPr>
              <w:keepNext/>
              <w:snapToGrid w:val="0"/>
              <w:spacing w:after="0" w:line="240" w:lineRule="auto"/>
              <w:rPr>
                <w:rFonts w:hint="default"/>
                <w:b w:val="0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sz w:val="24"/>
                <w:highlight w:val="none"/>
                <w:lang w:val="en-US" w:eastAsia="zh-CN"/>
              </w:rPr>
              <w:t>63.16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2" w:type="pct"/>
            <w:vAlign w:val="center"/>
          </w:tcPr>
          <w:p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5</w:t>
            </w:r>
          </w:p>
        </w:tc>
        <w:tc>
          <w:tcPr>
            <w:tcW w:w="1627" w:type="pct"/>
            <w:vMerge w:val="continue"/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479" w:type="pct"/>
            <w:vAlign w:val="center"/>
          </w:tcPr>
          <w:p>
            <w:pPr>
              <w:keepNext/>
              <w:snapToGrid w:val="0"/>
              <w:spacing w:after="0" w:line="240" w:lineRule="auto"/>
              <w:rPr>
                <w:rFonts w:hint="default"/>
                <w:b w:val="0"/>
                <w:sz w:val="24"/>
                <w:highlight w:val="none"/>
                <w:lang w:val="en-US" w:eastAsia="zh-CN"/>
              </w:rPr>
            </w:pPr>
            <w:r>
              <w:rPr>
                <w:rFonts w:hint="default"/>
                <w:b w:val="0"/>
                <w:sz w:val="24"/>
                <w:highlight w:val="none"/>
                <w:lang w:val="en-US" w:eastAsia="zh-CN"/>
              </w:rPr>
              <w:t>双向转诊一体化平台</w:t>
            </w:r>
          </w:p>
        </w:tc>
        <w:tc>
          <w:tcPr>
            <w:tcW w:w="1479" w:type="pct"/>
            <w:vAlign w:val="center"/>
          </w:tcPr>
          <w:p>
            <w:pPr>
              <w:keepNext/>
              <w:snapToGrid w:val="0"/>
              <w:spacing w:after="0" w:line="240" w:lineRule="auto"/>
              <w:rPr>
                <w:rFonts w:hint="default"/>
                <w:b w:val="0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sz w:val="24"/>
                <w:highlight w:val="none"/>
                <w:lang w:val="en-US" w:eastAsia="zh-CN"/>
              </w:rPr>
              <w:t>6.68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2" w:type="pct"/>
            <w:vAlign w:val="center"/>
          </w:tcPr>
          <w:p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6</w:t>
            </w:r>
          </w:p>
        </w:tc>
        <w:tc>
          <w:tcPr>
            <w:tcW w:w="1627" w:type="pct"/>
            <w:vMerge w:val="continue"/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479" w:type="pct"/>
            <w:vAlign w:val="center"/>
          </w:tcPr>
          <w:p>
            <w:pPr>
              <w:keepNext/>
              <w:snapToGrid w:val="0"/>
              <w:spacing w:after="0" w:line="240" w:lineRule="auto"/>
              <w:rPr>
                <w:rFonts w:hint="default"/>
                <w:b w:val="0"/>
                <w:sz w:val="24"/>
                <w:highlight w:val="none"/>
                <w:lang w:val="en-US" w:eastAsia="zh-CN"/>
              </w:rPr>
            </w:pPr>
            <w:r>
              <w:rPr>
                <w:rFonts w:hint="default"/>
                <w:b w:val="0"/>
                <w:sz w:val="24"/>
                <w:highlight w:val="none"/>
                <w:lang w:val="en-US" w:eastAsia="zh-CN"/>
              </w:rPr>
              <w:t>长宁区卫健委“智能助医”信息化建设项目</w:t>
            </w:r>
          </w:p>
        </w:tc>
        <w:tc>
          <w:tcPr>
            <w:tcW w:w="1479" w:type="pct"/>
            <w:vAlign w:val="center"/>
          </w:tcPr>
          <w:p>
            <w:pPr>
              <w:keepNext/>
              <w:snapToGrid w:val="0"/>
              <w:spacing w:after="0" w:line="240" w:lineRule="auto"/>
              <w:rPr>
                <w:rFonts w:hint="default"/>
                <w:b w:val="0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sz w:val="24"/>
                <w:highlight w:val="none"/>
                <w:lang w:val="en-US" w:eastAsia="zh-CN"/>
              </w:rPr>
              <w:t>25.851</w:t>
            </w:r>
          </w:p>
        </w:tc>
      </w:tr>
    </w:tbl>
    <w:p>
      <w:pPr>
        <w:rPr>
          <w:rFonts w:ascii="黑体" w:hAnsi="黑体" w:eastAsia="黑体"/>
          <w:b/>
          <w:sz w:val="28"/>
          <w:highlight w:val="none"/>
        </w:rPr>
      </w:pPr>
      <w:r>
        <w:rPr>
          <w:rFonts w:hint="eastAsia" w:cs="宋体"/>
          <w:b/>
          <w:bCs/>
          <w:color w:val="auto"/>
          <w:highlight w:val="none"/>
          <w:lang w:val="en-US" w:eastAsia="zh-CN"/>
        </w:rPr>
        <w:t>注：供应商的分项报价不得超过采购需求文件中明确的维护金额限价。</w:t>
      </w:r>
    </w:p>
    <w:p>
      <w:pPr>
        <w:rPr>
          <w:rFonts w:hint="eastAsia" w:ascii="黑体" w:hAnsi="黑体" w:eastAsia="黑体"/>
          <w:b/>
          <w:sz w:val="28"/>
          <w:highlight w:val="none"/>
          <w:lang w:eastAsia="zh-CN"/>
        </w:rPr>
      </w:pPr>
      <w:r>
        <w:rPr>
          <w:rFonts w:ascii="黑体" w:hAnsi="黑体" w:eastAsia="黑体"/>
          <w:b/>
          <w:sz w:val="28"/>
          <w:highlight w:val="none"/>
        </w:rPr>
        <w:t>3.</w:t>
      </w:r>
      <w:r>
        <w:rPr>
          <w:rFonts w:hint="eastAsia" w:ascii="黑体" w:hAnsi="黑体" w:eastAsia="黑体"/>
          <w:b/>
          <w:sz w:val="28"/>
          <w:highlight w:val="none"/>
          <w:lang w:val="en-US" w:eastAsia="zh-CN"/>
        </w:rPr>
        <w:t>2</w:t>
      </w:r>
      <w:r>
        <w:rPr>
          <w:rFonts w:ascii="黑体" w:hAnsi="黑体" w:eastAsia="黑体"/>
          <w:b/>
          <w:sz w:val="28"/>
          <w:highlight w:val="none"/>
        </w:rPr>
        <w:t>软件运维</w:t>
      </w:r>
      <w:r>
        <w:rPr>
          <w:rFonts w:hint="eastAsia" w:ascii="黑体" w:hAnsi="黑体" w:eastAsia="黑体"/>
          <w:b/>
          <w:sz w:val="28"/>
          <w:highlight w:val="none"/>
          <w:lang w:val="en-US" w:eastAsia="zh-CN"/>
        </w:rPr>
        <w:t>明细</w:t>
      </w:r>
    </w:p>
    <w:tbl>
      <w:tblPr>
        <w:tblStyle w:val="34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2904"/>
        <w:gridCol w:w="2637"/>
        <w:gridCol w:w="1824"/>
        <w:gridCol w:w="11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9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序号</w:t>
            </w:r>
          </w:p>
        </w:tc>
        <w:tc>
          <w:tcPr>
            <w:tcW w:w="1565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分类</w:t>
            </w:r>
          </w:p>
        </w:tc>
        <w:tc>
          <w:tcPr>
            <w:tcW w:w="142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维护内容</w:t>
            </w:r>
          </w:p>
        </w:tc>
        <w:tc>
          <w:tcPr>
            <w:tcW w:w="98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服务方式和内容</w:t>
            </w:r>
          </w:p>
        </w:tc>
        <w:tc>
          <w:tcPr>
            <w:tcW w:w="63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续保年限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</w:t>
            </w:r>
          </w:p>
        </w:tc>
        <w:tc>
          <w:tcPr>
            <w:tcW w:w="1565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双向转诊一体化平台</w:t>
            </w:r>
          </w:p>
        </w:tc>
        <w:tc>
          <w:tcPr>
            <w:tcW w:w="142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双向转诊一体化平台（PC端）</w:t>
            </w:r>
          </w:p>
        </w:tc>
        <w:tc>
          <w:tcPr>
            <w:tcW w:w="98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eastAsia="仿宋"/>
                <w:highlight w:val="none"/>
                <w:lang w:eastAsia="zh-CN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软件运维服务</w:t>
            </w:r>
          </w:p>
        </w:tc>
        <w:tc>
          <w:tcPr>
            <w:tcW w:w="63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2</w:t>
            </w:r>
          </w:p>
        </w:tc>
        <w:tc>
          <w:tcPr>
            <w:tcW w:w="1565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双向转诊一体化平台</w:t>
            </w:r>
          </w:p>
        </w:tc>
        <w:tc>
          <w:tcPr>
            <w:tcW w:w="142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双向转诊一体化平台（移动端）</w:t>
            </w:r>
          </w:p>
        </w:tc>
        <w:tc>
          <w:tcPr>
            <w:tcW w:w="98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eastAsia="仿宋"/>
                <w:highlight w:val="none"/>
                <w:lang w:eastAsia="zh-CN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软件运维服务</w:t>
            </w:r>
          </w:p>
        </w:tc>
        <w:tc>
          <w:tcPr>
            <w:tcW w:w="63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3</w:t>
            </w:r>
          </w:p>
        </w:tc>
        <w:tc>
          <w:tcPr>
            <w:tcW w:w="1565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全流程陪诊及智能诊后随访</w:t>
            </w:r>
          </w:p>
        </w:tc>
        <w:tc>
          <w:tcPr>
            <w:tcW w:w="142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全流程陪诊系统</w:t>
            </w:r>
          </w:p>
        </w:tc>
        <w:tc>
          <w:tcPr>
            <w:tcW w:w="98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软件运维服务</w:t>
            </w:r>
          </w:p>
        </w:tc>
        <w:tc>
          <w:tcPr>
            <w:tcW w:w="63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eastAsia="仿宋"/>
                <w:highlight w:val="none"/>
                <w:lang w:eastAsia="zh-CN"/>
              </w:rPr>
            </w:pPr>
            <w:r>
              <w:rPr>
                <w:rFonts w:hint="eastAsia"/>
                <w:b w:val="0"/>
                <w:sz w:val="24"/>
                <w:highlight w:val="none"/>
                <w:lang w:val="en-US" w:eastAsia="zh-CN"/>
              </w:rPr>
              <w:t>4</w:t>
            </w:r>
          </w:p>
        </w:tc>
        <w:tc>
          <w:tcPr>
            <w:tcW w:w="1565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区卫健委影像共享平台</w:t>
            </w:r>
          </w:p>
        </w:tc>
        <w:tc>
          <w:tcPr>
            <w:tcW w:w="142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长宁区域影像共享平台（一期）</w:t>
            </w:r>
          </w:p>
        </w:tc>
        <w:tc>
          <w:tcPr>
            <w:tcW w:w="98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软件运维服务</w:t>
            </w:r>
          </w:p>
        </w:tc>
        <w:tc>
          <w:tcPr>
            <w:tcW w:w="63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eastAsia="仿宋"/>
                <w:highlight w:val="none"/>
                <w:lang w:eastAsia="zh-CN"/>
              </w:rPr>
            </w:pPr>
            <w:r>
              <w:rPr>
                <w:rFonts w:hint="eastAsia"/>
                <w:b w:val="0"/>
                <w:sz w:val="24"/>
                <w:highlight w:val="none"/>
                <w:lang w:val="en-US" w:eastAsia="zh-CN"/>
              </w:rPr>
              <w:t>5</w:t>
            </w:r>
          </w:p>
        </w:tc>
        <w:tc>
          <w:tcPr>
            <w:tcW w:w="1565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区卫健委影像共享平台</w:t>
            </w:r>
          </w:p>
        </w:tc>
        <w:tc>
          <w:tcPr>
            <w:tcW w:w="142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长宁区域影像共享平台（二期）</w:t>
            </w:r>
          </w:p>
        </w:tc>
        <w:tc>
          <w:tcPr>
            <w:tcW w:w="98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软件运维服务</w:t>
            </w:r>
          </w:p>
        </w:tc>
        <w:tc>
          <w:tcPr>
            <w:tcW w:w="63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eastAsia="仿宋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6</w:t>
            </w:r>
          </w:p>
        </w:tc>
        <w:tc>
          <w:tcPr>
            <w:tcW w:w="1565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长宁区卫健委“智能助医”信息化建设项目</w:t>
            </w:r>
          </w:p>
        </w:tc>
        <w:tc>
          <w:tcPr>
            <w:tcW w:w="142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医学智能语音能力平台</w:t>
            </w:r>
          </w:p>
        </w:tc>
        <w:tc>
          <w:tcPr>
            <w:tcW w:w="98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软件运维服务</w:t>
            </w:r>
          </w:p>
        </w:tc>
        <w:tc>
          <w:tcPr>
            <w:tcW w:w="63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仿宋" w:hAnsi="仿宋" w:eastAsia="仿宋" w:cstheme="minorBidi"/>
                <w:sz w:val="24"/>
                <w:szCs w:val="22"/>
                <w:highlight w:val="none"/>
                <w:lang w:val="en-US" w:eastAsia="en-US" w:bidi="ar-SA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7</w:t>
            </w:r>
          </w:p>
        </w:tc>
        <w:tc>
          <w:tcPr>
            <w:tcW w:w="1565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长宁区卫健委“智能助医”信息化建设项目</w:t>
            </w:r>
          </w:p>
        </w:tc>
        <w:tc>
          <w:tcPr>
            <w:tcW w:w="142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电子病历语音输入系统</w:t>
            </w:r>
          </w:p>
        </w:tc>
        <w:tc>
          <w:tcPr>
            <w:tcW w:w="98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软件运维服务</w:t>
            </w:r>
          </w:p>
        </w:tc>
        <w:tc>
          <w:tcPr>
            <w:tcW w:w="63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仿宋" w:hAnsi="仿宋" w:eastAsia="仿宋" w:cstheme="minorBidi"/>
                <w:sz w:val="24"/>
                <w:szCs w:val="22"/>
                <w:highlight w:val="none"/>
                <w:lang w:val="en-US" w:eastAsia="en-US" w:bidi="ar-SA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8</w:t>
            </w:r>
          </w:p>
        </w:tc>
        <w:tc>
          <w:tcPr>
            <w:tcW w:w="1565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长宁区卫健委“智能助医”信息化建设项目</w:t>
            </w:r>
          </w:p>
        </w:tc>
        <w:tc>
          <w:tcPr>
            <w:tcW w:w="142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慢病智能管理系统</w:t>
            </w:r>
          </w:p>
        </w:tc>
        <w:tc>
          <w:tcPr>
            <w:tcW w:w="98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软件运维服务</w:t>
            </w:r>
          </w:p>
        </w:tc>
        <w:tc>
          <w:tcPr>
            <w:tcW w:w="63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仿宋" w:hAnsi="仿宋" w:eastAsia="仿宋" w:cstheme="minorBidi"/>
                <w:sz w:val="24"/>
                <w:szCs w:val="22"/>
                <w:highlight w:val="none"/>
                <w:lang w:val="en-US" w:eastAsia="en-US" w:bidi="ar-SA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9</w:t>
            </w:r>
          </w:p>
        </w:tc>
        <w:tc>
          <w:tcPr>
            <w:tcW w:w="1565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互联网护理平台</w:t>
            </w:r>
          </w:p>
        </w:tc>
        <w:tc>
          <w:tcPr>
            <w:tcW w:w="142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互联网护理平台</w:t>
            </w:r>
          </w:p>
        </w:tc>
        <w:tc>
          <w:tcPr>
            <w:tcW w:w="98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软件运维服务</w:t>
            </w:r>
          </w:p>
        </w:tc>
        <w:tc>
          <w:tcPr>
            <w:tcW w:w="63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仿宋" w:hAnsi="仿宋" w:eastAsia="仿宋" w:cstheme="minorBidi"/>
                <w:sz w:val="24"/>
                <w:szCs w:val="22"/>
                <w:highlight w:val="none"/>
                <w:lang w:val="en-US" w:eastAsia="en-US" w:bidi="ar-SA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10</w:t>
            </w:r>
          </w:p>
        </w:tc>
        <w:tc>
          <w:tcPr>
            <w:tcW w:w="1565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区域医疗机构LIS系统</w:t>
            </w:r>
          </w:p>
        </w:tc>
        <w:tc>
          <w:tcPr>
            <w:tcW w:w="142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LIS系统</w:t>
            </w:r>
          </w:p>
        </w:tc>
        <w:tc>
          <w:tcPr>
            <w:tcW w:w="98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软件运维服务</w:t>
            </w:r>
          </w:p>
        </w:tc>
        <w:tc>
          <w:tcPr>
            <w:tcW w:w="63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theme="minorBidi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11</w:t>
            </w:r>
          </w:p>
        </w:tc>
        <w:tc>
          <w:tcPr>
            <w:tcW w:w="1565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长宁区卫生核心系统</w:t>
            </w:r>
          </w:p>
        </w:tc>
        <w:tc>
          <w:tcPr>
            <w:tcW w:w="142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二三级医院体检数据采集</w:t>
            </w:r>
          </w:p>
        </w:tc>
        <w:tc>
          <w:tcPr>
            <w:tcW w:w="98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软件运维服务</w:t>
            </w:r>
          </w:p>
        </w:tc>
        <w:tc>
          <w:tcPr>
            <w:tcW w:w="63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theme="minorBidi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</w:t>
            </w:r>
            <w:r>
              <w:rPr>
                <w:rFonts w:hint="eastAsia"/>
                <w:b w:val="0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1565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长宁区卫生核心系统</w:t>
            </w:r>
          </w:p>
        </w:tc>
        <w:tc>
          <w:tcPr>
            <w:tcW w:w="142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“便捷就医服务”电子出院小结推送</w:t>
            </w:r>
          </w:p>
        </w:tc>
        <w:tc>
          <w:tcPr>
            <w:tcW w:w="98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软件运维服务</w:t>
            </w:r>
          </w:p>
        </w:tc>
        <w:tc>
          <w:tcPr>
            <w:tcW w:w="63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theme="minorBidi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</w:t>
            </w:r>
            <w:r>
              <w:rPr>
                <w:rFonts w:hint="eastAsia"/>
                <w:b w:val="0"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1565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长宁区卫生核心系统</w:t>
            </w:r>
          </w:p>
        </w:tc>
        <w:tc>
          <w:tcPr>
            <w:tcW w:w="142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区域医疗信息互联互通互认子系统</w:t>
            </w:r>
          </w:p>
        </w:tc>
        <w:tc>
          <w:tcPr>
            <w:tcW w:w="98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软件运维服务</w:t>
            </w:r>
          </w:p>
        </w:tc>
        <w:tc>
          <w:tcPr>
            <w:tcW w:w="63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theme="minorBidi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</w:t>
            </w:r>
            <w:r>
              <w:rPr>
                <w:rFonts w:hint="eastAsia"/>
                <w:b w:val="0"/>
                <w:sz w:val="24"/>
                <w:highlight w:val="none"/>
                <w:lang w:val="en-US" w:eastAsia="zh-CN"/>
              </w:rPr>
              <w:t>4</w:t>
            </w:r>
          </w:p>
        </w:tc>
        <w:tc>
          <w:tcPr>
            <w:tcW w:w="1565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长宁区卫生核心系统</w:t>
            </w:r>
          </w:p>
        </w:tc>
        <w:tc>
          <w:tcPr>
            <w:tcW w:w="142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区域互动审方系统</w:t>
            </w:r>
          </w:p>
        </w:tc>
        <w:tc>
          <w:tcPr>
            <w:tcW w:w="98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软件运维服务</w:t>
            </w:r>
          </w:p>
        </w:tc>
        <w:tc>
          <w:tcPr>
            <w:tcW w:w="63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theme="minorBidi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</w:t>
            </w:r>
            <w:r>
              <w:rPr>
                <w:rFonts w:hint="eastAsia"/>
                <w:b w:val="0"/>
                <w:sz w:val="24"/>
                <w:highlight w:val="none"/>
                <w:lang w:val="en-US" w:eastAsia="zh-CN"/>
              </w:rPr>
              <w:t>5</w:t>
            </w:r>
          </w:p>
        </w:tc>
        <w:tc>
          <w:tcPr>
            <w:tcW w:w="1565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长宁区卫生核心系统</w:t>
            </w:r>
          </w:p>
        </w:tc>
        <w:tc>
          <w:tcPr>
            <w:tcW w:w="142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预约转诊系统</w:t>
            </w:r>
          </w:p>
        </w:tc>
        <w:tc>
          <w:tcPr>
            <w:tcW w:w="98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软件运维服务</w:t>
            </w:r>
          </w:p>
        </w:tc>
        <w:tc>
          <w:tcPr>
            <w:tcW w:w="63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theme="minorBidi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</w:t>
            </w:r>
            <w:r>
              <w:rPr>
                <w:rFonts w:hint="eastAsia"/>
                <w:b w:val="0"/>
                <w:sz w:val="24"/>
                <w:highlight w:val="none"/>
                <w:lang w:val="en-US" w:eastAsia="zh-CN"/>
              </w:rPr>
              <w:t>6</w:t>
            </w:r>
          </w:p>
        </w:tc>
        <w:tc>
          <w:tcPr>
            <w:tcW w:w="1565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长宁区卫生核心系统</w:t>
            </w:r>
          </w:p>
        </w:tc>
        <w:tc>
          <w:tcPr>
            <w:tcW w:w="142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处方延伸系统</w:t>
            </w:r>
          </w:p>
        </w:tc>
        <w:tc>
          <w:tcPr>
            <w:tcW w:w="98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软件运维服务</w:t>
            </w:r>
          </w:p>
        </w:tc>
        <w:tc>
          <w:tcPr>
            <w:tcW w:w="63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theme="minorBidi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17</w:t>
            </w:r>
          </w:p>
        </w:tc>
        <w:tc>
          <w:tcPr>
            <w:tcW w:w="1565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长宁区卫生核心系统</w:t>
            </w:r>
          </w:p>
        </w:tc>
        <w:tc>
          <w:tcPr>
            <w:tcW w:w="142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门诊质量控制系统（智能提示系统）</w:t>
            </w:r>
          </w:p>
        </w:tc>
        <w:tc>
          <w:tcPr>
            <w:tcW w:w="98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软件运维服务</w:t>
            </w:r>
          </w:p>
        </w:tc>
        <w:tc>
          <w:tcPr>
            <w:tcW w:w="63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7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theme="minorBidi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18</w:t>
            </w:r>
          </w:p>
        </w:tc>
        <w:tc>
          <w:tcPr>
            <w:tcW w:w="1565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长宁区卫生核心系统</w:t>
            </w:r>
          </w:p>
        </w:tc>
        <w:tc>
          <w:tcPr>
            <w:tcW w:w="142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处方点评系统</w:t>
            </w:r>
          </w:p>
        </w:tc>
        <w:tc>
          <w:tcPr>
            <w:tcW w:w="98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软件运维服务</w:t>
            </w:r>
          </w:p>
        </w:tc>
        <w:tc>
          <w:tcPr>
            <w:tcW w:w="632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</w:tbl>
    <w:p>
      <w:pPr>
        <w:spacing w:line="336" w:lineRule="auto"/>
        <w:rPr>
          <w:rFonts w:ascii="仿宋" w:hAnsi="仿宋" w:eastAsia="仿宋"/>
          <w:b w:val="0"/>
          <w:sz w:val="24"/>
          <w:highlight w:val="none"/>
        </w:rPr>
      </w:pP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系统日常运行监控与问题处置：对系统运行中出现的各类异常、报错、功能异常等问题，提供 7×24 小时响应与处理，保障业务连续性；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故障应急响应与修复：建立故障分级响应机制，一般问题及时修复，重大问题按应急预案处置并限时恢复；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系统配置与参数维护：根据业务扩展、接口调整或安全策略要求，对系统参数、服务配置、网络策略等进行合规性修改与优化；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数据库维护与性能优化：负责相关数据库的日常巡检、备份恢复、索引优化、空间管理，保障数据读写效率与存储安全；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第三方系统联调协作：与 HIS、PACS、EMR、会诊中心等第三方系统做好接口联调，完成数据互通与功能验证；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数据统计与报表服务：基于业务数据进行报表统计、定制化分析与数据导出，支撑管理决策；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业务数据核查与校正：及时排查并修正因操作失误或系统故障导致的数据错误；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版本适配与功能优化：修复软件缺陷、适配接口升级、完善功能应用，保障系统持续可用；</w:t>
      </w:r>
    </w:p>
    <w:p>
      <w:pPr>
        <w:pStyle w:val="4"/>
        <w:bidi w:val="0"/>
        <w:rPr>
          <w:highlight w:val="none"/>
        </w:rPr>
      </w:pPr>
      <w:r>
        <w:rPr>
          <w:rFonts w:ascii="黑体" w:hAnsi="黑体" w:eastAsia="黑体"/>
          <w:b/>
          <w:sz w:val="28"/>
          <w:highlight w:val="none"/>
        </w:rPr>
        <w:t>3.2 硬件产品维保</w:t>
      </w:r>
    </w:p>
    <w:tbl>
      <w:tblPr>
        <w:tblStyle w:val="34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2692"/>
        <w:gridCol w:w="1561"/>
        <w:gridCol w:w="3032"/>
        <w:gridCol w:w="12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1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序号</w:t>
            </w:r>
          </w:p>
        </w:tc>
        <w:tc>
          <w:tcPr>
            <w:tcW w:w="1450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分类</w:t>
            </w:r>
          </w:p>
        </w:tc>
        <w:tc>
          <w:tcPr>
            <w:tcW w:w="84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维护内容</w:t>
            </w:r>
          </w:p>
        </w:tc>
        <w:tc>
          <w:tcPr>
            <w:tcW w:w="163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服务方式和内容</w:t>
            </w:r>
          </w:p>
        </w:tc>
        <w:tc>
          <w:tcPr>
            <w:tcW w:w="659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续保年限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</w:t>
            </w:r>
          </w:p>
        </w:tc>
        <w:tc>
          <w:tcPr>
            <w:tcW w:w="1450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区卫健委影像共享平台</w:t>
            </w:r>
          </w:p>
        </w:tc>
        <w:tc>
          <w:tcPr>
            <w:tcW w:w="84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主机-小型机</w:t>
            </w:r>
          </w:p>
        </w:tc>
        <w:tc>
          <w:tcPr>
            <w:tcW w:w="163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硬件运维保障</w:t>
            </w:r>
          </w:p>
        </w:tc>
        <w:tc>
          <w:tcPr>
            <w:tcW w:w="659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2</w:t>
            </w:r>
          </w:p>
        </w:tc>
        <w:tc>
          <w:tcPr>
            <w:tcW w:w="1450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区卫健委影像共享平台</w:t>
            </w:r>
          </w:p>
        </w:tc>
        <w:tc>
          <w:tcPr>
            <w:tcW w:w="84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主机-小型机</w:t>
            </w:r>
          </w:p>
        </w:tc>
        <w:tc>
          <w:tcPr>
            <w:tcW w:w="163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硬件运维保障</w:t>
            </w:r>
          </w:p>
        </w:tc>
        <w:tc>
          <w:tcPr>
            <w:tcW w:w="659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3</w:t>
            </w:r>
          </w:p>
        </w:tc>
        <w:tc>
          <w:tcPr>
            <w:tcW w:w="1450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长宁区卫健委“智能助医”信息化建设项目</w:t>
            </w:r>
          </w:p>
        </w:tc>
        <w:tc>
          <w:tcPr>
            <w:tcW w:w="84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其他-其他</w:t>
            </w:r>
          </w:p>
        </w:tc>
        <w:tc>
          <w:tcPr>
            <w:tcW w:w="163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硬件运维保障</w:t>
            </w:r>
          </w:p>
        </w:tc>
        <w:tc>
          <w:tcPr>
            <w:tcW w:w="659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4</w:t>
            </w:r>
          </w:p>
        </w:tc>
        <w:tc>
          <w:tcPr>
            <w:tcW w:w="1450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长宁区卫健委“智能助医”信息化建设项目</w:t>
            </w:r>
          </w:p>
        </w:tc>
        <w:tc>
          <w:tcPr>
            <w:tcW w:w="841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其他-其他</w:t>
            </w:r>
          </w:p>
        </w:tc>
        <w:tc>
          <w:tcPr>
            <w:tcW w:w="1633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硬件运维保障</w:t>
            </w:r>
          </w:p>
        </w:tc>
        <w:tc>
          <w:tcPr>
            <w:tcW w:w="659" w:type="pct"/>
            <w:vAlign w:val="center"/>
          </w:tcPr>
          <w:p>
            <w:pPr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1年</w:t>
            </w:r>
          </w:p>
        </w:tc>
      </w:tr>
    </w:tbl>
    <w:p>
      <w:pPr>
        <w:spacing w:line="360" w:lineRule="auto"/>
        <w:ind w:firstLine="480"/>
        <w:rPr>
          <w:rFonts w:ascii="仿宋" w:hAnsi="仿宋" w:eastAsia="仿宋"/>
          <w:b w:val="0"/>
          <w:sz w:val="24"/>
          <w:highlight w:val="none"/>
        </w:rPr>
      </w:pPr>
    </w:p>
    <w:p>
      <w:pPr>
        <w:spacing w:line="360" w:lineRule="auto"/>
        <w:ind w:firstLine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维保要求：对上述硬件设备提供运维保障服务，包括设备定期巡检、运行状态监测、故障诊断与现场维修，确保硬件资源全年稳定可靠运行。</w:t>
      </w:r>
    </w:p>
    <w:p>
      <w:pPr>
        <w:pStyle w:val="4"/>
        <w:bidi w:val="0"/>
        <w:rPr>
          <w:highlight w:val="none"/>
        </w:rPr>
      </w:pPr>
      <w:r>
        <w:rPr>
          <w:rFonts w:ascii="黑体" w:hAnsi="黑体" w:eastAsia="黑体"/>
          <w:b/>
          <w:sz w:val="28"/>
          <w:highlight w:val="none"/>
        </w:rPr>
        <w:t>3.3 产品软件</w:t>
      </w:r>
      <w:r>
        <w:rPr>
          <w:rFonts w:hint="eastAsia" w:ascii="黑体" w:hAnsi="黑体" w:eastAsia="黑体"/>
          <w:b/>
          <w:sz w:val="28"/>
          <w:highlight w:val="none"/>
        </w:rPr>
        <w:t>维保</w:t>
      </w:r>
    </w:p>
    <w:tbl>
      <w:tblPr>
        <w:tblStyle w:val="3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2047"/>
        <w:gridCol w:w="2191"/>
        <w:gridCol w:w="2758"/>
        <w:gridCol w:w="13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85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序号</w:t>
            </w:r>
          </w:p>
        </w:tc>
        <w:tc>
          <w:tcPr>
            <w:tcW w:w="1102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分类</w:t>
            </w:r>
          </w:p>
        </w:tc>
        <w:tc>
          <w:tcPr>
            <w:tcW w:w="1180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维护内容</w:t>
            </w:r>
          </w:p>
        </w:tc>
        <w:tc>
          <w:tcPr>
            <w:tcW w:w="1485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服务方式和内容</w:t>
            </w:r>
          </w:p>
        </w:tc>
        <w:tc>
          <w:tcPr>
            <w:tcW w:w="746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续保年限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</w:t>
            </w:r>
          </w:p>
        </w:tc>
        <w:tc>
          <w:tcPr>
            <w:tcW w:w="1102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长宁区卫生核心系统</w:t>
            </w:r>
          </w:p>
        </w:tc>
        <w:tc>
          <w:tcPr>
            <w:tcW w:w="1180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产品软件-操作系统</w:t>
            </w:r>
          </w:p>
        </w:tc>
        <w:tc>
          <w:tcPr>
            <w:tcW w:w="1485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hint="eastAsia" w:ascii="仿宋" w:hAnsi="仿宋" w:eastAsia="仿宋"/>
                <w:b w:val="0"/>
                <w:sz w:val="24"/>
                <w:highlight w:val="none"/>
              </w:rPr>
              <w:t>维保服务</w:t>
            </w:r>
          </w:p>
        </w:tc>
        <w:tc>
          <w:tcPr>
            <w:tcW w:w="746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2</w:t>
            </w:r>
          </w:p>
        </w:tc>
        <w:tc>
          <w:tcPr>
            <w:tcW w:w="1102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长宁区卫生核心系统</w:t>
            </w:r>
          </w:p>
        </w:tc>
        <w:tc>
          <w:tcPr>
            <w:tcW w:w="1180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产品软件-其他</w:t>
            </w:r>
          </w:p>
        </w:tc>
        <w:tc>
          <w:tcPr>
            <w:tcW w:w="1485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hint="eastAsia" w:ascii="仿宋" w:hAnsi="仿宋" w:eastAsia="仿宋"/>
                <w:b w:val="0"/>
                <w:sz w:val="24"/>
                <w:highlight w:val="none"/>
              </w:rPr>
              <w:t>维保服务</w:t>
            </w:r>
          </w:p>
        </w:tc>
        <w:tc>
          <w:tcPr>
            <w:tcW w:w="746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3</w:t>
            </w:r>
          </w:p>
        </w:tc>
        <w:tc>
          <w:tcPr>
            <w:tcW w:w="1102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长宁区卫生核心系统</w:t>
            </w:r>
          </w:p>
        </w:tc>
        <w:tc>
          <w:tcPr>
            <w:tcW w:w="1180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产品软件-数据库</w:t>
            </w:r>
          </w:p>
        </w:tc>
        <w:tc>
          <w:tcPr>
            <w:tcW w:w="1485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维保服务</w:t>
            </w:r>
          </w:p>
        </w:tc>
        <w:tc>
          <w:tcPr>
            <w:tcW w:w="746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4</w:t>
            </w:r>
          </w:p>
        </w:tc>
        <w:tc>
          <w:tcPr>
            <w:tcW w:w="1102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长宁区卫生核心系统</w:t>
            </w:r>
          </w:p>
        </w:tc>
        <w:tc>
          <w:tcPr>
            <w:tcW w:w="1180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产品软件-中间件</w:t>
            </w:r>
          </w:p>
        </w:tc>
        <w:tc>
          <w:tcPr>
            <w:tcW w:w="1485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hint="eastAsia" w:ascii="仿宋" w:hAnsi="仿宋" w:eastAsia="仿宋"/>
                <w:b w:val="0"/>
                <w:sz w:val="24"/>
                <w:highlight w:val="none"/>
              </w:rPr>
              <w:t>维保服务</w:t>
            </w:r>
          </w:p>
        </w:tc>
        <w:tc>
          <w:tcPr>
            <w:tcW w:w="746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5</w:t>
            </w:r>
          </w:p>
        </w:tc>
        <w:tc>
          <w:tcPr>
            <w:tcW w:w="1102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长宁区卫生核心系统</w:t>
            </w:r>
          </w:p>
        </w:tc>
        <w:tc>
          <w:tcPr>
            <w:tcW w:w="1180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产品软件-数据库</w:t>
            </w:r>
          </w:p>
        </w:tc>
        <w:tc>
          <w:tcPr>
            <w:tcW w:w="1485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维保服务</w:t>
            </w:r>
          </w:p>
        </w:tc>
        <w:tc>
          <w:tcPr>
            <w:tcW w:w="746" w:type="pct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1年</w:t>
            </w:r>
          </w:p>
        </w:tc>
      </w:tr>
    </w:tbl>
    <w:p>
      <w:pPr>
        <w:spacing w:line="360" w:lineRule="auto"/>
        <w:ind w:firstLine="480"/>
        <w:rPr>
          <w:rFonts w:ascii="仿宋" w:hAnsi="仿宋" w:eastAsia="仿宋"/>
          <w:b w:val="0"/>
          <w:sz w:val="24"/>
          <w:highlight w:val="none"/>
        </w:rPr>
      </w:pPr>
    </w:p>
    <w:p>
      <w:pPr>
        <w:spacing w:line="360" w:lineRule="auto"/>
        <w:ind w:firstLine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服务要求：对上述产品软件（操作系统、数据库、中间件及其他支撑软件）提供</w:t>
      </w:r>
      <w:r>
        <w:rPr>
          <w:rFonts w:hint="eastAsia" w:ascii="仿宋" w:hAnsi="仿宋" w:eastAsia="仿宋"/>
          <w:b w:val="0"/>
          <w:sz w:val="24"/>
          <w:highlight w:val="none"/>
        </w:rPr>
        <w:t>维保服务</w:t>
      </w:r>
      <w:r>
        <w:rPr>
          <w:rFonts w:ascii="仿宋" w:hAnsi="仿宋" w:eastAsia="仿宋"/>
          <w:b w:val="0"/>
          <w:sz w:val="24"/>
          <w:highlight w:val="none"/>
        </w:rPr>
        <w:t>，保障底层软件环境安全、稳定、合规运行。</w:t>
      </w:r>
    </w:p>
    <w:p>
      <w:pPr>
        <w:pStyle w:val="4"/>
        <w:bidi w:val="0"/>
        <w:rPr>
          <w:rFonts w:hint="eastAsia" w:eastAsia="黑体"/>
          <w:highlight w:val="none"/>
          <w:lang w:val="en-US" w:eastAsia="zh-CN"/>
        </w:rPr>
      </w:pPr>
      <w:r>
        <w:rPr>
          <w:rFonts w:ascii="黑体" w:hAnsi="黑体" w:eastAsia="黑体"/>
          <w:b/>
          <w:sz w:val="28"/>
          <w:highlight w:val="none"/>
        </w:rPr>
        <w:t>3.4 服务</w:t>
      </w:r>
      <w:r>
        <w:rPr>
          <w:rFonts w:hint="eastAsia"/>
          <w:b/>
          <w:sz w:val="28"/>
          <w:highlight w:val="none"/>
          <w:lang w:val="en-US" w:eastAsia="zh-CN"/>
        </w:rPr>
        <w:t>类维保</w:t>
      </w:r>
    </w:p>
    <w:tbl>
      <w:tblPr>
        <w:tblStyle w:val="34"/>
        <w:tblW w:w="92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533"/>
        <w:gridCol w:w="4115"/>
        <w:gridCol w:w="1416"/>
        <w:gridCol w:w="13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66" w:type="dxa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序号</w:t>
            </w:r>
          </w:p>
        </w:tc>
        <w:tc>
          <w:tcPr>
            <w:tcW w:w="0" w:type="auto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分类</w:t>
            </w:r>
          </w:p>
        </w:tc>
        <w:tc>
          <w:tcPr>
            <w:tcW w:w="4115" w:type="dxa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维护内容</w:t>
            </w:r>
          </w:p>
        </w:tc>
        <w:tc>
          <w:tcPr>
            <w:tcW w:w="0" w:type="auto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服务方式和内容</w:t>
            </w:r>
          </w:p>
        </w:tc>
        <w:tc>
          <w:tcPr>
            <w:tcW w:w="1348" w:type="dxa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4"/>
                <w:highlight w:val="none"/>
              </w:rPr>
            </w:pPr>
            <w:r>
              <w:rPr>
                <w:rFonts w:ascii="黑体" w:hAnsi="黑体" w:eastAsia="黑体"/>
                <w:b/>
                <w:sz w:val="24"/>
                <w:highlight w:val="none"/>
              </w:rPr>
              <w:t>续保年限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6" w:type="dxa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全流程陪诊及智能诊后随访</w:t>
            </w:r>
          </w:p>
        </w:tc>
        <w:tc>
          <w:tcPr>
            <w:tcW w:w="4115" w:type="dxa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智能诊后随访系统应用SaaS服务包包含AI语音电话100万通，短信200万条通讯服务</w:t>
            </w:r>
          </w:p>
        </w:tc>
        <w:tc>
          <w:tcPr>
            <w:tcW w:w="0" w:type="auto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hint="eastAsia" w:ascii="仿宋" w:hAnsi="仿宋" w:eastAsia="仿宋"/>
                <w:b w:val="0"/>
                <w:sz w:val="24"/>
                <w:highlight w:val="none"/>
              </w:rPr>
              <w:t>维保服务</w:t>
            </w:r>
          </w:p>
        </w:tc>
        <w:tc>
          <w:tcPr>
            <w:tcW w:w="1348" w:type="dxa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6" w:type="dxa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2</w:t>
            </w:r>
          </w:p>
        </w:tc>
        <w:tc>
          <w:tcPr>
            <w:tcW w:w="1533" w:type="dxa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区卫健委影像共享平台</w:t>
            </w:r>
          </w:p>
        </w:tc>
        <w:tc>
          <w:tcPr>
            <w:tcW w:w="4115" w:type="dxa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同仁医院及长宁区精神卫生中心数据协同服务；远程系统服务相关优化；会诊中心系统扩展以及移动影像功能扩展</w:t>
            </w:r>
          </w:p>
        </w:tc>
        <w:tc>
          <w:tcPr>
            <w:tcW w:w="1416" w:type="dxa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hint="eastAsia" w:ascii="仿宋" w:hAnsi="仿宋" w:eastAsia="仿宋"/>
                <w:b w:val="0"/>
                <w:sz w:val="24"/>
                <w:highlight w:val="none"/>
              </w:rPr>
              <w:t>维保服务</w:t>
            </w:r>
          </w:p>
        </w:tc>
        <w:tc>
          <w:tcPr>
            <w:tcW w:w="1348" w:type="dxa"/>
            <w:vAlign w:val="center"/>
          </w:tcPr>
          <w:p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ascii="仿宋" w:hAnsi="仿宋" w:eastAsia="仿宋"/>
                <w:b w:val="0"/>
                <w:sz w:val="24"/>
                <w:highlight w:val="none"/>
              </w:rPr>
              <w:t>1年</w:t>
            </w:r>
          </w:p>
        </w:tc>
      </w:tr>
    </w:tbl>
    <w:p>
      <w:pPr>
        <w:spacing w:line="360" w:lineRule="auto"/>
        <w:ind w:firstLine="480"/>
        <w:rPr>
          <w:rFonts w:ascii="仿宋" w:hAnsi="仿宋" w:eastAsia="仿宋"/>
          <w:b w:val="0"/>
          <w:sz w:val="24"/>
          <w:highlight w:val="none"/>
        </w:rPr>
      </w:pPr>
    </w:p>
    <w:p>
      <w:pPr>
        <w:pStyle w:val="3"/>
        <w:bidi w:val="0"/>
        <w:rPr>
          <w:highlight w:val="none"/>
        </w:rPr>
      </w:pPr>
      <w:r>
        <w:rPr>
          <w:rFonts w:ascii="黑体" w:hAnsi="黑体" w:eastAsia="黑体"/>
          <w:b/>
          <w:sz w:val="32"/>
          <w:highlight w:val="none"/>
        </w:rPr>
        <w:t>四、运维服务内容</w:t>
      </w:r>
    </w:p>
    <w:p>
      <w:pPr>
        <w:spacing w:line="360" w:lineRule="auto"/>
        <w:ind w:firstLine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针对本项目各类运维对象，提供服务内容如下：</w:t>
      </w:r>
    </w:p>
    <w:p>
      <w:pPr>
        <w:pStyle w:val="4"/>
        <w:bidi w:val="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ascii="黑体" w:hAnsi="黑体" w:eastAsia="黑体"/>
          <w:b/>
          <w:sz w:val="28"/>
          <w:highlight w:val="none"/>
        </w:rPr>
        <w:t>4.1 软件运维服务内容</w:t>
      </w:r>
    </w:p>
    <w:p>
      <w:pPr>
        <w:spacing w:line="336" w:lineRule="auto"/>
        <w:ind w:left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系统日常运行监控与问题处置：对系统运行中出现的各类异常、报错、功能异常等问题，提供 7×24 小时响应与处理，保障业务连续性；</w:t>
      </w:r>
    </w:p>
    <w:p>
      <w:pPr>
        <w:spacing w:line="336" w:lineRule="auto"/>
        <w:ind w:left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故障应急响应与修复：建立故障分级响应机制，一般问题及时修复，重大问题按应急预案处置并限时恢复；</w:t>
      </w:r>
    </w:p>
    <w:p>
      <w:pPr>
        <w:spacing w:line="336" w:lineRule="auto"/>
        <w:ind w:left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系统配置与参数维护：根据业务扩展、接口调整或安全策略要求，对系统参数、服务配置、网络策略等进行合规性修改与优化；</w:t>
      </w:r>
    </w:p>
    <w:p>
      <w:pPr>
        <w:spacing w:line="336" w:lineRule="auto"/>
        <w:ind w:left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数据库维护与性能优化：负责相关数据库的日常巡检、备份恢复、索引优化、空间管理，保障数据读写效率与存储安全；</w:t>
      </w:r>
    </w:p>
    <w:p>
      <w:pPr>
        <w:spacing w:line="336" w:lineRule="auto"/>
        <w:ind w:left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第三方系统联调协作：与 HIS、PACS、EMR、会诊中心等第三方系统做好接口联调，完成数据互通与功能验证；</w:t>
      </w:r>
    </w:p>
    <w:p>
      <w:pPr>
        <w:spacing w:line="336" w:lineRule="auto"/>
        <w:ind w:left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数据统计与报表服务：基于业务数据进行报表统计、定制化分析与数据导出，支撑管理决策；</w:t>
      </w:r>
    </w:p>
    <w:p>
      <w:pPr>
        <w:spacing w:line="336" w:lineRule="auto"/>
        <w:ind w:left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业务数据核查与校正：及时排查并修正因操作失误或系统故障导致的数据错误；</w:t>
      </w:r>
    </w:p>
    <w:p>
      <w:pPr>
        <w:spacing w:line="336" w:lineRule="auto"/>
        <w:ind w:left="480"/>
        <w:rPr>
          <w:rFonts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版本适配与功能优化：修复软件缺陷、适配接口升级、完善功能应用，保障系统持续可用；</w:t>
      </w:r>
    </w:p>
    <w:p>
      <w:pPr>
        <w:pStyle w:val="4"/>
        <w:bidi w:val="0"/>
        <w:rPr>
          <w:highlight w:val="none"/>
        </w:rPr>
      </w:pPr>
      <w:r>
        <w:rPr>
          <w:rFonts w:ascii="黑体" w:hAnsi="黑体" w:eastAsia="黑体"/>
          <w:b/>
          <w:sz w:val="28"/>
          <w:highlight w:val="none"/>
        </w:rPr>
        <w:t>4.2 硬件运维服务内容</w:t>
      </w:r>
    </w:p>
    <w:p>
      <w:pPr>
        <w:spacing w:line="360" w:lineRule="auto"/>
        <w:ind w:firstLine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对影像共享平台小型机、智能助医相关硬件设备提供定期巡检、运行状态监测、故障诊断与现场维修服务。</w:t>
      </w:r>
    </w:p>
    <w:p>
      <w:pPr>
        <w:pStyle w:val="4"/>
        <w:bidi w:val="0"/>
        <w:rPr>
          <w:highlight w:val="none"/>
        </w:rPr>
      </w:pPr>
      <w:r>
        <w:rPr>
          <w:rFonts w:ascii="黑体" w:hAnsi="黑体" w:eastAsia="黑体"/>
          <w:b/>
          <w:sz w:val="28"/>
          <w:highlight w:val="none"/>
        </w:rPr>
        <w:t>4.3 软件产品</w:t>
      </w:r>
      <w:r>
        <w:rPr>
          <w:rFonts w:hint="eastAsia" w:ascii="黑体" w:hAnsi="黑体" w:eastAsia="黑体"/>
          <w:b/>
          <w:sz w:val="28"/>
          <w:highlight w:val="none"/>
        </w:rPr>
        <w:t>维保</w:t>
      </w:r>
      <w:r>
        <w:rPr>
          <w:rFonts w:ascii="黑体" w:hAnsi="黑体" w:eastAsia="黑体"/>
          <w:b/>
          <w:sz w:val="28"/>
          <w:highlight w:val="none"/>
        </w:rPr>
        <w:t>服务内容</w:t>
      </w:r>
    </w:p>
    <w:p>
      <w:pPr>
        <w:spacing w:line="360" w:lineRule="auto"/>
        <w:ind w:firstLine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对操作系统、数据库、中间件等</w:t>
      </w:r>
      <w:r>
        <w:rPr>
          <w:rFonts w:hint="eastAsia" w:ascii="仿宋" w:hAnsi="仿宋" w:eastAsia="仿宋"/>
          <w:b w:val="0"/>
          <w:sz w:val="24"/>
          <w:highlight w:val="none"/>
        </w:rPr>
        <w:t>提供维保服务，保障底层软件环境安全、稳定、合规运行。</w:t>
      </w:r>
    </w:p>
    <w:p>
      <w:pPr>
        <w:pStyle w:val="4"/>
        <w:bidi w:val="0"/>
        <w:rPr>
          <w:highlight w:val="none"/>
        </w:rPr>
      </w:pPr>
      <w:r>
        <w:rPr>
          <w:rFonts w:ascii="黑体" w:hAnsi="黑体" w:eastAsia="黑体"/>
          <w:b/>
          <w:sz w:val="28"/>
          <w:highlight w:val="none"/>
        </w:rPr>
        <w:t>4.4</w:t>
      </w:r>
      <w:r>
        <w:rPr>
          <w:rFonts w:hint="eastAsia" w:ascii="黑体" w:hAnsi="黑体" w:eastAsia="黑体"/>
          <w:b/>
          <w:sz w:val="28"/>
          <w:highlight w:val="none"/>
        </w:rPr>
        <w:t>服务类维保</w:t>
      </w:r>
      <w:r>
        <w:rPr>
          <w:rFonts w:ascii="黑体" w:hAnsi="黑体" w:eastAsia="黑体"/>
          <w:b/>
          <w:sz w:val="28"/>
          <w:highlight w:val="none"/>
        </w:rPr>
        <w:t>服务内容</w:t>
      </w:r>
    </w:p>
    <w:p>
      <w:pPr>
        <w:spacing w:line="360" w:lineRule="auto"/>
        <w:ind w:firstLine="480"/>
        <w:rPr>
          <w:rFonts w:hint="eastAsia"/>
          <w:b w:val="0"/>
          <w:sz w:val="24"/>
          <w:highlight w:val="none"/>
          <w:lang w:eastAsia="zh-CN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全流程陪诊及智能诊后随访维保服务</w:t>
      </w:r>
      <w:r>
        <w:rPr>
          <w:rFonts w:hint="eastAsia"/>
          <w:b w:val="0"/>
          <w:sz w:val="24"/>
          <w:highlight w:val="none"/>
          <w:lang w:eastAsia="zh-CN"/>
        </w:rPr>
        <w:t>，</w:t>
      </w:r>
      <w:r>
        <w:rPr>
          <w:rFonts w:ascii="仿宋" w:hAnsi="仿宋" w:eastAsia="仿宋"/>
          <w:b w:val="0"/>
          <w:sz w:val="24"/>
          <w:highlight w:val="none"/>
        </w:rPr>
        <w:t>提供智能诊后随访系统应用SaaS服务，包含AI语音电话100万通、短信200万条通讯服务</w:t>
      </w:r>
      <w:r>
        <w:rPr>
          <w:rFonts w:hint="eastAsia"/>
          <w:b w:val="0"/>
          <w:sz w:val="24"/>
          <w:highlight w:val="none"/>
          <w:lang w:eastAsia="zh-CN"/>
        </w:rPr>
        <w:t>。</w:t>
      </w:r>
    </w:p>
    <w:p>
      <w:pPr>
        <w:spacing w:line="360" w:lineRule="auto"/>
        <w:ind w:firstLine="480"/>
        <w:rPr>
          <w:rFonts w:hint="eastAsia"/>
          <w:b w:val="0"/>
          <w:sz w:val="24"/>
          <w:highlight w:val="none"/>
          <w:lang w:val="en-US" w:eastAsia="zh-CN"/>
        </w:rPr>
      </w:pPr>
      <w:r>
        <w:rPr>
          <w:rFonts w:hint="eastAsia"/>
          <w:b w:val="0"/>
          <w:sz w:val="24"/>
          <w:highlight w:val="none"/>
          <w:lang w:val="en-US" w:eastAsia="zh-CN"/>
        </w:rPr>
        <w:t>区卫健委影像共享平台维保服务，提供同仁医院及长宁区精神卫生中心数据协同服务；远程系统服务相关优化；会诊中心系统扩展以及移动影像功能扩展服务。</w:t>
      </w:r>
    </w:p>
    <w:p>
      <w:pPr>
        <w:pStyle w:val="3"/>
        <w:bidi w:val="0"/>
        <w:rPr>
          <w:rFonts w:hint="eastAsia"/>
          <w:highlight w:val="none"/>
        </w:rPr>
      </w:pPr>
      <w:r>
        <w:rPr>
          <w:rFonts w:hint="eastAsia"/>
          <w:highlight w:val="none"/>
        </w:rPr>
        <w:t>五、服务总体要求</w:t>
      </w:r>
    </w:p>
    <w:p>
      <w:pPr>
        <w:spacing w:line="336" w:lineRule="auto"/>
        <w:ind w:left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（1）提供</w:t>
      </w:r>
      <w:r>
        <w:rPr>
          <w:rFonts w:hint="eastAsia"/>
          <w:b w:val="0"/>
          <w:sz w:val="24"/>
          <w:highlight w:val="none"/>
          <w:lang w:val="en-US" w:eastAsia="zh-CN"/>
        </w:rPr>
        <w:t>至少2</w:t>
      </w:r>
      <w:r>
        <w:rPr>
          <w:rFonts w:hint="eastAsia" w:ascii="仿宋" w:hAnsi="仿宋" w:eastAsia="仿宋"/>
          <w:b w:val="0"/>
          <w:sz w:val="24"/>
          <w:highlight w:val="none"/>
        </w:rPr>
        <w:t>人 5×8 小时驻场运维服务，回答和解决问题，第一时间发现和解决故障；</w:t>
      </w:r>
    </w:p>
    <w:p>
      <w:pPr>
        <w:spacing w:line="336" w:lineRule="auto"/>
        <w:ind w:left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（2）在突发事件发生时提供 7×24 小时的服务，并且配备相应的人员予以积极配合；</w:t>
      </w:r>
    </w:p>
    <w:p>
      <w:pPr>
        <w:spacing w:line="336" w:lineRule="auto"/>
        <w:ind w:left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（3）保证应用系统灾难性恢复，保证一般灾难情况下系统发生不能运行时的 2 小时诊断、4 小时基本修复的要求；</w:t>
      </w:r>
    </w:p>
    <w:p>
      <w:pPr>
        <w:spacing w:line="336" w:lineRule="auto"/>
        <w:ind w:left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（4）配合硬件环境改变、调整时所需配合完成的软件重新部署工作；</w:t>
      </w:r>
    </w:p>
    <w:p>
      <w:pPr>
        <w:spacing w:line="336" w:lineRule="auto"/>
        <w:ind w:left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（5）保证系统不发生重大安全问题，保密数据没有外泄，网络和安全策略得到有效保障；</w:t>
      </w:r>
    </w:p>
    <w:p>
      <w:pPr>
        <w:spacing w:line="336" w:lineRule="auto"/>
        <w:ind w:left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（6）定期对系统进行性能监控，保持系统运行过程中性能稳定；</w:t>
      </w:r>
    </w:p>
    <w:p>
      <w:pPr>
        <w:spacing w:line="336" w:lineRule="auto"/>
        <w:ind w:left="480"/>
        <w:rPr>
          <w:rFonts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（7）完成对用户方的技术培训。</w:t>
      </w:r>
    </w:p>
    <w:p>
      <w:pPr>
        <w:pStyle w:val="3"/>
        <w:bidi w:val="0"/>
        <w:rPr>
          <w:highlight w:val="none"/>
        </w:rPr>
      </w:pPr>
      <w:r>
        <w:rPr>
          <w:rFonts w:ascii="黑体" w:hAnsi="黑体" w:eastAsia="黑体"/>
          <w:b/>
          <w:sz w:val="32"/>
          <w:highlight w:val="none"/>
        </w:rPr>
        <w:t>六、服务要求</w:t>
      </w:r>
    </w:p>
    <w:p>
      <w:pPr>
        <w:pStyle w:val="4"/>
        <w:bidi w:val="0"/>
        <w:rPr>
          <w:highlight w:val="none"/>
        </w:rPr>
      </w:pPr>
      <w:r>
        <w:rPr>
          <w:rFonts w:ascii="黑体" w:hAnsi="黑体" w:eastAsia="黑体"/>
          <w:b/>
          <w:sz w:val="28"/>
          <w:highlight w:val="none"/>
        </w:rPr>
        <w:t>6.1 定期维护服务</w:t>
      </w:r>
    </w:p>
    <w:p>
      <w:pPr>
        <w:spacing w:line="360" w:lineRule="auto"/>
        <w:ind w:firstLine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在合同有效期内，乙方向甲方提供 12 次（每月 1 次）定期维护服务，提供月度报告，以电子文件和书面方式提交用户方。月度报告内容包括：月度维护情况汇总、运维问题分析、改进措施、运维建议等。</w:t>
      </w:r>
      <w:r>
        <w:rPr>
          <w:rFonts w:hint="eastAsia" w:ascii="仿宋" w:hAnsi="仿宋" w:eastAsia="仿宋"/>
          <w:b w:val="0"/>
          <w:sz w:val="24"/>
          <w:highlight w:val="none"/>
          <w:lang w:val="en-US" w:eastAsia="zh-CN"/>
        </w:rPr>
        <w:t>季度报告内容包括：季度维护工作汇总、本季度故障与问题统计分析、整改落实情况、阶段性系统评估、下季度运维工作计划及优化建议等。</w:t>
      </w:r>
      <w:r>
        <w:rPr>
          <w:rFonts w:ascii="仿宋" w:hAnsi="仿宋" w:eastAsia="仿宋"/>
          <w:b w:val="0"/>
          <w:sz w:val="24"/>
          <w:highlight w:val="none"/>
        </w:rPr>
        <w:t>运维服务期满后，提供年度运维总结报告，内容包括：年度维护服务内容、运维团队构成介绍、年度维护情况总结、年度运维问题汇总、系统优化建议及改进方案、年度运维问题分析与运维建议。具体包括：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对原有系统功能范围内存在的软件缺陷以及操作不便利功能的修改；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对原有系统功能范围内不能满足甲方原有需求功能的修改；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对原有系统功能范围内客户功能需求变更部分的修改；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系统编码、配置的修改；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数据库的维护；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系统硬件升级带来的软件迁移；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如客户提出超出原有系统功能范围外的新的功能需求，双方另行协商签订新的开发合同。</w:t>
      </w:r>
    </w:p>
    <w:p>
      <w:pPr>
        <w:pStyle w:val="4"/>
        <w:bidi w:val="0"/>
        <w:rPr>
          <w:highlight w:val="none"/>
        </w:rPr>
      </w:pPr>
      <w:r>
        <w:rPr>
          <w:rFonts w:ascii="黑体" w:hAnsi="黑体" w:eastAsia="黑体"/>
          <w:b/>
          <w:sz w:val="28"/>
          <w:highlight w:val="none"/>
        </w:rPr>
        <w:t>6.2 叫修服务</w:t>
      </w:r>
    </w:p>
    <w:p>
      <w:pPr>
        <w:spacing w:line="360" w:lineRule="auto"/>
        <w:ind w:firstLine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在本合同有效期内，若甲方要求，乙方将为系统提供叫修服务，其内容包括：服务器、工作站相关软件的安装及设置；服务器、工作站系统恢复；提供其他与系统相关的故障及问题的技术支持。</w:t>
      </w:r>
    </w:p>
    <w:p>
      <w:pPr>
        <w:pStyle w:val="4"/>
        <w:bidi w:val="0"/>
        <w:rPr>
          <w:highlight w:val="none"/>
        </w:rPr>
      </w:pPr>
      <w:r>
        <w:rPr>
          <w:rFonts w:ascii="黑体" w:hAnsi="黑体" w:eastAsia="黑体"/>
          <w:b/>
          <w:sz w:val="28"/>
          <w:highlight w:val="none"/>
        </w:rPr>
        <w:t>6.3 响应时间和服务要求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/>
          <w:sz w:val="24"/>
          <w:highlight w:val="none"/>
        </w:rPr>
        <w:t>（1）</w:t>
      </w:r>
      <w:r>
        <w:rPr>
          <w:rFonts w:ascii="仿宋" w:hAnsi="仿宋" w:eastAsia="仿宋"/>
          <w:b w:val="0"/>
          <w:sz w:val="24"/>
          <w:highlight w:val="none"/>
        </w:rPr>
        <w:t>软件系统：提供</w:t>
      </w:r>
      <w:r>
        <w:rPr>
          <w:rFonts w:hint="eastAsia"/>
          <w:b w:val="0"/>
          <w:sz w:val="24"/>
          <w:highlight w:val="none"/>
          <w:lang w:val="en-US" w:eastAsia="zh-CN"/>
        </w:rPr>
        <w:t>2</w:t>
      </w:r>
      <w:r>
        <w:rPr>
          <w:rFonts w:ascii="仿宋" w:hAnsi="仿宋" w:eastAsia="仿宋"/>
          <w:b w:val="0"/>
          <w:sz w:val="24"/>
          <w:highlight w:val="none"/>
        </w:rPr>
        <w:t>人负责相关系统运维，负责回答和解决应用系统相关问题，日常巡检第一时间发现和解决故障；突发事件发生时提供 7×24 小时响应；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/>
          <w:sz w:val="24"/>
          <w:highlight w:val="none"/>
        </w:rPr>
        <w:t>（2）</w:t>
      </w:r>
      <w:r>
        <w:rPr>
          <w:rFonts w:ascii="仿宋" w:hAnsi="仿宋" w:eastAsia="仿宋"/>
          <w:b w:val="0"/>
          <w:sz w:val="24"/>
          <w:highlight w:val="none"/>
        </w:rPr>
        <w:t>硬件设备：提供年度紧急现场服务；远程故障诊断处理服务要求 5×8 小时受理；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/>
          <w:sz w:val="24"/>
          <w:highlight w:val="none"/>
        </w:rPr>
        <w:t>（3）</w:t>
      </w:r>
      <w:r>
        <w:rPr>
          <w:rFonts w:ascii="仿宋" w:hAnsi="仿宋" w:eastAsia="仿宋"/>
          <w:b w:val="0"/>
          <w:sz w:val="24"/>
          <w:highlight w:val="none"/>
        </w:rPr>
        <w:t>SaaS服务包：提供 7×24 小时热线及在线支持</w:t>
      </w:r>
      <w:r>
        <w:rPr>
          <w:rFonts w:hint="eastAsia"/>
          <w:b w:val="0"/>
          <w:sz w:val="24"/>
          <w:highlight w:val="none"/>
          <w:lang w:eastAsia="zh-CN"/>
        </w:rPr>
        <w:t>，</w:t>
      </w:r>
      <w:r>
        <w:rPr>
          <w:rFonts w:ascii="仿宋" w:hAnsi="仿宋" w:eastAsia="仿宋"/>
          <w:b w:val="0"/>
          <w:sz w:val="24"/>
          <w:highlight w:val="none"/>
        </w:rPr>
        <w:t>异常及时响应并处理。</w:t>
      </w:r>
    </w:p>
    <w:p>
      <w:pPr>
        <w:pStyle w:val="4"/>
        <w:bidi w:val="0"/>
        <w:rPr>
          <w:highlight w:val="none"/>
        </w:rPr>
      </w:pPr>
      <w:r>
        <w:rPr>
          <w:rFonts w:ascii="黑体" w:hAnsi="黑体" w:eastAsia="黑体"/>
          <w:b/>
          <w:sz w:val="28"/>
          <w:highlight w:val="none"/>
        </w:rPr>
        <w:t>6.4 运维方式</w:t>
      </w:r>
    </w:p>
    <w:p>
      <w:pPr>
        <w:spacing w:line="336" w:lineRule="auto"/>
        <w:ind w:left="480"/>
        <w:rPr>
          <w:rFonts w:hint="eastAsia" w:eastAsia="仿宋"/>
          <w:highlight w:val="none"/>
          <w:lang w:eastAsia="zh-CN"/>
        </w:rPr>
      </w:pPr>
      <w:r>
        <w:rPr>
          <w:rFonts w:ascii="仿宋" w:hAnsi="仿宋" w:eastAsia="仿宋"/>
          <w:b/>
          <w:sz w:val="24"/>
          <w:highlight w:val="none"/>
        </w:rPr>
        <w:t>（1）</w:t>
      </w:r>
      <w:r>
        <w:rPr>
          <w:rFonts w:ascii="仿宋" w:hAnsi="仿宋" w:eastAsia="仿宋"/>
          <w:b w:val="0"/>
          <w:sz w:val="24"/>
          <w:highlight w:val="none"/>
        </w:rPr>
        <w:t>现场支持：服务期内提供 5×8 小时的现场技术支持服务，对甲方信息管理人员反馈的问题和需求及时予以解决，并做记录归档</w:t>
      </w:r>
      <w:r>
        <w:rPr>
          <w:rFonts w:hint="eastAsia"/>
          <w:b w:val="0"/>
          <w:sz w:val="24"/>
          <w:highlight w:val="none"/>
          <w:lang w:eastAsia="zh-CN"/>
        </w:rPr>
        <w:t>。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/>
          <w:sz w:val="24"/>
          <w:highlight w:val="none"/>
        </w:rPr>
        <w:t>（2）</w:t>
      </w:r>
      <w:r>
        <w:rPr>
          <w:rFonts w:ascii="仿宋" w:hAnsi="仿宋" w:eastAsia="仿宋"/>
          <w:b w:val="0"/>
          <w:sz w:val="24"/>
          <w:highlight w:val="none"/>
        </w:rPr>
        <w:t>电话咨询：</w:t>
      </w:r>
      <w:r>
        <w:rPr>
          <w:rFonts w:hint="eastAsia" w:ascii="仿宋" w:hAnsi="仿宋" w:eastAsia="仿宋"/>
          <w:b w:val="0"/>
          <w:sz w:val="24"/>
          <w:highlight w:val="none"/>
        </w:rPr>
        <w:t>服务期内提供</w:t>
      </w:r>
      <w:r>
        <w:rPr>
          <w:rFonts w:ascii="仿宋" w:hAnsi="仿宋" w:eastAsia="仿宋"/>
          <w:b w:val="0"/>
          <w:sz w:val="24"/>
          <w:highlight w:val="none"/>
        </w:rPr>
        <w:t xml:space="preserve"> 7×24 小时不间断的电话支持服务，解答系统使用、维护中的问题。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/>
          <w:sz w:val="24"/>
          <w:highlight w:val="none"/>
        </w:rPr>
        <w:t>（3）</w:t>
      </w:r>
      <w:r>
        <w:rPr>
          <w:rFonts w:ascii="仿宋" w:hAnsi="仿宋" w:eastAsia="仿宋"/>
          <w:b w:val="0"/>
          <w:sz w:val="24"/>
          <w:highlight w:val="none"/>
        </w:rPr>
        <w:t>远程在线诊断和故障排除：对于电话咨询无法解决的问题，技术工程师在 2 小时内赶到现场处理；现场无法解决的，1 小时内联系总部通过远程登录进行故障诊断与排除。</w:t>
      </w:r>
    </w:p>
    <w:p>
      <w:pPr>
        <w:pStyle w:val="3"/>
        <w:bidi w:val="0"/>
        <w:rPr>
          <w:highlight w:val="none"/>
        </w:rPr>
      </w:pPr>
      <w:r>
        <w:rPr>
          <w:rFonts w:ascii="黑体" w:hAnsi="黑体" w:eastAsia="黑体"/>
          <w:b/>
          <w:sz w:val="32"/>
          <w:highlight w:val="none"/>
        </w:rPr>
        <w:t>七、服务报告要求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/>
          <w:sz w:val="24"/>
          <w:highlight w:val="none"/>
        </w:rPr>
        <w:t>（1）</w:t>
      </w:r>
      <w:r>
        <w:rPr>
          <w:rFonts w:ascii="仿宋" w:hAnsi="仿宋" w:eastAsia="仿宋"/>
          <w:b w:val="0"/>
          <w:sz w:val="24"/>
          <w:highlight w:val="none"/>
        </w:rPr>
        <w:t>月度维护报告：月度维护情况汇总、月度运维问题分析与运维建议；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/>
          <w:sz w:val="24"/>
          <w:highlight w:val="none"/>
        </w:rPr>
        <w:t>（2）</w:t>
      </w:r>
      <w:r>
        <w:rPr>
          <w:rFonts w:ascii="仿宋" w:hAnsi="仿宋" w:eastAsia="仿宋"/>
          <w:b w:val="0"/>
          <w:sz w:val="24"/>
          <w:highlight w:val="none"/>
        </w:rPr>
        <w:t>季度维护报告：季度维护服务内容、运维团队构成、季度维护情况总结、本季度运维发现问题及改进方案；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/>
          <w:sz w:val="24"/>
          <w:highlight w:val="none"/>
        </w:rPr>
        <w:t>（3）</w:t>
      </w:r>
      <w:r>
        <w:rPr>
          <w:rFonts w:ascii="仿宋" w:hAnsi="仿宋" w:eastAsia="仿宋"/>
          <w:b w:val="0"/>
          <w:sz w:val="24"/>
          <w:highlight w:val="none"/>
        </w:rPr>
        <w:t>年度维护服务报告：年度维护服务内容、运维团队构成、年度维护情况总结、年度运维问题汇总、系统优化建议及改进方案、年度运维日志。</w:t>
      </w:r>
    </w:p>
    <w:p>
      <w:pPr>
        <w:pStyle w:val="3"/>
        <w:bidi w:val="0"/>
        <w:rPr>
          <w:highlight w:val="none"/>
        </w:rPr>
      </w:pPr>
      <w:r>
        <w:rPr>
          <w:rFonts w:ascii="黑体" w:hAnsi="黑体" w:eastAsia="黑体"/>
          <w:b/>
          <w:sz w:val="32"/>
          <w:highlight w:val="none"/>
        </w:rPr>
        <w:t>八、运维服务人员要求</w:t>
      </w:r>
    </w:p>
    <w:p>
      <w:pPr>
        <w:spacing w:line="360" w:lineRule="auto"/>
        <w:ind w:firstLine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在本次项目中，服务商的人员投入要求如下：</w:t>
      </w:r>
    </w:p>
    <w:p>
      <w:pPr>
        <w:numPr>
          <w:ilvl w:val="0"/>
          <w:numId w:val="7"/>
        </w:numPr>
        <w:spacing w:line="360" w:lineRule="auto"/>
        <w:ind w:firstLine="480"/>
        <w:outlineLvl w:val="1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一线驻场服务人员至少 2 人，5×8 小时工作制，要求如下：</w:t>
      </w:r>
    </w:p>
    <w:p>
      <w:pPr>
        <w:spacing w:line="360" w:lineRule="auto"/>
        <w:ind w:firstLine="480"/>
        <w:outlineLvl w:val="9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  <w:lang w:val="en-US" w:eastAsia="zh-CN"/>
        </w:rPr>
        <w:t>人员须持有信息技术运维相关证书，熟悉项目系统，具备相应运维工作经验</w:t>
      </w:r>
      <w:r>
        <w:rPr>
          <w:rFonts w:hint="eastAsia"/>
          <w:b w:val="0"/>
          <w:sz w:val="24"/>
          <w:highlight w:val="none"/>
          <w:lang w:val="en-US" w:eastAsia="zh-CN"/>
        </w:rPr>
        <w:t>。</w:t>
      </w:r>
    </w:p>
    <w:p>
      <w:pPr>
        <w:spacing w:line="360" w:lineRule="auto"/>
        <w:ind w:firstLine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全局性平台系统日志检查。</w:t>
      </w:r>
    </w:p>
    <w:p>
      <w:pPr>
        <w:spacing w:line="360" w:lineRule="auto"/>
        <w:ind w:firstLine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中间件日志检查与排错。</w:t>
      </w:r>
    </w:p>
    <w:p>
      <w:pPr>
        <w:spacing w:line="360" w:lineRule="auto"/>
        <w:ind w:firstLine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应用审计系统记录的审计日志的检查。</w:t>
      </w:r>
    </w:p>
    <w:p>
      <w:pPr>
        <w:spacing w:line="360" w:lineRule="auto"/>
        <w:ind w:firstLine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主页防篡改系统的日志记录的检查。</w:t>
      </w:r>
    </w:p>
    <w:p>
      <w:pPr>
        <w:spacing w:line="360" w:lineRule="auto"/>
        <w:ind w:firstLine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每一个应用的可用性检查。</w:t>
      </w:r>
    </w:p>
    <w:p>
      <w:pPr>
        <w:spacing w:line="360" w:lineRule="auto"/>
        <w:ind w:firstLine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数据库常规检查。</w:t>
      </w:r>
    </w:p>
    <w:p>
      <w:pPr>
        <w:spacing w:line="360" w:lineRule="auto"/>
        <w:ind w:firstLine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其它根据上述检查发现异常后需要进行的必要的检查。</w:t>
      </w:r>
    </w:p>
    <w:p>
      <w:pPr>
        <w:spacing w:line="360" w:lineRule="auto"/>
        <w:ind w:firstLine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发生突发事件时的 7×24 小时驻点服务；</w:t>
      </w:r>
    </w:p>
    <w:p>
      <w:pPr>
        <w:spacing w:line="360" w:lineRule="auto"/>
        <w:ind w:firstLine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需要驻点服务的情况下，进驻现场提供服务；</w:t>
      </w:r>
    </w:p>
    <w:p>
      <w:pPr>
        <w:spacing w:line="360" w:lineRule="auto"/>
        <w:ind w:firstLine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例行维护报告以及系统故障处理报告的编写；</w:t>
      </w:r>
    </w:p>
    <w:p>
      <w:pPr>
        <w:spacing w:line="360" w:lineRule="auto"/>
        <w:ind w:firstLine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如需临时离开，需提前向信息中心说明事由、去向，并且保持通讯畅通。</w:t>
      </w:r>
    </w:p>
    <w:p>
      <w:pPr>
        <w:spacing w:line="360" w:lineRule="auto"/>
        <w:ind w:firstLine="480"/>
        <w:outlineLvl w:val="1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2. 二线技术支持组人员不少于 7 人，职责如下：</w:t>
      </w:r>
    </w:p>
    <w:p>
      <w:pPr>
        <w:spacing w:line="360" w:lineRule="auto"/>
        <w:ind w:firstLine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提供技术支持，譬如每月例行巡检的脚本编制等；</w:t>
      </w:r>
    </w:p>
    <w:p>
      <w:pPr>
        <w:spacing w:line="360" w:lineRule="auto"/>
        <w:ind w:firstLine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完成需要进行开发升级的维护内容；</w:t>
      </w:r>
    </w:p>
    <w:p>
      <w:pPr>
        <w:spacing w:line="360" w:lineRule="auto"/>
        <w:ind w:firstLine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远程系统故障诊断服务，故障解决方案提供和咨询服务；</w:t>
      </w:r>
    </w:p>
    <w:p>
      <w:pPr>
        <w:spacing w:line="360" w:lineRule="auto"/>
        <w:ind w:firstLine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紧急情况下进驻现场提供服务，解决系统故障，实施系统恢复任务。</w:t>
      </w:r>
    </w:p>
    <w:p>
      <w:pPr>
        <w:spacing w:line="360" w:lineRule="auto"/>
        <w:ind w:firstLine="480"/>
        <w:rPr>
          <w:rFonts w:hint="eastAsia"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服务商应指定固定人员作为系统维护联络人，如有人员变动须提前 5 个工作日向采购人发出正式通知；采购人有权根据技术人员的技术水平、服务质量提出更换要求，服务商应在 7 日内予以满足。</w:t>
      </w:r>
    </w:p>
    <w:p>
      <w:pPr>
        <w:spacing w:line="360" w:lineRule="auto"/>
        <w:ind w:firstLine="480"/>
        <w:rPr>
          <w:rFonts w:ascii="仿宋" w:hAnsi="仿宋" w:eastAsia="仿宋"/>
          <w:b w:val="0"/>
          <w:sz w:val="24"/>
          <w:highlight w:val="none"/>
        </w:rPr>
      </w:pPr>
      <w:r>
        <w:rPr>
          <w:rFonts w:hint="eastAsia" w:ascii="仿宋" w:hAnsi="仿宋" w:eastAsia="仿宋"/>
          <w:b w:val="0"/>
          <w:sz w:val="24"/>
          <w:highlight w:val="none"/>
        </w:rPr>
        <w:t>技术人员须遵守采购人各项规章制度，对工作期间了解或接触到的采购人各项资料、信息严格保密；若违反保密规定，采购人将追究服务商相关法律责任，服务商给予全力协助并承担相应责任。</w:t>
      </w:r>
    </w:p>
    <w:p>
      <w:pPr>
        <w:pStyle w:val="3"/>
        <w:bidi w:val="0"/>
        <w:rPr>
          <w:highlight w:val="none"/>
        </w:rPr>
      </w:pPr>
      <w:r>
        <w:rPr>
          <w:rFonts w:ascii="黑体" w:hAnsi="黑体" w:eastAsia="黑体"/>
          <w:b/>
          <w:sz w:val="32"/>
          <w:highlight w:val="none"/>
        </w:rPr>
        <w:t>九、服务团队要求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/>
          <w:sz w:val="24"/>
          <w:highlight w:val="none"/>
        </w:rPr>
        <w:t>（1）</w:t>
      </w:r>
      <w:r>
        <w:rPr>
          <w:rFonts w:ascii="仿宋" w:hAnsi="仿宋" w:eastAsia="仿宋"/>
          <w:b w:val="0"/>
          <w:sz w:val="24"/>
          <w:highlight w:val="none"/>
        </w:rPr>
        <w:t>响应人在中标后，应认真组织好技术及管理队伍做好运维工作；若具有</w:t>
      </w:r>
      <w:r>
        <w:rPr>
          <w:rFonts w:hint="eastAsia"/>
          <w:b w:val="0"/>
          <w:sz w:val="24"/>
          <w:highlight w:val="none"/>
          <w:lang w:val="en-US" w:eastAsia="zh-CN"/>
        </w:rPr>
        <w:t>相关</w:t>
      </w:r>
      <w:r>
        <w:rPr>
          <w:rFonts w:ascii="仿宋" w:hAnsi="仿宋" w:eastAsia="仿宋"/>
          <w:b w:val="0"/>
          <w:sz w:val="24"/>
          <w:highlight w:val="none"/>
        </w:rPr>
        <w:t>服务资质认证证书的，请在响应文件中提供相关证明材料。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/>
          <w:sz w:val="24"/>
          <w:highlight w:val="none"/>
        </w:rPr>
        <w:t>（2）</w:t>
      </w:r>
      <w:r>
        <w:rPr>
          <w:rFonts w:ascii="仿宋" w:hAnsi="仿宋" w:eastAsia="仿宋"/>
          <w:b w:val="0"/>
          <w:sz w:val="24"/>
          <w:highlight w:val="none"/>
        </w:rPr>
        <w:t>为完成本项目，响应人应组建项目小组，在提交的投标文件中需明确项目组成员。</w:t>
      </w:r>
    </w:p>
    <w:p>
      <w:pPr>
        <w:pStyle w:val="3"/>
        <w:bidi w:val="0"/>
        <w:rPr>
          <w:highlight w:val="none"/>
        </w:rPr>
      </w:pPr>
      <w:r>
        <w:rPr>
          <w:rFonts w:ascii="黑体" w:hAnsi="黑体" w:eastAsia="黑体"/>
          <w:b/>
          <w:sz w:val="32"/>
          <w:highlight w:val="none"/>
        </w:rPr>
        <w:t>十、管理措施</w:t>
      </w:r>
    </w:p>
    <w:p>
      <w:pPr>
        <w:spacing w:line="360" w:lineRule="auto"/>
        <w:ind w:firstLine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乙方运维人员由公司指派，人员名单经甲方同意；未经甲方同意，不随意更换。运维人员在现场提供服务时，遵从甲方管理要求，接受甲方考核。乙方将为本项目配备较强的专业技术队伍，确保现场实施和运维响应；在软件运维期间配备专人定点实施，并专人定期或不定期参加日常维护工作。</w:t>
      </w:r>
    </w:p>
    <w:p>
      <w:pPr>
        <w:pStyle w:val="3"/>
        <w:bidi w:val="0"/>
        <w:rPr>
          <w:highlight w:val="none"/>
        </w:rPr>
      </w:pPr>
      <w:r>
        <w:rPr>
          <w:rFonts w:ascii="黑体" w:hAnsi="黑体" w:eastAsia="黑体"/>
          <w:b/>
          <w:sz w:val="32"/>
          <w:highlight w:val="none"/>
        </w:rPr>
        <w:t>十一、售后服务项目与保障</w:t>
      </w:r>
    </w:p>
    <w:p>
      <w:pPr>
        <w:spacing w:line="360" w:lineRule="auto"/>
        <w:ind w:firstLine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乙方服务团队提供以下服务项目，包含详尽的规划、预防性维护等，确保系统安全、稳定、高效运行：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定期巡检：每月 1 次，到场进行系统维护和巡检，解决日常问题、了解新需求、检查运行效率与健康情况、排查潜在威胁；每季度书面汇总并向甲方定期沟通汇报；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一般故障维修：提供专职技术人员到场对产品进行维修和安装服务，保证系统稳定运行；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应急故障维修：按应急预案与售后响应情况执行；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应用培训：为各甲方单位提供持续的应用操作培训服务；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系统应用咨询服务：经由服务热线与专业工程师进行在线咨询，提供系统操作咨询与问题分析；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评估规划服务：提供专职工程师针对软、硬件环境做扩充及升级的评估规划、效能改善建议、系统资源分配规划；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工程师远程服务：在甲方授权允许且在场的前提下，通过远程方式对系统进行维护及修正。</w:t>
      </w:r>
    </w:p>
    <w:p>
      <w:pPr>
        <w:pStyle w:val="3"/>
        <w:bidi w:val="0"/>
        <w:rPr>
          <w:highlight w:val="none"/>
        </w:rPr>
      </w:pPr>
      <w:r>
        <w:rPr>
          <w:rFonts w:ascii="黑体" w:hAnsi="黑体" w:eastAsia="黑体"/>
          <w:b/>
          <w:sz w:val="32"/>
          <w:highlight w:val="none"/>
        </w:rPr>
        <w:t>十二、付款及验收方式</w:t>
      </w:r>
    </w:p>
    <w:p>
      <w:pPr>
        <w:pStyle w:val="4"/>
        <w:bidi w:val="0"/>
        <w:rPr>
          <w:highlight w:val="none"/>
        </w:rPr>
      </w:pPr>
      <w:r>
        <w:rPr>
          <w:rFonts w:ascii="黑体" w:hAnsi="黑体" w:eastAsia="黑体"/>
          <w:b/>
          <w:sz w:val="28"/>
          <w:highlight w:val="none"/>
        </w:rPr>
        <w:t>12.1 付款方式</w:t>
      </w:r>
    </w:p>
    <w:p>
      <w:pPr>
        <w:spacing w:line="336" w:lineRule="auto"/>
        <w:ind w:left="480"/>
        <w:rPr>
          <w:highlight w:val="none"/>
        </w:rPr>
      </w:pPr>
      <w:r>
        <w:rPr>
          <w:rFonts w:ascii="仿宋" w:hAnsi="仿宋" w:eastAsia="仿宋"/>
          <w:b/>
          <w:sz w:val="24"/>
          <w:highlight w:val="none"/>
        </w:rPr>
        <w:t>（1）</w:t>
      </w:r>
      <w:r>
        <w:rPr>
          <w:rFonts w:ascii="仿宋" w:hAnsi="仿宋" w:eastAsia="仿宋"/>
          <w:b w:val="0"/>
          <w:sz w:val="24"/>
          <w:highlight w:val="none"/>
        </w:rPr>
        <w:t>合同签订后 15 日内，甲方收到乙方开具的等额发票后，向乙方支付合同金额 60%；</w:t>
      </w:r>
    </w:p>
    <w:p>
      <w:pPr>
        <w:spacing w:line="336" w:lineRule="auto"/>
        <w:ind w:left="480"/>
        <w:rPr>
          <w:rFonts w:ascii="仿宋" w:hAnsi="仿宋" w:eastAsia="仿宋"/>
          <w:b w:val="0"/>
          <w:sz w:val="24"/>
          <w:highlight w:val="none"/>
        </w:rPr>
      </w:pPr>
      <w:r>
        <w:rPr>
          <w:rFonts w:ascii="仿宋" w:hAnsi="仿宋" w:eastAsia="仿宋"/>
          <w:b/>
          <w:sz w:val="24"/>
          <w:highlight w:val="none"/>
        </w:rPr>
        <w:t>（2）</w:t>
      </w:r>
      <w:r>
        <w:rPr>
          <w:rFonts w:ascii="仿宋" w:hAnsi="仿宋" w:eastAsia="仿宋"/>
          <w:b w:val="0"/>
          <w:sz w:val="24"/>
          <w:highlight w:val="none"/>
        </w:rPr>
        <w:t>服务最终结束，甲方验收确认合格后 15 日内，甲方收到乙方开具的等额发票后，向乙方支付合同金额 40%。</w:t>
      </w:r>
    </w:p>
    <w:p>
      <w:pPr>
        <w:spacing w:line="240" w:lineRule="auto"/>
        <w:ind w:left="480"/>
        <w:rPr>
          <w:rFonts w:hint="eastAsia" w:ascii="宋体" w:hAnsi="宋体" w:eastAsia="宋体" w:cs="宋体"/>
          <w:b w:val="0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（合同履约事宜：采购人和成交供应商应通过完善内部流程缩短合同签订期限，在中标、成交通知书发出之日起30日内，按照采购文件确定的事项签订政府采购合同，在合同中约定资金支付的方式、时间和条件，明确逾期支付资金的违约责任。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  <w:t>）</w:t>
      </w:r>
    </w:p>
    <w:p>
      <w:pPr>
        <w:pStyle w:val="4"/>
        <w:bidi w:val="0"/>
        <w:rPr>
          <w:highlight w:val="none"/>
        </w:rPr>
      </w:pPr>
      <w:r>
        <w:rPr>
          <w:rFonts w:ascii="黑体" w:hAnsi="黑体" w:eastAsia="黑体"/>
          <w:b/>
          <w:sz w:val="28"/>
          <w:highlight w:val="none"/>
        </w:rPr>
        <w:t>12.2 验收标准</w:t>
      </w:r>
    </w:p>
    <w:p>
      <w:pPr>
        <w:spacing w:line="360" w:lineRule="auto"/>
        <w:ind w:firstLine="480"/>
        <w:rPr>
          <w:highlight w:val="none"/>
        </w:rPr>
      </w:pPr>
      <w:r>
        <w:rPr>
          <w:rFonts w:ascii="仿宋" w:hAnsi="仿宋" w:eastAsia="仿宋"/>
          <w:b w:val="0"/>
          <w:sz w:val="24"/>
          <w:highlight w:val="none"/>
        </w:rPr>
        <w:t>本项目由采购单位对成交单位的运维服务自行验收。</w:t>
      </w:r>
    </w:p>
    <w:bookmarkEnd w:id="0"/>
    <w:sectPr>
      <w:headerReference r:id="rId5" w:type="default"/>
      <w:footerReference r:id="rId6" w:type="default"/>
      <w:pgSz w:w="12240" w:h="15840"/>
      <w:pgMar w:top="1417" w:right="1587" w:bottom="1417" w:left="158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spacing w:after="0" w:line="240" w:lineRule="auto"/>
      <w:ind w:left="-240" w:leftChars="-100" w:right="-293" w:rightChars="-122" w:firstLine="0" w:firstLineChars="0"/>
      <w:rPr>
        <w:rFonts w:hint="eastAsia" w:ascii="宋体" w:hAnsi="宋体" w:eastAsia="宋体" w:cs="宋体"/>
        <w:sz w:val="16"/>
        <w:szCs w:val="16"/>
        <w:lang w:val="en-US" w:eastAsia="zh-CN"/>
      </w:rPr>
    </w:pPr>
    <w:r>
      <w:rPr>
        <w:rFonts w:hint="eastAsia" w:ascii="宋体" w:hAnsi="宋体" w:eastAsia="宋体" w:cs="宋体"/>
        <w:sz w:val="16"/>
        <w:szCs w:val="16"/>
      </w:rPr>
      <w:t>ZC20260165</w:t>
    </w:r>
    <w:r>
      <w:rPr>
        <w:rFonts w:hint="eastAsia" w:ascii="宋体" w:hAnsi="宋体" w:eastAsia="宋体" w:cs="宋体"/>
        <w:sz w:val="16"/>
        <w:szCs w:val="16"/>
        <w:lang w:val="en-US" w:eastAsia="zh-CN"/>
      </w:rPr>
      <w:t xml:space="preserve">   </w:t>
    </w:r>
    <w:r>
      <w:rPr>
        <w:rFonts w:hint="eastAsia" w:ascii="宋体" w:hAnsi="宋体" w:eastAsia="宋体" w:cs="宋体"/>
        <w:sz w:val="16"/>
        <w:szCs w:val="16"/>
      </w:rPr>
      <w:t>上海市长宁区公立医院和社区卫生管理中心医疗服务（智慧医疗）大系统2026运维竞争性磋商项目</w:t>
    </w:r>
    <w:r>
      <w:rPr>
        <w:rFonts w:hint="eastAsia" w:ascii="宋体" w:hAnsi="宋体" w:eastAsia="宋体" w:cs="宋体"/>
        <w:sz w:val="16"/>
        <w:szCs w:val="16"/>
        <w:lang w:val="en-US" w:eastAsia="zh-CN"/>
      </w:rPr>
      <w:t xml:space="preserve">  </w:t>
    </w:r>
    <w:r>
      <w:rPr>
        <w:rFonts w:hint="eastAsia" w:ascii="宋体" w:hAnsi="宋体" w:eastAsia="宋体" w:cs="宋体"/>
        <w:sz w:val="16"/>
        <w:szCs w:val="16"/>
      </w:rPr>
      <w:t>采购需求文件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26FAD88B"/>
    <w:multiLevelType w:val="singleLevel"/>
    <w:tmpl w:val="26FAD88B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7A92D21"/>
    <w:rsid w:val="0F5F3EF3"/>
    <w:rsid w:val="162E2E07"/>
    <w:rsid w:val="1E640036"/>
    <w:rsid w:val="1EB85062"/>
    <w:rsid w:val="21142345"/>
    <w:rsid w:val="23BF68BA"/>
    <w:rsid w:val="24DE624F"/>
    <w:rsid w:val="311D4F4F"/>
    <w:rsid w:val="3ABD7B9B"/>
    <w:rsid w:val="3BB0594A"/>
    <w:rsid w:val="3CB77B6D"/>
    <w:rsid w:val="411B5EC1"/>
    <w:rsid w:val="415154E2"/>
    <w:rsid w:val="57853398"/>
    <w:rsid w:val="5AD3266C"/>
    <w:rsid w:val="5DDFFCB9"/>
    <w:rsid w:val="5F5D379C"/>
    <w:rsid w:val="67DF50C8"/>
    <w:rsid w:val="69BF64C2"/>
    <w:rsid w:val="6B061BAC"/>
    <w:rsid w:val="6C156F89"/>
    <w:rsid w:val="70017A54"/>
    <w:rsid w:val="724E4FA2"/>
    <w:rsid w:val="75A17BB1"/>
    <w:rsid w:val="7FF73FD4"/>
    <w:rsid w:val="D7BE8933"/>
    <w:rsid w:val="DD7FF699"/>
    <w:rsid w:val="FFBA58EC"/>
    <w:rsid w:val="FFEBF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spacing w:before="280" w:after="120"/>
      <w:outlineLvl w:val="0"/>
    </w:pPr>
    <w:rPr>
      <w:rFonts w:ascii="黑体" w:hAnsi="黑体" w:eastAsia="黑体"/>
      <w:b/>
      <w:sz w:val="32"/>
    </w:rPr>
  </w:style>
  <w:style w:type="paragraph" w:styleId="4">
    <w:name w:val="heading 2"/>
    <w:basedOn w:val="1"/>
    <w:next w:val="1"/>
    <w:link w:val="140"/>
    <w:unhideWhenUsed/>
    <w:qFormat/>
    <w:uiPriority w:val="9"/>
    <w:pPr>
      <w:spacing w:before="160" w:after="80"/>
      <w:outlineLvl w:val="1"/>
    </w:pPr>
    <w:rPr>
      <w:rFonts w:ascii="黑体" w:hAnsi="黑体" w:eastAsia="黑体"/>
      <w:b/>
      <w:sz w:val="28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semiHidden/>
    <w:unhideWhenUsed/>
    <w:qFormat/>
    <w:uiPriority w:val="99"/>
    <w:pPr>
      <w:jc w:val="left"/>
    </w:pPr>
  </w:style>
  <w:style w:type="paragraph" w:styleId="18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5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6"/>
    <w:qFormat/>
    <w:uiPriority w:val="99"/>
  </w:style>
  <w:style w:type="character" w:customStyle="1" w:styleId="137">
    <w:name w:val="Footer Char"/>
    <w:basedOn w:val="133"/>
    <w:link w:val="25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link w:val="3"/>
    <w:qFormat/>
    <w:uiPriority w:val="9"/>
    <w:rPr>
      <w:rFonts w:ascii="黑体" w:hAnsi="黑体" w:eastAsia="黑体" w:cstheme="minorBidi"/>
      <w:b/>
      <w:sz w:val="32"/>
      <w:szCs w:val="22"/>
      <w:lang w:val="en-US" w:eastAsia="en-US" w:bidi="ar-SA"/>
    </w:rPr>
  </w:style>
  <w:style w:type="character" w:customStyle="1" w:styleId="140">
    <w:name w:val="Heading 2 Char"/>
    <w:link w:val="4"/>
    <w:qFormat/>
    <w:uiPriority w:val="9"/>
    <w:rPr>
      <w:rFonts w:ascii="黑体" w:hAnsi="黑体" w:eastAsia="黑体" w:cstheme="minorBidi"/>
      <w:b/>
      <w:sz w:val="28"/>
      <w:szCs w:val="22"/>
      <w:lang w:val="en-US" w:eastAsia="en-US" w:bidi="ar-SA"/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20"/>
    <w:qFormat/>
    <w:uiPriority w:val="99"/>
  </w:style>
  <w:style w:type="character" w:customStyle="1" w:styleId="146">
    <w:name w:val="Body Text 2 Char"/>
    <w:basedOn w:val="133"/>
    <w:link w:val="29"/>
    <w:qFormat/>
    <w:uiPriority w:val="99"/>
  </w:style>
  <w:style w:type="character" w:customStyle="1" w:styleId="147">
    <w:name w:val="Body Text 3 Char"/>
    <w:basedOn w:val="133"/>
    <w:link w:val="18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6027</Words>
  <Characters>6194</Characters>
  <DocSecurity>0</DocSecurity>
  <Lines>0</Lines>
  <Paragraphs>0</Paragraphs>
  <ScaleCrop>false</ScaleCrop>
  <LinksUpToDate>false</LinksUpToDate>
  <CharactersWithSpaces>6275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2013-12-25T07:15:00Z</dcterms:created>
  <dcterms:modified xsi:type="dcterms:W3CDTF">2026-09-22T06:15:50Z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eyJoZGlkIjoiYTljNTczNTBiYzdlMjg0YjllOGRmN2I3NTAyZjZlYjYiLCJ1c2VySWQiOiIyNTExNjI5MDgifQ==</vt:lpwstr>
  </property>
  <property fmtid="{D5CDD505-2E9C-101B-9397-08002B2CF9AE}" pid="3" name="KSOProductBuildVer">
    <vt:lpwstr>2052-12.8.2.15091</vt:lpwstr>
  </property>
  <property fmtid="{D5CDD505-2E9C-101B-9397-08002B2CF9AE}" pid="4" name="ICV">
    <vt:lpwstr>B961C350955C8FFD718BAF6A766B6BDA_43</vt:lpwstr>
  </property>
</Properties>
</file>