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D1AF6">
      <w:pPr>
        <w:spacing w:line="360" w:lineRule="auto"/>
        <w:jc w:val="center"/>
        <w:rPr>
          <w:rFonts w:hint="eastAsia" w:ascii="Times New Roman" w:hAnsi="Times New Roman" w:cs="Times New Roman" w:eastAsiaTheme="minorEastAsia"/>
          <w:b/>
          <w:sz w:val="28"/>
          <w:szCs w:val="24"/>
          <w:lang w:eastAsia="zh-CN"/>
        </w:rPr>
      </w:pPr>
      <w:r>
        <w:rPr>
          <w:rFonts w:hint="eastAsia" w:ascii="Times New Roman" w:cs="Times New Roman"/>
          <w:b/>
          <w:sz w:val="28"/>
          <w:szCs w:val="24"/>
          <w:lang w:val="en-US" w:eastAsia="zh-CN"/>
        </w:rPr>
        <w:t>上海市长宁区</w:t>
      </w:r>
      <w:r>
        <w:rPr>
          <w:rFonts w:ascii="Times New Roman" w:cs="Times New Roman"/>
          <w:b/>
          <w:sz w:val="28"/>
          <w:szCs w:val="24"/>
        </w:rPr>
        <w:t>虹桥街道社区综合为老服务中</w:t>
      </w:r>
      <w:r>
        <w:rPr>
          <w:rFonts w:hint="eastAsia" w:ascii="Times New Roman" w:cs="Times New Roman"/>
          <w:b/>
          <w:sz w:val="28"/>
          <w:szCs w:val="24"/>
          <w:lang w:val="en-US" w:eastAsia="zh-CN"/>
        </w:rPr>
        <w:t>心2026年托管服务竞争性磋商</w:t>
      </w:r>
      <w:r>
        <w:rPr>
          <w:rFonts w:ascii="Times New Roman" w:cs="Times New Roman"/>
          <w:b/>
          <w:sz w:val="28"/>
          <w:szCs w:val="24"/>
        </w:rPr>
        <w:t>项目</w:t>
      </w:r>
      <w:r>
        <w:rPr>
          <w:rFonts w:hint="eastAsia" w:ascii="Times New Roman" w:cs="Times New Roman"/>
          <w:b/>
          <w:sz w:val="28"/>
          <w:szCs w:val="24"/>
          <w:lang w:val="en-US" w:eastAsia="zh-CN"/>
        </w:rPr>
        <w:t xml:space="preserve"> </w:t>
      </w:r>
      <w:r>
        <w:rPr>
          <w:rFonts w:hint="eastAsia" w:ascii="Times New Roman" w:cs="Times New Roman"/>
          <w:b/>
          <w:sz w:val="28"/>
          <w:szCs w:val="24"/>
          <w:lang w:eastAsia="zh-CN"/>
        </w:rPr>
        <w:t>采购需求</w:t>
      </w:r>
    </w:p>
    <w:p w14:paraId="47A1E0E0">
      <w:pPr>
        <w:spacing w:line="360" w:lineRule="auto"/>
        <w:rPr>
          <w:rFonts w:hint="eastAsia" w:ascii="Times New Roman" w:hAnsi="Times New Roman" w:cs="Times New Roman" w:eastAsiaTheme="minorEastAsia"/>
          <w:b/>
          <w:sz w:val="28"/>
          <w:szCs w:val="32"/>
          <w:lang w:eastAsia="zh-CN"/>
        </w:rPr>
      </w:pPr>
      <w:r>
        <w:rPr>
          <w:rFonts w:ascii="Times New Roman" w:cs="Times New Roman"/>
          <w:b/>
          <w:sz w:val="28"/>
          <w:szCs w:val="32"/>
        </w:rPr>
        <w:t>一、项目</w:t>
      </w:r>
      <w:r>
        <w:rPr>
          <w:rFonts w:hint="eastAsia" w:ascii="Times New Roman" w:cs="Times New Roman"/>
          <w:b/>
          <w:sz w:val="28"/>
          <w:szCs w:val="32"/>
          <w:lang w:eastAsia="zh-CN"/>
        </w:rPr>
        <w:t>概况</w:t>
      </w:r>
    </w:p>
    <w:p w14:paraId="2D10E67D">
      <w:pPr>
        <w:spacing w:line="360" w:lineRule="auto"/>
        <w:rPr>
          <w:rFonts w:ascii="Times New Roman" w:hAnsi="Times New Roman" w:cs="Times New Roman"/>
          <w:b/>
          <w:bCs/>
          <w:sz w:val="24"/>
          <w:szCs w:val="28"/>
        </w:rPr>
      </w:pPr>
      <w:r>
        <w:rPr>
          <w:rFonts w:ascii="Times New Roman" w:cs="Times New Roman"/>
          <w:b/>
          <w:bCs/>
          <w:sz w:val="24"/>
          <w:szCs w:val="28"/>
        </w:rPr>
        <w:t>（一）招标人</w:t>
      </w:r>
    </w:p>
    <w:p w14:paraId="21010FBE">
      <w:pPr>
        <w:spacing w:line="360" w:lineRule="auto"/>
        <w:ind w:firstLine="480" w:firstLineChars="200"/>
        <w:rPr>
          <w:rFonts w:ascii="Times New Roman" w:hAnsi="Times New Roman" w:cs="Times New Roman"/>
          <w:sz w:val="24"/>
          <w:szCs w:val="28"/>
        </w:rPr>
      </w:pPr>
      <w:r>
        <w:rPr>
          <w:rFonts w:ascii="Times New Roman" w:cs="Times New Roman"/>
          <w:sz w:val="24"/>
          <w:szCs w:val="28"/>
        </w:rPr>
        <w:t>本项目招标人是上海市长宁区</w:t>
      </w:r>
      <w:r>
        <w:rPr>
          <w:rFonts w:hint="eastAsia" w:ascii="Times New Roman" w:cs="Times New Roman"/>
          <w:sz w:val="24"/>
          <w:szCs w:val="28"/>
          <w:lang w:val="en-US" w:eastAsia="zh-CN"/>
        </w:rPr>
        <w:t>人民政府</w:t>
      </w:r>
      <w:r>
        <w:rPr>
          <w:rFonts w:ascii="Times New Roman" w:cs="Times New Roman"/>
          <w:sz w:val="24"/>
          <w:szCs w:val="28"/>
        </w:rPr>
        <w:t>虹桥街道办事处。</w:t>
      </w:r>
    </w:p>
    <w:p w14:paraId="03F81851">
      <w:pPr>
        <w:spacing w:line="360" w:lineRule="auto"/>
        <w:rPr>
          <w:rFonts w:ascii="Times New Roman" w:hAnsi="Times New Roman" w:cs="Times New Roman"/>
          <w:b/>
          <w:bCs/>
          <w:sz w:val="24"/>
          <w:szCs w:val="28"/>
        </w:rPr>
      </w:pPr>
      <w:r>
        <w:rPr>
          <w:rFonts w:ascii="Times New Roman" w:cs="Times New Roman"/>
          <w:b/>
          <w:bCs/>
          <w:sz w:val="24"/>
          <w:szCs w:val="28"/>
        </w:rPr>
        <w:t>（二）项目基本情况</w:t>
      </w:r>
    </w:p>
    <w:p w14:paraId="19733EEE">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本项目位于长宁区中山西路1030弄8号、10号，位于虹一小区内，老龄化程度较高，总建筑面积3072平米，提供日间照料、机构住养、为老助餐、体养服务、便民服务、适老化课程等多项综合为老服务功能。</w:t>
      </w:r>
    </w:p>
    <w:p w14:paraId="752E9C7E">
      <w:pPr>
        <w:spacing w:line="360" w:lineRule="auto"/>
        <w:ind w:firstLine="480" w:firstLineChars="200"/>
        <w:rPr>
          <w:rFonts w:hint="default" w:ascii="Times New Roman" w:cs="Times New Roman"/>
          <w:sz w:val="24"/>
          <w:szCs w:val="28"/>
          <w:lang w:val="en-US" w:eastAsia="zh-CN"/>
        </w:rPr>
      </w:pPr>
      <w:r>
        <w:rPr>
          <w:rFonts w:hint="eastAsia" w:ascii="Times New Roman" w:cs="Times New Roman"/>
          <w:sz w:val="24"/>
          <w:szCs w:val="28"/>
          <w:lang w:val="en-US" w:eastAsia="zh-CN"/>
        </w:rPr>
        <w:t>本项目以“夕阳无限美好，乐享花young年华”为服务理念，秉承家庭式照护理念，为入住长者打造家庭化、适老化、无障碍的住养照护环境，为服务对象提供一站式、个性化、高品质的综合养老服务。在生活照料方面，项目提供精细化、专业化的日常起居、营养膳食、专业护理等服务，全面保障入住长者的居住安全与生活品质，减轻子女及家庭的负担；在精神文化层面，搭建多样化文娱活动阵地，开设书画、健身、手工等适老化课程，满足长者 “老有所学、老有所乐” 的精神文化需求，让其在活动中感受陪伴、收获快乐。</w:t>
      </w:r>
    </w:p>
    <w:p w14:paraId="541787A5">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本项目以政府购买服务方式，采用“委托管理”的公建民营模式，通过对运营方进行公开招标、择优遴选，以及定期开展项目评估与绩效考核，确保服务质量与运营效率。</w:t>
      </w:r>
    </w:p>
    <w:p w14:paraId="7E7935F2">
      <w:pPr>
        <w:spacing w:line="360" w:lineRule="auto"/>
        <w:ind w:firstLine="480" w:firstLineChars="200"/>
        <w:rPr>
          <w:rFonts w:hint="eastAsia" w:ascii="Times New Roman" w:cs="Times New Roman"/>
          <w:sz w:val="24"/>
          <w:szCs w:val="28"/>
          <w:lang w:val="en-US" w:eastAsia="zh-CN"/>
        </w:rPr>
      </w:pPr>
    </w:p>
    <w:p w14:paraId="4AE93549">
      <w:pPr>
        <w:spacing w:line="360" w:lineRule="auto"/>
        <w:rPr>
          <w:rFonts w:ascii="Times New Roman" w:cs="Times New Roman"/>
          <w:b/>
          <w:sz w:val="28"/>
          <w:szCs w:val="32"/>
        </w:rPr>
      </w:pPr>
      <w:r>
        <w:rPr>
          <w:rFonts w:ascii="Times New Roman" w:cs="Times New Roman"/>
          <w:b/>
          <w:sz w:val="28"/>
          <w:szCs w:val="32"/>
        </w:rPr>
        <w:t>二、委托管理内容</w:t>
      </w:r>
    </w:p>
    <w:p w14:paraId="1E74E102">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本次主要是对虹桥街道社区综合为老服务中心的一、二、三楼以及长者运动健康之家区域的委托运营管理进行招标。</w:t>
      </w:r>
    </w:p>
    <w:p w14:paraId="79A3627E">
      <w:pPr>
        <w:spacing w:line="360" w:lineRule="auto"/>
        <w:rPr>
          <w:rFonts w:hint="default" w:ascii="Times New Roman" w:cs="Times New Roman"/>
          <w:b/>
          <w:bCs/>
          <w:sz w:val="24"/>
          <w:szCs w:val="28"/>
          <w:lang w:val="en-US" w:eastAsia="zh-CN"/>
        </w:rPr>
      </w:pPr>
      <w:r>
        <w:rPr>
          <w:rFonts w:hint="eastAsia" w:ascii="Times New Roman" w:cs="Times New Roman"/>
          <w:b/>
          <w:bCs/>
          <w:sz w:val="24"/>
          <w:szCs w:val="28"/>
          <w:lang w:val="en-US" w:eastAsia="zh-CN"/>
        </w:rPr>
        <w:t>（一）日常运营管理</w:t>
      </w:r>
    </w:p>
    <w:p w14:paraId="2230A628">
      <w:pPr>
        <w:spacing w:line="360" w:lineRule="auto"/>
        <w:ind w:firstLine="482"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b/>
          <w:bCs/>
          <w:sz w:val="24"/>
          <w:szCs w:val="28"/>
          <w:lang w:val="en-US" w:eastAsia="zh-CN"/>
        </w:rPr>
        <w:t>1、</w:t>
      </w:r>
      <w:r>
        <w:rPr>
          <w:rFonts w:hint="eastAsia" w:asciiTheme="minorEastAsia" w:hAnsiTheme="minorEastAsia" w:eastAsiaTheme="minorEastAsia" w:cstheme="minorEastAsia"/>
          <w:sz w:val="24"/>
          <w:szCs w:val="28"/>
          <w:lang w:val="en-US" w:eastAsia="zh-CN"/>
        </w:rPr>
        <w:t>1楼：提供社区综合为老服务</w:t>
      </w:r>
    </w:p>
    <w:p w14:paraId="1500F443">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（1）负责社区长者食堂的日常运营，提供堂吃及送餐等助餐服务。项目周期内不少于73000人次。</w:t>
      </w:r>
    </w:p>
    <w:p w14:paraId="09911B0B">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（2）便民服务（理发、扦脚、助浴等），项目周期内不少于360人次。</w:t>
      </w:r>
    </w:p>
    <w:p w14:paraId="00679708">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（3）养老顾问咨询服务，项目周期内不少于264人次。</w:t>
      </w:r>
    </w:p>
    <w:p w14:paraId="320A9358">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（4）中心品牌主题活动及老年文化交流活动，项目周期内不少于286次，项目周期内不少于5120人次。</w:t>
      </w:r>
    </w:p>
    <w:p w14:paraId="20DA07AE">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（5）中心宣传工作（包含微信公众号维护），项目周期内不少于48篇公众号推文及24篇视频号。</w:t>
      </w:r>
    </w:p>
    <w:p w14:paraId="28D36719">
      <w:pPr>
        <w:spacing w:line="360" w:lineRule="auto"/>
        <w:ind w:firstLine="482"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b/>
          <w:bCs/>
          <w:sz w:val="24"/>
          <w:szCs w:val="28"/>
          <w:lang w:val="en-US" w:eastAsia="zh-CN"/>
        </w:rPr>
        <w:t>2、</w:t>
      </w:r>
      <w:r>
        <w:rPr>
          <w:rFonts w:hint="eastAsia" w:asciiTheme="minorEastAsia" w:hAnsiTheme="minorEastAsia" w:eastAsiaTheme="minorEastAsia" w:cstheme="minorEastAsia"/>
          <w:sz w:val="24"/>
          <w:szCs w:val="28"/>
          <w:lang w:val="en-US" w:eastAsia="zh-CN"/>
        </w:rPr>
        <w:t>2楼：负责上海虹桥敬老院的日常运营，提供机构住养服务（含喘息式服务）。</w:t>
      </w:r>
    </w:p>
    <w:p w14:paraId="6EAC012A">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（1）基本生活照护：协助长者进餐、进水、吃药；晨晚间护理、皮肤护理等，项目周期内不少于23000人次。</w:t>
      </w:r>
    </w:p>
    <w:p w14:paraId="72841E61">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（2）医疗照护：定期对长者进行健康管理</w:t>
      </w:r>
      <w:r>
        <w:rPr>
          <w:rFonts w:hint="eastAsia" w:asciiTheme="minorEastAsia" w:hAnsiTheme="minorEastAsia" w:cstheme="minorEastAsia"/>
          <w:sz w:val="24"/>
          <w:szCs w:val="28"/>
          <w:lang w:val="en-US" w:eastAsia="zh-CN"/>
        </w:rPr>
        <w:t>，</w:t>
      </w:r>
      <w:r>
        <w:rPr>
          <w:rFonts w:hint="eastAsia" w:asciiTheme="minorEastAsia" w:hAnsiTheme="minorEastAsia" w:eastAsiaTheme="minorEastAsia" w:cstheme="minorEastAsia"/>
          <w:sz w:val="24"/>
          <w:szCs w:val="28"/>
          <w:lang w:val="en-US" w:eastAsia="zh-CN"/>
        </w:rPr>
        <w:t>保证基本医疗需求，对长者的病情进行跟踪</w:t>
      </w:r>
      <w:r>
        <w:rPr>
          <w:rFonts w:hint="eastAsia" w:asciiTheme="minorEastAsia" w:hAnsiTheme="minorEastAsia" w:cstheme="minorEastAsia"/>
          <w:sz w:val="24"/>
          <w:szCs w:val="28"/>
          <w:lang w:val="en-US" w:eastAsia="zh-CN"/>
        </w:rPr>
        <w:t>，</w:t>
      </w:r>
      <w:r>
        <w:rPr>
          <w:rFonts w:hint="eastAsia" w:asciiTheme="minorEastAsia" w:hAnsiTheme="minorEastAsia" w:eastAsiaTheme="minorEastAsia" w:cstheme="minorEastAsia"/>
          <w:sz w:val="24"/>
          <w:szCs w:val="28"/>
          <w:lang w:val="en-US" w:eastAsia="zh-CN"/>
        </w:rPr>
        <w:t>建立病历。项目周期内不少于52次，覆盖全部在住长者。</w:t>
      </w:r>
    </w:p>
    <w:p w14:paraId="4893502E">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（3）娱乐活动：通过开展形式多样，内容丰富的文体娱乐活动，培养长者兴趣爱好，促进“老有所学”、“老有所乐”的快乐养老观念。项目周期内不少于104场次。</w:t>
      </w:r>
    </w:p>
    <w:p w14:paraId="1119C0C8">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（4）其他上级业务主管单位要求养老机构开展的服务。</w:t>
      </w:r>
    </w:p>
    <w:p w14:paraId="619EF813">
      <w:pPr>
        <w:spacing w:line="360" w:lineRule="auto"/>
        <w:ind w:firstLine="482"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b/>
          <w:bCs/>
          <w:sz w:val="24"/>
          <w:szCs w:val="28"/>
          <w:lang w:val="en-US" w:eastAsia="zh-CN"/>
        </w:rPr>
        <w:t>3、</w:t>
      </w:r>
      <w:r>
        <w:rPr>
          <w:rFonts w:hint="eastAsia" w:asciiTheme="minorEastAsia" w:hAnsiTheme="minorEastAsia" w:eastAsiaTheme="minorEastAsia" w:cstheme="minorEastAsia"/>
          <w:sz w:val="24"/>
          <w:szCs w:val="28"/>
          <w:lang w:val="en-US" w:eastAsia="zh-CN"/>
        </w:rPr>
        <w:t>3楼：负责日间照料中心的日常运营，提供日间照料服务。</w:t>
      </w:r>
    </w:p>
    <w:p w14:paraId="0AA81097">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（1）日间照护服务，包括生活协助、陪伴聊天、精神慰藉等。项目周期内不少于2500人次。</w:t>
      </w:r>
    </w:p>
    <w:p w14:paraId="28C4B4A2">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（2）医疗照护：定期对长者进行健康监测服务，建立动态健康监测档案。项目周期内不少于52次。</w:t>
      </w:r>
    </w:p>
    <w:p w14:paraId="428B414C">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（3）专业干预，认知症非药物干预服务及干预活动等，项目周期内不少于104人次。</w:t>
      </w:r>
    </w:p>
    <w:p w14:paraId="765D882A">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（4）康复服务：逐步对长者进行肢体关节训练、康复活动及康复宣教等。项目周期内不少于104人次。</w:t>
      </w:r>
    </w:p>
    <w:p w14:paraId="4D79CDC7">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（5）娱乐活动：通过开展形式多样，内容丰富的文体娱乐活动，培养长者兴趣爱好，促进“老有所学”、“老有所乐”的快乐养老观念。项目周期内不少于192人次。</w:t>
      </w:r>
    </w:p>
    <w:p w14:paraId="5E322757">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（6）其他上级业务主管单位要求开展的服务</w:t>
      </w:r>
    </w:p>
    <w:p w14:paraId="1A868026">
      <w:pPr>
        <w:spacing w:line="360" w:lineRule="auto"/>
        <w:ind w:firstLine="482"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b/>
          <w:bCs/>
          <w:sz w:val="24"/>
          <w:szCs w:val="28"/>
          <w:lang w:val="en-US" w:eastAsia="zh-CN"/>
        </w:rPr>
        <w:t>4、</w:t>
      </w:r>
      <w:r>
        <w:rPr>
          <w:rFonts w:hint="eastAsia" w:asciiTheme="minorEastAsia" w:hAnsiTheme="minorEastAsia" w:eastAsiaTheme="minorEastAsia" w:cstheme="minorEastAsia"/>
          <w:sz w:val="24"/>
          <w:szCs w:val="28"/>
          <w:lang w:val="en-US" w:eastAsia="zh-CN"/>
        </w:rPr>
        <w:t>负责长者运动健康之家的日常运营，提供体养结合服务</w:t>
      </w:r>
      <w:r>
        <w:rPr>
          <w:rFonts w:hint="eastAsia" w:asciiTheme="minorEastAsia" w:hAnsiTheme="minorEastAsia" w:cstheme="minorEastAsia"/>
          <w:sz w:val="24"/>
          <w:szCs w:val="28"/>
          <w:lang w:val="en-US" w:eastAsia="zh-CN"/>
        </w:rPr>
        <w:t>；</w:t>
      </w:r>
      <w:r>
        <w:rPr>
          <w:rFonts w:hint="eastAsia" w:asciiTheme="minorEastAsia" w:hAnsiTheme="minorEastAsia" w:eastAsiaTheme="minorEastAsia" w:cstheme="minorEastAsia"/>
          <w:sz w:val="24"/>
          <w:szCs w:val="28"/>
          <w:lang w:val="en-US" w:eastAsia="zh-CN"/>
        </w:rPr>
        <w:t>为社区长者提供健身体养活动。项目周期内不少于6000人次。</w:t>
      </w:r>
    </w:p>
    <w:p w14:paraId="587EC3B6">
      <w:pPr>
        <w:spacing w:line="360" w:lineRule="auto"/>
        <w:rPr>
          <w:rFonts w:hint="default" w:ascii="Times New Roman" w:cs="Times New Roman"/>
          <w:b/>
          <w:bCs/>
          <w:sz w:val="24"/>
          <w:szCs w:val="28"/>
          <w:lang w:val="en-US" w:eastAsia="zh-CN"/>
        </w:rPr>
      </w:pPr>
      <w:r>
        <w:rPr>
          <w:rFonts w:hint="eastAsia" w:ascii="Times New Roman" w:cs="Times New Roman"/>
          <w:b/>
          <w:bCs/>
          <w:sz w:val="24"/>
          <w:szCs w:val="28"/>
          <w:lang w:val="en-US" w:eastAsia="zh-CN"/>
        </w:rPr>
        <w:t>（二）主题活动的策划与执行</w:t>
      </w:r>
    </w:p>
    <w:p w14:paraId="2EB8B6B8">
      <w:pPr>
        <w:spacing w:line="360" w:lineRule="auto"/>
        <w:ind w:firstLine="482" w:firstLineChars="200"/>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1、中心品牌活动及节庆主题活动</w:t>
      </w:r>
    </w:p>
    <w:p w14:paraId="7C628C82">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（1）每月至少开展2次品牌或节庆主题活动。</w:t>
      </w:r>
    </w:p>
    <w:p w14:paraId="28A1CAC2">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（2）场均参与人次目标：不低于50人次/场，全年累计覆盖不低于1200人次。</w:t>
      </w:r>
    </w:p>
    <w:p w14:paraId="14C2C745">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（3）活动内容需体现文化传承、健康促进、社区融合等主题。</w:t>
      </w:r>
    </w:p>
    <w:p w14:paraId="7C53EF58">
      <w:pPr>
        <w:spacing w:line="360" w:lineRule="auto"/>
        <w:ind w:firstLine="482" w:firstLineChars="200"/>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2、老年文化交流活动</w:t>
      </w:r>
    </w:p>
    <w:p w14:paraId="33C49F7E">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（1）每月至少开展21场老年文化交流活动（如书画课程、智能化教辅课程、甲骨文课程、手机课程、活力健康操、沪剧沙龙等多元化主题活动）。</w:t>
      </w:r>
    </w:p>
    <w:p w14:paraId="1EECCAAA">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（2）场均参与人次目标：不低于15人次/场，全年累计覆盖不低于3800人次。</w:t>
      </w:r>
    </w:p>
    <w:p w14:paraId="0265CF11">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（3）活动需覆盖不同老年群体兴趣需求，提升社区文化氛围。</w:t>
      </w:r>
    </w:p>
    <w:p w14:paraId="097A39FC">
      <w:pPr>
        <w:spacing w:line="360" w:lineRule="auto"/>
        <w:ind w:firstLine="482" w:firstLineChars="200"/>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3、下沉式社区美好生活服务站活动</w:t>
      </w:r>
    </w:p>
    <w:p w14:paraId="73DC1130">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（1）结合社区实际需求，每月开展3场便民服务、健康讲座、文娱手工等主题活动。</w:t>
      </w:r>
    </w:p>
    <w:p w14:paraId="36015A4A">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（2）场均参与人次目标：不低于10人次/场，全年累计覆盖不低于360人次。</w:t>
      </w:r>
    </w:p>
    <w:p w14:paraId="31500AEF">
      <w:pPr>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（3）深入社区“家门口”服务，将服务精准对接老年人精神文化、健康管理等高频需求，切实提升服务可及性与群众获得感。</w:t>
      </w:r>
    </w:p>
    <w:p w14:paraId="7BB356AA">
      <w:pPr>
        <w:spacing w:line="360" w:lineRule="auto"/>
        <w:ind w:firstLine="480" w:firstLineChars="200"/>
        <w:rPr>
          <w:rFonts w:hint="eastAsia" w:asciiTheme="minorEastAsia" w:hAnsiTheme="minorEastAsia" w:eastAsiaTheme="minorEastAsia" w:cstheme="minorEastAsia"/>
          <w:sz w:val="24"/>
          <w:szCs w:val="28"/>
          <w:lang w:val="en-US" w:eastAsia="zh-CN"/>
        </w:rPr>
      </w:pPr>
    </w:p>
    <w:p w14:paraId="1173765F">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三、服务对象</w:t>
      </w:r>
    </w:p>
    <w:p w14:paraId="218C5D14">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虹桥街道辖区内60 周岁及以上的老年群体。</w:t>
      </w:r>
    </w:p>
    <w:p w14:paraId="7A0EF545">
      <w:pPr>
        <w:spacing w:line="360" w:lineRule="auto"/>
        <w:rPr>
          <w:rFonts w:hint="eastAsia" w:asciiTheme="minorEastAsia" w:hAnsiTheme="minorEastAsia" w:eastAsiaTheme="minorEastAsia" w:cstheme="minorEastAsia"/>
          <w:sz w:val="24"/>
          <w:szCs w:val="28"/>
          <w:lang w:val="en-US" w:eastAsia="zh-CN"/>
        </w:rPr>
      </w:pPr>
    </w:p>
    <w:p w14:paraId="2C3489FA">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四、服务期限</w:t>
      </w:r>
    </w:p>
    <w:p w14:paraId="654240B8">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本项目报价按服务期限为12个月。服务周期为2026年5月1日至2027年4月30日。</w:t>
      </w:r>
    </w:p>
    <w:p w14:paraId="2CAB1F1F">
      <w:pPr>
        <w:spacing w:line="360" w:lineRule="auto"/>
        <w:rPr>
          <w:rFonts w:hint="eastAsia" w:asciiTheme="minorEastAsia" w:hAnsiTheme="minorEastAsia" w:eastAsiaTheme="minorEastAsia" w:cstheme="minorEastAsia"/>
          <w:sz w:val="24"/>
          <w:szCs w:val="28"/>
          <w:lang w:val="en-US" w:eastAsia="zh-CN"/>
        </w:rPr>
      </w:pPr>
    </w:p>
    <w:p w14:paraId="6FEDC065">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五、服务费用</w:t>
      </w:r>
    </w:p>
    <w:p w14:paraId="5C41531A">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虹桥街道社区综合为老服务中心运营管理项目服务费用主要为人员成本（含外部讲师及志愿者费用）、活动物料费用、送餐费用等。</w:t>
      </w:r>
    </w:p>
    <w:p w14:paraId="0168E64D">
      <w:pPr>
        <w:spacing w:line="360" w:lineRule="auto"/>
        <w:rPr>
          <w:rFonts w:hint="eastAsia" w:asciiTheme="minorEastAsia" w:hAnsiTheme="minorEastAsia" w:eastAsiaTheme="minorEastAsia" w:cstheme="minorEastAsia"/>
          <w:sz w:val="24"/>
          <w:szCs w:val="28"/>
          <w:lang w:val="en-US" w:eastAsia="zh-CN"/>
        </w:rPr>
      </w:pPr>
    </w:p>
    <w:p w14:paraId="06360D0B">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六、对投标人的相关要求</w:t>
      </w:r>
    </w:p>
    <w:p w14:paraId="282BF02A">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（一）对投标人的相关要求</w:t>
      </w:r>
    </w:p>
    <w:p w14:paraId="315641C3">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1、基本要求</w:t>
      </w:r>
    </w:p>
    <w:p w14:paraId="7A335F19">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（1）</w:t>
      </w:r>
      <w:r>
        <w:rPr>
          <w:rFonts w:hint="eastAsia" w:asciiTheme="minorEastAsia" w:hAnsiTheme="minorEastAsia" w:eastAsiaTheme="minorEastAsia" w:cstheme="minorEastAsia"/>
          <w:sz w:val="24"/>
          <w:szCs w:val="28"/>
          <w:lang w:val="en-US" w:eastAsia="zh-CN"/>
        </w:rPr>
        <w:t>具有独立承担民事责任的能力；</w:t>
      </w:r>
    </w:p>
    <w:p w14:paraId="342C5242">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（2）</w:t>
      </w:r>
      <w:r>
        <w:rPr>
          <w:rFonts w:hint="eastAsia" w:asciiTheme="minorEastAsia" w:hAnsiTheme="minorEastAsia" w:eastAsiaTheme="minorEastAsia" w:cstheme="minorEastAsia"/>
          <w:sz w:val="24"/>
          <w:szCs w:val="28"/>
          <w:lang w:val="en-US" w:eastAsia="zh-CN"/>
        </w:rPr>
        <w:t>具有良好的商业信誉和健全的财务会计制度；</w:t>
      </w:r>
    </w:p>
    <w:p w14:paraId="01116F4F">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（3）</w:t>
      </w:r>
      <w:r>
        <w:rPr>
          <w:rFonts w:hint="eastAsia" w:asciiTheme="minorEastAsia" w:hAnsiTheme="minorEastAsia" w:eastAsiaTheme="minorEastAsia" w:cstheme="minorEastAsia"/>
          <w:sz w:val="24"/>
          <w:szCs w:val="28"/>
          <w:lang w:val="en-US" w:eastAsia="zh-CN"/>
        </w:rPr>
        <w:t>具有履行合同所必需的设备和专业技术能力；</w:t>
      </w:r>
    </w:p>
    <w:p w14:paraId="3C43A66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（4）</w:t>
      </w:r>
      <w:r>
        <w:rPr>
          <w:rFonts w:hint="eastAsia" w:asciiTheme="minorEastAsia" w:hAnsiTheme="minorEastAsia" w:eastAsiaTheme="minorEastAsia" w:cstheme="minorEastAsia"/>
          <w:sz w:val="24"/>
          <w:szCs w:val="28"/>
          <w:lang w:val="en-US" w:eastAsia="zh-CN"/>
        </w:rPr>
        <w:t>有依法缴纳税收和社会保障资金的良好记录；</w:t>
      </w:r>
    </w:p>
    <w:p w14:paraId="63FDB866">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（5）</w:t>
      </w:r>
      <w:r>
        <w:rPr>
          <w:rFonts w:hint="eastAsia" w:asciiTheme="minorEastAsia" w:hAnsiTheme="minorEastAsia" w:eastAsiaTheme="minorEastAsia" w:cstheme="minorEastAsia"/>
          <w:sz w:val="24"/>
          <w:szCs w:val="28"/>
          <w:lang w:val="en-US" w:eastAsia="zh-CN"/>
        </w:rPr>
        <w:t>投标人应当具备承担招标项目的能力；国家有关规定对投标人资格条件或者招标文件对投标人资格条件有规定的，投标人应当具备规定的资格条件。</w:t>
      </w:r>
    </w:p>
    <w:p w14:paraId="54EDA83E">
      <w:pPr>
        <w:spacing w:line="360" w:lineRule="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cstheme="minorEastAsia"/>
          <w:color w:val="auto"/>
          <w:sz w:val="24"/>
          <w:szCs w:val="28"/>
          <w:lang w:val="en-US" w:eastAsia="zh-CN"/>
        </w:rPr>
        <w:t>（6）</w:t>
      </w:r>
      <w:r>
        <w:rPr>
          <w:rFonts w:hint="eastAsia" w:asciiTheme="minorEastAsia" w:hAnsiTheme="minorEastAsia" w:eastAsiaTheme="minorEastAsia" w:cstheme="minorEastAsia"/>
          <w:color w:val="auto"/>
          <w:sz w:val="24"/>
          <w:szCs w:val="28"/>
          <w:lang w:val="en-US" w:eastAsia="zh-CN"/>
        </w:rPr>
        <w:t>本项目不接受联合体投标。</w:t>
      </w:r>
    </w:p>
    <w:p w14:paraId="20AFB6DB">
      <w:pPr>
        <w:spacing w:line="360" w:lineRule="auto"/>
        <w:rPr>
          <w:rFonts w:hint="eastAsia" w:asciiTheme="minorEastAsia" w:hAnsiTheme="minorEastAsia" w:eastAsiaTheme="minorEastAsia" w:cstheme="minorEastAsia"/>
          <w:b/>
          <w:bCs/>
          <w:color w:val="auto"/>
          <w:sz w:val="24"/>
          <w:szCs w:val="28"/>
          <w:lang w:val="en-US" w:eastAsia="zh-CN"/>
        </w:rPr>
      </w:pPr>
      <w:r>
        <w:rPr>
          <w:rFonts w:hint="eastAsia" w:asciiTheme="minorEastAsia" w:hAnsiTheme="minorEastAsia" w:eastAsiaTheme="minorEastAsia" w:cstheme="minorEastAsia"/>
          <w:b/>
          <w:bCs/>
          <w:color w:val="auto"/>
          <w:sz w:val="24"/>
          <w:szCs w:val="28"/>
          <w:lang w:val="en-US" w:eastAsia="zh-CN"/>
        </w:rPr>
        <w:t>2、专业要求</w:t>
      </w:r>
    </w:p>
    <w:p w14:paraId="508C6AA4">
      <w:pPr>
        <w:spacing w:line="360" w:lineRule="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w:t>
      </w:r>
      <w:r>
        <w:rPr>
          <w:rFonts w:hint="eastAsia" w:asciiTheme="minorEastAsia" w:hAnsiTheme="minorEastAsia" w:cstheme="minorEastAsia"/>
          <w:color w:val="auto"/>
          <w:sz w:val="24"/>
          <w:szCs w:val="28"/>
          <w:lang w:val="en-US" w:eastAsia="zh-CN"/>
        </w:rPr>
        <w:t>（1）</w:t>
      </w:r>
      <w:r>
        <w:rPr>
          <w:rFonts w:hint="eastAsia" w:asciiTheme="minorEastAsia" w:hAnsiTheme="minorEastAsia" w:eastAsiaTheme="minorEastAsia" w:cstheme="minorEastAsia"/>
          <w:color w:val="auto"/>
          <w:sz w:val="24"/>
          <w:szCs w:val="28"/>
          <w:lang w:val="en-US" w:eastAsia="zh-CN"/>
        </w:rPr>
        <w:t>本项目为保基本项目，投标人需有管理运营</w:t>
      </w:r>
      <w:bookmarkStart w:id="0" w:name="_GoBack"/>
      <w:bookmarkEnd w:id="0"/>
      <w:r>
        <w:rPr>
          <w:rFonts w:hint="eastAsia" w:asciiTheme="minorEastAsia" w:hAnsiTheme="minorEastAsia" w:eastAsiaTheme="minorEastAsia" w:cstheme="minorEastAsia"/>
          <w:color w:val="auto"/>
          <w:sz w:val="24"/>
          <w:szCs w:val="28"/>
          <w:lang w:val="en-US" w:eastAsia="zh-CN"/>
        </w:rPr>
        <w:t>养老机构的运营经验；</w:t>
      </w:r>
    </w:p>
    <w:p w14:paraId="48A4B9D9">
      <w:pPr>
        <w:spacing w:line="360" w:lineRule="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w:t>
      </w:r>
      <w:r>
        <w:rPr>
          <w:rFonts w:hint="eastAsia" w:asciiTheme="minorEastAsia" w:hAnsiTheme="minorEastAsia" w:cstheme="minorEastAsia"/>
          <w:color w:val="auto"/>
          <w:sz w:val="24"/>
          <w:szCs w:val="28"/>
          <w:lang w:val="en-US" w:eastAsia="zh-CN"/>
        </w:rPr>
        <w:t>（2）</w:t>
      </w:r>
      <w:r>
        <w:rPr>
          <w:rFonts w:hint="eastAsia" w:asciiTheme="minorEastAsia" w:hAnsiTheme="minorEastAsia" w:eastAsiaTheme="minorEastAsia" w:cstheme="minorEastAsia"/>
          <w:color w:val="auto"/>
          <w:sz w:val="24"/>
          <w:szCs w:val="28"/>
          <w:lang w:val="en-US" w:eastAsia="zh-CN"/>
        </w:rPr>
        <w:t>本项目为机构（上海虹桥敬老院）、日托、助老便民服务为一体的机构，投标人需有 1 家含有机构、日间照料中心、便民服务为一体的养老综合体或者社区综合为老服务中心；</w:t>
      </w:r>
    </w:p>
    <w:p w14:paraId="3837D2B4">
      <w:pPr>
        <w:spacing w:line="360" w:lineRule="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w:t>
      </w:r>
      <w:r>
        <w:rPr>
          <w:rFonts w:hint="eastAsia" w:asciiTheme="minorEastAsia" w:hAnsiTheme="minorEastAsia" w:cstheme="minorEastAsia"/>
          <w:color w:val="auto"/>
          <w:sz w:val="24"/>
          <w:szCs w:val="28"/>
          <w:lang w:val="en-US" w:eastAsia="zh-CN"/>
        </w:rPr>
        <w:t>（3）</w:t>
      </w:r>
      <w:r>
        <w:rPr>
          <w:rFonts w:hint="eastAsia" w:asciiTheme="minorEastAsia" w:hAnsiTheme="minorEastAsia" w:eastAsiaTheme="minorEastAsia" w:cstheme="minorEastAsia"/>
          <w:color w:val="auto"/>
          <w:sz w:val="24"/>
          <w:szCs w:val="28"/>
          <w:lang w:val="en-US" w:eastAsia="zh-CN"/>
        </w:rPr>
        <w:t>鉴于医养结合是今后养老服务的主要方向，投标人或其发起成立的管理机构需有与医疗机构合作经验。</w:t>
      </w:r>
    </w:p>
    <w:p w14:paraId="60117DE8">
      <w:pPr>
        <w:spacing w:line="360" w:lineRule="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w:t>
      </w:r>
      <w:r>
        <w:rPr>
          <w:rFonts w:hint="eastAsia" w:asciiTheme="minorEastAsia" w:hAnsiTheme="minorEastAsia" w:cstheme="minorEastAsia"/>
          <w:color w:val="auto"/>
          <w:sz w:val="24"/>
          <w:szCs w:val="28"/>
          <w:lang w:val="en-US" w:eastAsia="zh-CN"/>
        </w:rPr>
        <w:t>（4）</w:t>
      </w:r>
      <w:r>
        <w:rPr>
          <w:rFonts w:hint="eastAsia" w:asciiTheme="minorEastAsia" w:hAnsiTheme="minorEastAsia" w:eastAsiaTheme="minorEastAsia" w:cstheme="minorEastAsia"/>
          <w:color w:val="auto"/>
          <w:sz w:val="24"/>
          <w:szCs w:val="28"/>
          <w:lang w:val="en-US" w:eastAsia="zh-CN"/>
        </w:rPr>
        <w:t>鉴于养老机构（上海虹桥敬老院）需要进行医养结合，投标人或其发起成立的管理机构需要有设立、管理内设医疗机构的经验。</w:t>
      </w:r>
    </w:p>
    <w:p w14:paraId="3F0A401F">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color w:val="auto"/>
          <w:sz w:val="24"/>
          <w:szCs w:val="28"/>
          <w:lang w:val="en-US" w:eastAsia="zh-CN"/>
        </w:rPr>
        <w:t>（5）</w:t>
      </w:r>
      <w:r>
        <w:rPr>
          <w:rFonts w:hint="eastAsia" w:asciiTheme="minorEastAsia" w:hAnsiTheme="minorEastAsia" w:eastAsiaTheme="minorEastAsia" w:cstheme="minorEastAsia"/>
          <w:color w:val="auto"/>
          <w:sz w:val="24"/>
          <w:szCs w:val="28"/>
          <w:lang w:val="en-US" w:eastAsia="zh-CN"/>
        </w:rPr>
        <w:t>鉴于各类活动组织和安排对老人的服务与管理具有重要作用，养教结合中，组织一些专业的学习活动对于老人的情绪疏导有积极</w:t>
      </w:r>
      <w:r>
        <w:rPr>
          <w:rFonts w:hint="eastAsia" w:asciiTheme="minorEastAsia" w:hAnsiTheme="minorEastAsia" w:eastAsiaTheme="minorEastAsia" w:cstheme="minorEastAsia"/>
          <w:sz w:val="24"/>
          <w:szCs w:val="28"/>
          <w:lang w:val="en-US" w:eastAsia="zh-CN"/>
        </w:rPr>
        <w:t>作用，投标人或其发起成立的管理机构如与老年大学有合作经验者尤佳。</w:t>
      </w:r>
    </w:p>
    <w:p w14:paraId="154C6611">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（6）</w:t>
      </w:r>
      <w:r>
        <w:rPr>
          <w:rFonts w:hint="eastAsia" w:asciiTheme="minorEastAsia" w:hAnsiTheme="minorEastAsia" w:eastAsiaTheme="minorEastAsia" w:cstheme="minorEastAsia"/>
          <w:sz w:val="24"/>
          <w:szCs w:val="28"/>
          <w:lang w:val="en-US" w:eastAsia="zh-CN"/>
        </w:rPr>
        <w:t>鉴于老人与中小学生乃至幼儿园小朋友的互动对老人的情绪疏导、精神慰藉有积极作用，投标人或其发起成立的管理机构如有与中小学校结对共建经验尤佳。</w:t>
      </w:r>
    </w:p>
    <w:p w14:paraId="76DA9993">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w:t>
      </w:r>
      <w:r>
        <w:rPr>
          <w:rFonts w:hint="eastAsia" w:asciiTheme="minorEastAsia" w:hAnsiTheme="minorEastAsia" w:cstheme="minorEastAsia"/>
          <w:sz w:val="24"/>
          <w:szCs w:val="28"/>
          <w:lang w:val="en-US" w:eastAsia="zh-CN"/>
        </w:rPr>
        <w:t>（7）</w:t>
      </w:r>
      <w:r>
        <w:rPr>
          <w:rFonts w:hint="eastAsia" w:asciiTheme="minorEastAsia" w:hAnsiTheme="minorEastAsia" w:eastAsiaTheme="minorEastAsia" w:cstheme="minorEastAsia"/>
          <w:sz w:val="24"/>
          <w:szCs w:val="28"/>
          <w:lang w:val="en-US" w:eastAsia="zh-CN"/>
        </w:rPr>
        <w:t xml:space="preserve">鉴于志愿者是养老机构不可或缺的社会资源，投标人或其发起成立的机构需要有 1 家区级精神文明委员会办公室认定的志愿者服务基地，有组织和管理志愿者公益活动的经验和能力。 </w:t>
      </w:r>
    </w:p>
    <w:p w14:paraId="5F8FCDC7">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w:t>
      </w:r>
      <w:r>
        <w:rPr>
          <w:rFonts w:hint="eastAsia" w:asciiTheme="minorEastAsia" w:hAnsiTheme="minorEastAsia" w:cstheme="minorEastAsia"/>
          <w:sz w:val="24"/>
          <w:szCs w:val="28"/>
          <w:lang w:val="en-US" w:eastAsia="zh-CN"/>
        </w:rPr>
        <w:t>（8）</w:t>
      </w:r>
      <w:r>
        <w:rPr>
          <w:rFonts w:hint="eastAsia" w:asciiTheme="minorEastAsia" w:hAnsiTheme="minorEastAsia" w:eastAsiaTheme="minorEastAsia" w:cstheme="minorEastAsia"/>
          <w:sz w:val="24"/>
          <w:szCs w:val="28"/>
          <w:lang w:val="en-US" w:eastAsia="zh-CN"/>
        </w:rPr>
        <w:t xml:space="preserve">鉴于该项目敬老院有较多认知症的长者，投标人或其发起成立的机构需要有管理和服务失智失能老人的经验。 </w:t>
      </w:r>
    </w:p>
    <w:p w14:paraId="346FEB05">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（上述</w:t>
      </w:r>
      <w:r>
        <w:rPr>
          <w:rFonts w:hint="eastAsia" w:asciiTheme="minorEastAsia" w:hAnsiTheme="minorEastAsia" w:eastAsiaTheme="minorEastAsia" w:cstheme="minorEastAsia"/>
          <w:sz w:val="24"/>
          <w:szCs w:val="28"/>
          <w:lang w:val="en-US" w:eastAsia="zh-CN"/>
        </w:rPr>
        <w:t>“★”</w:t>
      </w:r>
      <w:r>
        <w:rPr>
          <w:rFonts w:hint="eastAsia" w:asciiTheme="minorEastAsia" w:hAnsiTheme="minorEastAsia" w:cstheme="minorEastAsia"/>
          <w:sz w:val="24"/>
          <w:szCs w:val="28"/>
          <w:lang w:val="en-US" w:eastAsia="zh-CN"/>
        </w:rPr>
        <w:t>内容</w:t>
      </w:r>
      <w:r>
        <w:rPr>
          <w:rFonts w:hint="eastAsia" w:asciiTheme="minorEastAsia" w:hAnsiTheme="minorEastAsia" w:eastAsiaTheme="minorEastAsia" w:cstheme="minorEastAsia"/>
          <w:sz w:val="24"/>
          <w:szCs w:val="28"/>
          <w:lang w:val="en-US" w:eastAsia="zh-CN"/>
        </w:rPr>
        <w:t>为必须满足项，且必须提供</w:t>
      </w:r>
      <w:r>
        <w:rPr>
          <w:rFonts w:hint="eastAsia" w:asciiTheme="minorEastAsia" w:hAnsiTheme="minorEastAsia" w:cstheme="minorEastAsia"/>
          <w:sz w:val="24"/>
          <w:szCs w:val="28"/>
          <w:lang w:val="en-US" w:eastAsia="zh-CN"/>
        </w:rPr>
        <w:t>相应</w:t>
      </w:r>
      <w:r>
        <w:rPr>
          <w:rFonts w:hint="eastAsia" w:asciiTheme="minorEastAsia" w:hAnsiTheme="minorEastAsia" w:eastAsiaTheme="minorEastAsia" w:cstheme="minorEastAsia"/>
          <w:sz w:val="24"/>
          <w:szCs w:val="28"/>
          <w:lang w:val="en-US" w:eastAsia="zh-CN"/>
        </w:rPr>
        <w:t>证明材料</w:t>
      </w:r>
      <w:r>
        <w:rPr>
          <w:rFonts w:hint="eastAsia" w:asciiTheme="minorEastAsia" w:hAnsiTheme="minorEastAsia" w:cstheme="minorEastAsia"/>
          <w:sz w:val="24"/>
          <w:szCs w:val="28"/>
          <w:lang w:val="en-US" w:eastAsia="zh-CN"/>
        </w:rPr>
        <w:t>，</w:t>
      </w:r>
      <w:r>
        <w:rPr>
          <w:rFonts w:hint="eastAsia" w:asciiTheme="minorEastAsia" w:hAnsiTheme="minorEastAsia" w:eastAsiaTheme="minorEastAsia" w:cstheme="minorEastAsia"/>
          <w:sz w:val="24"/>
          <w:szCs w:val="28"/>
          <w:lang w:val="en-US" w:eastAsia="zh-CN"/>
        </w:rPr>
        <w:t>否则其投标将被否决</w:t>
      </w:r>
      <w:r>
        <w:rPr>
          <w:rFonts w:hint="eastAsia" w:asciiTheme="minorEastAsia" w:hAnsiTheme="minorEastAsia" w:cstheme="minorEastAsia"/>
          <w:sz w:val="24"/>
          <w:szCs w:val="28"/>
          <w:lang w:val="en-US" w:eastAsia="zh-CN"/>
        </w:rPr>
        <w:t>）</w:t>
      </w:r>
    </w:p>
    <w:p w14:paraId="17CF6A6F">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 xml:space="preserve">（二）人员配置要求 </w:t>
      </w:r>
    </w:p>
    <w:tbl>
      <w:tblPr>
        <w:tblStyle w:val="7"/>
        <w:tblW w:w="79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5"/>
        <w:gridCol w:w="476"/>
        <w:gridCol w:w="585"/>
        <w:gridCol w:w="555"/>
        <w:gridCol w:w="507"/>
        <w:gridCol w:w="429"/>
        <w:gridCol w:w="504"/>
        <w:gridCol w:w="465"/>
        <w:gridCol w:w="1350"/>
        <w:gridCol w:w="525"/>
        <w:gridCol w:w="542"/>
        <w:gridCol w:w="445"/>
        <w:gridCol w:w="498"/>
        <w:gridCol w:w="450"/>
      </w:tblGrid>
      <w:tr w14:paraId="2F965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tcPr>
          <w:p w14:paraId="2C340615">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岗位</w:t>
            </w:r>
          </w:p>
          <w:p w14:paraId="7B0F216C">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名称</w:t>
            </w:r>
          </w:p>
        </w:tc>
        <w:tc>
          <w:tcPr>
            <w:tcW w:w="476" w:type="dxa"/>
          </w:tcPr>
          <w:p w14:paraId="6AD378A4">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院长</w:t>
            </w:r>
          </w:p>
        </w:tc>
        <w:tc>
          <w:tcPr>
            <w:tcW w:w="585" w:type="dxa"/>
          </w:tcPr>
          <w:p w14:paraId="62FCA22A">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行政</w:t>
            </w:r>
          </w:p>
          <w:p w14:paraId="4C5CF964">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主管</w:t>
            </w:r>
          </w:p>
        </w:tc>
        <w:tc>
          <w:tcPr>
            <w:tcW w:w="555" w:type="dxa"/>
          </w:tcPr>
          <w:p w14:paraId="6A605339">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后勤主管</w:t>
            </w:r>
          </w:p>
        </w:tc>
        <w:tc>
          <w:tcPr>
            <w:tcW w:w="507" w:type="dxa"/>
          </w:tcPr>
          <w:p w14:paraId="05DE5F13">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护理</w:t>
            </w:r>
          </w:p>
          <w:p w14:paraId="651F2380">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主管</w:t>
            </w:r>
          </w:p>
        </w:tc>
        <w:tc>
          <w:tcPr>
            <w:tcW w:w="429" w:type="dxa"/>
          </w:tcPr>
          <w:p w14:paraId="59689F0B">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护</w:t>
            </w:r>
          </w:p>
          <w:p w14:paraId="7DA33844">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士</w:t>
            </w:r>
          </w:p>
        </w:tc>
        <w:tc>
          <w:tcPr>
            <w:tcW w:w="504" w:type="dxa"/>
          </w:tcPr>
          <w:p w14:paraId="2E9DF011">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行政</w:t>
            </w:r>
          </w:p>
          <w:p w14:paraId="4EDBA126">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接待</w:t>
            </w:r>
          </w:p>
        </w:tc>
        <w:tc>
          <w:tcPr>
            <w:tcW w:w="465" w:type="dxa"/>
          </w:tcPr>
          <w:p w14:paraId="223B4695">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社</w:t>
            </w:r>
          </w:p>
          <w:p w14:paraId="4EF1BCDC">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工</w:t>
            </w:r>
          </w:p>
        </w:tc>
        <w:tc>
          <w:tcPr>
            <w:tcW w:w="1350" w:type="dxa"/>
          </w:tcPr>
          <w:p w14:paraId="0F647BE7">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照护员</w:t>
            </w:r>
          </w:p>
          <w:p w14:paraId="4EF990CB">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（含日托）</w:t>
            </w:r>
          </w:p>
        </w:tc>
        <w:tc>
          <w:tcPr>
            <w:tcW w:w="525" w:type="dxa"/>
          </w:tcPr>
          <w:p w14:paraId="5495244B">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洗衣员</w:t>
            </w:r>
          </w:p>
        </w:tc>
        <w:tc>
          <w:tcPr>
            <w:tcW w:w="542" w:type="dxa"/>
          </w:tcPr>
          <w:p w14:paraId="14BF50E0">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厨</w:t>
            </w:r>
          </w:p>
          <w:p w14:paraId="3F20BF50">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师</w:t>
            </w:r>
          </w:p>
        </w:tc>
        <w:tc>
          <w:tcPr>
            <w:tcW w:w="445" w:type="dxa"/>
          </w:tcPr>
          <w:p w14:paraId="28A28E1C">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厨</w:t>
            </w:r>
          </w:p>
          <w:p w14:paraId="2CD5CBF5">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工</w:t>
            </w:r>
          </w:p>
        </w:tc>
        <w:tc>
          <w:tcPr>
            <w:tcW w:w="498" w:type="dxa"/>
          </w:tcPr>
          <w:p w14:paraId="67B1103D">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出纳</w:t>
            </w:r>
          </w:p>
        </w:tc>
        <w:tc>
          <w:tcPr>
            <w:tcW w:w="450" w:type="dxa"/>
          </w:tcPr>
          <w:p w14:paraId="1E052904">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合计</w:t>
            </w:r>
          </w:p>
        </w:tc>
      </w:tr>
      <w:tr w14:paraId="30B54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tcPr>
          <w:p w14:paraId="2379E2BB">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人数</w:t>
            </w:r>
          </w:p>
        </w:tc>
        <w:tc>
          <w:tcPr>
            <w:tcW w:w="476" w:type="dxa"/>
          </w:tcPr>
          <w:p w14:paraId="6E30B838">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585" w:type="dxa"/>
          </w:tcPr>
          <w:p w14:paraId="66226782">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555" w:type="dxa"/>
          </w:tcPr>
          <w:p w14:paraId="44FC1A08">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w:t>
            </w:r>
          </w:p>
        </w:tc>
        <w:tc>
          <w:tcPr>
            <w:tcW w:w="507" w:type="dxa"/>
          </w:tcPr>
          <w:p w14:paraId="4C77AA0D">
            <w:pPr>
              <w:spacing w:line="360" w:lineRule="auto"/>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429" w:type="dxa"/>
          </w:tcPr>
          <w:p w14:paraId="26B7E161">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504" w:type="dxa"/>
          </w:tcPr>
          <w:p w14:paraId="70BD911C">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465" w:type="dxa"/>
          </w:tcPr>
          <w:p w14:paraId="3E302CBB">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w:t>
            </w:r>
          </w:p>
        </w:tc>
        <w:tc>
          <w:tcPr>
            <w:tcW w:w="1350" w:type="dxa"/>
          </w:tcPr>
          <w:p w14:paraId="3E5F4C4B">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10</w:t>
            </w:r>
          </w:p>
        </w:tc>
        <w:tc>
          <w:tcPr>
            <w:tcW w:w="525" w:type="dxa"/>
          </w:tcPr>
          <w:p w14:paraId="1F57AD29">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542" w:type="dxa"/>
          </w:tcPr>
          <w:p w14:paraId="3E629564">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w:t>
            </w:r>
          </w:p>
        </w:tc>
        <w:tc>
          <w:tcPr>
            <w:tcW w:w="445" w:type="dxa"/>
          </w:tcPr>
          <w:p w14:paraId="5C64845D">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w:t>
            </w:r>
          </w:p>
        </w:tc>
        <w:tc>
          <w:tcPr>
            <w:tcW w:w="498" w:type="dxa"/>
          </w:tcPr>
          <w:p w14:paraId="446E37FF">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450" w:type="dxa"/>
          </w:tcPr>
          <w:p w14:paraId="4B914C0C">
            <w:pPr>
              <w:spacing w:line="360" w:lineRule="auto"/>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28</w:t>
            </w:r>
          </w:p>
        </w:tc>
      </w:tr>
    </w:tbl>
    <w:p w14:paraId="35E39F1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投标人须结合养老机构管理与服务需求，组建不少于28人的运营团队，所有人员须符合《养老机构设施与服务要求》（DB31/T685-2013）及行业规范资质（资格证及健康证）。其中，院长须具备行业协会颁发管理人员资质及食品安全、消防安全、生产安全责任人资质，具有三年以上养老机构或失能照护管理经验；部门管理人员须配备相应专项管理资质，如食品安全、设备安全、消防安全管理等专项资质，须具备一年以上相关领域从业经历。医护岗位须配备持相应执业资格证，护理人员须持养老护理员五级及以上等级资格证，社工岗位须持社工师资格证，食堂厨师岗位须持厨师证。团队人员年龄结构、男女比例应与服务对象需求及岗位特点相适应，各岗位人员须具备相应从业经验，确保持证上岗、人岗相配，全面保障机构服务安全与质量。</w:t>
      </w:r>
    </w:p>
    <w:p w14:paraId="6AE6868B">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 xml:space="preserve">（三）服务内容要求 </w:t>
      </w:r>
    </w:p>
    <w:p w14:paraId="75434920">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该项目各项服务内容满意度不低于 95%，知晓率不低于 90%； </w:t>
      </w:r>
    </w:p>
    <w:p w14:paraId="7C06D7A4">
      <w:pPr>
        <w:spacing w:line="360" w:lineRule="auto"/>
        <w:rPr>
          <w:rFonts w:hint="default" w:ascii="Times New Roman" w:cs="Times New Roman"/>
          <w:b/>
          <w:bCs/>
          <w:sz w:val="24"/>
          <w:szCs w:val="28"/>
          <w:lang w:val="en-US" w:eastAsia="zh-CN"/>
        </w:rPr>
      </w:pPr>
      <w:r>
        <w:rPr>
          <w:rFonts w:hint="eastAsia" w:ascii="Times New Roman" w:cs="Times New Roman"/>
          <w:b/>
          <w:bCs/>
          <w:sz w:val="24"/>
          <w:szCs w:val="28"/>
          <w:lang w:val="en-US" w:eastAsia="zh-CN"/>
        </w:rPr>
        <w:t xml:space="preserve">（四）技术方案要求  </w:t>
      </w:r>
    </w:p>
    <w:p w14:paraId="39771D91">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投标人对养老行业有深刻的理解，在投标文件中提出具体的运营方案和管理思路。投标人制定的管理运营方案要阐述“相关管理体系，运营策略，团队配置，业务塑造和服务研发的具体做法”，（包括但不限于：运营成本测算、员工招募和培训工作的安排、伙食费收费标准的测算、以及本招标需求中未提及但有助于项目推进的有关做法）。 </w:t>
      </w:r>
    </w:p>
    <w:p w14:paraId="2F4D934D">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 xml:space="preserve">（五）其他要求 </w:t>
      </w:r>
    </w:p>
    <w:p w14:paraId="714BC17E">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参加本次招标活动前三年内，投标人自觉遵守国家法律法规，在经营活动中无违法记录，无利用不正当手段骗取中标，无重大经济刑事案件。 </w:t>
      </w:r>
    </w:p>
    <w:p w14:paraId="1F4A9C04">
      <w:pPr>
        <w:spacing w:line="360" w:lineRule="auto"/>
        <w:rPr>
          <w:rFonts w:hint="eastAsia" w:asciiTheme="minorEastAsia" w:hAnsiTheme="minorEastAsia" w:eastAsiaTheme="minorEastAsia" w:cstheme="minorEastAsia"/>
          <w:sz w:val="24"/>
          <w:szCs w:val="28"/>
          <w:lang w:val="en-US" w:eastAsia="zh-CN"/>
        </w:rPr>
      </w:pPr>
    </w:p>
    <w:p w14:paraId="258746E7">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 xml:space="preserve">七、实施进度要求 </w:t>
      </w:r>
    </w:p>
    <w:p w14:paraId="00008965">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根据项目服务内容，编制服务方案，并根据服务方案具体落实，保证项目实施的完整性和连贯性。 </w:t>
      </w:r>
    </w:p>
    <w:p w14:paraId="4E8E563F">
      <w:pPr>
        <w:spacing w:line="360" w:lineRule="auto"/>
        <w:rPr>
          <w:rFonts w:hint="eastAsia" w:asciiTheme="minorEastAsia" w:hAnsiTheme="minorEastAsia" w:eastAsiaTheme="minorEastAsia" w:cstheme="minorEastAsia"/>
          <w:sz w:val="24"/>
          <w:szCs w:val="28"/>
          <w:lang w:val="en-US" w:eastAsia="zh-CN"/>
        </w:rPr>
      </w:pPr>
    </w:p>
    <w:p w14:paraId="22B722B3">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 xml:space="preserve">八、项目合同约定 </w:t>
      </w:r>
    </w:p>
    <w:p w14:paraId="3E6D7DF1">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为明确招标人和中标人的权责，双方应及时签订合同，主要约定以下事项： </w:t>
      </w:r>
    </w:p>
    <w:p w14:paraId="7D96083E">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 xml:space="preserve">（一）财务管理 </w:t>
      </w:r>
    </w:p>
    <w:p w14:paraId="374CA47B">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1、虹桥街道社区综合为老服务中心（以下简称本机构）具体财务管理方式由街道与运营方在区相关部门指导下协商沟通确定； </w:t>
      </w:r>
    </w:p>
    <w:p w14:paraId="4815969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2、本机构在委托管理运营期内发生的各项运营费用及工作人员薪酬福利由中标人承担，日常报账由中标人负责； </w:t>
      </w:r>
    </w:p>
    <w:p w14:paraId="7B992DEE">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3、中标人对机构财务应做到管理规范、收支有据、账目清楚；强化项目成本管理，减少不必要的开支，以最终达到服务提升、成本降低、社会影响力提高。若出现违规使用机构资金，侵占、挪用、滥用机构的资金、财产，故意损坏、隐匿或丢弃凭证、账簿等不法行为的，招标人有权提前终止合同。 </w:t>
      </w:r>
    </w:p>
    <w:p w14:paraId="79E1D70B">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（二）服务收费 </w:t>
      </w:r>
    </w:p>
    <w:p w14:paraId="334C3C34">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本机构服务收费根据市、区养老机构服务收费管理规定执行，实行政府指导价，由区发改委（物价局）对其按成本核价，中标人不得另立名目自行扩大收费范围、内容和标准。 </w:t>
      </w:r>
    </w:p>
    <w:p w14:paraId="58F67C16">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（三）员工管理 </w:t>
      </w:r>
    </w:p>
    <w:p w14:paraId="0B1C30EA">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1、中标人根据本机构运营需要，按照上海市地方标准《养老机构设施与服务要求》（DB31/T685-2013）规范配备各岗位工作人员； </w:t>
      </w:r>
    </w:p>
    <w:p w14:paraId="25122E96">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2、中标人可以自主招聘员工，并与员工签订劳动合同，做到规范用工； </w:t>
      </w:r>
    </w:p>
    <w:p w14:paraId="24F5FE30">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3、中标人负责对员工进行日常管理、绩效考核、业务培训，健全员工晋升、奖惩考核机制，</w:t>
      </w:r>
    </w:p>
    <w:p w14:paraId="0896C871">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做好养老服务人员队伍建设，提升员工的业务能力及服务水平。 </w:t>
      </w:r>
    </w:p>
    <w:p w14:paraId="4AB2AEA2">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（四）固定资产 </w:t>
      </w:r>
    </w:p>
    <w:p w14:paraId="74C3C102">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1、本机构固定资产归属于招标人所有，中标人根据委托约定拥有使用权。招标人需保证中标人运营所必需的硬件设施的齐整完好，确保移交给中标人的固定资产能够正常使用； </w:t>
      </w:r>
    </w:p>
    <w:p w14:paraId="1F1F8B31">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2、中标人应保证本机构固定资产的安全，做好定期维修、保养、年检，中标人需跟踪固定资产的使用情况，设施设备日常维修由中标人负责出资维修，非人员违规操作导致设施设备重大维修由中标人及时通报招标人，申请区财政专项维修资金开展维修工作； </w:t>
      </w:r>
    </w:p>
    <w:p w14:paraId="4B98C2E7">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3、本机构固定资产的申购、报废均需由中标人报请招标人批准认可方可实施，中标人不得私自处置机构固定资产； </w:t>
      </w:r>
    </w:p>
    <w:p w14:paraId="2885414F">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4、中标人应配合招标人做好固定资产清查，不得无故拒绝任何形式的资产清查。 </w:t>
      </w:r>
    </w:p>
    <w:p w14:paraId="7C061C25">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（五）维护修缮 </w:t>
      </w:r>
    </w:p>
    <w:p w14:paraId="61B3894C">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中标人负责对本机构建筑物内外设施的日常维护、保养及修缮，如有重大修缮项目由中标人报请招标人批准，申请区财政专项资金进行修缮。 </w:t>
      </w:r>
    </w:p>
    <w:p w14:paraId="3677E7B9">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（六）期满交接 </w:t>
      </w:r>
    </w:p>
    <w:p w14:paraId="02D1D986">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在合同届满或提前终止时，中标人应配合招标人做好人、财、物的交接，并移交以下资料：</w:t>
      </w:r>
    </w:p>
    <w:p w14:paraId="736DE6E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1、设施设备使用、维护、保养、年检资料； </w:t>
      </w:r>
    </w:p>
    <w:p w14:paraId="5E31141E">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2、做好留用员工的交接</w:t>
      </w:r>
      <w:r>
        <w:rPr>
          <w:rFonts w:hint="eastAsia" w:asciiTheme="minorEastAsia" w:hAnsiTheme="minorEastAsia" w:cstheme="minorEastAsia"/>
          <w:sz w:val="24"/>
          <w:szCs w:val="28"/>
          <w:lang w:val="en-US" w:eastAsia="zh-CN"/>
        </w:rPr>
        <w:t>。</w:t>
      </w:r>
    </w:p>
    <w:p w14:paraId="273C6B0A">
      <w:pPr>
        <w:spacing w:line="360" w:lineRule="auto"/>
        <w:rPr>
          <w:rFonts w:hint="eastAsia" w:asciiTheme="minorEastAsia" w:hAnsiTheme="minorEastAsia" w:eastAsiaTheme="minorEastAsia" w:cstheme="minorEastAsia"/>
          <w:sz w:val="24"/>
          <w:szCs w:val="28"/>
          <w:lang w:val="en-US" w:eastAsia="zh-CN"/>
        </w:rPr>
      </w:pPr>
    </w:p>
    <w:p w14:paraId="7F2C6D28">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 xml:space="preserve">九、项目验收方式 </w:t>
      </w:r>
    </w:p>
    <w:p w14:paraId="1B2A11C4">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招标人负责对本机构的日常运营进行监管，同时委托第三方专业机构对本项目执行情况进行评估并出具评估报告，作为项目经费拨付的依据。 </w:t>
      </w:r>
    </w:p>
    <w:p w14:paraId="4289DBBE">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招标人购买服务费用与机构监管情况、考核绩效挂钩。绩效考核内容包括：服务满意度、设施设备维护情况、养老机构服务质量大检查、绩效目标完成情况等。   </w:t>
      </w:r>
    </w:p>
    <w:p w14:paraId="78491558">
      <w:pPr>
        <w:spacing w:line="360" w:lineRule="auto"/>
        <w:rPr>
          <w:rFonts w:hint="eastAsia" w:asciiTheme="minorEastAsia" w:hAnsiTheme="minorEastAsia" w:eastAsiaTheme="minorEastAsia" w:cstheme="minorEastAsia"/>
          <w:sz w:val="24"/>
          <w:szCs w:val="28"/>
          <w:lang w:val="en-US" w:eastAsia="zh-CN"/>
        </w:rPr>
      </w:pPr>
    </w:p>
    <w:p w14:paraId="773855E7">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 xml:space="preserve">十、投标人应响应的事项及承诺 </w:t>
      </w:r>
    </w:p>
    <w:p w14:paraId="5956FF32">
      <w:pPr>
        <w:spacing w:line="360" w:lineRule="auto"/>
        <w:rPr>
          <w:rFonts w:hint="eastAsia" w:asciiTheme="minorEastAsia" w:hAnsiTheme="minorEastAsia" w:eastAsiaTheme="minorEastAsia" w:cstheme="minorEastAsia"/>
          <w:b/>
          <w:bCs/>
          <w:i w:val="0"/>
          <w:iCs w:val="0"/>
          <w:sz w:val="24"/>
          <w:szCs w:val="28"/>
          <w:lang w:val="en-US" w:eastAsia="zh-CN"/>
        </w:rPr>
      </w:pPr>
      <w:r>
        <w:rPr>
          <w:rFonts w:hint="eastAsia" w:asciiTheme="minorEastAsia" w:hAnsiTheme="minorEastAsia" w:eastAsiaTheme="minorEastAsia" w:cstheme="minorEastAsia"/>
          <w:b/>
          <w:bCs/>
          <w:i w:val="0"/>
          <w:iCs w:val="0"/>
          <w:sz w:val="24"/>
          <w:szCs w:val="28"/>
          <w:lang w:val="en-US" w:eastAsia="zh-CN"/>
        </w:rPr>
        <w:t xml:space="preserve">（一）投标人需响应的事项 </w:t>
      </w:r>
    </w:p>
    <w:p w14:paraId="27114E95">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投标人对养老行业有深刻的理解，在投标文件中提出具体的运营方案和管理思路。（包括但不限于：运营成本测算、员工招募和培训工作的安排、伙食费收费标准的测算、对养老机构投入力度的测算、以及本招标需求中未提及但有助于项目推进的有关做法。） </w:t>
      </w:r>
    </w:p>
    <w:p w14:paraId="579F2BC8">
      <w:pPr>
        <w:spacing w:line="360" w:lineRule="auto"/>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 xml:space="preserve">（二）投标人须作出的承诺 </w:t>
      </w:r>
    </w:p>
    <w:p w14:paraId="23B7DA7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1、本项目存在各类风险（包括但不限于：安全生产风险、投资风险等），投标人应承诺自行制定风险防范措施，给予妥善实施。 </w:t>
      </w:r>
    </w:p>
    <w:p w14:paraId="04D7C62C">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2、投标人承诺按照《上海市养老机构条例》、《上海市养老机构管理和服务基本标准》、《 养老机构设施与服务要求》（DB31/T685-2013）等规定配备管理人员、医技人员、护理人员、其他专业技术人员、后勤人员等。 </w:t>
      </w:r>
    </w:p>
    <w:p w14:paraId="4942425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3、投标人应具有良好的社会责任感，必须愿意接受主管单位的监督管理和考核，能积极配合政府做好保障性床位的安排。 </w:t>
      </w:r>
    </w:p>
    <w:p w14:paraId="29FC5C7D">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4、若中标人提前终止租赁，退出项目管理，承诺会提前 2 个月告知主管部门，并承担相应违约责任。 </w:t>
      </w:r>
    </w:p>
    <w:p w14:paraId="3BD44793">
      <w:pPr>
        <w:spacing w:line="360" w:lineRule="auto"/>
        <w:rPr>
          <w:rFonts w:hint="eastAsia" w:ascii="Times New Roman" w:cs="Times New Roman"/>
          <w:b/>
          <w:sz w:val="28"/>
          <w:szCs w:val="32"/>
          <w:lang w:val="en-US" w:eastAsia="zh-CN"/>
        </w:rPr>
      </w:pPr>
    </w:p>
    <w:p w14:paraId="69E0050A">
      <w:p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 xml:space="preserve">十一、其他声明 </w:t>
      </w:r>
    </w:p>
    <w:p w14:paraId="43B34297">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在项目合同履行期间，若招标人主体资格、机构性质等发生变更，影响到中标人履行项目合同的，中标人应配合招标人在主管单位的指导下变更项目合同。 </w:t>
      </w:r>
    </w:p>
    <w:p w14:paraId="475FBAF9">
      <w:pPr>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 xml:space="preserve">其他未尽事宜由招标人与中标签订的项目合同中具体约定。 </w:t>
      </w:r>
    </w:p>
    <w:p w14:paraId="561C76AB">
      <w:pPr>
        <w:spacing w:line="360" w:lineRule="auto"/>
        <w:rPr>
          <w:rFonts w:hint="eastAsia" w:asciiTheme="minorEastAsia" w:hAnsiTheme="minorEastAsia" w:eastAsiaTheme="minorEastAsia" w:cstheme="minorEastAsia"/>
          <w:sz w:val="24"/>
          <w:szCs w:val="28"/>
          <w:lang w:val="en-US" w:eastAsia="zh-CN"/>
        </w:rPr>
      </w:pPr>
    </w:p>
    <w:p w14:paraId="44ED7AEA">
      <w:pPr>
        <w:numPr>
          <w:ilvl w:val="0"/>
          <w:numId w:val="1"/>
        </w:numPr>
        <w:spacing w:line="360" w:lineRule="auto"/>
        <w:rPr>
          <w:rFonts w:hint="eastAsia" w:ascii="Times New Roman" w:cs="Times New Roman"/>
          <w:b/>
          <w:sz w:val="28"/>
          <w:szCs w:val="32"/>
          <w:lang w:val="en-US" w:eastAsia="zh-CN"/>
        </w:rPr>
      </w:pPr>
      <w:r>
        <w:rPr>
          <w:rFonts w:hint="eastAsia" w:ascii="Times New Roman" w:cs="Times New Roman"/>
          <w:b/>
          <w:sz w:val="28"/>
          <w:szCs w:val="32"/>
          <w:lang w:val="en-US" w:eastAsia="zh-CN"/>
        </w:rPr>
        <w:t>付款方式</w:t>
      </w:r>
    </w:p>
    <w:p w14:paraId="617DCE3D">
      <w:pPr>
        <w:spacing w:line="360" w:lineRule="auto"/>
        <w:rPr>
          <w:rFonts w:hint="eastAsia" w:asciiTheme="minorEastAsia" w:hAnsiTheme="minorEastAsia" w:eastAsiaTheme="minorEastAsia" w:cstheme="minorEastAsia"/>
          <w:color w:val="FF0000"/>
          <w:sz w:val="28"/>
          <w:szCs w:val="32"/>
          <w:highlight w:val="none"/>
          <w:lang w:val="en-US" w:eastAsia="zh-CN"/>
        </w:rPr>
      </w:pPr>
      <w:r>
        <w:rPr>
          <w:rFonts w:hint="eastAsia" w:asciiTheme="minorEastAsia" w:hAnsiTheme="minorEastAsia" w:eastAsiaTheme="minorEastAsia" w:cstheme="minorEastAsia"/>
          <w:sz w:val="24"/>
          <w:szCs w:val="28"/>
          <w:lang w:val="en-US" w:eastAsia="zh-CN"/>
        </w:rPr>
        <w:t>签订合同后拨付总金额的 50%</w:t>
      </w:r>
      <w:r>
        <w:rPr>
          <w:rFonts w:hint="eastAsia" w:asciiTheme="minorEastAsia" w:hAnsiTheme="minorEastAsia" w:eastAsiaTheme="minorEastAsia" w:cstheme="minorEastAsia"/>
          <w:sz w:val="24"/>
          <w:szCs w:val="28"/>
          <w:highlight w:val="none"/>
          <w:lang w:val="en-US" w:eastAsia="zh-CN"/>
        </w:rPr>
        <w:t>，运行一半时间评估合格后拨付总金额的 40%，服务期限结束并评估验收合格后拨付总金额的 10%。</w:t>
      </w:r>
      <w:r>
        <w:rPr>
          <w:rFonts w:hint="eastAsia" w:ascii="Times New Roman" w:cs="Times New Roman"/>
          <w:sz w:val="24"/>
          <w:szCs w:val="28"/>
          <w:highlight w:val="none"/>
          <w:lang w:val="en-US" w:eastAsia="zh-CN"/>
        </w:rPr>
        <w:t>如出现逾期支付相关费用等情况，采购人将支付中标单位相应利息，如对中标单位造成损失的，依法给予中标单位相关补偿。</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60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EAEA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EAEA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92EE">
    <w:pPr>
      <w:pStyle w:val="4"/>
      <w:jc w:val="both"/>
    </w:pPr>
    <w:r>
      <w:rPr>
        <w:rFonts w:hint="eastAsia"/>
        <w:lang w:val="en-US" w:eastAsia="zh-CN"/>
      </w:rPr>
      <w:t>ZC20260033</w:t>
    </w:r>
    <w:r>
      <w:rPr>
        <w:rFonts w:hint="eastAsia"/>
      </w:rPr>
      <w:t>上海市长宁区虹桥街道社区综合为老服务中心2026年托管服务竞争性磋商项目 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E3247"/>
    <w:multiLevelType w:val="singleLevel"/>
    <w:tmpl w:val="3DFE3247"/>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A4ZGVhNTA5M2NlMTUzNTk2NDJkYjYzNTNmY2IifQ=="/>
  </w:docVars>
  <w:rsids>
    <w:rsidRoot w:val="00F37A4A"/>
    <w:rsid w:val="00030D49"/>
    <w:rsid w:val="002328D6"/>
    <w:rsid w:val="00232C53"/>
    <w:rsid w:val="00257ED0"/>
    <w:rsid w:val="0027080E"/>
    <w:rsid w:val="00293BE8"/>
    <w:rsid w:val="002A4C9D"/>
    <w:rsid w:val="003752C8"/>
    <w:rsid w:val="00660B94"/>
    <w:rsid w:val="00723C16"/>
    <w:rsid w:val="00773227"/>
    <w:rsid w:val="00832247"/>
    <w:rsid w:val="009015FC"/>
    <w:rsid w:val="009C56A6"/>
    <w:rsid w:val="00AF746E"/>
    <w:rsid w:val="00B2133D"/>
    <w:rsid w:val="00B74B8F"/>
    <w:rsid w:val="00CA7201"/>
    <w:rsid w:val="00CB5522"/>
    <w:rsid w:val="00EC4ED0"/>
    <w:rsid w:val="00F37A4A"/>
    <w:rsid w:val="01A4698D"/>
    <w:rsid w:val="021A6C4F"/>
    <w:rsid w:val="02A6049E"/>
    <w:rsid w:val="04BF3ADE"/>
    <w:rsid w:val="04BF763A"/>
    <w:rsid w:val="05355B4E"/>
    <w:rsid w:val="057C19CF"/>
    <w:rsid w:val="05D11D1B"/>
    <w:rsid w:val="05ED6802"/>
    <w:rsid w:val="065B7836"/>
    <w:rsid w:val="07373DFF"/>
    <w:rsid w:val="07C338E5"/>
    <w:rsid w:val="089B5FAD"/>
    <w:rsid w:val="09322AD0"/>
    <w:rsid w:val="09524F20"/>
    <w:rsid w:val="098D7D07"/>
    <w:rsid w:val="09B07E99"/>
    <w:rsid w:val="0A5371A2"/>
    <w:rsid w:val="0AC15283"/>
    <w:rsid w:val="0C321039"/>
    <w:rsid w:val="0C825B1D"/>
    <w:rsid w:val="0CE87326"/>
    <w:rsid w:val="0D643474"/>
    <w:rsid w:val="0D6D057B"/>
    <w:rsid w:val="0E67321C"/>
    <w:rsid w:val="0E925DBF"/>
    <w:rsid w:val="0F977B31"/>
    <w:rsid w:val="0FE95EB3"/>
    <w:rsid w:val="10303AE2"/>
    <w:rsid w:val="1170063A"/>
    <w:rsid w:val="129F0AAB"/>
    <w:rsid w:val="12CC7AF2"/>
    <w:rsid w:val="13A02D2C"/>
    <w:rsid w:val="13BB7B66"/>
    <w:rsid w:val="13D12EE6"/>
    <w:rsid w:val="13DA623E"/>
    <w:rsid w:val="154D0C92"/>
    <w:rsid w:val="170830C2"/>
    <w:rsid w:val="171952CF"/>
    <w:rsid w:val="176A5B2B"/>
    <w:rsid w:val="18291542"/>
    <w:rsid w:val="183B1275"/>
    <w:rsid w:val="189A41EE"/>
    <w:rsid w:val="18E67433"/>
    <w:rsid w:val="190A3122"/>
    <w:rsid w:val="1A736AA5"/>
    <w:rsid w:val="1AE9320B"/>
    <w:rsid w:val="1B293A70"/>
    <w:rsid w:val="1B5543FC"/>
    <w:rsid w:val="1B866CAC"/>
    <w:rsid w:val="1EB06519"/>
    <w:rsid w:val="1FC63B1B"/>
    <w:rsid w:val="20C55B80"/>
    <w:rsid w:val="20E406FC"/>
    <w:rsid w:val="22E20C6B"/>
    <w:rsid w:val="23264FFC"/>
    <w:rsid w:val="2342795C"/>
    <w:rsid w:val="23720241"/>
    <w:rsid w:val="24125580"/>
    <w:rsid w:val="24243121"/>
    <w:rsid w:val="24771887"/>
    <w:rsid w:val="24E94533"/>
    <w:rsid w:val="26D27249"/>
    <w:rsid w:val="27BB09FE"/>
    <w:rsid w:val="29D532D8"/>
    <w:rsid w:val="2A465F84"/>
    <w:rsid w:val="2B966A97"/>
    <w:rsid w:val="2BA54F2C"/>
    <w:rsid w:val="2BCC4267"/>
    <w:rsid w:val="2BCF1FA9"/>
    <w:rsid w:val="2C5F332D"/>
    <w:rsid w:val="2CB03B88"/>
    <w:rsid w:val="2D5B1D46"/>
    <w:rsid w:val="2DA05E5B"/>
    <w:rsid w:val="2E057F04"/>
    <w:rsid w:val="2E21502F"/>
    <w:rsid w:val="2E352597"/>
    <w:rsid w:val="2E450300"/>
    <w:rsid w:val="2E876B6B"/>
    <w:rsid w:val="2FF63FA8"/>
    <w:rsid w:val="304271ED"/>
    <w:rsid w:val="32250B75"/>
    <w:rsid w:val="33554EF0"/>
    <w:rsid w:val="33BB353F"/>
    <w:rsid w:val="35077936"/>
    <w:rsid w:val="352A1E29"/>
    <w:rsid w:val="353A0493"/>
    <w:rsid w:val="36E032BC"/>
    <w:rsid w:val="36EF5067"/>
    <w:rsid w:val="385C2E16"/>
    <w:rsid w:val="38CF3FEF"/>
    <w:rsid w:val="39400042"/>
    <w:rsid w:val="396401D4"/>
    <w:rsid w:val="3A34576A"/>
    <w:rsid w:val="3A9E3272"/>
    <w:rsid w:val="3B530501"/>
    <w:rsid w:val="3B8F6C99"/>
    <w:rsid w:val="3C2974B3"/>
    <w:rsid w:val="3C9B215F"/>
    <w:rsid w:val="3D167A38"/>
    <w:rsid w:val="3D1960DA"/>
    <w:rsid w:val="3DFEAFC3"/>
    <w:rsid w:val="3E9E4690"/>
    <w:rsid w:val="3ECA2888"/>
    <w:rsid w:val="3FDB6D16"/>
    <w:rsid w:val="40AA6A5B"/>
    <w:rsid w:val="40B97058"/>
    <w:rsid w:val="40FF07E3"/>
    <w:rsid w:val="41EA1493"/>
    <w:rsid w:val="42100EF9"/>
    <w:rsid w:val="42240501"/>
    <w:rsid w:val="42642FF3"/>
    <w:rsid w:val="42D40179"/>
    <w:rsid w:val="432532D2"/>
    <w:rsid w:val="434370AD"/>
    <w:rsid w:val="43C81360"/>
    <w:rsid w:val="44842C96"/>
    <w:rsid w:val="44C9538F"/>
    <w:rsid w:val="453273D9"/>
    <w:rsid w:val="46151BF6"/>
    <w:rsid w:val="467E2EC0"/>
    <w:rsid w:val="477F7493"/>
    <w:rsid w:val="492C413F"/>
    <w:rsid w:val="4A4A6F73"/>
    <w:rsid w:val="4A62606A"/>
    <w:rsid w:val="4B81640F"/>
    <w:rsid w:val="4B9F628F"/>
    <w:rsid w:val="4C8F6EBF"/>
    <w:rsid w:val="4CB93F3C"/>
    <w:rsid w:val="4E6600F3"/>
    <w:rsid w:val="4EF37BD9"/>
    <w:rsid w:val="4F3B1580"/>
    <w:rsid w:val="4FB235F0"/>
    <w:rsid w:val="4FF43C08"/>
    <w:rsid w:val="4FF754A7"/>
    <w:rsid w:val="50502E09"/>
    <w:rsid w:val="5076286F"/>
    <w:rsid w:val="50A373DC"/>
    <w:rsid w:val="518E3BE9"/>
    <w:rsid w:val="525E180D"/>
    <w:rsid w:val="52750905"/>
    <w:rsid w:val="53AB0A82"/>
    <w:rsid w:val="5408718B"/>
    <w:rsid w:val="56020701"/>
    <w:rsid w:val="5648104F"/>
    <w:rsid w:val="56CF2CD9"/>
    <w:rsid w:val="57E427B4"/>
    <w:rsid w:val="59F111B9"/>
    <w:rsid w:val="5A5F6122"/>
    <w:rsid w:val="5A783688"/>
    <w:rsid w:val="5AA91EF3"/>
    <w:rsid w:val="5B035736"/>
    <w:rsid w:val="5BD7618C"/>
    <w:rsid w:val="5CBFD599"/>
    <w:rsid w:val="5D1A0A26"/>
    <w:rsid w:val="5D872B77"/>
    <w:rsid w:val="5E2356B9"/>
    <w:rsid w:val="5F04373C"/>
    <w:rsid w:val="613A51F3"/>
    <w:rsid w:val="616B7AA3"/>
    <w:rsid w:val="616C7377"/>
    <w:rsid w:val="61907509"/>
    <w:rsid w:val="62347E94"/>
    <w:rsid w:val="62F53AC8"/>
    <w:rsid w:val="62FD0BCE"/>
    <w:rsid w:val="63500CFE"/>
    <w:rsid w:val="63AF268E"/>
    <w:rsid w:val="63E678B4"/>
    <w:rsid w:val="648C220A"/>
    <w:rsid w:val="64F93617"/>
    <w:rsid w:val="655B0F23"/>
    <w:rsid w:val="65870C23"/>
    <w:rsid w:val="65ED4F2A"/>
    <w:rsid w:val="666D7E19"/>
    <w:rsid w:val="66FB71D3"/>
    <w:rsid w:val="6707201B"/>
    <w:rsid w:val="670A38BA"/>
    <w:rsid w:val="686D2352"/>
    <w:rsid w:val="68D17128"/>
    <w:rsid w:val="691E53FA"/>
    <w:rsid w:val="69951B60"/>
    <w:rsid w:val="69FF6FDA"/>
    <w:rsid w:val="6BFE0DC5"/>
    <w:rsid w:val="6C3118E9"/>
    <w:rsid w:val="6C787517"/>
    <w:rsid w:val="6C975BF0"/>
    <w:rsid w:val="6CAE2F39"/>
    <w:rsid w:val="6D633D24"/>
    <w:rsid w:val="6D875C64"/>
    <w:rsid w:val="6DD9682B"/>
    <w:rsid w:val="6EBEB47B"/>
    <w:rsid w:val="6F6F4C02"/>
    <w:rsid w:val="6F9A7E0F"/>
    <w:rsid w:val="70313C65"/>
    <w:rsid w:val="70C1148D"/>
    <w:rsid w:val="711A0B9D"/>
    <w:rsid w:val="7185070D"/>
    <w:rsid w:val="726245AA"/>
    <w:rsid w:val="73967291"/>
    <w:rsid w:val="74C7103C"/>
    <w:rsid w:val="76B178AE"/>
    <w:rsid w:val="77735913"/>
    <w:rsid w:val="78621EDA"/>
    <w:rsid w:val="79352A18"/>
    <w:rsid w:val="795E2CD5"/>
    <w:rsid w:val="7A010B4C"/>
    <w:rsid w:val="7A0A5C53"/>
    <w:rsid w:val="7A747570"/>
    <w:rsid w:val="7ACE4ED2"/>
    <w:rsid w:val="7C3E7E36"/>
    <w:rsid w:val="7D913F95"/>
    <w:rsid w:val="7DFF5140"/>
    <w:rsid w:val="7EE54599"/>
    <w:rsid w:val="7F1D7B25"/>
    <w:rsid w:val="7F272E03"/>
    <w:rsid w:val="AFFF6BCC"/>
    <w:rsid w:val="BEFB88AF"/>
    <w:rsid w:val="CFEF70E1"/>
    <w:rsid w:val="DDF7C928"/>
    <w:rsid w:val="EF795F54"/>
    <w:rsid w:val="EF7FDA04"/>
    <w:rsid w:val="EFB3E8B1"/>
    <w:rsid w:val="FE3B3E30"/>
    <w:rsid w:val="FFC713A8"/>
    <w:rsid w:val="FFFF6523"/>
    <w:rsid w:val="FFFFC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5041</Words>
  <Characters>5163</Characters>
  <Lines>30</Lines>
  <Paragraphs>8</Paragraphs>
  <TotalTime>16</TotalTime>
  <ScaleCrop>false</ScaleCrop>
  <LinksUpToDate>false</LinksUpToDate>
  <CharactersWithSpaces>5228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2019-03-14T21:58:00Z</dcterms:created>
  <dc:creator>user</dc:creator>
  <cp:lastModifiedBy>百灵鸟</cp:lastModifiedBy>
  <dcterms:modified xsi:type="dcterms:W3CDTF">2026-03-26T10:14:02Z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C72A963C2AA84A7B98681AAF6B1E0A43_13</vt:lpwstr>
  </property>
  <property fmtid="{D5CDD505-2E9C-101B-9397-08002B2CF9AE}" pid="4" name="KSOTemplateDocerSaveRecord">
    <vt:lpwstr>eyJoZGlkIjoiNDYyZjYwMDE2YTkyOGIyODVkOTc0YjJiODc2MWJhMjkiLCJ1c2VySWQiOiIzMTA1NDg3NzcifQ==</vt:lpwstr>
  </property>
</Properties>
</file>