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ascii="宋体" w:hAnsi="宋体"/>
          <w:b/>
          <w:sz w:val="28"/>
          <w:szCs w:val="28"/>
        </w:rPr>
      </w:pPr>
      <w:r>
        <w:rPr>
          <w:rFonts w:hint="eastAsia" w:ascii="宋体" w:hAnsi="宋体"/>
          <w:b/>
          <w:sz w:val="28"/>
          <w:szCs w:val="28"/>
        </w:rPr>
        <w:t>上海市长宁区公立医院和社区卫生管理中心长宁卫生系统信息安全测评服务竞争性磋商项目</w:t>
      </w:r>
    </w:p>
    <w:p>
      <w:pPr>
        <w:spacing w:line="360" w:lineRule="auto"/>
        <w:jc w:val="center"/>
        <w:outlineLvl w:val="0"/>
        <w:rPr>
          <w:rFonts w:ascii="宋体" w:hAnsi="宋体"/>
          <w:b/>
          <w:sz w:val="28"/>
          <w:szCs w:val="28"/>
        </w:rPr>
      </w:pPr>
      <w:r>
        <w:rPr>
          <w:rFonts w:hint="eastAsia" w:ascii="宋体" w:hAnsi="宋体"/>
          <w:b/>
          <w:sz w:val="28"/>
          <w:szCs w:val="28"/>
          <w:lang w:eastAsia="zh-CN"/>
        </w:rPr>
        <w:t>采购</w:t>
      </w:r>
      <w:r>
        <w:rPr>
          <w:rFonts w:ascii="宋体" w:hAnsi="宋体"/>
          <w:b/>
          <w:sz w:val="28"/>
          <w:szCs w:val="28"/>
        </w:rPr>
        <w:t>需求文件</w:t>
      </w:r>
    </w:p>
    <w:p>
      <w:pPr>
        <w:spacing w:line="360" w:lineRule="auto"/>
        <w:ind w:firstLine="420"/>
        <w:rPr>
          <w:rFonts w:ascii="宋体" w:hAnsi="宋体" w:eastAsia="宋体"/>
          <w:sz w:val="24"/>
          <w:szCs w:val="24"/>
        </w:rPr>
      </w:pPr>
      <w:r>
        <w:rPr>
          <w:rFonts w:ascii="宋体" w:hAnsi="宋体" w:eastAsia="宋体"/>
          <w:sz w:val="24"/>
          <w:szCs w:val="24"/>
        </w:rPr>
        <w:t>本项目采购预算金额为1495000元（报价最高限价），超过此限价的投标文件将作为无效投标处理。</w:t>
      </w:r>
    </w:p>
    <w:p>
      <w:pPr>
        <w:widowControl/>
        <w:shd w:val="clear" w:color="auto" w:fill="FFFFFF"/>
        <w:spacing w:line="360" w:lineRule="auto"/>
        <w:jc w:val="left"/>
        <w:outlineLvl w:val="0"/>
        <w:rPr>
          <w:rFonts w:ascii="宋体" w:hAnsi="宋体" w:eastAsia="宋体" w:cs="宋体"/>
          <w:b/>
          <w:color w:val="000000"/>
          <w:kern w:val="0"/>
          <w:sz w:val="24"/>
          <w:szCs w:val="24"/>
          <w:shd w:val="clear" w:color="auto" w:fill="FFFFFF"/>
        </w:rPr>
      </w:pPr>
      <w:bookmarkStart w:id="0" w:name="_Toc53217151"/>
      <w:r>
        <w:rPr>
          <w:rFonts w:hint="eastAsia" w:ascii="宋体" w:hAnsi="宋体" w:eastAsia="宋体" w:cs="Arial"/>
          <w:b/>
          <w:kern w:val="0"/>
          <w:sz w:val="24"/>
          <w:szCs w:val="24"/>
          <w:lang w:eastAsia="zh-CN"/>
        </w:rPr>
        <w:t>一</w:t>
      </w:r>
      <w:r>
        <w:rPr>
          <w:rFonts w:ascii="宋体" w:hAnsi="宋体" w:eastAsia="宋体" w:cs="Arial"/>
          <w:b/>
          <w:kern w:val="0"/>
          <w:sz w:val="24"/>
          <w:szCs w:val="24"/>
        </w:rPr>
        <w:t>、项目概况</w:t>
      </w:r>
      <w:bookmarkEnd w:id="0"/>
    </w:p>
    <w:p>
      <w:pPr>
        <w:spacing w:line="360" w:lineRule="auto"/>
        <w:ind w:firstLine="420"/>
        <w:rPr>
          <w:rFonts w:ascii="宋体" w:hAnsi="宋体" w:eastAsia="宋体"/>
          <w:sz w:val="24"/>
          <w:szCs w:val="24"/>
        </w:rPr>
      </w:pPr>
      <w:bookmarkStart w:id="1" w:name="_Toc53217152"/>
      <w:r>
        <w:rPr>
          <w:rFonts w:ascii="宋体" w:hAnsi="宋体" w:eastAsia="宋体"/>
          <w:sz w:val="24"/>
          <w:szCs w:val="24"/>
        </w:rPr>
        <w:t>根据《国家网络安全法》、《关于组织开展本市卫生信息系统安全等级保护工作的通知》（沪卫办[2012]33号）、关于印发《上海市公立卫生计生机构互联网信息系统专项整治行动实施细则》的通知（沪卫计信息[2016]4号）、《关于进一步调整本市卫生健康行业重要信息系统等级范围的通知》（沪卫计信息[2019]2号）的要求，针对</w:t>
      </w:r>
      <w:r>
        <w:rPr>
          <w:rFonts w:ascii="宋体" w:hAnsi="宋体" w:eastAsia="宋体" w:cs="宋体"/>
          <w:bCs/>
          <w:color w:val="000000"/>
          <w:kern w:val="0"/>
          <w:sz w:val="24"/>
          <w:szCs w:val="24"/>
        </w:rPr>
        <w:t>长宁卫生健康数智基座项目平台</w:t>
      </w:r>
      <w:r>
        <w:rPr>
          <w:rFonts w:ascii="宋体" w:hAnsi="宋体" w:eastAsia="宋体"/>
          <w:sz w:val="24"/>
          <w:szCs w:val="24"/>
        </w:rPr>
        <w:t>、</w:t>
      </w:r>
      <w:r>
        <w:rPr>
          <w:rFonts w:hint="eastAsia" w:ascii="宋体" w:hAnsi="宋体" w:eastAsia="宋体"/>
          <w:sz w:val="24"/>
          <w:szCs w:val="24"/>
        </w:rPr>
        <w:t>长宁区域影像共享平台</w:t>
      </w:r>
      <w:r>
        <w:rPr>
          <w:rFonts w:ascii="宋体" w:hAnsi="宋体" w:eastAsia="宋体"/>
          <w:sz w:val="24"/>
          <w:szCs w:val="24"/>
        </w:rPr>
        <w:t>、</w:t>
      </w:r>
      <w:r>
        <w:rPr>
          <w:rFonts w:ascii="宋体" w:hAnsi="宋体" w:eastAsia="宋体" w:cs="宋体"/>
          <w:bCs/>
          <w:color w:val="000000"/>
          <w:kern w:val="0"/>
          <w:sz w:val="24"/>
          <w:szCs w:val="24"/>
        </w:rPr>
        <w:t>长宁区卫健委电子票据统一平台</w:t>
      </w:r>
      <w:r>
        <w:rPr>
          <w:rFonts w:ascii="宋体" w:hAnsi="宋体" w:eastAsia="宋体"/>
          <w:sz w:val="24"/>
          <w:szCs w:val="24"/>
        </w:rPr>
        <w:t>、长宁区十家社区卫生服务中心核心业务系统和互联网医院系统共23个系统开展三级等保测评。</w:t>
      </w:r>
    </w:p>
    <w:p>
      <w:pPr>
        <w:spacing w:line="360" w:lineRule="auto"/>
        <w:ind w:firstLine="480" w:firstLineChars="200"/>
        <w:jc w:val="left"/>
        <w:rPr>
          <w:rFonts w:ascii="宋体" w:hAnsi="宋体" w:eastAsia="宋体"/>
          <w:sz w:val="24"/>
          <w:szCs w:val="24"/>
        </w:rPr>
      </w:pPr>
      <w:r>
        <w:rPr>
          <w:rFonts w:ascii="宋体" w:hAnsi="宋体" w:eastAsia="宋体"/>
          <w:sz w:val="24"/>
          <w:szCs w:val="24"/>
        </w:rPr>
        <w:t>2、本次需求覆盖整个等级保护测评的全过程，含向等级保护监管单位提供等级保护报告。</w:t>
      </w:r>
    </w:p>
    <w:p>
      <w:pPr>
        <w:widowControl/>
        <w:shd w:val="clear" w:color="auto" w:fill="FFFFFF"/>
        <w:spacing w:line="360" w:lineRule="auto"/>
        <w:jc w:val="left"/>
        <w:outlineLvl w:val="0"/>
        <w:rPr>
          <w:rFonts w:ascii="宋体" w:hAnsi="宋体" w:eastAsia="宋体" w:cs="Arial"/>
          <w:b/>
          <w:kern w:val="0"/>
          <w:sz w:val="24"/>
          <w:szCs w:val="24"/>
        </w:rPr>
      </w:pPr>
      <w:r>
        <w:rPr>
          <w:rFonts w:hint="eastAsia" w:ascii="宋体" w:hAnsi="宋体" w:eastAsia="宋体" w:cs="Arial"/>
          <w:b/>
          <w:kern w:val="0"/>
          <w:sz w:val="24"/>
          <w:szCs w:val="24"/>
          <w:lang w:eastAsia="zh-CN"/>
        </w:rPr>
        <w:t>二</w:t>
      </w:r>
      <w:r>
        <w:rPr>
          <w:rFonts w:ascii="宋体" w:hAnsi="宋体" w:eastAsia="宋体" w:cs="Arial"/>
          <w:b/>
          <w:kern w:val="0"/>
          <w:sz w:val="24"/>
          <w:szCs w:val="24"/>
        </w:rPr>
        <w:t>、项目实施范围</w:t>
      </w:r>
      <w:bookmarkEnd w:id="1"/>
    </w:p>
    <w:p>
      <w:pPr>
        <w:adjustRightInd w:val="0"/>
        <w:snapToGrid w:val="0"/>
        <w:spacing w:line="360" w:lineRule="auto"/>
        <w:ind w:firstLine="480" w:firstLineChars="200"/>
        <w:rPr>
          <w:rFonts w:ascii="宋体" w:hAnsi="宋体" w:eastAsia="宋体" w:cs="宋体"/>
          <w:bCs/>
          <w:color w:val="000000"/>
          <w:kern w:val="0"/>
          <w:sz w:val="24"/>
          <w:szCs w:val="24"/>
        </w:rPr>
      </w:pPr>
      <w:r>
        <w:rPr>
          <w:rFonts w:ascii="宋体" w:hAnsi="宋体" w:eastAsia="宋体" w:cs="宋体"/>
          <w:bCs/>
          <w:color w:val="000000"/>
          <w:kern w:val="0"/>
          <w:sz w:val="24"/>
          <w:szCs w:val="24"/>
        </w:rPr>
        <w:t>本次参于网络安全等级保护测评的系统如下：</w:t>
      </w:r>
    </w:p>
    <w:tbl>
      <w:tblPr>
        <w:tblStyle w:val="9"/>
        <w:tblW w:w="8220" w:type="dxa"/>
        <w:tblInd w:w="0" w:type="dxa"/>
        <w:tblLayout w:type="fixed"/>
        <w:tblCellMar>
          <w:top w:w="0" w:type="dxa"/>
          <w:left w:w="108" w:type="dxa"/>
          <w:bottom w:w="0" w:type="dxa"/>
          <w:right w:w="108" w:type="dxa"/>
        </w:tblCellMar>
      </w:tblPr>
      <w:tblGrid>
        <w:gridCol w:w="704"/>
        <w:gridCol w:w="2568"/>
        <w:gridCol w:w="3669"/>
        <w:gridCol w:w="1279"/>
      </w:tblGrid>
      <w:tr>
        <w:tblPrEx>
          <w:tblLayout w:type="fixed"/>
          <w:tblCellMar>
            <w:top w:w="0" w:type="dxa"/>
            <w:left w:w="108" w:type="dxa"/>
            <w:bottom w:w="0" w:type="dxa"/>
            <w:right w:w="108" w:type="dxa"/>
          </w:tblCellMar>
        </w:tblPrEx>
        <w:trPr>
          <w:trHeight w:val="26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bookmarkStart w:id="2" w:name="_Toc53217153"/>
            <w:r>
              <w:rPr>
                <w:rFonts w:ascii="宋体" w:hAnsi="宋体" w:eastAsia="宋体" w:cs="宋体"/>
                <w:bCs/>
                <w:color w:val="000000"/>
                <w:kern w:val="0"/>
                <w:sz w:val="24"/>
                <w:szCs w:val="24"/>
              </w:rPr>
              <w:t>序号</w:t>
            </w:r>
          </w:p>
        </w:tc>
        <w:tc>
          <w:tcPr>
            <w:tcW w:w="256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单位名称</w:t>
            </w:r>
          </w:p>
        </w:tc>
        <w:tc>
          <w:tcPr>
            <w:tcW w:w="366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系统名称</w:t>
            </w:r>
          </w:p>
        </w:tc>
        <w:tc>
          <w:tcPr>
            <w:tcW w:w="1279"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备案等级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上海市长宁区公立医院和社区卫生管理中心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长宁卫生健康数智基座项目（一期）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2</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上海市长宁区公立医院和社区卫生管理中心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长宁区域影像共享平台</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3</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上海市长宁区公立医院和社区卫生管理中心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长宁区卫健委电子票据统一平台</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4</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上海市长宁区周家桥街道社区卫生服务中心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上海市长宁区周家桥街道社区卫生服务中心互联网医院系统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5</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上海市长宁区周家桥街道社区卫生服务中心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上海市长宁区周家桥街道社区卫生服务中心核心业务系统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6</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上海市长宁区仙霞街道社区卫生服务中心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上海市长宁区仙霞街道社区卫生服务中心核心业务系统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7</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上海市长宁区仙霞街道社区卫生服务中心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仙霞街道社区卫生服务中心互联网医院系统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8</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上海市长宁区新华街道社区卫生服务中心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上海市长宁区新华街道社区卫生服务中心互联网医院系统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9</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上海市长宁区新华街道社区卫生服务中心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上海市长宁区新华街道社区卫生服务中心核心业务系统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10</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上海市长宁区新泾镇社区卫生服务中心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新泾镇互联网医院系统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11</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上海市长宁区新泾镇社区卫生服务中心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上海市长宁区新泾镇社区卫生服务中心核心业务系统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12</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上海市长宁区北新泾街道社区卫生服务中心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北新泾街道互联网医院系统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13</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上海市长宁区北新泾街道社区卫生服务中心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上海市长宁区北新泾街道社区卫生服务中心核心业务系统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0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14</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上海市长宁区华阳街道社区卫生服务中心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华阳街道互联网医院系统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15</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上海市长宁区华阳街道社区卫生服务中心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长宁区华阳街道社区卫生服务中心核心业务系统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16</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上海市长宁区江苏街道社区卫生服务中心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上海市长宁区江苏街道社区卫生服务中心互联网医院系统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17</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上海市长宁区江苏街道社区卫生服务中心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长宁区江苏街道社区卫生服务中心核心业务系统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18</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上海市长宁区程家桥街道社区卫生服务中心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程家桥街道互联网医院系统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19</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上海市长宁区程家桥街道社区卫生服务中心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上海市长宁区程家桥街道社区卫生服务中心核心业务系统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20</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上海市长宁区天山路街道社区卫生服务中心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天山路街道互联网医院系统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21</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上海市长宁区天山路街道社区卫生服务中心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上海市长宁区天山路街道社区卫生服务中心核心业务系统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22</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上海市长宁区虹桥街道社区卫生服务中心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上海市长宁区虹桥街道社区卫生服务中心互联网医院系统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r>
        <w:tblPrEx>
          <w:tblLayout w:type="fixed"/>
          <w:tblCellMar>
            <w:top w:w="0" w:type="dxa"/>
            <w:left w:w="108" w:type="dxa"/>
            <w:bottom w:w="0" w:type="dxa"/>
            <w:right w:w="108" w:type="dxa"/>
          </w:tblCellMar>
        </w:tblPrEx>
        <w:trPr>
          <w:trHeight w:val="520" w:hRule="atLeast"/>
        </w:trPr>
        <w:tc>
          <w:tcPr>
            <w:tcW w:w="704"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23</w:t>
            </w:r>
          </w:p>
        </w:tc>
        <w:tc>
          <w:tcPr>
            <w:tcW w:w="2568"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上海市长宁区虹桥街道社区卫生服务中心</w:t>
            </w:r>
          </w:p>
        </w:tc>
        <w:tc>
          <w:tcPr>
            <w:tcW w:w="3669"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上海市长宁区虹桥街道社区卫生服务中心核心业务系统</w:t>
            </w:r>
          </w:p>
        </w:tc>
        <w:tc>
          <w:tcPr>
            <w:tcW w:w="12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bCs/>
                <w:color w:val="000000"/>
                <w:kern w:val="0"/>
                <w:sz w:val="24"/>
                <w:szCs w:val="24"/>
              </w:rPr>
            </w:pPr>
            <w:r>
              <w:rPr>
                <w:rFonts w:ascii="宋体" w:hAnsi="宋体" w:eastAsia="宋体" w:cs="宋体"/>
                <w:bCs/>
                <w:color w:val="000000"/>
                <w:kern w:val="0"/>
                <w:sz w:val="24"/>
                <w:szCs w:val="24"/>
              </w:rPr>
              <w:t>第三级</w:t>
            </w:r>
          </w:p>
        </w:tc>
      </w:tr>
    </w:tbl>
    <w:p>
      <w:pPr>
        <w:widowControl/>
        <w:shd w:val="clear" w:color="auto" w:fill="FFFFFF"/>
        <w:tabs>
          <w:tab w:val="left" w:pos="4650"/>
        </w:tabs>
        <w:spacing w:line="360" w:lineRule="auto"/>
        <w:jc w:val="left"/>
        <w:outlineLvl w:val="0"/>
        <w:rPr>
          <w:rFonts w:ascii="宋体" w:hAnsi="宋体" w:eastAsia="宋体" w:cs="Arial"/>
          <w:b/>
          <w:kern w:val="0"/>
          <w:sz w:val="24"/>
          <w:szCs w:val="24"/>
        </w:rPr>
      </w:pPr>
      <w:r>
        <w:rPr>
          <w:rFonts w:hint="eastAsia" w:ascii="宋体" w:hAnsi="宋体" w:eastAsia="宋体" w:cs="Arial"/>
          <w:b/>
          <w:kern w:val="0"/>
          <w:sz w:val="24"/>
          <w:szCs w:val="24"/>
          <w:lang w:eastAsia="zh-CN"/>
        </w:rPr>
        <w:t>三</w:t>
      </w:r>
      <w:r>
        <w:rPr>
          <w:rFonts w:ascii="宋体" w:hAnsi="宋体" w:eastAsia="宋体" w:cs="Arial"/>
          <w:b/>
          <w:kern w:val="0"/>
          <w:sz w:val="24"/>
          <w:szCs w:val="24"/>
        </w:rPr>
        <w:t>、指导思想和基本准则</w:t>
      </w:r>
      <w:bookmarkEnd w:id="2"/>
      <w:r>
        <w:rPr>
          <w:rFonts w:hint="default" w:ascii="宋体" w:hAnsi="宋体" w:eastAsia="宋体" w:cs="Arial"/>
          <w:b/>
          <w:kern w:val="0"/>
          <w:sz w:val="24"/>
          <w:szCs w:val="24"/>
        </w:rPr>
        <w:tab/>
      </w:r>
    </w:p>
    <w:p>
      <w:pPr>
        <w:adjustRightInd w:val="0"/>
        <w:snapToGrid w:val="0"/>
        <w:spacing w:line="360" w:lineRule="auto"/>
        <w:ind w:firstLine="480" w:firstLineChars="200"/>
        <w:rPr>
          <w:rFonts w:ascii="宋体" w:hAnsi="宋体" w:eastAsia="宋体" w:cs="宋体"/>
          <w:bCs/>
          <w:color w:val="000000"/>
          <w:kern w:val="0"/>
          <w:sz w:val="24"/>
          <w:szCs w:val="24"/>
        </w:rPr>
      </w:pPr>
      <w:r>
        <w:rPr>
          <w:rFonts w:ascii="宋体" w:hAnsi="宋体" w:eastAsia="宋体" w:cs="宋体"/>
          <w:bCs/>
          <w:color w:val="000000"/>
          <w:kern w:val="0"/>
          <w:sz w:val="24"/>
          <w:szCs w:val="24"/>
        </w:rPr>
        <w:t xml:space="preserve">根据公安部、国家保密局、国家密码管理局、国信办联合印发的《信息安全等级保护管理办法》（公通字〔2007〕43号）、《关于信息安全等级保护工作的实施意见》（公通字〔2004〕66号）、《关于开展全国重要信息系统安全等级保护定级工作的通知》（公信安〔2007〕861 号）、公安部《关于开展信息安全等级保护安全建设整改工作的指导意见》（公信安[2009]1429号）等文件精神，结合上海市长宁区医管中心长宁卫生单位工作实际，现拟对上海市长宁区医管中心长宁卫生单位重要信息系统实施网络安全等级保护测评，以进一步完善信息系统安全管理体系和技术防护体系，切实提高系统信息安全防护能力。 </w:t>
      </w:r>
    </w:p>
    <w:p>
      <w:pPr>
        <w:widowControl/>
        <w:shd w:val="clear" w:color="auto" w:fill="FFFFFF"/>
        <w:spacing w:line="360" w:lineRule="auto"/>
        <w:jc w:val="left"/>
        <w:outlineLvl w:val="0"/>
        <w:rPr>
          <w:rFonts w:ascii="宋体" w:hAnsi="宋体" w:eastAsia="宋体" w:cs="Arial"/>
          <w:b/>
          <w:kern w:val="0"/>
          <w:sz w:val="24"/>
          <w:szCs w:val="24"/>
        </w:rPr>
      </w:pPr>
      <w:bookmarkStart w:id="3" w:name="_Toc53217154"/>
      <w:r>
        <w:rPr>
          <w:rFonts w:hint="eastAsia" w:ascii="宋体" w:hAnsi="宋体" w:eastAsia="宋体" w:cs="Arial"/>
          <w:b/>
          <w:kern w:val="0"/>
          <w:sz w:val="24"/>
          <w:szCs w:val="24"/>
          <w:lang w:eastAsia="zh-CN"/>
        </w:rPr>
        <w:t>四</w:t>
      </w:r>
      <w:r>
        <w:rPr>
          <w:rFonts w:ascii="宋体" w:hAnsi="宋体" w:eastAsia="宋体" w:cs="Arial"/>
          <w:b/>
          <w:kern w:val="0"/>
          <w:sz w:val="24"/>
          <w:szCs w:val="24"/>
        </w:rPr>
        <w:t>、主要</w:t>
      </w:r>
      <w:r>
        <w:rPr>
          <w:rFonts w:hint="eastAsia" w:ascii="宋体" w:hAnsi="宋体" w:eastAsia="宋体" w:cs="Arial"/>
          <w:b/>
          <w:kern w:val="0"/>
          <w:sz w:val="24"/>
          <w:szCs w:val="24"/>
          <w:lang w:eastAsia="zh-CN"/>
        </w:rPr>
        <w:t>工作内容</w:t>
      </w:r>
      <w:bookmarkEnd w:id="3"/>
    </w:p>
    <w:p>
      <w:pPr>
        <w:adjustRightInd w:val="0"/>
        <w:snapToGrid w:val="0"/>
        <w:spacing w:line="360" w:lineRule="auto"/>
        <w:ind w:firstLine="480" w:firstLineChars="200"/>
        <w:rPr>
          <w:rFonts w:ascii="宋体" w:hAnsi="宋体" w:eastAsia="宋体" w:cs="宋体"/>
          <w:bCs/>
          <w:color w:val="000000"/>
          <w:kern w:val="0"/>
          <w:sz w:val="24"/>
          <w:szCs w:val="24"/>
        </w:rPr>
      </w:pPr>
      <w:bookmarkStart w:id="4" w:name="_Toc46177951"/>
      <w:bookmarkStart w:id="5" w:name="_Hlk35596349"/>
      <w:r>
        <w:rPr>
          <w:rFonts w:ascii="宋体" w:hAnsi="宋体" w:eastAsia="宋体" w:cs="宋体"/>
          <w:bCs/>
          <w:color w:val="000000"/>
          <w:kern w:val="0"/>
          <w:sz w:val="24"/>
          <w:szCs w:val="24"/>
        </w:rPr>
        <w:t>等保测评：完成包括安全物理环境、安全计算环境、安全区域边界、安全通信网络、安全管理中心和安全管理机构、安全管理制度、安全管理人员、安全建设管理和安全运维管理方面的测评工作；</w:t>
      </w:r>
      <w:bookmarkEnd w:id="4"/>
    </w:p>
    <w:p>
      <w:pPr>
        <w:adjustRightInd w:val="0"/>
        <w:snapToGrid w:val="0"/>
        <w:spacing w:line="360" w:lineRule="auto"/>
        <w:ind w:firstLine="480" w:firstLineChars="200"/>
        <w:rPr>
          <w:rFonts w:ascii="宋体" w:hAnsi="宋体" w:eastAsia="宋体" w:cs="宋体"/>
          <w:bCs/>
          <w:color w:val="000000"/>
          <w:kern w:val="0"/>
          <w:sz w:val="24"/>
          <w:szCs w:val="24"/>
        </w:rPr>
      </w:pPr>
      <w:bookmarkStart w:id="6" w:name="_Toc46177952"/>
      <w:r>
        <w:rPr>
          <w:rFonts w:ascii="宋体" w:hAnsi="宋体" w:eastAsia="宋体" w:cs="宋体"/>
          <w:bCs/>
          <w:color w:val="000000"/>
          <w:kern w:val="0"/>
          <w:sz w:val="24"/>
          <w:szCs w:val="24"/>
        </w:rPr>
        <w:t>工具测试：针对重要信息系统进行漏洞扫描、渗透测试等安全服务工作；</w:t>
      </w:r>
      <w:bookmarkEnd w:id="6"/>
    </w:p>
    <w:p>
      <w:pPr>
        <w:adjustRightInd w:val="0"/>
        <w:snapToGrid w:val="0"/>
        <w:spacing w:line="360" w:lineRule="auto"/>
        <w:ind w:firstLine="480" w:firstLineChars="200"/>
        <w:rPr>
          <w:rFonts w:ascii="宋体" w:hAnsi="宋体" w:eastAsia="宋体" w:cs="宋体"/>
          <w:bCs/>
          <w:color w:val="000000"/>
          <w:kern w:val="0"/>
          <w:sz w:val="24"/>
          <w:szCs w:val="24"/>
        </w:rPr>
      </w:pPr>
      <w:bookmarkStart w:id="7" w:name="_Toc46177953"/>
      <w:r>
        <w:rPr>
          <w:rFonts w:ascii="宋体" w:hAnsi="宋体" w:eastAsia="宋体" w:cs="宋体"/>
          <w:bCs/>
          <w:color w:val="000000"/>
          <w:kern w:val="0"/>
          <w:sz w:val="24"/>
          <w:szCs w:val="24"/>
        </w:rPr>
        <w:t>整改建议：投标人应根据现场测评中发现的问题，分析与GB/T 22239-2019、ISO/IEC 27001、ISO/IEC 20000、ISO 22301、ITIL和ITSS等行业最佳实践之间的差距，按照网络安全等级保护标准要求提出安全整改建议；</w:t>
      </w:r>
      <w:bookmarkEnd w:id="7"/>
    </w:p>
    <w:p>
      <w:pPr>
        <w:adjustRightInd w:val="0"/>
        <w:snapToGrid w:val="0"/>
        <w:spacing w:line="360" w:lineRule="auto"/>
        <w:ind w:firstLine="480" w:firstLineChars="200"/>
        <w:rPr>
          <w:rFonts w:ascii="宋体" w:hAnsi="宋体" w:eastAsia="宋体" w:cs="宋体"/>
          <w:bCs/>
          <w:color w:val="000000"/>
          <w:kern w:val="0"/>
          <w:sz w:val="24"/>
          <w:szCs w:val="24"/>
        </w:rPr>
      </w:pPr>
      <w:bookmarkStart w:id="8" w:name="_Toc46177954"/>
      <w:r>
        <w:rPr>
          <w:rFonts w:ascii="宋体" w:hAnsi="宋体" w:eastAsia="宋体" w:cs="宋体"/>
          <w:bCs/>
          <w:color w:val="000000"/>
          <w:kern w:val="0"/>
          <w:sz w:val="24"/>
          <w:szCs w:val="24"/>
        </w:rPr>
        <w:t>编制测评报告：完成上述工作后，投标人最后出具符合标准要求的信息系统网络安全等级保护测评报告。</w:t>
      </w:r>
      <w:bookmarkEnd w:id="5"/>
      <w:bookmarkEnd w:id="8"/>
    </w:p>
    <w:p>
      <w:pPr>
        <w:widowControl/>
        <w:shd w:val="clear" w:color="auto" w:fill="FFFFFF"/>
        <w:spacing w:line="360" w:lineRule="auto"/>
        <w:jc w:val="left"/>
        <w:outlineLvl w:val="0"/>
        <w:rPr>
          <w:rFonts w:ascii="宋体" w:hAnsi="宋体" w:eastAsia="宋体" w:cs="Arial"/>
          <w:b/>
          <w:kern w:val="0"/>
          <w:sz w:val="24"/>
          <w:szCs w:val="24"/>
        </w:rPr>
      </w:pPr>
      <w:bookmarkStart w:id="9" w:name="_Toc53217156"/>
      <w:r>
        <w:rPr>
          <w:rFonts w:hint="eastAsia" w:ascii="宋体" w:hAnsi="宋体" w:eastAsia="宋体" w:cs="Arial"/>
          <w:b/>
          <w:kern w:val="0"/>
          <w:sz w:val="24"/>
          <w:szCs w:val="24"/>
          <w:lang w:eastAsia="zh-CN"/>
        </w:rPr>
        <w:t>五</w:t>
      </w:r>
      <w:r>
        <w:rPr>
          <w:rFonts w:ascii="宋体" w:hAnsi="宋体" w:eastAsia="宋体" w:cs="Arial"/>
          <w:b/>
          <w:kern w:val="0"/>
          <w:sz w:val="24"/>
          <w:szCs w:val="24"/>
        </w:rPr>
        <w:t>、工作要求：</w:t>
      </w:r>
      <w:bookmarkEnd w:id="9"/>
    </w:p>
    <w:p>
      <w:pPr>
        <w:pStyle w:val="14"/>
        <w:numPr>
          <w:ilvl w:val="0"/>
          <w:numId w:val="0"/>
        </w:numPr>
        <w:spacing w:line="360" w:lineRule="auto"/>
        <w:ind w:leftChars="0"/>
        <w:outlineLvl w:val="1"/>
        <w:rPr>
          <w:rFonts w:hint="eastAsia" w:ascii="宋体" w:hAnsi="宋体" w:eastAsia="宋体" w:cs="Arial"/>
          <w:b/>
          <w:sz w:val="24"/>
          <w:szCs w:val="24"/>
        </w:rPr>
      </w:pPr>
      <w:bookmarkStart w:id="10" w:name="_Toc52369337"/>
      <w:bookmarkStart w:id="11" w:name="_Toc46177957"/>
      <w:bookmarkStart w:id="12" w:name="_Toc53217157"/>
      <w:r>
        <w:rPr>
          <w:rFonts w:hint="eastAsia" w:ascii="宋体" w:hAnsi="宋体" w:eastAsia="宋体" w:cs="Arial"/>
          <w:b/>
          <w:sz w:val="24"/>
          <w:szCs w:val="24"/>
          <w:lang w:eastAsia="zh-CN"/>
        </w:rPr>
        <w:t>（一）</w:t>
      </w:r>
      <w:r>
        <w:rPr>
          <w:rFonts w:hint="eastAsia" w:ascii="宋体" w:hAnsi="宋体" w:eastAsia="宋体" w:cs="Arial"/>
          <w:b/>
          <w:sz w:val="24"/>
          <w:szCs w:val="24"/>
        </w:rPr>
        <w:t>实施原则</w:t>
      </w:r>
      <w:bookmarkEnd w:id="10"/>
      <w:bookmarkEnd w:id="11"/>
      <w:bookmarkEnd w:id="12"/>
    </w:p>
    <w:p>
      <w:pPr>
        <w:tabs>
          <w:tab w:val="left" w:pos="720"/>
        </w:tabs>
        <w:adjustRightInd w:val="0"/>
        <w:snapToGrid w:val="0"/>
        <w:spacing w:line="360" w:lineRule="auto"/>
        <w:ind w:firstLine="460" w:firstLineChars="192"/>
        <w:rPr>
          <w:rFonts w:ascii="宋体" w:hAnsi="宋体" w:eastAsia="宋体" w:cs="宋体"/>
          <w:bCs/>
          <w:color w:val="000000"/>
          <w:kern w:val="0"/>
          <w:sz w:val="24"/>
          <w:szCs w:val="24"/>
        </w:rPr>
      </w:pPr>
      <w:r>
        <w:rPr>
          <w:rFonts w:ascii="宋体" w:hAnsi="宋体" w:eastAsia="宋体" w:cs="宋体"/>
          <w:bCs/>
          <w:color w:val="000000"/>
          <w:kern w:val="0"/>
          <w:sz w:val="24"/>
          <w:szCs w:val="24"/>
        </w:rPr>
        <w:t>规范性原则：成交供应商工作中的过程和文档，具有很好的规范性，可以便于项目的跟踪和控制；</w:t>
      </w:r>
    </w:p>
    <w:p>
      <w:pPr>
        <w:tabs>
          <w:tab w:val="left" w:pos="720"/>
        </w:tabs>
        <w:adjustRightInd w:val="0"/>
        <w:snapToGrid w:val="0"/>
        <w:spacing w:line="360" w:lineRule="auto"/>
        <w:ind w:firstLine="460" w:firstLineChars="192"/>
        <w:rPr>
          <w:rFonts w:ascii="宋体" w:hAnsi="宋体" w:eastAsia="宋体" w:cs="宋体"/>
          <w:bCs/>
          <w:color w:val="000000"/>
          <w:kern w:val="0"/>
          <w:sz w:val="24"/>
          <w:szCs w:val="24"/>
        </w:rPr>
      </w:pPr>
      <w:r>
        <w:rPr>
          <w:rFonts w:ascii="宋体" w:hAnsi="宋体" w:eastAsia="宋体" w:cs="宋体"/>
          <w:bCs/>
          <w:color w:val="000000"/>
          <w:kern w:val="0"/>
          <w:sz w:val="24"/>
          <w:szCs w:val="24"/>
        </w:rPr>
        <w:t>标准性原则：测评方案的设计与实施应依据国家等级保护的相关标准进行。</w:t>
      </w:r>
    </w:p>
    <w:p>
      <w:pPr>
        <w:tabs>
          <w:tab w:val="left" w:pos="720"/>
        </w:tabs>
        <w:adjustRightInd w:val="0"/>
        <w:snapToGrid w:val="0"/>
        <w:spacing w:line="360" w:lineRule="auto"/>
        <w:ind w:firstLine="460" w:firstLineChars="192"/>
        <w:rPr>
          <w:rFonts w:ascii="宋体" w:hAnsi="宋体" w:eastAsia="宋体" w:cs="宋体"/>
          <w:bCs/>
          <w:color w:val="000000"/>
          <w:kern w:val="0"/>
          <w:sz w:val="24"/>
          <w:szCs w:val="24"/>
        </w:rPr>
      </w:pPr>
      <w:r>
        <w:rPr>
          <w:rFonts w:ascii="宋体" w:hAnsi="宋体" w:eastAsia="宋体" w:cs="宋体"/>
          <w:bCs/>
          <w:color w:val="000000"/>
          <w:kern w:val="0"/>
          <w:sz w:val="24"/>
          <w:szCs w:val="24"/>
        </w:rPr>
        <w:t>可控性原则：测评的工具、方法和过程需在双方认可的范围之内并符合进度表的安排，保证采购人对服务工作的可控性；</w:t>
      </w:r>
    </w:p>
    <w:p>
      <w:pPr>
        <w:tabs>
          <w:tab w:val="left" w:pos="720"/>
        </w:tabs>
        <w:adjustRightInd w:val="0"/>
        <w:snapToGrid w:val="0"/>
        <w:spacing w:line="360" w:lineRule="auto"/>
        <w:ind w:firstLine="460" w:firstLineChars="192"/>
        <w:rPr>
          <w:rFonts w:ascii="宋体" w:hAnsi="宋体" w:eastAsia="宋体" w:cs="宋体"/>
          <w:bCs/>
          <w:color w:val="000000"/>
          <w:kern w:val="0"/>
          <w:sz w:val="24"/>
          <w:szCs w:val="24"/>
        </w:rPr>
      </w:pPr>
      <w:r>
        <w:rPr>
          <w:rFonts w:ascii="宋体" w:hAnsi="宋体" w:eastAsia="宋体" w:cs="宋体"/>
          <w:bCs/>
          <w:color w:val="000000"/>
          <w:kern w:val="0"/>
          <w:sz w:val="24"/>
          <w:szCs w:val="24"/>
        </w:rPr>
        <w:t>整体性原则：测评和分析的范围和内容应当整体全面，包括安全涉及的各个层面，避免由于遗漏造成未来的安全隐患；</w:t>
      </w:r>
    </w:p>
    <w:p>
      <w:pPr>
        <w:tabs>
          <w:tab w:val="left" w:pos="720"/>
        </w:tabs>
        <w:adjustRightInd w:val="0"/>
        <w:snapToGrid w:val="0"/>
        <w:spacing w:line="360" w:lineRule="auto"/>
        <w:ind w:firstLine="460" w:firstLineChars="192"/>
        <w:rPr>
          <w:rFonts w:ascii="宋体" w:hAnsi="宋体" w:eastAsia="宋体" w:cs="宋体"/>
          <w:bCs/>
          <w:color w:val="000000"/>
          <w:kern w:val="0"/>
          <w:sz w:val="24"/>
          <w:szCs w:val="24"/>
        </w:rPr>
      </w:pPr>
      <w:r>
        <w:rPr>
          <w:rFonts w:ascii="宋体" w:hAnsi="宋体" w:eastAsia="宋体" w:cs="宋体"/>
          <w:bCs/>
          <w:color w:val="000000"/>
          <w:kern w:val="0"/>
          <w:sz w:val="24"/>
          <w:szCs w:val="24"/>
        </w:rPr>
        <w:t>最小影响原则：测评工作应尽可能小的影响系统和网络的正常运行，不能对现网的运行和业务的正常提供产生显著影响(包括系统性能明显下降、网络拥塞、服务中断，如无法避免出现这些情况应在应答书上详细描述)；</w:t>
      </w:r>
    </w:p>
    <w:p>
      <w:pPr>
        <w:tabs>
          <w:tab w:val="left" w:pos="720"/>
        </w:tabs>
        <w:adjustRightInd w:val="0"/>
        <w:snapToGrid w:val="0"/>
        <w:spacing w:line="360" w:lineRule="auto"/>
        <w:ind w:firstLine="460" w:firstLineChars="192"/>
        <w:rPr>
          <w:rFonts w:ascii="宋体" w:hAnsi="宋体" w:eastAsia="宋体" w:cs="宋体"/>
          <w:bCs/>
          <w:color w:val="000000"/>
          <w:kern w:val="0"/>
          <w:sz w:val="24"/>
          <w:szCs w:val="24"/>
        </w:rPr>
      </w:pPr>
      <w:r>
        <w:rPr>
          <w:rFonts w:ascii="宋体" w:hAnsi="宋体" w:eastAsia="宋体" w:cs="宋体"/>
          <w:bCs/>
          <w:color w:val="000000"/>
          <w:kern w:val="0"/>
          <w:sz w:val="24"/>
          <w:szCs w:val="24"/>
        </w:rPr>
        <w:t>保密原则：对测评的过程数据和结果数据严格保密，未经授权不得泄露给任何单位和个人，不得利用此数据进行任何侵害采购人网络的行为，否则采购人有权追究责任。</w:t>
      </w:r>
    </w:p>
    <w:p>
      <w:pPr>
        <w:pStyle w:val="14"/>
        <w:numPr>
          <w:ilvl w:val="0"/>
          <w:numId w:val="0"/>
        </w:numPr>
        <w:spacing w:line="360" w:lineRule="auto"/>
        <w:ind w:leftChars="0"/>
        <w:outlineLvl w:val="1"/>
        <w:rPr>
          <w:rFonts w:hint="eastAsia" w:ascii="宋体" w:hAnsi="宋体" w:eastAsia="宋体" w:cs="Arial"/>
          <w:b/>
          <w:sz w:val="24"/>
          <w:szCs w:val="24"/>
        </w:rPr>
      </w:pPr>
      <w:bookmarkStart w:id="13" w:name="_Toc53217158"/>
      <w:bookmarkStart w:id="14" w:name="_Toc52369338"/>
      <w:bookmarkStart w:id="15" w:name="_Toc46177958"/>
      <w:r>
        <w:rPr>
          <w:rFonts w:hint="eastAsia" w:ascii="宋体" w:hAnsi="宋体" w:eastAsia="宋体" w:cs="Arial"/>
          <w:b/>
          <w:sz w:val="24"/>
          <w:szCs w:val="24"/>
          <w:lang w:eastAsia="zh-CN"/>
        </w:rPr>
        <w:t>（二）</w:t>
      </w:r>
      <w:r>
        <w:rPr>
          <w:rFonts w:hint="eastAsia" w:ascii="宋体" w:hAnsi="宋体" w:eastAsia="宋体" w:cs="Arial"/>
          <w:b/>
          <w:sz w:val="24"/>
          <w:szCs w:val="24"/>
        </w:rPr>
        <w:t>测评依据</w:t>
      </w:r>
      <w:bookmarkEnd w:id="13"/>
      <w:bookmarkEnd w:id="14"/>
      <w:bookmarkEnd w:id="15"/>
    </w:p>
    <w:p>
      <w:pPr>
        <w:spacing w:line="360" w:lineRule="auto"/>
        <w:ind w:firstLine="420"/>
        <w:outlineLvl w:val="2"/>
        <w:rPr>
          <w:rFonts w:hint="eastAsia" w:ascii="宋体" w:hAnsi="宋体" w:eastAsia="宋体"/>
          <w:sz w:val="24"/>
          <w:szCs w:val="24"/>
          <w:lang w:val="en-US" w:eastAsia="zh-CN"/>
        </w:rPr>
      </w:pPr>
      <w:r>
        <w:rPr>
          <w:rFonts w:hint="eastAsia" w:ascii="宋体" w:hAnsi="宋体" w:eastAsia="宋体"/>
          <w:sz w:val="24"/>
          <w:szCs w:val="24"/>
          <w:lang w:val="en-US" w:eastAsia="zh-CN"/>
        </w:rPr>
        <w:t>1.</w:t>
      </w:r>
      <w:r>
        <w:rPr>
          <w:rFonts w:ascii="宋体" w:hAnsi="宋体" w:eastAsia="宋体"/>
          <w:sz w:val="24"/>
          <w:szCs w:val="24"/>
        </w:rPr>
        <w:t>供应商资质要求</w:t>
      </w:r>
      <w:r>
        <w:rPr>
          <w:rFonts w:hint="eastAsia" w:ascii="宋体" w:hAnsi="宋体" w:eastAsia="宋体"/>
          <w:sz w:val="24"/>
          <w:szCs w:val="24"/>
          <w:lang w:eastAsia="zh-CN"/>
        </w:rPr>
        <w:t>：</w:t>
      </w:r>
    </w:p>
    <w:p>
      <w:pPr>
        <w:spacing w:line="360" w:lineRule="auto"/>
        <w:ind w:firstLine="420"/>
        <w:rPr>
          <w:rFonts w:ascii="宋体" w:hAnsi="宋体" w:eastAsia="宋体"/>
          <w:sz w:val="24"/>
          <w:szCs w:val="24"/>
        </w:rPr>
      </w:pPr>
      <w:r>
        <w:rPr>
          <w:rFonts w:hint="eastAsia" w:ascii="东文宋体" w:hAnsi="东文宋体" w:eastAsia="东文宋体" w:cs="东文宋体"/>
          <w:sz w:val="24"/>
          <w:szCs w:val="24"/>
          <w:lang w:eastAsia="zh-CN"/>
        </w:rPr>
        <w:t>（</w:t>
      </w:r>
      <w:r>
        <w:rPr>
          <w:rFonts w:hint="eastAsia" w:ascii="东文宋体" w:hAnsi="东文宋体" w:eastAsia="东文宋体" w:cs="东文宋体"/>
          <w:sz w:val="24"/>
          <w:szCs w:val="24"/>
          <w:lang w:val="en-US" w:eastAsia="zh-CN"/>
        </w:rPr>
        <w:t>1</w:t>
      </w:r>
      <w:r>
        <w:rPr>
          <w:rFonts w:hint="eastAsia" w:ascii="东文宋体" w:hAnsi="东文宋体" w:eastAsia="东文宋体" w:cs="东文宋体"/>
          <w:sz w:val="24"/>
          <w:szCs w:val="24"/>
          <w:lang w:eastAsia="zh-CN"/>
        </w:rPr>
        <w:t>）</w:t>
      </w:r>
      <w:r>
        <w:rPr>
          <w:rFonts w:ascii="宋体" w:hAnsi="宋体" w:eastAsia="宋体"/>
          <w:sz w:val="24"/>
          <w:szCs w:val="24"/>
        </w:rPr>
        <w:t>符合《中华人民共和国政府采购法》第二十二条规定；</w:t>
      </w:r>
    </w:p>
    <w:p>
      <w:pPr>
        <w:spacing w:line="360" w:lineRule="auto"/>
        <w:ind w:firstLine="420"/>
        <w:rPr>
          <w:rFonts w:ascii="宋体" w:hAnsi="宋体" w:eastAsia="宋体"/>
          <w:sz w:val="24"/>
          <w:szCs w:val="24"/>
        </w:rPr>
      </w:pPr>
      <w:r>
        <w:rPr>
          <w:rFonts w:hint="eastAsia" w:ascii="东文宋体" w:hAnsi="东文宋体" w:eastAsia="东文宋体" w:cs="东文宋体"/>
          <w:sz w:val="24"/>
          <w:szCs w:val="24"/>
          <w:lang w:eastAsia="zh-CN"/>
        </w:rPr>
        <w:t>（</w:t>
      </w:r>
      <w:r>
        <w:rPr>
          <w:rFonts w:hint="eastAsia" w:ascii="东文宋体" w:hAnsi="东文宋体" w:eastAsia="东文宋体" w:cs="东文宋体"/>
          <w:sz w:val="24"/>
          <w:szCs w:val="24"/>
          <w:lang w:val="en-US" w:eastAsia="zh-CN"/>
        </w:rPr>
        <w:t>2</w:t>
      </w:r>
      <w:r>
        <w:rPr>
          <w:rFonts w:hint="eastAsia" w:ascii="东文宋体" w:hAnsi="东文宋体" w:eastAsia="东文宋体" w:cs="东文宋体"/>
          <w:sz w:val="24"/>
          <w:szCs w:val="24"/>
          <w:lang w:eastAsia="zh-CN"/>
        </w:rPr>
        <w:t>）</w:t>
      </w:r>
      <w:r>
        <w:rPr>
          <w:rFonts w:ascii="宋体" w:hAnsi="宋体" w:eastAsia="宋体"/>
          <w:sz w:val="24"/>
          <w:szCs w:val="24"/>
        </w:rPr>
        <w:t>须具有相应经营范围的独立承担民事责任能力；</w:t>
      </w:r>
    </w:p>
    <w:p>
      <w:pPr>
        <w:spacing w:line="360" w:lineRule="auto"/>
        <w:ind w:firstLine="420"/>
        <w:rPr>
          <w:rFonts w:ascii="宋体" w:hAnsi="宋体" w:eastAsia="宋体"/>
          <w:sz w:val="24"/>
          <w:szCs w:val="24"/>
        </w:rPr>
      </w:pPr>
      <w:r>
        <w:rPr>
          <w:rFonts w:hint="eastAsia" w:ascii="东文宋体" w:hAnsi="东文宋体" w:eastAsia="东文宋体" w:cs="东文宋体"/>
          <w:sz w:val="24"/>
          <w:szCs w:val="24"/>
          <w:lang w:eastAsia="zh-CN"/>
        </w:rPr>
        <w:t>（</w:t>
      </w:r>
      <w:r>
        <w:rPr>
          <w:rFonts w:hint="eastAsia" w:ascii="东文宋体" w:hAnsi="东文宋体" w:eastAsia="东文宋体" w:cs="东文宋体"/>
          <w:sz w:val="24"/>
          <w:szCs w:val="24"/>
          <w:lang w:val="en-US" w:eastAsia="zh-CN"/>
        </w:rPr>
        <w:t>3</w:t>
      </w:r>
      <w:r>
        <w:rPr>
          <w:rFonts w:hint="eastAsia" w:ascii="东文宋体" w:hAnsi="东文宋体" w:eastAsia="东文宋体" w:cs="东文宋体"/>
          <w:sz w:val="24"/>
          <w:szCs w:val="24"/>
          <w:lang w:eastAsia="zh-CN"/>
        </w:rPr>
        <w:t>）</w:t>
      </w:r>
      <w:r>
        <w:rPr>
          <w:rFonts w:ascii="宋体" w:hAnsi="宋体" w:eastAsia="宋体"/>
          <w:sz w:val="24"/>
          <w:szCs w:val="24"/>
        </w:rPr>
        <w:t>须具备有效的《网络安全服务认证证书等级保护测评服务认证》；</w:t>
      </w:r>
    </w:p>
    <w:p>
      <w:pPr>
        <w:spacing w:line="360" w:lineRule="auto"/>
        <w:ind w:firstLine="420"/>
        <w:rPr>
          <w:rFonts w:ascii="宋体" w:hAnsi="宋体" w:eastAsia="宋体"/>
          <w:sz w:val="24"/>
          <w:szCs w:val="24"/>
          <w:highlight w:val="none"/>
        </w:rPr>
      </w:pPr>
      <w:r>
        <w:rPr>
          <w:rFonts w:hint="eastAsia" w:ascii="东文宋体" w:hAnsi="东文宋体" w:eastAsia="东文宋体" w:cs="东文宋体"/>
          <w:sz w:val="24"/>
          <w:szCs w:val="24"/>
          <w:lang w:eastAsia="zh-CN"/>
        </w:rPr>
        <w:t>（</w:t>
      </w:r>
      <w:r>
        <w:rPr>
          <w:rFonts w:hint="eastAsia" w:ascii="东文宋体" w:hAnsi="东文宋体" w:eastAsia="东文宋体" w:cs="东文宋体"/>
          <w:sz w:val="24"/>
          <w:szCs w:val="24"/>
          <w:lang w:val="en-US" w:eastAsia="zh-CN"/>
        </w:rPr>
        <w:t>4</w:t>
      </w:r>
      <w:r>
        <w:rPr>
          <w:rFonts w:hint="eastAsia" w:ascii="东文宋体" w:hAnsi="东文宋体" w:eastAsia="东文宋体" w:cs="东文宋体"/>
          <w:sz w:val="24"/>
          <w:szCs w:val="24"/>
          <w:lang w:eastAsia="zh-CN"/>
        </w:rPr>
        <w:t>）</w:t>
      </w:r>
      <w:r>
        <w:rPr>
          <w:rFonts w:hint="eastAsia" w:ascii="东文宋体" w:hAnsi="东文宋体" w:eastAsia="东文宋体" w:cs="东文宋体"/>
          <w:sz w:val="24"/>
          <w:szCs w:val="24"/>
        </w:rPr>
        <w:t>未</w:t>
      </w:r>
      <w:r>
        <w:rPr>
          <w:rFonts w:ascii="宋体" w:hAnsi="宋体" w:eastAsia="宋体"/>
          <w:sz w:val="24"/>
          <w:szCs w:val="24"/>
        </w:rPr>
        <w:t>被“信用中国”(www.creditchina.gov.cn)列入失信被执行人、重大税收违法失信主体、政府采购严重违法失信行为记录名单；未被政府采购网列入政府采</w:t>
      </w:r>
      <w:r>
        <w:rPr>
          <w:rFonts w:ascii="宋体" w:hAnsi="宋体" w:eastAsia="宋体"/>
          <w:sz w:val="24"/>
          <w:szCs w:val="24"/>
          <w:highlight w:val="none"/>
        </w:rPr>
        <w:t>购严重违法失信行为记录名单。</w:t>
      </w:r>
    </w:p>
    <w:p>
      <w:pPr>
        <w:spacing w:line="360" w:lineRule="auto"/>
        <w:ind w:firstLine="420"/>
        <w:outlineLvl w:val="2"/>
        <w:rPr>
          <w:rFonts w:ascii="宋体" w:hAnsi="宋体" w:eastAsia="宋体"/>
          <w:sz w:val="24"/>
          <w:szCs w:val="24"/>
        </w:rPr>
      </w:pPr>
      <w:bookmarkStart w:id="30" w:name="_GoBack"/>
      <w:bookmarkEnd w:id="30"/>
      <w:r>
        <w:rPr>
          <w:rFonts w:hint="eastAsia" w:ascii="宋体" w:hAnsi="宋体" w:eastAsia="宋体"/>
          <w:sz w:val="24"/>
          <w:szCs w:val="24"/>
          <w:highlight w:val="none"/>
          <w:lang w:val="en-US" w:eastAsia="zh-CN"/>
        </w:rPr>
        <w:t>2.</w:t>
      </w:r>
      <w:r>
        <w:rPr>
          <w:rFonts w:ascii="宋体" w:hAnsi="宋体" w:eastAsia="宋体"/>
          <w:sz w:val="24"/>
          <w:szCs w:val="24"/>
          <w:highlight w:val="none"/>
        </w:rPr>
        <w:t>网络安全等级</w:t>
      </w:r>
      <w:r>
        <w:rPr>
          <w:rFonts w:ascii="宋体" w:hAnsi="宋体" w:eastAsia="宋体"/>
          <w:sz w:val="24"/>
          <w:szCs w:val="24"/>
        </w:rPr>
        <w:t>保护测评主要依据法律法规如下：</w:t>
      </w:r>
    </w:p>
    <w:p>
      <w:pPr>
        <w:spacing w:line="360" w:lineRule="auto"/>
        <w:ind w:firstLine="420"/>
        <w:rPr>
          <w:rFonts w:ascii="宋体" w:hAnsi="宋体" w:eastAsia="宋体"/>
          <w:sz w:val="24"/>
          <w:szCs w:val="24"/>
        </w:rPr>
      </w:pPr>
      <w:r>
        <w:rPr>
          <w:rFonts w:ascii="宋体" w:hAnsi="宋体" w:eastAsia="宋体"/>
          <w:sz w:val="24"/>
          <w:szCs w:val="24"/>
        </w:rPr>
        <w:t>（1） 《中华人民共和国网络安全法》</w:t>
      </w:r>
    </w:p>
    <w:p>
      <w:pPr>
        <w:spacing w:line="360" w:lineRule="auto"/>
        <w:ind w:firstLine="420"/>
        <w:rPr>
          <w:rFonts w:ascii="宋体" w:hAnsi="宋体" w:eastAsia="宋体"/>
          <w:sz w:val="24"/>
          <w:szCs w:val="24"/>
        </w:rPr>
      </w:pPr>
      <w:r>
        <w:rPr>
          <w:rFonts w:ascii="宋体" w:hAnsi="宋体" w:eastAsia="宋体"/>
          <w:sz w:val="24"/>
          <w:szCs w:val="24"/>
        </w:rPr>
        <w:t>（2） 《中华人民共和国个人信息保护法》</w:t>
      </w:r>
    </w:p>
    <w:p>
      <w:pPr>
        <w:spacing w:line="360" w:lineRule="auto"/>
        <w:ind w:firstLine="420"/>
        <w:rPr>
          <w:rFonts w:ascii="宋体" w:hAnsi="宋体" w:eastAsia="宋体"/>
          <w:sz w:val="24"/>
          <w:szCs w:val="24"/>
        </w:rPr>
      </w:pPr>
      <w:r>
        <w:rPr>
          <w:rFonts w:ascii="宋体" w:hAnsi="宋体" w:eastAsia="宋体"/>
          <w:sz w:val="24"/>
          <w:szCs w:val="24"/>
        </w:rPr>
        <w:t>（3） 《信息安全等级保护管理办法》 (公通字【2007】43号)</w:t>
      </w:r>
    </w:p>
    <w:p>
      <w:pPr>
        <w:spacing w:line="360" w:lineRule="auto"/>
        <w:ind w:firstLine="420"/>
        <w:rPr>
          <w:rFonts w:ascii="宋体" w:hAnsi="宋体" w:eastAsia="宋体"/>
          <w:sz w:val="24"/>
          <w:szCs w:val="24"/>
        </w:rPr>
      </w:pPr>
      <w:r>
        <w:rPr>
          <w:rFonts w:ascii="宋体" w:hAnsi="宋体" w:eastAsia="宋体"/>
          <w:sz w:val="24"/>
          <w:szCs w:val="24"/>
        </w:rPr>
        <w:t>（4） 《关于信息安全等级保护工作的实施意见》(公通字【2004】66 号)</w:t>
      </w:r>
    </w:p>
    <w:p>
      <w:pPr>
        <w:spacing w:line="360" w:lineRule="auto"/>
        <w:ind w:firstLine="420"/>
        <w:outlineLvl w:val="2"/>
        <w:rPr>
          <w:rFonts w:ascii="宋体" w:hAnsi="宋体" w:eastAsia="宋体"/>
          <w:sz w:val="24"/>
          <w:szCs w:val="24"/>
        </w:rPr>
      </w:pPr>
      <w:r>
        <w:rPr>
          <w:rFonts w:hint="eastAsia" w:ascii="宋体" w:hAnsi="宋体" w:eastAsia="宋体"/>
          <w:sz w:val="24"/>
          <w:szCs w:val="24"/>
          <w:lang w:val="en-US" w:eastAsia="zh-CN"/>
        </w:rPr>
        <w:t>3.</w:t>
      </w:r>
      <w:r>
        <w:rPr>
          <w:rFonts w:ascii="宋体" w:hAnsi="宋体" w:eastAsia="宋体"/>
          <w:sz w:val="24"/>
          <w:szCs w:val="24"/>
        </w:rPr>
        <w:t>网络安全等级保护测评主要依据标准如下：</w:t>
      </w:r>
    </w:p>
    <w:p>
      <w:pPr>
        <w:spacing w:line="360" w:lineRule="auto"/>
        <w:ind w:firstLine="420"/>
        <w:rPr>
          <w:rFonts w:ascii="宋体" w:hAnsi="宋体" w:eastAsia="宋体"/>
          <w:sz w:val="24"/>
          <w:szCs w:val="24"/>
        </w:rPr>
      </w:pPr>
      <w:r>
        <w:rPr>
          <w:rFonts w:ascii="宋体" w:hAnsi="宋体" w:eastAsia="宋体"/>
          <w:sz w:val="24"/>
          <w:szCs w:val="24"/>
        </w:rPr>
        <w:t>（1） GB/T 22239-2019《信息安全技术 网络安全等级保护基本要求》</w:t>
      </w:r>
    </w:p>
    <w:p>
      <w:pPr>
        <w:spacing w:line="360" w:lineRule="auto"/>
        <w:ind w:firstLine="420"/>
        <w:rPr>
          <w:rFonts w:ascii="宋体" w:hAnsi="宋体" w:eastAsia="宋体"/>
          <w:sz w:val="24"/>
          <w:szCs w:val="24"/>
        </w:rPr>
      </w:pPr>
      <w:r>
        <w:rPr>
          <w:rFonts w:ascii="宋体" w:hAnsi="宋体" w:eastAsia="宋体"/>
          <w:sz w:val="24"/>
          <w:szCs w:val="24"/>
        </w:rPr>
        <w:t>（2） GB/T 28448-2019《信息安全技术 网络安全等级保护测评要求》</w:t>
      </w:r>
    </w:p>
    <w:p>
      <w:pPr>
        <w:spacing w:line="360" w:lineRule="auto"/>
        <w:ind w:firstLine="420"/>
        <w:outlineLvl w:val="2"/>
        <w:rPr>
          <w:rFonts w:ascii="宋体" w:hAnsi="宋体" w:eastAsia="宋体"/>
          <w:sz w:val="24"/>
          <w:szCs w:val="24"/>
        </w:rPr>
      </w:pPr>
      <w:r>
        <w:rPr>
          <w:rFonts w:hint="eastAsia" w:ascii="宋体" w:hAnsi="宋体" w:eastAsia="宋体"/>
          <w:sz w:val="24"/>
          <w:szCs w:val="24"/>
          <w:lang w:val="en-US" w:eastAsia="zh-CN"/>
        </w:rPr>
        <w:t>4.</w:t>
      </w:r>
      <w:r>
        <w:rPr>
          <w:rFonts w:ascii="宋体" w:hAnsi="宋体" w:eastAsia="宋体"/>
          <w:sz w:val="24"/>
          <w:szCs w:val="24"/>
        </w:rPr>
        <w:t>网络安全等级保护测评主要参考标准如下：</w:t>
      </w:r>
    </w:p>
    <w:p>
      <w:pPr>
        <w:spacing w:line="360" w:lineRule="auto"/>
        <w:ind w:firstLine="420"/>
        <w:rPr>
          <w:rFonts w:ascii="宋体" w:hAnsi="宋体" w:eastAsia="宋体"/>
          <w:sz w:val="24"/>
          <w:szCs w:val="24"/>
        </w:rPr>
      </w:pPr>
      <w:r>
        <w:rPr>
          <w:rFonts w:ascii="宋体" w:hAnsi="宋体" w:eastAsia="宋体"/>
          <w:sz w:val="24"/>
          <w:szCs w:val="24"/>
        </w:rPr>
        <w:t>（1） GB 17859-1999《计算机信息系统安全保护等级划分准则》</w:t>
      </w:r>
    </w:p>
    <w:p>
      <w:pPr>
        <w:spacing w:line="360" w:lineRule="auto"/>
        <w:ind w:firstLine="420"/>
        <w:rPr>
          <w:rFonts w:ascii="宋体" w:hAnsi="宋体" w:eastAsia="宋体"/>
          <w:sz w:val="24"/>
          <w:szCs w:val="24"/>
        </w:rPr>
      </w:pPr>
      <w:r>
        <w:rPr>
          <w:rFonts w:ascii="宋体" w:hAnsi="宋体" w:eastAsia="宋体"/>
          <w:sz w:val="24"/>
          <w:szCs w:val="24"/>
        </w:rPr>
        <w:t>（2） GB/T 28449-2018《信息安全技术 网络安全等级保护测评过程指南》</w:t>
      </w:r>
    </w:p>
    <w:p>
      <w:pPr>
        <w:spacing w:line="360" w:lineRule="auto"/>
        <w:ind w:firstLine="420"/>
        <w:rPr>
          <w:rFonts w:ascii="宋体" w:hAnsi="宋体" w:eastAsia="宋体"/>
          <w:sz w:val="24"/>
          <w:szCs w:val="24"/>
        </w:rPr>
      </w:pPr>
      <w:r>
        <w:rPr>
          <w:rFonts w:ascii="宋体" w:hAnsi="宋体" w:eastAsia="宋体"/>
          <w:sz w:val="24"/>
          <w:szCs w:val="24"/>
        </w:rPr>
        <w:t>（3） GB/T 20984-2022《信息安全技术 信息安全风险评估方法》</w:t>
      </w:r>
    </w:p>
    <w:p>
      <w:pPr>
        <w:spacing w:line="360" w:lineRule="auto"/>
        <w:ind w:firstLine="420"/>
        <w:rPr>
          <w:rFonts w:ascii="宋体" w:hAnsi="宋体" w:eastAsia="宋体"/>
          <w:sz w:val="24"/>
          <w:szCs w:val="24"/>
        </w:rPr>
      </w:pPr>
      <w:r>
        <w:rPr>
          <w:rFonts w:ascii="宋体" w:hAnsi="宋体" w:eastAsia="宋体"/>
          <w:sz w:val="24"/>
          <w:szCs w:val="24"/>
        </w:rPr>
        <w:t>（4） 《网络安全等级保护测评高风险判定实施指引（试行）》</w:t>
      </w:r>
    </w:p>
    <w:p>
      <w:pPr>
        <w:spacing w:line="360" w:lineRule="auto"/>
        <w:ind w:firstLine="420"/>
        <w:rPr>
          <w:rFonts w:ascii="宋体" w:hAnsi="宋体" w:eastAsia="宋体"/>
          <w:sz w:val="24"/>
          <w:szCs w:val="24"/>
        </w:rPr>
      </w:pPr>
      <w:r>
        <w:rPr>
          <w:rFonts w:ascii="宋体" w:hAnsi="宋体" w:eastAsia="宋体"/>
          <w:sz w:val="24"/>
          <w:szCs w:val="24"/>
        </w:rPr>
        <w:t>（5） GB/T 22240-2020《信息安全技术 网络安全等级保护定级指南》</w:t>
      </w:r>
    </w:p>
    <w:p>
      <w:pPr>
        <w:spacing w:line="360" w:lineRule="auto"/>
        <w:ind w:firstLine="420"/>
        <w:rPr>
          <w:rFonts w:ascii="宋体" w:hAnsi="宋体" w:eastAsia="宋体"/>
          <w:sz w:val="24"/>
          <w:szCs w:val="24"/>
        </w:rPr>
      </w:pPr>
      <w:r>
        <w:rPr>
          <w:rFonts w:ascii="宋体" w:hAnsi="宋体" w:eastAsia="宋体"/>
          <w:sz w:val="24"/>
          <w:szCs w:val="24"/>
        </w:rPr>
        <w:t>（6） GB/T 25070-2019《信息安全技术 网络安全等级保护安全设计技术要求》</w:t>
      </w:r>
    </w:p>
    <w:p>
      <w:pPr>
        <w:spacing w:line="360" w:lineRule="auto"/>
        <w:ind w:left="0" w:leftChars="0" w:firstLine="338" w:firstLineChars="0"/>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lang w:eastAsia="zh-CN"/>
        </w:rPr>
        <w:t>（</w:t>
      </w:r>
      <w:r>
        <w:rPr>
          <w:rFonts w:hint="eastAsia" w:ascii="宋体" w:hAnsi="宋体" w:eastAsia="宋体"/>
          <w:sz w:val="24"/>
          <w:szCs w:val="24"/>
          <w:lang w:val="en-US" w:eastAsia="zh-CN"/>
        </w:rPr>
        <w:t>7</w:t>
      </w:r>
      <w:r>
        <w:rPr>
          <w:rFonts w:hint="eastAsia" w:ascii="宋体" w:hAnsi="宋体" w:eastAsia="宋体"/>
          <w:sz w:val="24"/>
          <w:szCs w:val="24"/>
          <w:lang w:eastAsia="zh-CN"/>
        </w:rPr>
        <w:t>）</w:t>
      </w:r>
      <w:r>
        <w:rPr>
          <w:rFonts w:ascii="宋体" w:hAnsi="宋体" w:eastAsia="宋体"/>
          <w:sz w:val="24"/>
          <w:szCs w:val="24"/>
        </w:rPr>
        <w:t>GB/T 36627-2018《信息安全技术 网络安全等级保护测试评估技术指南》</w:t>
      </w:r>
    </w:p>
    <w:p>
      <w:pPr>
        <w:spacing w:line="360" w:lineRule="auto"/>
        <w:ind w:firstLine="420"/>
        <w:rPr>
          <w:rFonts w:ascii="宋体" w:hAnsi="宋体" w:eastAsia="宋体" w:cs="宋体"/>
          <w:bCs/>
          <w:color w:val="000000"/>
          <w:kern w:val="0"/>
          <w:sz w:val="24"/>
          <w:szCs w:val="24"/>
        </w:rPr>
      </w:pPr>
      <w:r>
        <w:rPr>
          <w:rFonts w:ascii="宋体" w:hAnsi="宋体" w:eastAsia="宋体"/>
          <w:sz w:val="24"/>
          <w:szCs w:val="24"/>
        </w:rPr>
        <w:t>（8）GB/T 36958-2018《信息安全技术 网络安全等级保护安全管理中心技术要求》</w:t>
      </w:r>
    </w:p>
    <w:p>
      <w:pPr>
        <w:pStyle w:val="14"/>
        <w:spacing w:line="360" w:lineRule="auto"/>
        <w:ind w:firstLine="0" w:firstLineChars="0"/>
        <w:outlineLvl w:val="1"/>
        <w:rPr>
          <w:rFonts w:hint="eastAsia" w:ascii="宋体" w:hAnsi="宋体" w:eastAsia="宋体" w:cs="Arial"/>
          <w:b/>
          <w:sz w:val="24"/>
          <w:szCs w:val="24"/>
        </w:rPr>
      </w:pPr>
      <w:r>
        <w:rPr>
          <w:rFonts w:hint="eastAsia" w:ascii="宋体" w:hAnsi="宋体" w:eastAsia="宋体" w:cs="Arial"/>
          <w:b/>
          <w:sz w:val="24"/>
          <w:szCs w:val="24"/>
          <w:lang w:eastAsia="zh-CN"/>
        </w:rPr>
        <w:t>（三）</w:t>
      </w:r>
      <w:r>
        <w:rPr>
          <w:rFonts w:hint="eastAsia" w:ascii="宋体" w:hAnsi="宋体" w:eastAsia="宋体" w:cs="Arial"/>
          <w:b/>
          <w:sz w:val="24"/>
          <w:szCs w:val="24"/>
        </w:rPr>
        <w:t>等级保护测评内容</w:t>
      </w:r>
    </w:p>
    <w:p>
      <w:pPr>
        <w:spacing w:line="360" w:lineRule="auto"/>
        <w:ind w:firstLine="420"/>
        <w:rPr>
          <w:rFonts w:ascii="宋体" w:hAnsi="宋体" w:eastAsia="宋体"/>
          <w:sz w:val="24"/>
          <w:szCs w:val="24"/>
        </w:rPr>
      </w:pPr>
      <w:bookmarkStart w:id="16" w:name="_Toc288552020"/>
      <w:bookmarkStart w:id="17" w:name="_Toc287704425"/>
      <w:bookmarkStart w:id="18" w:name="_Toc288570237"/>
      <w:bookmarkStart w:id="19" w:name="_Toc288574635"/>
      <w:r>
        <w:rPr>
          <w:rFonts w:ascii="宋体" w:hAnsi="宋体" w:eastAsia="宋体"/>
          <w:sz w:val="24"/>
          <w:szCs w:val="24"/>
        </w:rPr>
        <w:t>根据国家等级保护相关标准，本次项目的网络安全等级保护测评应包括以下内容：</w:t>
      </w:r>
    </w:p>
    <w:bookmarkEnd w:id="16"/>
    <w:bookmarkEnd w:id="17"/>
    <w:bookmarkEnd w:id="18"/>
    <w:bookmarkEnd w:id="19"/>
    <w:p>
      <w:pPr>
        <w:spacing w:line="360" w:lineRule="auto"/>
        <w:ind w:firstLine="420"/>
        <w:rPr>
          <w:rFonts w:ascii="宋体" w:hAnsi="宋体" w:eastAsia="宋体"/>
          <w:sz w:val="24"/>
          <w:szCs w:val="24"/>
        </w:rPr>
      </w:pPr>
      <w:r>
        <w:rPr>
          <w:rFonts w:hint="default" w:ascii="宋体" w:hAnsi="宋体" w:eastAsia="宋体"/>
          <w:sz w:val="24"/>
          <w:szCs w:val="24"/>
        </w:rPr>
        <w:t>（</w:t>
      </w:r>
      <w:r>
        <w:rPr>
          <w:rFonts w:hint="eastAsia" w:ascii="宋体" w:hAnsi="宋体" w:eastAsia="宋体"/>
          <w:sz w:val="24"/>
          <w:szCs w:val="24"/>
          <w:lang w:val="en-US" w:eastAsia="zh-CN"/>
        </w:rPr>
        <w:t>1</w:t>
      </w:r>
      <w:r>
        <w:rPr>
          <w:rFonts w:hint="default" w:ascii="宋体" w:hAnsi="宋体" w:eastAsia="宋体"/>
          <w:sz w:val="24"/>
          <w:szCs w:val="24"/>
        </w:rPr>
        <w:t>）</w:t>
      </w:r>
      <w:r>
        <w:rPr>
          <w:rFonts w:ascii="宋体" w:hAnsi="宋体" w:eastAsia="宋体"/>
          <w:sz w:val="24"/>
          <w:szCs w:val="24"/>
        </w:rPr>
        <w:t>安全技术测评：包括安全物理环境、安全通信网络、安全区域边界、安全计算环境、安全管理中心等五个方面的安全测评；</w:t>
      </w:r>
    </w:p>
    <w:p>
      <w:pPr>
        <w:spacing w:line="360" w:lineRule="auto"/>
        <w:ind w:firstLine="420"/>
        <w:rPr>
          <w:rFonts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2</w:t>
      </w:r>
      <w:r>
        <w:rPr>
          <w:rFonts w:hint="eastAsia" w:ascii="宋体" w:hAnsi="宋体" w:eastAsia="宋体"/>
          <w:sz w:val="24"/>
          <w:szCs w:val="24"/>
          <w:lang w:eastAsia="zh-CN"/>
        </w:rPr>
        <w:t>）</w:t>
      </w:r>
      <w:r>
        <w:rPr>
          <w:rFonts w:ascii="宋体" w:hAnsi="宋体" w:eastAsia="宋体"/>
          <w:sz w:val="24"/>
          <w:szCs w:val="24"/>
        </w:rPr>
        <w:t>安全管理测评：包括安全管理制度、安全管理机构、安全管理人员、安全建设管理和安全运维管理等五个方面的安全测评。</w:t>
      </w:r>
    </w:p>
    <w:p>
      <w:pPr>
        <w:pStyle w:val="14"/>
        <w:spacing w:line="360" w:lineRule="auto"/>
        <w:ind w:left="0" w:leftChars="0" w:firstLine="0" w:firstLineChars="0"/>
        <w:outlineLvl w:val="1"/>
        <w:rPr>
          <w:rFonts w:hint="eastAsia" w:ascii="宋体" w:hAnsi="宋体" w:eastAsia="宋体" w:cs="Arial"/>
          <w:b/>
          <w:sz w:val="24"/>
          <w:szCs w:val="24"/>
        </w:rPr>
      </w:pPr>
      <w:bookmarkStart w:id="20" w:name="_Toc4424566"/>
      <w:r>
        <w:rPr>
          <w:rFonts w:hint="eastAsia" w:ascii="宋体" w:hAnsi="宋体" w:eastAsia="宋体" w:cs="Arial"/>
          <w:b/>
          <w:sz w:val="24"/>
          <w:szCs w:val="24"/>
        </w:rPr>
        <w:t>安全物理</w:t>
      </w:r>
      <w:bookmarkEnd w:id="20"/>
      <w:r>
        <w:rPr>
          <w:rFonts w:hint="eastAsia" w:ascii="宋体" w:hAnsi="宋体" w:eastAsia="宋体" w:cs="Arial"/>
          <w:b/>
          <w:sz w:val="24"/>
          <w:szCs w:val="24"/>
        </w:rPr>
        <w:t>环境</w:t>
      </w:r>
    </w:p>
    <w:p>
      <w:pPr>
        <w:spacing w:line="360" w:lineRule="auto"/>
        <w:ind w:firstLine="420"/>
        <w:rPr>
          <w:rFonts w:ascii="宋体" w:hAnsi="宋体" w:eastAsia="宋体"/>
          <w:sz w:val="24"/>
          <w:szCs w:val="24"/>
        </w:rPr>
      </w:pPr>
      <w:r>
        <w:rPr>
          <w:rFonts w:ascii="宋体" w:hAnsi="宋体" w:eastAsia="宋体"/>
          <w:sz w:val="24"/>
          <w:szCs w:val="24"/>
        </w:rPr>
        <w:t>安全物理环境是对机房和办公场所的物理环境安全防护情况进行测评，包括物理位置选择、物理访问控制、防盗窃和防破坏、防雷击、防火、防水和防潮、防静电、温湿度控制、电力供应和电磁防护等方面的安全状况。</w:t>
      </w:r>
    </w:p>
    <w:p>
      <w:pPr>
        <w:pStyle w:val="14"/>
        <w:spacing w:line="360" w:lineRule="auto"/>
        <w:ind w:firstLine="0" w:firstLineChars="0"/>
        <w:outlineLvl w:val="1"/>
        <w:rPr>
          <w:rFonts w:hint="eastAsia" w:ascii="宋体" w:hAnsi="宋体" w:eastAsia="宋体" w:cs="Arial"/>
          <w:b/>
          <w:sz w:val="24"/>
          <w:szCs w:val="24"/>
        </w:rPr>
      </w:pPr>
      <w:bookmarkStart w:id="21" w:name="_Toc4424567"/>
      <w:r>
        <w:rPr>
          <w:rFonts w:hint="eastAsia" w:ascii="宋体" w:hAnsi="宋体" w:eastAsia="宋体" w:cs="Arial"/>
          <w:b/>
          <w:sz w:val="24"/>
          <w:szCs w:val="24"/>
        </w:rPr>
        <w:t>安全通信网络</w:t>
      </w:r>
      <w:bookmarkEnd w:id="21"/>
    </w:p>
    <w:p>
      <w:pPr>
        <w:spacing w:line="360" w:lineRule="auto"/>
        <w:ind w:firstLine="420"/>
        <w:rPr>
          <w:rFonts w:ascii="宋体" w:hAnsi="宋体" w:eastAsia="宋体"/>
          <w:sz w:val="24"/>
          <w:szCs w:val="24"/>
        </w:rPr>
      </w:pPr>
      <w:r>
        <w:rPr>
          <w:rFonts w:ascii="宋体" w:hAnsi="宋体" w:eastAsia="宋体"/>
          <w:sz w:val="24"/>
          <w:szCs w:val="24"/>
        </w:rPr>
        <w:t>安全通信网络测评是对网络系统安全防护情况进行测评，包括网络架构、通信传输、可信验证等方面的安全状况。</w:t>
      </w:r>
    </w:p>
    <w:p>
      <w:pPr>
        <w:pStyle w:val="14"/>
        <w:spacing w:line="360" w:lineRule="auto"/>
        <w:ind w:firstLine="0" w:firstLineChars="0"/>
        <w:outlineLvl w:val="1"/>
        <w:rPr>
          <w:rFonts w:hint="eastAsia" w:ascii="宋体" w:hAnsi="宋体" w:eastAsia="宋体" w:cs="Arial"/>
          <w:b/>
          <w:sz w:val="24"/>
          <w:szCs w:val="24"/>
        </w:rPr>
      </w:pPr>
      <w:r>
        <w:rPr>
          <w:rFonts w:hint="eastAsia" w:ascii="宋体" w:hAnsi="宋体" w:eastAsia="宋体" w:cs="Arial"/>
          <w:b/>
          <w:sz w:val="24"/>
          <w:szCs w:val="24"/>
        </w:rPr>
        <w:t>安全区域边界</w:t>
      </w:r>
    </w:p>
    <w:p>
      <w:pPr>
        <w:spacing w:line="360" w:lineRule="auto"/>
        <w:ind w:firstLine="420"/>
        <w:rPr>
          <w:rFonts w:ascii="宋体" w:hAnsi="宋体" w:eastAsia="宋体"/>
          <w:sz w:val="24"/>
          <w:szCs w:val="24"/>
        </w:rPr>
      </w:pPr>
      <w:r>
        <w:rPr>
          <w:rFonts w:ascii="宋体" w:hAnsi="宋体" w:eastAsia="宋体"/>
          <w:sz w:val="24"/>
          <w:szCs w:val="24"/>
        </w:rPr>
        <w:t>安全区域边界是对边界防护、访问控制、入侵防范、恶意代码防范、安全审计、可信验证等方面的测评。</w:t>
      </w:r>
    </w:p>
    <w:p>
      <w:pPr>
        <w:pStyle w:val="14"/>
        <w:spacing w:line="360" w:lineRule="auto"/>
        <w:ind w:firstLine="0" w:firstLineChars="0"/>
        <w:outlineLvl w:val="1"/>
        <w:rPr>
          <w:rFonts w:hint="eastAsia" w:ascii="宋体" w:hAnsi="宋体" w:eastAsia="宋体" w:cs="Arial"/>
          <w:b/>
          <w:sz w:val="24"/>
          <w:szCs w:val="24"/>
        </w:rPr>
      </w:pPr>
      <w:bookmarkStart w:id="22" w:name="_Toc4424569"/>
      <w:r>
        <w:rPr>
          <w:rFonts w:hint="eastAsia" w:ascii="宋体" w:hAnsi="宋体" w:eastAsia="宋体" w:cs="Arial"/>
          <w:b/>
          <w:sz w:val="24"/>
          <w:szCs w:val="24"/>
        </w:rPr>
        <w:t>安全</w:t>
      </w:r>
      <w:bookmarkEnd w:id="22"/>
      <w:r>
        <w:rPr>
          <w:rFonts w:hint="eastAsia" w:ascii="宋体" w:hAnsi="宋体" w:eastAsia="宋体" w:cs="Arial"/>
          <w:b/>
          <w:sz w:val="24"/>
          <w:szCs w:val="24"/>
        </w:rPr>
        <w:t>计算环境</w:t>
      </w:r>
    </w:p>
    <w:p>
      <w:pPr>
        <w:spacing w:line="360" w:lineRule="auto"/>
        <w:ind w:firstLine="420"/>
        <w:rPr>
          <w:rFonts w:ascii="宋体" w:hAnsi="宋体" w:eastAsia="宋体"/>
          <w:sz w:val="24"/>
          <w:szCs w:val="24"/>
        </w:rPr>
      </w:pPr>
      <w:r>
        <w:rPr>
          <w:rFonts w:ascii="宋体" w:hAnsi="宋体" w:eastAsia="宋体"/>
          <w:sz w:val="24"/>
          <w:szCs w:val="24"/>
        </w:rPr>
        <w:t>安全计算环境是对身份鉴别、访问控制、安全审计、入侵防范、恶意代码防范、可信验证、数据完整性、数据保密性、数据备份恢复、剩余信息保护、个人信息保护等方面的测评。</w:t>
      </w:r>
    </w:p>
    <w:p>
      <w:pPr>
        <w:pStyle w:val="14"/>
        <w:spacing w:line="360" w:lineRule="auto"/>
        <w:ind w:firstLine="0" w:firstLineChars="0"/>
        <w:outlineLvl w:val="1"/>
        <w:rPr>
          <w:rFonts w:hint="eastAsia" w:ascii="宋体" w:hAnsi="宋体" w:eastAsia="宋体" w:cs="Arial"/>
          <w:b/>
          <w:sz w:val="24"/>
          <w:szCs w:val="24"/>
        </w:rPr>
      </w:pPr>
      <w:r>
        <w:rPr>
          <w:rFonts w:hint="eastAsia" w:ascii="宋体" w:hAnsi="宋体" w:eastAsia="宋体" w:cs="Arial"/>
          <w:b/>
          <w:sz w:val="24"/>
          <w:szCs w:val="24"/>
        </w:rPr>
        <w:t>安全管理中心</w:t>
      </w:r>
    </w:p>
    <w:p>
      <w:pPr>
        <w:spacing w:line="360" w:lineRule="auto"/>
        <w:ind w:firstLine="420"/>
        <w:rPr>
          <w:rFonts w:ascii="宋体" w:hAnsi="宋体" w:eastAsia="宋体"/>
          <w:sz w:val="24"/>
          <w:szCs w:val="24"/>
        </w:rPr>
      </w:pPr>
      <w:r>
        <w:rPr>
          <w:rFonts w:ascii="宋体" w:hAnsi="宋体" w:eastAsia="宋体"/>
          <w:sz w:val="24"/>
          <w:szCs w:val="24"/>
        </w:rPr>
        <w:t>安全管理中心是对系统管理、审计管理、安全管理、集中管控等方面的测评。</w:t>
      </w:r>
    </w:p>
    <w:p>
      <w:pPr>
        <w:pStyle w:val="14"/>
        <w:spacing w:line="360" w:lineRule="auto"/>
        <w:ind w:firstLine="0" w:firstLineChars="0"/>
        <w:outlineLvl w:val="1"/>
        <w:rPr>
          <w:rFonts w:hint="eastAsia" w:ascii="宋体" w:hAnsi="宋体" w:eastAsia="宋体" w:cs="Arial"/>
          <w:b/>
          <w:sz w:val="24"/>
          <w:szCs w:val="24"/>
        </w:rPr>
      </w:pPr>
      <w:bookmarkStart w:id="23" w:name="_Toc4424571"/>
      <w:r>
        <w:rPr>
          <w:rFonts w:hint="eastAsia" w:ascii="宋体" w:hAnsi="宋体" w:eastAsia="宋体" w:cs="Arial"/>
          <w:b/>
          <w:sz w:val="24"/>
          <w:szCs w:val="24"/>
        </w:rPr>
        <w:t>安全管理制度</w:t>
      </w:r>
      <w:bookmarkEnd w:id="23"/>
    </w:p>
    <w:p>
      <w:pPr>
        <w:spacing w:line="360" w:lineRule="auto"/>
        <w:ind w:firstLine="420"/>
        <w:rPr>
          <w:rFonts w:ascii="宋体" w:hAnsi="宋体" w:eastAsia="宋体"/>
          <w:sz w:val="24"/>
          <w:szCs w:val="24"/>
        </w:rPr>
      </w:pPr>
      <w:r>
        <w:rPr>
          <w:rFonts w:ascii="宋体" w:hAnsi="宋体" w:eastAsia="宋体"/>
          <w:sz w:val="24"/>
          <w:szCs w:val="24"/>
        </w:rPr>
        <w:t>安全管理制度测评是对安全策略、管理制度、制定和发布、评审和修订进行测评。</w:t>
      </w:r>
    </w:p>
    <w:p>
      <w:pPr>
        <w:pStyle w:val="14"/>
        <w:spacing w:line="360" w:lineRule="auto"/>
        <w:ind w:firstLine="0" w:firstLineChars="0"/>
        <w:outlineLvl w:val="1"/>
        <w:rPr>
          <w:rFonts w:hint="eastAsia" w:ascii="宋体" w:hAnsi="宋体" w:eastAsia="宋体" w:cs="Arial"/>
          <w:b/>
          <w:sz w:val="24"/>
          <w:szCs w:val="24"/>
        </w:rPr>
      </w:pPr>
      <w:bookmarkStart w:id="24" w:name="_Toc4424572"/>
      <w:r>
        <w:rPr>
          <w:rFonts w:hint="eastAsia" w:ascii="宋体" w:hAnsi="宋体" w:eastAsia="宋体" w:cs="Arial"/>
          <w:b/>
          <w:sz w:val="24"/>
          <w:szCs w:val="24"/>
        </w:rPr>
        <w:t>安全管理机构</w:t>
      </w:r>
      <w:bookmarkEnd w:id="24"/>
    </w:p>
    <w:p>
      <w:pPr>
        <w:spacing w:line="360" w:lineRule="auto"/>
        <w:ind w:firstLine="420"/>
        <w:rPr>
          <w:rFonts w:ascii="宋体" w:hAnsi="宋体" w:eastAsia="宋体"/>
          <w:sz w:val="24"/>
          <w:szCs w:val="24"/>
        </w:rPr>
      </w:pPr>
      <w:r>
        <w:rPr>
          <w:rFonts w:ascii="宋体" w:hAnsi="宋体" w:eastAsia="宋体"/>
          <w:sz w:val="24"/>
          <w:szCs w:val="24"/>
        </w:rPr>
        <w:t>安全管理机构测评是对岗位设置、人员配备、授权和审批、沟通和合作、审核和检查等情况进行测评。</w:t>
      </w:r>
    </w:p>
    <w:p>
      <w:pPr>
        <w:pStyle w:val="14"/>
        <w:spacing w:line="360" w:lineRule="auto"/>
        <w:ind w:firstLine="0" w:firstLineChars="0"/>
        <w:outlineLvl w:val="1"/>
        <w:rPr>
          <w:rFonts w:hint="eastAsia" w:ascii="宋体" w:hAnsi="宋体" w:eastAsia="宋体" w:cs="Arial"/>
          <w:b/>
          <w:sz w:val="24"/>
          <w:szCs w:val="24"/>
        </w:rPr>
      </w:pPr>
      <w:bookmarkStart w:id="25" w:name="_Toc4424573"/>
      <w:r>
        <w:rPr>
          <w:rFonts w:hint="eastAsia" w:ascii="宋体" w:hAnsi="宋体" w:eastAsia="宋体" w:cs="Arial"/>
          <w:b/>
          <w:sz w:val="24"/>
          <w:szCs w:val="24"/>
        </w:rPr>
        <w:t>安全管理</w:t>
      </w:r>
      <w:bookmarkEnd w:id="25"/>
      <w:r>
        <w:rPr>
          <w:rFonts w:hint="eastAsia" w:ascii="宋体" w:hAnsi="宋体" w:eastAsia="宋体" w:cs="Arial"/>
          <w:b/>
          <w:sz w:val="24"/>
          <w:szCs w:val="24"/>
        </w:rPr>
        <w:t>人员</w:t>
      </w:r>
    </w:p>
    <w:p>
      <w:pPr>
        <w:spacing w:line="360" w:lineRule="auto"/>
        <w:ind w:firstLine="420"/>
        <w:rPr>
          <w:rFonts w:ascii="宋体" w:hAnsi="宋体" w:eastAsia="宋体"/>
          <w:sz w:val="24"/>
          <w:szCs w:val="24"/>
        </w:rPr>
      </w:pPr>
      <w:r>
        <w:rPr>
          <w:rFonts w:ascii="宋体" w:hAnsi="宋体" w:eastAsia="宋体"/>
          <w:sz w:val="24"/>
          <w:szCs w:val="24"/>
        </w:rPr>
        <w:t>安全管理人员测评是对人员录用、人员离岗、安全意识教育和培训、外部人员访问管理等情况进行测评。</w:t>
      </w:r>
    </w:p>
    <w:p>
      <w:pPr>
        <w:pStyle w:val="14"/>
        <w:spacing w:line="360" w:lineRule="auto"/>
        <w:ind w:firstLine="0" w:firstLineChars="0"/>
        <w:outlineLvl w:val="1"/>
        <w:rPr>
          <w:rFonts w:hint="eastAsia" w:ascii="宋体" w:hAnsi="宋体" w:eastAsia="宋体" w:cs="Arial"/>
          <w:b/>
          <w:sz w:val="24"/>
          <w:szCs w:val="24"/>
        </w:rPr>
      </w:pPr>
      <w:bookmarkStart w:id="26" w:name="_Toc4424574"/>
      <w:r>
        <w:rPr>
          <w:rFonts w:hint="eastAsia" w:ascii="宋体" w:hAnsi="宋体" w:eastAsia="宋体" w:cs="Arial"/>
          <w:b/>
          <w:sz w:val="24"/>
          <w:szCs w:val="24"/>
        </w:rPr>
        <w:t>安全建设管理</w:t>
      </w:r>
      <w:bookmarkEnd w:id="26"/>
    </w:p>
    <w:p>
      <w:pPr>
        <w:spacing w:line="360" w:lineRule="auto"/>
        <w:ind w:firstLine="420"/>
        <w:rPr>
          <w:rFonts w:ascii="宋体" w:hAnsi="宋体" w:eastAsia="宋体"/>
          <w:sz w:val="24"/>
          <w:szCs w:val="24"/>
        </w:rPr>
      </w:pPr>
      <w:r>
        <w:rPr>
          <w:rFonts w:ascii="宋体" w:hAnsi="宋体" w:eastAsia="宋体"/>
          <w:sz w:val="24"/>
          <w:szCs w:val="24"/>
        </w:rPr>
        <w:t>安全建设管理测评是对建设过程中安全方案设计、产品采购和使用、自行软件开发、外包软件开发、 工程实施、测试验收、系统交付、 等级测评、服务供应商选择等情况进行测评。</w:t>
      </w:r>
    </w:p>
    <w:p>
      <w:pPr>
        <w:pStyle w:val="14"/>
        <w:spacing w:line="360" w:lineRule="auto"/>
        <w:ind w:firstLine="0" w:firstLineChars="0"/>
        <w:outlineLvl w:val="1"/>
        <w:rPr>
          <w:rFonts w:hint="eastAsia" w:ascii="宋体" w:hAnsi="宋体" w:eastAsia="宋体" w:cs="Arial"/>
          <w:b/>
          <w:sz w:val="24"/>
          <w:szCs w:val="24"/>
        </w:rPr>
      </w:pPr>
      <w:bookmarkStart w:id="27" w:name="_Toc4424575"/>
      <w:r>
        <w:rPr>
          <w:rFonts w:hint="eastAsia" w:ascii="宋体" w:hAnsi="宋体" w:eastAsia="宋体" w:cs="Arial"/>
          <w:b/>
          <w:sz w:val="24"/>
          <w:szCs w:val="24"/>
        </w:rPr>
        <w:t>安全运维管理</w:t>
      </w:r>
      <w:bookmarkEnd w:id="27"/>
    </w:p>
    <w:p>
      <w:pPr>
        <w:spacing w:line="360" w:lineRule="auto"/>
        <w:ind w:firstLine="420"/>
        <w:rPr>
          <w:rFonts w:ascii="宋体" w:hAnsi="宋体" w:eastAsia="宋体"/>
          <w:sz w:val="24"/>
          <w:szCs w:val="24"/>
        </w:rPr>
      </w:pPr>
      <w:r>
        <w:rPr>
          <w:rFonts w:ascii="宋体" w:hAnsi="宋体" w:eastAsia="宋体"/>
          <w:sz w:val="24"/>
          <w:szCs w:val="24"/>
        </w:rPr>
        <w:t>安全运维管理测评是对环境管理、资产管理、介质管理、设备维护管理、漏洞和风险管理、网络和系统安全管理、恶意代码防范管理、配置管理、密码管理、变更管理、备份与恢复管理、安全事件处置、 应急预案管理、外包运维管理等情况进行测评。</w:t>
      </w:r>
    </w:p>
    <w:p>
      <w:pPr>
        <w:pStyle w:val="14"/>
        <w:spacing w:line="360" w:lineRule="auto"/>
        <w:ind w:firstLine="0" w:firstLineChars="0"/>
        <w:outlineLvl w:val="0"/>
        <w:rPr>
          <w:rFonts w:hint="eastAsia" w:ascii="宋体" w:hAnsi="宋体" w:eastAsia="宋体" w:cs="Arial"/>
          <w:b/>
          <w:sz w:val="24"/>
          <w:szCs w:val="24"/>
        </w:rPr>
      </w:pPr>
      <w:bookmarkStart w:id="28" w:name="_Toc53217159"/>
      <w:r>
        <w:rPr>
          <w:rFonts w:hint="eastAsia" w:ascii="宋体" w:hAnsi="宋体" w:eastAsia="宋体" w:cs="Arial"/>
          <w:b/>
          <w:sz w:val="24"/>
          <w:szCs w:val="24"/>
          <w:lang w:eastAsia="zh-CN"/>
        </w:rPr>
        <w:t>六</w:t>
      </w:r>
      <w:r>
        <w:rPr>
          <w:rFonts w:hint="eastAsia" w:ascii="宋体" w:hAnsi="宋体" w:eastAsia="宋体" w:cs="Arial"/>
          <w:b/>
          <w:sz w:val="24"/>
          <w:szCs w:val="24"/>
        </w:rPr>
        <w:t>、报价要求</w:t>
      </w:r>
      <w:bookmarkEnd w:id="28"/>
    </w:p>
    <w:p>
      <w:pPr>
        <w:spacing w:line="360" w:lineRule="auto"/>
        <w:ind w:firstLine="420"/>
        <w:rPr>
          <w:rFonts w:ascii="宋体" w:hAnsi="宋体" w:eastAsia="宋体"/>
          <w:sz w:val="24"/>
          <w:szCs w:val="24"/>
        </w:rPr>
      </w:pPr>
      <w:r>
        <w:rPr>
          <w:rFonts w:ascii="宋体" w:hAnsi="宋体" w:eastAsia="宋体"/>
          <w:sz w:val="24"/>
          <w:szCs w:val="24"/>
        </w:rPr>
        <w:t>本项目报总价，报价包含完成本项目服务期间所产生的一切费用，采购人后期不再另行追加费用。</w:t>
      </w:r>
    </w:p>
    <w:p>
      <w:pPr>
        <w:pStyle w:val="14"/>
        <w:spacing w:line="360" w:lineRule="auto"/>
        <w:ind w:firstLine="0" w:firstLineChars="0"/>
        <w:outlineLvl w:val="0"/>
        <w:rPr>
          <w:rFonts w:hint="eastAsia" w:ascii="宋体" w:hAnsi="宋体" w:eastAsia="宋体" w:cs="Arial"/>
          <w:b/>
          <w:sz w:val="24"/>
          <w:szCs w:val="24"/>
        </w:rPr>
      </w:pPr>
      <w:bookmarkStart w:id="29" w:name="_Toc53217161"/>
      <w:r>
        <w:rPr>
          <w:rFonts w:hint="eastAsia" w:ascii="宋体" w:hAnsi="宋体" w:eastAsia="宋体" w:cs="Arial"/>
          <w:b/>
          <w:sz w:val="24"/>
          <w:szCs w:val="24"/>
          <w:lang w:eastAsia="zh-CN"/>
        </w:rPr>
        <w:t>七</w:t>
      </w:r>
      <w:r>
        <w:rPr>
          <w:rFonts w:hint="eastAsia" w:ascii="宋体" w:hAnsi="宋体" w:eastAsia="宋体" w:cs="Arial"/>
          <w:b/>
          <w:sz w:val="24"/>
          <w:szCs w:val="24"/>
        </w:rPr>
        <w:t>、验收标准</w:t>
      </w:r>
      <w:bookmarkEnd w:id="29"/>
    </w:p>
    <w:p>
      <w:pPr>
        <w:adjustRightInd w:val="0"/>
        <w:snapToGrid w:val="0"/>
        <w:spacing w:line="360" w:lineRule="auto"/>
        <w:ind w:left="1200" w:hanging="720"/>
        <w:rPr>
          <w:rFonts w:ascii="宋体" w:hAnsi="宋体" w:eastAsia="宋体" w:cs="宋体"/>
          <w:bCs/>
          <w:color w:val="000000"/>
          <w:kern w:val="0"/>
          <w:sz w:val="24"/>
          <w:szCs w:val="24"/>
        </w:rPr>
      </w:pPr>
      <w:r>
        <w:rPr>
          <w:rFonts w:ascii="宋体" w:hAnsi="宋体" w:eastAsia="宋体" w:cs="宋体"/>
          <w:bCs/>
          <w:color w:val="000000"/>
          <w:kern w:val="0"/>
          <w:sz w:val="24"/>
          <w:szCs w:val="24"/>
        </w:rPr>
        <w:t>本项目服务的验收将以成交供应商提交《测评报告》为准。</w:t>
      </w:r>
    </w:p>
    <w:p>
      <w:pPr>
        <w:pStyle w:val="14"/>
        <w:spacing w:line="360" w:lineRule="auto"/>
        <w:ind w:firstLine="0" w:firstLineChars="0"/>
        <w:outlineLvl w:val="0"/>
        <w:rPr>
          <w:rFonts w:hint="eastAsia" w:ascii="宋体" w:hAnsi="宋体" w:eastAsia="宋体" w:cs="Arial"/>
          <w:b/>
          <w:sz w:val="24"/>
          <w:szCs w:val="24"/>
        </w:rPr>
      </w:pPr>
      <w:r>
        <w:rPr>
          <w:rFonts w:hint="eastAsia" w:ascii="宋体" w:hAnsi="宋体" w:eastAsia="宋体" w:cs="Arial"/>
          <w:b/>
          <w:sz w:val="24"/>
          <w:szCs w:val="24"/>
          <w:lang w:eastAsia="zh-CN"/>
        </w:rPr>
        <w:t>八</w:t>
      </w:r>
      <w:r>
        <w:rPr>
          <w:rFonts w:ascii="宋体" w:hAnsi="宋体" w:eastAsia="宋体" w:cs="Arial"/>
          <w:b/>
          <w:sz w:val="24"/>
          <w:szCs w:val="24"/>
        </w:rPr>
        <w:t>、付款方式</w:t>
      </w:r>
    </w:p>
    <w:p>
      <w:pPr>
        <w:spacing w:line="360" w:lineRule="auto"/>
        <w:ind w:firstLine="420"/>
        <w:rPr>
          <w:rFonts w:ascii="宋体" w:hAnsi="宋体" w:eastAsia="宋体"/>
          <w:sz w:val="24"/>
          <w:szCs w:val="24"/>
        </w:rPr>
      </w:pPr>
      <w:r>
        <w:rPr>
          <w:rFonts w:ascii="宋体" w:hAnsi="宋体" w:eastAsia="宋体"/>
          <w:sz w:val="24"/>
          <w:szCs w:val="24"/>
        </w:rPr>
        <w:t>（1）合同签订生效且收到成交单位发票后30个工作日内，采购人支付成交单位60%的款项；</w:t>
      </w:r>
    </w:p>
    <w:p>
      <w:pPr>
        <w:spacing w:line="360" w:lineRule="auto"/>
        <w:ind w:firstLine="420"/>
        <w:rPr>
          <w:rFonts w:ascii="宋体" w:hAnsi="宋体" w:eastAsia="宋体"/>
          <w:sz w:val="24"/>
          <w:szCs w:val="24"/>
        </w:rPr>
      </w:pPr>
      <w:r>
        <w:rPr>
          <w:rFonts w:ascii="宋体" w:hAnsi="宋体" w:eastAsia="宋体"/>
          <w:sz w:val="24"/>
          <w:szCs w:val="24"/>
        </w:rPr>
        <w:t>（2）成交单位出具的正式测评报告且经甲方确认合格后30个工作日内，支付剩余40%的款项。</w:t>
      </w:r>
    </w:p>
    <w:p>
      <w:pPr>
        <w:pStyle w:val="14"/>
        <w:spacing w:line="360" w:lineRule="auto"/>
        <w:ind w:firstLine="0" w:firstLineChars="0"/>
        <w:outlineLvl w:val="0"/>
        <w:rPr>
          <w:rFonts w:hint="eastAsia" w:ascii="宋体" w:hAnsi="宋体" w:eastAsia="宋体" w:cs="Arial"/>
          <w:b/>
          <w:sz w:val="24"/>
          <w:szCs w:val="24"/>
        </w:rPr>
      </w:pPr>
      <w:r>
        <w:rPr>
          <w:rFonts w:hint="eastAsia" w:ascii="宋体" w:hAnsi="宋体" w:eastAsia="宋体" w:cs="Arial"/>
          <w:b/>
          <w:sz w:val="24"/>
          <w:szCs w:val="24"/>
          <w:lang w:eastAsia="zh-CN"/>
        </w:rPr>
        <w:t>九</w:t>
      </w:r>
      <w:r>
        <w:rPr>
          <w:rFonts w:ascii="宋体" w:hAnsi="宋体" w:eastAsia="宋体" w:cs="Arial"/>
          <w:b/>
          <w:sz w:val="24"/>
          <w:szCs w:val="24"/>
        </w:rPr>
        <w:t>、实施人员要求</w:t>
      </w:r>
    </w:p>
    <w:p>
      <w:pPr>
        <w:spacing w:line="360" w:lineRule="auto"/>
        <w:rPr>
          <w:rFonts w:ascii="宋体" w:hAnsi="宋体" w:eastAsia="宋体"/>
          <w:sz w:val="24"/>
          <w:szCs w:val="24"/>
          <w:highlight w:val="none"/>
        </w:rPr>
      </w:pPr>
      <w:r>
        <w:rPr>
          <w:rFonts w:hint="eastAsia" w:ascii="宋体" w:hAnsi="宋体" w:eastAsia="宋体"/>
          <w:sz w:val="24"/>
          <w:szCs w:val="24"/>
          <w:lang w:val="en-US" w:eastAsia="zh-CN"/>
        </w:rPr>
        <w:t>1、</w:t>
      </w:r>
      <w:r>
        <w:rPr>
          <w:rFonts w:ascii="宋体" w:hAnsi="宋体" w:eastAsia="宋体"/>
          <w:sz w:val="24"/>
          <w:szCs w:val="24"/>
        </w:rPr>
        <w:t>依据2024年03月01日由公安部第三研究所发布实施的TRIM</w:t>
      </w:r>
      <w:r>
        <w:rPr>
          <w:rFonts w:ascii="宋体" w:hAnsi="宋体" w:eastAsia="宋体"/>
          <w:sz w:val="24"/>
          <w:szCs w:val="24"/>
          <w:highlight w:val="none"/>
        </w:rPr>
        <w:t>PS-JSGF-003:2024《网络安全服务认证技术规范(等级保护测评)》 中第5.2.5 条例对第三级及以上等级保护对象提供等级保护测评服务的要求，本项目测评师人数不应少于10名，其中需配备高级测评师2名，中级及以上测评组长3名。</w:t>
      </w:r>
    </w:p>
    <w:p>
      <w:pPr>
        <w:pStyle w:val="15"/>
        <w:spacing w:line="360" w:lineRule="auto"/>
        <w:rPr>
          <w:rFonts w:hint="eastAsia" w:hAnsi="宋体"/>
          <w:highlight w:val="none"/>
        </w:rPr>
      </w:pPr>
      <w:r>
        <w:rPr>
          <w:rFonts w:hint="eastAsia" w:hAnsi="宋体"/>
          <w:highlight w:val="none"/>
          <w:lang w:val="en-US" w:eastAsia="zh-CN"/>
        </w:rPr>
        <w:t>2、</w:t>
      </w:r>
      <w:r>
        <w:rPr>
          <w:rFonts w:hint="eastAsia" w:hAnsi="宋体"/>
          <w:highlight w:val="none"/>
          <w:lang w:eastAsia="zh-CN"/>
        </w:rPr>
        <w:t>本项目</w:t>
      </w:r>
      <w:r>
        <w:rPr>
          <w:rFonts w:hint="eastAsia" w:hAnsi="宋体"/>
          <w:highlight w:val="none"/>
        </w:rPr>
        <w:t>质量经理</w:t>
      </w:r>
      <w:r>
        <w:rPr>
          <w:rFonts w:hint="eastAsia" w:hAnsi="宋体"/>
          <w:highlight w:val="none"/>
          <w:lang w:eastAsia="zh-CN"/>
        </w:rPr>
        <w:t>推荐</w:t>
      </w:r>
      <w:r>
        <w:rPr>
          <w:rFonts w:hint="eastAsia" w:hAnsi="宋体"/>
          <w:highlight w:val="none"/>
        </w:rPr>
        <w:t>具有</w:t>
      </w:r>
      <w:r>
        <w:rPr>
          <w:rFonts w:hint="eastAsia" w:ascii="东文宋体" w:hAnsi="东文宋体" w:eastAsia="东文宋体" w:cs="东文宋体"/>
          <w:highlight w:val="none"/>
        </w:rPr>
        <w:t>①</w:t>
      </w:r>
      <w:r>
        <w:rPr>
          <w:rFonts w:hint="eastAsia" w:hAnsi="宋体"/>
          <w:highlight w:val="none"/>
        </w:rPr>
        <w:t>中级（含）以上等级测评师证书</w:t>
      </w:r>
      <w:r>
        <w:rPr>
          <w:rFonts w:hint="eastAsia" w:ascii="东文宋体" w:hAnsi="东文宋体" w:eastAsia="东文宋体" w:cs="东文宋体"/>
          <w:highlight w:val="none"/>
          <w:lang w:eastAsia="zh-CN"/>
        </w:rPr>
        <w:t>②</w:t>
      </w:r>
      <w:r>
        <w:rPr>
          <w:rFonts w:hint="eastAsia" w:hAnsi="宋体"/>
          <w:highlight w:val="none"/>
        </w:rPr>
        <w:t>关键信息基础设施安全防护工程师证书</w:t>
      </w:r>
      <w:r>
        <w:rPr>
          <w:rFonts w:hint="eastAsia" w:ascii="东文宋体" w:hAnsi="东文宋体" w:eastAsia="东文宋体" w:cs="东文宋体"/>
          <w:highlight w:val="none"/>
          <w:lang w:eastAsia="zh-CN"/>
        </w:rPr>
        <w:t>③</w:t>
      </w:r>
      <w:r>
        <w:rPr>
          <w:rFonts w:hint="eastAsia" w:hAnsi="宋体"/>
          <w:highlight w:val="none"/>
        </w:rPr>
        <w:t>重要信息系统保护人员（证书类别：CIIP-T）证书</w:t>
      </w:r>
      <w:r>
        <w:rPr>
          <w:rFonts w:hint="eastAsia" w:hAnsi="宋体"/>
          <w:highlight w:val="none"/>
          <w:lang w:eastAsia="zh-CN"/>
        </w:rPr>
        <w:t>；</w:t>
      </w:r>
      <w:r>
        <w:rPr>
          <w:rFonts w:hint="eastAsia" w:hAnsi="宋体"/>
          <w:highlight w:val="none"/>
        </w:rPr>
        <w:t>项目经理</w:t>
      </w:r>
      <w:r>
        <w:rPr>
          <w:rFonts w:hint="eastAsia" w:hAnsi="宋体"/>
          <w:highlight w:val="none"/>
          <w:lang w:eastAsia="zh-CN"/>
        </w:rPr>
        <w:t>推荐</w:t>
      </w:r>
      <w:r>
        <w:rPr>
          <w:rFonts w:hint="eastAsia" w:hAnsi="宋体"/>
          <w:highlight w:val="none"/>
        </w:rPr>
        <w:t>具有</w:t>
      </w:r>
      <w:r>
        <w:rPr>
          <w:rFonts w:hint="eastAsia" w:ascii="东文宋体" w:hAnsi="东文宋体" w:eastAsia="东文宋体" w:cs="东文宋体"/>
          <w:highlight w:val="none"/>
        </w:rPr>
        <w:t>①</w:t>
      </w:r>
      <w:r>
        <w:rPr>
          <w:rFonts w:hint="eastAsia" w:hAnsi="宋体"/>
          <w:highlight w:val="none"/>
        </w:rPr>
        <w:t>高级测评师证书</w:t>
      </w:r>
      <w:r>
        <w:rPr>
          <w:rFonts w:hint="eastAsia" w:ascii="东文宋体" w:hAnsi="东文宋体" w:eastAsia="东文宋体" w:cs="东文宋体"/>
          <w:highlight w:val="none"/>
          <w:lang w:eastAsia="zh-CN"/>
        </w:rPr>
        <w:t>②</w:t>
      </w:r>
      <w:r>
        <w:rPr>
          <w:rFonts w:hint="eastAsia" w:hAnsi="宋体"/>
          <w:highlight w:val="none"/>
        </w:rPr>
        <w:t>注册信息安全认证讲师（CISI）证书</w:t>
      </w:r>
      <w:r>
        <w:rPr>
          <w:rFonts w:hint="eastAsia" w:ascii="东文宋体" w:hAnsi="东文宋体" w:eastAsia="东文宋体" w:cs="东文宋体"/>
          <w:highlight w:val="none"/>
          <w:lang w:eastAsia="zh-CN"/>
        </w:rPr>
        <w:t>③</w:t>
      </w:r>
      <w:r>
        <w:rPr>
          <w:rFonts w:hint="eastAsia" w:hAnsi="宋体"/>
          <w:highlight w:val="none"/>
        </w:rPr>
        <w:t>信息安全保障人员认证（CISAW）证书</w:t>
      </w:r>
      <w:r>
        <w:rPr>
          <w:rFonts w:hint="eastAsia" w:hAnsi="宋体"/>
          <w:highlight w:val="none"/>
          <w:lang w:eastAsia="zh-CN"/>
        </w:rPr>
        <w:t>（</w:t>
      </w:r>
      <w:r>
        <w:rPr>
          <w:rFonts w:hint="eastAsia" w:hAnsi="宋体"/>
          <w:highlight w:val="none"/>
        </w:rPr>
        <w:t>认证方向为风险管理和安全运维方向</w:t>
      </w:r>
      <w:r>
        <w:rPr>
          <w:rFonts w:hint="eastAsia" w:hAnsi="宋体"/>
          <w:highlight w:val="none"/>
          <w:lang w:eastAsia="zh-CN"/>
        </w:rPr>
        <w:t>）</w:t>
      </w:r>
      <w:r>
        <w:rPr>
          <w:rFonts w:hint="eastAsia" w:hAnsi="宋体"/>
          <w:highlight w:val="none"/>
        </w:rPr>
        <w:t>。</w:t>
      </w:r>
    </w:p>
    <w:p>
      <w:pPr>
        <w:pStyle w:val="15"/>
        <w:spacing w:line="360" w:lineRule="auto"/>
        <w:rPr>
          <w:rFonts w:hint="eastAsia" w:hAnsi="宋体" w:eastAsia="宋体"/>
          <w:highlight w:val="none"/>
          <w:lang w:eastAsia="zh-CN"/>
        </w:rPr>
      </w:pPr>
      <w:r>
        <w:rPr>
          <w:rFonts w:hint="eastAsia" w:hAnsi="宋体"/>
          <w:highlight w:val="none"/>
          <w:lang w:val="en-US" w:eastAsia="zh-CN"/>
        </w:rPr>
        <w:t>3、</w:t>
      </w:r>
      <w:r>
        <w:rPr>
          <w:rFonts w:hint="eastAsia" w:hAnsi="宋体"/>
          <w:highlight w:val="none"/>
        </w:rPr>
        <w:t>项目组其他成员（不包括质量经理、项目经理）</w:t>
      </w:r>
      <w:r>
        <w:rPr>
          <w:rFonts w:hint="eastAsia" w:hAnsi="宋体"/>
          <w:highlight w:val="none"/>
          <w:lang w:eastAsia="zh-CN"/>
        </w:rPr>
        <w:t>推荐</w:t>
      </w:r>
      <w:r>
        <w:rPr>
          <w:rFonts w:hint="eastAsia" w:hAnsi="宋体"/>
          <w:highlight w:val="none"/>
        </w:rPr>
        <w:t>具有</w:t>
      </w:r>
      <w:r>
        <w:rPr>
          <w:rFonts w:hint="eastAsia" w:ascii="东文宋体" w:hAnsi="东文宋体" w:eastAsia="东文宋体" w:cs="东文宋体"/>
          <w:highlight w:val="none"/>
        </w:rPr>
        <w:t>①</w:t>
      </w:r>
      <w:r>
        <w:rPr>
          <w:rFonts w:hint="eastAsia" w:hAnsi="宋体"/>
          <w:highlight w:val="none"/>
        </w:rPr>
        <w:t>初级（含）以上等级测评师证书</w:t>
      </w:r>
      <w:r>
        <w:rPr>
          <w:rFonts w:hint="eastAsia" w:ascii="东文宋体" w:hAnsi="东文宋体" w:eastAsia="东文宋体" w:cs="东文宋体"/>
          <w:highlight w:val="none"/>
          <w:lang w:eastAsia="zh-CN"/>
        </w:rPr>
        <w:t>②</w:t>
      </w:r>
      <w:r>
        <w:rPr>
          <w:rFonts w:hint="eastAsia" w:hAnsi="宋体"/>
          <w:highlight w:val="none"/>
        </w:rPr>
        <w:t>CISP证书或CCSC证书或CISAW证书或关键信息基础设施安全防护工程师证书</w:t>
      </w:r>
      <w:r>
        <w:rPr>
          <w:rFonts w:hint="eastAsia" w:hAnsi="宋体"/>
          <w:highlight w:val="none"/>
          <w:lang w:eastAsia="zh-CN"/>
        </w:rPr>
        <w:t>。</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东文宋体">
    <w:altName w:val="宋体"/>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华文中宋" w:hAnsi="华文中宋" w:eastAsia="华文中宋" w:cs="华文中宋"/>
        <w:sz w:val="16"/>
        <w:szCs w:val="16"/>
        <w:lang w:val="en-US" w:eastAsia="zh-CN"/>
      </w:rPr>
    </w:pPr>
    <w:r>
      <w:rPr>
        <w:rFonts w:hint="eastAsia"/>
        <w:sz w:val="16"/>
        <w:szCs w:val="16"/>
        <w:lang w:val="en-US" w:eastAsia="zh-CN"/>
      </w:rPr>
      <w:t xml:space="preserve">ZC20260157 </w:t>
    </w:r>
    <w:r>
      <w:rPr>
        <w:rFonts w:hint="eastAsia" w:ascii="华文中宋" w:hAnsi="华文中宋" w:eastAsia="华文中宋" w:cs="华文中宋"/>
        <w:sz w:val="16"/>
        <w:szCs w:val="16"/>
        <w:lang w:val="en-US" w:eastAsia="zh-CN"/>
      </w:rPr>
      <w:t>上海市长宁区公立医院和社区卫生管理中心长宁卫生系统信息安全测评服务竞争性磋商项目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04F0A"/>
    <w:multiLevelType w:val="multilevel"/>
    <w:tmpl w:val="44B04F0A"/>
    <w:lvl w:ilvl="0" w:tentative="0">
      <w:start w:val="1"/>
      <w:numFmt w:val="decimal"/>
      <w:pStyle w:val="21"/>
      <w:lvlText w:val="%1."/>
      <w:lvlJc w:val="left"/>
      <w:pPr>
        <w:ind w:left="425" w:hanging="425"/>
      </w:p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lvlText w:val="%1.%2.%3."/>
      <w:lvlJc w:val="left"/>
      <w:pPr>
        <w:ind w:left="709" w:hanging="709"/>
      </w:pPr>
      <w:rPr>
        <w:rFonts w:hint="default" w:ascii="Times New Roman" w:hAnsi="Times New Roman" w:cs="Times New Roman"/>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07"/>
    <w:rsid w:val="000122A4"/>
    <w:rsid w:val="00034B29"/>
    <w:rsid w:val="00061B65"/>
    <w:rsid w:val="0008451E"/>
    <w:rsid w:val="00085C12"/>
    <w:rsid w:val="000A2692"/>
    <w:rsid w:val="000A3B27"/>
    <w:rsid w:val="000E2A82"/>
    <w:rsid w:val="000F612D"/>
    <w:rsid w:val="0017030B"/>
    <w:rsid w:val="0026286E"/>
    <w:rsid w:val="002E7FDC"/>
    <w:rsid w:val="00303715"/>
    <w:rsid w:val="003640D2"/>
    <w:rsid w:val="003B0103"/>
    <w:rsid w:val="003C1D61"/>
    <w:rsid w:val="003F7B68"/>
    <w:rsid w:val="003F7E8F"/>
    <w:rsid w:val="00404FAE"/>
    <w:rsid w:val="004A5F59"/>
    <w:rsid w:val="004A618C"/>
    <w:rsid w:val="005302BB"/>
    <w:rsid w:val="00575CD3"/>
    <w:rsid w:val="0057654D"/>
    <w:rsid w:val="005A4D5B"/>
    <w:rsid w:val="006116D6"/>
    <w:rsid w:val="00652858"/>
    <w:rsid w:val="00654A2D"/>
    <w:rsid w:val="00655AA8"/>
    <w:rsid w:val="00691B84"/>
    <w:rsid w:val="006A66C5"/>
    <w:rsid w:val="006D4FA1"/>
    <w:rsid w:val="00702355"/>
    <w:rsid w:val="007415AB"/>
    <w:rsid w:val="00753F2E"/>
    <w:rsid w:val="00776CAD"/>
    <w:rsid w:val="007E1996"/>
    <w:rsid w:val="00856E54"/>
    <w:rsid w:val="00862BAA"/>
    <w:rsid w:val="00892807"/>
    <w:rsid w:val="008A5AD6"/>
    <w:rsid w:val="008E6266"/>
    <w:rsid w:val="00905661"/>
    <w:rsid w:val="00925B1A"/>
    <w:rsid w:val="009929A7"/>
    <w:rsid w:val="00994FB9"/>
    <w:rsid w:val="009960DD"/>
    <w:rsid w:val="009A3ED5"/>
    <w:rsid w:val="009D41E9"/>
    <w:rsid w:val="00A42265"/>
    <w:rsid w:val="00A810BC"/>
    <w:rsid w:val="00AB5595"/>
    <w:rsid w:val="00BC6B4B"/>
    <w:rsid w:val="00BE105B"/>
    <w:rsid w:val="00C126D2"/>
    <w:rsid w:val="00C50FD9"/>
    <w:rsid w:val="00C948ED"/>
    <w:rsid w:val="00CB206C"/>
    <w:rsid w:val="00CD0F84"/>
    <w:rsid w:val="00D30C2C"/>
    <w:rsid w:val="00D83FD9"/>
    <w:rsid w:val="00D90966"/>
    <w:rsid w:val="00D94D30"/>
    <w:rsid w:val="00DB46CD"/>
    <w:rsid w:val="00DE1235"/>
    <w:rsid w:val="00E02A6F"/>
    <w:rsid w:val="00E07D29"/>
    <w:rsid w:val="00E267A4"/>
    <w:rsid w:val="00E83804"/>
    <w:rsid w:val="00F11578"/>
    <w:rsid w:val="00F463D1"/>
    <w:rsid w:val="00FC071E"/>
    <w:rsid w:val="00FC356D"/>
    <w:rsid w:val="00FD55F0"/>
    <w:rsid w:val="17462E7F"/>
    <w:rsid w:val="18A5238A"/>
    <w:rsid w:val="19445BF2"/>
    <w:rsid w:val="21C25E09"/>
    <w:rsid w:val="405F6992"/>
    <w:rsid w:val="5B6C7A7B"/>
    <w:rsid w:val="61EF5A7C"/>
    <w:rsid w:val="6A50C9F6"/>
    <w:rsid w:val="6D9729EB"/>
    <w:rsid w:val="6E712B18"/>
    <w:rsid w:val="7EF7852F"/>
    <w:rsid w:val="7F6BA634"/>
    <w:rsid w:val="7FFF5D7C"/>
    <w:rsid w:val="7FFFDEB3"/>
    <w:rsid w:val="AF7FE0EF"/>
    <w:rsid w:val="CFBA5172"/>
    <w:rsid w:val="D75B90F6"/>
    <w:rsid w:val="DC7B6809"/>
    <w:rsid w:val="FB3BC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仿宋_GB2312" w:cs="Times New Roman"/>
      <w:kern w:val="2"/>
      <w:sz w:val="32"/>
      <w:lang w:val="en-US" w:eastAsia="zh-CN" w:bidi="ar-SA"/>
    </w:rPr>
  </w:style>
  <w:style w:type="paragraph" w:styleId="2">
    <w:name w:val="heading 1"/>
    <w:basedOn w:val="1"/>
    <w:next w:val="1"/>
    <w:link w:val="13"/>
    <w:qFormat/>
    <w:uiPriority w:val="0"/>
    <w:pPr>
      <w:keepNext/>
      <w:keepLines/>
      <w:spacing w:before="340" w:after="330" w:line="576" w:lineRule="auto"/>
      <w:outlineLvl w:val="0"/>
    </w:pPr>
    <w:rPr>
      <w:rFonts w:hint="default" w:eastAsia="方正粗黑宋简体"/>
      <w:kern w:val="44"/>
      <w:sz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link w:val="16"/>
    <w:qFormat/>
    <w:uiPriority w:val="0"/>
    <w:pPr>
      <w:ind w:firstLine="420"/>
    </w:pPr>
    <w:rPr>
      <w:rFonts w:hint="default" w:eastAsia="宋体"/>
      <w:sz w:val="21"/>
    </w:rPr>
  </w:style>
  <w:style w:type="paragraph" w:styleId="4">
    <w:name w:val="Body Text"/>
    <w:basedOn w:val="1"/>
    <w:qFormat/>
    <w:uiPriority w:val="1"/>
    <w:rPr>
      <w:rFonts w:ascii="Times New Roman" w:hAnsi="Times New Roman"/>
      <w:sz w:val="24"/>
    </w:rPr>
  </w:style>
  <w:style w:type="paragraph" w:styleId="5">
    <w:name w:val="Body Text Indent"/>
    <w:basedOn w:val="1"/>
    <w:link w:val="18"/>
    <w:semiHidden/>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9"/>
    <w:semiHidden/>
    <w:unhideWhenUsed/>
    <w:qFormat/>
    <w:uiPriority w:val="99"/>
    <w:pPr>
      <w:ind w:firstLine="420" w:firstLineChars="200"/>
    </w:p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character" w:customStyle="1" w:styleId="13">
    <w:name w:val="标题 1 字符"/>
    <w:basedOn w:val="10"/>
    <w:link w:val="2"/>
    <w:qFormat/>
    <w:uiPriority w:val="0"/>
    <w:rPr>
      <w:rFonts w:ascii="Times New Roman" w:hAnsi="Times New Roman" w:eastAsia="方正粗黑宋简体" w:cs="Times New Roman"/>
      <w:kern w:val="44"/>
      <w:sz w:val="44"/>
      <w:szCs w:val="20"/>
    </w:rPr>
  </w:style>
  <w:style w:type="paragraph" w:styleId="14">
    <w:name w:val="List Paragraph"/>
    <w:basedOn w:val="1"/>
    <w:link w:val="20"/>
    <w:qFormat/>
    <w:uiPriority w:val="34"/>
    <w:pPr>
      <w:ind w:firstLine="420" w:firstLineChars="200"/>
    </w:pPr>
    <w:rPr>
      <w:rFonts w:hint="default" w:asciiTheme="minorHAnsi" w:hAnsiTheme="minorHAnsi" w:eastAsiaTheme="minorEastAsia" w:cstheme="minorBidi"/>
      <w:sz w:val="21"/>
      <w:szCs w:val="22"/>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正文缩进 字符"/>
    <w:link w:val="3"/>
    <w:qFormat/>
    <w:uiPriority w:val="0"/>
    <w:rPr>
      <w:rFonts w:ascii="Times New Roman" w:hAnsi="Times New Roman" w:eastAsia="宋体" w:cs="Times New Roman"/>
      <w:szCs w:val="20"/>
    </w:rPr>
  </w:style>
  <w:style w:type="paragraph" w:customStyle="1" w:styleId="17">
    <w:name w:val="国标3级"/>
    <w:basedOn w:val="1"/>
    <w:semiHidden/>
    <w:qFormat/>
    <w:uiPriority w:val="0"/>
    <w:pPr>
      <w:snapToGrid w:val="0"/>
      <w:spacing w:line="312" w:lineRule="exact"/>
    </w:pPr>
    <w:rPr>
      <w:rFonts w:hint="default" w:ascii="宋体" w:hAnsi="宋体" w:eastAsia="宋体"/>
      <w:color w:val="000000"/>
      <w:sz w:val="21"/>
      <w:szCs w:val="22"/>
    </w:rPr>
  </w:style>
  <w:style w:type="character" w:customStyle="1" w:styleId="18">
    <w:name w:val="正文文本缩进 字符"/>
    <w:basedOn w:val="10"/>
    <w:link w:val="5"/>
    <w:semiHidden/>
    <w:qFormat/>
    <w:uiPriority w:val="99"/>
    <w:rPr>
      <w:rFonts w:ascii="Times New Roman" w:hAnsi="Times New Roman" w:eastAsia="仿宋_GB2312" w:cs="Times New Roman"/>
      <w:sz w:val="32"/>
      <w:szCs w:val="20"/>
    </w:rPr>
  </w:style>
  <w:style w:type="character" w:customStyle="1" w:styleId="19">
    <w:name w:val="正文文本首行缩进 2 字符"/>
    <w:basedOn w:val="18"/>
    <w:link w:val="8"/>
    <w:semiHidden/>
    <w:qFormat/>
    <w:uiPriority w:val="99"/>
    <w:rPr>
      <w:rFonts w:ascii="Times New Roman" w:hAnsi="Times New Roman" w:eastAsia="仿宋_GB2312" w:cs="Times New Roman"/>
      <w:sz w:val="32"/>
      <w:szCs w:val="20"/>
    </w:rPr>
  </w:style>
  <w:style w:type="character" w:customStyle="1" w:styleId="20">
    <w:name w:val="列表段落 字符"/>
    <w:link w:val="14"/>
    <w:qFormat/>
    <w:locked/>
    <w:uiPriority w:val="34"/>
  </w:style>
  <w:style w:type="paragraph" w:customStyle="1" w:styleId="21">
    <w:name w:val="1级"/>
    <w:basedOn w:val="1"/>
    <w:next w:val="22"/>
    <w:qFormat/>
    <w:uiPriority w:val="0"/>
    <w:pPr>
      <w:numPr>
        <w:ilvl w:val="0"/>
        <w:numId w:val="1"/>
      </w:numPr>
      <w:spacing w:before="50" w:beforeLines="50" w:after="50" w:afterLines="50" w:line="360" w:lineRule="auto"/>
      <w:outlineLvl w:val="0"/>
    </w:pPr>
    <w:rPr>
      <w:b/>
      <w:sz w:val="24"/>
      <w:szCs w:val="24"/>
    </w:rPr>
  </w:style>
  <w:style w:type="paragraph" w:customStyle="1" w:styleId="22">
    <w:name w:val="0正文"/>
    <w:basedOn w:val="1"/>
    <w:qFormat/>
    <w:uiPriority w:val="0"/>
    <w:pPr>
      <w:spacing w:line="360" w:lineRule="auto"/>
      <w:ind w:firstLine="480" w:firstLineChars="200"/>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50461D-8903-4622-B42F-A59B4B15B84F}">
  <ds:schemaRefs/>
</ds:datastoreItem>
</file>

<file path=docProps/app.xml><?xml version="1.0" encoding="utf-8"?>
<Properties xmlns="http://schemas.openxmlformats.org/officeDocument/2006/extended-properties" xmlns:vt="http://schemas.openxmlformats.org/officeDocument/2006/docPropsVTypes">
  <Template>Normal</Template>
  <Pages>14</Pages>
  <Words>5842</Words>
  <Characters>6266</Characters>
  <Lines>46</Lines>
  <Paragraphs>13</Paragraphs>
  <TotalTime>124</TotalTime>
  <ScaleCrop>false</ScaleCrop>
  <LinksUpToDate>false</LinksUpToDate>
  <CharactersWithSpaces>6317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2026-06-28T05:13:00Z</dcterms:created>
  <dc:creator>user</dc:creator>
  <cp:lastModifiedBy>Administrator</cp:lastModifiedBy>
  <dcterms:modified xsi:type="dcterms:W3CDTF">2026-08-24T07:07:42Z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eyJoZGlkIjoiZjFmZWIzNDg2MmIzZjExOTIzMmViNTBmYTMwYTk0ZWYiLCJ1c2VySWQiOiIxNTUzNjI4NTUwIn0=</vt:lpwstr>
  </property>
  <property fmtid="{D5CDD505-2E9C-101B-9397-08002B2CF9AE}" pid="3" name="KSOProductBuildVer">
    <vt:lpwstr>2052-11.8.2.8555</vt:lpwstr>
  </property>
  <property fmtid="{D5CDD505-2E9C-101B-9397-08002B2CF9AE}" pid="4" name="ICV">
    <vt:lpwstr>D558E481CF1E487794887426AA6C80E4_13</vt:lpwstr>
  </property>
</Properties>
</file>