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28"/>
          <w:szCs w:val="36"/>
        </w:rPr>
      </w:pPr>
      <w:r>
        <w:rPr>
          <w:rFonts w:hint="eastAsia"/>
          <w:b/>
          <w:bCs/>
          <w:sz w:val="28"/>
          <w:szCs w:val="36"/>
        </w:rPr>
        <w:t>上海市同仁医院所需神经肌肉刺激治疗仪公开招标项目</w:t>
      </w:r>
    </w:p>
    <w:p>
      <w:pPr>
        <w:jc w:val="center"/>
        <w:rPr>
          <w:rFonts w:hint="eastAsia" w:eastAsiaTheme="minorEastAsia"/>
          <w:b/>
          <w:bCs/>
          <w:sz w:val="28"/>
          <w:szCs w:val="36"/>
          <w:lang w:eastAsia="zh-CN"/>
        </w:rPr>
      </w:pPr>
      <w:r>
        <w:rPr>
          <w:rFonts w:hint="eastAsia"/>
          <w:b/>
          <w:bCs/>
          <w:sz w:val="28"/>
          <w:szCs w:val="36"/>
          <w:lang w:eastAsia="zh-CN"/>
        </w:rPr>
        <w:t>采购需求文件</w:t>
      </w:r>
    </w:p>
    <w:p>
      <w:pPr>
        <w:spacing w:line="360" w:lineRule="auto"/>
        <w:jc w:val="left"/>
        <w:rPr>
          <w:rFonts w:hint="eastAsia" w:eastAsiaTheme="minorEastAsia"/>
          <w:b/>
          <w:bCs/>
          <w:color w:val="auto"/>
          <w:sz w:val="28"/>
          <w:szCs w:val="36"/>
          <w:lang w:eastAsia="zh-CN"/>
        </w:rPr>
      </w:pPr>
      <w:r>
        <w:rPr>
          <w:rFonts w:hint="eastAsia"/>
          <w:b/>
          <w:bCs/>
          <w:color w:val="auto"/>
          <w:sz w:val="28"/>
          <w:szCs w:val="36"/>
          <w:lang w:eastAsia="zh-CN"/>
        </w:rPr>
        <w:t>一、项目概况</w:t>
      </w:r>
    </w:p>
    <w:p>
      <w:pPr>
        <w:spacing w:line="360" w:lineRule="auto"/>
        <w:ind w:firstLine="480" w:firstLineChars="200"/>
        <w:jc w:val="left"/>
        <w:rPr>
          <w:rFonts w:asciiTheme="minorEastAsia" w:hAnsiTheme="minorEastAsia"/>
          <w:color w:val="auto"/>
          <w:sz w:val="24"/>
          <w:szCs w:val="32"/>
        </w:rPr>
      </w:pPr>
      <w:r>
        <w:rPr>
          <w:rFonts w:hint="eastAsia"/>
          <w:color w:val="auto"/>
          <w:sz w:val="24"/>
          <w:szCs w:val="32"/>
        </w:rPr>
        <w:t>本项目为上海同仁医院武夷路院区康复中心的项目，拟采购神经肌肉刺激治疗仪7台。设备主要用于脑卒中偏瘫、神经损伤及盆底功能障碍等患者的康复治疗，通过电刺激促进神经肌肉功能重建，提升运动功能与生活质量。</w:t>
      </w:r>
    </w:p>
    <w:p>
      <w:pPr>
        <w:spacing w:line="360" w:lineRule="auto"/>
        <w:jc w:val="left"/>
        <w:rPr>
          <w:rFonts w:hint="eastAsia"/>
          <w:b/>
          <w:bCs/>
          <w:color w:val="auto"/>
          <w:sz w:val="28"/>
          <w:szCs w:val="36"/>
          <w:lang w:eastAsia="zh-CN"/>
        </w:rPr>
      </w:pPr>
      <w:r>
        <w:rPr>
          <w:rFonts w:hint="eastAsia"/>
          <w:b/>
          <w:bCs/>
          <w:color w:val="auto"/>
          <w:sz w:val="28"/>
          <w:szCs w:val="36"/>
          <w:lang w:eastAsia="zh-CN"/>
        </w:rPr>
        <w:t>二、采购内容</w:t>
      </w:r>
    </w:p>
    <w:p>
      <w:pPr>
        <w:rPr>
          <w:rStyle w:val="18"/>
          <w:rFonts w:ascii="宋体" w:hAnsi="宋体" w:eastAsia="宋体"/>
          <w:color w:val="FF0000"/>
          <w:sz w:val="24"/>
        </w:rPr>
      </w:pPr>
    </w:p>
    <w:tbl>
      <w:tblPr>
        <w:tblStyle w:val="9"/>
        <w:tblW w:w="8784" w:type="dxa"/>
        <w:jc w:val="center"/>
        <w:tblInd w:w="0" w:type="dxa"/>
        <w:tblLayout w:type="fixed"/>
        <w:tblCellMar>
          <w:top w:w="0" w:type="dxa"/>
          <w:left w:w="0" w:type="dxa"/>
          <w:bottom w:w="0" w:type="dxa"/>
          <w:right w:w="0" w:type="dxa"/>
        </w:tblCellMar>
      </w:tblPr>
      <w:tblGrid>
        <w:gridCol w:w="7740"/>
        <w:gridCol w:w="1044"/>
      </w:tblGrid>
      <w:tr>
        <w:tblPrEx>
          <w:tblLayout w:type="fixed"/>
          <w:tblCellMar>
            <w:top w:w="0" w:type="dxa"/>
            <w:left w:w="0" w:type="dxa"/>
            <w:bottom w:w="0" w:type="dxa"/>
            <w:right w:w="0" w:type="dxa"/>
          </w:tblCellMar>
        </w:tblPrEx>
        <w:trPr>
          <w:trHeight w:val="597" w:hRule="atLeast"/>
          <w:jc w:val="center"/>
        </w:trPr>
        <w:tc>
          <w:tcPr>
            <w:tcW w:w="8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Style w:val="18"/>
                <w:rFonts w:ascii="等线" w:hAnsi="等线" w:eastAsia="等线"/>
                <w:b/>
                <w:kern w:val="0"/>
                <w:sz w:val="44"/>
              </w:rPr>
            </w:pPr>
            <w:r>
              <w:rPr>
                <w:rStyle w:val="18"/>
                <w:rFonts w:ascii="等线" w:hAnsi="等线" w:eastAsia="等线"/>
                <w:b/>
                <w:kern w:val="0"/>
                <w:sz w:val="44"/>
                <w:szCs w:val="44"/>
              </w:rPr>
              <w:t>神经肌肉刺激治疗仪</w:t>
            </w:r>
          </w:p>
          <w:p>
            <w:pPr>
              <w:jc w:val="center"/>
              <w:rPr>
                <w:rStyle w:val="18"/>
                <w:rFonts w:ascii="等线" w:hAnsi="等线" w:eastAsia="等线" w:cs="宋体"/>
                <w:kern w:val="0"/>
                <w:sz w:val="28"/>
                <w:szCs w:val="28"/>
              </w:rPr>
            </w:pPr>
            <w:r>
              <w:rPr>
                <w:rStyle w:val="18"/>
                <w:rFonts w:ascii="等线" w:hAnsi="等线" w:eastAsia="等线"/>
                <w:b/>
                <w:kern w:val="0"/>
                <w:sz w:val="44"/>
                <w:szCs w:val="44"/>
              </w:rPr>
              <w:t>配置清单</w:t>
            </w:r>
          </w:p>
        </w:tc>
      </w:tr>
      <w:tr>
        <w:tblPrEx>
          <w:tblLayout w:type="fixed"/>
          <w:tblCellMar>
            <w:top w:w="0" w:type="dxa"/>
            <w:left w:w="0" w:type="dxa"/>
            <w:bottom w:w="0" w:type="dxa"/>
            <w:right w:w="0" w:type="dxa"/>
          </w:tblCellMar>
        </w:tblPrEx>
        <w:trPr>
          <w:trHeight w:val="597" w:hRule="atLeast"/>
          <w:jc w:val="center"/>
        </w:trPr>
        <w:tc>
          <w:tcPr>
            <w:tcW w:w="77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Style w:val="18"/>
                <w:rFonts w:ascii="等线" w:hAnsi="等线" w:eastAsia="等线" w:cs="宋体"/>
                <w:bCs/>
                <w:kern w:val="0"/>
                <w:sz w:val="28"/>
                <w:szCs w:val="28"/>
              </w:rPr>
            </w:pPr>
            <w:r>
              <w:rPr>
                <w:rStyle w:val="18"/>
                <w:rFonts w:ascii="等线" w:hAnsi="等线" w:eastAsia="等线" w:cs="宋体"/>
                <w:kern w:val="0"/>
                <w:sz w:val="28"/>
                <w:szCs w:val="28"/>
              </w:rPr>
              <w:t>产品名称</w:t>
            </w:r>
          </w:p>
        </w:tc>
        <w:tc>
          <w:tcPr>
            <w:tcW w:w="1044" w:type="dxa"/>
            <w:tcBorders>
              <w:top w:val="single" w:color="000000" w:sz="4" w:space="0"/>
              <w:left w:val="nil"/>
              <w:bottom w:val="single" w:color="000000" w:sz="4" w:space="0"/>
              <w:right w:val="single" w:color="000000" w:sz="4" w:space="0"/>
            </w:tcBorders>
            <w:shd w:val="clear" w:color="auto" w:fill="FFFFFF"/>
            <w:vAlign w:val="center"/>
          </w:tcPr>
          <w:p>
            <w:pPr>
              <w:jc w:val="center"/>
              <w:rPr>
                <w:rStyle w:val="18"/>
                <w:rFonts w:ascii="等线" w:hAnsi="等线" w:eastAsia="等线" w:cs="宋体"/>
                <w:bCs/>
                <w:kern w:val="0"/>
                <w:sz w:val="28"/>
                <w:szCs w:val="28"/>
              </w:rPr>
            </w:pPr>
            <w:r>
              <w:rPr>
                <w:rStyle w:val="18"/>
                <w:rFonts w:ascii="等线" w:hAnsi="等线" w:eastAsia="等线" w:cs="宋体"/>
                <w:kern w:val="0"/>
                <w:sz w:val="28"/>
                <w:szCs w:val="28"/>
              </w:rPr>
              <w:t>数量</w:t>
            </w:r>
          </w:p>
        </w:tc>
      </w:tr>
      <w:tr>
        <w:tblPrEx>
          <w:tblLayout w:type="fixed"/>
          <w:tblCellMar>
            <w:top w:w="0" w:type="dxa"/>
            <w:left w:w="0" w:type="dxa"/>
            <w:bottom w:w="0" w:type="dxa"/>
            <w:right w:w="0" w:type="dxa"/>
          </w:tblCellMar>
        </w:tblPrEx>
        <w:trPr>
          <w:trHeight w:val="439" w:hRule="atLeast"/>
          <w:jc w:val="center"/>
        </w:trPr>
        <w:tc>
          <w:tcPr>
            <w:tcW w:w="7740" w:type="dxa"/>
            <w:tcBorders>
              <w:top w:val="nil"/>
              <w:left w:val="single" w:color="000000" w:sz="4" w:space="0"/>
              <w:bottom w:val="single" w:color="000000" w:sz="4" w:space="0"/>
              <w:right w:val="single" w:color="000000" w:sz="4" w:space="0"/>
            </w:tcBorders>
            <w:shd w:val="clear" w:color="auto" w:fill="FFFFFF"/>
            <w:vAlign w:val="center"/>
          </w:tcPr>
          <w:p>
            <w:pPr>
              <w:jc w:val="left"/>
              <w:rPr>
                <w:rStyle w:val="18"/>
                <w:rFonts w:ascii="等线" w:hAnsi="等线" w:eastAsia="等线"/>
                <w:b/>
                <w:color w:val="auto"/>
                <w:kern w:val="0"/>
                <w:sz w:val="26"/>
                <w:szCs w:val="26"/>
              </w:rPr>
            </w:pPr>
            <w:r>
              <w:rPr>
                <w:rStyle w:val="18"/>
                <w:rFonts w:ascii="等线" w:hAnsi="等线" w:eastAsia="等线"/>
                <w:b/>
                <w:color w:val="auto"/>
                <w:kern w:val="0"/>
                <w:sz w:val="26"/>
                <w:szCs w:val="26"/>
              </w:rPr>
              <w:t>神经肌肉刺激治疗仪（含移动小车）</w:t>
            </w:r>
          </w:p>
        </w:tc>
        <w:tc>
          <w:tcPr>
            <w:tcW w:w="1044" w:type="dxa"/>
            <w:tcBorders>
              <w:top w:val="nil"/>
              <w:left w:val="nil"/>
              <w:bottom w:val="single" w:color="000000" w:sz="4" w:space="0"/>
              <w:right w:val="single" w:color="000000" w:sz="4" w:space="0"/>
            </w:tcBorders>
            <w:shd w:val="clear" w:color="auto" w:fill="FFFFFF"/>
            <w:vAlign w:val="center"/>
          </w:tcPr>
          <w:p>
            <w:pPr>
              <w:jc w:val="center"/>
              <w:rPr>
                <w:rStyle w:val="18"/>
                <w:rFonts w:ascii="等线" w:hAnsi="等线" w:eastAsia="等线"/>
                <w:b/>
                <w:color w:val="auto"/>
                <w:kern w:val="0"/>
                <w:sz w:val="26"/>
                <w:szCs w:val="26"/>
              </w:rPr>
            </w:pPr>
            <w:r>
              <w:rPr>
                <w:rStyle w:val="18"/>
                <w:rFonts w:ascii="等线" w:hAnsi="等线" w:eastAsia="等线"/>
                <w:b/>
                <w:color w:val="auto"/>
                <w:kern w:val="0"/>
                <w:sz w:val="26"/>
                <w:szCs w:val="26"/>
              </w:rPr>
              <w:t>7台</w:t>
            </w:r>
          </w:p>
        </w:tc>
      </w:tr>
      <w:tr>
        <w:tblPrEx>
          <w:tblLayout w:type="fixed"/>
          <w:tblCellMar>
            <w:top w:w="0" w:type="dxa"/>
            <w:left w:w="0" w:type="dxa"/>
            <w:bottom w:w="0" w:type="dxa"/>
            <w:right w:w="0" w:type="dxa"/>
          </w:tblCellMar>
        </w:tblPrEx>
        <w:trPr>
          <w:trHeight w:val="439" w:hRule="atLeast"/>
          <w:jc w:val="center"/>
        </w:trPr>
        <w:tc>
          <w:tcPr>
            <w:tcW w:w="7740" w:type="dxa"/>
            <w:tcBorders>
              <w:top w:val="nil"/>
              <w:left w:val="single" w:color="000000" w:sz="4" w:space="0"/>
              <w:bottom w:val="single" w:color="000000" w:sz="4" w:space="0"/>
              <w:right w:val="single" w:color="000000" w:sz="4" w:space="0"/>
            </w:tcBorders>
            <w:shd w:val="clear" w:color="auto" w:fill="FFFFFF"/>
            <w:vAlign w:val="center"/>
          </w:tcPr>
          <w:p>
            <w:pPr>
              <w:jc w:val="left"/>
              <w:rPr>
                <w:rStyle w:val="18"/>
                <w:rFonts w:ascii="等线" w:hAnsi="等线" w:eastAsia="等线"/>
                <w:b/>
                <w:color w:val="auto"/>
                <w:kern w:val="0"/>
                <w:sz w:val="26"/>
                <w:szCs w:val="26"/>
              </w:rPr>
            </w:pPr>
            <w:r>
              <w:rPr>
                <w:rStyle w:val="18"/>
                <w:rFonts w:ascii="等线" w:hAnsi="等线" w:eastAsia="等线"/>
                <w:b/>
                <w:color w:val="auto"/>
                <w:kern w:val="0"/>
                <w:sz w:val="26"/>
                <w:szCs w:val="26"/>
              </w:rPr>
              <w:t>软件包</w:t>
            </w:r>
            <w:r>
              <w:rPr>
                <w:rStyle w:val="18"/>
                <w:rFonts w:hint="eastAsia" w:ascii="等线" w:hAnsi="等线" w:eastAsia="等线"/>
                <w:b/>
                <w:color w:val="auto"/>
                <w:kern w:val="0"/>
                <w:sz w:val="26"/>
                <w:szCs w:val="26"/>
              </w:rPr>
              <w:t>(</w:t>
            </w:r>
            <w:r>
              <w:rPr>
                <w:rStyle w:val="18"/>
                <w:rFonts w:ascii="等线" w:hAnsi="等线" w:eastAsia="等线"/>
                <w:b/>
                <w:color w:val="auto"/>
                <w:kern w:val="0"/>
                <w:sz w:val="26"/>
                <w:szCs w:val="26"/>
              </w:rPr>
              <w:t>盆底功能个性化治疗系统、</w:t>
            </w:r>
            <w:r>
              <w:rPr>
                <w:rStyle w:val="18"/>
                <w:rFonts w:hint="eastAsia" w:ascii="等线" w:hAnsi="等线" w:eastAsia="等线"/>
                <w:b/>
                <w:color w:val="auto"/>
                <w:kern w:val="0"/>
                <w:sz w:val="26"/>
                <w:szCs w:val="26"/>
              </w:rPr>
              <w:t>治疗工作站软件</w:t>
            </w:r>
            <w:r>
              <w:rPr>
                <w:rStyle w:val="18"/>
                <w:rFonts w:hint="eastAsia" w:ascii="等线" w:hAnsi="等线" w:eastAsia="等线"/>
                <w:b/>
                <w:color w:val="auto"/>
                <w:kern w:val="0"/>
                <w:sz w:val="26"/>
                <w:szCs w:val="26"/>
                <w:lang w:val="en-US" w:eastAsia="zh-CN"/>
              </w:rPr>
              <w:t>V1.0</w:t>
            </w:r>
            <w:r>
              <w:rPr>
                <w:rStyle w:val="18"/>
                <w:rFonts w:hint="eastAsia" w:ascii="等线" w:hAnsi="等线" w:eastAsia="等线"/>
                <w:b/>
                <w:color w:val="auto"/>
                <w:kern w:val="0"/>
                <w:sz w:val="26"/>
                <w:szCs w:val="26"/>
              </w:rPr>
              <w:t>)</w:t>
            </w:r>
          </w:p>
        </w:tc>
        <w:tc>
          <w:tcPr>
            <w:tcW w:w="1044" w:type="dxa"/>
            <w:tcBorders>
              <w:top w:val="nil"/>
              <w:left w:val="nil"/>
              <w:bottom w:val="single" w:color="000000" w:sz="4" w:space="0"/>
              <w:right w:val="single" w:color="000000" w:sz="4" w:space="0"/>
            </w:tcBorders>
            <w:shd w:val="clear" w:color="auto" w:fill="FFFFFF"/>
            <w:vAlign w:val="center"/>
          </w:tcPr>
          <w:p>
            <w:pPr>
              <w:jc w:val="center"/>
              <w:rPr>
                <w:rStyle w:val="18"/>
                <w:rFonts w:ascii="等线" w:hAnsi="等线" w:eastAsia="等线"/>
                <w:b/>
                <w:color w:val="auto"/>
                <w:kern w:val="0"/>
                <w:sz w:val="26"/>
                <w:szCs w:val="26"/>
              </w:rPr>
            </w:pPr>
            <w:r>
              <w:rPr>
                <w:rStyle w:val="18"/>
                <w:rFonts w:ascii="等线" w:hAnsi="等线" w:eastAsia="等线"/>
                <w:b/>
                <w:color w:val="auto"/>
                <w:kern w:val="0"/>
                <w:sz w:val="26"/>
                <w:szCs w:val="26"/>
              </w:rPr>
              <w:t>7套</w:t>
            </w:r>
          </w:p>
        </w:tc>
      </w:tr>
      <w:tr>
        <w:tblPrEx>
          <w:tblLayout w:type="fixed"/>
          <w:tblCellMar>
            <w:top w:w="0" w:type="dxa"/>
            <w:left w:w="0" w:type="dxa"/>
            <w:bottom w:w="0" w:type="dxa"/>
            <w:right w:w="0" w:type="dxa"/>
          </w:tblCellMar>
        </w:tblPrEx>
        <w:trPr>
          <w:trHeight w:val="439" w:hRule="atLeast"/>
          <w:jc w:val="center"/>
        </w:trPr>
        <w:tc>
          <w:tcPr>
            <w:tcW w:w="7740" w:type="dxa"/>
            <w:tcBorders>
              <w:top w:val="nil"/>
              <w:left w:val="single" w:color="000000" w:sz="4" w:space="0"/>
              <w:bottom w:val="single" w:color="000000" w:sz="4" w:space="0"/>
              <w:right w:val="single" w:color="000000" w:sz="4" w:space="0"/>
            </w:tcBorders>
            <w:shd w:val="clear" w:color="auto" w:fill="FFFFFF"/>
            <w:vAlign w:val="center"/>
          </w:tcPr>
          <w:p>
            <w:pPr>
              <w:jc w:val="left"/>
              <w:rPr>
                <w:rStyle w:val="18"/>
                <w:rFonts w:ascii="等线" w:hAnsi="等线" w:eastAsia="等线"/>
                <w:b/>
                <w:color w:val="auto"/>
                <w:kern w:val="0"/>
                <w:sz w:val="26"/>
                <w:szCs w:val="26"/>
              </w:rPr>
            </w:pPr>
            <w:r>
              <w:rPr>
                <w:rStyle w:val="18"/>
                <w:rFonts w:ascii="等线" w:hAnsi="等线" w:eastAsia="等线"/>
                <w:b/>
                <w:color w:val="auto"/>
                <w:kern w:val="0"/>
                <w:sz w:val="26"/>
                <w:szCs w:val="26"/>
              </w:rPr>
              <w:t>电源适配器</w:t>
            </w:r>
          </w:p>
        </w:tc>
        <w:tc>
          <w:tcPr>
            <w:tcW w:w="1044" w:type="dxa"/>
            <w:tcBorders>
              <w:top w:val="nil"/>
              <w:left w:val="nil"/>
              <w:bottom w:val="single" w:color="000000" w:sz="4" w:space="0"/>
              <w:right w:val="single" w:color="000000" w:sz="4" w:space="0"/>
            </w:tcBorders>
            <w:shd w:val="clear" w:color="auto" w:fill="FFFFFF"/>
            <w:vAlign w:val="center"/>
          </w:tcPr>
          <w:p>
            <w:pPr>
              <w:jc w:val="center"/>
              <w:rPr>
                <w:rStyle w:val="18"/>
                <w:rFonts w:ascii="等线" w:hAnsi="等线" w:eastAsia="等线"/>
                <w:b/>
                <w:color w:val="auto"/>
                <w:kern w:val="0"/>
                <w:sz w:val="26"/>
                <w:szCs w:val="26"/>
              </w:rPr>
            </w:pPr>
            <w:r>
              <w:rPr>
                <w:rStyle w:val="18"/>
                <w:rFonts w:ascii="等线" w:hAnsi="等线" w:eastAsia="等线"/>
                <w:b/>
                <w:color w:val="auto"/>
                <w:kern w:val="0"/>
                <w:sz w:val="26"/>
                <w:szCs w:val="26"/>
              </w:rPr>
              <w:t>7个</w:t>
            </w:r>
          </w:p>
        </w:tc>
      </w:tr>
      <w:tr>
        <w:tblPrEx>
          <w:tblLayout w:type="fixed"/>
          <w:tblCellMar>
            <w:top w:w="0" w:type="dxa"/>
            <w:left w:w="0" w:type="dxa"/>
            <w:bottom w:w="0" w:type="dxa"/>
            <w:right w:w="0" w:type="dxa"/>
          </w:tblCellMar>
        </w:tblPrEx>
        <w:trPr>
          <w:trHeight w:val="439" w:hRule="atLeast"/>
          <w:jc w:val="center"/>
        </w:trPr>
        <w:tc>
          <w:tcPr>
            <w:tcW w:w="7740" w:type="dxa"/>
            <w:tcBorders>
              <w:top w:val="nil"/>
              <w:left w:val="single" w:color="000000" w:sz="4" w:space="0"/>
              <w:bottom w:val="single" w:color="000000" w:sz="4" w:space="0"/>
              <w:right w:val="single" w:color="000000" w:sz="4" w:space="0"/>
            </w:tcBorders>
            <w:shd w:val="clear" w:color="auto" w:fill="FFFFFF"/>
            <w:vAlign w:val="center"/>
          </w:tcPr>
          <w:p>
            <w:pPr>
              <w:jc w:val="left"/>
              <w:rPr>
                <w:rStyle w:val="18"/>
                <w:rFonts w:ascii="等线" w:hAnsi="等线" w:eastAsia="等线"/>
                <w:b/>
                <w:color w:val="auto"/>
                <w:kern w:val="0"/>
                <w:sz w:val="26"/>
                <w:szCs w:val="26"/>
              </w:rPr>
            </w:pPr>
            <w:r>
              <w:rPr>
                <w:rStyle w:val="18"/>
                <w:rFonts w:ascii="等线" w:hAnsi="等线" w:eastAsia="等线"/>
                <w:b/>
                <w:color w:val="auto"/>
                <w:kern w:val="0"/>
                <w:sz w:val="26"/>
                <w:szCs w:val="26"/>
              </w:rPr>
              <w:t>电源线</w:t>
            </w:r>
          </w:p>
        </w:tc>
        <w:tc>
          <w:tcPr>
            <w:tcW w:w="1044" w:type="dxa"/>
            <w:tcBorders>
              <w:top w:val="nil"/>
              <w:left w:val="nil"/>
              <w:bottom w:val="single" w:color="000000" w:sz="4" w:space="0"/>
              <w:right w:val="single" w:color="000000" w:sz="4" w:space="0"/>
            </w:tcBorders>
            <w:shd w:val="clear" w:color="auto" w:fill="FFFFFF"/>
            <w:vAlign w:val="center"/>
          </w:tcPr>
          <w:p>
            <w:pPr>
              <w:jc w:val="center"/>
              <w:rPr>
                <w:rStyle w:val="18"/>
                <w:rFonts w:ascii="等线" w:hAnsi="等线" w:eastAsia="等线"/>
                <w:b/>
                <w:color w:val="auto"/>
                <w:kern w:val="0"/>
                <w:sz w:val="26"/>
                <w:szCs w:val="26"/>
              </w:rPr>
            </w:pPr>
            <w:r>
              <w:rPr>
                <w:rStyle w:val="18"/>
                <w:rFonts w:ascii="等线" w:hAnsi="等线" w:eastAsia="等线"/>
                <w:b/>
                <w:color w:val="auto"/>
                <w:kern w:val="0"/>
                <w:sz w:val="26"/>
                <w:szCs w:val="26"/>
              </w:rPr>
              <w:t>7条</w:t>
            </w:r>
          </w:p>
        </w:tc>
      </w:tr>
      <w:tr>
        <w:tblPrEx>
          <w:tblLayout w:type="fixed"/>
          <w:tblCellMar>
            <w:top w:w="0" w:type="dxa"/>
            <w:left w:w="0" w:type="dxa"/>
            <w:bottom w:w="0" w:type="dxa"/>
            <w:right w:w="0" w:type="dxa"/>
          </w:tblCellMar>
        </w:tblPrEx>
        <w:trPr>
          <w:trHeight w:val="439" w:hRule="atLeast"/>
          <w:jc w:val="center"/>
        </w:trPr>
        <w:tc>
          <w:tcPr>
            <w:tcW w:w="7740" w:type="dxa"/>
            <w:tcBorders>
              <w:top w:val="nil"/>
              <w:left w:val="single" w:color="000000" w:sz="4" w:space="0"/>
              <w:bottom w:val="single" w:color="000000" w:sz="4" w:space="0"/>
              <w:right w:val="single" w:color="000000" w:sz="4" w:space="0"/>
            </w:tcBorders>
            <w:shd w:val="clear" w:color="auto" w:fill="FFFFFF"/>
            <w:vAlign w:val="center"/>
          </w:tcPr>
          <w:p>
            <w:pPr>
              <w:jc w:val="left"/>
              <w:rPr>
                <w:rStyle w:val="18"/>
                <w:rFonts w:ascii="等线" w:hAnsi="等线" w:eastAsia="等线"/>
                <w:b/>
                <w:color w:val="auto"/>
                <w:kern w:val="0"/>
                <w:sz w:val="26"/>
                <w:szCs w:val="26"/>
              </w:rPr>
            </w:pPr>
            <w:r>
              <w:rPr>
                <w:rStyle w:val="18"/>
                <w:rFonts w:ascii="等线" w:hAnsi="等线" w:eastAsia="等线"/>
                <w:b/>
                <w:color w:val="auto"/>
                <w:kern w:val="0"/>
                <w:sz w:val="26"/>
                <w:szCs w:val="26"/>
              </w:rPr>
              <w:t>输出电缆线</w:t>
            </w:r>
          </w:p>
        </w:tc>
        <w:tc>
          <w:tcPr>
            <w:tcW w:w="1044" w:type="dxa"/>
            <w:tcBorders>
              <w:top w:val="nil"/>
              <w:left w:val="nil"/>
              <w:bottom w:val="single" w:color="000000" w:sz="4" w:space="0"/>
              <w:right w:val="single" w:color="000000" w:sz="4" w:space="0"/>
            </w:tcBorders>
            <w:shd w:val="clear" w:color="auto" w:fill="FFFFFF"/>
            <w:vAlign w:val="center"/>
          </w:tcPr>
          <w:p>
            <w:pPr>
              <w:jc w:val="center"/>
              <w:rPr>
                <w:rStyle w:val="18"/>
                <w:rFonts w:ascii="等线" w:hAnsi="等线" w:eastAsia="等线"/>
                <w:b/>
                <w:color w:val="auto"/>
                <w:kern w:val="0"/>
                <w:sz w:val="26"/>
                <w:szCs w:val="26"/>
              </w:rPr>
            </w:pPr>
            <w:r>
              <w:rPr>
                <w:rStyle w:val="18"/>
                <w:rFonts w:ascii="等线" w:hAnsi="等线" w:eastAsia="等线"/>
                <w:b/>
                <w:color w:val="auto"/>
                <w:kern w:val="0"/>
                <w:sz w:val="26"/>
                <w:szCs w:val="26"/>
              </w:rPr>
              <w:t>14条</w:t>
            </w:r>
          </w:p>
        </w:tc>
      </w:tr>
      <w:tr>
        <w:tblPrEx>
          <w:tblLayout w:type="fixed"/>
          <w:tblCellMar>
            <w:top w:w="0" w:type="dxa"/>
            <w:left w:w="0" w:type="dxa"/>
            <w:bottom w:w="0" w:type="dxa"/>
            <w:right w:w="0" w:type="dxa"/>
          </w:tblCellMar>
        </w:tblPrEx>
        <w:trPr>
          <w:trHeight w:val="439" w:hRule="atLeast"/>
          <w:jc w:val="center"/>
        </w:trPr>
        <w:tc>
          <w:tcPr>
            <w:tcW w:w="7740" w:type="dxa"/>
            <w:tcBorders>
              <w:top w:val="nil"/>
              <w:left w:val="single" w:color="000000" w:sz="4" w:space="0"/>
              <w:bottom w:val="single" w:color="000000" w:sz="4" w:space="0"/>
              <w:right w:val="single" w:color="000000" w:sz="4" w:space="0"/>
            </w:tcBorders>
            <w:shd w:val="clear" w:color="auto" w:fill="FFFFFF"/>
            <w:vAlign w:val="center"/>
          </w:tcPr>
          <w:p>
            <w:pPr>
              <w:jc w:val="left"/>
              <w:rPr>
                <w:rStyle w:val="18"/>
                <w:rFonts w:ascii="等线" w:hAnsi="等线" w:eastAsia="等线"/>
                <w:b/>
                <w:color w:val="auto"/>
                <w:kern w:val="0"/>
                <w:sz w:val="26"/>
                <w:szCs w:val="26"/>
              </w:rPr>
            </w:pPr>
            <w:r>
              <w:rPr>
                <w:rStyle w:val="18"/>
                <w:rFonts w:ascii="等线" w:hAnsi="等线" w:eastAsia="等线"/>
                <w:b/>
                <w:color w:val="auto"/>
                <w:kern w:val="0"/>
                <w:sz w:val="26"/>
                <w:szCs w:val="26"/>
              </w:rPr>
              <w:t>压力传感器</w:t>
            </w:r>
          </w:p>
        </w:tc>
        <w:tc>
          <w:tcPr>
            <w:tcW w:w="1044" w:type="dxa"/>
            <w:tcBorders>
              <w:top w:val="nil"/>
              <w:left w:val="nil"/>
              <w:bottom w:val="single" w:color="000000" w:sz="4" w:space="0"/>
              <w:right w:val="single" w:color="000000" w:sz="4" w:space="0"/>
            </w:tcBorders>
            <w:shd w:val="clear" w:color="auto" w:fill="FFFFFF"/>
            <w:vAlign w:val="center"/>
          </w:tcPr>
          <w:p>
            <w:pPr>
              <w:jc w:val="center"/>
              <w:rPr>
                <w:rStyle w:val="18"/>
                <w:rFonts w:ascii="等线" w:hAnsi="等线" w:eastAsia="等线"/>
                <w:b/>
                <w:color w:val="auto"/>
                <w:kern w:val="0"/>
                <w:sz w:val="26"/>
                <w:szCs w:val="26"/>
              </w:rPr>
            </w:pPr>
            <w:r>
              <w:rPr>
                <w:rStyle w:val="18"/>
                <w:rFonts w:ascii="等线" w:hAnsi="等线" w:eastAsia="等线"/>
                <w:b/>
                <w:color w:val="auto"/>
                <w:kern w:val="0"/>
                <w:sz w:val="26"/>
                <w:szCs w:val="26"/>
              </w:rPr>
              <w:t>7套</w:t>
            </w:r>
          </w:p>
        </w:tc>
      </w:tr>
      <w:tr>
        <w:tblPrEx>
          <w:tblLayout w:type="fixed"/>
          <w:tblCellMar>
            <w:top w:w="0" w:type="dxa"/>
            <w:left w:w="0" w:type="dxa"/>
            <w:bottom w:w="0" w:type="dxa"/>
            <w:right w:w="0" w:type="dxa"/>
          </w:tblCellMar>
        </w:tblPrEx>
        <w:trPr>
          <w:trHeight w:val="439" w:hRule="atLeast"/>
          <w:jc w:val="center"/>
        </w:trPr>
        <w:tc>
          <w:tcPr>
            <w:tcW w:w="7740" w:type="dxa"/>
            <w:tcBorders>
              <w:top w:val="nil"/>
              <w:left w:val="single" w:color="000000" w:sz="4" w:space="0"/>
              <w:bottom w:val="single" w:color="000000" w:sz="4" w:space="0"/>
              <w:right w:val="single" w:color="000000" w:sz="4" w:space="0"/>
            </w:tcBorders>
            <w:shd w:val="clear" w:color="auto" w:fill="FFFFFF"/>
            <w:vAlign w:val="center"/>
          </w:tcPr>
          <w:p>
            <w:pPr>
              <w:jc w:val="left"/>
              <w:rPr>
                <w:rStyle w:val="18"/>
                <w:rFonts w:ascii="等线" w:hAnsi="等线" w:eastAsia="等线"/>
                <w:b/>
                <w:color w:val="auto"/>
                <w:kern w:val="0"/>
                <w:sz w:val="26"/>
                <w:szCs w:val="26"/>
              </w:rPr>
            </w:pPr>
            <w:r>
              <w:rPr>
                <w:rStyle w:val="18"/>
                <w:rFonts w:ascii="等线" w:hAnsi="等线" w:eastAsia="等线"/>
                <w:b/>
                <w:color w:val="auto"/>
                <w:kern w:val="0"/>
                <w:sz w:val="26"/>
                <w:szCs w:val="26"/>
              </w:rPr>
              <w:t>导联线</w:t>
            </w:r>
          </w:p>
        </w:tc>
        <w:tc>
          <w:tcPr>
            <w:tcW w:w="1044" w:type="dxa"/>
            <w:tcBorders>
              <w:top w:val="nil"/>
              <w:left w:val="nil"/>
              <w:bottom w:val="single" w:color="000000" w:sz="4" w:space="0"/>
              <w:right w:val="single" w:color="000000" w:sz="4" w:space="0"/>
            </w:tcBorders>
            <w:shd w:val="clear" w:color="auto" w:fill="FFFFFF"/>
            <w:vAlign w:val="center"/>
          </w:tcPr>
          <w:p>
            <w:pPr>
              <w:jc w:val="center"/>
              <w:rPr>
                <w:rStyle w:val="18"/>
                <w:rFonts w:ascii="等线" w:hAnsi="等线" w:eastAsia="等线"/>
                <w:b/>
                <w:color w:val="auto"/>
                <w:kern w:val="0"/>
                <w:sz w:val="26"/>
                <w:szCs w:val="26"/>
              </w:rPr>
            </w:pPr>
            <w:r>
              <w:rPr>
                <w:rStyle w:val="18"/>
                <w:rFonts w:ascii="等线" w:hAnsi="等线" w:eastAsia="等线"/>
                <w:b/>
                <w:color w:val="auto"/>
                <w:kern w:val="0"/>
                <w:sz w:val="26"/>
                <w:szCs w:val="26"/>
              </w:rPr>
              <w:t>63条</w:t>
            </w:r>
          </w:p>
        </w:tc>
      </w:tr>
      <w:tr>
        <w:tblPrEx>
          <w:tblLayout w:type="fixed"/>
          <w:tblCellMar>
            <w:top w:w="0" w:type="dxa"/>
            <w:left w:w="0" w:type="dxa"/>
            <w:bottom w:w="0" w:type="dxa"/>
            <w:right w:w="0" w:type="dxa"/>
          </w:tblCellMar>
        </w:tblPrEx>
        <w:trPr>
          <w:trHeight w:val="439" w:hRule="atLeast"/>
          <w:jc w:val="center"/>
        </w:trPr>
        <w:tc>
          <w:tcPr>
            <w:tcW w:w="7740" w:type="dxa"/>
            <w:tcBorders>
              <w:top w:val="nil"/>
              <w:left w:val="single" w:color="000000" w:sz="4" w:space="0"/>
              <w:bottom w:val="single" w:color="000000" w:sz="4" w:space="0"/>
              <w:right w:val="single" w:color="000000" w:sz="4" w:space="0"/>
            </w:tcBorders>
            <w:shd w:val="clear" w:color="auto" w:fill="FFFFFF"/>
            <w:vAlign w:val="center"/>
          </w:tcPr>
          <w:p>
            <w:pPr>
              <w:jc w:val="left"/>
              <w:rPr>
                <w:rStyle w:val="18"/>
                <w:rFonts w:ascii="等线" w:hAnsi="等线" w:eastAsia="等线"/>
                <w:b/>
                <w:color w:val="auto"/>
                <w:kern w:val="0"/>
                <w:sz w:val="26"/>
                <w:szCs w:val="26"/>
              </w:rPr>
            </w:pPr>
            <w:r>
              <w:rPr>
                <w:rStyle w:val="18"/>
                <w:rFonts w:ascii="等线" w:hAnsi="等线" w:eastAsia="等线"/>
                <w:b/>
                <w:color w:val="auto"/>
                <w:kern w:val="0"/>
                <w:sz w:val="26"/>
                <w:szCs w:val="26"/>
              </w:rPr>
              <w:t>USB线</w:t>
            </w:r>
          </w:p>
        </w:tc>
        <w:tc>
          <w:tcPr>
            <w:tcW w:w="1044" w:type="dxa"/>
            <w:tcBorders>
              <w:top w:val="nil"/>
              <w:left w:val="nil"/>
              <w:bottom w:val="single" w:color="000000" w:sz="4" w:space="0"/>
              <w:right w:val="single" w:color="000000" w:sz="4" w:space="0"/>
            </w:tcBorders>
            <w:shd w:val="clear" w:color="auto" w:fill="FFFFFF"/>
            <w:vAlign w:val="center"/>
          </w:tcPr>
          <w:p>
            <w:pPr>
              <w:jc w:val="center"/>
              <w:rPr>
                <w:rStyle w:val="18"/>
                <w:rFonts w:ascii="等线" w:hAnsi="等线" w:eastAsia="等线"/>
                <w:b/>
                <w:color w:val="auto"/>
                <w:kern w:val="0"/>
                <w:sz w:val="26"/>
                <w:szCs w:val="26"/>
              </w:rPr>
            </w:pPr>
            <w:r>
              <w:rPr>
                <w:rStyle w:val="18"/>
                <w:rFonts w:ascii="等线" w:hAnsi="等线" w:eastAsia="等线"/>
                <w:b/>
                <w:color w:val="auto"/>
                <w:kern w:val="0"/>
                <w:sz w:val="26"/>
                <w:szCs w:val="26"/>
              </w:rPr>
              <w:t>7条</w:t>
            </w:r>
          </w:p>
        </w:tc>
      </w:tr>
      <w:tr>
        <w:tblPrEx>
          <w:tblLayout w:type="fixed"/>
          <w:tblCellMar>
            <w:top w:w="0" w:type="dxa"/>
            <w:left w:w="0" w:type="dxa"/>
            <w:bottom w:w="0" w:type="dxa"/>
            <w:right w:w="0" w:type="dxa"/>
          </w:tblCellMar>
        </w:tblPrEx>
        <w:trPr>
          <w:trHeight w:val="439" w:hRule="atLeast"/>
          <w:jc w:val="center"/>
        </w:trPr>
        <w:tc>
          <w:tcPr>
            <w:tcW w:w="7740" w:type="dxa"/>
            <w:tcBorders>
              <w:top w:val="nil"/>
              <w:left w:val="single" w:color="000000" w:sz="4" w:space="0"/>
              <w:bottom w:val="single" w:color="000000" w:sz="4" w:space="0"/>
              <w:right w:val="single" w:color="000000" w:sz="4" w:space="0"/>
            </w:tcBorders>
            <w:shd w:val="clear" w:color="auto" w:fill="FFFFFF"/>
            <w:vAlign w:val="center"/>
          </w:tcPr>
          <w:p>
            <w:pPr>
              <w:jc w:val="left"/>
              <w:rPr>
                <w:rStyle w:val="18"/>
                <w:rFonts w:ascii="等线" w:hAnsi="等线" w:eastAsia="等线"/>
                <w:b/>
                <w:color w:val="auto"/>
                <w:kern w:val="0"/>
                <w:sz w:val="26"/>
                <w:szCs w:val="26"/>
              </w:rPr>
            </w:pPr>
            <w:r>
              <w:rPr>
                <w:rStyle w:val="18"/>
                <w:rFonts w:ascii="等线" w:hAnsi="等线" w:eastAsia="等线"/>
                <w:b/>
                <w:color w:val="auto"/>
                <w:kern w:val="0"/>
                <w:sz w:val="26"/>
                <w:szCs w:val="26"/>
              </w:rPr>
              <w:t>神经肌肉刺激治疗仪使用手册</w:t>
            </w:r>
          </w:p>
        </w:tc>
        <w:tc>
          <w:tcPr>
            <w:tcW w:w="1044" w:type="dxa"/>
            <w:tcBorders>
              <w:top w:val="nil"/>
              <w:left w:val="nil"/>
              <w:bottom w:val="single" w:color="000000" w:sz="4" w:space="0"/>
              <w:right w:val="single" w:color="000000" w:sz="4" w:space="0"/>
            </w:tcBorders>
            <w:shd w:val="clear" w:color="auto" w:fill="FFFFFF"/>
            <w:vAlign w:val="center"/>
          </w:tcPr>
          <w:p>
            <w:pPr>
              <w:jc w:val="center"/>
              <w:rPr>
                <w:rStyle w:val="18"/>
                <w:rFonts w:ascii="等线" w:hAnsi="等线" w:eastAsia="等线"/>
                <w:b/>
                <w:color w:val="auto"/>
                <w:kern w:val="0"/>
                <w:sz w:val="26"/>
                <w:szCs w:val="26"/>
              </w:rPr>
            </w:pPr>
            <w:r>
              <w:rPr>
                <w:rStyle w:val="18"/>
                <w:rFonts w:ascii="等线" w:hAnsi="等线" w:eastAsia="等线"/>
                <w:b/>
                <w:color w:val="auto"/>
                <w:kern w:val="0"/>
                <w:sz w:val="26"/>
                <w:szCs w:val="26"/>
              </w:rPr>
              <w:t>7本</w:t>
            </w:r>
          </w:p>
        </w:tc>
      </w:tr>
      <w:tr>
        <w:tblPrEx>
          <w:tblLayout w:type="fixed"/>
          <w:tblCellMar>
            <w:top w:w="0" w:type="dxa"/>
            <w:left w:w="0" w:type="dxa"/>
            <w:bottom w:w="0" w:type="dxa"/>
            <w:right w:w="0" w:type="dxa"/>
          </w:tblCellMar>
        </w:tblPrEx>
        <w:trPr>
          <w:trHeight w:val="439" w:hRule="atLeast"/>
          <w:jc w:val="center"/>
        </w:trPr>
        <w:tc>
          <w:tcPr>
            <w:tcW w:w="7740" w:type="dxa"/>
            <w:tcBorders>
              <w:top w:val="nil"/>
              <w:left w:val="single" w:color="000000" w:sz="4" w:space="0"/>
              <w:bottom w:val="single" w:color="000000" w:sz="4" w:space="0"/>
              <w:right w:val="single" w:color="000000" w:sz="4" w:space="0"/>
            </w:tcBorders>
            <w:shd w:val="clear" w:color="auto" w:fill="FFFFFF"/>
            <w:vAlign w:val="center"/>
          </w:tcPr>
          <w:p>
            <w:pPr>
              <w:jc w:val="left"/>
              <w:rPr>
                <w:rStyle w:val="18"/>
                <w:rFonts w:ascii="等线" w:hAnsi="等线" w:eastAsia="等线"/>
                <w:b/>
                <w:color w:val="auto"/>
                <w:kern w:val="0"/>
                <w:sz w:val="26"/>
                <w:szCs w:val="26"/>
              </w:rPr>
            </w:pPr>
            <w:r>
              <w:rPr>
                <w:rStyle w:val="18"/>
                <w:rFonts w:ascii="等线" w:hAnsi="等线" w:eastAsia="等线"/>
                <w:b/>
                <w:color w:val="auto"/>
                <w:kern w:val="0"/>
                <w:sz w:val="26"/>
                <w:szCs w:val="26"/>
              </w:rPr>
              <w:t>计算机</w:t>
            </w:r>
          </w:p>
        </w:tc>
        <w:tc>
          <w:tcPr>
            <w:tcW w:w="1044" w:type="dxa"/>
            <w:tcBorders>
              <w:top w:val="nil"/>
              <w:left w:val="nil"/>
              <w:bottom w:val="single" w:color="000000" w:sz="4" w:space="0"/>
              <w:right w:val="single" w:color="000000" w:sz="4" w:space="0"/>
            </w:tcBorders>
            <w:shd w:val="clear" w:color="auto" w:fill="FFFFFF"/>
            <w:vAlign w:val="center"/>
          </w:tcPr>
          <w:p>
            <w:pPr>
              <w:jc w:val="center"/>
              <w:rPr>
                <w:rStyle w:val="18"/>
                <w:rFonts w:ascii="等线" w:hAnsi="等线" w:eastAsia="等线"/>
                <w:b/>
                <w:color w:val="auto"/>
                <w:kern w:val="0"/>
                <w:sz w:val="26"/>
                <w:szCs w:val="26"/>
              </w:rPr>
            </w:pPr>
            <w:r>
              <w:rPr>
                <w:rStyle w:val="18"/>
                <w:rFonts w:ascii="等线" w:hAnsi="等线" w:eastAsia="等线"/>
                <w:b/>
                <w:color w:val="auto"/>
                <w:kern w:val="0"/>
                <w:sz w:val="26"/>
                <w:szCs w:val="26"/>
              </w:rPr>
              <w:t>7台</w:t>
            </w:r>
          </w:p>
        </w:tc>
      </w:tr>
      <w:tr>
        <w:tblPrEx>
          <w:tblLayout w:type="fixed"/>
          <w:tblCellMar>
            <w:top w:w="0" w:type="dxa"/>
            <w:left w:w="0" w:type="dxa"/>
            <w:bottom w:w="0" w:type="dxa"/>
            <w:right w:w="0" w:type="dxa"/>
          </w:tblCellMar>
        </w:tblPrEx>
        <w:trPr>
          <w:trHeight w:val="439" w:hRule="atLeast"/>
          <w:jc w:val="center"/>
        </w:trPr>
        <w:tc>
          <w:tcPr>
            <w:tcW w:w="7740" w:type="dxa"/>
            <w:tcBorders>
              <w:top w:val="nil"/>
              <w:left w:val="single" w:color="000000" w:sz="4" w:space="0"/>
              <w:bottom w:val="single" w:color="000000" w:sz="4" w:space="0"/>
              <w:right w:val="single" w:color="000000" w:sz="4" w:space="0"/>
            </w:tcBorders>
            <w:shd w:val="clear" w:color="auto" w:fill="FFFFFF"/>
            <w:vAlign w:val="center"/>
          </w:tcPr>
          <w:p>
            <w:pPr>
              <w:jc w:val="left"/>
              <w:rPr>
                <w:rStyle w:val="18"/>
                <w:rFonts w:ascii="等线" w:hAnsi="等线" w:eastAsia="等线"/>
                <w:b/>
                <w:color w:val="auto"/>
                <w:kern w:val="0"/>
                <w:sz w:val="26"/>
                <w:szCs w:val="26"/>
              </w:rPr>
            </w:pPr>
            <w:r>
              <w:rPr>
                <w:rStyle w:val="18"/>
                <w:rFonts w:hint="eastAsia" w:ascii="等线" w:hAnsi="等线" w:eastAsia="等线"/>
                <w:b/>
                <w:color w:val="auto"/>
                <w:kern w:val="0"/>
                <w:sz w:val="26"/>
                <w:szCs w:val="26"/>
              </w:rPr>
              <w:t>音响</w:t>
            </w:r>
          </w:p>
        </w:tc>
        <w:tc>
          <w:tcPr>
            <w:tcW w:w="1044" w:type="dxa"/>
            <w:tcBorders>
              <w:top w:val="nil"/>
              <w:left w:val="nil"/>
              <w:bottom w:val="single" w:color="000000" w:sz="4" w:space="0"/>
              <w:right w:val="single" w:color="000000" w:sz="4" w:space="0"/>
            </w:tcBorders>
            <w:shd w:val="clear" w:color="auto" w:fill="FFFFFF"/>
            <w:vAlign w:val="center"/>
          </w:tcPr>
          <w:p>
            <w:pPr>
              <w:jc w:val="center"/>
              <w:rPr>
                <w:rStyle w:val="18"/>
                <w:rFonts w:ascii="等线" w:hAnsi="等线" w:eastAsia="等线"/>
                <w:b/>
                <w:color w:val="auto"/>
                <w:kern w:val="0"/>
                <w:sz w:val="26"/>
                <w:szCs w:val="26"/>
              </w:rPr>
            </w:pPr>
            <w:r>
              <w:rPr>
                <w:rStyle w:val="18"/>
                <w:rFonts w:ascii="等线" w:hAnsi="等线" w:eastAsia="等线"/>
                <w:b/>
                <w:color w:val="auto"/>
                <w:kern w:val="0"/>
                <w:sz w:val="26"/>
                <w:szCs w:val="26"/>
              </w:rPr>
              <w:t>7</w:t>
            </w:r>
            <w:r>
              <w:rPr>
                <w:rStyle w:val="18"/>
                <w:rFonts w:hint="eastAsia" w:ascii="等线" w:hAnsi="等线" w:eastAsia="等线"/>
                <w:b/>
                <w:color w:val="auto"/>
                <w:kern w:val="0"/>
                <w:sz w:val="26"/>
                <w:szCs w:val="26"/>
              </w:rPr>
              <w:t>个</w:t>
            </w:r>
          </w:p>
        </w:tc>
      </w:tr>
      <w:tr>
        <w:tblPrEx>
          <w:tblLayout w:type="fixed"/>
          <w:tblCellMar>
            <w:top w:w="0" w:type="dxa"/>
            <w:left w:w="0" w:type="dxa"/>
            <w:bottom w:w="0" w:type="dxa"/>
            <w:right w:w="0" w:type="dxa"/>
          </w:tblCellMar>
        </w:tblPrEx>
        <w:trPr>
          <w:trHeight w:val="477" w:hRule="atLeast"/>
          <w:jc w:val="center"/>
        </w:trPr>
        <w:tc>
          <w:tcPr>
            <w:tcW w:w="77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Style w:val="18"/>
                <w:rFonts w:ascii="等线" w:hAnsi="等线" w:eastAsia="等线"/>
                <w:b/>
                <w:color w:val="auto"/>
                <w:kern w:val="0"/>
                <w:sz w:val="26"/>
                <w:szCs w:val="26"/>
              </w:rPr>
            </w:pPr>
            <w:r>
              <w:rPr>
                <w:rStyle w:val="18"/>
                <w:rFonts w:ascii="等线" w:hAnsi="等线" w:eastAsia="等线"/>
                <w:b/>
                <w:color w:val="auto"/>
                <w:kern w:val="0"/>
                <w:sz w:val="26"/>
                <w:szCs w:val="26"/>
              </w:rPr>
              <w:t>扫码枪</w:t>
            </w:r>
          </w:p>
        </w:tc>
        <w:tc>
          <w:tcPr>
            <w:tcW w:w="1044" w:type="dxa"/>
            <w:tcBorders>
              <w:top w:val="single" w:color="000000" w:sz="4" w:space="0"/>
              <w:left w:val="nil"/>
              <w:bottom w:val="single" w:color="000000" w:sz="4" w:space="0"/>
              <w:right w:val="single" w:color="000000" w:sz="4" w:space="0"/>
            </w:tcBorders>
            <w:shd w:val="clear" w:color="auto" w:fill="FFFFFF"/>
            <w:vAlign w:val="center"/>
          </w:tcPr>
          <w:p>
            <w:pPr>
              <w:jc w:val="center"/>
              <w:rPr>
                <w:rStyle w:val="18"/>
                <w:rFonts w:ascii="等线" w:hAnsi="等线" w:eastAsia="等线"/>
                <w:b/>
                <w:color w:val="auto"/>
                <w:kern w:val="0"/>
                <w:sz w:val="26"/>
                <w:szCs w:val="26"/>
              </w:rPr>
            </w:pPr>
            <w:r>
              <w:rPr>
                <w:rStyle w:val="18"/>
                <w:rFonts w:ascii="等线" w:hAnsi="等线" w:eastAsia="等线"/>
                <w:b/>
                <w:color w:val="auto"/>
                <w:kern w:val="0"/>
                <w:sz w:val="26"/>
                <w:szCs w:val="26"/>
              </w:rPr>
              <w:t>7个</w:t>
            </w:r>
          </w:p>
        </w:tc>
      </w:tr>
    </w:tbl>
    <w:p>
      <w:pPr>
        <w:spacing w:line="360" w:lineRule="auto"/>
        <w:jc w:val="left"/>
        <w:rPr>
          <w:rFonts w:hint="eastAsia"/>
          <w:color w:val="FF0000"/>
        </w:rPr>
      </w:pPr>
    </w:p>
    <w:p>
      <w:pPr>
        <w:spacing w:line="360" w:lineRule="auto"/>
        <w:jc w:val="left"/>
        <w:rPr>
          <w:rFonts w:hint="default" w:eastAsiaTheme="minorEastAsia"/>
          <w:b/>
          <w:bCs/>
          <w:color w:val="auto"/>
          <w:sz w:val="28"/>
          <w:szCs w:val="36"/>
          <w:lang w:val="en-US" w:eastAsia="zh-CN"/>
        </w:rPr>
      </w:pPr>
      <w:r>
        <w:rPr>
          <w:rFonts w:hint="eastAsia"/>
          <w:b/>
          <w:bCs/>
          <w:color w:val="auto"/>
          <w:sz w:val="28"/>
          <w:szCs w:val="36"/>
          <w:lang w:eastAsia="zh-CN"/>
        </w:rPr>
        <w:t>三、技术参数</w:t>
      </w:r>
      <w:r>
        <w:rPr>
          <w:rFonts w:hint="eastAsia"/>
          <w:b/>
          <w:bCs/>
          <w:color w:val="auto"/>
          <w:sz w:val="24"/>
          <w:szCs w:val="32"/>
          <w:lang w:eastAsia="zh-CN"/>
        </w:rPr>
        <w:t>（</w:t>
      </w:r>
      <w:r>
        <w:rPr>
          <w:rFonts w:hint="eastAsia"/>
          <w:b/>
          <w:bCs/>
          <w:color w:val="auto"/>
          <w:sz w:val="22"/>
          <w:szCs w:val="22"/>
        </w:rPr>
        <w:t>▲</w:t>
      </w:r>
      <w:r>
        <w:rPr>
          <w:rFonts w:hint="eastAsia"/>
          <w:b/>
          <w:bCs/>
          <w:color w:val="auto"/>
          <w:sz w:val="22"/>
          <w:szCs w:val="22"/>
          <w:lang w:eastAsia="zh-CN"/>
        </w:rPr>
        <w:t>项为关键</w:t>
      </w:r>
      <w:bookmarkStart w:id="0" w:name="_GoBack"/>
      <w:bookmarkEnd w:id="0"/>
      <w:r>
        <w:rPr>
          <w:rFonts w:hint="eastAsia"/>
          <w:b/>
          <w:bCs/>
          <w:color w:val="auto"/>
          <w:sz w:val="22"/>
          <w:szCs w:val="22"/>
          <w:lang w:eastAsia="zh-CN"/>
        </w:rPr>
        <w:t>指标，每满足一项得</w:t>
      </w:r>
      <w:r>
        <w:rPr>
          <w:rFonts w:hint="eastAsia"/>
          <w:b/>
          <w:bCs/>
          <w:color w:val="auto"/>
          <w:sz w:val="22"/>
          <w:szCs w:val="22"/>
          <w:lang w:val="en-US" w:eastAsia="zh-CN"/>
        </w:rPr>
        <w:t>5分，上限25分）</w:t>
      </w:r>
    </w:p>
    <w:p>
      <w:pPr>
        <w:numPr>
          <w:ilvl w:val="0"/>
          <w:numId w:val="1"/>
        </w:numPr>
        <w:spacing w:line="360" w:lineRule="auto"/>
        <w:jc w:val="left"/>
        <w:rPr>
          <w:sz w:val="24"/>
          <w:szCs w:val="24"/>
        </w:rPr>
      </w:pPr>
      <w:r>
        <w:rPr>
          <w:rFonts w:hint="eastAsia"/>
          <w:sz w:val="24"/>
          <w:szCs w:val="24"/>
        </w:rPr>
        <w:t>电流类型≥3种。</w:t>
      </w:r>
    </w:p>
    <w:p>
      <w:pPr>
        <w:numPr>
          <w:ilvl w:val="0"/>
          <w:numId w:val="1"/>
        </w:numPr>
        <w:spacing w:line="360" w:lineRule="auto"/>
        <w:jc w:val="left"/>
        <w:rPr>
          <w:color w:val="auto"/>
          <w:sz w:val="24"/>
          <w:szCs w:val="24"/>
        </w:rPr>
      </w:pPr>
      <w:r>
        <w:rPr>
          <w:rFonts w:hint="eastAsia"/>
          <w:color w:val="auto"/>
          <w:sz w:val="24"/>
          <w:szCs w:val="24"/>
        </w:rPr>
        <w:t>▲压力传感器量程：0~800cmH</w:t>
      </w:r>
      <w:r>
        <w:rPr>
          <w:rFonts w:hint="eastAsia"/>
          <w:color w:val="auto"/>
          <w:sz w:val="24"/>
          <w:szCs w:val="24"/>
          <w:vertAlign w:val="subscript"/>
        </w:rPr>
        <w:t>2</w:t>
      </w:r>
      <w:r>
        <w:rPr>
          <w:rFonts w:hint="eastAsia"/>
          <w:color w:val="auto"/>
          <w:sz w:val="24"/>
          <w:szCs w:val="24"/>
        </w:rPr>
        <w:t>O，压力分辨率≤0.1cmH</w:t>
      </w:r>
      <w:r>
        <w:rPr>
          <w:rFonts w:hint="eastAsia"/>
          <w:color w:val="auto"/>
          <w:sz w:val="24"/>
          <w:szCs w:val="24"/>
          <w:vertAlign w:val="subscript"/>
        </w:rPr>
        <w:t>2</w:t>
      </w:r>
      <w:r>
        <w:rPr>
          <w:rFonts w:hint="eastAsia"/>
          <w:color w:val="auto"/>
          <w:sz w:val="24"/>
          <w:szCs w:val="24"/>
        </w:rPr>
        <w:t>O。（▲参数需提供能清晰体现参数指标的资料：诸如产品彩页、技术白皮书、产品使用说明书等）</w:t>
      </w:r>
    </w:p>
    <w:p>
      <w:pPr>
        <w:numPr>
          <w:ilvl w:val="0"/>
          <w:numId w:val="1"/>
        </w:numPr>
        <w:spacing w:line="360" w:lineRule="auto"/>
        <w:jc w:val="left"/>
        <w:rPr>
          <w:sz w:val="24"/>
          <w:szCs w:val="24"/>
        </w:rPr>
      </w:pPr>
      <w:r>
        <w:rPr>
          <w:rFonts w:hint="eastAsia"/>
          <w:sz w:val="24"/>
          <w:szCs w:val="24"/>
        </w:rPr>
        <w:t>电流输出延迟时间0-120s，上升时间0-10s,平台时间0-30s，下降时间0-10s，休息时间0-30s。</w:t>
      </w:r>
    </w:p>
    <w:p>
      <w:pPr>
        <w:numPr>
          <w:ilvl w:val="0"/>
          <w:numId w:val="1"/>
        </w:numPr>
        <w:spacing w:line="360" w:lineRule="auto"/>
        <w:jc w:val="left"/>
        <w:rPr>
          <w:sz w:val="24"/>
          <w:szCs w:val="24"/>
        </w:rPr>
      </w:pPr>
      <w:r>
        <w:rPr>
          <w:rFonts w:hint="eastAsia"/>
          <w:sz w:val="24"/>
          <w:szCs w:val="24"/>
        </w:rPr>
        <w:t>▲电刺激强度：0-50mA。</w:t>
      </w:r>
    </w:p>
    <w:p>
      <w:pPr>
        <w:numPr>
          <w:ilvl w:val="0"/>
          <w:numId w:val="1"/>
        </w:numPr>
        <w:spacing w:line="360" w:lineRule="auto"/>
        <w:jc w:val="left"/>
        <w:rPr>
          <w:sz w:val="24"/>
          <w:szCs w:val="24"/>
        </w:rPr>
      </w:pPr>
      <w:r>
        <w:rPr>
          <w:rFonts w:hint="eastAsia"/>
          <w:sz w:val="24"/>
          <w:szCs w:val="24"/>
        </w:rPr>
        <w:t>▲</w:t>
      </w:r>
      <w:r>
        <w:rPr>
          <w:rFonts w:hint="eastAsia" w:ascii="宋体" w:hAnsi="宋体" w:eastAsia="宋体" w:cs="Times New Roman"/>
          <w:bCs/>
          <w:sz w:val="24"/>
          <w:szCs w:val="24"/>
        </w:rPr>
        <w:t>配置双显示屏，显示屏支架支持灵活调节，可独立显示并控制，便于医师患者治疗时分别使用屏幕。</w:t>
      </w:r>
    </w:p>
    <w:p>
      <w:pPr>
        <w:numPr>
          <w:ilvl w:val="1"/>
          <w:numId w:val="0"/>
        </w:numPr>
        <w:spacing w:line="360" w:lineRule="auto"/>
        <w:jc w:val="left"/>
        <w:rPr>
          <w:rFonts w:ascii="宋体" w:hAnsi="宋体" w:eastAsia="宋体" w:cs="Arial"/>
          <w:kern w:val="0"/>
          <w:sz w:val="24"/>
          <w:szCs w:val="24"/>
        </w:rPr>
      </w:pPr>
      <w:r>
        <w:rPr>
          <w:rFonts w:hint="eastAsia" w:ascii="宋体" w:hAnsi="宋体" w:eastAsia="宋体" w:cs="Arial"/>
          <w:kern w:val="0"/>
          <w:sz w:val="24"/>
          <w:szCs w:val="24"/>
        </w:rPr>
        <w:t>6.</w:t>
      </w:r>
      <w:r>
        <w:rPr>
          <w:rFonts w:hint="eastAsia"/>
          <w:sz w:val="24"/>
          <w:szCs w:val="24"/>
        </w:rPr>
        <w:t>具备自动评估功能，可根据评估后的曲线自动读取≥13项指标形成报告并自动判断分型结果，支持灵活修改自动读取的数据，包括：一类肌肌力等级及疲劳度、二类肌肌力等级及疲劳度、最大肌电位、阴道最大收缩压力值、前静息阶段肌电位、快速收缩阶段最大肌电位、快速收缩后放松时间、紧张收缩阶段肌电位、紧张性收缩后放松时间、耐力收缩阶段肌电位、后静息阶段肌电位。</w:t>
      </w:r>
    </w:p>
    <w:p>
      <w:pPr>
        <w:numPr>
          <w:ilvl w:val="1"/>
          <w:numId w:val="0"/>
        </w:numPr>
        <w:spacing w:line="360" w:lineRule="auto"/>
        <w:jc w:val="left"/>
        <w:rPr>
          <w:rFonts w:ascii="宋体" w:hAnsi="宋体" w:eastAsia="宋体" w:cs="Arial"/>
          <w:kern w:val="0"/>
          <w:sz w:val="24"/>
          <w:szCs w:val="24"/>
        </w:rPr>
      </w:pPr>
      <w:r>
        <w:rPr>
          <w:rFonts w:hint="eastAsia" w:ascii="宋体" w:hAnsi="宋体" w:eastAsia="宋体" w:cs="Arial"/>
          <w:kern w:val="0"/>
          <w:sz w:val="24"/>
          <w:szCs w:val="24"/>
        </w:rPr>
        <w:t>7.</w:t>
      </w:r>
      <w:r>
        <w:rPr>
          <w:rFonts w:hint="eastAsia"/>
          <w:sz w:val="24"/>
          <w:szCs w:val="24"/>
        </w:rPr>
        <w:t>内置评估问卷，可根据问卷填写结果，自动推荐治疗方案，</w:t>
      </w:r>
      <w:r>
        <w:rPr>
          <w:rFonts w:hint="eastAsia" w:ascii="宋体" w:hAnsi="宋体" w:eastAsia="宋体" w:cs="Arial"/>
          <w:kern w:val="0"/>
          <w:sz w:val="24"/>
          <w:szCs w:val="24"/>
        </w:rPr>
        <w:t>支持进行≥3个反馈通道的反馈采集，可同时进行肌电与压力信号采集</w:t>
      </w:r>
      <w:r>
        <w:rPr>
          <w:rFonts w:hint="eastAsia"/>
          <w:sz w:val="24"/>
          <w:szCs w:val="24"/>
        </w:rPr>
        <w:t>。</w:t>
      </w:r>
    </w:p>
    <w:p>
      <w:pPr>
        <w:numPr>
          <w:ilvl w:val="1"/>
          <w:numId w:val="0"/>
        </w:numPr>
        <w:spacing w:line="360" w:lineRule="auto"/>
        <w:jc w:val="left"/>
        <w:rPr>
          <w:sz w:val="24"/>
          <w:szCs w:val="24"/>
        </w:rPr>
      </w:pPr>
      <w:r>
        <w:rPr>
          <w:rFonts w:hint="eastAsia"/>
          <w:sz w:val="24"/>
          <w:szCs w:val="24"/>
        </w:rPr>
        <w:t>8.▲</w:t>
      </w:r>
      <w:r>
        <w:rPr>
          <w:rFonts w:hint="eastAsia" w:ascii="Helvetica" w:hAnsi="Helvetica" w:eastAsia="宋体" w:cs="Helvetica"/>
          <w:sz w:val="24"/>
          <w:szCs w:val="24"/>
        </w:rPr>
        <w:t>预置≥40个动态康复治疗方案及其标配示教视频、带教视频，治疗方案包括其</w:t>
      </w:r>
      <w:r>
        <w:rPr>
          <w:rFonts w:hint="eastAsia"/>
          <w:sz w:val="24"/>
          <w:szCs w:val="24"/>
        </w:rPr>
        <w:t>电极贴片位置、训练动作、注意事项图解说明</w:t>
      </w:r>
      <w:r>
        <w:rPr>
          <w:rFonts w:hint="eastAsia" w:ascii="Helvetica" w:hAnsi="Helvetica" w:eastAsia="宋体" w:cs="Helvetica"/>
          <w:sz w:val="24"/>
          <w:szCs w:val="24"/>
        </w:rPr>
        <w:t>。</w:t>
      </w:r>
    </w:p>
    <w:p>
      <w:pPr>
        <w:numPr>
          <w:ilvl w:val="1"/>
          <w:numId w:val="0"/>
        </w:numPr>
        <w:spacing w:line="360" w:lineRule="auto"/>
        <w:jc w:val="left"/>
        <w:rPr>
          <w:sz w:val="24"/>
          <w:szCs w:val="24"/>
        </w:rPr>
      </w:pPr>
      <w:r>
        <w:rPr>
          <w:rFonts w:hint="eastAsia"/>
          <w:sz w:val="24"/>
          <w:szCs w:val="24"/>
        </w:rPr>
        <w:t>9.集成≥9种报告模版，包含盆底压力筛查报告、盆底肌电检测报告、盆底肌电Glazer检查报告、盆底压力+Glazer检查报告、盆底三分钟Glazer快速评估报告、盆底一分钟Glazer快速评估报告、盆底肌肉动静态检查报告、盆底预收缩反射评估报告、咳嗽反射评估报告。</w:t>
      </w:r>
    </w:p>
    <w:p>
      <w:pPr>
        <w:numPr>
          <w:ilvl w:val="1"/>
          <w:numId w:val="0"/>
        </w:numPr>
        <w:spacing w:line="360" w:lineRule="auto"/>
        <w:jc w:val="left"/>
        <w:rPr>
          <w:rFonts w:hint="eastAsia" w:asciiTheme="minorEastAsia" w:hAnsiTheme="minorEastAsia"/>
          <w:color w:val="000000" w:themeColor="text1"/>
          <w:sz w:val="24"/>
          <w:szCs w:val="24"/>
          <w14:textFill>
            <w14:solidFill>
              <w14:schemeClr w14:val="tx1"/>
            </w14:solidFill>
          </w14:textFill>
        </w:rPr>
      </w:pPr>
      <w:r>
        <w:rPr>
          <w:rFonts w:hint="eastAsia"/>
          <w:sz w:val="24"/>
          <w:szCs w:val="24"/>
        </w:rPr>
        <w:t>10.▲</w:t>
      </w:r>
      <w:r>
        <w:rPr>
          <w:rFonts w:hint="eastAsia" w:asciiTheme="minorEastAsia" w:hAnsiTheme="minorEastAsia"/>
          <w:color w:val="000000" w:themeColor="text1"/>
          <w:sz w:val="24"/>
          <w:szCs w:val="24"/>
          <w14:textFill>
            <w14:solidFill>
              <w14:schemeClr w14:val="tx1"/>
            </w14:solidFill>
          </w14:textFill>
        </w:rPr>
        <w:t>具有疗效分析功能，支持将</w:t>
      </w:r>
      <w:r>
        <w:rPr>
          <w:rFonts w:hint="eastAsia"/>
          <w:sz w:val="24"/>
          <w:szCs w:val="24"/>
        </w:rPr>
        <w:t>≥</w:t>
      </w:r>
      <w:r>
        <w:rPr>
          <w:rFonts w:hint="eastAsia" w:asciiTheme="minorEastAsia" w:hAnsiTheme="minorEastAsia"/>
          <w:color w:val="000000" w:themeColor="text1"/>
          <w:sz w:val="24"/>
          <w:szCs w:val="24"/>
          <w14:textFill>
            <w14:solidFill>
              <w14:schemeClr w14:val="tx1"/>
            </w14:solidFill>
          </w14:textFill>
        </w:rPr>
        <w:t>5次盆底压力检查、肌电检查、POP-Q检查指标同时进行对比，自定义设置时间区间并生成曲线图。</w:t>
      </w:r>
    </w:p>
    <w:p>
      <w:pPr>
        <w:numPr>
          <w:ilvl w:val="1"/>
          <w:numId w:val="0"/>
        </w:numPr>
        <w:spacing w:line="360" w:lineRule="auto"/>
        <w:jc w:val="left"/>
        <w:rPr>
          <w:rFonts w:hint="eastAsia" w:asciiTheme="minorEastAsia" w:hAnsiTheme="minorEastAsia"/>
          <w:color w:val="000000" w:themeColor="text1"/>
          <w:sz w:val="24"/>
          <w:szCs w:val="24"/>
          <w14:textFill>
            <w14:solidFill>
              <w14:schemeClr w14:val="tx1"/>
            </w14:solidFill>
          </w14:textFill>
        </w:rPr>
      </w:pPr>
    </w:p>
    <w:p>
      <w:pPr>
        <w:spacing w:line="360" w:lineRule="auto"/>
        <w:jc w:val="left"/>
        <w:rPr>
          <w:rFonts w:hint="eastAsia"/>
          <w:b/>
          <w:bCs/>
          <w:color w:val="auto"/>
          <w:sz w:val="28"/>
          <w:szCs w:val="36"/>
          <w:lang w:eastAsia="zh-CN"/>
        </w:rPr>
      </w:pPr>
      <w:r>
        <w:rPr>
          <w:rFonts w:hint="eastAsia"/>
          <w:b/>
          <w:bCs/>
          <w:color w:val="auto"/>
          <w:sz w:val="28"/>
          <w:szCs w:val="36"/>
          <w:lang w:eastAsia="zh-CN"/>
        </w:rPr>
        <w:t>四、交货、付款及验收要求</w:t>
      </w:r>
    </w:p>
    <w:p>
      <w:pPr>
        <w:numPr>
          <w:ilvl w:val="1"/>
          <w:numId w:val="0"/>
        </w:numPr>
        <w:spacing w:line="360" w:lineRule="auto"/>
        <w:jc w:val="left"/>
        <w:rPr>
          <w:rFonts w:hint="eastAsia"/>
          <w:sz w:val="24"/>
          <w:szCs w:val="24"/>
        </w:rPr>
      </w:pPr>
      <w:r>
        <w:rPr>
          <w:rFonts w:hint="eastAsia"/>
          <w:sz w:val="24"/>
          <w:szCs w:val="24"/>
          <w:lang w:val="en-US" w:eastAsia="zh-CN"/>
        </w:rPr>
        <w:t>1、</w:t>
      </w:r>
      <w:r>
        <w:rPr>
          <w:rFonts w:hint="eastAsia"/>
          <w:sz w:val="24"/>
          <w:szCs w:val="24"/>
        </w:rPr>
        <w:t>交货要求</w:t>
      </w:r>
      <w:r>
        <w:rPr>
          <w:rFonts w:hint="eastAsia"/>
          <w:sz w:val="24"/>
          <w:szCs w:val="24"/>
          <w:lang w:eastAsia="zh-CN"/>
        </w:rPr>
        <w:t>：</w:t>
      </w:r>
      <w:r>
        <w:rPr>
          <w:rFonts w:hint="eastAsia"/>
          <w:sz w:val="24"/>
          <w:szCs w:val="24"/>
        </w:rPr>
        <w:t>合同签订后30日内</w:t>
      </w:r>
      <w:r>
        <w:rPr>
          <w:rFonts w:hint="eastAsia"/>
          <w:sz w:val="24"/>
          <w:szCs w:val="24"/>
          <w:lang w:eastAsia="zh-CN"/>
        </w:rPr>
        <w:t>，供应商需</w:t>
      </w:r>
      <w:r>
        <w:rPr>
          <w:rFonts w:hint="eastAsia"/>
          <w:sz w:val="24"/>
          <w:szCs w:val="24"/>
        </w:rPr>
        <w:t>完成供货及安装调试。</w:t>
      </w:r>
    </w:p>
    <w:p>
      <w:pPr>
        <w:numPr>
          <w:ilvl w:val="1"/>
          <w:numId w:val="0"/>
        </w:numPr>
        <w:spacing w:line="360" w:lineRule="auto"/>
        <w:jc w:val="left"/>
        <w:rPr>
          <w:rFonts w:hint="eastAsia"/>
          <w:sz w:val="24"/>
          <w:szCs w:val="24"/>
        </w:rPr>
      </w:pPr>
      <w:r>
        <w:rPr>
          <w:rFonts w:hint="eastAsia"/>
          <w:sz w:val="24"/>
          <w:szCs w:val="24"/>
          <w:lang w:val="en-US" w:eastAsia="zh-CN"/>
        </w:rPr>
        <w:t>2、</w:t>
      </w:r>
      <w:r>
        <w:rPr>
          <w:rFonts w:hint="eastAsia"/>
          <w:sz w:val="24"/>
          <w:szCs w:val="24"/>
        </w:rPr>
        <w:t>质量标准与验收要求</w:t>
      </w:r>
    </w:p>
    <w:p>
      <w:pPr>
        <w:numPr>
          <w:ilvl w:val="1"/>
          <w:numId w:val="0"/>
        </w:numPr>
        <w:spacing w:line="360" w:lineRule="auto"/>
        <w:jc w:val="left"/>
        <w:rPr>
          <w:rFonts w:hint="eastAsia"/>
          <w:sz w:val="24"/>
          <w:szCs w:val="24"/>
        </w:rPr>
      </w:pPr>
      <w:r>
        <w:rPr>
          <w:rFonts w:hint="eastAsia"/>
          <w:sz w:val="24"/>
          <w:szCs w:val="24"/>
          <w:lang w:val="en-US" w:eastAsia="zh-CN"/>
        </w:rPr>
        <w:t>1）</w:t>
      </w:r>
      <w:r>
        <w:rPr>
          <w:rFonts w:hint="eastAsia"/>
          <w:sz w:val="24"/>
          <w:szCs w:val="24"/>
        </w:rPr>
        <w:t>投标人提供的产品和相关服务应符合国家和上海市与本项目有关的各项质量和安全标准、规范和验收要求以及相关政府管理部门和行业有关规定和规程，标准、规范等不一致的，以最新的为准。</w:t>
      </w:r>
    </w:p>
    <w:p>
      <w:pPr>
        <w:numPr>
          <w:ilvl w:val="1"/>
          <w:numId w:val="0"/>
        </w:numPr>
        <w:spacing w:line="360" w:lineRule="auto"/>
        <w:jc w:val="left"/>
        <w:rPr>
          <w:rFonts w:hint="eastAsia"/>
          <w:sz w:val="24"/>
          <w:szCs w:val="24"/>
        </w:rPr>
      </w:pPr>
      <w:r>
        <w:rPr>
          <w:rFonts w:hint="eastAsia"/>
          <w:sz w:val="24"/>
          <w:szCs w:val="24"/>
          <w:lang w:val="en-US" w:eastAsia="zh-CN"/>
        </w:rPr>
        <w:t>2）</w:t>
      </w:r>
      <w:r>
        <w:rPr>
          <w:rFonts w:hint="eastAsia"/>
          <w:sz w:val="24"/>
          <w:szCs w:val="24"/>
        </w:rPr>
        <w:t>本项目验收将由采购人组织进行或委托第三方进行，质量标准和验收要求为按照上述规定一次验收合格。</w:t>
      </w:r>
    </w:p>
    <w:p>
      <w:pPr>
        <w:numPr>
          <w:ilvl w:val="1"/>
          <w:numId w:val="0"/>
        </w:numPr>
        <w:spacing w:line="360" w:lineRule="auto"/>
        <w:jc w:val="left"/>
        <w:rPr>
          <w:rFonts w:hint="eastAsia"/>
          <w:sz w:val="24"/>
          <w:szCs w:val="24"/>
        </w:rPr>
      </w:pPr>
      <w:r>
        <w:rPr>
          <w:rFonts w:hint="eastAsia"/>
          <w:sz w:val="24"/>
          <w:szCs w:val="24"/>
          <w:lang w:val="en-US" w:eastAsia="zh-CN"/>
        </w:rPr>
        <w:t>3）</w:t>
      </w:r>
      <w:r>
        <w:rPr>
          <w:rFonts w:hint="eastAsia"/>
          <w:sz w:val="24"/>
          <w:szCs w:val="24"/>
        </w:rPr>
        <w:t>项目履约验收工作具体依据项目合同中的履约验收方案执行，合同中的履约验收方案将明确履约验收的主体、时间、方式、程序、内容和验收标准等事项。</w:t>
      </w:r>
    </w:p>
    <w:p>
      <w:pPr>
        <w:numPr>
          <w:ilvl w:val="1"/>
          <w:numId w:val="0"/>
        </w:numPr>
        <w:spacing w:line="360" w:lineRule="auto"/>
        <w:jc w:val="left"/>
        <w:rPr>
          <w:rFonts w:hint="eastAsia"/>
          <w:sz w:val="24"/>
          <w:szCs w:val="24"/>
          <w:lang w:val="en-US" w:eastAsia="zh-CN"/>
        </w:rPr>
      </w:pPr>
      <w:r>
        <w:rPr>
          <w:rFonts w:hint="eastAsia"/>
          <w:sz w:val="24"/>
          <w:szCs w:val="24"/>
        </w:rPr>
        <w:t>如验收未获通过，采购人有权要求更换或退货并按照合同约定的违约责任进行处理。</w:t>
      </w:r>
    </w:p>
    <w:p>
      <w:pPr>
        <w:numPr>
          <w:ilvl w:val="0"/>
          <w:numId w:val="2"/>
        </w:numPr>
        <w:spacing w:line="360" w:lineRule="auto"/>
        <w:jc w:val="left"/>
        <w:rPr>
          <w:rFonts w:hint="eastAsia"/>
          <w:sz w:val="24"/>
          <w:szCs w:val="24"/>
        </w:rPr>
      </w:pPr>
      <w:r>
        <w:rPr>
          <w:rFonts w:hint="eastAsia"/>
          <w:sz w:val="24"/>
          <w:szCs w:val="24"/>
        </w:rPr>
        <w:t>货（设备）到验收合格后六个月内招标人支付货款的100%。（合同履约：采购人和成交供应商应通过完善内部流程缩短合同签订期限，在中标、成交通知书发出之日起30日内，按照采购文件确定的事项签订政府采购合同，在合同中约定资金支付的方式、时间和条件，明确逾期支付资金的违约责任）</w:t>
      </w:r>
    </w:p>
    <w:p>
      <w:pPr>
        <w:numPr>
          <w:ilvl w:val="0"/>
          <w:numId w:val="0"/>
        </w:numPr>
        <w:spacing w:line="360" w:lineRule="auto"/>
        <w:jc w:val="left"/>
        <w:rPr>
          <w:rFonts w:hint="eastAsia"/>
          <w:sz w:val="24"/>
          <w:szCs w:val="24"/>
        </w:rPr>
      </w:pPr>
    </w:p>
    <w:p>
      <w:pPr>
        <w:numPr>
          <w:ilvl w:val="0"/>
          <w:numId w:val="3"/>
        </w:numPr>
        <w:spacing w:line="360" w:lineRule="auto"/>
        <w:jc w:val="left"/>
        <w:rPr>
          <w:rFonts w:hint="eastAsia"/>
          <w:b/>
          <w:bCs/>
          <w:color w:val="auto"/>
          <w:sz w:val="28"/>
          <w:szCs w:val="36"/>
          <w:lang w:eastAsia="zh-CN"/>
        </w:rPr>
      </w:pPr>
      <w:r>
        <w:rPr>
          <w:rFonts w:hint="eastAsia"/>
          <w:b/>
          <w:bCs/>
          <w:color w:val="auto"/>
          <w:sz w:val="28"/>
          <w:szCs w:val="36"/>
          <w:lang w:eastAsia="zh-CN"/>
        </w:rPr>
        <w:t>售后服务要求</w:t>
      </w:r>
    </w:p>
    <w:p>
      <w:pPr>
        <w:numPr>
          <w:ilvl w:val="1"/>
          <w:numId w:val="0"/>
        </w:numPr>
        <w:spacing w:line="360" w:lineRule="auto"/>
        <w:jc w:val="left"/>
        <w:rPr>
          <w:rFonts w:hint="eastAsia"/>
          <w:sz w:val="24"/>
          <w:szCs w:val="24"/>
        </w:rPr>
      </w:pPr>
      <w:r>
        <w:rPr>
          <w:rFonts w:hint="eastAsia"/>
          <w:sz w:val="24"/>
          <w:szCs w:val="24"/>
          <w:lang w:val="en-US" w:eastAsia="zh-CN"/>
        </w:rPr>
        <w:t>1、</w:t>
      </w:r>
      <w:r>
        <w:rPr>
          <w:rFonts w:hint="eastAsia"/>
          <w:sz w:val="24"/>
          <w:szCs w:val="24"/>
        </w:rPr>
        <w:t>售后服务要求</w:t>
      </w:r>
      <w:r>
        <w:rPr>
          <w:rFonts w:hint="eastAsia"/>
          <w:sz w:val="24"/>
          <w:szCs w:val="24"/>
          <w:lang w:eastAsia="zh-CN"/>
        </w:rPr>
        <w:t>：</w:t>
      </w:r>
      <w:r>
        <w:rPr>
          <w:rFonts w:hint="eastAsia"/>
          <w:sz w:val="24"/>
          <w:szCs w:val="24"/>
        </w:rPr>
        <w:t>整机质保期≥5 年，自验收合格之日起计算。</w:t>
      </w:r>
    </w:p>
    <w:p>
      <w:pPr>
        <w:numPr>
          <w:ilvl w:val="1"/>
          <w:numId w:val="0"/>
        </w:numPr>
        <w:spacing w:line="360" w:lineRule="auto"/>
        <w:jc w:val="left"/>
        <w:rPr>
          <w:rFonts w:hint="eastAsia"/>
          <w:sz w:val="24"/>
          <w:szCs w:val="24"/>
          <w:lang w:eastAsia="zh-CN"/>
        </w:rPr>
      </w:pPr>
      <w:r>
        <w:rPr>
          <w:rFonts w:hint="eastAsia"/>
          <w:sz w:val="24"/>
          <w:szCs w:val="24"/>
          <w:lang w:val="en-US" w:eastAsia="zh-CN"/>
        </w:rPr>
        <w:t>2、</w:t>
      </w:r>
      <w:r>
        <w:rPr>
          <w:rFonts w:hint="eastAsia"/>
          <w:sz w:val="24"/>
          <w:szCs w:val="24"/>
        </w:rPr>
        <w:t>上门提供安装及现场培训</w:t>
      </w:r>
      <w:r>
        <w:rPr>
          <w:rFonts w:hint="eastAsia"/>
          <w:sz w:val="24"/>
          <w:szCs w:val="24"/>
          <w:lang w:eastAsia="zh-CN"/>
        </w:rPr>
        <w:t>服务</w:t>
      </w:r>
      <w:r>
        <w:rPr>
          <w:rFonts w:hint="eastAsia"/>
          <w:sz w:val="24"/>
          <w:szCs w:val="24"/>
        </w:rPr>
        <w:t>，帮助用户启动系统的应用</w:t>
      </w:r>
      <w:r>
        <w:rPr>
          <w:rFonts w:hint="eastAsia"/>
          <w:sz w:val="24"/>
          <w:szCs w:val="24"/>
          <w:lang w:eastAsia="zh-CN"/>
        </w:rPr>
        <w:t>。</w:t>
      </w:r>
    </w:p>
    <w:p>
      <w:pPr>
        <w:numPr>
          <w:ilvl w:val="1"/>
          <w:numId w:val="0"/>
        </w:numPr>
        <w:spacing w:line="360" w:lineRule="auto"/>
        <w:jc w:val="left"/>
        <w:rPr>
          <w:rFonts w:hint="eastAsia"/>
          <w:sz w:val="24"/>
          <w:szCs w:val="24"/>
          <w:lang w:eastAsia="zh-CN"/>
        </w:rPr>
      </w:pPr>
      <w:r>
        <w:rPr>
          <w:rFonts w:hint="eastAsia"/>
          <w:sz w:val="24"/>
          <w:szCs w:val="24"/>
          <w:lang w:val="en-US" w:eastAsia="zh-CN"/>
        </w:rPr>
        <w:t>3、</w:t>
      </w:r>
      <w:r>
        <w:rPr>
          <w:rFonts w:hint="eastAsia"/>
          <w:sz w:val="24"/>
          <w:szCs w:val="24"/>
        </w:rPr>
        <w:t>提供系统安装调试服务，确保所有系统成功运行</w:t>
      </w:r>
      <w:r>
        <w:rPr>
          <w:rFonts w:hint="eastAsia"/>
          <w:sz w:val="24"/>
          <w:szCs w:val="24"/>
          <w:lang w:eastAsia="zh-CN"/>
        </w:rPr>
        <w:t>。</w:t>
      </w:r>
    </w:p>
    <w:p>
      <w:pPr>
        <w:numPr>
          <w:ilvl w:val="1"/>
          <w:numId w:val="0"/>
        </w:numPr>
        <w:spacing w:line="360" w:lineRule="auto"/>
        <w:jc w:val="left"/>
        <w:rPr>
          <w:rFonts w:hint="eastAsia" w:eastAsiaTheme="minorEastAsia"/>
          <w:sz w:val="24"/>
          <w:szCs w:val="24"/>
          <w:lang w:eastAsia="zh-CN"/>
        </w:rPr>
      </w:pPr>
      <w:r>
        <w:rPr>
          <w:rFonts w:hint="eastAsia"/>
          <w:sz w:val="24"/>
          <w:szCs w:val="24"/>
          <w:lang w:val="en-US" w:eastAsia="zh-CN"/>
        </w:rPr>
        <w:t>4、</w:t>
      </w:r>
      <w:r>
        <w:rPr>
          <w:rFonts w:hint="eastAsia"/>
          <w:sz w:val="24"/>
          <w:szCs w:val="24"/>
        </w:rPr>
        <w:t>提供免费培训，包括对设备操作者及技术管理员的操作培训</w:t>
      </w:r>
      <w:r>
        <w:rPr>
          <w:rFonts w:hint="eastAsia"/>
          <w:sz w:val="24"/>
          <w:szCs w:val="24"/>
          <w:lang w:eastAsia="zh-CN"/>
        </w:rPr>
        <w:t>。</w:t>
      </w:r>
    </w:p>
    <w:p>
      <w:pPr>
        <w:numPr>
          <w:ilvl w:val="1"/>
          <w:numId w:val="0"/>
        </w:numPr>
        <w:spacing w:line="360" w:lineRule="auto"/>
        <w:jc w:val="left"/>
        <w:rPr>
          <w:rFonts w:asciiTheme="minorEastAsia" w:hAnsiTheme="minorEastAsia"/>
          <w:color w:val="FF0000"/>
        </w:rPr>
      </w:pPr>
    </w:p>
    <w:p>
      <w:pPr>
        <w:numPr>
          <w:ilvl w:val="1"/>
          <w:numId w:val="0"/>
        </w:numPr>
        <w:spacing w:line="360" w:lineRule="auto"/>
        <w:jc w:val="left"/>
        <w:rPr>
          <w:rFonts w:asciiTheme="minorEastAsia" w:hAnsiTheme="minorEastAsia"/>
          <w:color w:val="FF0000"/>
        </w:rPr>
      </w:pPr>
    </w:p>
    <w:p>
      <w:pPr>
        <w:numPr>
          <w:ilvl w:val="1"/>
          <w:numId w:val="0"/>
        </w:numPr>
        <w:spacing w:line="360" w:lineRule="auto"/>
        <w:jc w:val="left"/>
        <w:rPr>
          <w:rFonts w:asciiTheme="minorEastAsia" w:hAnsiTheme="minorEastAsia"/>
          <w:color w:val="FF0000"/>
        </w:rPr>
      </w:pPr>
    </w:p>
    <w:p>
      <w:pPr>
        <w:numPr>
          <w:ilvl w:val="1"/>
          <w:numId w:val="0"/>
        </w:numPr>
        <w:spacing w:line="360" w:lineRule="auto"/>
        <w:jc w:val="left"/>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等线">
    <w:panose1 w:val="02010600030101010101"/>
    <w:charset w:val="86"/>
    <w:family w:val="auto"/>
    <w:pitch w:val="default"/>
    <w:sig w:usb0="A00002BF" w:usb1="38CF7CFA" w:usb2="00000016" w:usb3="00000000" w:csb0="0004000F" w:csb1="00000000"/>
  </w:font>
  <w:font w:name="Helvetica">
    <w:altName w:val="Arial"/>
    <w:panose1 w:val="020B0604020202020204"/>
    <w:charset w:val="00"/>
    <w:family w:val="swiss"/>
    <w:pitch w:val="default"/>
    <w:sig w:usb0="00000000" w:usb1="00000000"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both"/>
    </w:pPr>
    <w:r>
      <w:rPr>
        <w:rFonts w:hint="eastAsia"/>
        <w:color w:val="auto"/>
      </w:rPr>
      <w:t>ZC20</w:t>
    </w:r>
    <w:r>
      <w:rPr>
        <w:rFonts w:hint="eastAsia"/>
        <w:color w:val="auto"/>
        <w:lang w:val="en-US" w:eastAsia="zh-CN"/>
      </w:rPr>
      <w:t>260171</w:t>
    </w:r>
    <w:r>
      <w:rPr>
        <w:rFonts w:hint="eastAsia"/>
        <w:color w:val="auto"/>
      </w:rPr>
      <w:t xml:space="preserve">   </w:t>
    </w:r>
    <w:r>
      <w:rPr>
        <w:rFonts w:hint="eastAsia"/>
        <w:color w:val="auto"/>
        <w:lang w:val="en-US" w:eastAsia="zh-CN"/>
      </w:rPr>
      <w:t xml:space="preserve">        </w:t>
    </w:r>
    <w:r>
      <w:rPr>
        <w:rFonts w:hint="eastAsia"/>
        <w:color w:val="auto"/>
      </w:rPr>
      <w:t xml:space="preserve">上海市同仁医院所需神经肌肉刺激治疗仪公开招标项目               </w:t>
    </w:r>
    <w:r>
      <w:rPr>
        <w:rFonts w:hint="eastAsia"/>
        <w:color w:val="auto"/>
        <w:lang w:eastAsia="zh-CN"/>
      </w:rPr>
      <w:t>需求</w:t>
    </w:r>
    <w:r>
      <w:rPr>
        <w:rFonts w:hint="eastAsia"/>
        <w:color w:val="auto"/>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24A93E0"/>
    <w:multiLevelType w:val="singleLevel"/>
    <w:tmpl w:val="824A93E0"/>
    <w:lvl w:ilvl="0" w:tentative="0">
      <w:start w:val="5"/>
      <w:numFmt w:val="chineseCounting"/>
      <w:suff w:val="nothing"/>
      <w:lvlText w:val="%1、"/>
      <w:lvlJc w:val="left"/>
      <w:rPr>
        <w:rFonts w:hint="eastAsia"/>
      </w:rPr>
    </w:lvl>
  </w:abstractNum>
  <w:abstractNum w:abstractNumId="1">
    <w:nsid w:val="D48C72FD"/>
    <w:multiLevelType w:val="singleLevel"/>
    <w:tmpl w:val="D48C72FD"/>
    <w:lvl w:ilvl="0" w:tentative="0">
      <w:start w:val="1"/>
      <w:numFmt w:val="decimal"/>
      <w:suff w:val="space"/>
      <w:lvlText w:val="%1."/>
      <w:lvlJc w:val="left"/>
    </w:lvl>
  </w:abstractNum>
  <w:abstractNum w:abstractNumId="2">
    <w:nsid w:val="0C97CB7B"/>
    <w:multiLevelType w:val="singleLevel"/>
    <w:tmpl w:val="0C97CB7B"/>
    <w:lvl w:ilvl="0" w:tentative="0">
      <w:start w:val="3"/>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FiYzI3NmI1ZjhmYjIyNDM2NDQ4N2E2NGUxNTM2ZGIifQ=="/>
  </w:docVars>
  <w:rsids>
    <w:rsidRoot w:val="05FE0F09"/>
    <w:rsid w:val="000502B7"/>
    <w:rsid w:val="000526B9"/>
    <w:rsid w:val="00056F3B"/>
    <w:rsid w:val="00096851"/>
    <w:rsid w:val="000B3748"/>
    <w:rsid w:val="000C3919"/>
    <w:rsid w:val="000D1FC7"/>
    <w:rsid w:val="00137FC5"/>
    <w:rsid w:val="001C7314"/>
    <w:rsid w:val="001F1808"/>
    <w:rsid w:val="0024063C"/>
    <w:rsid w:val="00250F8A"/>
    <w:rsid w:val="0025679F"/>
    <w:rsid w:val="00260EC2"/>
    <w:rsid w:val="002613AA"/>
    <w:rsid w:val="00280543"/>
    <w:rsid w:val="002B67FA"/>
    <w:rsid w:val="002C6A5B"/>
    <w:rsid w:val="002D4A6D"/>
    <w:rsid w:val="002E36E7"/>
    <w:rsid w:val="003156A3"/>
    <w:rsid w:val="00321A09"/>
    <w:rsid w:val="00322348"/>
    <w:rsid w:val="003251D2"/>
    <w:rsid w:val="0037660E"/>
    <w:rsid w:val="003B15F3"/>
    <w:rsid w:val="00432AE5"/>
    <w:rsid w:val="004465E9"/>
    <w:rsid w:val="00490475"/>
    <w:rsid w:val="004B3478"/>
    <w:rsid w:val="004B61FF"/>
    <w:rsid w:val="004F226F"/>
    <w:rsid w:val="004F27F5"/>
    <w:rsid w:val="00594424"/>
    <w:rsid w:val="005D75DF"/>
    <w:rsid w:val="0065075D"/>
    <w:rsid w:val="006646D1"/>
    <w:rsid w:val="00664EAF"/>
    <w:rsid w:val="00676031"/>
    <w:rsid w:val="00677268"/>
    <w:rsid w:val="00682A03"/>
    <w:rsid w:val="006A348B"/>
    <w:rsid w:val="006D1ED8"/>
    <w:rsid w:val="0073321A"/>
    <w:rsid w:val="007335D6"/>
    <w:rsid w:val="00771C89"/>
    <w:rsid w:val="0078275F"/>
    <w:rsid w:val="007878D7"/>
    <w:rsid w:val="00790E75"/>
    <w:rsid w:val="007C14E0"/>
    <w:rsid w:val="007C4D75"/>
    <w:rsid w:val="008575F3"/>
    <w:rsid w:val="008C2992"/>
    <w:rsid w:val="009143C7"/>
    <w:rsid w:val="00923D09"/>
    <w:rsid w:val="00953E94"/>
    <w:rsid w:val="009B6573"/>
    <w:rsid w:val="009C7B0B"/>
    <w:rsid w:val="00A010AB"/>
    <w:rsid w:val="00A43D94"/>
    <w:rsid w:val="00AA0CBA"/>
    <w:rsid w:val="00AD7004"/>
    <w:rsid w:val="00AE71ED"/>
    <w:rsid w:val="00AF3D98"/>
    <w:rsid w:val="00B26865"/>
    <w:rsid w:val="00BA15EB"/>
    <w:rsid w:val="00BD5719"/>
    <w:rsid w:val="00BE660E"/>
    <w:rsid w:val="00BF088D"/>
    <w:rsid w:val="00C00058"/>
    <w:rsid w:val="00C2665C"/>
    <w:rsid w:val="00CA3E64"/>
    <w:rsid w:val="00CB35BB"/>
    <w:rsid w:val="00D265D8"/>
    <w:rsid w:val="00D55451"/>
    <w:rsid w:val="00D62BD8"/>
    <w:rsid w:val="00D62F7A"/>
    <w:rsid w:val="00D743DA"/>
    <w:rsid w:val="00D970E8"/>
    <w:rsid w:val="00DF2761"/>
    <w:rsid w:val="00DF5A46"/>
    <w:rsid w:val="00E201FA"/>
    <w:rsid w:val="00E30D2C"/>
    <w:rsid w:val="00E4303D"/>
    <w:rsid w:val="00E57C3E"/>
    <w:rsid w:val="00E9261E"/>
    <w:rsid w:val="00EB0F49"/>
    <w:rsid w:val="00F01A0F"/>
    <w:rsid w:val="00F54B82"/>
    <w:rsid w:val="00F574F4"/>
    <w:rsid w:val="00F66AF8"/>
    <w:rsid w:val="00F74AF7"/>
    <w:rsid w:val="00FB477B"/>
    <w:rsid w:val="00FB4B5B"/>
    <w:rsid w:val="00FC5A97"/>
    <w:rsid w:val="00FD65EA"/>
    <w:rsid w:val="00FE588A"/>
    <w:rsid w:val="01314B16"/>
    <w:rsid w:val="01BC6756"/>
    <w:rsid w:val="029434E4"/>
    <w:rsid w:val="02A8648D"/>
    <w:rsid w:val="030F4ADF"/>
    <w:rsid w:val="037B371D"/>
    <w:rsid w:val="05FE0F09"/>
    <w:rsid w:val="07BE1B26"/>
    <w:rsid w:val="094E4D1C"/>
    <w:rsid w:val="0A4538D1"/>
    <w:rsid w:val="0CDA4FD1"/>
    <w:rsid w:val="0D134325"/>
    <w:rsid w:val="0E974065"/>
    <w:rsid w:val="1046082E"/>
    <w:rsid w:val="11430201"/>
    <w:rsid w:val="132C496B"/>
    <w:rsid w:val="140E3D3B"/>
    <w:rsid w:val="14DB64E8"/>
    <w:rsid w:val="162B60C9"/>
    <w:rsid w:val="16D276A1"/>
    <w:rsid w:val="17325F4A"/>
    <w:rsid w:val="18F5249F"/>
    <w:rsid w:val="1A1E1DBC"/>
    <w:rsid w:val="1B265E67"/>
    <w:rsid w:val="1B8269C9"/>
    <w:rsid w:val="1BF9747E"/>
    <w:rsid w:val="20815338"/>
    <w:rsid w:val="2177149D"/>
    <w:rsid w:val="229B7D44"/>
    <w:rsid w:val="22B3124C"/>
    <w:rsid w:val="2350793F"/>
    <w:rsid w:val="23587D54"/>
    <w:rsid w:val="241C01AD"/>
    <w:rsid w:val="258F19CD"/>
    <w:rsid w:val="25A77F86"/>
    <w:rsid w:val="25C9677E"/>
    <w:rsid w:val="26454417"/>
    <w:rsid w:val="26786A95"/>
    <w:rsid w:val="27844FD1"/>
    <w:rsid w:val="280D0900"/>
    <w:rsid w:val="28D14C84"/>
    <w:rsid w:val="29002EFF"/>
    <w:rsid w:val="2923311C"/>
    <w:rsid w:val="2A9C028E"/>
    <w:rsid w:val="2D3547C2"/>
    <w:rsid w:val="2DAD66D5"/>
    <w:rsid w:val="2E064E7D"/>
    <w:rsid w:val="31F76AA9"/>
    <w:rsid w:val="327875F1"/>
    <w:rsid w:val="32DB180D"/>
    <w:rsid w:val="32E324E5"/>
    <w:rsid w:val="34594E8A"/>
    <w:rsid w:val="34912E90"/>
    <w:rsid w:val="34AA02CE"/>
    <w:rsid w:val="37904B34"/>
    <w:rsid w:val="38425D5D"/>
    <w:rsid w:val="389D4AB7"/>
    <w:rsid w:val="39710539"/>
    <w:rsid w:val="39845961"/>
    <w:rsid w:val="3A3911E0"/>
    <w:rsid w:val="3B98304C"/>
    <w:rsid w:val="3BC91613"/>
    <w:rsid w:val="3C240189"/>
    <w:rsid w:val="3C8233D7"/>
    <w:rsid w:val="3E9A2744"/>
    <w:rsid w:val="3E9E3378"/>
    <w:rsid w:val="3ED26DB7"/>
    <w:rsid w:val="3F871E60"/>
    <w:rsid w:val="41025370"/>
    <w:rsid w:val="42F75357"/>
    <w:rsid w:val="435E5503"/>
    <w:rsid w:val="46305857"/>
    <w:rsid w:val="478C6DDB"/>
    <w:rsid w:val="488A1AED"/>
    <w:rsid w:val="48B9726A"/>
    <w:rsid w:val="49194FB2"/>
    <w:rsid w:val="49853558"/>
    <w:rsid w:val="4D9C62D2"/>
    <w:rsid w:val="4E3C072E"/>
    <w:rsid w:val="4EED3500"/>
    <w:rsid w:val="5087042A"/>
    <w:rsid w:val="517F61D8"/>
    <w:rsid w:val="53024306"/>
    <w:rsid w:val="53063229"/>
    <w:rsid w:val="5566620C"/>
    <w:rsid w:val="55F6168B"/>
    <w:rsid w:val="56AE2D37"/>
    <w:rsid w:val="57541825"/>
    <w:rsid w:val="588A017C"/>
    <w:rsid w:val="59C35625"/>
    <w:rsid w:val="5A033814"/>
    <w:rsid w:val="5B0C22FA"/>
    <w:rsid w:val="5E0704DD"/>
    <w:rsid w:val="5E87093D"/>
    <w:rsid w:val="5EFC5402"/>
    <w:rsid w:val="5FE618C9"/>
    <w:rsid w:val="600704D4"/>
    <w:rsid w:val="607971AB"/>
    <w:rsid w:val="62F4300B"/>
    <w:rsid w:val="63D73276"/>
    <w:rsid w:val="64A37030"/>
    <w:rsid w:val="66040457"/>
    <w:rsid w:val="66BC011A"/>
    <w:rsid w:val="68DE0B5A"/>
    <w:rsid w:val="68F60963"/>
    <w:rsid w:val="6A79587A"/>
    <w:rsid w:val="6ACF01F9"/>
    <w:rsid w:val="6B500671"/>
    <w:rsid w:val="6BBA378C"/>
    <w:rsid w:val="6CB127B6"/>
    <w:rsid w:val="6CD70806"/>
    <w:rsid w:val="6DFA687D"/>
    <w:rsid w:val="6E95247C"/>
    <w:rsid w:val="70676885"/>
    <w:rsid w:val="742951B6"/>
    <w:rsid w:val="76426BCC"/>
    <w:rsid w:val="7840538D"/>
    <w:rsid w:val="790B6F14"/>
    <w:rsid w:val="791D3642"/>
    <w:rsid w:val="7AA31CD8"/>
    <w:rsid w:val="7ACB24C1"/>
    <w:rsid w:val="7B617FE3"/>
    <w:rsid w:val="7CC060E0"/>
    <w:rsid w:val="7D526C61"/>
    <w:rsid w:val="7D7D2599"/>
    <w:rsid w:val="7DF907BF"/>
    <w:rsid w:val="7E6C56E9"/>
    <w:rsid w:val="7F1106ED"/>
    <w:rsid w:val="7F415ABB"/>
    <w:rsid w:val="7FE329B5"/>
    <w:rsid w:val="DBCB4D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3">
    <w:name w:val="annotation text"/>
    <w:basedOn w:val="1"/>
    <w:link w:val="15"/>
    <w:qFormat/>
    <w:uiPriority w:val="0"/>
    <w:pPr>
      <w:jc w:val="left"/>
    </w:pPr>
  </w:style>
  <w:style w:type="paragraph" w:styleId="4">
    <w:name w:val="Balloon Text"/>
    <w:basedOn w:val="1"/>
    <w:link w:val="19"/>
    <w:qFormat/>
    <w:uiPriority w:val="0"/>
    <w:rPr>
      <w:sz w:val="18"/>
      <w:szCs w:val="18"/>
    </w:rPr>
  </w:style>
  <w:style w:type="paragraph" w:styleId="5">
    <w:name w:val="footer"/>
    <w:basedOn w:val="1"/>
    <w:link w:val="14"/>
    <w:qFormat/>
    <w:uiPriority w:val="0"/>
    <w:pPr>
      <w:tabs>
        <w:tab w:val="center" w:pos="4153"/>
        <w:tab w:val="right" w:pos="8306"/>
      </w:tabs>
      <w:snapToGrid w:val="0"/>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rFonts w:cs="Times New Roman"/>
      <w:kern w:val="0"/>
      <w:sz w:val="24"/>
    </w:rPr>
  </w:style>
  <w:style w:type="paragraph" w:styleId="8">
    <w:name w:val="annotation subject"/>
    <w:basedOn w:val="3"/>
    <w:next w:val="3"/>
    <w:link w:val="16"/>
    <w:qFormat/>
    <w:uiPriority w:val="0"/>
    <w:rPr>
      <w:b/>
      <w:bCs/>
    </w:rPr>
  </w:style>
  <w:style w:type="character" w:styleId="11">
    <w:name w:val="annotation reference"/>
    <w:basedOn w:val="10"/>
    <w:qFormat/>
    <w:uiPriority w:val="0"/>
    <w:rPr>
      <w:sz w:val="21"/>
      <w:szCs w:val="21"/>
    </w:rPr>
  </w:style>
  <w:style w:type="paragraph" w:customStyle="1" w:styleId="12">
    <w:name w:val="列出段落1"/>
    <w:basedOn w:val="1"/>
    <w:qFormat/>
    <w:uiPriority w:val="34"/>
    <w:pPr>
      <w:ind w:firstLine="420" w:firstLineChars="200"/>
    </w:pPr>
  </w:style>
  <w:style w:type="character" w:customStyle="1" w:styleId="13">
    <w:name w:val="页眉 字符"/>
    <w:basedOn w:val="10"/>
    <w:link w:val="6"/>
    <w:qFormat/>
    <w:uiPriority w:val="0"/>
    <w:rPr>
      <w:rFonts w:asciiTheme="minorHAnsi" w:hAnsiTheme="minorHAnsi" w:eastAsiaTheme="minorEastAsia" w:cstheme="minorBidi"/>
      <w:kern w:val="2"/>
      <w:sz w:val="18"/>
      <w:szCs w:val="18"/>
    </w:rPr>
  </w:style>
  <w:style w:type="character" w:customStyle="1" w:styleId="14">
    <w:name w:val="页脚 字符"/>
    <w:basedOn w:val="10"/>
    <w:link w:val="5"/>
    <w:qFormat/>
    <w:uiPriority w:val="0"/>
    <w:rPr>
      <w:rFonts w:asciiTheme="minorHAnsi" w:hAnsiTheme="minorHAnsi" w:eastAsiaTheme="minorEastAsia" w:cstheme="minorBidi"/>
      <w:kern w:val="2"/>
      <w:sz w:val="18"/>
      <w:szCs w:val="18"/>
    </w:rPr>
  </w:style>
  <w:style w:type="character" w:customStyle="1" w:styleId="15">
    <w:name w:val="批注文字 字符"/>
    <w:basedOn w:val="10"/>
    <w:link w:val="3"/>
    <w:qFormat/>
    <w:uiPriority w:val="0"/>
    <w:rPr>
      <w:rFonts w:asciiTheme="minorHAnsi" w:hAnsiTheme="minorHAnsi" w:eastAsiaTheme="minorEastAsia" w:cstheme="minorBidi"/>
      <w:kern w:val="2"/>
      <w:sz w:val="21"/>
      <w:szCs w:val="24"/>
    </w:rPr>
  </w:style>
  <w:style w:type="character" w:customStyle="1" w:styleId="16">
    <w:name w:val="批注主题 字符"/>
    <w:basedOn w:val="15"/>
    <w:link w:val="8"/>
    <w:qFormat/>
    <w:uiPriority w:val="0"/>
    <w:rPr>
      <w:rFonts w:asciiTheme="minorHAnsi" w:hAnsiTheme="minorHAnsi" w:eastAsiaTheme="minorEastAsia" w:cstheme="minorBidi"/>
      <w:b/>
      <w:bCs/>
      <w:kern w:val="2"/>
      <w:sz w:val="21"/>
      <w:szCs w:val="24"/>
    </w:rPr>
  </w:style>
  <w:style w:type="paragraph" w:styleId="17">
    <w:name w:val="List Paragraph"/>
    <w:basedOn w:val="1"/>
    <w:qFormat/>
    <w:uiPriority w:val="99"/>
    <w:pPr>
      <w:ind w:firstLine="420" w:firstLineChars="200"/>
    </w:pPr>
  </w:style>
  <w:style w:type="character" w:customStyle="1" w:styleId="18">
    <w:name w:val="NormalCharacter"/>
    <w:qFormat/>
    <w:uiPriority w:val="0"/>
  </w:style>
  <w:style w:type="character" w:customStyle="1" w:styleId="19">
    <w:name w:val="批注框文本 字符"/>
    <w:basedOn w:val="10"/>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203</Words>
  <Characters>1161</Characters>
  <Lines>9</Lines>
  <Paragraphs>2</Paragraphs>
  <TotalTime>1</TotalTime>
  <ScaleCrop>false</ScaleCrop>
  <LinksUpToDate>false</LinksUpToDate>
  <CharactersWithSpaces>1362</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2026-10-21T05:09:00Z</dcterms:created>
  <dc:creator>^^Kate 丁琪</dc:creator>
  <cp:lastModifiedBy>user</cp:lastModifiedBy>
  <dcterms:modified xsi:type="dcterms:W3CDTF">2026-10-30T08:05:55Z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y fmtid="{D5CDD505-2E9C-101B-9397-08002B2CF9AE}" pid="3" name="ICV">
    <vt:lpwstr>DB3A1AE4071E422AB999B354D86D15B1_13</vt:lpwstr>
  </property>
  <property fmtid="{D5CDD505-2E9C-101B-9397-08002B2CF9AE}" pid="4" name="KSOTemplateDocerSaveRecord">
    <vt:lpwstr>eyJoZGlkIjoiNTE5YmMyMzRjNDM4ZjZhMzI2MTViZDY3YjRhYzJmOWEiLCJ1c2VySWQiOiIxNjM2MjUwNDUwIn0=</vt:lpwstr>
  </property>
</Properties>
</file>