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4701D">
      <w:pPr>
        <w:jc w:val="center"/>
        <w:rPr>
          <w:rFonts w:hint="eastAsia" w:ascii="宋体" w:hAnsi="宋体" w:cs="楷体"/>
          <w:color w:val="000000"/>
          <w:sz w:val="32"/>
          <w:szCs w:val="32"/>
        </w:rPr>
      </w:pPr>
      <w:r>
        <w:rPr>
          <w:rFonts w:hint="eastAsia" w:ascii="宋体" w:hAnsi="宋体" w:cs="楷体"/>
          <w:color w:val="000000"/>
          <w:sz w:val="32"/>
          <w:szCs w:val="32"/>
        </w:rPr>
        <w:t xml:space="preserve"> 静安区就业促进中心物业管理服务</w:t>
      </w:r>
    </w:p>
    <w:p w14:paraId="38BBBC1F">
      <w:pPr>
        <w:spacing w:line="360" w:lineRule="auto"/>
        <w:jc w:val="left"/>
        <w:rPr>
          <w:rFonts w:ascii="宋体"/>
          <w:b/>
          <w:sz w:val="28"/>
          <w:szCs w:val="28"/>
        </w:rPr>
      </w:pPr>
      <w:r>
        <w:rPr>
          <w:rFonts w:hint="eastAsia" w:ascii="宋体"/>
          <w:b/>
          <w:sz w:val="28"/>
          <w:szCs w:val="28"/>
        </w:rPr>
        <w:t>一、委托管理服务的物业概况</w:t>
      </w:r>
    </w:p>
    <w:p w14:paraId="1EA630BC">
      <w:pPr>
        <w:spacing w:line="360" w:lineRule="auto"/>
        <w:rPr>
          <w:rFonts w:ascii="宋体"/>
          <w:b/>
        </w:rPr>
      </w:pPr>
      <w:r>
        <w:rPr>
          <w:rFonts w:hint="eastAsia" w:ascii="宋体"/>
          <w:b/>
        </w:rPr>
        <w:t>（一）物业基本情况</w:t>
      </w:r>
    </w:p>
    <w:p w14:paraId="4EFDC2C4">
      <w:pPr>
        <w:spacing w:line="360" w:lineRule="auto"/>
        <w:ind w:firstLine="424" w:firstLineChars="202"/>
        <w:jc w:val="left"/>
        <w:rPr>
          <w:rFonts w:hint="eastAsia" w:ascii="宋体" w:hAnsi="宋体"/>
        </w:rPr>
      </w:pPr>
      <w:r>
        <w:rPr>
          <w:rFonts w:hint="eastAsia" w:ascii="宋体" w:hAnsi="宋体"/>
        </w:rPr>
        <w:t>物业名称：上海市静安区就业促进中心</w:t>
      </w:r>
    </w:p>
    <w:p w14:paraId="53F63E81">
      <w:pPr>
        <w:spacing w:line="360" w:lineRule="auto"/>
        <w:ind w:firstLine="424" w:firstLineChars="202"/>
        <w:jc w:val="left"/>
        <w:rPr>
          <w:rFonts w:hint="eastAsia" w:ascii="宋体" w:hAnsi="宋体"/>
        </w:rPr>
      </w:pPr>
      <w:r>
        <w:rPr>
          <w:rFonts w:hint="eastAsia" w:ascii="宋体" w:hAnsi="宋体"/>
        </w:rPr>
        <w:t>物业类型：办公场所</w:t>
      </w:r>
    </w:p>
    <w:p w14:paraId="67B6F50B">
      <w:pPr>
        <w:spacing w:line="360" w:lineRule="auto"/>
        <w:ind w:firstLine="424" w:firstLineChars="202"/>
        <w:jc w:val="left"/>
        <w:rPr>
          <w:rFonts w:hint="eastAsia" w:ascii="宋体" w:hAnsi="宋体"/>
        </w:rPr>
      </w:pPr>
      <w:r>
        <w:rPr>
          <w:rFonts w:hint="eastAsia" w:ascii="宋体" w:hAnsi="宋体"/>
        </w:rPr>
        <w:t>坐落位置：</w:t>
      </w:r>
    </w:p>
    <w:p w14:paraId="397F0997">
      <w:pPr>
        <w:spacing w:line="360" w:lineRule="auto"/>
        <w:ind w:firstLine="424" w:firstLineChars="202"/>
        <w:jc w:val="left"/>
        <w:rPr>
          <w:rFonts w:hint="eastAsia" w:ascii="宋体" w:hAnsi="宋体"/>
        </w:rPr>
      </w:pPr>
      <w:r>
        <w:rPr>
          <w:rFonts w:hint="eastAsia" w:ascii="宋体" w:hAnsi="宋体"/>
        </w:rPr>
        <w:t xml:space="preserve">1、万荣路 </w:t>
      </w:r>
      <w:r>
        <w:rPr>
          <w:rFonts w:ascii="宋体" w:hAnsi="宋体"/>
        </w:rPr>
        <w:t>908</w:t>
      </w:r>
      <w:r>
        <w:rPr>
          <w:rFonts w:hint="eastAsia" w:ascii="宋体" w:hAnsi="宋体"/>
        </w:rPr>
        <w:t xml:space="preserve"> 号、建筑面积：</w:t>
      </w:r>
      <w:r>
        <w:rPr>
          <w:rFonts w:ascii="宋体" w:hAnsi="宋体"/>
        </w:rPr>
        <w:t>6073</w:t>
      </w:r>
      <w:r>
        <w:rPr>
          <w:rFonts w:hint="eastAsia" w:ascii="宋体" w:hAnsi="宋体"/>
        </w:rPr>
        <w:t>平方米；</w:t>
      </w:r>
    </w:p>
    <w:p w14:paraId="6A7CDFCD">
      <w:pPr>
        <w:spacing w:line="360" w:lineRule="auto"/>
        <w:ind w:firstLine="424" w:firstLineChars="202"/>
        <w:jc w:val="left"/>
        <w:rPr>
          <w:rFonts w:hint="eastAsia" w:ascii="宋体" w:hAnsi="宋体"/>
        </w:rPr>
      </w:pPr>
      <w:r>
        <w:rPr>
          <w:rFonts w:hint="eastAsia" w:ascii="宋体" w:hAnsi="宋体"/>
        </w:rPr>
        <w:t>2、公兴路 7 号、建筑面积： 276 平方米；</w:t>
      </w:r>
    </w:p>
    <w:p w14:paraId="6D6EA03A">
      <w:pPr>
        <w:spacing w:line="360" w:lineRule="auto"/>
        <w:ind w:firstLine="424" w:firstLineChars="202"/>
        <w:jc w:val="left"/>
        <w:rPr>
          <w:rFonts w:hint="eastAsia" w:ascii="宋体" w:hAnsi="宋体"/>
        </w:rPr>
      </w:pPr>
      <w:r>
        <w:rPr>
          <w:rFonts w:hint="eastAsia" w:ascii="宋体" w:hAnsi="宋体"/>
        </w:rPr>
        <w:t>3、昌平路935号副楼一、二层、建筑面积：422.88平方米；</w:t>
      </w:r>
    </w:p>
    <w:p w14:paraId="06D45417">
      <w:pPr>
        <w:spacing w:line="360" w:lineRule="auto"/>
        <w:ind w:firstLine="424" w:firstLineChars="202"/>
        <w:jc w:val="left"/>
        <w:rPr>
          <w:rFonts w:hint="eastAsia" w:ascii="宋体" w:hAnsi="宋体"/>
        </w:rPr>
      </w:pPr>
      <w:r>
        <w:rPr>
          <w:rFonts w:hint="eastAsia" w:ascii="宋体" w:hAnsi="宋体"/>
        </w:rPr>
        <w:t>委托管理物业总建筑面积：6771.88平方米。</w:t>
      </w:r>
    </w:p>
    <w:p w14:paraId="1D5D1875">
      <w:pPr>
        <w:spacing w:line="360" w:lineRule="auto"/>
        <w:ind w:firstLine="420" w:firstLineChars="200"/>
        <w:rPr>
          <w:rFonts w:ascii="宋体"/>
        </w:rPr>
      </w:pPr>
      <w:r>
        <w:rPr>
          <w:rFonts w:hint="eastAsia" w:ascii="宋体" w:hAnsi="宋体"/>
        </w:rPr>
        <w:t>公用设施、设备及公共场所（地）情况：</w:t>
      </w:r>
    </w:p>
    <w:p w14:paraId="0C849C5E">
      <w:pPr>
        <w:spacing w:line="360" w:lineRule="auto"/>
        <w:ind w:firstLine="420" w:firstLineChars="200"/>
        <w:rPr>
          <w:rFonts w:ascii="宋体"/>
        </w:rPr>
      </w:pPr>
      <w:r>
        <w:rPr>
          <w:rFonts w:ascii="宋体" w:hAnsi="宋体"/>
        </w:rPr>
        <w:t>1</w:t>
      </w:r>
      <w:r>
        <w:rPr>
          <w:rFonts w:hint="eastAsia" w:ascii="宋体" w:hAnsi="宋体"/>
        </w:rPr>
        <w:t>、院区车辆出入口1个，人行出入口2个；</w:t>
      </w:r>
    </w:p>
    <w:p w14:paraId="1B4FE5E5">
      <w:pPr>
        <w:spacing w:line="360" w:lineRule="auto"/>
        <w:ind w:firstLine="420" w:firstLineChars="200"/>
        <w:rPr>
          <w:rFonts w:ascii="宋体"/>
        </w:rPr>
      </w:pPr>
      <w:r>
        <w:rPr>
          <w:rFonts w:hint="eastAsia" w:ascii="宋体" w:hAnsi="宋体"/>
        </w:rPr>
        <w:t>2、污水管，污水检查10井；雨水管，雨水检查10井，化粪池1座；</w:t>
      </w:r>
    </w:p>
    <w:p w14:paraId="17C17222">
      <w:pPr>
        <w:spacing w:line="360" w:lineRule="auto"/>
        <w:ind w:firstLine="420" w:firstLineChars="200"/>
        <w:rPr>
          <w:rFonts w:ascii="宋体"/>
        </w:rPr>
      </w:pPr>
      <w:r>
        <w:rPr>
          <w:rFonts w:hint="eastAsia" w:ascii="宋体" w:hAnsi="宋体"/>
        </w:rPr>
        <w:t>3、办公室照明设施；</w:t>
      </w:r>
    </w:p>
    <w:p w14:paraId="3D995454">
      <w:pPr>
        <w:spacing w:line="360" w:lineRule="auto"/>
        <w:ind w:firstLine="420" w:firstLineChars="200"/>
        <w:rPr>
          <w:rFonts w:ascii="宋体"/>
        </w:rPr>
      </w:pPr>
      <w:r>
        <w:rPr>
          <w:rFonts w:hint="eastAsia" w:ascii="宋体" w:hAnsi="宋体"/>
        </w:rPr>
        <w:t>4、垃圾房（或垃圾中转站）建筑面积50平方米；</w:t>
      </w:r>
    </w:p>
    <w:p w14:paraId="51E7CD49">
      <w:pPr>
        <w:spacing w:line="360" w:lineRule="auto"/>
        <w:ind w:firstLine="420" w:firstLineChars="200"/>
        <w:rPr>
          <w:rFonts w:ascii="宋体"/>
        </w:rPr>
      </w:pPr>
      <w:r>
        <w:rPr>
          <w:rFonts w:hint="eastAsia" w:ascii="宋体" w:hAnsi="宋体"/>
        </w:rPr>
        <w:t>5、停车场：停车位18个；</w:t>
      </w:r>
      <w:r>
        <w:rPr>
          <w:rFonts w:hint="eastAsia" w:ascii="宋体"/>
        </w:rPr>
        <w:t>非机动车停车位：非机动车停放设在一楼南通道。</w:t>
      </w:r>
    </w:p>
    <w:p w14:paraId="14E432A1">
      <w:pPr>
        <w:spacing w:line="360" w:lineRule="auto"/>
        <w:ind w:firstLine="420" w:firstLineChars="200"/>
        <w:rPr>
          <w:rFonts w:ascii="宋体"/>
        </w:rPr>
      </w:pPr>
      <w:r>
        <w:rPr>
          <w:rFonts w:hint="eastAsia" w:ascii="宋体" w:hAnsi="宋体"/>
        </w:rPr>
        <w:t>6、电梯1台</w:t>
      </w:r>
      <w:r>
        <w:rPr>
          <w:rFonts w:ascii="宋体"/>
        </w:rPr>
        <w:t xml:space="preserve"> </w:t>
      </w:r>
      <w:r>
        <w:rPr>
          <w:rFonts w:hint="eastAsia" w:ascii="宋体"/>
        </w:rPr>
        <w:t>；</w:t>
      </w:r>
    </w:p>
    <w:p w14:paraId="69BF3B7E">
      <w:pPr>
        <w:spacing w:line="360" w:lineRule="auto"/>
        <w:ind w:firstLine="420" w:firstLineChars="200"/>
        <w:rPr>
          <w:rFonts w:ascii="宋体"/>
        </w:rPr>
      </w:pPr>
      <w:r>
        <w:rPr>
          <w:rFonts w:hint="eastAsia" w:ascii="宋体" w:hAnsi="宋体"/>
        </w:rPr>
        <w:t>7、高压配电房</w:t>
      </w:r>
      <w:r>
        <w:rPr>
          <w:rFonts w:hint="eastAsia" w:ascii="宋体"/>
        </w:rPr>
        <w:t>；</w:t>
      </w:r>
    </w:p>
    <w:p w14:paraId="0864BFA8">
      <w:pPr>
        <w:spacing w:line="360" w:lineRule="auto"/>
        <w:ind w:firstLine="420" w:firstLineChars="200"/>
        <w:rPr>
          <w:rFonts w:ascii="宋体"/>
        </w:rPr>
      </w:pPr>
      <w:r>
        <w:rPr>
          <w:rFonts w:hint="eastAsia" w:ascii="宋体" w:hAnsi="宋体"/>
        </w:rPr>
        <w:t>8、生活蓄水池，消防水池，消防水箱；生活水泵1台，消防水泵1组；</w:t>
      </w:r>
    </w:p>
    <w:p w14:paraId="01EC3F8B">
      <w:pPr>
        <w:spacing w:line="360" w:lineRule="auto"/>
        <w:ind w:firstLine="420" w:firstLineChars="200"/>
        <w:rPr>
          <w:rFonts w:ascii="宋体"/>
        </w:rPr>
      </w:pPr>
      <w:r>
        <w:rPr>
          <w:rFonts w:hint="eastAsia" w:ascii="宋体" w:hAnsi="宋体"/>
        </w:rPr>
        <w:t>9、消防自动报警系统、消防灭火器；</w:t>
      </w:r>
    </w:p>
    <w:p w14:paraId="2A1EA795">
      <w:pPr>
        <w:spacing w:line="360" w:lineRule="auto"/>
        <w:rPr>
          <w:rFonts w:ascii="宋体"/>
        </w:rPr>
      </w:pPr>
      <w:r>
        <w:rPr>
          <w:rFonts w:hint="eastAsia" w:ascii="宋体"/>
          <w:b/>
        </w:rPr>
        <w:t>（二）各楼宇各层功能分布情况</w:t>
      </w:r>
    </w:p>
    <w:p w14:paraId="41423D12">
      <w:pPr>
        <w:spacing w:line="360" w:lineRule="auto"/>
        <w:ind w:firstLine="424" w:firstLineChars="202"/>
        <w:rPr>
          <w:rFonts w:ascii="宋体"/>
        </w:rPr>
      </w:pPr>
      <w:r>
        <w:rPr>
          <w:rFonts w:hint="eastAsia" w:ascii="宋体"/>
        </w:rPr>
        <w:t>1、万荣路908号</w:t>
      </w:r>
    </w:p>
    <w:p w14:paraId="69839E50">
      <w:pPr>
        <w:spacing w:line="360" w:lineRule="auto"/>
        <w:ind w:firstLine="424" w:firstLineChars="202"/>
        <w:rPr>
          <w:rFonts w:ascii="宋体"/>
        </w:rPr>
      </w:pPr>
      <w:r>
        <w:rPr>
          <w:rFonts w:ascii="宋体"/>
        </w:rPr>
        <w:t>南楼1F</w:t>
      </w:r>
      <w:r>
        <w:rPr>
          <w:rFonts w:hint="eastAsia" w:ascii="宋体"/>
        </w:rPr>
        <w:t>：档案室</w:t>
      </w:r>
    </w:p>
    <w:p w14:paraId="201E767B">
      <w:pPr>
        <w:spacing w:line="360" w:lineRule="auto"/>
        <w:ind w:firstLine="424" w:firstLineChars="202"/>
        <w:rPr>
          <w:rFonts w:ascii="宋体"/>
        </w:rPr>
      </w:pPr>
      <w:r>
        <w:rPr>
          <w:rFonts w:ascii="宋体"/>
        </w:rPr>
        <w:t>南楼</w:t>
      </w:r>
      <w:r>
        <w:rPr>
          <w:rFonts w:hint="eastAsia" w:ascii="宋体"/>
        </w:rPr>
        <w:t>2</w:t>
      </w:r>
      <w:r>
        <w:rPr>
          <w:rFonts w:ascii="宋体"/>
        </w:rPr>
        <w:t>F</w:t>
      </w:r>
      <w:r>
        <w:rPr>
          <w:rFonts w:hint="eastAsia" w:ascii="宋体"/>
        </w:rPr>
        <w:t>：多功能会议室、接待室</w:t>
      </w:r>
    </w:p>
    <w:p w14:paraId="1CB15FB6">
      <w:pPr>
        <w:spacing w:line="360" w:lineRule="auto"/>
        <w:ind w:firstLine="424" w:firstLineChars="202"/>
        <w:rPr>
          <w:rFonts w:ascii="宋体"/>
        </w:rPr>
      </w:pPr>
      <w:r>
        <w:rPr>
          <w:rFonts w:ascii="宋体"/>
        </w:rPr>
        <w:t>南楼3F</w:t>
      </w:r>
      <w:r>
        <w:rPr>
          <w:rFonts w:hint="eastAsia" w:ascii="宋体"/>
        </w:rPr>
        <w:t>、</w:t>
      </w:r>
      <w:r>
        <w:rPr>
          <w:rFonts w:ascii="宋体"/>
        </w:rPr>
        <w:t>4F</w:t>
      </w:r>
      <w:r>
        <w:rPr>
          <w:rFonts w:hint="eastAsia" w:ascii="宋体"/>
        </w:rPr>
        <w:t>：</w:t>
      </w:r>
      <w:r>
        <w:rPr>
          <w:rFonts w:ascii="宋体"/>
        </w:rPr>
        <w:t>办公室</w:t>
      </w:r>
    </w:p>
    <w:p w14:paraId="43476973">
      <w:pPr>
        <w:spacing w:line="360" w:lineRule="auto"/>
        <w:ind w:firstLine="424" w:firstLineChars="202"/>
        <w:rPr>
          <w:rFonts w:ascii="宋体"/>
        </w:rPr>
      </w:pPr>
      <w:r>
        <w:rPr>
          <w:rFonts w:hint="eastAsia" w:ascii="宋体"/>
        </w:rPr>
        <w:t>北楼1F:接待大厅</w:t>
      </w:r>
    </w:p>
    <w:p w14:paraId="604EA06F">
      <w:pPr>
        <w:spacing w:line="360" w:lineRule="auto"/>
        <w:ind w:firstLine="424" w:firstLineChars="202"/>
        <w:rPr>
          <w:rFonts w:ascii="宋体"/>
        </w:rPr>
      </w:pPr>
      <w:r>
        <w:rPr>
          <w:rFonts w:hint="eastAsia" w:ascii="宋体"/>
        </w:rPr>
        <w:t>北楼2F：多功能会议室</w:t>
      </w:r>
    </w:p>
    <w:p w14:paraId="5E9D789E">
      <w:pPr>
        <w:spacing w:line="360" w:lineRule="auto"/>
        <w:ind w:firstLine="424" w:firstLineChars="202"/>
        <w:rPr>
          <w:rFonts w:ascii="宋体"/>
        </w:rPr>
      </w:pPr>
      <w:r>
        <w:rPr>
          <w:rFonts w:hint="eastAsia" w:ascii="宋体"/>
        </w:rPr>
        <w:t>北楼3F：办公室</w:t>
      </w:r>
    </w:p>
    <w:p w14:paraId="31174BC2">
      <w:pPr>
        <w:spacing w:line="360" w:lineRule="auto"/>
        <w:ind w:firstLine="424" w:firstLineChars="202"/>
        <w:rPr>
          <w:rFonts w:ascii="宋体"/>
        </w:rPr>
      </w:pPr>
      <w:r>
        <w:rPr>
          <w:rFonts w:hint="eastAsia" w:ascii="宋体"/>
        </w:rPr>
        <w:t>中间过道：门卫，停车位，通道</w:t>
      </w:r>
    </w:p>
    <w:p w14:paraId="026A80BA">
      <w:pPr>
        <w:spacing w:line="360" w:lineRule="auto"/>
        <w:ind w:firstLine="424" w:firstLineChars="202"/>
        <w:rPr>
          <w:rFonts w:ascii="宋体"/>
        </w:rPr>
      </w:pPr>
      <w:r>
        <w:rPr>
          <w:rFonts w:hint="eastAsia" w:ascii="宋体"/>
        </w:rPr>
        <w:t>2、公兴路 7 号，公共就业服务站点、办公室</w:t>
      </w:r>
    </w:p>
    <w:p w14:paraId="2B5F6526">
      <w:pPr>
        <w:spacing w:line="360" w:lineRule="auto"/>
        <w:ind w:firstLine="424" w:firstLineChars="202"/>
        <w:rPr>
          <w:rFonts w:ascii="宋体"/>
        </w:rPr>
      </w:pPr>
      <w:r>
        <w:rPr>
          <w:rFonts w:hint="eastAsia" w:ascii="宋体"/>
        </w:rPr>
        <w:t>3、昌平路935号副楼一、二层，公共就业服务站点、办公室</w:t>
      </w:r>
    </w:p>
    <w:p w14:paraId="65C4A0FE">
      <w:pPr>
        <w:spacing w:line="360" w:lineRule="auto"/>
        <w:rPr>
          <w:rFonts w:hint="eastAsia" w:ascii="宋体" w:hAnsi="宋体"/>
          <w:b/>
          <w:szCs w:val="21"/>
        </w:rPr>
      </w:pPr>
      <w:r>
        <w:rPr>
          <w:rFonts w:hint="eastAsia" w:ascii="宋体"/>
          <w:b/>
        </w:rPr>
        <w:t>（三）业主方</w:t>
      </w:r>
      <w:r>
        <w:rPr>
          <w:rFonts w:hint="eastAsia" w:ascii="宋体" w:hAnsi="宋体"/>
          <w:b/>
          <w:szCs w:val="21"/>
        </w:rPr>
        <w:t>为物业服务企业提供的物业管理服务用房情况</w:t>
      </w:r>
    </w:p>
    <w:p w14:paraId="505D1FF1">
      <w:pPr>
        <w:spacing w:line="360" w:lineRule="auto"/>
        <w:ind w:firstLine="420" w:firstLineChars="200"/>
        <w:rPr>
          <w:rFonts w:hint="eastAsia" w:ascii="宋体" w:hAnsi="宋体"/>
        </w:rPr>
      </w:pPr>
      <w:r>
        <w:rPr>
          <w:rFonts w:hint="eastAsia" w:ascii="宋体" w:hAnsi="宋体"/>
        </w:rPr>
        <w:t>业主方提供物业管理用房：办公房1</w:t>
      </w:r>
      <w:r>
        <w:rPr>
          <w:rFonts w:hint="eastAsia" w:ascii="宋体" w:hAnsi="宋体"/>
          <w:u w:val="single"/>
        </w:rPr>
        <w:t>间</w:t>
      </w:r>
      <w:r>
        <w:rPr>
          <w:rFonts w:hint="eastAsia" w:ascii="宋体" w:hAnsi="宋体"/>
        </w:rPr>
        <w:t>；工作间4间；仓库2间。</w:t>
      </w:r>
    </w:p>
    <w:p w14:paraId="76374FE9">
      <w:pPr>
        <w:spacing w:line="360" w:lineRule="auto"/>
        <w:rPr>
          <w:rFonts w:hint="eastAsia"/>
          <w:b/>
          <w:sz w:val="28"/>
          <w:szCs w:val="28"/>
        </w:rPr>
      </w:pPr>
    </w:p>
    <w:p w14:paraId="7BD66D0F">
      <w:pPr>
        <w:spacing w:line="360" w:lineRule="auto"/>
        <w:rPr>
          <w:rFonts w:hint="eastAsia" w:ascii="宋体" w:hAnsi="宋体"/>
        </w:rPr>
      </w:pPr>
      <w:r>
        <w:rPr>
          <w:rFonts w:hint="eastAsia"/>
          <w:b/>
          <w:sz w:val="28"/>
          <w:szCs w:val="28"/>
        </w:rPr>
        <w:t>二、物业管理服务要求</w:t>
      </w:r>
    </w:p>
    <w:p w14:paraId="4FF3C8F9">
      <w:pPr>
        <w:widowControl/>
        <w:spacing w:before="100" w:beforeAutospacing="1" w:after="100" w:afterAutospacing="1"/>
        <w:jc w:val="left"/>
        <w:rPr>
          <w:rFonts w:cs="宋体"/>
          <w:b/>
          <w:bCs/>
          <w:color w:val="000000"/>
          <w:kern w:val="0"/>
          <w:sz w:val="24"/>
        </w:rPr>
      </w:pPr>
      <w:r>
        <w:rPr>
          <w:rFonts w:hint="eastAsia" w:cs="宋体"/>
          <w:b/>
          <w:bCs/>
          <w:color w:val="000000"/>
          <w:kern w:val="0"/>
          <w:sz w:val="24"/>
        </w:rPr>
        <w:t>（一）总体管理目标：</w:t>
      </w:r>
    </w:p>
    <w:p w14:paraId="20F88DBB">
      <w:pPr>
        <w:widowControl/>
        <w:spacing w:before="100" w:beforeAutospacing="1" w:after="100" w:afterAutospacing="1"/>
        <w:ind w:firstLine="117" w:firstLineChars="49"/>
        <w:jc w:val="left"/>
        <w:rPr>
          <w:rFonts w:cs="宋体"/>
          <w:bCs/>
          <w:color w:val="000000"/>
          <w:kern w:val="0"/>
          <w:sz w:val="24"/>
        </w:rPr>
      </w:pPr>
      <w:r>
        <w:rPr>
          <w:rFonts w:hint="eastAsia" w:cs="宋体"/>
          <w:bCs/>
          <w:color w:val="000000"/>
          <w:kern w:val="0"/>
          <w:sz w:val="24"/>
        </w:rPr>
        <w:t>1、服务期限</w:t>
      </w:r>
    </w:p>
    <w:p w14:paraId="5E876485">
      <w:pPr>
        <w:spacing w:line="360" w:lineRule="auto"/>
        <w:ind w:firstLine="410" w:firstLineChars="171"/>
        <w:rPr>
          <w:rFonts w:cs="宋体"/>
          <w:bCs/>
          <w:color w:val="000000"/>
          <w:kern w:val="0"/>
          <w:sz w:val="24"/>
        </w:rPr>
      </w:pPr>
      <w:r>
        <w:rPr>
          <w:rFonts w:hint="eastAsia" w:cs="宋体"/>
          <w:bCs/>
          <w:color w:val="000000"/>
          <w:kern w:val="0"/>
          <w:sz w:val="24"/>
        </w:rPr>
        <w:t>自2026年</w:t>
      </w:r>
      <w:r>
        <w:rPr>
          <w:rFonts w:hint="eastAsia" w:cs="宋体"/>
          <w:bCs/>
          <w:color w:val="000000"/>
          <w:kern w:val="0"/>
          <w:sz w:val="24"/>
          <w:lang w:val="en-US" w:eastAsia="zh-CN"/>
        </w:rPr>
        <w:t>2</w:t>
      </w:r>
      <w:r>
        <w:rPr>
          <w:rFonts w:hint="eastAsia" w:cs="宋体"/>
          <w:bCs/>
          <w:color w:val="000000"/>
          <w:kern w:val="0"/>
          <w:sz w:val="24"/>
        </w:rPr>
        <w:t>月起至2026年12月止</w:t>
      </w:r>
      <w:bookmarkStart w:id="0" w:name="交付日期"/>
      <w:r>
        <w:rPr>
          <w:rFonts w:hint="eastAsia" w:cs="宋体"/>
          <w:bCs/>
          <w:color w:val="000000"/>
          <w:kern w:val="0"/>
          <w:sz w:val="24"/>
        </w:rPr>
        <w:t>。</w:t>
      </w:r>
      <w:bookmarkEnd w:id="0"/>
    </w:p>
    <w:p w14:paraId="7E2A2D14">
      <w:pPr>
        <w:widowControl/>
        <w:spacing w:before="100" w:beforeAutospacing="1" w:after="100" w:afterAutospacing="1"/>
        <w:ind w:firstLine="102" w:firstLineChars="49"/>
        <w:jc w:val="left"/>
      </w:pPr>
      <w:r>
        <w:rPr>
          <w:rFonts w:hint="eastAsia"/>
        </w:rPr>
        <w:t>2、物业管理目标</w:t>
      </w:r>
    </w:p>
    <w:p w14:paraId="3816FF61">
      <w:pPr>
        <w:spacing w:line="360" w:lineRule="auto"/>
        <w:ind w:firstLine="420" w:firstLineChars="200"/>
        <w:rPr>
          <w:szCs w:val="21"/>
        </w:rPr>
      </w:pPr>
      <w:r>
        <w:rPr>
          <w:rFonts w:hint="eastAsia"/>
          <w:szCs w:val="21"/>
        </w:rPr>
        <w:t>确保物业管理区域房屋完好等级和正常使用；及时完成各项零星维修任务，维修合格率应为</w:t>
      </w:r>
      <w:r>
        <w:rPr>
          <w:szCs w:val="21"/>
        </w:rPr>
        <w:t>100%</w:t>
      </w:r>
      <w:r>
        <w:rPr>
          <w:rFonts w:hint="eastAsia"/>
          <w:szCs w:val="21"/>
        </w:rPr>
        <w:t>。有专业或资质要求的工作岗位，从业人员必须符合国家与上海市相关要求。</w:t>
      </w:r>
    </w:p>
    <w:p w14:paraId="420DB91B">
      <w:pPr>
        <w:widowControl/>
        <w:spacing w:before="100" w:beforeAutospacing="1" w:after="100" w:afterAutospacing="1"/>
        <w:jc w:val="left"/>
        <w:rPr>
          <w:rFonts w:cs="宋体"/>
          <w:b/>
          <w:bCs/>
          <w:color w:val="000000"/>
          <w:kern w:val="0"/>
          <w:sz w:val="24"/>
        </w:rPr>
      </w:pPr>
      <w:r>
        <w:rPr>
          <w:rFonts w:hint="eastAsia" w:cs="宋体"/>
          <w:b/>
          <w:bCs/>
          <w:color w:val="000000"/>
          <w:kern w:val="0"/>
          <w:sz w:val="24"/>
        </w:rPr>
        <w:t>（二）其他管理要求</w:t>
      </w:r>
    </w:p>
    <w:p w14:paraId="1CA0226F">
      <w:pPr>
        <w:spacing w:line="360" w:lineRule="auto"/>
        <w:ind w:firstLine="420" w:firstLineChars="200"/>
        <w:contextualSpacing/>
      </w:pPr>
      <w:r>
        <w:rPr>
          <w:rFonts w:hint="eastAsia"/>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04E5C0F3">
      <w:pPr>
        <w:spacing w:line="360" w:lineRule="auto"/>
        <w:contextualSpacing/>
      </w:pPr>
      <w:r>
        <w:rPr>
          <w:rFonts w:hint="eastAsia"/>
        </w:rPr>
        <w:t xml:space="preserve">    2.本次物业服务内容包括</w:t>
      </w:r>
      <w:r>
        <w:rPr>
          <w:rFonts w:hint="eastAsia"/>
          <w:u w:val="single"/>
        </w:rPr>
        <w:t>建筑物及设施设备管理、保洁管理、公共秩序维护、绿化管理、接待会议服务、延伸服务</w:t>
      </w:r>
      <w:r>
        <w:rPr>
          <w:rFonts w:hint="eastAsia"/>
        </w:rPr>
        <w:t>等内容。</w:t>
      </w:r>
    </w:p>
    <w:p w14:paraId="55EBA619">
      <w:pPr>
        <w:spacing w:line="360" w:lineRule="auto"/>
        <w:ind w:firstLine="420" w:firstLineChars="200"/>
        <w:contextualSpacing/>
        <w:rPr>
          <w:u w:val="single"/>
        </w:rPr>
      </w:pPr>
      <w:r>
        <w:rPr>
          <w:rFonts w:hint="eastAsia"/>
        </w:rPr>
        <w:t>3.服务费应包括</w:t>
      </w:r>
      <w:r>
        <w:rPr>
          <w:rFonts w:hint="eastAsia"/>
          <w:u w:val="single"/>
        </w:rPr>
        <w:t>人工综合费用（人员工资、奖金、社会统筹费、国定节假日加班费、</w:t>
      </w:r>
    </w:p>
    <w:p w14:paraId="5FF4BA12">
      <w:pPr>
        <w:spacing w:line="360" w:lineRule="auto"/>
        <w:contextualSpacing/>
      </w:pPr>
      <w:r>
        <w:rPr>
          <w:rFonts w:hint="eastAsia"/>
          <w:u w:val="single"/>
        </w:rPr>
        <w:t>工作餐费、高温费、审证费、劳防用品费、员工通讯费、带薪休假、员工工作服装费、退工费等项）、管理酬金、法定税金等</w:t>
      </w:r>
      <w:r>
        <w:rPr>
          <w:rFonts w:hint="eastAsia"/>
        </w:rPr>
        <w:t>物业公司为完成本项目工作所涉及的全部费用。</w:t>
      </w:r>
    </w:p>
    <w:p w14:paraId="0075E66A">
      <w:pPr>
        <w:spacing w:line="360" w:lineRule="auto"/>
        <w:ind w:firstLine="420" w:firstLineChars="200"/>
      </w:pPr>
      <w:r>
        <w:rPr>
          <w:rFonts w:hint="eastAsia"/>
        </w:rPr>
        <w:t>4.管理人员资格要求</w:t>
      </w:r>
    </w:p>
    <w:p w14:paraId="320906A6">
      <w:pPr>
        <w:spacing w:line="360" w:lineRule="auto"/>
        <w:ind w:firstLine="420" w:firstLineChars="200"/>
        <w:rPr>
          <w:rFonts w:ascii="宋体" w:hAnsi="Courier New"/>
          <w:szCs w:val="20"/>
        </w:rPr>
      </w:pPr>
      <w:r>
        <w:rPr>
          <w:rFonts w:hint="eastAsia" w:ascii="宋体" w:hAnsi="Courier New"/>
          <w:szCs w:val="20"/>
        </w:rPr>
        <w:t>(1) 项目经理: 具有大专以上，物业管理高级证书及3年以上政府项目物业管理经验</w:t>
      </w:r>
    </w:p>
    <w:p w14:paraId="36DF7117">
      <w:pPr>
        <w:spacing w:line="360" w:lineRule="auto"/>
        <w:ind w:firstLine="420" w:firstLineChars="200"/>
      </w:pPr>
      <w:r>
        <w:rPr>
          <w:rFonts w:hint="eastAsia" w:ascii="宋体" w:hAnsi="Courier New"/>
          <w:szCs w:val="20"/>
        </w:rPr>
        <w:t xml:space="preserve">(2) </w:t>
      </w:r>
      <w:r>
        <w:rPr>
          <w:rFonts w:hint="eastAsia"/>
        </w:rPr>
        <w:t>其他员工</w:t>
      </w:r>
    </w:p>
    <w:p w14:paraId="1D8F0942">
      <w:pPr>
        <w:spacing w:line="360" w:lineRule="auto"/>
        <w:ind w:firstLine="420" w:firstLineChars="200"/>
      </w:pPr>
      <w:r>
        <w:rPr>
          <w:rFonts w:hint="eastAsia"/>
        </w:rPr>
        <w:t>5.物业管理人员共设置个岗位数（该要求可根据实际情况设置）。</w:t>
      </w:r>
    </w:p>
    <w:p w14:paraId="4D426027">
      <w:pPr>
        <w:spacing w:line="360" w:lineRule="auto"/>
        <w:ind w:firstLine="420" w:firstLineChars="200"/>
        <w:rPr>
          <w:rFonts w:hint="eastAsia" w:ascii="宋体" w:hAnsi="宋体"/>
          <w:color w:val="FF0000"/>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610"/>
        <w:gridCol w:w="1401"/>
        <w:gridCol w:w="1686"/>
        <w:gridCol w:w="2819"/>
      </w:tblGrid>
      <w:tr w14:paraId="16F4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trPr>
        <w:tc>
          <w:tcPr>
            <w:tcW w:w="638" w:type="dxa"/>
            <w:noWrap/>
            <w:vAlign w:val="center"/>
          </w:tcPr>
          <w:p w14:paraId="579DAC0D">
            <w:pPr>
              <w:spacing w:line="280" w:lineRule="exact"/>
              <w:jc w:val="center"/>
              <w:rPr>
                <w:rFonts w:hint="eastAsia" w:asciiTheme="minorEastAsia" w:hAnsiTheme="minorEastAsia" w:eastAsiaTheme="minorEastAsia"/>
                <w:szCs w:val="21"/>
              </w:rPr>
            </w:pPr>
            <w:r>
              <w:rPr>
                <w:rFonts w:asciiTheme="minorEastAsia" w:hAnsiTheme="minorEastAsia" w:eastAsiaTheme="minorEastAsia"/>
                <w:b/>
                <w:bCs/>
                <w:szCs w:val="21"/>
              </w:rPr>
              <w:t>序号</w:t>
            </w:r>
          </w:p>
        </w:tc>
        <w:tc>
          <w:tcPr>
            <w:tcW w:w="1610" w:type="dxa"/>
            <w:noWrap/>
            <w:vAlign w:val="center"/>
          </w:tcPr>
          <w:p w14:paraId="417FCC3E">
            <w:pPr>
              <w:spacing w:line="280" w:lineRule="exact"/>
              <w:jc w:val="center"/>
              <w:rPr>
                <w:rFonts w:hint="eastAsia" w:asciiTheme="minorEastAsia" w:hAnsiTheme="minorEastAsia" w:eastAsiaTheme="minorEastAsia"/>
                <w:szCs w:val="21"/>
              </w:rPr>
            </w:pPr>
            <w:r>
              <w:rPr>
                <w:rFonts w:asciiTheme="minorEastAsia" w:hAnsiTheme="minorEastAsia" w:eastAsiaTheme="minorEastAsia"/>
                <w:b/>
                <w:bCs/>
                <w:szCs w:val="21"/>
              </w:rPr>
              <w:t>岗位</w:t>
            </w:r>
          </w:p>
        </w:tc>
        <w:tc>
          <w:tcPr>
            <w:tcW w:w="1401" w:type="dxa"/>
            <w:noWrap/>
            <w:vAlign w:val="center"/>
          </w:tcPr>
          <w:p w14:paraId="015B96D4">
            <w:pPr>
              <w:spacing w:line="280" w:lineRule="exact"/>
              <w:jc w:val="center"/>
              <w:rPr>
                <w:rFonts w:hint="eastAsia" w:asciiTheme="minorEastAsia" w:hAnsiTheme="minorEastAsia" w:eastAsiaTheme="minorEastAsia"/>
                <w:szCs w:val="21"/>
              </w:rPr>
            </w:pPr>
            <w:r>
              <w:rPr>
                <w:rFonts w:asciiTheme="minorEastAsia" w:hAnsiTheme="minorEastAsia" w:eastAsiaTheme="minorEastAsia"/>
                <w:b/>
                <w:bCs/>
                <w:szCs w:val="21"/>
              </w:rPr>
              <w:t>岗位数</w:t>
            </w:r>
          </w:p>
        </w:tc>
        <w:tc>
          <w:tcPr>
            <w:tcW w:w="1686" w:type="dxa"/>
            <w:vAlign w:val="center"/>
          </w:tcPr>
          <w:p w14:paraId="3C5C879D">
            <w:pPr>
              <w:spacing w:line="280" w:lineRule="exact"/>
              <w:jc w:val="center"/>
              <w:rPr>
                <w:rFonts w:hint="eastAsia" w:asciiTheme="minorEastAsia" w:hAnsiTheme="minorEastAsia" w:eastAsiaTheme="minorEastAsia"/>
                <w:szCs w:val="21"/>
              </w:rPr>
            </w:pPr>
            <w:r>
              <w:rPr>
                <w:rFonts w:asciiTheme="minorEastAsia" w:hAnsiTheme="minorEastAsia" w:eastAsiaTheme="minorEastAsia"/>
                <w:b/>
                <w:bCs/>
                <w:szCs w:val="21"/>
              </w:rPr>
              <w:t>工作时间</w:t>
            </w:r>
          </w:p>
        </w:tc>
        <w:tc>
          <w:tcPr>
            <w:tcW w:w="2819" w:type="dxa"/>
            <w:vAlign w:val="center"/>
          </w:tcPr>
          <w:p w14:paraId="120E2551">
            <w:pPr>
              <w:spacing w:line="280" w:lineRule="exact"/>
              <w:jc w:val="center"/>
              <w:rPr>
                <w:rFonts w:hint="eastAsia" w:asciiTheme="minorEastAsia" w:hAnsiTheme="minorEastAsia" w:eastAsiaTheme="minorEastAsia"/>
                <w:b/>
                <w:szCs w:val="21"/>
              </w:rPr>
            </w:pPr>
            <w:r>
              <w:rPr>
                <w:rFonts w:hint="eastAsia" w:asciiTheme="minorEastAsia" w:hAnsiTheme="minorEastAsia" w:eastAsiaTheme="minorEastAsia"/>
                <w:b/>
                <w:bCs/>
                <w:szCs w:val="21"/>
              </w:rPr>
              <w:t>要求</w:t>
            </w:r>
          </w:p>
        </w:tc>
      </w:tr>
      <w:tr w14:paraId="01A2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638" w:type="dxa"/>
            <w:noWrap/>
            <w:vAlign w:val="center"/>
          </w:tcPr>
          <w:p w14:paraId="317FACA8">
            <w:pPr>
              <w:spacing w:line="280" w:lineRule="exact"/>
              <w:jc w:val="center"/>
              <w:rPr>
                <w:rFonts w:hint="eastAsia" w:asciiTheme="minorEastAsia" w:hAnsiTheme="minorEastAsia" w:eastAsiaTheme="minorEastAsia"/>
                <w:szCs w:val="21"/>
              </w:rPr>
            </w:pPr>
            <w:r>
              <w:rPr>
                <w:rFonts w:asciiTheme="minorEastAsia" w:hAnsiTheme="minorEastAsia" w:eastAsiaTheme="minorEastAsia"/>
                <w:bCs/>
                <w:szCs w:val="21"/>
              </w:rPr>
              <w:t>1</w:t>
            </w:r>
          </w:p>
        </w:tc>
        <w:tc>
          <w:tcPr>
            <w:tcW w:w="1610" w:type="dxa"/>
            <w:noWrap/>
            <w:vAlign w:val="center"/>
          </w:tcPr>
          <w:p w14:paraId="66BFEFCF">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项目经理（</w:t>
            </w:r>
            <w:r>
              <w:rPr>
                <w:rFonts w:asciiTheme="minorEastAsia" w:hAnsiTheme="minorEastAsia" w:eastAsiaTheme="minorEastAsia"/>
                <w:color w:val="000000" w:themeColor="text1"/>
                <w:szCs w:val="21"/>
                <w14:textFill>
                  <w14:solidFill>
                    <w14:schemeClr w14:val="tx1"/>
                  </w14:solidFill>
                </w14:textFill>
              </w:rPr>
              <w:t>物业经理</w:t>
            </w:r>
            <w:r>
              <w:rPr>
                <w:rFonts w:hint="eastAsia" w:asciiTheme="minorEastAsia" w:hAnsiTheme="minorEastAsia" w:eastAsiaTheme="minorEastAsia"/>
                <w:color w:val="000000" w:themeColor="text1"/>
                <w:szCs w:val="21"/>
                <w14:textFill>
                  <w14:solidFill>
                    <w14:schemeClr w14:val="tx1"/>
                  </w14:solidFill>
                </w14:textFill>
              </w:rPr>
              <w:t>）</w:t>
            </w:r>
          </w:p>
        </w:tc>
        <w:tc>
          <w:tcPr>
            <w:tcW w:w="1401" w:type="dxa"/>
            <w:noWrap/>
            <w:vAlign w:val="center"/>
          </w:tcPr>
          <w:p w14:paraId="09AE5910">
            <w:pPr>
              <w:spacing w:line="280" w:lineRule="exact"/>
              <w:ind w:left="-443" w:leftChars="-211" w:firstLine="441" w:firstLineChars="210"/>
              <w:jc w:val="center"/>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w:t>
            </w:r>
          </w:p>
        </w:tc>
        <w:tc>
          <w:tcPr>
            <w:tcW w:w="1686" w:type="dxa"/>
            <w:vAlign w:val="center"/>
          </w:tcPr>
          <w:p w14:paraId="7A7C181C">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周一到周</w:t>
            </w:r>
            <w:r>
              <w:rPr>
                <w:rFonts w:hint="eastAsia" w:asciiTheme="minorEastAsia" w:hAnsiTheme="minorEastAsia" w:eastAsiaTheme="minorEastAsia"/>
                <w:color w:val="000000" w:themeColor="text1"/>
                <w:szCs w:val="21"/>
                <w14:textFill>
                  <w14:solidFill>
                    <w14:schemeClr w14:val="tx1"/>
                  </w14:solidFill>
                </w14:textFill>
              </w:rPr>
              <w:t>日</w:t>
            </w:r>
            <w:r>
              <w:rPr>
                <w:rFonts w:asciiTheme="minorEastAsia" w:hAnsiTheme="minorEastAsia" w:eastAsiaTheme="minorEastAsia"/>
                <w:color w:val="000000" w:themeColor="text1"/>
                <w:szCs w:val="21"/>
                <w14:textFill>
                  <w14:solidFill>
                    <w14:schemeClr w14:val="tx1"/>
                  </w14:solidFill>
                </w14:textFill>
              </w:rPr>
              <w:t>8：30-17：</w:t>
            </w:r>
            <w:r>
              <w:rPr>
                <w:rFonts w:hint="eastAsia" w:asciiTheme="minorEastAsia" w:hAnsiTheme="minorEastAsia" w:eastAsiaTheme="minorEastAsia"/>
                <w:color w:val="000000" w:themeColor="text1"/>
                <w:szCs w:val="21"/>
                <w14:textFill>
                  <w14:solidFill>
                    <w14:schemeClr w14:val="tx1"/>
                  </w14:solidFill>
                </w14:textFill>
              </w:rPr>
              <w:t>0</w:t>
            </w:r>
            <w:r>
              <w:rPr>
                <w:rFonts w:asciiTheme="minorEastAsia" w:hAnsiTheme="minorEastAsia" w:eastAsiaTheme="minorEastAsia"/>
                <w:color w:val="000000" w:themeColor="text1"/>
                <w:szCs w:val="21"/>
                <w14:textFill>
                  <w14:solidFill>
                    <w14:schemeClr w14:val="tx1"/>
                  </w14:solidFill>
                </w14:textFill>
              </w:rPr>
              <w:t>0</w:t>
            </w:r>
          </w:p>
          <w:p w14:paraId="01BB7E22">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p>
        </w:tc>
        <w:tc>
          <w:tcPr>
            <w:tcW w:w="2819" w:type="dxa"/>
            <w:vAlign w:val="center"/>
          </w:tcPr>
          <w:p w14:paraId="3B662F61">
            <w:pPr>
              <w:spacing w:line="280" w:lineRule="exact"/>
              <w:rPr>
                <w:rFonts w:hint="eastAsia" w:asciiTheme="minorEastAsia" w:hAnsiTheme="minorEastAsia" w:eastAsiaTheme="minorEastAsia"/>
                <w:color w:val="FF0000"/>
                <w:szCs w:val="21"/>
              </w:rPr>
            </w:pPr>
            <w:r>
              <w:rPr>
                <w:rFonts w:hint="eastAsia" w:ascii="宋体" w:hAnsi="宋体" w:cs="宋体"/>
                <w:kern w:val="0"/>
                <w:sz w:val="20"/>
                <w:szCs w:val="20"/>
              </w:rPr>
              <w:t>具有大专以上，物业管理高级证书及3年以上政府项目物业管理经验</w:t>
            </w:r>
          </w:p>
        </w:tc>
      </w:tr>
      <w:tr w14:paraId="5C3EE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38" w:type="dxa"/>
            <w:noWrap/>
            <w:vAlign w:val="center"/>
          </w:tcPr>
          <w:p w14:paraId="0560BC78">
            <w:pPr>
              <w:spacing w:line="28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1610" w:type="dxa"/>
            <w:noWrap/>
            <w:vAlign w:val="center"/>
          </w:tcPr>
          <w:p w14:paraId="7FA9820E">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安全员</w:t>
            </w:r>
          </w:p>
        </w:tc>
        <w:tc>
          <w:tcPr>
            <w:tcW w:w="1401" w:type="dxa"/>
            <w:noWrap/>
            <w:vAlign w:val="center"/>
          </w:tcPr>
          <w:p w14:paraId="209A53AA">
            <w:pPr>
              <w:spacing w:line="280" w:lineRule="exact"/>
              <w:ind w:left="-443" w:leftChars="-211" w:firstLine="441" w:firstLineChars="21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1686" w:type="dxa"/>
            <w:vAlign w:val="center"/>
          </w:tcPr>
          <w:p w14:paraId="062551DD">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周一至周五8:30-17:00</w:t>
            </w:r>
          </w:p>
        </w:tc>
        <w:tc>
          <w:tcPr>
            <w:tcW w:w="2819" w:type="dxa"/>
            <w:vAlign w:val="center"/>
          </w:tcPr>
          <w:p w14:paraId="587F5E91">
            <w:pPr>
              <w:spacing w:line="280" w:lineRule="exact"/>
              <w:rPr>
                <w:rFonts w:hint="eastAsia" w:asciiTheme="minorEastAsia" w:hAnsiTheme="minorEastAsia" w:eastAsiaTheme="minorEastAsia"/>
                <w:color w:val="FF0000"/>
                <w:szCs w:val="21"/>
              </w:rPr>
            </w:pPr>
            <w:r>
              <w:rPr>
                <w:rFonts w:hint="eastAsia" w:ascii="宋体" w:hAnsi="宋体" w:cs="宋体"/>
                <w:kern w:val="0"/>
                <w:sz w:val="20"/>
                <w:szCs w:val="20"/>
              </w:rPr>
              <w:t>具有大专以上学历，负责对重点区域如接待大厅、办事窗口、档案室、办公室的巡查，并有巡视记录，认真做好安全防范及防火工作</w:t>
            </w:r>
          </w:p>
        </w:tc>
      </w:tr>
      <w:tr w14:paraId="7C6F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638" w:type="dxa"/>
            <w:noWrap/>
            <w:vAlign w:val="center"/>
          </w:tcPr>
          <w:p w14:paraId="46C39548">
            <w:pPr>
              <w:spacing w:line="28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1610" w:type="dxa"/>
            <w:noWrap/>
            <w:vAlign w:val="center"/>
          </w:tcPr>
          <w:p w14:paraId="1CF8D2EA">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保安</w:t>
            </w:r>
          </w:p>
        </w:tc>
        <w:tc>
          <w:tcPr>
            <w:tcW w:w="1401" w:type="dxa"/>
            <w:noWrap/>
            <w:vAlign w:val="center"/>
          </w:tcPr>
          <w:p w14:paraId="016C2546">
            <w:pPr>
              <w:ind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万荣路：常日班</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岗。</w:t>
            </w:r>
          </w:p>
          <w:p w14:paraId="3F9E0652">
            <w:pPr>
              <w:ind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昌平路：常日班</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岗。</w:t>
            </w:r>
          </w:p>
          <w:p w14:paraId="39E638E8">
            <w:pPr>
              <w:ind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公兴路：常日班</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岗</w:t>
            </w:r>
          </w:p>
          <w:p w14:paraId="56C88287">
            <w:pPr>
              <w:spacing w:line="280" w:lineRule="exact"/>
              <w:ind w:left="-443" w:leftChars="-211" w:firstLine="441" w:firstLineChars="210"/>
              <w:jc w:val="center"/>
              <w:rPr>
                <w:rFonts w:hint="eastAsia" w:asciiTheme="minorEastAsia" w:hAnsiTheme="minorEastAsia" w:eastAsiaTheme="minorEastAsia"/>
                <w:color w:val="000000" w:themeColor="text1"/>
                <w:szCs w:val="21"/>
                <w14:textFill>
                  <w14:solidFill>
                    <w14:schemeClr w14:val="tx1"/>
                  </w14:solidFill>
                </w14:textFill>
              </w:rPr>
            </w:pPr>
          </w:p>
        </w:tc>
        <w:tc>
          <w:tcPr>
            <w:tcW w:w="1686" w:type="dxa"/>
            <w:vAlign w:val="center"/>
          </w:tcPr>
          <w:p w14:paraId="4AF6C7AB">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万荣路：常日班岗（周一至周六）</w:t>
            </w:r>
          </w:p>
          <w:p w14:paraId="1122C583">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昌平路：常日班（周一至周五）</w:t>
            </w:r>
          </w:p>
          <w:p w14:paraId="44F212B7">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公兴路：常日班（周一至周五）</w:t>
            </w:r>
          </w:p>
          <w:p w14:paraId="47EE57BD">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p>
        </w:tc>
        <w:tc>
          <w:tcPr>
            <w:tcW w:w="2819" w:type="dxa"/>
            <w:vAlign w:val="center"/>
          </w:tcPr>
          <w:p w14:paraId="2015EE4E">
            <w:pPr>
              <w:spacing w:line="280" w:lineRule="exact"/>
              <w:rPr>
                <w:rFonts w:hint="eastAsia" w:asciiTheme="minorEastAsia" w:hAnsiTheme="minorEastAsia" w:eastAsiaTheme="minorEastAsia"/>
                <w:color w:val="FF0000"/>
                <w:szCs w:val="21"/>
              </w:rPr>
            </w:pPr>
            <w:r>
              <w:rPr>
                <w:rFonts w:hint="eastAsia" w:ascii="宋体" w:hAnsi="宋体" w:cs="宋体"/>
                <w:kern w:val="0"/>
                <w:sz w:val="20"/>
                <w:szCs w:val="20"/>
              </w:rPr>
              <w:t>具有保安员上岗证。保证接待服务时间（白天8：30－17：00时）各楼层、对外接待大厅、窗口应有保安巡视，并有巡视记录。对违反公共场所秩序的人员加以劝阻，如吸烟、喧哗、随地吐痰及乱扔果皮纸屑、破坏公物及公共设施等；检查沿线通道、走廊、绿化带。</w:t>
            </w:r>
          </w:p>
        </w:tc>
      </w:tr>
      <w:tr w14:paraId="03BF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38" w:type="dxa"/>
            <w:noWrap/>
            <w:vAlign w:val="center"/>
          </w:tcPr>
          <w:p w14:paraId="650A4790">
            <w:pPr>
              <w:spacing w:line="28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4</w:t>
            </w:r>
          </w:p>
        </w:tc>
        <w:tc>
          <w:tcPr>
            <w:tcW w:w="1610" w:type="dxa"/>
            <w:noWrap/>
            <w:vAlign w:val="center"/>
          </w:tcPr>
          <w:p w14:paraId="2FC552D0">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保安</w:t>
            </w:r>
          </w:p>
        </w:tc>
        <w:tc>
          <w:tcPr>
            <w:tcW w:w="1401" w:type="dxa"/>
            <w:noWrap/>
            <w:vAlign w:val="center"/>
          </w:tcPr>
          <w:p w14:paraId="0209FE41">
            <w:pPr>
              <w:ind w:left="210" w:leftChars="100"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万荣路2</w:t>
            </w:r>
            <w:r>
              <w:rPr>
                <w:rFonts w:asciiTheme="minorEastAsia" w:hAnsiTheme="minorEastAsia" w:eastAsiaTheme="minorEastAsia"/>
                <w:color w:val="000000" w:themeColor="text1"/>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小时轮班2岗位</w:t>
            </w:r>
          </w:p>
          <w:p w14:paraId="3A0FE6F7">
            <w:pPr>
              <w:spacing w:line="280" w:lineRule="exact"/>
              <w:ind w:left="-443" w:leftChars="-211" w:firstLine="441" w:firstLineChars="210"/>
              <w:jc w:val="center"/>
              <w:rPr>
                <w:rFonts w:hint="eastAsia" w:asciiTheme="minorEastAsia" w:hAnsiTheme="minorEastAsia" w:eastAsiaTheme="minorEastAsia"/>
                <w:color w:val="000000" w:themeColor="text1"/>
                <w:szCs w:val="21"/>
                <w14:textFill>
                  <w14:solidFill>
                    <w14:schemeClr w14:val="tx1"/>
                  </w14:solidFill>
                </w14:textFill>
              </w:rPr>
            </w:pPr>
          </w:p>
        </w:tc>
        <w:tc>
          <w:tcPr>
            <w:tcW w:w="1686" w:type="dxa"/>
            <w:vAlign w:val="center"/>
          </w:tcPr>
          <w:p w14:paraId="6ED15282">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两两制翻班</w:t>
            </w:r>
          </w:p>
        </w:tc>
        <w:tc>
          <w:tcPr>
            <w:tcW w:w="2819" w:type="dxa"/>
            <w:vAlign w:val="center"/>
          </w:tcPr>
          <w:p w14:paraId="092BC423">
            <w:pPr>
              <w:spacing w:line="280" w:lineRule="exac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具有保安员上岗证。各楼层、对外接待大厅、窗口应有保安巡视，并有巡视记录。对违反公共场所秩序的人员加以劝阻，如吸烟、喧哗、随地吐痰及乱扔果皮纸屑、破坏公物及公共设施等；检查沿线通道、走廊、绿化带。</w:t>
            </w:r>
          </w:p>
        </w:tc>
      </w:tr>
      <w:tr w14:paraId="48EC1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38" w:type="dxa"/>
            <w:noWrap/>
            <w:vAlign w:val="center"/>
          </w:tcPr>
          <w:p w14:paraId="32DE2E1D">
            <w:pPr>
              <w:spacing w:line="28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5</w:t>
            </w:r>
          </w:p>
        </w:tc>
        <w:tc>
          <w:tcPr>
            <w:tcW w:w="1610" w:type="dxa"/>
            <w:noWrap/>
            <w:vAlign w:val="center"/>
          </w:tcPr>
          <w:p w14:paraId="2381C4D0">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保洁</w:t>
            </w:r>
          </w:p>
        </w:tc>
        <w:tc>
          <w:tcPr>
            <w:tcW w:w="1401" w:type="dxa"/>
            <w:noWrap/>
            <w:vAlign w:val="center"/>
          </w:tcPr>
          <w:p w14:paraId="0288233F">
            <w:pPr>
              <w:ind w:left="210" w:leftChars="100"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万荣路：常日班7岗（周六2岗）</w:t>
            </w:r>
          </w:p>
        </w:tc>
        <w:tc>
          <w:tcPr>
            <w:tcW w:w="1686" w:type="dxa"/>
            <w:vAlign w:val="center"/>
          </w:tcPr>
          <w:p w14:paraId="2CA7F914">
            <w:pPr>
              <w:ind w:left="210" w:leftChars="100"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周一至周五8:30-16:00周六8:30-11:30</w:t>
            </w:r>
          </w:p>
        </w:tc>
        <w:tc>
          <w:tcPr>
            <w:tcW w:w="2819" w:type="dxa"/>
            <w:vAlign w:val="center"/>
          </w:tcPr>
          <w:p w14:paraId="627BE7DB">
            <w:pPr>
              <w:spacing w:line="280" w:lineRule="exac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负责中心所有公共区域（包括大楼门厅、走廊、配电间、室内玻璃平面、办公室、档案室、会议室、机房、茶水间、员工食堂、楼梯、卫生间等地面、内外墙面、门窗玻璃、桌椅板凳、公共设施的日常清扫、保洁工作。</w:t>
            </w:r>
          </w:p>
        </w:tc>
      </w:tr>
      <w:tr w14:paraId="7A83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38" w:type="dxa"/>
            <w:noWrap/>
            <w:vAlign w:val="center"/>
          </w:tcPr>
          <w:p w14:paraId="1FDE4A84">
            <w:pPr>
              <w:spacing w:line="280" w:lineRule="exact"/>
              <w:jc w:val="center"/>
              <w:rPr>
                <w:rFonts w:hint="eastAsia" w:asciiTheme="minorEastAsia" w:hAnsiTheme="minorEastAsia" w:eastAsiaTheme="minorEastAsia"/>
                <w:bCs/>
                <w:szCs w:val="21"/>
              </w:rPr>
            </w:pPr>
            <w:r>
              <w:rPr>
                <w:rFonts w:hint="eastAsia" w:asciiTheme="minorEastAsia" w:hAnsiTheme="minorEastAsia" w:eastAsiaTheme="minorEastAsia"/>
                <w:bCs/>
                <w:szCs w:val="21"/>
              </w:rPr>
              <w:t>6</w:t>
            </w:r>
          </w:p>
        </w:tc>
        <w:tc>
          <w:tcPr>
            <w:tcW w:w="1610" w:type="dxa"/>
            <w:noWrap/>
            <w:vAlign w:val="center"/>
          </w:tcPr>
          <w:p w14:paraId="4B60E38B">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保洁</w:t>
            </w:r>
          </w:p>
        </w:tc>
        <w:tc>
          <w:tcPr>
            <w:tcW w:w="1401" w:type="dxa"/>
            <w:noWrap/>
            <w:vAlign w:val="center"/>
          </w:tcPr>
          <w:p w14:paraId="6A63C600">
            <w:pPr>
              <w:ind w:left="210" w:leftChars="100"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昌平路：常日班</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岗。</w:t>
            </w:r>
          </w:p>
          <w:p w14:paraId="77575255">
            <w:pPr>
              <w:ind w:left="210" w:leftChars="100"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公兴路：常日班</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岗</w:t>
            </w:r>
          </w:p>
        </w:tc>
        <w:tc>
          <w:tcPr>
            <w:tcW w:w="1686" w:type="dxa"/>
            <w:vAlign w:val="center"/>
          </w:tcPr>
          <w:p w14:paraId="25CCFADD">
            <w:pPr>
              <w:ind w:left="210" w:leftChars="100"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周一至周五</w:t>
            </w:r>
          </w:p>
        </w:tc>
        <w:tc>
          <w:tcPr>
            <w:tcW w:w="2819" w:type="dxa"/>
            <w:vAlign w:val="center"/>
          </w:tcPr>
          <w:p w14:paraId="20AEA0C1">
            <w:pPr>
              <w:spacing w:line="280" w:lineRule="exac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负责中心所有公共区域（包括大楼门厅、走廊、配电间、室内玻璃平面、办公室、档案室、会议室、机房、茶水间、员工食堂、楼梯、卫生间等地面、内外墙面、门窗玻璃、桌椅板凳、公共设施的日常清扫、保洁工作。</w:t>
            </w:r>
          </w:p>
        </w:tc>
      </w:tr>
      <w:tr w14:paraId="7ECC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38" w:type="dxa"/>
            <w:noWrap/>
            <w:vAlign w:val="center"/>
          </w:tcPr>
          <w:p w14:paraId="1C5EFBFF">
            <w:pPr>
              <w:spacing w:line="280" w:lineRule="exact"/>
              <w:jc w:val="center"/>
              <w:rPr>
                <w:rFonts w:hint="eastAsia" w:asciiTheme="minorEastAsia" w:hAnsiTheme="minorEastAsia" w:eastAsiaTheme="minorEastAsia"/>
                <w:bCs/>
                <w:color w:val="auto"/>
                <w:szCs w:val="21"/>
              </w:rPr>
            </w:pPr>
            <w:r>
              <w:rPr>
                <w:rFonts w:hint="eastAsia" w:asciiTheme="minorEastAsia" w:hAnsiTheme="minorEastAsia" w:eastAsiaTheme="minorEastAsia"/>
                <w:bCs/>
                <w:color w:val="auto"/>
                <w:szCs w:val="21"/>
              </w:rPr>
              <w:t>7</w:t>
            </w:r>
          </w:p>
        </w:tc>
        <w:tc>
          <w:tcPr>
            <w:tcW w:w="1610" w:type="dxa"/>
            <w:noWrap/>
            <w:vAlign w:val="center"/>
          </w:tcPr>
          <w:p w14:paraId="21D74497">
            <w:pPr>
              <w:spacing w:line="280" w:lineRule="exact"/>
              <w:jc w:val="center"/>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绿化</w:t>
            </w:r>
          </w:p>
        </w:tc>
        <w:tc>
          <w:tcPr>
            <w:tcW w:w="1401" w:type="dxa"/>
            <w:noWrap/>
            <w:vAlign w:val="center"/>
          </w:tcPr>
          <w:p w14:paraId="31C37625">
            <w:pPr>
              <w:ind w:left="210" w:leftChars="100" w:right="210"/>
              <w:rPr>
                <w:rFonts w:hint="eastAsia" w:asciiTheme="minorEastAsia" w:hAnsiTheme="minorEastAsia" w:eastAsiaTheme="minorEastAsia"/>
                <w:color w:val="auto"/>
                <w:szCs w:val="21"/>
              </w:rPr>
            </w:pPr>
          </w:p>
        </w:tc>
        <w:tc>
          <w:tcPr>
            <w:tcW w:w="1686" w:type="dxa"/>
            <w:vAlign w:val="center"/>
          </w:tcPr>
          <w:p w14:paraId="37DC167B">
            <w:pPr>
              <w:ind w:left="210" w:leftChars="100" w:right="210"/>
              <w:rPr>
                <w:rFonts w:hint="eastAsia" w:asciiTheme="minorEastAsia" w:hAnsiTheme="minorEastAsia" w:eastAsiaTheme="minorEastAsia"/>
                <w:color w:val="auto"/>
                <w:szCs w:val="21"/>
              </w:rPr>
            </w:pPr>
          </w:p>
        </w:tc>
        <w:tc>
          <w:tcPr>
            <w:tcW w:w="2819" w:type="dxa"/>
            <w:vAlign w:val="center"/>
          </w:tcPr>
          <w:p w14:paraId="008C9C4E">
            <w:pPr>
              <w:ind w:left="210" w:leftChars="100" w:right="21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负责接待及办公区域内的所有绿化、门前绿化养护，更换，清洁。经中心同意后，外包给相关绿化公司。</w:t>
            </w:r>
          </w:p>
        </w:tc>
      </w:tr>
      <w:tr w14:paraId="41EA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638" w:type="dxa"/>
            <w:noWrap/>
            <w:vAlign w:val="center"/>
          </w:tcPr>
          <w:p w14:paraId="09394638">
            <w:pPr>
              <w:spacing w:line="28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8</w:t>
            </w:r>
          </w:p>
        </w:tc>
        <w:tc>
          <w:tcPr>
            <w:tcW w:w="1610" w:type="dxa"/>
            <w:noWrap/>
            <w:vAlign w:val="center"/>
          </w:tcPr>
          <w:p w14:paraId="10C29646">
            <w:pPr>
              <w:spacing w:line="280" w:lineRule="exact"/>
              <w:jc w:val="center"/>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维修</w:t>
            </w:r>
            <w:r>
              <w:rPr>
                <w:rFonts w:hint="eastAsia" w:asciiTheme="minorEastAsia" w:hAnsiTheme="minorEastAsia" w:eastAsiaTheme="minorEastAsia"/>
                <w:color w:val="000000" w:themeColor="text1"/>
                <w:szCs w:val="21"/>
                <w14:textFill>
                  <w14:solidFill>
                    <w14:schemeClr w14:val="tx1"/>
                  </w14:solidFill>
                </w14:textFill>
              </w:rPr>
              <w:t>人员</w:t>
            </w:r>
          </w:p>
        </w:tc>
        <w:tc>
          <w:tcPr>
            <w:tcW w:w="1401" w:type="dxa"/>
            <w:noWrap/>
            <w:vAlign w:val="center"/>
          </w:tcPr>
          <w:p w14:paraId="0E1B82D6">
            <w:pPr>
              <w:ind w:left="210" w:leftChars="100"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p>
        </w:tc>
        <w:tc>
          <w:tcPr>
            <w:tcW w:w="1686" w:type="dxa"/>
            <w:vAlign w:val="center"/>
          </w:tcPr>
          <w:p w14:paraId="26B8FEAA">
            <w:pPr>
              <w:ind w:left="210" w:leftChars="100"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常日班8:</w:t>
            </w:r>
            <w:r>
              <w:rPr>
                <w:rFonts w:asciiTheme="minorEastAsia" w:hAnsiTheme="minorEastAsia" w:eastAsiaTheme="minorEastAsia"/>
                <w:color w:val="000000" w:themeColor="text1"/>
                <w:szCs w:val="21"/>
                <w14:textFill>
                  <w14:solidFill>
                    <w14:schemeClr w14:val="tx1"/>
                  </w14:solidFill>
                </w14:textFill>
              </w:rPr>
              <w:t>30</w:t>
            </w:r>
            <w:r>
              <w:rPr>
                <w:rFonts w:hint="eastAsia" w:asciiTheme="minorEastAsia" w:hAnsiTheme="minorEastAsia" w:eastAsiaTheme="minorEastAsia"/>
                <w:color w:val="000000" w:themeColor="text1"/>
                <w:szCs w:val="21"/>
                <w14:textFill>
                  <w14:solidFill>
                    <w14:schemeClr w14:val="tx1"/>
                  </w14:solidFill>
                </w14:textFill>
              </w:rPr>
              <w:t>至1</w:t>
            </w:r>
            <w:r>
              <w:rPr>
                <w:rFonts w:asciiTheme="minorEastAsia" w:hAnsiTheme="minorEastAsia" w:eastAsiaTheme="minorEastAsia"/>
                <w:color w:val="000000" w:themeColor="text1"/>
                <w:szCs w:val="21"/>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00</w:t>
            </w:r>
          </w:p>
        </w:tc>
        <w:tc>
          <w:tcPr>
            <w:tcW w:w="2819" w:type="dxa"/>
            <w:vAlign w:val="center"/>
          </w:tcPr>
          <w:p w14:paraId="184155DF">
            <w:pPr>
              <w:ind w:left="210" w:leftChars="100"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具有大专以上、高压电工证及低压电工证、物业水电维修中级证。</w:t>
            </w:r>
          </w:p>
          <w:p w14:paraId="71727BA6">
            <w:pPr>
              <w:ind w:left="210" w:leftChars="100" w:right="21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保证正常供水管理制度，防止跑、冒、滴、漏，对供水系统管路、水泵、水箱、阀门、机电设备等进行日常维护。</w:t>
            </w:r>
          </w:p>
        </w:tc>
      </w:tr>
    </w:tbl>
    <w:p w14:paraId="7C3DF9AD">
      <w:pPr>
        <w:spacing w:line="360" w:lineRule="auto"/>
        <w:ind w:left="-2" w:leftChars="-1" w:firstLine="420" w:firstLineChars="200"/>
        <w:rPr>
          <w:rFonts w:hint="eastAsia" w:ascii="宋体" w:hAnsi="宋体"/>
        </w:rPr>
      </w:pPr>
      <w:r>
        <w:rPr>
          <w:rFonts w:hint="eastAsia" w:ascii="宋体" w:hAnsi="宋体"/>
        </w:rPr>
        <w:t>注：1)投标人应合理配置团队服务人数，确保达到岗位配置要求，同时承诺所有服务人员劳动时间符合《劳动法》的规定。</w:t>
      </w:r>
    </w:p>
    <w:p w14:paraId="5940E932">
      <w:pPr>
        <w:spacing w:line="360" w:lineRule="auto"/>
        <w:ind w:left="-2" w:leftChars="-1" w:firstLine="420" w:firstLineChars="200"/>
        <w:rPr>
          <w:rFonts w:hint="eastAsia" w:ascii="宋体" w:hAnsi="宋体"/>
        </w:rPr>
      </w:pPr>
      <w:r>
        <w:rPr>
          <w:rFonts w:hint="eastAsia" w:ascii="宋体" w:hAnsi="宋体"/>
        </w:rPr>
        <w:t>2)投标人需承诺，若中标为项目所有团队服务人员投保足够份额的雇主责任险、公众责任险等。</w:t>
      </w:r>
    </w:p>
    <w:p w14:paraId="33EF21B3">
      <w:pPr>
        <w:spacing w:line="360" w:lineRule="auto"/>
        <w:ind w:left="-2" w:leftChars="-1" w:firstLine="420" w:firstLineChars="200"/>
        <w:rPr>
          <w:color w:val="FF000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color w:val="FF0000"/>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6、本项目不得分包转让等。</w:t>
      </w:r>
    </w:p>
    <w:p w14:paraId="651883DB">
      <w:pPr>
        <w:spacing w:line="360" w:lineRule="auto"/>
        <w:ind w:left="-2" w:leftChars="-1" w:firstLine="420" w:firstLineChars="200"/>
      </w:pPr>
      <w:r>
        <w:rPr>
          <w:rFonts w:hint="eastAsia"/>
        </w:rPr>
        <w:t>7、对业主方日常业务所需资源和相关设备设施、包括施工和服务安排专人巡视、检查，发现问题，及时处理，将一切可能发生的故障隐患消灭在萌芽中。</w:t>
      </w:r>
    </w:p>
    <w:p w14:paraId="2E88863C">
      <w:pPr>
        <w:spacing w:line="360" w:lineRule="auto"/>
        <w:ind w:left="-2" w:leftChars="-1" w:firstLine="420" w:firstLineChars="200"/>
      </w:pPr>
      <w:r>
        <w:rPr>
          <w:rFonts w:hint="eastAsia"/>
        </w:rPr>
        <w:t>8、执行重大事项报告制度，遇到险情和重大事故，或对违规行为劝阻无效时，立即向上级和当地行政主管部门报告，并及时通知业主方。</w:t>
      </w:r>
    </w:p>
    <w:p w14:paraId="6D554550">
      <w:pPr>
        <w:pStyle w:val="3"/>
        <w:spacing w:line="360" w:lineRule="auto"/>
      </w:pPr>
      <w:r>
        <w:rPr>
          <w:rFonts w:hint="eastAsia"/>
        </w:rPr>
        <w:t>（</w:t>
      </w:r>
      <w:r>
        <w:rPr>
          <w:rFonts w:hint="eastAsia"/>
          <w:b/>
          <w:bCs/>
        </w:rPr>
        <w:t>三）建筑物及设施设备管理</w:t>
      </w:r>
    </w:p>
    <w:p w14:paraId="65FB178F">
      <w:pPr>
        <w:pStyle w:val="3"/>
        <w:spacing w:line="360" w:lineRule="auto"/>
        <w:ind w:firstLine="315" w:firstLineChars="150"/>
      </w:pPr>
      <w:r>
        <w:t xml:space="preserve"> 1</w:t>
      </w:r>
      <w:r>
        <w:rPr>
          <w:rFonts w:hint="eastAsia"/>
        </w:rPr>
        <w:t>、建筑物管理范围包括：</w:t>
      </w:r>
      <w:r>
        <w:rPr>
          <w:rFonts w:hint="eastAsia"/>
          <w:u w:val="single"/>
        </w:rPr>
        <w:t>房屋结构检查、屋面维护、外立面维护、承重构件维护、室内装修维护、地基基础维护、附属建筑维护等（根据实际情况增减）</w:t>
      </w:r>
    </w:p>
    <w:p w14:paraId="7B52CCB3">
      <w:pPr>
        <w:pStyle w:val="3"/>
        <w:spacing w:line="360" w:lineRule="auto"/>
        <w:ind w:firstLine="420" w:firstLineChars="200"/>
        <w:rPr>
          <w:u w:val="single"/>
        </w:rPr>
      </w:pPr>
      <w:r>
        <w:rPr>
          <w:rFonts w:hint="eastAsia"/>
        </w:rPr>
        <w:t>2设施设备管理范围包括：</w:t>
      </w:r>
      <w:r>
        <w:rPr>
          <w:rFonts w:hint="eastAsia"/>
          <w:u w:val="single"/>
        </w:rPr>
        <w:t>供配电系统、应急供电系统、楼宇智能化系统、安全防范系统、车库管理系统、门禁系统、消防报警与灭火系统、会议音响系统、电梯及自动扶梯系统、给排水系统、空调系统、公告照明系统、避雷系统、标识系统（根据实际情况增减）</w:t>
      </w:r>
    </w:p>
    <w:p w14:paraId="618AB74B">
      <w:pPr>
        <w:pStyle w:val="3"/>
        <w:spacing w:line="360" w:lineRule="auto"/>
        <w:ind w:firstLine="420" w:firstLineChars="200"/>
      </w:pPr>
      <w:r>
        <w:rPr>
          <w:rFonts w:hint="eastAsia"/>
        </w:rPr>
        <w:t>3、费用结算：建筑物及设施设备管理的日常维护费用计入投标报价，超过 元的维修费用，按实结算，由业主方另行结算。</w:t>
      </w:r>
    </w:p>
    <w:p w14:paraId="32023DE6">
      <w:pPr>
        <w:pStyle w:val="3"/>
        <w:spacing w:line="360" w:lineRule="auto"/>
      </w:pPr>
      <w:r>
        <w:rPr>
          <w:rFonts w:hint="eastAsia"/>
        </w:rPr>
        <w:t xml:space="preserve">    4、有专业或资质要求的工作岗位，其从业人员必须符合国家与上海市相关要求。</w:t>
      </w:r>
    </w:p>
    <w:p w14:paraId="07AB8A19">
      <w:pPr>
        <w:pStyle w:val="3"/>
        <w:spacing w:line="360" w:lineRule="auto"/>
        <w:ind w:firstLine="420" w:firstLineChars="200"/>
      </w:pPr>
      <w:r>
        <w:rPr>
          <w:rFonts w:hint="eastAsia"/>
        </w:rPr>
        <w:t>5、建立24小时运行维护值班制度，建筑物及设备设施发生故障时，维修人员在半天内到达现场抢修，及时发现并解决故障。</w:t>
      </w:r>
    </w:p>
    <w:p w14:paraId="540B1310">
      <w:pPr>
        <w:pStyle w:val="3"/>
        <w:spacing w:line="360" w:lineRule="auto"/>
        <w:ind w:firstLine="420" w:firstLineChars="200"/>
      </w:pPr>
      <w:r>
        <w:rPr>
          <w:rFonts w:hint="eastAsia"/>
        </w:rPr>
        <w:t>6、服务标准及要求：</w:t>
      </w:r>
    </w:p>
    <w:p w14:paraId="773C7F87">
      <w:pPr>
        <w:spacing w:line="360" w:lineRule="auto"/>
        <w:ind w:firstLine="315" w:firstLineChars="150"/>
        <w:contextualSpacing/>
        <w:rPr>
          <w:rFonts w:ascii="宋体" w:hAnsi="Courier New"/>
          <w:szCs w:val="20"/>
        </w:rPr>
      </w:pPr>
      <w:r>
        <w:rPr>
          <w:rFonts w:hint="eastAsia" w:ascii="宋体" w:hAnsi="Courier New"/>
          <w:szCs w:val="20"/>
        </w:rPr>
        <w:t>(1)员工要求：岗位持证上岗率</w:t>
      </w:r>
      <w:r>
        <w:rPr>
          <w:rFonts w:ascii="宋体" w:hAnsi="Courier New"/>
          <w:szCs w:val="20"/>
        </w:rPr>
        <w:t>100%</w:t>
      </w:r>
      <w:r>
        <w:rPr>
          <w:rFonts w:hint="eastAsia" w:ascii="宋体" w:hAnsi="Courier New"/>
          <w:szCs w:val="20"/>
        </w:rPr>
        <w:t>；设备台账：建立健全设施设备管理台账。保持管理范围内设施设备台账、台卡及现场标识相符，建档、记录清晰规范、无缺失；</w:t>
      </w:r>
    </w:p>
    <w:p w14:paraId="0DB71B9D">
      <w:pPr>
        <w:spacing w:line="360" w:lineRule="auto"/>
        <w:ind w:firstLine="315" w:firstLineChars="150"/>
        <w:contextualSpacing/>
        <w:rPr>
          <w:rFonts w:ascii="宋体" w:hAnsi="Courier New"/>
          <w:szCs w:val="20"/>
        </w:rPr>
      </w:pPr>
      <w:r>
        <w:rPr>
          <w:rFonts w:hint="eastAsia" w:ascii="宋体" w:hAnsi="Courier New"/>
          <w:szCs w:val="20"/>
        </w:rPr>
        <w:t>(2)计划管理：建立计划管理体系，编制本项目设施设备运行、维护、检测、中大修计划，并按时实施；</w:t>
      </w:r>
    </w:p>
    <w:p w14:paraId="5CCE3CE2">
      <w:pPr>
        <w:spacing w:line="360" w:lineRule="auto"/>
        <w:ind w:firstLine="210" w:firstLineChars="100"/>
        <w:contextualSpacing/>
        <w:rPr>
          <w:rFonts w:ascii="宋体" w:hAnsi="Courier New"/>
          <w:szCs w:val="20"/>
        </w:rPr>
      </w:pPr>
      <w:r>
        <w:rPr>
          <w:rFonts w:hint="eastAsia" w:ascii="宋体" w:hAnsi="Courier New"/>
          <w:szCs w:val="20"/>
        </w:rPr>
        <w:t>（3）物业档案管理：运行、维护、维修、检测记录建档规范、无缺失；图纸、技术手册归档及时；</w:t>
      </w:r>
    </w:p>
    <w:p w14:paraId="15483751">
      <w:pPr>
        <w:spacing w:line="360" w:lineRule="auto"/>
        <w:ind w:firstLine="210" w:firstLineChars="100"/>
        <w:contextualSpacing/>
        <w:rPr>
          <w:rFonts w:ascii="宋体" w:hAnsi="Courier New"/>
          <w:szCs w:val="20"/>
        </w:rPr>
      </w:pPr>
      <w:r>
        <w:rPr>
          <w:rFonts w:hint="eastAsia" w:ascii="宋体" w:hAnsi="Courier New"/>
          <w:szCs w:val="20"/>
        </w:rPr>
        <w:t>（4）机房管理：有管理制度，“四防一通”良好，标识、标志规范清晰、整洁无堆物；</w:t>
      </w:r>
    </w:p>
    <w:p w14:paraId="524A8017">
      <w:pPr>
        <w:spacing w:line="360" w:lineRule="auto"/>
        <w:contextualSpacing/>
        <w:rPr>
          <w:rFonts w:ascii="宋体" w:hAnsi="Courier New"/>
          <w:szCs w:val="20"/>
        </w:rPr>
      </w:pPr>
      <w:r>
        <w:rPr>
          <w:rFonts w:hint="eastAsia" w:ascii="宋体" w:hAnsi="Courier New"/>
          <w:szCs w:val="20"/>
        </w:rPr>
        <w:t>应急管理：预案充分，措施有效、处置及时。</w:t>
      </w:r>
    </w:p>
    <w:p w14:paraId="347F59CC">
      <w:pPr>
        <w:spacing w:line="360" w:lineRule="auto"/>
        <w:ind w:firstLine="210" w:firstLineChars="100"/>
        <w:contextualSpacing/>
        <w:rPr>
          <w:rFonts w:ascii="宋体" w:hAnsi="Courier New"/>
          <w:szCs w:val="20"/>
        </w:rPr>
      </w:pPr>
      <w:r>
        <w:rPr>
          <w:rFonts w:hint="eastAsia" w:ascii="宋体" w:hAnsi="Courier New"/>
          <w:szCs w:val="20"/>
        </w:rPr>
        <w:t>（5）接报修管理，有严密的接报修管理制度，特殊维修必须及时跟进（维保单位维修）并每天将维修情况反馈至智能化管理系统中、处置过程有记录、有回访；</w:t>
      </w:r>
    </w:p>
    <w:p w14:paraId="1CB0CC82">
      <w:pPr>
        <w:spacing w:line="360" w:lineRule="auto"/>
        <w:ind w:firstLine="210" w:firstLineChars="100"/>
        <w:contextualSpacing/>
        <w:rPr>
          <w:rFonts w:ascii="宋体" w:hAnsi="Courier New"/>
          <w:szCs w:val="20"/>
        </w:rPr>
      </w:pPr>
      <w:r>
        <w:rPr>
          <w:rFonts w:hint="eastAsia" w:ascii="宋体" w:hAnsi="Courier New"/>
          <w:szCs w:val="20"/>
        </w:rPr>
        <w:t>（6）设施设备运行管理：根据各系统设备编制设施设备运行管理方案，重要机房专岗值守操作，建立各设备设施相应的运行标准文件，做到运行操作有依据、有规范，各系统设备设施有合理的运行巡视频次，确保及时发现隐患与问题。相关记录清晰、归档及时；</w:t>
      </w:r>
    </w:p>
    <w:p w14:paraId="48218DF5">
      <w:pPr>
        <w:spacing w:line="360" w:lineRule="auto"/>
        <w:ind w:firstLine="315" w:firstLineChars="150"/>
        <w:contextualSpacing/>
        <w:rPr>
          <w:rFonts w:ascii="宋体" w:hAnsi="Courier New"/>
          <w:szCs w:val="20"/>
        </w:rPr>
      </w:pPr>
      <w:r>
        <w:rPr>
          <w:rFonts w:hint="eastAsia" w:ascii="宋体" w:hAnsi="Courier New"/>
          <w:szCs w:val="20"/>
        </w:rPr>
        <w:t>（7）维护维修管理：依据设施设备维护、检测计划，建立健全各项建筑物、构建物及设施设备日常维护制度及保养规程相关记录清晰、归档及时；</w:t>
      </w:r>
    </w:p>
    <w:p w14:paraId="369F87F0">
      <w:pPr>
        <w:spacing w:line="360" w:lineRule="auto"/>
        <w:ind w:firstLine="420" w:firstLineChars="200"/>
        <w:contextualSpacing/>
        <w:rPr>
          <w:rFonts w:ascii="宋体" w:hAnsi="Courier New"/>
          <w:szCs w:val="20"/>
        </w:rPr>
      </w:pPr>
      <w:r>
        <w:rPr>
          <w:rFonts w:hint="eastAsia" w:ascii="宋体" w:hAnsi="Courier New"/>
          <w:szCs w:val="20"/>
        </w:rPr>
        <w:t>（8）法定检测的系统和计量器具的检测：及时上报业主安排专业机构对所有需法定检测的系统实施检测；</w:t>
      </w:r>
    </w:p>
    <w:p w14:paraId="755ABDFE">
      <w:pPr>
        <w:spacing w:line="360" w:lineRule="auto"/>
        <w:ind w:firstLine="420" w:firstLineChars="200"/>
        <w:contextualSpacing/>
        <w:rPr>
          <w:rFonts w:ascii="宋体" w:hAnsi="Courier New"/>
          <w:szCs w:val="20"/>
        </w:rPr>
      </w:pPr>
      <w:r>
        <w:rPr>
          <w:rFonts w:hint="eastAsia" w:ascii="宋体" w:hAnsi="Courier New"/>
          <w:szCs w:val="20"/>
        </w:rPr>
        <w:t>（9）能源管理和控制：有完善的节能降耗措施和制度；根据本项目能源实际使用情况及时、准确地统计及分析，在满足运营的前提下，达到持续节能降耗的目的；</w:t>
      </w:r>
    </w:p>
    <w:p w14:paraId="58687BDC">
      <w:pPr>
        <w:spacing w:line="360" w:lineRule="auto"/>
        <w:ind w:firstLine="420" w:firstLineChars="200"/>
        <w:contextualSpacing/>
        <w:rPr>
          <w:rFonts w:ascii="宋体" w:hAnsi="Courier New"/>
          <w:szCs w:val="20"/>
        </w:rPr>
      </w:pPr>
      <w:r>
        <w:rPr>
          <w:rFonts w:hint="eastAsia" w:ascii="宋体" w:hAnsi="Courier New"/>
          <w:szCs w:val="20"/>
        </w:rPr>
        <w:t>(10)物耗备件管理：物耗存量控制合理，有完善的物耗备品使用制度。</w:t>
      </w:r>
    </w:p>
    <w:p w14:paraId="1A4F1116">
      <w:pPr>
        <w:pStyle w:val="3"/>
        <w:spacing w:line="360" w:lineRule="auto"/>
        <w:rPr>
          <w:b/>
          <w:bCs/>
        </w:rPr>
      </w:pPr>
      <w:r>
        <w:rPr>
          <w:rFonts w:hint="eastAsia"/>
          <w:b/>
        </w:rPr>
        <w:t>（四）</w:t>
      </w:r>
      <w:bookmarkStart w:id="1" w:name="OLE_LINK5"/>
      <w:bookmarkStart w:id="2" w:name="OLE_LINK6"/>
      <w:r>
        <w:rPr>
          <w:rFonts w:hint="eastAsia"/>
          <w:b/>
        </w:rPr>
        <w:t>保洁</w:t>
      </w:r>
      <w:r>
        <w:rPr>
          <w:rFonts w:hint="eastAsia"/>
          <w:b/>
          <w:bCs/>
        </w:rPr>
        <w:t>管理</w:t>
      </w:r>
      <w:bookmarkEnd w:id="1"/>
      <w:bookmarkEnd w:id="2"/>
    </w:p>
    <w:p w14:paraId="71B02D97">
      <w:pPr>
        <w:pStyle w:val="3"/>
        <w:spacing w:line="360" w:lineRule="auto"/>
        <w:ind w:firstLine="420" w:firstLineChars="200"/>
      </w:pPr>
      <w:r>
        <w:rPr>
          <w:rFonts w:hint="eastAsia"/>
          <w:bCs/>
        </w:rPr>
        <w:t>1、范围：</w:t>
      </w:r>
      <w:r>
        <w:rPr>
          <w:rFonts w:hint="eastAsia"/>
          <w:bCs/>
          <w:u w:val="single"/>
        </w:rPr>
        <w:t>包括大堂及楼层公共区域、电梯、消防梯及公共通道、外围、墙面、垃圾房、大楼平台、卫生间、茶水间、展示厅、贵宾厅、设备机房、管道、广场、地面停车场、台阶、绿地花台水池（</w:t>
      </w:r>
      <w:r>
        <w:rPr>
          <w:rFonts w:hint="eastAsia"/>
          <w:u w:val="single"/>
        </w:rPr>
        <w:t>根据实际情况增减）</w:t>
      </w:r>
      <w:r>
        <w:rPr>
          <w:rFonts w:hint="eastAsia"/>
        </w:rPr>
        <w:t>。</w:t>
      </w:r>
    </w:p>
    <w:p w14:paraId="167DC89D">
      <w:pPr>
        <w:pStyle w:val="3"/>
        <w:spacing w:line="360" w:lineRule="auto"/>
        <w:ind w:firstLine="420" w:firstLineChars="200"/>
      </w:pPr>
      <w:r>
        <w:rPr>
          <w:rFonts w:hint="eastAsia"/>
        </w:rPr>
        <w:t>2、费用结算：</w:t>
      </w:r>
      <w:r>
        <w:rPr>
          <w:rFonts w:hint="eastAsia"/>
          <w:u w:val="single"/>
        </w:rPr>
        <w:t>卫生易耗品计入投标报价</w:t>
      </w:r>
      <w:r>
        <w:rPr>
          <w:rFonts w:hint="eastAsia"/>
        </w:rPr>
        <w:t>。</w:t>
      </w:r>
    </w:p>
    <w:p w14:paraId="199CA3A9">
      <w:pPr>
        <w:pStyle w:val="3"/>
        <w:spacing w:line="360" w:lineRule="auto"/>
        <w:ind w:firstLine="420" w:firstLineChars="200"/>
      </w:pPr>
      <w:r>
        <w:rPr>
          <w:rFonts w:hint="eastAsia"/>
        </w:rPr>
        <w:t>3、服务标准：</w:t>
      </w:r>
    </w:p>
    <w:p w14:paraId="6C3BFE59">
      <w:pPr>
        <w:spacing w:line="360" w:lineRule="auto"/>
        <w:ind w:firstLine="420" w:firstLineChars="200"/>
      </w:pPr>
      <w:r>
        <w:rPr>
          <w:rFonts w:hint="eastAsia"/>
        </w:rPr>
        <w:t>建立办公楼（区域）环境管理制度并认真落实，环卫设施齐备，实行标准化清扫保洁，由专人负责检查监督，清洁率</w:t>
      </w:r>
      <w:r>
        <w:t>100%</w:t>
      </w:r>
      <w:r>
        <w:rPr>
          <w:rFonts w:hint="eastAsia"/>
        </w:rPr>
        <w:t>。具体区域标准要求如下：</w:t>
      </w:r>
    </w:p>
    <w:p w14:paraId="04B2E850">
      <w:pPr>
        <w:spacing w:line="360" w:lineRule="auto"/>
      </w:pPr>
      <w:r>
        <w:rPr>
          <w:rFonts w:hint="eastAsia"/>
        </w:rPr>
        <w:t>外围及周边道路地面干净无杂物、无积水，无明显污迹、油渍；明沟、窨井内无杂物、无异味；各种标示标牌表面干净无积尘、无水印；路灯表面干净无污渍。</w:t>
      </w:r>
    </w:p>
    <w:p w14:paraId="150D45AF">
      <w:pPr>
        <w:spacing w:line="360" w:lineRule="auto"/>
      </w:pPr>
      <w:r>
        <w:rPr>
          <w:rFonts w:hint="eastAsia"/>
        </w:rPr>
        <w:t>绿化带及水池绿地内无杂物，花台表面干净无污渍，水池内水质清澈，池内无漂浮物，池壁无青苔等污垢，水池无异味。</w:t>
      </w:r>
    </w:p>
    <w:p w14:paraId="2BEBB566">
      <w:pPr>
        <w:spacing w:line="360" w:lineRule="auto"/>
      </w:pPr>
      <w:r>
        <w:rPr>
          <w:rFonts w:hint="eastAsia"/>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4452C2D6">
      <w:pPr>
        <w:spacing w:line="360" w:lineRule="auto"/>
      </w:pPr>
      <w:r>
        <w:rPr>
          <w:rFonts w:hint="eastAsia"/>
        </w:rPr>
        <w:t>会议室、接待室地面、墙面、干净，无灰尘、污渍；天花板、风口目视无灰尘、污渍；桌椅干净，物品摆放整齐、有序。楼梯及楼梯间梯步表面干净无污渍，防滑条</w:t>
      </w:r>
      <w:r>
        <w:t>(</w:t>
      </w:r>
      <w:r>
        <w:rPr>
          <w:rFonts w:hint="eastAsia"/>
        </w:rPr>
        <w:t>缝</w:t>
      </w:r>
      <w:r>
        <w:t>)</w:t>
      </w:r>
      <w:r>
        <w:rPr>
          <w:rFonts w:hint="eastAsia"/>
        </w:rPr>
        <w:t>干净，扶手栏杆表面干净无灰尘，防火门及闭门器表面干净无污渍，墙面、天花板无积尘、蛛网。</w:t>
      </w:r>
    </w:p>
    <w:p w14:paraId="50E4282B">
      <w:pPr>
        <w:spacing w:line="360" w:lineRule="auto"/>
      </w:pPr>
      <w:r>
        <w:rPr>
          <w:rFonts w:hint="eastAsia"/>
        </w:rPr>
        <w:t>公共卫生间地面干净，无污渍、无积水，大小便器表面干净，无污渍，有光泽；各种隔断表面干净，无乱写乱画，金属饰件表面干净，无污迹，有金属光泽，墙壁表面干净。地面干净，无杂物，无明显油渍、污渍；顶部各种管网、灯具表面干净无积尘、蛛网；墙面干净无积尘，各种指示牌表面干净有光泽；消防器材表面干净，摆放整齐；减速带表面干净无明显污迹，各种道闸表面无灰尘。</w:t>
      </w:r>
    </w:p>
    <w:p w14:paraId="5584101F">
      <w:pPr>
        <w:spacing w:line="360" w:lineRule="auto"/>
      </w:pPr>
      <w:r>
        <w:rPr>
          <w:rFonts w:hint="eastAsia"/>
        </w:rPr>
        <w:t>开水间及清洁间地面干净，无杂物、无积水，地垫摆放整齐干净，天花板干净无蛛网，灯罩表面无积尘、蛛网，墙面干净无污渍，各种物品表面干净无渍，清洁工具摆放整齐有序，室内无明显异味。</w:t>
      </w:r>
    </w:p>
    <w:p w14:paraId="1A99CBD9">
      <w:pPr>
        <w:spacing w:line="360" w:lineRule="auto"/>
      </w:pPr>
      <w:r>
        <w:rPr>
          <w:rFonts w:hint="eastAsia"/>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14:paraId="2548A3DC">
      <w:pPr>
        <w:spacing w:line="360" w:lineRule="auto"/>
      </w:pPr>
      <w:r>
        <w:rPr>
          <w:rFonts w:hint="eastAsia"/>
        </w:rPr>
        <w:t>电器设施灯泡、灯管、灯罩无积尘、无污迹。装饰件无积尘、无污迹；开关、插座、配电箱无积尘、无明显污迹。</w:t>
      </w:r>
    </w:p>
    <w:p w14:paraId="4BA55849">
      <w:pPr>
        <w:spacing w:line="360" w:lineRule="auto"/>
      </w:pPr>
      <w:r>
        <w:rPr>
          <w:rFonts w:hint="eastAsia"/>
        </w:rPr>
        <w:t>垃圾桶及果皮桶、箱按指定位置摆放，桶身表面干净无污渍无痰迹；烟灰缸内烟头不应超过</w:t>
      </w:r>
      <w:r>
        <w:t>3</w:t>
      </w:r>
      <w:r>
        <w:rPr>
          <w:rFonts w:hint="eastAsia"/>
        </w:rPr>
        <w:t>个，垃圾不应超过</w:t>
      </w:r>
      <w:r>
        <w:t>2</w:t>
      </w:r>
      <w:r>
        <w:rPr>
          <w:rFonts w:hint="eastAsia"/>
        </w:rPr>
        <w:t>／</w:t>
      </w:r>
      <w:r>
        <w:t>3</w:t>
      </w:r>
      <w:r>
        <w:rPr>
          <w:rFonts w:hint="eastAsia"/>
        </w:rPr>
        <w:t>，内胆应定期清洁、消毒。</w:t>
      </w:r>
    </w:p>
    <w:p w14:paraId="532F4B27">
      <w:pPr>
        <w:spacing w:line="360" w:lineRule="auto"/>
      </w:pPr>
      <w:r>
        <w:rPr>
          <w:rFonts w:hint="eastAsia"/>
        </w:rPr>
        <w:t>消防栓、消防箱，公共设施保持表面干净，无灰尘、无污渍。</w:t>
      </w:r>
    </w:p>
    <w:p w14:paraId="2BC3CCF4">
      <w:pPr>
        <w:spacing w:line="360" w:lineRule="auto"/>
      </w:pPr>
      <w:r>
        <w:rPr>
          <w:rFonts w:hint="eastAsia"/>
        </w:rPr>
        <w:t>报警器、火警通讯电话插座、灭火器表面光亮、无积尘、无污迹；喷淋盖、烟感器、扬声器无积尘、无污渍。监控摄像头、门警器表面光亮、无积尘、无斑点；消防栓外表面光亮、无印迹、无积尘，内侧无积尘、无污迹。</w:t>
      </w:r>
    </w:p>
    <w:p w14:paraId="3B84169E">
      <w:pPr>
        <w:spacing w:line="360" w:lineRule="auto"/>
      </w:pPr>
      <w:r>
        <w:rPr>
          <w:rFonts w:hint="eastAsia"/>
        </w:rPr>
        <w:t>垃圾中转房中转房应专人管理定时开放，袋装垃圾摆放整齐，地面无明显垃圾，无污水外溢，房内应无明显异味，垃圾日产日清。设备机房、管道，指示牌无卫生死角、无垃圾堆积，无积尘、目视无蜘蛛网、无明显无污渍、无水渍；指示牌、广告牌无灰尘、无污迹，金属件表面光亮，无痕迹。</w:t>
      </w:r>
    </w:p>
    <w:p w14:paraId="519C23DE">
      <w:pPr>
        <w:pStyle w:val="3"/>
        <w:spacing w:line="360" w:lineRule="auto"/>
        <w:ind w:firstLine="480"/>
        <w:rPr>
          <w:b/>
          <w:bCs/>
        </w:rPr>
      </w:pPr>
      <w:r>
        <w:rPr>
          <w:rFonts w:hint="eastAsia"/>
        </w:rPr>
        <w:t>（</w:t>
      </w:r>
      <w:r>
        <w:rPr>
          <w:rFonts w:hint="eastAsia"/>
          <w:b/>
          <w:bCs/>
        </w:rPr>
        <w:t>五）公共秩序维护</w:t>
      </w:r>
    </w:p>
    <w:p w14:paraId="34743A88">
      <w:pPr>
        <w:pStyle w:val="3"/>
        <w:spacing w:line="360" w:lineRule="auto"/>
        <w:ind w:firstLine="480"/>
      </w:pPr>
      <w:r>
        <w:rPr>
          <w:rFonts w:hint="eastAsia"/>
        </w:rPr>
        <w:t>1、公共秩序维护范围包括：门卫、信访接待、安保巡逻、监控、车辆管理、外来闯入管理、重大任务安保、突发公共事件处置、消防管理等（根据实际情况增减）</w:t>
      </w:r>
    </w:p>
    <w:p w14:paraId="08ACC441">
      <w:pPr>
        <w:pStyle w:val="3"/>
        <w:spacing w:line="360" w:lineRule="auto"/>
        <w:ind w:firstLine="480"/>
      </w:pPr>
      <w:r>
        <w:rPr>
          <w:rFonts w:hint="eastAsia"/>
        </w:rPr>
        <w:t>2、提供公共秩序维护的的单位和从业人员必须符合《保安服务管理条例》相关要求，全天候负责区域内及</w:t>
      </w:r>
      <w:r>
        <w:t>24</w:t>
      </w:r>
      <w:r>
        <w:rPr>
          <w:rFonts w:hint="eastAsia"/>
        </w:rPr>
        <w:t>小时保安、巡逻、值勤。</w:t>
      </w:r>
    </w:p>
    <w:p w14:paraId="31E331F7">
      <w:pPr>
        <w:pStyle w:val="3"/>
        <w:spacing w:line="360" w:lineRule="auto"/>
        <w:ind w:firstLine="480"/>
      </w:pPr>
      <w:r>
        <w:rPr>
          <w:rFonts w:hint="eastAsia"/>
        </w:rPr>
        <w:t>3、公共秩序维护人员应统一着装，常用设备、易耗品应包含在投标报价中。</w:t>
      </w:r>
    </w:p>
    <w:p w14:paraId="68197DAB">
      <w:pPr>
        <w:pStyle w:val="3"/>
        <w:spacing w:line="360" w:lineRule="auto"/>
        <w:ind w:firstLine="480"/>
      </w:pPr>
      <w:r>
        <w:rPr>
          <w:rFonts w:hint="eastAsia"/>
        </w:rPr>
        <w:t>4、服务标准：按工作内容和要求建立 管理制度并认真落实，确保办公楼（区域）安全和正常的工作环境，严格证件登记，杜绝闲杂人员进入办公楼（区域）。环境秩序良好，维护和保证防盗、防火报警、监控设备的正常运行。对办公区域安全状况进行</w:t>
      </w:r>
      <w:r>
        <w:t>24</w:t>
      </w:r>
      <w:r>
        <w:rPr>
          <w:rFonts w:hint="eastAsia"/>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t>1</w:t>
      </w:r>
      <w:r>
        <w:rPr>
          <w:rFonts w:hint="eastAsia"/>
        </w:rPr>
        <w:t>次，发现违法违章行为应及时制止。</w:t>
      </w:r>
    </w:p>
    <w:p w14:paraId="6F9E8764">
      <w:pPr>
        <w:pStyle w:val="3"/>
        <w:spacing w:line="360" w:lineRule="auto"/>
        <w:rPr>
          <w:b/>
          <w:bCs/>
        </w:rPr>
      </w:pPr>
      <w:r>
        <w:rPr>
          <w:rFonts w:hint="eastAsia"/>
        </w:rPr>
        <w:t>（</w:t>
      </w:r>
      <w:r>
        <w:rPr>
          <w:rFonts w:hint="eastAsia"/>
          <w:b/>
          <w:bCs/>
        </w:rPr>
        <w:t>六）</w:t>
      </w:r>
      <w:r>
        <w:rPr>
          <w:rFonts w:hint="eastAsia"/>
          <w:b/>
          <w:bCs/>
          <w:kern w:val="0"/>
        </w:rPr>
        <w:t>绿化管理</w:t>
      </w:r>
    </w:p>
    <w:p w14:paraId="0A30D034">
      <w:pPr>
        <w:pStyle w:val="3"/>
        <w:spacing w:line="360" w:lineRule="auto"/>
        <w:ind w:firstLine="480"/>
      </w:pPr>
      <w:r>
        <w:rPr>
          <w:rFonts w:hint="eastAsia"/>
        </w:rPr>
        <w:t>1、绿化管理范围包括：草坪养护、花坛养护、乔木灌木养护、容器绿植养护、公共区域绿化租放、绿植景点布置、临时应急绿化布置。（根据实际情况增减）</w:t>
      </w:r>
    </w:p>
    <w:p w14:paraId="79B6C776">
      <w:pPr>
        <w:spacing w:line="360" w:lineRule="auto"/>
        <w:ind w:firstLine="420" w:firstLineChars="200"/>
      </w:pPr>
      <w:r>
        <w:rPr>
          <w:rFonts w:hint="eastAsia"/>
        </w:rPr>
        <w:t>2、费用结算：所有绿化维护费用及易耗品计入投标报价。</w:t>
      </w:r>
    </w:p>
    <w:p w14:paraId="1D09DB00">
      <w:pPr>
        <w:spacing w:line="360" w:lineRule="auto"/>
        <w:ind w:firstLine="420" w:firstLineChars="200"/>
      </w:pPr>
      <w:r>
        <w:rPr>
          <w:rFonts w:hint="eastAsia"/>
        </w:rPr>
        <w:t>3、服务标准：花草树木生长正常，修剪及时，叶面干净，具有光泽，无积尘，无枯枝败叶，无病虫害，无杂草；盆器及托盘完好干净，托盘无积土。室外绿化养护应达到绿地及花坛内各种植物存活率</w:t>
      </w:r>
      <w:r>
        <w:t>100</w:t>
      </w:r>
      <w:r>
        <w:rPr>
          <w:rFonts w:hint="eastAsia"/>
        </w:rPr>
        <w:t>％。绿地设施及硬质景观完好无损。植物群落完整，层次丰富，黄土不外露，有整体的观赏效果。植物季相分明，生长茂盛；草坪保持平整，修剪后高度不超过</w:t>
      </w:r>
      <w:r>
        <w:t>5</w:t>
      </w:r>
      <w:r>
        <w:rPr>
          <w:rFonts w:hint="eastAsia"/>
        </w:rPr>
        <w:t>厘米，草屑及时清理；乔木修剪科学合理，剪口光滑整齐，树冠完整美观，无徒长枝、下垂枝、枯枝，内膛不乱，通风透光；绿篱修剪整齐有型，保持观赏面枝叶丰满。花灌木修剪及时，无残花；绿地内立视应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有专业或资质要求的工作岗位，其从业人员必须符合国家与上海市相关要求。</w:t>
      </w:r>
    </w:p>
    <w:p w14:paraId="0C4BDFA2">
      <w:pPr>
        <w:spacing w:line="360" w:lineRule="auto"/>
        <w:ind w:firstLine="420" w:firstLineChars="200"/>
      </w:pPr>
      <w:r>
        <w:rPr>
          <w:rFonts w:hint="eastAsia"/>
        </w:rPr>
        <w:t>4、现有租摆和养护绿化清单如下表：</w:t>
      </w:r>
    </w:p>
    <w:p w14:paraId="41F41295">
      <w:pPr>
        <w:spacing w:line="360" w:lineRule="auto"/>
        <w:ind w:left="708"/>
        <w:contextualSpacing/>
      </w:pPr>
      <w:r>
        <w:rPr>
          <w:rFonts w:hint="eastAsia"/>
        </w:rPr>
        <w:t>租摆及养护植物清单：</w:t>
      </w:r>
    </w:p>
    <w:tbl>
      <w:tblPr>
        <w:tblStyle w:val="8"/>
        <w:tblW w:w="0" w:type="auto"/>
        <w:tblInd w:w="0" w:type="dxa"/>
        <w:tblLayout w:type="fixed"/>
        <w:tblCellMar>
          <w:top w:w="15" w:type="dxa"/>
          <w:left w:w="15" w:type="dxa"/>
          <w:bottom w:w="15" w:type="dxa"/>
          <w:right w:w="15" w:type="dxa"/>
        </w:tblCellMar>
      </w:tblPr>
      <w:tblGrid>
        <w:gridCol w:w="1068"/>
        <w:gridCol w:w="3675"/>
        <w:gridCol w:w="3510"/>
      </w:tblGrid>
      <w:tr w14:paraId="3C98E63C">
        <w:tblPrEx>
          <w:tblCellMar>
            <w:top w:w="15" w:type="dxa"/>
            <w:left w:w="15" w:type="dxa"/>
            <w:bottom w:w="15" w:type="dxa"/>
            <w:right w:w="15" w:type="dxa"/>
          </w:tblCellMar>
        </w:tblPrEx>
        <w:trPr>
          <w:trHeight w:val="481"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647411BF">
            <w:pPr>
              <w:widowControl/>
              <w:jc w:val="center"/>
              <w:textAlignment w:val="center"/>
            </w:pPr>
            <w:r>
              <w:rPr>
                <w:rFonts w:hint="eastAsia"/>
              </w:rPr>
              <w:t>序号</w:t>
            </w:r>
          </w:p>
        </w:tc>
        <w:tc>
          <w:tcPr>
            <w:tcW w:w="3675" w:type="dxa"/>
            <w:tcBorders>
              <w:top w:val="single" w:color="000000" w:sz="4" w:space="0"/>
              <w:left w:val="single" w:color="000000" w:sz="4" w:space="0"/>
              <w:bottom w:val="single" w:color="000000" w:sz="4" w:space="0"/>
              <w:right w:val="single" w:color="000000" w:sz="4" w:space="0"/>
            </w:tcBorders>
            <w:vAlign w:val="center"/>
          </w:tcPr>
          <w:p w14:paraId="67FA2DB2">
            <w:pPr>
              <w:widowControl/>
              <w:jc w:val="center"/>
              <w:textAlignment w:val="center"/>
            </w:pPr>
            <w:r>
              <w:rPr>
                <w:rFonts w:hint="eastAsia"/>
              </w:rPr>
              <w:t>品种</w:t>
            </w:r>
          </w:p>
        </w:tc>
        <w:tc>
          <w:tcPr>
            <w:tcW w:w="3510" w:type="dxa"/>
            <w:tcBorders>
              <w:top w:val="single" w:color="000000" w:sz="4" w:space="0"/>
              <w:left w:val="single" w:color="000000" w:sz="4" w:space="0"/>
              <w:bottom w:val="single" w:color="000000" w:sz="4" w:space="0"/>
              <w:right w:val="single" w:color="000000" w:sz="4" w:space="0"/>
            </w:tcBorders>
            <w:vAlign w:val="center"/>
          </w:tcPr>
          <w:p w14:paraId="0BB5AFD2">
            <w:pPr>
              <w:widowControl/>
              <w:jc w:val="center"/>
              <w:textAlignment w:val="center"/>
            </w:pPr>
            <w:r>
              <w:rPr>
                <w:rFonts w:hint="eastAsia"/>
              </w:rPr>
              <w:t>数量</w:t>
            </w:r>
          </w:p>
        </w:tc>
      </w:tr>
      <w:tr w14:paraId="752652EF">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3AE88FAA">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21695B7E">
            <w:pPr>
              <w:jc w:val="center"/>
            </w:pPr>
            <w:r>
              <w:rPr>
                <w:rFonts w:hint="eastAsia"/>
              </w:rPr>
              <w:t>小叶绿萝柱</w:t>
            </w:r>
          </w:p>
        </w:tc>
        <w:tc>
          <w:tcPr>
            <w:tcW w:w="3510" w:type="dxa"/>
            <w:tcBorders>
              <w:top w:val="single" w:color="000000" w:sz="4" w:space="0"/>
              <w:left w:val="single" w:color="000000" w:sz="4" w:space="0"/>
              <w:bottom w:val="single" w:color="000000" w:sz="4" w:space="0"/>
              <w:right w:val="single" w:color="000000" w:sz="4" w:space="0"/>
            </w:tcBorders>
          </w:tcPr>
          <w:p w14:paraId="75A9FC3C">
            <w:pPr>
              <w:jc w:val="center"/>
            </w:pPr>
            <w:r>
              <w:rPr>
                <w:rFonts w:hint="eastAsia"/>
              </w:rPr>
              <w:t>18</w:t>
            </w:r>
          </w:p>
        </w:tc>
      </w:tr>
      <w:tr w14:paraId="4AB056A8">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7E395371">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15EAE216">
            <w:pPr>
              <w:jc w:val="center"/>
            </w:pPr>
            <w:r>
              <w:rPr>
                <w:rFonts w:hint="eastAsia"/>
              </w:rPr>
              <w:t>发财树</w:t>
            </w:r>
          </w:p>
        </w:tc>
        <w:tc>
          <w:tcPr>
            <w:tcW w:w="3510" w:type="dxa"/>
            <w:tcBorders>
              <w:top w:val="single" w:color="000000" w:sz="4" w:space="0"/>
              <w:left w:val="single" w:color="000000" w:sz="4" w:space="0"/>
              <w:bottom w:val="single" w:color="000000" w:sz="4" w:space="0"/>
              <w:right w:val="single" w:color="000000" w:sz="4" w:space="0"/>
            </w:tcBorders>
          </w:tcPr>
          <w:p w14:paraId="3563C348">
            <w:pPr>
              <w:jc w:val="center"/>
            </w:pPr>
            <w:r>
              <w:rPr>
                <w:rFonts w:hint="eastAsia"/>
              </w:rPr>
              <w:t>2</w:t>
            </w:r>
          </w:p>
        </w:tc>
      </w:tr>
      <w:tr w14:paraId="49AD4414">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7F870DCB">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3F1B3549">
            <w:pPr>
              <w:jc w:val="center"/>
            </w:pPr>
            <w:r>
              <w:rPr>
                <w:rFonts w:hint="eastAsia"/>
              </w:rPr>
              <w:t>夏威夷竹</w:t>
            </w:r>
          </w:p>
        </w:tc>
        <w:tc>
          <w:tcPr>
            <w:tcW w:w="3510" w:type="dxa"/>
            <w:tcBorders>
              <w:top w:val="single" w:color="000000" w:sz="4" w:space="0"/>
              <w:left w:val="single" w:color="000000" w:sz="4" w:space="0"/>
              <w:bottom w:val="single" w:color="000000" w:sz="4" w:space="0"/>
              <w:right w:val="single" w:color="000000" w:sz="4" w:space="0"/>
            </w:tcBorders>
          </w:tcPr>
          <w:p w14:paraId="1A3EA1D2">
            <w:pPr>
              <w:jc w:val="center"/>
            </w:pPr>
            <w:r>
              <w:rPr>
                <w:rFonts w:hint="eastAsia"/>
              </w:rPr>
              <w:t>4</w:t>
            </w:r>
          </w:p>
        </w:tc>
      </w:tr>
      <w:tr w14:paraId="04D36C4F">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456C601B">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4E878436">
            <w:pPr>
              <w:jc w:val="center"/>
            </w:pPr>
            <w:r>
              <w:rPr>
                <w:rFonts w:hint="eastAsia"/>
              </w:rPr>
              <w:t>大绿宝</w:t>
            </w:r>
          </w:p>
        </w:tc>
        <w:tc>
          <w:tcPr>
            <w:tcW w:w="3510" w:type="dxa"/>
            <w:tcBorders>
              <w:top w:val="single" w:color="000000" w:sz="4" w:space="0"/>
              <w:left w:val="single" w:color="000000" w:sz="4" w:space="0"/>
              <w:bottom w:val="single" w:color="000000" w:sz="4" w:space="0"/>
              <w:right w:val="single" w:color="000000" w:sz="4" w:space="0"/>
            </w:tcBorders>
          </w:tcPr>
          <w:p w14:paraId="2694AFC1">
            <w:pPr>
              <w:jc w:val="center"/>
            </w:pPr>
            <w:r>
              <w:rPr>
                <w:rFonts w:hint="eastAsia"/>
              </w:rPr>
              <w:t>3</w:t>
            </w:r>
          </w:p>
        </w:tc>
      </w:tr>
      <w:tr w14:paraId="74AE7C90">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7548E187">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5D11274F">
            <w:pPr>
              <w:jc w:val="center"/>
            </w:pPr>
            <w:r>
              <w:rPr>
                <w:rFonts w:hint="eastAsia"/>
              </w:rPr>
              <w:t>金边虎皮兰</w:t>
            </w:r>
          </w:p>
        </w:tc>
        <w:tc>
          <w:tcPr>
            <w:tcW w:w="3510" w:type="dxa"/>
            <w:tcBorders>
              <w:top w:val="single" w:color="000000" w:sz="4" w:space="0"/>
              <w:left w:val="single" w:color="000000" w:sz="4" w:space="0"/>
              <w:bottom w:val="single" w:color="000000" w:sz="4" w:space="0"/>
              <w:right w:val="single" w:color="000000" w:sz="4" w:space="0"/>
            </w:tcBorders>
          </w:tcPr>
          <w:p w14:paraId="677F62D1">
            <w:pPr>
              <w:jc w:val="center"/>
            </w:pPr>
            <w:r>
              <w:rPr>
                <w:rFonts w:hint="eastAsia"/>
              </w:rPr>
              <w:t>2</w:t>
            </w:r>
          </w:p>
        </w:tc>
      </w:tr>
      <w:tr w14:paraId="05BCDF3A">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6B0619D1">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06E0BF02">
            <w:pPr>
              <w:jc w:val="center"/>
            </w:pPr>
            <w:r>
              <w:rPr>
                <w:rFonts w:hint="eastAsia"/>
              </w:rPr>
              <w:t>龙须树球</w:t>
            </w:r>
          </w:p>
        </w:tc>
        <w:tc>
          <w:tcPr>
            <w:tcW w:w="3510" w:type="dxa"/>
            <w:tcBorders>
              <w:top w:val="single" w:color="000000" w:sz="4" w:space="0"/>
              <w:left w:val="single" w:color="000000" w:sz="4" w:space="0"/>
              <w:bottom w:val="single" w:color="000000" w:sz="4" w:space="0"/>
              <w:right w:val="single" w:color="000000" w:sz="4" w:space="0"/>
            </w:tcBorders>
          </w:tcPr>
          <w:p w14:paraId="5BE12207">
            <w:pPr>
              <w:jc w:val="center"/>
            </w:pPr>
            <w:r>
              <w:rPr>
                <w:rFonts w:hint="eastAsia"/>
              </w:rPr>
              <w:t>1</w:t>
            </w:r>
          </w:p>
        </w:tc>
      </w:tr>
      <w:tr w14:paraId="1DC9FF57">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1622E1AD">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406FA1B1">
            <w:pPr>
              <w:jc w:val="center"/>
            </w:pPr>
            <w:r>
              <w:rPr>
                <w:rFonts w:hint="eastAsia"/>
              </w:rPr>
              <w:t>小绿萝</w:t>
            </w:r>
          </w:p>
        </w:tc>
        <w:tc>
          <w:tcPr>
            <w:tcW w:w="3510" w:type="dxa"/>
            <w:tcBorders>
              <w:top w:val="single" w:color="000000" w:sz="4" w:space="0"/>
              <w:left w:val="single" w:color="000000" w:sz="4" w:space="0"/>
              <w:bottom w:val="single" w:color="000000" w:sz="4" w:space="0"/>
              <w:right w:val="single" w:color="000000" w:sz="4" w:space="0"/>
            </w:tcBorders>
          </w:tcPr>
          <w:p w14:paraId="500DF7F6">
            <w:pPr>
              <w:jc w:val="center"/>
            </w:pPr>
            <w:r>
              <w:rPr>
                <w:rFonts w:hint="eastAsia"/>
              </w:rPr>
              <w:t>126</w:t>
            </w:r>
          </w:p>
        </w:tc>
      </w:tr>
      <w:tr w14:paraId="2325041A">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655D8B40">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2398DB0B">
            <w:pPr>
              <w:jc w:val="center"/>
            </w:pPr>
            <w:r>
              <w:rPr>
                <w:rFonts w:hint="eastAsia"/>
              </w:rPr>
              <w:t>大散尾葵</w:t>
            </w:r>
          </w:p>
        </w:tc>
        <w:tc>
          <w:tcPr>
            <w:tcW w:w="3510" w:type="dxa"/>
            <w:tcBorders>
              <w:top w:val="single" w:color="000000" w:sz="4" w:space="0"/>
              <w:left w:val="single" w:color="000000" w:sz="4" w:space="0"/>
              <w:bottom w:val="single" w:color="000000" w:sz="4" w:space="0"/>
              <w:right w:val="single" w:color="000000" w:sz="4" w:space="0"/>
            </w:tcBorders>
          </w:tcPr>
          <w:p w14:paraId="260E8F55">
            <w:pPr>
              <w:jc w:val="center"/>
            </w:pPr>
            <w:r>
              <w:rPr>
                <w:rFonts w:hint="eastAsia"/>
              </w:rPr>
              <w:t>2</w:t>
            </w:r>
          </w:p>
        </w:tc>
      </w:tr>
      <w:tr w14:paraId="0ADF3616">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6C24DB96">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230C219B">
            <w:pPr>
              <w:jc w:val="center"/>
            </w:pPr>
            <w:r>
              <w:rPr>
                <w:rFonts w:hint="eastAsia"/>
              </w:rPr>
              <w:t>鸟巢蕨</w:t>
            </w:r>
          </w:p>
        </w:tc>
        <w:tc>
          <w:tcPr>
            <w:tcW w:w="3510" w:type="dxa"/>
            <w:tcBorders>
              <w:top w:val="single" w:color="000000" w:sz="4" w:space="0"/>
              <w:left w:val="single" w:color="000000" w:sz="4" w:space="0"/>
              <w:bottom w:val="single" w:color="000000" w:sz="4" w:space="0"/>
              <w:right w:val="single" w:color="000000" w:sz="4" w:space="0"/>
            </w:tcBorders>
          </w:tcPr>
          <w:p w14:paraId="5A59A662">
            <w:pPr>
              <w:jc w:val="center"/>
            </w:pPr>
            <w:r>
              <w:rPr>
                <w:rFonts w:hint="eastAsia"/>
              </w:rPr>
              <w:t>14</w:t>
            </w:r>
          </w:p>
        </w:tc>
      </w:tr>
      <w:tr w14:paraId="017C406C">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52663B1B">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2EB19282">
            <w:pPr>
              <w:jc w:val="center"/>
            </w:pPr>
            <w:r>
              <w:rPr>
                <w:rFonts w:hint="eastAsia"/>
              </w:rPr>
              <w:t>花叶常春藤</w:t>
            </w:r>
          </w:p>
        </w:tc>
        <w:tc>
          <w:tcPr>
            <w:tcW w:w="3510" w:type="dxa"/>
            <w:tcBorders>
              <w:top w:val="single" w:color="000000" w:sz="4" w:space="0"/>
              <w:left w:val="single" w:color="000000" w:sz="4" w:space="0"/>
              <w:bottom w:val="single" w:color="000000" w:sz="4" w:space="0"/>
              <w:right w:val="single" w:color="000000" w:sz="4" w:space="0"/>
            </w:tcBorders>
          </w:tcPr>
          <w:p w14:paraId="0D96E1CF">
            <w:pPr>
              <w:jc w:val="center"/>
            </w:pPr>
            <w:r>
              <w:rPr>
                <w:rFonts w:hint="eastAsia"/>
              </w:rPr>
              <w:t>14</w:t>
            </w:r>
          </w:p>
        </w:tc>
      </w:tr>
      <w:tr w14:paraId="3B6E7352">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70E0AA1E">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734969A9">
            <w:pPr>
              <w:jc w:val="center"/>
            </w:pPr>
            <w:r>
              <w:rPr>
                <w:rFonts w:hint="eastAsia"/>
              </w:rPr>
              <w:t>如意</w:t>
            </w:r>
          </w:p>
        </w:tc>
        <w:tc>
          <w:tcPr>
            <w:tcW w:w="3510" w:type="dxa"/>
            <w:tcBorders>
              <w:top w:val="single" w:color="000000" w:sz="4" w:space="0"/>
              <w:left w:val="single" w:color="000000" w:sz="4" w:space="0"/>
              <w:bottom w:val="single" w:color="000000" w:sz="4" w:space="0"/>
              <w:right w:val="single" w:color="000000" w:sz="4" w:space="0"/>
            </w:tcBorders>
          </w:tcPr>
          <w:p w14:paraId="68E28CFD">
            <w:pPr>
              <w:jc w:val="center"/>
            </w:pPr>
            <w:r>
              <w:rPr>
                <w:rFonts w:hint="eastAsia"/>
              </w:rPr>
              <w:t>14</w:t>
            </w:r>
          </w:p>
        </w:tc>
      </w:tr>
      <w:tr w14:paraId="5ECFC25E">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1C0E9CC7">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42EE2CED">
            <w:pPr>
              <w:jc w:val="center"/>
            </w:pPr>
            <w:r>
              <w:rPr>
                <w:rFonts w:hint="eastAsia"/>
              </w:rPr>
              <w:t>金钱树</w:t>
            </w:r>
          </w:p>
        </w:tc>
        <w:tc>
          <w:tcPr>
            <w:tcW w:w="3510" w:type="dxa"/>
            <w:tcBorders>
              <w:top w:val="single" w:color="000000" w:sz="4" w:space="0"/>
              <w:left w:val="single" w:color="000000" w:sz="4" w:space="0"/>
              <w:bottom w:val="single" w:color="000000" w:sz="4" w:space="0"/>
              <w:right w:val="single" w:color="000000" w:sz="4" w:space="0"/>
            </w:tcBorders>
          </w:tcPr>
          <w:p w14:paraId="4C705D39">
            <w:pPr>
              <w:jc w:val="center"/>
            </w:pPr>
            <w:r>
              <w:rPr>
                <w:rFonts w:hint="eastAsia"/>
              </w:rPr>
              <w:t>4</w:t>
            </w:r>
          </w:p>
        </w:tc>
      </w:tr>
      <w:tr w14:paraId="7D8C9F82">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55DAAB08">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6C8171BA">
            <w:pPr>
              <w:jc w:val="center"/>
            </w:pPr>
            <w:r>
              <w:rPr>
                <w:rFonts w:hint="eastAsia"/>
              </w:rPr>
              <w:t>富贵竹笼</w:t>
            </w:r>
          </w:p>
        </w:tc>
        <w:tc>
          <w:tcPr>
            <w:tcW w:w="3510" w:type="dxa"/>
            <w:tcBorders>
              <w:top w:val="single" w:color="000000" w:sz="4" w:space="0"/>
              <w:left w:val="single" w:color="000000" w:sz="4" w:space="0"/>
              <w:bottom w:val="single" w:color="000000" w:sz="4" w:space="0"/>
              <w:right w:val="single" w:color="000000" w:sz="4" w:space="0"/>
            </w:tcBorders>
          </w:tcPr>
          <w:p w14:paraId="167DA907">
            <w:pPr>
              <w:jc w:val="center"/>
            </w:pPr>
            <w:r>
              <w:rPr>
                <w:rFonts w:hint="eastAsia"/>
              </w:rPr>
              <w:t>3</w:t>
            </w:r>
          </w:p>
        </w:tc>
      </w:tr>
      <w:tr w14:paraId="3C37E270">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1742CCE1">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115F39B4">
            <w:pPr>
              <w:jc w:val="center"/>
            </w:pPr>
            <w:r>
              <w:rPr>
                <w:rFonts w:hint="eastAsia"/>
              </w:rPr>
              <w:t>巴西木</w:t>
            </w:r>
          </w:p>
        </w:tc>
        <w:tc>
          <w:tcPr>
            <w:tcW w:w="3510" w:type="dxa"/>
            <w:tcBorders>
              <w:top w:val="single" w:color="000000" w:sz="4" w:space="0"/>
              <w:left w:val="single" w:color="000000" w:sz="4" w:space="0"/>
              <w:bottom w:val="single" w:color="000000" w:sz="4" w:space="0"/>
              <w:right w:val="single" w:color="000000" w:sz="4" w:space="0"/>
            </w:tcBorders>
          </w:tcPr>
          <w:p w14:paraId="4EBD2F76">
            <w:pPr>
              <w:jc w:val="center"/>
            </w:pPr>
            <w:r>
              <w:rPr>
                <w:rFonts w:hint="eastAsia"/>
              </w:rPr>
              <w:t>3</w:t>
            </w:r>
          </w:p>
        </w:tc>
      </w:tr>
      <w:tr w14:paraId="6DACDEC3">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7FC41A94">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62848F90">
            <w:pPr>
              <w:jc w:val="center"/>
            </w:pPr>
            <w:r>
              <w:rPr>
                <w:rFonts w:hint="eastAsia"/>
              </w:rPr>
              <w:t>小叶绿萝柱</w:t>
            </w:r>
          </w:p>
        </w:tc>
        <w:tc>
          <w:tcPr>
            <w:tcW w:w="3510" w:type="dxa"/>
            <w:tcBorders>
              <w:top w:val="single" w:color="000000" w:sz="4" w:space="0"/>
              <w:left w:val="single" w:color="000000" w:sz="4" w:space="0"/>
              <w:bottom w:val="single" w:color="000000" w:sz="4" w:space="0"/>
              <w:right w:val="single" w:color="000000" w:sz="4" w:space="0"/>
            </w:tcBorders>
          </w:tcPr>
          <w:p w14:paraId="6B3213DE">
            <w:pPr>
              <w:jc w:val="center"/>
            </w:pPr>
            <w:r>
              <w:rPr>
                <w:rFonts w:hint="eastAsia"/>
              </w:rPr>
              <w:t>2</w:t>
            </w:r>
          </w:p>
        </w:tc>
      </w:tr>
      <w:tr w14:paraId="2B4C5FB7">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56028738">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21DF8C0A">
            <w:pPr>
              <w:jc w:val="center"/>
            </w:pPr>
            <w:r>
              <w:rPr>
                <w:rFonts w:hint="eastAsia"/>
              </w:rPr>
              <w:t>小绿萝</w:t>
            </w:r>
          </w:p>
        </w:tc>
        <w:tc>
          <w:tcPr>
            <w:tcW w:w="3510" w:type="dxa"/>
            <w:tcBorders>
              <w:top w:val="single" w:color="000000" w:sz="4" w:space="0"/>
              <w:left w:val="single" w:color="000000" w:sz="4" w:space="0"/>
              <w:bottom w:val="single" w:color="000000" w:sz="4" w:space="0"/>
              <w:right w:val="single" w:color="000000" w:sz="4" w:space="0"/>
            </w:tcBorders>
          </w:tcPr>
          <w:p w14:paraId="30E668AE">
            <w:pPr>
              <w:jc w:val="center"/>
            </w:pPr>
            <w:r>
              <w:rPr>
                <w:rFonts w:hint="eastAsia"/>
              </w:rPr>
              <w:t>6</w:t>
            </w:r>
          </w:p>
        </w:tc>
      </w:tr>
      <w:tr w14:paraId="714ECE66">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11CB831D">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21ABEA6B">
            <w:pPr>
              <w:jc w:val="center"/>
            </w:pPr>
            <w:r>
              <w:rPr>
                <w:rFonts w:hint="eastAsia"/>
              </w:rPr>
              <w:t>小叶绿萝柱</w:t>
            </w:r>
          </w:p>
        </w:tc>
        <w:tc>
          <w:tcPr>
            <w:tcW w:w="3510" w:type="dxa"/>
            <w:tcBorders>
              <w:top w:val="single" w:color="000000" w:sz="4" w:space="0"/>
              <w:left w:val="single" w:color="000000" w:sz="4" w:space="0"/>
              <w:bottom w:val="single" w:color="000000" w:sz="4" w:space="0"/>
              <w:right w:val="single" w:color="000000" w:sz="4" w:space="0"/>
            </w:tcBorders>
          </w:tcPr>
          <w:p w14:paraId="515B9CD5">
            <w:pPr>
              <w:jc w:val="center"/>
            </w:pPr>
            <w:r>
              <w:rPr>
                <w:rFonts w:hint="eastAsia"/>
              </w:rPr>
              <w:t>4</w:t>
            </w:r>
          </w:p>
        </w:tc>
      </w:tr>
      <w:tr w14:paraId="6BA5EAE2">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53C0DA25">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33820FCB">
            <w:pPr>
              <w:jc w:val="center"/>
            </w:pPr>
            <w:r>
              <w:rPr>
                <w:rFonts w:hint="eastAsia"/>
              </w:rPr>
              <w:t>朱蕉</w:t>
            </w:r>
          </w:p>
        </w:tc>
        <w:tc>
          <w:tcPr>
            <w:tcW w:w="3510" w:type="dxa"/>
            <w:tcBorders>
              <w:top w:val="single" w:color="000000" w:sz="4" w:space="0"/>
              <w:left w:val="single" w:color="000000" w:sz="4" w:space="0"/>
              <w:bottom w:val="single" w:color="000000" w:sz="4" w:space="0"/>
              <w:right w:val="single" w:color="000000" w:sz="4" w:space="0"/>
            </w:tcBorders>
          </w:tcPr>
          <w:p w14:paraId="508EB20B">
            <w:pPr>
              <w:jc w:val="center"/>
            </w:pPr>
            <w:r>
              <w:rPr>
                <w:rFonts w:hint="eastAsia"/>
              </w:rPr>
              <w:t>4</w:t>
            </w:r>
          </w:p>
        </w:tc>
      </w:tr>
      <w:tr w14:paraId="0AA7BE5D">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2F26EA32">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6990586E">
            <w:pPr>
              <w:jc w:val="center"/>
            </w:pPr>
            <w:r>
              <w:rPr>
                <w:rFonts w:hint="eastAsia"/>
              </w:rPr>
              <w:t>夏威夷竹</w:t>
            </w:r>
          </w:p>
        </w:tc>
        <w:tc>
          <w:tcPr>
            <w:tcW w:w="3510" w:type="dxa"/>
            <w:tcBorders>
              <w:top w:val="single" w:color="000000" w:sz="4" w:space="0"/>
              <w:left w:val="single" w:color="000000" w:sz="4" w:space="0"/>
              <w:bottom w:val="single" w:color="000000" w:sz="4" w:space="0"/>
              <w:right w:val="single" w:color="000000" w:sz="4" w:space="0"/>
            </w:tcBorders>
          </w:tcPr>
          <w:p w14:paraId="574938AA">
            <w:pPr>
              <w:jc w:val="center"/>
            </w:pPr>
            <w:r>
              <w:rPr>
                <w:rFonts w:hint="eastAsia"/>
              </w:rPr>
              <w:t>4</w:t>
            </w:r>
          </w:p>
        </w:tc>
      </w:tr>
      <w:tr w14:paraId="049E3A4F">
        <w:tblPrEx>
          <w:tblCellMar>
            <w:top w:w="15" w:type="dxa"/>
            <w:left w:w="15" w:type="dxa"/>
            <w:bottom w:w="15" w:type="dxa"/>
            <w:right w:w="15" w:type="dxa"/>
          </w:tblCellMar>
        </w:tblPrEx>
        <w:trPr>
          <w:trHeight w:val="375" w:hRule="atLeast"/>
        </w:trPr>
        <w:tc>
          <w:tcPr>
            <w:tcW w:w="1068" w:type="dxa"/>
            <w:tcBorders>
              <w:top w:val="single" w:color="000000" w:sz="4" w:space="0"/>
              <w:left w:val="single" w:color="000000" w:sz="4" w:space="0"/>
              <w:bottom w:val="single" w:color="000000" w:sz="4" w:space="0"/>
              <w:right w:val="single" w:color="000000" w:sz="4" w:space="0"/>
            </w:tcBorders>
            <w:vAlign w:val="center"/>
          </w:tcPr>
          <w:p w14:paraId="464376AD">
            <w:pPr>
              <w:widowControl/>
              <w:jc w:val="center"/>
              <w:textAlignment w:val="center"/>
            </w:pPr>
          </w:p>
        </w:tc>
        <w:tc>
          <w:tcPr>
            <w:tcW w:w="3675" w:type="dxa"/>
            <w:tcBorders>
              <w:top w:val="single" w:color="000000" w:sz="4" w:space="0"/>
              <w:left w:val="single" w:color="000000" w:sz="4" w:space="0"/>
              <w:bottom w:val="single" w:color="000000" w:sz="4" w:space="0"/>
              <w:right w:val="single" w:color="000000" w:sz="4" w:space="0"/>
            </w:tcBorders>
          </w:tcPr>
          <w:p w14:paraId="7F1FB2EF">
            <w:pPr>
              <w:jc w:val="center"/>
            </w:pPr>
            <w:r>
              <w:rPr>
                <w:rFonts w:hint="eastAsia"/>
              </w:rPr>
              <w:t>鸭脚木</w:t>
            </w:r>
          </w:p>
        </w:tc>
        <w:tc>
          <w:tcPr>
            <w:tcW w:w="3510" w:type="dxa"/>
            <w:tcBorders>
              <w:top w:val="single" w:color="000000" w:sz="4" w:space="0"/>
              <w:left w:val="single" w:color="000000" w:sz="4" w:space="0"/>
              <w:bottom w:val="single" w:color="000000" w:sz="4" w:space="0"/>
              <w:right w:val="single" w:color="000000" w:sz="4" w:space="0"/>
            </w:tcBorders>
          </w:tcPr>
          <w:p w14:paraId="75E06014">
            <w:pPr>
              <w:jc w:val="center"/>
            </w:pPr>
            <w:r>
              <w:rPr>
                <w:rFonts w:hint="eastAsia"/>
              </w:rPr>
              <w:t>2</w:t>
            </w:r>
          </w:p>
        </w:tc>
      </w:tr>
    </w:tbl>
    <w:p w14:paraId="11052F0F">
      <w:pPr>
        <w:pStyle w:val="3"/>
        <w:spacing w:line="360" w:lineRule="auto"/>
        <w:rPr>
          <w:b/>
          <w:bCs/>
        </w:rPr>
      </w:pPr>
      <w:r>
        <w:rPr>
          <w:rFonts w:hint="eastAsia"/>
        </w:rPr>
        <w:t>（</w:t>
      </w:r>
      <w:r>
        <w:rPr>
          <w:rFonts w:hint="eastAsia"/>
          <w:b/>
          <w:bCs/>
        </w:rPr>
        <w:t>七）、接待、会议服务</w:t>
      </w:r>
    </w:p>
    <w:p w14:paraId="3D0FC2C6">
      <w:pPr>
        <w:pStyle w:val="3"/>
        <w:spacing w:line="360" w:lineRule="auto"/>
        <w:ind w:firstLine="420"/>
      </w:pPr>
      <w:r>
        <w:t>l</w:t>
      </w:r>
      <w:r>
        <w:rPr>
          <w:rFonts w:hint="eastAsia"/>
        </w:rPr>
        <w:t>、服务范围：为办公楼（区域）内举办的各类会议、活动提供服务，包括接待信息接收、接待资源准备、司梯服务、引位服务。</w:t>
      </w:r>
    </w:p>
    <w:p w14:paraId="0C4F93C0">
      <w:pPr>
        <w:pStyle w:val="3"/>
        <w:spacing w:line="360" w:lineRule="auto"/>
        <w:ind w:firstLine="420"/>
      </w:pPr>
      <w:r>
        <w:rPr>
          <w:rFonts w:hint="eastAsia"/>
        </w:rPr>
        <w:t>2、服务内容：</w:t>
      </w:r>
    </w:p>
    <w:p w14:paraId="69DAC5AB">
      <w:pPr>
        <w:pStyle w:val="3"/>
        <w:spacing w:line="360" w:lineRule="auto"/>
      </w:pPr>
      <w:r>
        <w:t xml:space="preserve">   (1)</w:t>
      </w:r>
      <w:r>
        <w:rPr>
          <w:rFonts w:hint="eastAsia"/>
        </w:rPr>
        <w:t>会场布置、会议材料复印、发放，席卡与会场标识布置、主席台布置、会议礼仪接待、引导服务等。</w:t>
      </w:r>
    </w:p>
    <w:p w14:paraId="4A4C6CF2">
      <w:pPr>
        <w:pStyle w:val="3"/>
        <w:spacing w:line="360" w:lineRule="auto"/>
      </w:pPr>
      <w:r>
        <w:t xml:space="preserve">   (2)</w:t>
      </w:r>
      <w:r>
        <w:rPr>
          <w:rFonts w:hint="eastAsia"/>
        </w:rPr>
        <w:t>视频、音响保障。</w:t>
      </w:r>
    </w:p>
    <w:p w14:paraId="43AFC51D">
      <w:pPr>
        <w:pStyle w:val="3"/>
        <w:spacing w:line="360" w:lineRule="auto"/>
      </w:pPr>
      <w:r>
        <w:t xml:space="preserve">   (3)</w:t>
      </w:r>
      <w:r>
        <w:rPr>
          <w:rFonts w:hint="eastAsia"/>
        </w:rPr>
        <w:t>会议期间开水供应及相关服务</w:t>
      </w:r>
    </w:p>
    <w:p w14:paraId="09093668">
      <w:pPr>
        <w:pStyle w:val="3"/>
        <w:spacing w:line="360" w:lineRule="auto"/>
        <w:ind w:firstLine="315" w:firstLineChars="150"/>
      </w:pPr>
      <w:r>
        <w:rPr>
          <w:rFonts w:hint="eastAsia"/>
        </w:rPr>
        <w:t>(4)会议后会场整理、保洁服务</w:t>
      </w:r>
    </w:p>
    <w:p w14:paraId="1E42154C">
      <w:pPr>
        <w:spacing w:line="360" w:lineRule="auto"/>
        <w:ind w:firstLine="315" w:firstLineChars="150"/>
        <w:rPr>
          <w:sz w:val="24"/>
          <w:szCs w:val="24"/>
        </w:rPr>
      </w:pPr>
      <w:r>
        <w:rPr>
          <w:rFonts w:hint="eastAsia"/>
        </w:rPr>
        <w:t>3、服务标准：建立会议室管理制度，制订会议服务规程并认真落实，做好会议室的音响服务，礼仪接待周到、规范。保证会议期间茶水供应并定时续水，会前会后打扫室内卫生，保持室内整洁，会场布置及时。</w:t>
      </w:r>
    </w:p>
    <w:p w14:paraId="52DF971B">
      <w:pPr>
        <w:pStyle w:val="3"/>
        <w:spacing w:line="360" w:lineRule="auto"/>
        <w:rPr>
          <w:b/>
          <w:bCs/>
        </w:rPr>
      </w:pPr>
      <w:r>
        <w:rPr>
          <w:rFonts w:hint="eastAsia"/>
        </w:rPr>
        <w:t>（</w:t>
      </w:r>
      <w:r>
        <w:rPr>
          <w:rFonts w:hint="eastAsia"/>
          <w:b/>
          <w:bCs/>
        </w:rPr>
        <w:t>八）档案管理</w:t>
      </w:r>
    </w:p>
    <w:p w14:paraId="598E8487">
      <w:pPr>
        <w:pStyle w:val="3"/>
        <w:spacing w:line="360" w:lineRule="auto"/>
        <w:rPr>
          <w:bCs/>
        </w:rPr>
      </w:pPr>
      <w:r>
        <w:rPr>
          <w:rFonts w:hint="eastAsia"/>
          <w:bCs/>
        </w:rPr>
        <w:t>服务范围包括以下内容：</w:t>
      </w:r>
    </w:p>
    <w:p w14:paraId="41D87485">
      <w:pPr>
        <w:pStyle w:val="3"/>
        <w:spacing w:line="360" w:lineRule="auto"/>
        <w:ind w:firstLine="420" w:firstLineChars="200"/>
        <w:rPr>
          <w:rFonts w:ascii="Times New Roman" w:hAnsi="Times New Roman"/>
          <w:szCs w:val="21"/>
        </w:rPr>
      </w:pPr>
      <w:r>
        <w:rPr>
          <w:rFonts w:ascii="Times New Roman" w:hAnsi="Times New Roman"/>
          <w:szCs w:val="21"/>
        </w:rPr>
        <w:t>l</w:t>
      </w:r>
      <w:r>
        <w:rPr>
          <w:rFonts w:hint="eastAsia" w:ascii="Times New Roman" w:hAnsi="Times New Roman"/>
          <w:szCs w:val="21"/>
        </w:rPr>
        <w:t>、建立管理人员人事档案、用户档案和各类行政文件、合同的存档工作。</w:t>
      </w:r>
    </w:p>
    <w:p w14:paraId="79ACD1E2">
      <w:pPr>
        <w:pStyle w:val="3"/>
        <w:spacing w:line="360" w:lineRule="auto"/>
        <w:rPr>
          <w:rFonts w:ascii="Times New Roman" w:hAnsi="Times New Roman"/>
          <w:szCs w:val="21"/>
        </w:rPr>
      </w:pPr>
      <w:r>
        <w:rPr>
          <w:rFonts w:ascii="Times New Roman" w:hAnsi="Times New Roman"/>
          <w:szCs w:val="21"/>
        </w:rPr>
        <w:t xml:space="preserve">    2</w:t>
      </w:r>
      <w:r>
        <w:rPr>
          <w:rFonts w:hint="eastAsia" w:ascii="Times New Roman" w:hAnsi="Times New Roman"/>
          <w:szCs w:val="21"/>
        </w:rPr>
        <w:t>．健全所有建筑物、公用设施、设备的图纸资料，及时增加修改资料。</w:t>
      </w:r>
    </w:p>
    <w:p w14:paraId="6F9D6CE5">
      <w:pPr>
        <w:pStyle w:val="3"/>
        <w:spacing w:line="360" w:lineRule="auto"/>
        <w:rPr>
          <w:rFonts w:ascii="Times New Roman" w:hAnsi="Times New Roman"/>
          <w:szCs w:val="21"/>
        </w:rPr>
      </w:pPr>
      <w:r>
        <w:rPr>
          <w:rFonts w:ascii="Times New Roman" w:hAnsi="Times New Roman"/>
          <w:szCs w:val="21"/>
        </w:rPr>
        <w:t xml:space="preserve">    3</w:t>
      </w:r>
      <w:r>
        <w:rPr>
          <w:rFonts w:hint="eastAsia" w:ascii="Times New Roman" w:hAnsi="Times New Roman"/>
          <w:szCs w:val="21"/>
        </w:rPr>
        <w:t>、建立设备、设施、保洁、车辆等日常运作管理档案。</w:t>
      </w:r>
    </w:p>
    <w:p w14:paraId="33364B91">
      <w:pPr>
        <w:pStyle w:val="3"/>
        <w:spacing w:line="360" w:lineRule="auto"/>
        <w:rPr>
          <w:rFonts w:ascii="Times New Roman" w:hAnsi="Times New Roman"/>
          <w:szCs w:val="21"/>
        </w:rPr>
      </w:pPr>
      <w:r>
        <w:rPr>
          <w:rFonts w:ascii="Times New Roman" w:hAnsi="Times New Roman"/>
          <w:szCs w:val="21"/>
        </w:rPr>
        <w:t xml:space="preserve">    4</w:t>
      </w:r>
      <w:r>
        <w:rPr>
          <w:rFonts w:hint="eastAsia" w:ascii="Times New Roman" w:hAnsi="Times New Roman"/>
          <w:szCs w:val="21"/>
        </w:rPr>
        <w:t>、所有资料及管理资料分为图、档、卡、册四类，安放于防火、防潮、防蛀之专用档案箱内。</w:t>
      </w:r>
    </w:p>
    <w:p w14:paraId="5A81D40B">
      <w:pPr>
        <w:pStyle w:val="3"/>
        <w:spacing w:line="360" w:lineRule="auto"/>
        <w:ind w:firstLine="420"/>
        <w:rPr>
          <w:rFonts w:ascii="Times New Roman" w:hAnsi="Times New Roman"/>
          <w:szCs w:val="21"/>
        </w:rPr>
      </w:pPr>
      <w:r>
        <w:rPr>
          <w:rFonts w:hint="eastAsia" w:ascii="Times New Roman" w:hAnsi="Times New Roman"/>
          <w:szCs w:val="21"/>
        </w:rPr>
        <w:t>服务标准：所有有关办公区域管理档案资料须做到定期更新，保证完整、完好，撤离时全部移交办公区域方。</w:t>
      </w:r>
    </w:p>
    <w:p w14:paraId="047E568E">
      <w:pPr>
        <w:pStyle w:val="3"/>
        <w:spacing w:line="360" w:lineRule="auto"/>
        <w:rPr>
          <w:b/>
          <w:bCs/>
        </w:rPr>
      </w:pPr>
    </w:p>
    <w:p w14:paraId="5D298E08">
      <w:pPr>
        <w:pStyle w:val="3"/>
        <w:spacing w:line="360" w:lineRule="auto"/>
        <w:ind w:firstLine="407" w:firstLineChars="193"/>
        <w:rPr>
          <w:b/>
          <w:bCs/>
        </w:rPr>
      </w:pPr>
      <w:r>
        <w:rPr>
          <w:rFonts w:hint="eastAsia"/>
          <w:b/>
          <w:bCs/>
        </w:rPr>
        <w:t>（九）其他服务</w:t>
      </w:r>
    </w:p>
    <w:p w14:paraId="36CB4AE9">
      <w:pPr>
        <w:pStyle w:val="3"/>
        <w:spacing w:line="360" w:lineRule="auto"/>
        <w:ind w:firstLine="315" w:firstLineChars="150"/>
        <w:rPr>
          <w:bCs/>
        </w:rPr>
      </w:pPr>
      <w:r>
        <w:rPr>
          <w:rFonts w:hint="eastAsia"/>
          <w:bCs/>
        </w:rPr>
        <w:t>1、其他服务范围包括：</w:t>
      </w:r>
      <w:r>
        <w:rPr>
          <w:rFonts w:hint="eastAsia"/>
          <w:bCs/>
          <w:u w:val="single"/>
        </w:rPr>
        <w:t>前期介入、节能管理、垃圾分类管理、垃圾清运、污水管理、理发服务、安检服务、快递派发等。</w:t>
      </w:r>
    </w:p>
    <w:p w14:paraId="50BF1B13">
      <w:pPr>
        <w:pStyle w:val="3"/>
        <w:spacing w:line="360" w:lineRule="auto"/>
        <w:ind w:firstLine="315" w:firstLineChars="150"/>
        <w:rPr>
          <w:u w:val="single"/>
        </w:rPr>
      </w:pPr>
      <w:r>
        <w:rPr>
          <w:rFonts w:hint="eastAsia"/>
          <w:bCs/>
        </w:rPr>
        <w:t>2、</w:t>
      </w:r>
      <w:r>
        <w:rPr>
          <w:rFonts w:hint="eastAsia"/>
        </w:rPr>
        <w:t>费用结算：</w:t>
      </w:r>
      <w:bookmarkStart w:id="3" w:name="OLE_LINK9"/>
      <w:bookmarkEnd w:id="3"/>
      <w:bookmarkStart w:id="4" w:name="OLE_LINK10"/>
      <w:bookmarkEnd w:id="4"/>
      <w:r>
        <w:rPr>
          <w:rFonts w:hint="eastAsia"/>
          <w:u w:val="single"/>
        </w:rPr>
        <w:t>计入投标报价。</w:t>
      </w:r>
    </w:p>
    <w:p w14:paraId="026D9719">
      <w:pPr>
        <w:pStyle w:val="3"/>
        <w:spacing w:line="360" w:lineRule="auto"/>
        <w:ind w:firstLine="315" w:firstLineChars="150"/>
        <w:rPr>
          <w:bCs/>
        </w:rPr>
      </w:pPr>
    </w:p>
    <w:p w14:paraId="7E9260A0">
      <w:pPr>
        <w:pStyle w:val="3"/>
        <w:spacing w:line="360" w:lineRule="auto"/>
        <w:ind w:firstLine="315" w:firstLineChars="150"/>
        <w:rPr>
          <w:bCs/>
          <w:color w:val="FF0000"/>
        </w:rPr>
      </w:pPr>
    </w:p>
    <w:p w14:paraId="046DBED5">
      <w:pPr>
        <w:spacing w:line="360" w:lineRule="auto"/>
        <w:rPr>
          <w:rFonts w:ascii="宋体" w:hAnsi="Courier New"/>
          <w:b/>
          <w:color w:val="auto"/>
          <w:sz w:val="28"/>
          <w:szCs w:val="28"/>
        </w:rPr>
      </w:pPr>
      <w:r>
        <w:rPr>
          <w:rFonts w:ascii="宋体" w:hAnsi="Courier New"/>
          <w:b/>
          <w:color w:val="FF0000"/>
          <w:sz w:val="28"/>
          <w:szCs w:val="28"/>
        </w:rPr>
        <w:br w:type="page"/>
      </w:r>
      <w:r>
        <w:rPr>
          <w:rFonts w:hint="eastAsia" w:ascii="宋体" w:hAnsi="Courier New"/>
          <w:b/>
          <w:color w:val="auto"/>
          <w:sz w:val="28"/>
          <w:szCs w:val="28"/>
          <w:lang w:eastAsia="zh-CN"/>
        </w:rPr>
        <w:t>四</w:t>
      </w:r>
      <w:r>
        <w:rPr>
          <w:rFonts w:hint="eastAsia" w:ascii="宋体" w:hAnsi="Courier New"/>
          <w:b/>
          <w:color w:val="auto"/>
          <w:sz w:val="28"/>
          <w:szCs w:val="28"/>
        </w:rPr>
        <w:t>、考核办法</w:t>
      </w:r>
    </w:p>
    <w:p w14:paraId="501B6FE8">
      <w:pPr>
        <w:snapToGrid w:val="0"/>
        <w:spacing w:line="360" w:lineRule="auto"/>
        <w:jc w:val="center"/>
        <w:rPr>
          <w:rFonts w:hint="eastAsia" w:ascii="宋体" w:hAnsi="宋体" w:cs="宋体"/>
          <w:b/>
          <w:color w:val="auto"/>
          <w:sz w:val="24"/>
          <w:szCs w:val="24"/>
        </w:rPr>
      </w:pPr>
      <w:r>
        <w:rPr>
          <w:rFonts w:ascii="宋体" w:hAnsi="宋体" w:cs="宋体"/>
          <w:b/>
          <w:color w:val="auto"/>
          <w:sz w:val="24"/>
          <w:szCs w:val="24"/>
        </w:rPr>
        <w:t>《物业管理工作考核办法》</w:t>
      </w:r>
    </w:p>
    <w:p w14:paraId="5EFC9171">
      <w:pPr>
        <w:snapToGrid w:val="0"/>
        <w:spacing w:line="360" w:lineRule="auto"/>
        <w:jc w:val="center"/>
        <w:rPr>
          <w:rFonts w:hint="eastAsia" w:ascii="宋体" w:hAnsi="宋体" w:cs="宋体"/>
          <w:b/>
          <w:color w:val="auto"/>
          <w:sz w:val="24"/>
          <w:szCs w:val="24"/>
        </w:rPr>
      </w:pPr>
    </w:p>
    <w:p w14:paraId="5A65CD93">
      <w:pPr>
        <w:pStyle w:val="16"/>
        <w:widowControl/>
        <w:numPr>
          <w:ilvl w:val="0"/>
          <w:numId w:val="1"/>
        </w:numPr>
        <w:spacing w:line="360" w:lineRule="auto"/>
        <w:ind w:firstLineChars="0"/>
        <w:jc w:val="left"/>
        <w:rPr>
          <w:rFonts w:hint="eastAsia" w:ascii="宋体" w:hAnsi="宋体"/>
          <w:b/>
          <w:color w:val="auto"/>
        </w:rPr>
      </w:pPr>
      <w:r>
        <w:rPr>
          <w:rFonts w:ascii="宋体" w:hAnsi="宋体"/>
          <w:b/>
          <w:color w:val="auto"/>
        </w:rPr>
        <w:t>接受业主方考核</w:t>
      </w:r>
    </w:p>
    <w:p w14:paraId="14660FCE">
      <w:pPr>
        <w:pStyle w:val="2"/>
        <w:snapToGrid w:val="0"/>
        <w:spacing w:line="360" w:lineRule="auto"/>
        <w:ind w:left="426" w:firstLine="0"/>
        <w:rPr>
          <w:rFonts w:hint="eastAsia"/>
          <w:color w:val="auto"/>
          <w:sz w:val="21"/>
          <w:szCs w:val="21"/>
        </w:rPr>
      </w:pPr>
      <w:r>
        <w:rPr>
          <w:color w:val="auto"/>
          <w:sz w:val="21"/>
          <w:szCs w:val="21"/>
        </w:rPr>
        <w:t>业主（以下简称甲方）将对中标单位（以下简称乙方）的物业管理工作质量进行监督和考核，具体考核办法如下：</w:t>
      </w:r>
    </w:p>
    <w:p w14:paraId="49F1CE2F">
      <w:pPr>
        <w:pStyle w:val="2"/>
        <w:snapToGrid w:val="0"/>
        <w:spacing w:line="360" w:lineRule="auto"/>
        <w:ind w:left="426" w:firstLine="0"/>
        <w:rPr>
          <w:rFonts w:hint="eastAsia" w:cs="宋体"/>
          <w:color w:val="auto"/>
          <w:sz w:val="21"/>
          <w:szCs w:val="21"/>
        </w:rPr>
      </w:pPr>
    </w:p>
    <w:p w14:paraId="2B0BDC52">
      <w:pPr>
        <w:pStyle w:val="16"/>
        <w:widowControl/>
        <w:numPr>
          <w:ilvl w:val="0"/>
          <w:numId w:val="1"/>
        </w:numPr>
        <w:spacing w:line="360" w:lineRule="auto"/>
        <w:ind w:firstLineChars="0"/>
        <w:jc w:val="left"/>
        <w:rPr>
          <w:rFonts w:hint="eastAsia" w:ascii="宋体" w:hAnsi="宋体"/>
          <w:b/>
          <w:color w:val="auto"/>
        </w:rPr>
      </w:pPr>
      <w:r>
        <w:rPr>
          <w:rFonts w:ascii="宋体" w:hAnsi="宋体"/>
          <w:b/>
          <w:color w:val="auto"/>
        </w:rPr>
        <w:t>组织形式</w:t>
      </w:r>
    </w:p>
    <w:p w14:paraId="140077BC">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由甲方相关的单位组成考评小组，负责对乙方进行考核。</w:t>
      </w:r>
    </w:p>
    <w:p w14:paraId="215EAAF1">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考评小组组长由甲方分管领导担任，负责考核的总体管理，督查以及考评结果的审核</w:t>
      </w:r>
      <w:r>
        <w:rPr>
          <w:rFonts w:ascii="宋体" w:hAnsi="宋体" w:cs="宋体"/>
          <w:color w:val="auto"/>
        </w:rPr>
        <w:t>。</w:t>
      </w:r>
    </w:p>
    <w:p w14:paraId="17B5BA62">
      <w:pPr>
        <w:pStyle w:val="19"/>
        <w:snapToGrid w:val="0"/>
        <w:spacing w:line="360" w:lineRule="auto"/>
        <w:rPr>
          <w:rFonts w:hint="eastAsia" w:ascii="宋体" w:hAnsi="宋体" w:cs="宋体"/>
          <w:color w:val="auto"/>
          <w:szCs w:val="21"/>
        </w:rPr>
      </w:pPr>
    </w:p>
    <w:p w14:paraId="26F888E3">
      <w:pPr>
        <w:pStyle w:val="16"/>
        <w:widowControl/>
        <w:numPr>
          <w:ilvl w:val="0"/>
          <w:numId w:val="1"/>
        </w:numPr>
        <w:spacing w:line="360" w:lineRule="auto"/>
        <w:ind w:firstLineChars="0"/>
        <w:jc w:val="left"/>
        <w:rPr>
          <w:rFonts w:hint="eastAsia" w:ascii="宋体" w:hAnsi="宋体"/>
          <w:b/>
          <w:color w:val="auto"/>
        </w:rPr>
      </w:pPr>
      <w:r>
        <w:rPr>
          <w:rFonts w:ascii="宋体" w:hAnsi="宋体"/>
          <w:b/>
          <w:color w:val="auto"/>
        </w:rPr>
        <w:t>考评依据</w:t>
      </w:r>
    </w:p>
    <w:p w14:paraId="2276A4BB">
      <w:pPr>
        <w:pStyle w:val="16"/>
        <w:widowControl/>
        <w:snapToGrid w:val="0"/>
        <w:spacing w:line="360" w:lineRule="auto"/>
        <w:ind w:firstLineChars="0"/>
        <w:jc w:val="left"/>
        <w:rPr>
          <w:rFonts w:hint="eastAsia" w:ascii="宋体" w:hAnsi="宋体" w:cs="宋体"/>
          <w:color w:val="auto"/>
        </w:rPr>
      </w:pPr>
      <w:r>
        <w:rPr>
          <w:rFonts w:ascii="宋体" w:hAnsi="宋体" w:cs="宋体"/>
          <w:color w:val="auto"/>
        </w:rPr>
        <w:t>物业管理委托合同要求。</w:t>
      </w:r>
    </w:p>
    <w:p w14:paraId="3AFA7972">
      <w:pPr>
        <w:pStyle w:val="16"/>
        <w:widowControl/>
        <w:snapToGrid w:val="0"/>
        <w:spacing w:line="360" w:lineRule="auto"/>
        <w:ind w:firstLineChars="0"/>
        <w:jc w:val="left"/>
        <w:rPr>
          <w:rFonts w:hint="eastAsia" w:ascii="宋体" w:hAnsi="宋体" w:cs="宋体"/>
          <w:color w:val="auto"/>
        </w:rPr>
      </w:pPr>
      <w:r>
        <w:rPr>
          <w:rFonts w:ascii="宋体" w:hAnsi="宋体" w:cs="宋体"/>
          <w:color w:val="auto"/>
        </w:rPr>
        <w:t>行业法律法规要求。</w:t>
      </w:r>
    </w:p>
    <w:p w14:paraId="02BA6A6A">
      <w:pPr>
        <w:pStyle w:val="16"/>
        <w:widowControl/>
        <w:numPr>
          <w:ilvl w:val="0"/>
          <w:numId w:val="1"/>
        </w:numPr>
        <w:spacing w:line="360" w:lineRule="auto"/>
        <w:ind w:firstLineChars="0"/>
        <w:jc w:val="left"/>
        <w:rPr>
          <w:rFonts w:hint="eastAsia" w:ascii="宋体" w:hAnsi="宋体"/>
          <w:b/>
          <w:color w:val="auto"/>
        </w:rPr>
      </w:pPr>
      <w:r>
        <w:rPr>
          <w:rFonts w:ascii="宋体" w:hAnsi="宋体"/>
          <w:b/>
          <w:color w:val="auto"/>
        </w:rPr>
        <w:t>考评形式</w:t>
      </w:r>
    </w:p>
    <w:p w14:paraId="42FA5043">
      <w:pPr>
        <w:snapToGrid w:val="0"/>
        <w:spacing w:line="360" w:lineRule="auto"/>
        <w:ind w:firstLine="420"/>
        <w:rPr>
          <w:rFonts w:hint="eastAsia" w:ascii="宋体" w:hAnsi="宋体"/>
          <w:color w:val="auto"/>
          <w:szCs w:val="21"/>
        </w:rPr>
      </w:pPr>
      <w:r>
        <w:rPr>
          <w:rFonts w:ascii="宋体" w:hAnsi="宋体"/>
          <w:color w:val="auto"/>
          <w:szCs w:val="21"/>
        </w:rPr>
        <w:t>考核分为季度考核（不定期）及年度考评两种。</w:t>
      </w:r>
    </w:p>
    <w:p w14:paraId="69E1168D">
      <w:pPr>
        <w:pStyle w:val="16"/>
        <w:widowControl/>
        <w:numPr>
          <w:ilvl w:val="0"/>
          <w:numId w:val="1"/>
        </w:numPr>
        <w:spacing w:line="360" w:lineRule="auto"/>
        <w:ind w:firstLineChars="0"/>
        <w:jc w:val="left"/>
        <w:rPr>
          <w:rFonts w:hint="eastAsia" w:ascii="宋体" w:hAnsi="宋体"/>
          <w:b/>
          <w:color w:val="auto"/>
        </w:rPr>
      </w:pPr>
      <w:r>
        <w:rPr>
          <w:rFonts w:ascii="宋体" w:hAnsi="宋体"/>
          <w:b/>
          <w:color w:val="auto"/>
        </w:rPr>
        <w:t>季度（不定期）考核</w:t>
      </w:r>
    </w:p>
    <w:p w14:paraId="76DB2BEA">
      <w:pPr>
        <w:tabs>
          <w:tab w:val="center" w:pos="4156"/>
        </w:tabs>
        <w:snapToGrid w:val="0"/>
        <w:spacing w:line="360" w:lineRule="auto"/>
        <w:ind w:left="420"/>
        <w:rPr>
          <w:rFonts w:hint="eastAsia" w:ascii="宋体" w:hAnsi="宋体" w:cs="宋体"/>
          <w:color w:val="auto"/>
        </w:rPr>
      </w:pPr>
      <w:r>
        <w:rPr>
          <w:rFonts w:ascii="宋体" w:hAnsi="宋体"/>
          <w:color w:val="auto"/>
          <w:szCs w:val="21"/>
        </w:rPr>
        <w:t>季度（不定期）考核实行扣分制，具体分为指标考核及日常工作质量考核</w:t>
      </w:r>
      <w:r>
        <w:rPr>
          <w:rFonts w:ascii="宋体" w:hAnsi="宋体" w:cs="宋体"/>
          <w:color w:val="auto"/>
        </w:rPr>
        <w:t>。</w:t>
      </w:r>
    </w:p>
    <w:p w14:paraId="1AE68C8F">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季度考核由甲方与物业管理工作相关的部门负责考核</w:t>
      </w:r>
      <w:r>
        <w:rPr>
          <w:rFonts w:ascii="宋体" w:hAnsi="宋体" w:cs="宋体"/>
          <w:color w:val="auto"/>
        </w:rPr>
        <w:t>。</w:t>
      </w:r>
    </w:p>
    <w:p w14:paraId="1AB80CF0">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季度考核以不少于一次的检查方式对物业管理工作进行考核。</w:t>
      </w:r>
    </w:p>
    <w:p w14:paraId="7BBDF4D9">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物业管理服务人员的考勤检查：主要岗位人员名单交业主方备案， 乙方物业管理服务人员的考勤系统向甲方开放，甲方根据需要随时抽查。</w:t>
      </w:r>
    </w:p>
    <w:p w14:paraId="3F512665">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人员流动性及在岗位考核：主要岗位、重要岗位人员的离职或辞退须交业主方备案，季度考核时须对人员稳定性是否实现控制目标进行考核。</w:t>
      </w:r>
    </w:p>
    <w:p w14:paraId="0F7D69CC">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考评小组以外的工作人员在工作中发现乙方的不符合项可报告考评小组，由考评小组进行调查经确认后纳入考核依据；季度考核以不少于一次的检查方式对物业管理工作进行考核。</w:t>
      </w:r>
    </w:p>
    <w:p w14:paraId="3A0D5C1E">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物业管理服务人员的考勤检查：主要岗位人员名单交业主方备案， 乙方物业管理服务人员的考勤系统向甲方开放，甲方根据需要随时抽查。</w:t>
      </w:r>
    </w:p>
    <w:p w14:paraId="2D68283A">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人员流动性及在岗率考核：主要岗位、重要岗位人员的离职或辞退须交业主方备案。</w:t>
      </w:r>
    </w:p>
    <w:p w14:paraId="6FF5C0F7">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季度考核时须对人员稳定性是否实现控制目标进行考核。</w:t>
      </w:r>
    </w:p>
    <w:p w14:paraId="4AF54C03">
      <w:pPr>
        <w:pStyle w:val="16"/>
        <w:widowControl/>
        <w:snapToGrid w:val="0"/>
        <w:spacing w:line="360" w:lineRule="auto"/>
        <w:ind w:firstLineChars="0"/>
        <w:jc w:val="left"/>
        <w:rPr>
          <w:rFonts w:hint="eastAsia" w:ascii="宋体" w:hAnsi="宋体" w:cs="宋体"/>
          <w:color w:val="auto"/>
        </w:rPr>
      </w:pPr>
      <w:r>
        <w:rPr>
          <w:rFonts w:ascii="宋体" w:hAnsi="宋体"/>
          <w:color w:val="auto"/>
          <w:szCs w:val="21"/>
        </w:rPr>
        <w:t>考评小组以外的工作人员在工作中发现乙方的不符合项可报告考评小组，由考评小组进行调查经确认后纳入考核依据。</w:t>
      </w:r>
    </w:p>
    <w:p w14:paraId="578AC97B">
      <w:pPr>
        <w:pStyle w:val="16"/>
        <w:snapToGrid w:val="0"/>
        <w:spacing w:line="360" w:lineRule="auto"/>
        <w:ind w:left="840"/>
        <w:rPr>
          <w:rFonts w:hint="eastAsia" w:ascii="宋体" w:hAnsi="宋体" w:cs="宋体"/>
          <w:color w:val="auto"/>
        </w:rPr>
      </w:pPr>
    </w:p>
    <w:p w14:paraId="3ADAC438">
      <w:pPr>
        <w:pStyle w:val="16"/>
        <w:widowControl/>
        <w:numPr>
          <w:ilvl w:val="0"/>
          <w:numId w:val="1"/>
        </w:numPr>
        <w:spacing w:line="360" w:lineRule="auto"/>
        <w:ind w:firstLineChars="0"/>
        <w:jc w:val="left"/>
        <w:rPr>
          <w:rFonts w:hint="eastAsia" w:ascii="宋体" w:hAnsi="宋体"/>
          <w:b/>
          <w:color w:val="auto"/>
        </w:rPr>
      </w:pPr>
      <w:r>
        <w:rPr>
          <w:rFonts w:ascii="宋体" w:hAnsi="宋体"/>
          <w:b/>
          <w:color w:val="auto"/>
        </w:rPr>
        <w:t>年度考评</w:t>
      </w:r>
    </w:p>
    <w:p w14:paraId="60613A44">
      <w:pPr>
        <w:pStyle w:val="16"/>
        <w:widowControl/>
        <w:snapToGrid w:val="0"/>
        <w:spacing w:line="360" w:lineRule="auto"/>
        <w:ind w:firstLineChars="0"/>
        <w:jc w:val="left"/>
        <w:rPr>
          <w:rFonts w:hint="eastAsia" w:ascii="宋体" w:hAnsi="宋体" w:cs="宋体"/>
          <w:color w:val="auto"/>
        </w:rPr>
      </w:pPr>
      <w:r>
        <w:rPr>
          <w:rFonts w:ascii="宋体" w:hAnsi="宋体" w:cs="宋体"/>
          <w:color w:val="auto"/>
        </w:rPr>
        <w:t>年度考评以月度指标考核平均值及满意值（业主与用户的平均值）为主要考评指标，由考评小组、相关部门和乙方组织满意度调查。</w:t>
      </w:r>
    </w:p>
    <w:p w14:paraId="3802DDAA">
      <w:pPr>
        <w:pStyle w:val="16"/>
        <w:widowControl/>
        <w:snapToGrid w:val="0"/>
        <w:spacing w:line="360" w:lineRule="auto"/>
        <w:ind w:firstLineChars="0"/>
        <w:jc w:val="left"/>
        <w:rPr>
          <w:rFonts w:hint="eastAsia" w:ascii="宋体" w:hAnsi="宋体" w:cs="宋体"/>
          <w:color w:val="auto"/>
        </w:rPr>
      </w:pPr>
      <w:r>
        <w:rPr>
          <w:rFonts w:ascii="宋体" w:hAnsi="宋体" w:cs="宋体"/>
          <w:color w:val="auto"/>
        </w:rPr>
        <w:t>公式：</w:t>
      </w:r>
      <w:r>
        <w:rPr>
          <w:rFonts w:ascii="宋体" w:hAnsi="宋体" w:cs="宋体"/>
          <w:color w:val="auto"/>
          <w:u w:val="single"/>
        </w:rPr>
        <w:t>年度考评总分=（∑每季考核分数÷∑考核次数）×70%＋[（平均用户满意值＋平均业主满意值）÷2]×30%</w:t>
      </w:r>
    </w:p>
    <w:p w14:paraId="2DFFA6C5">
      <w:pPr>
        <w:pStyle w:val="16"/>
        <w:widowControl/>
        <w:snapToGrid w:val="0"/>
        <w:spacing w:line="360" w:lineRule="auto"/>
        <w:ind w:firstLineChars="0"/>
        <w:jc w:val="left"/>
        <w:rPr>
          <w:rFonts w:hint="eastAsia" w:ascii="宋体" w:hAnsi="宋体" w:cs="宋体"/>
          <w:color w:val="auto"/>
        </w:rPr>
      </w:pPr>
      <w:r>
        <w:rPr>
          <w:rFonts w:ascii="宋体" w:hAnsi="宋体" w:cs="宋体"/>
          <w:color w:val="auto"/>
        </w:rPr>
        <w:t>业主满意度调查：向相关</w:t>
      </w:r>
      <w:r>
        <w:rPr>
          <w:rFonts w:hint="eastAsia" w:ascii="宋体" w:hAnsi="宋体" w:cs="宋体"/>
          <w:color w:val="auto"/>
        </w:rPr>
        <w:t>业主</w:t>
      </w:r>
      <w:r>
        <w:rPr>
          <w:rFonts w:ascii="宋体" w:hAnsi="宋体" w:cs="宋体"/>
          <w:color w:val="auto"/>
        </w:rPr>
        <w:t>工作人员抽样调查，抽样比例为20%；</w:t>
      </w:r>
    </w:p>
    <w:p w14:paraId="4D6CCB46">
      <w:pPr>
        <w:pStyle w:val="16"/>
        <w:widowControl/>
        <w:snapToGrid w:val="0"/>
        <w:spacing w:line="360" w:lineRule="auto"/>
        <w:ind w:firstLineChars="0"/>
        <w:jc w:val="left"/>
        <w:rPr>
          <w:rFonts w:hint="eastAsia" w:ascii="宋体" w:hAnsi="宋体" w:cs="宋体"/>
          <w:color w:val="auto"/>
        </w:rPr>
      </w:pPr>
      <w:r>
        <w:rPr>
          <w:rFonts w:ascii="宋体" w:hAnsi="宋体" w:cs="宋体"/>
          <w:color w:val="auto"/>
        </w:rPr>
        <w:t>用户满意度调查，获得考核所需的满意值：</w:t>
      </w:r>
    </w:p>
    <w:p w14:paraId="37A22ACA">
      <w:pPr>
        <w:pStyle w:val="19"/>
        <w:snapToGrid w:val="0"/>
        <w:spacing w:line="360" w:lineRule="auto"/>
        <w:rPr>
          <w:rFonts w:hint="eastAsia" w:ascii="宋体" w:hAnsi="宋体" w:cs="宋体"/>
          <w:color w:val="auto"/>
          <w:szCs w:val="21"/>
        </w:rPr>
      </w:pPr>
      <w:r>
        <w:rPr>
          <w:rFonts w:ascii="宋体" w:hAnsi="宋体" w:cs="宋体"/>
          <w:color w:val="auto"/>
          <w:szCs w:val="21"/>
        </w:rPr>
        <w:t>每季度，职能部门组织至现场进行用户满意度调查；</w:t>
      </w:r>
    </w:p>
    <w:p w14:paraId="5DB9FA66">
      <w:pPr>
        <w:pStyle w:val="19"/>
        <w:snapToGrid w:val="0"/>
        <w:spacing w:line="360" w:lineRule="auto"/>
        <w:rPr>
          <w:rFonts w:hint="eastAsia" w:ascii="宋体" w:hAnsi="宋体" w:cs="宋体"/>
          <w:color w:val="auto"/>
          <w:szCs w:val="21"/>
        </w:rPr>
      </w:pPr>
      <w:r>
        <w:rPr>
          <w:rFonts w:ascii="宋体" w:hAnsi="宋体" w:cs="宋体"/>
          <w:color w:val="auto"/>
          <w:szCs w:val="21"/>
        </w:rPr>
        <w:t>物业管理协会或质量协会等行业协会或机构至现场进行用户满意度调查，抽样数100份。</w:t>
      </w:r>
    </w:p>
    <w:p w14:paraId="7B8AE180">
      <w:pPr>
        <w:pStyle w:val="19"/>
        <w:snapToGrid w:val="0"/>
        <w:spacing w:line="360" w:lineRule="auto"/>
        <w:ind w:left="1724" w:firstLine="0"/>
        <w:rPr>
          <w:rFonts w:hint="eastAsia" w:ascii="宋体" w:hAnsi="宋体" w:cs="宋体"/>
          <w:color w:val="auto"/>
          <w:szCs w:val="21"/>
        </w:rPr>
      </w:pPr>
    </w:p>
    <w:p w14:paraId="38DEB990">
      <w:pPr>
        <w:pStyle w:val="16"/>
        <w:widowControl/>
        <w:numPr>
          <w:ilvl w:val="0"/>
          <w:numId w:val="1"/>
        </w:numPr>
        <w:spacing w:line="360" w:lineRule="auto"/>
        <w:ind w:firstLineChars="0"/>
        <w:jc w:val="left"/>
        <w:rPr>
          <w:rFonts w:hint="eastAsia" w:ascii="宋体" w:hAnsi="宋体"/>
          <w:b/>
          <w:color w:val="auto"/>
        </w:rPr>
      </w:pPr>
      <w:r>
        <w:rPr>
          <w:rFonts w:ascii="宋体" w:hAnsi="宋体"/>
          <w:b/>
          <w:color w:val="auto"/>
        </w:rPr>
        <w:t>奖罚方法</w:t>
      </w:r>
    </w:p>
    <w:p w14:paraId="60850288">
      <w:pPr>
        <w:pStyle w:val="16"/>
        <w:widowControl/>
        <w:snapToGrid w:val="0"/>
        <w:spacing w:line="360" w:lineRule="auto"/>
        <w:ind w:firstLineChars="0"/>
        <w:jc w:val="left"/>
        <w:rPr>
          <w:rFonts w:hint="eastAsia" w:ascii="宋体" w:hAnsi="宋体" w:cs="宋体"/>
          <w:color w:val="auto"/>
        </w:rPr>
      </w:pPr>
      <w:r>
        <w:rPr>
          <w:rFonts w:ascii="宋体" w:hAnsi="宋体" w:cs="宋体"/>
          <w:color w:val="auto"/>
        </w:rPr>
        <w:t>季度考核总分≥95分，为“优秀”</w:t>
      </w:r>
    </w:p>
    <w:p w14:paraId="320E5116">
      <w:pPr>
        <w:pStyle w:val="16"/>
        <w:widowControl/>
        <w:snapToGrid w:val="0"/>
        <w:spacing w:line="360" w:lineRule="auto"/>
        <w:ind w:firstLineChars="0"/>
        <w:jc w:val="left"/>
        <w:rPr>
          <w:rFonts w:hint="eastAsia" w:ascii="宋体" w:hAnsi="宋体" w:cs="宋体"/>
          <w:color w:val="auto"/>
        </w:rPr>
      </w:pPr>
      <w:r>
        <w:rPr>
          <w:rFonts w:ascii="宋体" w:hAnsi="宋体" w:cs="宋体"/>
          <w:color w:val="auto"/>
        </w:rPr>
        <w:t>季度考核总分≥90分，为“达标”</w:t>
      </w:r>
    </w:p>
    <w:p w14:paraId="4B54B42C">
      <w:pPr>
        <w:pStyle w:val="16"/>
        <w:widowControl/>
        <w:snapToGrid w:val="0"/>
        <w:spacing w:line="360" w:lineRule="auto"/>
        <w:ind w:firstLineChars="0"/>
        <w:jc w:val="left"/>
        <w:rPr>
          <w:rFonts w:hint="eastAsia" w:ascii="宋体" w:hAnsi="宋体" w:cs="宋体"/>
          <w:color w:val="auto"/>
        </w:rPr>
      </w:pPr>
      <w:r>
        <w:rPr>
          <w:rFonts w:ascii="宋体" w:hAnsi="宋体" w:cs="宋体"/>
          <w:color w:val="auto"/>
        </w:rPr>
        <w:t>季度考核总分＜90分，为“不达标”</w:t>
      </w:r>
    </w:p>
    <w:p w14:paraId="139BFE22">
      <w:pPr>
        <w:pStyle w:val="16"/>
        <w:widowControl/>
        <w:snapToGrid w:val="0"/>
        <w:spacing w:line="360" w:lineRule="auto"/>
        <w:ind w:firstLineChars="0"/>
        <w:jc w:val="left"/>
        <w:rPr>
          <w:rFonts w:hint="eastAsia" w:ascii="宋体" w:hAnsi="宋体" w:cs="宋体"/>
          <w:color w:val="auto"/>
        </w:rPr>
      </w:pPr>
      <w:r>
        <w:rPr>
          <w:rFonts w:ascii="宋体" w:hAnsi="宋体" w:cs="宋体"/>
          <w:color w:val="auto"/>
        </w:rPr>
        <w:t>在合同项下的责任范围内，在考核期内发生以下任何一种情况考核为不合格</w:t>
      </w:r>
    </w:p>
    <w:p w14:paraId="022D4988">
      <w:pPr>
        <w:pStyle w:val="19"/>
        <w:snapToGrid w:val="0"/>
        <w:spacing w:line="360" w:lineRule="auto"/>
        <w:rPr>
          <w:rFonts w:hint="eastAsia" w:ascii="宋体" w:hAnsi="宋体" w:cs="宋体"/>
          <w:color w:val="auto"/>
          <w:szCs w:val="21"/>
        </w:rPr>
      </w:pPr>
      <w:r>
        <w:rPr>
          <w:rFonts w:ascii="宋体" w:hAnsi="宋体" w:cs="宋体"/>
          <w:color w:val="auto"/>
          <w:szCs w:val="21"/>
        </w:rPr>
        <w:t>发生人身伤亡事故；</w:t>
      </w:r>
    </w:p>
    <w:p w14:paraId="55455704">
      <w:pPr>
        <w:pStyle w:val="19"/>
        <w:snapToGrid w:val="0"/>
        <w:spacing w:line="360" w:lineRule="auto"/>
        <w:rPr>
          <w:rFonts w:hint="eastAsia" w:ascii="宋体" w:hAnsi="宋体" w:cs="宋体"/>
          <w:color w:val="auto"/>
          <w:szCs w:val="21"/>
        </w:rPr>
      </w:pPr>
      <w:r>
        <w:rPr>
          <w:rFonts w:ascii="宋体" w:hAnsi="宋体" w:cs="宋体"/>
          <w:color w:val="auto"/>
          <w:szCs w:val="21"/>
        </w:rPr>
        <w:t>发生较大责任事故（影响正常对外开放及重要接待活动）；</w:t>
      </w:r>
    </w:p>
    <w:p w14:paraId="4DBF1610">
      <w:pPr>
        <w:pStyle w:val="19"/>
        <w:snapToGrid w:val="0"/>
        <w:spacing w:line="360" w:lineRule="auto"/>
        <w:rPr>
          <w:rFonts w:hint="eastAsia" w:ascii="宋体" w:hAnsi="宋体" w:cs="宋体"/>
          <w:color w:val="auto"/>
          <w:szCs w:val="21"/>
        </w:rPr>
      </w:pPr>
      <w:r>
        <w:rPr>
          <w:rFonts w:ascii="宋体" w:hAnsi="宋体" w:cs="宋体"/>
          <w:color w:val="auto"/>
          <w:szCs w:val="21"/>
        </w:rPr>
        <w:t>影响和对外形象及利益（以不正当行为占有客户和业主的财产、泄露有关保密信息等导致业主形象或利益受损）。</w:t>
      </w:r>
    </w:p>
    <w:p w14:paraId="4BFB9DEB">
      <w:pPr>
        <w:jc w:val="center"/>
        <w:rPr>
          <w:rFonts w:hint="eastAsia" w:ascii="宋体" w:hAnsi="宋体" w:cs="宋体"/>
          <w:b/>
          <w:bCs/>
          <w:color w:val="FF0000"/>
          <w:szCs w:val="21"/>
        </w:rPr>
      </w:pPr>
    </w:p>
    <w:p w14:paraId="255374FB">
      <w:pPr>
        <w:jc w:val="center"/>
        <w:rPr>
          <w:rFonts w:hint="eastAsia" w:ascii="宋体" w:hAnsi="宋体" w:cs="宋体"/>
          <w:b/>
          <w:bCs/>
          <w:color w:val="FF0000"/>
          <w:szCs w:val="21"/>
        </w:rPr>
      </w:pPr>
    </w:p>
    <w:p w14:paraId="6E80DAB3">
      <w:pPr>
        <w:jc w:val="center"/>
        <w:rPr>
          <w:rFonts w:hint="eastAsia" w:ascii="宋体" w:hAnsi="宋体" w:cs="宋体"/>
          <w:b/>
          <w:bCs/>
          <w:color w:val="FF0000"/>
          <w:szCs w:val="21"/>
        </w:rPr>
      </w:pPr>
    </w:p>
    <w:p w14:paraId="2FE7233D">
      <w:pPr>
        <w:jc w:val="center"/>
        <w:rPr>
          <w:rFonts w:hint="eastAsia" w:ascii="宋体" w:hAnsi="宋体" w:cs="黑体"/>
          <w:b/>
          <w:color w:val="auto"/>
          <w:sz w:val="24"/>
          <w:szCs w:val="24"/>
        </w:rPr>
      </w:pPr>
      <w:r>
        <w:rPr>
          <w:rFonts w:ascii="宋体" w:hAnsi="宋体" w:cs="宋体"/>
          <w:b/>
          <w:bCs/>
          <w:color w:val="FF0000"/>
          <w:szCs w:val="21"/>
        </w:rPr>
        <w:br w:type="page"/>
      </w:r>
      <w:r>
        <w:rPr>
          <w:rFonts w:ascii="宋体" w:hAnsi="宋体" w:cs="黑体"/>
          <w:b/>
          <w:color w:val="auto"/>
          <w:sz w:val="24"/>
          <w:szCs w:val="24"/>
        </w:rPr>
        <w:t>物业管理工作质量评价表</w:t>
      </w:r>
    </w:p>
    <w:tbl>
      <w:tblPr>
        <w:tblStyle w:val="8"/>
        <w:tblpPr w:leftFromText="180" w:rightFromText="180" w:vertAnchor="text" w:horzAnchor="margin" w:tblpY="230"/>
        <w:tblW w:w="0" w:type="auto"/>
        <w:tblInd w:w="0" w:type="dxa"/>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Layout w:type="fixed"/>
        <w:tblCellMar>
          <w:top w:w="0" w:type="dxa"/>
          <w:left w:w="93" w:type="dxa"/>
          <w:bottom w:w="0" w:type="dxa"/>
          <w:right w:w="108" w:type="dxa"/>
        </w:tblCellMar>
      </w:tblPr>
      <w:tblGrid>
        <w:gridCol w:w="694"/>
        <w:gridCol w:w="3303"/>
        <w:gridCol w:w="836"/>
        <w:gridCol w:w="831"/>
        <w:gridCol w:w="975"/>
        <w:gridCol w:w="832"/>
        <w:gridCol w:w="835"/>
      </w:tblGrid>
      <w:tr w14:paraId="1B874503">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12" w:space="0"/>
              <w:left w:val="single" w:color="00000A" w:sz="12" w:space="0"/>
              <w:bottom w:val="single" w:color="00000A" w:sz="6" w:space="0"/>
              <w:right w:val="single" w:color="00000A" w:sz="6" w:space="0"/>
            </w:tcBorders>
            <w:tcMar>
              <w:left w:w="93" w:type="dxa"/>
            </w:tcMar>
            <w:vAlign w:val="center"/>
          </w:tcPr>
          <w:p w14:paraId="78252D6B">
            <w:pPr>
              <w:spacing w:line="276" w:lineRule="auto"/>
              <w:jc w:val="center"/>
              <w:rPr>
                <w:rFonts w:hint="eastAsia" w:ascii="宋体" w:hAnsi="宋体"/>
                <w:b/>
                <w:bCs/>
                <w:color w:val="auto"/>
                <w:sz w:val="18"/>
                <w:szCs w:val="18"/>
              </w:rPr>
            </w:pPr>
            <w:r>
              <w:rPr>
                <w:rFonts w:hint="eastAsia" w:ascii="宋体" w:hAnsi="宋体"/>
                <w:b/>
                <w:bCs/>
                <w:color w:val="auto"/>
                <w:sz w:val="18"/>
                <w:szCs w:val="18"/>
              </w:rPr>
              <w:t>序号</w:t>
            </w:r>
          </w:p>
        </w:tc>
        <w:tc>
          <w:tcPr>
            <w:tcW w:w="3303" w:type="dxa"/>
            <w:tcBorders>
              <w:top w:val="single" w:color="00000A" w:sz="12" w:space="0"/>
              <w:left w:val="single" w:color="00000A" w:sz="6" w:space="0"/>
              <w:bottom w:val="single" w:color="00000A" w:sz="6" w:space="0"/>
              <w:right w:val="single" w:color="00000A" w:sz="6" w:space="0"/>
            </w:tcBorders>
            <w:tcMar>
              <w:left w:w="100" w:type="dxa"/>
            </w:tcMar>
            <w:vAlign w:val="center"/>
          </w:tcPr>
          <w:p w14:paraId="20F873C4">
            <w:pPr>
              <w:spacing w:line="276" w:lineRule="auto"/>
              <w:jc w:val="center"/>
              <w:rPr>
                <w:rFonts w:hint="eastAsia" w:ascii="宋体" w:hAnsi="宋体"/>
                <w:b/>
                <w:bCs/>
                <w:color w:val="auto"/>
                <w:sz w:val="18"/>
                <w:szCs w:val="18"/>
              </w:rPr>
            </w:pPr>
            <w:r>
              <w:rPr>
                <w:rFonts w:ascii="宋体" w:hAnsi="宋体"/>
                <w:b/>
                <w:bCs/>
                <w:color w:val="auto"/>
                <w:sz w:val="18"/>
                <w:szCs w:val="18"/>
              </w:rPr>
              <w:t>质量目标</w:t>
            </w:r>
          </w:p>
        </w:tc>
        <w:tc>
          <w:tcPr>
            <w:tcW w:w="836" w:type="dxa"/>
            <w:tcBorders>
              <w:top w:val="single" w:color="00000A" w:sz="12" w:space="0"/>
              <w:left w:val="single" w:color="00000A" w:sz="6" w:space="0"/>
              <w:bottom w:val="single" w:color="00000A" w:sz="6" w:space="0"/>
              <w:right w:val="single" w:color="00000A" w:sz="6" w:space="0"/>
            </w:tcBorders>
            <w:tcMar>
              <w:left w:w="93" w:type="dxa"/>
            </w:tcMar>
            <w:vAlign w:val="center"/>
          </w:tcPr>
          <w:p w14:paraId="3A93E7EE">
            <w:pPr>
              <w:spacing w:line="276" w:lineRule="auto"/>
              <w:jc w:val="center"/>
              <w:rPr>
                <w:rFonts w:hint="eastAsia" w:ascii="宋体" w:hAnsi="宋体"/>
                <w:b/>
                <w:bCs/>
                <w:color w:val="auto"/>
                <w:sz w:val="18"/>
                <w:szCs w:val="18"/>
              </w:rPr>
            </w:pPr>
            <w:r>
              <w:rPr>
                <w:rFonts w:ascii="宋体" w:hAnsi="宋体"/>
                <w:b/>
                <w:bCs/>
                <w:color w:val="auto"/>
                <w:sz w:val="18"/>
                <w:szCs w:val="18"/>
              </w:rPr>
              <w:t>目标值</w:t>
            </w:r>
          </w:p>
        </w:tc>
        <w:tc>
          <w:tcPr>
            <w:tcW w:w="831" w:type="dxa"/>
            <w:tcBorders>
              <w:top w:val="single" w:color="00000A" w:sz="12" w:space="0"/>
              <w:left w:val="single" w:color="00000A" w:sz="6" w:space="0"/>
              <w:bottom w:val="single" w:color="00000A" w:sz="6" w:space="0"/>
              <w:right w:val="single" w:color="00000A" w:sz="6" w:space="0"/>
            </w:tcBorders>
            <w:tcMar>
              <w:left w:w="93" w:type="dxa"/>
            </w:tcMar>
            <w:vAlign w:val="center"/>
          </w:tcPr>
          <w:p w14:paraId="19E9F451">
            <w:pPr>
              <w:spacing w:line="276" w:lineRule="auto"/>
              <w:jc w:val="center"/>
              <w:rPr>
                <w:rFonts w:hint="eastAsia" w:ascii="宋体" w:hAnsi="宋体"/>
                <w:b/>
                <w:bCs/>
                <w:color w:val="auto"/>
                <w:sz w:val="18"/>
                <w:szCs w:val="18"/>
              </w:rPr>
            </w:pPr>
            <w:r>
              <w:rPr>
                <w:rFonts w:ascii="宋体" w:hAnsi="宋体"/>
                <w:b/>
                <w:bCs/>
                <w:color w:val="auto"/>
                <w:sz w:val="18"/>
                <w:szCs w:val="18"/>
              </w:rPr>
              <w:t>基本分</w:t>
            </w:r>
          </w:p>
        </w:tc>
        <w:tc>
          <w:tcPr>
            <w:tcW w:w="975" w:type="dxa"/>
            <w:tcBorders>
              <w:top w:val="single" w:color="00000A" w:sz="12" w:space="0"/>
              <w:left w:val="single" w:color="00000A" w:sz="6" w:space="0"/>
              <w:bottom w:val="single" w:color="00000A" w:sz="6" w:space="0"/>
              <w:right w:val="single" w:color="00000A" w:sz="6" w:space="0"/>
            </w:tcBorders>
            <w:tcMar>
              <w:left w:w="93" w:type="dxa"/>
            </w:tcMar>
            <w:vAlign w:val="center"/>
          </w:tcPr>
          <w:p w14:paraId="5EEB7B1E">
            <w:pPr>
              <w:spacing w:line="276" w:lineRule="auto"/>
              <w:jc w:val="center"/>
              <w:rPr>
                <w:rFonts w:hint="eastAsia" w:ascii="宋体" w:hAnsi="宋体"/>
                <w:b/>
                <w:bCs/>
                <w:color w:val="auto"/>
                <w:sz w:val="18"/>
                <w:szCs w:val="18"/>
              </w:rPr>
            </w:pPr>
            <w:r>
              <w:rPr>
                <w:rFonts w:ascii="宋体" w:hAnsi="宋体"/>
                <w:b/>
                <w:bCs/>
                <w:color w:val="auto"/>
                <w:sz w:val="18"/>
                <w:szCs w:val="18"/>
              </w:rPr>
              <w:t>完成情况</w:t>
            </w:r>
          </w:p>
        </w:tc>
        <w:tc>
          <w:tcPr>
            <w:tcW w:w="832" w:type="dxa"/>
            <w:tcBorders>
              <w:top w:val="single" w:color="00000A" w:sz="12" w:space="0"/>
              <w:left w:val="single" w:color="00000A" w:sz="6" w:space="0"/>
              <w:bottom w:val="single" w:color="00000A" w:sz="6" w:space="0"/>
              <w:right w:val="single" w:color="00000A" w:sz="6" w:space="0"/>
            </w:tcBorders>
            <w:tcMar>
              <w:left w:w="93" w:type="dxa"/>
            </w:tcMar>
            <w:vAlign w:val="center"/>
          </w:tcPr>
          <w:p w14:paraId="24EB2E52">
            <w:pPr>
              <w:spacing w:line="276" w:lineRule="auto"/>
              <w:jc w:val="center"/>
              <w:rPr>
                <w:rFonts w:hint="eastAsia" w:ascii="宋体" w:hAnsi="宋体"/>
                <w:b/>
                <w:bCs/>
                <w:color w:val="auto"/>
                <w:sz w:val="18"/>
                <w:szCs w:val="18"/>
              </w:rPr>
            </w:pPr>
            <w:r>
              <w:rPr>
                <w:rFonts w:ascii="宋体" w:hAnsi="宋体"/>
                <w:b/>
                <w:bCs/>
                <w:color w:val="auto"/>
                <w:sz w:val="18"/>
                <w:szCs w:val="18"/>
              </w:rPr>
              <w:t>考评值</w:t>
            </w:r>
          </w:p>
        </w:tc>
        <w:tc>
          <w:tcPr>
            <w:tcW w:w="835" w:type="dxa"/>
            <w:tcBorders>
              <w:top w:val="single" w:color="00000A" w:sz="12" w:space="0"/>
              <w:left w:val="single" w:color="00000A" w:sz="6" w:space="0"/>
              <w:bottom w:val="single" w:color="00000A" w:sz="6" w:space="0"/>
              <w:right w:val="single" w:color="00000A" w:sz="12" w:space="0"/>
            </w:tcBorders>
            <w:tcMar>
              <w:left w:w="93" w:type="dxa"/>
            </w:tcMar>
            <w:vAlign w:val="center"/>
          </w:tcPr>
          <w:p w14:paraId="031300C9">
            <w:pPr>
              <w:spacing w:line="276" w:lineRule="auto"/>
              <w:jc w:val="center"/>
              <w:rPr>
                <w:rFonts w:hint="eastAsia" w:ascii="宋体" w:hAnsi="宋体"/>
                <w:b/>
                <w:bCs/>
                <w:color w:val="auto"/>
                <w:sz w:val="18"/>
                <w:szCs w:val="18"/>
              </w:rPr>
            </w:pPr>
            <w:r>
              <w:rPr>
                <w:rFonts w:ascii="宋体" w:hAnsi="宋体"/>
                <w:b/>
                <w:bCs/>
                <w:color w:val="auto"/>
                <w:sz w:val="18"/>
                <w:szCs w:val="18"/>
              </w:rPr>
              <w:t>备注</w:t>
            </w:r>
          </w:p>
        </w:tc>
      </w:tr>
      <w:tr w14:paraId="23CDFDC8">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61F1760A">
            <w:pPr>
              <w:spacing w:line="276" w:lineRule="auto"/>
              <w:jc w:val="center"/>
              <w:rPr>
                <w:rFonts w:hint="eastAsia" w:ascii="宋体" w:hAnsi="宋体" w:cs="仿宋"/>
                <w:color w:val="auto"/>
                <w:sz w:val="18"/>
                <w:szCs w:val="18"/>
              </w:rPr>
            </w:pPr>
            <w:r>
              <w:rPr>
                <w:rFonts w:ascii="宋体" w:hAnsi="宋体" w:cs="仿宋"/>
                <w:color w:val="auto"/>
                <w:sz w:val="18"/>
                <w:szCs w:val="18"/>
              </w:rPr>
              <w:t>1</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1569016D">
            <w:pPr>
              <w:spacing w:line="276" w:lineRule="auto"/>
              <w:jc w:val="center"/>
              <w:rPr>
                <w:rFonts w:hint="eastAsia" w:ascii="宋体" w:hAnsi="宋体" w:cs="仿宋"/>
                <w:color w:val="auto"/>
                <w:sz w:val="18"/>
                <w:szCs w:val="18"/>
              </w:rPr>
            </w:pPr>
            <w:r>
              <w:rPr>
                <w:rFonts w:ascii="宋体" w:hAnsi="宋体" w:cs="仿宋"/>
                <w:color w:val="auto"/>
                <w:sz w:val="18"/>
                <w:szCs w:val="18"/>
              </w:rPr>
              <w:t>房屋、设备、设施保养及时率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78B90FB9">
            <w:pPr>
              <w:spacing w:line="276" w:lineRule="auto"/>
              <w:jc w:val="center"/>
              <w:rPr>
                <w:rFonts w:hint="eastAsia" w:ascii="宋体" w:hAnsi="宋体" w:cs="仿宋"/>
                <w:color w:val="auto"/>
                <w:sz w:val="18"/>
                <w:szCs w:val="18"/>
              </w:rPr>
            </w:pPr>
            <w:r>
              <w:rPr>
                <w:rFonts w:ascii="宋体" w:hAnsi="宋体" w:cs="仿宋"/>
                <w:color w:val="auto"/>
                <w:sz w:val="18"/>
                <w:szCs w:val="18"/>
              </w:rPr>
              <w:t>100%</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09DE780E">
            <w:pPr>
              <w:spacing w:line="276" w:lineRule="auto"/>
              <w:jc w:val="center"/>
              <w:rPr>
                <w:rFonts w:hint="eastAsia" w:ascii="宋体" w:hAnsi="宋体" w:cs="仿宋"/>
                <w:color w:val="auto"/>
                <w:sz w:val="18"/>
                <w:szCs w:val="18"/>
              </w:rPr>
            </w:pPr>
            <w:r>
              <w:rPr>
                <w:rFonts w:ascii="宋体" w:hAnsi="宋体" w:cs="仿宋"/>
                <w:color w:val="auto"/>
                <w:sz w:val="18"/>
                <w:szCs w:val="18"/>
              </w:rPr>
              <w:t>5</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74DCDD44">
            <w:pPr>
              <w:spacing w:line="276" w:lineRule="auto"/>
              <w:jc w:val="center"/>
              <w:rPr>
                <w:rFonts w:hint="eastAsia" w:ascii="宋体" w:hAnsi="宋体" w:cs="仿宋"/>
                <w:color w:val="auto"/>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07456397">
            <w:pPr>
              <w:spacing w:line="276" w:lineRule="auto"/>
              <w:jc w:val="center"/>
              <w:rPr>
                <w:rFonts w:hint="eastAsia" w:ascii="宋体" w:hAnsi="宋体" w:cs="仿宋"/>
                <w:color w:val="auto"/>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3AE9C723">
            <w:pPr>
              <w:spacing w:line="276" w:lineRule="auto"/>
              <w:jc w:val="center"/>
              <w:rPr>
                <w:rFonts w:hint="eastAsia" w:ascii="宋体" w:hAnsi="宋体" w:cs="仿宋"/>
                <w:color w:val="auto"/>
                <w:sz w:val="18"/>
                <w:szCs w:val="18"/>
              </w:rPr>
            </w:pPr>
          </w:p>
        </w:tc>
      </w:tr>
      <w:tr w14:paraId="032C2962">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0FE62589">
            <w:pPr>
              <w:spacing w:line="276" w:lineRule="auto"/>
              <w:jc w:val="center"/>
              <w:rPr>
                <w:rFonts w:hint="eastAsia" w:ascii="宋体" w:hAnsi="宋体" w:cs="仿宋"/>
                <w:color w:val="auto"/>
                <w:sz w:val="18"/>
                <w:szCs w:val="18"/>
              </w:rPr>
            </w:pPr>
            <w:r>
              <w:rPr>
                <w:rFonts w:ascii="宋体" w:hAnsi="宋体" w:cs="仿宋"/>
                <w:color w:val="auto"/>
                <w:sz w:val="18"/>
                <w:szCs w:val="18"/>
              </w:rPr>
              <w:t>2</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758E801F">
            <w:pPr>
              <w:spacing w:line="276" w:lineRule="auto"/>
              <w:jc w:val="center"/>
              <w:rPr>
                <w:rFonts w:hint="eastAsia" w:ascii="宋体" w:hAnsi="宋体" w:cs="仿宋"/>
                <w:color w:val="auto"/>
                <w:sz w:val="18"/>
                <w:szCs w:val="18"/>
              </w:rPr>
            </w:pPr>
            <w:r>
              <w:rPr>
                <w:rFonts w:ascii="宋体" w:hAnsi="宋体" w:cs="仿宋"/>
                <w:color w:val="auto"/>
                <w:sz w:val="18"/>
                <w:szCs w:val="18"/>
              </w:rPr>
              <w:t>房屋、设备、设施及时报修率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2FF0D475">
            <w:pPr>
              <w:spacing w:line="276" w:lineRule="auto"/>
              <w:jc w:val="center"/>
              <w:rPr>
                <w:rFonts w:hint="eastAsia" w:ascii="宋体" w:hAnsi="宋体" w:cs="仿宋"/>
                <w:color w:val="auto"/>
                <w:sz w:val="18"/>
                <w:szCs w:val="18"/>
              </w:rPr>
            </w:pPr>
            <w:r>
              <w:rPr>
                <w:rFonts w:ascii="宋体" w:hAnsi="宋体" w:cs="仿宋"/>
                <w:color w:val="auto"/>
                <w:sz w:val="18"/>
                <w:szCs w:val="18"/>
              </w:rPr>
              <w:t>100%</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2A747766">
            <w:pPr>
              <w:spacing w:line="276" w:lineRule="auto"/>
              <w:jc w:val="center"/>
              <w:rPr>
                <w:rFonts w:hint="eastAsia" w:ascii="宋体" w:hAnsi="宋体" w:cs="仿宋"/>
                <w:color w:val="auto"/>
                <w:sz w:val="18"/>
                <w:szCs w:val="18"/>
              </w:rPr>
            </w:pPr>
            <w:r>
              <w:rPr>
                <w:rFonts w:ascii="宋体" w:hAnsi="宋体" w:cs="仿宋"/>
                <w:color w:val="auto"/>
                <w:sz w:val="18"/>
                <w:szCs w:val="18"/>
              </w:rPr>
              <w:t>2</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6CB2E29E">
            <w:pPr>
              <w:spacing w:line="276" w:lineRule="auto"/>
              <w:jc w:val="center"/>
              <w:rPr>
                <w:rFonts w:hint="eastAsia" w:ascii="宋体" w:hAnsi="宋体" w:cs="仿宋"/>
                <w:color w:val="auto"/>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032D4632">
            <w:pPr>
              <w:spacing w:line="276" w:lineRule="auto"/>
              <w:jc w:val="center"/>
              <w:rPr>
                <w:rFonts w:hint="eastAsia" w:ascii="宋体" w:hAnsi="宋体" w:cs="仿宋"/>
                <w:color w:val="auto"/>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7186C2C2">
            <w:pPr>
              <w:spacing w:line="276" w:lineRule="auto"/>
              <w:jc w:val="center"/>
              <w:rPr>
                <w:rFonts w:hint="eastAsia" w:ascii="宋体" w:hAnsi="宋体" w:cs="仿宋"/>
                <w:color w:val="auto"/>
                <w:sz w:val="18"/>
                <w:szCs w:val="18"/>
              </w:rPr>
            </w:pPr>
          </w:p>
        </w:tc>
      </w:tr>
      <w:tr w14:paraId="4E83BFF0">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1BAB8257">
            <w:pPr>
              <w:spacing w:line="276" w:lineRule="auto"/>
              <w:jc w:val="center"/>
              <w:rPr>
                <w:rFonts w:hint="eastAsia" w:ascii="宋体" w:hAnsi="宋体" w:cs="仿宋"/>
                <w:color w:val="auto"/>
                <w:sz w:val="18"/>
                <w:szCs w:val="18"/>
              </w:rPr>
            </w:pPr>
            <w:r>
              <w:rPr>
                <w:rFonts w:ascii="宋体" w:hAnsi="宋体" w:cs="仿宋"/>
                <w:color w:val="auto"/>
                <w:sz w:val="18"/>
                <w:szCs w:val="18"/>
              </w:rPr>
              <w:t>3</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66BD4988">
            <w:pPr>
              <w:spacing w:line="276" w:lineRule="auto"/>
              <w:jc w:val="center"/>
              <w:rPr>
                <w:rFonts w:hint="eastAsia" w:ascii="宋体" w:hAnsi="宋体" w:cs="仿宋"/>
                <w:color w:val="auto"/>
                <w:sz w:val="18"/>
                <w:szCs w:val="18"/>
              </w:rPr>
            </w:pPr>
            <w:r>
              <w:rPr>
                <w:rFonts w:ascii="宋体" w:hAnsi="宋体" w:cs="仿宋"/>
                <w:color w:val="auto"/>
                <w:sz w:val="18"/>
                <w:szCs w:val="18"/>
              </w:rPr>
              <w:t>房屋、设备、设施及时修复率</w:t>
            </w:r>
          </w:p>
          <w:p w14:paraId="1B9577AE">
            <w:pPr>
              <w:spacing w:line="276" w:lineRule="auto"/>
              <w:jc w:val="center"/>
              <w:rPr>
                <w:rFonts w:hint="eastAsia" w:ascii="宋体" w:hAnsi="宋体" w:cs="仿宋"/>
                <w:color w:val="auto"/>
                <w:sz w:val="18"/>
                <w:szCs w:val="18"/>
              </w:rPr>
            </w:pPr>
            <w:r>
              <w:rPr>
                <w:rFonts w:ascii="宋体" w:hAnsi="宋体" w:cs="仿宋"/>
                <w:color w:val="auto"/>
                <w:sz w:val="18"/>
                <w:szCs w:val="18"/>
              </w:rPr>
              <w:t>（不可抗力及采购原因除外）</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07645A65">
            <w:pPr>
              <w:spacing w:line="276" w:lineRule="auto"/>
              <w:jc w:val="center"/>
              <w:rPr>
                <w:rFonts w:hint="eastAsia" w:ascii="宋体" w:hAnsi="宋体" w:cs="仿宋"/>
                <w:color w:val="auto"/>
                <w:sz w:val="18"/>
                <w:szCs w:val="18"/>
              </w:rPr>
            </w:pPr>
            <w:r>
              <w:rPr>
                <w:rFonts w:ascii="宋体" w:hAnsi="宋体" w:cs="仿宋"/>
                <w:color w:val="auto"/>
                <w:sz w:val="18"/>
                <w:szCs w:val="18"/>
              </w:rPr>
              <w:t>90%</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76487694">
            <w:pPr>
              <w:spacing w:line="276" w:lineRule="auto"/>
              <w:jc w:val="center"/>
              <w:rPr>
                <w:rFonts w:hint="eastAsia" w:ascii="宋体" w:hAnsi="宋体" w:cs="仿宋"/>
                <w:color w:val="auto"/>
                <w:sz w:val="18"/>
                <w:szCs w:val="18"/>
              </w:rPr>
            </w:pPr>
            <w:r>
              <w:rPr>
                <w:rFonts w:ascii="宋体" w:hAnsi="宋体" w:cs="仿宋"/>
                <w:color w:val="auto"/>
                <w:sz w:val="18"/>
                <w:szCs w:val="18"/>
              </w:rPr>
              <w:t>6</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2466AA37">
            <w:pPr>
              <w:spacing w:line="276" w:lineRule="auto"/>
              <w:jc w:val="center"/>
              <w:rPr>
                <w:rFonts w:hint="eastAsia" w:ascii="宋体" w:hAnsi="宋体" w:cs="仿宋"/>
                <w:color w:val="auto"/>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11149ADE">
            <w:pPr>
              <w:spacing w:line="276" w:lineRule="auto"/>
              <w:jc w:val="center"/>
              <w:rPr>
                <w:rFonts w:hint="eastAsia" w:ascii="宋体" w:hAnsi="宋体" w:cs="仿宋"/>
                <w:color w:val="auto"/>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6561FA97">
            <w:pPr>
              <w:spacing w:line="276" w:lineRule="auto"/>
              <w:ind w:firstLine="1620"/>
              <w:jc w:val="center"/>
              <w:rPr>
                <w:rFonts w:hint="eastAsia" w:ascii="宋体" w:hAnsi="宋体" w:cs="仿宋"/>
                <w:color w:val="auto"/>
                <w:sz w:val="18"/>
                <w:szCs w:val="18"/>
              </w:rPr>
            </w:pPr>
          </w:p>
        </w:tc>
      </w:tr>
      <w:tr w14:paraId="5A763249">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79C4E25A">
            <w:pPr>
              <w:spacing w:line="276" w:lineRule="auto"/>
              <w:jc w:val="center"/>
              <w:rPr>
                <w:rFonts w:hint="eastAsia" w:ascii="宋体" w:hAnsi="宋体" w:cs="仿宋"/>
                <w:color w:val="auto"/>
                <w:sz w:val="18"/>
                <w:szCs w:val="18"/>
              </w:rPr>
            </w:pPr>
            <w:r>
              <w:rPr>
                <w:rFonts w:ascii="宋体" w:hAnsi="宋体" w:cs="仿宋"/>
                <w:color w:val="auto"/>
                <w:sz w:val="18"/>
                <w:szCs w:val="18"/>
              </w:rPr>
              <w:t>4</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567C1920">
            <w:pPr>
              <w:spacing w:line="276" w:lineRule="auto"/>
              <w:jc w:val="center"/>
              <w:rPr>
                <w:rFonts w:hint="eastAsia" w:ascii="宋体" w:hAnsi="宋体" w:cs="仿宋"/>
                <w:color w:val="auto"/>
                <w:sz w:val="18"/>
                <w:szCs w:val="18"/>
              </w:rPr>
            </w:pPr>
            <w:r>
              <w:rPr>
                <w:rFonts w:ascii="宋体" w:hAnsi="宋体" w:cs="仿宋"/>
                <w:color w:val="auto"/>
                <w:sz w:val="18"/>
                <w:szCs w:val="18"/>
              </w:rPr>
              <w:t>房屋、设备、设施修复合格率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3AC5A6BF">
            <w:pPr>
              <w:spacing w:line="276" w:lineRule="auto"/>
              <w:jc w:val="center"/>
              <w:rPr>
                <w:rFonts w:hint="eastAsia" w:ascii="宋体" w:hAnsi="宋体" w:cs="仿宋"/>
                <w:color w:val="auto"/>
                <w:sz w:val="18"/>
                <w:szCs w:val="18"/>
              </w:rPr>
            </w:pPr>
            <w:r>
              <w:rPr>
                <w:rFonts w:ascii="宋体" w:hAnsi="宋体" w:cs="仿宋"/>
                <w:color w:val="auto"/>
                <w:sz w:val="18"/>
                <w:szCs w:val="18"/>
              </w:rPr>
              <w:t>99%</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3B8AADFD">
            <w:pPr>
              <w:spacing w:line="276" w:lineRule="auto"/>
              <w:jc w:val="center"/>
              <w:rPr>
                <w:rFonts w:hint="eastAsia" w:ascii="宋体" w:hAnsi="宋体" w:cs="仿宋"/>
                <w:color w:val="auto"/>
                <w:sz w:val="18"/>
                <w:szCs w:val="18"/>
              </w:rPr>
            </w:pPr>
            <w:r>
              <w:rPr>
                <w:rFonts w:ascii="宋体" w:hAnsi="宋体" w:cs="仿宋"/>
                <w:color w:val="auto"/>
                <w:sz w:val="18"/>
                <w:szCs w:val="18"/>
              </w:rPr>
              <w:t>3</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127A8D13">
            <w:pPr>
              <w:spacing w:line="276" w:lineRule="auto"/>
              <w:jc w:val="center"/>
              <w:rPr>
                <w:rFonts w:hint="eastAsia" w:ascii="宋体" w:hAnsi="宋体" w:cs="仿宋"/>
                <w:color w:val="auto"/>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7E9B31C5">
            <w:pPr>
              <w:spacing w:line="276" w:lineRule="auto"/>
              <w:jc w:val="center"/>
              <w:rPr>
                <w:rFonts w:hint="eastAsia" w:ascii="宋体" w:hAnsi="宋体" w:cs="仿宋"/>
                <w:color w:val="auto"/>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2FFCF2B1">
            <w:pPr>
              <w:spacing w:line="276" w:lineRule="auto"/>
              <w:ind w:firstLine="1323"/>
              <w:jc w:val="center"/>
              <w:rPr>
                <w:rFonts w:hint="eastAsia" w:ascii="宋体" w:hAnsi="宋体" w:cs="仿宋"/>
                <w:color w:val="auto"/>
                <w:sz w:val="18"/>
                <w:szCs w:val="18"/>
              </w:rPr>
            </w:pPr>
          </w:p>
        </w:tc>
      </w:tr>
      <w:tr w14:paraId="7489B82C">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4B5EC4E9">
            <w:pPr>
              <w:spacing w:line="276" w:lineRule="auto"/>
              <w:jc w:val="center"/>
              <w:rPr>
                <w:rFonts w:hint="eastAsia" w:ascii="宋体" w:hAnsi="宋体" w:cs="仿宋"/>
                <w:color w:val="auto"/>
                <w:sz w:val="18"/>
                <w:szCs w:val="18"/>
              </w:rPr>
            </w:pPr>
            <w:r>
              <w:rPr>
                <w:rFonts w:ascii="宋体" w:hAnsi="宋体" w:cs="仿宋"/>
                <w:color w:val="auto"/>
                <w:sz w:val="18"/>
                <w:szCs w:val="18"/>
              </w:rPr>
              <w:t>5</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726C67B5">
            <w:pPr>
              <w:spacing w:line="276" w:lineRule="auto"/>
              <w:jc w:val="center"/>
              <w:rPr>
                <w:rFonts w:hint="eastAsia" w:ascii="宋体" w:hAnsi="宋体" w:cs="仿宋"/>
                <w:color w:val="auto"/>
                <w:sz w:val="18"/>
                <w:szCs w:val="18"/>
              </w:rPr>
            </w:pPr>
            <w:r>
              <w:rPr>
                <w:rFonts w:ascii="宋体" w:hAnsi="宋体" w:cs="仿宋"/>
                <w:color w:val="auto"/>
                <w:sz w:val="18"/>
                <w:szCs w:val="18"/>
              </w:rPr>
              <w:t>房屋、设备、设施完好率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4D7F3CD9">
            <w:pPr>
              <w:spacing w:line="276" w:lineRule="auto"/>
              <w:jc w:val="center"/>
              <w:rPr>
                <w:rFonts w:hint="eastAsia" w:ascii="宋体" w:hAnsi="宋体" w:cs="仿宋"/>
                <w:color w:val="auto"/>
                <w:sz w:val="18"/>
                <w:szCs w:val="18"/>
              </w:rPr>
            </w:pPr>
            <w:r>
              <w:rPr>
                <w:rFonts w:ascii="宋体" w:hAnsi="宋体" w:cs="仿宋"/>
                <w:color w:val="auto"/>
                <w:sz w:val="18"/>
                <w:szCs w:val="18"/>
              </w:rPr>
              <w:t>95%</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60D463BD">
            <w:pPr>
              <w:spacing w:line="276" w:lineRule="auto"/>
              <w:jc w:val="center"/>
              <w:rPr>
                <w:rFonts w:hint="eastAsia" w:ascii="宋体" w:hAnsi="宋体" w:cs="仿宋"/>
                <w:color w:val="auto"/>
                <w:sz w:val="18"/>
                <w:szCs w:val="18"/>
              </w:rPr>
            </w:pPr>
            <w:r>
              <w:rPr>
                <w:rFonts w:ascii="宋体" w:hAnsi="宋体" w:cs="仿宋"/>
                <w:color w:val="auto"/>
                <w:sz w:val="18"/>
                <w:szCs w:val="18"/>
              </w:rPr>
              <w:t>3</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76D18173">
            <w:pPr>
              <w:spacing w:line="276" w:lineRule="auto"/>
              <w:jc w:val="center"/>
              <w:rPr>
                <w:rFonts w:hint="eastAsia" w:ascii="宋体" w:hAnsi="宋体" w:cs="仿宋"/>
                <w:color w:val="auto"/>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32B06DEC">
            <w:pPr>
              <w:spacing w:line="276" w:lineRule="auto"/>
              <w:jc w:val="center"/>
              <w:rPr>
                <w:rFonts w:hint="eastAsia" w:ascii="宋体" w:hAnsi="宋体" w:cs="仿宋"/>
                <w:color w:val="auto"/>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1EB64753">
            <w:pPr>
              <w:spacing w:line="276" w:lineRule="auto"/>
              <w:ind w:firstLine="1260"/>
              <w:jc w:val="center"/>
              <w:rPr>
                <w:rFonts w:hint="eastAsia" w:ascii="宋体" w:hAnsi="宋体" w:cs="仿宋"/>
                <w:color w:val="auto"/>
                <w:sz w:val="18"/>
                <w:szCs w:val="18"/>
              </w:rPr>
            </w:pPr>
          </w:p>
        </w:tc>
      </w:tr>
      <w:tr w14:paraId="3E9E78E9">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0CBECB60">
            <w:pPr>
              <w:spacing w:line="276" w:lineRule="auto"/>
              <w:jc w:val="center"/>
              <w:rPr>
                <w:rFonts w:hint="eastAsia" w:ascii="宋体" w:hAnsi="宋体" w:cs="仿宋"/>
                <w:color w:val="auto"/>
                <w:sz w:val="18"/>
                <w:szCs w:val="18"/>
              </w:rPr>
            </w:pPr>
            <w:r>
              <w:rPr>
                <w:rFonts w:ascii="宋体" w:hAnsi="宋体" w:cs="仿宋"/>
                <w:color w:val="auto"/>
                <w:sz w:val="18"/>
                <w:szCs w:val="18"/>
              </w:rPr>
              <w:t>6</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7F96D068">
            <w:pPr>
              <w:spacing w:line="276" w:lineRule="auto"/>
              <w:jc w:val="center"/>
              <w:rPr>
                <w:rFonts w:hint="eastAsia" w:ascii="宋体" w:hAnsi="宋体" w:cs="仿宋"/>
                <w:color w:val="auto"/>
                <w:sz w:val="18"/>
                <w:szCs w:val="18"/>
              </w:rPr>
            </w:pPr>
            <w:r>
              <w:rPr>
                <w:rFonts w:ascii="宋体" w:hAnsi="宋体" w:cs="仿宋"/>
                <w:color w:val="auto"/>
                <w:sz w:val="18"/>
                <w:szCs w:val="18"/>
              </w:rPr>
              <w:t>水、电、空调正常供应率（市政原因除外）</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78E6CC2C">
            <w:pPr>
              <w:spacing w:line="276" w:lineRule="auto"/>
              <w:jc w:val="center"/>
              <w:rPr>
                <w:rFonts w:hint="eastAsia" w:ascii="宋体" w:hAnsi="宋体" w:cs="仿宋"/>
                <w:color w:val="auto"/>
                <w:sz w:val="18"/>
                <w:szCs w:val="18"/>
              </w:rPr>
            </w:pPr>
            <w:r>
              <w:rPr>
                <w:rFonts w:ascii="宋体" w:hAnsi="宋体" w:cs="仿宋"/>
                <w:color w:val="auto"/>
                <w:sz w:val="18"/>
                <w:szCs w:val="18"/>
              </w:rPr>
              <w:t>100%</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7590AFBE">
            <w:pPr>
              <w:spacing w:line="276" w:lineRule="auto"/>
              <w:jc w:val="center"/>
              <w:rPr>
                <w:rFonts w:hint="eastAsia" w:ascii="宋体" w:hAnsi="宋体" w:cs="仿宋"/>
                <w:color w:val="auto"/>
                <w:sz w:val="18"/>
                <w:szCs w:val="18"/>
              </w:rPr>
            </w:pPr>
            <w:r>
              <w:rPr>
                <w:rFonts w:ascii="宋体" w:hAnsi="宋体" w:cs="仿宋"/>
                <w:color w:val="auto"/>
                <w:sz w:val="18"/>
                <w:szCs w:val="18"/>
              </w:rPr>
              <w:t>6</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78695581">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0F33C07F">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661EFEFB">
            <w:pPr>
              <w:spacing w:line="276" w:lineRule="auto"/>
              <w:jc w:val="center"/>
              <w:rPr>
                <w:rFonts w:hint="eastAsia" w:ascii="宋体" w:hAnsi="宋体" w:cs="仿宋"/>
                <w:color w:val="auto"/>
                <w:sz w:val="18"/>
                <w:szCs w:val="18"/>
              </w:rPr>
            </w:pPr>
          </w:p>
        </w:tc>
      </w:tr>
      <w:tr w14:paraId="60AEDBC0">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0BCC354B">
            <w:pPr>
              <w:spacing w:line="276" w:lineRule="auto"/>
              <w:jc w:val="center"/>
              <w:rPr>
                <w:rFonts w:hint="eastAsia" w:ascii="宋体" w:hAnsi="宋体" w:cs="仿宋"/>
                <w:color w:val="auto"/>
                <w:sz w:val="18"/>
                <w:szCs w:val="18"/>
              </w:rPr>
            </w:pPr>
            <w:r>
              <w:rPr>
                <w:rFonts w:ascii="宋体" w:hAnsi="宋体" w:cs="仿宋"/>
                <w:color w:val="auto"/>
                <w:sz w:val="18"/>
                <w:szCs w:val="18"/>
              </w:rPr>
              <w:t>7</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600BF5F8">
            <w:pPr>
              <w:spacing w:line="276" w:lineRule="auto"/>
              <w:jc w:val="center"/>
              <w:rPr>
                <w:rFonts w:hint="eastAsia" w:ascii="宋体" w:hAnsi="宋体" w:cs="仿宋"/>
                <w:color w:val="auto"/>
                <w:sz w:val="18"/>
                <w:szCs w:val="18"/>
              </w:rPr>
            </w:pPr>
            <w:r>
              <w:rPr>
                <w:rFonts w:ascii="宋体" w:hAnsi="宋体" w:cs="仿宋"/>
                <w:color w:val="auto"/>
                <w:sz w:val="18"/>
                <w:szCs w:val="18"/>
              </w:rPr>
              <w:t>通讯系统完好率（电话、网络、会议系统）</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730851A6">
            <w:pPr>
              <w:spacing w:line="276" w:lineRule="auto"/>
              <w:jc w:val="center"/>
              <w:rPr>
                <w:rFonts w:hint="eastAsia" w:ascii="宋体" w:hAnsi="宋体" w:cs="仿宋"/>
                <w:color w:val="auto"/>
                <w:sz w:val="18"/>
                <w:szCs w:val="18"/>
              </w:rPr>
            </w:pPr>
            <w:r>
              <w:rPr>
                <w:rFonts w:ascii="宋体" w:hAnsi="宋体" w:cs="仿宋"/>
                <w:color w:val="auto"/>
                <w:sz w:val="18"/>
                <w:szCs w:val="18"/>
              </w:rPr>
              <w:t>99%</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6CBC6952">
            <w:pPr>
              <w:spacing w:line="276" w:lineRule="auto"/>
              <w:jc w:val="center"/>
              <w:rPr>
                <w:rFonts w:hint="eastAsia" w:ascii="宋体" w:hAnsi="宋体" w:cs="仿宋"/>
                <w:color w:val="auto"/>
                <w:sz w:val="18"/>
                <w:szCs w:val="18"/>
              </w:rPr>
            </w:pPr>
            <w:r>
              <w:rPr>
                <w:rFonts w:ascii="宋体" w:hAnsi="宋体" w:cs="仿宋"/>
                <w:color w:val="auto"/>
                <w:sz w:val="18"/>
                <w:szCs w:val="18"/>
              </w:rPr>
              <w:t>2</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7BE57250">
            <w:pPr>
              <w:spacing w:line="276" w:lineRule="auto"/>
              <w:jc w:val="center"/>
              <w:rPr>
                <w:rFonts w:hint="eastAsia" w:ascii="宋体" w:hAnsi="宋体" w:cs="仿宋"/>
                <w:color w:val="auto"/>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09A47145">
            <w:pPr>
              <w:spacing w:line="276" w:lineRule="auto"/>
              <w:jc w:val="center"/>
              <w:rPr>
                <w:rFonts w:hint="eastAsia" w:ascii="宋体" w:hAnsi="宋体" w:cs="仿宋"/>
                <w:color w:val="auto"/>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568FFD4D">
            <w:pPr>
              <w:spacing w:line="276" w:lineRule="auto"/>
              <w:ind w:firstLine="1512"/>
              <w:jc w:val="center"/>
              <w:rPr>
                <w:rFonts w:hint="eastAsia" w:ascii="宋体" w:hAnsi="宋体" w:cs="仿宋"/>
                <w:color w:val="auto"/>
                <w:sz w:val="18"/>
                <w:szCs w:val="18"/>
              </w:rPr>
            </w:pPr>
          </w:p>
        </w:tc>
      </w:tr>
      <w:tr w14:paraId="0C3FB121">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1FFBA65F">
            <w:pPr>
              <w:spacing w:line="276" w:lineRule="auto"/>
              <w:jc w:val="center"/>
              <w:rPr>
                <w:rFonts w:hint="eastAsia" w:ascii="宋体" w:hAnsi="宋体" w:cs="仿宋"/>
                <w:color w:val="auto"/>
                <w:sz w:val="18"/>
                <w:szCs w:val="18"/>
              </w:rPr>
            </w:pPr>
            <w:r>
              <w:rPr>
                <w:rFonts w:ascii="宋体" w:hAnsi="宋体" w:cs="仿宋"/>
                <w:color w:val="auto"/>
                <w:sz w:val="18"/>
                <w:szCs w:val="18"/>
              </w:rPr>
              <w:t>8</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401DF6C9">
            <w:pPr>
              <w:spacing w:line="276" w:lineRule="auto"/>
              <w:jc w:val="center"/>
              <w:rPr>
                <w:rFonts w:hint="eastAsia" w:ascii="宋体" w:hAnsi="宋体" w:cs="仿宋"/>
                <w:color w:val="auto"/>
                <w:sz w:val="18"/>
                <w:szCs w:val="18"/>
              </w:rPr>
            </w:pPr>
            <w:r>
              <w:rPr>
                <w:rFonts w:ascii="宋体" w:hAnsi="宋体" w:cs="仿宋"/>
                <w:color w:val="auto"/>
                <w:sz w:val="18"/>
                <w:szCs w:val="18"/>
              </w:rPr>
              <w:t>VIP安全接待率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441A3892">
            <w:pPr>
              <w:spacing w:line="276" w:lineRule="auto"/>
              <w:jc w:val="center"/>
              <w:rPr>
                <w:rFonts w:hint="eastAsia" w:ascii="宋体" w:hAnsi="宋体" w:cs="仿宋"/>
                <w:color w:val="auto"/>
                <w:sz w:val="18"/>
                <w:szCs w:val="18"/>
              </w:rPr>
            </w:pPr>
            <w:r>
              <w:rPr>
                <w:rFonts w:ascii="宋体" w:hAnsi="宋体" w:cs="仿宋"/>
                <w:color w:val="auto"/>
                <w:sz w:val="18"/>
                <w:szCs w:val="18"/>
              </w:rPr>
              <w:t>100%</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5D39442B">
            <w:pPr>
              <w:spacing w:line="276" w:lineRule="auto"/>
              <w:jc w:val="center"/>
              <w:rPr>
                <w:rFonts w:hint="eastAsia" w:ascii="宋体" w:hAnsi="宋体" w:cs="仿宋"/>
                <w:color w:val="auto"/>
                <w:sz w:val="18"/>
                <w:szCs w:val="18"/>
              </w:rPr>
            </w:pPr>
            <w:r>
              <w:rPr>
                <w:rFonts w:ascii="宋体" w:hAnsi="宋体" w:cs="仿宋"/>
                <w:color w:val="auto"/>
                <w:sz w:val="18"/>
                <w:szCs w:val="18"/>
              </w:rPr>
              <w:t>3</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4A5558CA">
            <w:pPr>
              <w:spacing w:line="276" w:lineRule="auto"/>
              <w:jc w:val="center"/>
              <w:rPr>
                <w:rFonts w:hint="eastAsia" w:ascii="宋体" w:hAnsi="宋体" w:cs="仿宋"/>
                <w:color w:val="auto"/>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29301D01">
            <w:pPr>
              <w:spacing w:line="276" w:lineRule="auto"/>
              <w:jc w:val="center"/>
              <w:rPr>
                <w:rFonts w:hint="eastAsia" w:ascii="宋体" w:hAnsi="宋体" w:cs="仿宋"/>
                <w:color w:val="auto"/>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37AB7B74">
            <w:pPr>
              <w:spacing w:line="276" w:lineRule="auto"/>
              <w:ind w:firstLine="1512"/>
              <w:jc w:val="center"/>
              <w:rPr>
                <w:rFonts w:hint="eastAsia" w:ascii="宋体" w:hAnsi="宋体" w:cs="仿宋"/>
                <w:color w:val="auto"/>
                <w:sz w:val="18"/>
                <w:szCs w:val="18"/>
              </w:rPr>
            </w:pPr>
          </w:p>
        </w:tc>
      </w:tr>
      <w:tr w14:paraId="7A84BF0F">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1907F51A">
            <w:pPr>
              <w:spacing w:line="276" w:lineRule="auto"/>
              <w:jc w:val="center"/>
              <w:rPr>
                <w:rFonts w:hint="eastAsia" w:ascii="宋体" w:hAnsi="宋体" w:cs="仿宋"/>
                <w:color w:val="auto"/>
                <w:sz w:val="18"/>
                <w:szCs w:val="18"/>
              </w:rPr>
            </w:pPr>
            <w:r>
              <w:rPr>
                <w:rFonts w:ascii="宋体" w:hAnsi="宋体" w:cs="仿宋"/>
                <w:color w:val="auto"/>
                <w:sz w:val="18"/>
                <w:szCs w:val="18"/>
              </w:rPr>
              <w:t>9</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44FD01C5">
            <w:pPr>
              <w:spacing w:line="276" w:lineRule="auto"/>
              <w:jc w:val="center"/>
              <w:rPr>
                <w:rFonts w:hint="eastAsia" w:ascii="宋体" w:hAnsi="宋体" w:cs="仿宋"/>
                <w:color w:val="auto"/>
                <w:sz w:val="18"/>
                <w:szCs w:val="18"/>
              </w:rPr>
            </w:pPr>
            <w:r>
              <w:rPr>
                <w:rFonts w:ascii="宋体" w:hAnsi="宋体" w:cs="仿宋"/>
                <w:color w:val="auto"/>
                <w:sz w:val="18"/>
                <w:szCs w:val="18"/>
              </w:rPr>
              <w:t>突发事件正确处理率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510C9F90">
            <w:pPr>
              <w:spacing w:line="276" w:lineRule="auto"/>
              <w:jc w:val="center"/>
              <w:rPr>
                <w:rFonts w:hint="eastAsia" w:ascii="宋体" w:hAnsi="宋体" w:cs="仿宋"/>
                <w:color w:val="auto"/>
                <w:sz w:val="18"/>
                <w:szCs w:val="18"/>
              </w:rPr>
            </w:pPr>
            <w:r>
              <w:rPr>
                <w:rFonts w:ascii="宋体" w:hAnsi="宋体" w:cs="仿宋"/>
                <w:color w:val="auto"/>
                <w:sz w:val="18"/>
                <w:szCs w:val="18"/>
              </w:rPr>
              <w:t>100%</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57FD4B1E">
            <w:pPr>
              <w:spacing w:line="276" w:lineRule="auto"/>
              <w:jc w:val="center"/>
              <w:rPr>
                <w:rFonts w:hint="eastAsia" w:ascii="宋体" w:hAnsi="宋体" w:cs="仿宋"/>
                <w:color w:val="auto"/>
                <w:sz w:val="18"/>
                <w:szCs w:val="18"/>
              </w:rPr>
            </w:pPr>
            <w:r>
              <w:rPr>
                <w:rFonts w:ascii="宋体" w:hAnsi="宋体" w:cs="仿宋"/>
                <w:color w:val="auto"/>
                <w:sz w:val="18"/>
                <w:szCs w:val="18"/>
              </w:rPr>
              <w:t>3</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0953C0DF">
            <w:pPr>
              <w:spacing w:line="276" w:lineRule="auto"/>
              <w:jc w:val="center"/>
              <w:rPr>
                <w:rFonts w:hint="eastAsia" w:ascii="宋体" w:hAnsi="宋体" w:cs="仿宋"/>
                <w:color w:val="auto"/>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4DFC5D0D">
            <w:pPr>
              <w:spacing w:line="276" w:lineRule="auto"/>
              <w:jc w:val="center"/>
              <w:rPr>
                <w:rFonts w:hint="eastAsia" w:ascii="宋体" w:hAnsi="宋体" w:cs="仿宋"/>
                <w:color w:val="auto"/>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31FCDA67">
            <w:pPr>
              <w:spacing w:line="276" w:lineRule="auto"/>
              <w:ind w:firstLine="1800"/>
              <w:jc w:val="center"/>
              <w:rPr>
                <w:rFonts w:hint="eastAsia" w:ascii="宋体" w:hAnsi="宋体" w:cs="仿宋"/>
                <w:color w:val="auto"/>
                <w:sz w:val="18"/>
                <w:szCs w:val="18"/>
              </w:rPr>
            </w:pPr>
          </w:p>
        </w:tc>
      </w:tr>
      <w:tr w14:paraId="67620AF4">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061E1806">
            <w:pPr>
              <w:spacing w:line="276" w:lineRule="auto"/>
              <w:jc w:val="center"/>
              <w:rPr>
                <w:rFonts w:hint="eastAsia" w:ascii="宋体" w:hAnsi="宋体" w:cs="仿宋"/>
                <w:color w:val="auto"/>
                <w:sz w:val="18"/>
                <w:szCs w:val="18"/>
              </w:rPr>
            </w:pPr>
            <w:r>
              <w:rPr>
                <w:rFonts w:ascii="宋体" w:hAnsi="宋体" w:cs="仿宋"/>
                <w:color w:val="auto"/>
                <w:sz w:val="18"/>
                <w:szCs w:val="18"/>
              </w:rPr>
              <w:t>10</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68C5201C">
            <w:pPr>
              <w:spacing w:line="276" w:lineRule="auto"/>
              <w:jc w:val="center"/>
              <w:rPr>
                <w:rFonts w:hint="eastAsia" w:ascii="宋体" w:hAnsi="宋体" w:cs="仿宋"/>
                <w:color w:val="auto"/>
                <w:sz w:val="18"/>
                <w:szCs w:val="18"/>
              </w:rPr>
            </w:pPr>
            <w:r>
              <w:rPr>
                <w:rFonts w:ascii="宋体" w:hAnsi="宋体" w:cs="仿宋"/>
                <w:color w:val="auto"/>
                <w:sz w:val="18"/>
                <w:szCs w:val="18"/>
              </w:rPr>
              <w:t>重大责任事故发生率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3FA850B5">
            <w:pPr>
              <w:spacing w:line="276" w:lineRule="auto"/>
              <w:jc w:val="center"/>
              <w:rPr>
                <w:rFonts w:hint="eastAsia" w:ascii="宋体" w:hAnsi="宋体" w:cs="仿宋"/>
                <w:color w:val="auto"/>
                <w:sz w:val="18"/>
                <w:szCs w:val="18"/>
              </w:rPr>
            </w:pPr>
            <w:r>
              <w:rPr>
                <w:rFonts w:ascii="宋体" w:hAnsi="宋体" w:cs="仿宋"/>
                <w:color w:val="auto"/>
                <w:sz w:val="18"/>
                <w:szCs w:val="18"/>
              </w:rPr>
              <w:t>0</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6EA67F34">
            <w:pPr>
              <w:spacing w:line="276" w:lineRule="auto"/>
              <w:jc w:val="center"/>
              <w:rPr>
                <w:rFonts w:hint="eastAsia" w:ascii="宋体" w:hAnsi="宋体" w:cs="仿宋"/>
                <w:color w:val="auto"/>
                <w:sz w:val="18"/>
                <w:szCs w:val="18"/>
              </w:rPr>
            </w:pPr>
            <w:r>
              <w:rPr>
                <w:rFonts w:ascii="宋体" w:hAnsi="宋体" w:cs="仿宋"/>
                <w:color w:val="auto"/>
                <w:sz w:val="18"/>
                <w:szCs w:val="18"/>
              </w:rPr>
              <w:t>5</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4ABD6604">
            <w:pPr>
              <w:spacing w:line="276" w:lineRule="auto"/>
              <w:jc w:val="center"/>
              <w:rPr>
                <w:rFonts w:hint="eastAsia" w:ascii="宋体" w:hAnsi="宋体" w:cs="仿宋"/>
                <w:color w:val="auto"/>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495154A2">
            <w:pPr>
              <w:spacing w:line="276" w:lineRule="auto"/>
              <w:jc w:val="center"/>
              <w:rPr>
                <w:rFonts w:hint="eastAsia" w:ascii="宋体" w:hAnsi="宋体" w:cs="仿宋"/>
                <w:color w:val="auto"/>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69576C0E">
            <w:pPr>
              <w:spacing w:line="276" w:lineRule="auto"/>
              <w:jc w:val="center"/>
              <w:rPr>
                <w:rFonts w:hint="eastAsia" w:ascii="宋体" w:hAnsi="宋体" w:cs="仿宋"/>
                <w:color w:val="auto"/>
                <w:sz w:val="18"/>
                <w:szCs w:val="18"/>
              </w:rPr>
            </w:pPr>
          </w:p>
        </w:tc>
      </w:tr>
      <w:tr w14:paraId="64324CA9">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22BB4BA8">
            <w:pPr>
              <w:spacing w:line="276" w:lineRule="auto"/>
              <w:jc w:val="center"/>
              <w:rPr>
                <w:rFonts w:hint="eastAsia" w:ascii="宋体" w:hAnsi="宋体" w:cs="仿宋"/>
                <w:color w:val="auto"/>
                <w:sz w:val="18"/>
                <w:szCs w:val="18"/>
              </w:rPr>
            </w:pPr>
            <w:r>
              <w:rPr>
                <w:rFonts w:ascii="宋体" w:hAnsi="宋体" w:cs="仿宋"/>
                <w:color w:val="auto"/>
                <w:sz w:val="18"/>
                <w:szCs w:val="18"/>
              </w:rPr>
              <w:t>11</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1D8BD551">
            <w:pPr>
              <w:spacing w:line="276" w:lineRule="auto"/>
              <w:jc w:val="center"/>
              <w:rPr>
                <w:rFonts w:hint="eastAsia" w:ascii="宋体" w:hAnsi="宋体" w:cs="仿宋"/>
                <w:color w:val="auto"/>
                <w:sz w:val="18"/>
                <w:szCs w:val="18"/>
              </w:rPr>
            </w:pPr>
            <w:r>
              <w:rPr>
                <w:rFonts w:ascii="宋体" w:hAnsi="宋体" w:cs="仿宋"/>
                <w:color w:val="auto"/>
                <w:sz w:val="18"/>
                <w:szCs w:val="18"/>
              </w:rPr>
              <w:t>环境保洁</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6472C4EE">
            <w:pPr>
              <w:spacing w:line="276" w:lineRule="auto"/>
              <w:jc w:val="center"/>
              <w:rPr>
                <w:rFonts w:hint="eastAsia" w:ascii="宋体" w:hAnsi="宋体" w:cs="仿宋"/>
                <w:color w:val="auto"/>
                <w:sz w:val="18"/>
                <w:szCs w:val="18"/>
              </w:rPr>
            </w:pPr>
            <w:r>
              <w:rPr>
                <w:rFonts w:ascii="宋体" w:hAnsi="宋体" w:cs="仿宋"/>
                <w:color w:val="auto"/>
                <w:sz w:val="18"/>
                <w:szCs w:val="18"/>
              </w:rPr>
              <w:t>95%</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00235FDA">
            <w:pPr>
              <w:spacing w:line="276" w:lineRule="auto"/>
              <w:jc w:val="center"/>
              <w:rPr>
                <w:rFonts w:hint="eastAsia" w:ascii="宋体" w:hAnsi="宋体" w:cs="仿宋"/>
                <w:color w:val="auto"/>
                <w:sz w:val="18"/>
                <w:szCs w:val="18"/>
              </w:rPr>
            </w:pPr>
            <w:r>
              <w:rPr>
                <w:rFonts w:ascii="宋体" w:hAnsi="宋体" w:cs="仿宋"/>
                <w:color w:val="auto"/>
                <w:sz w:val="18"/>
                <w:szCs w:val="18"/>
              </w:rPr>
              <w:t>4</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69B38A9A">
            <w:pPr>
              <w:spacing w:line="276" w:lineRule="auto"/>
              <w:jc w:val="center"/>
              <w:rPr>
                <w:rFonts w:hint="eastAsia" w:ascii="宋体" w:hAnsi="宋体" w:cs="仿宋"/>
                <w:color w:val="auto"/>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1C89E4F3">
            <w:pPr>
              <w:spacing w:line="276" w:lineRule="auto"/>
              <w:jc w:val="center"/>
              <w:rPr>
                <w:rFonts w:hint="eastAsia" w:ascii="宋体" w:hAnsi="宋体" w:cs="仿宋"/>
                <w:color w:val="auto"/>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29445AB3">
            <w:pPr>
              <w:snapToGrid w:val="0"/>
              <w:spacing w:before="120" w:line="276" w:lineRule="auto"/>
              <w:ind w:firstLine="904"/>
              <w:jc w:val="center"/>
              <w:rPr>
                <w:rFonts w:hint="eastAsia" w:ascii="宋体" w:hAnsi="宋体" w:cs="仿宋"/>
                <w:b/>
                <w:color w:val="auto"/>
                <w:sz w:val="18"/>
                <w:szCs w:val="18"/>
              </w:rPr>
            </w:pPr>
          </w:p>
        </w:tc>
      </w:tr>
      <w:tr w14:paraId="263E77AD">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40689CFF">
            <w:pPr>
              <w:spacing w:line="276" w:lineRule="auto"/>
              <w:jc w:val="center"/>
              <w:rPr>
                <w:rFonts w:hint="eastAsia" w:ascii="宋体" w:hAnsi="宋体" w:cs="仿宋"/>
                <w:color w:val="auto"/>
                <w:sz w:val="18"/>
                <w:szCs w:val="18"/>
              </w:rPr>
            </w:pPr>
            <w:r>
              <w:rPr>
                <w:rFonts w:ascii="宋体" w:hAnsi="宋体" w:cs="仿宋"/>
                <w:color w:val="auto"/>
                <w:sz w:val="18"/>
                <w:szCs w:val="18"/>
              </w:rPr>
              <w:t>12</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450A4083">
            <w:pPr>
              <w:spacing w:line="276" w:lineRule="auto"/>
              <w:jc w:val="center"/>
              <w:rPr>
                <w:rFonts w:hint="eastAsia" w:ascii="宋体" w:hAnsi="宋体" w:cs="仿宋"/>
                <w:color w:val="auto"/>
                <w:sz w:val="18"/>
                <w:szCs w:val="18"/>
              </w:rPr>
            </w:pPr>
            <w:r>
              <w:rPr>
                <w:rFonts w:ascii="宋体" w:hAnsi="宋体" w:cs="仿宋"/>
                <w:color w:val="auto"/>
                <w:sz w:val="18"/>
                <w:szCs w:val="18"/>
              </w:rPr>
              <w:t>施工管理有效率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78E42A1E">
            <w:pPr>
              <w:spacing w:line="276" w:lineRule="auto"/>
              <w:jc w:val="center"/>
              <w:rPr>
                <w:rFonts w:hint="eastAsia" w:ascii="宋体" w:hAnsi="宋体" w:cs="仿宋"/>
                <w:color w:val="auto"/>
                <w:sz w:val="18"/>
                <w:szCs w:val="18"/>
              </w:rPr>
            </w:pPr>
            <w:r>
              <w:rPr>
                <w:rFonts w:ascii="宋体" w:hAnsi="宋体" w:cs="仿宋"/>
                <w:color w:val="auto"/>
                <w:sz w:val="18"/>
                <w:szCs w:val="18"/>
              </w:rPr>
              <w:t>100%</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54BF7CF4">
            <w:pPr>
              <w:spacing w:line="276" w:lineRule="auto"/>
              <w:jc w:val="center"/>
              <w:rPr>
                <w:rFonts w:hint="eastAsia" w:ascii="宋体" w:hAnsi="宋体" w:cs="仿宋"/>
                <w:color w:val="auto"/>
                <w:sz w:val="18"/>
                <w:szCs w:val="18"/>
              </w:rPr>
            </w:pPr>
            <w:r>
              <w:rPr>
                <w:rFonts w:ascii="宋体" w:hAnsi="宋体" w:cs="仿宋"/>
                <w:color w:val="auto"/>
                <w:sz w:val="18"/>
                <w:szCs w:val="18"/>
              </w:rPr>
              <w:t>3</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1EE8AE04">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751ED160">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566FB2AC">
            <w:pPr>
              <w:spacing w:line="276" w:lineRule="auto"/>
              <w:ind w:firstLine="945"/>
              <w:jc w:val="center"/>
              <w:rPr>
                <w:rFonts w:hint="eastAsia" w:ascii="宋体" w:hAnsi="宋体" w:cs="仿宋"/>
                <w:color w:val="auto"/>
                <w:sz w:val="18"/>
                <w:szCs w:val="18"/>
              </w:rPr>
            </w:pPr>
          </w:p>
        </w:tc>
      </w:tr>
      <w:tr w14:paraId="1277AB9C">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60B41C93">
            <w:pPr>
              <w:spacing w:line="276" w:lineRule="auto"/>
              <w:jc w:val="center"/>
              <w:rPr>
                <w:rFonts w:hint="eastAsia" w:ascii="宋体" w:hAnsi="宋体" w:cs="仿宋"/>
                <w:color w:val="auto"/>
                <w:sz w:val="18"/>
                <w:szCs w:val="18"/>
              </w:rPr>
            </w:pPr>
            <w:r>
              <w:rPr>
                <w:rFonts w:ascii="宋体" w:hAnsi="宋体" w:cs="仿宋"/>
                <w:color w:val="auto"/>
                <w:sz w:val="18"/>
                <w:szCs w:val="18"/>
              </w:rPr>
              <w:t>13</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197E2ABC">
            <w:pPr>
              <w:spacing w:line="276" w:lineRule="auto"/>
              <w:jc w:val="center"/>
              <w:rPr>
                <w:rFonts w:hint="eastAsia" w:ascii="宋体" w:hAnsi="宋体" w:cs="仿宋"/>
                <w:color w:val="auto"/>
                <w:sz w:val="18"/>
                <w:szCs w:val="18"/>
              </w:rPr>
            </w:pPr>
            <w:r>
              <w:rPr>
                <w:rFonts w:hint="eastAsia" w:ascii="宋体" w:hAnsi="宋体" w:cs="仿宋"/>
                <w:color w:val="auto"/>
                <w:sz w:val="18"/>
                <w:szCs w:val="18"/>
              </w:rPr>
              <w:t>设施设备</w:t>
            </w:r>
            <w:r>
              <w:rPr>
                <w:rFonts w:ascii="宋体" w:hAnsi="宋体" w:cs="仿宋"/>
                <w:color w:val="auto"/>
                <w:sz w:val="18"/>
                <w:szCs w:val="18"/>
              </w:rPr>
              <w:t>维修维护完好率、开通率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54F0EEF1">
            <w:pPr>
              <w:spacing w:line="276" w:lineRule="auto"/>
              <w:jc w:val="center"/>
              <w:rPr>
                <w:rFonts w:hint="eastAsia" w:ascii="宋体" w:hAnsi="宋体" w:cs="仿宋"/>
                <w:color w:val="auto"/>
                <w:sz w:val="18"/>
                <w:szCs w:val="18"/>
              </w:rPr>
            </w:pPr>
            <w:r>
              <w:rPr>
                <w:rFonts w:ascii="宋体" w:hAnsi="宋体" w:cs="仿宋"/>
                <w:color w:val="auto"/>
                <w:sz w:val="18"/>
                <w:szCs w:val="18"/>
              </w:rPr>
              <w:t>95%</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7B248E43">
            <w:pPr>
              <w:spacing w:line="276" w:lineRule="auto"/>
              <w:jc w:val="center"/>
              <w:rPr>
                <w:rFonts w:hint="eastAsia" w:ascii="宋体" w:hAnsi="宋体" w:cs="仿宋"/>
                <w:color w:val="auto"/>
                <w:sz w:val="18"/>
                <w:szCs w:val="18"/>
              </w:rPr>
            </w:pPr>
            <w:r>
              <w:rPr>
                <w:rFonts w:ascii="宋体" w:hAnsi="宋体" w:cs="仿宋"/>
                <w:color w:val="auto"/>
                <w:sz w:val="18"/>
                <w:szCs w:val="18"/>
              </w:rPr>
              <w:t>7</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091917D0">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658F6048">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7548621A">
            <w:pPr>
              <w:spacing w:line="276" w:lineRule="auto"/>
              <w:ind w:firstLine="945"/>
              <w:jc w:val="center"/>
              <w:rPr>
                <w:rFonts w:hint="eastAsia" w:ascii="宋体" w:hAnsi="宋体" w:cs="仿宋"/>
                <w:color w:val="auto"/>
                <w:sz w:val="18"/>
                <w:szCs w:val="18"/>
              </w:rPr>
            </w:pPr>
          </w:p>
        </w:tc>
      </w:tr>
      <w:tr w14:paraId="366D621A">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22263843">
            <w:pPr>
              <w:spacing w:line="276" w:lineRule="auto"/>
              <w:jc w:val="center"/>
              <w:rPr>
                <w:rFonts w:hint="eastAsia" w:ascii="宋体" w:hAnsi="宋体" w:cs="仿宋"/>
                <w:color w:val="auto"/>
                <w:sz w:val="18"/>
                <w:szCs w:val="18"/>
              </w:rPr>
            </w:pPr>
            <w:r>
              <w:rPr>
                <w:rFonts w:ascii="宋体" w:hAnsi="宋体" w:cs="仿宋"/>
                <w:color w:val="auto"/>
                <w:sz w:val="18"/>
                <w:szCs w:val="18"/>
              </w:rPr>
              <w:t>14</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06168EF3">
            <w:pPr>
              <w:spacing w:line="276" w:lineRule="auto"/>
              <w:jc w:val="center"/>
              <w:rPr>
                <w:rFonts w:hint="eastAsia" w:ascii="宋体" w:hAnsi="宋体" w:cs="仿宋"/>
                <w:color w:val="auto"/>
                <w:sz w:val="18"/>
                <w:szCs w:val="18"/>
              </w:rPr>
            </w:pPr>
            <w:r>
              <w:rPr>
                <w:rFonts w:ascii="宋体" w:hAnsi="宋体" w:cs="仿宋"/>
                <w:color w:val="auto"/>
                <w:sz w:val="18"/>
                <w:szCs w:val="18"/>
              </w:rPr>
              <w:t>客户投诉处理及时率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3BFB9854">
            <w:pPr>
              <w:spacing w:line="276" w:lineRule="auto"/>
              <w:jc w:val="center"/>
              <w:rPr>
                <w:rFonts w:hint="eastAsia" w:ascii="宋体" w:hAnsi="宋体" w:cs="仿宋"/>
                <w:color w:val="auto"/>
                <w:sz w:val="18"/>
                <w:szCs w:val="18"/>
              </w:rPr>
            </w:pPr>
            <w:r>
              <w:rPr>
                <w:rFonts w:ascii="宋体" w:hAnsi="宋体" w:cs="仿宋"/>
                <w:color w:val="auto"/>
                <w:sz w:val="18"/>
                <w:szCs w:val="18"/>
              </w:rPr>
              <w:t>100%</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750942DF">
            <w:pPr>
              <w:spacing w:line="276" w:lineRule="auto"/>
              <w:jc w:val="center"/>
              <w:rPr>
                <w:rFonts w:hint="eastAsia" w:ascii="宋体" w:hAnsi="宋体" w:cs="仿宋"/>
                <w:color w:val="auto"/>
                <w:sz w:val="18"/>
                <w:szCs w:val="18"/>
              </w:rPr>
            </w:pPr>
            <w:r>
              <w:rPr>
                <w:rFonts w:ascii="宋体" w:hAnsi="宋体" w:cs="仿宋"/>
                <w:color w:val="auto"/>
                <w:sz w:val="18"/>
                <w:szCs w:val="18"/>
              </w:rPr>
              <w:t>2</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3996BB30">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57B80A06">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79063041">
            <w:pPr>
              <w:spacing w:line="276" w:lineRule="auto"/>
              <w:ind w:firstLine="945"/>
              <w:jc w:val="center"/>
              <w:rPr>
                <w:rFonts w:hint="eastAsia" w:ascii="宋体" w:hAnsi="宋体" w:cs="仿宋"/>
                <w:color w:val="auto"/>
                <w:sz w:val="18"/>
                <w:szCs w:val="18"/>
              </w:rPr>
            </w:pPr>
          </w:p>
        </w:tc>
      </w:tr>
      <w:tr w14:paraId="5DAFE748">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177308C0">
            <w:pPr>
              <w:spacing w:line="276" w:lineRule="auto"/>
              <w:jc w:val="center"/>
              <w:rPr>
                <w:rFonts w:hint="eastAsia" w:ascii="宋体" w:hAnsi="宋体" w:cs="仿宋"/>
                <w:color w:val="auto"/>
                <w:sz w:val="18"/>
                <w:szCs w:val="18"/>
              </w:rPr>
            </w:pPr>
            <w:r>
              <w:rPr>
                <w:rFonts w:ascii="宋体" w:hAnsi="宋体" w:cs="仿宋"/>
                <w:color w:val="auto"/>
                <w:sz w:val="18"/>
                <w:szCs w:val="18"/>
              </w:rPr>
              <w:t>15</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3251EF9F">
            <w:pPr>
              <w:spacing w:line="276" w:lineRule="auto"/>
              <w:jc w:val="center"/>
              <w:rPr>
                <w:rFonts w:hint="eastAsia" w:ascii="宋体" w:hAnsi="宋体" w:cs="仿宋"/>
                <w:color w:val="auto"/>
                <w:sz w:val="18"/>
                <w:szCs w:val="18"/>
              </w:rPr>
            </w:pPr>
            <w:r>
              <w:rPr>
                <w:rFonts w:ascii="宋体" w:hAnsi="宋体" w:cs="仿宋"/>
                <w:color w:val="auto"/>
                <w:sz w:val="18"/>
                <w:szCs w:val="18"/>
              </w:rPr>
              <w:t>客户投诉率（仅限于对中心投诉）</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4D7F340B">
            <w:pPr>
              <w:spacing w:line="276" w:lineRule="auto"/>
              <w:jc w:val="center"/>
              <w:rPr>
                <w:rFonts w:hint="eastAsia" w:ascii="宋体" w:hAnsi="宋体" w:cs="仿宋"/>
                <w:color w:val="auto"/>
                <w:sz w:val="18"/>
                <w:szCs w:val="18"/>
              </w:rPr>
            </w:pPr>
            <w:r>
              <w:rPr>
                <w:rFonts w:ascii="宋体" w:hAnsi="宋体" w:cs="仿宋"/>
                <w:color w:val="auto"/>
                <w:sz w:val="18"/>
                <w:szCs w:val="18"/>
              </w:rPr>
              <w:t>≦0.5‰</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1510CE1A">
            <w:pPr>
              <w:spacing w:line="276" w:lineRule="auto"/>
              <w:jc w:val="center"/>
              <w:rPr>
                <w:rFonts w:hint="eastAsia" w:ascii="宋体" w:hAnsi="宋体" w:cs="仿宋"/>
                <w:color w:val="auto"/>
                <w:sz w:val="18"/>
                <w:szCs w:val="18"/>
              </w:rPr>
            </w:pPr>
            <w:r>
              <w:rPr>
                <w:rFonts w:ascii="宋体" w:hAnsi="宋体" w:cs="仿宋"/>
                <w:color w:val="auto"/>
                <w:sz w:val="18"/>
                <w:szCs w:val="18"/>
              </w:rPr>
              <w:t>3</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1252D461">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43FA7866">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20A0049E">
            <w:pPr>
              <w:spacing w:line="276" w:lineRule="auto"/>
              <w:ind w:firstLine="945"/>
              <w:jc w:val="center"/>
              <w:rPr>
                <w:rFonts w:hint="eastAsia" w:ascii="宋体" w:hAnsi="宋体" w:cs="仿宋"/>
                <w:color w:val="auto"/>
                <w:sz w:val="18"/>
                <w:szCs w:val="18"/>
              </w:rPr>
            </w:pPr>
          </w:p>
        </w:tc>
      </w:tr>
      <w:tr w14:paraId="3A203F5F">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21FF87A2">
            <w:pPr>
              <w:spacing w:line="276" w:lineRule="auto"/>
              <w:jc w:val="center"/>
              <w:rPr>
                <w:rFonts w:hint="eastAsia" w:ascii="宋体" w:hAnsi="宋体" w:cs="仿宋"/>
                <w:color w:val="auto"/>
                <w:sz w:val="18"/>
                <w:szCs w:val="18"/>
              </w:rPr>
            </w:pPr>
            <w:r>
              <w:rPr>
                <w:rFonts w:ascii="宋体" w:hAnsi="宋体" w:cs="仿宋"/>
                <w:color w:val="auto"/>
                <w:sz w:val="18"/>
                <w:szCs w:val="18"/>
              </w:rPr>
              <w:t>16</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57FBB9C3">
            <w:pPr>
              <w:spacing w:line="276" w:lineRule="auto"/>
              <w:jc w:val="center"/>
              <w:rPr>
                <w:rFonts w:hint="eastAsia" w:ascii="宋体" w:hAnsi="宋体" w:cs="仿宋"/>
                <w:color w:val="auto"/>
                <w:sz w:val="18"/>
                <w:szCs w:val="18"/>
              </w:rPr>
            </w:pPr>
            <w:r>
              <w:rPr>
                <w:rFonts w:ascii="宋体" w:hAnsi="宋体" w:cs="仿宋"/>
                <w:color w:val="auto"/>
                <w:sz w:val="18"/>
                <w:szCs w:val="18"/>
              </w:rPr>
              <w:t>技术员工上岗持证率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0A0F5049">
            <w:pPr>
              <w:spacing w:line="276" w:lineRule="auto"/>
              <w:jc w:val="center"/>
              <w:rPr>
                <w:rFonts w:hint="eastAsia" w:ascii="宋体" w:hAnsi="宋体" w:cs="仿宋"/>
                <w:color w:val="auto"/>
                <w:sz w:val="18"/>
                <w:szCs w:val="18"/>
              </w:rPr>
            </w:pPr>
            <w:r>
              <w:rPr>
                <w:rFonts w:ascii="宋体" w:hAnsi="宋体" w:cs="仿宋"/>
                <w:color w:val="auto"/>
                <w:sz w:val="18"/>
                <w:szCs w:val="18"/>
              </w:rPr>
              <w:t>100%</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15543EEC">
            <w:pPr>
              <w:spacing w:line="276" w:lineRule="auto"/>
              <w:jc w:val="center"/>
              <w:rPr>
                <w:rFonts w:hint="eastAsia" w:ascii="宋体" w:hAnsi="宋体" w:cs="仿宋"/>
                <w:color w:val="auto"/>
                <w:sz w:val="18"/>
                <w:szCs w:val="18"/>
              </w:rPr>
            </w:pPr>
            <w:r>
              <w:rPr>
                <w:rFonts w:ascii="宋体" w:hAnsi="宋体" w:cs="仿宋"/>
                <w:color w:val="auto"/>
                <w:sz w:val="18"/>
                <w:szCs w:val="18"/>
              </w:rPr>
              <w:t>3</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6C58B1D3">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101EE04E">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246C282D">
            <w:pPr>
              <w:spacing w:line="276" w:lineRule="auto"/>
              <w:ind w:firstLine="945"/>
              <w:jc w:val="center"/>
              <w:rPr>
                <w:rFonts w:hint="eastAsia" w:ascii="宋体" w:hAnsi="宋体" w:cs="仿宋"/>
                <w:color w:val="auto"/>
                <w:sz w:val="18"/>
                <w:szCs w:val="18"/>
              </w:rPr>
            </w:pPr>
          </w:p>
        </w:tc>
      </w:tr>
      <w:tr w14:paraId="732E6574">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70472954">
            <w:pPr>
              <w:spacing w:line="276" w:lineRule="auto"/>
              <w:jc w:val="center"/>
              <w:rPr>
                <w:rFonts w:hint="eastAsia" w:ascii="宋体" w:hAnsi="宋体" w:cs="仿宋"/>
                <w:color w:val="auto"/>
                <w:sz w:val="18"/>
                <w:szCs w:val="18"/>
              </w:rPr>
            </w:pPr>
            <w:r>
              <w:rPr>
                <w:rFonts w:ascii="宋体" w:hAnsi="宋体" w:cs="仿宋"/>
                <w:color w:val="auto"/>
                <w:sz w:val="18"/>
                <w:szCs w:val="18"/>
              </w:rPr>
              <w:t>17</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6FD53AA2">
            <w:pPr>
              <w:spacing w:line="276" w:lineRule="auto"/>
              <w:jc w:val="center"/>
              <w:rPr>
                <w:rFonts w:hint="eastAsia" w:ascii="宋体" w:hAnsi="宋体" w:cs="仿宋"/>
                <w:color w:val="auto"/>
                <w:sz w:val="18"/>
                <w:szCs w:val="18"/>
              </w:rPr>
            </w:pPr>
            <w:r>
              <w:rPr>
                <w:rFonts w:ascii="宋体" w:hAnsi="宋体" w:cs="仿宋"/>
                <w:color w:val="auto"/>
                <w:sz w:val="18"/>
                <w:szCs w:val="18"/>
              </w:rPr>
              <w:t>服务质量合格率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1FD5A551">
            <w:pPr>
              <w:spacing w:line="276" w:lineRule="auto"/>
              <w:jc w:val="center"/>
              <w:rPr>
                <w:rFonts w:hint="eastAsia" w:ascii="宋体" w:hAnsi="宋体" w:cs="仿宋"/>
                <w:color w:val="auto"/>
                <w:sz w:val="18"/>
                <w:szCs w:val="18"/>
              </w:rPr>
            </w:pPr>
            <w:r>
              <w:rPr>
                <w:rFonts w:ascii="宋体" w:hAnsi="宋体" w:cs="仿宋"/>
                <w:color w:val="auto"/>
                <w:sz w:val="18"/>
                <w:szCs w:val="18"/>
              </w:rPr>
              <w:t>95 %</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293D196B">
            <w:pPr>
              <w:spacing w:line="276" w:lineRule="auto"/>
              <w:jc w:val="center"/>
              <w:rPr>
                <w:rFonts w:hint="eastAsia" w:ascii="宋体" w:hAnsi="宋体" w:cs="仿宋"/>
                <w:color w:val="auto"/>
                <w:sz w:val="18"/>
                <w:szCs w:val="18"/>
              </w:rPr>
            </w:pPr>
            <w:r>
              <w:rPr>
                <w:rFonts w:ascii="宋体" w:hAnsi="宋体" w:cs="仿宋"/>
                <w:color w:val="auto"/>
                <w:sz w:val="18"/>
                <w:szCs w:val="18"/>
              </w:rPr>
              <w:t>12</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2677E3A9">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1AB684EF">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0D6D0446">
            <w:pPr>
              <w:spacing w:line="276" w:lineRule="auto"/>
              <w:ind w:firstLine="945"/>
              <w:jc w:val="center"/>
              <w:rPr>
                <w:rFonts w:hint="eastAsia" w:ascii="宋体" w:hAnsi="宋体" w:cs="仿宋"/>
                <w:color w:val="auto"/>
                <w:sz w:val="18"/>
                <w:szCs w:val="18"/>
              </w:rPr>
            </w:pPr>
          </w:p>
        </w:tc>
      </w:tr>
      <w:tr w14:paraId="2CA6A08B">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46B5B6D8">
            <w:pPr>
              <w:spacing w:line="276" w:lineRule="auto"/>
              <w:jc w:val="center"/>
              <w:rPr>
                <w:rFonts w:hint="eastAsia" w:ascii="宋体" w:hAnsi="宋体" w:cs="仿宋"/>
                <w:color w:val="auto"/>
                <w:sz w:val="18"/>
                <w:szCs w:val="18"/>
              </w:rPr>
            </w:pPr>
            <w:r>
              <w:rPr>
                <w:rFonts w:ascii="宋体" w:hAnsi="宋体" w:cs="仿宋"/>
                <w:color w:val="auto"/>
                <w:sz w:val="18"/>
                <w:szCs w:val="18"/>
              </w:rPr>
              <w:t>18</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233C5F28">
            <w:pPr>
              <w:spacing w:line="276" w:lineRule="auto"/>
              <w:jc w:val="center"/>
              <w:rPr>
                <w:rFonts w:hint="eastAsia" w:ascii="宋体" w:hAnsi="宋体" w:cs="仿宋"/>
                <w:color w:val="auto"/>
                <w:sz w:val="18"/>
                <w:szCs w:val="18"/>
              </w:rPr>
            </w:pPr>
            <w:r>
              <w:rPr>
                <w:rFonts w:ascii="宋体" w:hAnsi="宋体" w:cs="仿宋"/>
                <w:color w:val="auto"/>
                <w:sz w:val="18"/>
                <w:szCs w:val="18"/>
              </w:rPr>
              <w:t>保安工作合格率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60E7A6A2">
            <w:pPr>
              <w:spacing w:line="276" w:lineRule="auto"/>
              <w:jc w:val="center"/>
              <w:rPr>
                <w:rFonts w:hint="eastAsia" w:ascii="宋体" w:hAnsi="宋体" w:cs="仿宋"/>
                <w:color w:val="auto"/>
                <w:sz w:val="18"/>
                <w:szCs w:val="18"/>
              </w:rPr>
            </w:pPr>
            <w:r>
              <w:rPr>
                <w:rFonts w:ascii="宋体" w:hAnsi="宋体" w:cs="仿宋"/>
                <w:color w:val="auto"/>
                <w:sz w:val="18"/>
                <w:szCs w:val="18"/>
              </w:rPr>
              <w:t>98%</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6C5B7D5A">
            <w:pPr>
              <w:spacing w:line="276" w:lineRule="auto"/>
              <w:jc w:val="center"/>
              <w:rPr>
                <w:rFonts w:hint="eastAsia" w:ascii="宋体" w:hAnsi="宋体" w:cs="仿宋"/>
                <w:color w:val="auto"/>
                <w:sz w:val="18"/>
                <w:szCs w:val="18"/>
              </w:rPr>
            </w:pPr>
            <w:r>
              <w:rPr>
                <w:rFonts w:ascii="宋体" w:hAnsi="宋体" w:cs="仿宋"/>
                <w:color w:val="auto"/>
                <w:sz w:val="18"/>
                <w:szCs w:val="18"/>
              </w:rPr>
              <w:t>15</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3EAB1127">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4D4EEF2F">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26925102">
            <w:pPr>
              <w:spacing w:line="276" w:lineRule="auto"/>
              <w:ind w:firstLine="945"/>
              <w:jc w:val="center"/>
              <w:rPr>
                <w:rFonts w:hint="eastAsia" w:ascii="宋体" w:hAnsi="宋体" w:cs="仿宋"/>
                <w:color w:val="auto"/>
                <w:sz w:val="18"/>
                <w:szCs w:val="18"/>
              </w:rPr>
            </w:pPr>
          </w:p>
        </w:tc>
      </w:tr>
      <w:tr w14:paraId="654AD197">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490D2921">
            <w:pPr>
              <w:spacing w:line="276" w:lineRule="auto"/>
              <w:jc w:val="center"/>
              <w:rPr>
                <w:rFonts w:hint="eastAsia" w:ascii="宋体" w:hAnsi="宋体" w:cs="仿宋"/>
                <w:color w:val="auto"/>
                <w:sz w:val="18"/>
                <w:szCs w:val="18"/>
              </w:rPr>
            </w:pPr>
            <w:r>
              <w:rPr>
                <w:rFonts w:ascii="宋体" w:hAnsi="宋体" w:cs="仿宋"/>
                <w:color w:val="auto"/>
                <w:sz w:val="18"/>
                <w:szCs w:val="18"/>
              </w:rPr>
              <w:t>19</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69CD7C50">
            <w:pPr>
              <w:spacing w:line="276" w:lineRule="auto"/>
              <w:jc w:val="center"/>
              <w:rPr>
                <w:rFonts w:hint="eastAsia" w:ascii="宋体" w:hAnsi="宋体" w:cs="仿宋"/>
                <w:color w:val="auto"/>
                <w:sz w:val="18"/>
                <w:szCs w:val="18"/>
              </w:rPr>
            </w:pPr>
            <w:r>
              <w:rPr>
                <w:rFonts w:ascii="宋体" w:hAnsi="宋体" w:cs="仿宋"/>
                <w:color w:val="auto"/>
                <w:sz w:val="18"/>
                <w:szCs w:val="18"/>
              </w:rPr>
              <w:t>绿化成活率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36E617B3">
            <w:pPr>
              <w:spacing w:line="276" w:lineRule="auto"/>
              <w:jc w:val="center"/>
              <w:rPr>
                <w:rFonts w:hint="eastAsia" w:ascii="宋体" w:hAnsi="宋体" w:cs="仿宋"/>
                <w:color w:val="auto"/>
                <w:sz w:val="18"/>
                <w:szCs w:val="18"/>
              </w:rPr>
            </w:pPr>
            <w:r>
              <w:rPr>
                <w:rFonts w:ascii="宋体" w:hAnsi="宋体" w:cs="仿宋"/>
                <w:color w:val="auto"/>
                <w:sz w:val="18"/>
                <w:szCs w:val="18"/>
              </w:rPr>
              <w:t>98%</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42EE7BC3">
            <w:pPr>
              <w:spacing w:line="276" w:lineRule="auto"/>
              <w:jc w:val="center"/>
              <w:rPr>
                <w:rFonts w:hint="eastAsia" w:ascii="宋体" w:hAnsi="宋体" w:cs="仿宋"/>
                <w:color w:val="auto"/>
                <w:sz w:val="18"/>
                <w:szCs w:val="18"/>
              </w:rPr>
            </w:pPr>
            <w:r>
              <w:rPr>
                <w:rFonts w:ascii="宋体" w:hAnsi="宋体" w:cs="仿宋"/>
                <w:color w:val="auto"/>
                <w:sz w:val="18"/>
                <w:szCs w:val="18"/>
              </w:rPr>
              <w:t>2</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32AD89A9">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2F8101D7">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3731CBE4">
            <w:pPr>
              <w:spacing w:line="276" w:lineRule="auto"/>
              <w:ind w:firstLine="945"/>
              <w:jc w:val="center"/>
              <w:rPr>
                <w:rFonts w:hint="eastAsia" w:ascii="宋体" w:hAnsi="宋体" w:cs="仿宋"/>
                <w:color w:val="auto"/>
                <w:sz w:val="18"/>
                <w:szCs w:val="18"/>
              </w:rPr>
            </w:pPr>
          </w:p>
        </w:tc>
      </w:tr>
      <w:tr w14:paraId="3DE1852D">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78E9AC93">
            <w:pPr>
              <w:spacing w:line="276" w:lineRule="auto"/>
              <w:jc w:val="center"/>
              <w:rPr>
                <w:rFonts w:hint="eastAsia" w:ascii="宋体" w:hAnsi="宋体" w:cs="仿宋"/>
                <w:color w:val="auto"/>
                <w:sz w:val="18"/>
                <w:szCs w:val="18"/>
              </w:rPr>
            </w:pPr>
            <w:r>
              <w:rPr>
                <w:rFonts w:ascii="宋体" w:hAnsi="宋体" w:cs="仿宋"/>
                <w:color w:val="auto"/>
                <w:sz w:val="18"/>
                <w:szCs w:val="18"/>
              </w:rPr>
              <w:t>20</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07AC2101">
            <w:pPr>
              <w:spacing w:line="276" w:lineRule="auto"/>
              <w:jc w:val="center"/>
              <w:rPr>
                <w:rFonts w:hint="eastAsia" w:ascii="宋体" w:hAnsi="宋体" w:cs="仿宋"/>
                <w:color w:val="auto"/>
                <w:sz w:val="18"/>
                <w:szCs w:val="18"/>
              </w:rPr>
            </w:pPr>
            <w:r>
              <w:rPr>
                <w:rFonts w:ascii="宋体" w:hAnsi="宋体" w:cs="仿宋"/>
                <w:color w:val="auto"/>
                <w:sz w:val="18"/>
                <w:szCs w:val="18"/>
              </w:rPr>
              <w:t>会务管理满意率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03EE2433">
            <w:pPr>
              <w:spacing w:line="276" w:lineRule="auto"/>
              <w:jc w:val="center"/>
              <w:rPr>
                <w:rFonts w:hint="eastAsia" w:ascii="宋体" w:hAnsi="宋体" w:cs="仿宋"/>
                <w:color w:val="auto"/>
                <w:sz w:val="18"/>
                <w:szCs w:val="18"/>
              </w:rPr>
            </w:pPr>
            <w:r>
              <w:rPr>
                <w:rFonts w:ascii="宋体" w:hAnsi="宋体" w:cs="仿宋"/>
                <w:color w:val="auto"/>
                <w:sz w:val="18"/>
                <w:szCs w:val="18"/>
              </w:rPr>
              <w:t>98%</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529E2771">
            <w:pPr>
              <w:spacing w:line="276" w:lineRule="auto"/>
              <w:jc w:val="center"/>
              <w:rPr>
                <w:rFonts w:hint="eastAsia" w:ascii="宋体" w:hAnsi="宋体" w:cs="仿宋"/>
                <w:color w:val="auto"/>
                <w:sz w:val="18"/>
                <w:szCs w:val="18"/>
              </w:rPr>
            </w:pPr>
            <w:r>
              <w:rPr>
                <w:rFonts w:ascii="宋体" w:hAnsi="宋体" w:cs="仿宋"/>
                <w:color w:val="auto"/>
                <w:sz w:val="18"/>
                <w:szCs w:val="18"/>
              </w:rPr>
              <w:t>2</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49BA9771">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37DDD1A6">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0A4551F3">
            <w:pPr>
              <w:spacing w:line="276" w:lineRule="auto"/>
              <w:ind w:firstLine="945"/>
              <w:jc w:val="center"/>
              <w:rPr>
                <w:rFonts w:hint="eastAsia" w:ascii="宋体" w:hAnsi="宋体" w:cs="仿宋"/>
                <w:color w:val="auto"/>
                <w:sz w:val="18"/>
                <w:szCs w:val="18"/>
              </w:rPr>
            </w:pPr>
          </w:p>
        </w:tc>
      </w:tr>
      <w:tr w14:paraId="29166020">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6" w:space="0"/>
              <w:right w:val="single" w:color="00000A" w:sz="6" w:space="0"/>
            </w:tcBorders>
            <w:tcMar>
              <w:left w:w="93" w:type="dxa"/>
            </w:tcMar>
            <w:vAlign w:val="center"/>
          </w:tcPr>
          <w:p w14:paraId="6E741B97">
            <w:pPr>
              <w:spacing w:line="276" w:lineRule="auto"/>
              <w:jc w:val="center"/>
              <w:rPr>
                <w:rFonts w:hint="eastAsia" w:ascii="宋体" w:hAnsi="宋体" w:cs="仿宋"/>
                <w:color w:val="auto"/>
                <w:sz w:val="18"/>
                <w:szCs w:val="18"/>
              </w:rPr>
            </w:pPr>
            <w:r>
              <w:rPr>
                <w:rFonts w:ascii="宋体" w:hAnsi="宋体" w:cs="仿宋"/>
                <w:color w:val="auto"/>
                <w:sz w:val="18"/>
                <w:szCs w:val="18"/>
              </w:rPr>
              <w:t>21</w:t>
            </w:r>
          </w:p>
        </w:tc>
        <w:tc>
          <w:tcPr>
            <w:tcW w:w="3303" w:type="dxa"/>
            <w:tcBorders>
              <w:top w:val="single" w:color="00000A" w:sz="6" w:space="0"/>
              <w:left w:val="single" w:color="00000A" w:sz="6" w:space="0"/>
              <w:bottom w:val="single" w:color="00000A" w:sz="6" w:space="0"/>
              <w:right w:val="single" w:color="00000A" w:sz="6" w:space="0"/>
            </w:tcBorders>
            <w:tcMar>
              <w:left w:w="100" w:type="dxa"/>
            </w:tcMar>
            <w:vAlign w:val="center"/>
          </w:tcPr>
          <w:p w14:paraId="622C50CB">
            <w:pPr>
              <w:spacing w:line="276" w:lineRule="auto"/>
              <w:jc w:val="center"/>
              <w:rPr>
                <w:rFonts w:hint="eastAsia" w:ascii="宋体" w:hAnsi="宋体" w:cs="仿宋"/>
                <w:color w:val="auto"/>
                <w:sz w:val="18"/>
                <w:szCs w:val="18"/>
              </w:rPr>
            </w:pPr>
            <w:r>
              <w:rPr>
                <w:rFonts w:ascii="宋体" w:hAnsi="宋体" w:cs="仿宋"/>
                <w:color w:val="auto"/>
                <w:sz w:val="18"/>
                <w:szCs w:val="18"/>
              </w:rPr>
              <w:t>多媒体演示完好率</w:t>
            </w:r>
          </w:p>
        </w:tc>
        <w:tc>
          <w:tcPr>
            <w:tcW w:w="836" w:type="dxa"/>
            <w:tcBorders>
              <w:top w:val="single" w:color="00000A" w:sz="6" w:space="0"/>
              <w:left w:val="single" w:color="00000A" w:sz="6" w:space="0"/>
              <w:bottom w:val="single" w:color="00000A" w:sz="6" w:space="0"/>
              <w:right w:val="single" w:color="00000A" w:sz="6" w:space="0"/>
            </w:tcBorders>
            <w:tcMar>
              <w:left w:w="93" w:type="dxa"/>
            </w:tcMar>
            <w:vAlign w:val="center"/>
          </w:tcPr>
          <w:p w14:paraId="66F0964F">
            <w:pPr>
              <w:spacing w:line="276" w:lineRule="auto"/>
              <w:jc w:val="center"/>
              <w:rPr>
                <w:rFonts w:hint="eastAsia" w:ascii="宋体" w:hAnsi="宋体" w:cs="仿宋"/>
                <w:color w:val="auto"/>
                <w:sz w:val="18"/>
                <w:szCs w:val="18"/>
              </w:rPr>
            </w:pPr>
            <w:r>
              <w:rPr>
                <w:rFonts w:ascii="宋体" w:hAnsi="宋体" w:cs="仿宋"/>
                <w:color w:val="auto"/>
                <w:sz w:val="18"/>
                <w:szCs w:val="18"/>
              </w:rPr>
              <w:t>95%</w:t>
            </w:r>
          </w:p>
        </w:tc>
        <w:tc>
          <w:tcPr>
            <w:tcW w:w="831" w:type="dxa"/>
            <w:tcBorders>
              <w:top w:val="single" w:color="00000A" w:sz="6" w:space="0"/>
              <w:left w:val="single" w:color="00000A" w:sz="6" w:space="0"/>
              <w:bottom w:val="single" w:color="00000A" w:sz="6" w:space="0"/>
              <w:right w:val="single" w:color="00000A" w:sz="6" w:space="0"/>
            </w:tcBorders>
            <w:tcMar>
              <w:left w:w="93" w:type="dxa"/>
            </w:tcMar>
            <w:vAlign w:val="center"/>
          </w:tcPr>
          <w:p w14:paraId="546CE648">
            <w:pPr>
              <w:spacing w:line="276" w:lineRule="auto"/>
              <w:jc w:val="center"/>
              <w:rPr>
                <w:rFonts w:hint="eastAsia" w:ascii="宋体" w:hAnsi="宋体" w:cs="仿宋"/>
                <w:color w:val="auto"/>
                <w:sz w:val="18"/>
                <w:szCs w:val="18"/>
              </w:rPr>
            </w:pPr>
            <w:r>
              <w:rPr>
                <w:rFonts w:ascii="宋体" w:hAnsi="宋体" w:cs="仿宋"/>
                <w:color w:val="auto"/>
                <w:sz w:val="18"/>
                <w:szCs w:val="18"/>
              </w:rPr>
              <w:t>2</w:t>
            </w:r>
          </w:p>
        </w:tc>
        <w:tc>
          <w:tcPr>
            <w:tcW w:w="975" w:type="dxa"/>
            <w:tcBorders>
              <w:top w:val="single" w:color="00000A" w:sz="6" w:space="0"/>
              <w:left w:val="single" w:color="00000A" w:sz="6" w:space="0"/>
              <w:bottom w:val="single" w:color="00000A" w:sz="6" w:space="0"/>
              <w:right w:val="single" w:color="00000A" w:sz="6" w:space="0"/>
            </w:tcBorders>
            <w:tcMar>
              <w:left w:w="93" w:type="dxa"/>
            </w:tcMar>
            <w:vAlign w:val="center"/>
          </w:tcPr>
          <w:p w14:paraId="7FB51332">
            <w:pPr>
              <w:spacing w:line="276" w:lineRule="auto"/>
              <w:jc w:val="center"/>
              <w:rPr>
                <w:rFonts w:hint="eastAsia" w:ascii="宋体" w:hAnsi="宋体" w:cs="仿宋"/>
                <w:color w:val="auto"/>
                <w:w w:val="80"/>
                <w:sz w:val="18"/>
                <w:szCs w:val="18"/>
              </w:rPr>
            </w:pPr>
          </w:p>
        </w:tc>
        <w:tc>
          <w:tcPr>
            <w:tcW w:w="832" w:type="dxa"/>
            <w:tcBorders>
              <w:top w:val="single" w:color="00000A" w:sz="6" w:space="0"/>
              <w:left w:val="single" w:color="00000A" w:sz="6" w:space="0"/>
              <w:bottom w:val="single" w:color="00000A" w:sz="6" w:space="0"/>
              <w:right w:val="single" w:color="00000A" w:sz="6" w:space="0"/>
            </w:tcBorders>
            <w:tcMar>
              <w:left w:w="93" w:type="dxa"/>
            </w:tcMar>
            <w:vAlign w:val="center"/>
          </w:tcPr>
          <w:p w14:paraId="56C02E54">
            <w:pPr>
              <w:spacing w:line="276" w:lineRule="auto"/>
              <w:jc w:val="center"/>
              <w:rPr>
                <w:rFonts w:hint="eastAsia" w:ascii="宋体" w:hAnsi="宋体" w:cs="仿宋"/>
                <w:color w:val="auto"/>
                <w:w w:val="80"/>
                <w:sz w:val="18"/>
                <w:szCs w:val="18"/>
              </w:rPr>
            </w:pPr>
          </w:p>
        </w:tc>
        <w:tc>
          <w:tcPr>
            <w:tcW w:w="835" w:type="dxa"/>
            <w:tcBorders>
              <w:top w:val="single" w:color="00000A" w:sz="6" w:space="0"/>
              <w:left w:val="single" w:color="00000A" w:sz="6" w:space="0"/>
              <w:bottom w:val="single" w:color="00000A" w:sz="6" w:space="0"/>
              <w:right w:val="single" w:color="00000A" w:sz="12" w:space="0"/>
            </w:tcBorders>
            <w:tcMar>
              <w:left w:w="93" w:type="dxa"/>
            </w:tcMar>
            <w:vAlign w:val="center"/>
          </w:tcPr>
          <w:p w14:paraId="7CD07319">
            <w:pPr>
              <w:spacing w:line="276" w:lineRule="auto"/>
              <w:ind w:firstLine="945"/>
              <w:jc w:val="center"/>
              <w:rPr>
                <w:rFonts w:hint="eastAsia" w:ascii="宋体" w:hAnsi="宋体" w:cs="仿宋"/>
                <w:color w:val="auto"/>
                <w:sz w:val="18"/>
                <w:szCs w:val="18"/>
              </w:rPr>
            </w:pPr>
          </w:p>
        </w:tc>
      </w:tr>
      <w:tr w14:paraId="6B2C9BB7">
        <w:tblPrEx>
          <w:tblBorders>
            <w:top w:val="single" w:color="00000A" w:sz="12" w:space="0"/>
            <w:left w:val="single" w:color="00000A" w:sz="12" w:space="0"/>
            <w:bottom w:val="single" w:color="00000A" w:sz="6" w:space="0"/>
            <w:right w:val="single" w:color="00000A" w:sz="6" w:space="0"/>
            <w:insideH w:val="single" w:color="00000A" w:sz="6" w:space="0"/>
            <w:insideV w:val="single" w:color="00000A" w:sz="6" w:space="0"/>
          </w:tblBorders>
          <w:tblCellMar>
            <w:top w:w="0" w:type="dxa"/>
            <w:left w:w="93" w:type="dxa"/>
            <w:bottom w:w="0" w:type="dxa"/>
            <w:right w:w="108" w:type="dxa"/>
          </w:tblCellMar>
        </w:tblPrEx>
        <w:trPr>
          <w:trHeight w:val="234" w:hRule="atLeast"/>
        </w:trPr>
        <w:tc>
          <w:tcPr>
            <w:tcW w:w="694" w:type="dxa"/>
            <w:tcBorders>
              <w:top w:val="single" w:color="00000A" w:sz="6" w:space="0"/>
              <w:left w:val="single" w:color="00000A" w:sz="12" w:space="0"/>
              <w:bottom w:val="single" w:color="00000A" w:sz="12" w:space="0"/>
              <w:right w:val="single" w:color="00000A" w:sz="6" w:space="0"/>
            </w:tcBorders>
            <w:tcMar>
              <w:left w:w="93" w:type="dxa"/>
            </w:tcMar>
            <w:vAlign w:val="center"/>
          </w:tcPr>
          <w:p w14:paraId="1269A556">
            <w:pPr>
              <w:spacing w:line="276" w:lineRule="auto"/>
              <w:jc w:val="center"/>
              <w:rPr>
                <w:rFonts w:hint="eastAsia" w:ascii="宋体" w:hAnsi="宋体" w:cs="仿宋"/>
                <w:color w:val="auto"/>
                <w:sz w:val="18"/>
                <w:szCs w:val="18"/>
              </w:rPr>
            </w:pPr>
            <w:r>
              <w:rPr>
                <w:rFonts w:ascii="宋体" w:hAnsi="宋体" w:cs="仿宋"/>
                <w:color w:val="auto"/>
                <w:sz w:val="18"/>
                <w:szCs w:val="18"/>
              </w:rPr>
              <w:t>考核说明</w:t>
            </w:r>
          </w:p>
        </w:tc>
        <w:tc>
          <w:tcPr>
            <w:tcW w:w="7612" w:type="dxa"/>
            <w:gridSpan w:val="6"/>
            <w:tcBorders>
              <w:top w:val="single" w:color="00000A" w:sz="6" w:space="0"/>
              <w:left w:val="single" w:color="00000A" w:sz="6" w:space="0"/>
              <w:bottom w:val="single" w:color="00000A" w:sz="12" w:space="0"/>
              <w:right w:val="single" w:color="00000A" w:sz="12" w:space="0"/>
            </w:tcBorders>
            <w:tcMar>
              <w:left w:w="100" w:type="dxa"/>
            </w:tcMar>
            <w:vAlign w:val="center"/>
          </w:tcPr>
          <w:p w14:paraId="29004452">
            <w:pPr>
              <w:pStyle w:val="19"/>
              <w:tabs>
                <w:tab w:val="left" w:pos="680"/>
                <w:tab w:val="left" w:pos="3720"/>
              </w:tabs>
              <w:spacing w:line="300" w:lineRule="auto"/>
              <w:rPr>
                <w:rFonts w:hint="eastAsia" w:ascii="宋体" w:hAnsi="宋体" w:cs="仿宋"/>
                <w:color w:val="auto"/>
              </w:rPr>
            </w:pPr>
            <w:r>
              <w:rPr>
                <w:rFonts w:ascii="宋体" w:hAnsi="宋体" w:cs="仿宋"/>
                <w:color w:val="auto"/>
              </w:rPr>
              <w:t>季度考核总分≥95分，为“优秀”。</w:t>
            </w:r>
          </w:p>
          <w:p w14:paraId="5A828917">
            <w:pPr>
              <w:pStyle w:val="19"/>
              <w:tabs>
                <w:tab w:val="left" w:pos="680"/>
                <w:tab w:val="left" w:pos="3720"/>
              </w:tabs>
              <w:spacing w:line="300" w:lineRule="auto"/>
              <w:ind w:left="420" w:firstLine="0"/>
              <w:rPr>
                <w:rFonts w:hint="eastAsia" w:ascii="宋体" w:hAnsi="宋体" w:cs="仿宋"/>
                <w:color w:val="auto"/>
              </w:rPr>
            </w:pPr>
            <w:r>
              <w:rPr>
                <w:rFonts w:ascii="宋体" w:hAnsi="宋体" w:cs="仿宋"/>
                <w:color w:val="auto"/>
              </w:rPr>
              <w:t>季度考核总分≥90分，为“达标”。</w:t>
            </w:r>
          </w:p>
          <w:p w14:paraId="71ED677B">
            <w:pPr>
              <w:pStyle w:val="19"/>
              <w:tabs>
                <w:tab w:val="left" w:pos="680"/>
                <w:tab w:val="left" w:pos="3720"/>
              </w:tabs>
              <w:spacing w:line="300" w:lineRule="auto"/>
              <w:ind w:left="420" w:firstLine="0"/>
              <w:rPr>
                <w:rFonts w:hint="eastAsia" w:ascii="宋体" w:hAnsi="宋体" w:cs="仿宋"/>
                <w:color w:val="auto"/>
              </w:rPr>
            </w:pPr>
            <w:r>
              <w:rPr>
                <w:rFonts w:ascii="宋体" w:hAnsi="宋体" w:cs="仿宋"/>
                <w:color w:val="auto"/>
              </w:rPr>
              <w:t>季度考核总分＜90分，为“不达标”。</w:t>
            </w:r>
          </w:p>
          <w:p w14:paraId="34713925">
            <w:pPr>
              <w:pStyle w:val="19"/>
              <w:tabs>
                <w:tab w:val="left" w:pos="680"/>
                <w:tab w:val="left" w:pos="3720"/>
              </w:tabs>
              <w:spacing w:line="300" w:lineRule="auto"/>
              <w:ind w:left="420" w:firstLine="0"/>
              <w:rPr>
                <w:rFonts w:hint="eastAsia" w:ascii="宋体" w:hAnsi="宋体" w:cs="仿宋"/>
                <w:color w:val="auto"/>
              </w:rPr>
            </w:pPr>
            <w:r>
              <w:rPr>
                <w:rFonts w:ascii="宋体" w:hAnsi="宋体" w:cs="仿宋"/>
                <w:color w:val="auto"/>
              </w:rPr>
              <w:t>在合同项下的责任范围内，在考核期内，发生以下任何一种情况，考核为不合格（该季度考核分数和考核次数不计入年度考核）。</w:t>
            </w:r>
          </w:p>
          <w:p w14:paraId="25CEA94E">
            <w:pPr>
              <w:widowControl/>
              <w:tabs>
                <w:tab w:val="left" w:pos="950"/>
              </w:tabs>
              <w:spacing w:line="300" w:lineRule="auto"/>
              <w:jc w:val="left"/>
              <w:rPr>
                <w:rFonts w:hint="eastAsia" w:ascii="宋体" w:hAnsi="宋体" w:cs="仿宋"/>
                <w:color w:val="auto"/>
                <w:sz w:val="18"/>
                <w:szCs w:val="18"/>
              </w:rPr>
            </w:pPr>
            <w:r>
              <w:rPr>
                <w:rFonts w:ascii="宋体" w:hAnsi="宋体" w:cs="仿宋"/>
                <w:color w:val="auto"/>
                <w:sz w:val="18"/>
                <w:szCs w:val="18"/>
              </w:rPr>
              <w:t>发生重大人身伤亡事故；</w:t>
            </w:r>
          </w:p>
          <w:p w14:paraId="61921A6B">
            <w:pPr>
              <w:widowControl/>
              <w:tabs>
                <w:tab w:val="left" w:pos="950"/>
              </w:tabs>
              <w:spacing w:line="300" w:lineRule="auto"/>
              <w:jc w:val="left"/>
              <w:rPr>
                <w:rFonts w:hint="eastAsia" w:ascii="宋体" w:hAnsi="宋体" w:cs="仿宋"/>
                <w:color w:val="auto"/>
                <w:sz w:val="18"/>
                <w:szCs w:val="18"/>
              </w:rPr>
            </w:pPr>
            <w:r>
              <w:rPr>
                <w:rFonts w:ascii="宋体" w:hAnsi="宋体" w:cs="仿宋"/>
                <w:color w:val="auto"/>
                <w:sz w:val="18"/>
                <w:szCs w:val="18"/>
              </w:rPr>
              <w:t>发生重大责任事故（影响基地正常对外开放及重要VIP接待活动）；</w:t>
            </w:r>
          </w:p>
          <w:p w14:paraId="46A7BD24">
            <w:pPr>
              <w:widowControl/>
              <w:tabs>
                <w:tab w:val="left" w:pos="1000"/>
              </w:tabs>
              <w:spacing w:line="300" w:lineRule="auto"/>
              <w:jc w:val="left"/>
              <w:rPr>
                <w:rFonts w:hint="eastAsia" w:ascii="宋体" w:hAnsi="宋体" w:cs="仿宋"/>
                <w:color w:val="auto"/>
                <w:sz w:val="18"/>
                <w:szCs w:val="18"/>
              </w:rPr>
            </w:pPr>
            <w:r>
              <w:rPr>
                <w:rFonts w:ascii="宋体" w:hAnsi="宋体" w:cs="仿宋"/>
                <w:color w:val="auto"/>
                <w:sz w:val="18"/>
                <w:szCs w:val="18"/>
              </w:rPr>
              <w:t>严重影响业主方对外形象及利益的（以不正当行为占有客户、用户和业主的财产、泄露有关保密信息而导致业主形象或利益受损）。</w:t>
            </w:r>
          </w:p>
        </w:tc>
      </w:tr>
    </w:tbl>
    <w:p w14:paraId="1471C643">
      <w:pPr>
        <w:rPr>
          <w:color w:val="auto"/>
        </w:rPr>
      </w:pPr>
    </w:p>
    <w:p w14:paraId="0B2074C3">
      <w:pPr>
        <w:spacing w:line="360" w:lineRule="auto"/>
        <w:rPr>
          <w:rFonts w:hint="eastAsia" w:ascii="宋体" w:hAnsi="Courier New" w:eastAsia="宋体" w:cs="Times New Roman"/>
          <w:b/>
          <w:color w:val="auto"/>
          <w:sz w:val="28"/>
          <w:szCs w:val="28"/>
          <w:lang w:val="en-US" w:eastAsia="zh-CN"/>
        </w:rPr>
      </w:pPr>
      <w:r>
        <w:rPr>
          <w:rFonts w:hint="eastAsia" w:ascii="宋体" w:hAnsi="Courier New" w:eastAsia="宋体" w:cs="Times New Roman"/>
          <w:b/>
          <w:color w:val="auto"/>
          <w:sz w:val="28"/>
          <w:szCs w:val="28"/>
          <w:lang w:val="en-US" w:eastAsia="zh-CN"/>
        </w:rPr>
        <w:t>五、其它要求：</w:t>
      </w:r>
    </w:p>
    <w:p w14:paraId="303F3DCD">
      <w:pPr>
        <w:numPr>
          <w:ilvl w:val="0"/>
          <w:numId w:val="0"/>
        </w:numPr>
        <w:adjustRightInd w:val="0"/>
        <w:snapToGrid w:val="0"/>
        <w:spacing w:line="480" w:lineRule="auto"/>
        <w:ind w:firstLine="420" w:firstLine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r>
        <w:rPr>
          <w:rFonts w:hint="eastAsia" w:ascii="宋体" w:hAnsi="宋体" w:eastAsia="宋体" w:cs="宋体"/>
          <w:snapToGrid w:val="0"/>
          <w:szCs w:val="21"/>
          <w:lang w:val="zh-CN" w:eastAsia="zh-CN"/>
        </w:rPr>
        <w:t>付款方式：考核合格后，按季度支付费用。</w:t>
      </w:r>
    </w:p>
    <w:p w14:paraId="22360D49">
      <w:pPr>
        <w:numPr>
          <w:numId w:val="0"/>
        </w:numPr>
        <w:adjustRightInd w:val="0"/>
        <w:snapToGrid w:val="0"/>
        <w:spacing w:line="48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snapToGrid w:val="0"/>
          <w:szCs w:val="21"/>
          <w:lang w:val="en-US" w:eastAsia="zh-CN"/>
        </w:rPr>
        <w:t>2.投标人需提供本项目</w:t>
      </w:r>
      <w:r>
        <w:rPr>
          <w:rFonts w:hint="eastAsia" w:ascii="Calibri" w:hAnsi="Calibri"/>
          <w:color w:val="auto"/>
          <w:szCs w:val="21"/>
          <w:lang w:val="en-US" w:eastAsia="zh-CN"/>
        </w:rPr>
        <w:t>各分项物业服务</w:t>
      </w:r>
      <w:r>
        <w:rPr>
          <w:rFonts w:hint="eastAsia"/>
          <w:color w:val="auto"/>
          <w:szCs w:val="21"/>
          <w:lang w:val="en-US" w:eastAsia="zh-CN"/>
        </w:rPr>
        <w:t>具体</w:t>
      </w:r>
      <w:r>
        <w:rPr>
          <w:rFonts w:hint="eastAsia" w:ascii="宋体" w:hAnsi="宋体" w:eastAsia="宋体" w:cs="宋体"/>
          <w:color w:val="auto"/>
          <w:sz w:val="21"/>
          <w:szCs w:val="21"/>
          <w:lang w:eastAsia="zh-CN"/>
        </w:rPr>
        <w:t>方案。</w:t>
      </w:r>
    </w:p>
    <w:p w14:paraId="52F7265C">
      <w:pPr>
        <w:numPr>
          <w:numId w:val="0"/>
        </w:numPr>
        <w:adjustRightInd w:val="0"/>
        <w:snapToGrid w:val="0"/>
        <w:spacing w:line="480" w:lineRule="auto"/>
        <w:ind w:left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3.投标人需提供针对本项目的管理组织架构及管理制度。</w:t>
      </w:r>
    </w:p>
    <w:p w14:paraId="282BA1BA">
      <w:pPr>
        <w:numPr>
          <w:numId w:val="0"/>
        </w:numPr>
        <w:adjustRightInd w:val="0"/>
        <w:snapToGrid w:val="0"/>
        <w:spacing w:line="480" w:lineRule="auto"/>
        <w:ind w:leftChars="200"/>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4.投标人需提供</w:t>
      </w:r>
      <w:bookmarkStart w:id="5" w:name="OLE_LINK53"/>
      <w:bookmarkStart w:id="6" w:name="OLE_LINK52"/>
      <w:r>
        <w:rPr>
          <w:rFonts w:hint="eastAsia" w:ascii="宋体" w:hAnsi="宋体" w:eastAsia="宋体" w:cs="宋体"/>
          <w:snapToGrid w:val="0"/>
          <w:szCs w:val="21"/>
          <w:lang w:val="en-US" w:eastAsia="zh-CN"/>
        </w:rPr>
        <w:t>防台</w:t>
      </w:r>
      <w:bookmarkEnd w:id="5"/>
      <w:bookmarkEnd w:id="6"/>
      <w:r>
        <w:rPr>
          <w:rFonts w:hint="eastAsia" w:ascii="宋体" w:hAnsi="宋体" w:eastAsia="宋体" w:cs="宋体"/>
          <w:snapToGrid w:val="0"/>
          <w:szCs w:val="21"/>
          <w:lang w:val="en-US" w:eastAsia="zh-CN"/>
        </w:rPr>
        <w:t>、防汛、防火、防震、流行病防控、突发事件处置等</w:t>
      </w:r>
      <w:bookmarkStart w:id="7" w:name="OLE_LINK134"/>
      <w:bookmarkStart w:id="8" w:name="OLE_LINK133"/>
      <w:r>
        <w:rPr>
          <w:rFonts w:hint="eastAsia" w:ascii="宋体" w:hAnsi="宋体" w:eastAsia="宋体" w:cs="宋体"/>
          <w:snapToGrid w:val="0"/>
          <w:szCs w:val="21"/>
          <w:lang w:val="en-US" w:eastAsia="zh-CN"/>
        </w:rPr>
        <w:t>应急预案</w:t>
      </w:r>
      <w:bookmarkEnd w:id="7"/>
      <w:bookmarkEnd w:id="8"/>
      <w:r>
        <w:rPr>
          <w:rFonts w:hint="eastAsia" w:ascii="宋体" w:hAnsi="宋体" w:eastAsia="宋体" w:cs="宋体"/>
          <w:snapToGrid w:val="0"/>
          <w:szCs w:val="21"/>
          <w:lang w:val="en-US" w:eastAsia="zh-CN"/>
        </w:rPr>
        <w:t>。</w:t>
      </w:r>
    </w:p>
    <w:p w14:paraId="35190992">
      <w:pPr>
        <w:numPr>
          <w:numId w:val="0"/>
        </w:numPr>
        <w:adjustRightInd w:val="0"/>
        <w:snapToGrid w:val="0"/>
        <w:spacing w:line="480" w:lineRule="auto"/>
        <w:ind w:firstLine="420" w:firstLineChars="200"/>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5.投标人需提供针对本项目垃圾分类管理和回收等方案和针对本项目节能降耗工作计划举措和对员工职业健康的管理思路、举措。</w:t>
      </w:r>
    </w:p>
    <w:p w14:paraId="3ACFFA6A">
      <w:pPr>
        <w:adjustRightInd w:val="0"/>
        <w:snapToGrid w:val="0"/>
        <w:spacing w:line="480" w:lineRule="auto"/>
        <w:ind w:firstLine="420" w:firstLine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6.投标人需承诺若中标为项目所有团队服务人员投保足够份额的雇主责任险、公众责任险等。</w:t>
      </w:r>
    </w:p>
    <w:p w14:paraId="3B78E438">
      <w:pPr>
        <w:adjustRightInd w:val="0"/>
        <w:snapToGrid w:val="0"/>
        <w:spacing w:line="480" w:lineRule="auto"/>
        <w:ind w:firstLine="420" w:firstLine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7.投标人需提供本项目的负责人证明</w:t>
      </w:r>
      <w:r>
        <w:rPr>
          <w:rFonts w:hint="eastAsia" w:ascii="宋体" w:hAnsi="宋体" w:eastAsia="宋体" w:cs="宋体"/>
          <w:color w:val="auto"/>
          <w:kern w:val="0"/>
          <w:sz w:val="21"/>
          <w:szCs w:val="21"/>
          <w:lang w:eastAsia="zh-CN"/>
        </w:rPr>
        <w:t>材料及</w:t>
      </w:r>
      <w:r>
        <w:rPr>
          <w:rFonts w:hint="eastAsia" w:ascii="宋体" w:hAnsi="宋体" w:eastAsia="宋体" w:cs="宋体"/>
          <w:color w:val="auto"/>
          <w:kern w:val="0"/>
          <w:sz w:val="21"/>
          <w:szCs w:val="21"/>
        </w:rPr>
        <w:t>投标单位为其缴纳近三个月中任意一个月社保证明</w:t>
      </w:r>
      <w:r>
        <w:rPr>
          <w:rFonts w:hint="eastAsia" w:ascii="宋体" w:hAnsi="宋体" w:eastAsia="宋体" w:cs="宋体"/>
          <w:color w:val="auto"/>
          <w:kern w:val="0"/>
          <w:sz w:val="21"/>
          <w:szCs w:val="21"/>
          <w:lang w:eastAsia="zh-CN"/>
        </w:rPr>
        <w:t>。同时提供本项目其它工作人员的证明材料。</w:t>
      </w:r>
    </w:p>
    <w:p w14:paraId="1FDB4E6D">
      <w:pPr>
        <w:adjustRightInd w:val="0"/>
        <w:snapToGrid w:val="0"/>
        <w:spacing w:line="480" w:lineRule="auto"/>
        <w:ind w:firstLine="420" w:firstLine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8.投标人需提供</w:t>
      </w:r>
      <w:r>
        <w:rPr>
          <w:rFonts w:ascii="Times New Roman" w:cs="Times New Roman" w:hAnsiTheme="minorEastAsia"/>
          <w:szCs w:val="21"/>
        </w:rPr>
        <w:t>《自行招用保安员单位备案证明》或承诺自开始服务之日起</w:t>
      </w:r>
      <w:r>
        <w:rPr>
          <w:rFonts w:ascii="Times New Roman" w:hAnsi="Times New Roman" w:cs="Times New Roman"/>
          <w:szCs w:val="21"/>
        </w:rPr>
        <w:t>30</w:t>
      </w:r>
      <w:r>
        <w:rPr>
          <w:rFonts w:ascii="Times New Roman" w:cs="Times New Roman" w:hAnsiTheme="minorEastAsia"/>
          <w:szCs w:val="21"/>
        </w:rPr>
        <w:t>日内向所在地设区的市级人民政府公安机关备案；</w:t>
      </w:r>
    </w:p>
    <w:p w14:paraId="41319E48">
      <w:pPr>
        <w:adjustRightInd w:val="0"/>
        <w:snapToGrid w:val="0"/>
        <w:spacing w:line="480" w:lineRule="auto"/>
        <w:ind w:firstLine="420" w:firstLineChars="200"/>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9.投标人需提供近三年内类似业绩和业主对物业管理的满意度考评。</w:t>
      </w:r>
      <w:bookmarkStart w:id="9" w:name="_GoBack"/>
      <w:bookmarkEnd w:id="9"/>
    </w:p>
    <w:sectPr>
      <w:headerReference r:id="rId3" w:type="default"/>
      <w:footerReference r:id="rId4" w:type="default"/>
      <w:pgSz w:w="11906" w:h="16838"/>
      <w:pgMar w:top="1440" w:right="1700" w:bottom="1440" w:left="226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38E7">
    <w:pPr>
      <w:pStyle w:val="5"/>
      <w:jc w:val="center"/>
    </w:pPr>
    <w:r>
      <w:fldChar w:fldCharType="begin"/>
    </w:r>
    <w:r>
      <w:instrText xml:space="preserve">PAGE</w:instrText>
    </w:r>
    <w:r>
      <w:fldChar w:fldCharType="separate"/>
    </w:r>
    <w:r>
      <w:t>13</w:t>
    </w:r>
    <w:r>
      <w:fldChar w:fldCharType="end"/>
    </w:r>
  </w:p>
  <w:p w14:paraId="04CFE9D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D359">
    <w:pPr>
      <w:pStyle w:val="6"/>
      <w:rPr>
        <w:sz w:val="24"/>
        <w:szCs w:val="24"/>
      </w:rPr>
    </w:pPr>
  </w:p>
  <w:p w14:paraId="042CD7C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B55B70"/>
    <w:multiLevelType w:val="multilevel"/>
    <w:tmpl w:val="12B55B70"/>
    <w:lvl w:ilvl="0" w:tentative="0">
      <w:start w:val="1"/>
      <w:numFmt w:val="decimal"/>
      <w:lvlText w:val="%1."/>
      <w:lvlJc w:val="left"/>
      <w:pPr>
        <w:ind w:left="420" w:hanging="420"/>
      </w:pPr>
      <w:rPr>
        <w:rFonts w:ascii="宋体" w:hAnsi="宋体"/>
        <w:b/>
        <w:i w:val="0"/>
      </w:rPr>
    </w:lvl>
    <w:lvl w:ilvl="1" w:tentative="0">
      <w:start w:val="2"/>
      <w:numFmt w:val="decimal"/>
      <w:lvlText w:val="%1.%2"/>
      <w:lvlJc w:val="left"/>
      <w:pPr>
        <w:ind w:left="615" w:hanging="615"/>
      </w:pPr>
    </w:lvl>
    <w:lvl w:ilvl="2" w:tentative="0">
      <w:start w:val="2"/>
      <w:numFmt w:val="decimal"/>
      <w:lvlText w:val="%1.%2.%3"/>
      <w:lvlJc w:val="left"/>
      <w:pPr>
        <w:ind w:left="720" w:hanging="720"/>
      </w:pPr>
    </w:lvl>
    <w:lvl w:ilvl="3" w:tentative="0">
      <w:start w:val="1"/>
      <w:numFmt w:val="decimal"/>
      <w:lvlText w:val="%1.%2.%3.%4"/>
      <w:lvlJc w:val="left"/>
      <w:pPr>
        <w:ind w:left="1080" w:hanging="1080"/>
      </w:pPr>
    </w:lvl>
    <w:lvl w:ilvl="4" w:tentative="0">
      <w:start w:val="1"/>
      <w:numFmt w:val="decimal"/>
      <w:lvlText w:val="%1.%2.%3.%4.%5"/>
      <w:lvlJc w:val="left"/>
      <w:pPr>
        <w:ind w:left="1080" w:hanging="1080"/>
      </w:pPr>
    </w:lvl>
    <w:lvl w:ilvl="5" w:tentative="0">
      <w:start w:val="1"/>
      <w:numFmt w:val="decimal"/>
      <w:lvlText w:val="%1.%2.%3.%4.%5.%6"/>
      <w:lvlJc w:val="left"/>
      <w:pPr>
        <w:ind w:left="1440" w:hanging="1440"/>
      </w:pPr>
    </w:lvl>
    <w:lvl w:ilvl="6" w:tentative="0">
      <w:start w:val="1"/>
      <w:numFmt w:val="decimal"/>
      <w:lvlText w:val="%1.%2.%3.%4.%5.%6.%7"/>
      <w:lvlJc w:val="left"/>
      <w:pPr>
        <w:ind w:left="1440" w:hanging="1440"/>
      </w:pPr>
    </w:lvl>
    <w:lvl w:ilvl="7" w:tentative="0">
      <w:start w:val="1"/>
      <w:numFmt w:val="decimal"/>
      <w:lvlText w:val="%1.%2.%3.%4.%5.%6.%7.%8"/>
      <w:lvlJc w:val="left"/>
      <w:pPr>
        <w:ind w:left="1800" w:hanging="1800"/>
      </w:pPr>
    </w:lvl>
    <w:lvl w:ilvl="8" w:tentative="0">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B7"/>
    <w:rsid w:val="000A4F6F"/>
    <w:rsid w:val="000F3E4D"/>
    <w:rsid w:val="001F6012"/>
    <w:rsid w:val="00242EE5"/>
    <w:rsid w:val="00262D7A"/>
    <w:rsid w:val="003F1798"/>
    <w:rsid w:val="00467810"/>
    <w:rsid w:val="004B220F"/>
    <w:rsid w:val="004F4AA7"/>
    <w:rsid w:val="00505A83"/>
    <w:rsid w:val="00536413"/>
    <w:rsid w:val="00564A48"/>
    <w:rsid w:val="00565E38"/>
    <w:rsid w:val="005A770D"/>
    <w:rsid w:val="005B46B2"/>
    <w:rsid w:val="005E6CA0"/>
    <w:rsid w:val="006A7563"/>
    <w:rsid w:val="006B2620"/>
    <w:rsid w:val="006F7005"/>
    <w:rsid w:val="006F7B7C"/>
    <w:rsid w:val="00731DA8"/>
    <w:rsid w:val="00756579"/>
    <w:rsid w:val="00767274"/>
    <w:rsid w:val="008023BE"/>
    <w:rsid w:val="00806DA6"/>
    <w:rsid w:val="008B23D0"/>
    <w:rsid w:val="008B6082"/>
    <w:rsid w:val="009118A2"/>
    <w:rsid w:val="00953760"/>
    <w:rsid w:val="00953F3A"/>
    <w:rsid w:val="00AA6E3B"/>
    <w:rsid w:val="00AC696E"/>
    <w:rsid w:val="00B02842"/>
    <w:rsid w:val="00B9605E"/>
    <w:rsid w:val="00C8589B"/>
    <w:rsid w:val="00CC4F76"/>
    <w:rsid w:val="00D17BE8"/>
    <w:rsid w:val="00D238B7"/>
    <w:rsid w:val="00E33445"/>
    <w:rsid w:val="00E45DC1"/>
    <w:rsid w:val="00E949E2"/>
    <w:rsid w:val="00E95CBC"/>
    <w:rsid w:val="00EB7D35"/>
    <w:rsid w:val="00F805E5"/>
    <w:rsid w:val="00FD1479"/>
    <w:rsid w:val="071A7CF1"/>
    <w:rsid w:val="27790E9E"/>
    <w:rsid w:val="4A317674"/>
    <w:rsid w:val="6F425E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8"/>
    <w:qFormat/>
    <w:uiPriority w:val="0"/>
    <w:pPr>
      <w:widowControl/>
      <w:ind w:firstLine="570"/>
      <w:jc w:val="left"/>
    </w:pPr>
    <w:rPr>
      <w:rFonts w:ascii="宋体" w:hAnsi="宋体" w:eastAsiaTheme="minorEastAsia" w:cstheme="minorBidi"/>
      <w:sz w:val="28"/>
    </w:rPr>
  </w:style>
  <w:style w:type="paragraph" w:styleId="3">
    <w:name w:val="Plain Text"/>
    <w:basedOn w:val="1"/>
    <w:link w:val="14"/>
    <w:qFormat/>
    <w:uiPriority w:val="0"/>
    <w:rPr>
      <w:rFonts w:ascii="宋体" w:hAnsi="Courier New"/>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rFonts w:ascii="Times New Roman" w:hAnsi="Times New Roman"/>
      <w:szCs w:val="24"/>
    </w:rPr>
  </w:style>
  <w:style w:type="table" w:styleId="9">
    <w:name w:val="Table Grid"/>
    <w:basedOn w:val="8"/>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
    <w:name w:val="List Paragraph"/>
    <w:basedOn w:val="1"/>
    <w:qFormat/>
    <w:uiPriority w:val="34"/>
    <w:pPr>
      <w:ind w:firstLine="420" w:firstLineChars="200"/>
    </w:pPr>
  </w:style>
  <w:style w:type="character" w:customStyle="1" w:styleId="12">
    <w:name w:val="页眉 字符"/>
    <w:basedOn w:val="10"/>
    <w:link w:val="6"/>
    <w:qFormat/>
    <w:uiPriority w:val="99"/>
    <w:rPr>
      <w:rFonts w:ascii="Calibri" w:hAnsi="Calibri" w:eastAsia="宋体" w:cs="Times New Roman"/>
      <w:sz w:val="18"/>
      <w:szCs w:val="18"/>
    </w:rPr>
  </w:style>
  <w:style w:type="character" w:customStyle="1" w:styleId="13">
    <w:name w:val="页脚 字符"/>
    <w:basedOn w:val="10"/>
    <w:link w:val="5"/>
    <w:qFormat/>
    <w:uiPriority w:val="99"/>
    <w:rPr>
      <w:rFonts w:ascii="Calibri" w:hAnsi="Calibri" w:eastAsia="宋体" w:cs="Times New Roman"/>
      <w:sz w:val="18"/>
      <w:szCs w:val="18"/>
    </w:rPr>
  </w:style>
  <w:style w:type="character" w:customStyle="1" w:styleId="14">
    <w:name w:val="纯文本 字符"/>
    <w:basedOn w:val="10"/>
    <w:link w:val="3"/>
    <w:qFormat/>
    <w:uiPriority w:val="0"/>
    <w:rPr>
      <w:rFonts w:ascii="宋体" w:hAnsi="Courier New" w:eastAsia="宋体" w:cs="Times New Roman"/>
      <w:szCs w:val="20"/>
    </w:rPr>
  </w:style>
  <w:style w:type="character" w:customStyle="1" w:styleId="15">
    <w:name w:val="批注框文本 字符"/>
    <w:basedOn w:val="10"/>
    <w:link w:val="4"/>
    <w:semiHidden/>
    <w:qFormat/>
    <w:uiPriority w:val="99"/>
    <w:rPr>
      <w:rFonts w:ascii="Calibri" w:hAnsi="Calibri" w:eastAsia="宋体" w:cs="Times New Roman"/>
      <w:sz w:val="18"/>
      <w:szCs w:val="18"/>
    </w:rPr>
  </w:style>
  <w:style w:type="paragraph" w:customStyle="1" w:styleId="16">
    <w:name w:val="列出段落2"/>
    <w:basedOn w:val="1"/>
    <w:link w:val="17"/>
    <w:qFormat/>
    <w:uiPriority w:val="34"/>
    <w:pPr>
      <w:ind w:firstLine="420" w:firstLineChars="200"/>
    </w:pPr>
    <w:rPr>
      <w:rFonts w:ascii="Times New Roman" w:hAnsi="Times New Roman"/>
      <w:szCs w:val="24"/>
    </w:rPr>
  </w:style>
  <w:style w:type="character" w:customStyle="1" w:styleId="17">
    <w:name w:val="列出段落 Char"/>
    <w:link w:val="16"/>
    <w:qFormat/>
    <w:uiPriority w:val="34"/>
    <w:rPr>
      <w:rFonts w:ascii="Times New Roman" w:hAnsi="Times New Roman" w:eastAsia="宋体" w:cs="Times New Roman"/>
      <w:szCs w:val="24"/>
    </w:rPr>
  </w:style>
  <w:style w:type="character" w:customStyle="1" w:styleId="18">
    <w:name w:val="正文缩进 字符"/>
    <w:basedOn w:val="10"/>
    <w:link w:val="2"/>
    <w:qFormat/>
    <w:uiPriority w:val="0"/>
    <w:rPr>
      <w:rFonts w:ascii="宋体" w:hAnsi="宋体"/>
      <w:sz w:val="28"/>
    </w:rPr>
  </w:style>
  <w:style w:type="paragraph" w:customStyle="1" w:styleId="19">
    <w:name w:val="列出段落1"/>
    <w:basedOn w:val="1"/>
    <w:qFormat/>
    <w:uiPriority w:val="99"/>
    <w:pPr>
      <w:widowControl/>
      <w:ind w:firstLine="42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3B699-1C61-4E2C-8EF6-DAD4CE765F3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13</Pages>
  <Words>7036</Words>
  <Characters>7180</Characters>
  <Lines>60</Lines>
  <Paragraphs>16</Paragraphs>
  <TotalTime>1</TotalTime>
  <ScaleCrop>false</ScaleCrop>
  <LinksUpToDate>false</LinksUpToDate>
  <CharactersWithSpaces>7227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2025-12-11T07:50:00Z</dcterms:created>
  <dc:creator>lenovo</dc:creator>
  <cp:lastModifiedBy>待到尘埃落定时</cp:lastModifiedBy>
  <cp:lastPrinted>2023-11-03T04:40:00Z</cp:lastPrinted>
  <dcterms:modified xsi:type="dcterms:W3CDTF">2026-01-05T06:17:00Z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87937D0927654CB697D598C8D47083F7_13</vt:lpwstr>
  </property>
  <property fmtid="{D5CDD505-2E9C-101B-9397-08002B2CF9AE}" pid="4" name="KSOTemplateDocerSaveRecord">
    <vt:lpwstr>eyJoZGlkIjoiNDNjYTQ2YWNiNzgyOWI1ZWExNjQ2NWQ3Y2I3ZWNlOGMiLCJ1c2VySWQiOiI1NDYxNjc0MDMifQ==</vt:lpwstr>
  </property>
</Properties>
</file>