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FD315">
      <w:pPr>
        <w:spacing w:line="300" w:lineRule="auto"/>
        <w:jc w:val="center"/>
        <w:rPr>
          <w:rFonts w:hint="eastAsia" w:ascii="宋体" w:hAnsi="宋体" w:eastAsia="宋体" w:cs="宋体"/>
          <w:b/>
          <w:color w:val="auto"/>
          <w:sz w:val="40"/>
          <w:szCs w:val="52"/>
        </w:rPr>
      </w:pPr>
      <w:r>
        <w:rPr>
          <w:rFonts w:hint="eastAsia" w:ascii="宋体" w:hAnsi="宋体" w:eastAsia="宋体" w:cs="宋体"/>
          <w:b/>
          <w:color w:val="auto"/>
          <w:sz w:val="40"/>
          <w:szCs w:val="52"/>
        </w:rPr>
        <w:t>2025年上海市静安区市场监管局公示信息经费第三方抽查审计服务项目</w:t>
      </w:r>
    </w:p>
    <w:p w14:paraId="55E185B9">
      <w:pPr>
        <w:pStyle w:val="3"/>
        <w:spacing w:line="300" w:lineRule="auto"/>
        <w:ind w:firstLine="0"/>
        <w:outlineLvl w:val="0"/>
        <w:rPr>
          <w:rFonts w:hint="eastAsia" w:hAnsi="宋体" w:cs="宋体"/>
          <w:b/>
          <w:color w:val="auto"/>
          <w:sz w:val="24"/>
          <w:szCs w:val="24"/>
        </w:rPr>
      </w:pPr>
      <w:r>
        <w:rPr>
          <w:rFonts w:hint="eastAsia" w:hAnsi="宋体" w:cs="宋体"/>
          <w:b/>
          <w:color w:val="auto"/>
          <w:sz w:val="24"/>
          <w:szCs w:val="24"/>
        </w:rPr>
        <w:t>上海市静安区政府采购中心，请贵单位按下列相关要求进行采购：</w:t>
      </w:r>
    </w:p>
    <w:p w14:paraId="47D3F3C8">
      <w:pPr>
        <w:pStyle w:val="3"/>
        <w:spacing w:line="300" w:lineRule="auto"/>
        <w:ind w:firstLine="0"/>
        <w:outlineLvl w:val="0"/>
        <w:rPr>
          <w:rFonts w:hint="eastAsia" w:hAnsi="宋体" w:cs="宋体"/>
          <w:b/>
          <w:color w:val="auto"/>
          <w:sz w:val="24"/>
          <w:szCs w:val="24"/>
        </w:rPr>
      </w:pPr>
    </w:p>
    <w:p w14:paraId="293C16E0">
      <w:pPr>
        <w:pStyle w:val="3"/>
        <w:spacing w:line="420" w:lineRule="exact"/>
        <w:ind w:firstLine="0"/>
        <w:outlineLvl w:val="0"/>
        <w:rPr>
          <w:rFonts w:hint="eastAsia" w:hAnsi="宋体" w:cs="宋体"/>
          <w:b/>
          <w:color w:val="auto"/>
          <w:sz w:val="24"/>
          <w:szCs w:val="24"/>
        </w:rPr>
      </w:pPr>
      <w:r>
        <w:rPr>
          <w:rFonts w:hint="eastAsia" w:hAnsi="宋体" w:cs="宋体"/>
          <w:b/>
          <w:color w:val="auto"/>
          <w:sz w:val="24"/>
          <w:szCs w:val="24"/>
        </w:rPr>
        <w:t>一、</w:t>
      </w:r>
      <w:r>
        <w:rPr>
          <w:rFonts w:hint="eastAsia" w:hAnsi="宋体" w:cs="宋体"/>
          <w:b/>
          <w:color w:val="auto"/>
          <w:sz w:val="24"/>
          <w:szCs w:val="24"/>
        </w:rPr>
        <w:t>投标人（供应商）资格要求</w:t>
      </w:r>
    </w:p>
    <w:p w14:paraId="01465357">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1.具备《中华人民共和国政府采购法》第二十二条规定的条件，具有相应的经营范围；</w:t>
      </w:r>
    </w:p>
    <w:p w14:paraId="01F7DA6B">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2.根据《上海政府采购供应商登记及诚信管理办法》已登记入库的供应商；</w:t>
      </w:r>
    </w:p>
    <w:p w14:paraId="1C82FBFD">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3.具有良好的商业信誉和健全的财务会计制度、依法缴纳税收和社会保障资金的良好记录；</w:t>
      </w:r>
    </w:p>
    <w:p w14:paraId="6809D1F7">
      <w:pPr>
        <w:pStyle w:val="3"/>
        <w:spacing w:line="420" w:lineRule="exact"/>
        <w:outlineLvl w:val="0"/>
        <w:rPr>
          <w:rFonts w:hint="eastAsia" w:hAnsi="宋体" w:cs="宋体"/>
          <w:snapToGrid/>
          <w:color w:val="auto"/>
          <w:kern w:val="2"/>
          <w:sz w:val="24"/>
          <w:szCs w:val="24"/>
        </w:rPr>
      </w:pPr>
      <w:r>
        <w:rPr>
          <w:rFonts w:hint="eastAsia" w:hAnsi="宋体" w:cs="宋体"/>
          <w:color w:val="auto"/>
          <w:kern w:val="2"/>
          <w:sz w:val="24"/>
          <w:szCs w:val="24"/>
        </w:rPr>
        <w:t>4</w:t>
      </w:r>
      <w:r>
        <w:rPr>
          <w:rFonts w:hint="eastAsia" w:hAnsi="宋体" w:cs="宋体"/>
          <w:snapToGrid/>
          <w:color w:val="auto"/>
          <w:kern w:val="2"/>
          <w:sz w:val="24"/>
          <w:szCs w:val="24"/>
        </w:rPr>
        <w:t>.具有财政部门颁发的《会计师事务所执业证书》，若分所参与投标必须提供总所的唯一授权委托书，总所和分所不能同时参与本项目投标（2021年7月1日后在自由贸易试验区所在县、不设区的市、市辖区实行审批改备案改革的会计师事务所分支机构，提供已完成向财政部门备案手续的证明材料）。</w:t>
      </w:r>
    </w:p>
    <w:p w14:paraId="5BC8D2FF">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5.未被信用中国网站（www.creditchina.gov.cn）列入失信被执行人、重大税收违法案件当事人名单，未被中国政府采购网（www.ccgp.gov.cn）列入政府采购严重违法失信行为记录名单；未被国家企业信用信息公示系统（www.gsxt.gov.cn）列入经营异常名录或者严重违法失信名单，前三年无重大违法记录。</w:t>
      </w:r>
    </w:p>
    <w:p w14:paraId="42537620">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6.本次招标不接受联合投标，投标人入围后不得转包经营；</w:t>
      </w:r>
    </w:p>
    <w:p w14:paraId="16E77C46">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7.本项目面向中小微企业采购。</w:t>
      </w:r>
    </w:p>
    <w:p w14:paraId="49974A51">
      <w:pPr>
        <w:pStyle w:val="3"/>
        <w:spacing w:line="420" w:lineRule="exact"/>
        <w:outlineLvl w:val="0"/>
        <w:rPr>
          <w:rFonts w:hint="eastAsia" w:hAnsi="宋体" w:cs="宋体"/>
          <w:color w:val="auto"/>
          <w:kern w:val="2"/>
          <w:sz w:val="24"/>
          <w:szCs w:val="24"/>
        </w:rPr>
      </w:pPr>
    </w:p>
    <w:p w14:paraId="4C0AEACE">
      <w:pPr>
        <w:pStyle w:val="3"/>
        <w:spacing w:line="420" w:lineRule="exact"/>
        <w:ind w:firstLine="0"/>
        <w:outlineLvl w:val="0"/>
        <w:rPr>
          <w:rFonts w:hint="eastAsia" w:hAnsi="宋体" w:cs="宋体"/>
          <w:color w:val="auto"/>
          <w:kern w:val="2"/>
          <w:sz w:val="24"/>
          <w:szCs w:val="24"/>
        </w:rPr>
      </w:pPr>
      <w:r>
        <w:rPr>
          <w:rFonts w:hint="eastAsia" w:hAnsi="宋体" w:cs="宋体"/>
          <w:b/>
          <w:color w:val="auto"/>
          <w:sz w:val="24"/>
          <w:szCs w:val="24"/>
        </w:rPr>
        <w:t>二、</w:t>
      </w:r>
      <w:r>
        <w:rPr>
          <w:rFonts w:hint="eastAsia" w:hAnsi="宋体" w:cs="宋体"/>
          <w:b/>
          <w:color w:val="auto"/>
          <w:sz w:val="24"/>
          <w:szCs w:val="24"/>
        </w:rPr>
        <w:t>投标人（供应商）其它要求</w:t>
      </w:r>
    </w:p>
    <w:p w14:paraId="59DEB175">
      <w:pPr>
        <w:pStyle w:val="3"/>
        <w:spacing w:line="420" w:lineRule="exact"/>
        <w:outlineLvl w:val="0"/>
        <w:rPr>
          <w:rFonts w:hint="eastAsia" w:hAnsi="宋体" w:cs="宋体"/>
          <w:snapToGrid/>
          <w:color w:val="auto"/>
          <w:kern w:val="2"/>
          <w:sz w:val="24"/>
          <w:szCs w:val="24"/>
        </w:rPr>
      </w:pPr>
      <w:r>
        <w:rPr>
          <w:rFonts w:hint="eastAsia" w:hAnsi="宋体" w:cs="宋体"/>
          <w:color w:val="auto"/>
          <w:kern w:val="2"/>
          <w:sz w:val="24"/>
          <w:szCs w:val="24"/>
        </w:rPr>
        <w:t>1.具备财政部门颁发的《会计师事务所执业证书》及上海市会计师事务所分类管理类别证书</w:t>
      </w:r>
      <w:r>
        <w:rPr>
          <w:rFonts w:hint="eastAsia" w:hAnsi="宋体" w:cs="宋体"/>
          <w:snapToGrid/>
          <w:color w:val="auto"/>
          <w:kern w:val="2"/>
          <w:sz w:val="24"/>
          <w:szCs w:val="24"/>
        </w:rPr>
        <w:t>，A级资质或其它省市同级别优先考量；若分所参与投标必须提供总所的委托书，总所和分所不能同时参与本项目投标；</w:t>
      </w:r>
    </w:p>
    <w:p w14:paraId="4F4AC06D">
      <w:pPr>
        <w:pStyle w:val="3"/>
        <w:spacing w:line="420" w:lineRule="exact"/>
        <w:outlineLvl w:val="0"/>
        <w:rPr>
          <w:rFonts w:hint="eastAsia" w:hAnsi="宋体" w:cs="宋体"/>
          <w:color w:val="auto"/>
          <w:kern w:val="2"/>
          <w:sz w:val="24"/>
          <w:szCs w:val="24"/>
        </w:rPr>
      </w:pPr>
      <w:r>
        <w:rPr>
          <w:rFonts w:hint="eastAsia" w:hAnsi="宋体" w:cs="宋体"/>
          <w:color w:val="auto"/>
          <w:kern w:val="2"/>
          <w:sz w:val="24"/>
          <w:szCs w:val="24"/>
        </w:rPr>
        <w:t>2.项目负责人具有较好文化水平、</w:t>
      </w:r>
      <w:r>
        <w:rPr>
          <w:rFonts w:hAnsi="宋体" w:cs="宋体"/>
          <w:color w:val="auto"/>
          <w:kern w:val="2"/>
          <w:sz w:val="24"/>
          <w:szCs w:val="24"/>
        </w:rPr>
        <w:t>资质</w:t>
      </w:r>
      <w:r>
        <w:rPr>
          <w:rFonts w:hint="eastAsia" w:hAnsi="宋体" w:cs="宋体"/>
          <w:color w:val="auto"/>
          <w:kern w:val="2"/>
          <w:sz w:val="24"/>
          <w:szCs w:val="24"/>
        </w:rPr>
        <w:t>条件、管理能力和相关从业经验优先。项目组人员应合理配备，项目组人员有相应专业背景、专业职称和工作经验优先；人员需符相关证明材料和近一季度的社保证明；</w:t>
      </w:r>
    </w:p>
    <w:p w14:paraId="01C4F729">
      <w:pPr>
        <w:pStyle w:val="3"/>
        <w:spacing w:line="420" w:lineRule="exact"/>
        <w:ind w:firstLine="480" w:firstLineChars="200"/>
        <w:outlineLvl w:val="0"/>
        <w:rPr>
          <w:rFonts w:hint="eastAsia" w:hAnsi="宋体" w:cs="宋体"/>
          <w:color w:val="auto"/>
          <w:kern w:val="2"/>
          <w:sz w:val="24"/>
          <w:szCs w:val="24"/>
        </w:rPr>
      </w:pPr>
      <w:r>
        <w:rPr>
          <w:rFonts w:hint="eastAsia" w:hAnsi="宋体" w:cs="宋体"/>
          <w:color w:val="auto"/>
          <w:kern w:val="2"/>
          <w:sz w:val="24"/>
          <w:szCs w:val="24"/>
        </w:rPr>
        <w:t>3.投标人在近三年以来完成过类似项目业绩及业主方评价、能提供会计服务培训支持优先；</w:t>
      </w:r>
    </w:p>
    <w:p w14:paraId="7C4A8009">
      <w:pPr>
        <w:pStyle w:val="3"/>
        <w:spacing w:line="420" w:lineRule="exact"/>
        <w:ind w:firstLine="480" w:firstLineChars="200"/>
        <w:outlineLvl w:val="0"/>
        <w:rPr>
          <w:rFonts w:hint="eastAsia" w:hAnsi="宋体" w:cs="宋体"/>
          <w:color w:val="auto"/>
          <w:kern w:val="2"/>
          <w:sz w:val="24"/>
          <w:szCs w:val="24"/>
        </w:rPr>
      </w:pPr>
    </w:p>
    <w:p w14:paraId="511ED68D">
      <w:pPr>
        <w:pStyle w:val="3"/>
        <w:spacing w:line="420" w:lineRule="exact"/>
        <w:ind w:firstLine="480" w:firstLineChars="200"/>
        <w:outlineLvl w:val="0"/>
        <w:rPr>
          <w:rFonts w:hint="eastAsia" w:hAnsi="宋体" w:cs="宋体"/>
          <w:color w:val="auto"/>
          <w:kern w:val="2"/>
          <w:sz w:val="24"/>
          <w:szCs w:val="24"/>
        </w:rPr>
      </w:pPr>
      <w:r>
        <w:rPr>
          <w:rFonts w:hint="eastAsia" w:hAnsi="宋体" w:cs="宋体"/>
          <w:color w:val="auto"/>
          <w:kern w:val="2"/>
          <w:sz w:val="24"/>
          <w:szCs w:val="24"/>
        </w:rPr>
        <w:t>4.供应商与采购人或代理单位等项目参与各方不存在控股、管理等厉害关系；</w:t>
      </w:r>
    </w:p>
    <w:p w14:paraId="2719C4C1">
      <w:pPr>
        <w:spacing w:line="360" w:lineRule="atLeast"/>
        <w:ind w:firstLine="480" w:firstLineChars="200"/>
        <w:rPr>
          <w:rFonts w:hint="eastAsia" w:ascii="宋体" w:hAnsi="宋体" w:eastAsia="宋体" w:cs="宋体"/>
          <w:snapToGrid w:val="0"/>
          <w:color w:val="auto"/>
          <w:kern w:val="2"/>
          <w:sz w:val="24"/>
          <w:szCs w:val="24"/>
        </w:rPr>
      </w:pPr>
      <w:r>
        <w:rPr>
          <w:rFonts w:hint="eastAsia" w:ascii="宋体" w:hAnsi="宋体" w:eastAsia="宋体" w:cs="宋体"/>
          <w:snapToGrid w:val="0"/>
          <w:color w:val="auto"/>
          <w:kern w:val="2"/>
          <w:sz w:val="24"/>
          <w:szCs w:val="24"/>
        </w:rPr>
        <w:t>5.提供针对本项目的需求的分析、理解以及合理化建议和风险防控。</w:t>
      </w:r>
    </w:p>
    <w:p w14:paraId="229DD850">
      <w:pPr>
        <w:spacing w:line="360" w:lineRule="atLeast"/>
        <w:ind w:firstLine="480" w:firstLineChars="200"/>
        <w:rPr>
          <w:rFonts w:hint="eastAsia" w:ascii="宋体" w:hAnsi="宋体" w:eastAsia="宋体" w:cs="宋体"/>
          <w:snapToGrid w:val="0"/>
          <w:color w:val="auto"/>
          <w:kern w:val="2"/>
          <w:sz w:val="24"/>
          <w:szCs w:val="24"/>
        </w:rPr>
      </w:pPr>
      <w:r>
        <w:rPr>
          <w:rFonts w:hint="eastAsia" w:ascii="宋体" w:hAnsi="宋体" w:eastAsia="宋体" w:cs="宋体"/>
          <w:snapToGrid w:val="0"/>
          <w:color w:val="auto"/>
          <w:kern w:val="2"/>
          <w:sz w:val="24"/>
          <w:szCs w:val="24"/>
        </w:rPr>
        <w:t>6.提供审计内部控制、质量控制、进度控制、责任管理和保密管理措施等方案；</w:t>
      </w:r>
    </w:p>
    <w:p w14:paraId="1C803162">
      <w:pPr>
        <w:spacing w:line="360" w:lineRule="atLeast"/>
        <w:ind w:firstLine="480" w:firstLineChars="200"/>
        <w:rPr>
          <w:rFonts w:hint="eastAsia" w:ascii="宋体" w:hAnsi="宋体" w:eastAsia="宋体" w:cs="宋体"/>
          <w:snapToGrid w:val="0"/>
          <w:color w:val="auto"/>
          <w:kern w:val="2"/>
          <w:sz w:val="24"/>
          <w:szCs w:val="24"/>
        </w:rPr>
      </w:pPr>
      <w:r>
        <w:rPr>
          <w:rFonts w:hint="eastAsia" w:ascii="宋体" w:hAnsi="宋体" w:eastAsia="宋体" w:cs="宋体"/>
          <w:snapToGrid w:val="0"/>
          <w:color w:val="auto"/>
          <w:kern w:val="2"/>
          <w:sz w:val="24"/>
          <w:szCs w:val="24"/>
        </w:rPr>
        <w:t>7.提供本项目服务响应时间、确保项目组人员、保密承诺和特色服务等相关服务承诺；</w:t>
      </w:r>
    </w:p>
    <w:p w14:paraId="7CF3388A">
      <w:pPr>
        <w:spacing w:line="360" w:lineRule="atLeast"/>
        <w:ind w:firstLine="480" w:firstLineChars="200"/>
        <w:rPr>
          <w:rFonts w:hint="eastAsia" w:ascii="宋体" w:hAnsi="宋体" w:eastAsia="宋体" w:cs="宋体"/>
          <w:snapToGrid w:val="0"/>
          <w:color w:val="auto"/>
          <w:kern w:val="2"/>
          <w:sz w:val="24"/>
          <w:szCs w:val="24"/>
        </w:rPr>
      </w:pPr>
      <w:r>
        <w:rPr>
          <w:rFonts w:hint="eastAsia" w:ascii="宋体" w:hAnsi="宋体" w:eastAsia="宋体" w:cs="宋体"/>
          <w:snapToGrid w:val="0"/>
          <w:color w:val="auto"/>
          <w:kern w:val="2"/>
          <w:sz w:val="24"/>
          <w:szCs w:val="24"/>
        </w:rPr>
        <w:t>8.提供本项目的其它增值服务方案，如：相关人员会计培训、政策培训等；</w:t>
      </w:r>
    </w:p>
    <w:p w14:paraId="19CD1254">
      <w:pPr>
        <w:spacing w:line="360" w:lineRule="atLeast"/>
        <w:ind w:firstLine="480" w:firstLineChars="200"/>
        <w:rPr>
          <w:rFonts w:hint="eastAsia" w:ascii="宋体" w:hAnsi="宋体" w:eastAsia="宋体" w:cs="宋体"/>
          <w:snapToGrid w:val="0"/>
          <w:color w:val="auto"/>
          <w:kern w:val="2"/>
          <w:sz w:val="24"/>
          <w:szCs w:val="24"/>
        </w:rPr>
      </w:pPr>
      <w:r>
        <w:rPr>
          <w:rFonts w:hint="eastAsia" w:ascii="宋体" w:hAnsi="宋体" w:eastAsia="宋体" w:cs="宋体"/>
          <w:snapToGrid w:val="0"/>
          <w:color w:val="auto"/>
          <w:kern w:val="2"/>
          <w:sz w:val="24"/>
          <w:szCs w:val="24"/>
        </w:rPr>
        <w:t>9.提供企业综合实力根据从获奖情况、履约能力、信誉度、相关资质证书等。</w:t>
      </w:r>
    </w:p>
    <w:p w14:paraId="6B44CE4B">
      <w:pPr>
        <w:pStyle w:val="3"/>
        <w:spacing w:line="420" w:lineRule="exact"/>
        <w:ind w:firstLine="0"/>
        <w:outlineLvl w:val="0"/>
        <w:rPr>
          <w:rFonts w:hint="eastAsia" w:hAnsi="宋体" w:cs="宋体"/>
          <w:color w:val="auto"/>
          <w:kern w:val="2"/>
          <w:sz w:val="24"/>
          <w:szCs w:val="24"/>
        </w:rPr>
      </w:pPr>
    </w:p>
    <w:p w14:paraId="49AB12C6">
      <w:pPr>
        <w:pStyle w:val="3"/>
        <w:spacing w:line="420" w:lineRule="exact"/>
        <w:ind w:firstLine="0"/>
        <w:outlineLvl w:val="0"/>
        <w:rPr>
          <w:rFonts w:hint="eastAsia" w:hAnsi="宋体" w:cs="宋体"/>
          <w:b/>
          <w:color w:val="auto"/>
          <w:sz w:val="24"/>
          <w:szCs w:val="24"/>
        </w:rPr>
      </w:pPr>
      <w:r>
        <w:rPr>
          <w:rFonts w:hint="eastAsia" w:hAnsi="宋体" w:cs="宋体"/>
          <w:b/>
          <w:color w:val="auto"/>
          <w:sz w:val="24"/>
          <w:szCs w:val="24"/>
        </w:rPr>
        <w:t>三、项目要求</w:t>
      </w:r>
    </w:p>
    <w:p w14:paraId="42FC15C3">
      <w:pPr>
        <w:spacing w:line="420" w:lineRule="exact"/>
        <w:rPr>
          <w:rFonts w:hint="eastAsia" w:ascii="宋体" w:hAnsi="宋体" w:eastAsia="宋体" w:cs="宋体"/>
          <w:b/>
          <w:color w:val="auto"/>
          <w:sz w:val="24"/>
        </w:rPr>
      </w:pPr>
      <w:r>
        <w:rPr>
          <w:rFonts w:hint="eastAsia" w:ascii="宋体" w:hAnsi="宋体" w:eastAsia="宋体" w:cs="宋体"/>
          <w:b/>
          <w:color w:val="auto"/>
          <w:sz w:val="24"/>
        </w:rPr>
        <w:t>（一）、项目概述</w:t>
      </w:r>
    </w:p>
    <w:p w14:paraId="5BDBBFE4">
      <w:pPr>
        <w:spacing w:line="420" w:lineRule="exact"/>
        <w:ind w:firstLine="480" w:firstLineChars="200"/>
        <w:rPr>
          <w:rFonts w:hint="eastAsia" w:ascii="宋体" w:hAnsi="宋体" w:eastAsia="宋体" w:cs="宋体"/>
          <w:bCs/>
          <w:iCs/>
          <w:color w:val="auto"/>
          <w:sz w:val="24"/>
        </w:rPr>
      </w:pPr>
      <w:r>
        <w:rPr>
          <w:rFonts w:hint="eastAsia" w:ascii="宋体" w:hAnsi="宋体" w:eastAsia="宋体" w:cs="宋体"/>
          <w:bCs/>
          <w:iCs/>
          <w:color w:val="auto"/>
          <w:sz w:val="24"/>
        </w:rPr>
        <w:t>1、项目主要内容：</w:t>
      </w:r>
    </w:p>
    <w:p w14:paraId="185D76CE">
      <w:pPr>
        <w:spacing w:line="420" w:lineRule="exact"/>
        <w:ind w:firstLine="480" w:firstLineChars="200"/>
        <w:rPr>
          <w:rFonts w:hint="eastAsia" w:ascii="宋体" w:hAnsi="宋体" w:eastAsia="宋体" w:cs="宋体"/>
          <w:bCs/>
          <w:iCs/>
          <w:color w:val="auto"/>
          <w:sz w:val="24"/>
        </w:rPr>
      </w:pPr>
      <w:r>
        <w:rPr>
          <w:rFonts w:hint="eastAsia" w:ascii="宋体" w:hAnsi="宋体" w:eastAsia="宋体" w:cs="宋体"/>
          <w:bCs/>
          <w:iCs/>
          <w:color w:val="auto"/>
          <w:sz w:val="24"/>
        </w:rPr>
        <w:t>对发生于2026年静安区企业信息公示抽查项目的</w:t>
      </w:r>
      <w:r>
        <w:rPr>
          <w:rFonts w:hint="eastAsia" w:ascii="宋体" w:hAnsi="宋体" w:eastAsia="宋体" w:cs="宋体"/>
          <w:color w:val="auto"/>
          <w:sz w:val="24"/>
        </w:rPr>
        <w:t>专项审计和复核工作</w:t>
      </w:r>
      <w:r>
        <w:rPr>
          <w:rFonts w:hint="eastAsia" w:ascii="宋体" w:hAnsi="宋体" w:eastAsia="宋体" w:cs="宋体"/>
          <w:bCs/>
          <w:iCs/>
          <w:color w:val="auto"/>
          <w:sz w:val="24"/>
        </w:rPr>
        <w:t>择优确定一批合格供应商。</w:t>
      </w:r>
    </w:p>
    <w:p w14:paraId="54A382AB">
      <w:pPr>
        <w:spacing w:line="420" w:lineRule="exact"/>
        <w:ind w:firstLine="480" w:firstLineChars="200"/>
        <w:rPr>
          <w:rFonts w:hint="eastAsia" w:ascii="宋体" w:hAnsi="宋体" w:eastAsia="宋体" w:cs="宋体"/>
          <w:bCs/>
          <w:iCs/>
          <w:color w:val="auto"/>
          <w:sz w:val="24"/>
        </w:rPr>
      </w:pPr>
      <w:r>
        <w:rPr>
          <w:rFonts w:hint="eastAsia" w:ascii="宋体" w:hAnsi="宋体" w:eastAsia="宋体" w:cs="宋体"/>
          <w:bCs/>
          <w:iCs/>
          <w:color w:val="auto"/>
          <w:sz w:val="24"/>
        </w:rPr>
        <w:t>2、服务方式：本次招标将确定不超过9家投标人。根据需求，签订单项单次服务合同。</w:t>
      </w:r>
    </w:p>
    <w:p w14:paraId="1FD8BF0D">
      <w:pPr>
        <w:spacing w:line="420" w:lineRule="exact"/>
        <w:ind w:firstLine="480" w:firstLineChars="200"/>
        <w:outlineLvl w:val="0"/>
        <w:rPr>
          <w:rFonts w:hint="eastAsia" w:ascii="宋体" w:hAnsi="宋体" w:eastAsia="宋体" w:cs="宋体"/>
          <w:bCs/>
          <w:iCs/>
          <w:color w:val="auto"/>
          <w:sz w:val="24"/>
        </w:rPr>
      </w:pPr>
      <w:r>
        <w:rPr>
          <w:rFonts w:hint="eastAsia" w:ascii="宋体" w:hAnsi="宋体" w:eastAsia="宋体" w:cs="宋体"/>
          <w:bCs/>
          <w:iCs/>
          <w:color w:val="auto"/>
          <w:sz w:val="24"/>
        </w:rPr>
        <w:t>3、服务区域：本项目分为9个包件，服务区域包含整个静安区，按照企业属地管理对应15个市场监管所，具体实施项目由采购人签订合同后提供项目清单。市场监管所名单如下：南京西路市场监督管理所、曹家渡市场监督管理所、静安寺市场监督管理所、石门二路市场监督管理所、江宁路市场监督管理所、天目西路市场监督管理所、北站市场监督管理所、宝山路市场监督管理所、芷江西路市场监督管理所、共和新路市场监督管理所、大宁路市场监督管理所、彭浦新村市场监督管理所、临汾路市场监督管理所、彭浦市场监督管理所、市北高新园区市场监督管理所。</w:t>
      </w:r>
    </w:p>
    <w:p w14:paraId="592622E6">
      <w:pPr>
        <w:spacing w:line="420" w:lineRule="exact"/>
        <w:ind w:firstLine="480" w:firstLineChars="200"/>
        <w:rPr>
          <w:rFonts w:hint="eastAsia" w:ascii="宋体" w:hAnsi="宋体" w:eastAsia="宋体" w:cs="宋体"/>
          <w:bCs/>
          <w:iCs/>
          <w:color w:val="auto"/>
          <w:sz w:val="24"/>
        </w:rPr>
      </w:pPr>
      <w:r>
        <w:rPr>
          <w:rFonts w:hint="eastAsia" w:ascii="宋体" w:hAnsi="宋体" w:eastAsia="宋体" w:cs="宋体"/>
          <w:bCs/>
          <w:iCs/>
          <w:color w:val="auto"/>
          <w:sz w:val="24"/>
        </w:rPr>
        <w:t>4、服务期限：受托项目验收结束，提交符合要求的成果报告。</w:t>
      </w:r>
    </w:p>
    <w:p w14:paraId="2715AED8">
      <w:pPr>
        <w:spacing w:line="420" w:lineRule="exact"/>
        <w:ind w:firstLine="480" w:firstLineChars="200"/>
        <w:outlineLvl w:val="0"/>
        <w:rPr>
          <w:rFonts w:hint="eastAsia" w:ascii="宋体" w:hAnsi="宋体" w:eastAsia="宋体" w:cs="宋体"/>
          <w:bCs/>
          <w:iCs/>
          <w:color w:val="auto"/>
          <w:sz w:val="24"/>
        </w:rPr>
      </w:pPr>
      <w:r>
        <w:rPr>
          <w:rFonts w:hint="eastAsia" w:ascii="宋体" w:hAnsi="宋体" w:eastAsia="宋体" w:cs="宋体"/>
          <w:bCs/>
          <w:iCs/>
          <w:color w:val="auto"/>
          <w:sz w:val="24"/>
        </w:rPr>
        <w:t>5、招标项目有效期：1年</w:t>
      </w:r>
    </w:p>
    <w:p w14:paraId="05E14D6B">
      <w:pPr>
        <w:spacing w:line="420" w:lineRule="exact"/>
        <w:rPr>
          <w:rFonts w:hint="eastAsia" w:ascii="宋体" w:hAnsi="宋体" w:eastAsia="宋体" w:cs="宋体"/>
          <w:b/>
          <w:color w:val="auto"/>
          <w:sz w:val="24"/>
        </w:rPr>
      </w:pPr>
      <w:r>
        <w:rPr>
          <w:rFonts w:hint="eastAsia" w:ascii="宋体" w:hAnsi="宋体" w:eastAsia="宋体" w:cs="宋体"/>
          <w:b/>
          <w:color w:val="auto"/>
          <w:sz w:val="24"/>
        </w:rPr>
        <w:t>（二）、工作目标</w:t>
      </w:r>
    </w:p>
    <w:p w14:paraId="2F63B725">
      <w:pPr>
        <w:spacing w:line="420" w:lineRule="exact"/>
        <w:ind w:firstLine="480" w:firstLineChars="200"/>
        <w:rPr>
          <w:rFonts w:hint="eastAsia" w:ascii="宋体" w:hAnsi="宋体" w:eastAsia="宋体" w:cs="宋体"/>
          <w:bCs/>
          <w:iCs/>
          <w:color w:val="auto"/>
          <w:sz w:val="24"/>
        </w:rPr>
      </w:pPr>
      <w:r>
        <w:rPr>
          <w:rFonts w:hint="eastAsia" w:ascii="宋体" w:hAnsi="宋体" w:eastAsia="宋体" w:cs="宋体"/>
          <w:bCs/>
          <w:iCs/>
          <w:color w:val="auto"/>
          <w:sz w:val="24"/>
        </w:rPr>
        <w:t>对静安区登记的已报送年报的企业，按照约3%的比例随机抽取并筛选审计复核对象，对其截止2025年12月31日在全国企业信用信息公示系统中公示的企业股东/发起人认缴和实缴的出资额、出资方式及2026年6月30日前的股权变更信息等即时信息进行专项审计，对企业填报的2025年度报告财务信息等进行专项复核。</w:t>
      </w:r>
    </w:p>
    <w:p w14:paraId="1F75E5E7">
      <w:pPr>
        <w:spacing w:line="420" w:lineRule="exact"/>
        <w:ind w:firstLine="480" w:firstLineChars="200"/>
        <w:rPr>
          <w:rFonts w:hint="eastAsia" w:ascii="宋体" w:hAnsi="宋体" w:eastAsia="宋体" w:cs="宋体"/>
          <w:bCs/>
          <w:iCs/>
          <w:color w:val="auto"/>
          <w:sz w:val="24"/>
        </w:rPr>
      </w:pPr>
      <w:r>
        <w:rPr>
          <w:rFonts w:hint="eastAsia" w:ascii="宋体" w:hAnsi="宋体" w:eastAsia="宋体" w:cs="宋体"/>
          <w:bCs/>
          <w:iCs/>
          <w:color w:val="auto"/>
          <w:sz w:val="24"/>
        </w:rPr>
        <w:t>达到保障公平竞争，促进企业诚信自律，规范企业信息公示，强化企业信用约束，维护交易安全，提高政府监管效能，扩大社会监督的目标。</w:t>
      </w:r>
    </w:p>
    <w:p w14:paraId="09019222">
      <w:pPr>
        <w:spacing w:line="420" w:lineRule="exact"/>
        <w:rPr>
          <w:rFonts w:hint="eastAsia" w:ascii="宋体" w:hAnsi="宋体" w:eastAsia="宋体" w:cs="宋体"/>
          <w:b/>
          <w:color w:val="auto"/>
          <w:sz w:val="24"/>
        </w:rPr>
      </w:pPr>
      <w:r>
        <w:rPr>
          <w:rFonts w:hint="eastAsia" w:ascii="宋体" w:hAnsi="宋体" w:eastAsia="宋体" w:cs="宋体"/>
          <w:b/>
          <w:color w:val="auto"/>
          <w:sz w:val="24"/>
        </w:rPr>
        <w:t>（三）、工作内容</w:t>
      </w:r>
    </w:p>
    <w:p w14:paraId="1C4FD335">
      <w:pPr>
        <w:spacing w:line="42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（一）专项审计的主要内容</w:t>
      </w:r>
    </w:p>
    <w:p w14:paraId="3D665C37">
      <w:pPr>
        <w:shd w:val="clear" w:color="auto" w:fill="FFFFFF"/>
        <w:spacing w:after="180" w:line="420" w:lineRule="exact"/>
        <w:rPr>
          <w:rFonts w:hint="eastAsia" w:ascii="宋体" w:hAnsi="宋体" w:eastAsia="宋体" w:cs="宋体"/>
          <w:color w:val="auto"/>
          <w:sz w:val="24"/>
        </w:rPr>
      </w:pPr>
      <w:r>
        <w:rPr>
          <w:rFonts w:hint="eastAsia" w:ascii="宋体" w:hAnsi="宋体" w:eastAsia="宋体" w:cs="宋体"/>
          <w:color w:val="auto"/>
          <w:sz w:val="24"/>
        </w:rPr>
        <w:t xml:space="preserve">    企业截止抽查指定日期的企业股东/发起人认缴和实缴的出资额、出资时间、出资方式及抽查指定日期前的股权变更信息等。 </w:t>
      </w:r>
    </w:p>
    <w:p w14:paraId="1AEC7A28">
      <w:pPr>
        <w:shd w:val="clear" w:color="auto" w:fill="FFFFFF"/>
        <w:spacing w:after="180" w:line="420" w:lineRule="exact"/>
        <w:ind w:firstLine="465"/>
        <w:outlineLvl w:val="0"/>
        <w:rPr>
          <w:rFonts w:hint="eastAsia" w:ascii="宋体" w:hAnsi="宋体" w:eastAsia="宋体" w:cs="宋体"/>
          <w:color w:val="auto"/>
          <w:sz w:val="24"/>
        </w:rPr>
      </w:pPr>
      <w:r>
        <w:rPr>
          <w:rFonts w:hint="eastAsia" w:ascii="宋体" w:hAnsi="宋体" w:eastAsia="宋体" w:cs="宋体"/>
          <w:color w:val="auto"/>
          <w:sz w:val="24"/>
        </w:rPr>
        <w:t>（二）复核的主要内容</w:t>
      </w:r>
    </w:p>
    <w:p w14:paraId="7D1711A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1、企业截止2025年12月31日的资产总额、负债总额、对外担保金额、所有者权益合计；2025年度的营业总收入、主营业务收入、利润总额、净利润、纳税总额等信息。</w:t>
      </w:r>
    </w:p>
    <w:p w14:paraId="790CBAD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2、企业投资设立企业和购买股权企业的名称及注册号信息。</w:t>
      </w:r>
    </w:p>
    <w:p w14:paraId="7869748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3、企业受到行政处罚信息。</w:t>
      </w:r>
    </w:p>
    <w:p w14:paraId="00A8E49F">
      <w:pPr>
        <w:spacing w:line="420" w:lineRule="exact"/>
        <w:rPr>
          <w:rFonts w:hint="eastAsia" w:ascii="宋体" w:hAnsi="宋体" w:eastAsia="宋体" w:cs="宋体"/>
          <w:b/>
          <w:color w:val="auto"/>
          <w:sz w:val="24"/>
        </w:rPr>
      </w:pPr>
      <w:r>
        <w:rPr>
          <w:rFonts w:hint="eastAsia" w:ascii="宋体" w:hAnsi="宋体" w:eastAsia="宋体" w:cs="宋体"/>
          <w:b/>
          <w:color w:val="auto"/>
          <w:sz w:val="24"/>
        </w:rPr>
        <w:t>（四）、工作要求：</w:t>
      </w:r>
    </w:p>
    <w:p w14:paraId="6A575F6E">
      <w:pPr>
        <w:spacing w:line="42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一）专项审计程序</w:t>
      </w:r>
    </w:p>
    <w:p w14:paraId="34F4FD9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  股东/发起人及出资信息</w:t>
      </w:r>
    </w:p>
    <w:p w14:paraId="35B16E1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（1）获取企业（法人）营业执照、企业章程等有关资料，查阅股东认缴资本额的情况。</w:t>
      </w:r>
    </w:p>
    <w:p w14:paraId="72DA035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（2）获取验资报告、相关会计凭证，审查股东实缴出资额情况；若执行新公司法后无需验资报告，审查相关会计凭证的实际出资人名称、款项用途、实缴时间等信息是否与公示信息相符。</w:t>
      </w:r>
    </w:p>
    <w:p w14:paraId="30BFBC6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（3）审查应收（含应付）款项分户明细账和清单，检查应收对象中是否有投资人欠款存在。如存在，则应获取该款项发生时的入账凭证及相关资料，查明欠款性质。</w:t>
      </w:r>
    </w:p>
    <w:p w14:paraId="46ACCA4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（4）出资者如有以固定资产和无形资产投入，应审查投入财产现存状况；如其中涉及须办理权证过户变更手续的，则应进一步获取验资报告、评估报告等计价依据及股东会决议等相关资料。</w:t>
      </w:r>
    </w:p>
    <w:p w14:paraId="6DD8414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对企业截止2026年6月30日以前的股东/发起人认缴和实缴的出资额、出资时间、出资方式等信息是否及时通过企业信用信息公示系统向社会公示进行逐一检查。即时变更是指股东出资信息2014年3月1日至9月30日期间发生变动的，企业应当于2014年12月31日之前通过企业信用信息公示系统向社会公示；2014年10月1日以后发生变动的，企业应在20个工作日内通过企业信用信息公示系统向社会公示。</w:t>
      </w:r>
    </w:p>
    <w:p w14:paraId="1C4E4CC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2.股权变更信息</w:t>
      </w:r>
    </w:p>
    <w:p w14:paraId="02E4BA2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 获取修订后企业章程、股权转让协议、相关股东会决议。</w:t>
      </w:r>
    </w:p>
    <w:p w14:paraId="1BC70D3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 获取股权变更市场监管备案机读材料。</w:t>
      </w:r>
    </w:p>
    <w:p w14:paraId="3E51D72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审查股权转让的有关会计凭证。</w:t>
      </w:r>
    </w:p>
    <w:p w14:paraId="64B81FE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对企业近2年的股权变更信息是否在20个工作日内通过企业信用信息公示系统向社会公示进行逐一检查。</w:t>
      </w:r>
    </w:p>
    <w:p w14:paraId="06ABC85E">
      <w:pPr>
        <w:spacing w:line="42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二）复核程序</w:t>
      </w:r>
    </w:p>
    <w:p w14:paraId="0732788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1．有关财务信息</w:t>
      </w:r>
    </w:p>
    <w:p w14:paraId="36464CE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获取企业财务报表及会计科目余额明细清单、相关帐簿、纳税申报资料以及账面记录等；复核收入和应交税金项目，核对纳税相关资料，核实纳税总额信息；核对资产总额、负债总额及所有者权益合计等需要上报的公示信息。</w:t>
      </w:r>
    </w:p>
    <w:p w14:paraId="4200F171">
      <w:pPr>
        <w:spacing w:line="42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2．对外投资信息</w:t>
      </w:r>
    </w:p>
    <w:p w14:paraId="393B466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 获取企业投资设立企业或购买股权的协议或合同、股东会决议等相关资料，复核企业投资设立企业或购买股权的账目、相关原始凭证和记账凭证，与公示信息核对。</w:t>
      </w:r>
    </w:p>
    <w:p w14:paraId="3207D84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 获取被投资设立企业或购买股权企业的营业执照及工商登记信息。</w:t>
      </w:r>
    </w:p>
    <w:p w14:paraId="7200B185">
      <w:pPr>
        <w:spacing w:line="42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3. 对外提供保证担保信息</w:t>
      </w:r>
    </w:p>
    <w:p w14:paraId="1FA72F1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 获取由企业关于对外提供保证担保信息真实性、完整性的《声明书》，明确企业责任。</w:t>
      </w:r>
    </w:p>
    <w:p w14:paraId="6BC6048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（2）获取企业编制的2025年12月31日以前的对外保证担保明细清单，由其签字盖章确认后，与公示信息进行核对。</w:t>
      </w:r>
    </w:p>
    <w:p w14:paraId="26A8AF52">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（3）获取企业对外提供保证担保的合同等法律文件，并与明细清单的各项内容逐一进行核对。</w:t>
      </w:r>
    </w:p>
    <w:p w14:paraId="305AB56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（4）行政处罚</w:t>
      </w:r>
    </w:p>
    <w:p w14:paraId="22EF123B">
      <w:pPr>
        <w:pStyle w:val="3"/>
        <w:spacing w:line="420" w:lineRule="exact"/>
        <w:ind w:firstLine="480" w:firstLineChars="200"/>
        <w:rPr>
          <w:rFonts w:hint="eastAsia" w:hAnsi="宋体" w:cs="宋体"/>
          <w:color w:val="auto"/>
          <w:sz w:val="24"/>
        </w:rPr>
      </w:pPr>
      <w:r>
        <w:rPr>
          <w:rFonts w:hint="eastAsia" w:hAnsi="宋体" w:cs="宋体"/>
          <w:color w:val="auto"/>
          <w:sz w:val="24"/>
        </w:rPr>
        <w:t>三）报告要求</w:t>
      </w:r>
    </w:p>
    <w:p w14:paraId="489B3008">
      <w:pPr>
        <w:spacing w:line="420" w:lineRule="exact"/>
        <w:ind w:firstLine="480" w:firstLineChars="200"/>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供应商应遵循注册会计师执业准则和质量控制准则的有关要求，对企业提供的财务及相关资料严格审核，认真审计，确保工作质量，对提交的专项审计和复核报告的准确性负责。供应商应在</w:t>
      </w:r>
      <w:r>
        <w:rPr>
          <w:rFonts w:ascii="宋体" w:hAnsi="宋体" w:eastAsia="宋体" w:cs="宋体"/>
          <w:snapToGrid w:val="0"/>
          <w:color w:val="auto"/>
          <w:kern w:val="28"/>
          <w:sz w:val="24"/>
          <w:szCs w:val="20"/>
        </w:rPr>
        <w:t>202</w:t>
      </w:r>
      <w:r>
        <w:rPr>
          <w:rFonts w:hint="eastAsia" w:ascii="宋体" w:hAnsi="宋体" w:eastAsia="宋体" w:cs="宋体"/>
          <w:snapToGrid w:val="0"/>
          <w:color w:val="auto"/>
          <w:kern w:val="28"/>
          <w:sz w:val="24"/>
          <w:szCs w:val="20"/>
        </w:rPr>
        <w:t>6年</w:t>
      </w:r>
      <w:r>
        <w:rPr>
          <w:rFonts w:ascii="宋体" w:hAnsi="宋体" w:eastAsia="宋体" w:cs="宋体"/>
          <w:snapToGrid w:val="0"/>
          <w:color w:val="auto"/>
          <w:kern w:val="28"/>
          <w:sz w:val="24"/>
          <w:szCs w:val="20"/>
        </w:rPr>
        <w:t>11</w:t>
      </w:r>
      <w:r>
        <w:rPr>
          <w:rFonts w:hint="eastAsia" w:ascii="宋体" w:hAnsi="宋体" w:eastAsia="宋体" w:cs="宋体"/>
          <w:snapToGrid w:val="0"/>
          <w:color w:val="auto"/>
          <w:kern w:val="28"/>
          <w:sz w:val="24"/>
          <w:szCs w:val="20"/>
        </w:rPr>
        <w:t>月</w:t>
      </w:r>
      <w:r>
        <w:rPr>
          <w:rFonts w:ascii="宋体" w:hAnsi="宋体" w:eastAsia="宋体" w:cs="宋体"/>
          <w:snapToGrid w:val="0"/>
          <w:color w:val="auto"/>
          <w:kern w:val="28"/>
          <w:sz w:val="24"/>
          <w:szCs w:val="20"/>
        </w:rPr>
        <w:t>5</w:t>
      </w:r>
      <w:r>
        <w:rPr>
          <w:rFonts w:hint="eastAsia" w:ascii="宋体" w:hAnsi="宋体" w:eastAsia="宋体" w:cs="宋体"/>
          <w:snapToGrid w:val="0"/>
          <w:color w:val="auto"/>
          <w:kern w:val="28"/>
          <w:sz w:val="24"/>
          <w:szCs w:val="20"/>
        </w:rPr>
        <w:t>日前向甲方提供报告。</w:t>
      </w:r>
    </w:p>
    <w:p w14:paraId="048E9181">
      <w:pPr>
        <w:pStyle w:val="3"/>
        <w:spacing w:line="420" w:lineRule="exact"/>
        <w:ind w:firstLine="480" w:firstLineChars="200"/>
        <w:rPr>
          <w:rFonts w:hint="eastAsia" w:hAnsi="宋体" w:cs="宋体"/>
          <w:color w:val="auto"/>
          <w:sz w:val="24"/>
        </w:rPr>
      </w:pPr>
      <w:r>
        <w:rPr>
          <w:rFonts w:hint="eastAsia" w:hAnsi="宋体" w:cs="宋体"/>
          <w:color w:val="auto"/>
          <w:sz w:val="24"/>
        </w:rPr>
        <w:t>四）其他</w:t>
      </w:r>
    </w:p>
    <w:p w14:paraId="6C70B93C">
      <w:pPr>
        <w:pStyle w:val="3"/>
        <w:spacing w:line="420" w:lineRule="exact"/>
        <w:ind w:firstLine="480" w:firstLineChars="200"/>
        <w:rPr>
          <w:rFonts w:hint="eastAsia" w:hAnsi="宋体" w:cs="宋体"/>
          <w:color w:val="auto"/>
          <w:sz w:val="24"/>
        </w:rPr>
      </w:pPr>
      <w:r>
        <w:rPr>
          <w:rFonts w:hint="eastAsia" w:hAnsi="宋体" w:cs="宋体"/>
          <w:color w:val="auto"/>
          <w:sz w:val="24"/>
        </w:rPr>
        <w:t>1.供应商应提供业务承诺书，对审计报告完成时间、人员应急预案等内容作出承诺。中标后，项目人员未经采购方同意不得随意变更，如有特殊情况需要变更的，需经采购方同意方可变更。</w:t>
      </w:r>
    </w:p>
    <w:p w14:paraId="3B7F158E">
      <w:pPr>
        <w:pStyle w:val="3"/>
        <w:spacing w:line="420" w:lineRule="exact"/>
        <w:ind w:firstLine="480" w:firstLineChars="200"/>
        <w:rPr>
          <w:rFonts w:hint="eastAsia" w:hAnsi="宋体" w:cs="宋体"/>
          <w:color w:val="auto"/>
          <w:kern w:val="2"/>
          <w:sz w:val="24"/>
          <w:szCs w:val="24"/>
        </w:rPr>
      </w:pPr>
      <w:r>
        <w:rPr>
          <w:rFonts w:hint="eastAsia" w:hAnsi="宋体" w:cs="宋体"/>
          <w:color w:val="auto"/>
          <w:sz w:val="24"/>
        </w:rPr>
        <w:t>2. 供应商如果能定期组织相关政策培训、提供行业案例情况分析汇总、提供《管理建议书》等延伸服务可</w:t>
      </w:r>
      <w:r>
        <w:rPr>
          <w:rFonts w:hint="eastAsia" w:hAnsi="宋体" w:cs="宋体"/>
          <w:color w:val="auto"/>
          <w:kern w:val="2"/>
          <w:sz w:val="24"/>
          <w:szCs w:val="24"/>
        </w:rPr>
        <w:t>优先考量。</w:t>
      </w:r>
    </w:p>
    <w:p w14:paraId="156AABA6">
      <w:pPr>
        <w:spacing w:line="420" w:lineRule="exact"/>
        <w:rPr>
          <w:rFonts w:hint="eastAsia" w:ascii="宋体" w:hAnsi="宋体" w:eastAsia="宋体" w:cs="宋体"/>
          <w:b/>
          <w:color w:val="auto"/>
          <w:sz w:val="24"/>
        </w:rPr>
      </w:pPr>
      <w:r>
        <w:rPr>
          <w:rFonts w:hint="eastAsia" w:ascii="宋体" w:hAnsi="宋体" w:eastAsia="宋体" w:cs="宋体"/>
          <w:b/>
          <w:color w:val="auto"/>
          <w:sz w:val="24"/>
        </w:rPr>
        <w:t>（五）、供应商人员要求</w:t>
      </w:r>
    </w:p>
    <w:p w14:paraId="3847C89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1、本项目供应商应配备满足项目需要的有足够胜任能力的项目负责人和团队，团队人数不低于13人，团队中注册会计师人数不少于7名。</w:t>
      </w:r>
    </w:p>
    <w:p w14:paraId="34E6EEB2">
      <w:pPr>
        <w:pStyle w:val="3"/>
        <w:spacing w:line="420" w:lineRule="exact"/>
        <w:ind w:firstLine="480" w:firstLineChars="200"/>
        <w:rPr>
          <w:rFonts w:hint="eastAsia" w:hAnsi="宋体" w:cs="宋体"/>
          <w:color w:val="auto"/>
          <w:sz w:val="24"/>
        </w:rPr>
      </w:pPr>
      <w:r>
        <w:rPr>
          <w:rFonts w:hint="eastAsia" w:hAnsi="宋体" w:cs="宋体"/>
          <w:color w:val="auto"/>
          <w:sz w:val="24"/>
        </w:rPr>
        <w:t>2、本项目供应商的负责人需要有相关资质证书、学历证书、工作经验、工作业绩等。项目负责人有高等学历、从事相关行业经验10年以上优先考量。</w:t>
      </w:r>
    </w:p>
    <w:p w14:paraId="1A5FF217">
      <w:pPr>
        <w:pStyle w:val="3"/>
        <w:spacing w:line="420" w:lineRule="exact"/>
        <w:ind w:firstLine="480" w:firstLineChars="200"/>
        <w:rPr>
          <w:rFonts w:hint="eastAsia" w:hAnsi="宋体" w:cs="宋体"/>
          <w:color w:val="auto"/>
          <w:sz w:val="24"/>
        </w:rPr>
      </w:pPr>
      <w:r>
        <w:rPr>
          <w:rFonts w:hint="eastAsia" w:hAnsi="宋体" w:cs="宋体"/>
          <w:color w:val="auto"/>
          <w:sz w:val="24"/>
        </w:rPr>
        <w:t>3、本项目供应商</w:t>
      </w:r>
      <w:r>
        <w:rPr>
          <w:rFonts w:hint="eastAsia" w:hAnsi="宋体" w:cs="宋体"/>
          <w:color w:val="auto"/>
          <w:sz w:val="24"/>
          <w:szCs w:val="24"/>
        </w:rPr>
        <w:t>做过类似项目案例</w:t>
      </w:r>
      <w:r>
        <w:rPr>
          <w:rFonts w:hint="eastAsia" w:hAnsi="宋体" w:cs="宋体"/>
          <w:color w:val="auto"/>
          <w:sz w:val="24"/>
        </w:rPr>
        <w:t>优先考量。</w:t>
      </w:r>
    </w:p>
    <w:p w14:paraId="6DD72482">
      <w:pPr>
        <w:spacing w:line="420" w:lineRule="exact"/>
        <w:rPr>
          <w:rFonts w:hint="eastAsia" w:ascii="宋体" w:hAnsi="宋体" w:eastAsia="宋体" w:cs="宋体"/>
          <w:b/>
          <w:color w:val="auto"/>
          <w:sz w:val="24"/>
        </w:rPr>
      </w:pPr>
      <w:r>
        <w:rPr>
          <w:rFonts w:hint="eastAsia" w:ascii="宋体" w:hAnsi="宋体" w:eastAsia="宋体" w:cs="宋体"/>
          <w:b/>
          <w:color w:val="auto"/>
          <w:sz w:val="24"/>
        </w:rPr>
        <w:t>（六）、报价要求</w:t>
      </w:r>
    </w:p>
    <w:p w14:paraId="71A08C5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1、报价依据：本文明确的工作内容、工作范围和要求。报价需明确单份报告金额以及包件总金额（单价*预计工作量）。</w:t>
      </w:r>
    </w:p>
    <w:p w14:paraId="37356616">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w:t>
      </w:r>
      <w:r>
        <w:rPr>
          <w:rFonts w:hint="eastAsia" w:ascii="宋体" w:hAnsi="宋体" w:eastAsia="宋体" w:cs="宋体"/>
          <w:bCs/>
          <w:color w:val="auto"/>
          <w:sz w:val="24"/>
        </w:rPr>
        <w:t>参考原市工商局指导费用标准并结合自身实力报出本单位能够承受的报价；</w:t>
      </w:r>
    </w:p>
    <w:p w14:paraId="169A2A8B">
      <w:pPr>
        <w:spacing w:line="420" w:lineRule="exact"/>
        <w:ind w:firstLine="480" w:firstLineChars="200"/>
        <w:rPr>
          <w:rFonts w:hint="eastAsia" w:ascii="宋体" w:hAnsi="宋体" w:eastAsia="宋体" w:cs="宋体"/>
          <w:bCs/>
          <w:color w:val="auto"/>
          <w:sz w:val="24"/>
        </w:rPr>
      </w:pPr>
      <w:r>
        <w:rPr>
          <w:rFonts w:ascii="宋体" w:hAnsi="宋体" w:eastAsia="宋体" w:cs="宋体"/>
          <w:color w:val="auto"/>
          <w:sz w:val="24"/>
        </w:rPr>
        <w:t>3</w:t>
      </w:r>
      <w:r>
        <w:rPr>
          <w:rFonts w:hint="eastAsia" w:ascii="宋体" w:hAnsi="宋体" w:eastAsia="宋体" w:cs="宋体"/>
          <w:color w:val="auto"/>
          <w:sz w:val="24"/>
        </w:rPr>
        <w:t>、</w:t>
      </w:r>
      <w:r>
        <w:rPr>
          <w:rFonts w:hint="eastAsia" w:ascii="宋体" w:hAnsi="宋体" w:eastAsia="宋体" w:cs="宋体"/>
          <w:bCs/>
          <w:color w:val="auto"/>
          <w:sz w:val="24"/>
        </w:rPr>
        <w:t>项目采取兼中不兼得。</w:t>
      </w:r>
    </w:p>
    <w:p w14:paraId="335ED41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投标人提供的专项审计和复核工作服务，应当符合国家有关法律、法规和标准规范，满足合同约定的服务内容和质量等要求。报价过低是不利于专项审计和复核工作服务质量的，投标人不得违反有关规定和合同约定，通过降低服务质量、减少服务内容等手段进行恶性竞争，扰乱正常市场秩序。</w:t>
      </w:r>
    </w:p>
    <w:p w14:paraId="57FB35AB">
      <w:pPr>
        <w:spacing w:line="420" w:lineRule="exact"/>
        <w:outlineLvl w:val="0"/>
        <w:rPr>
          <w:rFonts w:hint="eastAsia" w:ascii="宋体" w:hAnsi="宋体" w:eastAsia="宋体" w:cs="宋体"/>
          <w:b/>
          <w:color w:val="auto"/>
          <w:sz w:val="24"/>
        </w:rPr>
      </w:pPr>
      <w:r>
        <w:rPr>
          <w:rFonts w:hint="eastAsia" w:ascii="宋体" w:hAnsi="宋体" w:eastAsia="宋体" w:cs="宋体"/>
          <w:b/>
          <w:color w:val="auto"/>
          <w:sz w:val="24"/>
        </w:rPr>
        <w:t>（七）、考评要求</w:t>
      </w:r>
    </w:p>
    <w:p w14:paraId="5B46CD9E">
      <w:pPr>
        <w:widowControl w:val="0"/>
        <w:adjustRightInd/>
        <w:snapToGrid/>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为提升企业公示信息“双随机、一公开”监管效能，规范会计师事务所参与企业公示信息审计和复核工作，根据《企业信息公示暂行条例》、《企业公示信息抽查暂行办法》和市场监管总局有关企业公示信息抽查的工作要求，参照《上海市市场监督管理局会计师事务所审计和复核工作考评办法（试行）》，对于考评结果为四等，以及连续两次考评结果为三等的会计师事务所，不再委托其参加下一年度的企业公示信息审计复核工作。</w:t>
      </w:r>
    </w:p>
    <w:p w14:paraId="464B00D6">
      <w:pPr>
        <w:pStyle w:val="3"/>
        <w:spacing w:line="420" w:lineRule="exact"/>
        <w:ind w:firstLine="0"/>
        <w:rPr>
          <w:rFonts w:hint="eastAsia" w:hAnsi="宋体" w:cs="宋体"/>
          <w:b/>
          <w:color w:val="auto"/>
          <w:sz w:val="24"/>
          <w:szCs w:val="24"/>
        </w:rPr>
      </w:pPr>
    </w:p>
    <w:p w14:paraId="466BF4CC">
      <w:pPr>
        <w:pStyle w:val="3"/>
        <w:spacing w:line="420" w:lineRule="exact"/>
        <w:ind w:firstLine="0"/>
        <w:outlineLvl w:val="0"/>
        <w:rPr>
          <w:rFonts w:hint="eastAsia" w:hAnsi="宋体" w:cs="宋体"/>
          <w:b/>
          <w:color w:val="auto"/>
          <w:sz w:val="24"/>
          <w:szCs w:val="24"/>
        </w:rPr>
      </w:pPr>
      <w:r>
        <w:rPr>
          <w:rFonts w:hint="eastAsia" w:hAnsi="宋体" w:cs="宋体"/>
          <w:b/>
          <w:color w:val="auto"/>
          <w:sz w:val="24"/>
          <w:szCs w:val="24"/>
        </w:rPr>
        <w:t>四、采购范围</w:t>
      </w:r>
    </w:p>
    <w:p w14:paraId="369B14E5">
      <w:pPr>
        <w:spacing w:after="0" w:line="420" w:lineRule="exact"/>
        <w:ind w:firstLine="480" w:firstLineChars="200"/>
        <w:jc w:val="both"/>
        <w:rPr>
          <w:rFonts w:hint="eastAsia" w:ascii="宋体" w:hAnsi="宋体" w:eastAsia="宋体" w:cs="宋体"/>
          <w:snapToGrid w:val="0"/>
          <w:color w:val="auto"/>
          <w:kern w:val="28"/>
          <w:sz w:val="24"/>
          <w:szCs w:val="20"/>
        </w:rPr>
      </w:pPr>
      <w:r>
        <w:rPr>
          <w:rFonts w:hint="eastAsia" w:ascii="宋体" w:hAnsi="宋体" w:eastAsia="宋体" w:cs="宋体"/>
          <w:color w:val="auto"/>
          <w:kern w:val="2"/>
          <w:sz w:val="24"/>
          <w:szCs w:val="24"/>
        </w:rPr>
        <w:t>本次采购范围为</w:t>
      </w:r>
      <w:r>
        <w:rPr>
          <w:rFonts w:hint="eastAsia" w:ascii="宋体" w:hAnsi="宋体" w:eastAsia="宋体" w:cs="宋体"/>
          <w:snapToGrid w:val="0"/>
          <w:color w:val="auto"/>
          <w:kern w:val="28"/>
          <w:sz w:val="24"/>
          <w:szCs w:val="20"/>
        </w:rPr>
        <w:t>“2026年度</w:t>
      </w:r>
      <w:r>
        <w:rPr>
          <w:rFonts w:hint="eastAsia" w:ascii="宋体" w:hAnsi="宋体" w:eastAsia="宋体" w:cs="宋体"/>
          <w:color w:val="auto"/>
          <w:sz w:val="24"/>
        </w:rPr>
        <w:t>上海市静安区市场监管局公示信息经费第三方抽查审计服务项目</w:t>
      </w:r>
      <w:r>
        <w:rPr>
          <w:rFonts w:hint="eastAsia" w:ascii="宋体" w:hAnsi="宋体" w:eastAsia="宋体" w:cs="宋体"/>
          <w:color w:val="auto"/>
          <w:kern w:val="2"/>
          <w:sz w:val="24"/>
          <w:szCs w:val="24"/>
        </w:rPr>
        <w:t>”</w:t>
      </w:r>
      <w:r>
        <w:rPr>
          <w:rFonts w:hint="eastAsia" w:ascii="宋体" w:hAnsi="宋体" w:eastAsia="宋体" w:cs="宋体"/>
          <w:snapToGrid w:val="0"/>
          <w:color w:val="auto"/>
          <w:kern w:val="28"/>
          <w:sz w:val="24"/>
          <w:szCs w:val="20"/>
        </w:rPr>
        <w:t>的招标代理（服务）工作。</w:t>
      </w:r>
    </w:p>
    <w:p w14:paraId="767D6669">
      <w:pPr>
        <w:pStyle w:val="3"/>
        <w:spacing w:line="420" w:lineRule="exact"/>
        <w:ind w:firstLine="0"/>
        <w:rPr>
          <w:rFonts w:hint="eastAsia" w:hAnsi="宋体" w:cs="宋体"/>
          <w:b/>
          <w:color w:val="auto"/>
          <w:sz w:val="24"/>
          <w:szCs w:val="24"/>
        </w:rPr>
      </w:pPr>
      <w:r>
        <w:rPr>
          <w:rFonts w:hint="eastAsia" w:hAnsi="宋体" w:cs="宋体"/>
          <w:b/>
          <w:color w:val="auto"/>
          <w:sz w:val="24"/>
          <w:szCs w:val="24"/>
        </w:rPr>
        <w:t>五、预算金额</w:t>
      </w:r>
    </w:p>
    <w:p w14:paraId="43CEC673">
      <w:pPr>
        <w:spacing w:after="0" w:line="420" w:lineRule="exact"/>
        <w:jc w:val="both"/>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 xml:space="preserve">   2776000元（含9个包件，具体见表格）</w:t>
      </w:r>
    </w:p>
    <w:tbl>
      <w:tblPr>
        <w:tblStyle w:val="12"/>
        <w:tblW w:w="8784" w:type="dxa"/>
        <w:tblInd w:w="0" w:type="dxa"/>
        <w:tblLayout w:type="autofit"/>
        <w:tblCellMar>
          <w:top w:w="0" w:type="dxa"/>
          <w:left w:w="108" w:type="dxa"/>
          <w:bottom w:w="0" w:type="dxa"/>
          <w:right w:w="108" w:type="dxa"/>
        </w:tblCellMar>
      </w:tblPr>
      <w:tblGrid>
        <w:gridCol w:w="720"/>
        <w:gridCol w:w="3760"/>
        <w:gridCol w:w="1760"/>
        <w:gridCol w:w="1552"/>
        <w:gridCol w:w="992"/>
      </w:tblGrid>
      <w:tr w14:paraId="2EB985E6">
        <w:tblPrEx>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29055080">
            <w:pPr>
              <w:adjustRightInd/>
              <w:snapToGrid/>
              <w:spacing w:after="0"/>
              <w:jc w:val="center"/>
              <w:rPr>
                <w:rFonts w:hint="eastAsia" w:ascii="黑体" w:hAnsi="黑体" w:eastAsia="黑体" w:cs="宋体"/>
                <w:color w:val="auto"/>
              </w:rPr>
            </w:pPr>
            <w:r>
              <w:rPr>
                <w:rFonts w:hint="eastAsia" w:ascii="黑体" w:hAnsi="黑体" w:eastAsia="黑体" w:cs="宋体"/>
                <w:color w:val="auto"/>
              </w:rPr>
              <w:t>　</w:t>
            </w:r>
          </w:p>
        </w:tc>
        <w:tc>
          <w:tcPr>
            <w:tcW w:w="3760" w:type="dxa"/>
            <w:tcBorders>
              <w:top w:val="single" w:color="auto" w:sz="4" w:space="0"/>
              <w:left w:val="nil"/>
              <w:bottom w:val="single" w:color="auto" w:sz="4" w:space="0"/>
              <w:right w:val="single" w:color="auto" w:sz="4" w:space="0"/>
            </w:tcBorders>
            <w:noWrap/>
            <w:vAlign w:val="center"/>
          </w:tcPr>
          <w:p w14:paraId="4BEE06A8">
            <w:pPr>
              <w:adjustRightInd/>
              <w:snapToGrid/>
              <w:spacing w:after="0"/>
              <w:jc w:val="center"/>
              <w:rPr>
                <w:rFonts w:hint="eastAsia" w:ascii="黑体" w:hAnsi="黑体" w:eastAsia="黑体" w:cs="宋体"/>
                <w:color w:val="auto"/>
              </w:rPr>
            </w:pPr>
            <w:r>
              <w:rPr>
                <w:rFonts w:hint="eastAsia" w:ascii="黑体" w:hAnsi="黑体" w:eastAsia="黑体" w:cs="宋体"/>
                <w:color w:val="auto"/>
              </w:rPr>
              <w:t>三级项目名称</w:t>
            </w:r>
          </w:p>
        </w:tc>
        <w:tc>
          <w:tcPr>
            <w:tcW w:w="1760" w:type="dxa"/>
            <w:tcBorders>
              <w:top w:val="single" w:color="auto" w:sz="4" w:space="0"/>
              <w:left w:val="nil"/>
              <w:bottom w:val="single" w:color="auto" w:sz="4" w:space="0"/>
              <w:right w:val="single" w:color="auto" w:sz="4" w:space="0"/>
            </w:tcBorders>
            <w:noWrap/>
            <w:vAlign w:val="center"/>
          </w:tcPr>
          <w:p w14:paraId="05823D4E">
            <w:pPr>
              <w:adjustRightInd/>
              <w:snapToGrid/>
              <w:spacing w:after="0"/>
              <w:jc w:val="center"/>
              <w:rPr>
                <w:rFonts w:hint="eastAsia" w:ascii="黑体" w:hAnsi="黑体" w:eastAsia="黑体" w:cs="宋体"/>
                <w:color w:val="auto"/>
              </w:rPr>
            </w:pPr>
            <w:r>
              <w:rPr>
                <w:rFonts w:hint="eastAsia" w:ascii="黑体" w:hAnsi="黑体" w:eastAsia="黑体" w:cs="宋体"/>
                <w:color w:val="auto"/>
              </w:rPr>
              <w:t>金额</w:t>
            </w:r>
          </w:p>
        </w:tc>
        <w:tc>
          <w:tcPr>
            <w:tcW w:w="1552" w:type="dxa"/>
            <w:tcBorders>
              <w:top w:val="single" w:color="auto" w:sz="4" w:space="0"/>
              <w:left w:val="nil"/>
              <w:bottom w:val="single" w:color="auto" w:sz="4" w:space="0"/>
              <w:right w:val="single" w:color="auto" w:sz="4" w:space="0"/>
            </w:tcBorders>
            <w:vAlign w:val="center"/>
          </w:tcPr>
          <w:p w14:paraId="70768218">
            <w:pPr>
              <w:adjustRightInd/>
              <w:snapToGrid/>
              <w:spacing w:after="0"/>
              <w:jc w:val="center"/>
              <w:rPr>
                <w:rFonts w:hint="eastAsia" w:ascii="等线" w:hAnsi="等线" w:eastAsia="等线" w:cs="宋体"/>
                <w:color w:val="auto"/>
              </w:rPr>
            </w:pPr>
            <w:r>
              <w:rPr>
                <w:rFonts w:hint="eastAsia" w:ascii="等线" w:hAnsi="等线" w:eastAsia="等线" w:cs="宋体"/>
                <w:color w:val="auto"/>
              </w:rPr>
              <w:t>采购明细编号</w:t>
            </w:r>
          </w:p>
        </w:tc>
        <w:tc>
          <w:tcPr>
            <w:tcW w:w="992" w:type="dxa"/>
            <w:tcBorders>
              <w:top w:val="single" w:color="auto" w:sz="4" w:space="0"/>
              <w:left w:val="nil"/>
              <w:bottom w:val="single" w:color="auto" w:sz="4" w:space="0"/>
              <w:right w:val="single" w:color="auto" w:sz="4" w:space="0"/>
            </w:tcBorders>
            <w:noWrap/>
            <w:vAlign w:val="center"/>
          </w:tcPr>
          <w:p w14:paraId="0D69CBBB">
            <w:pPr>
              <w:adjustRightInd/>
              <w:snapToGrid/>
              <w:spacing w:after="0"/>
              <w:jc w:val="center"/>
              <w:rPr>
                <w:rFonts w:hint="eastAsia" w:ascii="等线" w:hAnsi="等线" w:eastAsia="等线" w:cs="宋体"/>
                <w:color w:val="auto"/>
              </w:rPr>
            </w:pPr>
            <w:r>
              <w:rPr>
                <w:rFonts w:hint="eastAsia" w:ascii="等线" w:hAnsi="等线" w:eastAsia="等线" w:cs="宋体"/>
                <w:color w:val="auto"/>
              </w:rPr>
              <w:t>预计工作量</w:t>
            </w:r>
          </w:p>
        </w:tc>
      </w:tr>
      <w:tr w14:paraId="32E9364E">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1E528E8A">
            <w:pPr>
              <w:adjustRightInd/>
              <w:snapToGrid/>
              <w:spacing w:after="0"/>
              <w:jc w:val="center"/>
              <w:rPr>
                <w:rFonts w:hint="eastAsia" w:ascii="宋体" w:hAnsi="宋体" w:eastAsia="宋体" w:cs="宋体"/>
                <w:color w:val="auto"/>
              </w:rPr>
            </w:pPr>
            <w:r>
              <w:rPr>
                <w:rFonts w:hint="eastAsia" w:ascii="宋体" w:hAnsi="宋体" w:eastAsia="宋体" w:cs="宋体"/>
                <w:color w:val="auto"/>
              </w:rPr>
              <w:t>1</w:t>
            </w:r>
          </w:p>
        </w:tc>
        <w:tc>
          <w:tcPr>
            <w:tcW w:w="3760" w:type="dxa"/>
            <w:tcBorders>
              <w:top w:val="nil"/>
              <w:left w:val="nil"/>
              <w:bottom w:val="single" w:color="auto" w:sz="4" w:space="0"/>
              <w:right w:val="single" w:color="auto" w:sz="4" w:space="0"/>
            </w:tcBorders>
            <w:vAlign w:val="center"/>
          </w:tcPr>
          <w:p w14:paraId="603310A2">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企业公示信息第三方抽查审计费彭浦镇等</w:t>
            </w:r>
          </w:p>
        </w:tc>
        <w:tc>
          <w:tcPr>
            <w:tcW w:w="1760" w:type="dxa"/>
            <w:tcBorders>
              <w:top w:val="nil"/>
              <w:left w:val="nil"/>
              <w:bottom w:val="single" w:color="auto" w:sz="4" w:space="0"/>
              <w:right w:val="single" w:color="auto" w:sz="4" w:space="0"/>
            </w:tcBorders>
            <w:noWrap/>
            <w:vAlign w:val="center"/>
          </w:tcPr>
          <w:p w14:paraId="22120227">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390000</w:t>
            </w:r>
          </w:p>
        </w:tc>
        <w:tc>
          <w:tcPr>
            <w:tcW w:w="1552" w:type="dxa"/>
            <w:tcBorders>
              <w:top w:val="nil"/>
              <w:left w:val="nil"/>
              <w:bottom w:val="single" w:color="auto" w:sz="4" w:space="0"/>
              <w:right w:val="single" w:color="auto" w:sz="4" w:space="0"/>
            </w:tcBorders>
            <w:vAlign w:val="center"/>
          </w:tcPr>
          <w:p w14:paraId="27E949D7">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0626-00008150</w:t>
            </w:r>
          </w:p>
        </w:tc>
        <w:tc>
          <w:tcPr>
            <w:tcW w:w="992" w:type="dxa"/>
            <w:tcBorders>
              <w:top w:val="nil"/>
              <w:left w:val="nil"/>
              <w:bottom w:val="single" w:color="auto" w:sz="4" w:space="0"/>
              <w:right w:val="single" w:color="auto" w:sz="4" w:space="0"/>
            </w:tcBorders>
            <w:noWrap/>
            <w:vAlign w:val="center"/>
          </w:tcPr>
          <w:p w14:paraId="3BC2955F">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150</w:t>
            </w:r>
          </w:p>
        </w:tc>
      </w:tr>
      <w:tr w14:paraId="63A4862B">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37D50B2E">
            <w:pPr>
              <w:adjustRightInd/>
              <w:snapToGrid/>
              <w:spacing w:after="0"/>
              <w:jc w:val="center"/>
              <w:rPr>
                <w:rFonts w:hint="eastAsia" w:ascii="宋体" w:hAnsi="宋体" w:eastAsia="宋体" w:cs="宋体"/>
                <w:color w:val="auto"/>
              </w:rPr>
            </w:pPr>
            <w:r>
              <w:rPr>
                <w:rFonts w:hint="eastAsia" w:ascii="宋体" w:hAnsi="宋体" w:eastAsia="宋体" w:cs="宋体"/>
                <w:color w:val="auto"/>
              </w:rPr>
              <w:t>2</w:t>
            </w:r>
          </w:p>
        </w:tc>
        <w:tc>
          <w:tcPr>
            <w:tcW w:w="3760" w:type="dxa"/>
            <w:tcBorders>
              <w:top w:val="nil"/>
              <w:left w:val="nil"/>
              <w:bottom w:val="single" w:color="auto" w:sz="4" w:space="0"/>
              <w:right w:val="single" w:color="auto" w:sz="4" w:space="0"/>
            </w:tcBorders>
            <w:vAlign w:val="center"/>
          </w:tcPr>
          <w:p w14:paraId="031AAA13">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企业公示信息第三方抽查审计费市北高新园区等</w:t>
            </w:r>
          </w:p>
        </w:tc>
        <w:tc>
          <w:tcPr>
            <w:tcW w:w="1760" w:type="dxa"/>
            <w:tcBorders>
              <w:top w:val="nil"/>
              <w:left w:val="nil"/>
              <w:bottom w:val="single" w:color="auto" w:sz="4" w:space="0"/>
              <w:right w:val="single" w:color="auto" w:sz="4" w:space="0"/>
            </w:tcBorders>
            <w:noWrap/>
            <w:vAlign w:val="center"/>
          </w:tcPr>
          <w:p w14:paraId="30FB3D85">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377000</w:t>
            </w:r>
          </w:p>
        </w:tc>
        <w:tc>
          <w:tcPr>
            <w:tcW w:w="1552" w:type="dxa"/>
            <w:tcBorders>
              <w:top w:val="nil"/>
              <w:left w:val="nil"/>
              <w:bottom w:val="single" w:color="auto" w:sz="4" w:space="0"/>
              <w:right w:val="single" w:color="auto" w:sz="4" w:space="0"/>
            </w:tcBorders>
            <w:vAlign w:val="center"/>
          </w:tcPr>
          <w:p w14:paraId="3173EE03">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0626-00008143</w:t>
            </w:r>
          </w:p>
        </w:tc>
        <w:tc>
          <w:tcPr>
            <w:tcW w:w="992" w:type="dxa"/>
            <w:tcBorders>
              <w:top w:val="nil"/>
              <w:left w:val="nil"/>
              <w:bottom w:val="single" w:color="auto" w:sz="4" w:space="0"/>
              <w:right w:val="single" w:color="auto" w:sz="4" w:space="0"/>
            </w:tcBorders>
            <w:noWrap/>
            <w:vAlign w:val="center"/>
          </w:tcPr>
          <w:p w14:paraId="477EB9A3">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145</w:t>
            </w:r>
          </w:p>
        </w:tc>
      </w:tr>
      <w:tr w14:paraId="7D2F244C">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39BC054D">
            <w:pPr>
              <w:adjustRightInd/>
              <w:snapToGrid/>
              <w:spacing w:after="0"/>
              <w:jc w:val="center"/>
              <w:rPr>
                <w:rFonts w:hint="eastAsia" w:ascii="宋体" w:hAnsi="宋体" w:eastAsia="宋体" w:cs="宋体"/>
                <w:color w:val="auto"/>
              </w:rPr>
            </w:pPr>
            <w:r>
              <w:rPr>
                <w:rFonts w:hint="eastAsia" w:ascii="宋体" w:hAnsi="宋体" w:eastAsia="宋体" w:cs="宋体"/>
                <w:color w:val="auto"/>
              </w:rPr>
              <w:t>3</w:t>
            </w:r>
          </w:p>
        </w:tc>
        <w:tc>
          <w:tcPr>
            <w:tcW w:w="3760" w:type="dxa"/>
            <w:tcBorders>
              <w:top w:val="nil"/>
              <w:left w:val="nil"/>
              <w:bottom w:val="single" w:color="auto" w:sz="4" w:space="0"/>
              <w:right w:val="single" w:color="auto" w:sz="4" w:space="0"/>
            </w:tcBorders>
            <w:vAlign w:val="center"/>
          </w:tcPr>
          <w:p w14:paraId="7D24211A">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企业公示信息第三方抽查审计费天目西路街道等</w:t>
            </w:r>
          </w:p>
        </w:tc>
        <w:tc>
          <w:tcPr>
            <w:tcW w:w="1760" w:type="dxa"/>
            <w:tcBorders>
              <w:top w:val="nil"/>
              <w:left w:val="nil"/>
              <w:bottom w:val="single" w:color="auto" w:sz="4" w:space="0"/>
              <w:right w:val="single" w:color="auto" w:sz="4" w:space="0"/>
            </w:tcBorders>
            <w:noWrap/>
            <w:vAlign w:val="center"/>
          </w:tcPr>
          <w:p w14:paraId="6E16E33F">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7F18CB03">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0626-00008145</w:t>
            </w:r>
          </w:p>
        </w:tc>
        <w:tc>
          <w:tcPr>
            <w:tcW w:w="992" w:type="dxa"/>
            <w:tcBorders>
              <w:top w:val="nil"/>
              <w:left w:val="nil"/>
              <w:bottom w:val="single" w:color="auto" w:sz="4" w:space="0"/>
              <w:right w:val="single" w:color="auto" w:sz="4" w:space="0"/>
            </w:tcBorders>
            <w:noWrap/>
            <w:vAlign w:val="center"/>
          </w:tcPr>
          <w:p w14:paraId="75313E47">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110</w:t>
            </w:r>
          </w:p>
        </w:tc>
      </w:tr>
      <w:tr w14:paraId="01E660B0">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14907737">
            <w:pPr>
              <w:adjustRightInd/>
              <w:snapToGrid/>
              <w:spacing w:after="0"/>
              <w:jc w:val="center"/>
              <w:rPr>
                <w:rFonts w:hint="eastAsia" w:ascii="宋体" w:hAnsi="宋体" w:eastAsia="宋体" w:cs="宋体"/>
                <w:color w:val="auto"/>
              </w:rPr>
            </w:pPr>
            <w:r>
              <w:rPr>
                <w:rFonts w:hint="eastAsia" w:ascii="宋体" w:hAnsi="宋体" w:eastAsia="宋体" w:cs="宋体"/>
                <w:color w:val="auto"/>
              </w:rPr>
              <w:t>4</w:t>
            </w:r>
          </w:p>
        </w:tc>
        <w:tc>
          <w:tcPr>
            <w:tcW w:w="3760" w:type="dxa"/>
            <w:tcBorders>
              <w:top w:val="nil"/>
              <w:left w:val="nil"/>
              <w:bottom w:val="single" w:color="auto" w:sz="4" w:space="0"/>
              <w:right w:val="single" w:color="auto" w:sz="4" w:space="0"/>
            </w:tcBorders>
            <w:vAlign w:val="center"/>
          </w:tcPr>
          <w:p w14:paraId="053A3959">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企业公示信息第三方抽查审计费大宁路街道等</w:t>
            </w:r>
          </w:p>
        </w:tc>
        <w:tc>
          <w:tcPr>
            <w:tcW w:w="1760" w:type="dxa"/>
            <w:tcBorders>
              <w:top w:val="nil"/>
              <w:left w:val="nil"/>
              <w:bottom w:val="single" w:color="auto" w:sz="4" w:space="0"/>
              <w:right w:val="single" w:color="auto" w:sz="4" w:space="0"/>
            </w:tcBorders>
            <w:noWrap/>
            <w:vAlign w:val="center"/>
          </w:tcPr>
          <w:p w14:paraId="25B6BFEF">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6EEDFAEE">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0626-00008155</w:t>
            </w:r>
          </w:p>
        </w:tc>
        <w:tc>
          <w:tcPr>
            <w:tcW w:w="992" w:type="dxa"/>
            <w:tcBorders>
              <w:top w:val="nil"/>
              <w:left w:val="nil"/>
              <w:bottom w:val="single" w:color="auto" w:sz="4" w:space="0"/>
              <w:right w:val="single" w:color="auto" w:sz="4" w:space="0"/>
            </w:tcBorders>
            <w:noWrap/>
            <w:vAlign w:val="center"/>
          </w:tcPr>
          <w:p w14:paraId="3AC064C3">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110</w:t>
            </w:r>
          </w:p>
        </w:tc>
      </w:tr>
      <w:tr w14:paraId="7B74FB05">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7E17FD3A">
            <w:pPr>
              <w:adjustRightInd/>
              <w:snapToGrid/>
              <w:spacing w:after="0"/>
              <w:jc w:val="center"/>
              <w:rPr>
                <w:rFonts w:hint="eastAsia" w:ascii="宋体" w:hAnsi="宋体" w:eastAsia="宋体" w:cs="宋体"/>
                <w:color w:val="auto"/>
              </w:rPr>
            </w:pPr>
            <w:r>
              <w:rPr>
                <w:rFonts w:hint="eastAsia" w:ascii="宋体" w:hAnsi="宋体" w:eastAsia="宋体" w:cs="宋体"/>
                <w:color w:val="auto"/>
              </w:rPr>
              <w:t>5</w:t>
            </w:r>
          </w:p>
        </w:tc>
        <w:tc>
          <w:tcPr>
            <w:tcW w:w="3760" w:type="dxa"/>
            <w:tcBorders>
              <w:top w:val="nil"/>
              <w:left w:val="nil"/>
              <w:bottom w:val="single" w:color="auto" w:sz="4" w:space="0"/>
              <w:right w:val="single" w:color="auto" w:sz="4" w:space="0"/>
            </w:tcBorders>
            <w:vAlign w:val="center"/>
          </w:tcPr>
          <w:p w14:paraId="795A8A3D">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企业公示信息第三方抽查审计费静安寺街道等</w:t>
            </w:r>
          </w:p>
        </w:tc>
        <w:tc>
          <w:tcPr>
            <w:tcW w:w="1760" w:type="dxa"/>
            <w:tcBorders>
              <w:top w:val="nil"/>
              <w:left w:val="nil"/>
              <w:bottom w:val="single" w:color="auto" w:sz="4" w:space="0"/>
              <w:right w:val="single" w:color="auto" w:sz="4" w:space="0"/>
            </w:tcBorders>
            <w:noWrap/>
            <w:vAlign w:val="center"/>
          </w:tcPr>
          <w:p w14:paraId="217633C8">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4EAD4F9B">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0626-00008151</w:t>
            </w:r>
          </w:p>
        </w:tc>
        <w:tc>
          <w:tcPr>
            <w:tcW w:w="992" w:type="dxa"/>
            <w:tcBorders>
              <w:top w:val="nil"/>
              <w:left w:val="nil"/>
              <w:bottom w:val="single" w:color="auto" w:sz="4" w:space="0"/>
              <w:right w:val="single" w:color="auto" w:sz="4" w:space="0"/>
            </w:tcBorders>
            <w:noWrap/>
            <w:vAlign w:val="center"/>
          </w:tcPr>
          <w:p w14:paraId="69D3BFE1">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110</w:t>
            </w:r>
          </w:p>
        </w:tc>
      </w:tr>
      <w:tr w14:paraId="1AD3B7FC">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51CED851">
            <w:pPr>
              <w:adjustRightInd/>
              <w:snapToGrid/>
              <w:spacing w:after="0"/>
              <w:jc w:val="center"/>
              <w:rPr>
                <w:rFonts w:hint="eastAsia" w:ascii="宋体" w:hAnsi="宋体" w:eastAsia="宋体" w:cs="宋体"/>
                <w:color w:val="auto"/>
              </w:rPr>
            </w:pPr>
            <w:r>
              <w:rPr>
                <w:rFonts w:hint="eastAsia" w:ascii="宋体" w:hAnsi="宋体" w:eastAsia="宋体" w:cs="宋体"/>
                <w:color w:val="auto"/>
              </w:rPr>
              <w:t>6</w:t>
            </w:r>
          </w:p>
        </w:tc>
        <w:tc>
          <w:tcPr>
            <w:tcW w:w="3760" w:type="dxa"/>
            <w:tcBorders>
              <w:top w:val="nil"/>
              <w:left w:val="nil"/>
              <w:bottom w:val="single" w:color="auto" w:sz="4" w:space="0"/>
              <w:right w:val="single" w:color="auto" w:sz="4" w:space="0"/>
            </w:tcBorders>
            <w:vAlign w:val="center"/>
          </w:tcPr>
          <w:p w14:paraId="074D6BAE">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企业公示信息第三方抽查审计费曹家渡街道等</w:t>
            </w:r>
          </w:p>
        </w:tc>
        <w:tc>
          <w:tcPr>
            <w:tcW w:w="1760" w:type="dxa"/>
            <w:tcBorders>
              <w:top w:val="nil"/>
              <w:left w:val="nil"/>
              <w:bottom w:val="single" w:color="auto" w:sz="4" w:space="0"/>
              <w:right w:val="single" w:color="auto" w:sz="4" w:space="0"/>
            </w:tcBorders>
            <w:noWrap/>
            <w:vAlign w:val="center"/>
          </w:tcPr>
          <w:p w14:paraId="402893EE">
            <w:pPr>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6FBFE142">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0626-00008153</w:t>
            </w:r>
          </w:p>
        </w:tc>
        <w:tc>
          <w:tcPr>
            <w:tcW w:w="992" w:type="dxa"/>
            <w:tcBorders>
              <w:top w:val="nil"/>
              <w:left w:val="nil"/>
              <w:bottom w:val="single" w:color="auto" w:sz="4" w:space="0"/>
              <w:right w:val="single" w:color="auto" w:sz="4" w:space="0"/>
            </w:tcBorders>
            <w:noWrap/>
            <w:vAlign w:val="center"/>
          </w:tcPr>
          <w:p w14:paraId="2F318BFA">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110</w:t>
            </w:r>
          </w:p>
        </w:tc>
      </w:tr>
      <w:tr w14:paraId="046B6EF2">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474600EF">
            <w:pPr>
              <w:adjustRightInd/>
              <w:snapToGrid/>
              <w:spacing w:after="0"/>
              <w:jc w:val="center"/>
              <w:rPr>
                <w:rFonts w:hint="eastAsia" w:ascii="宋体" w:hAnsi="宋体" w:eastAsia="宋体" w:cs="宋体"/>
                <w:color w:val="auto"/>
              </w:rPr>
            </w:pPr>
            <w:r>
              <w:rPr>
                <w:rFonts w:hint="eastAsia" w:ascii="宋体" w:hAnsi="宋体" w:eastAsia="宋体" w:cs="宋体"/>
                <w:color w:val="auto"/>
              </w:rPr>
              <w:t>7</w:t>
            </w:r>
          </w:p>
        </w:tc>
        <w:tc>
          <w:tcPr>
            <w:tcW w:w="3760" w:type="dxa"/>
            <w:tcBorders>
              <w:top w:val="nil"/>
              <w:left w:val="nil"/>
              <w:bottom w:val="single" w:color="auto" w:sz="4" w:space="0"/>
              <w:right w:val="single" w:color="auto" w:sz="4" w:space="0"/>
            </w:tcBorders>
            <w:vAlign w:val="center"/>
          </w:tcPr>
          <w:p w14:paraId="639EA81D">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企业公示信息第三方抽查审计费南京西路街道等</w:t>
            </w:r>
          </w:p>
        </w:tc>
        <w:tc>
          <w:tcPr>
            <w:tcW w:w="1760" w:type="dxa"/>
            <w:tcBorders>
              <w:top w:val="nil"/>
              <w:left w:val="nil"/>
              <w:bottom w:val="single" w:color="auto" w:sz="4" w:space="0"/>
              <w:right w:val="single" w:color="auto" w:sz="4" w:space="0"/>
            </w:tcBorders>
            <w:noWrap/>
            <w:vAlign w:val="center"/>
          </w:tcPr>
          <w:p w14:paraId="58A451D3">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32E3FE12">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0626-00008147</w:t>
            </w:r>
          </w:p>
        </w:tc>
        <w:tc>
          <w:tcPr>
            <w:tcW w:w="992" w:type="dxa"/>
            <w:tcBorders>
              <w:top w:val="nil"/>
              <w:left w:val="nil"/>
              <w:bottom w:val="single" w:color="auto" w:sz="4" w:space="0"/>
              <w:right w:val="single" w:color="auto" w:sz="4" w:space="0"/>
            </w:tcBorders>
            <w:noWrap/>
            <w:vAlign w:val="center"/>
          </w:tcPr>
          <w:p w14:paraId="6F96BA06">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110</w:t>
            </w:r>
          </w:p>
        </w:tc>
      </w:tr>
      <w:tr w14:paraId="433B3044">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288BE9A5">
            <w:pPr>
              <w:adjustRightInd/>
              <w:snapToGrid/>
              <w:spacing w:after="0"/>
              <w:jc w:val="center"/>
              <w:rPr>
                <w:rFonts w:hint="eastAsia" w:ascii="宋体" w:hAnsi="宋体" w:eastAsia="宋体" w:cs="宋体"/>
                <w:color w:val="auto"/>
              </w:rPr>
            </w:pPr>
            <w:r>
              <w:rPr>
                <w:rFonts w:hint="eastAsia" w:ascii="宋体" w:hAnsi="宋体" w:eastAsia="宋体" w:cs="宋体"/>
                <w:color w:val="auto"/>
              </w:rPr>
              <w:t>8</w:t>
            </w:r>
          </w:p>
        </w:tc>
        <w:tc>
          <w:tcPr>
            <w:tcW w:w="3760" w:type="dxa"/>
            <w:tcBorders>
              <w:top w:val="nil"/>
              <w:left w:val="nil"/>
              <w:bottom w:val="single" w:color="auto" w:sz="4" w:space="0"/>
              <w:right w:val="single" w:color="auto" w:sz="4" w:space="0"/>
            </w:tcBorders>
            <w:vAlign w:val="center"/>
          </w:tcPr>
          <w:p w14:paraId="1A8F2D78">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企业公示信息第三方抽查审计费共和新路街道等</w:t>
            </w:r>
          </w:p>
        </w:tc>
        <w:tc>
          <w:tcPr>
            <w:tcW w:w="1760" w:type="dxa"/>
            <w:tcBorders>
              <w:top w:val="nil"/>
              <w:left w:val="nil"/>
              <w:bottom w:val="single" w:color="auto" w:sz="4" w:space="0"/>
              <w:right w:val="single" w:color="auto" w:sz="4" w:space="0"/>
            </w:tcBorders>
            <w:noWrap/>
            <w:vAlign w:val="center"/>
          </w:tcPr>
          <w:p w14:paraId="01D015DC">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26E3546B">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0626-00008152</w:t>
            </w:r>
          </w:p>
        </w:tc>
        <w:tc>
          <w:tcPr>
            <w:tcW w:w="992" w:type="dxa"/>
            <w:tcBorders>
              <w:top w:val="nil"/>
              <w:left w:val="nil"/>
              <w:bottom w:val="single" w:color="auto" w:sz="4" w:space="0"/>
              <w:right w:val="single" w:color="auto" w:sz="4" w:space="0"/>
            </w:tcBorders>
            <w:noWrap/>
            <w:vAlign w:val="center"/>
          </w:tcPr>
          <w:p w14:paraId="7A2A48E3">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110</w:t>
            </w:r>
          </w:p>
        </w:tc>
      </w:tr>
      <w:tr w14:paraId="26069F44">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noWrap/>
            <w:vAlign w:val="center"/>
          </w:tcPr>
          <w:p w14:paraId="50B767A9">
            <w:pPr>
              <w:adjustRightInd/>
              <w:snapToGrid/>
              <w:spacing w:after="0"/>
              <w:jc w:val="center"/>
              <w:rPr>
                <w:rFonts w:hint="eastAsia" w:ascii="宋体" w:hAnsi="宋体" w:eastAsia="宋体" w:cs="宋体"/>
                <w:color w:val="auto"/>
              </w:rPr>
            </w:pPr>
            <w:r>
              <w:rPr>
                <w:rFonts w:hint="eastAsia" w:ascii="宋体" w:hAnsi="宋体" w:eastAsia="宋体" w:cs="宋体"/>
                <w:color w:val="auto"/>
              </w:rPr>
              <w:t>9</w:t>
            </w:r>
          </w:p>
        </w:tc>
        <w:tc>
          <w:tcPr>
            <w:tcW w:w="3760" w:type="dxa"/>
            <w:tcBorders>
              <w:top w:val="nil"/>
              <w:left w:val="nil"/>
              <w:bottom w:val="single" w:color="auto" w:sz="4" w:space="0"/>
              <w:right w:val="single" w:color="auto" w:sz="4" w:space="0"/>
            </w:tcBorders>
            <w:vAlign w:val="center"/>
          </w:tcPr>
          <w:p w14:paraId="271098C3">
            <w:pPr>
              <w:adjustRightInd/>
              <w:snapToGrid/>
              <w:spacing w:after="0"/>
              <w:jc w:val="center"/>
              <w:rPr>
                <w:rFonts w:hint="eastAsia" w:ascii="宋体" w:hAnsi="宋体" w:eastAsia="宋体" w:cs="宋体"/>
                <w:color w:val="auto"/>
              </w:rPr>
            </w:pPr>
            <w:r>
              <w:rPr>
                <w:rFonts w:hint="eastAsia" w:ascii="宋体" w:hAnsi="宋体" w:eastAsia="宋体" w:cs="宋体"/>
                <w:color w:val="auto"/>
              </w:rPr>
              <w:t>企业公示信息第三方抽查审计费江宁路街道等</w:t>
            </w:r>
          </w:p>
        </w:tc>
        <w:tc>
          <w:tcPr>
            <w:tcW w:w="1760" w:type="dxa"/>
            <w:tcBorders>
              <w:top w:val="nil"/>
              <w:left w:val="nil"/>
              <w:bottom w:val="single" w:color="auto" w:sz="4" w:space="0"/>
              <w:right w:val="single" w:color="auto" w:sz="4" w:space="0"/>
            </w:tcBorders>
            <w:noWrap/>
            <w:vAlign w:val="center"/>
          </w:tcPr>
          <w:p w14:paraId="42C12690">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287000</w:t>
            </w:r>
          </w:p>
        </w:tc>
        <w:tc>
          <w:tcPr>
            <w:tcW w:w="1552" w:type="dxa"/>
            <w:tcBorders>
              <w:top w:val="nil"/>
              <w:left w:val="nil"/>
              <w:bottom w:val="single" w:color="auto" w:sz="4" w:space="0"/>
              <w:right w:val="single" w:color="auto" w:sz="4" w:space="0"/>
            </w:tcBorders>
            <w:vAlign w:val="center"/>
          </w:tcPr>
          <w:p w14:paraId="06F14539">
            <w:pPr>
              <w:adjustRightInd/>
              <w:snapToGrid/>
              <w:spacing w:after="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0626-00008148</w:t>
            </w:r>
          </w:p>
        </w:tc>
        <w:tc>
          <w:tcPr>
            <w:tcW w:w="992" w:type="dxa"/>
            <w:tcBorders>
              <w:top w:val="nil"/>
              <w:left w:val="nil"/>
              <w:bottom w:val="single" w:color="auto" w:sz="4" w:space="0"/>
              <w:right w:val="single" w:color="auto" w:sz="4" w:space="0"/>
            </w:tcBorders>
            <w:noWrap/>
            <w:vAlign w:val="center"/>
          </w:tcPr>
          <w:p w14:paraId="70F94630">
            <w:pPr>
              <w:jc w:val="center"/>
              <w:rPr>
                <w:rFonts w:hint="eastAsia" w:asciiTheme="minorEastAsia" w:hAnsiTheme="minorEastAsia" w:eastAsiaTheme="minorEastAsia"/>
                <w:color w:val="auto"/>
              </w:rPr>
            </w:pPr>
            <w:r>
              <w:rPr>
                <w:rFonts w:hint="eastAsia" w:cs="宋体" w:asciiTheme="minorEastAsia" w:hAnsiTheme="minorEastAsia" w:eastAsiaTheme="minorEastAsia"/>
                <w:color w:val="auto"/>
              </w:rPr>
              <w:t>110</w:t>
            </w:r>
          </w:p>
        </w:tc>
      </w:tr>
    </w:tbl>
    <w:p w14:paraId="46C7412F">
      <w:pPr>
        <w:pStyle w:val="3"/>
        <w:spacing w:line="420" w:lineRule="exact"/>
        <w:rPr>
          <w:color w:val="auto"/>
        </w:rPr>
      </w:pPr>
    </w:p>
    <w:p w14:paraId="651C7493">
      <w:pPr>
        <w:pStyle w:val="3"/>
        <w:spacing w:line="420" w:lineRule="exact"/>
        <w:ind w:firstLine="0"/>
        <w:rPr>
          <w:rFonts w:hint="eastAsia" w:hAnsi="宋体" w:cs="宋体"/>
          <w:b/>
          <w:color w:val="auto"/>
          <w:sz w:val="24"/>
          <w:szCs w:val="24"/>
        </w:rPr>
      </w:pPr>
      <w:bookmarkStart w:id="0" w:name="_GoBack"/>
      <w:r>
        <w:rPr>
          <w:rFonts w:hint="eastAsia" w:hAnsi="宋体" w:cs="宋体"/>
          <w:b/>
          <w:color w:val="auto"/>
          <w:sz w:val="24"/>
          <w:szCs w:val="24"/>
        </w:rPr>
        <w:t>六、付款方式</w:t>
      </w:r>
    </w:p>
    <w:bookmarkEnd w:id="0"/>
    <w:p w14:paraId="0FB116B4">
      <w:pPr>
        <w:pStyle w:val="3"/>
        <w:spacing w:line="420" w:lineRule="exact"/>
        <w:ind w:firstLine="480" w:firstLineChars="200"/>
        <w:rPr>
          <w:rFonts w:hint="eastAsia" w:hAnsi="宋体" w:cs="宋体"/>
          <w:snapToGrid/>
          <w:color w:val="auto"/>
          <w:kern w:val="2"/>
          <w:sz w:val="24"/>
          <w:szCs w:val="24"/>
        </w:rPr>
      </w:pPr>
      <w:r>
        <w:rPr>
          <w:rFonts w:hint="eastAsia" w:hAnsi="宋体" w:cs="宋体"/>
          <w:snapToGrid/>
          <w:color w:val="auto"/>
          <w:kern w:val="2"/>
          <w:sz w:val="24"/>
          <w:szCs w:val="24"/>
        </w:rPr>
        <w:t>签订合同后，分两期结算。第一期签订合同后按照中标金额支付20%，第二期根据“中标价/预计工作量*实际工作量-第一期款项”行结算。</w:t>
      </w:r>
    </w:p>
    <w:p w14:paraId="17C0AF11">
      <w:pPr>
        <w:pStyle w:val="3"/>
        <w:spacing w:line="420" w:lineRule="exact"/>
        <w:ind w:firstLine="480" w:firstLineChars="200"/>
        <w:rPr>
          <w:rFonts w:hint="eastAsia" w:hAnsi="宋体" w:cs="宋体"/>
          <w:snapToGrid/>
          <w:color w:val="auto"/>
          <w:kern w:val="2"/>
          <w:sz w:val="24"/>
          <w:szCs w:val="24"/>
        </w:rPr>
      </w:pPr>
    </w:p>
    <w:p w14:paraId="5608D114">
      <w:pPr>
        <w:pStyle w:val="3"/>
        <w:spacing w:line="420" w:lineRule="exact"/>
        <w:ind w:firstLine="0"/>
        <w:rPr>
          <w:rFonts w:hint="eastAsia" w:hAnsi="宋体" w:cs="宋体"/>
          <w:b/>
          <w:color w:val="auto"/>
          <w:sz w:val="24"/>
          <w:szCs w:val="24"/>
          <w:lang w:val="en"/>
        </w:rPr>
      </w:pPr>
      <w:r>
        <w:rPr>
          <w:rFonts w:hint="eastAsia" w:hAnsi="宋体" w:cs="宋体"/>
          <w:b/>
          <w:color w:val="auto"/>
          <w:sz w:val="24"/>
          <w:szCs w:val="24"/>
          <w:lang w:val="en"/>
        </w:rPr>
        <w:t>七、其它要求</w:t>
      </w:r>
    </w:p>
    <w:p w14:paraId="2B49C50F">
      <w:pPr>
        <w:pStyle w:val="3"/>
        <w:spacing w:line="420" w:lineRule="exact"/>
        <w:ind w:firstLine="480" w:firstLineChars="200"/>
        <w:rPr>
          <w:rFonts w:hint="eastAsia" w:hAnsi="宋体" w:cs="宋体"/>
          <w:snapToGrid/>
          <w:color w:val="auto"/>
          <w:kern w:val="2"/>
          <w:sz w:val="24"/>
          <w:szCs w:val="24"/>
        </w:rPr>
      </w:pPr>
      <w:r>
        <w:rPr>
          <w:rFonts w:hint="eastAsia" w:hAnsi="宋体" w:cs="宋体"/>
          <w:snapToGrid/>
          <w:color w:val="auto"/>
          <w:kern w:val="2"/>
          <w:sz w:val="24"/>
          <w:szCs w:val="24"/>
        </w:rPr>
        <w:t>1、供应商需提供针对本项目的需求理解，包括服务定位的分析及其举措，预期目标设定的合理性；项目重点难点的分析深度，应对或改进措施的情况；同时根据需求理解针对本项目的贴切度、理解度等相关内容文案。</w:t>
      </w:r>
    </w:p>
    <w:p w14:paraId="48198D4A">
      <w:pPr>
        <w:pStyle w:val="3"/>
        <w:spacing w:line="420" w:lineRule="exact"/>
        <w:ind w:firstLine="480" w:firstLineChars="200"/>
        <w:rPr>
          <w:rFonts w:hint="eastAsia" w:hAnsi="宋体" w:cs="宋体"/>
          <w:snapToGrid/>
          <w:color w:val="auto"/>
          <w:kern w:val="2"/>
          <w:sz w:val="24"/>
          <w:szCs w:val="24"/>
        </w:rPr>
      </w:pPr>
      <w:r>
        <w:rPr>
          <w:rFonts w:hint="eastAsia" w:hAnsi="宋体" w:cs="宋体"/>
          <w:snapToGrid/>
          <w:color w:val="auto"/>
          <w:kern w:val="2"/>
          <w:sz w:val="24"/>
          <w:szCs w:val="24"/>
        </w:rPr>
        <w:t>2、供应商需提供针对本项目的服务方案，包括审计内部控制、审计质量控制、审计进度控制、审计责任管理、保密管理措施等内容。</w:t>
      </w:r>
    </w:p>
    <w:p w14:paraId="174E3C9B">
      <w:pPr>
        <w:pStyle w:val="3"/>
        <w:spacing w:line="420" w:lineRule="exact"/>
        <w:ind w:firstLine="480" w:firstLineChars="200"/>
        <w:rPr>
          <w:rFonts w:hint="eastAsia" w:hAnsi="宋体" w:cs="宋体"/>
          <w:color w:val="auto"/>
          <w:sz w:val="21"/>
          <w:szCs w:val="21"/>
        </w:rPr>
      </w:pPr>
      <w:r>
        <w:rPr>
          <w:rFonts w:hint="eastAsia" w:hAnsi="宋体" w:cs="宋体"/>
          <w:snapToGrid/>
          <w:color w:val="auto"/>
          <w:kern w:val="2"/>
          <w:sz w:val="24"/>
          <w:szCs w:val="24"/>
        </w:rPr>
        <w:t>3、</w:t>
      </w:r>
      <w:r>
        <w:rPr>
          <w:rFonts w:hint="eastAsia" w:hAnsi="宋体" w:cs="宋体"/>
          <w:color w:val="auto"/>
          <w:sz w:val="22"/>
          <w:szCs w:val="22"/>
        </w:rPr>
        <w:t>供应商根据项目需求作出服务响应时间节点和确保项目组人员的承诺方案；特色服务的承诺方案；</w:t>
      </w:r>
      <w:r>
        <w:rPr>
          <w:rFonts w:hint="eastAsia" w:hAnsi="宋体" w:cs="宋体"/>
          <w:color w:val="auto"/>
          <w:sz w:val="21"/>
          <w:szCs w:val="21"/>
        </w:rPr>
        <w:t>如发生人员调动等突发情况的所作的预案或者措施等。</w:t>
      </w:r>
    </w:p>
    <w:p w14:paraId="2F77CF4A">
      <w:pPr>
        <w:pStyle w:val="3"/>
        <w:spacing w:line="420" w:lineRule="exact"/>
        <w:ind w:firstLine="480" w:firstLineChars="200"/>
        <w:rPr>
          <w:rFonts w:hint="eastAsia" w:hAnsi="宋体" w:cs="宋体"/>
          <w:snapToGrid/>
          <w:color w:val="auto"/>
          <w:kern w:val="2"/>
          <w:sz w:val="24"/>
          <w:szCs w:val="24"/>
        </w:rPr>
      </w:pPr>
      <w:r>
        <w:rPr>
          <w:rFonts w:hint="eastAsia" w:hAnsi="宋体" w:cs="宋体"/>
          <w:snapToGrid/>
          <w:color w:val="auto"/>
          <w:kern w:val="2"/>
          <w:sz w:val="24"/>
          <w:szCs w:val="24"/>
        </w:rPr>
        <w:t>4、供应商需提供满足本项目的人员，其中包括项目负责人及项目组人员。负责人需提供最近一个季度为项目负责人依法缴纳社保费的证明材料；全体人员需提供学历、工作经历、职称等相关证明材料。</w:t>
      </w:r>
    </w:p>
    <w:p w14:paraId="0BE1CEB9">
      <w:pPr>
        <w:pStyle w:val="3"/>
        <w:spacing w:line="420" w:lineRule="exact"/>
        <w:ind w:firstLine="480" w:firstLineChars="200"/>
        <w:rPr>
          <w:rFonts w:hint="eastAsia" w:hAnsi="宋体" w:cs="宋体"/>
          <w:snapToGrid/>
          <w:color w:val="auto"/>
          <w:kern w:val="2"/>
          <w:sz w:val="24"/>
          <w:szCs w:val="24"/>
        </w:rPr>
      </w:pPr>
      <w:r>
        <w:rPr>
          <w:rFonts w:hint="eastAsia" w:hAnsi="宋体" w:cs="宋体"/>
          <w:snapToGrid/>
          <w:color w:val="auto"/>
          <w:kern w:val="2"/>
          <w:sz w:val="24"/>
          <w:szCs w:val="24"/>
        </w:rPr>
        <w:t>5、供应商需提供其他增值服务如对相关人员进行会计培训、政策培训等相关内容。</w:t>
      </w:r>
    </w:p>
    <w:p w14:paraId="70C44DB2">
      <w:pPr>
        <w:pStyle w:val="3"/>
        <w:spacing w:line="420" w:lineRule="exact"/>
        <w:ind w:firstLine="480" w:firstLineChars="200"/>
        <w:rPr>
          <w:rFonts w:hint="eastAsia" w:hAnsi="宋体" w:cs="宋体"/>
          <w:color w:val="auto"/>
          <w:sz w:val="24"/>
          <w:szCs w:val="24"/>
        </w:rPr>
      </w:pPr>
    </w:p>
    <w:p w14:paraId="35E5923C">
      <w:pPr>
        <w:spacing w:line="420" w:lineRule="exact"/>
        <w:jc w:val="right"/>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上海市静安区市场监督管理局</w:t>
      </w:r>
    </w:p>
    <w:p w14:paraId="4327E947">
      <w:pPr>
        <w:spacing w:line="420" w:lineRule="exact"/>
        <w:jc w:val="right"/>
        <w:rPr>
          <w:rFonts w:hint="eastAsia" w:ascii="宋体" w:hAnsi="宋体" w:eastAsia="宋体" w:cs="宋体"/>
          <w:b/>
          <w:bCs/>
          <w:color w:val="auto"/>
          <w:kern w:val="44"/>
          <w:sz w:val="36"/>
          <w:szCs w:val="44"/>
        </w:rPr>
      </w:pPr>
      <w:r>
        <w:rPr>
          <w:rFonts w:hint="eastAsia" w:ascii="宋体" w:hAnsi="宋体" w:eastAsia="宋体" w:cs="宋体"/>
          <w:color w:val="auto"/>
          <w:sz w:val="24"/>
          <w:szCs w:val="21"/>
        </w:rPr>
        <w:t>2026年6月</w:t>
      </w:r>
    </w:p>
    <w:sectPr>
      <w:headerReference r:id="rId4" w:type="default"/>
      <w:footerReference r:id="rId5"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1370">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14:paraId="49409FE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57E0">
    <w:pPr>
      <w:pStyle w:val="9"/>
      <w:pBdr>
        <w:bottom w:val="none" w:color="auto" w:sz="0" w:space="1"/>
      </w:pBdr>
      <w:tabs>
        <w:tab w:val="center" w:pos="4706"/>
        <w:tab w:val="right" w:pos="9412"/>
        <w:tab w:val="clear" w:pos="4153"/>
        <w:tab w:val="clear" w:pos="8306"/>
      </w:tabs>
      <w:jc w:val="right"/>
      <w:rPr>
        <w:rFonts w:hint="eastAsia" w:ascii="仿宋" w:hAnsi="仿宋" w:eastAsia="仿宋"/>
      </w:rPr>
    </w:pPr>
    <w:r>
      <w:rPr>
        <w:rFonts w:ascii="仿宋" w:hAnsi="仿宋" w:eastAsia="仿宋"/>
      </w:rPr>
      <w:tab/>
    </w:r>
    <w:r>
      <w:rPr>
        <w:rFonts w:ascii="仿宋" w:hAnsi="仿宋" w:eastAsia="仿宋"/>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0NzBkMGI4ODVkYmZmZjk0Y2ZiMTgyM2VjMzc4ZmQifQ=="/>
  </w:docVars>
  <w:rsids>
    <w:rsidRoot w:val="00D31D50"/>
    <w:rsid w:val="000074C4"/>
    <w:rsid w:val="0001235D"/>
    <w:rsid w:val="00023CF4"/>
    <w:rsid w:val="00030A54"/>
    <w:rsid w:val="00043AD6"/>
    <w:rsid w:val="000736D6"/>
    <w:rsid w:val="00087693"/>
    <w:rsid w:val="00093728"/>
    <w:rsid w:val="0009586C"/>
    <w:rsid w:val="000A2C33"/>
    <w:rsid w:val="000D75DA"/>
    <w:rsid w:val="000E60E6"/>
    <w:rsid w:val="00133A09"/>
    <w:rsid w:val="00150136"/>
    <w:rsid w:val="00192658"/>
    <w:rsid w:val="001F2374"/>
    <w:rsid w:val="002142F0"/>
    <w:rsid w:val="002145E3"/>
    <w:rsid w:val="0021759B"/>
    <w:rsid w:val="00221E0B"/>
    <w:rsid w:val="00224EDA"/>
    <w:rsid w:val="00240C19"/>
    <w:rsid w:val="0024202A"/>
    <w:rsid w:val="00256958"/>
    <w:rsid w:val="002A7838"/>
    <w:rsid w:val="002C5534"/>
    <w:rsid w:val="002C6A89"/>
    <w:rsid w:val="002E3D8A"/>
    <w:rsid w:val="0031184F"/>
    <w:rsid w:val="003157E3"/>
    <w:rsid w:val="00323B43"/>
    <w:rsid w:val="00337059"/>
    <w:rsid w:val="00342DD4"/>
    <w:rsid w:val="00367243"/>
    <w:rsid w:val="00380E4B"/>
    <w:rsid w:val="003B4D85"/>
    <w:rsid w:val="003D37D8"/>
    <w:rsid w:val="003F5C4E"/>
    <w:rsid w:val="00426133"/>
    <w:rsid w:val="004358AB"/>
    <w:rsid w:val="00457E8A"/>
    <w:rsid w:val="00473338"/>
    <w:rsid w:val="0048618E"/>
    <w:rsid w:val="004B0AA4"/>
    <w:rsid w:val="004D1DCB"/>
    <w:rsid w:val="004F5BB4"/>
    <w:rsid w:val="00513998"/>
    <w:rsid w:val="005830FD"/>
    <w:rsid w:val="0059505C"/>
    <w:rsid w:val="005A1064"/>
    <w:rsid w:val="005A35E6"/>
    <w:rsid w:val="005C20F6"/>
    <w:rsid w:val="005D2976"/>
    <w:rsid w:val="005D7CC6"/>
    <w:rsid w:val="005E119F"/>
    <w:rsid w:val="005F03B8"/>
    <w:rsid w:val="005F0DD0"/>
    <w:rsid w:val="006319A2"/>
    <w:rsid w:val="00661C40"/>
    <w:rsid w:val="0066774D"/>
    <w:rsid w:val="00671329"/>
    <w:rsid w:val="006829B5"/>
    <w:rsid w:val="006D0474"/>
    <w:rsid w:val="006E1C05"/>
    <w:rsid w:val="006E3ADA"/>
    <w:rsid w:val="00717E13"/>
    <w:rsid w:val="00725C4D"/>
    <w:rsid w:val="00750D45"/>
    <w:rsid w:val="00766795"/>
    <w:rsid w:val="0077340D"/>
    <w:rsid w:val="007B1712"/>
    <w:rsid w:val="007C52BF"/>
    <w:rsid w:val="007D0BCE"/>
    <w:rsid w:val="00811235"/>
    <w:rsid w:val="00816494"/>
    <w:rsid w:val="008702F0"/>
    <w:rsid w:val="008B562E"/>
    <w:rsid w:val="008B7726"/>
    <w:rsid w:val="008E0B7A"/>
    <w:rsid w:val="00940FBC"/>
    <w:rsid w:val="00945F1E"/>
    <w:rsid w:val="0097371C"/>
    <w:rsid w:val="00982D87"/>
    <w:rsid w:val="0098732F"/>
    <w:rsid w:val="009F61FD"/>
    <w:rsid w:val="00A4289B"/>
    <w:rsid w:val="00A50A4A"/>
    <w:rsid w:val="00A65F5C"/>
    <w:rsid w:val="00A7437E"/>
    <w:rsid w:val="00AF79EB"/>
    <w:rsid w:val="00B22C6D"/>
    <w:rsid w:val="00B24C34"/>
    <w:rsid w:val="00BA3C08"/>
    <w:rsid w:val="00BB7C0B"/>
    <w:rsid w:val="00BD04AF"/>
    <w:rsid w:val="00BD2C9A"/>
    <w:rsid w:val="00C041B1"/>
    <w:rsid w:val="00C1784D"/>
    <w:rsid w:val="00C469C6"/>
    <w:rsid w:val="00C557E0"/>
    <w:rsid w:val="00C851C4"/>
    <w:rsid w:val="00C85605"/>
    <w:rsid w:val="00CB4314"/>
    <w:rsid w:val="00CC7E51"/>
    <w:rsid w:val="00CD2182"/>
    <w:rsid w:val="00CE2961"/>
    <w:rsid w:val="00CF48E8"/>
    <w:rsid w:val="00D16D77"/>
    <w:rsid w:val="00D21146"/>
    <w:rsid w:val="00D31061"/>
    <w:rsid w:val="00D31D50"/>
    <w:rsid w:val="00D33A49"/>
    <w:rsid w:val="00D97749"/>
    <w:rsid w:val="00DA4696"/>
    <w:rsid w:val="00DA4B22"/>
    <w:rsid w:val="00DB59D6"/>
    <w:rsid w:val="00E31DB9"/>
    <w:rsid w:val="00E52F55"/>
    <w:rsid w:val="00E53FCE"/>
    <w:rsid w:val="00EE2D4C"/>
    <w:rsid w:val="00F026F3"/>
    <w:rsid w:val="00F02C6F"/>
    <w:rsid w:val="00F06F24"/>
    <w:rsid w:val="00F30DB9"/>
    <w:rsid w:val="00F437E9"/>
    <w:rsid w:val="00F45CB5"/>
    <w:rsid w:val="00F463DD"/>
    <w:rsid w:val="00F54195"/>
    <w:rsid w:val="00F94F04"/>
    <w:rsid w:val="00FB6441"/>
    <w:rsid w:val="00FC2426"/>
    <w:rsid w:val="00FF27A1"/>
    <w:rsid w:val="07AA0D3A"/>
    <w:rsid w:val="09CA5E0B"/>
    <w:rsid w:val="0E5139F9"/>
    <w:rsid w:val="0EB0193C"/>
    <w:rsid w:val="0F433FBF"/>
    <w:rsid w:val="102B1FC9"/>
    <w:rsid w:val="12C244E9"/>
    <w:rsid w:val="14804594"/>
    <w:rsid w:val="16A66139"/>
    <w:rsid w:val="193D065F"/>
    <w:rsid w:val="1AC34665"/>
    <w:rsid w:val="22B775F7"/>
    <w:rsid w:val="25925ADB"/>
    <w:rsid w:val="3B9613C6"/>
    <w:rsid w:val="3C6B77EC"/>
    <w:rsid w:val="41FD0B1C"/>
    <w:rsid w:val="468C717A"/>
    <w:rsid w:val="4BFD7A65"/>
    <w:rsid w:val="4FBE2067"/>
    <w:rsid w:val="525162A7"/>
    <w:rsid w:val="53380807"/>
    <w:rsid w:val="5A062E08"/>
    <w:rsid w:val="5BE54DDA"/>
    <w:rsid w:val="5C440E31"/>
    <w:rsid w:val="5F1024F8"/>
    <w:rsid w:val="63090B08"/>
    <w:rsid w:val="66BB0F39"/>
    <w:rsid w:val="67026F0E"/>
    <w:rsid w:val="71B21CC8"/>
    <w:rsid w:val="71F9161F"/>
    <w:rsid w:val="76D336FD"/>
    <w:rsid w:val="7FAE6A38"/>
    <w:rsid w:val="F47FE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widowControl w:val="0"/>
      <w:tabs>
        <w:tab w:val="left" w:pos="1473"/>
      </w:tabs>
      <w:snapToGrid/>
      <w:spacing w:before="260" w:after="260" w:line="416" w:lineRule="atLeast"/>
      <w:ind w:left="1473" w:hanging="720"/>
      <w:jc w:val="both"/>
      <w:textAlignment w:val="baseline"/>
      <w:outlineLvl w:val="1"/>
    </w:pPr>
    <w:rPr>
      <w:rFonts w:ascii="Arial" w:hAnsi="Arial" w:eastAsia="黑体" w:cs="Times New Roman"/>
      <w:b/>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spacing w:after="0" w:line="480" w:lineRule="exact"/>
      <w:ind w:firstLine="567"/>
      <w:jc w:val="both"/>
    </w:pPr>
    <w:rPr>
      <w:rFonts w:ascii="宋体" w:hAnsi="Times New Roman" w:eastAsia="宋体" w:cs="Times New Roman"/>
      <w:snapToGrid w:val="0"/>
      <w:color w:val="000000"/>
      <w:kern w:val="28"/>
      <w:sz w:val="28"/>
      <w:szCs w:val="20"/>
    </w:rPr>
  </w:style>
  <w:style w:type="paragraph" w:styleId="4">
    <w:name w:val="Document Map"/>
    <w:basedOn w:val="1"/>
    <w:link w:val="18"/>
    <w:semiHidden/>
    <w:unhideWhenUsed/>
    <w:qFormat/>
    <w:uiPriority w:val="99"/>
    <w:rPr>
      <w:rFonts w:ascii="宋体" w:eastAsia="宋体"/>
      <w:sz w:val="18"/>
      <w:szCs w:val="18"/>
    </w:rPr>
  </w:style>
  <w:style w:type="paragraph" w:styleId="5">
    <w:name w:val="Body Text"/>
    <w:basedOn w:val="1"/>
    <w:qFormat/>
    <w:uiPriority w:val="0"/>
    <w:pPr>
      <w:spacing w:line="360" w:lineRule="auto"/>
    </w:pPr>
    <w:rPr>
      <w:sz w:val="24"/>
      <w:szCs w:val="20"/>
    </w:rPr>
  </w:style>
  <w:style w:type="paragraph" w:styleId="6">
    <w:name w:val="Body Text Indent"/>
    <w:basedOn w:val="1"/>
    <w:qFormat/>
    <w:uiPriority w:val="99"/>
    <w:pPr>
      <w:widowControl w:val="0"/>
      <w:adjustRightInd/>
      <w:snapToGrid/>
      <w:spacing w:after="120"/>
      <w:ind w:left="420" w:leftChars="200"/>
      <w:jc w:val="both"/>
    </w:pPr>
    <w:rPr>
      <w:rFonts w:ascii="Times New Roman" w:hAnsi="Times New Roman" w:eastAsia="宋体"/>
      <w:kern w:val="2"/>
      <w:sz w:val="21"/>
      <w:szCs w:val="24"/>
    </w:rPr>
  </w:style>
  <w:style w:type="paragraph" w:styleId="7">
    <w:name w:val="Plain Text"/>
    <w:basedOn w:val="1"/>
    <w:link w:val="21"/>
    <w:qFormat/>
    <w:uiPriority w:val="0"/>
    <w:pPr>
      <w:widowControl w:val="0"/>
      <w:adjustRightInd/>
      <w:snapToGrid/>
      <w:spacing w:after="0"/>
      <w:jc w:val="both"/>
    </w:pPr>
    <w:rPr>
      <w:rFonts w:ascii="宋体" w:hAnsi="Courier New" w:eastAsia="宋体" w:cs="Times New Roman"/>
      <w:kern w:val="2"/>
      <w:sz w:val="21"/>
      <w:szCs w:val="20"/>
    </w:rPr>
  </w:style>
  <w:style w:type="paragraph" w:styleId="8">
    <w:name w:val="footer"/>
    <w:basedOn w:val="1"/>
    <w:link w:val="20"/>
    <w:unhideWhenUsed/>
    <w:qFormat/>
    <w:uiPriority w:val="99"/>
    <w:pPr>
      <w:tabs>
        <w:tab w:val="center" w:pos="4153"/>
        <w:tab w:val="right" w:pos="8306"/>
      </w:tabs>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qFormat/>
    <w:uiPriority w:val="0"/>
    <w:pPr>
      <w:spacing w:before="100" w:beforeAutospacing="1" w:after="100" w:afterAutospacing="1" w:line="360" w:lineRule="auto"/>
      <w:ind w:firstLine="316"/>
    </w:pPr>
    <w:rPr>
      <w:rFonts w:ascii="宋体" w:hAnsi="宋体" w:cs="宋体"/>
    </w:rPr>
  </w:style>
  <w:style w:type="paragraph" w:styleId="11">
    <w:name w:val="Body Text First Indent 2"/>
    <w:basedOn w:val="6"/>
    <w:unhideWhenUsed/>
    <w:qFormat/>
    <w:uiPriority w:val="0"/>
    <w:pPr>
      <w:ind w:firstLine="420" w:firstLineChars="200"/>
    </w:pPr>
    <w:rPr>
      <w:sz w:val="30"/>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unhideWhenUsed/>
    <w:qFormat/>
    <w:uiPriority w:val="0"/>
    <w:rPr>
      <w:color w:val="000066"/>
      <w:sz w:val="18"/>
      <w:szCs w:val="18"/>
      <w:u w:val="none"/>
    </w:rPr>
  </w:style>
  <w:style w:type="character" w:customStyle="1" w:styleId="17">
    <w:name w:val="正文缩进 字符"/>
    <w:link w:val="3"/>
    <w:qFormat/>
    <w:uiPriority w:val="0"/>
    <w:rPr>
      <w:rFonts w:ascii="宋体" w:hAnsi="Times New Roman" w:eastAsia="宋体" w:cs="Times New Roman"/>
      <w:snapToGrid w:val="0"/>
      <w:color w:val="000000"/>
      <w:kern w:val="28"/>
      <w:sz w:val="28"/>
      <w:szCs w:val="20"/>
    </w:rPr>
  </w:style>
  <w:style w:type="character" w:customStyle="1" w:styleId="18">
    <w:name w:val="文档结构图 字符"/>
    <w:basedOn w:val="14"/>
    <w:link w:val="4"/>
    <w:semiHidden/>
    <w:qFormat/>
    <w:uiPriority w:val="99"/>
    <w:rPr>
      <w:rFonts w:ascii="宋体" w:hAnsi="Tahoma" w:eastAsia="宋体"/>
      <w:sz w:val="18"/>
      <w:szCs w:val="18"/>
    </w:rPr>
  </w:style>
  <w:style w:type="character" w:customStyle="1" w:styleId="19">
    <w:name w:val="页眉 字符"/>
    <w:basedOn w:val="14"/>
    <w:link w:val="9"/>
    <w:qFormat/>
    <w:uiPriority w:val="99"/>
    <w:rPr>
      <w:rFonts w:ascii="Tahoma" w:hAnsi="Tahoma"/>
      <w:sz w:val="18"/>
      <w:szCs w:val="18"/>
    </w:rPr>
  </w:style>
  <w:style w:type="character" w:customStyle="1" w:styleId="20">
    <w:name w:val="页脚 字符"/>
    <w:basedOn w:val="14"/>
    <w:link w:val="8"/>
    <w:qFormat/>
    <w:uiPriority w:val="99"/>
    <w:rPr>
      <w:rFonts w:ascii="Tahoma" w:hAnsi="Tahoma"/>
      <w:sz w:val="18"/>
      <w:szCs w:val="18"/>
    </w:rPr>
  </w:style>
  <w:style w:type="character" w:customStyle="1" w:styleId="21">
    <w:name w:val="纯文本 字符"/>
    <w:basedOn w:val="14"/>
    <w:link w:val="7"/>
    <w:qFormat/>
    <w:uiPriority w:val="0"/>
    <w:rPr>
      <w:rFonts w:ascii="宋体" w:hAnsi="Courier New" w:eastAsia="宋体" w:cs="Times New Roman"/>
      <w:kern w:val="2"/>
      <w:sz w:val="21"/>
      <w:szCs w:val="20"/>
    </w:rPr>
  </w:style>
  <w:style w:type="paragraph" w:styleId="22">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23">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24">
    <w:name w:val="列出段落111"/>
    <w:basedOn w:val="1"/>
    <w:qFormat/>
    <w:uiPriority w:val="0"/>
    <w:pPr>
      <w:ind w:firstLine="420" w:firstLineChars="200"/>
    </w:pPr>
    <w:rPr>
      <w:rFonts w:ascii="Calibri" w:hAnsi="Calibri" w:eastAsia="宋体" w:cs="Calibri"/>
      <w:sz w:val="21"/>
      <w:szCs w:val="21"/>
    </w:rPr>
  </w:style>
  <w:style w:type="character" w:customStyle="1" w:styleId="25">
    <w:name w:val="未处理的提及1"/>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3653</Words>
  <Characters>3812</Characters>
  <Lines>137</Lines>
  <Paragraphs>145</Paragraphs>
  <TotalTime>5</TotalTime>
  <ScaleCrop>false</ScaleCrop>
  <LinksUpToDate>false</LinksUpToDate>
  <CharactersWithSpaces>3832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2026-06-05T05:59:00Z</dcterms:created>
  <dc:creator>Administrator</dc:creator>
  <cp:lastModifiedBy>待到尘埃落定时</cp:lastModifiedBy>
  <cp:lastPrinted>2025-04-27T15:53:00Z</cp:lastPrinted>
  <dcterms:modified xsi:type="dcterms:W3CDTF">2026-06-12T02:19:45Z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7A98487AAF5E415199E030A0EDFFD424_13</vt:lpwstr>
  </property>
  <property fmtid="{D5CDD505-2E9C-101B-9397-08002B2CF9AE}" pid="4" name="KSOTemplateDocerSaveRecord">
    <vt:lpwstr>eyJoZGlkIjoiNDNjYTQ2YWNiNzgyOWI1ZWExNjQ2NWQ3Y2I3ZWNlOGMiLCJ1c2VySWQiOiI1NDYxNjc0MDMifQ==</vt:lpwstr>
  </property>
</Properties>
</file>