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spacing w:before="62"/>
        <w:jc w:val="both"/>
        <w:rPr>
          <w:rFonts w:hint="eastAsia" w:asciiTheme="minorEastAsia" w:hAnsiTheme="minorEastAsia" w:eastAsiaTheme="minorEastAsia" w:cstheme="minorBidi"/>
          <w:b/>
          <w:kern w:val="2"/>
          <w:sz w:val="28"/>
          <w:szCs w:val="28"/>
          <w:lang w:val="en-US" w:eastAsia="zh-CN" w:bidi="ar-SA"/>
        </w:rPr>
      </w:pPr>
      <w:r>
        <w:rPr>
          <w:rFonts w:hint="eastAsia" w:asciiTheme="minorEastAsia" w:hAnsiTheme="minorEastAsia" w:eastAsiaTheme="minorEastAsia" w:cstheme="minorBidi"/>
          <w:b/>
          <w:kern w:val="2"/>
          <w:sz w:val="28"/>
          <w:szCs w:val="28"/>
          <w:lang w:val="en-US" w:eastAsia="zh-CN" w:bidi="ar-SA"/>
        </w:rPr>
        <w:t>考核细则</w:t>
      </w:r>
    </w:p>
    <w:tbl>
      <w:tblPr>
        <w:tblStyle w:val="3"/>
        <w:tblpPr w:leftFromText="180" w:rightFromText="180" w:vertAnchor="text" w:horzAnchor="page" w:tblpX="1223" w:tblpY="601"/>
        <w:tblOverlap w:val="never"/>
        <w:tblW w:w="26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7"/>
        <w:gridCol w:w="713"/>
        <w:gridCol w:w="6299"/>
        <w:gridCol w:w="1325"/>
        <w:gridCol w:w="1763"/>
        <w:gridCol w:w="248"/>
        <w:gridCol w:w="3143"/>
        <w:gridCol w:w="466"/>
        <w:gridCol w:w="1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648" w:hRule="atLeast"/>
        </w:trPr>
        <w:tc>
          <w:tcPr>
            <w:tcW w:w="15094"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bookmarkStart w:id="0" w:name="_GoBack"/>
            <w:bookmarkEnd w:id="0"/>
            <w:r>
              <w:rPr>
                <w:rFonts w:hint="eastAsia" w:ascii="宋体" w:hAnsi="宋体" w:eastAsia="宋体" w:cs="宋体"/>
                <w:b/>
                <w:bCs/>
                <w:i w:val="0"/>
                <w:iCs w:val="0"/>
                <w:color w:val="000000"/>
                <w:kern w:val="0"/>
                <w:sz w:val="36"/>
                <w:szCs w:val="36"/>
                <w:u w:val="none"/>
                <w:lang w:val="en-US" w:eastAsia="zh-CN" w:bidi="ar"/>
              </w:rPr>
              <w:t xml:space="preserve">新时代上海党建引领物业治理创新实践基地物业管理服务季度考核表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1485" w:type="dxa"/>
          <w:trHeight w:val="587"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基地名称</w:t>
            </w:r>
          </w:p>
        </w:tc>
        <w:tc>
          <w:tcPr>
            <w:tcW w:w="7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考核内容</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扣分标准</w:t>
            </w:r>
          </w:p>
        </w:tc>
        <w:tc>
          <w:tcPr>
            <w:tcW w:w="4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1116" w:hRule="atLeast"/>
        </w:trPr>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新时代上海党建引领物业治理创新实践基地</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接待规范</w:t>
            </w: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1.接到通知和来访预约时，应清楚了解来访具体时间、人数、目的和要求等。在此基础上拟定接待计划，编制《接待日程表》，日程表包括时间、人员、事由等相关信息。</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未按要求做到要求的，发现一次问题扣1分；当月重复发生一次类似情况扣5分或被各级领导点出批评的扣5分。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1485" w:type="dxa"/>
          <w:trHeight w:val="1967"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2.迎接：注意把握迎候时间，提前等候于门口迎接，引导来宾。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参观：由讲解介绍基本情况，接待人员陪同，保证设备正常应用，做好拍照辅助等工作。并做好事后的材料、照片、简讯的收集和归档。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活动及座谈：确保会议环境、室内、洗手间清洁、室温适度、灯光合适。根据需要制作宾客席签、欢迎牌、指示牌，调试好音响设备、投影设备、摄影摄像设备，会议期间有工作人员值守会场。                                                                                        </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未按要求做到要求的，发现一次问题扣1分；当月重复发生一次类似情况扣5分；发生两次或被各级领导点出批评的扣10分。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861"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3.仪表：面容清洁，衣着得体。举止：稳重端庄，从容大方。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言语：语气温和、礼貌文雅。态度：诚恳热情，不卑不亢。</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1059"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环境管理</w:t>
            </w: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1.每日对基地无死角打扫一次，并做好消杀工作，做好打扫记录表。保证门窗、地面、灯、桌椅、设备器材无灰尘污物， 墙角无蜘蛛网。外围道路无垃圾、杂物、杂草、积水。</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未按要求做到要求的，发现一次问题扣1分；当月重复发生一次类似情况扣5分；发生两次或被各级领导点出批评的扣10分。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667"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2.每次会议、参访结束后，对会场、展厅、卫生间进行第一时间的二次打扫。 </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75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3.绿植无枯死，景观设施无损坏。</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772"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4.做好每日的垃圾清运工作，阵地内外的垃圾分类工作。</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1485" w:type="dxa"/>
          <w:trHeight w:val="764"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设备维护</w:t>
            </w: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1.每日上班后打开设备，调试设备功能确保正常使用，每日下班后关闭设备，作再次检查。</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876"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2.发现设备故障，第一时间群里通告并联系相关单位离开上门进行维保。</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未按要求做到要求的，发现一次问题扣1分；当月重复发生一次类似情况扣5分；发生两次或被各级领导点出批评的扣10分。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1485" w:type="dxa"/>
          <w:trHeight w:val="849"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3.做好日常设备的维护、充电等工作，并做好相关记录，可替代设备做好备份。</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89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场馆安保</w:t>
            </w: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1.着装统一、仪容整洁、礼仪规范</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786"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2.保证24小时值班值守，每2小时巡查、记录完整。</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804"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3.保障基地内道路畅通、车辆有序停放，熟悉应急流程、消防设施，劝阻违规方式得当。</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1012"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人员工作纪律</w:t>
            </w: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1.工作期间保持良好的精神面貌，做到不迟到早退，不做与工作无关事宜，如有员工请假，请安排好代替人员和工作的交接，不影响接待参访工作。</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721"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2.节假日做好值班人员安排，场馆管理人员在岗期间联系保持畅通。</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1485" w:type="dxa"/>
          <w:trHeight w:val="1047"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3.做好场馆突发事件的应急预案和人员安排。</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未按要求做到要求的，发现一次问题扣1分；当月重复发生一次类似情况或被各级领导点出批评的扣5分，应急预案未做的扣10分</w:t>
            </w: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1485" w:type="dxa"/>
          <w:trHeight w:val="631" w:hRule="atLeast"/>
        </w:trPr>
        <w:tc>
          <w:tcPr>
            <w:tcW w:w="81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考核满分/月</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实际考核得分</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3" w:hRule="atLeast"/>
        </w:trPr>
        <w:tc>
          <w:tcPr>
            <w:tcW w:w="11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9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94" w:type="dxa"/>
            <w:gridSpan w:val="3"/>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11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12"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3"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考核签字：</w:t>
            </w:r>
          </w:p>
        </w:tc>
        <w:tc>
          <w:tcPr>
            <w:tcW w:w="24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94" w:type="dxa"/>
            <w:gridSpan w:val="3"/>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11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9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3"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考核时间：</w:t>
            </w:r>
          </w:p>
        </w:tc>
        <w:tc>
          <w:tcPr>
            <w:tcW w:w="24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94" w:type="dxa"/>
            <w:gridSpan w:val="3"/>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1485" w:type="dxa"/>
          <w:trHeight w:val="577" w:hRule="atLeast"/>
        </w:trPr>
        <w:tc>
          <w:tcPr>
            <w:tcW w:w="1137"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3"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244" w:type="dxa"/>
            <w:gridSpan w:val="6"/>
            <w:tcBorders>
              <w:top w:val="nil"/>
              <w:left w:val="nil"/>
              <w:bottom w:val="nil"/>
              <w:right w:val="nil"/>
            </w:tcBorders>
            <w:shd w:val="clear" w:color="auto" w:fill="auto"/>
            <w:noWrap/>
            <w:vAlign w:val="center"/>
          </w:tcPr>
          <w:p>
            <w:pPr>
              <w:keepNext w:val="0"/>
              <w:keepLines w:val="0"/>
              <w:widowControl/>
              <w:suppressLineNumbers w:val="0"/>
              <w:ind w:firstLine="9020" w:firstLineChars="4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上海市闵行区新虹街道社区党群服务中心</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C6029"/>
    <w:multiLevelType w:val="singleLevel"/>
    <w:tmpl w:val="941C602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8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2025-12-30T02:42:57Z</dcterms:created>
  <dc:creator>Mh-zfcg</dc:creator>
  <cp:lastModifiedBy>Mh-zfcg</cp:lastModifiedBy>
  <dcterms:modified xsi:type="dcterms:W3CDTF">2025-12-30T02:43:35Z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