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D5C06">
      <w:pPr>
        <w:adjustRightInd w:val="0"/>
        <w:snapToGrid w:val="0"/>
        <w:jc w:val="center"/>
        <w:outlineLvl w:val="1"/>
        <w:rPr>
          <w:rFonts w:eastAsia="黑体"/>
          <w:color w:val="000000"/>
          <w:sz w:val="30"/>
          <w:szCs w:val="30"/>
        </w:rPr>
      </w:pPr>
      <w:bookmarkStart w:id="0" w:name="_Toc240291139"/>
      <w:r>
        <w:rPr>
          <w:rFonts w:eastAsia="黑体"/>
          <w:color w:val="000000"/>
          <w:sz w:val="30"/>
          <w:szCs w:val="30"/>
        </w:rPr>
        <w:t>一、说明</w:t>
      </w:r>
      <w:bookmarkEnd w:id="0"/>
    </w:p>
    <w:p w14:paraId="6D1E1557">
      <w:pPr>
        <w:snapToGrid w:val="0"/>
        <w:ind w:firstLine="442" w:firstLineChars="200"/>
        <w:jc w:val="left"/>
        <w:outlineLvl w:val="2"/>
        <w:rPr>
          <w:b/>
          <w:color w:val="000000"/>
          <w:sz w:val="22"/>
        </w:rPr>
      </w:pPr>
      <w:bookmarkStart w:id="1" w:name="_Toc240291140"/>
      <w:r>
        <w:rPr>
          <w:b/>
          <w:color w:val="000000"/>
          <w:sz w:val="22"/>
        </w:rPr>
        <w:t>1 总则</w:t>
      </w:r>
      <w:bookmarkEnd w:id="1"/>
    </w:p>
    <w:p w14:paraId="18E0C712">
      <w:pPr>
        <w:snapToGrid w:val="0"/>
        <w:ind w:firstLine="440" w:firstLineChars="200"/>
        <w:rPr>
          <w:sz w:val="22"/>
        </w:rPr>
      </w:pPr>
      <w:r>
        <w:rPr>
          <w:sz w:val="22"/>
        </w:rPr>
        <w:t>1.1 投标人应具备国家或行业管理部门规定的，在本市实施本项目所需的资格（资质）和相关手续（如果有），由此引起的所有有关事宜及费用由投标人自行负责。</w:t>
      </w:r>
    </w:p>
    <w:p w14:paraId="63ACF899">
      <w:pPr>
        <w:snapToGrid w:val="0"/>
        <w:ind w:firstLine="440" w:firstLineChars="200"/>
        <w:rPr>
          <w:sz w:val="22"/>
        </w:rPr>
      </w:pPr>
      <w:r>
        <w:rPr>
          <w:sz w:val="22"/>
        </w:rPr>
        <w:t>1.2 投标人对所提供的货物应当享有合法的所有权，没有侵犯任何第三方的知识产权、技术秘密等权利，而且不存在任何抵押、留置、查封等产权瑕疵。</w:t>
      </w:r>
    </w:p>
    <w:p w14:paraId="1944C44F">
      <w:pPr>
        <w:snapToGrid w:val="0"/>
        <w:ind w:firstLine="440" w:firstLineChars="200"/>
        <w:rPr>
          <w:sz w:val="22"/>
        </w:rPr>
      </w:pPr>
      <w:r>
        <w:rPr>
          <w:sz w:val="22"/>
        </w:rPr>
        <w:t>1.3 投标人提供的货物应当是全新的、未使用过的，货物和相关服务应当符合招标文件的要求，并且其质量完全符合国家标准</w:t>
      </w:r>
      <w:r>
        <w:rPr>
          <w:color w:val="000000"/>
          <w:sz w:val="22"/>
        </w:rPr>
        <w:t>和招标需求</w:t>
      </w:r>
      <w:r>
        <w:rPr>
          <w:sz w:val="22"/>
        </w:rPr>
        <w:t>。</w:t>
      </w:r>
    </w:p>
    <w:p w14:paraId="12D2B3BE">
      <w:pPr>
        <w:snapToGrid w:val="0"/>
        <w:ind w:firstLine="440" w:firstLineChars="200"/>
        <w:jc w:val="left"/>
        <w:rPr>
          <w:sz w:val="22"/>
        </w:rPr>
      </w:pPr>
      <w:r>
        <w:rPr>
          <w:sz w:val="22"/>
        </w:rPr>
        <w:t>1.4 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14:paraId="5EA06EFC">
      <w:pPr>
        <w:snapToGrid w:val="0"/>
        <w:ind w:firstLine="440" w:firstLineChars="200"/>
        <w:jc w:val="left"/>
        <w:rPr>
          <w:sz w:val="22"/>
        </w:rPr>
      </w:pPr>
      <w:r>
        <w:rPr>
          <w:sz w:val="22"/>
        </w:rPr>
        <w:t>★1.5 若本项目涉及国家强制认证产品（信息安全产品、3C认证产品、强制节能产品、电信设备进网许可证等），则根据国家有关规定，投标人提供的产品必须满足强制认证要求。</w:t>
      </w:r>
      <w:r>
        <w:rPr>
          <w:rFonts w:hint="eastAsia" w:hAnsi="宋体"/>
          <w:sz w:val="22"/>
        </w:rPr>
        <w:t>（详见第一章投标人须知及前附表21.3（9））</w:t>
      </w:r>
    </w:p>
    <w:p w14:paraId="3B7C5700">
      <w:pPr>
        <w:snapToGrid w:val="0"/>
        <w:ind w:firstLine="440" w:firstLineChars="20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14:paraId="050449CE">
      <w:pPr>
        <w:snapToGrid w:val="0"/>
        <w:ind w:firstLine="440" w:firstLineChars="20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14:paraId="78F1AC7C">
      <w:pPr>
        <w:snapToGrid w:val="0"/>
        <w:ind w:firstLine="440" w:firstLineChars="20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14:paraId="194F2D99">
      <w:pPr>
        <w:snapToGrid w:val="0"/>
        <w:ind w:firstLine="440" w:firstLineChars="200"/>
        <w:rPr>
          <w:sz w:val="22"/>
        </w:rPr>
      </w:pPr>
      <w:r>
        <w:rPr>
          <w:sz w:val="22"/>
        </w:rPr>
        <w:t>1.</w:t>
      </w:r>
      <w:r>
        <w:rPr>
          <w:rFonts w:hint="eastAsia"/>
          <w:sz w:val="22"/>
        </w:rPr>
        <w:t>9</w:t>
      </w:r>
      <w:r>
        <w:rPr>
          <w:sz w:val="22"/>
        </w:rPr>
        <w:t xml:space="preserve"> 投标人应根据本章节中详细技术规格要求提供产品参加竞标。同时，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14:paraId="6968839E">
      <w:pPr>
        <w:adjustRightInd w:val="0"/>
        <w:snapToGrid w:val="0"/>
        <w:ind w:firstLine="440" w:firstLineChars="200"/>
        <w:rPr>
          <w:sz w:val="22"/>
        </w:rPr>
      </w:pPr>
      <w:r>
        <w:rPr>
          <w:sz w:val="22"/>
        </w:rPr>
        <w:t>1.</w:t>
      </w:r>
      <w:r>
        <w:rPr>
          <w:rFonts w:hint="eastAsia"/>
          <w:sz w:val="22"/>
        </w:rPr>
        <w:t>10投标人认为招标文件（包括招标补充文件）存在排他性或歧视性条款，自收到招标文件之日或者招标文件公告期限届满之日起</w:t>
      </w:r>
      <w:r>
        <w:rPr>
          <w:sz w:val="22"/>
        </w:rPr>
        <w:t>10日内</w:t>
      </w:r>
      <w:r>
        <w:rPr>
          <w:rFonts w:hint="eastAsia"/>
          <w:sz w:val="22"/>
        </w:rPr>
        <w:t>，以书面形式提出，并附相关证据。</w:t>
      </w:r>
      <w:bookmarkStart w:id="50" w:name="_GoBack"/>
      <w:bookmarkEnd w:id="50"/>
    </w:p>
    <w:p w14:paraId="42010988">
      <w:pPr>
        <w:snapToGrid w:val="0"/>
        <w:ind w:firstLine="440" w:firstLineChars="200"/>
        <w:rPr>
          <w:sz w:val="22"/>
        </w:rPr>
      </w:pPr>
    </w:p>
    <w:p w14:paraId="0C7D7B48">
      <w:pPr>
        <w:adjustRightInd w:val="0"/>
        <w:snapToGrid w:val="0"/>
        <w:jc w:val="center"/>
        <w:outlineLvl w:val="1"/>
        <w:rPr>
          <w:rFonts w:eastAsia="黑体"/>
          <w:color w:val="000000"/>
          <w:sz w:val="30"/>
          <w:szCs w:val="30"/>
        </w:rPr>
      </w:pPr>
      <w:bookmarkStart w:id="2" w:name="_Toc240291141"/>
      <w:r>
        <w:rPr>
          <w:rFonts w:eastAsia="黑体"/>
          <w:color w:val="000000"/>
          <w:sz w:val="30"/>
          <w:szCs w:val="30"/>
        </w:rPr>
        <w:t>二、项目概况</w:t>
      </w:r>
      <w:bookmarkEnd w:id="2"/>
    </w:p>
    <w:p w14:paraId="3E81EC43">
      <w:pPr>
        <w:snapToGrid w:val="0"/>
        <w:ind w:firstLine="442" w:firstLineChars="200"/>
        <w:outlineLvl w:val="2"/>
        <w:rPr>
          <w:b/>
          <w:bCs/>
          <w:sz w:val="22"/>
        </w:rPr>
      </w:pPr>
      <w:bookmarkStart w:id="3" w:name="_Toc240291142"/>
      <w:r>
        <w:rPr>
          <w:b/>
          <w:bCs/>
          <w:sz w:val="22"/>
        </w:rPr>
        <w:t>2 项目名称</w:t>
      </w:r>
      <w:bookmarkEnd w:id="3"/>
    </w:p>
    <w:p w14:paraId="229DD993">
      <w:pPr>
        <w:snapToGrid w:val="0"/>
        <w:ind w:firstLine="442" w:firstLineChars="200"/>
        <w:rPr>
          <w:b/>
          <w:bCs/>
          <w:sz w:val="22"/>
        </w:rPr>
      </w:pPr>
      <w:r>
        <w:rPr>
          <w:b/>
          <w:bCs/>
          <w:sz w:val="22"/>
        </w:rPr>
        <w:t>项目名称：</w:t>
      </w:r>
      <w:r>
        <w:rPr>
          <w:rFonts w:hint="eastAsia"/>
          <w:b/>
          <w:bCs/>
          <w:sz w:val="22"/>
        </w:rPr>
        <w:t>全自动生化免疫流水线</w:t>
      </w:r>
    </w:p>
    <w:p w14:paraId="7AD3B33D">
      <w:pPr>
        <w:snapToGrid w:val="0"/>
        <w:ind w:firstLine="442" w:firstLineChars="200"/>
        <w:outlineLvl w:val="2"/>
        <w:rPr>
          <w:b/>
          <w:bCs/>
          <w:sz w:val="22"/>
        </w:rPr>
      </w:pPr>
      <w:bookmarkStart w:id="4" w:name="_Toc240291143"/>
      <w:r>
        <w:rPr>
          <w:b/>
          <w:bCs/>
          <w:sz w:val="22"/>
        </w:rPr>
        <w:t>3 项目地点</w:t>
      </w:r>
      <w:bookmarkEnd w:id="4"/>
    </w:p>
    <w:p w14:paraId="5C58AFA6">
      <w:pPr>
        <w:snapToGrid w:val="0"/>
        <w:ind w:firstLine="442" w:firstLineChars="200"/>
        <w:rPr>
          <w:b/>
          <w:bCs/>
          <w:sz w:val="22"/>
        </w:rPr>
      </w:pPr>
      <w:r>
        <w:rPr>
          <w:b/>
          <w:bCs/>
          <w:sz w:val="22"/>
        </w:rPr>
        <w:t>地点：</w:t>
      </w:r>
      <w:r>
        <w:rPr>
          <w:rFonts w:hint="eastAsia"/>
          <w:b/>
          <w:bCs/>
          <w:sz w:val="22"/>
        </w:rPr>
        <w:t>甲方指定地点</w:t>
      </w:r>
    </w:p>
    <w:p w14:paraId="682D2687">
      <w:pPr>
        <w:adjustRightInd w:val="0"/>
        <w:snapToGrid w:val="0"/>
        <w:ind w:firstLine="442" w:firstLineChars="200"/>
        <w:jc w:val="left"/>
        <w:outlineLvl w:val="2"/>
        <w:rPr>
          <w:b/>
          <w:color w:val="000000"/>
          <w:sz w:val="22"/>
        </w:rPr>
      </w:pPr>
      <w:bookmarkStart w:id="5" w:name="_Toc240291144"/>
      <w:r>
        <w:rPr>
          <w:b/>
          <w:color w:val="000000"/>
          <w:sz w:val="22"/>
        </w:rPr>
        <w:t>4 招标范围与内容</w:t>
      </w:r>
      <w:bookmarkEnd w:id="5"/>
    </w:p>
    <w:p w14:paraId="4A7A9F08">
      <w:pPr>
        <w:snapToGrid w:val="0"/>
        <w:ind w:firstLine="440" w:firstLineChars="200"/>
        <w:rPr>
          <w:sz w:val="22"/>
        </w:rPr>
      </w:pPr>
      <w:r>
        <w:rPr>
          <w:sz w:val="22"/>
        </w:rPr>
        <w:t>4.1 项目背景及现状：</w:t>
      </w:r>
      <w:r>
        <w:rPr>
          <w:rFonts w:hint="eastAsia"/>
          <w:sz w:val="22"/>
        </w:rPr>
        <w:t>周浦医院检验科作为周康医联体检测中心，对检测质量、报告时效、智能化管理、样本溯源等要求不断提高。拟采购全自动生化免疫流水线壹套，实现样本前中后处理全流程自动化，更好地为临床服务。</w:t>
      </w:r>
    </w:p>
    <w:p w14:paraId="717A8E1B">
      <w:pPr>
        <w:snapToGrid w:val="0"/>
        <w:ind w:firstLine="440" w:firstLineChars="200"/>
        <w:rPr>
          <w:sz w:val="22"/>
        </w:rPr>
      </w:pPr>
      <w:r>
        <w:rPr>
          <w:sz w:val="22"/>
        </w:rPr>
        <w:t>4.2 项目招标范围及内容：</w:t>
      </w:r>
      <w:r>
        <w:rPr>
          <w:rFonts w:hint="eastAsia"/>
          <w:sz w:val="22"/>
        </w:rPr>
        <w:t>全自动生化免疫流水线</w:t>
      </w:r>
    </w:p>
    <w:p w14:paraId="46FF2C34">
      <w:pPr>
        <w:snapToGrid w:val="0"/>
        <w:ind w:firstLine="440" w:firstLineChars="200"/>
        <w:rPr>
          <w:sz w:val="22"/>
        </w:rPr>
      </w:pPr>
      <w:r>
        <w:rPr>
          <w:sz w:val="22"/>
        </w:rPr>
        <w:t>4.3 交付日期：自合同签订之日起</w:t>
      </w:r>
      <w:r>
        <w:rPr>
          <w:rFonts w:hint="eastAsia"/>
          <w:sz w:val="22"/>
        </w:rPr>
        <w:t>30</w:t>
      </w:r>
      <w:r>
        <w:rPr>
          <w:sz w:val="22"/>
        </w:rPr>
        <w:t>天</w:t>
      </w:r>
      <w:r>
        <w:rPr>
          <w:rFonts w:hint="eastAsia"/>
          <w:sz w:val="22"/>
        </w:rPr>
        <w:t>内设备到院，合同签订60天内完成设备安装及调试</w:t>
      </w:r>
      <w:r>
        <w:rPr>
          <w:sz w:val="22"/>
        </w:rPr>
        <w:t>。</w:t>
      </w:r>
    </w:p>
    <w:p w14:paraId="19985038">
      <w:pPr>
        <w:adjustRightInd w:val="0"/>
        <w:snapToGrid w:val="0"/>
        <w:ind w:firstLine="442" w:firstLineChars="200"/>
        <w:jc w:val="left"/>
        <w:outlineLvl w:val="2"/>
        <w:rPr>
          <w:b/>
          <w:color w:val="000000"/>
          <w:sz w:val="22"/>
        </w:rPr>
      </w:pPr>
      <w:bookmarkStart w:id="6" w:name="_Toc240291145"/>
      <w:r>
        <w:rPr>
          <w:b/>
          <w:color w:val="000000"/>
          <w:sz w:val="22"/>
        </w:rPr>
        <w:t>5 承包方式</w:t>
      </w:r>
      <w:bookmarkEnd w:id="6"/>
    </w:p>
    <w:p w14:paraId="790B4B48">
      <w:pPr>
        <w:snapToGrid w:val="0"/>
        <w:ind w:firstLine="440" w:firstLineChars="200"/>
        <w:rPr>
          <w:sz w:val="22"/>
        </w:rPr>
      </w:pPr>
      <w:r>
        <w:rPr>
          <w:sz w:val="22"/>
        </w:rPr>
        <w:t>5.1 依据本项目的招标范围和内容，中标人以包工、包料、包质包量、包安全可靠的方式实施</w:t>
      </w:r>
      <w:r>
        <w:rPr>
          <w:rFonts w:hint="eastAsia"/>
          <w:sz w:val="22"/>
        </w:rPr>
        <w:t>总</w:t>
      </w:r>
      <w:r>
        <w:rPr>
          <w:sz w:val="22"/>
        </w:rPr>
        <w:t>承包。</w:t>
      </w:r>
    </w:p>
    <w:p w14:paraId="4147E3DA">
      <w:pPr>
        <w:snapToGrid w:val="0"/>
        <w:ind w:firstLine="440" w:firstLineChars="200"/>
        <w:rPr>
          <w:sz w:val="22"/>
        </w:rPr>
      </w:pPr>
      <w:r>
        <w:rPr>
          <w:color w:val="000000"/>
          <w:sz w:val="22"/>
        </w:rPr>
        <w:t>5.2</w:t>
      </w:r>
      <w:r>
        <w:rPr>
          <w:color w:val="0000FF"/>
          <w:sz w:val="22"/>
        </w:rPr>
        <w:t>本项目不允许分包。</w:t>
      </w:r>
    </w:p>
    <w:p w14:paraId="414D9CA8">
      <w:pPr>
        <w:adjustRightInd w:val="0"/>
        <w:snapToGrid w:val="0"/>
        <w:ind w:firstLine="442" w:firstLineChars="200"/>
        <w:jc w:val="left"/>
        <w:outlineLvl w:val="2"/>
        <w:rPr>
          <w:b/>
          <w:color w:val="000000"/>
          <w:sz w:val="22"/>
        </w:rPr>
      </w:pPr>
      <w:bookmarkStart w:id="7" w:name="_Toc240291146"/>
      <w:r>
        <w:rPr>
          <w:b/>
          <w:color w:val="000000"/>
          <w:sz w:val="22"/>
        </w:rPr>
        <w:t>6 合同的签订</w:t>
      </w:r>
      <w:bookmarkEnd w:id="7"/>
    </w:p>
    <w:p w14:paraId="1262E846">
      <w:pPr>
        <w:snapToGrid w:val="0"/>
        <w:ind w:firstLine="440" w:firstLineChars="200"/>
        <w:rPr>
          <w:sz w:val="22"/>
        </w:rPr>
      </w:pPr>
      <w:r>
        <w:rPr>
          <w:sz w:val="22"/>
        </w:rPr>
        <w:t>6.1 本项目合同的标的、价格、质量及验收标准、考核管理、履约期限等主要条款应当与招标文件和中标人投标文件的内容一致，并互相补充和解释。</w:t>
      </w:r>
    </w:p>
    <w:p w14:paraId="0B97915C">
      <w:pPr>
        <w:adjustRightInd w:val="0"/>
        <w:snapToGrid w:val="0"/>
        <w:ind w:firstLine="442" w:firstLineChars="200"/>
        <w:jc w:val="left"/>
        <w:outlineLvl w:val="2"/>
        <w:rPr>
          <w:sz w:val="22"/>
        </w:rPr>
      </w:pPr>
      <w:bookmarkStart w:id="8" w:name="_Toc240291147"/>
      <w:r>
        <w:rPr>
          <w:b/>
          <w:color w:val="000000"/>
          <w:sz w:val="22"/>
        </w:rPr>
        <w:t>7 结算原则和支付方式</w:t>
      </w:r>
      <w:bookmarkEnd w:id="8"/>
    </w:p>
    <w:p w14:paraId="4AA20FE3">
      <w:pPr>
        <w:snapToGrid w:val="0"/>
        <w:ind w:firstLine="440" w:firstLineChars="200"/>
        <w:rPr>
          <w:sz w:val="22"/>
        </w:rPr>
      </w:pPr>
      <w:r>
        <w:rPr>
          <w:sz w:val="22"/>
        </w:rPr>
        <w:t>7.1 结算原则</w:t>
      </w:r>
    </w:p>
    <w:p w14:paraId="48DF0653">
      <w:pPr>
        <w:snapToGrid w:val="0"/>
        <w:ind w:firstLine="440" w:firstLineChars="200"/>
        <w:rPr>
          <w:b/>
          <w:bCs/>
          <w:color w:val="FF0000"/>
          <w:sz w:val="22"/>
          <w:u w:val="wavyHeavy"/>
        </w:rPr>
      </w:pPr>
      <w:r>
        <w:rPr>
          <w:sz w:val="22"/>
        </w:rPr>
        <w:t>7.1.1 本项目合同总价不变，采购人不会因人工费、物价、费率、汇率或其他因素（不可抗力除外）的变动而进行调整。</w:t>
      </w:r>
    </w:p>
    <w:p w14:paraId="4D1D3176">
      <w:pPr>
        <w:snapToGrid w:val="0"/>
        <w:ind w:firstLine="440" w:firstLineChars="200"/>
        <w:rPr>
          <w:sz w:val="22"/>
        </w:rPr>
      </w:pPr>
      <w:r>
        <w:rPr>
          <w:sz w:val="22"/>
        </w:rPr>
        <w:t>7.1.2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14:paraId="5252DF12">
      <w:pPr>
        <w:snapToGrid w:val="0"/>
        <w:ind w:firstLine="440" w:firstLineChars="200"/>
        <w:rPr>
          <w:sz w:val="22"/>
        </w:rPr>
      </w:pPr>
      <w:r>
        <w:rPr>
          <w:sz w:val="22"/>
        </w:rPr>
        <w:t>7.2 支付方式</w:t>
      </w:r>
    </w:p>
    <w:p w14:paraId="7BF46C13">
      <w:pPr>
        <w:snapToGrid w:val="0"/>
        <w:ind w:firstLine="440" w:firstLineChars="200"/>
        <w:rPr>
          <w:i/>
          <w:color w:val="FF0000"/>
          <w:sz w:val="22"/>
        </w:rPr>
      </w:pPr>
      <w:r>
        <w:rPr>
          <w:sz w:val="22"/>
        </w:rPr>
        <w:t>7.2.1 本项目合同金额采用</w:t>
      </w:r>
      <w:r>
        <w:rPr>
          <w:rFonts w:hint="eastAsia"/>
          <w:sz w:val="22"/>
        </w:rPr>
        <w:t>分期付款支付</w:t>
      </w:r>
      <w:r>
        <w:rPr>
          <w:sz w:val="22"/>
        </w:rPr>
        <w:t>方式，在采购人和中标人合同签订，且财政资金到位后，按</w:t>
      </w:r>
      <w:r>
        <w:rPr>
          <w:rFonts w:hint="eastAsia"/>
          <w:sz w:val="22"/>
        </w:rPr>
        <w:t>以</w:t>
      </w:r>
      <w:r>
        <w:rPr>
          <w:sz w:val="22"/>
        </w:rPr>
        <w:t>下款要求支付相应的合同款项。</w:t>
      </w:r>
    </w:p>
    <w:p w14:paraId="1E8C3783">
      <w:pPr>
        <w:snapToGrid w:val="0"/>
        <w:ind w:firstLine="440" w:firstLineChars="200"/>
        <w:jc w:val="left"/>
        <w:rPr>
          <w:sz w:val="22"/>
        </w:rPr>
      </w:pPr>
      <w:r>
        <w:rPr>
          <w:sz w:val="22"/>
        </w:rPr>
        <w:t>（</w:t>
      </w:r>
      <w:r>
        <w:rPr>
          <w:rFonts w:hint="eastAsia"/>
          <w:sz w:val="22"/>
        </w:rPr>
        <w:t>1</w:t>
      </w:r>
      <w:r>
        <w:rPr>
          <w:sz w:val="22"/>
        </w:rPr>
        <w:t>）中标人完成项目</w:t>
      </w:r>
      <w:r>
        <w:rPr>
          <w:sz w:val="22"/>
          <w:u w:val="single"/>
        </w:rPr>
        <w:t xml:space="preserve"> </w:t>
      </w:r>
      <w:r>
        <w:rPr>
          <w:rFonts w:hint="eastAsia"/>
          <w:sz w:val="22"/>
          <w:u w:val="single"/>
        </w:rPr>
        <w:t xml:space="preserve">设备到场   </w:t>
      </w:r>
      <w:r>
        <w:rPr>
          <w:sz w:val="22"/>
        </w:rPr>
        <w:t>后</w:t>
      </w:r>
      <w:r>
        <w:rPr>
          <w:sz w:val="22"/>
          <w:u w:val="single"/>
        </w:rPr>
        <w:t xml:space="preserve">  </w:t>
      </w:r>
      <w:r>
        <w:rPr>
          <w:rFonts w:hint="eastAsia"/>
          <w:sz w:val="22"/>
          <w:u w:val="single"/>
        </w:rPr>
        <w:t>30</w:t>
      </w:r>
      <w:r>
        <w:rPr>
          <w:sz w:val="22"/>
          <w:u w:val="single"/>
        </w:rPr>
        <w:t xml:space="preserve">  </w:t>
      </w:r>
      <w:r>
        <w:rPr>
          <w:sz w:val="22"/>
        </w:rPr>
        <w:t>日内，采购人向中标人支付合同金额的</w:t>
      </w:r>
      <w:r>
        <w:rPr>
          <w:sz w:val="22"/>
          <w:u w:val="single"/>
        </w:rPr>
        <w:t xml:space="preserve"> </w:t>
      </w:r>
      <w:r>
        <w:rPr>
          <w:rFonts w:hint="eastAsia"/>
          <w:sz w:val="22"/>
          <w:u w:val="single"/>
        </w:rPr>
        <w:t>90</w:t>
      </w:r>
      <w:r>
        <w:rPr>
          <w:sz w:val="22"/>
          <w:u w:val="single"/>
        </w:rPr>
        <w:t xml:space="preserve"> </w:t>
      </w:r>
      <w:r>
        <w:rPr>
          <w:sz w:val="22"/>
        </w:rPr>
        <w:t>%；</w:t>
      </w:r>
    </w:p>
    <w:p w14:paraId="5B2BF771">
      <w:pPr>
        <w:snapToGrid w:val="0"/>
        <w:ind w:firstLine="440" w:firstLineChars="200"/>
        <w:jc w:val="left"/>
        <w:rPr>
          <w:sz w:val="22"/>
        </w:rPr>
      </w:pPr>
      <w:r>
        <w:rPr>
          <w:sz w:val="22"/>
        </w:rPr>
        <w:t>（</w:t>
      </w:r>
      <w:r>
        <w:rPr>
          <w:rFonts w:hint="eastAsia"/>
          <w:sz w:val="22"/>
        </w:rPr>
        <w:t>2</w:t>
      </w:r>
      <w:r>
        <w:rPr>
          <w:sz w:val="22"/>
        </w:rPr>
        <w:t>）项目完成整体验收和调试，并进入正式运行后</w:t>
      </w:r>
      <w:r>
        <w:rPr>
          <w:sz w:val="22"/>
          <w:u w:val="single"/>
        </w:rPr>
        <w:t xml:space="preserve"> </w:t>
      </w:r>
      <w:r>
        <w:rPr>
          <w:rFonts w:hint="eastAsia"/>
          <w:sz w:val="22"/>
          <w:u w:val="single"/>
        </w:rPr>
        <w:t>30</w:t>
      </w:r>
      <w:r>
        <w:rPr>
          <w:sz w:val="22"/>
          <w:u w:val="single"/>
        </w:rPr>
        <w:t xml:space="preserve"> </w:t>
      </w:r>
      <w:r>
        <w:rPr>
          <w:sz w:val="22"/>
        </w:rPr>
        <w:t>日内，采购人向中标人支付合同金额的</w:t>
      </w:r>
      <w:r>
        <w:rPr>
          <w:rFonts w:hint="eastAsia"/>
          <w:sz w:val="22"/>
        </w:rPr>
        <w:t>10</w:t>
      </w:r>
      <w:r>
        <w:rPr>
          <w:sz w:val="22"/>
        </w:rPr>
        <w:t>%；</w:t>
      </w:r>
    </w:p>
    <w:p w14:paraId="750ED205">
      <w:pPr>
        <w:snapToGrid w:val="0"/>
        <w:ind w:firstLine="440" w:firstLineChars="200"/>
        <w:jc w:val="left"/>
        <w:rPr>
          <w:sz w:val="22"/>
        </w:rPr>
      </w:pPr>
      <w:r>
        <w:rPr>
          <w:sz w:val="22"/>
        </w:rPr>
        <w:t>7.3中标人因自身原因造成返工的工作量，采购人将不予计量和支付。</w:t>
      </w:r>
    </w:p>
    <w:p w14:paraId="19289AE5">
      <w:pPr>
        <w:snapToGrid w:val="0"/>
        <w:ind w:firstLine="440" w:firstLineChars="200"/>
        <w:jc w:val="left"/>
        <w:rPr>
          <w:color w:val="FF0000"/>
          <w:sz w:val="22"/>
        </w:rPr>
      </w:pPr>
      <w:r>
        <w:rPr>
          <w:rFonts w:hint="eastAsia"/>
          <w:color w:val="FF0000"/>
          <w:sz w:val="22"/>
        </w:rPr>
        <w:t>7.4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1年期贷款市场报价利率。</w:t>
      </w:r>
    </w:p>
    <w:p w14:paraId="7DAA25F8">
      <w:pPr>
        <w:snapToGrid w:val="0"/>
        <w:ind w:firstLine="440" w:firstLineChars="200"/>
        <w:jc w:val="left"/>
        <w:rPr>
          <w:color w:val="FF0000"/>
          <w:sz w:val="22"/>
        </w:rPr>
      </w:pPr>
    </w:p>
    <w:p w14:paraId="7E0E190C">
      <w:pPr>
        <w:adjustRightInd w:val="0"/>
        <w:snapToGrid w:val="0"/>
        <w:jc w:val="center"/>
        <w:outlineLvl w:val="1"/>
        <w:rPr>
          <w:rFonts w:eastAsia="黑体"/>
          <w:color w:val="000000"/>
          <w:sz w:val="30"/>
          <w:szCs w:val="30"/>
        </w:rPr>
      </w:pPr>
      <w:bookmarkStart w:id="9" w:name="_Toc240291148"/>
      <w:r>
        <w:rPr>
          <w:rFonts w:eastAsia="黑体"/>
          <w:color w:val="000000"/>
          <w:sz w:val="30"/>
          <w:szCs w:val="30"/>
        </w:rPr>
        <w:t>三、技术质量要求</w:t>
      </w:r>
      <w:bookmarkEnd w:id="9"/>
    </w:p>
    <w:p w14:paraId="3AE8E6CA">
      <w:pPr>
        <w:adjustRightInd w:val="0"/>
        <w:snapToGrid w:val="0"/>
        <w:ind w:firstLine="442" w:firstLineChars="200"/>
        <w:outlineLvl w:val="2"/>
        <w:rPr>
          <w:b/>
          <w:bCs/>
          <w:sz w:val="22"/>
        </w:rPr>
      </w:pPr>
      <w:bookmarkStart w:id="10" w:name="_Toc240291149"/>
      <w:r>
        <w:rPr>
          <w:b/>
          <w:bCs/>
          <w:sz w:val="22"/>
        </w:rPr>
        <w:t>8 适用技术规范和规范性文件</w:t>
      </w:r>
      <w:bookmarkEnd w:id="10"/>
    </w:p>
    <w:p w14:paraId="3107B889">
      <w:pPr>
        <w:snapToGrid w:val="0"/>
        <w:ind w:firstLine="440" w:firstLineChars="200"/>
        <w:jc w:val="left"/>
        <w:rPr>
          <w:sz w:val="22"/>
        </w:rPr>
      </w:pPr>
      <w:r>
        <w:rPr>
          <w:rFonts w:hint="eastAsia"/>
          <w:sz w:val="22"/>
        </w:rPr>
        <w:t>1.《医疗机构临床实验室管理办法》卫医发〔2006〕73 号 本办法自2006年6月1日起施行。</w:t>
      </w:r>
    </w:p>
    <w:p w14:paraId="20FFB565">
      <w:pPr>
        <w:snapToGrid w:val="0"/>
        <w:ind w:firstLine="440" w:firstLineChars="200"/>
        <w:jc w:val="left"/>
        <w:rPr>
          <w:sz w:val="22"/>
        </w:rPr>
      </w:pPr>
      <w:r>
        <w:rPr>
          <w:rFonts w:hint="eastAsia"/>
          <w:sz w:val="22"/>
        </w:rPr>
        <w:t>2.CNAS</w:t>
      </w:r>
      <w:r>
        <w:rPr>
          <w:rFonts w:hint="eastAsia"/>
          <w:sz w:val="22"/>
        </w:rPr>
        <w:noBreakHyphen/>
      </w:r>
      <w:r>
        <w:rPr>
          <w:rFonts w:hint="eastAsia"/>
          <w:sz w:val="22"/>
        </w:rPr>
        <w:t>CL02</w:t>
      </w:r>
      <w:r>
        <w:rPr>
          <w:rFonts w:hint="eastAsia"/>
          <w:sz w:val="22"/>
        </w:rPr>
        <w:noBreakHyphen/>
      </w:r>
      <w:r>
        <w:rPr>
          <w:rFonts w:hint="eastAsia"/>
          <w:sz w:val="22"/>
        </w:rPr>
        <w:t>A001:2023《医学实验室质量和能力认可准则的应用要求》 自2023年12月1日实施。</w:t>
      </w:r>
    </w:p>
    <w:p w14:paraId="76D7A51A">
      <w:pPr>
        <w:snapToGrid w:val="0"/>
        <w:ind w:firstLine="440" w:firstLineChars="200"/>
        <w:jc w:val="left"/>
        <w:rPr>
          <w:sz w:val="22"/>
        </w:rPr>
      </w:pPr>
      <w:r>
        <w:rPr>
          <w:rFonts w:hint="eastAsia"/>
          <w:sz w:val="22"/>
        </w:rPr>
        <w:t>3.GB/T 22576.1</w:t>
      </w:r>
      <w:r>
        <w:rPr>
          <w:rFonts w:hint="eastAsia"/>
          <w:sz w:val="22"/>
        </w:rPr>
        <w:noBreakHyphen/>
      </w:r>
      <w:r>
        <w:rPr>
          <w:rFonts w:hint="eastAsia"/>
          <w:sz w:val="22"/>
        </w:rPr>
        <w:t>2026《医学实验室 质量和能力的要求 第 1 部分：通用要求》自2026年8月1日实施。</w:t>
      </w:r>
    </w:p>
    <w:p w14:paraId="097C5283">
      <w:pPr>
        <w:snapToGrid w:val="0"/>
        <w:ind w:firstLine="440" w:firstLineChars="200"/>
        <w:jc w:val="left"/>
        <w:rPr>
          <w:sz w:val="22"/>
        </w:rPr>
      </w:pPr>
      <w:r>
        <w:rPr>
          <w:rFonts w:hint="eastAsia"/>
          <w:sz w:val="22"/>
        </w:rPr>
        <w:t>4.GB/T 22576.4</w:t>
      </w:r>
      <w:r>
        <w:rPr>
          <w:rFonts w:hint="eastAsia"/>
          <w:sz w:val="22"/>
        </w:rPr>
        <w:noBreakHyphen/>
      </w:r>
      <w:r>
        <w:rPr>
          <w:rFonts w:hint="eastAsia"/>
          <w:sz w:val="22"/>
        </w:rPr>
        <w:t>2021《医学实验室 质量和能力的要求 第 4 部分：临床化学检验领域的要求》自2026年8月1日实施。</w:t>
      </w:r>
    </w:p>
    <w:p w14:paraId="34848A15">
      <w:pPr>
        <w:snapToGrid w:val="0"/>
        <w:ind w:firstLine="440" w:firstLineChars="200"/>
        <w:jc w:val="left"/>
        <w:rPr>
          <w:sz w:val="22"/>
        </w:rPr>
      </w:pPr>
      <w:r>
        <w:rPr>
          <w:rFonts w:hint="eastAsia"/>
          <w:sz w:val="22"/>
        </w:rPr>
        <w:t>5.GB 19489</w:t>
      </w:r>
      <w:r>
        <w:rPr>
          <w:rFonts w:hint="eastAsia"/>
          <w:sz w:val="22"/>
        </w:rPr>
        <w:noBreakHyphen/>
      </w:r>
      <w:r>
        <w:rPr>
          <w:rFonts w:hint="eastAsia"/>
          <w:sz w:val="22"/>
        </w:rPr>
        <w:t>2008《实验室生物安全通用要求》自2009年7月1日起施行。</w:t>
      </w:r>
    </w:p>
    <w:p w14:paraId="7354F69F">
      <w:pPr>
        <w:snapToGrid w:val="0"/>
        <w:ind w:firstLine="440" w:firstLineChars="200"/>
        <w:jc w:val="left"/>
        <w:rPr>
          <w:sz w:val="22"/>
        </w:rPr>
      </w:pPr>
      <w:r>
        <w:rPr>
          <w:rFonts w:hint="eastAsia"/>
          <w:sz w:val="22"/>
        </w:rPr>
        <w:t>6.WS/T 804</w:t>
      </w:r>
      <w:r>
        <w:rPr>
          <w:rFonts w:hint="eastAsia"/>
          <w:sz w:val="22"/>
        </w:rPr>
        <w:noBreakHyphen/>
      </w:r>
      <w:r>
        <w:rPr>
          <w:rFonts w:hint="eastAsia"/>
          <w:sz w:val="22"/>
        </w:rPr>
        <w:t>2022《临床化学检验基本技术标准》自2023年5月1日起施行。</w:t>
      </w:r>
    </w:p>
    <w:p w14:paraId="10D0CA3B">
      <w:pPr>
        <w:snapToGrid w:val="0"/>
        <w:ind w:firstLine="440" w:firstLineChars="200"/>
        <w:jc w:val="left"/>
        <w:rPr>
          <w:sz w:val="22"/>
        </w:rPr>
      </w:pPr>
      <w:r>
        <w:rPr>
          <w:rFonts w:hint="eastAsia"/>
          <w:sz w:val="22"/>
        </w:rPr>
        <w:t>7.WS/T 641</w:t>
      </w:r>
      <w:r>
        <w:rPr>
          <w:rFonts w:hint="eastAsia"/>
          <w:sz w:val="22"/>
        </w:rPr>
        <w:noBreakHyphen/>
      </w:r>
      <w:r>
        <w:rPr>
          <w:rFonts w:hint="eastAsia"/>
          <w:sz w:val="22"/>
        </w:rPr>
        <w:t>2026临床检验定量测定室内质量控制标准》 自2026年11月1日实施。</w:t>
      </w:r>
    </w:p>
    <w:p w14:paraId="60AAFD38">
      <w:pPr>
        <w:snapToGrid w:val="0"/>
        <w:ind w:firstLine="440" w:firstLineChars="200"/>
        <w:jc w:val="left"/>
        <w:rPr>
          <w:sz w:val="22"/>
        </w:rPr>
      </w:pPr>
      <w:r>
        <w:rPr>
          <w:rFonts w:hint="eastAsia"/>
          <w:sz w:val="22"/>
        </w:rPr>
        <w:t>8.WS/T 644</w:t>
      </w:r>
      <w:r>
        <w:rPr>
          <w:rFonts w:hint="eastAsia"/>
          <w:sz w:val="22"/>
        </w:rPr>
        <w:noBreakHyphen/>
      </w:r>
      <w:r>
        <w:rPr>
          <w:rFonts w:hint="eastAsia"/>
          <w:sz w:val="22"/>
        </w:rPr>
        <w:t>2018《临床检验室间质量评价》自2019年6月1日起施行。</w:t>
      </w:r>
    </w:p>
    <w:p w14:paraId="0B3360D7">
      <w:pPr>
        <w:snapToGrid w:val="0"/>
        <w:ind w:firstLine="440" w:firstLineChars="200"/>
        <w:jc w:val="left"/>
        <w:rPr>
          <w:sz w:val="22"/>
        </w:rPr>
      </w:pPr>
      <w:r>
        <w:rPr>
          <w:rFonts w:hint="eastAsia"/>
          <w:sz w:val="22"/>
        </w:rPr>
        <w:t>9.WS/T 616</w:t>
      </w:r>
      <w:r>
        <w:rPr>
          <w:rFonts w:hint="eastAsia"/>
          <w:sz w:val="22"/>
        </w:rPr>
        <w:noBreakHyphen/>
      </w:r>
      <w:r>
        <w:rPr>
          <w:rFonts w:hint="eastAsia"/>
          <w:sz w:val="22"/>
        </w:rPr>
        <w:t>2018《临床实验室定量检验结果的自动审核》自2019年3月1日起施行。</w:t>
      </w:r>
    </w:p>
    <w:p w14:paraId="3C827858">
      <w:pPr>
        <w:snapToGrid w:val="0"/>
        <w:ind w:firstLine="440" w:firstLineChars="200"/>
        <w:jc w:val="left"/>
        <w:rPr>
          <w:sz w:val="22"/>
        </w:rPr>
      </w:pPr>
      <w:r>
        <w:rPr>
          <w:rFonts w:hint="eastAsia"/>
          <w:sz w:val="22"/>
        </w:rPr>
        <w:t>10.WS/T 403</w:t>
      </w:r>
      <w:r>
        <w:rPr>
          <w:rFonts w:hint="eastAsia"/>
          <w:sz w:val="22"/>
        </w:rPr>
        <w:noBreakHyphen/>
      </w:r>
      <w:r>
        <w:rPr>
          <w:rFonts w:hint="eastAsia"/>
          <w:sz w:val="22"/>
        </w:rPr>
        <w:t>2012《临床生物化学检验常规项目分析质量指标》自2013年8月1日起施行。</w:t>
      </w:r>
    </w:p>
    <w:p w14:paraId="2666813B">
      <w:pPr>
        <w:snapToGrid w:val="0"/>
        <w:ind w:firstLine="440" w:firstLineChars="200"/>
        <w:jc w:val="left"/>
        <w:rPr>
          <w:sz w:val="22"/>
        </w:rPr>
      </w:pPr>
      <w:r>
        <w:rPr>
          <w:rFonts w:hint="eastAsia"/>
          <w:sz w:val="22"/>
        </w:rPr>
        <w:t>11.WS/T 654</w:t>
      </w:r>
      <w:r>
        <w:rPr>
          <w:rFonts w:hint="eastAsia"/>
          <w:sz w:val="22"/>
        </w:rPr>
        <w:noBreakHyphen/>
      </w:r>
      <w:r>
        <w:rPr>
          <w:rFonts w:hint="eastAsia"/>
          <w:sz w:val="22"/>
        </w:rPr>
        <w:t>2019《医疗器械安全管理》自2020年5月1日起施行。</w:t>
      </w:r>
    </w:p>
    <w:p w14:paraId="7E8DC1FA">
      <w:pPr>
        <w:snapToGrid w:val="0"/>
        <w:ind w:firstLine="440" w:firstLineChars="200"/>
        <w:jc w:val="left"/>
        <w:rPr>
          <w:sz w:val="22"/>
        </w:rPr>
      </w:pPr>
      <w:r>
        <w:rPr>
          <w:rFonts w:hint="eastAsia"/>
          <w:sz w:val="22"/>
        </w:rPr>
        <w:t>12.WS/T 225</w:t>
      </w:r>
      <w:r>
        <w:rPr>
          <w:rFonts w:hint="eastAsia"/>
          <w:sz w:val="22"/>
        </w:rPr>
        <w:noBreakHyphen/>
      </w:r>
      <w:r>
        <w:rPr>
          <w:rFonts w:hint="eastAsia"/>
          <w:sz w:val="22"/>
        </w:rPr>
        <w:t>2024《临床化学检验血液标本的采集与处理》自2024年11月1日起施行。</w:t>
      </w:r>
    </w:p>
    <w:p w14:paraId="74D2A491">
      <w:pPr>
        <w:snapToGrid w:val="0"/>
        <w:ind w:firstLine="440" w:firstLineChars="20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14:paraId="5AF5416C">
      <w:pPr>
        <w:adjustRightInd w:val="0"/>
        <w:snapToGrid w:val="0"/>
        <w:ind w:firstLine="442" w:firstLineChars="200"/>
        <w:outlineLvl w:val="2"/>
        <w:rPr>
          <w:b/>
          <w:bCs/>
          <w:sz w:val="22"/>
        </w:rPr>
      </w:pPr>
      <w:bookmarkStart w:id="11" w:name="_Toc240291150"/>
      <w:r>
        <w:rPr>
          <w:b/>
          <w:bCs/>
          <w:sz w:val="22"/>
        </w:rPr>
        <w:t>9 招标内容与质量要求</w:t>
      </w:r>
      <w:bookmarkEnd w:id="11"/>
    </w:p>
    <w:p w14:paraId="2EDD08FC">
      <w:pPr>
        <w:snapToGrid w:val="0"/>
        <w:ind w:firstLine="440" w:firstLineChars="200"/>
        <w:rPr>
          <w:sz w:val="22"/>
        </w:rPr>
      </w:pPr>
      <w:bookmarkStart w:id="12" w:name="OLE_LINK143"/>
      <w:bookmarkStart w:id="13" w:name="OLE_LINK144"/>
      <w:r>
        <w:rPr>
          <w:sz w:val="22"/>
        </w:rPr>
        <w:t>9.1 供货清单</w:t>
      </w:r>
    </w:p>
    <w:bookmarkEnd w:id="12"/>
    <w:bookmarkEnd w:id="13"/>
    <w:tbl>
      <w:tblPr>
        <w:tblStyle w:val="3"/>
        <w:tblW w:w="48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
        <w:gridCol w:w="1201"/>
        <w:gridCol w:w="898"/>
        <w:gridCol w:w="1935"/>
        <w:gridCol w:w="618"/>
        <w:gridCol w:w="1592"/>
        <w:gridCol w:w="844"/>
        <w:gridCol w:w="739"/>
      </w:tblGrid>
      <w:tr w14:paraId="0DCF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96" w:type="pct"/>
            <w:vAlign w:val="center"/>
          </w:tcPr>
          <w:p w14:paraId="32C5ED74">
            <w:pPr>
              <w:adjustRightInd w:val="0"/>
              <w:snapToGrid w:val="0"/>
              <w:jc w:val="center"/>
              <w:rPr>
                <w:b/>
                <w:bCs/>
                <w:sz w:val="22"/>
              </w:rPr>
            </w:pPr>
            <w:r>
              <w:rPr>
                <w:b/>
                <w:bCs/>
                <w:sz w:val="22"/>
              </w:rPr>
              <w:t>序号</w:t>
            </w:r>
          </w:p>
        </w:tc>
        <w:tc>
          <w:tcPr>
            <w:tcW w:w="721" w:type="pct"/>
            <w:vAlign w:val="center"/>
          </w:tcPr>
          <w:p w14:paraId="64B019AB">
            <w:pPr>
              <w:adjustRightInd w:val="0"/>
              <w:snapToGrid w:val="0"/>
              <w:jc w:val="center"/>
              <w:rPr>
                <w:b/>
                <w:bCs/>
                <w:sz w:val="22"/>
              </w:rPr>
            </w:pPr>
            <w:r>
              <w:rPr>
                <w:b/>
                <w:bCs/>
                <w:sz w:val="22"/>
              </w:rPr>
              <w:t>名称</w:t>
            </w:r>
          </w:p>
        </w:tc>
        <w:tc>
          <w:tcPr>
            <w:tcW w:w="539" w:type="pct"/>
          </w:tcPr>
          <w:p w14:paraId="5ED24412">
            <w:pPr>
              <w:adjustRightInd w:val="0"/>
              <w:snapToGrid w:val="0"/>
              <w:jc w:val="center"/>
              <w:rPr>
                <w:b/>
                <w:bCs/>
                <w:sz w:val="22"/>
              </w:rPr>
            </w:pPr>
            <w:r>
              <w:rPr>
                <w:rFonts w:hint="eastAsia"/>
                <w:b/>
                <w:bCs/>
                <w:sz w:val="22"/>
              </w:rPr>
              <w:t>医疗器械类别</w:t>
            </w:r>
          </w:p>
        </w:tc>
        <w:tc>
          <w:tcPr>
            <w:tcW w:w="1162" w:type="pct"/>
            <w:vAlign w:val="center"/>
          </w:tcPr>
          <w:p w14:paraId="1E652F33">
            <w:pPr>
              <w:adjustRightInd w:val="0"/>
              <w:snapToGrid w:val="0"/>
              <w:jc w:val="center"/>
              <w:rPr>
                <w:b/>
                <w:bCs/>
                <w:sz w:val="22"/>
              </w:rPr>
            </w:pPr>
            <w:r>
              <w:rPr>
                <w:b/>
                <w:bCs/>
                <w:sz w:val="22"/>
              </w:rPr>
              <w:t>规格技术参数</w:t>
            </w:r>
          </w:p>
          <w:p w14:paraId="0C4294A1">
            <w:pPr>
              <w:adjustRightInd w:val="0"/>
              <w:snapToGrid w:val="0"/>
              <w:jc w:val="center"/>
              <w:rPr>
                <w:b/>
                <w:bCs/>
                <w:sz w:val="22"/>
              </w:rPr>
            </w:pPr>
            <w:r>
              <w:rPr>
                <w:b/>
                <w:bCs/>
                <w:sz w:val="22"/>
              </w:rPr>
              <w:t>（含材料、工艺要求）</w:t>
            </w:r>
          </w:p>
        </w:tc>
        <w:tc>
          <w:tcPr>
            <w:tcW w:w="371" w:type="pct"/>
            <w:vAlign w:val="center"/>
          </w:tcPr>
          <w:p w14:paraId="70615CD6">
            <w:pPr>
              <w:adjustRightInd w:val="0"/>
              <w:snapToGrid w:val="0"/>
              <w:jc w:val="center"/>
              <w:rPr>
                <w:b/>
                <w:bCs/>
                <w:sz w:val="22"/>
              </w:rPr>
            </w:pPr>
            <w:r>
              <w:rPr>
                <w:b/>
                <w:bCs/>
                <w:sz w:val="22"/>
              </w:rPr>
              <w:t>数量</w:t>
            </w:r>
          </w:p>
        </w:tc>
        <w:tc>
          <w:tcPr>
            <w:tcW w:w="956" w:type="pct"/>
            <w:vAlign w:val="center"/>
          </w:tcPr>
          <w:p w14:paraId="0DACA6D3">
            <w:pPr>
              <w:adjustRightInd w:val="0"/>
              <w:snapToGrid w:val="0"/>
              <w:jc w:val="center"/>
              <w:rPr>
                <w:b/>
                <w:bCs/>
                <w:sz w:val="22"/>
              </w:rPr>
            </w:pPr>
            <w:r>
              <w:rPr>
                <w:b/>
                <w:bCs/>
                <w:sz w:val="22"/>
              </w:rPr>
              <w:t>供货期</w:t>
            </w:r>
          </w:p>
        </w:tc>
        <w:tc>
          <w:tcPr>
            <w:tcW w:w="507" w:type="pct"/>
            <w:vAlign w:val="center"/>
          </w:tcPr>
          <w:p w14:paraId="2255E7DF">
            <w:pPr>
              <w:adjustRightInd w:val="0"/>
              <w:snapToGrid w:val="0"/>
              <w:jc w:val="center"/>
              <w:rPr>
                <w:b/>
                <w:bCs/>
                <w:sz w:val="22"/>
              </w:rPr>
            </w:pPr>
            <w:r>
              <w:rPr>
                <w:b/>
                <w:bCs/>
                <w:sz w:val="22"/>
              </w:rPr>
              <w:t>质保期</w:t>
            </w:r>
          </w:p>
        </w:tc>
        <w:tc>
          <w:tcPr>
            <w:tcW w:w="444" w:type="pct"/>
            <w:vAlign w:val="center"/>
          </w:tcPr>
          <w:p w14:paraId="428BB9BB">
            <w:pPr>
              <w:adjustRightInd w:val="0"/>
              <w:snapToGrid w:val="0"/>
              <w:jc w:val="center"/>
              <w:rPr>
                <w:b/>
                <w:bCs/>
                <w:sz w:val="22"/>
              </w:rPr>
            </w:pPr>
            <w:r>
              <w:rPr>
                <w:b/>
                <w:bCs/>
                <w:sz w:val="22"/>
              </w:rPr>
              <w:t>备注</w:t>
            </w:r>
          </w:p>
        </w:tc>
      </w:tr>
      <w:tr w14:paraId="4900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vAlign w:val="center"/>
          </w:tcPr>
          <w:p w14:paraId="103C55E8">
            <w:pPr>
              <w:adjustRightInd w:val="0"/>
              <w:snapToGrid w:val="0"/>
              <w:jc w:val="center"/>
              <w:rPr>
                <w:b/>
                <w:bCs/>
                <w:sz w:val="22"/>
              </w:rPr>
            </w:pPr>
            <w:bookmarkStart w:id="14" w:name="_Hlk239839184"/>
            <w:r>
              <w:rPr>
                <w:rFonts w:hint="eastAsia"/>
                <w:b/>
                <w:bCs/>
                <w:sz w:val="22"/>
              </w:rPr>
              <w:t>1</w:t>
            </w:r>
          </w:p>
        </w:tc>
        <w:tc>
          <w:tcPr>
            <w:tcW w:w="721" w:type="pct"/>
            <w:vAlign w:val="center"/>
          </w:tcPr>
          <w:p w14:paraId="73284FA8">
            <w:pPr>
              <w:adjustRightInd w:val="0"/>
              <w:snapToGrid w:val="0"/>
              <w:jc w:val="center"/>
              <w:rPr>
                <w:b/>
                <w:bCs/>
                <w:sz w:val="22"/>
              </w:rPr>
            </w:pPr>
            <w:r>
              <w:rPr>
                <w:rFonts w:hint="eastAsia" w:ascii="宋体" w:hAnsi="宋体"/>
                <w:sz w:val="24"/>
                <w:szCs w:val="24"/>
              </w:rPr>
              <w:t>前处理系统</w:t>
            </w:r>
          </w:p>
        </w:tc>
        <w:tc>
          <w:tcPr>
            <w:tcW w:w="539" w:type="pct"/>
            <w:vAlign w:val="center"/>
          </w:tcPr>
          <w:p w14:paraId="7C5F8D22">
            <w:pPr>
              <w:adjustRightInd w:val="0"/>
              <w:snapToGrid w:val="0"/>
              <w:jc w:val="center"/>
              <w:rPr>
                <w:sz w:val="22"/>
              </w:rPr>
            </w:pPr>
            <w:r>
              <w:rPr>
                <w:rFonts w:hint="eastAsia"/>
                <w:sz w:val="22"/>
              </w:rPr>
              <w:t>/</w:t>
            </w:r>
          </w:p>
        </w:tc>
        <w:tc>
          <w:tcPr>
            <w:tcW w:w="1162" w:type="pct"/>
            <w:vAlign w:val="center"/>
          </w:tcPr>
          <w:p w14:paraId="4706DDAB">
            <w:pPr>
              <w:adjustRightInd w:val="0"/>
              <w:snapToGrid w:val="0"/>
              <w:ind w:firstLine="442" w:firstLineChars="200"/>
              <w:rPr>
                <w:sz w:val="22"/>
              </w:rPr>
            </w:pPr>
            <w:r>
              <w:rPr>
                <w:rFonts w:hint="eastAsia"/>
                <w:b/>
                <w:bCs/>
                <w:sz w:val="22"/>
              </w:rPr>
              <w:t>详见9.2.2</w:t>
            </w:r>
            <w:r>
              <w:rPr>
                <w:sz w:val="22"/>
              </w:rPr>
              <w:t>具体技术参数指标要求</w:t>
            </w:r>
          </w:p>
        </w:tc>
        <w:tc>
          <w:tcPr>
            <w:tcW w:w="371" w:type="pct"/>
            <w:vAlign w:val="center"/>
          </w:tcPr>
          <w:p w14:paraId="4A234081">
            <w:pPr>
              <w:adjustRightInd w:val="0"/>
              <w:snapToGrid w:val="0"/>
              <w:jc w:val="center"/>
              <w:rPr>
                <w:b/>
                <w:bCs/>
                <w:sz w:val="22"/>
              </w:rPr>
            </w:pPr>
            <w:r>
              <w:rPr>
                <w:rFonts w:hint="eastAsia"/>
                <w:b/>
                <w:bCs/>
                <w:sz w:val="22"/>
              </w:rPr>
              <w:t>1套</w:t>
            </w:r>
          </w:p>
        </w:tc>
        <w:tc>
          <w:tcPr>
            <w:tcW w:w="956" w:type="pct"/>
            <w:vAlign w:val="center"/>
          </w:tcPr>
          <w:p w14:paraId="4E27A0C7">
            <w:pPr>
              <w:adjustRightInd w:val="0"/>
              <w:snapToGrid w:val="0"/>
              <w:jc w:val="center"/>
              <w:rPr>
                <w:bCs/>
                <w:sz w:val="22"/>
              </w:rPr>
            </w:pPr>
            <w:r>
              <w:rPr>
                <w:rFonts w:hint="eastAsia"/>
                <w:bCs/>
                <w:sz w:val="22"/>
              </w:rPr>
              <w:t>合同签订后30天</w:t>
            </w:r>
            <w:r>
              <w:rPr>
                <w:rFonts w:hint="eastAsia"/>
              </w:rPr>
              <w:t>内设备到院，60天内完成设备安装、调试、培训</w:t>
            </w:r>
          </w:p>
        </w:tc>
        <w:tc>
          <w:tcPr>
            <w:tcW w:w="507" w:type="pct"/>
            <w:vAlign w:val="center"/>
          </w:tcPr>
          <w:p w14:paraId="079FCF57">
            <w:pPr>
              <w:adjustRightInd w:val="0"/>
              <w:snapToGrid w:val="0"/>
              <w:jc w:val="center"/>
              <w:rPr>
                <w:b/>
                <w:bCs/>
                <w:sz w:val="22"/>
              </w:rPr>
            </w:pPr>
            <w:r>
              <w:rPr>
                <w:rFonts w:hint="eastAsia"/>
                <w:b/>
                <w:bCs/>
                <w:sz w:val="22"/>
              </w:rPr>
              <w:t>≥5年</w:t>
            </w:r>
          </w:p>
        </w:tc>
        <w:tc>
          <w:tcPr>
            <w:tcW w:w="444" w:type="pct"/>
            <w:vAlign w:val="center"/>
          </w:tcPr>
          <w:p w14:paraId="2AE07B72">
            <w:pPr>
              <w:adjustRightInd w:val="0"/>
              <w:snapToGrid w:val="0"/>
              <w:rPr>
                <w:b/>
                <w:bCs/>
                <w:sz w:val="22"/>
              </w:rPr>
            </w:pPr>
          </w:p>
        </w:tc>
      </w:tr>
      <w:tr w14:paraId="22BC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vAlign w:val="center"/>
          </w:tcPr>
          <w:p w14:paraId="0FE3C9E2">
            <w:pPr>
              <w:adjustRightInd w:val="0"/>
              <w:snapToGrid w:val="0"/>
              <w:jc w:val="center"/>
              <w:rPr>
                <w:b/>
                <w:bCs/>
                <w:sz w:val="22"/>
              </w:rPr>
            </w:pPr>
            <w:r>
              <w:rPr>
                <w:rFonts w:hint="eastAsia"/>
                <w:b/>
                <w:bCs/>
                <w:sz w:val="22"/>
              </w:rPr>
              <w:t>2</w:t>
            </w:r>
          </w:p>
        </w:tc>
        <w:tc>
          <w:tcPr>
            <w:tcW w:w="721" w:type="pct"/>
            <w:vAlign w:val="center"/>
          </w:tcPr>
          <w:p w14:paraId="189822CE">
            <w:pPr>
              <w:spacing w:line="400" w:lineRule="exact"/>
              <w:rPr>
                <w:rFonts w:ascii="宋体" w:hAnsi="宋体"/>
                <w:sz w:val="24"/>
                <w:szCs w:val="24"/>
              </w:rPr>
            </w:pPr>
            <w:r>
              <w:rPr>
                <w:rFonts w:hint="eastAsia" w:ascii="宋体" w:hAnsi="宋体"/>
                <w:sz w:val="24"/>
                <w:szCs w:val="24"/>
              </w:rPr>
              <w:t>全自动</w:t>
            </w:r>
            <w:r>
              <w:rPr>
                <w:rFonts w:hint="eastAsia" w:ascii="宋体" w:hAnsi="宋体"/>
                <w:b/>
                <w:bCs/>
                <w:color w:val="C00000"/>
                <w:sz w:val="24"/>
                <w:szCs w:val="24"/>
              </w:rPr>
              <w:t>在线</w:t>
            </w:r>
            <w:r>
              <w:rPr>
                <w:rFonts w:hint="eastAsia" w:ascii="宋体" w:hAnsi="宋体"/>
                <w:sz w:val="24"/>
                <w:szCs w:val="24"/>
              </w:rPr>
              <w:t>生化分析系统</w:t>
            </w:r>
          </w:p>
        </w:tc>
        <w:tc>
          <w:tcPr>
            <w:tcW w:w="539" w:type="pct"/>
            <w:vAlign w:val="center"/>
          </w:tcPr>
          <w:p w14:paraId="1FD19526">
            <w:pPr>
              <w:adjustRightInd w:val="0"/>
              <w:snapToGrid w:val="0"/>
              <w:jc w:val="center"/>
              <w:rPr>
                <w:sz w:val="22"/>
              </w:rPr>
            </w:pPr>
            <w:r>
              <w:rPr>
                <w:rFonts w:hint="eastAsia"/>
                <w:sz w:val="22"/>
              </w:rPr>
              <w:t>二类</w:t>
            </w:r>
          </w:p>
        </w:tc>
        <w:tc>
          <w:tcPr>
            <w:tcW w:w="1162" w:type="pct"/>
            <w:vAlign w:val="center"/>
          </w:tcPr>
          <w:p w14:paraId="0FE7E14F">
            <w:pPr>
              <w:adjustRightInd w:val="0"/>
              <w:snapToGrid w:val="0"/>
              <w:ind w:firstLine="442" w:firstLineChars="200"/>
              <w:rPr>
                <w:sz w:val="22"/>
              </w:rPr>
            </w:pPr>
            <w:r>
              <w:rPr>
                <w:rFonts w:hint="eastAsia"/>
                <w:b/>
                <w:bCs/>
                <w:sz w:val="22"/>
              </w:rPr>
              <w:t>详见9.2.2</w:t>
            </w:r>
            <w:r>
              <w:rPr>
                <w:sz w:val="22"/>
              </w:rPr>
              <w:t>具体技术参数指标要求</w:t>
            </w:r>
          </w:p>
        </w:tc>
        <w:tc>
          <w:tcPr>
            <w:tcW w:w="371" w:type="pct"/>
            <w:vAlign w:val="center"/>
          </w:tcPr>
          <w:p w14:paraId="3D40900C">
            <w:pPr>
              <w:adjustRightInd w:val="0"/>
              <w:snapToGrid w:val="0"/>
              <w:jc w:val="center"/>
              <w:rPr>
                <w:b/>
                <w:bCs/>
                <w:sz w:val="22"/>
              </w:rPr>
            </w:pPr>
            <w:r>
              <w:rPr>
                <w:rFonts w:hint="eastAsia"/>
                <w:b/>
                <w:bCs/>
                <w:sz w:val="22"/>
              </w:rPr>
              <w:t>1套</w:t>
            </w:r>
          </w:p>
        </w:tc>
        <w:tc>
          <w:tcPr>
            <w:tcW w:w="956" w:type="pct"/>
            <w:vAlign w:val="center"/>
          </w:tcPr>
          <w:p w14:paraId="53735969">
            <w:pPr>
              <w:adjustRightInd w:val="0"/>
              <w:snapToGrid w:val="0"/>
              <w:jc w:val="center"/>
              <w:rPr>
                <w:bCs/>
                <w:sz w:val="22"/>
              </w:rPr>
            </w:pPr>
            <w:r>
              <w:rPr>
                <w:rFonts w:hint="eastAsia"/>
                <w:bCs/>
                <w:sz w:val="22"/>
              </w:rPr>
              <w:t>合同签订后30天</w:t>
            </w:r>
            <w:r>
              <w:rPr>
                <w:rFonts w:hint="eastAsia"/>
              </w:rPr>
              <w:t>内设备到院，60天内完成设备安装、调试、培训</w:t>
            </w:r>
          </w:p>
        </w:tc>
        <w:tc>
          <w:tcPr>
            <w:tcW w:w="507" w:type="pct"/>
            <w:vAlign w:val="center"/>
          </w:tcPr>
          <w:p w14:paraId="130FB504">
            <w:pPr>
              <w:adjustRightInd w:val="0"/>
              <w:snapToGrid w:val="0"/>
              <w:jc w:val="center"/>
              <w:rPr>
                <w:b/>
                <w:bCs/>
                <w:sz w:val="22"/>
              </w:rPr>
            </w:pPr>
            <w:r>
              <w:rPr>
                <w:rFonts w:hint="eastAsia"/>
                <w:b/>
                <w:bCs/>
                <w:sz w:val="22"/>
              </w:rPr>
              <w:t>≥5年</w:t>
            </w:r>
          </w:p>
        </w:tc>
        <w:tc>
          <w:tcPr>
            <w:tcW w:w="444" w:type="pct"/>
            <w:vAlign w:val="center"/>
          </w:tcPr>
          <w:p w14:paraId="4A5764F6">
            <w:pPr>
              <w:adjustRightInd w:val="0"/>
              <w:snapToGrid w:val="0"/>
              <w:rPr>
                <w:b/>
                <w:bCs/>
                <w:sz w:val="22"/>
              </w:rPr>
            </w:pPr>
          </w:p>
        </w:tc>
      </w:tr>
      <w:tr w14:paraId="42EB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vAlign w:val="center"/>
          </w:tcPr>
          <w:p w14:paraId="095EC546">
            <w:pPr>
              <w:adjustRightInd w:val="0"/>
              <w:snapToGrid w:val="0"/>
              <w:jc w:val="center"/>
              <w:rPr>
                <w:b/>
                <w:bCs/>
                <w:sz w:val="22"/>
              </w:rPr>
            </w:pPr>
            <w:r>
              <w:rPr>
                <w:rFonts w:hint="eastAsia"/>
                <w:b/>
                <w:bCs/>
                <w:sz w:val="22"/>
              </w:rPr>
              <w:t>3</w:t>
            </w:r>
          </w:p>
        </w:tc>
        <w:tc>
          <w:tcPr>
            <w:tcW w:w="721" w:type="pct"/>
            <w:vAlign w:val="center"/>
          </w:tcPr>
          <w:p w14:paraId="5F3BCF1E">
            <w:pPr>
              <w:spacing w:line="400" w:lineRule="exact"/>
              <w:rPr>
                <w:rFonts w:ascii="宋体" w:hAnsi="宋体"/>
                <w:sz w:val="24"/>
                <w:szCs w:val="24"/>
              </w:rPr>
            </w:pPr>
            <w:r>
              <w:rPr>
                <w:rFonts w:hint="eastAsia" w:ascii="宋体" w:hAnsi="宋体"/>
                <w:sz w:val="24"/>
                <w:szCs w:val="24"/>
              </w:rPr>
              <w:t>全自动</w:t>
            </w:r>
            <w:r>
              <w:rPr>
                <w:rFonts w:hint="eastAsia" w:ascii="宋体" w:hAnsi="宋体"/>
                <w:b/>
                <w:bCs/>
                <w:color w:val="C00000"/>
                <w:sz w:val="24"/>
                <w:szCs w:val="24"/>
              </w:rPr>
              <w:t>在线</w:t>
            </w:r>
            <w:bookmarkStart w:id="15" w:name="OLE_LINK18"/>
            <w:bookmarkStart w:id="16" w:name="OLE_LINK19"/>
            <w:r>
              <w:rPr>
                <w:rFonts w:hint="eastAsia" w:ascii="宋体" w:hAnsi="宋体"/>
                <w:sz w:val="24"/>
                <w:szCs w:val="24"/>
              </w:rPr>
              <w:t>免疫分析系统</w:t>
            </w:r>
            <w:bookmarkEnd w:id="15"/>
            <w:bookmarkEnd w:id="16"/>
          </w:p>
        </w:tc>
        <w:tc>
          <w:tcPr>
            <w:tcW w:w="539" w:type="pct"/>
            <w:vAlign w:val="center"/>
          </w:tcPr>
          <w:p w14:paraId="6391A83E">
            <w:pPr>
              <w:adjustRightInd w:val="0"/>
              <w:snapToGrid w:val="0"/>
              <w:jc w:val="center"/>
              <w:rPr>
                <w:sz w:val="22"/>
              </w:rPr>
            </w:pPr>
            <w:r>
              <w:rPr>
                <w:rFonts w:hint="eastAsia"/>
                <w:sz w:val="22"/>
              </w:rPr>
              <w:t>二类</w:t>
            </w:r>
          </w:p>
        </w:tc>
        <w:tc>
          <w:tcPr>
            <w:tcW w:w="1162" w:type="pct"/>
            <w:vAlign w:val="center"/>
          </w:tcPr>
          <w:p w14:paraId="16525D6B">
            <w:pPr>
              <w:adjustRightInd w:val="0"/>
              <w:snapToGrid w:val="0"/>
              <w:ind w:firstLine="442" w:firstLineChars="200"/>
              <w:rPr>
                <w:sz w:val="22"/>
              </w:rPr>
            </w:pPr>
            <w:r>
              <w:rPr>
                <w:rFonts w:hint="eastAsia"/>
                <w:b/>
                <w:bCs/>
                <w:sz w:val="22"/>
              </w:rPr>
              <w:t>详见9.2.2</w:t>
            </w:r>
            <w:r>
              <w:rPr>
                <w:sz w:val="22"/>
              </w:rPr>
              <w:t>具体技术参数指标要求</w:t>
            </w:r>
          </w:p>
        </w:tc>
        <w:tc>
          <w:tcPr>
            <w:tcW w:w="371" w:type="pct"/>
            <w:vAlign w:val="center"/>
          </w:tcPr>
          <w:p w14:paraId="241C59A9">
            <w:pPr>
              <w:adjustRightInd w:val="0"/>
              <w:snapToGrid w:val="0"/>
              <w:jc w:val="center"/>
              <w:rPr>
                <w:b/>
                <w:bCs/>
                <w:sz w:val="22"/>
              </w:rPr>
            </w:pPr>
            <w:r>
              <w:rPr>
                <w:rFonts w:hint="eastAsia"/>
                <w:b/>
                <w:bCs/>
                <w:sz w:val="22"/>
              </w:rPr>
              <w:t>1套</w:t>
            </w:r>
          </w:p>
        </w:tc>
        <w:tc>
          <w:tcPr>
            <w:tcW w:w="956" w:type="pct"/>
            <w:vAlign w:val="center"/>
          </w:tcPr>
          <w:p w14:paraId="34450C14">
            <w:pPr>
              <w:adjustRightInd w:val="0"/>
              <w:snapToGrid w:val="0"/>
              <w:jc w:val="center"/>
              <w:rPr>
                <w:bCs/>
                <w:sz w:val="22"/>
              </w:rPr>
            </w:pPr>
            <w:r>
              <w:rPr>
                <w:rFonts w:hint="eastAsia"/>
                <w:bCs/>
                <w:sz w:val="22"/>
              </w:rPr>
              <w:t>合同签订后30天</w:t>
            </w:r>
            <w:r>
              <w:rPr>
                <w:rFonts w:hint="eastAsia"/>
              </w:rPr>
              <w:t>内设备到院，60天内完成设备安装、调试、培训</w:t>
            </w:r>
          </w:p>
        </w:tc>
        <w:tc>
          <w:tcPr>
            <w:tcW w:w="507" w:type="pct"/>
            <w:vAlign w:val="center"/>
          </w:tcPr>
          <w:p w14:paraId="794A08AD">
            <w:pPr>
              <w:adjustRightInd w:val="0"/>
              <w:snapToGrid w:val="0"/>
              <w:jc w:val="center"/>
              <w:rPr>
                <w:b/>
                <w:bCs/>
                <w:sz w:val="22"/>
              </w:rPr>
            </w:pPr>
            <w:r>
              <w:rPr>
                <w:rFonts w:hint="eastAsia"/>
                <w:b/>
                <w:bCs/>
                <w:sz w:val="22"/>
              </w:rPr>
              <w:t>≥5年</w:t>
            </w:r>
          </w:p>
        </w:tc>
        <w:tc>
          <w:tcPr>
            <w:tcW w:w="444" w:type="pct"/>
            <w:vAlign w:val="center"/>
          </w:tcPr>
          <w:p w14:paraId="777F2E34">
            <w:pPr>
              <w:adjustRightInd w:val="0"/>
              <w:snapToGrid w:val="0"/>
              <w:rPr>
                <w:rFonts w:hint="eastAsia" w:eastAsia="宋体"/>
                <w:b/>
                <w:bCs/>
                <w:sz w:val="22"/>
                <w:lang w:eastAsia="zh-CN"/>
              </w:rPr>
            </w:pPr>
            <w:r>
              <w:rPr>
                <w:rFonts w:hint="eastAsia"/>
                <w:b/>
                <w:bCs/>
                <w:sz w:val="22"/>
                <w:lang w:eastAsia="zh-CN"/>
              </w:rPr>
              <w:t>核心产品</w:t>
            </w:r>
          </w:p>
        </w:tc>
      </w:tr>
      <w:tr w14:paraId="453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vAlign w:val="center"/>
          </w:tcPr>
          <w:p w14:paraId="7478EA81">
            <w:pPr>
              <w:adjustRightInd w:val="0"/>
              <w:snapToGrid w:val="0"/>
              <w:jc w:val="center"/>
              <w:rPr>
                <w:b/>
                <w:bCs/>
                <w:sz w:val="22"/>
              </w:rPr>
            </w:pPr>
            <w:r>
              <w:rPr>
                <w:rFonts w:hint="eastAsia"/>
                <w:b/>
                <w:bCs/>
                <w:sz w:val="22"/>
              </w:rPr>
              <w:t>4</w:t>
            </w:r>
          </w:p>
        </w:tc>
        <w:tc>
          <w:tcPr>
            <w:tcW w:w="721" w:type="pct"/>
            <w:vAlign w:val="center"/>
          </w:tcPr>
          <w:p w14:paraId="696A3831">
            <w:pPr>
              <w:spacing w:line="400" w:lineRule="exact"/>
              <w:rPr>
                <w:rFonts w:ascii="宋体" w:hAnsi="宋体"/>
                <w:sz w:val="24"/>
                <w:szCs w:val="24"/>
              </w:rPr>
            </w:pPr>
            <w:r>
              <w:rPr>
                <w:rFonts w:hint="eastAsia" w:ascii="宋体" w:hAnsi="宋体"/>
                <w:sz w:val="24"/>
                <w:szCs w:val="24"/>
              </w:rPr>
              <w:t>轨道系统</w:t>
            </w:r>
          </w:p>
        </w:tc>
        <w:tc>
          <w:tcPr>
            <w:tcW w:w="539" w:type="pct"/>
            <w:vAlign w:val="center"/>
          </w:tcPr>
          <w:p w14:paraId="56418646">
            <w:pPr>
              <w:adjustRightInd w:val="0"/>
              <w:snapToGrid w:val="0"/>
              <w:jc w:val="center"/>
              <w:rPr>
                <w:sz w:val="22"/>
              </w:rPr>
            </w:pPr>
            <w:r>
              <w:rPr>
                <w:rFonts w:hint="eastAsia"/>
                <w:sz w:val="22"/>
              </w:rPr>
              <w:t>/</w:t>
            </w:r>
          </w:p>
        </w:tc>
        <w:tc>
          <w:tcPr>
            <w:tcW w:w="1162" w:type="pct"/>
            <w:vAlign w:val="center"/>
          </w:tcPr>
          <w:p w14:paraId="6FF25ED3">
            <w:pPr>
              <w:adjustRightInd w:val="0"/>
              <w:snapToGrid w:val="0"/>
              <w:ind w:firstLine="442" w:firstLineChars="200"/>
              <w:rPr>
                <w:sz w:val="22"/>
              </w:rPr>
            </w:pPr>
            <w:r>
              <w:rPr>
                <w:rFonts w:hint="eastAsia"/>
                <w:b/>
                <w:bCs/>
                <w:sz w:val="22"/>
              </w:rPr>
              <w:t>详见9.2.2</w:t>
            </w:r>
            <w:r>
              <w:rPr>
                <w:sz w:val="22"/>
              </w:rPr>
              <w:t>具体技术参数指标要求</w:t>
            </w:r>
          </w:p>
        </w:tc>
        <w:tc>
          <w:tcPr>
            <w:tcW w:w="371" w:type="pct"/>
            <w:vAlign w:val="center"/>
          </w:tcPr>
          <w:p w14:paraId="42978E5E">
            <w:pPr>
              <w:adjustRightInd w:val="0"/>
              <w:snapToGrid w:val="0"/>
              <w:jc w:val="center"/>
              <w:rPr>
                <w:b/>
                <w:bCs/>
                <w:sz w:val="22"/>
              </w:rPr>
            </w:pPr>
            <w:r>
              <w:rPr>
                <w:rFonts w:hint="eastAsia"/>
                <w:b/>
                <w:bCs/>
                <w:sz w:val="22"/>
              </w:rPr>
              <w:t>1套</w:t>
            </w:r>
          </w:p>
        </w:tc>
        <w:tc>
          <w:tcPr>
            <w:tcW w:w="956" w:type="pct"/>
            <w:vAlign w:val="center"/>
          </w:tcPr>
          <w:p w14:paraId="3521705C">
            <w:pPr>
              <w:adjustRightInd w:val="0"/>
              <w:snapToGrid w:val="0"/>
              <w:jc w:val="center"/>
              <w:rPr>
                <w:bCs/>
                <w:sz w:val="22"/>
              </w:rPr>
            </w:pPr>
            <w:r>
              <w:rPr>
                <w:rFonts w:hint="eastAsia"/>
                <w:bCs/>
                <w:sz w:val="22"/>
              </w:rPr>
              <w:t>合同签订后30天</w:t>
            </w:r>
            <w:r>
              <w:rPr>
                <w:rFonts w:hint="eastAsia"/>
              </w:rPr>
              <w:t>内设备到院，60天内完成设备安装、调试、培训</w:t>
            </w:r>
          </w:p>
        </w:tc>
        <w:tc>
          <w:tcPr>
            <w:tcW w:w="507" w:type="pct"/>
            <w:vAlign w:val="center"/>
          </w:tcPr>
          <w:p w14:paraId="25B7CC99">
            <w:pPr>
              <w:adjustRightInd w:val="0"/>
              <w:snapToGrid w:val="0"/>
              <w:jc w:val="center"/>
              <w:rPr>
                <w:b/>
                <w:bCs/>
                <w:sz w:val="22"/>
              </w:rPr>
            </w:pPr>
            <w:r>
              <w:rPr>
                <w:rFonts w:hint="eastAsia"/>
                <w:b/>
                <w:bCs/>
                <w:sz w:val="22"/>
              </w:rPr>
              <w:t>≥5年</w:t>
            </w:r>
          </w:p>
        </w:tc>
        <w:tc>
          <w:tcPr>
            <w:tcW w:w="444" w:type="pct"/>
            <w:vAlign w:val="center"/>
          </w:tcPr>
          <w:p w14:paraId="3A8C123F">
            <w:pPr>
              <w:adjustRightInd w:val="0"/>
              <w:snapToGrid w:val="0"/>
              <w:rPr>
                <w:b/>
                <w:bCs/>
                <w:sz w:val="22"/>
              </w:rPr>
            </w:pPr>
          </w:p>
        </w:tc>
      </w:tr>
      <w:tr w14:paraId="25B1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vAlign w:val="center"/>
          </w:tcPr>
          <w:p w14:paraId="2E11D261">
            <w:pPr>
              <w:adjustRightInd w:val="0"/>
              <w:snapToGrid w:val="0"/>
              <w:jc w:val="center"/>
              <w:rPr>
                <w:b/>
                <w:bCs/>
                <w:sz w:val="22"/>
              </w:rPr>
            </w:pPr>
            <w:r>
              <w:rPr>
                <w:rFonts w:hint="eastAsia"/>
                <w:b/>
                <w:bCs/>
                <w:sz w:val="22"/>
              </w:rPr>
              <w:t>5</w:t>
            </w:r>
          </w:p>
        </w:tc>
        <w:tc>
          <w:tcPr>
            <w:tcW w:w="721" w:type="pct"/>
            <w:vAlign w:val="center"/>
          </w:tcPr>
          <w:p w14:paraId="58222D9E">
            <w:pPr>
              <w:spacing w:line="400" w:lineRule="exact"/>
              <w:rPr>
                <w:rFonts w:ascii="宋体" w:hAnsi="宋体"/>
                <w:sz w:val="24"/>
                <w:szCs w:val="24"/>
              </w:rPr>
            </w:pPr>
            <w:r>
              <w:rPr>
                <w:rFonts w:hint="eastAsia" w:ascii="宋体" w:hAnsi="宋体"/>
                <w:sz w:val="24"/>
                <w:szCs w:val="24"/>
              </w:rPr>
              <w:t>后处理系统</w:t>
            </w:r>
          </w:p>
        </w:tc>
        <w:tc>
          <w:tcPr>
            <w:tcW w:w="539" w:type="pct"/>
            <w:vAlign w:val="center"/>
          </w:tcPr>
          <w:p w14:paraId="130D0312">
            <w:pPr>
              <w:adjustRightInd w:val="0"/>
              <w:snapToGrid w:val="0"/>
              <w:jc w:val="center"/>
              <w:rPr>
                <w:sz w:val="22"/>
              </w:rPr>
            </w:pPr>
            <w:r>
              <w:rPr>
                <w:rFonts w:hint="eastAsia"/>
                <w:sz w:val="22"/>
              </w:rPr>
              <w:t>/</w:t>
            </w:r>
          </w:p>
        </w:tc>
        <w:tc>
          <w:tcPr>
            <w:tcW w:w="1162" w:type="pct"/>
            <w:vAlign w:val="center"/>
          </w:tcPr>
          <w:p w14:paraId="63B1DD75">
            <w:pPr>
              <w:adjustRightInd w:val="0"/>
              <w:snapToGrid w:val="0"/>
              <w:ind w:firstLine="442" w:firstLineChars="200"/>
              <w:rPr>
                <w:sz w:val="22"/>
              </w:rPr>
            </w:pPr>
            <w:r>
              <w:rPr>
                <w:rFonts w:hint="eastAsia"/>
                <w:b/>
                <w:bCs/>
                <w:sz w:val="22"/>
              </w:rPr>
              <w:t>详见9.2.2</w:t>
            </w:r>
            <w:r>
              <w:rPr>
                <w:sz w:val="22"/>
              </w:rPr>
              <w:t>具体技术参数指标要求</w:t>
            </w:r>
          </w:p>
        </w:tc>
        <w:tc>
          <w:tcPr>
            <w:tcW w:w="371" w:type="pct"/>
            <w:vAlign w:val="center"/>
          </w:tcPr>
          <w:p w14:paraId="6B3E4210">
            <w:pPr>
              <w:adjustRightInd w:val="0"/>
              <w:snapToGrid w:val="0"/>
              <w:jc w:val="center"/>
              <w:rPr>
                <w:b/>
                <w:bCs/>
                <w:sz w:val="22"/>
              </w:rPr>
            </w:pPr>
            <w:r>
              <w:rPr>
                <w:rFonts w:hint="eastAsia"/>
                <w:b/>
                <w:bCs/>
                <w:sz w:val="22"/>
              </w:rPr>
              <w:t>1套</w:t>
            </w:r>
          </w:p>
        </w:tc>
        <w:tc>
          <w:tcPr>
            <w:tcW w:w="956" w:type="pct"/>
            <w:vAlign w:val="center"/>
          </w:tcPr>
          <w:p w14:paraId="707B9EDD">
            <w:pPr>
              <w:adjustRightInd w:val="0"/>
              <w:snapToGrid w:val="0"/>
              <w:jc w:val="center"/>
              <w:rPr>
                <w:bCs/>
                <w:sz w:val="22"/>
              </w:rPr>
            </w:pPr>
            <w:r>
              <w:rPr>
                <w:rFonts w:hint="eastAsia"/>
                <w:bCs/>
                <w:sz w:val="22"/>
              </w:rPr>
              <w:t>合同签订后30天</w:t>
            </w:r>
            <w:r>
              <w:rPr>
                <w:rFonts w:hint="eastAsia"/>
              </w:rPr>
              <w:t>内设备到院，60天内完成设备安装、调试、培训</w:t>
            </w:r>
          </w:p>
        </w:tc>
        <w:tc>
          <w:tcPr>
            <w:tcW w:w="507" w:type="pct"/>
            <w:vAlign w:val="center"/>
          </w:tcPr>
          <w:p w14:paraId="5483852A">
            <w:pPr>
              <w:adjustRightInd w:val="0"/>
              <w:snapToGrid w:val="0"/>
              <w:jc w:val="center"/>
              <w:rPr>
                <w:b/>
                <w:bCs/>
                <w:sz w:val="22"/>
              </w:rPr>
            </w:pPr>
            <w:r>
              <w:rPr>
                <w:rFonts w:hint="eastAsia"/>
                <w:b/>
                <w:bCs/>
                <w:sz w:val="22"/>
              </w:rPr>
              <w:t>≥5年</w:t>
            </w:r>
          </w:p>
        </w:tc>
        <w:tc>
          <w:tcPr>
            <w:tcW w:w="444" w:type="pct"/>
            <w:vAlign w:val="center"/>
          </w:tcPr>
          <w:p w14:paraId="0CE4A00C">
            <w:pPr>
              <w:adjustRightInd w:val="0"/>
              <w:snapToGrid w:val="0"/>
              <w:rPr>
                <w:b/>
                <w:bCs/>
                <w:sz w:val="22"/>
              </w:rPr>
            </w:pPr>
          </w:p>
        </w:tc>
      </w:tr>
      <w:tr w14:paraId="39B2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vAlign w:val="center"/>
          </w:tcPr>
          <w:p w14:paraId="7CAD8A8B">
            <w:pPr>
              <w:adjustRightInd w:val="0"/>
              <w:snapToGrid w:val="0"/>
              <w:jc w:val="center"/>
              <w:rPr>
                <w:b/>
                <w:bCs/>
                <w:sz w:val="22"/>
              </w:rPr>
            </w:pPr>
            <w:r>
              <w:rPr>
                <w:rFonts w:hint="eastAsia"/>
                <w:b/>
                <w:bCs/>
                <w:sz w:val="22"/>
              </w:rPr>
              <w:t>6</w:t>
            </w:r>
          </w:p>
        </w:tc>
        <w:tc>
          <w:tcPr>
            <w:tcW w:w="721" w:type="pct"/>
            <w:vAlign w:val="center"/>
          </w:tcPr>
          <w:p w14:paraId="2347219D">
            <w:pPr>
              <w:adjustRightInd w:val="0"/>
              <w:snapToGrid w:val="0"/>
              <w:jc w:val="center"/>
              <w:rPr>
                <w:rFonts w:ascii="宋体" w:hAnsi="宋体"/>
                <w:sz w:val="24"/>
                <w:szCs w:val="24"/>
              </w:rPr>
            </w:pPr>
            <w:r>
              <w:rPr>
                <w:rFonts w:hint="eastAsia" w:ascii="宋体" w:hAnsi="宋体"/>
                <w:sz w:val="24"/>
                <w:szCs w:val="24"/>
              </w:rPr>
              <w:t>数据管理系统</w:t>
            </w:r>
          </w:p>
        </w:tc>
        <w:tc>
          <w:tcPr>
            <w:tcW w:w="539" w:type="pct"/>
            <w:vAlign w:val="center"/>
          </w:tcPr>
          <w:p w14:paraId="409A8523">
            <w:pPr>
              <w:adjustRightInd w:val="0"/>
              <w:snapToGrid w:val="0"/>
              <w:jc w:val="center"/>
              <w:rPr>
                <w:sz w:val="22"/>
              </w:rPr>
            </w:pPr>
            <w:r>
              <w:rPr>
                <w:rFonts w:hint="eastAsia"/>
                <w:sz w:val="22"/>
              </w:rPr>
              <w:t>/</w:t>
            </w:r>
          </w:p>
        </w:tc>
        <w:tc>
          <w:tcPr>
            <w:tcW w:w="1162" w:type="pct"/>
            <w:vAlign w:val="center"/>
          </w:tcPr>
          <w:p w14:paraId="748ED8B7">
            <w:pPr>
              <w:adjustRightInd w:val="0"/>
              <w:snapToGrid w:val="0"/>
              <w:ind w:firstLine="442" w:firstLineChars="200"/>
              <w:rPr>
                <w:sz w:val="22"/>
              </w:rPr>
            </w:pPr>
            <w:r>
              <w:rPr>
                <w:rFonts w:hint="eastAsia"/>
                <w:b/>
                <w:bCs/>
                <w:sz w:val="22"/>
              </w:rPr>
              <w:t>详见9.2.2</w:t>
            </w:r>
            <w:r>
              <w:rPr>
                <w:sz w:val="22"/>
              </w:rPr>
              <w:t>具体技术参数指标要求</w:t>
            </w:r>
          </w:p>
        </w:tc>
        <w:tc>
          <w:tcPr>
            <w:tcW w:w="371" w:type="pct"/>
            <w:vAlign w:val="center"/>
          </w:tcPr>
          <w:p w14:paraId="47095F55">
            <w:pPr>
              <w:adjustRightInd w:val="0"/>
              <w:snapToGrid w:val="0"/>
              <w:jc w:val="center"/>
              <w:rPr>
                <w:b/>
                <w:bCs/>
                <w:sz w:val="22"/>
              </w:rPr>
            </w:pPr>
            <w:r>
              <w:rPr>
                <w:rFonts w:hint="eastAsia"/>
                <w:b/>
                <w:bCs/>
                <w:sz w:val="22"/>
              </w:rPr>
              <w:t>1套</w:t>
            </w:r>
          </w:p>
        </w:tc>
        <w:tc>
          <w:tcPr>
            <w:tcW w:w="956" w:type="pct"/>
            <w:vAlign w:val="center"/>
          </w:tcPr>
          <w:p w14:paraId="62803D46">
            <w:pPr>
              <w:adjustRightInd w:val="0"/>
              <w:snapToGrid w:val="0"/>
              <w:jc w:val="center"/>
              <w:rPr>
                <w:bCs/>
                <w:sz w:val="22"/>
              </w:rPr>
            </w:pPr>
            <w:r>
              <w:rPr>
                <w:rFonts w:hint="eastAsia"/>
                <w:bCs/>
                <w:sz w:val="22"/>
              </w:rPr>
              <w:t>合同签订后30天</w:t>
            </w:r>
            <w:r>
              <w:rPr>
                <w:rFonts w:hint="eastAsia"/>
              </w:rPr>
              <w:t>内设备到院，60天内完成设备安装、调试、培训</w:t>
            </w:r>
          </w:p>
        </w:tc>
        <w:tc>
          <w:tcPr>
            <w:tcW w:w="507" w:type="pct"/>
            <w:vAlign w:val="center"/>
          </w:tcPr>
          <w:p w14:paraId="2C36F2D5">
            <w:pPr>
              <w:adjustRightInd w:val="0"/>
              <w:snapToGrid w:val="0"/>
              <w:jc w:val="center"/>
              <w:rPr>
                <w:b/>
                <w:bCs/>
                <w:sz w:val="22"/>
              </w:rPr>
            </w:pPr>
            <w:r>
              <w:rPr>
                <w:rFonts w:hint="eastAsia"/>
                <w:b/>
                <w:bCs/>
                <w:sz w:val="22"/>
              </w:rPr>
              <w:t>≥5年</w:t>
            </w:r>
          </w:p>
        </w:tc>
        <w:tc>
          <w:tcPr>
            <w:tcW w:w="444" w:type="pct"/>
            <w:vAlign w:val="center"/>
          </w:tcPr>
          <w:p w14:paraId="28E02563">
            <w:pPr>
              <w:adjustRightInd w:val="0"/>
              <w:snapToGrid w:val="0"/>
              <w:rPr>
                <w:b/>
                <w:bCs/>
                <w:sz w:val="22"/>
              </w:rPr>
            </w:pPr>
          </w:p>
        </w:tc>
      </w:tr>
      <w:bookmarkEnd w:id="14"/>
    </w:tbl>
    <w:p w14:paraId="51619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2" w:leftChars="-1"/>
        <w:jc w:val="left"/>
        <w:rPr>
          <w:b/>
          <w:color w:val="0000FF"/>
          <w:sz w:val="22"/>
        </w:rPr>
      </w:pPr>
      <w:r>
        <w:rPr>
          <w:b/>
          <w:color w:val="0000FF"/>
          <w:sz w:val="22"/>
        </w:rPr>
        <w:t>说明：投标人不得对表内产品数量进行缩减。</w:t>
      </w:r>
    </w:p>
    <w:p w14:paraId="6BB86999">
      <w:pPr>
        <w:snapToGrid w:val="0"/>
        <w:ind w:firstLine="440" w:firstLineChars="200"/>
        <w:rPr>
          <w:sz w:val="22"/>
        </w:rPr>
      </w:pPr>
      <w:r>
        <w:rPr>
          <w:sz w:val="22"/>
        </w:rPr>
        <w:t>9.2 设备技术参数</w:t>
      </w:r>
    </w:p>
    <w:p w14:paraId="6ADFA56E">
      <w:pPr>
        <w:adjustRightInd w:val="0"/>
        <w:snapToGrid w:val="0"/>
        <w:ind w:firstLine="440" w:firstLineChars="200"/>
        <w:rPr>
          <w:sz w:val="22"/>
        </w:rPr>
      </w:pPr>
      <w:r>
        <w:rPr>
          <w:sz w:val="22"/>
        </w:rPr>
        <w:t>9.2.1 用途描述：</w:t>
      </w:r>
      <w:r>
        <w:rPr>
          <w:rFonts w:hint="eastAsia"/>
          <w:sz w:val="22"/>
        </w:rPr>
        <w:t>全自动</w:t>
      </w:r>
      <w:r>
        <w:rPr>
          <w:rFonts w:ascii="Segoe UI" w:hAnsi="Segoe UI" w:eastAsia="Segoe UI" w:cs="Segoe UI"/>
          <w:color w:val="0F1115"/>
          <w:sz w:val="24"/>
          <w:szCs w:val="24"/>
          <w:shd w:val="clear" w:color="auto" w:fill="FFFFFF"/>
        </w:rPr>
        <w:t>生化免疫流水线是将生化与免疫检测设备整合的自动化系统。它通过轨道连接分析仪器，实现样本自动分拣、传送、检测及归档。其用途在于</w:t>
      </w:r>
      <w:r>
        <w:rPr>
          <w:rFonts w:ascii="Segoe UI" w:hAnsi="Segoe UI" w:eastAsia="Segoe UI" w:cs="Segoe UI"/>
          <w:b/>
          <w:bCs/>
          <w:color w:val="0F1115"/>
          <w:sz w:val="24"/>
          <w:szCs w:val="24"/>
          <w:shd w:val="clear" w:color="auto" w:fill="FFFFFF"/>
        </w:rPr>
        <w:t>提升检测效率与质量</w:t>
      </w:r>
      <w:r>
        <w:rPr>
          <w:rFonts w:ascii="Segoe UI" w:hAnsi="Segoe UI" w:eastAsia="Segoe UI" w:cs="Segoe UI"/>
          <w:color w:val="0F1115"/>
          <w:sz w:val="24"/>
          <w:szCs w:val="24"/>
          <w:shd w:val="clear" w:color="auto" w:fill="FFFFFF"/>
        </w:rPr>
        <w:t>：能快速处理大批量样本，显著缩短报告时间</w:t>
      </w:r>
      <w:r>
        <w:rPr>
          <w:rFonts w:hint="eastAsia" w:ascii="Segoe UI" w:hAnsi="Segoe UI" w:cs="Segoe UI"/>
          <w:color w:val="0F1115"/>
          <w:sz w:val="24"/>
          <w:szCs w:val="24"/>
          <w:shd w:val="clear" w:color="auto" w:fill="FFFFFF"/>
        </w:rPr>
        <w:t>。</w:t>
      </w:r>
    </w:p>
    <w:p w14:paraId="03B33D06">
      <w:pPr>
        <w:adjustRightInd w:val="0"/>
        <w:snapToGrid w:val="0"/>
        <w:ind w:firstLine="440" w:firstLineChars="200"/>
        <w:rPr>
          <w:sz w:val="22"/>
        </w:rPr>
      </w:pPr>
      <w:r>
        <w:rPr>
          <w:sz w:val="22"/>
        </w:rPr>
        <w:t>9.2.2 具体技术参数指标要求</w:t>
      </w:r>
    </w:p>
    <w:p w14:paraId="757078F2">
      <w:pPr>
        <w:spacing w:line="400" w:lineRule="exact"/>
        <w:rPr>
          <w:rFonts w:ascii="宋体" w:hAnsi="宋体"/>
          <w:sz w:val="24"/>
          <w:szCs w:val="24"/>
        </w:rPr>
      </w:pPr>
      <w:r>
        <w:rPr>
          <w:rFonts w:hint="eastAsia" w:ascii="宋体" w:hAnsi="宋体"/>
          <w:sz w:val="24"/>
          <w:szCs w:val="24"/>
        </w:rPr>
        <w:t>1、整体要求</w:t>
      </w:r>
    </w:p>
    <w:p w14:paraId="2D9935CC">
      <w:pPr>
        <w:spacing w:line="400" w:lineRule="exact"/>
        <w:rPr>
          <w:rFonts w:ascii="宋体" w:hAnsi="宋体"/>
          <w:sz w:val="24"/>
          <w:szCs w:val="24"/>
        </w:rPr>
      </w:pPr>
      <w:r>
        <w:rPr>
          <w:rFonts w:hint="eastAsia" w:ascii="宋体" w:hAnsi="宋体"/>
          <w:sz w:val="24"/>
          <w:szCs w:val="24"/>
        </w:rPr>
        <w:t>1.1  全自动化流水线设备须包括</w:t>
      </w:r>
      <w:bookmarkStart w:id="17" w:name="OLE_LINK16"/>
      <w:r>
        <w:rPr>
          <w:rFonts w:hint="eastAsia" w:ascii="宋体" w:hAnsi="宋体"/>
          <w:sz w:val="24"/>
          <w:szCs w:val="24"/>
        </w:rPr>
        <w:t>前处理系统(包括进样模块、在线离心机、去盖模块</w:t>
      </w:r>
      <w:r>
        <w:rPr>
          <w:rFonts w:hint="eastAsia" w:ascii="宋体" w:hAnsi="宋体"/>
          <w:b/>
          <w:bCs/>
          <w:sz w:val="24"/>
          <w:szCs w:val="24"/>
        </w:rPr>
        <w:t>等</w:t>
      </w:r>
      <w:r>
        <w:rPr>
          <w:rFonts w:hint="eastAsia" w:ascii="宋体" w:hAnsi="宋体"/>
          <w:sz w:val="24"/>
          <w:szCs w:val="24"/>
        </w:rPr>
        <w:t>)</w:t>
      </w:r>
    </w:p>
    <w:p w14:paraId="3973AFA0">
      <w:pPr>
        <w:spacing w:line="400" w:lineRule="exact"/>
        <w:rPr>
          <w:rFonts w:ascii="宋体" w:hAnsi="宋体"/>
          <w:sz w:val="24"/>
          <w:szCs w:val="24"/>
        </w:rPr>
      </w:pPr>
      <w:r>
        <w:rPr>
          <w:rFonts w:hint="eastAsia" w:ascii="宋体" w:hAnsi="宋体"/>
          <w:sz w:val="24"/>
          <w:szCs w:val="24"/>
        </w:rPr>
        <w:t>、</w:t>
      </w:r>
      <w:r>
        <w:rPr>
          <w:rFonts w:hint="eastAsia" w:ascii="宋体" w:hAnsi="宋体"/>
          <w:color w:val="FF0000"/>
          <w:sz w:val="24"/>
          <w:szCs w:val="24"/>
        </w:rPr>
        <w:t>全自动在线生化分析系统</w:t>
      </w:r>
      <w:r>
        <w:rPr>
          <w:rFonts w:hint="eastAsia" w:ascii="宋体" w:hAnsi="宋体"/>
          <w:sz w:val="24"/>
          <w:szCs w:val="24"/>
        </w:rPr>
        <w:t>、</w:t>
      </w:r>
      <w:r>
        <w:rPr>
          <w:rFonts w:hint="eastAsia" w:ascii="宋体" w:hAnsi="宋体"/>
          <w:color w:val="FF0000"/>
          <w:sz w:val="24"/>
          <w:szCs w:val="24"/>
        </w:rPr>
        <w:t>全自动在线免疫分析系统</w:t>
      </w:r>
      <w:r>
        <w:rPr>
          <w:rFonts w:hint="eastAsia" w:ascii="宋体" w:hAnsi="宋体"/>
          <w:sz w:val="24"/>
          <w:szCs w:val="24"/>
        </w:rPr>
        <w:t>、</w:t>
      </w:r>
      <w:r>
        <w:rPr>
          <w:rFonts w:hint="eastAsia" w:ascii="宋体" w:hAnsi="宋体"/>
          <w:color w:val="FF0000"/>
          <w:sz w:val="24"/>
          <w:szCs w:val="24"/>
        </w:rPr>
        <w:t>轨道系统</w:t>
      </w:r>
      <w:r>
        <w:rPr>
          <w:rFonts w:hint="eastAsia" w:ascii="宋体" w:hAnsi="宋体"/>
          <w:sz w:val="24"/>
          <w:szCs w:val="24"/>
        </w:rPr>
        <w:t>、</w:t>
      </w:r>
      <w:r>
        <w:rPr>
          <w:rFonts w:hint="eastAsia" w:ascii="宋体" w:hAnsi="宋体"/>
          <w:color w:val="FF0000"/>
          <w:sz w:val="24"/>
          <w:szCs w:val="24"/>
        </w:rPr>
        <w:t>后处理系统</w:t>
      </w:r>
      <w:r>
        <w:rPr>
          <w:rFonts w:hint="eastAsia" w:ascii="宋体" w:hAnsi="宋体"/>
          <w:sz w:val="24"/>
          <w:szCs w:val="24"/>
        </w:rPr>
        <w:t>、数据管理系统</w:t>
      </w:r>
      <w:bookmarkEnd w:id="17"/>
      <w:r>
        <w:rPr>
          <w:rFonts w:hint="eastAsia" w:ascii="宋体" w:hAnsi="宋体"/>
          <w:sz w:val="24"/>
          <w:szCs w:val="24"/>
        </w:rPr>
        <w:t>；所有功能模块均由轨道连接实现全程自动化。</w:t>
      </w:r>
    </w:p>
    <w:p w14:paraId="410AEBED">
      <w:pPr>
        <w:spacing w:line="400" w:lineRule="exact"/>
        <w:rPr>
          <w:rFonts w:ascii="宋体" w:hAnsi="宋体"/>
          <w:sz w:val="24"/>
          <w:szCs w:val="24"/>
        </w:rPr>
      </w:pPr>
      <w:r>
        <w:rPr>
          <w:rFonts w:hint="eastAsia" w:ascii="宋体" w:hAnsi="宋体"/>
          <w:sz w:val="24"/>
          <w:szCs w:val="24"/>
        </w:rPr>
        <w:t xml:space="preserve">1.2  </w:t>
      </w:r>
      <w:bookmarkStart w:id="18" w:name="OLE_LINK13"/>
      <w:bookmarkStart w:id="19" w:name="OLE_LINK14"/>
      <w:r>
        <w:rPr>
          <w:rFonts w:hint="eastAsia" w:ascii="宋体" w:hAnsi="宋体"/>
          <w:sz w:val="24"/>
          <w:szCs w:val="24"/>
        </w:rPr>
        <w:t>线上生</w:t>
      </w:r>
      <w:bookmarkEnd w:id="18"/>
      <w:bookmarkEnd w:id="19"/>
      <w:r>
        <w:rPr>
          <w:rFonts w:hint="eastAsia" w:ascii="宋体" w:hAnsi="宋体"/>
          <w:sz w:val="24"/>
          <w:szCs w:val="24"/>
        </w:rPr>
        <w:t>化比色总速度≥6000测试/小时，ISE检测总速度≥1800测试/小时，化学发光检测速度≥2400测试/小时，后处理冰箱容量≥10000管</w:t>
      </w:r>
    </w:p>
    <w:p w14:paraId="180A4D47">
      <w:pPr>
        <w:spacing w:line="400" w:lineRule="exact"/>
        <w:rPr>
          <w:rFonts w:ascii="宋体" w:hAnsi="宋体"/>
          <w:sz w:val="24"/>
          <w:szCs w:val="24"/>
        </w:rPr>
      </w:pPr>
      <w:r>
        <w:rPr>
          <w:rFonts w:hint="eastAsia" w:ascii="宋体" w:hAnsi="宋体"/>
          <w:sz w:val="24"/>
          <w:szCs w:val="24"/>
        </w:rPr>
        <w:t>1.3  具备急诊样本优先处理能力</w:t>
      </w:r>
    </w:p>
    <w:p w14:paraId="2B6FE469">
      <w:pPr>
        <w:spacing w:line="400" w:lineRule="exact"/>
        <w:rPr>
          <w:rFonts w:ascii="宋体" w:hAnsi="宋体"/>
          <w:sz w:val="24"/>
          <w:szCs w:val="24"/>
        </w:rPr>
      </w:pPr>
      <w:bookmarkStart w:id="20" w:name="OLE_LINK11"/>
      <w:bookmarkStart w:id="21" w:name="OLE_LINK12"/>
      <w:r>
        <w:rPr>
          <w:rFonts w:hint="eastAsia" w:ascii="宋体" w:hAnsi="宋体"/>
          <w:sz w:val="24"/>
          <w:szCs w:val="24"/>
        </w:rPr>
        <w:t>2、</w:t>
      </w:r>
      <w:bookmarkStart w:id="22" w:name="OLE_LINK15"/>
      <w:r>
        <w:rPr>
          <w:rFonts w:hint="eastAsia" w:ascii="宋体" w:hAnsi="宋体"/>
          <w:sz w:val="24"/>
          <w:szCs w:val="24"/>
        </w:rPr>
        <w:t>前处理系统</w:t>
      </w:r>
      <w:bookmarkEnd w:id="20"/>
      <w:bookmarkEnd w:id="21"/>
      <w:bookmarkEnd w:id="22"/>
      <w:r>
        <w:rPr>
          <w:rFonts w:hint="eastAsia" w:ascii="宋体" w:hAnsi="宋体"/>
          <w:sz w:val="24"/>
          <w:szCs w:val="24"/>
        </w:rPr>
        <w:t>：(包括进样模块、在线离心机、去盖模块</w:t>
      </w:r>
      <w:r>
        <w:rPr>
          <w:rFonts w:hint="eastAsia" w:ascii="宋体" w:hAnsi="宋体"/>
          <w:b/>
          <w:bCs/>
          <w:sz w:val="24"/>
          <w:szCs w:val="24"/>
        </w:rPr>
        <w:t>等</w:t>
      </w:r>
      <w:r>
        <w:rPr>
          <w:rFonts w:hint="eastAsia" w:ascii="宋体" w:hAnsi="宋体"/>
          <w:sz w:val="24"/>
          <w:szCs w:val="24"/>
        </w:rPr>
        <w:t>)</w:t>
      </w:r>
    </w:p>
    <w:p w14:paraId="3CAE560D">
      <w:pPr>
        <w:spacing w:line="400" w:lineRule="exact"/>
        <w:rPr>
          <w:rFonts w:ascii="宋体" w:hAnsi="宋体"/>
          <w:sz w:val="24"/>
          <w:szCs w:val="24"/>
        </w:rPr>
      </w:pPr>
      <w:r>
        <w:rPr>
          <w:rFonts w:hint="eastAsia" w:ascii="宋体" w:hAnsi="宋体"/>
          <w:sz w:val="24"/>
          <w:szCs w:val="24"/>
        </w:rPr>
        <w:t>2.1  样品装载模块：处理速度≥900管/小时，装载容量≥400管</w:t>
      </w:r>
    </w:p>
    <w:p w14:paraId="75A7B7BA">
      <w:pPr>
        <w:spacing w:line="400" w:lineRule="exact"/>
        <w:rPr>
          <w:rFonts w:ascii="宋体" w:hAnsi="宋体"/>
          <w:sz w:val="24"/>
          <w:szCs w:val="24"/>
        </w:rPr>
      </w:pPr>
      <w:r>
        <w:rPr>
          <w:rFonts w:hint="eastAsia" w:ascii="宋体" w:hAnsi="宋体"/>
          <w:sz w:val="24"/>
          <w:szCs w:val="24"/>
        </w:rPr>
        <w:t>2.2  在线离心机要求具备样本自动加载离心、自动平衡、低温冷藏等功能，线上离心机处理能力≥900管/小时</w:t>
      </w:r>
    </w:p>
    <w:p w14:paraId="7634DEDE">
      <w:pPr>
        <w:spacing w:line="400" w:lineRule="exact"/>
        <w:rPr>
          <w:rFonts w:ascii="宋体" w:hAnsi="宋体"/>
          <w:sz w:val="24"/>
          <w:szCs w:val="24"/>
        </w:rPr>
      </w:pPr>
      <w:r>
        <w:rPr>
          <w:rFonts w:hint="eastAsia" w:ascii="宋体" w:hAnsi="宋体"/>
          <w:sz w:val="24"/>
          <w:szCs w:val="24"/>
        </w:rPr>
        <w:t>2.3  去盖单元：可处理多类型试管，每个去盖单元速度≥1000管/小时</w:t>
      </w:r>
    </w:p>
    <w:p w14:paraId="69E2B791">
      <w:pPr>
        <w:spacing w:line="400" w:lineRule="exact"/>
        <w:rPr>
          <w:rFonts w:ascii="宋体" w:hAnsi="宋体"/>
          <w:sz w:val="24"/>
          <w:szCs w:val="24"/>
        </w:rPr>
      </w:pPr>
      <w:r>
        <w:rPr>
          <w:rFonts w:hint="eastAsia" w:ascii="宋体" w:hAnsi="宋体"/>
          <w:sz w:val="24"/>
          <w:szCs w:val="24"/>
        </w:rPr>
        <w:t>2.4  可实时追踪样本位置</w:t>
      </w:r>
    </w:p>
    <w:p w14:paraId="2B375F89">
      <w:pPr>
        <w:spacing w:line="400" w:lineRule="exact"/>
        <w:rPr>
          <w:rFonts w:ascii="宋体" w:hAnsi="宋体"/>
          <w:sz w:val="24"/>
          <w:szCs w:val="24"/>
        </w:rPr>
      </w:pPr>
      <w:r>
        <w:rPr>
          <w:rFonts w:hint="eastAsia" w:ascii="宋体" w:hAnsi="宋体"/>
          <w:sz w:val="24"/>
          <w:szCs w:val="24"/>
        </w:rPr>
        <w:t>3、全自动</w:t>
      </w:r>
      <w:r>
        <w:rPr>
          <w:rFonts w:hint="eastAsia" w:ascii="宋体" w:hAnsi="宋体"/>
          <w:b/>
          <w:bCs/>
          <w:color w:val="C00000"/>
          <w:sz w:val="24"/>
          <w:szCs w:val="24"/>
        </w:rPr>
        <w:t>在线</w:t>
      </w:r>
      <w:r>
        <w:rPr>
          <w:rFonts w:hint="eastAsia" w:ascii="宋体" w:hAnsi="宋体"/>
          <w:sz w:val="24"/>
          <w:szCs w:val="24"/>
        </w:rPr>
        <w:t>生化分析系统</w:t>
      </w:r>
    </w:p>
    <w:p w14:paraId="020075EF">
      <w:pPr>
        <w:spacing w:line="400" w:lineRule="exact"/>
        <w:rPr>
          <w:rFonts w:ascii="宋体" w:hAnsi="宋体"/>
          <w:sz w:val="24"/>
          <w:szCs w:val="24"/>
        </w:rPr>
      </w:pPr>
      <w:r>
        <w:rPr>
          <w:rFonts w:hint="eastAsia" w:ascii="宋体" w:hAnsi="宋体"/>
          <w:sz w:val="24"/>
          <w:szCs w:val="24"/>
        </w:rPr>
        <w:t>3.1  测定波长≥12个，波长范围340-800nm</w:t>
      </w:r>
    </w:p>
    <w:p w14:paraId="6292166F">
      <w:pPr>
        <w:spacing w:line="400" w:lineRule="exact"/>
        <w:rPr>
          <w:rFonts w:ascii="宋体" w:hAnsi="宋体" w:cs="宋体"/>
          <w:sz w:val="24"/>
          <w:szCs w:val="24"/>
        </w:rPr>
      </w:pPr>
      <w:r>
        <w:rPr>
          <w:rFonts w:hint="eastAsia" w:ascii="宋体" w:hAnsi="宋体"/>
          <w:sz w:val="24"/>
          <w:szCs w:val="24"/>
        </w:rPr>
        <w:t>3.2  最小样品体积≤1.5</w:t>
      </w:r>
      <w:r>
        <w:rPr>
          <w:rFonts w:hint="eastAsia" w:ascii="宋体" w:hAnsi="宋体" w:cs="宋体"/>
          <w:color w:val="FF0000"/>
          <w:sz w:val="24"/>
          <w:szCs w:val="24"/>
        </w:rPr>
        <w:t>μ</w:t>
      </w:r>
      <w:r>
        <w:rPr>
          <w:rFonts w:hint="eastAsia" w:ascii="宋体" w:hAnsi="宋体"/>
          <w:sz w:val="24"/>
          <w:szCs w:val="24"/>
        </w:rPr>
        <w:t>l/项目(0.1</w:t>
      </w:r>
      <w:r>
        <w:rPr>
          <w:rFonts w:hint="eastAsia" w:ascii="宋体" w:hAnsi="宋体"/>
          <w:color w:val="FF0000"/>
          <w:sz w:val="24"/>
          <w:szCs w:val="24"/>
        </w:rPr>
        <w:t>μ</w:t>
      </w:r>
      <w:r>
        <w:rPr>
          <w:rFonts w:hint="eastAsia" w:ascii="宋体" w:hAnsi="宋体"/>
          <w:sz w:val="24"/>
          <w:szCs w:val="24"/>
        </w:rPr>
        <w:t>l步进)</w:t>
      </w:r>
    </w:p>
    <w:p w14:paraId="5DAC6CA9">
      <w:pPr>
        <w:spacing w:line="400" w:lineRule="exact"/>
        <w:rPr>
          <w:rFonts w:ascii="宋体" w:hAnsi="宋体"/>
          <w:sz w:val="24"/>
          <w:szCs w:val="24"/>
        </w:rPr>
      </w:pPr>
      <w:r>
        <w:rPr>
          <w:rFonts w:hint="eastAsia" w:ascii="宋体" w:hAnsi="宋体"/>
          <w:sz w:val="24"/>
          <w:szCs w:val="24"/>
        </w:rPr>
        <w:t>3.3  最小反应体积≤80</w:t>
      </w:r>
      <w:r>
        <w:rPr>
          <w:rFonts w:hint="eastAsia" w:ascii="宋体" w:hAnsi="宋体"/>
          <w:color w:val="FF0000"/>
          <w:sz w:val="24"/>
          <w:szCs w:val="24"/>
        </w:rPr>
        <w:t>μ</w:t>
      </w:r>
      <w:r>
        <w:rPr>
          <w:rFonts w:hint="eastAsia" w:ascii="宋体" w:hAnsi="宋体"/>
          <w:sz w:val="24"/>
          <w:szCs w:val="24"/>
        </w:rPr>
        <w:t>l，有效节省试剂成本</w:t>
      </w:r>
    </w:p>
    <w:p w14:paraId="33586ABD">
      <w:pPr>
        <w:spacing w:line="400" w:lineRule="exact"/>
        <w:rPr>
          <w:rFonts w:ascii="宋体" w:hAnsi="宋体"/>
          <w:sz w:val="24"/>
          <w:szCs w:val="24"/>
        </w:rPr>
      </w:pPr>
      <w:r>
        <w:rPr>
          <w:rFonts w:hint="eastAsia" w:ascii="宋体" w:hAnsi="宋体"/>
          <w:sz w:val="24"/>
          <w:szCs w:val="24"/>
        </w:rPr>
        <w:t>3.4  比色法最长反应时间≤10分钟</w:t>
      </w:r>
    </w:p>
    <w:p w14:paraId="49B77160">
      <w:pPr>
        <w:spacing w:line="400" w:lineRule="exact"/>
        <w:rPr>
          <w:rFonts w:ascii="宋体" w:hAnsi="宋体"/>
          <w:sz w:val="24"/>
          <w:szCs w:val="24"/>
        </w:rPr>
      </w:pPr>
      <w:r>
        <w:rPr>
          <w:rFonts w:hint="eastAsia" w:ascii="宋体" w:hAnsi="宋体"/>
          <w:sz w:val="24"/>
          <w:szCs w:val="24"/>
        </w:rPr>
        <w:t>3.5  钾钠氯电极寿命≥6个月</w:t>
      </w:r>
    </w:p>
    <w:p w14:paraId="275C7FF2">
      <w:pPr>
        <w:spacing w:line="400" w:lineRule="exact"/>
        <w:rPr>
          <w:rFonts w:ascii="宋体" w:hAnsi="宋体"/>
          <w:sz w:val="24"/>
          <w:szCs w:val="24"/>
        </w:rPr>
      </w:pPr>
      <w:r>
        <w:rPr>
          <w:rFonts w:hint="eastAsia" w:ascii="宋体" w:hAnsi="宋体"/>
          <w:sz w:val="24"/>
          <w:szCs w:val="24"/>
        </w:rPr>
        <w:t>3.6  比色杯为石英杯或者UV材质专用比色杯；免费提供比色杯清洗液</w:t>
      </w:r>
    </w:p>
    <w:p w14:paraId="6D97E32F">
      <w:pPr>
        <w:spacing w:line="400" w:lineRule="exact"/>
        <w:rPr>
          <w:rFonts w:ascii="宋体" w:hAnsi="宋体"/>
          <w:sz w:val="24"/>
          <w:szCs w:val="24"/>
        </w:rPr>
      </w:pPr>
      <w:r>
        <w:rPr>
          <w:rFonts w:hint="eastAsia" w:ascii="宋体" w:hAnsi="宋体"/>
          <w:sz w:val="24"/>
          <w:szCs w:val="24"/>
        </w:rPr>
        <w:t>3.7  比色控温方式：干式孵育或水浴</w:t>
      </w:r>
    </w:p>
    <w:p w14:paraId="0E594D06">
      <w:pPr>
        <w:spacing w:line="400" w:lineRule="exact"/>
        <w:rPr>
          <w:rFonts w:ascii="宋体" w:hAnsi="宋体"/>
          <w:sz w:val="24"/>
          <w:szCs w:val="24"/>
        </w:rPr>
      </w:pPr>
      <w:r>
        <w:rPr>
          <w:rFonts w:hint="eastAsia" w:ascii="宋体" w:hAnsi="宋体"/>
          <w:sz w:val="24"/>
          <w:szCs w:val="24"/>
        </w:rPr>
        <w:t>3.8  样品探针具备样品凝块检出功能、防碰撞和气泡探测等功能；（具备样本质量识别能力，包括存储、评估和量化等）</w:t>
      </w:r>
    </w:p>
    <w:p w14:paraId="6A64587F">
      <w:pPr>
        <w:spacing w:line="400" w:lineRule="exact"/>
        <w:rPr>
          <w:rFonts w:ascii="宋体" w:hAnsi="宋体"/>
          <w:sz w:val="24"/>
          <w:szCs w:val="24"/>
        </w:rPr>
      </w:pPr>
      <w:r>
        <w:rPr>
          <w:rFonts w:hint="eastAsia" w:ascii="宋体" w:hAnsi="宋体"/>
          <w:sz w:val="24"/>
          <w:szCs w:val="24"/>
        </w:rPr>
        <w:t>3.9  混匀方式：采用非接触超声混匀</w:t>
      </w:r>
    </w:p>
    <w:p w14:paraId="0AF6F847">
      <w:pPr>
        <w:spacing w:line="400" w:lineRule="exact"/>
        <w:rPr>
          <w:rFonts w:ascii="宋体" w:hAnsi="宋体"/>
          <w:sz w:val="24"/>
          <w:szCs w:val="24"/>
        </w:rPr>
      </w:pPr>
      <w:r>
        <w:rPr>
          <w:rFonts w:hint="eastAsia" w:ascii="宋体" w:hAnsi="宋体"/>
          <w:sz w:val="24"/>
          <w:szCs w:val="24"/>
        </w:rPr>
        <w:t>3.10  试剂、定标和质控使用：同时具有与仪器配套试剂、校准品和质控品，保证完整溯源体系，试剂在上海市临检中心具有独立分组</w:t>
      </w:r>
    </w:p>
    <w:p w14:paraId="1E6F2BA8">
      <w:pPr>
        <w:spacing w:line="400" w:lineRule="exact"/>
        <w:rPr>
          <w:rFonts w:ascii="宋体" w:hAnsi="宋体"/>
          <w:sz w:val="24"/>
          <w:szCs w:val="24"/>
        </w:rPr>
      </w:pPr>
      <w:r>
        <w:rPr>
          <w:rFonts w:hint="eastAsia" w:ascii="宋体" w:hAnsi="宋体"/>
          <w:sz w:val="24"/>
          <w:szCs w:val="24"/>
        </w:rPr>
        <w:t>3.11  光学检测的试剂通道要求全部开放，便于选用原装配套或国产检测试剂</w:t>
      </w:r>
    </w:p>
    <w:p w14:paraId="462123DD">
      <w:pPr>
        <w:spacing w:line="400" w:lineRule="exact"/>
        <w:rPr>
          <w:rFonts w:ascii="宋体" w:hAnsi="宋体"/>
          <w:sz w:val="24"/>
          <w:szCs w:val="24"/>
        </w:rPr>
      </w:pPr>
      <w:r>
        <w:rPr>
          <w:rFonts w:hint="eastAsia" w:ascii="宋体" w:hAnsi="宋体"/>
          <w:sz w:val="24"/>
          <w:szCs w:val="24"/>
        </w:rPr>
        <w:t>4、全自动</w:t>
      </w:r>
      <w:r>
        <w:rPr>
          <w:rFonts w:hint="eastAsia" w:ascii="宋体" w:hAnsi="宋体"/>
          <w:b/>
          <w:bCs/>
          <w:color w:val="C00000"/>
          <w:sz w:val="24"/>
          <w:szCs w:val="24"/>
        </w:rPr>
        <w:t>在线</w:t>
      </w:r>
      <w:r>
        <w:rPr>
          <w:rFonts w:hint="eastAsia" w:ascii="宋体" w:hAnsi="宋体"/>
          <w:sz w:val="24"/>
          <w:szCs w:val="24"/>
        </w:rPr>
        <w:t>免疫分析系统</w:t>
      </w:r>
    </w:p>
    <w:p w14:paraId="4ACA8D8A">
      <w:pPr>
        <w:spacing w:line="400" w:lineRule="exact"/>
        <w:rPr>
          <w:rFonts w:ascii="宋体" w:hAnsi="宋体"/>
          <w:sz w:val="24"/>
          <w:szCs w:val="24"/>
        </w:rPr>
      </w:pPr>
      <w:r>
        <w:rPr>
          <w:rFonts w:hint="eastAsia" w:ascii="宋体" w:hAnsi="宋体"/>
          <w:sz w:val="24"/>
          <w:szCs w:val="24"/>
        </w:rPr>
        <w:t>4.1  检测原理：化学发光或电化学发光</w:t>
      </w:r>
    </w:p>
    <w:p w14:paraId="049FB28B">
      <w:pPr>
        <w:spacing w:line="400" w:lineRule="exact"/>
        <w:rPr>
          <w:rFonts w:ascii="宋体" w:hAnsi="宋体"/>
          <w:sz w:val="24"/>
          <w:szCs w:val="24"/>
        </w:rPr>
      </w:pPr>
      <w:r>
        <w:rPr>
          <w:rFonts w:hint="eastAsia" w:ascii="宋体" w:hAnsi="宋体"/>
          <w:sz w:val="24"/>
          <w:szCs w:val="24"/>
        </w:rPr>
        <w:t>4.2  总测试速度≥2400测试/小时</w:t>
      </w:r>
    </w:p>
    <w:p w14:paraId="7CC55501">
      <w:pPr>
        <w:spacing w:line="400" w:lineRule="exact"/>
        <w:rPr>
          <w:rFonts w:ascii="宋体" w:hAnsi="宋体"/>
          <w:sz w:val="24"/>
          <w:szCs w:val="24"/>
        </w:rPr>
      </w:pPr>
      <w:r>
        <w:rPr>
          <w:rFonts w:hint="eastAsia" w:ascii="宋体" w:hAnsi="宋体"/>
          <w:sz w:val="24"/>
          <w:szCs w:val="24"/>
        </w:rPr>
        <w:t>4.3  最小检测模块试剂位≥</w:t>
      </w:r>
      <w:r>
        <w:rPr>
          <w:rFonts w:ascii="宋体" w:hAnsi="宋体"/>
          <w:sz w:val="24"/>
          <w:szCs w:val="24"/>
        </w:rPr>
        <w:t>35个</w:t>
      </w:r>
      <w:r>
        <w:rPr>
          <w:rFonts w:hint="eastAsia" w:ascii="宋体" w:hAnsi="宋体"/>
          <w:sz w:val="24"/>
          <w:szCs w:val="24"/>
        </w:rPr>
        <w:t>(有冷藏功能)</w:t>
      </w:r>
    </w:p>
    <w:p w14:paraId="6E71A771">
      <w:pPr>
        <w:spacing w:line="400" w:lineRule="exact"/>
        <w:rPr>
          <w:rFonts w:ascii="宋体" w:hAnsi="宋体"/>
          <w:sz w:val="24"/>
          <w:szCs w:val="24"/>
        </w:rPr>
      </w:pPr>
      <w:r>
        <w:rPr>
          <w:rFonts w:hint="eastAsia" w:ascii="宋体" w:hAnsi="宋体"/>
          <w:sz w:val="24"/>
          <w:szCs w:val="24"/>
        </w:rPr>
        <w:t>4.4  反应杯一次性最多可装置≥3000个</w:t>
      </w:r>
    </w:p>
    <w:p w14:paraId="01A4ACD5">
      <w:pPr>
        <w:spacing w:line="400" w:lineRule="exact"/>
        <w:rPr>
          <w:rFonts w:ascii="宋体" w:hAnsi="宋体"/>
          <w:sz w:val="24"/>
          <w:szCs w:val="24"/>
        </w:rPr>
      </w:pPr>
      <w:r>
        <w:rPr>
          <w:rFonts w:hint="eastAsia" w:ascii="宋体" w:hAnsi="宋体"/>
          <w:sz w:val="24"/>
          <w:szCs w:val="24"/>
        </w:rPr>
        <w:t>4.5  可不停机加载试剂</w:t>
      </w:r>
    </w:p>
    <w:p w14:paraId="75164C21">
      <w:pPr>
        <w:spacing w:line="400" w:lineRule="exact"/>
        <w:rPr>
          <w:rFonts w:ascii="宋体" w:hAnsi="宋体"/>
          <w:sz w:val="24"/>
          <w:szCs w:val="24"/>
        </w:rPr>
      </w:pPr>
      <w:r>
        <w:rPr>
          <w:rFonts w:hint="eastAsia" w:ascii="宋体" w:hAnsi="宋体"/>
          <w:sz w:val="24"/>
          <w:szCs w:val="24"/>
        </w:rPr>
        <w:t>4.6  最小包装试剂盒要求≤100测试</w:t>
      </w:r>
    </w:p>
    <w:p w14:paraId="51DEBD24">
      <w:pPr>
        <w:spacing w:line="400" w:lineRule="exact"/>
        <w:rPr>
          <w:rFonts w:ascii="宋体" w:hAnsi="宋体"/>
          <w:sz w:val="24"/>
          <w:szCs w:val="24"/>
        </w:rPr>
      </w:pPr>
      <w:r>
        <w:rPr>
          <w:rFonts w:hint="eastAsia" w:ascii="宋体" w:hAnsi="宋体"/>
          <w:sz w:val="24"/>
          <w:szCs w:val="24"/>
        </w:rPr>
        <w:t>5、轨道系统</w:t>
      </w:r>
    </w:p>
    <w:p w14:paraId="247683C9">
      <w:pPr>
        <w:spacing w:line="400" w:lineRule="exact"/>
        <w:rPr>
          <w:rFonts w:ascii="宋体" w:hAnsi="宋体"/>
          <w:sz w:val="24"/>
          <w:szCs w:val="24"/>
        </w:rPr>
      </w:pPr>
      <w:r>
        <w:rPr>
          <w:rFonts w:hint="eastAsia" w:ascii="宋体" w:hAnsi="宋体"/>
          <w:sz w:val="24"/>
          <w:szCs w:val="24"/>
        </w:rPr>
        <w:t>5.1  多轨道的传输系统，支持样本在多节点的折返或回转，提高样本的传输效率，缩短样本的传输时间</w:t>
      </w:r>
    </w:p>
    <w:p w14:paraId="10355499">
      <w:pPr>
        <w:spacing w:line="400" w:lineRule="exact"/>
        <w:rPr>
          <w:rFonts w:ascii="宋体" w:hAnsi="宋体"/>
          <w:sz w:val="24"/>
          <w:szCs w:val="24"/>
        </w:rPr>
      </w:pPr>
      <w:r>
        <w:rPr>
          <w:rFonts w:hint="eastAsia" w:ascii="宋体" w:hAnsi="宋体"/>
          <w:sz w:val="24"/>
          <w:szCs w:val="24"/>
        </w:rPr>
        <w:t>6、后处理系统</w:t>
      </w:r>
    </w:p>
    <w:p w14:paraId="0D624EB4">
      <w:pPr>
        <w:spacing w:line="400" w:lineRule="exact"/>
        <w:rPr>
          <w:rFonts w:ascii="宋体" w:hAnsi="宋体"/>
          <w:sz w:val="24"/>
          <w:szCs w:val="24"/>
        </w:rPr>
      </w:pPr>
      <w:r>
        <w:rPr>
          <w:rFonts w:hint="eastAsia" w:ascii="宋体" w:hAnsi="宋体"/>
          <w:sz w:val="24"/>
          <w:szCs w:val="24"/>
        </w:rPr>
        <w:t>6.1  存储冰箱容量(样本)≥10000管</w:t>
      </w:r>
    </w:p>
    <w:p w14:paraId="2E565115">
      <w:pPr>
        <w:spacing w:line="400" w:lineRule="exact"/>
        <w:rPr>
          <w:rFonts w:ascii="宋体" w:hAnsi="宋体"/>
          <w:sz w:val="24"/>
          <w:szCs w:val="24"/>
        </w:rPr>
      </w:pPr>
      <w:r>
        <w:rPr>
          <w:rFonts w:hint="eastAsia" w:ascii="宋体" w:hAnsi="宋体"/>
          <w:sz w:val="24"/>
          <w:szCs w:val="24"/>
        </w:rPr>
        <w:t>6.2  在线存储冰箱和加盖单元处理速度均≥800管/小时,可以设定自动丢弃过期样本</w:t>
      </w:r>
    </w:p>
    <w:p w14:paraId="093C2D81">
      <w:pPr>
        <w:spacing w:line="400" w:lineRule="exact"/>
        <w:rPr>
          <w:rFonts w:ascii="宋体" w:hAnsi="宋体"/>
          <w:sz w:val="24"/>
          <w:szCs w:val="24"/>
        </w:rPr>
      </w:pPr>
      <w:r>
        <w:rPr>
          <w:rFonts w:hint="eastAsia" w:ascii="宋体" w:hAnsi="宋体"/>
          <w:sz w:val="24"/>
          <w:szCs w:val="24"/>
        </w:rPr>
        <w:t>6.3  后处理系统支持全科室样本(包括线下样本)管理和存储,可自动定位并调取标本</w:t>
      </w:r>
    </w:p>
    <w:p w14:paraId="2B0F5E2B">
      <w:pPr>
        <w:spacing w:line="400" w:lineRule="exact"/>
        <w:rPr>
          <w:rFonts w:ascii="宋体" w:hAnsi="宋体"/>
          <w:sz w:val="24"/>
          <w:szCs w:val="24"/>
        </w:rPr>
      </w:pPr>
      <w:r>
        <w:rPr>
          <w:rFonts w:hint="eastAsia" w:ascii="宋体" w:hAnsi="宋体"/>
          <w:sz w:val="24"/>
          <w:szCs w:val="24"/>
        </w:rPr>
        <w:t>7、数据管理系统</w:t>
      </w:r>
    </w:p>
    <w:p w14:paraId="5FDA8837">
      <w:pPr>
        <w:spacing w:line="400" w:lineRule="exact"/>
        <w:rPr>
          <w:rFonts w:ascii="宋体" w:hAnsi="宋体"/>
          <w:sz w:val="24"/>
          <w:szCs w:val="24"/>
        </w:rPr>
      </w:pPr>
      <w:r>
        <w:rPr>
          <w:rFonts w:hint="eastAsia" w:ascii="宋体" w:hAnsi="宋体"/>
          <w:sz w:val="24"/>
          <w:szCs w:val="24"/>
        </w:rPr>
        <w:t>7.1  免费开放数据接口并能与本院LIS和HIS系统连接,提供数据接口文档</w:t>
      </w:r>
    </w:p>
    <w:p w14:paraId="339715BE">
      <w:pPr>
        <w:spacing w:line="400" w:lineRule="exact"/>
        <w:rPr>
          <w:rFonts w:ascii="宋体" w:hAnsi="宋体"/>
          <w:sz w:val="24"/>
          <w:szCs w:val="24"/>
        </w:rPr>
      </w:pPr>
      <w:r>
        <w:rPr>
          <w:rFonts w:hint="eastAsia" w:ascii="宋体" w:hAnsi="宋体"/>
          <w:sz w:val="24"/>
          <w:szCs w:val="24"/>
        </w:rPr>
        <w:t>7.2  具有结果自动审核功能, 能够结合仪器报警、测试项目正常范围、质控结果、差值校验以及客户自定义的规则来进行多规则的结果自动审核, 并建立危急值管理</w:t>
      </w:r>
    </w:p>
    <w:p w14:paraId="3C4F36E2">
      <w:pPr>
        <w:spacing w:line="400" w:lineRule="exact"/>
        <w:rPr>
          <w:rFonts w:ascii="宋体" w:hAnsi="宋体"/>
          <w:sz w:val="24"/>
          <w:szCs w:val="24"/>
        </w:rPr>
      </w:pPr>
      <w:r>
        <w:rPr>
          <w:rFonts w:hint="eastAsia" w:ascii="宋体" w:hAnsi="宋体"/>
          <w:sz w:val="24"/>
          <w:szCs w:val="24"/>
        </w:rPr>
        <w:t>7.3  具有样本TAT时间实时监控功能,及时提醒TAT超时样本及其状态</w:t>
      </w:r>
    </w:p>
    <w:p w14:paraId="427AAEB3">
      <w:pPr>
        <w:spacing w:line="400" w:lineRule="exact"/>
        <w:rPr>
          <w:rFonts w:ascii="宋体" w:hAnsi="宋体"/>
          <w:sz w:val="24"/>
          <w:szCs w:val="24"/>
        </w:rPr>
      </w:pPr>
      <w:r>
        <w:rPr>
          <w:rFonts w:hint="eastAsia" w:ascii="宋体" w:hAnsi="宋体"/>
          <w:sz w:val="24"/>
          <w:szCs w:val="24"/>
        </w:rPr>
        <w:t>7.4  具有自动质控管理功能</w:t>
      </w:r>
    </w:p>
    <w:p w14:paraId="50983A05">
      <w:pPr>
        <w:spacing w:line="400" w:lineRule="exact"/>
        <w:rPr>
          <w:rFonts w:ascii="宋体" w:hAnsi="宋体"/>
          <w:sz w:val="24"/>
          <w:szCs w:val="24"/>
        </w:rPr>
      </w:pPr>
      <w:r>
        <w:rPr>
          <w:rFonts w:hint="eastAsia" w:ascii="宋体" w:hAnsi="宋体"/>
          <w:sz w:val="24"/>
          <w:szCs w:val="24"/>
        </w:rPr>
        <w:t>7.5  具有自动审核、危急值提醒和报送功能等</w:t>
      </w:r>
    </w:p>
    <w:p w14:paraId="1AA0B02D">
      <w:pPr>
        <w:spacing w:line="400" w:lineRule="exact"/>
        <w:rPr>
          <w:rFonts w:ascii="宋体" w:hAnsi="宋体"/>
          <w:sz w:val="24"/>
          <w:szCs w:val="24"/>
        </w:rPr>
      </w:pPr>
      <w:r>
        <w:rPr>
          <w:rFonts w:hint="eastAsia" w:ascii="宋体" w:hAnsi="宋体"/>
          <w:sz w:val="24"/>
          <w:szCs w:val="24"/>
        </w:rPr>
        <w:t>7.6  具有临床辅助决策功能</w:t>
      </w:r>
    </w:p>
    <w:p w14:paraId="55FD8903">
      <w:pPr>
        <w:spacing w:line="400" w:lineRule="exact"/>
        <w:rPr>
          <w:rFonts w:ascii="宋体" w:hAnsi="宋体"/>
          <w:sz w:val="24"/>
          <w:szCs w:val="24"/>
        </w:rPr>
      </w:pPr>
      <w:r>
        <w:rPr>
          <w:rFonts w:hint="eastAsia" w:ascii="宋体" w:hAnsi="宋体"/>
          <w:sz w:val="24"/>
          <w:szCs w:val="24"/>
        </w:rPr>
        <w:t>7.7  智慧化建设辅助科研提升</w:t>
      </w:r>
    </w:p>
    <w:p w14:paraId="7D391BDD">
      <w:pPr>
        <w:spacing w:line="400" w:lineRule="exact"/>
        <w:rPr>
          <w:rFonts w:ascii="宋体" w:hAnsi="宋体"/>
          <w:sz w:val="24"/>
          <w:szCs w:val="24"/>
        </w:rPr>
      </w:pPr>
      <w:r>
        <w:rPr>
          <w:rFonts w:hint="eastAsia" w:ascii="宋体" w:hAnsi="宋体"/>
          <w:sz w:val="24"/>
          <w:szCs w:val="24"/>
        </w:rPr>
        <w:t>8、配置清单</w:t>
      </w:r>
    </w:p>
    <w:p w14:paraId="12E9D9FC">
      <w:pPr>
        <w:spacing w:line="400" w:lineRule="exact"/>
        <w:rPr>
          <w:rFonts w:ascii="宋体" w:hAnsi="宋体"/>
          <w:sz w:val="24"/>
          <w:szCs w:val="24"/>
        </w:rPr>
      </w:pPr>
      <w:r>
        <w:rPr>
          <w:rFonts w:hint="eastAsia" w:ascii="宋体" w:hAnsi="宋体"/>
          <w:sz w:val="24"/>
          <w:szCs w:val="24"/>
        </w:rPr>
        <w:t>8.1</w:t>
      </w:r>
      <w:r>
        <w:rPr>
          <w:rFonts w:hint="eastAsia" w:ascii="宋体" w:hAnsi="宋体"/>
          <w:sz w:val="24"/>
          <w:szCs w:val="24"/>
        </w:rPr>
        <w:tab/>
      </w:r>
      <w:r>
        <w:rPr>
          <w:rFonts w:hint="eastAsia" w:ascii="宋体" w:hAnsi="宋体"/>
          <w:sz w:val="24"/>
          <w:szCs w:val="24"/>
        </w:rPr>
        <w:t xml:space="preserve">  前处理系统：1套</w:t>
      </w:r>
    </w:p>
    <w:p w14:paraId="0E67760F">
      <w:pPr>
        <w:spacing w:line="400" w:lineRule="exact"/>
        <w:rPr>
          <w:rFonts w:ascii="宋体" w:hAnsi="宋体"/>
          <w:sz w:val="24"/>
          <w:szCs w:val="24"/>
        </w:rPr>
      </w:pPr>
      <w:r>
        <w:rPr>
          <w:rFonts w:hint="eastAsia" w:ascii="宋体" w:hAnsi="宋体"/>
          <w:sz w:val="24"/>
          <w:szCs w:val="24"/>
        </w:rPr>
        <w:t>8.2</w:t>
      </w:r>
      <w:r>
        <w:rPr>
          <w:rFonts w:hint="eastAsia" w:ascii="宋体" w:hAnsi="宋体"/>
          <w:sz w:val="24"/>
          <w:szCs w:val="24"/>
        </w:rPr>
        <w:tab/>
      </w:r>
      <w:r>
        <w:rPr>
          <w:rFonts w:hint="eastAsia" w:ascii="宋体" w:hAnsi="宋体"/>
          <w:sz w:val="24"/>
          <w:szCs w:val="24"/>
        </w:rPr>
        <w:t xml:space="preserve">  全自动生化分析系统：1套</w:t>
      </w:r>
    </w:p>
    <w:p w14:paraId="610AEC4F">
      <w:pPr>
        <w:spacing w:line="400" w:lineRule="exact"/>
        <w:rPr>
          <w:rFonts w:ascii="宋体" w:hAnsi="宋体"/>
          <w:sz w:val="24"/>
          <w:szCs w:val="24"/>
        </w:rPr>
      </w:pPr>
      <w:r>
        <w:rPr>
          <w:rFonts w:hint="eastAsia" w:ascii="宋体" w:hAnsi="宋体"/>
          <w:sz w:val="24"/>
          <w:szCs w:val="24"/>
        </w:rPr>
        <w:t>8.3</w:t>
      </w:r>
      <w:r>
        <w:rPr>
          <w:rFonts w:hint="eastAsia" w:ascii="宋体" w:hAnsi="宋体"/>
          <w:sz w:val="24"/>
          <w:szCs w:val="24"/>
        </w:rPr>
        <w:tab/>
      </w:r>
      <w:r>
        <w:rPr>
          <w:rFonts w:hint="eastAsia" w:ascii="宋体" w:hAnsi="宋体"/>
          <w:sz w:val="24"/>
          <w:szCs w:val="24"/>
        </w:rPr>
        <w:t xml:space="preserve">  全自动免疫分析系统：1套</w:t>
      </w:r>
    </w:p>
    <w:p w14:paraId="38D37006">
      <w:pPr>
        <w:spacing w:line="400" w:lineRule="exact"/>
        <w:rPr>
          <w:rFonts w:ascii="宋体" w:hAnsi="宋体"/>
          <w:sz w:val="24"/>
          <w:szCs w:val="24"/>
        </w:rPr>
      </w:pPr>
      <w:r>
        <w:rPr>
          <w:rFonts w:hint="eastAsia" w:ascii="宋体" w:hAnsi="宋体"/>
          <w:sz w:val="24"/>
          <w:szCs w:val="24"/>
        </w:rPr>
        <w:t>8.4</w:t>
      </w:r>
      <w:r>
        <w:rPr>
          <w:rFonts w:hint="eastAsia" w:ascii="宋体" w:hAnsi="宋体"/>
          <w:sz w:val="24"/>
          <w:szCs w:val="24"/>
        </w:rPr>
        <w:tab/>
      </w:r>
      <w:r>
        <w:rPr>
          <w:rFonts w:hint="eastAsia" w:ascii="宋体" w:hAnsi="宋体"/>
          <w:sz w:val="24"/>
          <w:szCs w:val="24"/>
        </w:rPr>
        <w:t xml:space="preserve">  后处理系统（后处理冰箱）：1套</w:t>
      </w:r>
    </w:p>
    <w:p w14:paraId="451A41BD">
      <w:pPr>
        <w:spacing w:line="400" w:lineRule="exact"/>
        <w:rPr>
          <w:rFonts w:ascii="宋体" w:hAnsi="宋体"/>
          <w:sz w:val="24"/>
          <w:szCs w:val="24"/>
        </w:rPr>
      </w:pPr>
      <w:r>
        <w:rPr>
          <w:rFonts w:hint="eastAsia" w:ascii="宋体" w:hAnsi="宋体"/>
          <w:sz w:val="24"/>
          <w:szCs w:val="24"/>
        </w:rPr>
        <w:t>8.5</w:t>
      </w:r>
      <w:r>
        <w:rPr>
          <w:rFonts w:hint="eastAsia" w:ascii="宋体" w:hAnsi="宋体"/>
          <w:sz w:val="24"/>
          <w:szCs w:val="24"/>
        </w:rPr>
        <w:tab/>
      </w:r>
      <w:r>
        <w:rPr>
          <w:rFonts w:hint="eastAsia" w:ascii="宋体" w:hAnsi="宋体"/>
          <w:sz w:val="24"/>
          <w:szCs w:val="24"/>
        </w:rPr>
        <w:t xml:space="preserve">  数据管理系统：1套</w:t>
      </w:r>
    </w:p>
    <w:p w14:paraId="32B6F167">
      <w:pPr>
        <w:spacing w:line="400" w:lineRule="exact"/>
        <w:rPr>
          <w:rFonts w:ascii="宋体" w:hAnsi="宋体"/>
          <w:color w:val="FF0000"/>
          <w:sz w:val="24"/>
          <w:szCs w:val="24"/>
        </w:rPr>
      </w:pPr>
      <w:r>
        <w:rPr>
          <w:rFonts w:hint="eastAsia" w:ascii="宋体" w:hAnsi="宋体"/>
          <w:color w:val="FF0000"/>
          <w:sz w:val="24"/>
          <w:szCs w:val="24"/>
        </w:rPr>
        <w:t>8.6</w:t>
      </w:r>
      <w:r>
        <w:rPr>
          <w:rFonts w:hint="eastAsia" w:ascii="宋体" w:hAnsi="宋体"/>
          <w:color w:val="FF0000"/>
          <w:sz w:val="24"/>
          <w:szCs w:val="24"/>
        </w:rPr>
        <w:tab/>
      </w:r>
      <w:r>
        <w:rPr>
          <w:rFonts w:hint="eastAsia" w:ascii="宋体" w:hAnsi="宋体"/>
          <w:color w:val="FF0000"/>
          <w:sz w:val="24"/>
          <w:szCs w:val="24"/>
        </w:rPr>
        <w:t xml:space="preserve">  智慧化大屏：≥3块</w:t>
      </w:r>
    </w:p>
    <w:p w14:paraId="174EF3DE">
      <w:pPr>
        <w:spacing w:line="400" w:lineRule="exact"/>
        <w:rPr>
          <w:rFonts w:ascii="宋体" w:hAnsi="宋体"/>
          <w:color w:val="FF0000"/>
          <w:sz w:val="24"/>
          <w:szCs w:val="24"/>
        </w:rPr>
      </w:pPr>
      <w:bookmarkStart w:id="23" w:name="OLE_LINK88"/>
      <w:r>
        <w:rPr>
          <w:rFonts w:hint="eastAsia" w:ascii="宋体" w:hAnsi="宋体"/>
          <w:color w:val="FF0000"/>
          <w:sz w:val="24"/>
          <w:szCs w:val="24"/>
        </w:rPr>
        <w:t>8.7  在线离心机：2台</w:t>
      </w:r>
    </w:p>
    <w:bookmarkEnd w:id="23"/>
    <w:p w14:paraId="50174B58">
      <w:pPr>
        <w:snapToGrid w:val="0"/>
        <w:ind w:firstLine="440" w:firstLineChars="200"/>
        <w:rPr>
          <w:sz w:val="22"/>
        </w:rPr>
      </w:pPr>
      <w:r>
        <w:rPr>
          <w:sz w:val="22"/>
        </w:rPr>
        <w:t>9.3 安装调试要求及备品备件或配件报价等要求</w:t>
      </w:r>
    </w:p>
    <w:p w14:paraId="12FB351A">
      <w:pPr>
        <w:adjustRightInd w:val="0"/>
        <w:snapToGrid w:val="0"/>
        <w:ind w:firstLine="442" w:firstLineChars="200"/>
        <w:outlineLvl w:val="2"/>
        <w:rPr>
          <w:b/>
          <w:bCs/>
          <w:sz w:val="22"/>
        </w:rPr>
      </w:pPr>
      <w:bookmarkStart w:id="24" w:name="_Toc240291151"/>
      <w:r>
        <w:rPr>
          <w:b/>
          <w:bCs/>
          <w:sz w:val="22"/>
        </w:rPr>
        <w:t>10 人员及设备配备要求</w:t>
      </w:r>
      <w:bookmarkEnd w:id="24"/>
    </w:p>
    <w:p w14:paraId="50E8D95B">
      <w:pPr>
        <w:snapToGrid w:val="0"/>
        <w:ind w:firstLine="440" w:firstLineChars="200"/>
        <w:rPr>
          <w:sz w:val="22"/>
        </w:rPr>
      </w:pPr>
      <w:r>
        <w:rPr>
          <w:sz w:val="22"/>
        </w:rPr>
        <w:t>10.1 人员配备要求</w:t>
      </w:r>
    </w:p>
    <w:p w14:paraId="6F2575DF">
      <w:pPr>
        <w:adjustRightInd w:val="0"/>
        <w:snapToGrid w:val="0"/>
        <w:ind w:firstLine="440" w:firstLineChars="200"/>
        <w:rPr>
          <w:sz w:val="22"/>
        </w:rPr>
      </w:pPr>
      <w:r>
        <w:rPr>
          <w:sz w:val="22"/>
        </w:rPr>
        <w:t>投标人应为本项目配备专业人员，确保本项目顺利实施。</w:t>
      </w:r>
      <w:r>
        <w:rPr>
          <w:rFonts w:hint="eastAsia"/>
          <w:szCs w:val="21"/>
        </w:rPr>
        <w:t>本项目拟提供服务的人员应具备相关职业能力及工作经验，请提供人员相关专业技术能力的证明材料。</w:t>
      </w:r>
    </w:p>
    <w:p w14:paraId="397EEF5E">
      <w:pPr>
        <w:snapToGrid w:val="0"/>
        <w:ind w:firstLine="440" w:firstLineChars="200"/>
        <w:rPr>
          <w:sz w:val="22"/>
        </w:rPr>
      </w:pPr>
      <w:r>
        <w:rPr>
          <w:sz w:val="22"/>
        </w:rPr>
        <w:t>10.2 设备要求</w:t>
      </w:r>
    </w:p>
    <w:p w14:paraId="78AF377C">
      <w:pPr>
        <w:adjustRightInd w:val="0"/>
        <w:snapToGrid w:val="0"/>
        <w:ind w:firstLine="440" w:firstLineChars="200"/>
        <w:outlineLvl w:val="2"/>
        <w:rPr>
          <w:b/>
          <w:bCs/>
          <w:sz w:val="22"/>
        </w:rPr>
      </w:pPr>
      <w:bookmarkStart w:id="25" w:name="_Toc240291152"/>
      <w:r>
        <w:rPr>
          <w:sz w:val="22"/>
        </w:rPr>
        <w:t>由投标人提供的设备，其安装、设备上电、调试(包括硬件及软件)及开通由投标人负责，采购人</w:t>
      </w:r>
      <w:r>
        <w:t>予以协助配合。设备安装、调测所需工具、仪表及安装材料均由投标人提供</w:t>
      </w:r>
      <w:bookmarkEnd w:id="25"/>
    </w:p>
    <w:p w14:paraId="033A201F">
      <w:pPr>
        <w:adjustRightInd w:val="0"/>
        <w:snapToGrid w:val="0"/>
        <w:ind w:firstLine="442" w:firstLineChars="200"/>
        <w:outlineLvl w:val="2"/>
        <w:rPr>
          <w:b/>
          <w:bCs/>
          <w:sz w:val="22"/>
        </w:rPr>
      </w:pPr>
      <w:bookmarkStart w:id="26" w:name="_Toc240291153"/>
      <w:r>
        <w:rPr>
          <w:b/>
          <w:bCs/>
          <w:sz w:val="22"/>
        </w:rPr>
        <w:t>11 安全文明作业要求和应急处置要求</w:t>
      </w:r>
      <w:bookmarkEnd w:id="26"/>
    </w:p>
    <w:p w14:paraId="502FB187">
      <w:pPr>
        <w:adjustRightInd w:val="0"/>
        <w:snapToGrid w:val="0"/>
        <w:ind w:firstLine="440" w:firstLineChars="20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沪府〔2015〕49号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14:paraId="1601F8E4">
      <w:pPr>
        <w:adjustRightInd w:val="0"/>
        <w:snapToGrid w:val="0"/>
        <w:ind w:firstLine="442" w:firstLineChars="200"/>
        <w:outlineLvl w:val="2"/>
        <w:rPr>
          <w:b/>
          <w:bCs/>
          <w:sz w:val="22"/>
        </w:rPr>
      </w:pPr>
      <w:bookmarkStart w:id="27" w:name="_Toc240291154"/>
      <w:r>
        <w:rPr>
          <w:b/>
          <w:bCs/>
          <w:sz w:val="22"/>
        </w:rPr>
        <w:t>12 售后服务要求</w:t>
      </w:r>
      <w:bookmarkEnd w:id="27"/>
    </w:p>
    <w:p w14:paraId="534809DA">
      <w:pPr>
        <w:adjustRightInd w:val="0"/>
        <w:snapToGrid w:val="0"/>
        <w:ind w:firstLine="440" w:firstLineChars="200"/>
        <w:rPr>
          <w:sz w:val="22"/>
        </w:rPr>
      </w:pPr>
      <w:r>
        <w:rPr>
          <w:sz w:val="22"/>
        </w:rPr>
        <w:t>12.1 操作培训要求</w:t>
      </w:r>
    </w:p>
    <w:p w14:paraId="11085413">
      <w:pPr>
        <w:adjustRightInd w:val="0"/>
        <w:snapToGrid w:val="0"/>
        <w:ind w:firstLine="440" w:firstLineChars="200"/>
        <w:rPr>
          <w:sz w:val="22"/>
        </w:rPr>
      </w:pPr>
      <w:r>
        <w:rPr>
          <w:sz w:val="22"/>
        </w:rPr>
        <w:t>在设备进行安装或调试期间，中标人应负责对采购人的技术人员进行必要的培训，并提供培训资料。培训内容应包括如何对设备进行操作，以及</w:t>
      </w:r>
      <w:bookmarkStart w:id="28" w:name="OLE_LINK23"/>
      <w:r>
        <w:rPr>
          <w:sz w:val="22"/>
        </w:rPr>
        <w:t>简单故</w:t>
      </w:r>
      <w:bookmarkEnd w:id="28"/>
      <w:r>
        <w:rPr>
          <w:sz w:val="22"/>
        </w:rPr>
        <w:t>障的排除等。</w:t>
      </w:r>
    </w:p>
    <w:p w14:paraId="7805EDAF">
      <w:pPr>
        <w:snapToGrid w:val="0"/>
        <w:ind w:firstLine="440" w:firstLineChars="200"/>
        <w:jc w:val="left"/>
        <w:rPr>
          <w:color w:val="000000"/>
          <w:sz w:val="22"/>
        </w:rPr>
      </w:pPr>
      <w:r>
        <w:rPr>
          <w:color w:val="000000"/>
          <w:sz w:val="22"/>
        </w:rPr>
        <w:t>12.2</w:t>
      </w:r>
      <w:r>
        <w:rPr>
          <w:rFonts w:hint="eastAsia"/>
          <w:color w:val="000000"/>
          <w:sz w:val="22"/>
        </w:rPr>
        <w:t>免费</w:t>
      </w:r>
      <w:r>
        <w:rPr>
          <w:rFonts w:hint="eastAsia"/>
          <w:sz w:val="22"/>
        </w:rPr>
        <w:t>质保</w:t>
      </w:r>
      <w:r>
        <w:rPr>
          <w:rFonts w:hint="eastAsia"/>
          <w:color w:val="000000"/>
          <w:sz w:val="22"/>
        </w:rPr>
        <w:t>期服务承诺</w:t>
      </w:r>
    </w:p>
    <w:p w14:paraId="5ECC88CC">
      <w:pPr>
        <w:pStyle w:val="2"/>
      </w:pPr>
      <w:r>
        <w:t>12.2.1本项目免费</w:t>
      </w:r>
      <w:r>
        <w:rPr>
          <w:rFonts w:hint="eastAsia"/>
        </w:rPr>
        <w:t>质保期</w:t>
      </w:r>
      <w:r>
        <w:t>：</w:t>
      </w:r>
      <w:bookmarkStart w:id="29" w:name="OLE_LINK22"/>
      <w:r>
        <w:rPr>
          <w:rFonts w:hint="eastAsia"/>
        </w:rPr>
        <w:t>整机原厂全保(含配件)</w:t>
      </w:r>
      <w:bookmarkEnd w:id="29"/>
      <w:r>
        <w:rPr>
          <w:rFonts w:hint="eastAsia"/>
        </w:rPr>
        <w:t>≥5年</w:t>
      </w:r>
    </w:p>
    <w:p w14:paraId="446FCDA1">
      <w:pPr>
        <w:snapToGrid w:val="0"/>
        <w:ind w:firstLine="440" w:firstLineChars="200"/>
        <w:jc w:val="left"/>
      </w:pPr>
      <w:r>
        <w:rPr>
          <w:color w:val="000000"/>
          <w:sz w:val="22"/>
        </w:rPr>
        <w:t>12.2.2在免费</w:t>
      </w:r>
      <w:r>
        <w:rPr>
          <w:rFonts w:hint="eastAsia"/>
          <w:color w:val="000000"/>
          <w:sz w:val="22"/>
        </w:rPr>
        <w:t>质保期</w:t>
      </w:r>
      <w:r>
        <w:rPr>
          <w:color w:val="000000"/>
          <w:sz w:val="22"/>
        </w:rPr>
        <w:t>内，售后服务机构或团队构成、系统发生故障后的应急响应方案；</w:t>
      </w:r>
      <w:bookmarkStart w:id="30" w:name="OLE_LINK26"/>
      <w:r>
        <w:rPr>
          <w:rFonts w:hint="eastAsia"/>
          <w:color w:val="000000"/>
          <w:sz w:val="22"/>
        </w:rPr>
        <w:t>故障24小时以上</w:t>
      </w:r>
      <w:r>
        <w:rPr>
          <w:rFonts w:hint="eastAsia"/>
        </w:rPr>
        <w:t>需要提供备用机应急备用机或紧急预案，</w:t>
      </w:r>
      <w:bookmarkEnd w:id="30"/>
      <w:r>
        <w:rPr>
          <w:rFonts w:hint="eastAsia"/>
        </w:rPr>
        <w:t>提供24小时响应服务，接到报修后</w:t>
      </w:r>
      <w:r>
        <w:t>2小时内响应，6小时内到达现场维修</w:t>
      </w:r>
      <w:r>
        <w:rPr>
          <w:rFonts w:hint="eastAsia"/>
        </w:rPr>
        <w:t>，</w:t>
      </w:r>
      <w:r>
        <w:rPr>
          <w:rFonts w:hint="eastAsia"/>
          <w:sz w:val="22"/>
        </w:rPr>
        <w:t>保修期内提供不少于1年2次免费保养</w:t>
      </w:r>
    </w:p>
    <w:p w14:paraId="394F38E4">
      <w:pPr>
        <w:snapToGrid w:val="0"/>
        <w:ind w:firstLine="440" w:firstLineChars="200"/>
        <w:jc w:val="left"/>
        <w:rPr>
          <w:color w:val="000000"/>
          <w:sz w:val="22"/>
        </w:rPr>
      </w:pPr>
      <w:r>
        <w:rPr>
          <w:color w:val="000000"/>
          <w:sz w:val="22"/>
        </w:rPr>
        <w:t>12.2.3如果设备发生故障，具体响应方案。中标人应调查故障原因并修复直至满足最终验收指标和性能的要求，或者更换整个或部分有缺陷的材料。以上各项都应是免费的。</w:t>
      </w:r>
    </w:p>
    <w:p w14:paraId="10C3DDA2">
      <w:pPr>
        <w:adjustRightInd w:val="0"/>
        <w:snapToGrid w:val="0"/>
        <w:ind w:firstLine="440" w:firstLineChars="200"/>
        <w:rPr>
          <w:color w:val="000000"/>
          <w:sz w:val="22"/>
        </w:rPr>
      </w:pPr>
      <w:r>
        <w:rPr>
          <w:rFonts w:hint="eastAsia"/>
          <w:color w:val="000000"/>
          <w:sz w:val="22"/>
        </w:rPr>
        <w:t>12.3与医院HIS、LIS等系统对接，并承担接口费用</w:t>
      </w:r>
    </w:p>
    <w:p w14:paraId="7356F290">
      <w:pPr>
        <w:adjustRightInd w:val="0"/>
        <w:snapToGrid w:val="0"/>
        <w:ind w:firstLine="440" w:firstLineChars="200"/>
        <w:rPr>
          <w:color w:val="000000"/>
          <w:sz w:val="22"/>
        </w:rPr>
      </w:pPr>
      <w:r>
        <w:rPr>
          <w:rFonts w:hint="eastAsia"/>
          <w:color w:val="000000"/>
          <w:sz w:val="22"/>
        </w:rPr>
        <w:t>12.4承担设备安装过程中涉及的空间布局调整优化，并承担费用</w:t>
      </w:r>
    </w:p>
    <w:p w14:paraId="4AE4F21A">
      <w:pPr>
        <w:snapToGrid w:val="0"/>
        <w:ind w:firstLine="440" w:firstLineChars="200"/>
        <w:jc w:val="left"/>
        <w:rPr>
          <w:sz w:val="22"/>
        </w:rPr>
      </w:pPr>
      <w:r>
        <w:rPr>
          <w:color w:val="000000"/>
          <w:sz w:val="22"/>
        </w:rPr>
        <w:t>12.</w:t>
      </w:r>
      <w:r>
        <w:rPr>
          <w:rFonts w:hint="eastAsia"/>
          <w:color w:val="000000"/>
          <w:sz w:val="22"/>
        </w:rPr>
        <w:t>5</w:t>
      </w:r>
      <w:r>
        <w:rPr>
          <w:rFonts w:hint="eastAsia"/>
          <w:sz w:val="22"/>
        </w:rPr>
        <w:t>使用周期</w:t>
      </w:r>
      <w:r>
        <w:rPr>
          <w:sz w:val="22"/>
        </w:rPr>
        <w:t>服务</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28"/>
        <w:gridCol w:w="2189"/>
        <w:gridCol w:w="978"/>
        <w:gridCol w:w="4724"/>
      </w:tblGrid>
      <w:tr w14:paraId="4B98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DEADE8">
            <w:pPr>
              <w:adjustRightInd w:val="0"/>
              <w:snapToGrid w:val="0"/>
              <w:jc w:val="center"/>
              <w:rPr>
                <w:b/>
                <w:sz w:val="22"/>
              </w:rPr>
            </w:pPr>
            <w:r>
              <w:rPr>
                <w:rFonts w:hint="eastAsia"/>
                <w:b/>
                <w:sz w:val="22"/>
              </w:rPr>
              <w:t>序号</w:t>
            </w: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C4A7C8F">
            <w:pPr>
              <w:adjustRightInd w:val="0"/>
              <w:snapToGrid w:val="0"/>
              <w:jc w:val="center"/>
              <w:rPr>
                <w:b/>
                <w:sz w:val="22"/>
              </w:rPr>
            </w:pPr>
            <w:r>
              <w:rPr>
                <w:rFonts w:hint="eastAsia"/>
                <w:b/>
                <w:sz w:val="22"/>
              </w:rPr>
              <w:t>服务内容</w:t>
            </w: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21BAC8F">
            <w:pPr>
              <w:adjustRightInd w:val="0"/>
              <w:snapToGrid w:val="0"/>
              <w:jc w:val="center"/>
              <w:rPr>
                <w:b/>
                <w:kern w:val="0"/>
                <w:sz w:val="22"/>
              </w:rPr>
            </w:pPr>
            <w:r>
              <w:rPr>
                <w:rFonts w:hint="eastAsia"/>
                <w:b/>
                <w:color w:val="333333"/>
                <w:sz w:val="22"/>
                <w:shd w:val="clear" w:color="auto" w:fill="FFFFFF"/>
              </w:rPr>
              <w:t>约定期限</w:t>
            </w:r>
          </w:p>
        </w:tc>
        <w:tc>
          <w:tcPr>
            <w:tcW w:w="0" w:type="auto"/>
            <w:tcBorders>
              <w:top w:val="single" w:color="auto" w:sz="4" w:space="0"/>
              <w:left w:val="single" w:color="auto" w:sz="4" w:space="0"/>
              <w:bottom w:val="single" w:color="auto" w:sz="4" w:space="0"/>
              <w:right w:val="single" w:color="auto" w:sz="4" w:space="0"/>
            </w:tcBorders>
            <w:vAlign w:val="center"/>
          </w:tcPr>
          <w:p w14:paraId="040AADDE">
            <w:pPr>
              <w:adjustRightInd w:val="0"/>
              <w:snapToGrid w:val="0"/>
              <w:jc w:val="center"/>
              <w:rPr>
                <w:b/>
                <w:kern w:val="0"/>
                <w:sz w:val="22"/>
              </w:rPr>
            </w:pPr>
            <w:r>
              <w:rPr>
                <w:rFonts w:hint="eastAsia"/>
                <w:b/>
                <w:sz w:val="22"/>
              </w:rPr>
              <w:t>具体服务要求</w:t>
            </w:r>
          </w:p>
        </w:tc>
      </w:tr>
      <w:tr w14:paraId="59A2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48E2CC2">
            <w:pPr>
              <w:widowControl/>
              <w:snapToGrid w:val="0"/>
              <w:jc w:val="center"/>
              <w:rPr>
                <w:kern w:val="0"/>
                <w:sz w:val="22"/>
              </w:rPr>
            </w:pPr>
            <w:bookmarkStart w:id="31" w:name="OLE_LINK157"/>
            <w:bookmarkStart w:id="32" w:name="OLE_LINK156"/>
            <w:r>
              <w:rPr>
                <w:kern w:val="0"/>
                <w:sz w:val="22"/>
              </w:rPr>
              <w:t>1</w:t>
            </w: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8BE0E2">
            <w:pPr>
              <w:widowControl/>
              <w:snapToGrid w:val="0"/>
              <w:jc w:val="center"/>
              <w:rPr>
                <w:kern w:val="0"/>
                <w:sz w:val="22"/>
              </w:rPr>
            </w:pPr>
            <w:r>
              <w:rPr>
                <w:rFonts w:hint="eastAsia"/>
                <w:sz w:val="22"/>
              </w:rPr>
              <w:t>配件：保障设备正常运行过程中所有的配件</w:t>
            </w: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42FA62B">
            <w:pPr>
              <w:widowControl/>
              <w:snapToGrid w:val="0"/>
              <w:rPr>
                <w:kern w:val="0"/>
                <w:sz w:val="22"/>
              </w:rPr>
            </w:pPr>
            <w:r>
              <w:rPr>
                <w:rFonts w:hint="eastAsia"/>
                <w:sz w:val="22"/>
              </w:rPr>
              <w:t>质保期满后5年</w:t>
            </w:r>
          </w:p>
        </w:tc>
        <w:tc>
          <w:tcPr>
            <w:tcW w:w="0" w:type="auto"/>
            <w:tcBorders>
              <w:top w:val="single" w:color="auto" w:sz="4" w:space="0"/>
              <w:left w:val="single" w:color="auto" w:sz="4" w:space="0"/>
              <w:bottom w:val="single" w:color="auto" w:sz="4" w:space="0"/>
              <w:right w:val="single" w:color="auto" w:sz="4" w:space="0"/>
            </w:tcBorders>
            <w:vAlign w:val="center"/>
          </w:tcPr>
          <w:p w14:paraId="6BAC7376">
            <w:pPr>
              <w:widowControl/>
              <w:snapToGrid w:val="0"/>
              <w:jc w:val="center"/>
              <w:rPr>
                <w:kern w:val="0"/>
                <w:sz w:val="22"/>
              </w:rPr>
            </w:pPr>
            <w:r>
              <w:rPr>
                <w:rFonts w:hint="eastAsia"/>
                <w:kern w:val="0"/>
                <w:sz w:val="22"/>
              </w:rPr>
              <w:t>质保期内免费，质保期满后5年不高于市场价5折</w:t>
            </w:r>
          </w:p>
        </w:tc>
      </w:tr>
      <w:tr w14:paraId="6457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9B765B">
            <w:pPr>
              <w:widowControl/>
              <w:snapToGrid w:val="0"/>
              <w:jc w:val="center"/>
              <w:rPr>
                <w:kern w:val="0"/>
                <w:sz w:val="22"/>
              </w:rPr>
            </w:pPr>
            <w:r>
              <w:rPr>
                <w:kern w:val="0"/>
                <w:sz w:val="22"/>
              </w:rPr>
              <w:t>2</w:t>
            </w: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E233829">
            <w:pPr>
              <w:widowControl/>
              <w:snapToGrid w:val="0"/>
              <w:jc w:val="center"/>
              <w:rPr>
                <w:sz w:val="22"/>
              </w:rPr>
            </w:pPr>
            <w:r>
              <w:rPr>
                <w:rFonts w:hint="eastAsia"/>
                <w:color w:val="333333"/>
                <w:sz w:val="22"/>
                <w:shd w:val="clear" w:color="auto" w:fill="FFFFFF"/>
              </w:rPr>
              <w:t>运营、维护、升级</w:t>
            </w: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99209C2">
            <w:pPr>
              <w:widowControl/>
              <w:snapToGrid w:val="0"/>
              <w:jc w:val="center"/>
              <w:rPr>
                <w:kern w:val="0"/>
                <w:sz w:val="22"/>
              </w:rPr>
            </w:pPr>
            <w:r>
              <w:rPr>
                <w:rFonts w:hint="eastAsia"/>
                <w:kern w:val="0"/>
                <w:sz w:val="22"/>
              </w:rPr>
              <w:t>质保期满后5年</w:t>
            </w:r>
          </w:p>
        </w:tc>
        <w:tc>
          <w:tcPr>
            <w:tcW w:w="0" w:type="auto"/>
            <w:tcBorders>
              <w:top w:val="single" w:color="auto" w:sz="4" w:space="0"/>
              <w:left w:val="single" w:color="auto" w:sz="4" w:space="0"/>
              <w:bottom w:val="single" w:color="auto" w:sz="4" w:space="0"/>
              <w:right w:val="single" w:color="auto" w:sz="4" w:space="0"/>
            </w:tcBorders>
            <w:vAlign w:val="center"/>
          </w:tcPr>
          <w:p w14:paraId="2AE05D37">
            <w:pPr>
              <w:snapToGrid w:val="0"/>
              <w:ind w:firstLine="440" w:firstLineChars="200"/>
              <w:jc w:val="left"/>
              <w:rPr>
                <w:color w:val="000000"/>
                <w:sz w:val="22"/>
              </w:rPr>
            </w:pPr>
            <w:r>
              <w:rPr>
                <w:color w:val="000000"/>
                <w:sz w:val="22"/>
              </w:rPr>
              <w:t>投标人应在投标文件中提出保修期之后的设备返修流程，包括返修时间，替用设备，以及返修价格。</w:t>
            </w:r>
          </w:p>
          <w:p w14:paraId="3038AB25">
            <w:pPr>
              <w:adjustRightInd w:val="0"/>
              <w:snapToGrid w:val="0"/>
              <w:ind w:firstLine="442" w:firstLineChars="200"/>
              <w:rPr>
                <w:b/>
                <w:bCs/>
                <w:color w:val="FF0000"/>
                <w:sz w:val="22"/>
                <w:u w:val="single"/>
              </w:rPr>
            </w:pPr>
            <w:r>
              <w:rPr>
                <w:rFonts w:hint="eastAsia"/>
                <w:b/>
                <w:bCs/>
                <w:color w:val="FF0000"/>
                <w:sz w:val="22"/>
                <w:u w:val="single"/>
              </w:rPr>
              <w:t>（</w:t>
            </w:r>
            <w:r>
              <w:rPr>
                <w:b/>
                <w:bCs/>
                <w:color w:val="FF0000"/>
                <w:sz w:val="22"/>
                <w:u w:val="single"/>
              </w:rPr>
              <w:t>1</w:t>
            </w:r>
            <w:r>
              <w:rPr>
                <w:rFonts w:hint="eastAsia"/>
                <w:b/>
                <w:bCs/>
                <w:color w:val="FF0000"/>
                <w:sz w:val="22"/>
                <w:u w:val="single"/>
              </w:rPr>
              <w:t>）日常维护方案及收费标准</w:t>
            </w:r>
          </w:p>
          <w:p w14:paraId="5A038317">
            <w:pPr>
              <w:adjustRightInd w:val="0"/>
              <w:snapToGrid w:val="0"/>
              <w:ind w:firstLine="442" w:firstLineChars="200"/>
              <w:rPr>
                <w:b/>
                <w:bCs/>
                <w:color w:val="FF0000"/>
                <w:sz w:val="22"/>
                <w:u w:val="single"/>
              </w:rPr>
            </w:pPr>
            <w:r>
              <w:rPr>
                <w:rFonts w:hint="eastAsia"/>
                <w:b/>
                <w:bCs/>
                <w:color w:val="FF0000"/>
                <w:sz w:val="22"/>
                <w:u w:val="single"/>
              </w:rPr>
              <w:t>（</w:t>
            </w:r>
            <w:r>
              <w:rPr>
                <w:b/>
                <w:bCs/>
                <w:color w:val="FF0000"/>
                <w:sz w:val="22"/>
                <w:u w:val="single"/>
              </w:rPr>
              <w:t>2</w:t>
            </w:r>
            <w:r>
              <w:rPr>
                <w:rFonts w:hint="eastAsia"/>
                <w:b/>
                <w:bCs/>
                <w:color w:val="FF0000"/>
                <w:sz w:val="22"/>
                <w:u w:val="single"/>
              </w:rPr>
              <w:t>）发生故障后的应急响应方案及收费标准</w:t>
            </w:r>
          </w:p>
        </w:tc>
      </w:tr>
      <w:tr w14:paraId="1D7D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F3994F4">
            <w:pPr>
              <w:widowControl/>
              <w:snapToGrid w:val="0"/>
              <w:jc w:val="center"/>
              <w:rPr>
                <w:kern w:val="0"/>
                <w:sz w:val="22"/>
              </w:rPr>
            </w:pPr>
            <w:r>
              <w:rPr>
                <w:kern w:val="0"/>
                <w:sz w:val="22"/>
              </w:rPr>
              <w:t>3</w:t>
            </w: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83759C2">
            <w:pPr>
              <w:widowControl/>
              <w:snapToGrid w:val="0"/>
              <w:jc w:val="center"/>
              <w:rPr>
                <w:sz w:val="22"/>
              </w:rPr>
            </w:pPr>
            <w:r>
              <w:rPr>
                <w:rFonts w:hint="eastAsia"/>
                <w:color w:val="333333"/>
                <w:sz w:val="22"/>
                <w:shd w:val="clear" w:color="auto" w:fill="FFFFFF"/>
              </w:rPr>
              <w:t>专用耗材：配套试剂</w:t>
            </w: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E63B299">
            <w:pPr>
              <w:widowControl/>
              <w:snapToGrid w:val="0"/>
              <w:jc w:val="center"/>
              <w:rPr>
                <w:color w:val="333333"/>
                <w:sz w:val="22"/>
                <w:shd w:val="clear" w:color="auto" w:fill="FFFFFF"/>
              </w:rPr>
            </w:pPr>
            <w:r>
              <w:rPr>
                <w:rFonts w:hint="eastAsia"/>
                <w:color w:val="333333"/>
                <w:sz w:val="22"/>
                <w:shd w:val="clear" w:color="auto" w:fill="FFFFFF"/>
              </w:rPr>
              <w:t>设备使用期间</w:t>
            </w:r>
          </w:p>
        </w:tc>
        <w:tc>
          <w:tcPr>
            <w:tcW w:w="0" w:type="auto"/>
            <w:tcBorders>
              <w:top w:val="single" w:color="auto" w:sz="4" w:space="0"/>
              <w:left w:val="single" w:color="auto" w:sz="4" w:space="0"/>
              <w:bottom w:val="single" w:color="auto" w:sz="4" w:space="0"/>
              <w:right w:val="single" w:color="auto" w:sz="4" w:space="0"/>
            </w:tcBorders>
            <w:vAlign w:val="center"/>
          </w:tcPr>
          <w:p w14:paraId="5D8B6ED8">
            <w:pPr>
              <w:widowControl/>
              <w:snapToGrid w:val="0"/>
              <w:rPr>
                <w:kern w:val="0"/>
                <w:sz w:val="22"/>
              </w:rPr>
            </w:pPr>
            <w:bookmarkStart w:id="33" w:name="OLE_LINK89"/>
            <w:r>
              <w:rPr>
                <w:rFonts w:hint="eastAsia"/>
                <w:kern w:val="0"/>
                <w:sz w:val="22"/>
              </w:rPr>
              <w:t>承诺价格</w:t>
            </w:r>
            <w:bookmarkStart w:id="34" w:name="OLE_LINK142"/>
            <w:bookmarkStart w:id="35" w:name="OLE_LINK141"/>
            <w:r>
              <w:rPr>
                <w:rFonts w:hint="eastAsia"/>
                <w:kern w:val="0"/>
                <w:sz w:val="22"/>
              </w:rPr>
              <w:t>不高于当期同类同级医院最低采购价</w:t>
            </w:r>
            <w:bookmarkEnd w:id="34"/>
            <w:bookmarkEnd w:id="35"/>
            <w:r>
              <w:rPr>
                <w:rFonts w:hint="eastAsia"/>
                <w:kern w:val="0"/>
                <w:sz w:val="22"/>
              </w:rPr>
              <w:t>（提供供应商盖章承诺）。</w:t>
            </w:r>
            <w:bookmarkEnd w:id="33"/>
          </w:p>
        </w:tc>
      </w:tr>
      <w:tr w14:paraId="769F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83A056D">
            <w:pPr>
              <w:widowControl/>
              <w:snapToGrid w:val="0"/>
              <w:jc w:val="center"/>
              <w:rPr>
                <w:kern w:val="0"/>
                <w:sz w:val="22"/>
              </w:rPr>
            </w:pPr>
            <w:r>
              <w:rPr>
                <w:rFonts w:hint="eastAsia"/>
                <w:kern w:val="0"/>
                <w:sz w:val="22"/>
              </w:rPr>
              <w:t>4</w:t>
            </w:r>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5583CA2">
            <w:pPr>
              <w:widowControl/>
              <w:snapToGrid w:val="0"/>
              <w:jc w:val="center"/>
              <w:rPr>
                <w:color w:val="333333"/>
                <w:sz w:val="22"/>
                <w:shd w:val="clear" w:color="auto" w:fill="FFFFFF"/>
              </w:rPr>
            </w:pPr>
            <w:bookmarkStart w:id="36" w:name="OLE_LINK163"/>
            <w:bookmarkStart w:id="37" w:name="OLE_LINK162"/>
            <w:r>
              <w:rPr>
                <w:rFonts w:hint="eastAsia"/>
                <w:sz w:val="22"/>
              </w:rPr>
              <w:t>设备出保后的维保费用比例要求</w:t>
            </w:r>
            <w:bookmarkEnd w:id="36"/>
            <w:bookmarkEnd w:id="37"/>
          </w:p>
        </w:tc>
        <w:tc>
          <w:tcPr>
            <w:tcW w:w="0" w:type="auto"/>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59552E6">
            <w:pPr>
              <w:widowControl/>
              <w:snapToGrid w:val="0"/>
              <w:jc w:val="center"/>
              <w:rPr>
                <w:color w:val="333333"/>
                <w:sz w:val="22"/>
                <w:shd w:val="clear" w:color="auto" w:fill="FFFFFF"/>
              </w:rPr>
            </w:pPr>
            <w:r>
              <w:rPr>
                <w:rFonts w:hint="eastAsia"/>
                <w:color w:val="333333"/>
                <w:sz w:val="22"/>
                <w:shd w:val="clear" w:color="auto" w:fill="FFFFFF"/>
              </w:rPr>
              <w:t>质保期满后</w:t>
            </w:r>
          </w:p>
        </w:tc>
        <w:tc>
          <w:tcPr>
            <w:tcW w:w="0" w:type="auto"/>
            <w:tcBorders>
              <w:top w:val="single" w:color="auto" w:sz="4" w:space="0"/>
              <w:left w:val="single" w:color="auto" w:sz="4" w:space="0"/>
              <w:bottom w:val="single" w:color="auto" w:sz="4" w:space="0"/>
              <w:right w:val="single" w:color="auto" w:sz="4" w:space="0"/>
            </w:tcBorders>
            <w:vAlign w:val="center"/>
          </w:tcPr>
          <w:p w14:paraId="3C9E265E">
            <w:pPr>
              <w:widowControl/>
              <w:snapToGrid w:val="0"/>
              <w:rPr>
                <w:rFonts w:ascii="宋体" w:hAnsi="宋体" w:cs="宋体"/>
                <w:color w:val="000000"/>
                <w:kern w:val="0"/>
                <w:sz w:val="24"/>
                <w:lang w:bidi="ar"/>
              </w:rPr>
            </w:pPr>
            <w:bookmarkStart w:id="38" w:name="OLE_LINK91"/>
            <w:r>
              <w:rPr>
                <w:rFonts w:hint="eastAsia"/>
                <w:sz w:val="22"/>
              </w:rPr>
              <w:t>质保期满后，年度全保服务费不超过设备总价的</w:t>
            </w:r>
            <w:r>
              <w:rPr>
                <w:sz w:val="22"/>
              </w:rPr>
              <w:t>5</w:t>
            </w:r>
            <w:r>
              <w:rPr>
                <w:rFonts w:hint="eastAsia"/>
                <w:sz w:val="22"/>
              </w:rPr>
              <w:t>%（提供厂家盖章承诺）</w:t>
            </w:r>
            <w:bookmarkEnd w:id="38"/>
          </w:p>
        </w:tc>
      </w:tr>
      <w:bookmarkEnd w:id="31"/>
      <w:bookmarkEnd w:id="32"/>
    </w:tbl>
    <w:p w14:paraId="6B1F40FF">
      <w:pPr>
        <w:snapToGrid w:val="0"/>
        <w:ind w:firstLine="442" w:firstLineChars="200"/>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14:paraId="67136F82">
      <w:pPr>
        <w:snapToGrid w:val="0"/>
        <w:ind w:firstLine="442" w:firstLineChars="200"/>
        <w:jc w:val="left"/>
        <w:rPr>
          <w:b/>
          <w:bCs/>
          <w:color w:val="FF0000"/>
          <w:sz w:val="22"/>
          <w:u w:val="wavyHeavy"/>
        </w:rPr>
      </w:pPr>
    </w:p>
    <w:p w14:paraId="71DCC187">
      <w:pPr>
        <w:adjustRightInd w:val="0"/>
        <w:snapToGrid w:val="0"/>
        <w:jc w:val="center"/>
        <w:outlineLvl w:val="1"/>
        <w:rPr>
          <w:rFonts w:eastAsia="黑体"/>
          <w:color w:val="000000"/>
          <w:sz w:val="30"/>
          <w:szCs w:val="30"/>
        </w:rPr>
      </w:pPr>
      <w:bookmarkStart w:id="39" w:name="_Toc240291155"/>
      <w:r>
        <w:rPr>
          <w:rFonts w:eastAsia="黑体"/>
          <w:color w:val="000000"/>
          <w:sz w:val="30"/>
          <w:szCs w:val="30"/>
        </w:rPr>
        <w:t>四、投标报价须知</w:t>
      </w:r>
      <w:bookmarkEnd w:id="39"/>
    </w:p>
    <w:p w14:paraId="2F9E21D3">
      <w:pPr>
        <w:adjustRightInd w:val="0"/>
        <w:snapToGrid w:val="0"/>
        <w:ind w:firstLine="442" w:firstLineChars="200"/>
        <w:jc w:val="left"/>
        <w:outlineLvl w:val="2"/>
        <w:rPr>
          <w:b/>
          <w:color w:val="000000"/>
          <w:sz w:val="22"/>
        </w:rPr>
      </w:pPr>
      <w:bookmarkStart w:id="40" w:name="_Toc240291156"/>
      <w:r>
        <w:rPr>
          <w:b/>
          <w:color w:val="000000"/>
          <w:sz w:val="22"/>
        </w:rPr>
        <w:t>13 投标报价依据</w:t>
      </w:r>
      <w:bookmarkEnd w:id="40"/>
    </w:p>
    <w:p w14:paraId="7B54685D">
      <w:pPr>
        <w:snapToGrid w:val="0"/>
        <w:ind w:firstLine="440" w:firstLineChars="200"/>
        <w:jc w:val="left"/>
        <w:rPr>
          <w:sz w:val="22"/>
        </w:rPr>
      </w:pPr>
      <w:r>
        <w:rPr>
          <w:sz w:val="22"/>
        </w:rPr>
        <w:t>13.1 投标报价计算依据包括本项目的招标文件（包括提供的附件）、招标文件答疑或修改的补充文书、供货清单、项目现场条件等。</w:t>
      </w:r>
    </w:p>
    <w:p w14:paraId="18D20D51">
      <w:pPr>
        <w:snapToGrid w:val="0"/>
        <w:ind w:firstLine="440" w:firstLineChars="200"/>
        <w:jc w:val="left"/>
        <w:rPr>
          <w:sz w:val="22"/>
        </w:rPr>
      </w:pPr>
      <w:r>
        <w:rPr>
          <w:sz w:val="22"/>
        </w:rPr>
        <w:t>13.2 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14:paraId="7FB2981C">
      <w:pPr>
        <w:snapToGrid w:val="0"/>
        <w:ind w:firstLine="440" w:firstLineChars="200"/>
        <w:jc w:val="left"/>
        <w:rPr>
          <w:sz w:val="22"/>
        </w:rPr>
      </w:pPr>
      <w:r>
        <w:rPr>
          <w:sz w:val="22"/>
        </w:rPr>
        <w:t>13.3 供货清单说明</w:t>
      </w:r>
    </w:p>
    <w:p w14:paraId="24755AAC">
      <w:pPr>
        <w:snapToGrid w:val="0"/>
        <w:ind w:firstLine="440" w:firstLineChars="200"/>
        <w:jc w:val="left"/>
        <w:rPr>
          <w:sz w:val="22"/>
        </w:rPr>
      </w:pPr>
      <w:r>
        <w:rPr>
          <w:sz w:val="22"/>
        </w:rPr>
        <w:t>13.3.1 供货清单应与投标人须知、合同条件、项目质量标准和要求等文件结合起来理解或解释。</w:t>
      </w:r>
    </w:p>
    <w:p w14:paraId="69BDC17D">
      <w:pPr>
        <w:snapToGrid w:val="0"/>
        <w:ind w:firstLine="440" w:firstLineChars="200"/>
        <w:jc w:val="left"/>
        <w:rPr>
          <w:sz w:val="22"/>
        </w:rPr>
      </w:pPr>
      <w:r>
        <w:rPr>
          <w:sz w:val="22"/>
        </w:rPr>
        <w:t>13.3.2 以下选一</w:t>
      </w:r>
    </w:p>
    <w:p w14:paraId="40753826">
      <w:pPr>
        <w:snapToGrid w:val="0"/>
        <w:ind w:firstLine="440" w:firstLineChars="20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14:paraId="40014059">
      <w:pPr>
        <w:adjustRightInd w:val="0"/>
        <w:snapToGrid w:val="0"/>
        <w:ind w:firstLine="442" w:firstLineChars="200"/>
        <w:jc w:val="left"/>
        <w:outlineLvl w:val="2"/>
        <w:rPr>
          <w:b/>
          <w:color w:val="000000"/>
          <w:sz w:val="22"/>
        </w:rPr>
      </w:pPr>
      <w:bookmarkStart w:id="41" w:name="_Toc240291157"/>
      <w:r>
        <w:rPr>
          <w:b/>
          <w:color w:val="000000"/>
          <w:sz w:val="22"/>
        </w:rPr>
        <w:t>14投标报价内容</w:t>
      </w:r>
      <w:bookmarkEnd w:id="41"/>
    </w:p>
    <w:p w14:paraId="0A2201DE">
      <w:pPr>
        <w:snapToGrid w:val="0"/>
        <w:ind w:firstLine="440" w:firstLineChars="20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14:paraId="499935F8">
      <w:pPr>
        <w:adjustRightInd w:val="0"/>
        <w:snapToGrid w:val="0"/>
        <w:ind w:firstLine="442" w:firstLineChars="200"/>
        <w:jc w:val="left"/>
        <w:outlineLvl w:val="2"/>
        <w:rPr>
          <w:b/>
          <w:color w:val="000000"/>
          <w:sz w:val="22"/>
        </w:rPr>
      </w:pPr>
      <w:bookmarkStart w:id="42" w:name="_Toc240291158"/>
      <w:r>
        <w:rPr>
          <w:b/>
          <w:color w:val="000000"/>
          <w:sz w:val="22"/>
        </w:rPr>
        <w:t>15投标报价控制性条款</w:t>
      </w:r>
      <w:bookmarkEnd w:id="42"/>
    </w:p>
    <w:p w14:paraId="2F33353A">
      <w:pPr>
        <w:snapToGrid w:val="0"/>
        <w:ind w:firstLine="440" w:firstLineChars="200"/>
        <w:jc w:val="left"/>
        <w:rPr>
          <w:sz w:val="22"/>
        </w:rPr>
      </w:pPr>
      <w:r>
        <w:rPr>
          <w:sz w:val="22"/>
        </w:rPr>
        <w:t>15.1 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14:paraId="38476FC1">
      <w:pPr>
        <w:snapToGrid w:val="0"/>
        <w:ind w:firstLine="440" w:firstLineChars="200"/>
        <w:jc w:val="left"/>
        <w:rPr>
          <w:sz w:val="22"/>
        </w:rPr>
      </w:pPr>
      <w:r>
        <w:rPr>
          <w:sz w:val="22"/>
        </w:rPr>
        <w:t>15.2 本项目只允许有一个报价，任何有选择的报价将不予接受。</w:t>
      </w:r>
    </w:p>
    <w:p w14:paraId="15F0F8BF">
      <w:pPr>
        <w:snapToGrid w:val="0"/>
        <w:ind w:firstLine="440" w:firstLineChars="200"/>
        <w:jc w:val="left"/>
        <w:rPr>
          <w:sz w:val="22"/>
        </w:rPr>
      </w:pPr>
      <w:r>
        <w:rPr>
          <w:sz w:val="22"/>
        </w:rPr>
        <w:t>15.3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4C842479">
      <w:pPr>
        <w:snapToGrid w:val="0"/>
        <w:ind w:firstLine="440" w:firstLineChars="200"/>
        <w:jc w:val="left"/>
        <w:rPr>
          <w:sz w:val="22"/>
        </w:rPr>
      </w:pPr>
      <w:r>
        <w:rPr>
          <w:rFonts w:ascii="宋体" w:hAnsi="宋体"/>
          <w:sz w:val="22"/>
        </w:rPr>
        <w:t>★</w:t>
      </w:r>
      <w:r>
        <w:rPr>
          <w:sz w:val="22"/>
        </w:rPr>
        <w:t>15.4 经评标委员会审定，投标报价存在下列情形之一的，该投标文件作无效标处理：</w:t>
      </w:r>
    </w:p>
    <w:p w14:paraId="3906649D">
      <w:pPr>
        <w:snapToGrid w:val="0"/>
        <w:ind w:firstLine="440" w:firstLineChars="200"/>
        <w:jc w:val="left"/>
        <w:rPr>
          <w:sz w:val="22"/>
        </w:rPr>
      </w:pPr>
      <w:r>
        <w:rPr>
          <w:sz w:val="22"/>
        </w:rPr>
        <w:t>15.4.1 投标报价中缩减供货清单</w:t>
      </w:r>
      <w:r>
        <w:rPr>
          <w:bCs/>
          <w:sz w:val="22"/>
        </w:rPr>
        <w:t>中产品数量</w:t>
      </w:r>
      <w:r>
        <w:rPr>
          <w:sz w:val="22"/>
        </w:rPr>
        <w:t>的；</w:t>
      </w:r>
    </w:p>
    <w:p w14:paraId="61FFB977">
      <w:pPr>
        <w:snapToGrid w:val="0"/>
        <w:ind w:firstLine="440" w:firstLineChars="200"/>
        <w:jc w:val="left"/>
        <w:rPr>
          <w:sz w:val="22"/>
        </w:rPr>
      </w:pPr>
      <w:r>
        <w:rPr>
          <w:sz w:val="22"/>
        </w:rPr>
        <w:t>15.4.2 投标报价和技术方案明显不相符的。</w:t>
      </w:r>
    </w:p>
    <w:p w14:paraId="4E52D6EC">
      <w:pPr>
        <w:snapToGrid w:val="0"/>
        <w:ind w:firstLine="440" w:firstLineChars="200"/>
        <w:jc w:val="left"/>
        <w:rPr>
          <w:sz w:val="22"/>
        </w:rPr>
      </w:pPr>
    </w:p>
    <w:p w14:paraId="5F75CE1B">
      <w:pPr>
        <w:adjustRightInd w:val="0"/>
        <w:snapToGrid w:val="0"/>
        <w:jc w:val="center"/>
        <w:outlineLvl w:val="1"/>
        <w:rPr>
          <w:rFonts w:eastAsia="黑体"/>
          <w:sz w:val="30"/>
          <w:szCs w:val="30"/>
        </w:rPr>
      </w:pPr>
      <w:bookmarkStart w:id="43" w:name="_Toc240291159"/>
      <w:r>
        <w:rPr>
          <w:rFonts w:eastAsia="黑体"/>
          <w:sz w:val="30"/>
          <w:szCs w:val="30"/>
        </w:rPr>
        <w:t>五、政府采购政策</w:t>
      </w:r>
      <w:bookmarkEnd w:id="43"/>
    </w:p>
    <w:p w14:paraId="7745F07A">
      <w:pPr>
        <w:adjustRightInd w:val="0"/>
        <w:snapToGrid w:val="0"/>
        <w:ind w:firstLine="442" w:firstLineChars="200"/>
        <w:outlineLvl w:val="2"/>
        <w:rPr>
          <w:b/>
          <w:sz w:val="22"/>
        </w:rPr>
      </w:pPr>
      <w:bookmarkStart w:id="44" w:name="_Toc240291160"/>
      <w:r>
        <w:rPr>
          <w:b/>
          <w:sz w:val="22"/>
        </w:rPr>
        <w:t>16 节能产品政府采购</w:t>
      </w:r>
      <w:bookmarkEnd w:id="44"/>
    </w:p>
    <w:p w14:paraId="3E8A1D9D">
      <w:pPr>
        <w:adjustRightInd w:val="0"/>
        <w:snapToGrid w:val="0"/>
        <w:ind w:firstLine="440" w:firstLineChars="200"/>
        <w:rPr>
          <w:sz w:val="22"/>
        </w:rPr>
      </w:pPr>
      <w:r>
        <w:rPr>
          <w:sz w:val="22"/>
        </w:rPr>
        <w:t>16.1 按照《财政部发展改革委生态环境部市场监管总局关于调整优化节能产品、环境标志产品政府采购执行机制的通知》（财库〔2019〕9号）的要求，采购人采购的产品属于“节能产品品目清单”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14:paraId="21A66B4C">
      <w:pPr>
        <w:adjustRightInd w:val="0"/>
        <w:snapToGrid w:val="0"/>
        <w:ind w:firstLine="440" w:firstLineChars="20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14:paraId="5F6329DC">
      <w:pPr>
        <w:adjustRightInd w:val="0"/>
        <w:snapToGrid w:val="0"/>
        <w:ind w:firstLine="442" w:firstLineChars="200"/>
        <w:outlineLvl w:val="2"/>
        <w:rPr>
          <w:b/>
          <w:sz w:val="22"/>
        </w:rPr>
      </w:pPr>
      <w:bookmarkStart w:id="45" w:name="_Toc240291161"/>
      <w:r>
        <w:rPr>
          <w:b/>
          <w:sz w:val="22"/>
        </w:rPr>
        <w:t>17环境标志产品政府采购</w:t>
      </w:r>
      <w:bookmarkEnd w:id="45"/>
    </w:p>
    <w:p w14:paraId="2DB9D849">
      <w:pPr>
        <w:adjustRightInd w:val="0"/>
        <w:snapToGrid w:val="0"/>
        <w:ind w:firstLine="440" w:firstLineChars="200"/>
        <w:rPr>
          <w:sz w:val="22"/>
        </w:rPr>
      </w:pPr>
      <w:r>
        <w:rPr>
          <w:sz w:val="22"/>
        </w:rPr>
        <w:t>17.1 按照《财政部发展改革委生态环境部市场监管总局关于调整优化节能产品、环境标志产品政府采购执行机制的通知》（财库〔2019〕9号）的要求，采购人采购的产品属于“环境标志产品品目清单”中的，在性能、技术、服务等指标同等条件下，应当优先采购环境标志产品。</w:t>
      </w:r>
    </w:p>
    <w:p w14:paraId="114CA7A3">
      <w:pPr>
        <w:adjustRightInd w:val="0"/>
        <w:snapToGrid w:val="0"/>
        <w:ind w:firstLine="440" w:firstLineChars="20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14:paraId="339585C8">
      <w:pPr>
        <w:adjustRightInd w:val="0"/>
        <w:snapToGrid w:val="0"/>
        <w:ind w:firstLine="442" w:firstLineChars="200"/>
        <w:outlineLvl w:val="2"/>
        <w:rPr>
          <w:b/>
          <w:sz w:val="22"/>
        </w:rPr>
      </w:pPr>
      <w:bookmarkStart w:id="46" w:name="_Toc240291162"/>
      <w:r>
        <w:rPr>
          <w:b/>
          <w:sz w:val="22"/>
        </w:rPr>
        <w:t>18 促进中小企业发展</w:t>
      </w:r>
      <w:bookmarkEnd w:id="46"/>
    </w:p>
    <w:p w14:paraId="7236EB2C">
      <w:pPr>
        <w:tabs>
          <w:tab w:val="left" w:pos="3060"/>
        </w:tabs>
        <w:adjustRightInd w:val="0"/>
        <w:snapToGrid w:val="0"/>
        <w:ind w:firstLine="440" w:firstLineChars="200"/>
        <w:rPr>
          <w:sz w:val="22"/>
        </w:rPr>
      </w:pPr>
      <w:r>
        <w:rPr>
          <w:sz w:val="22"/>
        </w:rPr>
        <w:t>18</w:t>
      </w:r>
      <w:r>
        <w:rPr>
          <w:bCs/>
          <w:sz w:val="22"/>
        </w:rPr>
        <w:t xml:space="preserve">.1 </w:t>
      </w:r>
      <w:r>
        <w:rPr>
          <w:sz w:val="22"/>
        </w:rPr>
        <w:t>中小企业（含中型、小型、微型企业，下同）的划定按照《中小企业划型标准规定》（工信部联企业〔2011〕300号）执行，参加</w:t>
      </w:r>
      <w:r>
        <w:rPr>
          <w:rFonts w:hint="eastAsia"/>
          <w:sz w:val="22"/>
        </w:rPr>
        <w:t>投标</w:t>
      </w:r>
      <w:r>
        <w:rPr>
          <w:sz w:val="22"/>
        </w:rPr>
        <w:t>的中小企业应当提供《中小企业声明函》（具体格式见“</w:t>
      </w:r>
      <w:r>
        <w:rPr>
          <w:rFonts w:hint="eastAsia"/>
          <w:sz w:val="22"/>
        </w:rPr>
        <w:t>投标</w:t>
      </w:r>
      <w:r>
        <w:rPr>
          <w:sz w:val="22"/>
        </w:rPr>
        <w:t>文件格式”），反之，视作非中小企业，不享受相应的扶持政策。如项目允许联合体参与竞争的，则联合体中的中小企业均应按本款要求提供《中小企业声明函》。</w:t>
      </w:r>
    </w:p>
    <w:p w14:paraId="065259D7">
      <w:pPr>
        <w:adjustRightInd w:val="0"/>
        <w:snapToGrid w:val="0"/>
        <w:ind w:firstLine="440" w:firstLineChars="200"/>
        <w:rPr>
          <w:sz w:val="22"/>
        </w:rPr>
      </w:pPr>
      <w:r>
        <w:rPr>
          <w:sz w:val="22"/>
        </w:rPr>
        <w:t>18.2 依据市财政局2015年9月发布的《</w:t>
      </w:r>
      <w:r>
        <w:rPr>
          <w:rStyle w:val="5"/>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14:paraId="3105841D">
      <w:pPr>
        <w:adjustRightInd w:val="0"/>
        <w:snapToGrid w:val="0"/>
        <w:ind w:firstLine="440" w:firstLineChars="200"/>
        <w:rPr>
          <w:sz w:val="22"/>
        </w:rPr>
      </w:pPr>
      <w:r>
        <w:rPr>
          <w:sz w:val="22"/>
        </w:rPr>
        <w:t>18.3 如项目允许联合体参与竞争的，组成联合体的大中型企业和其他自然人、法人或者其他组织，与小型、微型企业之间不得存在投资关系。</w:t>
      </w:r>
    </w:p>
    <w:p w14:paraId="5CF3B6E9">
      <w:pPr>
        <w:adjustRightInd w:val="0"/>
        <w:snapToGrid w:val="0"/>
        <w:ind w:firstLine="440" w:firstLineChars="200"/>
        <w:rPr>
          <w:sz w:val="22"/>
        </w:rPr>
      </w:pPr>
      <w:r>
        <w:rPr>
          <w:sz w:val="22"/>
        </w:rPr>
        <w:t>18.4对于小型、微型企业，按照《政府采购促进中小企业发展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14:paraId="24E5044A">
      <w:pPr>
        <w:adjustRightInd w:val="0"/>
        <w:snapToGrid w:val="0"/>
        <w:ind w:firstLine="440" w:firstLineChars="200"/>
        <w:rPr>
          <w:sz w:val="22"/>
        </w:rPr>
      </w:pPr>
      <w:r>
        <w:rPr>
          <w:sz w:val="22"/>
        </w:rPr>
        <w:t>18.5如项目允许联合体参与竞争的，且联合体各方均为小型、微型企业的，联合体视同为小型、微型企业，其报价给予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的扣除，用扣除后的价格参与评审。反之，依照联合体协议约定，小型、微型企业的协议合同金额占到联合体协议合同总金额30%以上的，给予联合体</w:t>
      </w:r>
      <w:r>
        <w:rPr>
          <w:rFonts w:hint="eastAsia"/>
          <w:b/>
          <w:color w:val="FF0000"/>
          <w:sz w:val="22"/>
          <w:u w:val="single"/>
        </w:rPr>
        <w:t>4</w:t>
      </w:r>
      <w:r>
        <w:rPr>
          <w:b/>
          <w:color w:val="FF0000"/>
          <w:sz w:val="22"/>
          <w:u w:val="single"/>
        </w:rPr>
        <w:t>%</w:t>
      </w:r>
      <w:r>
        <w:rPr>
          <w:sz w:val="22"/>
        </w:rPr>
        <w:t>的价格扣除，用扣除后的价格参与评审。</w:t>
      </w:r>
    </w:p>
    <w:p w14:paraId="5FA91544">
      <w:pPr>
        <w:adjustRightInd w:val="0"/>
        <w:snapToGrid w:val="0"/>
        <w:ind w:firstLine="440" w:firstLineChars="200"/>
        <w:rPr>
          <w:kern w:val="0"/>
          <w:sz w:val="22"/>
        </w:rPr>
      </w:pPr>
      <w:r>
        <w:rPr>
          <w:sz w:val="22"/>
        </w:rPr>
        <w:t>18.6供应商如提供虚假材料以谋取成交的，按照《政府采购法》有关条款处理，并记入供应商诚信档案。</w:t>
      </w:r>
    </w:p>
    <w:p w14:paraId="62690E82">
      <w:pPr>
        <w:adjustRightInd w:val="0"/>
        <w:snapToGrid w:val="0"/>
        <w:ind w:firstLine="442" w:firstLineChars="200"/>
        <w:outlineLvl w:val="2"/>
        <w:rPr>
          <w:b/>
          <w:sz w:val="22"/>
        </w:rPr>
      </w:pPr>
      <w:bookmarkStart w:id="47" w:name="_Toc240291163"/>
      <w:r>
        <w:rPr>
          <w:b/>
          <w:sz w:val="22"/>
        </w:rPr>
        <w:t>19实施本国产品标准</w:t>
      </w:r>
      <w:bookmarkEnd w:id="47"/>
    </w:p>
    <w:p w14:paraId="6EF826A2">
      <w:pPr>
        <w:ind w:firstLine="440" w:firstLineChars="200"/>
        <w:rPr>
          <w:sz w:val="22"/>
        </w:rPr>
      </w:pPr>
      <w:r>
        <w:rPr>
          <w:sz w:val="22"/>
        </w:rPr>
        <w:t>19.1</w:t>
      </w:r>
      <w:r>
        <w:rPr>
          <w:rFonts w:hint="eastAsia"/>
          <w:bCs/>
          <w:kern w:val="0"/>
          <w:sz w:val="22"/>
        </w:rPr>
        <w:t>按照</w:t>
      </w:r>
      <w:r>
        <w:rPr>
          <w:sz w:val="22"/>
        </w:rPr>
        <w:t>《国务院办公厅关于在政府采购中实施本国产品标准及相关政策的通知》（国办发〔2025〕34号）</w:t>
      </w:r>
      <w:r>
        <w:rPr>
          <w:rFonts w:hint="eastAsia"/>
          <w:sz w:val="22"/>
        </w:rPr>
        <w:t>的规定，供应商提供的产品符合本国产品标准的</w:t>
      </w:r>
      <w:r>
        <w:rPr>
          <w:sz w:val="22"/>
        </w:rPr>
        <w:t>，应提供《关于符合本国产品标准的声明函》（具体格式见“投标文件格式”）或财政部会同有关部门规定的有关证明文件，出具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14:paraId="43C68DD4">
      <w:pPr>
        <w:ind w:firstLine="440" w:firstLineChars="200"/>
        <w:rPr>
          <w:sz w:val="22"/>
        </w:rPr>
      </w:pPr>
      <w:r>
        <w:rPr>
          <w:rFonts w:hint="eastAsia"/>
          <w:sz w:val="22"/>
        </w:rPr>
        <w:t>19.2政府采购活动中既有本国产品又有非本国产品参与竞争的，依法对本国产品给予价格评审优惠，对本国产品的报价给予20%的价格扣除，用扣除后的价格参与评审。</w:t>
      </w:r>
    </w:p>
    <w:p w14:paraId="38DCB57E">
      <w:pPr>
        <w:ind w:firstLine="440" w:firstLineChars="20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全部产品是指本项目或本包件中包含的全部货物、服务产品，产品成本以相关会计核算数据、采购合同、进货记录等为基础进行计算。</w:t>
      </w:r>
    </w:p>
    <w:p w14:paraId="0A2EF9AE">
      <w:pPr>
        <w:ind w:firstLine="440" w:firstLineChars="200"/>
        <w:rPr>
          <w:sz w:val="22"/>
        </w:rPr>
      </w:pPr>
      <w:r>
        <w:rPr>
          <w:rFonts w:hint="eastAsia"/>
          <w:sz w:val="22"/>
        </w:rPr>
        <w:t>19.3供应商提供虚假《关于符合本国产品标准的声明函》、虚假证明文件谋取中标、成交的，依照《中华人民共和国政府采购法》等法律法规规定追究相应责任。</w:t>
      </w:r>
    </w:p>
    <w:p w14:paraId="1EA40F12">
      <w:pPr>
        <w:adjustRightInd w:val="0"/>
        <w:snapToGrid w:val="0"/>
        <w:ind w:firstLine="442" w:firstLineChars="200"/>
        <w:outlineLvl w:val="2"/>
        <w:rPr>
          <w:b/>
          <w:sz w:val="22"/>
        </w:rPr>
      </w:pPr>
      <w:bookmarkStart w:id="48" w:name="_Toc240291164"/>
      <w:r>
        <w:rPr>
          <w:b/>
          <w:sz w:val="22"/>
        </w:rPr>
        <w:t>20 支持监狱企业发展</w:t>
      </w:r>
      <w:r>
        <w:rPr>
          <w:rFonts w:hint="eastAsia"/>
          <w:sz w:val="22"/>
        </w:rPr>
        <w:t>（注：仅监狱企业适用）</w:t>
      </w:r>
      <w:bookmarkEnd w:id="48"/>
    </w:p>
    <w:p w14:paraId="6B50D062">
      <w:pPr>
        <w:adjustRightInd w:val="0"/>
        <w:snapToGrid w:val="0"/>
        <w:ind w:firstLine="440" w:firstLineChars="200"/>
        <w:rPr>
          <w:sz w:val="22"/>
        </w:rPr>
      </w:pPr>
      <w:r>
        <w:rPr>
          <w:sz w:val="22"/>
        </w:rPr>
        <w:t>20.1 按照国家财政部、司法部《关于政府采购支持监狱企业发展有关问题的通知》（财库〔2014〕68号）规定，在政府采购活动中，监狱企业视同小型、微型企业，享受预留份额、评审中价格扣除等政府采购促进中小企业发展的政府采购政策。</w:t>
      </w:r>
    </w:p>
    <w:p w14:paraId="0F43AB39">
      <w:pPr>
        <w:adjustRightInd w:val="0"/>
        <w:snapToGrid w:val="0"/>
        <w:ind w:firstLine="440" w:firstLineChars="200"/>
        <w:rPr>
          <w:sz w:val="22"/>
        </w:rPr>
      </w:pPr>
      <w:r>
        <w:rPr>
          <w:sz w:val="22"/>
        </w:rPr>
        <w:t>20.2 监狱企业参加政府采购活动时，应当提供由省级以上监狱管理局、戒毒管理局（含新疆生产建设兵团）出具的属于监狱企业的证明文件。</w:t>
      </w:r>
    </w:p>
    <w:p w14:paraId="41C6F1E9">
      <w:pPr>
        <w:adjustRightInd w:val="0"/>
        <w:snapToGrid w:val="0"/>
        <w:ind w:firstLine="442" w:firstLineChars="200"/>
        <w:outlineLvl w:val="2"/>
        <w:rPr>
          <w:b/>
          <w:sz w:val="22"/>
        </w:rPr>
      </w:pPr>
      <w:bookmarkStart w:id="49" w:name="_Toc240291165"/>
      <w:r>
        <w:rPr>
          <w:b/>
          <w:sz w:val="22"/>
        </w:rPr>
        <w:t>21促进残疾人就业</w:t>
      </w:r>
      <w:r>
        <w:rPr>
          <w:rFonts w:hint="eastAsia"/>
          <w:sz w:val="22"/>
        </w:rPr>
        <w:t>（注：仅残疾人福利单位适用）</w:t>
      </w:r>
      <w:bookmarkEnd w:id="49"/>
    </w:p>
    <w:p w14:paraId="0C530817">
      <w:pPr>
        <w:adjustRightInd w:val="0"/>
        <w:snapToGrid w:val="0"/>
        <w:ind w:firstLine="440" w:firstLineChars="200"/>
        <w:rPr>
          <w:sz w:val="22"/>
        </w:rPr>
      </w:pPr>
      <w:r>
        <w:rPr>
          <w:sz w:val="22"/>
        </w:rPr>
        <w:t>21.1 符合财库〔2017〕141号文中所示条件的残疾人福利性单位视同小型、微型企业，享受促进中小企业发展的政府采购政策。残疾人福利性单位属于小型、微型企业的，不重复享受政策。</w:t>
      </w:r>
    </w:p>
    <w:p w14:paraId="3A9A4ECC">
      <w:pPr>
        <w:adjustRightInd w:val="0"/>
        <w:snapToGrid w:val="0"/>
        <w:ind w:firstLine="440" w:firstLineChars="200"/>
        <w:rPr>
          <w:sz w:val="22"/>
        </w:rPr>
      </w:pPr>
      <w:r>
        <w:rPr>
          <w:sz w:val="22"/>
        </w:rPr>
        <w:t>21.2残疾人福利性单位在参加政府采购活动时，应当按财库〔2017〕141号规定的《残疾人福利性单位声明函》（具体格式详见“投标文件格式”），并对声明的真实性负责。</w:t>
      </w:r>
    </w:p>
    <w:p w14:paraId="64B1CE5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swiss"/>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7A4890"/>
    <w:rsid w:val="0C7A4890"/>
    <w:rsid w:val="2CB328FF"/>
    <w:rsid w:val="313B0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character" w:customStyle="1" w:styleId="5">
    <w:name w:val="navname"/>
    <w:basedOn w:val="4"/>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2226</Words>
  <Characters>2494</Characters>
  <Lines>0</Lines>
  <Paragraphs>0</Paragraphs>
  <TotalTime>0</TotalTime>
  <ScaleCrop>false</ScaleCrop>
  <LinksUpToDate>false</LinksUpToDate>
  <CharactersWithSpaces>2553</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2026-09-14T07:29:00Z</dcterms:created>
  <dc:creator>ㅤ</dc:creator>
  <cp:lastModifiedBy>ㅤ</cp:lastModifiedBy>
  <dcterms:modified xsi:type="dcterms:W3CDTF">2026-09-14T08:59:35Z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02648932AE134FA1B898693879D91E3F_11</vt:lpwstr>
  </property>
  <property fmtid="{D5CDD505-2E9C-101B-9397-08002B2CF9AE}" pid="4" name="KSOTemplateDocerSaveRecord">
    <vt:lpwstr>eyJoZGlkIjoiZWQ0ZTc2ZWQ3YTQzNDdjN2I2NThiODgwMjc0ZTU5YWIiLCJ1c2VySWQiOiIxMDgzODI0OTI5In0=</vt:lpwstr>
  </property>
</Properties>
</file>