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00C" w:rsidRDefault="0096400C" w:rsidP="0096400C">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235104095"/>
      <w:r>
        <w:rPr>
          <w:rFonts w:ascii="Times New Roman" w:eastAsia="黑体" w:hAnsi="Times New Roman" w:cs="Times New Roman"/>
          <w:color w:val="000000"/>
          <w:sz w:val="30"/>
          <w:szCs w:val="30"/>
        </w:rPr>
        <w:t>说明</w:t>
      </w:r>
      <w:bookmarkEnd w:id="0"/>
    </w:p>
    <w:p w:rsidR="0096400C" w:rsidRDefault="0096400C" w:rsidP="0096400C">
      <w:pPr>
        <w:spacing w:line="300" w:lineRule="auto"/>
        <w:ind w:firstLineChars="192" w:firstLine="424"/>
        <w:outlineLvl w:val="2"/>
        <w:rPr>
          <w:rFonts w:ascii="Times New Roman" w:hAnsi="Times New Roman" w:cs="Times New Roman"/>
          <w:b/>
          <w:sz w:val="22"/>
        </w:rPr>
      </w:pPr>
      <w:bookmarkStart w:id="1" w:name="_Toc235104096"/>
      <w:r>
        <w:rPr>
          <w:rFonts w:ascii="Times New Roman" w:hAnsi="Times New Roman" w:cs="Times New Roman"/>
          <w:b/>
          <w:sz w:val="22"/>
        </w:rPr>
        <w:t xml:space="preserve">1 </w:t>
      </w:r>
      <w:r>
        <w:rPr>
          <w:rFonts w:ascii="Times New Roman" w:hAnsi="Times New Roman" w:cs="Times New Roman"/>
          <w:b/>
          <w:sz w:val="22"/>
        </w:rPr>
        <w:t>总则</w:t>
      </w:r>
      <w:bookmarkEnd w:id="1"/>
    </w:p>
    <w:p w:rsidR="0096400C" w:rsidRDefault="0096400C" w:rsidP="0096400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96400C" w:rsidRDefault="0096400C" w:rsidP="0096400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96400C" w:rsidRDefault="0096400C" w:rsidP="0096400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96400C" w:rsidRDefault="0096400C" w:rsidP="0096400C">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96400C" w:rsidRDefault="0096400C" w:rsidP="0096400C">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96400C" w:rsidRDefault="0096400C" w:rsidP="0096400C">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6</w:t>
      </w:r>
      <w:r>
        <w:rPr>
          <w:rFonts w:hint="eastAsia"/>
          <w:color w:val="FF0000"/>
          <w:sz w:val="22"/>
        </w:rPr>
        <w:t>投标人提供的服务必须符合国家强制性标准。</w:t>
      </w:r>
    </w:p>
    <w:p w:rsidR="0096400C" w:rsidRDefault="0096400C" w:rsidP="0096400C">
      <w:pPr>
        <w:spacing w:line="300" w:lineRule="auto"/>
        <w:rPr>
          <w:rFonts w:ascii="Times New Roman" w:hAnsi="Times New Roman" w:cs="Times New Roman"/>
          <w:color w:val="FF0000"/>
          <w:sz w:val="22"/>
        </w:rPr>
      </w:pPr>
    </w:p>
    <w:p w:rsidR="0096400C" w:rsidRDefault="0096400C" w:rsidP="0096400C">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235104097"/>
      <w:r>
        <w:rPr>
          <w:rFonts w:ascii="Times New Roman" w:eastAsia="黑体" w:hAnsi="Times New Roman" w:cs="Times New Roman"/>
          <w:color w:val="000000"/>
          <w:sz w:val="30"/>
          <w:szCs w:val="30"/>
        </w:rPr>
        <w:t>二、项目概况</w:t>
      </w:r>
      <w:bookmarkEnd w:id="2"/>
      <w:bookmarkEnd w:id="3"/>
    </w:p>
    <w:p w:rsidR="0096400C" w:rsidRDefault="0096400C" w:rsidP="0096400C">
      <w:pPr>
        <w:spacing w:line="300" w:lineRule="auto"/>
        <w:ind w:firstLineChars="192" w:firstLine="424"/>
        <w:outlineLvl w:val="2"/>
        <w:rPr>
          <w:rFonts w:ascii="Times New Roman" w:hAnsi="Times New Roman" w:cs="Times New Roman"/>
          <w:b/>
          <w:sz w:val="22"/>
        </w:rPr>
      </w:pPr>
      <w:bookmarkStart w:id="4" w:name="_Toc235104098"/>
      <w:r>
        <w:rPr>
          <w:rFonts w:ascii="Times New Roman" w:hAnsi="Times New Roman" w:cs="Times New Roman"/>
          <w:b/>
          <w:sz w:val="22"/>
        </w:rPr>
        <w:t xml:space="preserve">2 </w:t>
      </w:r>
      <w:r>
        <w:rPr>
          <w:rFonts w:ascii="Times New Roman" w:hAnsi="Times New Roman" w:cs="Times New Roman"/>
          <w:b/>
          <w:sz w:val="22"/>
        </w:rPr>
        <w:t>项目名称</w:t>
      </w:r>
      <w:bookmarkEnd w:id="4"/>
    </w:p>
    <w:p w:rsidR="0096400C" w:rsidRDefault="0096400C" w:rsidP="0096400C">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96400C" w:rsidRDefault="0096400C" w:rsidP="0096400C">
      <w:pPr>
        <w:spacing w:line="300" w:lineRule="auto"/>
        <w:ind w:firstLineChars="192" w:firstLine="424"/>
        <w:outlineLvl w:val="2"/>
        <w:rPr>
          <w:rFonts w:ascii="Times New Roman" w:hAnsi="Times New Roman" w:cs="Times New Roman"/>
          <w:b/>
          <w:sz w:val="22"/>
        </w:rPr>
      </w:pPr>
      <w:bookmarkStart w:id="5" w:name="_Toc235104099"/>
      <w:r>
        <w:rPr>
          <w:rFonts w:ascii="Times New Roman" w:hAnsi="Times New Roman" w:cs="Times New Roman"/>
          <w:b/>
          <w:sz w:val="22"/>
        </w:rPr>
        <w:t xml:space="preserve">3 </w:t>
      </w:r>
      <w:r>
        <w:rPr>
          <w:rFonts w:ascii="Times New Roman" w:hAnsi="Times New Roman" w:cs="Times New Roman"/>
          <w:b/>
          <w:sz w:val="22"/>
        </w:rPr>
        <w:t>项目地点</w:t>
      </w:r>
      <w:bookmarkEnd w:id="5"/>
    </w:p>
    <w:p w:rsidR="0096400C" w:rsidRDefault="0096400C" w:rsidP="0096400C">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96400C" w:rsidRDefault="0096400C" w:rsidP="0096400C">
      <w:pPr>
        <w:spacing w:line="300" w:lineRule="auto"/>
        <w:ind w:firstLineChars="192" w:firstLine="424"/>
        <w:outlineLvl w:val="2"/>
        <w:rPr>
          <w:rFonts w:ascii="Times New Roman" w:hAnsi="Times New Roman" w:cs="Times New Roman"/>
          <w:b/>
          <w:sz w:val="22"/>
        </w:rPr>
      </w:pPr>
      <w:bookmarkStart w:id="6" w:name="_Toc235104100"/>
      <w:r>
        <w:rPr>
          <w:rFonts w:ascii="Times New Roman" w:hAnsi="Times New Roman" w:cs="Times New Roman"/>
          <w:b/>
          <w:sz w:val="22"/>
        </w:rPr>
        <w:t xml:space="preserve">4 </w:t>
      </w:r>
      <w:r>
        <w:rPr>
          <w:rFonts w:ascii="Times New Roman" w:hAnsi="Times New Roman" w:cs="Times New Roman"/>
          <w:b/>
          <w:sz w:val="22"/>
        </w:rPr>
        <w:t>招标范围与内容</w:t>
      </w:r>
      <w:bookmarkEnd w:id="6"/>
    </w:p>
    <w:p w:rsidR="0096400C" w:rsidRDefault="0096400C" w:rsidP="0096400C">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4.1 </w:t>
      </w:r>
      <w:r>
        <w:rPr>
          <w:rFonts w:ascii="Times New Roman" w:hAnsi="Times New Roman" w:cs="Times New Roman"/>
          <w:sz w:val="22"/>
        </w:rPr>
        <w:t>项目背景及现状</w:t>
      </w:r>
    </w:p>
    <w:p w:rsidR="0096400C" w:rsidRPr="0046491A" w:rsidRDefault="0096400C" w:rsidP="0096400C">
      <w:pPr>
        <w:tabs>
          <w:tab w:val="left" w:pos="840"/>
        </w:tabs>
        <w:spacing w:line="300" w:lineRule="auto"/>
        <w:ind w:firstLineChars="192" w:firstLine="422"/>
        <w:rPr>
          <w:rFonts w:ascii="Times New Roman" w:hAnsi="Times New Roman" w:cs="Times New Roman"/>
          <w:sz w:val="22"/>
        </w:rPr>
      </w:pPr>
      <w:r w:rsidRPr="0046491A">
        <w:rPr>
          <w:rFonts w:ascii="Times New Roman" w:hAnsi="Times New Roman" w:cs="Times New Roman" w:hint="eastAsia"/>
          <w:sz w:val="22"/>
        </w:rPr>
        <w:t>上海市浦东新区血站承担浦东新区辖区内的血液采集、初筛检测、制备与供应职能。血液采集服务覆盖浦东新区范围内本地户籍居民、外来常住人口及流动献血人群中符合献血条件的适龄人员；血液供应覆盖辖区内各医疗机构。</w:t>
      </w:r>
      <w:r w:rsidRPr="0046491A">
        <w:rPr>
          <w:rFonts w:ascii="Times New Roman" w:hAnsi="Times New Roman" w:cs="Times New Roman" w:hint="eastAsia"/>
          <w:sz w:val="22"/>
        </w:rPr>
        <w:t>2025</w:t>
      </w:r>
      <w:r w:rsidRPr="0046491A">
        <w:rPr>
          <w:rFonts w:ascii="Times New Roman" w:hAnsi="Times New Roman" w:cs="Times New Roman" w:hint="eastAsia"/>
          <w:sz w:val="22"/>
        </w:rPr>
        <w:t>年新区全血献血量</w:t>
      </w:r>
      <w:r w:rsidRPr="0046491A">
        <w:rPr>
          <w:rFonts w:ascii="Times New Roman" w:hAnsi="Times New Roman" w:cs="Times New Roman" w:hint="eastAsia"/>
          <w:sz w:val="22"/>
        </w:rPr>
        <w:t>58048</w:t>
      </w:r>
      <w:r w:rsidRPr="0046491A">
        <w:rPr>
          <w:rFonts w:ascii="Times New Roman" w:hAnsi="Times New Roman" w:cs="Times New Roman" w:hint="eastAsia"/>
          <w:sz w:val="22"/>
        </w:rPr>
        <w:t>单位，单采血小板</w:t>
      </w:r>
      <w:r w:rsidRPr="0046491A">
        <w:rPr>
          <w:rFonts w:ascii="Times New Roman" w:hAnsi="Times New Roman" w:cs="Times New Roman" w:hint="eastAsia"/>
          <w:sz w:val="22"/>
        </w:rPr>
        <w:t>739</w:t>
      </w:r>
      <w:r w:rsidRPr="0046491A">
        <w:rPr>
          <w:rFonts w:ascii="Times New Roman" w:hAnsi="Times New Roman" w:cs="Times New Roman" w:hint="eastAsia"/>
          <w:sz w:val="22"/>
        </w:rPr>
        <w:t>单位，临床供血</w:t>
      </w:r>
      <w:r w:rsidRPr="0046491A">
        <w:rPr>
          <w:rFonts w:ascii="Times New Roman" w:hAnsi="Times New Roman" w:cs="Times New Roman" w:hint="eastAsia"/>
          <w:sz w:val="22"/>
        </w:rPr>
        <w:t>113089</w:t>
      </w:r>
      <w:r w:rsidRPr="0046491A">
        <w:rPr>
          <w:rFonts w:ascii="Times New Roman" w:hAnsi="Times New Roman" w:cs="Times New Roman" w:hint="eastAsia"/>
          <w:sz w:val="22"/>
        </w:rPr>
        <w:t>单位，为区域内临床用血需求提供稳定、可靠保障。</w:t>
      </w:r>
    </w:p>
    <w:p w:rsidR="0096400C" w:rsidRPr="00946293" w:rsidRDefault="0096400C" w:rsidP="0096400C">
      <w:pPr>
        <w:tabs>
          <w:tab w:val="left" w:pos="840"/>
        </w:tabs>
        <w:spacing w:line="300" w:lineRule="auto"/>
        <w:ind w:firstLineChars="192" w:firstLine="422"/>
        <w:rPr>
          <w:rFonts w:ascii="Times New Roman" w:hAnsi="Times New Roman" w:cs="Times New Roman"/>
          <w:sz w:val="22"/>
        </w:rPr>
      </w:pPr>
      <w:r w:rsidRPr="0046491A">
        <w:rPr>
          <w:rFonts w:ascii="Times New Roman" w:hAnsi="Times New Roman" w:cs="Times New Roman" w:hint="eastAsia"/>
          <w:sz w:val="22"/>
        </w:rPr>
        <w:t>为进一步防控采供血风险，切实保障献血者、用血者在血液采集、制备、供应环节中的风险，维护采供血工作的正常秩序，实现保障采供血事业高质量发展的宗旨，现拟通过公开招标的方式，选择合格的单位提</w:t>
      </w:r>
      <w:proofErr w:type="gramStart"/>
      <w:r w:rsidRPr="0046491A">
        <w:rPr>
          <w:rFonts w:ascii="Times New Roman" w:hAnsi="Times New Roman" w:cs="Times New Roman" w:hint="eastAsia"/>
          <w:sz w:val="22"/>
        </w:rPr>
        <w:t>供血站采供血</w:t>
      </w:r>
      <w:proofErr w:type="gramEnd"/>
      <w:r w:rsidRPr="0046491A">
        <w:rPr>
          <w:rFonts w:ascii="Times New Roman" w:hAnsi="Times New Roman" w:cs="Times New Roman" w:hint="eastAsia"/>
          <w:sz w:val="22"/>
        </w:rPr>
        <w:t>责任保险服务</w:t>
      </w:r>
      <w:r>
        <w:rPr>
          <w:rFonts w:ascii="Times New Roman" w:hAnsi="Times New Roman" w:cs="Times New Roman" w:hint="eastAsia"/>
          <w:sz w:val="22"/>
        </w:rPr>
        <w:t>。</w:t>
      </w:r>
    </w:p>
    <w:p w:rsidR="0096400C" w:rsidRDefault="0096400C" w:rsidP="0096400C">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4.2 </w:t>
      </w:r>
      <w:r>
        <w:rPr>
          <w:rFonts w:ascii="Times New Roman" w:hAnsi="Times New Roman" w:cs="Times New Roman"/>
          <w:sz w:val="22"/>
        </w:rPr>
        <w:t>项目招标范围及内容</w:t>
      </w:r>
    </w:p>
    <w:p w:rsidR="0096400C" w:rsidRDefault="0096400C" w:rsidP="0096400C">
      <w:pPr>
        <w:spacing w:line="300" w:lineRule="auto"/>
        <w:ind w:firstLineChars="192" w:firstLine="422"/>
        <w:rPr>
          <w:rFonts w:ascii="Times New Roman" w:hAnsi="Times New Roman" w:cs="Times New Roman"/>
          <w:sz w:val="22"/>
        </w:rPr>
      </w:pPr>
      <w:r w:rsidRPr="0046491A">
        <w:rPr>
          <w:rFonts w:ascii="Times New Roman" w:hAnsi="Times New Roman" w:cs="Times New Roman" w:hint="eastAsia"/>
          <w:sz w:val="22"/>
        </w:rPr>
        <w:t>血站采供血责任保险是保险期限（或追溯期）内，被保险人在血液采集、制备、供应环节中，因过失导致献血者人身损害（含采血操作意外、站内留观期间意外人身伤害、采血后血肿及献血相关并发症等情形）或用血者人身损害</w:t>
      </w:r>
      <w:r w:rsidRPr="008C6311">
        <w:rPr>
          <w:rFonts w:ascii="Times New Roman" w:hAnsi="Times New Roman" w:cs="Times New Roman" w:hint="eastAsia"/>
          <w:sz w:val="22"/>
        </w:rPr>
        <w:t>（包括感染丙肝、艾滋病等经</w:t>
      </w:r>
      <w:r w:rsidRPr="0046491A">
        <w:rPr>
          <w:rFonts w:ascii="Times New Roman" w:hAnsi="Times New Roman" w:cs="Times New Roman" w:hint="eastAsia"/>
          <w:sz w:val="22"/>
        </w:rPr>
        <w:t>血液传播的传染性疾病），在保险期限内，由献血者或用血者首次向被保险人提出索赔</w:t>
      </w:r>
      <w:r w:rsidRPr="0046491A">
        <w:rPr>
          <w:rFonts w:ascii="Times New Roman" w:hAnsi="Times New Roman" w:cs="Times New Roman" w:hint="eastAsia"/>
          <w:sz w:val="22"/>
        </w:rPr>
        <w:lastRenderedPageBreak/>
        <w:t>申请，依法应由被保险人承担赔偿责任时，保险人负责赔偿</w:t>
      </w:r>
      <w:r w:rsidRPr="00946293">
        <w:rPr>
          <w:rFonts w:ascii="Times New Roman" w:hAnsi="Times New Roman" w:cs="Times New Roman" w:hint="eastAsia"/>
          <w:sz w:val="22"/>
        </w:rPr>
        <w:t>。</w:t>
      </w:r>
    </w:p>
    <w:p w:rsidR="0096400C" w:rsidRDefault="0096400C" w:rsidP="0096400C">
      <w:pPr>
        <w:spacing w:line="300" w:lineRule="auto"/>
        <w:ind w:firstLineChars="192" w:firstLine="422"/>
        <w:rPr>
          <w:rFonts w:ascii="Times New Roman" w:hAnsi="Times New Roman" w:cs="Times New Roman"/>
          <w:bCs/>
          <w:sz w:val="22"/>
        </w:rPr>
      </w:pPr>
      <w:r>
        <w:rPr>
          <w:rFonts w:ascii="Times New Roman" w:hAnsi="Times New Roman" w:cs="Times New Roman"/>
          <w:sz w:val="22"/>
        </w:rPr>
        <w:t xml:space="preserve">4.3 </w:t>
      </w:r>
      <w:r>
        <w:rPr>
          <w:rFonts w:ascii="Times New Roman" w:hAnsi="Times New Roman" w:cs="Times New Roman"/>
          <w:sz w:val="22"/>
        </w:rPr>
        <w:t>本项目服务期限为</w:t>
      </w:r>
      <w:r>
        <w:rPr>
          <w:rFonts w:ascii="Times New Roman" w:hAnsi="Times New Roman" w:cs="Times New Roman" w:hint="eastAsia"/>
          <w:bCs/>
          <w:color w:val="FF0000"/>
          <w:sz w:val="22"/>
        </w:rPr>
        <w:t>1</w:t>
      </w:r>
      <w:r>
        <w:rPr>
          <w:rFonts w:ascii="Times New Roman" w:hAnsi="Times New Roman" w:cs="Times New Roman"/>
          <w:bCs/>
          <w:sz w:val="22"/>
        </w:rPr>
        <w:t>年。</w:t>
      </w:r>
    </w:p>
    <w:p w:rsidR="0096400C" w:rsidRPr="00946293" w:rsidRDefault="0096400C" w:rsidP="0096400C">
      <w:pPr>
        <w:spacing w:line="300" w:lineRule="auto"/>
        <w:ind w:firstLineChars="192" w:firstLine="424"/>
        <w:outlineLvl w:val="2"/>
        <w:rPr>
          <w:rFonts w:ascii="Times New Roman" w:hAnsi="Times New Roman" w:cs="Times New Roman"/>
          <w:b/>
          <w:sz w:val="22"/>
        </w:rPr>
      </w:pPr>
      <w:bookmarkStart w:id="7" w:name="_Toc235104101"/>
      <w:r>
        <w:rPr>
          <w:rFonts w:ascii="Times New Roman" w:hAnsi="Times New Roman" w:cs="Times New Roman"/>
          <w:b/>
          <w:sz w:val="22"/>
        </w:rPr>
        <w:t xml:space="preserve">5 </w:t>
      </w:r>
      <w:r>
        <w:rPr>
          <w:rFonts w:ascii="Times New Roman" w:hAnsi="Times New Roman" w:cs="Times New Roman"/>
          <w:b/>
          <w:sz w:val="22"/>
        </w:rPr>
        <w:t>承包方式</w:t>
      </w:r>
      <w:bookmarkEnd w:id="7"/>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5.1</w:t>
      </w:r>
      <w:r>
        <w:rPr>
          <w:rFonts w:ascii="Times New Roman" w:hAnsi="Times New Roman" w:cs="Times New Roman"/>
          <w:sz w:val="22"/>
        </w:rPr>
        <w:t>依照本项目的招标范围和内容，中标人以</w:t>
      </w:r>
      <w:r>
        <w:rPr>
          <w:rFonts w:hint="eastAsia"/>
          <w:sz w:val="22"/>
        </w:rPr>
        <w:t>保质保量方式承包</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96400C" w:rsidRDefault="0096400C" w:rsidP="0096400C">
      <w:pPr>
        <w:spacing w:line="300" w:lineRule="auto"/>
        <w:ind w:firstLineChars="192" w:firstLine="424"/>
        <w:outlineLvl w:val="2"/>
        <w:rPr>
          <w:rFonts w:ascii="Times New Roman" w:hAnsi="Times New Roman" w:cs="Times New Roman"/>
          <w:b/>
          <w:sz w:val="22"/>
        </w:rPr>
      </w:pPr>
      <w:bookmarkStart w:id="8" w:name="_Toc235104102"/>
      <w:r>
        <w:rPr>
          <w:rFonts w:ascii="Times New Roman" w:hAnsi="Times New Roman" w:cs="Times New Roman"/>
          <w:b/>
          <w:sz w:val="22"/>
        </w:rPr>
        <w:t xml:space="preserve">6 </w:t>
      </w:r>
      <w:r>
        <w:rPr>
          <w:rFonts w:ascii="Times New Roman" w:hAnsi="Times New Roman" w:cs="Times New Roman"/>
          <w:b/>
          <w:sz w:val="22"/>
        </w:rPr>
        <w:t>合同签订方式</w:t>
      </w:r>
      <w:bookmarkEnd w:id="8"/>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96400C" w:rsidRDefault="0096400C" w:rsidP="0096400C">
      <w:pPr>
        <w:spacing w:line="300" w:lineRule="auto"/>
        <w:ind w:firstLineChars="192" w:firstLine="424"/>
        <w:outlineLvl w:val="2"/>
        <w:rPr>
          <w:rFonts w:ascii="Times New Roman" w:hAnsi="Times New Roman" w:cs="Times New Roman"/>
          <w:b/>
          <w:sz w:val="22"/>
        </w:rPr>
      </w:pPr>
      <w:bookmarkStart w:id="9" w:name="_Toc235104103"/>
      <w:r>
        <w:rPr>
          <w:rFonts w:ascii="Times New Roman" w:hAnsi="Times New Roman" w:cs="Times New Roman"/>
          <w:b/>
          <w:sz w:val="22"/>
        </w:rPr>
        <w:t xml:space="preserve">7 </w:t>
      </w:r>
      <w:r>
        <w:rPr>
          <w:rFonts w:ascii="Times New Roman" w:hAnsi="Times New Roman" w:cs="Times New Roman"/>
          <w:b/>
          <w:sz w:val="22"/>
        </w:rPr>
        <w:t>结算原则和支付方式</w:t>
      </w:r>
      <w:bookmarkEnd w:id="9"/>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96400C" w:rsidRPr="000041F8"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7.1.1</w:t>
      </w:r>
      <w:r>
        <w:rPr>
          <w:rFonts w:ascii="Times New Roman" w:hAnsi="Times New Roman" w:cs="Times New Roman"/>
          <w:sz w:val="22"/>
        </w:rPr>
        <w:t>本项目合同总价不变，采购人不会因政策性调价、人工成本、材料、设备使用年限增长引起的维修成本增加和效能衰减等因素（不可抗力除外）的变动而进行调整。</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hint="eastAsia"/>
          <w:b/>
          <w:color w:val="FF0000"/>
          <w:sz w:val="22"/>
          <w:u w:val="single"/>
        </w:rPr>
        <w:t>分期付款的</w:t>
      </w:r>
      <w:r>
        <w:rPr>
          <w:rFonts w:ascii="Times New Roman" w:hAnsi="Times New Roman" w:cs="Times New Roman"/>
          <w:sz w:val="22"/>
        </w:rPr>
        <w:t>方式，在采购人和中标人合同签订后，按下款要求支付相应的合同款项。</w:t>
      </w:r>
    </w:p>
    <w:p w:rsidR="0096400C" w:rsidRDefault="0096400C" w:rsidP="0096400C">
      <w:pPr>
        <w:pStyle w:val="a4"/>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w:t>
      </w:r>
      <w:r>
        <w:rPr>
          <w:rFonts w:ascii="Times New Roman" w:hAnsi="Times New Roman" w:cs="Times New Roman" w:hint="eastAsia"/>
          <w:sz w:val="22"/>
        </w:rPr>
        <w:t>2026</w:t>
      </w:r>
      <w:r>
        <w:rPr>
          <w:rFonts w:ascii="Times New Roman" w:hAnsi="Times New Roman" w:cs="Times New Roman" w:hint="eastAsia"/>
          <w:sz w:val="22"/>
        </w:rPr>
        <w:t>年</w:t>
      </w:r>
      <w:r>
        <w:rPr>
          <w:rFonts w:ascii="Times New Roman" w:hAnsi="Times New Roman" w:cs="Times New Roman" w:hint="eastAsia"/>
          <w:sz w:val="22"/>
        </w:rPr>
        <w:t>12</w:t>
      </w:r>
      <w:r>
        <w:rPr>
          <w:rFonts w:ascii="Times New Roman" w:hAnsi="Times New Roman" w:cs="Times New Roman" w:hint="eastAsia"/>
          <w:sz w:val="22"/>
        </w:rPr>
        <w:t>月底前，采购人向中标人支付</w:t>
      </w:r>
      <w:r>
        <w:rPr>
          <w:rFonts w:ascii="Times New Roman" w:hAnsi="Times New Roman" w:cs="Times New Roman" w:hint="eastAsia"/>
          <w:sz w:val="22"/>
        </w:rPr>
        <w:t>32.5</w:t>
      </w:r>
      <w:r>
        <w:rPr>
          <w:rFonts w:ascii="Times New Roman" w:hAnsi="Times New Roman" w:cs="Times New Roman" w:hint="eastAsia"/>
          <w:sz w:val="22"/>
        </w:rPr>
        <w:t>万元。</w:t>
      </w:r>
    </w:p>
    <w:p w:rsidR="0096400C" w:rsidRDefault="0096400C" w:rsidP="0096400C">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w:t>
      </w:r>
      <w:r>
        <w:rPr>
          <w:rFonts w:ascii="Times New Roman" w:hAnsi="Times New Roman" w:cs="Times New Roman"/>
          <w:sz w:val="22"/>
        </w:rPr>
        <w:t>项目整体完成并经验收合格后，且采购人收到</w:t>
      </w:r>
      <w:r>
        <w:rPr>
          <w:rFonts w:ascii="Times New Roman" w:hAnsi="Times New Roman" w:cs="Times New Roman" w:hint="eastAsia"/>
          <w:sz w:val="22"/>
        </w:rPr>
        <w:t>正规</w:t>
      </w:r>
      <w:r>
        <w:rPr>
          <w:rFonts w:ascii="Times New Roman" w:hAnsi="Times New Roman" w:cs="Times New Roman"/>
          <w:sz w:val="22"/>
        </w:rPr>
        <w:t>发票后</w:t>
      </w:r>
      <w:r>
        <w:rPr>
          <w:rFonts w:ascii="Times New Roman" w:hAnsi="Times New Roman" w:cs="Times New Roman" w:hint="eastAsia"/>
          <w:color w:val="FF0000"/>
          <w:sz w:val="22"/>
          <w:u w:val="single"/>
        </w:rPr>
        <w:t>30</w:t>
      </w:r>
      <w:r>
        <w:rPr>
          <w:rFonts w:ascii="Times New Roman" w:hAnsi="Times New Roman" w:cs="Times New Roman" w:hint="eastAsia"/>
          <w:color w:val="FF0000"/>
          <w:sz w:val="22"/>
          <w:u w:val="single"/>
        </w:rPr>
        <w:t>个工作</w:t>
      </w:r>
      <w:r>
        <w:rPr>
          <w:rFonts w:ascii="Times New Roman" w:hAnsi="Times New Roman" w:cs="Times New Roman"/>
          <w:sz w:val="22"/>
        </w:rPr>
        <w:t>日内，支付</w:t>
      </w:r>
      <w:r>
        <w:rPr>
          <w:rFonts w:ascii="Times New Roman" w:hAnsi="Times New Roman" w:cs="Times New Roman" w:hint="eastAsia"/>
          <w:sz w:val="22"/>
        </w:rPr>
        <w:t>剩余</w:t>
      </w:r>
      <w:r>
        <w:rPr>
          <w:rFonts w:ascii="Times New Roman" w:hAnsi="Times New Roman" w:cs="Times New Roman"/>
          <w:sz w:val="22"/>
        </w:rPr>
        <w:t>合同金额。</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96400C" w:rsidRDefault="0096400C" w:rsidP="0096400C">
      <w:pPr>
        <w:snapToGrid w:val="0"/>
        <w:spacing w:line="360" w:lineRule="auto"/>
        <w:ind w:firstLineChars="200" w:firstLine="440"/>
        <w:jc w:val="left"/>
        <w:rPr>
          <w:color w:val="FF0000"/>
          <w:sz w:val="22"/>
        </w:rPr>
      </w:pPr>
      <w:r>
        <w:rPr>
          <w:rFonts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96400C" w:rsidRDefault="0096400C" w:rsidP="0096400C">
      <w:pPr>
        <w:pStyle w:val="a4"/>
        <w:spacing w:line="300" w:lineRule="auto"/>
        <w:ind w:firstLineChars="192" w:firstLine="422"/>
        <w:rPr>
          <w:rFonts w:ascii="Times New Roman" w:hAnsi="Times New Roman" w:cs="Times New Roman"/>
          <w:sz w:val="22"/>
        </w:rPr>
      </w:pPr>
    </w:p>
    <w:p w:rsidR="0096400C" w:rsidRDefault="0096400C" w:rsidP="0096400C">
      <w:pPr>
        <w:spacing w:line="300" w:lineRule="auto"/>
        <w:rPr>
          <w:rFonts w:ascii="Times New Roman" w:hAnsi="Times New Roman" w:cs="Times New Roman"/>
          <w:sz w:val="20"/>
          <w:szCs w:val="20"/>
        </w:rPr>
      </w:pPr>
    </w:p>
    <w:p w:rsidR="0096400C" w:rsidRDefault="0096400C" w:rsidP="0096400C">
      <w:pPr>
        <w:adjustRightInd w:val="0"/>
        <w:snapToGrid w:val="0"/>
        <w:spacing w:line="300" w:lineRule="auto"/>
        <w:jc w:val="center"/>
        <w:outlineLvl w:val="1"/>
        <w:rPr>
          <w:rFonts w:ascii="Times New Roman" w:eastAsia="黑体" w:hAnsi="Times New Roman" w:cs="Times New Roman"/>
          <w:color w:val="000000"/>
          <w:sz w:val="30"/>
          <w:szCs w:val="30"/>
        </w:rPr>
      </w:pPr>
      <w:bookmarkStart w:id="10" w:name="_Toc235104104"/>
      <w:r>
        <w:rPr>
          <w:rFonts w:ascii="Times New Roman" w:eastAsia="黑体" w:hAnsi="Times New Roman" w:cs="Times New Roman"/>
          <w:color w:val="000000"/>
          <w:sz w:val="30"/>
          <w:szCs w:val="30"/>
        </w:rPr>
        <w:t>三、技术质量要求</w:t>
      </w:r>
      <w:bookmarkEnd w:id="10"/>
    </w:p>
    <w:p w:rsidR="0096400C" w:rsidRDefault="0096400C" w:rsidP="0096400C">
      <w:pPr>
        <w:spacing w:line="300" w:lineRule="auto"/>
        <w:ind w:firstLineChars="192" w:firstLine="424"/>
        <w:outlineLvl w:val="2"/>
        <w:rPr>
          <w:rFonts w:ascii="Times New Roman" w:hAnsi="Times New Roman" w:cs="Times New Roman"/>
          <w:b/>
          <w:sz w:val="22"/>
        </w:rPr>
      </w:pPr>
      <w:bookmarkStart w:id="11" w:name="_Toc235104105"/>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1"/>
    </w:p>
    <w:p w:rsidR="0096400C" w:rsidRDefault="0096400C" w:rsidP="0096400C">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各投标人应充分注意，凡涉及国家或行业管理部门颁发的相关规范、规程标准，无论其是否在本招标文件中列明，中标人应无条件执行。标准、规范等不一致的，以要求高者为准。</w:t>
      </w:r>
    </w:p>
    <w:p w:rsidR="0096400C" w:rsidRDefault="0096400C" w:rsidP="0096400C">
      <w:pPr>
        <w:spacing w:line="300" w:lineRule="auto"/>
        <w:ind w:firstLineChars="192" w:firstLine="424"/>
        <w:outlineLvl w:val="2"/>
        <w:rPr>
          <w:rFonts w:ascii="Times New Roman" w:hAnsi="Times New Roman" w:cs="Times New Roman"/>
          <w:b/>
          <w:sz w:val="22"/>
        </w:rPr>
      </w:pPr>
      <w:bookmarkStart w:id="12" w:name="_Toc235104106"/>
      <w:r>
        <w:rPr>
          <w:rFonts w:ascii="Times New Roman" w:hAnsi="Times New Roman" w:cs="Times New Roman"/>
          <w:b/>
          <w:sz w:val="22"/>
        </w:rPr>
        <w:t xml:space="preserve">9 </w:t>
      </w:r>
      <w:r>
        <w:rPr>
          <w:rFonts w:ascii="Times New Roman" w:hAnsi="Times New Roman" w:cs="Times New Roman"/>
          <w:b/>
          <w:sz w:val="22"/>
        </w:rPr>
        <w:t>招标内容与质量要求</w:t>
      </w:r>
      <w:bookmarkEnd w:id="12"/>
    </w:p>
    <w:p w:rsidR="0096400C" w:rsidRDefault="0096400C" w:rsidP="0096400C">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9.1</w:t>
      </w:r>
      <w:r>
        <w:rPr>
          <w:rFonts w:ascii="Times New Roman" w:hAnsi="Times New Roman" w:cs="Times New Roman"/>
          <w:bCs/>
          <w:sz w:val="22"/>
        </w:rPr>
        <w:t>工作目标与总体要求</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9.2 </w:t>
      </w:r>
      <w:r>
        <w:rPr>
          <w:rFonts w:ascii="Times New Roman" w:hAnsi="Times New Roman" w:cs="Times New Roman"/>
          <w:sz w:val="22"/>
        </w:rPr>
        <w:t>本项目招标内容与具体质量要求（但不仅限于）详见下表。</w:t>
      </w:r>
    </w:p>
    <w:p w:rsidR="0096400C" w:rsidRDefault="0096400C" w:rsidP="0096400C">
      <w:pPr>
        <w:spacing w:line="300" w:lineRule="auto"/>
        <w:jc w:val="center"/>
        <w:rPr>
          <w:rFonts w:ascii="Times New Roman" w:hAnsi="Times New Roman" w:cs="Times New Roman"/>
          <w:b/>
          <w:sz w:val="22"/>
        </w:rPr>
      </w:pPr>
      <w:r>
        <w:rPr>
          <w:rFonts w:ascii="Times New Roman" w:hAnsi="Times New Roman" w:cs="Times New Roman"/>
          <w:b/>
          <w:sz w:val="22"/>
        </w:rPr>
        <w:t>服务内容一览表（工作量清单）</w:t>
      </w:r>
    </w:p>
    <w:p w:rsidR="0096400C" w:rsidRDefault="0096400C" w:rsidP="0096400C">
      <w:pPr>
        <w:spacing w:line="300" w:lineRule="auto"/>
        <w:rPr>
          <w:rFonts w:ascii="Times New Roman" w:hAnsi="Times New Roman" w:cs="Times New Roman"/>
          <w:sz w:val="22"/>
        </w:rPr>
      </w:pPr>
      <w:r>
        <w:rPr>
          <w:rFonts w:ascii="Times New Roman" w:hAnsi="Times New Roman" w:cs="Times New Roman"/>
          <w:sz w:val="22"/>
        </w:rPr>
        <w:t>包件：</w:t>
      </w:r>
    </w:p>
    <w:tbl>
      <w:tblPr>
        <w:tblStyle w:val="a3"/>
        <w:tblW w:w="9854" w:type="dxa"/>
        <w:jc w:val="center"/>
        <w:tblLayout w:type="fixed"/>
        <w:tblLook w:val="04A0" w:firstRow="1" w:lastRow="0" w:firstColumn="1" w:lastColumn="0" w:noHBand="0" w:noVBand="1"/>
      </w:tblPr>
      <w:tblGrid>
        <w:gridCol w:w="780"/>
        <w:gridCol w:w="1880"/>
        <w:gridCol w:w="6082"/>
        <w:gridCol w:w="1112"/>
      </w:tblGrid>
      <w:tr w:rsidR="0096400C" w:rsidTr="000E4F40">
        <w:trPr>
          <w:tblHeader/>
          <w:jc w:val="center"/>
        </w:trPr>
        <w:tc>
          <w:tcPr>
            <w:tcW w:w="780" w:type="dxa"/>
            <w:vAlign w:val="center"/>
          </w:tcPr>
          <w:p w:rsidR="0096400C" w:rsidRDefault="0096400C" w:rsidP="000E4F40">
            <w:pPr>
              <w:pStyle w:val="a4"/>
              <w:spacing w:line="300" w:lineRule="auto"/>
              <w:ind w:firstLineChars="0" w:firstLine="0"/>
              <w:jc w:val="center"/>
              <w:rPr>
                <w:rFonts w:ascii="Times New Roman" w:hAnsi="Times New Roman" w:cs="Times New Roman"/>
              </w:rPr>
            </w:pPr>
            <w:r>
              <w:rPr>
                <w:rFonts w:ascii="Times New Roman" w:hAnsi="Times New Roman" w:cs="Times New Roman"/>
                <w:b/>
                <w:bCs/>
                <w:color w:val="000000"/>
                <w:kern w:val="24"/>
              </w:rPr>
              <w:lastRenderedPageBreak/>
              <w:t>序号</w:t>
            </w:r>
          </w:p>
        </w:tc>
        <w:tc>
          <w:tcPr>
            <w:tcW w:w="1880" w:type="dxa"/>
            <w:vAlign w:val="center"/>
          </w:tcPr>
          <w:p w:rsidR="0096400C" w:rsidRDefault="0096400C" w:rsidP="000E4F40">
            <w:pPr>
              <w:spacing w:line="300" w:lineRule="auto"/>
              <w:jc w:val="center"/>
              <w:rPr>
                <w:rFonts w:ascii="Times New Roman" w:hAnsi="Times New Roman" w:cs="Times New Roman"/>
                <w:b/>
              </w:rPr>
            </w:pPr>
            <w:r>
              <w:rPr>
                <w:rFonts w:ascii="Times New Roman" w:hAnsi="Times New Roman" w:cs="Times New Roman"/>
                <w:b/>
              </w:rPr>
              <w:t>服务内容</w:t>
            </w:r>
          </w:p>
        </w:tc>
        <w:tc>
          <w:tcPr>
            <w:tcW w:w="6082" w:type="dxa"/>
            <w:vAlign w:val="center"/>
          </w:tcPr>
          <w:p w:rsidR="0096400C" w:rsidRDefault="0096400C" w:rsidP="000E4F40">
            <w:pPr>
              <w:spacing w:line="300" w:lineRule="auto"/>
              <w:jc w:val="center"/>
              <w:rPr>
                <w:rFonts w:ascii="Times New Roman" w:hAnsi="Times New Roman" w:cs="Times New Roman"/>
                <w:b/>
              </w:rPr>
            </w:pPr>
            <w:r w:rsidRPr="00A50EEF">
              <w:rPr>
                <w:rFonts w:ascii="Times New Roman" w:hAnsi="Times New Roman" w:cs="Times New Roman" w:hint="eastAsia"/>
                <w:b/>
              </w:rPr>
              <w:t>累计赔偿限额</w:t>
            </w:r>
          </w:p>
        </w:tc>
        <w:tc>
          <w:tcPr>
            <w:tcW w:w="1112" w:type="dxa"/>
            <w:vAlign w:val="center"/>
          </w:tcPr>
          <w:p w:rsidR="0096400C" w:rsidRDefault="0096400C" w:rsidP="000E4F40">
            <w:pPr>
              <w:spacing w:line="300" w:lineRule="auto"/>
              <w:jc w:val="center"/>
              <w:rPr>
                <w:rFonts w:ascii="Times New Roman" w:hAnsi="Times New Roman" w:cs="Times New Roman"/>
                <w:b/>
              </w:rPr>
            </w:pPr>
            <w:r>
              <w:rPr>
                <w:rFonts w:ascii="Times New Roman" w:hAnsi="Times New Roman" w:cs="Times New Roman"/>
                <w:b/>
              </w:rPr>
              <w:t>备注</w:t>
            </w:r>
          </w:p>
        </w:tc>
      </w:tr>
      <w:tr w:rsidR="0096400C" w:rsidTr="000E4F40">
        <w:trPr>
          <w:jc w:val="center"/>
        </w:trPr>
        <w:tc>
          <w:tcPr>
            <w:tcW w:w="780" w:type="dxa"/>
            <w:vAlign w:val="center"/>
          </w:tcPr>
          <w:p w:rsidR="0096400C" w:rsidRDefault="0096400C" w:rsidP="000E4F40">
            <w:pPr>
              <w:pStyle w:val="a4"/>
              <w:spacing w:line="300" w:lineRule="auto"/>
              <w:ind w:firstLineChars="0" w:firstLine="0"/>
              <w:jc w:val="center"/>
              <w:rPr>
                <w:rFonts w:ascii="Times New Roman" w:hAnsi="Times New Roman" w:cs="Times New Roman"/>
              </w:rPr>
            </w:pPr>
            <w:r>
              <w:rPr>
                <w:rFonts w:ascii="Times New Roman" w:hAnsi="Times New Roman" w:cs="Times New Roman"/>
              </w:rPr>
              <w:t>1</w:t>
            </w:r>
          </w:p>
        </w:tc>
        <w:tc>
          <w:tcPr>
            <w:tcW w:w="1880" w:type="dxa"/>
            <w:vAlign w:val="center"/>
          </w:tcPr>
          <w:p w:rsidR="0096400C" w:rsidRPr="00BB31D8" w:rsidRDefault="0096400C" w:rsidP="000E4F40">
            <w:pPr>
              <w:pStyle w:val="a4"/>
              <w:spacing w:line="300" w:lineRule="auto"/>
              <w:ind w:firstLineChars="0" w:firstLine="0"/>
              <w:jc w:val="center"/>
              <w:rPr>
                <w:rFonts w:ascii="宋体" w:eastAsia="宋体" w:hAnsi="宋体" w:cs="Times New Roman"/>
                <w:sz w:val="22"/>
              </w:rPr>
            </w:pPr>
            <w:r w:rsidRPr="00BB31D8">
              <w:rPr>
                <w:rFonts w:ascii="宋体" w:eastAsia="宋体" w:hAnsi="宋体" w:cs="Times New Roman" w:hint="eastAsia"/>
                <w:color w:val="000000" w:themeColor="dark1"/>
                <w:kern w:val="24"/>
                <w:sz w:val="22"/>
              </w:rPr>
              <w:t>采供血责任保险</w:t>
            </w:r>
          </w:p>
        </w:tc>
        <w:tc>
          <w:tcPr>
            <w:tcW w:w="6082" w:type="dxa"/>
            <w:vAlign w:val="center"/>
          </w:tcPr>
          <w:p w:rsidR="0096400C" w:rsidRDefault="0096400C" w:rsidP="000E4F40">
            <w:pPr>
              <w:spacing w:line="300" w:lineRule="auto"/>
              <w:jc w:val="left"/>
              <w:rPr>
                <w:rFonts w:ascii="宋体" w:eastAsia="宋体" w:hAnsi="宋体" w:cs="Times New Roman"/>
                <w:sz w:val="22"/>
              </w:rPr>
            </w:pPr>
            <w:r w:rsidRPr="00BE6A34">
              <w:rPr>
                <w:rFonts w:ascii="宋体" w:eastAsia="宋体" w:hAnsi="宋体" w:cs="Times New Roman" w:hint="eastAsia"/>
                <w:sz w:val="22"/>
              </w:rPr>
              <w:t>累计赔偿限额</w:t>
            </w:r>
            <w:r w:rsidRPr="00D941CB">
              <w:rPr>
                <w:rFonts w:ascii="Times New Roman" w:hAnsi="Times New Roman" w:cs="Times New Roman" w:hint="eastAsia"/>
                <w:sz w:val="22"/>
              </w:rPr>
              <w:t>不低于</w:t>
            </w:r>
            <w:r>
              <w:rPr>
                <w:rFonts w:ascii="Times New Roman" w:hAnsi="Times New Roman" w:cs="Times New Roman" w:hint="eastAsia"/>
                <w:sz w:val="22"/>
              </w:rPr>
              <w:t>人民币</w:t>
            </w:r>
            <w:r w:rsidRPr="00BE6A34">
              <w:rPr>
                <w:rFonts w:ascii="宋体" w:eastAsia="宋体" w:hAnsi="宋体" w:cs="Times New Roman" w:hint="eastAsia"/>
                <w:sz w:val="22"/>
              </w:rPr>
              <w:t>1000万元</w:t>
            </w:r>
            <w:r>
              <w:rPr>
                <w:rFonts w:ascii="宋体" w:eastAsia="宋体" w:hAnsi="宋体" w:cs="Times New Roman" w:hint="eastAsia"/>
                <w:sz w:val="22"/>
              </w:rPr>
              <w:t>，其中：</w:t>
            </w:r>
          </w:p>
          <w:p w:rsidR="0096400C" w:rsidRPr="008C6311" w:rsidRDefault="0096400C" w:rsidP="000E4F40">
            <w:pPr>
              <w:spacing w:line="300" w:lineRule="auto"/>
              <w:jc w:val="left"/>
              <w:rPr>
                <w:rFonts w:ascii="宋体" w:eastAsia="宋体" w:hAnsi="宋体" w:cs="Times New Roman"/>
                <w:sz w:val="22"/>
              </w:rPr>
            </w:pPr>
            <w:r>
              <w:rPr>
                <w:rFonts w:ascii="宋体" w:eastAsia="宋体" w:hAnsi="宋体" w:cs="Times New Roman" w:hint="eastAsia"/>
                <w:sz w:val="22"/>
              </w:rPr>
              <w:t>（1）</w:t>
            </w:r>
            <w:r w:rsidRPr="009B2288">
              <w:rPr>
                <w:rFonts w:ascii="宋体" w:eastAsia="宋体" w:hAnsi="宋体" w:cs="Times New Roman" w:hint="eastAsia"/>
                <w:sz w:val="22"/>
              </w:rPr>
              <w:t>用血者</w:t>
            </w:r>
            <w:r w:rsidRPr="008C6311">
              <w:rPr>
                <w:rFonts w:ascii="宋体" w:eastAsia="宋体" w:hAnsi="宋体" w:cs="Times New Roman" w:hint="eastAsia"/>
                <w:sz w:val="22"/>
              </w:rPr>
              <w:t>感染丙肝每人责任限额</w:t>
            </w:r>
            <w:r w:rsidRPr="00D941CB">
              <w:rPr>
                <w:rFonts w:ascii="Times New Roman" w:hAnsi="Times New Roman" w:cs="Times New Roman" w:hint="eastAsia"/>
                <w:sz w:val="22"/>
              </w:rPr>
              <w:t>不低于</w:t>
            </w:r>
            <w:r w:rsidRPr="008C6311">
              <w:rPr>
                <w:rFonts w:ascii="宋体" w:eastAsia="宋体" w:hAnsi="宋体" w:cs="Times New Roman" w:hint="eastAsia"/>
                <w:sz w:val="22"/>
              </w:rPr>
              <w:t>6万元，追溯期不低于20年；</w:t>
            </w:r>
          </w:p>
          <w:p w:rsidR="0096400C" w:rsidRPr="008C6311" w:rsidRDefault="0096400C" w:rsidP="000E4F40">
            <w:pPr>
              <w:pStyle w:val="a4"/>
              <w:spacing w:line="300" w:lineRule="auto"/>
              <w:ind w:firstLineChars="0" w:firstLine="0"/>
              <w:jc w:val="left"/>
              <w:rPr>
                <w:rFonts w:ascii="宋体" w:eastAsia="宋体" w:hAnsi="宋体" w:cs="Times New Roman"/>
                <w:sz w:val="22"/>
              </w:rPr>
            </w:pPr>
            <w:r>
              <w:rPr>
                <w:rFonts w:ascii="宋体" w:eastAsia="宋体" w:hAnsi="宋体" w:cs="Times New Roman" w:hint="eastAsia"/>
                <w:sz w:val="22"/>
              </w:rPr>
              <w:t>（2）</w:t>
            </w:r>
            <w:r w:rsidRPr="009B2288">
              <w:rPr>
                <w:rFonts w:ascii="宋体" w:eastAsia="宋体" w:hAnsi="宋体" w:cs="Times New Roman" w:hint="eastAsia"/>
                <w:sz w:val="22"/>
              </w:rPr>
              <w:t>用血者</w:t>
            </w:r>
            <w:r w:rsidRPr="008C6311">
              <w:rPr>
                <w:rFonts w:ascii="宋体" w:eastAsia="宋体" w:hAnsi="宋体" w:cs="Times New Roman" w:hint="eastAsia"/>
                <w:sz w:val="22"/>
              </w:rPr>
              <w:t>感染艾滋病每人责任限额</w:t>
            </w:r>
            <w:r w:rsidRPr="00D941CB">
              <w:rPr>
                <w:rFonts w:ascii="Times New Roman" w:hAnsi="Times New Roman" w:cs="Times New Roman" w:hint="eastAsia"/>
                <w:sz w:val="22"/>
              </w:rPr>
              <w:t>不低于</w:t>
            </w:r>
            <w:r w:rsidRPr="008C6311">
              <w:rPr>
                <w:rFonts w:ascii="宋体" w:eastAsia="宋体" w:hAnsi="宋体" w:cs="Times New Roman" w:hint="eastAsia"/>
                <w:sz w:val="22"/>
              </w:rPr>
              <w:t>20万元，追溯期不低于20年；</w:t>
            </w:r>
          </w:p>
          <w:p w:rsidR="0096400C" w:rsidRPr="00BE6A34" w:rsidRDefault="0096400C" w:rsidP="000E4F40">
            <w:pPr>
              <w:spacing w:line="300" w:lineRule="auto"/>
              <w:jc w:val="left"/>
              <w:rPr>
                <w:rFonts w:ascii="宋体" w:eastAsia="宋体" w:hAnsi="宋体" w:cs="Times New Roman"/>
                <w:sz w:val="22"/>
              </w:rPr>
            </w:pPr>
            <w:r>
              <w:rPr>
                <w:rFonts w:ascii="宋体" w:eastAsia="宋体" w:hAnsi="宋体" w:cs="Times New Roman" w:hint="eastAsia"/>
                <w:sz w:val="22"/>
              </w:rPr>
              <w:t>（3）</w:t>
            </w:r>
            <w:r w:rsidRPr="00BE6A34">
              <w:rPr>
                <w:rFonts w:ascii="宋体" w:eastAsia="宋体" w:hAnsi="宋体" w:cs="Times New Roman" w:hint="eastAsia"/>
                <w:sz w:val="22"/>
              </w:rPr>
              <w:t>献血者人身损害每人责任限额</w:t>
            </w:r>
            <w:r w:rsidRPr="00D941CB">
              <w:rPr>
                <w:rFonts w:ascii="Times New Roman" w:hAnsi="Times New Roman" w:cs="Times New Roman" w:hint="eastAsia"/>
                <w:sz w:val="22"/>
              </w:rPr>
              <w:t>不低于</w:t>
            </w:r>
            <w:r w:rsidRPr="00BE6A34">
              <w:rPr>
                <w:rFonts w:ascii="宋体" w:eastAsia="宋体" w:hAnsi="宋体" w:cs="Times New Roman" w:hint="eastAsia"/>
                <w:sz w:val="22"/>
              </w:rPr>
              <w:t>1万元。</w:t>
            </w:r>
          </w:p>
          <w:p w:rsidR="0096400C" w:rsidRPr="008C6311" w:rsidRDefault="0096400C" w:rsidP="000E4F40">
            <w:pPr>
              <w:pStyle w:val="a4"/>
              <w:spacing w:line="300" w:lineRule="auto"/>
              <w:ind w:firstLineChars="0" w:firstLine="0"/>
              <w:rPr>
                <w:rFonts w:ascii="宋体" w:eastAsia="宋体" w:hAnsi="宋体" w:cs="Times New Roman"/>
                <w:sz w:val="22"/>
              </w:rPr>
            </w:pPr>
            <w:r>
              <w:rPr>
                <w:rFonts w:ascii="宋体" w:eastAsia="宋体" w:hAnsi="宋体" w:cs="Times New Roman" w:hint="eastAsia"/>
                <w:sz w:val="22"/>
              </w:rPr>
              <w:t>（4）</w:t>
            </w:r>
            <w:r w:rsidRPr="008C6311">
              <w:rPr>
                <w:rFonts w:ascii="宋体" w:eastAsia="宋体" w:hAnsi="宋体" w:cs="Times New Roman" w:hint="eastAsia"/>
                <w:sz w:val="22"/>
              </w:rPr>
              <w:t>献血场所人身损害每人责任限额</w:t>
            </w:r>
            <w:r w:rsidRPr="00D941CB">
              <w:rPr>
                <w:rFonts w:ascii="Times New Roman" w:hAnsi="Times New Roman" w:cs="Times New Roman" w:hint="eastAsia"/>
                <w:sz w:val="22"/>
              </w:rPr>
              <w:t>不低于</w:t>
            </w:r>
            <w:r w:rsidRPr="008C6311">
              <w:rPr>
                <w:rFonts w:ascii="宋体" w:eastAsia="宋体" w:hAnsi="宋体" w:cs="Times New Roman" w:hint="eastAsia"/>
                <w:sz w:val="22"/>
              </w:rPr>
              <w:t>20万元。</w:t>
            </w:r>
          </w:p>
        </w:tc>
        <w:tc>
          <w:tcPr>
            <w:tcW w:w="1112" w:type="dxa"/>
            <w:vAlign w:val="center"/>
          </w:tcPr>
          <w:p w:rsidR="0096400C" w:rsidRDefault="0096400C" w:rsidP="000E4F40">
            <w:pPr>
              <w:pStyle w:val="a4"/>
              <w:spacing w:line="300" w:lineRule="auto"/>
              <w:ind w:firstLineChars="0" w:firstLine="0"/>
              <w:jc w:val="center"/>
              <w:rPr>
                <w:rFonts w:ascii="Times New Roman" w:hAnsi="Times New Roman" w:cs="Times New Roman"/>
                <w:color w:val="000000" w:themeColor="text1"/>
                <w:kern w:val="24"/>
              </w:rPr>
            </w:pPr>
          </w:p>
        </w:tc>
      </w:tr>
    </w:tbl>
    <w:p w:rsidR="0096400C" w:rsidRDefault="0096400C" w:rsidP="0096400C">
      <w:pPr>
        <w:adjustRightInd w:val="0"/>
        <w:snapToGrid w:val="0"/>
        <w:spacing w:line="300" w:lineRule="auto"/>
        <w:ind w:firstLineChars="192" w:firstLine="424"/>
        <w:rPr>
          <w:rFonts w:ascii="Times New Roman" w:hAnsi="Times New Roman" w:cs="Times New Roman"/>
          <w:b/>
          <w:bCs/>
          <w:color w:val="0000FF"/>
          <w:sz w:val="22"/>
        </w:rPr>
      </w:pPr>
      <w:r>
        <w:rPr>
          <w:rFonts w:ascii="Times New Roman" w:hAnsi="Times New Roman" w:cs="Times New Roman"/>
          <w:b/>
          <w:bCs/>
          <w:color w:val="0000FF"/>
          <w:sz w:val="22"/>
        </w:rPr>
        <w:t>说明：此表所列内容为本次招标核心工作内容，投标人不得缩减。</w:t>
      </w:r>
    </w:p>
    <w:p w:rsidR="0096400C" w:rsidRDefault="0096400C" w:rsidP="0096400C">
      <w:pPr>
        <w:widowControl/>
        <w:spacing w:line="300" w:lineRule="auto"/>
        <w:ind w:firstLineChars="192" w:firstLine="422"/>
        <w:jc w:val="left"/>
        <w:rPr>
          <w:rFonts w:ascii="Times New Roman" w:hAnsi="Times New Roman" w:cs="Times New Roman"/>
          <w:color w:val="000000" w:themeColor="dark1"/>
          <w:kern w:val="24"/>
          <w:sz w:val="22"/>
        </w:rPr>
      </w:pPr>
      <w:r>
        <w:rPr>
          <w:rFonts w:ascii="Times New Roman" w:hAnsi="Times New Roman" w:cs="Times New Roman"/>
          <w:bCs/>
          <w:sz w:val="22"/>
        </w:rPr>
        <w:t xml:space="preserve">9.3 </w:t>
      </w:r>
      <w:r>
        <w:rPr>
          <w:rFonts w:ascii="Times New Roman" w:hAnsi="Times New Roman" w:cs="Times New Roman" w:hint="eastAsia"/>
          <w:color w:val="000000" w:themeColor="dark1"/>
          <w:kern w:val="24"/>
          <w:sz w:val="22"/>
        </w:rPr>
        <w:t>具体服务内容</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9.3.1 </w:t>
      </w:r>
      <w:r>
        <w:rPr>
          <w:rFonts w:ascii="Times New Roman" w:hAnsi="Times New Roman" w:cs="Times New Roman" w:hint="eastAsia"/>
          <w:sz w:val="22"/>
        </w:rPr>
        <w:t>服务内容（险种）及赔偿标准</w:t>
      </w:r>
    </w:p>
    <w:p w:rsidR="0096400C" w:rsidRPr="00D941CB" w:rsidRDefault="0096400C" w:rsidP="0096400C">
      <w:pPr>
        <w:pStyle w:val="a4"/>
        <w:spacing w:line="300" w:lineRule="auto"/>
        <w:ind w:firstLineChars="192" w:firstLine="422"/>
        <w:rPr>
          <w:rFonts w:ascii="Times New Roman" w:hAnsi="Times New Roman" w:cs="Times New Roman"/>
          <w:sz w:val="22"/>
        </w:rPr>
      </w:pPr>
      <w:r w:rsidRPr="00D941CB">
        <w:rPr>
          <w:rFonts w:ascii="Times New Roman" w:hAnsi="Times New Roman" w:cs="Times New Roman" w:hint="eastAsia"/>
          <w:sz w:val="22"/>
        </w:rPr>
        <w:t>投标人应满足采购需求中保险责任限额的要求，保险期限内，保单累计责任限额不低于人民币</w:t>
      </w:r>
      <w:r w:rsidRPr="00D941CB">
        <w:rPr>
          <w:rFonts w:ascii="Times New Roman" w:hAnsi="Times New Roman" w:cs="Times New Roman" w:hint="eastAsia"/>
          <w:sz w:val="22"/>
        </w:rPr>
        <w:t>1000</w:t>
      </w:r>
      <w:r w:rsidRPr="00D941CB">
        <w:rPr>
          <w:rFonts w:ascii="Times New Roman" w:hAnsi="Times New Roman" w:cs="Times New Roman" w:hint="eastAsia"/>
          <w:sz w:val="22"/>
        </w:rPr>
        <w:t>万元。其中：</w:t>
      </w:r>
    </w:p>
    <w:p w:rsidR="0096400C" w:rsidRPr="00D941CB"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w:t>
      </w:r>
      <w:r w:rsidRPr="00D941CB">
        <w:rPr>
          <w:rFonts w:ascii="Times New Roman" w:hAnsi="Times New Roman" w:cs="Times New Roman" w:hint="eastAsia"/>
          <w:sz w:val="22"/>
        </w:rPr>
        <w:t>每位用血者感染丙肝不低于限额：</w:t>
      </w:r>
      <w:r w:rsidRPr="00D941CB">
        <w:rPr>
          <w:rFonts w:ascii="Times New Roman" w:hAnsi="Times New Roman" w:cs="Times New Roman" w:hint="eastAsia"/>
          <w:sz w:val="22"/>
        </w:rPr>
        <w:t>6</w:t>
      </w:r>
      <w:r w:rsidRPr="00D941CB">
        <w:rPr>
          <w:rFonts w:ascii="Times New Roman" w:hAnsi="Times New Roman" w:cs="Times New Roman" w:hint="eastAsia"/>
          <w:sz w:val="22"/>
        </w:rPr>
        <w:t>万元，追溯期不低于</w:t>
      </w:r>
      <w:r w:rsidRPr="00D941CB">
        <w:rPr>
          <w:rFonts w:ascii="Times New Roman" w:hAnsi="Times New Roman" w:cs="Times New Roman" w:hint="eastAsia"/>
          <w:sz w:val="22"/>
        </w:rPr>
        <w:t>20</w:t>
      </w:r>
      <w:r w:rsidRPr="00D941CB">
        <w:rPr>
          <w:rFonts w:ascii="Times New Roman" w:hAnsi="Times New Roman" w:cs="Times New Roman" w:hint="eastAsia"/>
          <w:sz w:val="22"/>
        </w:rPr>
        <w:t>年。</w:t>
      </w:r>
    </w:p>
    <w:p w:rsidR="0096400C" w:rsidRPr="00D941CB"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w:t>
      </w:r>
      <w:r w:rsidRPr="00D941CB">
        <w:rPr>
          <w:rFonts w:ascii="Times New Roman" w:hAnsi="Times New Roman" w:cs="Times New Roman" w:hint="eastAsia"/>
          <w:sz w:val="22"/>
        </w:rPr>
        <w:t>每位用血者感染艾滋病不低于限额：</w:t>
      </w:r>
      <w:r w:rsidRPr="00D941CB">
        <w:rPr>
          <w:rFonts w:ascii="Times New Roman" w:hAnsi="Times New Roman" w:cs="Times New Roman" w:hint="eastAsia"/>
          <w:sz w:val="22"/>
        </w:rPr>
        <w:t>20</w:t>
      </w:r>
      <w:r w:rsidRPr="00D941CB">
        <w:rPr>
          <w:rFonts w:ascii="Times New Roman" w:hAnsi="Times New Roman" w:cs="Times New Roman" w:hint="eastAsia"/>
          <w:sz w:val="22"/>
        </w:rPr>
        <w:t>万元，追溯期不低于</w:t>
      </w:r>
      <w:r w:rsidRPr="00D941CB">
        <w:rPr>
          <w:rFonts w:ascii="Times New Roman" w:hAnsi="Times New Roman" w:cs="Times New Roman" w:hint="eastAsia"/>
          <w:sz w:val="22"/>
        </w:rPr>
        <w:t>20</w:t>
      </w:r>
      <w:r w:rsidRPr="00D941CB">
        <w:rPr>
          <w:rFonts w:ascii="Times New Roman" w:hAnsi="Times New Roman" w:cs="Times New Roman" w:hint="eastAsia"/>
          <w:sz w:val="22"/>
        </w:rPr>
        <w:t>年。</w:t>
      </w:r>
    </w:p>
    <w:p w:rsidR="0096400C" w:rsidRPr="00D941CB"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sz w:val="22"/>
        </w:rPr>
        <w:t>）</w:t>
      </w:r>
      <w:r w:rsidRPr="00D941CB">
        <w:rPr>
          <w:rFonts w:ascii="Times New Roman" w:hAnsi="Times New Roman" w:cs="Times New Roman" w:hint="eastAsia"/>
          <w:sz w:val="22"/>
        </w:rPr>
        <w:t>献血者人身损害不低于限额：</w:t>
      </w:r>
      <w:r w:rsidRPr="00D941CB">
        <w:rPr>
          <w:rFonts w:ascii="Times New Roman" w:hAnsi="Times New Roman" w:cs="Times New Roman" w:hint="eastAsia"/>
          <w:sz w:val="22"/>
        </w:rPr>
        <w:t>1</w:t>
      </w:r>
      <w:r w:rsidRPr="00D941CB">
        <w:rPr>
          <w:rFonts w:ascii="Times New Roman" w:hAnsi="Times New Roman" w:cs="Times New Roman" w:hint="eastAsia"/>
          <w:sz w:val="22"/>
        </w:rPr>
        <w:t>万元</w:t>
      </w:r>
    </w:p>
    <w:p w:rsidR="0096400C" w:rsidRPr="00D941CB" w:rsidRDefault="0096400C" w:rsidP="0096400C">
      <w:pPr>
        <w:pStyle w:val="a4"/>
        <w:spacing w:line="300" w:lineRule="auto"/>
        <w:ind w:firstLineChars="192" w:firstLine="422"/>
        <w:rPr>
          <w:rFonts w:ascii="Times New Roman" w:hAnsi="Times New Roman" w:cs="Times New Roman"/>
          <w:sz w:val="22"/>
        </w:rPr>
      </w:pPr>
      <w:r w:rsidRPr="00D941CB">
        <w:rPr>
          <w:rFonts w:ascii="Times New Roman" w:hAnsi="Times New Roman" w:cs="Times New Roman" w:hint="eastAsia"/>
          <w:sz w:val="22"/>
        </w:rPr>
        <w:t>1</w:t>
      </w:r>
      <w:r w:rsidRPr="00D941CB">
        <w:rPr>
          <w:rFonts w:ascii="Times New Roman" w:hAnsi="Times New Roman" w:cs="Times New Roman" w:hint="eastAsia"/>
          <w:sz w:val="22"/>
        </w:rPr>
        <w:t>）献血者人身损害导致的医疗费用不低于限额：</w:t>
      </w:r>
      <w:r w:rsidRPr="00D941CB">
        <w:rPr>
          <w:rFonts w:ascii="Times New Roman" w:hAnsi="Times New Roman" w:cs="Times New Roman" w:hint="eastAsia"/>
          <w:sz w:val="22"/>
        </w:rPr>
        <w:t>1</w:t>
      </w:r>
      <w:r w:rsidRPr="00D941CB">
        <w:rPr>
          <w:rFonts w:ascii="Times New Roman" w:hAnsi="Times New Roman" w:cs="Times New Roman" w:hint="eastAsia"/>
          <w:sz w:val="22"/>
        </w:rPr>
        <w:t>万元</w:t>
      </w:r>
    </w:p>
    <w:p w:rsidR="0096400C" w:rsidRPr="00D941CB" w:rsidRDefault="0096400C" w:rsidP="0096400C">
      <w:pPr>
        <w:pStyle w:val="a4"/>
        <w:spacing w:line="300" w:lineRule="auto"/>
        <w:ind w:firstLineChars="192" w:firstLine="422"/>
        <w:rPr>
          <w:rFonts w:ascii="Times New Roman" w:hAnsi="Times New Roman" w:cs="Times New Roman"/>
          <w:sz w:val="22"/>
        </w:rPr>
      </w:pPr>
      <w:r w:rsidRPr="00D941CB">
        <w:rPr>
          <w:rFonts w:ascii="Times New Roman" w:hAnsi="Times New Roman" w:cs="Times New Roman" w:hint="eastAsia"/>
          <w:sz w:val="22"/>
        </w:rPr>
        <w:t>2</w:t>
      </w:r>
      <w:r w:rsidRPr="00D941CB">
        <w:rPr>
          <w:rFonts w:ascii="Times New Roman" w:hAnsi="Times New Roman" w:cs="Times New Roman" w:hint="eastAsia"/>
          <w:sz w:val="22"/>
        </w:rPr>
        <w:t>）献血者人身损害导致的每日住院津贴不低于限额：</w:t>
      </w:r>
      <w:r w:rsidRPr="00D941CB">
        <w:rPr>
          <w:rFonts w:ascii="Times New Roman" w:hAnsi="Times New Roman" w:cs="Times New Roman" w:hint="eastAsia"/>
          <w:sz w:val="22"/>
        </w:rPr>
        <w:t>50</w:t>
      </w:r>
      <w:r w:rsidRPr="00D941CB">
        <w:rPr>
          <w:rFonts w:ascii="Times New Roman" w:hAnsi="Times New Roman" w:cs="Times New Roman" w:hint="eastAsia"/>
          <w:sz w:val="22"/>
        </w:rPr>
        <w:t>元</w:t>
      </w:r>
    </w:p>
    <w:p w:rsidR="0096400C" w:rsidRPr="00D941CB" w:rsidRDefault="0096400C" w:rsidP="0096400C">
      <w:pPr>
        <w:pStyle w:val="a4"/>
        <w:spacing w:line="300" w:lineRule="auto"/>
        <w:ind w:firstLineChars="192" w:firstLine="422"/>
        <w:rPr>
          <w:rFonts w:ascii="Times New Roman" w:hAnsi="Times New Roman" w:cs="Times New Roman"/>
          <w:sz w:val="22"/>
        </w:rPr>
      </w:pPr>
      <w:r w:rsidRPr="00D941CB">
        <w:rPr>
          <w:rFonts w:ascii="Times New Roman" w:hAnsi="Times New Roman" w:cs="Times New Roman" w:hint="eastAsia"/>
          <w:sz w:val="22"/>
        </w:rPr>
        <w:t>3</w:t>
      </w:r>
      <w:r w:rsidRPr="00D941CB">
        <w:rPr>
          <w:rFonts w:ascii="Times New Roman" w:hAnsi="Times New Roman" w:cs="Times New Roman" w:hint="eastAsia"/>
          <w:sz w:val="22"/>
        </w:rPr>
        <w:t>）献血者人身损害导致的住院津贴天数不低于限额：</w:t>
      </w:r>
      <w:r w:rsidRPr="00D941CB">
        <w:rPr>
          <w:rFonts w:ascii="Times New Roman" w:hAnsi="Times New Roman" w:cs="Times New Roman" w:hint="eastAsia"/>
          <w:sz w:val="22"/>
        </w:rPr>
        <w:t>60</w:t>
      </w:r>
      <w:r w:rsidRPr="00D941CB">
        <w:rPr>
          <w:rFonts w:ascii="Times New Roman" w:hAnsi="Times New Roman" w:cs="Times New Roman" w:hint="eastAsia"/>
          <w:sz w:val="22"/>
        </w:rPr>
        <w:t>天</w:t>
      </w:r>
    </w:p>
    <w:p w:rsidR="0096400C" w:rsidRDefault="0096400C" w:rsidP="0096400C">
      <w:pPr>
        <w:pStyle w:val="a4"/>
        <w:spacing w:line="300" w:lineRule="auto"/>
        <w:ind w:firstLineChars="192" w:firstLine="422"/>
        <w:rPr>
          <w:rFonts w:ascii="Times New Roman" w:hAnsi="Times New Roman" w:cs="Times New Roman"/>
          <w:sz w:val="22"/>
        </w:rPr>
      </w:pPr>
      <w:r w:rsidRPr="00D941CB">
        <w:rPr>
          <w:rFonts w:ascii="Times New Roman" w:hAnsi="Times New Roman" w:cs="Times New Roman" w:hint="eastAsia"/>
          <w:sz w:val="22"/>
        </w:rPr>
        <w:t>（</w:t>
      </w:r>
      <w:r w:rsidRPr="00D941CB">
        <w:rPr>
          <w:rFonts w:ascii="Times New Roman" w:hAnsi="Times New Roman" w:cs="Times New Roman" w:hint="eastAsia"/>
          <w:sz w:val="22"/>
        </w:rPr>
        <w:t>4</w:t>
      </w:r>
      <w:r w:rsidRPr="00D941CB">
        <w:rPr>
          <w:rFonts w:ascii="Times New Roman" w:hAnsi="Times New Roman" w:cs="Times New Roman" w:hint="eastAsia"/>
          <w:sz w:val="22"/>
        </w:rPr>
        <w:t>）献血场所人身损害不低于限额：</w:t>
      </w:r>
      <w:r w:rsidRPr="00D941CB">
        <w:rPr>
          <w:rFonts w:ascii="Times New Roman" w:hAnsi="Times New Roman" w:cs="Times New Roman" w:hint="eastAsia"/>
          <w:sz w:val="22"/>
        </w:rPr>
        <w:t>20</w:t>
      </w:r>
      <w:r w:rsidRPr="00D941CB">
        <w:rPr>
          <w:rFonts w:ascii="Times New Roman" w:hAnsi="Times New Roman" w:cs="Times New Roman" w:hint="eastAsia"/>
          <w:sz w:val="22"/>
        </w:rPr>
        <w:t>万元</w:t>
      </w:r>
    </w:p>
    <w:p w:rsidR="0096400C" w:rsidRPr="00D941CB"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9.3.2</w:t>
      </w:r>
      <w:r w:rsidRPr="00D941CB">
        <w:rPr>
          <w:rFonts w:ascii="Times New Roman" w:hAnsi="Times New Roman" w:cs="Times New Roman" w:hint="eastAsia"/>
          <w:sz w:val="22"/>
        </w:rPr>
        <w:t>追溯期</w:t>
      </w:r>
    </w:p>
    <w:p w:rsidR="0096400C" w:rsidRPr="00D941CB" w:rsidRDefault="0096400C" w:rsidP="0096400C">
      <w:pPr>
        <w:pStyle w:val="a4"/>
        <w:spacing w:line="300" w:lineRule="auto"/>
        <w:ind w:firstLineChars="192" w:firstLine="422"/>
        <w:rPr>
          <w:rFonts w:ascii="Times New Roman" w:hAnsi="Times New Roman" w:cs="Times New Roman"/>
          <w:sz w:val="22"/>
        </w:rPr>
      </w:pPr>
      <w:r w:rsidRPr="00D941CB">
        <w:rPr>
          <w:rFonts w:ascii="Times New Roman" w:hAnsi="Times New Roman" w:cs="Times New Roman" w:hint="eastAsia"/>
          <w:sz w:val="22"/>
        </w:rPr>
        <w:t>保险合同当事人在保险合同中约定的从保险责任起始日向前追溯的一段时间，保险人对此期间发生且在保险期限内首次提出索赔的保险事故承担保险责任。</w:t>
      </w:r>
    </w:p>
    <w:p w:rsidR="0096400C" w:rsidRPr="00D941CB"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9.3.3</w:t>
      </w:r>
      <w:r w:rsidRPr="00D941CB">
        <w:rPr>
          <w:rFonts w:ascii="Times New Roman" w:hAnsi="Times New Roman" w:cs="Times New Roman" w:hint="eastAsia"/>
          <w:sz w:val="22"/>
        </w:rPr>
        <w:t>用血者：</w:t>
      </w:r>
    </w:p>
    <w:p w:rsidR="0096400C" w:rsidRPr="00D941CB" w:rsidRDefault="0096400C" w:rsidP="0096400C">
      <w:pPr>
        <w:pStyle w:val="a4"/>
        <w:spacing w:line="300" w:lineRule="auto"/>
        <w:ind w:firstLineChars="192" w:firstLine="422"/>
        <w:rPr>
          <w:rFonts w:ascii="Times New Roman" w:hAnsi="Times New Roman" w:cs="Times New Roman"/>
          <w:sz w:val="22"/>
        </w:rPr>
      </w:pPr>
      <w:r w:rsidRPr="00D941CB">
        <w:rPr>
          <w:rFonts w:ascii="Times New Roman" w:hAnsi="Times New Roman" w:cs="Times New Roman" w:hint="eastAsia"/>
          <w:sz w:val="22"/>
        </w:rPr>
        <w:t>在保险期限（或追溯期）内，被保险人在政府卫生行政部门指定的区域内供血时，因过失造成用血者人身损害，包括感染丙肝、艾滋病经血液传播的传染性疾病，在保险期限内，由用血者首次向被保险人提出索赔申请，依法应由被保险人承担的赔偿责任。</w:t>
      </w:r>
    </w:p>
    <w:p w:rsidR="0096400C" w:rsidRPr="00D941CB"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9.3.4</w:t>
      </w:r>
      <w:r w:rsidRPr="00D941CB">
        <w:rPr>
          <w:rFonts w:ascii="Times New Roman" w:hAnsi="Times New Roman" w:cs="Times New Roman" w:hint="eastAsia"/>
          <w:sz w:val="22"/>
        </w:rPr>
        <w:t>献血者：</w:t>
      </w:r>
    </w:p>
    <w:p w:rsidR="0096400C" w:rsidRPr="00D941CB" w:rsidRDefault="0096400C" w:rsidP="0096400C">
      <w:pPr>
        <w:pStyle w:val="a4"/>
        <w:spacing w:line="300" w:lineRule="auto"/>
        <w:ind w:firstLineChars="192" w:firstLine="422"/>
        <w:rPr>
          <w:rFonts w:ascii="Times New Roman" w:hAnsi="Times New Roman" w:cs="Times New Roman"/>
          <w:sz w:val="22"/>
        </w:rPr>
      </w:pPr>
      <w:r w:rsidRPr="00D941CB">
        <w:rPr>
          <w:rFonts w:ascii="Times New Roman" w:hAnsi="Times New Roman" w:cs="Times New Roman" w:hint="eastAsia"/>
          <w:sz w:val="22"/>
        </w:rPr>
        <w:t>在保险期限内，被保险人在政府卫生行政部门指定的区域内采血时，因过失造成献血者的人身损害，包括献血不良反应，由献血者首次向被保险人提出索赔申请，依法应由被保险人承担的赔偿责任。</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w:t>
      </w:r>
      <w:r w:rsidRPr="00D941CB">
        <w:rPr>
          <w:rFonts w:ascii="Times New Roman" w:hAnsi="Times New Roman" w:cs="Times New Roman" w:hint="eastAsia"/>
          <w:sz w:val="22"/>
        </w:rPr>
        <w:t>常见献血不良反应</w:t>
      </w:r>
    </w:p>
    <w:tbl>
      <w:tblPr>
        <w:tblW w:w="45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984"/>
        <w:gridCol w:w="608"/>
        <w:gridCol w:w="1592"/>
      </w:tblGrid>
      <w:tr w:rsidR="0096400C" w:rsidRPr="00D941CB" w:rsidTr="000E4F40">
        <w:trPr>
          <w:trHeight w:val="454"/>
          <w:jc w:val="center"/>
        </w:trPr>
        <w:tc>
          <w:tcPr>
            <w:tcW w:w="2941"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症状及可能原因</w:t>
            </w:r>
          </w:p>
        </w:tc>
        <w:tc>
          <w:tcPr>
            <w:tcW w:w="2058" w:type="pct"/>
            <w:gridSpan w:val="3"/>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初步判定分类</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说明：现场工作人员仅作处置，初步判定分类。</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如</w:t>
            </w:r>
            <w:proofErr w:type="gramStart"/>
            <w:r w:rsidRPr="00D941CB">
              <w:rPr>
                <w:rFonts w:asciiTheme="minorEastAsia" w:hAnsiTheme="minorEastAsia" w:cs="Times New Roman" w:hint="eastAsia"/>
                <w:sz w:val="22"/>
              </w:rPr>
              <w:t>遇多种</w:t>
            </w:r>
            <w:proofErr w:type="gramEnd"/>
            <w:r w:rsidRPr="00D941CB">
              <w:rPr>
                <w:rFonts w:asciiTheme="minorEastAsia" w:hAnsiTheme="minorEastAsia" w:cs="Times New Roman" w:hint="eastAsia"/>
                <w:sz w:val="22"/>
              </w:rPr>
              <w:t>可能原因导致的反</w:t>
            </w:r>
            <w:r w:rsidRPr="00D941CB">
              <w:rPr>
                <w:rFonts w:asciiTheme="minorEastAsia" w:hAnsiTheme="minorEastAsia" w:cs="Times New Roman" w:hint="eastAsia"/>
                <w:sz w:val="22"/>
              </w:rPr>
              <w:lastRenderedPageBreak/>
              <w:t>应，需医疗机构诊断后判定最终分类。</w:t>
            </w:r>
          </w:p>
        </w:tc>
      </w:tr>
      <w:tr w:rsidR="0096400C" w:rsidRPr="00D941CB" w:rsidTr="000E4F40">
        <w:trPr>
          <w:trHeight w:val="454"/>
          <w:jc w:val="center"/>
        </w:trPr>
        <w:tc>
          <w:tcPr>
            <w:tcW w:w="2941"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lastRenderedPageBreak/>
              <w:t>血液采集结束按压针眼过程中出现穿刺部位隆起疼痛。</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考虑为非正确按压穿刺部位，出现皮下出血导致</w:t>
            </w:r>
          </w:p>
        </w:tc>
        <w:tc>
          <w:tcPr>
            <w:tcW w:w="636"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血肿</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（淤斑）</w:t>
            </w:r>
          </w:p>
        </w:tc>
        <w:tc>
          <w:tcPr>
            <w:tcW w:w="393" w:type="pct"/>
            <w:vMerge w:val="restar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A1类以穿刺部位出血为主要表现的不良反应</w:t>
            </w:r>
          </w:p>
        </w:tc>
        <w:tc>
          <w:tcPr>
            <w:tcW w:w="1028" w:type="pct"/>
            <w:vMerge w:val="restar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A类以局部表现为主的不良反应</w:t>
            </w:r>
          </w:p>
        </w:tc>
      </w:tr>
      <w:tr w:rsidR="0096400C" w:rsidRPr="00D941CB" w:rsidTr="000E4F40">
        <w:trPr>
          <w:trHeight w:val="454"/>
          <w:jc w:val="center"/>
        </w:trPr>
        <w:tc>
          <w:tcPr>
            <w:tcW w:w="2941"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在献血者离开献血场所，解除穿刺部位的按压或包扎绷带之后，穿刺部位重新自发性出血。</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其原因可能是按压部位不正确或按压时间不够长，或者献血者手臂用力或举重物所致。</w:t>
            </w:r>
          </w:p>
        </w:tc>
        <w:tc>
          <w:tcPr>
            <w:tcW w:w="636"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迟发型出血</w:t>
            </w:r>
          </w:p>
        </w:tc>
        <w:tc>
          <w:tcPr>
            <w:tcW w:w="393" w:type="pct"/>
            <w:vMerge/>
            <w:vAlign w:val="center"/>
          </w:tcPr>
          <w:p w:rsidR="0096400C" w:rsidRPr="00D941CB" w:rsidRDefault="0096400C" w:rsidP="000E4F40">
            <w:pPr>
              <w:rPr>
                <w:rFonts w:asciiTheme="minorEastAsia" w:hAnsiTheme="minorEastAsia" w:cs="Times New Roman"/>
                <w:sz w:val="22"/>
              </w:rPr>
            </w:pPr>
          </w:p>
        </w:tc>
        <w:tc>
          <w:tcPr>
            <w:tcW w:w="1028" w:type="pct"/>
            <w:vMerge/>
            <w:vAlign w:val="center"/>
          </w:tcPr>
          <w:p w:rsidR="0096400C" w:rsidRPr="00D941CB" w:rsidRDefault="0096400C" w:rsidP="000E4F40">
            <w:pPr>
              <w:rPr>
                <w:rFonts w:asciiTheme="minorEastAsia" w:hAnsiTheme="minorEastAsia" w:cs="Times New Roman"/>
                <w:sz w:val="22"/>
              </w:rPr>
            </w:pPr>
          </w:p>
        </w:tc>
      </w:tr>
      <w:tr w:rsidR="0096400C" w:rsidRPr="00D941CB" w:rsidTr="000E4F40">
        <w:trPr>
          <w:trHeight w:val="454"/>
          <w:jc w:val="center"/>
        </w:trPr>
        <w:tc>
          <w:tcPr>
            <w:tcW w:w="2941"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穿刺部位或手臂出现剧烈麻木或疼痛.</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可能为神经刺激：穿刺血肿压迫神经所致，但血肿可不明显。疼痛并不是在穿刺进针时即刻发生，而是在穿刺后一段时间，当血肿达到足够大时才出现。</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可能为穿刺损伤神经：在穿刺进针或拔针时立刻发生放射性剧烈疼痛。</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可能为手臂疼痛：献血时或献血后数小时内手臂出现局部放射性疼痛，但没有其他表现，不宜将其归入神经刺激、神经损伤</w:t>
            </w:r>
          </w:p>
        </w:tc>
        <w:tc>
          <w:tcPr>
            <w:tcW w:w="636"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神经刺激</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神经损伤</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手臂疼痛</w:t>
            </w:r>
          </w:p>
        </w:tc>
        <w:tc>
          <w:tcPr>
            <w:tcW w:w="393"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A2类以疼痛为主要表现的不良反应</w:t>
            </w:r>
          </w:p>
        </w:tc>
        <w:tc>
          <w:tcPr>
            <w:tcW w:w="1028" w:type="pct"/>
            <w:vMerge/>
            <w:vAlign w:val="center"/>
          </w:tcPr>
          <w:p w:rsidR="0096400C" w:rsidRPr="00D941CB" w:rsidRDefault="0096400C" w:rsidP="000E4F40">
            <w:pPr>
              <w:rPr>
                <w:rFonts w:asciiTheme="minorEastAsia" w:hAnsiTheme="minorEastAsia" w:cs="Times New Roman"/>
                <w:sz w:val="22"/>
              </w:rPr>
            </w:pPr>
          </w:p>
        </w:tc>
      </w:tr>
      <w:tr w:rsidR="0096400C" w:rsidRPr="00D941CB" w:rsidTr="000E4F40">
        <w:trPr>
          <w:trHeight w:val="454"/>
          <w:jc w:val="center"/>
        </w:trPr>
        <w:tc>
          <w:tcPr>
            <w:tcW w:w="2941"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静脉穿刺部位、绷带包扎部位或皮肤消毒整个区域瘙痒、发红，甚至可出现大范围皮疹。</w:t>
            </w:r>
          </w:p>
        </w:tc>
        <w:tc>
          <w:tcPr>
            <w:tcW w:w="636"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局部皮肤过敏</w:t>
            </w:r>
          </w:p>
        </w:tc>
        <w:tc>
          <w:tcPr>
            <w:tcW w:w="393"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A3类局部炎症</w:t>
            </w:r>
          </w:p>
        </w:tc>
        <w:tc>
          <w:tcPr>
            <w:tcW w:w="1028" w:type="pct"/>
            <w:vMerge/>
            <w:vAlign w:val="center"/>
          </w:tcPr>
          <w:p w:rsidR="0096400C" w:rsidRPr="00D941CB" w:rsidRDefault="0096400C" w:rsidP="000E4F40">
            <w:pPr>
              <w:rPr>
                <w:rFonts w:asciiTheme="minorEastAsia" w:hAnsiTheme="minorEastAsia" w:cs="Times New Roman"/>
                <w:sz w:val="22"/>
              </w:rPr>
            </w:pPr>
          </w:p>
        </w:tc>
      </w:tr>
      <w:tr w:rsidR="0096400C" w:rsidRPr="00D941CB" w:rsidTr="000E4F40">
        <w:trPr>
          <w:trHeight w:val="454"/>
          <w:jc w:val="center"/>
        </w:trPr>
        <w:tc>
          <w:tcPr>
            <w:tcW w:w="2941"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表现不适，虚弱，焦虑，头晕/头昏，恶心，畏冷，出汗，呕吐，面色苍白，过度换气，脉</w:t>
            </w:r>
            <w:r w:rsidRPr="00D941CB">
              <w:rPr>
                <w:rFonts w:asciiTheme="minorEastAsia" w:hAnsiTheme="minorEastAsia" w:cs="Times New Roman" w:hint="eastAsia"/>
                <w:sz w:val="22"/>
              </w:rPr>
              <w:lastRenderedPageBreak/>
              <w:t>搏慢或快，多数症状轻微。</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诱因包括献血者心理生理因素以及血容量减少等</w:t>
            </w:r>
          </w:p>
        </w:tc>
        <w:tc>
          <w:tcPr>
            <w:tcW w:w="636"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lastRenderedPageBreak/>
              <w:t>血管迷</w:t>
            </w:r>
            <w:proofErr w:type="gramStart"/>
            <w:r w:rsidRPr="00D941CB">
              <w:rPr>
                <w:rFonts w:asciiTheme="minorEastAsia" w:hAnsiTheme="minorEastAsia" w:cs="Times New Roman" w:hint="eastAsia"/>
                <w:sz w:val="22"/>
              </w:rPr>
              <w:t>走反应</w:t>
            </w:r>
            <w:proofErr w:type="gramEnd"/>
            <w:r w:rsidRPr="00D941CB">
              <w:rPr>
                <w:rFonts w:asciiTheme="minorEastAsia" w:hAnsiTheme="minorEastAsia" w:cs="Times New Roman" w:hint="eastAsia"/>
                <w:sz w:val="22"/>
              </w:rPr>
              <w:lastRenderedPageBreak/>
              <w:t>不伴晕厥</w:t>
            </w:r>
          </w:p>
        </w:tc>
        <w:tc>
          <w:tcPr>
            <w:tcW w:w="393" w:type="pct"/>
            <w:vMerge w:val="restar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lastRenderedPageBreak/>
              <w:t>血管</w:t>
            </w:r>
            <w:r w:rsidRPr="00D941CB">
              <w:rPr>
                <w:rFonts w:asciiTheme="minorEastAsia" w:hAnsiTheme="minorEastAsia" w:cs="Times New Roman" w:hint="eastAsia"/>
                <w:sz w:val="22"/>
              </w:rPr>
              <w:lastRenderedPageBreak/>
              <w:t>迷走神经反应</w:t>
            </w:r>
          </w:p>
        </w:tc>
        <w:tc>
          <w:tcPr>
            <w:tcW w:w="1028" w:type="pct"/>
            <w:vMerge w:val="restar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lastRenderedPageBreak/>
              <w:t>B类以全身表现为主的不良</w:t>
            </w:r>
            <w:r w:rsidRPr="00D941CB">
              <w:rPr>
                <w:rFonts w:asciiTheme="minorEastAsia" w:hAnsiTheme="minorEastAsia" w:cs="Times New Roman" w:hint="eastAsia"/>
                <w:sz w:val="22"/>
              </w:rPr>
              <w:lastRenderedPageBreak/>
              <w:t>反应</w:t>
            </w:r>
          </w:p>
        </w:tc>
      </w:tr>
      <w:tr w:rsidR="0096400C" w:rsidRPr="00D941CB" w:rsidTr="000E4F40">
        <w:trPr>
          <w:trHeight w:val="454"/>
          <w:jc w:val="center"/>
        </w:trPr>
        <w:tc>
          <w:tcPr>
            <w:tcW w:w="2941"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lastRenderedPageBreak/>
              <w:t>少数症状相对严重，出现晕厥，或</w:t>
            </w:r>
            <w:proofErr w:type="gramStart"/>
            <w:r w:rsidRPr="00D941CB">
              <w:rPr>
                <w:rFonts w:asciiTheme="minorEastAsia" w:hAnsiTheme="minorEastAsia" w:cs="Times New Roman" w:hint="eastAsia"/>
                <w:sz w:val="22"/>
              </w:rPr>
              <w:t>不</w:t>
            </w:r>
            <w:proofErr w:type="gramEnd"/>
            <w:r w:rsidRPr="00D941CB">
              <w:rPr>
                <w:rFonts w:asciiTheme="minorEastAsia" w:hAnsiTheme="minorEastAsia" w:cs="Times New Roman" w:hint="eastAsia"/>
                <w:sz w:val="22"/>
              </w:rPr>
              <w:t>伴有呕吐、尿失禁、抽搐</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诱因包括献血者心理生理因素以及血容量减少等</w:t>
            </w:r>
          </w:p>
        </w:tc>
        <w:tc>
          <w:tcPr>
            <w:tcW w:w="636"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血管迷</w:t>
            </w:r>
            <w:proofErr w:type="gramStart"/>
            <w:r w:rsidRPr="00D941CB">
              <w:rPr>
                <w:rFonts w:asciiTheme="minorEastAsia" w:hAnsiTheme="minorEastAsia" w:cs="Times New Roman" w:hint="eastAsia"/>
                <w:sz w:val="22"/>
              </w:rPr>
              <w:t>走反应伴</w:t>
            </w:r>
            <w:proofErr w:type="gramEnd"/>
            <w:r w:rsidRPr="00D941CB">
              <w:rPr>
                <w:rFonts w:asciiTheme="minorEastAsia" w:hAnsiTheme="minorEastAsia" w:cs="Times New Roman" w:hint="eastAsia"/>
                <w:sz w:val="22"/>
              </w:rPr>
              <w:t>晕厥</w:t>
            </w:r>
          </w:p>
        </w:tc>
        <w:tc>
          <w:tcPr>
            <w:tcW w:w="393" w:type="pct"/>
            <w:vMerge/>
            <w:vAlign w:val="center"/>
          </w:tcPr>
          <w:p w:rsidR="0096400C" w:rsidRPr="00D941CB" w:rsidRDefault="0096400C" w:rsidP="000E4F40">
            <w:pPr>
              <w:rPr>
                <w:rFonts w:asciiTheme="minorEastAsia" w:hAnsiTheme="minorEastAsia" w:cs="Times New Roman"/>
                <w:sz w:val="22"/>
              </w:rPr>
            </w:pPr>
          </w:p>
        </w:tc>
        <w:tc>
          <w:tcPr>
            <w:tcW w:w="1028" w:type="pct"/>
            <w:vMerge/>
            <w:vAlign w:val="center"/>
          </w:tcPr>
          <w:p w:rsidR="0096400C" w:rsidRPr="00D941CB" w:rsidRDefault="0096400C" w:rsidP="000E4F40">
            <w:pPr>
              <w:rPr>
                <w:rFonts w:asciiTheme="minorEastAsia" w:hAnsiTheme="minorEastAsia" w:cs="Times New Roman"/>
                <w:sz w:val="22"/>
              </w:rPr>
            </w:pPr>
          </w:p>
        </w:tc>
      </w:tr>
      <w:tr w:rsidR="0096400C" w:rsidRPr="00D941CB" w:rsidTr="000E4F40">
        <w:trPr>
          <w:trHeight w:val="454"/>
          <w:jc w:val="center"/>
        </w:trPr>
        <w:tc>
          <w:tcPr>
            <w:tcW w:w="2941"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口唇麻木或震颤，感觉震颤，手指麻木或震颤，金属味，畏冷，发抖，头重脚轻，酒醉感，头重脚轻，酒醉感，肌肉抽动，脉搏快或慢，呼吸短促</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枸橼酸盐是单采血液成分常用的抗凝剂，通过</w:t>
            </w:r>
            <w:proofErr w:type="gramStart"/>
            <w:r w:rsidRPr="00D941CB">
              <w:rPr>
                <w:rFonts w:asciiTheme="minorEastAsia" w:hAnsiTheme="minorEastAsia" w:cs="Times New Roman" w:hint="eastAsia"/>
                <w:sz w:val="22"/>
              </w:rPr>
              <w:t>螯合钙</w:t>
            </w:r>
            <w:proofErr w:type="gramEnd"/>
            <w:r w:rsidRPr="00D941CB">
              <w:rPr>
                <w:rFonts w:asciiTheme="minorEastAsia" w:hAnsiTheme="minorEastAsia" w:cs="Times New Roman" w:hint="eastAsia"/>
                <w:sz w:val="22"/>
              </w:rPr>
              <w:t>离子而发挥抗凝作用。在单采过程中，较大量枸橼酸盐回输到献血者体内，可引发低钙血症和低镁血症</w:t>
            </w:r>
          </w:p>
        </w:tc>
        <w:tc>
          <w:tcPr>
            <w:tcW w:w="1029" w:type="pct"/>
            <w:gridSpan w:val="2"/>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枸橼酸盐反应</w:t>
            </w:r>
          </w:p>
        </w:tc>
        <w:tc>
          <w:tcPr>
            <w:tcW w:w="1028" w:type="pct"/>
            <w:vMerge w:val="restar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C</w:t>
            </w:r>
            <w:proofErr w:type="gramStart"/>
            <w:r w:rsidRPr="00D941CB">
              <w:rPr>
                <w:rFonts w:asciiTheme="minorEastAsia" w:hAnsiTheme="minorEastAsia" w:cs="Times New Roman" w:hint="eastAsia"/>
                <w:sz w:val="22"/>
              </w:rPr>
              <w:t>类单采血</w:t>
            </w:r>
            <w:proofErr w:type="gramEnd"/>
            <w:r w:rsidRPr="00D941CB">
              <w:rPr>
                <w:rFonts w:asciiTheme="minorEastAsia" w:hAnsiTheme="minorEastAsia" w:cs="Times New Roman" w:hint="eastAsia"/>
                <w:sz w:val="22"/>
              </w:rPr>
              <w:t>液成分相关不良反应</w:t>
            </w:r>
          </w:p>
        </w:tc>
      </w:tr>
      <w:tr w:rsidR="0096400C" w:rsidRPr="00D941CB" w:rsidTr="000E4F40">
        <w:trPr>
          <w:trHeight w:val="454"/>
          <w:jc w:val="center"/>
        </w:trPr>
        <w:tc>
          <w:tcPr>
            <w:tcW w:w="2941"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血浆呈粉红色或红色，管路或滤器中的血液呈暗黑色。献血者可能发现献血后尿液呈粉红色或红色</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献血者红细胞膜脆性高或在单采过程中红细胞受到损伤所致</w:t>
            </w:r>
          </w:p>
        </w:tc>
        <w:tc>
          <w:tcPr>
            <w:tcW w:w="1029" w:type="pct"/>
            <w:gridSpan w:val="2"/>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轻微溶血反应（体外发现）</w:t>
            </w:r>
          </w:p>
        </w:tc>
        <w:tc>
          <w:tcPr>
            <w:tcW w:w="1028" w:type="pct"/>
            <w:vMerge/>
            <w:vAlign w:val="center"/>
          </w:tcPr>
          <w:p w:rsidR="0096400C" w:rsidRPr="00D941CB" w:rsidRDefault="0096400C" w:rsidP="000E4F40">
            <w:pPr>
              <w:rPr>
                <w:rFonts w:asciiTheme="minorEastAsia" w:hAnsiTheme="minorEastAsia" w:cs="Times New Roman"/>
                <w:sz w:val="22"/>
              </w:rPr>
            </w:pPr>
          </w:p>
        </w:tc>
      </w:tr>
      <w:tr w:rsidR="0096400C" w:rsidRPr="00D941CB" w:rsidTr="000E4F40">
        <w:trPr>
          <w:trHeight w:val="454"/>
          <w:jc w:val="center"/>
        </w:trPr>
        <w:tc>
          <w:tcPr>
            <w:tcW w:w="2941"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个别出现痉挛性腹疼。</w:t>
            </w:r>
          </w:p>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原因不明。</w:t>
            </w:r>
          </w:p>
        </w:tc>
        <w:tc>
          <w:tcPr>
            <w:tcW w:w="1029" w:type="pct"/>
            <w:gridSpan w:val="2"/>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不属于上述类型的其他献血不良反应</w:t>
            </w:r>
          </w:p>
        </w:tc>
        <w:tc>
          <w:tcPr>
            <w:tcW w:w="1028" w:type="pct"/>
            <w:vAlign w:val="center"/>
          </w:tcPr>
          <w:p w:rsidR="0096400C" w:rsidRPr="00D941CB" w:rsidRDefault="0096400C" w:rsidP="000E4F40">
            <w:pPr>
              <w:rPr>
                <w:rFonts w:asciiTheme="minorEastAsia" w:hAnsiTheme="minorEastAsia" w:cs="Times New Roman"/>
                <w:sz w:val="22"/>
              </w:rPr>
            </w:pPr>
            <w:r w:rsidRPr="00D941CB">
              <w:rPr>
                <w:rFonts w:asciiTheme="minorEastAsia" w:hAnsiTheme="minorEastAsia" w:cs="Times New Roman" w:hint="eastAsia"/>
                <w:sz w:val="22"/>
              </w:rPr>
              <w:t>D类献血相关其他不良反应</w:t>
            </w:r>
          </w:p>
        </w:tc>
      </w:tr>
    </w:tbl>
    <w:p w:rsidR="0096400C" w:rsidRDefault="0096400C" w:rsidP="0096400C">
      <w:pPr>
        <w:pStyle w:val="a4"/>
        <w:spacing w:line="300" w:lineRule="auto"/>
        <w:ind w:firstLineChars="192" w:firstLine="422"/>
        <w:rPr>
          <w:rFonts w:ascii="Times New Roman" w:hAnsi="Times New Roman" w:cs="Times New Roman"/>
          <w:sz w:val="22"/>
        </w:rPr>
      </w:pPr>
    </w:p>
    <w:p w:rsidR="0096400C" w:rsidRPr="0095630A"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9.3.5</w:t>
      </w:r>
      <w:r w:rsidRPr="0095630A">
        <w:rPr>
          <w:rFonts w:ascii="Times New Roman" w:hAnsi="Times New Roman" w:cs="Times New Roman" w:hint="eastAsia"/>
          <w:sz w:val="22"/>
        </w:rPr>
        <w:t>献血场所人身损害</w:t>
      </w:r>
    </w:p>
    <w:p w:rsidR="0096400C" w:rsidRPr="0095630A" w:rsidRDefault="0096400C" w:rsidP="0096400C">
      <w:pPr>
        <w:pStyle w:val="a4"/>
        <w:spacing w:line="300" w:lineRule="auto"/>
        <w:ind w:firstLineChars="192" w:firstLine="422"/>
        <w:rPr>
          <w:rFonts w:ascii="Times New Roman" w:hAnsi="Times New Roman" w:cs="Times New Roman"/>
          <w:sz w:val="22"/>
        </w:rPr>
      </w:pPr>
      <w:r w:rsidRPr="0095630A">
        <w:rPr>
          <w:rFonts w:ascii="Times New Roman" w:hAnsi="Times New Roman" w:cs="Times New Roman" w:hint="eastAsia"/>
          <w:sz w:val="22"/>
        </w:rPr>
        <w:t>在献血点区域范围内，因献血活动过程中发生相关事故，保障包含固定采血场所、临时采血场所，涵盖两类事故情形：</w:t>
      </w:r>
    </w:p>
    <w:p w:rsidR="0096400C" w:rsidRPr="0095630A" w:rsidRDefault="0096400C" w:rsidP="0096400C">
      <w:pPr>
        <w:pStyle w:val="a4"/>
        <w:spacing w:line="300" w:lineRule="auto"/>
        <w:ind w:firstLineChars="192" w:firstLine="422"/>
        <w:rPr>
          <w:rFonts w:ascii="Times New Roman" w:hAnsi="Times New Roman" w:cs="Times New Roman"/>
          <w:sz w:val="22"/>
        </w:rPr>
      </w:pPr>
      <w:r w:rsidRPr="0095630A">
        <w:rPr>
          <w:rFonts w:ascii="Times New Roman" w:hAnsi="Times New Roman" w:cs="Times New Roman" w:hint="eastAsia"/>
          <w:sz w:val="22"/>
        </w:rPr>
        <w:t>（</w:t>
      </w:r>
      <w:r w:rsidRPr="0095630A">
        <w:rPr>
          <w:rFonts w:ascii="Times New Roman" w:hAnsi="Times New Roman" w:cs="Times New Roman" w:hint="eastAsia"/>
          <w:sz w:val="22"/>
        </w:rPr>
        <w:t>1</w:t>
      </w:r>
      <w:r w:rsidRPr="0095630A">
        <w:rPr>
          <w:rFonts w:ascii="Times New Roman" w:hAnsi="Times New Roman" w:cs="Times New Roman" w:hint="eastAsia"/>
          <w:sz w:val="22"/>
        </w:rPr>
        <w:t>）场地安全意外：献血者在固定以及临时采血点的采血大厅、候采区、楼梯、通道、卫生间、院内通行区域等区域发生滑倒、摔伤、磕碰、坠落等人身意外；</w:t>
      </w:r>
    </w:p>
    <w:p w:rsidR="0096400C" w:rsidRPr="0095630A" w:rsidRDefault="0096400C" w:rsidP="0096400C">
      <w:pPr>
        <w:pStyle w:val="a4"/>
        <w:spacing w:line="300" w:lineRule="auto"/>
        <w:ind w:firstLineChars="192" w:firstLine="422"/>
        <w:rPr>
          <w:rFonts w:ascii="Times New Roman" w:hAnsi="Times New Roman" w:cs="Times New Roman"/>
          <w:sz w:val="22"/>
        </w:rPr>
      </w:pPr>
      <w:r w:rsidRPr="0095630A">
        <w:rPr>
          <w:rFonts w:ascii="Times New Roman" w:hAnsi="Times New Roman" w:cs="Times New Roman" w:hint="eastAsia"/>
          <w:sz w:val="22"/>
        </w:rPr>
        <w:t>（</w:t>
      </w:r>
      <w:r w:rsidRPr="0095630A">
        <w:rPr>
          <w:rFonts w:ascii="Times New Roman" w:hAnsi="Times New Roman" w:cs="Times New Roman" w:hint="eastAsia"/>
          <w:sz w:val="22"/>
        </w:rPr>
        <w:t>2</w:t>
      </w:r>
      <w:r w:rsidRPr="0095630A">
        <w:rPr>
          <w:rFonts w:ascii="Times New Roman" w:hAnsi="Times New Roman" w:cs="Times New Roman" w:hint="eastAsia"/>
          <w:sz w:val="22"/>
        </w:rPr>
        <w:t>）献血不良反应事故：因献血不良反应造成献血者身故、伤残以及为抢救献血员或者避免人员伤亡，产生的必要、合理的费用。</w:t>
      </w:r>
      <w:r w:rsidRPr="0095630A">
        <w:rPr>
          <w:rFonts w:ascii="Times New Roman" w:hAnsi="Times New Roman" w:cs="Times New Roman" w:hint="eastAsia"/>
          <w:sz w:val="22"/>
        </w:rPr>
        <w:t xml:space="preserve"> </w:t>
      </w:r>
    </w:p>
    <w:p w:rsidR="0096400C" w:rsidRPr="0095630A" w:rsidRDefault="0096400C" w:rsidP="0096400C">
      <w:pPr>
        <w:pStyle w:val="a4"/>
        <w:spacing w:line="300" w:lineRule="auto"/>
        <w:ind w:firstLineChars="192" w:firstLine="422"/>
        <w:rPr>
          <w:rFonts w:ascii="Times New Roman" w:hAnsi="Times New Roman" w:cs="Times New Roman"/>
          <w:sz w:val="22"/>
        </w:rPr>
      </w:pPr>
      <w:r w:rsidRPr="0095630A">
        <w:rPr>
          <w:rFonts w:ascii="Times New Roman" w:hAnsi="Times New Roman" w:cs="Times New Roman" w:hint="eastAsia"/>
          <w:sz w:val="22"/>
        </w:rPr>
        <w:t>针对上述情形，保险承担以下赔付责任：</w:t>
      </w:r>
    </w:p>
    <w:p w:rsidR="0096400C" w:rsidRPr="0095630A" w:rsidRDefault="0096400C" w:rsidP="0096400C">
      <w:pPr>
        <w:pStyle w:val="a4"/>
        <w:spacing w:line="300" w:lineRule="auto"/>
        <w:ind w:firstLineChars="192" w:firstLine="422"/>
        <w:rPr>
          <w:rFonts w:ascii="Times New Roman" w:hAnsi="Times New Roman" w:cs="Times New Roman"/>
          <w:sz w:val="22"/>
        </w:rPr>
      </w:pPr>
      <w:r w:rsidRPr="0095630A">
        <w:rPr>
          <w:rFonts w:ascii="Times New Roman" w:hAnsi="Times New Roman" w:cs="Times New Roman" w:hint="eastAsia"/>
          <w:sz w:val="22"/>
        </w:rPr>
        <w:t>（</w:t>
      </w:r>
      <w:r w:rsidRPr="0095630A">
        <w:rPr>
          <w:rFonts w:ascii="Times New Roman" w:hAnsi="Times New Roman" w:cs="Times New Roman" w:hint="eastAsia"/>
          <w:sz w:val="22"/>
        </w:rPr>
        <w:t>1</w:t>
      </w:r>
      <w:r w:rsidRPr="0095630A">
        <w:rPr>
          <w:rFonts w:ascii="Times New Roman" w:hAnsi="Times New Roman" w:cs="Times New Roman" w:hint="eastAsia"/>
          <w:sz w:val="22"/>
        </w:rPr>
        <w:t>）献血者因前述场地意外、献血不良反应导致死亡或伤残的赔偿金；</w:t>
      </w:r>
    </w:p>
    <w:p w:rsidR="0096400C" w:rsidRPr="0095630A" w:rsidRDefault="0096400C" w:rsidP="0096400C">
      <w:pPr>
        <w:pStyle w:val="a4"/>
        <w:spacing w:line="300" w:lineRule="auto"/>
        <w:ind w:firstLineChars="192" w:firstLine="422"/>
        <w:rPr>
          <w:rFonts w:ascii="Times New Roman" w:hAnsi="Times New Roman" w:cs="Times New Roman"/>
          <w:sz w:val="22"/>
        </w:rPr>
      </w:pPr>
      <w:r w:rsidRPr="0095630A">
        <w:rPr>
          <w:rFonts w:ascii="Times New Roman" w:hAnsi="Times New Roman" w:cs="Times New Roman" w:hint="eastAsia"/>
          <w:sz w:val="22"/>
        </w:rPr>
        <w:t>（</w:t>
      </w:r>
      <w:r w:rsidRPr="0095630A">
        <w:rPr>
          <w:rFonts w:ascii="Times New Roman" w:hAnsi="Times New Roman" w:cs="Times New Roman" w:hint="eastAsia"/>
          <w:sz w:val="22"/>
        </w:rPr>
        <w:t>2</w:t>
      </w:r>
      <w:r w:rsidRPr="0095630A">
        <w:rPr>
          <w:rFonts w:ascii="Times New Roman" w:hAnsi="Times New Roman" w:cs="Times New Roman" w:hint="eastAsia"/>
          <w:sz w:val="22"/>
        </w:rPr>
        <w:t>）献血者遭受伤害所产生的医疗、住院津贴相关费用；</w:t>
      </w:r>
    </w:p>
    <w:p w:rsidR="0096400C" w:rsidRPr="0095630A" w:rsidRDefault="0096400C" w:rsidP="0096400C">
      <w:pPr>
        <w:pStyle w:val="a4"/>
        <w:spacing w:line="300" w:lineRule="auto"/>
        <w:ind w:firstLineChars="192" w:firstLine="422"/>
        <w:rPr>
          <w:rFonts w:ascii="Times New Roman" w:hAnsi="Times New Roman" w:cs="Times New Roman"/>
          <w:sz w:val="22"/>
        </w:rPr>
      </w:pPr>
      <w:r w:rsidRPr="0095630A">
        <w:rPr>
          <w:rFonts w:ascii="Times New Roman" w:hAnsi="Times New Roman" w:cs="Times New Roman" w:hint="eastAsia"/>
          <w:sz w:val="22"/>
        </w:rPr>
        <w:t>（</w:t>
      </w:r>
      <w:r w:rsidRPr="0095630A">
        <w:rPr>
          <w:rFonts w:ascii="Times New Roman" w:hAnsi="Times New Roman" w:cs="Times New Roman" w:hint="eastAsia"/>
          <w:sz w:val="22"/>
        </w:rPr>
        <w:t>3</w:t>
      </w:r>
      <w:r w:rsidRPr="0095630A">
        <w:rPr>
          <w:rFonts w:ascii="Times New Roman" w:hAnsi="Times New Roman" w:cs="Times New Roman" w:hint="eastAsia"/>
          <w:sz w:val="22"/>
        </w:rPr>
        <w:t>）被保险人为抢救受伤献血者、避免人员伤亡扩大，产生的必要、合理施救费用；</w:t>
      </w:r>
    </w:p>
    <w:p w:rsidR="0096400C" w:rsidRPr="00B00B69" w:rsidRDefault="0096400C" w:rsidP="0096400C">
      <w:pPr>
        <w:pStyle w:val="a4"/>
        <w:spacing w:line="300" w:lineRule="auto"/>
        <w:ind w:firstLineChars="192" w:firstLine="422"/>
        <w:rPr>
          <w:rFonts w:ascii="Times New Roman" w:hAnsi="Times New Roman" w:cs="Times New Roman"/>
          <w:sz w:val="22"/>
        </w:rPr>
      </w:pPr>
      <w:r w:rsidRPr="0095630A">
        <w:rPr>
          <w:rFonts w:ascii="Times New Roman" w:hAnsi="Times New Roman" w:cs="Times New Roman" w:hint="eastAsia"/>
          <w:sz w:val="22"/>
        </w:rPr>
        <w:t>（</w:t>
      </w:r>
      <w:r w:rsidRPr="0095630A">
        <w:rPr>
          <w:rFonts w:ascii="Times New Roman" w:hAnsi="Times New Roman" w:cs="Times New Roman" w:hint="eastAsia"/>
          <w:sz w:val="22"/>
        </w:rPr>
        <w:t>4</w:t>
      </w:r>
      <w:r w:rsidRPr="0095630A">
        <w:rPr>
          <w:rFonts w:ascii="Times New Roman" w:hAnsi="Times New Roman" w:cs="Times New Roman" w:hint="eastAsia"/>
          <w:sz w:val="22"/>
        </w:rPr>
        <w:t>）保险事故发生后，被保险人因本次事故被提起仲裁或者诉讼的，对应由被保险人支付的仲裁或诉讼费用，以及事先经保险人书面同意支付的其他必要、合理费用。</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9.3.6</w:t>
      </w:r>
      <w:r w:rsidRPr="0045689D">
        <w:rPr>
          <w:rFonts w:ascii="Times New Roman" w:hAnsi="Times New Roman" w:cs="Times New Roman" w:hint="eastAsia"/>
          <w:sz w:val="22"/>
        </w:rPr>
        <w:t>赔偿处理约定</w:t>
      </w:r>
    </w:p>
    <w:p w:rsidR="0096400C" w:rsidRPr="0045689D" w:rsidRDefault="0096400C" w:rsidP="0096400C">
      <w:pPr>
        <w:pStyle w:val="a4"/>
        <w:spacing w:line="300" w:lineRule="auto"/>
        <w:ind w:firstLineChars="192" w:firstLine="422"/>
        <w:rPr>
          <w:rFonts w:ascii="Times New Roman" w:hAnsi="Times New Roman" w:cs="Times New Roman"/>
          <w:sz w:val="22"/>
        </w:rPr>
      </w:pPr>
      <w:r w:rsidRPr="0045689D">
        <w:rPr>
          <w:rFonts w:ascii="Times New Roman" w:hAnsi="Times New Roman" w:cs="Times New Roman" w:hint="eastAsia"/>
          <w:sz w:val="22"/>
        </w:rPr>
        <w:t>（</w:t>
      </w:r>
      <w:r w:rsidRPr="0045689D">
        <w:rPr>
          <w:rFonts w:ascii="Times New Roman" w:hAnsi="Times New Roman" w:cs="Times New Roman" w:hint="eastAsia"/>
          <w:sz w:val="22"/>
        </w:rPr>
        <w:t>1</w:t>
      </w:r>
      <w:r w:rsidRPr="0045689D">
        <w:rPr>
          <w:rFonts w:ascii="Times New Roman" w:hAnsi="Times New Roman" w:cs="Times New Roman" w:hint="eastAsia"/>
          <w:sz w:val="22"/>
        </w:rPr>
        <w:t>）需建立专项服务团队，具有</w:t>
      </w:r>
      <w:r w:rsidRPr="0045689D">
        <w:rPr>
          <w:rFonts w:ascii="Times New Roman" w:hAnsi="Times New Roman" w:cs="Times New Roman" w:hint="eastAsia"/>
          <w:sz w:val="22"/>
        </w:rPr>
        <w:t>24</w:t>
      </w:r>
      <w:r w:rsidRPr="0045689D">
        <w:rPr>
          <w:rFonts w:ascii="Times New Roman" w:hAnsi="Times New Roman" w:cs="Times New Roman" w:hint="eastAsia"/>
          <w:sz w:val="22"/>
        </w:rPr>
        <w:t>小时全天候服务保障能力</w:t>
      </w:r>
    </w:p>
    <w:p w:rsidR="0096400C" w:rsidRPr="0045689D" w:rsidRDefault="0096400C" w:rsidP="0096400C">
      <w:pPr>
        <w:pStyle w:val="a4"/>
        <w:spacing w:line="300" w:lineRule="auto"/>
        <w:ind w:firstLineChars="192" w:firstLine="422"/>
        <w:rPr>
          <w:rFonts w:ascii="Times New Roman" w:hAnsi="Times New Roman" w:cs="Times New Roman"/>
          <w:sz w:val="22"/>
        </w:rPr>
      </w:pPr>
      <w:r w:rsidRPr="0045689D">
        <w:rPr>
          <w:rFonts w:ascii="Times New Roman" w:hAnsi="Times New Roman" w:cs="Times New Roman" w:hint="eastAsia"/>
          <w:sz w:val="22"/>
        </w:rPr>
        <w:lastRenderedPageBreak/>
        <w:t>（</w:t>
      </w:r>
      <w:r w:rsidRPr="0045689D">
        <w:rPr>
          <w:rFonts w:ascii="Times New Roman" w:hAnsi="Times New Roman" w:cs="Times New Roman" w:hint="eastAsia"/>
          <w:sz w:val="22"/>
        </w:rPr>
        <w:t>2</w:t>
      </w:r>
      <w:r w:rsidRPr="0045689D">
        <w:rPr>
          <w:rFonts w:ascii="Times New Roman" w:hAnsi="Times New Roman" w:cs="Times New Roman" w:hint="eastAsia"/>
          <w:sz w:val="22"/>
        </w:rPr>
        <w:t>）需设定小额快速赔偿通道。</w:t>
      </w:r>
    </w:p>
    <w:p w:rsidR="0096400C" w:rsidRDefault="0096400C" w:rsidP="0096400C">
      <w:pPr>
        <w:pStyle w:val="a4"/>
        <w:spacing w:line="300" w:lineRule="auto"/>
        <w:ind w:firstLineChars="192" w:firstLine="422"/>
        <w:rPr>
          <w:rFonts w:ascii="Times New Roman" w:hAnsi="Times New Roman" w:cs="Times New Roman"/>
          <w:sz w:val="22"/>
        </w:rPr>
      </w:pPr>
      <w:r w:rsidRPr="0045689D">
        <w:rPr>
          <w:rFonts w:ascii="Times New Roman" w:hAnsi="Times New Roman" w:cs="Times New Roman" w:hint="eastAsia"/>
          <w:sz w:val="22"/>
        </w:rPr>
        <w:t>（</w:t>
      </w:r>
      <w:r w:rsidRPr="0045689D">
        <w:rPr>
          <w:rFonts w:ascii="Times New Roman" w:hAnsi="Times New Roman" w:cs="Times New Roman" w:hint="eastAsia"/>
          <w:sz w:val="22"/>
        </w:rPr>
        <w:t>3</w:t>
      </w:r>
      <w:r w:rsidRPr="0045689D">
        <w:rPr>
          <w:rFonts w:ascii="Times New Roman" w:hAnsi="Times New Roman" w:cs="Times New Roman" w:hint="eastAsia"/>
          <w:sz w:val="22"/>
        </w:rPr>
        <w:t>）收到索赔材料后，承诺在</w:t>
      </w:r>
      <w:r w:rsidRPr="0045689D">
        <w:rPr>
          <w:rFonts w:ascii="Times New Roman" w:hAnsi="Times New Roman" w:cs="Times New Roman" w:hint="eastAsia"/>
          <w:sz w:val="22"/>
        </w:rPr>
        <w:t xml:space="preserve"> 15 </w:t>
      </w:r>
      <w:proofErr w:type="gramStart"/>
      <w:r w:rsidRPr="0045689D">
        <w:rPr>
          <w:rFonts w:ascii="Times New Roman" w:hAnsi="Times New Roman" w:cs="Times New Roman" w:hint="eastAsia"/>
          <w:sz w:val="22"/>
        </w:rPr>
        <w:t>个</w:t>
      </w:r>
      <w:proofErr w:type="gramEnd"/>
      <w:r w:rsidRPr="0045689D">
        <w:rPr>
          <w:rFonts w:ascii="Times New Roman" w:hAnsi="Times New Roman" w:cs="Times New Roman" w:hint="eastAsia"/>
          <w:sz w:val="22"/>
        </w:rPr>
        <w:t>工作日内完成理赔审核并完成支付。</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9.3.7</w:t>
      </w:r>
      <w:r w:rsidRPr="0045689D">
        <w:rPr>
          <w:rFonts w:ascii="Times New Roman" w:hAnsi="Times New Roman" w:cs="Times New Roman" w:hint="eastAsia"/>
          <w:sz w:val="22"/>
        </w:rPr>
        <w:t>保险服务需求</w:t>
      </w:r>
    </w:p>
    <w:p w:rsidR="0096400C" w:rsidRDefault="0096400C" w:rsidP="0096400C">
      <w:pPr>
        <w:pStyle w:val="a4"/>
        <w:spacing w:line="300" w:lineRule="auto"/>
        <w:ind w:firstLineChars="192" w:firstLine="422"/>
        <w:rPr>
          <w:rFonts w:ascii="Times New Roman" w:hAnsi="Times New Roman" w:cs="Times New Roman"/>
          <w:sz w:val="22"/>
        </w:rPr>
      </w:pPr>
      <w:r w:rsidRPr="0045689D">
        <w:rPr>
          <w:rFonts w:ascii="Times New Roman" w:hAnsi="Times New Roman" w:cs="Times New Roman" w:hint="eastAsia"/>
          <w:sz w:val="22"/>
        </w:rPr>
        <w:t>投标人应具备专业律师团队或法律顾问，对于诉讼案件或纠纷事由，投标人能够为被保险人提供法律援助服务</w:t>
      </w:r>
      <w:r>
        <w:rPr>
          <w:rFonts w:ascii="Times New Roman" w:hAnsi="Times New Roman" w:cs="Times New Roman" w:hint="eastAsia"/>
          <w:sz w:val="22"/>
        </w:rPr>
        <w:t>。</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9.3.8</w:t>
      </w:r>
      <w:r>
        <w:rPr>
          <w:rFonts w:ascii="Times New Roman" w:hAnsi="Times New Roman" w:cs="Times New Roman" w:hint="eastAsia"/>
          <w:sz w:val="22"/>
        </w:rPr>
        <w:t>人员要求</w:t>
      </w:r>
    </w:p>
    <w:p w:rsidR="0096400C" w:rsidRDefault="0096400C" w:rsidP="0096400C">
      <w:pPr>
        <w:pStyle w:val="a4"/>
        <w:spacing w:line="300" w:lineRule="auto"/>
        <w:ind w:firstLineChars="192" w:firstLine="422"/>
        <w:rPr>
          <w:rFonts w:ascii="Times New Roman" w:hAnsi="Times New Roman" w:cs="Times New Roman"/>
          <w:sz w:val="22"/>
        </w:rPr>
      </w:pPr>
      <w:r w:rsidRPr="00BB31D8">
        <w:rPr>
          <w:rFonts w:hint="eastAsia"/>
          <w:bCs/>
          <w:sz w:val="22"/>
        </w:rPr>
        <w:t>设有专门的服务团队，项目工作组至少配备</w:t>
      </w:r>
      <w:r w:rsidRPr="00BB31D8">
        <w:rPr>
          <w:rFonts w:hint="eastAsia"/>
          <w:bCs/>
          <w:sz w:val="22"/>
        </w:rPr>
        <w:t>5</w:t>
      </w:r>
      <w:r w:rsidRPr="00BB31D8">
        <w:rPr>
          <w:rFonts w:hint="eastAsia"/>
          <w:bCs/>
          <w:sz w:val="22"/>
        </w:rPr>
        <w:t>人。需要配备项目负责人、理赔、技术支持、</w:t>
      </w:r>
      <w:proofErr w:type="gramStart"/>
      <w:r w:rsidRPr="00BB31D8">
        <w:rPr>
          <w:rFonts w:hint="eastAsia"/>
          <w:bCs/>
          <w:sz w:val="22"/>
        </w:rPr>
        <w:t>日常负责</w:t>
      </w:r>
      <w:proofErr w:type="gramEnd"/>
      <w:r w:rsidRPr="00BB31D8">
        <w:rPr>
          <w:rFonts w:hint="eastAsia"/>
          <w:bCs/>
          <w:sz w:val="22"/>
        </w:rPr>
        <w:t>等人员。服务人员无不良信用和违法犯罪记录，服务人员有多年的采供血责任保险相关项目经验，可提供保险相关专业资质证书扫描件</w:t>
      </w:r>
      <w:r>
        <w:rPr>
          <w:rFonts w:ascii="Times New Roman" w:hAnsi="Times New Roman" w:cs="Times New Roman" w:hint="eastAsia"/>
          <w:sz w:val="22"/>
        </w:rPr>
        <w:t>。</w:t>
      </w:r>
    </w:p>
    <w:p w:rsidR="0096400C" w:rsidRDefault="0096400C" w:rsidP="0096400C">
      <w:pPr>
        <w:pStyle w:val="a4"/>
        <w:spacing w:line="300" w:lineRule="auto"/>
        <w:ind w:firstLineChars="192" w:firstLine="422"/>
        <w:rPr>
          <w:rFonts w:ascii="Times New Roman" w:hAnsi="Times New Roman" w:cs="Times New Roman"/>
          <w:sz w:val="22"/>
        </w:rPr>
      </w:pPr>
      <w:r w:rsidRPr="00BB31D8">
        <w:rPr>
          <w:rFonts w:ascii="Times New Roman" w:hAnsi="Times New Roman" w:cs="Times New Roman" w:hint="eastAsia"/>
          <w:sz w:val="22"/>
        </w:rPr>
        <w:t>在服务期限内，项目组成员应保持稳定，以保证服务工作的正常进行。中标人可根据项目实际需求和业务需要对成员</w:t>
      </w:r>
      <w:proofErr w:type="gramStart"/>
      <w:r w:rsidRPr="00BB31D8">
        <w:rPr>
          <w:rFonts w:ascii="Times New Roman" w:hAnsi="Times New Roman" w:cs="Times New Roman" w:hint="eastAsia"/>
          <w:sz w:val="22"/>
        </w:rPr>
        <w:t>作出</w:t>
      </w:r>
      <w:proofErr w:type="gramEnd"/>
      <w:r w:rsidRPr="00BB31D8">
        <w:rPr>
          <w:rFonts w:ascii="Times New Roman" w:hAnsi="Times New Roman" w:cs="Times New Roman" w:hint="eastAsia"/>
          <w:sz w:val="22"/>
        </w:rPr>
        <w:t>合理调整。若更换人员，应以相当资格与技能的人员替换，同时须经采购人备案同意后方可更换</w:t>
      </w:r>
      <w:r>
        <w:rPr>
          <w:rFonts w:ascii="Times New Roman" w:hAnsi="Times New Roman" w:cs="Times New Roman" w:hint="eastAsia"/>
          <w:sz w:val="22"/>
        </w:rPr>
        <w:t>。</w:t>
      </w:r>
    </w:p>
    <w:p w:rsidR="0096400C" w:rsidRDefault="0096400C" w:rsidP="0096400C">
      <w:pPr>
        <w:spacing w:line="300" w:lineRule="auto"/>
        <w:ind w:firstLineChars="192" w:firstLine="424"/>
        <w:outlineLvl w:val="2"/>
        <w:rPr>
          <w:rFonts w:ascii="Times New Roman" w:hAnsi="Times New Roman" w:cs="Times New Roman"/>
          <w:b/>
          <w:sz w:val="22"/>
        </w:rPr>
      </w:pPr>
      <w:bookmarkStart w:id="13" w:name="_Toc235104107"/>
      <w:r>
        <w:rPr>
          <w:rFonts w:ascii="Times New Roman" w:hAnsi="Times New Roman" w:cs="Times New Roman"/>
          <w:b/>
          <w:sz w:val="22"/>
        </w:rPr>
        <w:t>10</w:t>
      </w:r>
      <w:r>
        <w:rPr>
          <w:rFonts w:ascii="Times New Roman" w:hAnsi="Times New Roman" w:cs="Times New Roman"/>
          <w:b/>
          <w:sz w:val="22"/>
        </w:rPr>
        <w:t>应急处置要求</w:t>
      </w:r>
      <w:bookmarkEnd w:id="13"/>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10. 1</w:t>
      </w:r>
      <w:r>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10.2</w:t>
      </w:r>
      <w:r>
        <w:rPr>
          <w:rFonts w:ascii="Times New Roman" w:hAnsi="Times New Roman" w:cs="Times New Roman"/>
          <w:sz w:val="22"/>
        </w:rPr>
        <w:t>建立应急指挥领导小组，负责应急救援总体指挥，并落实各部门职责和相关措施。</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10.</w:t>
      </w:r>
      <w:r>
        <w:rPr>
          <w:rFonts w:ascii="Times New Roman" w:hAnsi="Times New Roman" w:cs="Times New Roman" w:hint="eastAsia"/>
          <w:sz w:val="22"/>
        </w:rPr>
        <w:t>3</w:t>
      </w:r>
      <w:r>
        <w:rPr>
          <w:rFonts w:ascii="Times New Roman" w:hAnsi="Times New Roman" w:cs="Times New Roman"/>
          <w:sz w:val="22"/>
        </w:rPr>
        <w:t xml:space="preserve"> </w:t>
      </w:r>
      <w:r>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rsidR="0096400C" w:rsidRDefault="0096400C" w:rsidP="0096400C">
      <w:pPr>
        <w:spacing w:line="300" w:lineRule="auto"/>
        <w:ind w:firstLineChars="192" w:firstLine="424"/>
        <w:outlineLvl w:val="2"/>
        <w:rPr>
          <w:rFonts w:ascii="Times New Roman" w:hAnsi="Times New Roman" w:cs="Times New Roman"/>
          <w:b/>
          <w:sz w:val="22"/>
        </w:rPr>
      </w:pPr>
      <w:bookmarkStart w:id="14" w:name="_Toc235104108"/>
      <w:r>
        <w:rPr>
          <w:rFonts w:ascii="Times New Roman" w:hAnsi="Times New Roman" w:cs="Times New Roman"/>
          <w:b/>
          <w:sz w:val="22"/>
        </w:rPr>
        <w:t>11</w:t>
      </w:r>
      <w:r>
        <w:rPr>
          <w:rFonts w:ascii="Times New Roman" w:hAnsi="Times New Roman" w:cs="Times New Roman"/>
          <w:b/>
          <w:sz w:val="22"/>
        </w:rPr>
        <w:t>管理要求</w:t>
      </w:r>
      <w:bookmarkEnd w:id="14"/>
    </w:p>
    <w:p w:rsidR="0096400C" w:rsidRDefault="0096400C" w:rsidP="0096400C">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11. 1</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96400C" w:rsidRDefault="0096400C" w:rsidP="0096400C">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96400C" w:rsidRDefault="0096400C" w:rsidP="0096400C">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11. 3</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Pr>
          <w:rFonts w:ascii="Times New Roman" w:hAnsi="Times New Roman" w:cs="Times New Roman"/>
          <w:sz w:val="22"/>
        </w:rPr>
        <w:t>作出</w:t>
      </w:r>
      <w:proofErr w:type="gramEnd"/>
      <w:r>
        <w:rPr>
          <w:rFonts w:ascii="Times New Roman" w:hAnsi="Times New Roman" w:cs="Times New Roman"/>
          <w:sz w:val="22"/>
        </w:rPr>
        <w:t>更好的调整。</w:t>
      </w:r>
    </w:p>
    <w:p w:rsidR="0096400C" w:rsidRDefault="0096400C" w:rsidP="0096400C">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11. 4</w:t>
      </w:r>
      <w:r>
        <w:rPr>
          <w:rFonts w:ascii="Times New Roman" w:hAnsi="Times New Roman" w:cs="Times New Roman"/>
          <w:sz w:val="22"/>
        </w:rPr>
        <w:t>中标人需建立职工（含劳务工等各种类型用工）花名册等档案资料，与职工签</w:t>
      </w:r>
      <w:r>
        <w:rPr>
          <w:rFonts w:ascii="Times New Roman" w:hAnsi="Times New Roman" w:cs="Times New Roman"/>
          <w:sz w:val="22"/>
        </w:rPr>
        <w:lastRenderedPageBreak/>
        <w:t>订劳动合同，为其办理国家规定的相关保险，并按规定标准安排专业健康体检和配备劳动防护用品。</w:t>
      </w:r>
    </w:p>
    <w:p w:rsidR="0096400C" w:rsidRDefault="0096400C" w:rsidP="0096400C">
      <w:pPr>
        <w:spacing w:line="300" w:lineRule="auto"/>
        <w:ind w:firstLineChars="192" w:firstLine="422"/>
        <w:rPr>
          <w:rFonts w:ascii="Times New Roman" w:hAnsi="Times New Roman" w:cs="Times New Roman"/>
          <w:sz w:val="22"/>
        </w:rPr>
      </w:pPr>
    </w:p>
    <w:p w:rsidR="0096400C" w:rsidRDefault="0096400C" w:rsidP="0096400C">
      <w:pPr>
        <w:spacing w:line="300" w:lineRule="auto"/>
        <w:ind w:firstLineChars="192" w:firstLine="424"/>
        <w:outlineLvl w:val="2"/>
        <w:rPr>
          <w:rFonts w:ascii="Times New Roman" w:hAnsi="Times New Roman" w:cs="Times New Roman"/>
          <w:b/>
          <w:sz w:val="22"/>
        </w:rPr>
      </w:pPr>
      <w:bookmarkStart w:id="15" w:name="_Toc235104109"/>
      <w:r>
        <w:rPr>
          <w:rFonts w:ascii="Times New Roman" w:hAnsi="Times New Roman" w:cs="Times New Roman"/>
          <w:b/>
          <w:sz w:val="22"/>
        </w:rPr>
        <w:t>12</w:t>
      </w:r>
      <w:r>
        <w:rPr>
          <w:rFonts w:ascii="Times New Roman" w:hAnsi="Times New Roman" w:cs="Times New Roman"/>
          <w:b/>
          <w:sz w:val="22"/>
        </w:rPr>
        <w:t>保密要求</w:t>
      </w:r>
      <w:bookmarkEnd w:id="15"/>
    </w:p>
    <w:p w:rsidR="0096400C" w:rsidRDefault="0096400C" w:rsidP="0096400C">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96400C" w:rsidRDefault="0096400C" w:rsidP="0096400C">
      <w:pPr>
        <w:spacing w:line="300" w:lineRule="auto"/>
        <w:rPr>
          <w:rFonts w:ascii="Times New Roman" w:hAnsi="Times New Roman" w:cs="Times New Roman"/>
          <w:sz w:val="20"/>
          <w:szCs w:val="20"/>
        </w:rPr>
      </w:pPr>
    </w:p>
    <w:p w:rsidR="0096400C" w:rsidRDefault="0096400C" w:rsidP="0096400C">
      <w:pPr>
        <w:adjustRightInd w:val="0"/>
        <w:snapToGrid w:val="0"/>
        <w:spacing w:line="300" w:lineRule="auto"/>
        <w:jc w:val="center"/>
        <w:outlineLvl w:val="1"/>
        <w:rPr>
          <w:rFonts w:ascii="Times New Roman" w:eastAsia="黑体" w:hAnsi="Times New Roman" w:cs="Times New Roman"/>
          <w:color w:val="000000"/>
          <w:sz w:val="30"/>
          <w:szCs w:val="30"/>
        </w:rPr>
      </w:pPr>
      <w:bookmarkStart w:id="16" w:name="_Toc235104110"/>
      <w:r>
        <w:rPr>
          <w:rFonts w:ascii="Times New Roman" w:eastAsia="黑体" w:hAnsi="Times New Roman" w:cs="Times New Roman"/>
          <w:color w:val="000000"/>
          <w:sz w:val="30"/>
          <w:szCs w:val="30"/>
        </w:rPr>
        <w:t>四、报价须知</w:t>
      </w:r>
      <w:bookmarkEnd w:id="16"/>
    </w:p>
    <w:p w:rsidR="0096400C" w:rsidRDefault="0096400C" w:rsidP="0096400C">
      <w:pPr>
        <w:spacing w:line="300" w:lineRule="auto"/>
        <w:ind w:firstLineChars="192" w:firstLine="424"/>
        <w:outlineLvl w:val="2"/>
        <w:rPr>
          <w:rFonts w:ascii="Times New Roman" w:hAnsi="Times New Roman" w:cs="Times New Roman"/>
          <w:b/>
          <w:sz w:val="22"/>
        </w:rPr>
      </w:pPr>
      <w:bookmarkStart w:id="17" w:name="_Toc235104111"/>
      <w:r>
        <w:rPr>
          <w:rFonts w:ascii="Times New Roman" w:hAnsi="Times New Roman" w:cs="Times New Roman"/>
          <w:b/>
          <w:sz w:val="22"/>
        </w:rPr>
        <w:t>13</w:t>
      </w:r>
      <w:r>
        <w:rPr>
          <w:rFonts w:ascii="Times New Roman" w:hAnsi="Times New Roman" w:cs="Times New Roman"/>
          <w:b/>
          <w:sz w:val="22"/>
        </w:rPr>
        <w:t>投标报价依据</w:t>
      </w:r>
      <w:bookmarkEnd w:id="17"/>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96400C" w:rsidRDefault="0096400C" w:rsidP="0096400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96400C" w:rsidRDefault="0096400C" w:rsidP="0096400C">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96400C" w:rsidRDefault="0096400C" w:rsidP="0096400C">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96400C" w:rsidRDefault="0096400C" w:rsidP="0096400C">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96400C" w:rsidRDefault="0096400C" w:rsidP="0096400C">
      <w:pPr>
        <w:spacing w:line="300" w:lineRule="auto"/>
        <w:ind w:firstLineChars="192" w:firstLine="424"/>
        <w:rPr>
          <w:rFonts w:ascii="Times New Roman" w:hAnsi="Times New Roman" w:cs="Times New Roman"/>
          <w:b/>
          <w:sz w:val="22"/>
        </w:rPr>
      </w:pPr>
    </w:p>
    <w:p w:rsidR="0096400C" w:rsidRDefault="0096400C" w:rsidP="0096400C">
      <w:pPr>
        <w:spacing w:line="300" w:lineRule="auto"/>
        <w:ind w:firstLineChars="192" w:firstLine="424"/>
        <w:outlineLvl w:val="2"/>
        <w:rPr>
          <w:rFonts w:ascii="Times New Roman" w:hAnsi="Times New Roman" w:cs="Times New Roman"/>
          <w:b/>
          <w:sz w:val="22"/>
        </w:rPr>
      </w:pPr>
      <w:bookmarkStart w:id="18" w:name="_Toc235104112"/>
      <w:r>
        <w:rPr>
          <w:rFonts w:ascii="Times New Roman" w:hAnsi="Times New Roman" w:cs="Times New Roman"/>
          <w:b/>
          <w:sz w:val="22"/>
        </w:rPr>
        <w:t>14</w:t>
      </w:r>
      <w:r>
        <w:rPr>
          <w:rFonts w:ascii="Times New Roman" w:hAnsi="Times New Roman" w:cs="Times New Roman"/>
          <w:b/>
          <w:sz w:val="22"/>
        </w:rPr>
        <w:t>投标报价内容</w:t>
      </w:r>
      <w:bookmarkEnd w:id="18"/>
    </w:p>
    <w:p w:rsidR="0096400C" w:rsidRDefault="0096400C" w:rsidP="0096400C">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w:t>
      </w:r>
      <w:r w:rsidRPr="00056B3F">
        <w:rPr>
          <w:rFonts w:ascii="Times New Roman" w:hAnsi="Times New Roman" w:cs="Times New Roman" w:hint="eastAsia"/>
          <w:sz w:val="22"/>
        </w:rPr>
        <w:t>承包范围内的全部工作内容，以及为完成项目服务内容与要求而发生的辅助性、配合性的相关费用，并且充分考虑合同包含的责任、义务和一般风险等各项全部费用</w:t>
      </w:r>
      <w:r>
        <w:rPr>
          <w:rFonts w:ascii="Times New Roman" w:hAnsi="Times New Roman" w:cs="Times New Roman" w:hint="eastAsia"/>
          <w:sz w:val="22"/>
        </w:rPr>
        <w:t>。</w:t>
      </w:r>
    </w:p>
    <w:p w:rsidR="0096400C" w:rsidRDefault="0096400C" w:rsidP="0096400C">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96400C" w:rsidRDefault="0096400C" w:rsidP="0096400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96400C" w:rsidRDefault="0096400C" w:rsidP="0096400C">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96400C" w:rsidRDefault="0096400C" w:rsidP="0096400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lastRenderedPageBreak/>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96400C" w:rsidRDefault="0096400C" w:rsidP="0096400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96400C" w:rsidRPr="00056B3F" w:rsidRDefault="0096400C" w:rsidP="0096400C">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96400C" w:rsidRDefault="0096400C" w:rsidP="0096400C">
      <w:pPr>
        <w:spacing w:line="300" w:lineRule="auto"/>
        <w:ind w:firstLineChars="192" w:firstLine="424"/>
        <w:outlineLvl w:val="2"/>
        <w:rPr>
          <w:rFonts w:ascii="Times New Roman" w:hAnsi="Times New Roman" w:cs="Times New Roman"/>
          <w:b/>
          <w:sz w:val="22"/>
        </w:rPr>
      </w:pPr>
      <w:bookmarkStart w:id="19" w:name="_Toc235104113"/>
      <w:r>
        <w:rPr>
          <w:rFonts w:ascii="Times New Roman" w:hAnsi="Times New Roman" w:cs="Times New Roman"/>
          <w:b/>
          <w:sz w:val="22"/>
        </w:rPr>
        <w:t>15</w:t>
      </w:r>
      <w:r>
        <w:rPr>
          <w:rFonts w:ascii="Times New Roman" w:hAnsi="Times New Roman" w:cs="Times New Roman"/>
          <w:b/>
          <w:sz w:val="22"/>
        </w:rPr>
        <w:t>投标报价控制性条款</w:t>
      </w:r>
      <w:bookmarkEnd w:id="19"/>
    </w:p>
    <w:p w:rsidR="0096400C" w:rsidRDefault="0096400C" w:rsidP="0096400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96400C" w:rsidRDefault="0096400C" w:rsidP="0096400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96400C" w:rsidRDefault="0096400C" w:rsidP="0096400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6400C" w:rsidRDefault="0096400C" w:rsidP="0096400C">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96400C" w:rsidRDefault="0096400C" w:rsidP="0096400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96400C" w:rsidRDefault="0096400C" w:rsidP="0096400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96400C" w:rsidRDefault="0096400C" w:rsidP="0096400C">
      <w:pPr>
        <w:spacing w:line="300" w:lineRule="auto"/>
        <w:ind w:firstLineChars="192" w:firstLine="424"/>
        <w:outlineLvl w:val="2"/>
        <w:rPr>
          <w:rFonts w:ascii="Times New Roman" w:hAnsi="Times New Roman" w:cs="Times New Roman"/>
          <w:b/>
          <w:sz w:val="22"/>
        </w:rPr>
      </w:pPr>
      <w:bookmarkStart w:id="20" w:name="_Toc235104114"/>
      <w:r>
        <w:rPr>
          <w:rFonts w:ascii="Times New Roman" w:hAnsi="Times New Roman" w:cs="Times New Roman"/>
          <w:b/>
          <w:sz w:val="22"/>
        </w:rPr>
        <w:t>16</w:t>
      </w:r>
      <w:r>
        <w:rPr>
          <w:rFonts w:ascii="Times New Roman" w:hAnsi="Times New Roman" w:cs="Times New Roman"/>
          <w:b/>
          <w:sz w:val="22"/>
        </w:rPr>
        <w:t>其他</w:t>
      </w:r>
      <w:bookmarkEnd w:id="20"/>
    </w:p>
    <w:p w:rsidR="0096400C" w:rsidRPr="00056B3F" w:rsidRDefault="0096400C" w:rsidP="0096400C">
      <w:pPr>
        <w:snapToGrid w:val="0"/>
        <w:spacing w:line="300" w:lineRule="auto"/>
        <w:ind w:firstLineChars="192" w:firstLine="422"/>
        <w:rPr>
          <w:rFonts w:ascii="Times New Roman" w:hAnsi="Times New Roman" w:cs="Times New Roman"/>
          <w:color w:val="000000"/>
          <w:sz w:val="22"/>
        </w:rPr>
      </w:pPr>
      <w:r w:rsidRPr="00056B3F">
        <w:rPr>
          <w:rFonts w:ascii="Times New Roman" w:hAnsi="Times New Roman" w:cs="Times New Roman" w:hint="eastAsia"/>
          <w:color w:val="000000"/>
          <w:sz w:val="22"/>
        </w:rPr>
        <w:t>无</w:t>
      </w:r>
    </w:p>
    <w:p w:rsidR="0096400C" w:rsidRDefault="0096400C" w:rsidP="0096400C">
      <w:pPr>
        <w:adjustRightInd w:val="0"/>
        <w:snapToGrid w:val="0"/>
        <w:spacing w:line="300" w:lineRule="auto"/>
        <w:jc w:val="center"/>
        <w:outlineLvl w:val="1"/>
        <w:rPr>
          <w:rFonts w:ascii="Times New Roman" w:eastAsia="黑体" w:hAnsi="Times New Roman" w:cs="Times New Roman"/>
          <w:color w:val="000000"/>
          <w:sz w:val="30"/>
          <w:szCs w:val="30"/>
        </w:rPr>
      </w:pPr>
      <w:bookmarkStart w:id="21" w:name="_Toc486947670"/>
      <w:bookmarkStart w:id="22" w:name="_Toc235104115"/>
      <w:r>
        <w:rPr>
          <w:rFonts w:ascii="Times New Roman" w:eastAsia="黑体" w:hAnsi="Times New Roman" w:cs="Times New Roman"/>
          <w:color w:val="000000"/>
          <w:sz w:val="30"/>
          <w:szCs w:val="30"/>
        </w:rPr>
        <w:t>五、政府采购政策</w:t>
      </w:r>
      <w:bookmarkEnd w:id="21"/>
      <w:bookmarkEnd w:id="22"/>
    </w:p>
    <w:p w:rsidR="0096400C" w:rsidRDefault="0096400C" w:rsidP="0096400C">
      <w:pPr>
        <w:adjustRightInd w:val="0"/>
        <w:snapToGrid w:val="0"/>
        <w:spacing w:line="300" w:lineRule="auto"/>
        <w:ind w:firstLineChars="200" w:firstLine="442"/>
        <w:outlineLvl w:val="2"/>
        <w:rPr>
          <w:rFonts w:ascii="Times New Roman" w:hAnsi="Times New Roman" w:cs="Times New Roman"/>
          <w:b/>
          <w:sz w:val="22"/>
        </w:rPr>
      </w:pPr>
      <w:bookmarkStart w:id="23" w:name="_Toc497230834"/>
      <w:bookmarkStart w:id="24" w:name="_Toc235104116"/>
      <w:r>
        <w:rPr>
          <w:rFonts w:ascii="Times New Roman" w:hAnsi="Times New Roman" w:cs="Times New Roman"/>
          <w:b/>
          <w:sz w:val="22"/>
        </w:rPr>
        <w:t>1</w:t>
      </w:r>
      <w:r>
        <w:rPr>
          <w:rFonts w:ascii="Times New Roman" w:hAnsi="Times New Roman" w:cs="Times New Roman" w:hint="eastAsia"/>
          <w:b/>
          <w:sz w:val="22"/>
        </w:rPr>
        <w:t>7</w:t>
      </w:r>
      <w:r>
        <w:rPr>
          <w:rFonts w:ascii="Times New Roman" w:hAnsi="Times New Roman" w:cs="Times New Roman"/>
          <w:b/>
          <w:sz w:val="22"/>
        </w:rPr>
        <w:t>促进中小企业发展</w:t>
      </w:r>
      <w:bookmarkEnd w:id="23"/>
      <w:bookmarkEnd w:id="24"/>
    </w:p>
    <w:p w:rsidR="0096400C" w:rsidRDefault="0096400C" w:rsidP="0096400C">
      <w:pPr>
        <w:tabs>
          <w:tab w:val="left" w:pos="3060"/>
        </w:tabs>
        <w:adjustRightInd w:val="0"/>
        <w:snapToGrid w:val="0"/>
        <w:spacing w:line="300" w:lineRule="auto"/>
        <w:ind w:firstLineChars="200" w:firstLine="440"/>
        <w:rPr>
          <w:rFonts w:ascii="Times New Roman" w:hAnsi="Times New Roman" w:cs="Times New Roman"/>
          <w:sz w:val="22"/>
        </w:rPr>
      </w:pPr>
      <w:bookmarkStart w:id="25" w:name="_Toc495411567"/>
      <w:bookmarkStart w:id="26" w:name="_Toc506191162"/>
      <w:bookmarkStart w:id="27" w:name="_Toc486604822"/>
      <w:bookmarkStart w:id="28" w:name="_Toc481849906"/>
      <w:r>
        <w:rPr>
          <w:rFonts w:ascii="Times New Roman" w:hAnsi="Times New Roman" w:cs="Times New Roman"/>
          <w:sz w:val="22"/>
        </w:rPr>
        <w:t>1</w:t>
      </w:r>
      <w:r>
        <w:rPr>
          <w:rFonts w:ascii="Times New Roman" w:hAnsi="Times New Roman" w:cs="Times New Roman" w:hint="eastAsia"/>
          <w:sz w:val="22"/>
        </w:rPr>
        <w:t>7</w:t>
      </w:r>
      <w:r>
        <w:rPr>
          <w:rFonts w:ascii="Times New Roman" w:hAnsi="Times New Roman" w:cs="Times New Roman"/>
          <w:bCs/>
          <w:sz w:val="22"/>
        </w:rPr>
        <w:t xml:space="preserve">.1 </w:t>
      </w:r>
      <w:r>
        <w:rPr>
          <w:rFonts w:ascii="Times New Roman" w:hAnsi="Times New Roman" w:cs="Times New Roman"/>
          <w:sz w:val="22"/>
        </w:rPr>
        <w:t>中小企业（含中型、小型、微型企业，下同）的划定按照《中小企业划型标准规定》（工信部联企业</w:t>
      </w:r>
      <w:r>
        <w:rPr>
          <w:rFonts w:ascii="Times New Roman" w:hAnsi="Times New Roman"/>
          <w:sz w:val="22"/>
        </w:rPr>
        <w:t>〔</w:t>
      </w:r>
      <w:r>
        <w:rPr>
          <w:rFonts w:ascii="Times New Roman" w:hAnsi="Times New Roman" w:cs="Times New Roman"/>
          <w:sz w:val="22"/>
        </w:rPr>
        <w:t>2011</w:t>
      </w:r>
      <w:r>
        <w:rPr>
          <w:rFonts w:ascii="Times New Roman" w:hAnsi="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96400C" w:rsidRDefault="0096400C" w:rsidP="0096400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7</w:t>
      </w:r>
      <w:r>
        <w:rPr>
          <w:rFonts w:ascii="Times New Roman" w:hAnsi="Times New Roman" w:cs="Times New Roman"/>
          <w:sz w:val="22"/>
        </w:rPr>
        <w:t xml:space="preserve">.2 </w:t>
      </w:r>
      <w:r>
        <w:rPr>
          <w:rFonts w:ascii="Times New Roman" w:hAnsi="Times New Roman" w:cs="Times New Roman"/>
          <w:sz w:val="22"/>
        </w:rPr>
        <w:t>依据市财政局</w:t>
      </w:r>
      <w:r>
        <w:rPr>
          <w:rFonts w:ascii="Times New Roman" w:hAnsi="Times New Roman" w:cs="Times New Roman"/>
          <w:sz w:val="22"/>
        </w:rPr>
        <w:t>2015</w:t>
      </w:r>
      <w:r>
        <w:rPr>
          <w:rFonts w:ascii="Times New Roman" w:hAnsi="Times New Roman" w:cs="Times New Roman"/>
          <w:sz w:val="22"/>
        </w:rPr>
        <w:t>年</w:t>
      </w:r>
      <w:r>
        <w:rPr>
          <w:rFonts w:ascii="Times New Roman" w:hAnsi="Times New Roman" w:cs="Times New Roman"/>
          <w:sz w:val="22"/>
        </w:rPr>
        <w:t>9</w:t>
      </w:r>
      <w:r>
        <w:rPr>
          <w:rFonts w:ascii="Times New Roman" w:hAnsi="Times New Roman" w:cs="Times New Roman"/>
          <w:sz w:val="22"/>
        </w:rPr>
        <w:t>月发布的《</w:t>
      </w:r>
      <w:r>
        <w:rPr>
          <w:rFonts w:ascii="Times New Roman" w:hAnsi="Times New Roman" w:cs="Times New Roman"/>
        </w:rPr>
        <w:t>关于执行促进中小企业发展政策相关事宜的通知</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96400C" w:rsidRDefault="0096400C" w:rsidP="0096400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7</w:t>
      </w:r>
      <w:r>
        <w:rPr>
          <w:rFonts w:ascii="Times New Roman" w:hAnsi="Times New Roman" w:cs="Times New Roman"/>
          <w:sz w:val="22"/>
        </w:rPr>
        <w:t xml:space="preserve">.3 </w:t>
      </w:r>
      <w:r>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96400C" w:rsidRDefault="0096400C" w:rsidP="0096400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7</w:t>
      </w:r>
      <w:r>
        <w:rPr>
          <w:rFonts w:ascii="Times New Roman" w:hAnsi="Times New Roman" w:cs="Times New Roman"/>
          <w:sz w:val="22"/>
        </w:rPr>
        <w:t>.4</w:t>
      </w:r>
      <w:r>
        <w:rPr>
          <w:rFonts w:ascii="Times New Roman" w:hAnsi="Times New Roman" w:cs="Times New Roman"/>
          <w:sz w:val="22"/>
        </w:rPr>
        <w:t>对于小型、微型企业，按照《政府采购促进中小企业发展</w:t>
      </w:r>
      <w:r>
        <w:rPr>
          <w:rFonts w:ascii="Times New Roman" w:hAnsi="Times New Roman" w:cs="Times New Roman" w:hint="eastAsia"/>
          <w:sz w:val="22"/>
        </w:rPr>
        <w:t>管理</w:t>
      </w:r>
      <w:r>
        <w:rPr>
          <w:rFonts w:ascii="Times New Roman" w:hAnsi="Times New Roman" w:cs="Times New Roman"/>
          <w:sz w:val="22"/>
        </w:rPr>
        <w:t>办法》（财库</w:t>
      </w:r>
      <w:r>
        <w:rPr>
          <w:rFonts w:ascii="Times New Roman" w:hAnsi="Times New Roman"/>
          <w:sz w:val="22"/>
        </w:rPr>
        <w:t>〔</w:t>
      </w:r>
      <w:r>
        <w:rPr>
          <w:rFonts w:ascii="Times New Roman" w:hAnsi="Times New Roman" w:cs="Times New Roman"/>
          <w:sz w:val="22"/>
        </w:rPr>
        <w:t>20</w:t>
      </w:r>
      <w:r>
        <w:rPr>
          <w:rFonts w:ascii="Times New Roman" w:hAnsi="Times New Roman" w:cs="Times New Roman" w:hint="eastAsia"/>
          <w:sz w:val="22"/>
        </w:rPr>
        <w:t>20</w:t>
      </w:r>
      <w:r>
        <w:rPr>
          <w:rFonts w:ascii="Times New Roman" w:hAnsi="Times New Roman"/>
          <w:sz w:val="22"/>
        </w:rPr>
        <w:t>〕</w:t>
      </w:r>
      <w:r>
        <w:rPr>
          <w:rFonts w:ascii="Times New Roman" w:hAnsi="Times New Roman" w:cs="Times New Roman" w:hint="eastAsia"/>
          <w:sz w:val="22"/>
        </w:rPr>
        <w:t>46</w:t>
      </w:r>
      <w:r>
        <w:rPr>
          <w:rFonts w:ascii="Times New Roman" w:hAnsi="Times New Roman" w:cs="Times New Roman"/>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hAnsi="Times New Roman" w:cs="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w:t>
      </w:r>
    </w:p>
    <w:p w:rsidR="0096400C" w:rsidRDefault="0096400C" w:rsidP="0096400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7</w:t>
      </w:r>
      <w:r>
        <w:rPr>
          <w:rFonts w:ascii="Times New Roman" w:hAnsi="Times New Roman" w:cs="Times New Roman"/>
          <w:sz w:val="22"/>
        </w:rPr>
        <w:t>.5</w:t>
      </w:r>
      <w:r>
        <w:rPr>
          <w:rFonts w:ascii="Times New Roman" w:hAnsi="Times New Roman" w:cs="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的扣除，用扣除后的价格参与评审。反之，依照联合体协议约定，小型、微型企业的协议合同金额占到联合体协议合同总金额</w:t>
      </w:r>
      <w:r>
        <w:rPr>
          <w:rFonts w:ascii="Times New Roman" w:hAnsi="Times New Roman" w:cs="Times New Roman"/>
          <w:sz w:val="22"/>
        </w:rPr>
        <w:t>30%</w:t>
      </w:r>
      <w:r>
        <w:rPr>
          <w:rFonts w:ascii="Times New Roman" w:hAnsi="Times New Roman" w:cs="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cs="Times New Roman"/>
          <w:sz w:val="22"/>
        </w:rPr>
        <w:t>的价格扣除，用扣除后的价格参与评审。</w:t>
      </w:r>
    </w:p>
    <w:p w:rsidR="0096400C" w:rsidRDefault="0096400C" w:rsidP="0096400C">
      <w:pPr>
        <w:adjustRightInd w:val="0"/>
        <w:snapToGrid w:val="0"/>
        <w:spacing w:line="300" w:lineRule="auto"/>
        <w:ind w:firstLineChars="200" w:firstLine="440"/>
        <w:rPr>
          <w:rFonts w:ascii="Times New Roman" w:hAnsi="Times New Roman" w:cs="Times New Roman"/>
          <w:kern w:val="0"/>
          <w:sz w:val="22"/>
        </w:rPr>
      </w:pPr>
      <w:r>
        <w:rPr>
          <w:rFonts w:ascii="Times New Roman" w:hAnsi="Times New Roman" w:cs="Times New Roman"/>
          <w:sz w:val="22"/>
        </w:rPr>
        <w:t>1</w:t>
      </w:r>
      <w:r>
        <w:rPr>
          <w:rFonts w:ascii="Times New Roman" w:hAnsi="Times New Roman" w:cs="Times New Roman" w:hint="eastAsia"/>
          <w:sz w:val="22"/>
        </w:rPr>
        <w:t>7</w:t>
      </w:r>
      <w:r>
        <w:rPr>
          <w:rFonts w:ascii="Times New Roman" w:hAnsi="Times New Roman" w:cs="Times New Roman"/>
          <w:sz w:val="22"/>
        </w:rPr>
        <w:t>.6</w:t>
      </w:r>
      <w:r>
        <w:rPr>
          <w:rFonts w:ascii="Times New Roman" w:hAnsi="Times New Roman" w:cs="Times New Roman"/>
          <w:sz w:val="22"/>
        </w:rPr>
        <w:t>供应商如提供虚假材料以谋取成交的，按照《政府采购法》有关条款处理，并</w:t>
      </w:r>
      <w:r>
        <w:rPr>
          <w:rFonts w:ascii="Times New Roman" w:hAnsi="Times New Roman" w:cs="Times New Roman"/>
          <w:sz w:val="22"/>
        </w:rPr>
        <w:lastRenderedPageBreak/>
        <w:t>记入供应商诚信档案。</w:t>
      </w:r>
    </w:p>
    <w:p w:rsidR="0096400C" w:rsidRDefault="0096400C" w:rsidP="0096400C">
      <w:pPr>
        <w:adjustRightInd w:val="0"/>
        <w:snapToGrid w:val="0"/>
        <w:spacing w:line="300" w:lineRule="auto"/>
        <w:ind w:firstLineChars="200" w:firstLine="442"/>
        <w:outlineLvl w:val="2"/>
        <w:rPr>
          <w:rFonts w:ascii="Times New Roman" w:hAnsi="Times New Roman" w:cs="Times New Roman"/>
          <w:b/>
          <w:sz w:val="22"/>
        </w:rPr>
      </w:pPr>
      <w:bookmarkStart w:id="29" w:name="_Toc495411569"/>
      <w:bookmarkStart w:id="30" w:name="_Toc235104117"/>
      <w:bookmarkEnd w:id="25"/>
      <w:bookmarkEnd w:id="26"/>
      <w:bookmarkEnd w:id="27"/>
      <w:bookmarkEnd w:id="28"/>
      <w:r>
        <w:rPr>
          <w:rFonts w:ascii="Times New Roman" w:hAnsi="Times New Roman" w:cs="Times New Roman" w:hint="eastAsia"/>
          <w:b/>
          <w:sz w:val="22"/>
        </w:rPr>
        <w:t>18</w:t>
      </w:r>
      <w:r>
        <w:rPr>
          <w:rFonts w:ascii="Times New Roman" w:hAnsi="Times New Roman" w:cs="Times New Roman"/>
          <w:b/>
          <w:sz w:val="22"/>
        </w:rPr>
        <w:t>促进残疾人就业</w:t>
      </w:r>
      <w:bookmarkEnd w:id="29"/>
      <w:r>
        <w:rPr>
          <w:rFonts w:ascii="Times New Roman" w:hAnsi="Times New Roman" w:cs="Times New Roman"/>
          <w:b/>
          <w:sz w:val="22"/>
        </w:rPr>
        <w:t>（注：仅残疾人福利单位适用）</w:t>
      </w:r>
      <w:bookmarkEnd w:id="30"/>
    </w:p>
    <w:p w:rsidR="0096400C" w:rsidRDefault="0096400C" w:rsidP="0096400C">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18</w:t>
      </w:r>
      <w:r>
        <w:rPr>
          <w:rFonts w:ascii="Times New Roman" w:hAnsi="Times New Roman" w:cs="Times New Roman"/>
          <w:sz w:val="22"/>
        </w:rPr>
        <w:t xml:space="preserve">.1 </w:t>
      </w:r>
      <w:bookmarkStart w:id="31" w:name="sendNo"/>
      <w:r>
        <w:rPr>
          <w:rFonts w:ascii="Times New Roman" w:hAnsi="Times New Roman" w:cs="Times New Roman"/>
          <w:sz w:val="22"/>
        </w:rPr>
        <w:t>符合财库</w:t>
      </w:r>
      <w:bookmarkEnd w:id="31"/>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7D5EAA" w:rsidRDefault="0096400C" w:rsidP="0096400C">
      <w:r>
        <w:rPr>
          <w:rFonts w:ascii="Times New Roman" w:hAnsi="Times New Roman" w:cs="Times New Roman" w:hint="eastAsia"/>
          <w:sz w:val="22"/>
        </w:rPr>
        <w:t>18</w:t>
      </w:r>
      <w:r>
        <w:rPr>
          <w:rFonts w:ascii="Times New Roman" w:hAnsi="Times New Roman" w:cs="Times New Roman"/>
          <w:sz w:val="22"/>
        </w:rPr>
        <w:t xml:space="preserve">.2 </w:t>
      </w:r>
      <w:r>
        <w:rPr>
          <w:rFonts w:ascii="Times New Roman" w:hAnsi="Times New Roman" w:cs="Times New Roman"/>
          <w:sz w:val="22"/>
        </w:rPr>
        <w:t>残疾人福利性单位在参加政府采购活动时，</w:t>
      </w:r>
      <w:proofErr w:type="gramStart"/>
      <w:r>
        <w:rPr>
          <w:rFonts w:ascii="Times New Roman" w:hAnsi="Times New Roman" w:cs="Times New Roman"/>
          <w:sz w:val="22"/>
        </w:rPr>
        <w:t>应当按财库</w:t>
      </w:r>
      <w:proofErr w:type="gramEnd"/>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bookmarkStart w:id="32" w:name="_GoBack"/>
      <w:bookmarkEnd w:id="32"/>
    </w:p>
    <w:sectPr w:rsidR="007D5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0C"/>
    <w:rsid w:val="007D5EAA"/>
    <w:rsid w:val="00964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6400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6400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6400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640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1071</Words>
  <Characters>6110</Characters>
  <Application>Microsoft Office Word</Application>
  <DocSecurity>0</DocSecurity>
  <Lines>50</Lines>
  <Paragraphs>14</Paragraphs>
  <ScaleCrop>false</ScaleCrop>
  <Company>Microsoft</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2026-07-16T06:21:00Z</dcterms:created>
  <dcterms:modified xsi:type="dcterms:W3CDTF">2026-07-16T06:21:00Z</dcterms:modified>
</cp:coreProperties>
</file>