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8D441">
      <w:pPr>
        <w:adjustRightInd w:val="0"/>
        <w:snapToGrid w:val="0"/>
        <w:spacing w:line="300" w:lineRule="auto"/>
        <w:jc w:val="center"/>
        <w:outlineLvl w:val="1"/>
        <w:rPr>
          <w:rFonts w:ascii="Times New Roman" w:hAnsi="Times New Roman" w:eastAsia="黑体" w:cs="Times New Roman"/>
          <w:sz w:val="30"/>
          <w:szCs w:val="30"/>
        </w:rPr>
      </w:pPr>
      <w:bookmarkStart w:id="0" w:name="_Toc243060097"/>
      <w:bookmarkStart w:id="1" w:name="_Toc460922282"/>
      <w:bookmarkStart w:id="2" w:name="_Toc464465670"/>
      <w:bookmarkStart w:id="3" w:name="_Toc464465671"/>
      <w:bookmarkStart w:id="4" w:name="_Toc464465673"/>
      <w:bookmarkStart w:id="5" w:name="_Toc464465672"/>
      <w:bookmarkStart w:id="6" w:name="_Toc460922279"/>
      <w:bookmarkStart w:id="7" w:name="_Toc464465674"/>
      <w:bookmarkStart w:id="8" w:name="_Toc464465675"/>
      <w:bookmarkStart w:id="9" w:name="_Toc460922281"/>
      <w:bookmarkStart w:id="10" w:name="_Toc460922283"/>
      <w:bookmarkStart w:id="11" w:name="_Toc464465676"/>
      <w:bookmarkStart w:id="12" w:name="_Toc460922284"/>
      <w:bookmarkStart w:id="13" w:name="_Toc460922285"/>
      <w:bookmarkStart w:id="14" w:name="_Toc464465677"/>
      <w:bookmarkStart w:id="15" w:name="_Toc460922286"/>
      <w:bookmarkStart w:id="16" w:name="_Toc464465679"/>
      <w:bookmarkStart w:id="17" w:name="_Toc460922287"/>
      <w:bookmarkStart w:id="18" w:name="_Toc464465678"/>
      <w:r>
        <w:rPr>
          <w:rFonts w:ascii="Times New Roman" w:hAnsi="Times New Roman" w:eastAsia="黑体" w:cs="Times New Roman"/>
          <w:sz w:val="30"/>
          <w:szCs w:val="30"/>
        </w:rPr>
        <w:t>一、说明</w:t>
      </w:r>
      <w:bookmarkEnd w:id="0"/>
    </w:p>
    <w:p w14:paraId="5EA9BD12">
      <w:pPr>
        <w:adjustRightInd w:val="0"/>
        <w:snapToGrid w:val="0"/>
        <w:spacing w:line="300" w:lineRule="auto"/>
        <w:ind w:firstLine="442" w:firstLineChars="200"/>
        <w:outlineLvl w:val="2"/>
        <w:rPr>
          <w:rFonts w:ascii="Times New Roman" w:hAnsi="Times New Roman" w:eastAsia="宋体" w:cs="Times New Roman"/>
          <w:b/>
          <w:bCs/>
          <w:sz w:val="22"/>
        </w:rPr>
      </w:pPr>
      <w:bookmarkStart w:id="19" w:name="_Toc243060098"/>
      <w:r>
        <w:rPr>
          <w:rFonts w:ascii="Times New Roman" w:hAnsi="Times New Roman" w:eastAsia="宋体" w:cs="Times New Roman"/>
          <w:b/>
          <w:bCs/>
          <w:sz w:val="22"/>
        </w:rPr>
        <w:t>1 总则</w:t>
      </w:r>
      <w:bookmarkEnd w:id="19"/>
    </w:p>
    <w:p w14:paraId="2577EDEE">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1.1 投标人应具备国家或行业管理部门规定的，在本市实施本项目所需的资格（资质）和相关手续（如果有），由此引起的所有有关事宜及费用由投标人自行负责。</w:t>
      </w:r>
    </w:p>
    <w:p w14:paraId="26DF6F77">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1.2 投标人提供的服务应当符合招标文件的要求，并且其质量完全符合国家标准、行业标准或地方标准。</w:t>
      </w:r>
    </w:p>
    <w:p w14:paraId="05BB213E">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1.3 投标人在投标前应认真了解项目的实施背景、应提供的服务内容和质量、项目考核管理要求等，一旦中标，应按照招标文件和合同规定的要求提供相关服务。</w:t>
      </w:r>
    </w:p>
    <w:p w14:paraId="0EAC924D">
      <w:pPr>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1.4投标人认为招标文件（包括招标补充文件）存在排他性或歧视性条款，自收到招标文件之日或者招标文件公告期限届满之日起10日内，以书面形式提出，并附相关证据。</w:t>
      </w:r>
      <w:bookmarkEnd w:id="1"/>
      <w:bookmarkEnd w:id="2"/>
      <w:bookmarkEnd w:id="3"/>
      <w:bookmarkEnd w:id="4"/>
      <w:bookmarkEnd w:id="5"/>
      <w:bookmarkEnd w:id="6"/>
      <w:bookmarkEnd w:id="7"/>
      <w:bookmarkEnd w:id="8"/>
      <w:bookmarkEnd w:id="9"/>
      <w:bookmarkEnd w:id="10"/>
    </w:p>
    <w:p w14:paraId="4DDD1A78">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1.5 本项目若涉及保安服务内容，根据《保安服务管理条例》（国务院令第564号）第十四条规定，中标人应当自开始保安服务之日起30日内，向所在地设区的市级人民政府公安机关备案。</w:t>
      </w:r>
    </w:p>
    <w:p w14:paraId="25A791FE">
      <w:pPr>
        <w:snapToGrid w:val="0"/>
        <w:spacing w:line="300" w:lineRule="auto"/>
        <w:ind w:firstLine="440" w:firstLineChars="200"/>
        <w:jc w:val="left"/>
        <w:rPr>
          <w:rFonts w:ascii="Times New Roman" w:hAnsi="Times New Roman" w:eastAsia="宋体" w:cs="Times New Roman"/>
          <w:sz w:val="22"/>
        </w:rPr>
      </w:pPr>
      <w:r>
        <w:rPr>
          <w:rFonts w:hint="eastAsia" w:ascii="宋体" w:hAnsi="宋体" w:eastAsia="宋体" w:cs="宋体"/>
          <w:sz w:val="22"/>
        </w:rPr>
        <w:t>★</w:t>
      </w:r>
      <w:r>
        <w:rPr>
          <w:rFonts w:ascii="Times New Roman" w:hAnsi="Times New Roman" w:eastAsia="宋体" w:cs="Times New Roman"/>
          <w:sz w:val="22"/>
        </w:rPr>
        <w:t>1.</w:t>
      </w:r>
      <w:r>
        <w:rPr>
          <w:rFonts w:hint="eastAsia" w:ascii="Times New Roman" w:hAnsi="Times New Roman" w:eastAsia="宋体" w:cs="Times New Roman"/>
          <w:sz w:val="22"/>
        </w:rPr>
        <w:t>6</w:t>
      </w:r>
      <w:r>
        <w:rPr>
          <w:rFonts w:ascii="Times New Roman" w:hAnsi="Times New Roman" w:eastAsia="宋体" w:cs="Times New Roman"/>
          <w:sz w:val="22"/>
        </w:rPr>
        <w:t>投标人提供的服务必须符合国家强制性标准。</w:t>
      </w:r>
    </w:p>
    <w:p w14:paraId="58489231">
      <w:pPr>
        <w:adjustRightInd w:val="0"/>
        <w:snapToGrid w:val="0"/>
        <w:spacing w:line="300" w:lineRule="auto"/>
        <w:ind w:firstLine="440" w:firstLineChars="200"/>
        <w:jc w:val="left"/>
        <w:rPr>
          <w:rFonts w:ascii="Times New Roman" w:hAnsi="Times New Roman" w:eastAsia="宋体" w:cs="Times New Roman"/>
          <w:sz w:val="22"/>
        </w:rPr>
      </w:pPr>
    </w:p>
    <w:p w14:paraId="70552602">
      <w:pPr>
        <w:adjustRightInd w:val="0"/>
        <w:snapToGrid w:val="0"/>
        <w:spacing w:line="300" w:lineRule="auto"/>
        <w:jc w:val="center"/>
        <w:outlineLvl w:val="1"/>
        <w:rPr>
          <w:rFonts w:ascii="Times New Roman" w:hAnsi="Times New Roman" w:eastAsia="黑体" w:cs="Times New Roman"/>
          <w:sz w:val="30"/>
          <w:szCs w:val="30"/>
        </w:rPr>
      </w:pPr>
      <w:bookmarkStart w:id="20" w:name="_Toc243060099"/>
      <w:r>
        <w:rPr>
          <w:rFonts w:ascii="Times New Roman" w:hAnsi="Times New Roman" w:eastAsia="黑体" w:cs="Times New Roman"/>
          <w:sz w:val="30"/>
          <w:szCs w:val="30"/>
        </w:rPr>
        <w:t>二、项目概况</w:t>
      </w:r>
      <w:bookmarkEnd w:id="20"/>
    </w:p>
    <w:p w14:paraId="7F5B9FA2">
      <w:pPr>
        <w:adjustRightInd w:val="0"/>
        <w:snapToGrid w:val="0"/>
        <w:spacing w:line="300" w:lineRule="auto"/>
        <w:ind w:firstLine="442" w:firstLineChars="200"/>
        <w:outlineLvl w:val="2"/>
        <w:rPr>
          <w:rFonts w:ascii="Times New Roman" w:hAnsi="Times New Roman" w:eastAsia="宋体" w:cs="Times New Roman"/>
          <w:b/>
          <w:bCs/>
          <w:sz w:val="22"/>
        </w:rPr>
      </w:pPr>
      <w:bookmarkStart w:id="21" w:name="_Toc243060100"/>
      <w:r>
        <w:rPr>
          <w:rFonts w:ascii="Times New Roman" w:hAnsi="Times New Roman" w:eastAsia="宋体" w:cs="Times New Roman"/>
          <w:b/>
          <w:bCs/>
          <w:sz w:val="22"/>
        </w:rPr>
        <w:t>2 项目名称</w:t>
      </w:r>
      <w:bookmarkEnd w:id="21"/>
    </w:p>
    <w:p w14:paraId="08C332BA">
      <w:pPr>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项目名称：</w:t>
      </w:r>
      <w:r>
        <w:rPr>
          <w:rFonts w:hint="eastAsia" w:ascii="Times New Roman" w:hAnsi="Times New Roman" w:eastAsia="宋体" w:cs="Times New Roman"/>
          <w:bCs/>
          <w:sz w:val="22"/>
        </w:rPr>
        <w:t>上海市泾南中学物业管理服务项目</w:t>
      </w:r>
    </w:p>
    <w:p w14:paraId="3D6CAE61">
      <w:pPr>
        <w:adjustRightInd w:val="0"/>
        <w:snapToGrid w:val="0"/>
        <w:spacing w:line="300" w:lineRule="auto"/>
        <w:ind w:firstLine="442" w:firstLineChars="200"/>
        <w:outlineLvl w:val="2"/>
        <w:rPr>
          <w:rFonts w:ascii="Times New Roman" w:hAnsi="Times New Roman" w:eastAsia="宋体" w:cs="Times New Roman"/>
          <w:b/>
          <w:bCs/>
          <w:sz w:val="22"/>
        </w:rPr>
      </w:pPr>
      <w:bookmarkStart w:id="22" w:name="_Toc243060101"/>
      <w:r>
        <w:rPr>
          <w:rFonts w:ascii="Times New Roman" w:hAnsi="Times New Roman" w:eastAsia="宋体" w:cs="Times New Roman"/>
          <w:b/>
          <w:bCs/>
          <w:sz w:val="22"/>
        </w:rPr>
        <w:t>3物业基本情况</w:t>
      </w:r>
      <w:bookmarkEnd w:id="22"/>
    </w:p>
    <w:p w14:paraId="7D9906CA">
      <w:pPr>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 xml:space="preserve">物业类型：校园物业        </w:t>
      </w:r>
    </w:p>
    <w:p w14:paraId="0F77AF94">
      <w:pPr>
        <w:spacing w:line="300" w:lineRule="auto"/>
        <w:ind w:firstLine="440" w:firstLineChars="200"/>
        <w:rPr>
          <w:rFonts w:ascii="Times New Roman" w:hAnsi="Times New Roman" w:eastAsia="宋体" w:cs="Times New Roman"/>
          <w:sz w:val="22"/>
        </w:rPr>
      </w:pPr>
      <w:r>
        <w:rPr>
          <w:rFonts w:hint="eastAsia" w:ascii="Times New Roman" w:hAnsi="Times New Roman" w:eastAsia="宋体" w:cs="Times New Roman"/>
          <w:bCs/>
          <w:sz w:val="22"/>
        </w:rPr>
        <w:t>服务</w:t>
      </w:r>
      <w:r>
        <w:rPr>
          <w:rFonts w:ascii="Times New Roman" w:hAnsi="Times New Roman" w:eastAsia="宋体" w:cs="Times New Roman"/>
          <w:bCs/>
          <w:sz w:val="22"/>
        </w:rPr>
        <w:t>地址：</w:t>
      </w:r>
      <w:r>
        <w:rPr>
          <w:rFonts w:hint="eastAsia" w:ascii="Times New Roman" w:hAnsi="Times New Roman" w:eastAsia="宋体" w:cs="Times New Roman"/>
          <w:sz w:val="22"/>
        </w:rPr>
        <w:t>民生路校区：上海市浦东新区民生路303号，建筑面积：27173平方米</w:t>
      </w:r>
    </w:p>
    <w:p w14:paraId="3151E458">
      <w:pPr>
        <w:autoSpaceDN w:val="0"/>
        <w:adjustRightInd w:val="0"/>
        <w:snapToGrid w:val="0"/>
        <w:spacing w:line="300" w:lineRule="auto"/>
        <w:ind w:firstLine="1540" w:firstLineChars="700"/>
        <w:textAlignment w:val="baseline"/>
        <w:rPr>
          <w:rFonts w:ascii="Times New Roman" w:hAnsi="Times New Roman" w:eastAsia="宋体" w:cs="Times New Roman"/>
          <w:kern w:val="0"/>
          <w:sz w:val="22"/>
        </w:rPr>
      </w:pPr>
      <w:r>
        <w:rPr>
          <w:rFonts w:hint="eastAsia" w:ascii="Times New Roman" w:hAnsi="Times New Roman" w:eastAsia="宋体" w:cs="Times New Roman"/>
          <w:sz w:val="22"/>
        </w:rPr>
        <w:t>浦东大道校区：上海市浦东新区浦东大道1677号，建筑面积：3471平方米</w:t>
      </w:r>
    </w:p>
    <w:p w14:paraId="66041897">
      <w:pPr>
        <w:autoSpaceDN w:val="0"/>
        <w:adjustRightInd w:val="0"/>
        <w:snapToGrid w:val="0"/>
        <w:spacing w:line="300" w:lineRule="auto"/>
        <w:ind w:firstLine="442" w:firstLineChars="200"/>
        <w:textAlignment w:val="baseline"/>
        <w:rPr>
          <w:rFonts w:ascii="Times New Roman" w:hAnsi="Times New Roman" w:eastAsia="宋体" w:cs="Times New Roman"/>
          <w:b/>
          <w:sz w:val="22"/>
        </w:rPr>
      </w:pPr>
      <w:r>
        <w:rPr>
          <w:rFonts w:ascii="Times New Roman" w:hAnsi="Times New Roman" w:eastAsia="宋体" w:cs="Times New Roman"/>
          <w:b/>
          <w:sz w:val="22"/>
        </w:rPr>
        <w:t>4 招标范围与内容</w:t>
      </w:r>
    </w:p>
    <w:p w14:paraId="63D88EC6">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4.1 项目背景及现状</w:t>
      </w:r>
    </w:p>
    <w:p w14:paraId="1181DAE6">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本项目原物业服务即将到期，本次拟重新招标。</w:t>
      </w:r>
    </w:p>
    <w:p w14:paraId="13E47CEF">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4.2 项目招标范围及内容</w:t>
      </w:r>
    </w:p>
    <w:p w14:paraId="4C7C41DC">
      <w:pPr>
        <w:numPr>
          <w:ilvl w:val="0"/>
          <w:numId w:val="1"/>
        </w:numPr>
        <w:suppressAutoHyphens/>
        <w:adjustRightInd w:val="0"/>
        <w:snapToGrid w:val="0"/>
        <w:spacing w:line="300" w:lineRule="auto"/>
        <w:rPr>
          <w:rFonts w:ascii="Times New Roman" w:hAnsi="Times New Roman" w:eastAsia="宋体" w:cs="Times New Roman"/>
          <w:color w:val="000000"/>
          <w:kern w:val="1"/>
          <w:sz w:val="22"/>
          <w:szCs w:val="21"/>
        </w:rPr>
      </w:pPr>
      <w:r>
        <w:rPr>
          <w:rFonts w:hint="eastAsia" w:ascii="宋体" w:hAnsi="宋体" w:eastAsia="宋体" w:cs="Times New Roman"/>
          <w:color w:val="000000"/>
          <w:kern w:val="1"/>
          <w:sz w:val="22"/>
          <w:szCs w:val="21"/>
        </w:rPr>
        <w:t>本项目物业管理服务主要包括综合管理、零星维修、安保管理、保洁服务和后勤管理等。</w:t>
      </w:r>
    </w:p>
    <w:p w14:paraId="30BE680D">
      <w:pPr>
        <w:numPr>
          <w:ilvl w:val="0"/>
          <w:numId w:val="1"/>
        </w:numPr>
        <w:tabs>
          <w:tab w:val="left" w:pos="420"/>
        </w:tabs>
        <w:adjustRightInd w:val="0"/>
        <w:snapToGrid w:val="0"/>
        <w:spacing w:line="300" w:lineRule="auto"/>
        <w:rPr>
          <w:rFonts w:ascii="Times New Roman" w:hAnsi="Times New Roman" w:eastAsia="宋体" w:cs="Times New Roman"/>
          <w:sz w:val="22"/>
        </w:rPr>
      </w:pPr>
      <w:r>
        <w:rPr>
          <w:rFonts w:hint="eastAsia" w:ascii="Times New Roman" w:hAnsi="Times New Roman" w:eastAsia="宋体" w:cs="Times New Roman"/>
          <w:bCs/>
          <w:sz w:val="22"/>
        </w:rPr>
        <w:t>上海市泾南中学物业管理服务项目</w:t>
      </w:r>
      <w:r>
        <w:rPr>
          <w:rFonts w:hint="eastAsia" w:ascii="Times New Roman" w:hAnsi="Times New Roman" w:eastAsia="宋体" w:cs="Times New Roman"/>
          <w:sz w:val="22"/>
        </w:rPr>
        <w:t>（民生路校区）</w:t>
      </w:r>
    </w:p>
    <w:p w14:paraId="02FACEA7">
      <w:pPr>
        <w:adjustRightInd w:val="0"/>
        <w:snapToGrid w:val="0"/>
        <w:spacing w:line="300" w:lineRule="auto"/>
        <w:ind w:firstLine="880" w:firstLineChars="400"/>
        <w:rPr>
          <w:rFonts w:ascii="Times New Roman" w:hAnsi="Times New Roman" w:eastAsia="宋体" w:cs="Times New Roman"/>
          <w:color w:val="C00000"/>
          <w:sz w:val="22"/>
        </w:rPr>
      </w:pPr>
      <w:r>
        <w:rPr>
          <w:rFonts w:hint="eastAsia" w:ascii="Times New Roman" w:hAnsi="Times New Roman" w:eastAsia="宋体" w:cs="Times New Roman"/>
          <w:sz w:val="22"/>
        </w:rPr>
        <w:t>地址：上海市浦东新区民生路303号</w:t>
      </w:r>
    </w:p>
    <w:p w14:paraId="2894A359">
      <w:pPr>
        <w:adjustRightInd w:val="0"/>
        <w:snapToGrid w:val="0"/>
        <w:spacing w:line="300" w:lineRule="auto"/>
        <w:ind w:firstLine="880" w:firstLineChars="400"/>
        <w:rPr>
          <w:rFonts w:ascii="Times New Roman" w:hAnsi="Times New Roman" w:eastAsia="宋体" w:cs="Times New Roman"/>
          <w:sz w:val="22"/>
        </w:rPr>
      </w:pPr>
      <w:r>
        <w:rPr>
          <w:rFonts w:hint="eastAsia" w:ascii="Times New Roman" w:hAnsi="Times New Roman" w:eastAsia="宋体" w:cs="Times New Roman"/>
          <w:sz w:val="22"/>
        </w:rPr>
        <w:t>建筑面积：27173.00平方米，绿化面积：5153.8平方米，共有套数6幢，包含：教学楼、实验楼、行政楼、综合楼、演艺厅、地下体育馆等，教职工73人，学生618人。</w:t>
      </w:r>
    </w:p>
    <w:p w14:paraId="2DBFFDCE">
      <w:pPr>
        <w:adjustRightInd w:val="0"/>
        <w:snapToGrid w:val="0"/>
        <w:spacing w:line="300" w:lineRule="auto"/>
        <w:ind w:firstLine="883" w:firstLineChars="400"/>
        <w:rPr>
          <w:rFonts w:ascii="宋体" w:hAnsi="宋体" w:eastAsia="宋体" w:cs="Times New Roman"/>
          <w:b/>
          <w:sz w:val="22"/>
        </w:rPr>
      </w:pPr>
      <w:r>
        <w:rPr>
          <w:rFonts w:hint="eastAsia" w:ascii="宋体" w:hAnsi="宋体" w:eastAsia="宋体" w:cs="Times New Roman"/>
          <w:b/>
          <w:sz w:val="22"/>
        </w:rPr>
        <w:t>校区大楼（民生路）情况：</w:t>
      </w:r>
    </w:p>
    <w:tbl>
      <w:tblPr>
        <w:tblStyle w:val="49"/>
        <w:tblW w:w="97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021"/>
        <w:gridCol w:w="1105"/>
        <w:gridCol w:w="1985"/>
        <w:gridCol w:w="4090"/>
      </w:tblGrid>
      <w:tr w14:paraId="2C3D0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1579" w:type="dxa"/>
            <w:shd w:val="clear" w:color="auto" w:fill="auto"/>
            <w:noWrap/>
            <w:vAlign w:val="center"/>
          </w:tcPr>
          <w:p w14:paraId="7C67A648">
            <w:pPr>
              <w:widowControl/>
              <w:jc w:val="center"/>
              <w:rPr>
                <w:rFonts w:ascii="宋体" w:hAnsi="宋体" w:eastAsia="宋体" w:cs="宋体"/>
                <w:kern w:val="0"/>
                <w:sz w:val="22"/>
              </w:rPr>
            </w:pPr>
            <w:r>
              <w:rPr>
                <w:rFonts w:hint="eastAsia" w:ascii="宋体" w:hAnsi="宋体" w:eastAsia="宋体" w:cs="宋体"/>
                <w:kern w:val="0"/>
                <w:sz w:val="22"/>
              </w:rPr>
              <w:t>大楼名称</w:t>
            </w:r>
          </w:p>
        </w:tc>
        <w:tc>
          <w:tcPr>
            <w:tcW w:w="1021" w:type="dxa"/>
            <w:shd w:val="clear" w:color="auto" w:fill="auto"/>
            <w:noWrap/>
            <w:vAlign w:val="center"/>
          </w:tcPr>
          <w:p w14:paraId="0E9C9A50">
            <w:pPr>
              <w:widowControl/>
              <w:jc w:val="center"/>
              <w:rPr>
                <w:rFonts w:ascii="宋体" w:hAnsi="宋体" w:eastAsia="宋体" w:cs="宋体"/>
                <w:kern w:val="0"/>
                <w:sz w:val="22"/>
              </w:rPr>
            </w:pPr>
            <w:r>
              <w:rPr>
                <w:rFonts w:hint="eastAsia" w:ascii="宋体" w:hAnsi="宋体" w:eastAsia="宋体" w:cs="宋体"/>
                <w:kern w:val="0"/>
                <w:sz w:val="22"/>
              </w:rPr>
              <w:t>楼幢数</w:t>
            </w:r>
          </w:p>
        </w:tc>
        <w:tc>
          <w:tcPr>
            <w:tcW w:w="1105" w:type="dxa"/>
            <w:shd w:val="clear" w:color="auto" w:fill="auto"/>
            <w:noWrap/>
            <w:vAlign w:val="center"/>
          </w:tcPr>
          <w:p w14:paraId="2C021F60">
            <w:pPr>
              <w:widowControl/>
              <w:jc w:val="center"/>
              <w:rPr>
                <w:rFonts w:ascii="宋体" w:hAnsi="宋体" w:eastAsia="宋体" w:cs="宋体"/>
                <w:kern w:val="0"/>
                <w:sz w:val="22"/>
              </w:rPr>
            </w:pPr>
            <w:r>
              <w:rPr>
                <w:rFonts w:hint="eastAsia" w:ascii="宋体" w:hAnsi="宋体" w:eastAsia="宋体" w:cs="宋体"/>
                <w:kern w:val="0"/>
                <w:sz w:val="22"/>
              </w:rPr>
              <w:t>楼层数</w:t>
            </w:r>
          </w:p>
        </w:tc>
        <w:tc>
          <w:tcPr>
            <w:tcW w:w="1985" w:type="dxa"/>
            <w:shd w:val="clear" w:color="auto" w:fill="auto"/>
            <w:noWrap/>
            <w:vAlign w:val="center"/>
          </w:tcPr>
          <w:p w14:paraId="5437EC3C">
            <w:pPr>
              <w:widowControl/>
              <w:jc w:val="center"/>
              <w:rPr>
                <w:rFonts w:ascii="宋体" w:hAnsi="宋体" w:eastAsia="宋体" w:cs="宋体"/>
                <w:kern w:val="0"/>
                <w:sz w:val="22"/>
              </w:rPr>
            </w:pPr>
            <w:r>
              <w:rPr>
                <w:rFonts w:hint="eastAsia" w:ascii="宋体" w:hAnsi="宋体" w:eastAsia="宋体" w:cs="宋体"/>
                <w:kern w:val="0"/>
                <w:sz w:val="22"/>
              </w:rPr>
              <w:t>面积（平方米）</w:t>
            </w:r>
          </w:p>
        </w:tc>
        <w:tc>
          <w:tcPr>
            <w:tcW w:w="4090" w:type="dxa"/>
            <w:shd w:val="clear" w:color="auto" w:fill="auto"/>
            <w:vAlign w:val="center"/>
          </w:tcPr>
          <w:p w14:paraId="26886F8B">
            <w:pPr>
              <w:widowControl/>
              <w:jc w:val="center"/>
              <w:rPr>
                <w:rFonts w:ascii="宋体" w:hAnsi="宋体" w:eastAsia="宋体" w:cs="宋体"/>
                <w:kern w:val="0"/>
                <w:sz w:val="22"/>
              </w:rPr>
            </w:pPr>
            <w:r>
              <w:rPr>
                <w:rFonts w:hint="eastAsia" w:ascii="宋体" w:hAnsi="宋体" w:eastAsia="宋体" w:cs="宋体"/>
                <w:kern w:val="0"/>
                <w:sz w:val="22"/>
              </w:rPr>
              <w:t>备注说明</w:t>
            </w:r>
          </w:p>
        </w:tc>
      </w:tr>
      <w:tr w14:paraId="2D3B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 w:hRule="atLeast"/>
          <w:jc w:val="center"/>
        </w:trPr>
        <w:tc>
          <w:tcPr>
            <w:tcW w:w="1579" w:type="dxa"/>
            <w:shd w:val="clear" w:color="auto" w:fill="auto"/>
            <w:noWrap/>
            <w:vAlign w:val="center"/>
          </w:tcPr>
          <w:p w14:paraId="29431874">
            <w:pPr>
              <w:widowControl/>
              <w:jc w:val="center"/>
              <w:rPr>
                <w:rFonts w:ascii="宋体" w:hAnsi="宋体" w:eastAsia="宋体" w:cs="宋体"/>
                <w:kern w:val="0"/>
                <w:sz w:val="22"/>
              </w:rPr>
            </w:pPr>
            <w:r>
              <w:rPr>
                <w:rFonts w:hint="eastAsia" w:ascii="宋体" w:hAnsi="宋体" w:eastAsia="宋体" w:cs="宋体"/>
                <w:kern w:val="0"/>
                <w:sz w:val="22"/>
              </w:rPr>
              <w:t>教学楼</w:t>
            </w:r>
          </w:p>
        </w:tc>
        <w:tc>
          <w:tcPr>
            <w:tcW w:w="1021" w:type="dxa"/>
            <w:shd w:val="clear" w:color="auto" w:fill="auto"/>
            <w:noWrap/>
            <w:vAlign w:val="center"/>
          </w:tcPr>
          <w:p w14:paraId="09AF6EAA">
            <w:pPr>
              <w:widowControl/>
              <w:jc w:val="center"/>
              <w:rPr>
                <w:rFonts w:ascii="宋体" w:hAnsi="宋体" w:eastAsia="宋体" w:cs="宋体"/>
                <w:kern w:val="0"/>
                <w:sz w:val="22"/>
              </w:rPr>
            </w:pPr>
            <w:r>
              <w:rPr>
                <w:rFonts w:hint="eastAsia" w:ascii="宋体" w:hAnsi="宋体" w:eastAsia="宋体" w:cs="宋体"/>
                <w:kern w:val="0"/>
                <w:sz w:val="22"/>
              </w:rPr>
              <w:t>2</w:t>
            </w:r>
          </w:p>
        </w:tc>
        <w:tc>
          <w:tcPr>
            <w:tcW w:w="1105" w:type="dxa"/>
            <w:shd w:val="clear" w:color="auto" w:fill="auto"/>
            <w:noWrap/>
            <w:vAlign w:val="center"/>
          </w:tcPr>
          <w:p w14:paraId="1B5FA67B">
            <w:pPr>
              <w:widowControl/>
              <w:jc w:val="center"/>
              <w:rPr>
                <w:rFonts w:ascii="宋体" w:hAnsi="宋体" w:eastAsia="宋体" w:cs="宋体"/>
                <w:kern w:val="0"/>
                <w:sz w:val="22"/>
              </w:rPr>
            </w:pPr>
            <w:r>
              <w:rPr>
                <w:rFonts w:hint="eastAsia" w:ascii="宋体" w:hAnsi="宋体" w:eastAsia="宋体" w:cs="宋体"/>
                <w:kern w:val="0"/>
                <w:sz w:val="22"/>
              </w:rPr>
              <w:t>5</w:t>
            </w:r>
          </w:p>
        </w:tc>
        <w:tc>
          <w:tcPr>
            <w:tcW w:w="1985" w:type="dxa"/>
            <w:shd w:val="clear" w:color="auto" w:fill="auto"/>
            <w:noWrap/>
            <w:vAlign w:val="center"/>
          </w:tcPr>
          <w:p w14:paraId="403A60FE">
            <w:pPr>
              <w:widowControl/>
              <w:jc w:val="center"/>
              <w:rPr>
                <w:rFonts w:ascii="宋体" w:hAnsi="宋体" w:eastAsia="宋体" w:cs="宋体"/>
                <w:kern w:val="0"/>
                <w:sz w:val="22"/>
              </w:rPr>
            </w:pPr>
            <w:r>
              <w:rPr>
                <w:rFonts w:hint="eastAsia" w:ascii="宋体" w:hAnsi="宋体" w:eastAsia="宋体" w:cs="宋体"/>
                <w:kern w:val="0"/>
                <w:sz w:val="22"/>
              </w:rPr>
              <w:t>7152.9</w:t>
            </w:r>
          </w:p>
        </w:tc>
        <w:tc>
          <w:tcPr>
            <w:tcW w:w="4090" w:type="dxa"/>
            <w:shd w:val="clear" w:color="auto" w:fill="auto"/>
            <w:vAlign w:val="center"/>
          </w:tcPr>
          <w:p w14:paraId="29501281">
            <w:pPr>
              <w:widowControl/>
              <w:jc w:val="left"/>
              <w:rPr>
                <w:rFonts w:ascii="宋体" w:hAnsi="宋体" w:eastAsia="宋体" w:cs="宋体"/>
                <w:kern w:val="0"/>
                <w:sz w:val="22"/>
              </w:rPr>
            </w:pPr>
            <w:r>
              <w:rPr>
                <w:rFonts w:hint="eastAsia" w:ascii="宋体" w:hAnsi="宋体" w:eastAsia="宋体" w:cs="宋体"/>
                <w:kern w:val="0"/>
                <w:sz w:val="22"/>
              </w:rPr>
              <w:t>办公室4间，卫生间18间，教室30间</w:t>
            </w:r>
          </w:p>
        </w:tc>
      </w:tr>
      <w:tr w14:paraId="401115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9" w:type="dxa"/>
            <w:shd w:val="clear" w:color="auto" w:fill="auto"/>
            <w:noWrap/>
            <w:vAlign w:val="center"/>
          </w:tcPr>
          <w:p w14:paraId="6D0D4D41">
            <w:pPr>
              <w:widowControl/>
              <w:jc w:val="center"/>
              <w:rPr>
                <w:rFonts w:ascii="宋体" w:hAnsi="宋体" w:eastAsia="宋体" w:cs="宋体"/>
                <w:kern w:val="0"/>
                <w:sz w:val="22"/>
              </w:rPr>
            </w:pPr>
            <w:r>
              <w:rPr>
                <w:rFonts w:hint="eastAsia" w:ascii="宋体" w:hAnsi="宋体" w:eastAsia="宋体" w:cs="宋体"/>
                <w:kern w:val="0"/>
                <w:sz w:val="22"/>
              </w:rPr>
              <w:t>实验楼</w:t>
            </w:r>
          </w:p>
        </w:tc>
        <w:tc>
          <w:tcPr>
            <w:tcW w:w="1021" w:type="dxa"/>
            <w:shd w:val="clear" w:color="auto" w:fill="auto"/>
            <w:noWrap/>
            <w:vAlign w:val="center"/>
          </w:tcPr>
          <w:p w14:paraId="255A8F98">
            <w:pPr>
              <w:widowControl/>
              <w:jc w:val="center"/>
              <w:rPr>
                <w:rFonts w:ascii="宋体" w:hAnsi="宋体" w:eastAsia="宋体" w:cs="宋体"/>
                <w:kern w:val="0"/>
                <w:sz w:val="22"/>
              </w:rPr>
            </w:pPr>
            <w:r>
              <w:rPr>
                <w:rFonts w:hint="eastAsia" w:ascii="宋体" w:hAnsi="宋体" w:eastAsia="宋体" w:cs="宋体"/>
                <w:kern w:val="0"/>
                <w:sz w:val="22"/>
              </w:rPr>
              <w:t>1</w:t>
            </w:r>
          </w:p>
        </w:tc>
        <w:tc>
          <w:tcPr>
            <w:tcW w:w="1105" w:type="dxa"/>
            <w:shd w:val="clear" w:color="auto" w:fill="auto"/>
            <w:noWrap/>
            <w:vAlign w:val="center"/>
          </w:tcPr>
          <w:p w14:paraId="62D8466A">
            <w:pPr>
              <w:widowControl/>
              <w:jc w:val="center"/>
              <w:rPr>
                <w:rFonts w:ascii="宋体" w:hAnsi="宋体" w:eastAsia="宋体" w:cs="宋体"/>
                <w:kern w:val="0"/>
                <w:sz w:val="22"/>
              </w:rPr>
            </w:pPr>
            <w:r>
              <w:rPr>
                <w:rFonts w:hint="eastAsia" w:ascii="宋体" w:hAnsi="宋体" w:eastAsia="宋体" w:cs="宋体"/>
                <w:kern w:val="0"/>
                <w:sz w:val="22"/>
              </w:rPr>
              <w:t>5</w:t>
            </w:r>
          </w:p>
        </w:tc>
        <w:tc>
          <w:tcPr>
            <w:tcW w:w="1985" w:type="dxa"/>
            <w:shd w:val="clear" w:color="auto" w:fill="auto"/>
            <w:noWrap/>
            <w:vAlign w:val="center"/>
          </w:tcPr>
          <w:p w14:paraId="37EA42A4">
            <w:pPr>
              <w:widowControl/>
              <w:jc w:val="center"/>
              <w:rPr>
                <w:rFonts w:ascii="宋体" w:hAnsi="宋体" w:eastAsia="宋体" w:cs="宋体"/>
                <w:kern w:val="0"/>
                <w:sz w:val="22"/>
              </w:rPr>
            </w:pPr>
            <w:r>
              <w:rPr>
                <w:rFonts w:hint="eastAsia" w:ascii="宋体" w:hAnsi="宋体" w:eastAsia="宋体" w:cs="宋体"/>
                <w:kern w:val="0"/>
                <w:sz w:val="22"/>
              </w:rPr>
              <w:t>4569.1</w:t>
            </w:r>
          </w:p>
        </w:tc>
        <w:tc>
          <w:tcPr>
            <w:tcW w:w="4090" w:type="dxa"/>
            <w:shd w:val="clear" w:color="auto" w:fill="auto"/>
            <w:vAlign w:val="center"/>
          </w:tcPr>
          <w:p w14:paraId="503DBD61">
            <w:pPr>
              <w:widowControl/>
              <w:jc w:val="left"/>
              <w:rPr>
                <w:rFonts w:ascii="宋体" w:hAnsi="宋体" w:eastAsia="宋体" w:cs="宋体"/>
                <w:kern w:val="0"/>
                <w:sz w:val="22"/>
              </w:rPr>
            </w:pPr>
            <w:r>
              <w:rPr>
                <w:rFonts w:hint="eastAsia" w:ascii="宋体" w:hAnsi="宋体" w:eastAsia="宋体" w:cs="宋体"/>
                <w:kern w:val="0"/>
                <w:sz w:val="22"/>
              </w:rPr>
              <w:t>实验室16间，办公室8间，卫生间8间</w:t>
            </w:r>
          </w:p>
        </w:tc>
      </w:tr>
      <w:tr w14:paraId="6A4B4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9" w:type="dxa"/>
            <w:shd w:val="clear" w:color="auto" w:fill="auto"/>
            <w:noWrap/>
            <w:vAlign w:val="center"/>
          </w:tcPr>
          <w:p w14:paraId="1E69DF52">
            <w:pPr>
              <w:widowControl/>
              <w:jc w:val="center"/>
              <w:rPr>
                <w:rFonts w:ascii="宋体" w:hAnsi="宋体" w:eastAsia="宋体" w:cs="宋体"/>
                <w:kern w:val="0"/>
                <w:sz w:val="22"/>
              </w:rPr>
            </w:pPr>
            <w:r>
              <w:rPr>
                <w:rFonts w:hint="eastAsia" w:ascii="宋体" w:hAnsi="宋体" w:eastAsia="宋体" w:cs="宋体"/>
                <w:kern w:val="0"/>
                <w:sz w:val="22"/>
              </w:rPr>
              <w:t>行政楼</w:t>
            </w:r>
          </w:p>
        </w:tc>
        <w:tc>
          <w:tcPr>
            <w:tcW w:w="1021" w:type="dxa"/>
            <w:shd w:val="clear" w:color="auto" w:fill="auto"/>
            <w:noWrap/>
            <w:vAlign w:val="center"/>
          </w:tcPr>
          <w:p w14:paraId="0E5EC62C">
            <w:pPr>
              <w:widowControl/>
              <w:jc w:val="center"/>
              <w:rPr>
                <w:rFonts w:ascii="宋体" w:hAnsi="宋体" w:eastAsia="宋体" w:cs="宋体"/>
                <w:kern w:val="0"/>
                <w:sz w:val="22"/>
              </w:rPr>
            </w:pPr>
            <w:r>
              <w:rPr>
                <w:rFonts w:hint="eastAsia" w:ascii="宋体" w:hAnsi="宋体" w:eastAsia="宋体" w:cs="宋体"/>
                <w:kern w:val="0"/>
                <w:sz w:val="22"/>
              </w:rPr>
              <w:t>1</w:t>
            </w:r>
          </w:p>
        </w:tc>
        <w:tc>
          <w:tcPr>
            <w:tcW w:w="1105" w:type="dxa"/>
            <w:shd w:val="clear" w:color="auto" w:fill="auto"/>
            <w:noWrap/>
            <w:vAlign w:val="center"/>
          </w:tcPr>
          <w:p w14:paraId="6AAB73F1">
            <w:pPr>
              <w:widowControl/>
              <w:jc w:val="center"/>
              <w:rPr>
                <w:rFonts w:ascii="宋体" w:hAnsi="宋体" w:eastAsia="宋体" w:cs="宋体"/>
                <w:kern w:val="0"/>
                <w:sz w:val="22"/>
              </w:rPr>
            </w:pPr>
            <w:r>
              <w:rPr>
                <w:rFonts w:hint="eastAsia" w:ascii="宋体" w:hAnsi="宋体" w:eastAsia="宋体" w:cs="宋体"/>
                <w:kern w:val="0"/>
                <w:sz w:val="22"/>
              </w:rPr>
              <w:t>5</w:t>
            </w:r>
          </w:p>
        </w:tc>
        <w:tc>
          <w:tcPr>
            <w:tcW w:w="1985" w:type="dxa"/>
            <w:shd w:val="clear" w:color="auto" w:fill="auto"/>
            <w:noWrap/>
            <w:vAlign w:val="center"/>
          </w:tcPr>
          <w:p w14:paraId="1972057A">
            <w:pPr>
              <w:widowControl/>
              <w:jc w:val="center"/>
              <w:rPr>
                <w:rFonts w:ascii="宋体" w:hAnsi="宋体" w:eastAsia="宋体" w:cs="宋体"/>
                <w:kern w:val="0"/>
                <w:sz w:val="22"/>
              </w:rPr>
            </w:pPr>
            <w:r>
              <w:rPr>
                <w:rFonts w:hint="eastAsia" w:ascii="宋体" w:hAnsi="宋体" w:eastAsia="宋体" w:cs="宋体"/>
                <w:kern w:val="0"/>
                <w:sz w:val="22"/>
              </w:rPr>
              <w:t>3563.3</w:t>
            </w:r>
          </w:p>
        </w:tc>
        <w:tc>
          <w:tcPr>
            <w:tcW w:w="4090" w:type="dxa"/>
            <w:shd w:val="clear" w:color="auto" w:fill="auto"/>
            <w:vAlign w:val="center"/>
          </w:tcPr>
          <w:p w14:paraId="6BC2358C">
            <w:pPr>
              <w:widowControl/>
              <w:jc w:val="left"/>
              <w:rPr>
                <w:rFonts w:ascii="宋体" w:hAnsi="宋体" w:eastAsia="宋体" w:cs="宋体"/>
                <w:kern w:val="0"/>
                <w:sz w:val="22"/>
              </w:rPr>
            </w:pPr>
            <w:r>
              <w:rPr>
                <w:rFonts w:hint="eastAsia" w:ascii="宋体" w:hAnsi="宋体" w:eastAsia="宋体" w:cs="宋体"/>
                <w:kern w:val="0"/>
                <w:sz w:val="22"/>
              </w:rPr>
              <w:t>办公室18间，会议室4间，活动室1间，图书馆1间，文印室1间，广播室1间，卫生间6间</w:t>
            </w:r>
          </w:p>
        </w:tc>
      </w:tr>
      <w:tr w14:paraId="0FD8D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9" w:type="dxa"/>
            <w:shd w:val="clear" w:color="auto" w:fill="auto"/>
            <w:noWrap/>
            <w:vAlign w:val="center"/>
          </w:tcPr>
          <w:p w14:paraId="729183D8">
            <w:pPr>
              <w:widowControl/>
              <w:jc w:val="center"/>
              <w:rPr>
                <w:rFonts w:ascii="宋体" w:hAnsi="宋体" w:eastAsia="宋体" w:cs="宋体"/>
                <w:kern w:val="0"/>
                <w:sz w:val="22"/>
              </w:rPr>
            </w:pPr>
            <w:r>
              <w:rPr>
                <w:rFonts w:hint="eastAsia" w:ascii="宋体" w:hAnsi="宋体" w:eastAsia="宋体" w:cs="宋体"/>
                <w:kern w:val="0"/>
                <w:sz w:val="22"/>
              </w:rPr>
              <w:t>综合楼</w:t>
            </w:r>
          </w:p>
        </w:tc>
        <w:tc>
          <w:tcPr>
            <w:tcW w:w="1021" w:type="dxa"/>
            <w:shd w:val="clear" w:color="auto" w:fill="auto"/>
            <w:noWrap/>
            <w:vAlign w:val="center"/>
          </w:tcPr>
          <w:p w14:paraId="78287BEF">
            <w:pPr>
              <w:widowControl/>
              <w:jc w:val="center"/>
              <w:rPr>
                <w:rFonts w:ascii="宋体" w:hAnsi="宋体" w:eastAsia="宋体" w:cs="宋体"/>
                <w:kern w:val="0"/>
                <w:sz w:val="22"/>
              </w:rPr>
            </w:pPr>
            <w:r>
              <w:rPr>
                <w:rFonts w:hint="eastAsia" w:ascii="宋体" w:hAnsi="宋体" w:eastAsia="宋体" w:cs="宋体"/>
                <w:kern w:val="0"/>
                <w:sz w:val="22"/>
              </w:rPr>
              <w:t>1</w:t>
            </w:r>
          </w:p>
        </w:tc>
        <w:tc>
          <w:tcPr>
            <w:tcW w:w="1105" w:type="dxa"/>
            <w:shd w:val="clear" w:color="auto" w:fill="auto"/>
            <w:noWrap/>
            <w:vAlign w:val="center"/>
          </w:tcPr>
          <w:p w14:paraId="026D07CC">
            <w:pPr>
              <w:widowControl/>
              <w:jc w:val="center"/>
              <w:rPr>
                <w:rFonts w:ascii="宋体" w:hAnsi="宋体" w:eastAsia="宋体" w:cs="宋体"/>
                <w:kern w:val="0"/>
                <w:sz w:val="22"/>
              </w:rPr>
            </w:pPr>
            <w:r>
              <w:rPr>
                <w:rFonts w:hint="eastAsia" w:ascii="宋体" w:hAnsi="宋体" w:eastAsia="宋体" w:cs="宋体"/>
                <w:kern w:val="0"/>
                <w:sz w:val="22"/>
              </w:rPr>
              <w:t>4</w:t>
            </w:r>
          </w:p>
        </w:tc>
        <w:tc>
          <w:tcPr>
            <w:tcW w:w="1985" w:type="dxa"/>
            <w:shd w:val="clear" w:color="auto" w:fill="auto"/>
            <w:noWrap/>
            <w:vAlign w:val="center"/>
          </w:tcPr>
          <w:p w14:paraId="398AE95A">
            <w:pPr>
              <w:widowControl/>
              <w:jc w:val="center"/>
              <w:rPr>
                <w:rFonts w:ascii="宋体" w:hAnsi="宋体" w:eastAsia="宋体" w:cs="宋体"/>
                <w:kern w:val="0"/>
                <w:sz w:val="22"/>
              </w:rPr>
            </w:pPr>
            <w:r>
              <w:rPr>
                <w:rFonts w:hint="eastAsia" w:ascii="宋体" w:hAnsi="宋体" w:eastAsia="宋体" w:cs="宋体"/>
                <w:kern w:val="0"/>
                <w:sz w:val="22"/>
              </w:rPr>
              <w:t>3068.2</w:t>
            </w:r>
          </w:p>
        </w:tc>
        <w:tc>
          <w:tcPr>
            <w:tcW w:w="4090" w:type="dxa"/>
            <w:shd w:val="clear" w:color="auto" w:fill="auto"/>
            <w:vAlign w:val="center"/>
          </w:tcPr>
          <w:p w14:paraId="31C62881">
            <w:pPr>
              <w:widowControl/>
              <w:jc w:val="left"/>
              <w:rPr>
                <w:rFonts w:ascii="宋体" w:hAnsi="宋体" w:eastAsia="宋体" w:cs="宋体"/>
                <w:kern w:val="0"/>
                <w:sz w:val="22"/>
              </w:rPr>
            </w:pPr>
            <w:r>
              <w:rPr>
                <w:rFonts w:hint="eastAsia" w:ascii="宋体" w:hAnsi="宋体" w:eastAsia="宋体" w:cs="宋体"/>
                <w:kern w:val="0"/>
                <w:sz w:val="22"/>
              </w:rPr>
              <w:t>办公室8间，卫生间8间，教室16间</w:t>
            </w:r>
          </w:p>
        </w:tc>
      </w:tr>
      <w:tr w14:paraId="38311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9" w:type="dxa"/>
            <w:shd w:val="clear" w:color="auto" w:fill="auto"/>
            <w:noWrap/>
            <w:vAlign w:val="center"/>
          </w:tcPr>
          <w:p w14:paraId="7ABA0DCD">
            <w:pPr>
              <w:widowControl/>
              <w:jc w:val="center"/>
              <w:rPr>
                <w:rFonts w:ascii="宋体" w:hAnsi="宋体" w:eastAsia="宋体" w:cs="宋体"/>
                <w:kern w:val="0"/>
                <w:sz w:val="22"/>
              </w:rPr>
            </w:pPr>
            <w:r>
              <w:rPr>
                <w:rFonts w:hint="eastAsia" w:ascii="宋体" w:hAnsi="宋体" w:eastAsia="宋体" w:cs="宋体"/>
                <w:kern w:val="0"/>
                <w:sz w:val="22"/>
              </w:rPr>
              <w:t>演艺厅</w:t>
            </w:r>
          </w:p>
        </w:tc>
        <w:tc>
          <w:tcPr>
            <w:tcW w:w="1021" w:type="dxa"/>
            <w:shd w:val="clear" w:color="auto" w:fill="auto"/>
            <w:noWrap/>
            <w:vAlign w:val="center"/>
          </w:tcPr>
          <w:p w14:paraId="7C1CBC4F">
            <w:pPr>
              <w:widowControl/>
              <w:jc w:val="center"/>
              <w:rPr>
                <w:rFonts w:ascii="宋体" w:hAnsi="宋体" w:eastAsia="宋体" w:cs="宋体"/>
                <w:kern w:val="0"/>
                <w:sz w:val="22"/>
              </w:rPr>
            </w:pPr>
            <w:r>
              <w:rPr>
                <w:rFonts w:hint="eastAsia" w:ascii="宋体" w:hAnsi="宋体" w:eastAsia="宋体" w:cs="宋体"/>
                <w:kern w:val="0"/>
                <w:sz w:val="22"/>
              </w:rPr>
              <w:t>1</w:t>
            </w:r>
          </w:p>
        </w:tc>
        <w:tc>
          <w:tcPr>
            <w:tcW w:w="1105" w:type="dxa"/>
            <w:shd w:val="clear" w:color="auto" w:fill="auto"/>
            <w:noWrap/>
            <w:vAlign w:val="center"/>
          </w:tcPr>
          <w:p w14:paraId="0CEBEA8B">
            <w:pPr>
              <w:widowControl/>
              <w:jc w:val="center"/>
              <w:rPr>
                <w:rFonts w:ascii="宋体" w:hAnsi="宋体" w:eastAsia="宋体" w:cs="宋体"/>
                <w:kern w:val="0"/>
                <w:sz w:val="22"/>
              </w:rPr>
            </w:pPr>
            <w:r>
              <w:rPr>
                <w:rFonts w:hint="eastAsia" w:ascii="宋体" w:hAnsi="宋体" w:eastAsia="宋体" w:cs="宋体"/>
                <w:kern w:val="0"/>
                <w:sz w:val="22"/>
              </w:rPr>
              <w:t>1</w:t>
            </w:r>
          </w:p>
        </w:tc>
        <w:tc>
          <w:tcPr>
            <w:tcW w:w="1985" w:type="dxa"/>
            <w:shd w:val="clear" w:color="auto" w:fill="auto"/>
            <w:noWrap/>
            <w:vAlign w:val="center"/>
          </w:tcPr>
          <w:p w14:paraId="0722630A">
            <w:pPr>
              <w:widowControl/>
              <w:jc w:val="center"/>
              <w:rPr>
                <w:rFonts w:ascii="宋体" w:hAnsi="宋体" w:eastAsia="宋体" w:cs="宋体"/>
                <w:kern w:val="0"/>
                <w:sz w:val="22"/>
              </w:rPr>
            </w:pPr>
            <w:r>
              <w:rPr>
                <w:rFonts w:hint="eastAsia" w:ascii="宋体" w:hAnsi="宋体" w:eastAsia="宋体" w:cs="宋体"/>
                <w:kern w:val="0"/>
                <w:sz w:val="22"/>
              </w:rPr>
              <w:t>651.5</w:t>
            </w:r>
          </w:p>
        </w:tc>
        <w:tc>
          <w:tcPr>
            <w:tcW w:w="4090" w:type="dxa"/>
            <w:shd w:val="clear" w:color="auto" w:fill="auto"/>
            <w:vAlign w:val="center"/>
          </w:tcPr>
          <w:p w14:paraId="10BC6B64">
            <w:pPr>
              <w:widowControl/>
              <w:jc w:val="left"/>
              <w:rPr>
                <w:rFonts w:ascii="宋体" w:hAnsi="宋体" w:eastAsia="宋体" w:cs="宋体"/>
                <w:kern w:val="0"/>
                <w:sz w:val="22"/>
              </w:rPr>
            </w:pPr>
            <w:r>
              <w:rPr>
                <w:rFonts w:hint="eastAsia" w:ascii="宋体" w:hAnsi="宋体" w:eastAsia="宋体" w:cs="宋体"/>
                <w:kern w:val="0"/>
                <w:sz w:val="22"/>
              </w:rPr>
              <w:t>空调机房、配电房、舞台、看台、卫生间</w:t>
            </w:r>
          </w:p>
        </w:tc>
      </w:tr>
      <w:tr w14:paraId="0B75C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9" w:type="dxa"/>
            <w:shd w:val="clear" w:color="auto" w:fill="auto"/>
            <w:noWrap/>
            <w:vAlign w:val="center"/>
          </w:tcPr>
          <w:p w14:paraId="527770E9">
            <w:pPr>
              <w:widowControl/>
              <w:jc w:val="center"/>
              <w:rPr>
                <w:rFonts w:ascii="宋体" w:hAnsi="宋体" w:eastAsia="宋体" w:cs="宋体"/>
                <w:kern w:val="0"/>
                <w:sz w:val="22"/>
              </w:rPr>
            </w:pPr>
            <w:r>
              <w:rPr>
                <w:rFonts w:hint="eastAsia" w:ascii="宋体" w:hAnsi="宋体" w:eastAsia="宋体" w:cs="宋体"/>
                <w:kern w:val="0"/>
                <w:sz w:val="22"/>
              </w:rPr>
              <w:t>地下体育馆</w:t>
            </w:r>
          </w:p>
        </w:tc>
        <w:tc>
          <w:tcPr>
            <w:tcW w:w="1021" w:type="dxa"/>
            <w:shd w:val="clear" w:color="auto" w:fill="auto"/>
            <w:noWrap/>
            <w:vAlign w:val="center"/>
          </w:tcPr>
          <w:p w14:paraId="3EA2E4F2">
            <w:pPr>
              <w:widowControl/>
              <w:jc w:val="center"/>
              <w:rPr>
                <w:rFonts w:ascii="宋体" w:hAnsi="宋体" w:eastAsia="宋体" w:cs="宋体"/>
                <w:kern w:val="0"/>
                <w:sz w:val="22"/>
              </w:rPr>
            </w:pPr>
            <w:r>
              <w:rPr>
                <w:rFonts w:hint="eastAsia" w:ascii="宋体" w:hAnsi="宋体" w:eastAsia="宋体" w:cs="宋体"/>
                <w:kern w:val="0"/>
                <w:sz w:val="22"/>
              </w:rPr>
              <w:t>1</w:t>
            </w:r>
          </w:p>
        </w:tc>
        <w:tc>
          <w:tcPr>
            <w:tcW w:w="1105" w:type="dxa"/>
            <w:shd w:val="clear" w:color="auto" w:fill="auto"/>
            <w:noWrap/>
            <w:vAlign w:val="center"/>
          </w:tcPr>
          <w:p w14:paraId="3A1340AC">
            <w:pPr>
              <w:widowControl/>
              <w:jc w:val="center"/>
              <w:rPr>
                <w:rFonts w:ascii="宋体" w:hAnsi="宋体" w:eastAsia="宋体" w:cs="宋体"/>
                <w:kern w:val="0"/>
                <w:sz w:val="22"/>
              </w:rPr>
            </w:pPr>
            <w:r>
              <w:rPr>
                <w:rFonts w:hint="eastAsia" w:ascii="宋体" w:hAnsi="宋体" w:eastAsia="宋体" w:cs="宋体"/>
                <w:kern w:val="0"/>
                <w:sz w:val="22"/>
              </w:rPr>
              <w:t>负1</w:t>
            </w:r>
          </w:p>
        </w:tc>
        <w:tc>
          <w:tcPr>
            <w:tcW w:w="1985" w:type="dxa"/>
            <w:shd w:val="clear" w:color="auto" w:fill="auto"/>
            <w:noWrap/>
            <w:vAlign w:val="center"/>
          </w:tcPr>
          <w:p w14:paraId="4CF36085">
            <w:pPr>
              <w:widowControl/>
              <w:jc w:val="center"/>
              <w:rPr>
                <w:rFonts w:ascii="宋体" w:hAnsi="宋体" w:eastAsia="宋体" w:cs="宋体"/>
                <w:kern w:val="0"/>
                <w:sz w:val="22"/>
              </w:rPr>
            </w:pPr>
            <w:r>
              <w:rPr>
                <w:rFonts w:hint="eastAsia" w:ascii="宋体" w:hAnsi="宋体" w:eastAsia="宋体" w:cs="宋体"/>
                <w:kern w:val="0"/>
                <w:sz w:val="22"/>
              </w:rPr>
              <w:t>1705.2</w:t>
            </w:r>
          </w:p>
        </w:tc>
        <w:tc>
          <w:tcPr>
            <w:tcW w:w="4090" w:type="dxa"/>
            <w:shd w:val="clear" w:color="auto" w:fill="auto"/>
            <w:vAlign w:val="center"/>
          </w:tcPr>
          <w:p w14:paraId="7074C88E">
            <w:pPr>
              <w:widowControl/>
              <w:jc w:val="left"/>
              <w:rPr>
                <w:rFonts w:ascii="宋体" w:hAnsi="宋体" w:eastAsia="宋体" w:cs="宋体"/>
                <w:kern w:val="0"/>
                <w:sz w:val="22"/>
              </w:rPr>
            </w:pPr>
            <w:r>
              <w:rPr>
                <w:rFonts w:hint="eastAsia" w:ascii="宋体" w:hAnsi="宋体" w:eastAsia="宋体" w:cs="宋体"/>
                <w:kern w:val="0"/>
                <w:sz w:val="22"/>
              </w:rPr>
              <w:t>篮球场、乒乓球场、羽毛球场</w:t>
            </w:r>
          </w:p>
        </w:tc>
      </w:tr>
      <w:tr w14:paraId="2ED9B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79" w:type="dxa"/>
            <w:shd w:val="clear" w:color="auto" w:fill="auto"/>
            <w:noWrap/>
            <w:vAlign w:val="center"/>
          </w:tcPr>
          <w:p w14:paraId="5A4CE519">
            <w:pPr>
              <w:widowControl/>
              <w:jc w:val="center"/>
              <w:rPr>
                <w:rFonts w:ascii="宋体" w:hAnsi="宋体" w:eastAsia="宋体" w:cs="宋体"/>
                <w:kern w:val="0"/>
                <w:sz w:val="22"/>
              </w:rPr>
            </w:pPr>
            <w:r>
              <w:rPr>
                <w:rFonts w:hint="eastAsia" w:ascii="宋体" w:hAnsi="宋体" w:eastAsia="宋体" w:cs="宋体"/>
                <w:kern w:val="0"/>
                <w:sz w:val="22"/>
              </w:rPr>
              <w:t>其他</w:t>
            </w:r>
          </w:p>
        </w:tc>
        <w:tc>
          <w:tcPr>
            <w:tcW w:w="1021" w:type="dxa"/>
            <w:shd w:val="clear" w:color="auto" w:fill="auto"/>
            <w:noWrap/>
            <w:vAlign w:val="center"/>
          </w:tcPr>
          <w:p w14:paraId="167B94B9">
            <w:pPr>
              <w:widowControl/>
              <w:jc w:val="center"/>
              <w:rPr>
                <w:rFonts w:ascii="宋体" w:hAnsi="宋体" w:eastAsia="宋体" w:cs="宋体"/>
                <w:kern w:val="0"/>
                <w:sz w:val="22"/>
              </w:rPr>
            </w:pPr>
            <w:r>
              <w:rPr>
                <w:rFonts w:hint="eastAsia" w:ascii="宋体" w:hAnsi="宋体" w:eastAsia="宋体" w:cs="宋体"/>
                <w:kern w:val="0"/>
                <w:sz w:val="22"/>
              </w:rPr>
              <w:t>1</w:t>
            </w:r>
          </w:p>
        </w:tc>
        <w:tc>
          <w:tcPr>
            <w:tcW w:w="1105" w:type="dxa"/>
            <w:shd w:val="clear" w:color="auto" w:fill="auto"/>
            <w:noWrap/>
            <w:vAlign w:val="center"/>
          </w:tcPr>
          <w:p w14:paraId="2ED5E987">
            <w:pPr>
              <w:widowControl/>
              <w:jc w:val="center"/>
              <w:rPr>
                <w:rFonts w:ascii="宋体" w:hAnsi="宋体" w:eastAsia="宋体" w:cs="宋体"/>
                <w:kern w:val="0"/>
                <w:sz w:val="22"/>
              </w:rPr>
            </w:pPr>
            <w:r>
              <w:rPr>
                <w:rFonts w:hint="eastAsia" w:ascii="宋体" w:hAnsi="宋体" w:eastAsia="宋体" w:cs="宋体"/>
                <w:kern w:val="0"/>
                <w:sz w:val="22"/>
              </w:rPr>
              <w:t>1</w:t>
            </w:r>
          </w:p>
        </w:tc>
        <w:tc>
          <w:tcPr>
            <w:tcW w:w="1985" w:type="dxa"/>
            <w:shd w:val="clear" w:color="auto" w:fill="auto"/>
            <w:noWrap/>
            <w:vAlign w:val="center"/>
          </w:tcPr>
          <w:p w14:paraId="11DF7D89">
            <w:pPr>
              <w:widowControl/>
              <w:jc w:val="center"/>
              <w:rPr>
                <w:rFonts w:ascii="宋体" w:hAnsi="宋体" w:eastAsia="宋体" w:cs="宋体"/>
                <w:kern w:val="0"/>
                <w:sz w:val="22"/>
              </w:rPr>
            </w:pPr>
            <w:r>
              <w:rPr>
                <w:rFonts w:hint="eastAsia" w:ascii="宋体" w:hAnsi="宋体" w:eastAsia="宋体" w:cs="宋体"/>
                <w:kern w:val="0"/>
                <w:sz w:val="22"/>
              </w:rPr>
              <w:t>7893.2</w:t>
            </w:r>
          </w:p>
        </w:tc>
        <w:tc>
          <w:tcPr>
            <w:tcW w:w="4090" w:type="dxa"/>
            <w:shd w:val="clear" w:color="auto" w:fill="auto"/>
            <w:vAlign w:val="center"/>
          </w:tcPr>
          <w:p w14:paraId="5B955F35">
            <w:pPr>
              <w:widowControl/>
              <w:jc w:val="left"/>
              <w:rPr>
                <w:rFonts w:ascii="宋体" w:hAnsi="宋体" w:eastAsia="宋体" w:cs="宋体"/>
                <w:kern w:val="0"/>
                <w:sz w:val="22"/>
              </w:rPr>
            </w:pPr>
            <w:r>
              <w:rPr>
                <w:rFonts w:hint="eastAsia" w:ascii="宋体" w:hAnsi="宋体" w:eastAsia="宋体" w:cs="宋体"/>
                <w:kern w:val="0"/>
                <w:sz w:val="22"/>
              </w:rPr>
              <w:t>门卫、水泵房、配电房、主席台、体育活动区、足球场、跑道</w:t>
            </w:r>
          </w:p>
        </w:tc>
      </w:tr>
    </w:tbl>
    <w:p w14:paraId="3B01338C">
      <w:pPr>
        <w:numPr>
          <w:ilvl w:val="0"/>
          <w:numId w:val="1"/>
        </w:numPr>
        <w:tabs>
          <w:tab w:val="left" w:pos="420"/>
        </w:tabs>
        <w:adjustRightInd w:val="0"/>
        <w:snapToGrid w:val="0"/>
        <w:spacing w:line="300" w:lineRule="auto"/>
        <w:ind w:left="440"/>
        <w:rPr>
          <w:rFonts w:ascii="Times New Roman" w:hAnsi="Times New Roman" w:eastAsia="宋体" w:cs="Times New Roman"/>
          <w:sz w:val="22"/>
        </w:rPr>
      </w:pPr>
      <w:r>
        <w:rPr>
          <w:rFonts w:hint="eastAsia" w:ascii="Times New Roman" w:hAnsi="Times New Roman" w:eastAsia="宋体" w:cs="Times New Roman"/>
          <w:sz w:val="22"/>
        </w:rPr>
        <w:t>浦东大道（校区）</w:t>
      </w:r>
    </w:p>
    <w:p w14:paraId="10EC63C9">
      <w:pPr>
        <w:adjustRightInd w:val="0"/>
        <w:snapToGrid w:val="0"/>
        <w:spacing w:line="300" w:lineRule="auto"/>
        <w:ind w:firstLine="440" w:firstLineChars="200"/>
        <w:rPr>
          <w:rFonts w:ascii="Times New Roman" w:hAnsi="Times New Roman" w:eastAsia="宋体" w:cs="Times New Roman"/>
          <w:sz w:val="22"/>
        </w:rPr>
      </w:pPr>
      <w:r>
        <w:rPr>
          <w:rFonts w:hint="eastAsia" w:ascii="Times New Roman" w:hAnsi="Times New Roman" w:eastAsia="宋体" w:cs="Times New Roman"/>
          <w:sz w:val="22"/>
        </w:rPr>
        <w:t>地址：上海市浦东新区浦东大道1677号</w:t>
      </w:r>
    </w:p>
    <w:p w14:paraId="593620E3">
      <w:pPr>
        <w:adjustRightInd w:val="0"/>
        <w:snapToGrid w:val="0"/>
        <w:spacing w:line="300" w:lineRule="auto"/>
        <w:ind w:firstLine="440" w:firstLineChars="200"/>
        <w:rPr>
          <w:rFonts w:ascii="Times New Roman" w:hAnsi="Times New Roman" w:eastAsia="宋体" w:cs="Times New Roman"/>
          <w:color w:val="000000"/>
          <w:sz w:val="22"/>
        </w:rPr>
      </w:pPr>
      <w:r>
        <w:rPr>
          <w:rFonts w:hint="eastAsia" w:ascii="Times New Roman" w:hAnsi="Times New Roman" w:eastAsia="宋体" w:cs="Times New Roman"/>
          <w:color w:val="000000"/>
          <w:sz w:val="22"/>
        </w:rPr>
        <w:t>建筑面积：3471平方米，绿化面积：293平方米，共有套数5幢，包含：行政楼、教学楼、食堂楼、辅助用房等，教职工73人，学生618人。</w:t>
      </w:r>
    </w:p>
    <w:p w14:paraId="4D7F0E2E">
      <w:pPr>
        <w:adjustRightInd w:val="0"/>
        <w:snapToGrid w:val="0"/>
        <w:spacing w:line="300" w:lineRule="auto"/>
        <w:ind w:firstLine="883" w:firstLineChars="400"/>
        <w:rPr>
          <w:rFonts w:ascii="宋体" w:hAnsi="宋体" w:eastAsia="宋体" w:cs="Times New Roman"/>
          <w:b/>
          <w:sz w:val="22"/>
        </w:rPr>
      </w:pPr>
      <w:r>
        <w:rPr>
          <w:rFonts w:hint="eastAsia" w:ascii="宋体" w:hAnsi="宋体" w:eastAsia="宋体" w:cs="Times New Roman"/>
          <w:b/>
          <w:sz w:val="22"/>
        </w:rPr>
        <w:t>校区大楼（浦东大道）情况：</w:t>
      </w:r>
    </w:p>
    <w:tbl>
      <w:tblPr>
        <w:tblStyle w:val="49"/>
        <w:tblW w:w="9697" w:type="dxa"/>
        <w:jc w:val="center"/>
        <w:tblLayout w:type="autofit"/>
        <w:tblCellMar>
          <w:top w:w="0" w:type="dxa"/>
          <w:left w:w="108" w:type="dxa"/>
          <w:bottom w:w="0" w:type="dxa"/>
          <w:right w:w="108" w:type="dxa"/>
        </w:tblCellMar>
      </w:tblPr>
      <w:tblGrid>
        <w:gridCol w:w="1280"/>
        <w:gridCol w:w="1080"/>
        <w:gridCol w:w="1080"/>
        <w:gridCol w:w="1940"/>
        <w:gridCol w:w="4317"/>
      </w:tblGrid>
      <w:tr w14:paraId="27362343">
        <w:tblPrEx>
          <w:tblCellMar>
            <w:top w:w="0" w:type="dxa"/>
            <w:left w:w="108" w:type="dxa"/>
            <w:bottom w:w="0" w:type="dxa"/>
            <w:right w:w="108" w:type="dxa"/>
          </w:tblCellMar>
        </w:tblPrEx>
        <w:trPr>
          <w:trHeight w:val="23" w:hRule="atLeast"/>
          <w:jc w:val="center"/>
        </w:trPr>
        <w:tc>
          <w:tcPr>
            <w:tcW w:w="1280" w:type="dxa"/>
            <w:tcBorders>
              <w:top w:val="single" w:color="000000" w:sz="4" w:space="0"/>
              <w:left w:val="single" w:color="000000" w:sz="4" w:space="0"/>
              <w:bottom w:val="single" w:color="auto" w:sz="4" w:space="0"/>
              <w:right w:val="single" w:color="auto" w:sz="4" w:space="0"/>
            </w:tcBorders>
            <w:shd w:val="clear" w:color="auto" w:fill="auto"/>
            <w:noWrap/>
            <w:vAlign w:val="center"/>
          </w:tcPr>
          <w:p w14:paraId="405E9AD5">
            <w:pPr>
              <w:widowControl/>
              <w:jc w:val="left"/>
              <w:rPr>
                <w:rFonts w:ascii="宋体" w:hAnsi="宋体" w:eastAsia="宋体" w:cs="宋体"/>
                <w:kern w:val="0"/>
                <w:sz w:val="22"/>
              </w:rPr>
            </w:pPr>
            <w:bookmarkStart w:id="23" w:name="_Hlk193358833"/>
            <w:r>
              <w:rPr>
                <w:rFonts w:hint="eastAsia" w:ascii="宋体" w:hAnsi="宋体" w:eastAsia="宋体" w:cs="宋体"/>
                <w:kern w:val="0"/>
                <w:sz w:val="22"/>
              </w:rPr>
              <w:t>大楼名称</w:t>
            </w:r>
          </w:p>
        </w:tc>
        <w:tc>
          <w:tcPr>
            <w:tcW w:w="1080" w:type="dxa"/>
            <w:tcBorders>
              <w:top w:val="single" w:color="000000" w:sz="4" w:space="0"/>
              <w:left w:val="nil"/>
              <w:bottom w:val="single" w:color="auto" w:sz="4" w:space="0"/>
              <w:right w:val="single" w:color="auto" w:sz="4" w:space="0"/>
            </w:tcBorders>
            <w:shd w:val="clear" w:color="auto" w:fill="auto"/>
            <w:noWrap/>
            <w:vAlign w:val="center"/>
          </w:tcPr>
          <w:p w14:paraId="29705D58">
            <w:pPr>
              <w:widowControl/>
              <w:jc w:val="center"/>
              <w:rPr>
                <w:rFonts w:ascii="宋体" w:hAnsi="宋体" w:eastAsia="宋体" w:cs="宋体"/>
                <w:kern w:val="0"/>
                <w:sz w:val="22"/>
              </w:rPr>
            </w:pPr>
            <w:r>
              <w:rPr>
                <w:rFonts w:hint="eastAsia" w:ascii="宋体" w:hAnsi="宋体" w:eastAsia="宋体" w:cs="宋体"/>
                <w:kern w:val="0"/>
                <w:sz w:val="22"/>
              </w:rPr>
              <w:t>楼幢数</w:t>
            </w:r>
          </w:p>
        </w:tc>
        <w:tc>
          <w:tcPr>
            <w:tcW w:w="1080" w:type="dxa"/>
            <w:tcBorders>
              <w:top w:val="single" w:color="000000" w:sz="4" w:space="0"/>
              <w:left w:val="nil"/>
              <w:bottom w:val="single" w:color="auto" w:sz="4" w:space="0"/>
              <w:right w:val="single" w:color="auto" w:sz="4" w:space="0"/>
            </w:tcBorders>
            <w:shd w:val="clear" w:color="auto" w:fill="auto"/>
            <w:noWrap/>
            <w:vAlign w:val="center"/>
          </w:tcPr>
          <w:p w14:paraId="002685FC">
            <w:pPr>
              <w:widowControl/>
              <w:jc w:val="center"/>
              <w:rPr>
                <w:rFonts w:ascii="宋体" w:hAnsi="宋体" w:eastAsia="宋体" w:cs="宋体"/>
                <w:kern w:val="0"/>
                <w:sz w:val="22"/>
              </w:rPr>
            </w:pPr>
            <w:r>
              <w:rPr>
                <w:rFonts w:hint="eastAsia" w:ascii="宋体" w:hAnsi="宋体" w:eastAsia="宋体" w:cs="宋体"/>
                <w:kern w:val="0"/>
                <w:sz w:val="22"/>
              </w:rPr>
              <w:t>楼层数</w:t>
            </w:r>
          </w:p>
        </w:tc>
        <w:tc>
          <w:tcPr>
            <w:tcW w:w="1940" w:type="dxa"/>
            <w:tcBorders>
              <w:top w:val="single" w:color="000000" w:sz="4" w:space="0"/>
              <w:left w:val="nil"/>
              <w:bottom w:val="single" w:color="auto" w:sz="4" w:space="0"/>
              <w:right w:val="single" w:color="auto" w:sz="4" w:space="0"/>
            </w:tcBorders>
            <w:shd w:val="clear" w:color="auto" w:fill="auto"/>
            <w:noWrap/>
            <w:vAlign w:val="center"/>
          </w:tcPr>
          <w:p w14:paraId="6646436F">
            <w:pPr>
              <w:widowControl/>
              <w:jc w:val="center"/>
              <w:rPr>
                <w:rFonts w:ascii="宋体" w:hAnsi="宋体" w:eastAsia="宋体" w:cs="宋体"/>
                <w:kern w:val="0"/>
                <w:sz w:val="22"/>
              </w:rPr>
            </w:pPr>
            <w:r>
              <w:rPr>
                <w:rFonts w:hint="eastAsia" w:ascii="宋体" w:hAnsi="宋体" w:eastAsia="宋体" w:cs="宋体"/>
                <w:kern w:val="0"/>
                <w:sz w:val="22"/>
              </w:rPr>
              <w:t>面积（平方米）</w:t>
            </w:r>
          </w:p>
        </w:tc>
        <w:tc>
          <w:tcPr>
            <w:tcW w:w="4317" w:type="dxa"/>
            <w:tcBorders>
              <w:top w:val="single" w:color="000000" w:sz="4" w:space="0"/>
              <w:left w:val="nil"/>
              <w:bottom w:val="single" w:color="auto" w:sz="4" w:space="0"/>
              <w:right w:val="single" w:color="000000" w:sz="4" w:space="0"/>
            </w:tcBorders>
            <w:shd w:val="clear" w:color="auto" w:fill="auto"/>
            <w:vAlign w:val="center"/>
          </w:tcPr>
          <w:p w14:paraId="35E18B91">
            <w:pPr>
              <w:widowControl/>
              <w:jc w:val="left"/>
              <w:rPr>
                <w:rFonts w:ascii="宋体" w:hAnsi="宋体" w:eastAsia="宋体" w:cs="宋体"/>
                <w:kern w:val="0"/>
                <w:sz w:val="22"/>
              </w:rPr>
            </w:pPr>
            <w:r>
              <w:rPr>
                <w:rFonts w:hint="eastAsia" w:ascii="宋体" w:hAnsi="宋体" w:eastAsia="宋体" w:cs="宋体"/>
                <w:kern w:val="0"/>
                <w:sz w:val="22"/>
              </w:rPr>
              <w:t>备注说明</w:t>
            </w:r>
          </w:p>
        </w:tc>
      </w:tr>
      <w:tr w14:paraId="7E31D5F1">
        <w:tblPrEx>
          <w:tblCellMar>
            <w:top w:w="0" w:type="dxa"/>
            <w:left w:w="108" w:type="dxa"/>
            <w:bottom w:w="0" w:type="dxa"/>
            <w:right w:w="108" w:type="dxa"/>
          </w:tblCellMar>
        </w:tblPrEx>
        <w:trPr>
          <w:trHeight w:val="23" w:hRule="atLeast"/>
          <w:jc w:val="center"/>
        </w:trPr>
        <w:tc>
          <w:tcPr>
            <w:tcW w:w="1280" w:type="dxa"/>
            <w:tcBorders>
              <w:top w:val="nil"/>
              <w:left w:val="single" w:color="000000" w:sz="4" w:space="0"/>
              <w:bottom w:val="single" w:color="auto" w:sz="4" w:space="0"/>
              <w:right w:val="single" w:color="auto" w:sz="4" w:space="0"/>
            </w:tcBorders>
            <w:shd w:val="clear" w:color="auto" w:fill="auto"/>
            <w:noWrap/>
            <w:vAlign w:val="center"/>
          </w:tcPr>
          <w:p w14:paraId="7E039313">
            <w:pPr>
              <w:widowControl/>
              <w:jc w:val="left"/>
              <w:rPr>
                <w:rFonts w:ascii="宋体" w:hAnsi="宋体" w:eastAsia="宋体" w:cs="宋体"/>
                <w:kern w:val="0"/>
                <w:sz w:val="22"/>
              </w:rPr>
            </w:pPr>
            <w:r>
              <w:rPr>
                <w:rFonts w:hint="eastAsia" w:ascii="宋体" w:hAnsi="宋体" w:eastAsia="宋体" w:cs="宋体"/>
                <w:kern w:val="0"/>
                <w:sz w:val="22"/>
              </w:rPr>
              <w:t>行政楼</w:t>
            </w:r>
          </w:p>
        </w:tc>
        <w:tc>
          <w:tcPr>
            <w:tcW w:w="1080" w:type="dxa"/>
            <w:tcBorders>
              <w:top w:val="nil"/>
              <w:left w:val="nil"/>
              <w:bottom w:val="single" w:color="auto" w:sz="4" w:space="0"/>
              <w:right w:val="single" w:color="auto" w:sz="4" w:space="0"/>
            </w:tcBorders>
            <w:shd w:val="clear" w:color="auto" w:fill="auto"/>
            <w:noWrap/>
            <w:vAlign w:val="center"/>
          </w:tcPr>
          <w:p w14:paraId="6CB18E3C">
            <w:pPr>
              <w:widowControl/>
              <w:jc w:val="center"/>
              <w:rPr>
                <w:rFonts w:ascii="宋体" w:hAnsi="宋体" w:eastAsia="宋体" w:cs="宋体"/>
                <w:kern w:val="0"/>
                <w:sz w:val="22"/>
              </w:rPr>
            </w:pPr>
            <w:r>
              <w:rPr>
                <w:rFonts w:hint="eastAsia" w:ascii="宋体" w:hAnsi="宋体" w:eastAsia="宋体" w:cs="宋体"/>
                <w:kern w:val="0"/>
                <w:sz w:val="22"/>
              </w:rPr>
              <w:t>1</w:t>
            </w:r>
          </w:p>
        </w:tc>
        <w:tc>
          <w:tcPr>
            <w:tcW w:w="1080" w:type="dxa"/>
            <w:tcBorders>
              <w:top w:val="nil"/>
              <w:left w:val="nil"/>
              <w:bottom w:val="single" w:color="auto" w:sz="4" w:space="0"/>
              <w:right w:val="single" w:color="auto" w:sz="4" w:space="0"/>
            </w:tcBorders>
            <w:shd w:val="clear" w:color="auto" w:fill="auto"/>
            <w:noWrap/>
            <w:vAlign w:val="center"/>
          </w:tcPr>
          <w:p w14:paraId="3976FE8C">
            <w:pPr>
              <w:widowControl/>
              <w:jc w:val="center"/>
              <w:rPr>
                <w:rFonts w:ascii="宋体" w:hAnsi="宋体" w:eastAsia="宋体" w:cs="宋体"/>
                <w:kern w:val="0"/>
                <w:sz w:val="22"/>
              </w:rPr>
            </w:pPr>
            <w:r>
              <w:rPr>
                <w:rFonts w:hint="eastAsia" w:ascii="宋体" w:hAnsi="宋体" w:eastAsia="宋体" w:cs="宋体"/>
                <w:kern w:val="0"/>
                <w:sz w:val="22"/>
              </w:rPr>
              <w:t>2</w:t>
            </w:r>
          </w:p>
        </w:tc>
        <w:tc>
          <w:tcPr>
            <w:tcW w:w="1940" w:type="dxa"/>
            <w:tcBorders>
              <w:top w:val="nil"/>
              <w:left w:val="nil"/>
              <w:bottom w:val="single" w:color="auto" w:sz="4" w:space="0"/>
              <w:right w:val="single" w:color="auto" w:sz="4" w:space="0"/>
            </w:tcBorders>
            <w:shd w:val="clear" w:color="auto" w:fill="auto"/>
            <w:noWrap/>
            <w:vAlign w:val="center"/>
          </w:tcPr>
          <w:p w14:paraId="3C9F1E72">
            <w:pPr>
              <w:widowControl/>
              <w:jc w:val="center"/>
              <w:rPr>
                <w:rFonts w:ascii="宋体" w:hAnsi="宋体" w:eastAsia="宋体" w:cs="宋体"/>
                <w:kern w:val="0"/>
                <w:sz w:val="22"/>
              </w:rPr>
            </w:pPr>
          </w:p>
        </w:tc>
        <w:tc>
          <w:tcPr>
            <w:tcW w:w="4317" w:type="dxa"/>
            <w:tcBorders>
              <w:top w:val="nil"/>
              <w:left w:val="nil"/>
              <w:bottom w:val="single" w:color="auto" w:sz="4" w:space="0"/>
              <w:right w:val="single" w:color="000000" w:sz="4" w:space="0"/>
            </w:tcBorders>
            <w:shd w:val="clear" w:color="auto" w:fill="auto"/>
            <w:vAlign w:val="center"/>
          </w:tcPr>
          <w:p w14:paraId="3F00AA84">
            <w:pPr>
              <w:widowControl/>
              <w:jc w:val="left"/>
              <w:rPr>
                <w:rFonts w:ascii="宋体" w:hAnsi="宋体" w:eastAsia="宋体" w:cs="宋体"/>
                <w:kern w:val="0"/>
                <w:sz w:val="22"/>
              </w:rPr>
            </w:pPr>
            <w:r>
              <w:rPr>
                <w:rFonts w:hint="eastAsia" w:ascii="宋体" w:hAnsi="宋体" w:eastAsia="宋体" w:cs="宋体"/>
                <w:kern w:val="0"/>
                <w:sz w:val="22"/>
              </w:rPr>
              <w:t>办公室10间，接待室1间，会议室1间，卫生间2间</w:t>
            </w:r>
          </w:p>
        </w:tc>
      </w:tr>
      <w:tr w14:paraId="79218331">
        <w:tblPrEx>
          <w:tblCellMar>
            <w:top w:w="0" w:type="dxa"/>
            <w:left w:w="108" w:type="dxa"/>
            <w:bottom w:w="0" w:type="dxa"/>
            <w:right w:w="108" w:type="dxa"/>
          </w:tblCellMar>
        </w:tblPrEx>
        <w:trPr>
          <w:trHeight w:val="23" w:hRule="atLeast"/>
          <w:jc w:val="center"/>
        </w:trPr>
        <w:tc>
          <w:tcPr>
            <w:tcW w:w="1280" w:type="dxa"/>
            <w:tcBorders>
              <w:top w:val="nil"/>
              <w:left w:val="single" w:color="000000" w:sz="4" w:space="0"/>
              <w:bottom w:val="single" w:color="auto" w:sz="4" w:space="0"/>
              <w:right w:val="single" w:color="auto" w:sz="4" w:space="0"/>
            </w:tcBorders>
            <w:shd w:val="clear" w:color="auto" w:fill="auto"/>
            <w:noWrap/>
            <w:vAlign w:val="center"/>
          </w:tcPr>
          <w:p w14:paraId="379566A0">
            <w:pPr>
              <w:widowControl/>
              <w:jc w:val="left"/>
              <w:rPr>
                <w:rFonts w:ascii="宋体" w:hAnsi="宋体" w:eastAsia="宋体" w:cs="宋体"/>
                <w:kern w:val="0"/>
                <w:sz w:val="22"/>
              </w:rPr>
            </w:pPr>
            <w:r>
              <w:rPr>
                <w:rFonts w:hint="eastAsia" w:ascii="宋体" w:hAnsi="宋体" w:eastAsia="宋体" w:cs="宋体"/>
                <w:kern w:val="0"/>
                <w:sz w:val="22"/>
              </w:rPr>
              <w:t>食堂楼</w:t>
            </w:r>
          </w:p>
        </w:tc>
        <w:tc>
          <w:tcPr>
            <w:tcW w:w="1080" w:type="dxa"/>
            <w:tcBorders>
              <w:top w:val="nil"/>
              <w:left w:val="nil"/>
              <w:bottom w:val="single" w:color="auto" w:sz="4" w:space="0"/>
              <w:right w:val="single" w:color="auto" w:sz="4" w:space="0"/>
            </w:tcBorders>
            <w:shd w:val="clear" w:color="auto" w:fill="auto"/>
            <w:noWrap/>
            <w:vAlign w:val="center"/>
          </w:tcPr>
          <w:p w14:paraId="62F42908">
            <w:pPr>
              <w:widowControl/>
              <w:jc w:val="center"/>
              <w:rPr>
                <w:rFonts w:ascii="宋体" w:hAnsi="宋体" w:eastAsia="宋体" w:cs="宋体"/>
                <w:kern w:val="0"/>
                <w:sz w:val="22"/>
              </w:rPr>
            </w:pPr>
            <w:r>
              <w:rPr>
                <w:rFonts w:hint="eastAsia" w:ascii="宋体" w:hAnsi="宋体" w:eastAsia="宋体" w:cs="宋体"/>
                <w:kern w:val="0"/>
                <w:sz w:val="22"/>
              </w:rPr>
              <w:t>1</w:t>
            </w:r>
          </w:p>
        </w:tc>
        <w:tc>
          <w:tcPr>
            <w:tcW w:w="1080" w:type="dxa"/>
            <w:tcBorders>
              <w:top w:val="nil"/>
              <w:left w:val="nil"/>
              <w:bottom w:val="single" w:color="auto" w:sz="4" w:space="0"/>
              <w:right w:val="single" w:color="auto" w:sz="4" w:space="0"/>
            </w:tcBorders>
            <w:shd w:val="clear" w:color="auto" w:fill="auto"/>
            <w:noWrap/>
            <w:vAlign w:val="center"/>
          </w:tcPr>
          <w:p w14:paraId="58D944CE">
            <w:pPr>
              <w:widowControl/>
              <w:jc w:val="center"/>
              <w:rPr>
                <w:rFonts w:ascii="宋体" w:hAnsi="宋体" w:eastAsia="宋体" w:cs="宋体"/>
                <w:kern w:val="0"/>
                <w:sz w:val="22"/>
              </w:rPr>
            </w:pPr>
            <w:r>
              <w:rPr>
                <w:rFonts w:hint="eastAsia" w:ascii="宋体" w:hAnsi="宋体" w:eastAsia="宋体" w:cs="宋体"/>
                <w:kern w:val="0"/>
                <w:sz w:val="22"/>
              </w:rPr>
              <w:t>1</w:t>
            </w:r>
          </w:p>
        </w:tc>
        <w:tc>
          <w:tcPr>
            <w:tcW w:w="1940" w:type="dxa"/>
            <w:tcBorders>
              <w:top w:val="nil"/>
              <w:left w:val="nil"/>
              <w:bottom w:val="single" w:color="auto" w:sz="4" w:space="0"/>
              <w:right w:val="single" w:color="auto" w:sz="4" w:space="0"/>
            </w:tcBorders>
            <w:shd w:val="clear" w:color="auto" w:fill="auto"/>
            <w:noWrap/>
            <w:vAlign w:val="center"/>
          </w:tcPr>
          <w:p w14:paraId="75E99D2B">
            <w:pPr>
              <w:widowControl/>
              <w:rPr>
                <w:rFonts w:ascii="宋体" w:hAnsi="宋体" w:eastAsia="宋体" w:cs="宋体"/>
                <w:kern w:val="0"/>
                <w:sz w:val="22"/>
              </w:rPr>
            </w:pPr>
          </w:p>
        </w:tc>
        <w:tc>
          <w:tcPr>
            <w:tcW w:w="4317" w:type="dxa"/>
            <w:tcBorders>
              <w:top w:val="nil"/>
              <w:left w:val="nil"/>
              <w:bottom w:val="single" w:color="auto" w:sz="4" w:space="0"/>
              <w:right w:val="single" w:color="000000" w:sz="4" w:space="0"/>
            </w:tcBorders>
            <w:shd w:val="clear" w:color="auto" w:fill="auto"/>
            <w:vAlign w:val="center"/>
          </w:tcPr>
          <w:p w14:paraId="7942BDA7">
            <w:pPr>
              <w:widowControl/>
              <w:jc w:val="left"/>
              <w:rPr>
                <w:rFonts w:ascii="宋体" w:hAnsi="宋体" w:eastAsia="宋体" w:cs="宋体"/>
                <w:kern w:val="0"/>
                <w:sz w:val="22"/>
              </w:rPr>
            </w:pPr>
            <w:r>
              <w:rPr>
                <w:rFonts w:hint="eastAsia" w:ascii="宋体" w:hAnsi="宋体" w:eastAsia="宋体" w:cs="宋体"/>
                <w:kern w:val="0"/>
                <w:sz w:val="22"/>
              </w:rPr>
              <w:t>厨房，分餐间，清洗间，教师餐厅，食堂经理办公室1间，更衣室1间</w:t>
            </w:r>
          </w:p>
        </w:tc>
      </w:tr>
      <w:tr w14:paraId="44D5C88A">
        <w:tblPrEx>
          <w:tblCellMar>
            <w:top w:w="0" w:type="dxa"/>
            <w:left w:w="108" w:type="dxa"/>
            <w:bottom w:w="0" w:type="dxa"/>
            <w:right w:w="108" w:type="dxa"/>
          </w:tblCellMar>
        </w:tblPrEx>
        <w:trPr>
          <w:trHeight w:val="23" w:hRule="atLeast"/>
          <w:jc w:val="center"/>
        </w:trPr>
        <w:tc>
          <w:tcPr>
            <w:tcW w:w="1280" w:type="dxa"/>
            <w:tcBorders>
              <w:top w:val="nil"/>
              <w:left w:val="single" w:color="000000" w:sz="4" w:space="0"/>
              <w:bottom w:val="single" w:color="auto" w:sz="4" w:space="0"/>
              <w:right w:val="single" w:color="auto" w:sz="4" w:space="0"/>
            </w:tcBorders>
            <w:shd w:val="clear" w:color="auto" w:fill="auto"/>
            <w:noWrap/>
            <w:vAlign w:val="center"/>
          </w:tcPr>
          <w:p w14:paraId="00A26EF5">
            <w:pPr>
              <w:widowControl/>
              <w:jc w:val="left"/>
              <w:rPr>
                <w:rFonts w:ascii="宋体" w:hAnsi="宋体" w:eastAsia="宋体" w:cs="宋体"/>
                <w:kern w:val="0"/>
                <w:sz w:val="22"/>
              </w:rPr>
            </w:pPr>
            <w:r>
              <w:rPr>
                <w:rFonts w:hint="eastAsia" w:ascii="宋体" w:hAnsi="宋体" w:eastAsia="宋体" w:cs="宋体"/>
                <w:kern w:val="0"/>
                <w:sz w:val="22"/>
              </w:rPr>
              <w:t>教学楼</w:t>
            </w:r>
          </w:p>
        </w:tc>
        <w:tc>
          <w:tcPr>
            <w:tcW w:w="1080" w:type="dxa"/>
            <w:tcBorders>
              <w:top w:val="nil"/>
              <w:left w:val="nil"/>
              <w:bottom w:val="single" w:color="auto" w:sz="4" w:space="0"/>
              <w:right w:val="single" w:color="auto" w:sz="4" w:space="0"/>
            </w:tcBorders>
            <w:shd w:val="clear" w:color="auto" w:fill="auto"/>
            <w:noWrap/>
            <w:vAlign w:val="center"/>
          </w:tcPr>
          <w:p w14:paraId="7B7C34F9">
            <w:pPr>
              <w:widowControl/>
              <w:jc w:val="center"/>
              <w:rPr>
                <w:rFonts w:ascii="宋体" w:hAnsi="宋体" w:eastAsia="宋体" w:cs="宋体"/>
                <w:kern w:val="0"/>
                <w:sz w:val="22"/>
              </w:rPr>
            </w:pPr>
            <w:r>
              <w:rPr>
                <w:rFonts w:hint="eastAsia" w:ascii="宋体" w:hAnsi="宋体" w:eastAsia="宋体" w:cs="宋体"/>
                <w:kern w:val="0"/>
                <w:sz w:val="22"/>
              </w:rPr>
              <w:t>1</w:t>
            </w:r>
          </w:p>
        </w:tc>
        <w:tc>
          <w:tcPr>
            <w:tcW w:w="1080" w:type="dxa"/>
            <w:tcBorders>
              <w:top w:val="nil"/>
              <w:left w:val="nil"/>
              <w:bottom w:val="single" w:color="auto" w:sz="4" w:space="0"/>
              <w:right w:val="single" w:color="auto" w:sz="4" w:space="0"/>
            </w:tcBorders>
            <w:shd w:val="clear" w:color="auto" w:fill="auto"/>
            <w:noWrap/>
            <w:vAlign w:val="center"/>
          </w:tcPr>
          <w:p w14:paraId="16AA5846">
            <w:pPr>
              <w:widowControl/>
              <w:jc w:val="center"/>
              <w:rPr>
                <w:rFonts w:ascii="宋体" w:hAnsi="宋体" w:eastAsia="宋体" w:cs="宋体"/>
                <w:kern w:val="0"/>
                <w:sz w:val="22"/>
              </w:rPr>
            </w:pPr>
            <w:r>
              <w:rPr>
                <w:rFonts w:hint="eastAsia" w:ascii="宋体" w:hAnsi="宋体" w:eastAsia="宋体" w:cs="宋体"/>
                <w:kern w:val="0"/>
                <w:sz w:val="22"/>
              </w:rPr>
              <w:t>4</w:t>
            </w:r>
          </w:p>
        </w:tc>
        <w:tc>
          <w:tcPr>
            <w:tcW w:w="1940" w:type="dxa"/>
            <w:tcBorders>
              <w:top w:val="nil"/>
              <w:left w:val="nil"/>
              <w:bottom w:val="single" w:color="auto" w:sz="4" w:space="0"/>
              <w:right w:val="single" w:color="auto" w:sz="4" w:space="0"/>
            </w:tcBorders>
            <w:shd w:val="clear" w:color="auto" w:fill="auto"/>
            <w:noWrap/>
            <w:vAlign w:val="center"/>
          </w:tcPr>
          <w:p w14:paraId="558D7CD0">
            <w:pPr>
              <w:widowControl/>
              <w:rPr>
                <w:rFonts w:ascii="宋体" w:hAnsi="宋体" w:eastAsia="宋体" w:cs="宋体"/>
                <w:kern w:val="0"/>
                <w:sz w:val="22"/>
              </w:rPr>
            </w:pPr>
          </w:p>
        </w:tc>
        <w:tc>
          <w:tcPr>
            <w:tcW w:w="4317" w:type="dxa"/>
            <w:tcBorders>
              <w:top w:val="nil"/>
              <w:left w:val="nil"/>
              <w:bottom w:val="single" w:color="auto" w:sz="4" w:space="0"/>
              <w:right w:val="single" w:color="000000" w:sz="4" w:space="0"/>
            </w:tcBorders>
            <w:shd w:val="clear" w:color="auto" w:fill="auto"/>
            <w:vAlign w:val="center"/>
          </w:tcPr>
          <w:p w14:paraId="58A57596">
            <w:pPr>
              <w:widowControl/>
              <w:jc w:val="left"/>
              <w:rPr>
                <w:rFonts w:ascii="宋体" w:hAnsi="宋体" w:eastAsia="宋体" w:cs="宋体"/>
                <w:kern w:val="0"/>
                <w:sz w:val="22"/>
              </w:rPr>
            </w:pPr>
            <w:r>
              <w:rPr>
                <w:rFonts w:hint="eastAsia" w:ascii="宋体" w:hAnsi="宋体" w:eastAsia="宋体" w:cs="宋体"/>
                <w:kern w:val="0"/>
                <w:sz w:val="22"/>
              </w:rPr>
              <w:t>教室17间，办公室22间，实验室3间，信息机房1间，听说教室1间，卫生间8间</w:t>
            </w:r>
          </w:p>
        </w:tc>
      </w:tr>
      <w:tr w14:paraId="7CEB7C16">
        <w:tblPrEx>
          <w:tblCellMar>
            <w:top w:w="0" w:type="dxa"/>
            <w:left w:w="108" w:type="dxa"/>
            <w:bottom w:w="0" w:type="dxa"/>
            <w:right w:w="108" w:type="dxa"/>
          </w:tblCellMar>
        </w:tblPrEx>
        <w:trPr>
          <w:trHeight w:val="23" w:hRule="atLeast"/>
          <w:jc w:val="center"/>
        </w:trPr>
        <w:tc>
          <w:tcPr>
            <w:tcW w:w="1280" w:type="dxa"/>
            <w:tcBorders>
              <w:top w:val="nil"/>
              <w:left w:val="single" w:color="000000" w:sz="4" w:space="0"/>
              <w:bottom w:val="single" w:color="auto" w:sz="4" w:space="0"/>
              <w:right w:val="single" w:color="auto" w:sz="4" w:space="0"/>
            </w:tcBorders>
            <w:shd w:val="clear" w:color="auto" w:fill="auto"/>
            <w:noWrap/>
            <w:vAlign w:val="center"/>
          </w:tcPr>
          <w:p w14:paraId="35FA255D">
            <w:pPr>
              <w:widowControl/>
              <w:jc w:val="left"/>
              <w:rPr>
                <w:rFonts w:ascii="宋体" w:hAnsi="宋体" w:eastAsia="宋体" w:cs="宋体"/>
                <w:kern w:val="0"/>
                <w:sz w:val="22"/>
              </w:rPr>
            </w:pPr>
            <w:r>
              <w:rPr>
                <w:rFonts w:hint="eastAsia" w:ascii="宋体" w:hAnsi="宋体" w:eastAsia="宋体" w:cs="宋体"/>
                <w:kern w:val="0"/>
                <w:sz w:val="22"/>
              </w:rPr>
              <w:t>辅助用房</w:t>
            </w:r>
          </w:p>
        </w:tc>
        <w:tc>
          <w:tcPr>
            <w:tcW w:w="1080" w:type="dxa"/>
            <w:tcBorders>
              <w:top w:val="nil"/>
              <w:left w:val="nil"/>
              <w:bottom w:val="single" w:color="auto" w:sz="4" w:space="0"/>
              <w:right w:val="single" w:color="auto" w:sz="4" w:space="0"/>
            </w:tcBorders>
            <w:shd w:val="clear" w:color="auto" w:fill="auto"/>
            <w:noWrap/>
            <w:vAlign w:val="center"/>
          </w:tcPr>
          <w:p w14:paraId="2B150D30">
            <w:pPr>
              <w:widowControl/>
              <w:jc w:val="center"/>
              <w:rPr>
                <w:rFonts w:ascii="宋体" w:hAnsi="宋体" w:eastAsia="宋体" w:cs="宋体"/>
                <w:kern w:val="0"/>
                <w:sz w:val="22"/>
              </w:rPr>
            </w:pPr>
            <w:r>
              <w:rPr>
                <w:rFonts w:hint="eastAsia" w:ascii="宋体" w:hAnsi="宋体" w:eastAsia="宋体" w:cs="宋体"/>
                <w:kern w:val="0"/>
                <w:sz w:val="22"/>
              </w:rPr>
              <w:t>1</w:t>
            </w:r>
          </w:p>
        </w:tc>
        <w:tc>
          <w:tcPr>
            <w:tcW w:w="1080" w:type="dxa"/>
            <w:tcBorders>
              <w:top w:val="nil"/>
              <w:left w:val="nil"/>
              <w:bottom w:val="single" w:color="auto" w:sz="4" w:space="0"/>
              <w:right w:val="single" w:color="auto" w:sz="4" w:space="0"/>
            </w:tcBorders>
            <w:shd w:val="clear" w:color="auto" w:fill="auto"/>
            <w:noWrap/>
            <w:vAlign w:val="center"/>
          </w:tcPr>
          <w:p w14:paraId="4BC93DD9">
            <w:pPr>
              <w:widowControl/>
              <w:jc w:val="center"/>
              <w:rPr>
                <w:rFonts w:ascii="宋体" w:hAnsi="宋体" w:eastAsia="宋体" w:cs="宋体"/>
                <w:kern w:val="0"/>
                <w:sz w:val="22"/>
              </w:rPr>
            </w:pPr>
            <w:r>
              <w:rPr>
                <w:rFonts w:hint="eastAsia" w:ascii="宋体" w:hAnsi="宋体" w:eastAsia="宋体" w:cs="宋体"/>
                <w:kern w:val="0"/>
                <w:sz w:val="22"/>
              </w:rPr>
              <w:t>1</w:t>
            </w:r>
          </w:p>
        </w:tc>
        <w:tc>
          <w:tcPr>
            <w:tcW w:w="1940" w:type="dxa"/>
            <w:tcBorders>
              <w:top w:val="nil"/>
              <w:left w:val="nil"/>
              <w:bottom w:val="single" w:color="auto" w:sz="4" w:space="0"/>
              <w:right w:val="single" w:color="auto" w:sz="4" w:space="0"/>
            </w:tcBorders>
            <w:shd w:val="clear" w:color="auto" w:fill="auto"/>
            <w:noWrap/>
            <w:vAlign w:val="center"/>
          </w:tcPr>
          <w:p w14:paraId="61B46D99">
            <w:pPr>
              <w:widowControl/>
              <w:jc w:val="left"/>
              <w:rPr>
                <w:rFonts w:ascii="宋体" w:hAnsi="宋体" w:eastAsia="宋体" w:cs="宋体"/>
                <w:kern w:val="0"/>
                <w:sz w:val="22"/>
              </w:rPr>
            </w:pPr>
          </w:p>
        </w:tc>
        <w:tc>
          <w:tcPr>
            <w:tcW w:w="4317" w:type="dxa"/>
            <w:tcBorders>
              <w:top w:val="nil"/>
              <w:left w:val="nil"/>
              <w:bottom w:val="single" w:color="auto" w:sz="4" w:space="0"/>
              <w:right w:val="single" w:color="000000" w:sz="4" w:space="0"/>
            </w:tcBorders>
            <w:shd w:val="clear" w:color="auto" w:fill="auto"/>
            <w:vAlign w:val="center"/>
          </w:tcPr>
          <w:p w14:paraId="1B80EEA9">
            <w:pPr>
              <w:widowControl/>
              <w:jc w:val="left"/>
              <w:rPr>
                <w:rFonts w:ascii="宋体" w:hAnsi="宋体" w:eastAsia="宋体" w:cs="宋体"/>
                <w:kern w:val="0"/>
                <w:sz w:val="22"/>
              </w:rPr>
            </w:pPr>
            <w:r>
              <w:rPr>
                <w:rFonts w:hint="eastAsia" w:ascii="宋体" w:hAnsi="宋体" w:eastAsia="宋体" w:cs="宋体"/>
                <w:kern w:val="0"/>
                <w:sz w:val="22"/>
              </w:rPr>
              <w:t>保安休息室1间</w:t>
            </w:r>
          </w:p>
        </w:tc>
      </w:tr>
      <w:tr w14:paraId="60187F2E">
        <w:tblPrEx>
          <w:tblCellMar>
            <w:top w:w="0" w:type="dxa"/>
            <w:left w:w="108" w:type="dxa"/>
            <w:bottom w:w="0" w:type="dxa"/>
            <w:right w:w="108" w:type="dxa"/>
          </w:tblCellMar>
        </w:tblPrEx>
        <w:trPr>
          <w:trHeight w:val="23" w:hRule="atLeast"/>
          <w:jc w:val="center"/>
        </w:trPr>
        <w:tc>
          <w:tcPr>
            <w:tcW w:w="1280" w:type="dxa"/>
            <w:tcBorders>
              <w:top w:val="nil"/>
              <w:left w:val="single" w:color="000000" w:sz="4" w:space="0"/>
              <w:bottom w:val="single" w:color="000000" w:sz="4" w:space="0"/>
              <w:right w:val="single" w:color="auto" w:sz="4" w:space="0"/>
            </w:tcBorders>
            <w:shd w:val="clear" w:color="auto" w:fill="auto"/>
            <w:noWrap/>
            <w:vAlign w:val="center"/>
          </w:tcPr>
          <w:p w14:paraId="2727E5E2">
            <w:pPr>
              <w:widowControl/>
              <w:jc w:val="left"/>
              <w:rPr>
                <w:rFonts w:ascii="宋体" w:hAnsi="宋体" w:eastAsia="宋体" w:cs="宋体"/>
                <w:kern w:val="0"/>
                <w:sz w:val="22"/>
              </w:rPr>
            </w:pPr>
            <w:r>
              <w:rPr>
                <w:rFonts w:hint="eastAsia" w:ascii="宋体" w:hAnsi="宋体" w:eastAsia="宋体" w:cs="宋体"/>
                <w:kern w:val="0"/>
                <w:sz w:val="22"/>
              </w:rPr>
              <w:t>门卫</w:t>
            </w:r>
          </w:p>
        </w:tc>
        <w:tc>
          <w:tcPr>
            <w:tcW w:w="1080" w:type="dxa"/>
            <w:tcBorders>
              <w:top w:val="nil"/>
              <w:left w:val="nil"/>
              <w:bottom w:val="single" w:color="000000" w:sz="4" w:space="0"/>
              <w:right w:val="single" w:color="auto" w:sz="4" w:space="0"/>
            </w:tcBorders>
            <w:shd w:val="clear" w:color="auto" w:fill="auto"/>
            <w:noWrap/>
            <w:vAlign w:val="center"/>
          </w:tcPr>
          <w:p w14:paraId="4A0D83B8">
            <w:pPr>
              <w:widowControl/>
              <w:jc w:val="center"/>
              <w:rPr>
                <w:rFonts w:ascii="宋体" w:hAnsi="宋体" w:eastAsia="宋体" w:cs="宋体"/>
                <w:kern w:val="0"/>
                <w:sz w:val="22"/>
              </w:rPr>
            </w:pPr>
            <w:r>
              <w:rPr>
                <w:rFonts w:hint="eastAsia" w:ascii="宋体" w:hAnsi="宋体" w:eastAsia="宋体" w:cs="宋体"/>
                <w:kern w:val="0"/>
                <w:sz w:val="22"/>
              </w:rPr>
              <w:t>1</w:t>
            </w:r>
          </w:p>
        </w:tc>
        <w:tc>
          <w:tcPr>
            <w:tcW w:w="1080" w:type="dxa"/>
            <w:tcBorders>
              <w:top w:val="nil"/>
              <w:left w:val="nil"/>
              <w:bottom w:val="single" w:color="000000" w:sz="4" w:space="0"/>
              <w:right w:val="single" w:color="auto" w:sz="4" w:space="0"/>
            </w:tcBorders>
            <w:shd w:val="clear" w:color="auto" w:fill="auto"/>
            <w:noWrap/>
            <w:vAlign w:val="center"/>
          </w:tcPr>
          <w:p w14:paraId="44B780DB">
            <w:pPr>
              <w:widowControl/>
              <w:jc w:val="center"/>
              <w:rPr>
                <w:rFonts w:ascii="宋体" w:hAnsi="宋体" w:eastAsia="宋体" w:cs="宋体"/>
                <w:kern w:val="0"/>
                <w:sz w:val="22"/>
              </w:rPr>
            </w:pPr>
            <w:r>
              <w:rPr>
                <w:rFonts w:hint="eastAsia" w:ascii="宋体" w:hAnsi="宋体" w:eastAsia="宋体" w:cs="宋体"/>
                <w:kern w:val="0"/>
                <w:sz w:val="22"/>
              </w:rPr>
              <w:t>1</w:t>
            </w:r>
          </w:p>
        </w:tc>
        <w:tc>
          <w:tcPr>
            <w:tcW w:w="1940" w:type="dxa"/>
            <w:tcBorders>
              <w:top w:val="nil"/>
              <w:left w:val="nil"/>
              <w:bottom w:val="single" w:color="000000" w:sz="4" w:space="0"/>
              <w:right w:val="single" w:color="auto" w:sz="4" w:space="0"/>
            </w:tcBorders>
            <w:shd w:val="clear" w:color="auto" w:fill="auto"/>
            <w:noWrap/>
            <w:vAlign w:val="center"/>
          </w:tcPr>
          <w:p w14:paraId="2ECD1499">
            <w:pPr>
              <w:widowControl/>
              <w:jc w:val="center"/>
              <w:rPr>
                <w:rFonts w:ascii="宋体" w:hAnsi="宋体" w:eastAsia="宋体" w:cs="宋体"/>
                <w:kern w:val="0"/>
                <w:sz w:val="22"/>
              </w:rPr>
            </w:pPr>
          </w:p>
        </w:tc>
        <w:tc>
          <w:tcPr>
            <w:tcW w:w="4317" w:type="dxa"/>
            <w:tcBorders>
              <w:top w:val="nil"/>
              <w:left w:val="nil"/>
              <w:bottom w:val="single" w:color="000000" w:sz="4" w:space="0"/>
              <w:right w:val="single" w:color="000000" w:sz="4" w:space="0"/>
            </w:tcBorders>
            <w:shd w:val="clear" w:color="auto" w:fill="auto"/>
            <w:vAlign w:val="center"/>
          </w:tcPr>
          <w:p w14:paraId="41991905">
            <w:pPr>
              <w:widowControl/>
              <w:jc w:val="left"/>
              <w:rPr>
                <w:rFonts w:ascii="宋体" w:hAnsi="宋体" w:eastAsia="宋体" w:cs="宋体"/>
                <w:kern w:val="0"/>
                <w:sz w:val="22"/>
              </w:rPr>
            </w:pPr>
            <w:r>
              <w:rPr>
                <w:rFonts w:hint="eastAsia" w:ascii="宋体" w:hAnsi="宋体" w:eastAsia="宋体" w:cs="宋体"/>
                <w:kern w:val="0"/>
                <w:sz w:val="22"/>
              </w:rPr>
              <w:t>保安室1间</w:t>
            </w:r>
          </w:p>
        </w:tc>
      </w:tr>
      <w:bookmarkEnd w:id="23"/>
    </w:tbl>
    <w:p w14:paraId="783BCAA5">
      <w:pPr>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4.3</w:t>
      </w:r>
      <w:bookmarkStart w:id="24" w:name="OLE_LINK3"/>
      <w:bookmarkStart w:id="25" w:name="OLE_LINK4"/>
      <w:r>
        <w:rPr>
          <w:rFonts w:hint="eastAsia" w:ascii="Times New Roman" w:hAnsi="Times New Roman" w:eastAsia="宋体" w:cs="Times New Roman"/>
          <w:bCs/>
          <w:sz w:val="22"/>
        </w:rPr>
        <w:t>本项目服务期限：本项目服务期1年，</w:t>
      </w:r>
      <w:r>
        <w:rPr>
          <w:rFonts w:ascii="Times New Roman" w:hAnsi="Times New Roman" w:eastAsia="宋体" w:cs="Times New Roman"/>
          <w:kern w:val="0"/>
          <w:sz w:val="22"/>
        </w:rPr>
        <w:t>服务期限暂定自</w:t>
      </w:r>
      <w:r>
        <w:rPr>
          <w:rFonts w:hint="eastAsia" w:ascii="Times New Roman" w:hAnsi="Times New Roman" w:eastAsia="宋体" w:cs="Times New Roman"/>
          <w:kern w:val="0"/>
          <w:sz w:val="22"/>
        </w:rPr>
        <w:t>2026年12月1日起至2027年11月30日止</w:t>
      </w:r>
      <w:r>
        <w:rPr>
          <w:rFonts w:ascii="Times New Roman" w:hAnsi="Times New Roman" w:eastAsia="宋体" w:cs="Times New Roman"/>
          <w:kern w:val="0"/>
          <w:sz w:val="22"/>
        </w:rPr>
        <w:t>，具体以合同签订为准</w:t>
      </w:r>
      <w:r>
        <w:rPr>
          <w:rFonts w:hint="eastAsia" w:ascii="Times New Roman" w:hAnsi="Times New Roman" w:eastAsia="宋体" w:cs="Times New Roman"/>
          <w:bCs/>
          <w:sz w:val="22"/>
        </w:rPr>
        <w:t>。</w:t>
      </w:r>
      <w:bookmarkEnd w:id="24"/>
      <w:bookmarkEnd w:id="25"/>
    </w:p>
    <w:bookmarkEnd w:id="11"/>
    <w:bookmarkEnd w:id="12"/>
    <w:p w14:paraId="56184D21">
      <w:pPr>
        <w:adjustRightInd w:val="0"/>
        <w:snapToGrid w:val="0"/>
        <w:spacing w:line="300" w:lineRule="auto"/>
        <w:ind w:firstLine="442" w:firstLineChars="200"/>
        <w:jc w:val="left"/>
        <w:outlineLvl w:val="2"/>
        <w:rPr>
          <w:rFonts w:ascii="Times New Roman" w:hAnsi="Times New Roman" w:eastAsia="宋体" w:cs="Times New Roman"/>
          <w:b/>
          <w:sz w:val="22"/>
        </w:rPr>
      </w:pPr>
      <w:bookmarkStart w:id="26" w:name="_Toc243060102"/>
      <w:r>
        <w:rPr>
          <w:rFonts w:ascii="Times New Roman" w:hAnsi="Times New Roman" w:eastAsia="宋体" w:cs="Times New Roman"/>
          <w:b/>
          <w:sz w:val="22"/>
        </w:rPr>
        <w:t>5 承包方式</w:t>
      </w:r>
      <w:bookmarkEnd w:id="26"/>
    </w:p>
    <w:p w14:paraId="4D9E01D8">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5.1 依照本项目的招标范围和内容，中标人以</w:t>
      </w:r>
      <w:r>
        <w:rPr>
          <w:rFonts w:ascii="Times New Roman" w:hAnsi="Times New Roman" w:eastAsia="宋体" w:cs="Times New Roman"/>
          <w:b/>
          <w:kern w:val="0"/>
          <w:sz w:val="22"/>
          <w:u w:val="single"/>
        </w:rPr>
        <w:t>“清包”</w:t>
      </w:r>
      <w:r>
        <w:rPr>
          <w:rFonts w:ascii="Times New Roman" w:hAnsi="Times New Roman" w:eastAsia="宋体" w:cs="Times New Roman"/>
          <w:sz w:val="22"/>
        </w:rPr>
        <w:t>方式实施服务管理承包。“清包”的含义指：采购人按双方约定的服务人数，向中标人支付管理服务费。项目过程中所发生的水电气等能耗，设备添置、维修、保养等费用均由采购人承担。</w:t>
      </w:r>
    </w:p>
    <w:tbl>
      <w:tblPr>
        <w:tblStyle w:val="49"/>
        <w:tblW w:w="103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0"/>
        <w:gridCol w:w="2500"/>
        <w:gridCol w:w="960"/>
        <w:gridCol w:w="960"/>
        <w:gridCol w:w="4926"/>
      </w:tblGrid>
      <w:tr w14:paraId="499B1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vMerge w:val="restart"/>
            <w:noWrap/>
            <w:vAlign w:val="center"/>
          </w:tcPr>
          <w:p w14:paraId="1EABA5AF">
            <w:pPr>
              <w:widowControl/>
              <w:jc w:val="center"/>
              <w:rPr>
                <w:rFonts w:ascii="Times New Roman" w:hAnsi="Times New Roman" w:eastAsia="宋体" w:cs="Times New Roman"/>
                <w:b/>
                <w:kern w:val="0"/>
                <w:sz w:val="22"/>
              </w:rPr>
            </w:pPr>
            <w:r>
              <w:rPr>
                <w:rFonts w:hint="eastAsia" w:ascii="Times New Roman" w:hAnsi="Times New Roman" w:eastAsia="宋体" w:cs="Times New Roman"/>
                <w:b/>
                <w:kern w:val="0"/>
                <w:sz w:val="22"/>
              </w:rPr>
              <w:t>序号</w:t>
            </w:r>
          </w:p>
        </w:tc>
        <w:tc>
          <w:tcPr>
            <w:tcW w:w="2500" w:type="dxa"/>
            <w:vMerge w:val="restart"/>
            <w:noWrap/>
            <w:vAlign w:val="center"/>
          </w:tcPr>
          <w:p w14:paraId="10538DB3">
            <w:pPr>
              <w:widowControl/>
              <w:jc w:val="center"/>
              <w:rPr>
                <w:rFonts w:ascii="Times New Roman" w:hAnsi="Times New Roman" w:eastAsia="宋体" w:cs="Times New Roman"/>
                <w:b/>
                <w:kern w:val="0"/>
                <w:sz w:val="22"/>
              </w:rPr>
            </w:pPr>
            <w:r>
              <w:rPr>
                <w:rFonts w:hint="eastAsia" w:ascii="Times New Roman" w:hAnsi="Times New Roman" w:eastAsia="宋体" w:cs="Times New Roman"/>
                <w:b/>
                <w:kern w:val="0"/>
                <w:sz w:val="22"/>
              </w:rPr>
              <w:t>内容</w:t>
            </w:r>
          </w:p>
        </w:tc>
        <w:tc>
          <w:tcPr>
            <w:tcW w:w="1920" w:type="dxa"/>
            <w:gridSpan w:val="2"/>
            <w:noWrap/>
            <w:vAlign w:val="center"/>
          </w:tcPr>
          <w:p w14:paraId="30F4A234">
            <w:pPr>
              <w:widowControl/>
              <w:jc w:val="center"/>
              <w:rPr>
                <w:rFonts w:ascii="Times New Roman" w:hAnsi="Times New Roman" w:eastAsia="宋体" w:cs="Times New Roman"/>
                <w:b/>
                <w:kern w:val="0"/>
                <w:sz w:val="22"/>
              </w:rPr>
            </w:pPr>
            <w:r>
              <w:rPr>
                <w:rFonts w:hint="eastAsia" w:ascii="Times New Roman" w:hAnsi="Times New Roman" w:eastAsia="宋体" w:cs="Times New Roman"/>
                <w:b/>
                <w:kern w:val="0"/>
                <w:sz w:val="22"/>
              </w:rPr>
              <w:t>提供方</w:t>
            </w:r>
          </w:p>
        </w:tc>
        <w:tc>
          <w:tcPr>
            <w:tcW w:w="4926" w:type="dxa"/>
            <w:vMerge w:val="restart"/>
            <w:vAlign w:val="center"/>
          </w:tcPr>
          <w:p w14:paraId="4E127E37">
            <w:pPr>
              <w:widowControl/>
              <w:jc w:val="center"/>
              <w:rPr>
                <w:rFonts w:ascii="Times New Roman" w:hAnsi="Times New Roman" w:eastAsia="宋体" w:cs="Times New Roman"/>
                <w:b/>
                <w:kern w:val="0"/>
                <w:sz w:val="22"/>
              </w:rPr>
            </w:pPr>
            <w:r>
              <w:rPr>
                <w:rFonts w:hint="eastAsia" w:ascii="Times New Roman" w:hAnsi="Times New Roman" w:eastAsia="宋体" w:cs="Times New Roman"/>
                <w:b/>
                <w:kern w:val="0"/>
                <w:sz w:val="22"/>
              </w:rPr>
              <w:t>备注</w:t>
            </w:r>
          </w:p>
        </w:tc>
      </w:tr>
      <w:tr w14:paraId="03FC7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vMerge w:val="continue"/>
            <w:vAlign w:val="center"/>
          </w:tcPr>
          <w:p w14:paraId="0247BF84">
            <w:pPr>
              <w:widowControl/>
              <w:jc w:val="center"/>
              <w:textAlignment w:val="center"/>
              <w:rPr>
                <w:rFonts w:ascii="宋体" w:hAnsi="宋体" w:eastAsia="宋体" w:cs="宋体"/>
                <w:kern w:val="0"/>
                <w:sz w:val="22"/>
                <w:lang w:bidi="ar"/>
              </w:rPr>
            </w:pPr>
          </w:p>
        </w:tc>
        <w:tc>
          <w:tcPr>
            <w:tcW w:w="2500" w:type="dxa"/>
            <w:vMerge w:val="continue"/>
            <w:vAlign w:val="center"/>
          </w:tcPr>
          <w:p w14:paraId="612116A2">
            <w:pPr>
              <w:widowControl/>
              <w:jc w:val="center"/>
              <w:textAlignment w:val="center"/>
              <w:rPr>
                <w:rFonts w:ascii="宋体" w:hAnsi="宋体" w:eastAsia="宋体" w:cs="宋体"/>
                <w:kern w:val="0"/>
                <w:sz w:val="22"/>
                <w:lang w:bidi="ar"/>
              </w:rPr>
            </w:pPr>
          </w:p>
        </w:tc>
        <w:tc>
          <w:tcPr>
            <w:tcW w:w="960" w:type="dxa"/>
            <w:noWrap/>
            <w:vAlign w:val="center"/>
          </w:tcPr>
          <w:p w14:paraId="5DFA1DAD">
            <w:pPr>
              <w:widowControl/>
              <w:jc w:val="center"/>
              <w:textAlignment w:val="center"/>
              <w:rPr>
                <w:rFonts w:ascii="宋体" w:hAnsi="宋体" w:eastAsia="宋体" w:cs="宋体"/>
                <w:b/>
                <w:bCs/>
                <w:kern w:val="0"/>
                <w:sz w:val="22"/>
                <w:lang w:bidi="ar"/>
              </w:rPr>
            </w:pPr>
            <w:r>
              <w:rPr>
                <w:rFonts w:hint="eastAsia" w:ascii="宋体" w:hAnsi="宋体" w:eastAsia="宋体" w:cs="宋体"/>
                <w:b/>
                <w:bCs/>
                <w:kern w:val="0"/>
                <w:sz w:val="22"/>
                <w:lang w:bidi="ar"/>
              </w:rPr>
              <w:t>采购人</w:t>
            </w:r>
          </w:p>
        </w:tc>
        <w:tc>
          <w:tcPr>
            <w:tcW w:w="960" w:type="dxa"/>
            <w:noWrap/>
            <w:vAlign w:val="center"/>
          </w:tcPr>
          <w:p w14:paraId="5267CE11">
            <w:pPr>
              <w:widowControl/>
              <w:jc w:val="center"/>
              <w:textAlignment w:val="center"/>
              <w:rPr>
                <w:rFonts w:ascii="宋体" w:hAnsi="宋体" w:eastAsia="宋体" w:cs="宋体"/>
                <w:b/>
                <w:bCs/>
                <w:kern w:val="0"/>
                <w:sz w:val="22"/>
                <w:lang w:bidi="ar"/>
              </w:rPr>
            </w:pPr>
            <w:r>
              <w:rPr>
                <w:rFonts w:hint="eastAsia" w:ascii="宋体" w:hAnsi="宋体" w:eastAsia="宋体" w:cs="宋体"/>
                <w:b/>
                <w:bCs/>
                <w:kern w:val="0"/>
                <w:sz w:val="22"/>
                <w:lang w:bidi="ar"/>
              </w:rPr>
              <w:t>供应商</w:t>
            </w:r>
          </w:p>
        </w:tc>
        <w:tc>
          <w:tcPr>
            <w:tcW w:w="4926" w:type="dxa"/>
            <w:vMerge w:val="continue"/>
            <w:vAlign w:val="center"/>
          </w:tcPr>
          <w:p w14:paraId="796C187F">
            <w:pPr>
              <w:widowControl/>
              <w:jc w:val="center"/>
              <w:textAlignment w:val="center"/>
              <w:rPr>
                <w:rFonts w:ascii="宋体" w:hAnsi="宋体" w:eastAsia="宋体" w:cs="宋体"/>
                <w:kern w:val="0"/>
                <w:sz w:val="22"/>
                <w:lang w:bidi="ar"/>
              </w:rPr>
            </w:pPr>
          </w:p>
        </w:tc>
      </w:tr>
      <w:tr w14:paraId="1117B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515CB1E2">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1</w:t>
            </w:r>
          </w:p>
        </w:tc>
        <w:tc>
          <w:tcPr>
            <w:tcW w:w="2500" w:type="dxa"/>
            <w:noWrap/>
            <w:vAlign w:val="center"/>
          </w:tcPr>
          <w:p w14:paraId="5845F009">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公用水电</w:t>
            </w:r>
          </w:p>
        </w:tc>
        <w:tc>
          <w:tcPr>
            <w:tcW w:w="960" w:type="dxa"/>
            <w:noWrap/>
            <w:vAlign w:val="center"/>
          </w:tcPr>
          <w:p w14:paraId="125EC4D1">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noWrap/>
            <w:vAlign w:val="center"/>
          </w:tcPr>
          <w:p w14:paraId="66C98AC4">
            <w:pPr>
              <w:widowControl/>
              <w:jc w:val="center"/>
              <w:textAlignment w:val="center"/>
              <w:rPr>
                <w:rFonts w:ascii="宋体" w:hAnsi="宋体" w:eastAsia="宋体" w:cs="宋体"/>
                <w:kern w:val="0"/>
                <w:sz w:val="22"/>
                <w:lang w:bidi="ar"/>
              </w:rPr>
            </w:pPr>
          </w:p>
        </w:tc>
        <w:tc>
          <w:tcPr>
            <w:tcW w:w="4926" w:type="dxa"/>
            <w:vAlign w:val="center"/>
          </w:tcPr>
          <w:p w14:paraId="4A9B8400">
            <w:pPr>
              <w:widowControl/>
              <w:jc w:val="left"/>
              <w:textAlignment w:val="center"/>
              <w:rPr>
                <w:rFonts w:ascii="宋体" w:hAnsi="宋体" w:eastAsia="宋体" w:cs="宋体"/>
                <w:kern w:val="0"/>
                <w:sz w:val="22"/>
                <w:lang w:bidi="ar"/>
              </w:rPr>
            </w:pPr>
            <w:r>
              <w:rPr>
                <w:rFonts w:hint="eastAsia" w:ascii="宋体" w:hAnsi="宋体" w:eastAsia="宋体" w:cs="宋体"/>
                <w:kern w:val="0"/>
                <w:sz w:val="22"/>
                <w:lang w:bidi="ar"/>
              </w:rPr>
              <w:t>包括空调、清洁卫生、生活等各类用水；服务公司办公等各类用电</w:t>
            </w:r>
          </w:p>
        </w:tc>
      </w:tr>
      <w:tr w14:paraId="0D7A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6A4704B8">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2</w:t>
            </w:r>
          </w:p>
        </w:tc>
        <w:tc>
          <w:tcPr>
            <w:tcW w:w="2500" w:type="dxa"/>
            <w:shd w:val="clear" w:color="auto" w:fill="auto"/>
            <w:noWrap/>
            <w:vAlign w:val="center"/>
          </w:tcPr>
          <w:p w14:paraId="3143DD5F">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各类垃圾桶</w:t>
            </w:r>
          </w:p>
        </w:tc>
        <w:tc>
          <w:tcPr>
            <w:tcW w:w="960" w:type="dxa"/>
            <w:shd w:val="clear" w:color="auto" w:fill="auto"/>
            <w:noWrap/>
            <w:vAlign w:val="center"/>
          </w:tcPr>
          <w:p w14:paraId="1EEA3C37">
            <w:pPr>
              <w:widowControl/>
              <w:jc w:val="center"/>
              <w:textAlignment w:val="center"/>
              <w:rPr>
                <w:rFonts w:ascii="Times New Roman" w:hAnsi="Times New Roman" w:eastAsia="宋体" w:cs="Times New Roman"/>
                <w:kern w:val="0"/>
                <w:sz w:val="22"/>
              </w:rPr>
            </w:pPr>
            <w:r>
              <w:rPr>
                <w:rFonts w:ascii="Arial" w:hAnsi="Arial" w:eastAsia="宋体" w:cs="Arial"/>
                <w:kern w:val="0"/>
                <w:sz w:val="22"/>
                <w:lang w:bidi="ar"/>
              </w:rPr>
              <w:t>√</w:t>
            </w:r>
          </w:p>
        </w:tc>
        <w:tc>
          <w:tcPr>
            <w:tcW w:w="960" w:type="dxa"/>
            <w:shd w:val="clear" w:color="auto" w:fill="auto"/>
            <w:noWrap/>
            <w:vAlign w:val="center"/>
          </w:tcPr>
          <w:p w14:paraId="0C0EC2CE">
            <w:pPr>
              <w:widowControl/>
              <w:jc w:val="center"/>
              <w:rPr>
                <w:rFonts w:ascii="Times New Roman" w:hAnsi="Times New Roman" w:eastAsia="宋体" w:cs="Times New Roman"/>
                <w:kern w:val="0"/>
                <w:sz w:val="22"/>
              </w:rPr>
            </w:pPr>
          </w:p>
        </w:tc>
        <w:tc>
          <w:tcPr>
            <w:tcW w:w="4926" w:type="dxa"/>
            <w:shd w:val="clear" w:color="auto" w:fill="auto"/>
            <w:vAlign w:val="center"/>
          </w:tcPr>
          <w:p w14:paraId="2F587D74">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包括生活垃圾、垃圾桶。</w:t>
            </w:r>
          </w:p>
        </w:tc>
      </w:tr>
      <w:tr w14:paraId="05419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51A31103">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3</w:t>
            </w:r>
          </w:p>
        </w:tc>
        <w:tc>
          <w:tcPr>
            <w:tcW w:w="2500" w:type="dxa"/>
            <w:shd w:val="clear" w:color="auto" w:fill="auto"/>
            <w:noWrap/>
            <w:vAlign w:val="center"/>
          </w:tcPr>
          <w:p w14:paraId="7B1AF09C">
            <w:pPr>
              <w:widowControl/>
              <w:jc w:val="center"/>
              <w:rPr>
                <w:rFonts w:ascii="Times New Roman" w:hAnsi="Times New Roman" w:eastAsia="宋体" w:cs="Times New Roman"/>
                <w:kern w:val="0"/>
                <w:sz w:val="22"/>
              </w:rPr>
            </w:pPr>
            <w:r>
              <w:rPr>
                <w:rFonts w:ascii="Times New Roman" w:hAnsi="Times New Roman" w:eastAsia="宋体" w:cs="Times New Roman"/>
                <w:kern w:val="0"/>
                <w:sz w:val="22"/>
              </w:rPr>
              <w:t>垃圾袋</w:t>
            </w:r>
          </w:p>
        </w:tc>
        <w:tc>
          <w:tcPr>
            <w:tcW w:w="960" w:type="dxa"/>
            <w:shd w:val="clear" w:color="auto" w:fill="auto"/>
            <w:noWrap/>
            <w:vAlign w:val="center"/>
          </w:tcPr>
          <w:p w14:paraId="1F5E66ED">
            <w:pPr>
              <w:widowControl/>
              <w:jc w:val="center"/>
              <w:textAlignment w:val="center"/>
              <w:rPr>
                <w:rFonts w:ascii="Times New Roman" w:hAnsi="Times New Roman" w:eastAsia="宋体" w:cs="Times New Roman"/>
                <w:kern w:val="0"/>
                <w:sz w:val="22"/>
              </w:rPr>
            </w:pPr>
            <w:r>
              <w:rPr>
                <w:rFonts w:ascii="Arial" w:hAnsi="Arial" w:eastAsia="宋体" w:cs="Arial"/>
                <w:kern w:val="0"/>
                <w:sz w:val="22"/>
                <w:lang w:bidi="ar"/>
              </w:rPr>
              <w:t>√</w:t>
            </w:r>
          </w:p>
        </w:tc>
        <w:tc>
          <w:tcPr>
            <w:tcW w:w="960" w:type="dxa"/>
            <w:shd w:val="clear" w:color="auto" w:fill="auto"/>
            <w:noWrap/>
            <w:vAlign w:val="center"/>
          </w:tcPr>
          <w:p w14:paraId="237583C5">
            <w:pPr>
              <w:widowControl/>
              <w:jc w:val="center"/>
              <w:rPr>
                <w:rFonts w:ascii="Times New Roman" w:hAnsi="Times New Roman" w:eastAsia="宋体" w:cs="Times New Roman"/>
                <w:kern w:val="0"/>
                <w:sz w:val="22"/>
              </w:rPr>
            </w:pPr>
          </w:p>
        </w:tc>
        <w:tc>
          <w:tcPr>
            <w:tcW w:w="4926" w:type="dxa"/>
            <w:shd w:val="clear" w:color="auto" w:fill="auto"/>
            <w:vAlign w:val="center"/>
          </w:tcPr>
          <w:p w14:paraId="13F56CCD">
            <w:pPr>
              <w:widowControl/>
              <w:jc w:val="left"/>
              <w:rPr>
                <w:rFonts w:ascii="Times New Roman" w:hAnsi="Times New Roman" w:eastAsia="宋体" w:cs="Times New Roman"/>
                <w:kern w:val="0"/>
                <w:sz w:val="22"/>
              </w:rPr>
            </w:pPr>
            <w:r>
              <w:rPr>
                <w:rFonts w:ascii="Times New Roman" w:hAnsi="Times New Roman" w:eastAsia="宋体" w:cs="Times New Roman"/>
                <w:kern w:val="0"/>
                <w:sz w:val="22"/>
              </w:rPr>
              <w:t>各类垃圾袋。</w:t>
            </w:r>
          </w:p>
        </w:tc>
      </w:tr>
      <w:tr w14:paraId="73D5A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69EF96AE">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4</w:t>
            </w:r>
          </w:p>
        </w:tc>
        <w:tc>
          <w:tcPr>
            <w:tcW w:w="2500" w:type="dxa"/>
            <w:shd w:val="clear" w:color="auto" w:fill="auto"/>
            <w:noWrap/>
            <w:vAlign w:val="center"/>
          </w:tcPr>
          <w:p w14:paraId="7FE7EA5C">
            <w:pPr>
              <w:widowControl/>
              <w:jc w:val="center"/>
              <w:rPr>
                <w:rFonts w:ascii="宋体" w:hAnsi="宋体" w:eastAsia="宋体" w:cs="宋体"/>
                <w:kern w:val="0"/>
                <w:sz w:val="22"/>
                <w:lang w:bidi="ar"/>
              </w:rPr>
            </w:pPr>
            <w:r>
              <w:rPr>
                <w:rFonts w:ascii="Times New Roman" w:hAnsi="Times New Roman" w:eastAsia="宋体" w:cs="Times New Roman"/>
                <w:kern w:val="0"/>
                <w:sz w:val="22"/>
              </w:rPr>
              <w:t>人员装备（对讲机）</w:t>
            </w:r>
          </w:p>
        </w:tc>
        <w:tc>
          <w:tcPr>
            <w:tcW w:w="960" w:type="dxa"/>
            <w:shd w:val="clear" w:color="auto" w:fill="auto"/>
            <w:noWrap/>
            <w:vAlign w:val="center"/>
          </w:tcPr>
          <w:p w14:paraId="7E80037A">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488CCDBC">
            <w:pPr>
              <w:widowControl/>
              <w:jc w:val="center"/>
              <w:rPr>
                <w:rFonts w:ascii="宋体" w:hAnsi="宋体" w:eastAsia="宋体" w:cs="宋体"/>
                <w:kern w:val="0"/>
                <w:sz w:val="22"/>
                <w:lang w:bidi="ar"/>
              </w:rPr>
            </w:pPr>
          </w:p>
        </w:tc>
        <w:tc>
          <w:tcPr>
            <w:tcW w:w="4926" w:type="dxa"/>
            <w:shd w:val="clear" w:color="auto" w:fill="auto"/>
            <w:vAlign w:val="center"/>
          </w:tcPr>
          <w:p w14:paraId="6A4DCF85">
            <w:pPr>
              <w:widowControl/>
              <w:jc w:val="left"/>
              <w:rPr>
                <w:rFonts w:ascii="宋体" w:hAnsi="宋体" w:eastAsia="宋体" w:cs="宋体"/>
                <w:kern w:val="0"/>
                <w:sz w:val="22"/>
                <w:lang w:bidi="ar"/>
              </w:rPr>
            </w:pPr>
            <w:r>
              <w:rPr>
                <w:rFonts w:ascii="Times New Roman" w:hAnsi="Times New Roman" w:eastAsia="宋体" w:cs="Times New Roman"/>
                <w:kern w:val="0"/>
                <w:sz w:val="22"/>
              </w:rPr>
              <w:t>包括对讲机公共频道占用费及维修费用等。</w:t>
            </w:r>
          </w:p>
        </w:tc>
      </w:tr>
      <w:tr w14:paraId="027D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7E05E2CF">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5</w:t>
            </w:r>
          </w:p>
        </w:tc>
        <w:tc>
          <w:tcPr>
            <w:tcW w:w="2500" w:type="dxa"/>
            <w:shd w:val="clear" w:color="auto" w:fill="auto"/>
            <w:noWrap/>
            <w:vAlign w:val="center"/>
          </w:tcPr>
          <w:p w14:paraId="6DB12F8B">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保安用房</w:t>
            </w:r>
          </w:p>
        </w:tc>
        <w:tc>
          <w:tcPr>
            <w:tcW w:w="960" w:type="dxa"/>
            <w:shd w:val="clear" w:color="auto" w:fill="auto"/>
            <w:noWrap/>
            <w:vAlign w:val="center"/>
          </w:tcPr>
          <w:p w14:paraId="6AC73D4A">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2D786DC6">
            <w:pPr>
              <w:widowControl/>
              <w:jc w:val="center"/>
              <w:textAlignment w:val="center"/>
              <w:rPr>
                <w:rFonts w:ascii="宋体" w:hAnsi="宋体" w:eastAsia="宋体" w:cs="宋体"/>
                <w:kern w:val="0"/>
                <w:sz w:val="22"/>
                <w:lang w:bidi="ar"/>
              </w:rPr>
            </w:pPr>
          </w:p>
        </w:tc>
        <w:tc>
          <w:tcPr>
            <w:tcW w:w="4926" w:type="dxa"/>
            <w:shd w:val="clear" w:color="auto" w:fill="auto"/>
            <w:vAlign w:val="center"/>
          </w:tcPr>
          <w:p w14:paraId="574321BE">
            <w:pPr>
              <w:widowControl/>
              <w:jc w:val="left"/>
              <w:rPr>
                <w:rFonts w:ascii="Times New Roman" w:hAnsi="Times New Roman" w:eastAsia="宋体" w:cs="Times New Roman"/>
                <w:kern w:val="0"/>
                <w:sz w:val="22"/>
              </w:rPr>
            </w:pPr>
            <w:r>
              <w:rPr>
                <w:rFonts w:hint="eastAsia" w:ascii="Times New Roman" w:hAnsi="Times New Roman" w:eastAsia="宋体" w:cs="Times New Roman"/>
                <w:kern w:val="0"/>
                <w:sz w:val="22"/>
              </w:rPr>
              <w:t>门卫室</w:t>
            </w:r>
          </w:p>
        </w:tc>
      </w:tr>
      <w:tr w14:paraId="6465E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12105655">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6</w:t>
            </w:r>
          </w:p>
        </w:tc>
        <w:tc>
          <w:tcPr>
            <w:tcW w:w="2500" w:type="dxa"/>
            <w:shd w:val="clear" w:color="auto" w:fill="auto"/>
            <w:noWrap/>
            <w:vAlign w:val="center"/>
          </w:tcPr>
          <w:p w14:paraId="720628FA">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办公设施</w:t>
            </w:r>
          </w:p>
        </w:tc>
        <w:tc>
          <w:tcPr>
            <w:tcW w:w="960" w:type="dxa"/>
            <w:shd w:val="clear" w:color="auto" w:fill="auto"/>
            <w:noWrap/>
            <w:vAlign w:val="center"/>
          </w:tcPr>
          <w:p w14:paraId="65D19473">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67A37DDF">
            <w:pPr>
              <w:widowControl/>
              <w:jc w:val="center"/>
              <w:textAlignment w:val="center"/>
              <w:rPr>
                <w:rFonts w:ascii="宋体" w:hAnsi="宋体" w:eastAsia="宋体" w:cs="宋体"/>
                <w:kern w:val="0"/>
                <w:sz w:val="22"/>
                <w:lang w:bidi="ar"/>
              </w:rPr>
            </w:pPr>
          </w:p>
        </w:tc>
        <w:tc>
          <w:tcPr>
            <w:tcW w:w="4926" w:type="dxa"/>
            <w:shd w:val="clear" w:color="auto" w:fill="auto"/>
            <w:vAlign w:val="center"/>
          </w:tcPr>
          <w:p w14:paraId="556E900F">
            <w:pPr>
              <w:widowControl/>
              <w:jc w:val="left"/>
              <w:rPr>
                <w:rFonts w:ascii="Times New Roman" w:hAnsi="Times New Roman" w:eastAsia="宋体" w:cs="Times New Roman"/>
                <w:kern w:val="0"/>
                <w:sz w:val="22"/>
              </w:rPr>
            </w:pPr>
            <w:r>
              <w:rPr>
                <w:rFonts w:hint="eastAsia" w:ascii="Times New Roman" w:hAnsi="Times New Roman" w:eastAsia="宋体" w:cs="Times New Roman"/>
                <w:kern w:val="0"/>
                <w:sz w:val="22"/>
              </w:rPr>
              <w:t>如办公桌椅等</w:t>
            </w:r>
          </w:p>
        </w:tc>
      </w:tr>
      <w:tr w14:paraId="51EB2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3289407F">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7</w:t>
            </w:r>
          </w:p>
        </w:tc>
        <w:tc>
          <w:tcPr>
            <w:tcW w:w="2500" w:type="dxa"/>
            <w:shd w:val="clear" w:color="auto" w:fill="auto"/>
            <w:noWrap/>
            <w:vAlign w:val="center"/>
          </w:tcPr>
          <w:p w14:paraId="03660D6A">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安防设备</w:t>
            </w:r>
          </w:p>
        </w:tc>
        <w:tc>
          <w:tcPr>
            <w:tcW w:w="960" w:type="dxa"/>
            <w:shd w:val="clear" w:color="auto" w:fill="auto"/>
            <w:noWrap/>
            <w:vAlign w:val="center"/>
          </w:tcPr>
          <w:p w14:paraId="65C2968C">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6EB60BB7">
            <w:pPr>
              <w:widowControl/>
              <w:jc w:val="center"/>
              <w:textAlignment w:val="center"/>
              <w:rPr>
                <w:rFonts w:ascii="宋体" w:hAnsi="宋体" w:eastAsia="宋体" w:cs="宋体"/>
                <w:kern w:val="0"/>
                <w:sz w:val="22"/>
                <w:lang w:bidi="ar"/>
              </w:rPr>
            </w:pPr>
          </w:p>
        </w:tc>
        <w:tc>
          <w:tcPr>
            <w:tcW w:w="4926" w:type="dxa"/>
            <w:shd w:val="clear" w:color="auto" w:fill="auto"/>
            <w:vAlign w:val="center"/>
          </w:tcPr>
          <w:p w14:paraId="4D321952">
            <w:pPr>
              <w:widowControl/>
              <w:jc w:val="left"/>
              <w:rPr>
                <w:rFonts w:ascii="Times New Roman" w:hAnsi="Times New Roman" w:eastAsia="宋体" w:cs="Times New Roman"/>
                <w:kern w:val="0"/>
                <w:sz w:val="22"/>
              </w:rPr>
            </w:pPr>
            <w:r>
              <w:rPr>
                <w:rFonts w:hint="eastAsia" w:ascii="Times New Roman" w:hAnsi="Times New Roman" w:eastAsia="宋体" w:cs="Times New Roman"/>
                <w:kern w:val="0"/>
                <w:sz w:val="22"/>
              </w:rPr>
              <w:t>如消控设备、监控设备等</w:t>
            </w:r>
          </w:p>
        </w:tc>
      </w:tr>
      <w:tr w14:paraId="064D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46FB5364">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8</w:t>
            </w:r>
          </w:p>
        </w:tc>
        <w:tc>
          <w:tcPr>
            <w:tcW w:w="2500" w:type="dxa"/>
            <w:shd w:val="clear" w:color="auto" w:fill="auto"/>
            <w:noWrap/>
            <w:vAlign w:val="center"/>
          </w:tcPr>
          <w:p w14:paraId="3DB33A99">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安保设施</w:t>
            </w:r>
          </w:p>
        </w:tc>
        <w:tc>
          <w:tcPr>
            <w:tcW w:w="960" w:type="dxa"/>
            <w:shd w:val="clear" w:color="auto" w:fill="auto"/>
            <w:noWrap/>
            <w:vAlign w:val="center"/>
          </w:tcPr>
          <w:p w14:paraId="423139FD">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1EC05EF0">
            <w:pPr>
              <w:widowControl/>
              <w:jc w:val="center"/>
              <w:textAlignment w:val="center"/>
              <w:rPr>
                <w:rFonts w:ascii="宋体" w:hAnsi="宋体" w:eastAsia="宋体" w:cs="宋体"/>
                <w:kern w:val="0"/>
                <w:sz w:val="22"/>
                <w:lang w:bidi="ar"/>
              </w:rPr>
            </w:pPr>
          </w:p>
        </w:tc>
        <w:tc>
          <w:tcPr>
            <w:tcW w:w="4926" w:type="dxa"/>
            <w:shd w:val="clear" w:color="auto" w:fill="auto"/>
            <w:noWrap/>
            <w:vAlign w:val="center"/>
          </w:tcPr>
          <w:p w14:paraId="164539B9">
            <w:pPr>
              <w:widowControl/>
              <w:jc w:val="left"/>
              <w:rPr>
                <w:rFonts w:ascii="Times New Roman" w:hAnsi="Times New Roman" w:eastAsia="宋体" w:cs="Times New Roman"/>
                <w:kern w:val="0"/>
                <w:sz w:val="22"/>
              </w:rPr>
            </w:pPr>
            <w:r>
              <w:rPr>
                <w:rFonts w:hint="eastAsia" w:ascii="Times New Roman" w:hAnsi="Times New Roman" w:eastAsia="宋体" w:cs="Times New Roman"/>
                <w:kern w:val="0"/>
                <w:sz w:val="22"/>
              </w:rPr>
              <w:t>如隔离带、警戒线、警示锥等</w:t>
            </w:r>
          </w:p>
        </w:tc>
      </w:tr>
      <w:tr w14:paraId="6C9FB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3946B7D3">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9</w:t>
            </w:r>
          </w:p>
        </w:tc>
        <w:tc>
          <w:tcPr>
            <w:tcW w:w="2500" w:type="dxa"/>
            <w:shd w:val="clear" w:color="auto" w:fill="auto"/>
            <w:noWrap/>
            <w:vAlign w:val="center"/>
          </w:tcPr>
          <w:p w14:paraId="6C5628FC">
            <w:pPr>
              <w:widowControl/>
              <w:jc w:val="center"/>
              <w:rPr>
                <w:rFonts w:ascii="Times New Roman" w:hAnsi="Times New Roman" w:eastAsia="宋体" w:cs="Times New Roman"/>
                <w:kern w:val="0"/>
                <w:sz w:val="22"/>
              </w:rPr>
            </w:pPr>
            <w:r>
              <w:rPr>
                <w:rFonts w:hint="eastAsia" w:ascii="Times New Roman" w:hAnsi="Times New Roman" w:eastAsia="宋体" w:cs="Times New Roman"/>
                <w:kern w:val="0"/>
                <w:sz w:val="22"/>
              </w:rPr>
              <w:t>保安员工作装备及用品</w:t>
            </w:r>
          </w:p>
        </w:tc>
        <w:tc>
          <w:tcPr>
            <w:tcW w:w="960" w:type="dxa"/>
            <w:shd w:val="clear" w:color="auto" w:fill="auto"/>
            <w:noWrap/>
            <w:vAlign w:val="center"/>
          </w:tcPr>
          <w:p w14:paraId="6AC57AFD">
            <w:pPr>
              <w:widowControl/>
              <w:jc w:val="center"/>
              <w:textAlignment w:val="center"/>
              <w:rPr>
                <w:rFonts w:ascii="宋体" w:hAnsi="宋体" w:eastAsia="宋体" w:cs="宋体"/>
                <w:kern w:val="0"/>
                <w:sz w:val="22"/>
                <w:lang w:bidi="ar"/>
              </w:rPr>
            </w:pPr>
          </w:p>
        </w:tc>
        <w:tc>
          <w:tcPr>
            <w:tcW w:w="960" w:type="dxa"/>
            <w:shd w:val="clear" w:color="auto" w:fill="auto"/>
            <w:noWrap/>
            <w:vAlign w:val="center"/>
          </w:tcPr>
          <w:p w14:paraId="1235FDC9">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4926" w:type="dxa"/>
            <w:shd w:val="clear" w:color="auto" w:fill="auto"/>
            <w:noWrap/>
            <w:vAlign w:val="center"/>
          </w:tcPr>
          <w:p w14:paraId="49907E37">
            <w:pPr>
              <w:widowControl/>
              <w:jc w:val="left"/>
              <w:rPr>
                <w:rFonts w:ascii="Times New Roman" w:hAnsi="Times New Roman" w:eastAsia="宋体" w:cs="Times New Roman"/>
                <w:kern w:val="0"/>
                <w:sz w:val="22"/>
              </w:rPr>
            </w:pPr>
            <w:r>
              <w:rPr>
                <w:rFonts w:hint="eastAsia" w:ascii="Times New Roman" w:hAnsi="Times New Roman" w:eastAsia="宋体" w:cs="Times New Roman"/>
                <w:kern w:val="0"/>
                <w:sz w:val="22"/>
              </w:rPr>
              <w:t>如防暴靴、防暴叉等</w:t>
            </w:r>
          </w:p>
        </w:tc>
      </w:tr>
      <w:tr w14:paraId="344D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65F34B66">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10</w:t>
            </w:r>
          </w:p>
        </w:tc>
        <w:tc>
          <w:tcPr>
            <w:tcW w:w="2500" w:type="dxa"/>
            <w:shd w:val="clear" w:color="auto" w:fill="auto"/>
            <w:noWrap/>
            <w:vAlign w:val="center"/>
          </w:tcPr>
          <w:p w14:paraId="5C98194C">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绿化材料</w:t>
            </w:r>
          </w:p>
        </w:tc>
        <w:tc>
          <w:tcPr>
            <w:tcW w:w="960" w:type="dxa"/>
            <w:shd w:val="clear" w:color="auto" w:fill="auto"/>
            <w:noWrap/>
            <w:vAlign w:val="center"/>
          </w:tcPr>
          <w:p w14:paraId="445AF895">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72F49A5D">
            <w:pPr>
              <w:widowControl/>
              <w:jc w:val="center"/>
              <w:textAlignment w:val="center"/>
              <w:rPr>
                <w:rFonts w:ascii="宋体" w:hAnsi="宋体" w:eastAsia="宋体" w:cs="宋体"/>
                <w:kern w:val="0"/>
                <w:sz w:val="22"/>
                <w:lang w:bidi="ar"/>
              </w:rPr>
            </w:pPr>
          </w:p>
        </w:tc>
        <w:tc>
          <w:tcPr>
            <w:tcW w:w="4926" w:type="dxa"/>
            <w:shd w:val="clear" w:color="auto" w:fill="auto"/>
            <w:noWrap/>
            <w:vAlign w:val="center"/>
          </w:tcPr>
          <w:p w14:paraId="27CC1127">
            <w:pPr>
              <w:widowControl/>
              <w:jc w:val="left"/>
              <w:textAlignment w:val="center"/>
              <w:rPr>
                <w:rFonts w:ascii="宋体" w:hAnsi="宋体" w:eastAsia="宋体" w:cs="宋体"/>
                <w:kern w:val="0"/>
                <w:sz w:val="22"/>
                <w:lang w:bidi="ar"/>
              </w:rPr>
            </w:pPr>
            <w:r>
              <w:rPr>
                <w:rFonts w:hint="eastAsia" w:ascii="宋体" w:hAnsi="宋体" w:eastAsia="宋体" w:cs="宋体"/>
                <w:kern w:val="0"/>
                <w:sz w:val="22"/>
                <w:lang w:bidi="ar"/>
              </w:rPr>
              <w:t>绿化盆景增设、绿化施肥及药水费用、易耗品等</w:t>
            </w:r>
          </w:p>
        </w:tc>
      </w:tr>
      <w:tr w14:paraId="1E452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0" w:type="dxa"/>
            <w:noWrap/>
            <w:vAlign w:val="center"/>
          </w:tcPr>
          <w:p w14:paraId="70AE6F8B">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11</w:t>
            </w:r>
          </w:p>
        </w:tc>
        <w:tc>
          <w:tcPr>
            <w:tcW w:w="2500" w:type="dxa"/>
            <w:shd w:val="clear" w:color="auto" w:fill="auto"/>
            <w:noWrap/>
            <w:vAlign w:val="center"/>
          </w:tcPr>
          <w:p w14:paraId="30723EBC">
            <w:pPr>
              <w:widowControl/>
              <w:jc w:val="center"/>
              <w:textAlignment w:val="center"/>
              <w:rPr>
                <w:rFonts w:ascii="宋体" w:hAnsi="宋体" w:eastAsia="宋体" w:cs="宋体"/>
                <w:kern w:val="0"/>
                <w:sz w:val="22"/>
                <w:lang w:bidi="ar"/>
              </w:rPr>
            </w:pPr>
            <w:r>
              <w:rPr>
                <w:rFonts w:hint="eastAsia" w:ascii="宋体" w:hAnsi="宋体" w:eastAsia="宋体" w:cs="宋体"/>
                <w:kern w:val="0"/>
                <w:sz w:val="22"/>
                <w:lang w:bidi="ar"/>
              </w:rPr>
              <w:t>维修材料</w:t>
            </w:r>
          </w:p>
        </w:tc>
        <w:tc>
          <w:tcPr>
            <w:tcW w:w="960" w:type="dxa"/>
            <w:shd w:val="clear" w:color="auto" w:fill="auto"/>
            <w:noWrap/>
            <w:vAlign w:val="center"/>
          </w:tcPr>
          <w:p w14:paraId="10F21F62">
            <w:pPr>
              <w:widowControl/>
              <w:jc w:val="center"/>
              <w:textAlignment w:val="center"/>
              <w:rPr>
                <w:rFonts w:ascii="宋体" w:hAnsi="宋体" w:eastAsia="宋体" w:cs="宋体"/>
                <w:kern w:val="0"/>
                <w:sz w:val="22"/>
                <w:lang w:bidi="ar"/>
              </w:rPr>
            </w:pPr>
            <w:r>
              <w:rPr>
                <w:rFonts w:ascii="Arial" w:hAnsi="Arial" w:eastAsia="宋体" w:cs="Arial"/>
                <w:kern w:val="0"/>
                <w:sz w:val="22"/>
                <w:lang w:bidi="ar"/>
              </w:rPr>
              <w:t>√</w:t>
            </w:r>
          </w:p>
        </w:tc>
        <w:tc>
          <w:tcPr>
            <w:tcW w:w="960" w:type="dxa"/>
            <w:shd w:val="clear" w:color="auto" w:fill="auto"/>
            <w:noWrap/>
            <w:vAlign w:val="center"/>
          </w:tcPr>
          <w:p w14:paraId="29E05104">
            <w:pPr>
              <w:widowControl/>
              <w:jc w:val="center"/>
              <w:textAlignment w:val="center"/>
              <w:rPr>
                <w:rFonts w:ascii="宋体" w:hAnsi="宋体" w:eastAsia="宋体" w:cs="宋体"/>
                <w:kern w:val="0"/>
                <w:sz w:val="22"/>
                <w:lang w:bidi="ar"/>
              </w:rPr>
            </w:pPr>
          </w:p>
        </w:tc>
        <w:tc>
          <w:tcPr>
            <w:tcW w:w="4926" w:type="dxa"/>
            <w:shd w:val="clear" w:color="auto" w:fill="auto"/>
            <w:noWrap/>
            <w:vAlign w:val="center"/>
          </w:tcPr>
          <w:p w14:paraId="39A14289">
            <w:pPr>
              <w:widowControl/>
              <w:jc w:val="left"/>
              <w:textAlignment w:val="center"/>
              <w:rPr>
                <w:rFonts w:ascii="宋体" w:hAnsi="宋体" w:eastAsia="宋体" w:cs="宋体"/>
                <w:kern w:val="0"/>
                <w:sz w:val="22"/>
                <w:lang w:bidi="ar"/>
              </w:rPr>
            </w:pPr>
            <w:r>
              <w:rPr>
                <w:rFonts w:hint="eastAsia" w:ascii="宋体" w:hAnsi="宋体" w:eastAsia="宋体" w:cs="宋体"/>
                <w:kern w:val="0"/>
                <w:sz w:val="22"/>
                <w:lang w:bidi="ar"/>
              </w:rPr>
              <w:t>各类设施设备维修所需的材料，不包含维修工具。</w:t>
            </w:r>
          </w:p>
        </w:tc>
      </w:tr>
    </w:tbl>
    <w:p w14:paraId="71BA2B80">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5.2本项目</w:t>
      </w:r>
      <w:r>
        <w:rPr>
          <w:rFonts w:hint="eastAsia" w:ascii="Times New Roman" w:hAnsi="Times New Roman" w:eastAsia="宋体" w:cs="Times New Roman"/>
          <w:sz w:val="22"/>
        </w:rPr>
        <w:t>不</w:t>
      </w:r>
      <w:r>
        <w:rPr>
          <w:rFonts w:ascii="Times New Roman" w:hAnsi="Times New Roman" w:eastAsia="宋体" w:cs="Times New Roman"/>
          <w:sz w:val="22"/>
        </w:rPr>
        <w:t>允许分包。</w:t>
      </w:r>
    </w:p>
    <w:p w14:paraId="09CD3869">
      <w:pPr>
        <w:adjustRightInd w:val="0"/>
        <w:snapToGrid w:val="0"/>
        <w:spacing w:line="300" w:lineRule="auto"/>
        <w:ind w:firstLine="442" w:firstLineChars="200"/>
        <w:jc w:val="left"/>
        <w:outlineLvl w:val="2"/>
        <w:rPr>
          <w:rFonts w:ascii="Times New Roman" w:hAnsi="Times New Roman" w:eastAsia="宋体" w:cs="Times New Roman"/>
          <w:b/>
          <w:sz w:val="22"/>
        </w:rPr>
      </w:pPr>
      <w:bookmarkStart w:id="27" w:name="_Toc243060103"/>
      <w:r>
        <w:rPr>
          <w:rFonts w:ascii="Times New Roman" w:hAnsi="Times New Roman" w:eastAsia="宋体" w:cs="Times New Roman"/>
          <w:b/>
          <w:sz w:val="22"/>
        </w:rPr>
        <w:t>6 合同的签订</w:t>
      </w:r>
      <w:bookmarkEnd w:id="27"/>
    </w:p>
    <w:p w14:paraId="7B08CCFD">
      <w:pPr>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6.1 本项目合同的标的、价格、质量及验收标准、考核管理、履约期限等主要条款应当与招标文件和中标人投标文件的内容一致，并互相补充和解释。</w:t>
      </w:r>
    </w:p>
    <w:p w14:paraId="4B76ADDA">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6.2 合同履约过程中，如遇不可抗力或政策性调价（以招标文件和合同约定为准），经双方商定可以调整合同金额（调整原则以招标文件约定为准），并签订补充协议。</w:t>
      </w:r>
    </w:p>
    <w:p w14:paraId="545984F6">
      <w:pPr>
        <w:adjustRightInd w:val="0"/>
        <w:snapToGrid w:val="0"/>
        <w:spacing w:line="300" w:lineRule="auto"/>
        <w:ind w:firstLine="442" w:firstLineChars="200"/>
        <w:jc w:val="left"/>
        <w:outlineLvl w:val="2"/>
        <w:rPr>
          <w:rFonts w:ascii="Times New Roman" w:hAnsi="Times New Roman" w:eastAsia="宋体" w:cs="Times New Roman"/>
          <w:sz w:val="22"/>
        </w:rPr>
      </w:pPr>
      <w:bookmarkStart w:id="28" w:name="_Toc243060104"/>
      <w:r>
        <w:rPr>
          <w:rFonts w:ascii="Times New Roman" w:hAnsi="Times New Roman" w:eastAsia="宋体" w:cs="Times New Roman"/>
          <w:b/>
          <w:sz w:val="22"/>
        </w:rPr>
        <w:t>7 结算原则和支付方式</w:t>
      </w:r>
      <w:bookmarkEnd w:id="28"/>
    </w:p>
    <w:p w14:paraId="444494A2">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7.1 结算原则</w:t>
      </w:r>
    </w:p>
    <w:p w14:paraId="1AE3F35C">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7.1.1根据考核管理要求，依照考核结果按实结算。</w:t>
      </w:r>
    </w:p>
    <w:p w14:paraId="23AC9594">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7.1.2</w:t>
      </w:r>
      <w:r>
        <w:rPr>
          <w:rFonts w:ascii="Times New Roman" w:hAnsi="Times New Roman" w:eastAsia="宋体" w:cs="Times New Roman"/>
          <w:b/>
          <w:kern w:val="0"/>
          <w:sz w:val="22"/>
          <w:u w:val="single"/>
        </w:rPr>
        <w:t>本项目合同总价不变，采购人不会因政策性调价、人工成本、材料、设备使用年限增长引起的维修成本增加和效能衰减等因素（不可抗力除外）的变动而进行调整。</w:t>
      </w:r>
    </w:p>
    <w:p w14:paraId="6F5D12FE">
      <w:pPr>
        <w:adjustRightInd w:val="0"/>
        <w:snapToGrid w:val="0"/>
        <w:spacing w:line="300" w:lineRule="auto"/>
        <w:ind w:firstLine="442" w:firstLineChars="200"/>
        <w:jc w:val="left"/>
        <w:rPr>
          <w:rFonts w:ascii="Times New Roman" w:hAnsi="Times New Roman" w:eastAsia="宋体" w:cs="Times New Roman"/>
          <w:b/>
          <w:kern w:val="0"/>
          <w:sz w:val="22"/>
          <w:u w:val="single"/>
        </w:rPr>
      </w:pPr>
      <w:r>
        <w:rPr>
          <w:rFonts w:ascii="Times New Roman" w:hAnsi="Times New Roman" w:eastAsia="宋体" w:cs="Times New Roman"/>
          <w:b/>
          <w:kern w:val="0"/>
          <w:sz w:val="22"/>
          <w:u w:val="single"/>
        </w:rPr>
        <w:t>7.1.3 合同履约期间，如发生设备中修、大修和应急维修的，则费用按实结算。</w:t>
      </w:r>
    </w:p>
    <w:p w14:paraId="3FBF5247">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7.2 支付方式</w:t>
      </w:r>
    </w:p>
    <w:p w14:paraId="43187757">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 xml:space="preserve">7.2.1 </w:t>
      </w:r>
      <w:r>
        <w:rPr>
          <w:rFonts w:hint="eastAsia" w:ascii="宋体" w:hAnsi="宋体" w:eastAsia="宋体" w:cs="宋体"/>
          <w:spacing w:val="-1"/>
          <w:sz w:val="22"/>
        </w:rPr>
        <w:t>本项目合同金额采用</w:t>
      </w:r>
      <w:r>
        <w:rPr>
          <w:rFonts w:hint="eastAsia" w:ascii="宋体" w:hAnsi="宋体" w:eastAsia="宋体" w:cs="宋体"/>
          <w:spacing w:val="-1"/>
          <w:sz w:val="22"/>
          <w:u w:val="single"/>
        </w:rPr>
        <w:t>分期付款</w:t>
      </w:r>
      <w:r>
        <w:rPr>
          <w:rFonts w:hint="eastAsia" w:ascii="宋体" w:hAnsi="宋体" w:eastAsia="宋体" w:cs="宋体"/>
          <w:spacing w:val="-1"/>
          <w:sz w:val="22"/>
        </w:rPr>
        <w:t>方式，在采购人和中标人合同签订,</w:t>
      </w:r>
      <w:r>
        <w:rPr>
          <w:rFonts w:hint="eastAsia" w:ascii="Times New Roman" w:hAnsi="Times New Roman" w:eastAsia="宋体" w:cs="Times New Roman"/>
          <w:sz w:val="22"/>
        </w:rPr>
        <w:t>具体服务支付时间和比例见下表：</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4476"/>
        <w:gridCol w:w="1861"/>
      </w:tblGrid>
      <w:tr w14:paraId="66ECD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tcPr>
          <w:p w14:paraId="6DA6580C">
            <w:pPr>
              <w:widowControl/>
              <w:jc w:val="center"/>
              <w:rPr>
                <w:rFonts w:ascii="宋体" w:hAnsi="宋体" w:eastAsia="宋体" w:cs="Times New Roman"/>
                <w:b/>
                <w:bCs/>
                <w:sz w:val="22"/>
              </w:rPr>
            </w:pPr>
            <w:r>
              <w:rPr>
                <w:rFonts w:hint="eastAsia" w:ascii="宋体" w:hAnsi="宋体" w:eastAsia="宋体" w:cs="Times New Roman"/>
                <w:b/>
                <w:bCs/>
                <w:sz w:val="22"/>
              </w:rPr>
              <w:t>序号</w:t>
            </w:r>
          </w:p>
        </w:tc>
        <w:tc>
          <w:tcPr>
            <w:tcW w:w="4476" w:type="dxa"/>
          </w:tcPr>
          <w:p w14:paraId="21D41C2A">
            <w:pPr>
              <w:widowControl/>
              <w:jc w:val="center"/>
              <w:rPr>
                <w:rFonts w:ascii="宋体" w:hAnsi="宋体" w:eastAsia="宋体" w:cs="Times New Roman"/>
                <w:b/>
                <w:bCs/>
                <w:sz w:val="22"/>
              </w:rPr>
            </w:pPr>
            <w:r>
              <w:rPr>
                <w:rFonts w:hint="eastAsia" w:ascii="宋体" w:hAnsi="宋体" w:eastAsia="宋体" w:cs="Times New Roman"/>
                <w:b/>
                <w:bCs/>
                <w:sz w:val="22"/>
              </w:rPr>
              <w:t>支付时间</w:t>
            </w:r>
          </w:p>
        </w:tc>
        <w:tc>
          <w:tcPr>
            <w:tcW w:w="1861" w:type="dxa"/>
          </w:tcPr>
          <w:p w14:paraId="77047E95">
            <w:pPr>
              <w:widowControl/>
              <w:jc w:val="center"/>
              <w:rPr>
                <w:rFonts w:ascii="宋体" w:hAnsi="宋体" w:eastAsia="宋体" w:cs="Times New Roman"/>
                <w:b/>
                <w:bCs/>
                <w:sz w:val="22"/>
              </w:rPr>
            </w:pPr>
            <w:r>
              <w:rPr>
                <w:rFonts w:hint="eastAsia" w:ascii="宋体" w:hAnsi="宋体" w:eastAsia="宋体" w:cs="Times New Roman"/>
                <w:b/>
                <w:bCs/>
                <w:sz w:val="22"/>
              </w:rPr>
              <w:t>支付</w:t>
            </w:r>
            <w:r>
              <w:rPr>
                <w:rFonts w:hint="eastAsia" w:ascii="宋体" w:hAnsi="宋体" w:eastAsia="宋体" w:cs="Times New Roman"/>
                <w:b/>
                <w:bCs/>
                <w:sz w:val="22"/>
                <w:lang w:eastAsia="zh-CN"/>
              </w:rPr>
              <w:t>金额及支付</w:t>
            </w:r>
            <w:r>
              <w:rPr>
                <w:rFonts w:hint="eastAsia" w:ascii="宋体" w:hAnsi="宋体" w:eastAsia="宋体" w:cs="Times New Roman"/>
                <w:b/>
                <w:bCs/>
                <w:sz w:val="22"/>
              </w:rPr>
              <w:t>比例</w:t>
            </w:r>
          </w:p>
        </w:tc>
      </w:tr>
      <w:tr w14:paraId="03682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vAlign w:val="top"/>
          </w:tcPr>
          <w:p w14:paraId="644B5B8D">
            <w:pPr>
              <w:widowControl/>
              <w:jc w:val="center"/>
              <w:rPr>
                <w:rFonts w:ascii="宋体" w:hAnsi="宋体" w:eastAsia="宋体" w:cs="Times New Roman"/>
                <w:sz w:val="22"/>
                <w:highlight w:val="yellow"/>
              </w:rPr>
            </w:pPr>
            <w:r>
              <w:rPr>
                <w:rFonts w:hint="eastAsia" w:ascii="宋体" w:hAnsi="宋体"/>
                <w:sz w:val="22"/>
              </w:rPr>
              <w:t>1</w:t>
            </w:r>
          </w:p>
        </w:tc>
        <w:tc>
          <w:tcPr>
            <w:tcW w:w="4476" w:type="dxa"/>
            <w:vAlign w:val="top"/>
          </w:tcPr>
          <w:p w14:paraId="24CA9FE9">
            <w:pPr>
              <w:pStyle w:val="288"/>
              <w:spacing w:before="68"/>
              <w:jc w:val="center"/>
              <w:rPr>
                <w:rFonts w:ascii="宋体" w:hAnsi="宋体" w:eastAsia="宋体" w:cs="宋体"/>
                <w:snapToGrid w:val="0"/>
                <w:spacing w:val="-11"/>
                <w:kern w:val="0"/>
                <w:sz w:val="22"/>
                <w:highlight w:val="yellow"/>
              </w:rPr>
            </w:pPr>
            <w:r>
              <w:rPr>
                <w:rFonts w:hint="eastAsia" w:ascii="Times New Roman" w:hAnsi="Times New Roman" w:eastAsia="宋体" w:cs="宋体"/>
                <w:snapToGrid w:val="0"/>
                <w:color w:val="auto"/>
                <w:kern w:val="0"/>
                <w:sz w:val="22"/>
                <w:szCs w:val="22"/>
                <w:lang w:val="en-US" w:eastAsia="zh-CN" w:bidi="ar-SA"/>
              </w:rPr>
              <w:t xml:space="preserve"> 2026年12月31日前支付相应合同金额</w:t>
            </w:r>
          </w:p>
        </w:tc>
        <w:tc>
          <w:tcPr>
            <w:tcW w:w="1861" w:type="dxa"/>
            <w:vAlign w:val="top"/>
          </w:tcPr>
          <w:p w14:paraId="1539ABF5">
            <w:pPr>
              <w:pStyle w:val="288"/>
              <w:spacing w:before="66"/>
              <w:jc w:val="center"/>
              <w:rPr>
                <w:rFonts w:hint="default" w:ascii="宋体" w:hAnsi="宋体" w:eastAsia="宋体" w:cs="宋体"/>
                <w:snapToGrid w:val="0"/>
                <w:kern w:val="0"/>
                <w:sz w:val="22"/>
                <w:highlight w:val="yellow"/>
                <w:lang w:val="en-US" w:eastAsia="en-US"/>
              </w:rPr>
            </w:pPr>
            <w:r>
              <w:rPr>
                <w:rFonts w:hint="eastAsia"/>
                <w:color w:val="auto"/>
                <w:lang w:val="en-US" w:eastAsia="zh-CN"/>
              </w:rPr>
              <w:t>171945.20元</w:t>
            </w:r>
            <w:bookmarkStart w:id="52" w:name="_GoBack"/>
            <w:bookmarkEnd w:id="52"/>
          </w:p>
        </w:tc>
      </w:tr>
      <w:tr w14:paraId="633F1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shd w:val="clear" w:color="auto" w:fill="auto"/>
            <w:vAlign w:val="top"/>
          </w:tcPr>
          <w:p w14:paraId="33BA68DC">
            <w:pPr>
              <w:widowControl/>
              <w:jc w:val="center"/>
              <w:rPr>
                <w:rFonts w:hint="eastAsia" w:ascii="宋体" w:hAnsi="宋体" w:eastAsia="宋体" w:cs="Times New Roman"/>
                <w:sz w:val="22"/>
                <w:highlight w:val="yellow"/>
              </w:rPr>
            </w:pPr>
            <w:r>
              <w:rPr>
                <w:rFonts w:hint="eastAsia" w:ascii="宋体" w:hAnsi="宋体"/>
                <w:sz w:val="22"/>
              </w:rPr>
              <w:t>2</w:t>
            </w:r>
          </w:p>
        </w:tc>
        <w:tc>
          <w:tcPr>
            <w:tcW w:w="4476" w:type="dxa"/>
            <w:vAlign w:val="top"/>
          </w:tcPr>
          <w:p w14:paraId="4CB192DC">
            <w:pPr>
              <w:spacing w:before="123" w:line="220" w:lineRule="auto"/>
              <w:jc w:val="center"/>
              <w:rPr>
                <w:rFonts w:hint="eastAsia" w:ascii="宋体" w:hAnsi="宋体" w:eastAsia="宋体" w:cs="宋体"/>
                <w:snapToGrid w:val="0"/>
                <w:spacing w:val="-11"/>
                <w:kern w:val="0"/>
                <w:sz w:val="22"/>
                <w:highlight w:val="yellow"/>
              </w:rPr>
            </w:pPr>
            <w:r>
              <w:rPr>
                <w:rFonts w:hint="eastAsia" w:ascii="Times New Roman" w:hAnsi="Times New Roman" w:eastAsia="宋体" w:cs="宋体"/>
                <w:snapToGrid w:val="0"/>
                <w:color w:val="auto"/>
                <w:kern w:val="0"/>
                <w:sz w:val="22"/>
                <w:szCs w:val="22"/>
                <w:lang w:val="en-US" w:eastAsia="zh-CN" w:bidi="ar-SA"/>
              </w:rPr>
              <w:t xml:space="preserve">  2027年3月20日前支付相应合同金额</w:t>
            </w:r>
          </w:p>
        </w:tc>
        <w:tc>
          <w:tcPr>
            <w:tcW w:w="1861" w:type="dxa"/>
            <w:vAlign w:val="top"/>
          </w:tcPr>
          <w:p w14:paraId="50B1AA0D">
            <w:pPr>
              <w:pStyle w:val="288"/>
              <w:spacing w:before="70"/>
              <w:jc w:val="center"/>
              <w:rPr>
                <w:rFonts w:hint="eastAsia" w:ascii="宋体" w:hAnsi="宋体" w:eastAsia="宋体" w:cs="宋体"/>
                <w:snapToGrid w:val="0"/>
                <w:spacing w:val="-4"/>
                <w:kern w:val="0"/>
                <w:sz w:val="22"/>
                <w:highlight w:val="yellow"/>
              </w:rPr>
            </w:pPr>
            <w:r>
              <w:rPr>
                <w:rFonts w:hint="eastAsia"/>
                <w:color w:val="auto"/>
                <w:spacing w:val="-4"/>
                <w:lang w:val="en-US" w:eastAsia="zh-CN"/>
              </w:rPr>
              <w:t>25</w:t>
            </w:r>
            <w:r>
              <w:rPr>
                <w:color w:val="auto"/>
                <w:spacing w:val="-4"/>
              </w:rPr>
              <w:t>%</w:t>
            </w:r>
          </w:p>
        </w:tc>
      </w:tr>
      <w:tr w14:paraId="48334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shd w:val="clear" w:color="auto" w:fill="auto"/>
            <w:vAlign w:val="top"/>
          </w:tcPr>
          <w:p w14:paraId="7F1AE6EB">
            <w:pPr>
              <w:widowControl/>
              <w:jc w:val="center"/>
              <w:rPr>
                <w:rFonts w:ascii="宋体" w:hAnsi="宋体" w:eastAsia="宋体" w:cs="Times New Roman"/>
                <w:sz w:val="22"/>
                <w:highlight w:val="yellow"/>
              </w:rPr>
            </w:pPr>
            <w:r>
              <w:rPr>
                <w:rFonts w:hint="eastAsia" w:ascii="宋体" w:hAnsi="宋体"/>
                <w:sz w:val="22"/>
              </w:rPr>
              <w:t>3</w:t>
            </w:r>
          </w:p>
        </w:tc>
        <w:tc>
          <w:tcPr>
            <w:tcW w:w="4476" w:type="dxa"/>
            <w:vAlign w:val="top"/>
          </w:tcPr>
          <w:p w14:paraId="2E5345FE">
            <w:pPr>
              <w:spacing w:before="123" w:line="220" w:lineRule="auto"/>
              <w:jc w:val="center"/>
              <w:rPr>
                <w:rFonts w:ascii="宋体" w:hAnsi="宋体" w:eastAsia="宋体" w:cs="宋体"/>
                <w:snapToGrid w:val="0"/>
                <w:spacing w:val="-11"/>
                <w:kern w:val="0"/>
                <w:sz w:val="22"/>
                <w:highlight w:val="yellow"/>
              </w:rPr>
            </w:pPr>
            <w:r>
              <w:rPr>
                <w:rFonts w:hint="eastAsia" w:ascii="Times New Roman" w:hAnsi="Times New Roman" w:eastAsia="宋体" w:cs="宋体"/>
                <w:snapToGrid w:val="0"/>
                <w:color w:val="auto"/>
                <w:kern w:val="0"/>
                <w:sz w:val="22"/>
                <w:szCs w:val="22"/>
                <w:lang w:val="en-US" w:eastAsia="zh-CN" w:bidi="ar-SA"/>
              </w:rPr>
              <w:t xml:space="preserve">  2027年6月20日前支付相应合同金额</w:t>
            </w:r>
          </w:p>
        </w:tc>
        <w:tc>
          <w:tcPr>
            <w:tcW w:w="1861" w:type="dxa"/>
            <w:vAlign w:val="top"/>
          </w:tcPr>
          <w:p w14:paraId="5F5A3B82">
            <w:pPr>
              <w:pStyle w:val="288"/>
              <w:spacing w:before="70"/>
              <w:jc w:val="center"/>
              <w:rPr>
                <w:rFonts w:ascii="宋体" w:hAnsi="宋体" w:eastAsia="宋体" w:cs="宋体"/>
                <w:snapToGrid w:val="0"/>
                <w:spacing w:val="-4"/>
                <w:kern w:val="0"/>
                <w:sz w:val="22"/>
                <w:highlight w:val="yellow"/>
                <w:lang w:eastAsia="en-US"/>
              </w:rPr>
            </w:pPr>
            <w:r>
              <w:rPr>
                <w:rFonts w:hint="eastAsia"/>
                <w:color w:val="auto"/>
                <w:spacing w:val="-4"/>
                <w:lang w:val="en-US" w:eastAsia="zh-CN"/>
              </w:rPr>
              <w:t>25</w:t>
            </w:r>
            <w:r>
              <w:rPr>
                <w:color w:val="auto"/>
                <w:spacing w:val="-4"/>
              </w:rPr>
              <w:t>%</w:t>
            </w:r>
          </w:p>
        </w:tc>
      </w:tr>
      <w:tr w14:paraId="2D32F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shd w:val="clear" w:color="auto" w:fill="auto"/>
            <w:vAlign w:val="top"/>
          </w:tcPr>
          <w:p w14:paraId="76312587">
            <w:pPr>
              <w:widowControl/>
              <w:jc w:val="center"/>
              <w:rPr>
                <w:rFonts w:ascii="宋体" w:hAnsi="宋体" w:eastAsia="宋体" w:cs="Times New Roman"/>
                <w:sz w:val="22"/>
                <w:highlight w:val="yellow"/>
              </w:rPr>
            </w:pPr>
            <w:r>
              <w:rPr>
                <w:rFonts w:hint="eastAsia" w:ascii="宋体" w:hAnsi="宋体" w:cs="Times New Roman"/>
                <w:kern w:val="2"/>
                <w:sz w:val="22"/>
                <w:szCs w:val="22"/>
                <w:lang w:val="en-US" w:eastAsia="zh-CN" w:bidi="ar-SA"/>
              </w:rPr>
              <w:t>4</w:t>
            </w:r>
          </w:p>
        </w:tc>
        <w:tc>
          <w:tcPr>
            <w:tcW w:w="4476" w:type="dxa"/>
            <w:vAlign w:val="top"/>
          </w:tcPr>
          <w:p w14:paraId="71ED3CE3">
            <w:pPr>
              <w:spacing w:before="123" w:line="220" w:lineRule="auto"/>
              <w:jc w:val="center"/>
              <w:rPr>
                <w:rFonts w:ascii="宋体" w:hAnsi="宋体" w:eastAsia="宋体" w:cs="宋体"/>
                <w:snapToGrid w:val="0"/>
                <w:spacing w:val="-11"/>
                <w:kern w:val="0"/>
                <w:sz w:val="22"/>
                <w:highlight w:val="yellow"/>
              </w:rPr>
            </w:pPr>
            <w:r>
              <w:rPr>
                <w:rFonts w:hint="eastAsia" w:ascii="Times New Roman" w:hAnsi="Times New Roman" w:eastAsia="宋体" w:cs="宋体"/>
                <w:snapToGrid w:val="0"/>
                <w:color w:val="auto"/>
                <w:kern w:val="0"/>
                <w:sz w:val="22"/>
                <w:szCs w:val="22"/>
                <w:lang w:val="en-US" w:eastAsia="zh-CN" w:bidi="ar-SA"/>
              </w:rPr>
              <w:t xml:space="preserve">  2027年9月20日前支付相应合同金额</w:t>
            </w:r>
          </w:p>
        </w:tc>
        <w:tc>
          <w:tcPr>
            <w:tcW w:w="1861" w:type="dxa"/>
            <w:vAlign w:val="top"/>
          </w:tcPr>
          <w:p w14:paraId="3CFBCA8A">
            <w:pPr>
              <w:pStyle w:val="288"/>
              <w:spacing w:before="70"/>
              <w:jc w:val="center"/>
              <w:rPr>
                <w:rFonts w:ascii="宋体" w:hAnsi="宋体" w:eastAsia="宋体" w:cs="宋体"/>
                <w:snapToGrid w:val="0"/>
                <w:kern w:val="0"/>
                <w:sz w:val="22"/>
                <w:highlight w:val="yellow"/>
                <w:lang w:eastAsia="en-US"/>
              </w:rPr>
            </w:pPr>
            <w:r>
              <w:rPr>
                <w:rFonts w:hint="eastAsia"/>
                <w:color w:val="auto"/>
                <w:spacing w:val="-4"/>
                <w:lang w:val="en-US" w:eastAsia="zh-CN"/>
              </w:rPr>
              <w:t>25</w:t>
            </w:r>
            <w:r>
              <w:rPr>
                <w:color w:val="auto"/>
                <w:spacing w:val="-4"/>
              </w:rPr>
              <w:t>%</w:t>
            </w:r>
          </w:p>
        </w:tc>
      </w:tr>
      <w:tr w14:paraId="21660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shd w:val="clear" w:color="auto" w:fill="auto"/>
            <w:vAlign w:val="top"/>
          </w:tcPr>
          <w:p w14:paraId="50D4E84F">
            <w:pPr>
              <w:widowControl/>
              <w:jc w:val="center"/>
              <w:rPr>
                <w:rFonts w:ascii="宋体" w:hAnsi="宋体" w:eastAsia="宋体" w:cs="Times New Roman"/>
                <w:sz w:val="22"/>
                <w:highlight w:val="yellow"/>
              </w:rPr>
            </w:pPr>
            <w:r>
              <w:rPr>
                <w:rFonts w:hint="eastAsia" w:ascii="宋体" w:hAnsi="宋体" w:cs="Times New Roman"/>
                <w:kern w:val="2"/>
                <w:sz w:val="22"/>
                <w:szCs w:val="22"/>
                <w:lang w:val="en-US" w:eastAsia="zh-CN" w:bidi="ar-SA"/>
              </w:rPr>
              <w:t>5</w:t>
            </w:r>
          </w:p>
        </w:tc>
        <w:tc>
          <w:tcPr>
            <w:tcW w:w="4476" w:type="dxa"/>
            <w:vAlign w:val="top"/>
          </w:tcPr>
          <w:p w14:paraId="456D44A3">
            <w:pPr>
              <w:spacing w:before="123" w:line="220" w:lineRule="auto"/>
              <w:jc w:val="center"/>
              <w:rPr>
                <w:rFonts w:ascii="宋体" w:hAnsi="宋体" w:eastAsia="宋体" w:cs="宋体"/>
                <w:snapToGrid w:val="0"/>
                <w:spacing w:val="-11"/>
                <w:kern w:val="0"/>
                <w:sz w:val="22"/>
                <w:highlight w:val="yellow"/>
              </w:rPr>
            </w:pPr>
            <w:r>
              <w:rPr>
                <w:rFonts w:hint="eastAsia" w:ascii="Times New Roman" w:hAnsi="Times New Roman" w:eastAsia="宋体" w:cs="宋体"/>
                <w:snapToGrid w:val="0"/>
                <w:color w:val="auto"/>
                <w:kern w:val="0"/>
                <w:sz w:val="22"/>
                <w:szCs w:val="22"/>
                <w:lang w:val="en-US" w:eastAsia="zh-CN" w:bidi="ar-SA"/>
              </w:rPr>
              <w:t xml:space="preserve">  2027年</w:t>
            </w:r>
            <w:r>
              <w:rPr>
                <w:rFonts w:hint="eastAsia" w:ascii="Times New Roman" w:hAnsi="Times New Roman" w:cs="宋体"/>
                <w:snapToGrid w:val="0"/>
                <w:color w:val="auto"/>
                <w:kern w:val="0"/>
                <w:sz w:val="22"/>
                <w:szCs w:val="22"/>
                <w:lang w:val="en-US" w:eastAsia="zh-CN" w:bidi="ar-SA"/>
              </w:rPr>
              <w:t>11</w:t>
            </w:r>
            <w:r>
              <w:rPr>
                <w:rFonts w:hint="eastAsia" w:ascii="Times New Roman" w:hAnsi="Times New Roman" w:eastAsia="宋体" w:cs="宋体"/>
                <w:snapToGrid w:val="0"/>
                <w:color w:val="auto"/>
                <w:kern w:val="0"/>
                <w:sz w:val="22"/>
                <w:szCs w:val="22"/>
                <w:lang w:val="en-US" w:eastAsia="zh-CN" w:bidi="ar-SA"/>
              </w:rPr>
              <w:t>月</w:t>
            </w:r>
            <w:r>
              <w:rPr>
                <w:rFonts w:hint="eastAsia" w:ascii="Times New Roman" w:hAnsi="Times New Roman" w:cs="宋体"/>
                <w:snapToGrid w:val="0"/>
                <w:color w:val="auto"/>
                <w:kern w:val="0"/>
                <w:sz w:val="22"/>
                <w:szCs w:val="22"/>
                <w:lang w:val="en-US" w:eastAsia="zh-CN" w:bidi="ar-SA"/>
              </w:rPr>
              <w:t>30</w:t>
            </w:r>
            <w:r>
              <w:rPr>
                <w:rFonts w:hint="eastAsia" w:ascii="Times New Roman" w:hAnsi="Times New Roman" w:eastAsia="宋体" w:cs="宋体"/>
                <w:snapToGrid w:val="0"/>
                <w:color w:val="auto"/>
                <w:kern w:val="0"/>
                <w:sz w:val="22"/>
                <w:szCs w:val="22"/>
                <w:lang w:val="en-US" w:eastAsia="zh-CN" w:bidi="ar-SA"/>
              </w:rPr>
              <w:t>日前支付相应合同金额</w:t>
            </w:r>
          </w:p>
        </w:tc>
        <w:tc>
          <w:tcPr>
            <w:tcW w:w="1861" w:type="dxa"/>
            <w:vAlign w:val="top"/>
          </w:tcPr>
          <w:p w14:paraId="4B9B5F15">
            <w:pPr>
              <w:pStyle w:val="288"/>
              <w:spacing w:before="70"/>
              <w:jc w:val="center"/>
              <w:rPr>
                <w:rFonts w:ascii="宋体" w:hAnsi="宋体" w:eastAsia="宋体" w:cs="宋体"/>
                <w:snapToGrid w:val="0"/>
                <w:kern w:val="0"/>
                <w:sz w:val="22"/>
                <w:highlight w:val="yellow"/>
                <w:lang w:eastAsia="en-US"/>
              </w:rPr>
            </w:pPr>
            <w:r>
              <w:rPr>
                <w:rFonts w:hint="eastAsia"/>
                <w:color w:val="auto"/>
                <w:spacing w:val="-4"/>
                <w:lang w:val="en-US" w:eastAsia="zh-CN"/>
              </w:rPr>
              <w:t>12</w:t>
            </w:r>
            <w:r>
              <w:rPr>
                <w:color w:val="auto"/>
                <w:spacing w:val="-4"/>
              </w:rPr>
              <w:t>%</w:t>
            </w:r>
          </w:p>
        </w:tc>
      </w:tr>
      <w:tr w14:paraId="70BE4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3" w:type="dxa"/>
            <w:vAlign w:val="top"/>
          </w:tcPr>
          <w:p w14:paraId="16BD9442">
            <w:pPr>
              <w:widowControl/>
              <w:jc w:val="center"/>
              <w:rPr>
                <w:rFonts w:ascii="宋体" w:hAnsi="宋体" w:eastAsia="宋体" w:cs="Times New Roman"/>
                <w:sz w:val="22"/>
                <w:highlight w:val="yellow"/>
              </w:rPr>
            </w:pPr>
            <w:r>
              <w:rPr>
                <w:rFonts w:hint="eastAsia" w:ascii="宋体" w:hAnsi="宋体"/>
                <w:sz w:val="22"/>
                <w:lang w:val="en-US" w:eastAsia="zh-CN"/>
              </w:rPr>
              <w:t>6</w:t>
            </w:r>
          </w:p>
        </w:tc>
        <w:tc>
          <w:tcPr>
            <w:tcW w:w="6337" w:type="dxa"/>
            <w:gridSpan w:val="2"/>
            <w:vAlign w:val="top"/>
          </w:tcPr>
          <w:p w14:paraId="7D6E4B63">
            <w:pPr>
              <w:pStyle w:val="288"/>
              <w:spacing w:before="68"/>
              <w:jc w:val="center"/>
              <w:rPr>
                <w:rFonts w:ascii="宋体" w:hAnsi="宋体" w:eastAsia="宋体" w:cs="宋体"/>
                <w:snapToGrid w:val="0"/>
                <w:kern w:val="0"/>
                <w:sz w:val="22"/>
                <w:highlight w:val="yellow"/>
              </w:rPr>
            </w:pPr>
            <w:r>
              <w:rPr>
                <w:rFonts w:hint="eastAsia" w:ascii="Times New Roman" w:hAnsi="Times New Roman"/>
                <w:color w:val="auto"/>
                <w:lang w:eastAsia="zh-CN"/>
              </w:rPr>
              <w:t xml:space="preserve"> </w:t>
            </w:r>
            <w:r>
              <w:rPr>
                <w:rFonts w:hint="eastAsia" w:ascii="Times New Roman" w:hAnsi="Times New Roman"/>
                <w:color w:val="auto"/>
                <w:lang w:val="en-US" w:eastAsia="zh-CN"/>
              </w:rPr>
              <w:t>2027</w:t>
            </w:r>
            <w:r>
              <w:rPr>
                <w:rFonts w:hint="eastAsia" w:ascii="Times New Roman" w:hAnsi="Times New Roman"/>
                <w:color w:val="auto"/>
                <w:lang w:eastAsia="zh-CN"/>
              </w:rPr>
              <w:t>年</w:t>
            </w:r>
            <w:r>
              <w:rPr>
                <w:rFonts w:hint="eastAsia" w:ascii="Times New Roman" w:hAnsi="Times New Roman"/>
                <w:color w:val="auto"/>
                <w:lang w:val="en-US" w:eastAsia="zh-CN"/>
              </w:rPr>
              <w:t>12</w:t>
            </w:r>
            <w:r>
              <w:rPr>
                <w:rFonts w:hint="eastAsia" w:ascii="Times New Roman" w:hAnsi="Times New Roman"/>
                <w:color w:val="auto"/>
                <w:lang w:eastAsia="zh-CN"/>
              </w:rPr>
              <w:t>月</w:t>
            </w:r>
            <w:r>
              <w:rPr>
                <w:rFonts w:hint="eastAsia" w:ascii="Times New Roman" w:hAnsi="Times New Roman"/>
                <w:color w:val="auto"/>
                <w:lang w:val="en-US" w:eastAsia="zh-CN"/>
              </w:rPr>
              <w:t>31</w:t>
            </w:r>
            <w:r>
              <w:rPr>
                <w:rFonts w:hint="eastAsia" w:ascii="Times New Roman" w:hAnsi="Times New Roman"/>
                <w:color w:val="auto"/>
                <w:lang w:eastAsia="zh-CN"/>
              </w:rPr>
              <w:t>日</w:t>
            </w:r>
            <w:r>
              <w:rPr>
                <w:rFonts w:hint="eastAsia"/>
                <w:color w:val="auto"/>
                <w:spacing w:val="-11"/>
                <w:lang w:eastAsia="zh-CN"/>
              </w:rPr>
              <w:t>前</w:t>
            </w:r>
            <w:r>
              <w:rPr>
                <w:rFonts w:hint="eastAsia"/>
                <w:color w:val="auto"/>
                <w:spacing w:val="-9"/>
                <w:lang w:eastAsia="zh-CN"/>
              </w:rPr>
              <w:t>根据</w:t>
            </w:r>
            <w:r>
              <w:rPr>
                <w:color w:val="auto"/>
                <w:spacing w:val="-9"/>
                <w:lang w:eastAsia="zh-CN"/>
              </w:rPr>
              <w:t>考核等级结</w:t>
            </w:r>
            <w:r>
              <w:rPr>
                <w:rFonts w:hint="eastAsia"/>
                <w:color w:val="auto"/>
                <w:spacing w:val="-9"/>
                <w:lang w:eastAsia="zh-CN"/>
              </w:rPr>
              <w:t>果</w:t>
            </w:r>
            <w:r>
              <w:rPr>
                <w:rFonts w:hint="eastAsia"/>
                <w:color w:val="auto"/>
                <w:spacing w:val="-11"/>
                <w:lang w:eastAsia="zh-CN"/>
              </w:rPr>
              <w:t>支付剩余合同金额</w:t>
            </w:r>
          </w:p>
        </w:tc>
      </w:tr>
    </w:tbl>
    <w:p w14:paraId="436A51C6">
      <w:pPr>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7.3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1年期贷款市场报价利率。</w:t>
      </w:r>
    </w:p>
    <w:p w14:paraId="01BB18D6">
      <w:pPr>
        <w:snapToGrid w:val="0"/>
        <w:spacing w:line="300" w:lineRule="auto"/>
        <w:ind w:firstLine="400" w:firstLineChars="200"/>
        <w:jc w:val="left"/>
        <w:rPr>
          <w:rFonts w:ascii="Times New Roman" w:hAnsi="Times New Roman" w:eastAsia="宋体" w:cs="Times New Roman"/>
          <w:sz w:val="20"/>
          <w:szCs w:val="20"/>
        </w:rPr>
      </w:pPr>
    </w:p>
    <w:p w14:paraId="0C29F665">
      <w:pPr>
        <w:adjustRightInd w:val="0"/>
        <w:snapToGrid w:val="0"/>
        <w:spacing w:line="300" w:lineRule="auto"/>
        <w:jc w:val="center"/>
        <w:outlineLvl w:val="1"/>
        <w:rPr>
          <w:rFonts w:ascii="Times New Roman" w:hAnsi="Times New Roman" w:eastAsia="黑体" w:cs="Times New Roman"/>
          <w:sz w:val="30"/>
          <w:szCs w:val="30"/>
        </w:rPr>
      </w:pPr>
      <w:bookmarkStart w:id="29" w:name="_Toc243060105"/>
      <w:r>
        <w:rPr>
          <w:rFonts w:ascii="Times New Roman" w:hAnsi="Times New Roman" w:eastAsia="黑体" w:cs="Times New Roman"/>
          <w:sz w:val="30"/>
          <w:szCs w:val="30"/>
        </w:rPr>
        <w:t>三、技术质量要求</w:t>
      </w:r>
      <w:bookmarkEnd w:id="13"/>
      <w:bookmarkEnd w:id="14"/>
      <w:bookmarkEnd w:id="29"/>
    </w:p>
    <w:bookmarkEnd w:id="15"/>
    <w:bookmarkEnd w:id="16"/>
    <w:bookmarkEnd w:id="17"/>
    <w:bookmarkEnd w:id="18"/>
    <w:p w14:paraId="0488C381">
      <w:pPr>
        <w:adjustRightInd w:val="0"/>
        <w:snapToGrid w:val="0"/>
        <w:spacing w:line="300" w:lineRule="auto"/>
        <w:ind w:firstLine="442" w:firstLineChars="200"/>
        <w:outlineLvl w:val="2"/>
        <w:rPr>
          <w:rFonts w:ascii="Times New Roman" w:hAnsi="Times New Roman" w:eastAsia="宋体" w:cs="Times New Roman"/>
          <w:b/>
          <w:bCs/>
          <w:sz w:val="22"/>
        </w:rPr>
      </w:pPr>
      <w:bookmarkStart w:id="30" w:name="_Toc243060106"/>
      <w:r>
        <w:rPr>
          <w:rFonts w:ascii="Times New Roman" w:hAnsi="Times New Roman" w:eastAsia="宋体" w:cs="Times New Roman"/>
          <w:b/>
          <w:bCs/>
          <w:sz w:val="22"/>
        </w:rPr>
        <w:t>8 适用技术规范和规范性文件</w:t>
      </w:r>
      <w:bookmarkEnd w:id="30"/>
    </w:p>
    <w:p w14:paraId="6B8A1683">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《学校物业管理服务规范》上海市地方标准；</w:t>
      </w:r>
    </w:p>
    <w:p w14:paraId="1D71236D">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《物业管理条例》（国务院令第</w:t>
      </w:r>
      <w:r>
        <w:rPr>
          <w:rFonts w:ascii="Times New Roman" w:hAnsi="Times New Roman" w:eastAsia="宋体" w:cs="Times New Roman"/>
          <w:sz w:val="22"/>
        </w:rPr>
        <w:t>504</w:t>
      </w:r>
      <w:r>
        <w:rPr>
          <w:rFonts w:hint="eastAsia" w:ascii="Times New Roman" w:hAnsi="Times New Roman" w:eastAsia="宋体" w:cs="Times New Roman"/>
          <w:sz w:val="22"/>
        </w:rPr>
        <w:t>号），自</w:t>
      </w:r>
      <w:r>
        <w:rPr>
          <w:rFonts w:ascii="Times New Roman" w:hAnsi="Times New Roman" w:eastAsia="宋体" w:cs="Times New Roman"/>
          <w:sz w:val="22"/>
        </w:rPr>
        <w:t>2007</w:t>
      </w:r>
      <w:r>
        <w:rPr>
          <w:rFonts w:hint="eastAsia" w:ascii="Times New Roman" w:hAnsi="Times New Roman" w:eastAsia="宋体" w:cs="Times New Roman"/>
          <w:sz w:val="22"/>
        </w:rPr>
        <w:t>年</w:t>
      </w:r>
      <w:r>
        <w:rPr>
          <w:rFonts w:ascii="Times New Roman" w:hAnsi="Times New Roman" w:eastAsia="宋体" w:cs="Times New Roman"/>
          <w:sz w:val="22"/>
        </w:rPr>
        <w:t>10</w:t>
      </w:r>
      <w:r>
        <w:rPr>
          <w:rFonts w:hint="eastAsia" w:ascii="Times New Roman" w:hAnsi="Times New Roman" w:eastAsia="宋体" w:cs="Times New Roman"/>
          <w:sz w:val="22"/>
        </w:rPr>
        <w:t>月</w:t>
      </w:r>
      <w:r>
        <w:rPr>
          <w:rFonts w:ascii="Times New Roman" w:hAnsi="Times New Roman" w:eastAsia="宋体" w:cs="Times New Roman"/>
          <w:sz w:val="22"/>
        </w:rPr>
        <w:t>1</w:t>
      </w:r>
      <w:r>
        <w:rPr>
          <w:rFonts w:hint="eastAsia" w:ascii="Times New Roman" w:hAnsi="Times New Roman" w:eastAsia="宋体" w:cs="Times New Roman"/>
          <w:sz w:val="22"/>
        </w:rPr>
        <w:t>日起施行；</w:t>
      </w:r>
    </w:p>
    <w:p w14:paraId="088A42DB">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《保安服务管理条例》（国务院令第</w:t>
      </w:r>
      <w:r>
        <w:rPr>
          <w:rFonts w:ascii="Times New Roman" w:hAnsi="Times New Roman" w:eastAsia="宋体" w:cs="Times New Roman"/>
          <w:sz w:val="22"/>
        </w:rPr>
        <w:t>564</w:t>
      </w:r>
      <w:r>
        <w:rPr>
          <w:rFonts w:hint="eastAsia" w:ascii="Times New Roman" w:hAnsi="Times New Roman" w:eastAsia="宋体" w:cs="Times New Roman"/>
          <w:sz w:val="22"/>
        </w:rPr>
        <w:t>号）；</w:t>
      </w:r>
    </w:p>
    <w:p w14:paraId="1D5DC442">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各投标人应充分注意，凡涉及国家或行业管理部门颁发的相关规范、规程和标准，无论其是否在本招标文件中列明，中标人应无条件执行。标准、规范等不一致的，以要求高者为准。</w:t>
      </w:r>
    </w:p>
    <w:p w14:paraId="24CCC5E0">
      <w:pPr>
        <w:adjustRightInd w:val="0"/>
        <w:snapToGrid w:val="0"/>
        <w:spacing w:line="300" w:lineRule="auto"/>
        <w:ind w:firstLine="442" w:firstLineChars="200"/>
        <w:outlineLvl w:val="2"/>
        <w:rPr>
          <w:rFonts w:ascii="Times New Roman" w:hAnsi="Times New Roman" w:eastAsia="宋体" w:cs="Times New Roman"/>
          <w:b/>
          <w:bCs/>
          <w:sz w:val="22"/>
        </w:rPr>
      </w:pPr>
      <w:bookmarkStart w:id="31" w:name="_Toc243060107"/>
      <w:r>
        <w:rPr>
          <w:rFonts w:ascii="Times New Roman" w:hAnsi="Times New Roman" w:eastAsia="宋体" w:cs="Times New Roman"/>
          <w:b/>
          <w:bCs/>
          <w:sz w:val="22"/>
        </w:rPr>
        <w:t>9 招标内容与质量要求</w:t>
      </w:r>
      <w:bookmarkEnd w:id="31"/>
    </w:p>
    <w:p w14:paraId="1B6FBA88">
      <w:pPr>
        <w:adjustRightInd w:val="0"/>
        <w:snapToGrid w:val="0"/>
        <w:spacing w:line="300" w:lineRule="auto"/>
        <w:ind w:firstLine="440" w:firstLineChars="200"/>
        <w:jc w:val="left"/>
        <w:outlineLvl w:val="3"/>
        <w:rPr>
          <w:rFonts w:ascii="Times New Roman" w:hAnsi="Times New Roman" w:eastAsia="宋体" w:cs="Times New Roman"/>
          <w:bCs/>
          <w:sz w:val="22"/>
        </w:rPr>
      </w:pPr>
      <w:r>
        <w:rPr>
          <w:rFonts w:ascii="Times New Roman" w:hAnsi="Times New Roman" w:eastAsia="宋体" w:cs="Times New Roman"/>
          <w:bCs/>
          <w:sz w:val="22"/>
        </w:rPr>
        <w:t xml:space="preserve">9.1 </w:t>
      </w:r>
      <w:r>
        <w:rPr>
          <w:rFonts w:ascii="Times New Roman" w:hAnsi="Times New Roman" w:eastAsia="宋体" w:cs="Times New Roman"/>
          <w:b/>
          <w:kern w:val="0"/>
          <w:sz w:val="22"/>
          <w:u w:val="single"/>
        </w:rPr>
        <w:t>岗位设置一览表</w:t>
      </w:r>
    </w:p>
    <w:p w14:paraId="30865E28">
      <w:pPr>
        <w:adjustRightInd w:val="0"/>
        <w:snapToGrid w:val="0"/>
        <w:spacing w:line="300" w:lineRule="auto"/>
        <w:jc w:val="left"/>
        <w:rPr>
          <w:rFonts w:ascii="Times New Roman" w:hAnsi="Times New Roman" w:eastAsia="宋体" w:cs="Times New Roman"/>
          <w:b/>
          <w:kern w:val="0"/>
          <w:sz w:val="22"/>
          <w:u w:val="single"/>
        </w:rPr>
      </w:pPr>
      <w:r>
        <w:rPr>
          <w:rFonts w:hint="eastAsia" w:ascii="Times New Roman" w:hAnsi="Times New Roman" w:eastAsia="宋体" w:cs="Times New Roman"/>
          <w:b/>
          <w:kern w:val="0"/>
          <w:sz w:val="22"/>
          <w:u w:val="single"/>
        </w:rPr>
        <w:t>民生路校区：</w:t>
      </w:r>
    </w:p>
    <w:tbl>
      <w:tblPr>
        <w:tblStyle w:val="50"/>
        <w:tblW w:w="101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887"/>
        <w:gridCol w:w="1397"/>
        <w:gridCol w:w="5336"/>
        <w:gridCol w:w="1844"/>
      </w:tblGrid>
      <w:tr w14:paraId="5DA2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jc w:val="center"/>
        </w:trPr>
        <w:tc>
          <w:tcPr>
            <w:tcW w:w="693" w:type="dxa"/>
            <w:vAlign w:val="center"/>
          </w:tcPr>
          <w:p w14:paraId="2F794CAC">
            <w:pPr>
              <w:jc w:val="center"/>
              <w:rPr>
                <w:rFonts w:ascii="宋体" w:hAnsi="宋体" w:eastAsia="Times New Roman" w:cs="Times New Roman"/>
                <w:kern w:val="0"/>
                <w:sz w:val="22"/>
                <w:szCs w:val="20"/>
              </w:rPr>
            </w:pPr>
            <w:r>
              <w:rPr>
                <w:rFonts w:ascii="宋体" w:hAnsi="宋体" w:eastAsia="Times New Roman" w:cs="Times New Roman"/>
                <w:kern w:val="0"/>
                <w:sz w:val="22"/>
                <w:szCs w:val="20"/>
              </w:rPr>
              <w:t>部门</w:t>
            </w:r>
          </w:p>
        </w:tc>
        <w:tc>
          <w:tcPr>
            <w:tcW w:w="887" w:type="dxa"/>
            <w:vAlign w:val="center"/>
          </w:tcPr>
          <w:p w14:paraId="00C0E236">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岗位数</w:t>
            </w:r>
          </w:p>
        </w:tc>
        <w:tc>
          <w:tcPr>
            <w:tcW w:w="1397" w:type="dxa"/>
            <w:vAlign w:val="center"/>
          </w:tcPr>
          <w:p w14:paraId="392D848A">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岗位</w:t>
            </w:r>
          </w:p>
        </w:tc>
        <w:tc>
          <w:tcPr>
            <w:tcW w:w="5336" w:type="dxa"/>
            <w:vAlign w:val="center"/>
          </w:tcPr>
          <w:p w14:paraId="2ACE5E78">
            <w:pPr>
              <w:jc w:val="center"/>
              <w:rPr>
                <w:rFonts w:ascii="宋体" w:hAnsi="宋体" w:eastAsia="Times New Roman" w:cs="Times New Roman"/>
                <w:kern w:val="0"/>
                <w:sz w:val="22"/>
                <w:szCs w:val="20"/>
              </w:rPr>
            </w:pPr>
            <w:r>
              <w:rPr>
                <w:rFonts w:ascii="宋体" w:hAnsi="宋体" w:eastAsia="Times New Roman" w:cs="Times New Roman"/>
                <w:kern w:val="0"/>
                <w:sz w:val="22"/>
                <w:szCs w:val="20"/>
              </w:rPr>
              <w:t>职责范围</w:t>
            </w:r>
          </w:p>
        </w:tc>
        <w:tc>
          <w:tcPr>
            <w:tcW w:w="1844" w:type="dxa"/>
            <w:vAlign w:val="center"/>
          </w:tcPr>
          <w:p w14:paraId="21BFA534">
            <w:pPr>
              <w:jc w:val="center"/>
              <w:rPr>
                <w:rFonts w:ascii="宋体" w:hAnsi="宋体" w:eastAsia="Times New Roman" w:cs="Times New Roman"/>
                <w:kern w:val="0"/>
                <w:sz w:val="22"/>
                <w:szCs w:val="20"/>
              </w:rPr>
            </w:pPr>
            <w:r>
              <w:rPr>
                <w:rFonts w:ascii="宋体" w:hAnsi="宋体" w:eastAsia="Times New Roman" w:cs="Times New Roman"/>
                <w:kern w:val="0"/>
                <w:sz w:val="22"/>
                <w:szCs w:val="20"/>
              </w:rPr>
              <w:t>服务时间</w:t>
            </w:r>
          </w:p>
        </w:tc>
      </w:tr>
      <w:tr w14:paraId="7C888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3A16932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管理部</w:t>
            </w:r>
          </w:p>
        </w:tc>
        <w:tc>
          <w:tcPr>
            <w:tcW w:w="887" w:type="dxa"/>
            <w:vAlign w:val="center"/>
          </w:tcPr>
          <w:p w14:paraId="32BF74EC">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w:t>
            </w:r>
          </w:p>
        </w:tc>
        <w:tc>
          <w:tcPr>
            <w:tcW w:w="1397" w:type="dxa"/>
            <w:vAlign w:val="center"/>
          </w:tcPr>
          <w:p w14:paraId="463702F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物业经理</w:t>
            </w:r>
          </w:p>
        </w:tc>
        <w:tc>
          <w:tcPr>
            <w:tcW w:w="5336" w:type="dxa"/>
            <w:vAlign w:val="center"/>
          </w:tcPr>
          <w:p w14:paraId="0A15CF34">
            <w:pPr>
              <w:widowControl/>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全面负责两个</w:t>
            </w:r>
            <w:r>
              <w:rPr>
                <w:rFonts w:hint="eastAsia" w:ascii="宋体" w:hAnsi="宋体" w:eastAsia="Times New Roman" w:cs="Times New Roman"/>
                <w:color w:val="auto"/>
                <w:kern w:val="0"/>
                <w:sz w:val="22"/>
                <w:szCs w:val="20"/>
                <w:highlight w:val="none"/>
              </w:rPr>
              <w:t>校区的安保、保洁、维修、后勤部的管理工作。</w:t>
            </w:r>
          </w:p>
        </w:tc>
        <w:tc>
          <w:tcPr>
            <w:tcW w:w="1844" w:type="dxa"/>
            <w:vAlign w:val="center"/>
          </w:tcPr>
          <w:p w14:paraId="42A38AC1">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周一～周五</w:t>
            </w:r>
          </w:p>
          <w:p w14:paraId="56CB9B5D">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7:00—11:30、</w:t>
            </w:r>
          </w:p>
          <w:p w14:paraId="74E50AF6">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13:00-16:30</w:t>
            </w:r>
          </w:p>
        </w:tc>
      </w:tr>
      <w:tr w14:paraId="4463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restart"/>
            <w:vAlign w:val="center"/>
          </w:tcPr>
          <w:p w14:paraId="6B22E26F">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保洁部</w:t>
            </w:r>
          </w:p>
        </w:tc>
        <w:tc>
          <w:tcPr>
            <w:tcW w:w="887" w:type="dxa"/>
            <w:vMerge w:val="restart"/>
            <w:vAlign w:val="center"/>
          </w:tcPr>
          <w:p w14:paraId="49E35390">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6</w:t>
            </w:r>
          </w:p>
        </w:tc>
        <w:tc>
          <w:tcPr>
            <w:tcW w:w="1397" w:type="dxa"/>
            <w:vAlign w:val="center"/>
          </w:tcPr>
          <w:p w14:paraId="2C35BE44">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保洁工岗1</w:t>
            </w:r>
          </w:p>
        </w:tc>
        <w:tc>
          <w:tcPr>
            <w:tcW w:w="5336" w:type="dxa"/>
            <w:vAlign w:val="center"/>
          </w:tcPr>
          <w:p w14:paraId="24C1625A">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行政楼所有办公室、会议室、接待室、专用室的保洁工作，配合物业经理做好日常监管保洁员工的工作质量，统筹保洁部的相关工作</w:t>
            </w:r>
          </w:p>
        </w:tc>
        <w:tc>
          <w:tcPr>
            <w:tcW w:w="1844" w:type="dxa"/>
            <w:vMerge w:val="restart"/>
            <w:vAlign w:val="center"/>
          </w:tcPr>
          <w:p w14:paraId="0F852979">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周一～周五</w:t>
            </w:r>
          </w:p>
          <w:p w14:paraId="72385C7F">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7:00—11:30、</w:t>
            </w:r>
          </w:p>
          <w:p w14:paraId="7B4F9100">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13:00-16:30</w:t>
            </w:r>
          </w:p>
        </w:tc>
      </w:tr>
      <w:tr w14:paraId="4A578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075D40AD">
            <w:pPr>
              <w:jc w:val="center"/>
              <w:rPr>
                <w:rFonts w:ascii="宋体" w:hAnsi="宋体" w:eastAsia="Times New Roman" w:cs="Times New Roman"/>
                <w:kern w:val="0"/>
                <w:sz w:val="22"/>
                <w:szCs w:val="20"/>
              </w:rPr>
            </w:pPr>
          </w:p>
        </w:tc>
        <w:tc>
          <w:tcPr>
            <w:tcW w:w="887" w:type="dxa"/>
            <w:vMerge w:val="continue"/>
            <w:vAlign w:val="center"/>
          </w:tcPr>
          <w:p w14:paraId="6CDAA896">
            <w:pPr>
              <w:jc w:val="center"/>
              <w:rPr>
                <w:rFonts w:ascii="宋体" w:hAnsi="宋体" w:eastAsia="Times New Roman" w:cs="Times New Roman"/>
                <w:kern w:val="0"/>
                <w:sz w:val="22"/>
                <w:szCs w:val="20"/>
              </w:rPr>
            </w:pPr>
          </w:p>
        </w:tc>
        <w:tc>
          <w:tcPr>
            <w:tcW w:w="1397" w:type="dxa"/>
            <w:vAlign w:val="center"/>
          </w:tcPr>
          <w:p w14:paraId="6AB9871F">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保洁工岗2</w:t>
            </w:r>
          </w:p>
        </w:tc>
        <w:tc>
          <w:tcPr>
            <w:tcW w:w="5336" w:type="dxa"/>
            <w:vAlign w:val="center"/>
          </w:tcPr>
          <w:p w14:paraId="07A7D3D1">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教学楼一楼公共区域的保洁工作</w:t>
            </w:r>
            <w:r>
              <w:rPr>
                <w:rFonts w:ascii="宋体" w:hAnsi="宋体" w:eastAsia="Times New Roman" w:cs="Times New Roman"/>
                <w:kern w:val="0"/>
                <w:sz w:val="22"/>
                <w:szCs w:val="20"/>
              </w:rPr>
              <w:t>（</w:t>
            </w:r>
            <w:r>
              <w:rPr>
                <w:rFonts w:hint="eastAsia" w:ascii="宋体" w:hAnsi="宋体" w:eastAsia="Times New Roman" w:cs="Times New Roman"/>
                <w:kern w:val="0"/>
                <w:sz w:val="22"/>
                <w:szCs w:val="20"/>
              </w:rPr>
              <w:t>大厅、</w:t>
            </w:r>
            <w:r>
              <w:rPr>
                <w:rFonts w:ascii="宋体" w:hAnsi="宋体" w:eastAsia="Times New Roman" w:cs="Times New Roman"/>
                <w:kern w:val="0"/>
                <w:sz w:val="22"/>
                <w:szCs w:val="20"/>
              </w:rPr>
              <w:t>走道、楼梯、厕所等）</w:t>
            </w:r>
          </w:p>
        </w:tc>
        <w:tc>
          <w:tcPr>
            <w:tcW w:w="1844" w:type="dxa"/>
            <w:vMerge w:val="continue"/>
            <w:vAlign w:val="center"/>
          </w:tcPr>
          <w:p w14:paraId="49C7AA6A">
            <w:pPr>
              <w:jc w:val="center"/>
              <w:rPr>
                <w:rFonts w:ascii="宋体" w:hAnsi="宋体" w:eastAsia="Times New Roman" w:cs="Times New Roman"/>
                <w:kern w:val="0"/>
                <w:sz w:val="22"/>
                <w:szCs w:val="20"/>
              </w:rPr>
            </w:pPr>
          </w:p>
        </w:tc>
      </w:tr>
      <w:tr w14:paraId="59C66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03B0F048">
            <w:pPr>
              <w:jc w:val="center"/>
              <w:rPr>
                <w:rFonts w:ascii="宋体" w:hAnsi="宋体" w:eastAsia="Times New Roman" w:cs="Times New Roman"/>
                <w:kern w:val="0"/>
                <w:sz w:val="22"/>
                <w:szCs w:val="20"/>
              </w:rPr>
            </w:pPr>
          </w:p>
        </w:tc>
        <w:tc>
          <w:tcPr>
            <w:tcW w:w="887" w:type="dxa"/>
            <w:vMerge w:val="continue"/>
            <w:vAlign w:val="center"/>
          </w:tcPr>
          <w:p w14:paraId="3C15309D">
            <w:pPr>
              <w:jc w:val="center"/>
              <w:rPr>
                <w:rFonts w:ascii="宋体" w:hAnsi="宋体" w:eastAsia="Times New Roman" w:cs="Times New Roman"/>
                <w:kern w:val="0"/>
                <w:sz w:val="22"/>
                <w:szCs w:val="20"/>
              </w:rPr>
            </w:pPr>
          </w:p>
        </w:tc>
        <w:tc>
          <w:tcPr>
            <w:tcW w:w="1397" w:type="dxa"/>
            <w:vAlign w:val="center"/>
          </w:tcPr>
          <w:p w14:paraId="3CA42B47">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保洁工岗3</w:t>
            </w:r>
          </w:p>
        </w:tc>
        <w:tc>
          <w:tcPr>
            <w:tcW w:w="5336" w:type="dxa"/>
            <w:vAlign w:val="center"/>
          </w:tcPr>
          <w:p w14:paraId="7F40B56B">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教学楼二楼公共区域的保洁工作（走道、楼梯、厕所等）</w:t>
            </w:r>
          </w:p>
        </w:tc>
        <w:tc>
          <w:tcPr>
            <w:tcW w:w="1844" w:type="dxa"/>
            <w:vMerge w:val="continue"/>
            <w:vAlign w:val="center"/>
          </w:tcPr>
          <w:p w14:paraId="26A9FF59">
            <w:pPr>
              <w:jc w:val="center"/>
              <w:rPr>
                <w:rFonts w:ascii="宋体" w:hAnsi="宋体" w:eastAsia="Times New Roman" w:cs="Times New Roman"/>
                <w:kern w:val="0"/>
                <w:sz w:val="22"/>
                <w:szCs w:val="20"/>
              </w:rPr>
            </w:pPr>
          </w:p>
        </w:tc>
      </w:tr>
      <w:tr w14:paraId="33DDB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3B898671">
            <w:pPr>
              <w:jc w:val="center"/>
              <w:rPr>
                <w:rFonts w:ascii="宋体" w:hAnsi="宋体" w:eastAsia="Times New Roman" w:cs="Times New Roman"/>
                <w:kern w:val="0"/>
                <w:sz w:val="22"/>
                <w:szCs w:val="20"/>
              </w:rPr>
            </w:pPr>
          </w:p>
        </w:tc>
        <w:tc>
          <w:tcPr>
            <w:tcW w:w="887" w:type="dxa"/>
            <w:vMerge w:val="continue"/>
            <w:vAlign w:val="center"/>
          </w:tcPr>
          <w:p w14:paraId="3339EDC9">
            <w:pPr>
              <w:jc w:val="center"/>
              <w:rPr>
                <w:rFonts w:ascii="宋体" w:hAnsi="宋体" w:eastAsia="Times New Roman" w:cs="Times New Roman"/>
                <w:kern w:val="0"/>
                <w:sz w:val="22"/>
                <w:szCs w:val="20"/>
              </w:rPr>
            </w:pPr>
          </w:p>
        </w:tc>
        <w:tc>
          <w:tcPr>
            <w:tcW w:w="1397" w:type="dxa"/>
            <w:vAlign w:val="center"/>
          </w:tcPr>
          <w:p w14:paraId="1BBA9EAD">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保洁工岗4</w:t>
            </w:r>
          </w:p>
        </w:tc>
        <w:tc>
          <w:tcPr>
            <w:tcW w:w="5336" w:type="dxa"/>
            <w:vAlign w:val="center"/>
          </w:tcPr>
          <w:p w14:paraId="1C8D1B9C">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教学楼三楼公共区域的保洁工作</w:t>
            </w:r>
            <w:r>
              <w:rPr>
                <w:rFonts w:ascii="宋体" w:hAnsi="宋体" w:eastAsia="Times New Roman" w:cs="Times New Roman"/>
                <w:kern w:val="0"/>
                <w:sz w:val="22"/>
                <w:szCs w:val="20"/>
              </w:rPr>
              <w:t>（走道、楼梯、厕所等）</w:t>
            </w:r>
          </w:p>
        </w:tc>
        <w:tc>
          <w:tcPr>
            <w:tcW w:w="1844" w:type="dxa"/>
            <w:vMerge w:val="continue"/>
            <w:vAlign w:val="center"/>
          </w:tcPr>
          <w:p w14:paraId="5B97B937">
            <w:pPr>
              <w:jc w:val="center"/>
              <w:rPr>
                <w:rFonts w:ascii="宋体" w:hAnsi="宋体" w:eastAsia="Times New Roman" w:cs="Times New Roman"/>
                <w:kern w:val="0"/>
                <w:sz w:val="22"/>
                <w:szCs w:val="20"/>
              </w:rPr>
            </w:pPr>
          </w:p>
        </w:tc>
      </w:tr>
      <w:tr w14:paraId="3BA2E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24A7CC5D">
            <w:pPr>
              <w:jc w:val="center"/>
              <w:rPr>
                <w:rFonts w:ascii="宋体" w:hAnsi="宋体" w:eastAsia="Times New Roman" w:cs="Times New Roman"/>
                <w:kern w:val="0"/>
                <w:sz w:val="22"/>
                <w:szCs w:val="20"/>
              </w:rPr>
            </w:pPr>
          </w:p>
        </w:tc>
        <w:tc>
          <w:tcPr>
            <w:tcW w:w="887" w:type="dxa"/>
            <w:vMerge w:val="continue"/>
            <w:vAlign w:val="center"/>
          </w:tcPr>
          <w:p w14:paraId="35B79C7B">
            <w:pPr>
              <w:jc w:val="center"/>
              <w:rPr>
                <w:rFonts w:ascii="宋体" w:hAnsi="宋体" w:eastAsia="Times New Roman" w:cs="Times New Roman"/>
                <w:kern w:val="0"/>
                <w:sz w:val="22"/>
                <w:szCs w:val="20"/>
              </w:rPr>
            </w:pPr>
          </w:p>
        </w:tc>
        <w:tc>
          <w:tcPr>
            <w:tcW w:w="1397" w:type="dxa"/>
            <w:vAlign w:val="center"/>
          </w:tcPr>
          <w:p w14:paraId="03F6E5EC">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保洁工岗5</w:t>
            </w:r>
          </w:p>
        </w:tc>
        <w:tc>
          <w:tcPr>
            <w:tcW w:w="5336" w:type="dxa"/>
            <w:vAlign w:val="center"/>
          </w:tcPr>
          <w:p w14:paraId="72312ED2">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教学楼四楼公共区域的保洁工作</w:t>
            </w:r>
            <w:r>
              <w:rPr>
                <w:rFonts w:ascii="宋体" w:hAnsi="宋体" w:eastAsia="Times New Roman" w:cs="Times New Roman"/>
                <w:kern w:val="0"/>
                <w:sz w:val="22"/>
                <w:szCs w:val="20"/>
              </w:rPr>
              <w:t>（走道、楼梯、厕所等）</w:t>
            </w:r>
          </w:p>
        </w:tc>
        <w:tc>
          <w:tcPr>
            <w:tcW w:w="1844" w:type="dxa"/>
            <w:vMerge w:val="continue"/>
            <w:vAlign w:val="center"/>
          </w:tcPr>
          <w:p w14:paraId="0E81535F">
            <w:pPr>
              <w:jc w:val="center"/>
              <w:rPr>
                <w:rFonts w:ascii="宋体" w:hAnsi="宋体" w:eastAsia="Times New Roman" w:cs="Times New Roman"/>
                <w:kern w:val="0"/>
                <w:sz w:val="22"/>
                <w:szCs w:val="20"/>
              </w:rPr>
            </w:pPr>
          </w:p>
        </w:tc>
      </w:tr>
      <w:tr w14:paraId="35FED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18D178CB">
            <w:pPr>
              <w:jc w:val="center"/>
              <w:rPr>
                <w:rFonts w:ascii="宋体" w:hAnsi="宋体" w:eastAsia="Times New Roman" w:cs="Times New Roman"/>
                <w:kern w:val="0"/>
                <w:sz w:val="22"/>
                <w:szCs w:val="20"/>
              </w:rPr>
            </w:pPr>
          </w:p>
        </w:tc>
        <w:tc>
          <w:tcPr>
            <w:tcW w:w="887" w:type="dxa"/>
            <w:vMerge w:val="continue"/>
            <w:vAlign w:val="center"/>
          </w:tcPr>
          <w:p w14:paraId="3D7BDD61">
            <w:pPr>
              <w:jc w:val="center"/>
              <w:rPr>
                <w:rFonts w:ascii="宋体" w:hAnsi="宋体" w:eastAsia="Times New Roman" w:cs="Times New Roman"/>
                <w:kern w:val="0"/>
                <w:sz w:val="22"/>
                <w:szCs w:val="20"/>
              </w:rPr>
            </w:pPr>
          </w:p>
        </w:tc>
        <w:tc>
          <w:tcPr>
            <w:tcW w:w="1397" w:type="dxa"/>
          </w:tcPr>
          <w:p w14:paraId="1262BBA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w:t>
            </w:r>
            <w:r>
              <w:rPr>
                <w:rFonts w:hint="eastAsia" w:ascii="宋体" w:hAnsi="宋体" w:eastAsia="Times New Roman" w:cs="Times New Roman"/>
                <w:kern w:val="0"/>
                <w:sz w:val="22"/>
                <w:szCs w:val="20"/>
              </w:rPr>
              <w:t>6</w:t>
            </w:r>
          </w:p>
        </w:tc>
        <w:tc>
          <w:tcPr>
            <w:tcW w:w="5336" w:type="dxa"/>
            <w:vAlign w:val="center"/>
          </w:tcPr>
          <w:p w14:paraId="28F24DBC">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全面负责教学楼五楼公共区域以及校园外场的保洁工作（路面、明沟、绿化带内、垃圾桶、宣传栏等）</w:t>
            </w:r>
          </w:p>
        </w:tc>
        <w:tc>
          <w:tcPr>
            <w:tcW w:w="1844" w:type="dxa"/>
            <w:vMerge w:val="continue"/>
            <w:vAlign w:val="center"/>
          </w:tcPr>
          <w:p w14:paraId="07C28698">
            <w:pPr>
              <w:jc w:val="center"/>
              <w:rPr>
                <w:rFonts w:ascii="宋体" w:hAnsi="宋体" w:eastAsia="Times New Roman" w:cs="Times New Roman"/>
                <w:kern w:val="0"/>
                <w:sz w:val="22"/>
                <w:szCs w:val="20"/>
              </w:rPr>
            </w:pPr>
          </w:p>
        </w:tc>
      </w:tr>
      <w:tr w14:paraId="37D09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restart"/>
            <w:vAlign w:val="center"/>
          </w:tcPr>
          <w:p w14:paraId="147E4D52">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保安</w:t>
            </w:r>
            <w:r>
              <w:rPr>
                <w:rFonts w:ascii="宋体" w:hAnsi="宋体" w:eastAsia="Times New Roman" w:cs="Times New Roman"/>
                <w:kern w:val="0"/>
                <w:sz w:val="22"/>
                <w:szCs w:val="20"/>
              </w:rPr>
              <w:t>部</w:t>
            </w:r>
          </w:p>
        </w:tc>
        <w:tc>
          <w:tcPr>
            <w:tcW w:w="887" w:type="dxa"/>
            <w:vAlign w:val="center"/>
          </w:tcPr>
          <w:p w14:paraId="4FE1334D">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2</w:t>
            </w:r>
          </w:p>
        </w:tc>
        <w:tc>
          <w:tcPr>
            <w:tcW w:w="1397" w:type="dxa"/>
            <w:vAlign w:val="center"/>
          </w:tcPr>
          <w:p w14:paraId="71E146D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门岗</w:t>
            </w:r>
          </w:p>
        </w:tc>
        <w:tc>
          <w:tcPr>
            <w:tcW w:w="5336" w:type="dxa"/>
            <w:vAlign w:val="center"/>
          </w:tcPr>
          <w:p w14:paraId="61354F7D">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全面负责学校</w:t>
            </w:r>
            <w:r>
              <w:rPr>
                <w:rFonts w:hint="eastAsia" w:ascii="宋体" w:hAnsi="宋体" w:eastAsia="Times New Roman" w:cs="Times New Roman"/>
                <w:kern w:val="0"/>
                <w:sz w:val="22"/>
                <w:szCs w:val="20"/>
              </w:rPr>
              <w:t>园</w:t>
            </w:r>
            <w:r>
              <w:rPr>
                <w:rFonts w:ascii="宋体" w:hAnsi="宋体" w:eastAsia="Times New Roman" w:cs="Times New Roman"/>
                <w:kern w:val="0"/>
                <w:sz w:val="22"/>
                <w:szCs w:val="20"/>
              </w:rPr>
              <w:t>的安全防范，接待外来访客、</w:t>
            </w:r>
            <w:r>
              <w:rPr>
                <w:rFonts w:hint="eastAsia" w:ascii="宋体" w:hAnsi="宋体" w:eastAsia="Times New Roman" w:cs="Times New Roman"/>
                <w:kern w:val="0"/>
                <w:sz w:val="22"/>
                <w:szCs w:val="20"/>
              </w:rPr>
              <w:t>定时对校区开展巡逻工作，及时消除安全隐患。白天和夜间配备至少2名保安员值勤，</w:t>
            </w:r>
            <w:r>
              <w:rPr>
                <w:rFonts w:ascii="宋体" w:hAnsi="宋体" w:eastAsia="Times New Roman" w:cs="Times New Roman"/>
                <w:kern w:val="0"/>
                <w:sz w:val="22"/>
                <w:szCs w:val="20"/>
              </w:rPr>
              <w:t>须持有保安员证</w:t>
            </w:r>
          </w:p>
        </w:tc>
        <w:tc>
          <w:tcPr>
            <w:tcW w:w="1844" w:type="dxa"/>
            <w:vAlign w:val="center"/>
          </w:tcPr>
          <w:p w14:paraId="1F0079E4">
            <w:pPr>
              <w:rPr>
                <w:rFonts w:ascii="宋体" w:hAnsi="宋体" w:eastAsia="Times New Roman" w:cs="Times New Roman"/>
                <w:kern w:val="0"/>
                <w:sz w:val="22"/>
                <w:szCs w:val="20"/>
              </w:rPr>
            </w:pPr>
            <w:r>
              <w:rPr>
                <w:rFonts w:ascii="宋体" w:hAnsi="宋体" w:eastAsia="Times New Roman" w:cs="Times New Roman"/>
                <w:kern w:val="0"/>
                <w:sz w:val="22"/>
                <w:szCs w:val="20"/>
              </w:rPr>
              <w:t>7天24小</w:t>
            </w:r>
            <w:r>
              <w:rPr>
                <w:rFonts w:hint="eastAsia" w:ascii="宋体" w:hAnsi="宋体" w:eastAsia="Times New Roman" w:cs="微软雅黑"/>
                <w:kern w:val="0"/>
                <w:sz w:val="22"/>
                <w:szCs w:val="20"/>
              </w:rPr>
              <w:t>时制</w:t>
            </w:r>
          </w:p>
        </w:tc>
      </w:tr>
      <w:tr w14:paraId="49A8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Merge w:val="continue"/>
            <w:vAlign w:val="center"/>
          </w:tcPr>
          <w:p w14:paraId="0A4D553F">
            <w:pPr>
              <w:jc w:val="center"/>
              <w:rPr>
                <w:rFonts w:ascii="宋体" w:hAnsi="宋体" w:eastAsia="Times New Roman" w:cs="Times New Roman"/>
                <w:kern w:val="0"/>
                <w:sz w:val="22"/>
                <w:szCs w:val="20"/>
              </w:rPr>
            </w:pPr>
          </w:p>
        </w:tc>
        <w:tc>
          <w:tcPr>
            <w:tcW w:w="887" w:type="dxa"/>
            <w:vAlign w:val="center"/>
          </w:tcPr>
          <w:p w14:paraId="31D021AB">
            <w:pPr>
              <w:widowControl/>
              <w:jc w:val="center"/>
              <w:rPr>
                <w:rFonts w:ascii="宋体" w:hAnsi="宋体" w:eastAsia="Times New Roman" w:cs="宋体"/>
                <w:color w:val="000000"/>
                <w:kern w:val="0"/>
                <w:sz w:val="22"/>
                <w:szCs w:val="20"/>
              </w:rPr>
            </w:pPr>
            <w:r>
              <w:rPr>
                <w:rFonts w:hint="eastAsia" w:ascii="宋体" w:hAnsi="宋体" w:eastAsia="Times New Roman" w:cs="宋体"/>
                <w:color w:val="000000"/>
                <w:kern w:val="0"/>
                <w:sz w:val="22"/>
                <w:szCs w:val="20"/>
              </w:rPr>
              <w:t>2</w:t>
            </w:r>
          </w:p>
        </w:tc>
        <w:tc>
          <w:tcPr>
            <w:tcW w:w="1397" w:type="dxa"/>
            <w:vAlign w:val="center"/>
          </w:tcPr>
          <w:p w14:paraId="60B6784D">
            <w:pPr>
              <w:widowControl/>
              <w:jc w:val="center"/>
              <w:rPr>
                <w:rFonts w:ascii="宋体" w:hAnsi="宋体" w:eastAsia="Times New Roman" w:cs="Times New Roman"/>
                <w:kern w:val="0"/>
                <w:sz w:val="22"/>
                <w:szCs w:val="20"/>
              </w:rPr>
            </w:pPr>
            <w:r>
              <w:rPr>
                <w:rFonts w:hint="eastAsia" w:ascii="宋体" w:hAnsi="宋体" w:eastAsia="Times New Roman" w:cs="宋体"/>
                <w:color w:val="000000"/>
                <w:kern w:val="0"/>
                <w:sz w:val="22"/>
                <w:szCs w:val="20"/>
              </w:rPr>
              <w:t>叠加岗</w:t>
            </w:r>
          </w:p>
        </w:tc>
        <w:tc>
          <w:tcPr>
            <w:tcW w:w="5336" w:type="dxa"/>
            <w:vAlign w:val="center"/>
          </w:tcPr>
          <w:p w14:paraId="415EA8A7">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学校师生上下学时段、在原有1门2保安基础上，叠加2名保安，加强校园门口安全管理，</w:t>
            </w:r>
            <w:r>
              <w:rPr>
                <w:rFonts w:ascii="宋体" w:hAnsi="宋体" w:eastAsia="Times New Roman" w:cs="Times New Roman"/>
                <w:kern w:val="0"/>
                <w:sz w:val="22"/>
                <w:szCs w:val="20"/>
              </w:rPr>
              <w:t>须持有保安员证</w:t>
            </w:r>
          </w:p>
        </w:tc>
        <w:tc>
          <w:tcPr>
            <w:tcW w:w="1844" w:type="dxa"/>
            <w:vAlign w:val="center"/>
          </w:tcPr>
          <w:p w14:paraId="1D4F005A">
            <w:pPr>
              <w:widowControl/>
              <w:jc w:val="center"/>
              <w:rPr>
                <w:rFonts w:ascii="宋体" w:hAnsi="宋体" w:eastAsia="Times New Roman" w:cs="Times New Roman"/>
                <w:kern w:val="0"/>
                <w:sz w:val="22"/>
                <w:szCs w:val="20"/>
              </w:rPr>
            </w:pPr>
            <w:r>
              <w:rPr>
                <w:rFonts w:hint="eastAsia" w:ascii="宋体" w:hAnsi="宋体" w:eastAsia="Times New Roman" w:cs="宋体"/>
                <w:color w:val="000000"/>
                <w:kern w:val="0"/>
                <w:sz w:val="22"/>
                <w:szCs w:val="20"/>
              </w:rPr>
              <w:t>周一～周五</w:t>
            </w:r>
          </w:p>
          <w:p w14:paraId="25B1A36D">
            <w:pPr>
              <w:widowControl/>
              <w:jc w:val="center"/>
              <w:rPr>
                <w:rFonts w:ascii="宋体" w:hAnsi="宋体" w:eastAsia="Times New Roman" w:cs="宋体"/>
                <w:color w:val="000000"/>
                <w:kern w:val="0"/>
                <w:sz w:val="22"/>
                <w:szCs w:val="20"/>
              </w:rPr>
            </w:pPr>
            <w:r>
              <w:rPr>
                <w:rFonts w:hint="eastAsia" w:ascii="宋体" w:hAnsi="宋体" w:eastAsia="Times New Roman" w:cs="宋体"/>
                <w:color w:val="000000"/>
                <w:kern w:val="0"/>
                <w:sz w:val="22"/>
                <w:szCs w:val="20"/>
              </w:rPr>
              <w:t>7:00-8:00</w:t>
            </w:r>
          </w:p>
          <w:p w14:paraId="23A3B39F">
            <w:pPr>
              <w:widowControl/>
              <w:rPr>
                <w:rFonts w:ascii="宋体" w:hAnsi="宋体" w:eastAsia="Times New Roman" w:cs="Times New Roman"/>
                <w:kern w:val="0"/>
                <w:sz w:val="22"/>
                <w:szCs w:val="20"/>
              </w:rPr>
            </w:pPr>
            <w:r>
              <w:rPr>
                <w:rFonts w:hint="eastAsia" w:ascii="宋体" w:hAnsi="宋体" w:eastAsia="Times New Roman" w:cs="宋体"/>
                <w:color w:val="000000"/>
                <w:kern w:val="0"/>
                <w:sz w:val="22"/>
                <w:szCs w:val="20"/>
              </w:rPr>
              <w:t>16:00-17:00</w:t>
            </w:r>
          </w:p>
        </w:tc>
      </w:tr>
      <w:tr w14:paraId="0166A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7FE36390">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维修</w:t>
            </w:r>
            <w:r>
              <w:rPr>
                <w:rFonts w:ascii="宋体" w:hAnsi="宋体" w:eastAsia="Times New Roman" w:cs="Times New Roman"/>
                <w:kern w:val="0"/>
                <w:sz w:val="22"/>
                <w:szCs w:val="20"/>
              </w:rPr>
              <w:t>部</w:t>
            </w:r>
          </w:p>
        </w:tc>
        <w:tc>
          <w:tcPr>
            <w:tcW w:w="887" w:type="dxa"/>
            <w:vAlign w:val="center"/>
          </w:tcPr>
          <w:p w14:paraId="1FCFC1D0">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w:t>
            </w:r>
          </w:p>
        </w:tc>
        <w:tc>
          <w:tcPr>
            <w:tcW w:w="1397" w:type="dxa"/>
            <w:vAlign w:val="center"/>
          </w:tcPr>
          <w:p w14:paraId="0C0F4958">
            <w:pPr>
              <w:jc w:val="center"/>
              <w:rPr>
                <w:rFonts w:ascii="宋体" w:hAnsi="宋体" w:eastAsia="Times New Roman" w:cs="Times New Roman"/>
                <w:kern w:val="0"/>
                <w:sz w:val="22"/>
                <w:szCs w:val="20"/>
              </w:rPr>
            </w:pPr>
            <w:r>
              <w:rPr>
                <w:rFonts w:ascii="宋体" w:hAnsi="宋体" w:eastAsia="Times New Roman" w:cs="Times New Roman"/>
                <w:kern w:val="0"/>
                <w:sz w:val="22"/>
                <w:szCs w:val="20"/>
              </w:rPr>
              <w:t>维修工</w:t>
            </w:r>
          </w:p>
        </w:tc>
        <w:tc>
          <w:tcPr>
            <w:tcW w:w="5336" w:type="dxa"/>
            <w:vAlign w:val="center"/>
          </w:tcPr>
          <w:p w14:paraId="58D5A720">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全面负责校区内水、电的零星常规维修、须持有电工操作证</w:t>
            </w:r>
          </w:p>
        </w:tc>
        <w:tc>
          <w:tcPr>
            <w:tcW w:w="1844" w:type="dxa"/>
            <w:vAlign w:val="center"/>
          </w:tcPr>
          <w:p w14:paraId="5373C9AB">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周一～周五</w:t>
            </w:r>
          </w:p>
          <w:p w14:paraId="6143BFCF">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7:00—11:30、</w:t>
            </w:r>
          </w:p>
          <w:p w14:paraId="2F886E7C">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13:00-16:30</w:t>
            </w:r>
          </w:p>
        </w:tc>
      </w:tr>
      <w:tr w14:paraId="2ABF2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3" w:type="dxa"/>
            <w:vAlign w:val="center"/>
          </w:tcPr>
          <w:p w14:paraId="05F3B04F">
            <w:pPr>
              <w:jc w:val="center"/>
              <w:rPr>
                <w:rFonts w:ascii="宋体" w:hAnsi="宋体" w:eastAsia="Times New Roman" w:cs="Times New Roman"/>
                <w:kern w:val="0"/>
                <w:sz w:val="22"/>
                <w:szCs w:val="20"/>
              </w:rPr>
            </w:pPr>
            <w:bookmarkStart w:id="32" w:name="_Hlk193353492"/>
            <w:r>
              <w:rPr>
                <w:rFonts w:ascii="宋体" w:hAnsi="宋体" w:eastAsia="Times New Roman" w:cs="Times New Roman"/>
                <w:kern w:val="0"/>
                <w:sz w:val="22"/>
                <w:szCs w:val="20"/>
              </w:rPr>
              <w:t>后勤部</w:t>
            </w:r>
          </w:p>
        </w:tc>
        <w:tc>
          <w:tcPr>
            <w:tcW w:w="887" w:type="dxa"/>
            <w:vAlign w:val="center"/>
          </w:tcPr>
          <w:p w14:paraId="1238E35E">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w:t>
            </w:r>
          </w:p>
        </w:tc>
        <w:tc>
          <w:tcPr>
            <w:tcW w:w="1397" w:type="dxa"/>
            <w:vAlign w:val="center"/>
          </w:tcPr>
          <w:p w14:paraId="57F34C59">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事务</w:t>
            </w:r>
            <w:r>
              <w:rPr>
                <w:rFonts w:hint="eastAsia" w:ascii="宋体" w:hAnsi="宋体" w:eastAsia="Times New Roman" w:cs="Times New Roman"/>
                <w:kern w:val="0"/>
                <w:sz w:val="22"/>
                <w:szCs w:val="20"/>
              </w:rPr>
              <w:t>员</w:t>
            </w:r>
            <w:r>
              <w:rPr>
                <w:rFonts w:ascii="宋体" w:hAnsi="宋体" w:eastAsia="Times New Roman" w:cs="Times New Roman"/>
                <w:kern w:val="0"/>
                <w:sz w:val="22"/>
                <w:szCs w:val="20"/>
              </w:rPr>
              <w:t>岗</w:t>
            </w:r>
          </w:p>
        </w:tc>
        <w:tc>
          <w:tcPr>
            <w:tcW w:w="5336" w:type="dxa"/>
            <w:vAlign w:val="center"/>
          </w:tcPr>
          <w:p w14:paraId="46389042">
            <w:pPr>
              <w:jc w:val="center"/>
              <w:rPr>
                <w:rFonts w:ascii="宋体" w:hAnsi="宋体" w:eastAsia="Times New Roman" w:cs="Times New Roman"/>
                <w:kern w:val="0"/>
                <w:sz w:val="22"/>
                <w:szCs w:val="20"/>
              </w:rPr>
            </w:pPr>
            <w:r>
              <w:rPr>
                <w:rFonts w:ascii="宋体" w:hAnsi="宋体" w:eastAsia="Times New Roman" w:cs="Times New Roman"/>
                <w:kern w:val="0"/>
                <w:sz w:val="22"/>
                <w:szCs w:val="20"/>
              </w:rPr>
              <w:t>配合学校做好相关的后勤管理工作、</w:t>
            </w:r>
            <w:r>
              <w:rPr>
                <w:rFonts w:hint="eastAsia" w:ascii="宋体" w:hAnsi="宋体" w:eastAsia="Times New Roman" w:cs="Times New Roman"/>
                <w:kern w:val="0"/>
                <w:sz w:val="22"/>
                <w:szCs w:val="20"/>
              </w:rPr>
              <w:t>运送资料，做好各项出车任务</w:t>
            </w:r>
          </w:p>
        </w:tc>
        <w:tc>
          <w:tcPr>
            <w:tcW w:w="1844" w:type="dxa"/>
            <w:vAlign w:val="center"/>
          </w:tcPr>
          <w:p w14:paraId="59B1D1B2">
            <w:pPr>
              <w:widowControl/>
              <w:jc w:val="center"/>
              <w:rPr>
                <w:rFonts w:ascii="宋体" w:hAnsi="宋体" w:eastAsia="宋体" w:cs="Times New Roman"/>
                <w:kern w:val="0"/>
                <w:sz w:val="20"/>
                <w:szCs w:val="21"/>
              </w:rPr>
            </w:pPr>
            <w:r>
              <w:rPr>
                <w:rFonts w:hint="eastAsia" w:ascii="宋体" w:hAnsi="宋体" w:eastAsia="宋体" w:cs="宋体"/>
                <w:color w:val="000000"/>
                <w:kern w:val="0"/>
                <w:sz w:val="20"/>
                <w:szCs w:val="21"/>
              </w:rPr>
              <w:t>周一～周五</w:t>
            </w:r>
          </w:p>
          <w:p w14:paraId="6AA963FC">
            <w:pPr>
              <w:widowControl/>
              <w:jc w:val="center"/>
              <w:rPr>
                <w:rFonts w:ascii="宋体" w:hAnsi="宋体" w:eastAsia="Times New Roman" w:cs="Times New Roman"/>
                <w:color w:val="000000"/>
                <w:kern w:val="0"/>
                <w:sz w:val="22"/>
                <w:szCs w:val="20"/>
              </w:rPr>
            </w:pPr>
            <w:r>
              <w:rPr>
                <w:rFonts w:ascii="宋体" w:hAnsi="宋体" w:eastAsia="宋体" w:cs="Times New Roman"/>
                <w:color w:val="000000"/>
                <w:kern w:val="0"/>
                <w:sz w:val="20"/>
                <w:szCs w:val="21"/>
              </w:rPr>
              <w:t>7:</w:t>
            </w:r>
            <w:r>
              <w:rPr>
                <w:rFonts w:hint="eastAsia" w:ascii="宋体" w:hAnsi="宋体" w:eastAsia="宋体" w:cs="Times New Roman"/>
                <w:color w:val="000000"/>
                <w:kern w:val="0"/>
                <w:sz w:val="20"/>
                <w:szCs w:val="21"/>
              </w:rPr>
              <w:t>30</w:t>
            </w:r>
            <w:r>
              <w:rPr>
                <w:rFonts w:ascii="宋体" w:hAnsi="宋体" w:eastAsia="宋体" w:cs="Times New Roman"/>
                <w:color w:val="000000"/>
                <w:kern w:val="0"/>
                <w:sz w:val="20"/>
                <w:szCs w:val="21"/>
              </w:rPr>
              <w:t>-16:30</w:t>
            </w:r>
          </w:p>
        </w:tc>
      </w:tr>
      <w:bookmarkEnd w:id="32"/>
    </w:tbl>
    <w:p w14:paraId="405EFE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00" w:lineRule="auto"/>
        <w:jc w:val="left"/>
        <w:rPr>
          <w:rFonts w:ascii="Times New Roman" w:hAnsi="Times New Roman" w:eastAsia="宋体" w:cs="Times New Roman"/>
          <w:b/>
          <w:sz w:val="22"/>
        </w:rPr>
      </w:pPr>
      <w:r>
        <w:rPr>
          <w:rFonts w:hint="eastAsia" w:ascii="Times New Roman" w:hAnsi="Times New Roman" w:eastAsia="宋体" w:cs="Times New Roman"/>
          <w:b/>
          <w:sz w:val="22"/>
        </w:rPr>
        <w:t>浦东大道校区：</w:t>
      </w:r>
    </w:p>
    <w:tbl>
      <w:tblPr>
        <w:tblStyle w:val="50"/>
        <w:tblW w:w="106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7"/>
        <w:gridCol w:w="1022"/>
        <w:gridCol w:w="1276"/>
        <w:gridCol w:w="5547"/>
        <w:gridCol w:w="1693"/>
      </w:tblGrid>
      <w:tr w14:paraId="19CA1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137" w:type="dxa"/>
            <w:vAlign w:val="center"/>
          </w:tcPr>
          <w:p w14:paraId="04C881AF">
            <w:pPr>
              <w:jc w:val="center"/>
              <w:rPr>
                <w:rFonts w:ascii="宋体" w:hAnsi="宋体" w:eastAsia="Times New Roman" w:cs="Times New Roman"/>
                <w:kern w:val="0"/>
                <w:sz w:val="22"/>
                <w:szCs w:val="20"/>
              </w:rPr>
            </w:pPr>
            <w:bookmarkStart w:id="33" w:name="_Hlk193354531"/>
            <w:r>
              <w:rPr>
                <w:rFonts w:ascii="宋体" w:hAnsi="宋体" w:eastAsia="Times New Roman" w:cs="Times New Roman"/>
                <w:kern w:val="0"/>
                <w:sz w:val="22"/>
                <w:szCs w:val="20"/>
              </w:rPr>
              <w:t>部门</w:t>
            </w:r>
          </w:p>
        </w:tc>
        <w:tc>
          <w:tcPr>
            <w:tcW w:w="1022" w:type="dxa"/>
            <w:vAlign w:val="center"/>
          </w:tcPr>
          <w:p w14:paraId="2D16C5BD">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岗位数</w:t>
            </w:r>
          </w:p>
        </w:tc>
        <w:tc>
          <w:tcPr>
            <w:tcW w:w="1276" w:type="dxa"/>
            <w:vAlign w:val="center"/>
          </w:tcPr>
          <w:p w14:paraId="692B0D7D">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岗位</w:t>
            </w:r>
          </w:p>
        </w:tc>
        <w:tc>
          <w:tcPr>
            <w:tcW w:w="5547" w:type="dxa"/>
            <w:vAlign w:val="center"/>
          </w:tcPr>
          <w:p w14:paraId="53883B9E">
            <w:pPr>
              <w:jc w:val="center"/>
              <w:rPr>
                <w:rFonts w:ascii="宋体" w:hAnsi="宋体" w:eastAsia="Times New Roman" w:cs="Times New Roman"/>
                <w:kern w:val="0"/>
                <w:sz w:val="22"/>
                <w:szCs w:val="20"/>
              </w:rPr>
            </w:pPr>
            <w:r>
              <w:rPr>
                <w:rFonts w:ascii="宋体" w:hAnsi="宋体" w:eastAsia="Times New Roman" w:cs="Times New Roman"/>
                <w:kern w:val="0"/>
                <w:sz w:val="22"/>
                <w:szCs w:val="20"/>
              </w:rPr>
              <w:t>职责范围</w:t>
            </w:r>
          </w:p>
        </w:tc>
        <w:tc>
          <w:tcPr>
            <w:tcW w:w="1693" w:type="dxa"/>
            <w:vAlign w:val="center"/>
          </w:tcPr>
          <w:p w14:paraId="05C4FC6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服务时间</w:t>
            </w:r>
          </w:p>
        </w:tc>
      </w:tr>
      <w:bookmarkEnd w:id="33"/>
      <w:tr w14:paraId="1854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restart"/>
            <w:vAlign w:val="center"/>
          </w:tcPr>
          <w:p w14:paraId="1292A4D1">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保洁部</w:t>
            </w:r>
          </w:p>
        </w:tc>
        <w:tc>
          <w:tcPr>
            <w:tcW w:w="1022" w:type="dxa"/>
            <w:vMerge w:val="restart"/>
            <w:vAlign w:val="center"/>
          </w:tcPr>
          <w:p w14:paraId="0F28DCFB">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5</w:t>
            </w:r>
          </w:p>
        </w:tc>
        <w:tc>
          <w:tcPr>
            <w:tcW w:w="1276" w:type="dxa"/>
            <w:vAlign w:val="center"/>
          </w:tcPr>
          <w:p w14:paraId="35AC9A4B">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保洁工岗1</w:t>
            </w:r>
          </w:p>
        </w:tc>
        <w:tc>
          <w:tcPr>
            <w:tcW w:w="5547" w:type="dxa"/>
            <w:vAlign w:val="center"/>
          </w:tcPr>
          <w:p w14:paraId="3F3406DE">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行政楼</w:t>
            </w:r>
            <w:r>
              <w:rPr>
                <w:rFonts w:ascii="宋体" w:hAnsi="宋体" w:eastAsia="Times New Roman" w:cs="Times New Roman"/>
                <w:kern w:val="0"/>
                <w:sz w:val="22"/>
                <w:szCs w:val="20"/>
              </w:rPr>
              <w:t>的保洁工作</w:t>
            </w:r>
          </w:p>
        </w:tc>
        <w:tc>
          <w:tcPr>
            <w:tcW w:w="1693" w:type="dxa"/>
            <w:vMerge w:val="restart"/>
            <w:vAlign w:val="center"/>
          </w:tcPr>
          <w:p w14:paraId="11EBCAD7">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周一～周五</w:t>
            </w:r>
          </w:p>
          <w:p w14:paraId="5C26040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7:</w:t>
            </w:r>
            <w:r>
              <w:rPr>
                <w:rFonts w:hint="eastAsia" w:ascii="宋体" w:hAnsi="宋体" w:eastAsia="Times New Roman" w:cs="Times New Roman"/>
                <w:kern w:val="0"/>
                <w:sz w:val="22"/>
                <w:szCs w:val="20"/>
              </w:rPr>
              <w:t>0</w:t>
            </w:r>
            <w:r>
              <w:rPr>
                <w:rFonts w:ascii="宋体" w:hAnsi="宋体" w:eastAsia="Times New Roman" w:cs="Times New Roman"/>
                <w:kern w:val="0"/>
                <w:sz w:val="22"/>
                <w:szCs w:val="20"/>
              </w:rPr>
              <w:t>0—1</w:t>
            </w:r>
            <w:r>
              <w:rPr>
                <w:rFonts w:hint="eastAsia" w:ascii="宋体" w:hAnsi="宋体" w:eastAsia="Times New Roman" w:cs="Times New Roman"/>
                <w:kern w:val="0"/>
                <w:sz w:val="22"/>
                <w:szCs w:val="20"/>
              </w:rPr>
              <w:t>1</w:t>
            </w:r>
            <w:r>
              <w:rPr>
                <w:rFonts w:ascii="宋体" w:hAnsi="宋体" w:eastAsia="Times New Roman" w:cs="Times New Roman"/>
                <w:kern w:val="0"/>
                <w:sz w:val="22"/>
                <w:szCs w:val="20"/>
              </w:rPr>
              <w:t>:30</w:t>
            </w:r>
            <w:r>
              <w:rPr>
                <w:rFonts w:hint="eastAsia" w:ascii="宋体" w:hAnsi="宋体" w:eastAsia="Times New Roman" w:cs="Times New Roman"/>
                <w:kern w:val="0"/>
                <w:sz w:val="22"/>
                <w:szCs w:val="20"/>
              </w:rPr>
              <w:t>、</w:t>
            </w:r>
          </w:p>
          <w:p w14:paraId="5CF439FF">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13:00</w:t>
            </w:r>
            <w:r>
              <w:rPr>
                <w:rFonts w:ascii="宋体" w:hAnsi="宋体" w:eastAsia="Times New Roman" w:cs="Times New Roman"/>
                <w:kern w:val="0"/>
                <w:sz w:val="22"/>
                <w:szCs w:val="20"/>
              </w:rPr>
              <w:t>-16:30</w:t>
            </w:r>
          </w:p>
        </w:tc>
      </w:tr>
      <w:tr w14:paraId="16728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continue"/>
            <w:vAlign w:val="center"/>
          </w:tcPr>
          <w:p w14:paraId="0865CFE8">
            <w:pPr>
              <w:jc w:val="center"/>
              <w:rPr>
                <w:rFonts w:ascii="宋体" w:hAnsi="宋体" w:eastAsia="Times New Roman" w:cs="Times New Roman"/>
                <w:kern w:val="0"/>
                <w:sz w:val="22"/>
                <w:szCs w:val="20"/>
              </w:rPr>
            </w:pPr>
          </w:p>
        </w:tc>
        <w:tc>
          <w:tcPr>
            <w:tcW w:w="1022" w:type="dxa"/>
            <w:vMerge w:val="continue"/>
            <w:vAlign w:val="center"/>
          </w:tcPr>
          <w:p w14:paraId="03EA65AD">
            <w:pPr>
              <w:jc w:val="center"/>
              <w:rPr>
                <w:rFonts w:ascii="宋体" w:hAnsi="宋体" w:eastAsia="Times New Roman" w:cs="Times New Roman"/>
                <w:kern w:val="0"/>
                <w:sz w:val="22"/>
                <w:szCs w:val="20"/>
              </w:rPr>
            </w:pPr>
          </w:p>
        </w:tc>
        <w:tc>
          <w:tcPr>
            <w:tcW w:w="1276" w:type="dxa"/>
            <w:vAlign w:val="center"/>
          </w:tcPr>
          <w:p w14:paraId="423EDB55">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保洁工岗2</w:t>
            </w:r>
          </w:p>
        </w:tc>
        <w:tc>
          <w:tcPr>
            <w:tcW w:w="5547" w:type="dxa"/>
            <w:vAlign w:val="center"/>
          </w:tcPr>
          <w:p w14:paraId="42D57753">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教学楼</w:t>
            </w:r>
            <w:r>
              <w:rPr>
                <w:rFonts w:ascii="宋体" w:hAnsi="宋体" w:eastAsia="Times New Roman" w:cs="Times New Roman"/>
                <w:kern w:val="0"/>
                <w:sz w:val="22"/>
                <w:szCs w:val="20"/>
              </w:rPr>
              <w:t>的保洁工作</w:t>
            </w:r>
          </w:p>
        </w:tc>
        <w:tc>
          <w:tcPr>
            <w:tcW w:w="1693" w:type="dxa"/>
            <w:vMerge w:val="continue"/>
            <w:vAlign w:val="center"/>
          </w:tcPr>
          <w:p w14:paraId="1A6BBF44">
            <w:pPr>
              <w:jc w:val="center"/>
              <w:rPr>
                <w:rFonts w:ascii="宋体" w:hAnsi="宋体" w:eastAsia="Times New Roman" w:cs="Times New Roman"/>
                <w:kern w:val="0"/>
                <w:sz w:val="22"/>
                <w:szCs w:val="20"/>
              </w:rPr>
            </w:pPr>
          </w:p>
        </w:tc>
      </w:tr>
      <w:tr w14:paraId="381FF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continue"/>
            <w:vAlign w:val="center"/>
          </w:tcPr>
          <w:p w14:paraId="055652AC">
            <w:pPr>
              <w:jc w:val="center"/>
              <w:rPr>
                <w:rFonts w:ascii="宋体" w:hAnsi="宋体" w:eastAsia="Times New Roman" w:cs="Times New Roman"/>
                <w:kern w:val="0"/>
                <w:sz w:val="22"/>
                <w:szCs w:val="20"/>
              </w:rPr>
            </w:pPr>
          </w:p>
        </w:tc>
        <w:tc>
          <w:tcPr>
            <w:tcW w:w="1022" w:type="dxa"/>
            <w:vMerge w:val="continue"/>
            <w:vAlign w:val="center"/>
          </w:tcPr>
          <w:p w14:paraId="5EEA1C21">
            <w:pPr>
              <w:jc w:val="center"/>
              <w:rPr>
                <w:rFonts w:ascii="宋体" w:hAnsi="宋体" w:eastAsia="Times New Roman" w:cs="Times New Roman"/>
                <w:kern w:val="0"/>
                <w:sz w:val="22"/>
                <w:szCs w:val="20"/>
              </w:rPr>
            </w:pPr>
          </w:p>
        </w:tc>
        <w:tc>
          <w:tcPr>
            <w:tcW w:w="1276" w:type="dxa"/>
            <w:vAlign w:val="center"/>
          </w:tcPr>
          <w:p w14:paraId="4C2FFC1D">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w:t>
            </w:r>
            <w:r>
              <w:rPr>
                <w:rFonts w:hint="eastAsia" w:ascii="宋体" w:hAnsi="宋体" w:eastAsia="Times New Roman" w:cs="Times New Roman"/>
                <w:kern w:val="0"/>
                <w:sz w:val="22"/>
                <w:szCs w:val="20"/>
              </w:rPr>
              <w:t>3</w:t>
            </w:r>
          </w:p>
        </w:tc>
        <w:tc>
          <w:tcPr>
            <w:tcW w:w="5547" w:type="dxa"/>
            <w:vAlign w:val="center"/>
          </w:tcPr>
          <w:p w14:paraId="4E248EAB">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食堂过道、辅助用房、门卫室</w:t>
            </w:r>
            <w:r>
              <w:rPr>
                <w:rFonts w:ascii="宋体" w:hAnsi="宋体" w:eastAsia="Times New Roman" w:cs="Times New Roman"/>
                <w:kern w:val="0"/>
                <w:sz w:val="22"/>
                <w:szCs w:val="20"/>
              </w:rPr>
              <w:t>的保洁工作</w:t>
            </w:r>
          </w:p>
        </w:tc>
        <w:tc>
          <w:tcPr>
            <w:tcW w:w="1693" w:type="dxa"/>
            <w:vMerge w:val="continue"/>
            <w:vAlign w:val="center"/>
          </w:tcPr>
          <w:p w14:paraId="0ED99437">
            <w:pPr>
              <w:jc w:val="center"/>
              <w:rPr>
                <w:rFonts w:ascii="宋体" w:hAnsi="宋体" w:eastAsia="Times New Roman" w:cs="Times New Roman"/>
                <w:kern w:val="0"/>
                <w:sz w:val="22"/>
                <w:szCs w:val="20"/>
              </w:rPr>
            </w:pPr>
          </w:p>
        </w:tc>
      </w:tr>
      <w:tr w14:paraId="50CD0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continue"/>
            <w:vAlign w:val="center"/>
          </w:tcPr>
          <w:p w14:paraId="1D8BEDA6">
            <w:pPr>
              <w:jc w:val="center"/>
              <w:rPr>
                <w:rFonts w:ascii="宋体" w:hAnsi="宋体" w:eastAsia="Times New Roman" w:cs="Times New Roman"/>
                <w:kern w:val="0"/>
                <w:sz w:val="22"/>
                <w:szCs w:val="20"/>
              </w:rPr>
            </w:pPr>
          </w:p>
        </w:tc>
        <w:tc>
          <w:tcPr>
            <w:tcW w:w="1022" w:type="dxa"/>
            <w:vMerge w:val="continue"/>
            <w:vAlign w:val="center"/>
          </w:tcPr>
          <w:p w14:paraId="33AB8153">
            <w:pPr>
              <w:jc w:val="center"/>
              <w:rPr>
                <w:rFonts w:ascii="宋体" w:hAnsi="宋体" w:eastAsia="Times New Roman" w:cs="Times New Roman"/>
                <w:kern w:val="0"/>
                <w:sz w:val="22"/>
                <w:szCs w:val="20"/>
              </w:rPr>
            </w:pPr>
          </w:p>
        </w:tc>
        <w:tc>
          <w:tcPr>
            <w:tcW w:w="1276" w:type="dxa"/>
            <w:vAlign w:val="center"/>
          </w:tcPr>
          <w:p w14:paraId="569F7DF6">
            <w:pPr>
              <w:jc w:val="center"/>
              <w:rPr>
                <w:rFonts w:ascii="宋体" w:hAnsi="宋体" w:eastAsia="Times New Roman" w:cs="Times New Roman"/>
                <w:kern w:val="0"/>
                <w:sz w:val="22"/>
                <w:szCs w:val="20"/>
              </w:rPr>
            </w:pPr>
            <w:r>
              <w:rPr>
                <w:rFonts w:ascii="宋体" w:hAnsi="宋体" w:eastAsia="Times New Roman" w:cs="Times New Roman"/>
                <w:kern w:val="0"/>
                <w:sz w:val="22"/>
                <w:szCs w:val="20"/>
              </w:rPr>
              <w:t>保洁工岗</w:t>
            </w:r>
            <w:r>
              <w:rPr>
                <w:rFonts w:hint="eastAsia" w:ascii="宋体" w:hAnsi="宋体" w:eastAsia="Times New Roman" w:cs="Times New Roman"/>
                <w:kern w:val="0"/>
                <w:sz w:val="22"/>
                <w:szCs w:val="20"/>
              </w:rPr>
              <w:t>4</w:t>
            </w:r>
          </w:p>
        </w:tc>
        <w:tc>
          <w:tcPr>
            <w:tcW w:w="5547" w:type="dxa"/>
            <w:vAlign w:val="center"/>
          </w:tcPr>
          <w:p w14:paraId="595C4A23">
            <w:pPr>
              <w:jc w:val="center"/>
              <w:rPr>
                <w:rFonts w:ascii="宋体" w:hAnsi="宋体" w:eastAsia="Times New Roman" w:cs="Times New Roman"/>
                <w:kern w:val="0"/>
                <w:sz w:val="22"/>
                <w:szCs w:val="20"/>
              </w:rPr>
            </w:pPr>
            <w:r>
              <w:rPr>
                <w:rFonts w:ascii="宋体" w:hAnsi="宋体" w:eastAsia="Times New Roman" w:cs="Times New Roman"/>
                <w:kern w:val="0"/>
                <w:sz w:val="22"/>
                <w:szCs w:val="20"/>
              </w:rPr>
              <w:t>负责全校</w:t>
            </w:r>
            <w:r>
              <w:rPr>
                <w:rFonts w:hint="eastAsia" w:ascii="宋体" w:hAnsi="宋体" w:eastAsia="Times New Roman" w:cs="Times New Roman"/>
                <w:kern w:val="0"/>
                <w:sz w:val="22"/>
                <w:szCs w:val="20"/>
              </w:rPr>
              <w:t>公共区域、操场保洁工作，</w:t>
            </w:r>
            <w:r>
              <w:rPr>
                <w:rFonts w:ascii="宋体" w:hAnsi="宋体" w:eastAsia="Times New Roman" w:cs="Times New Roman"/>
                <w:kern w:val="0"/>
                <w:sz w:val="22"/>
                <w:szCs w:val="20"/>
              </w:rPr>
              <w:t>绿化区的花木浇水</w:t>
            </w:r>
          </w:p>
        </w:tc>
        <w:tc>
          <w:tcPr>
            <w:tcW w:w="1693" w:type="dxa"/>
            <w:vMerge w:val="continue"/>
            <w:vAlign w:val="center"/>
          </w:tcPr>
          <w:p w14:paraId="428EF2A0">
            <w:pPr>
              <w:jc w:val="center"/>
              <w:rPr>
                <w:rFonts w:ascii="宋体" w:hAnsi="宋体" w:eastAsia="Times New Roman" w:cs="Times New Roman"/>
                <w:kern w:val="0"/>
                <w:sz w:val="22"/>
                <w:szCs w:val="20"/>
              </w:rPr>
            </w:pPr>
          </w:p>
        </w:tc>
      </w:tr>
      <w:tr w14:paraId="7F91B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continue"/>
            <w:vAlign w:val="center"/>
          </w:tcPr>
          <w:p w14:paraId="767C98A7">
            <w:pPr>
              <w:jc w:val="center"/>
              <w:rPr>
                <w:rFonts w:ascii="宋体" w:hAnsi="宋体" w:eastAsia="Times New Roman" w:cs="Times New Roman"/>
                <w:kern w:val="0"/>
                <w:sz w:val="22"/>
                <w:szCs w:val="20"/>
              </w:rPr>
            </w:pPr>
          </w:p>
        </w:tc>
        <w:tc>
          <w:tcPr>
            <w:tcW w:w="1022" w:type="dxa"/>
            <w:vMerge w:val="continue"/>
            <w:vAlign w:val="center"/>
          </w:tcPr>
          <w:p w14:paraId="0E201922">
            <w:pPr>
              <w:jc w:val="center"/>
              <w:rPr>
                <w:rFonts w:ascii="宋体" w:hAnsi="宋体" w:eastAsia="Times New Roman" w:cs="Times New Roman"/>
                <w:kern w:val="0"/>
                <w:sz w:val="22"/>
                <w:szCs w:val="20"/>
              </w:rPr>
            </w:pPr>
          </w:p>
        </w:tc>
        <w:tc>
          <w:tcPr>
            <w:tcW w:w="1276" w:type="dxa"/>
            <w:vAlign w:val="center"/>
          </w:tcPr>
          <w:p w14:paraId="2067E93F">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保洁工岗5</w:t>
            </w:r>
          </w:p>
        </w:tc>
        <w:tc>
          <w:tcPr>
            <w:tcW w:w="5547" w:type="dxa"/>
            <w:vAlign w:val="center"/>
          </w:tcPr>
          <w:p w14:paraId="039EC484">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w:t>
            </w:r>
            <w:r>
              <w:rPr>
                <w:rFonts w:hint="eastAsia" w:ascii="宋体" w:hAnsi="宋体" w:eastAsia="Times New Roman" w:cs="Times New Roman"/>
                <w:kern w:val="0"/>
                <w:sz w:val="22"/>
                <w:szCs w:val="20"/>
              </w:rPr>
              <w:t>教学楼</w:t>
            </w:r>
            <w:r>
              <w:rPr>
                <w:rFonts w:ascii="宋体" w:hAnsi="宋体" w:eastAsia="Times New Roman" w:cs="Times New Roman"/>
                <w:kern w:val="0"/>
                <w:sz w:val="22"/>
                <w:szCs w:val="20"/>
              </w:rPr>
              <w:t>的保洁工作</w:t>
            </w:r>
          </w:p>
        </w:tc>
        <w:tc>
          <w:tcPr>
            <w:tcW w:w="1693" w:type="dxa"/>
            <w:vMerge w:val="continue"/>
            <w:vAlign w:val="center"/>
          </w:tcPr>
          <w:p w14:paraId="02289FB9">
            <w:pPr>
              <w:jc w:val="center"/>
              <w:rPr>
                <w:rFonts w:ascii="宋体" w:hAnsi="宋体" w:eastAsia="Times New Roman" w:cs="Times New Roman"/>
                <w:kern w:val="0"/>
                <w:sz w:val="22"/>
                <w:szCs w:val="20"/>
              </w:rPr>
            </w:pPr>
          </w:p>
        </w:tc>
      </w:tr>
      <w:tr w14:paraId="54CF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restart"/>
            <w:vAlign w:val="center"/>
          </w:tcPr>
          <w:p w14:paraId="17A02521">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保安</w:t>
            </w:r>
            <w:r>
              <w:rPr>
                <w:rFonts w:ascii="宋体" w:hAnsi="宋体" w:eastAsia="Times New Roman" w:cs="Times New Roman"/>
                <w:kern w:val="0"/>
                <w:sz w:val="22"/>
                <w:szCs w:val="20"/>
              </w:rPr>
              <w:t>部</w:t>
            </w:r>
          </w:p>
        </w:tc>
        <w:tc>
          <w:tcPr>
            <w:tcW w:w="1022" w:type="dxa"/>
            <w:vAlign w:val="center"/>
          </w:tcPr>
          <w:p w14:paraId="14EDF463">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w:t>
            </w:r>
          </w:p>
        </w:tc>
        <w:tc>
          <w:tcPr>
            <w:tcW w:w="1276" w:type="dxa"/>
            <w:vAlign w:val="center"/>
          </w:tcPr>
          <w:p w14:paraId="372C428E">
            <w:pPr>
              <w:jc w:val="center"/>
              <w:rPr>
                <w:rFonts w:ascii="宋体" w:hAnsi="宋体" w:eastAsia="Times New Roman" w:cs="Times New Roman"/>
                <w:kern w:val="0"/>
                <w:sz w:val="22"/>
                <w:szCs w:val="20"/>
              </w:rPr>
            </w:pPr>
            <w:r>
              <w:rPr>
                <w:rFonts w:ascii="宋体" w:hAnsi="宋体" w:eastAsia="Times New Roman" w:cs="Times New Roman"/>
                <w:kern w:val="0"/>
                <w:sz w:val="22"/>
                <w:szCs w:val="20"/>
              </w:rPr>
              <w:t>门岗</w:t>
            </w:r>
          </w:p>
        </w:tc>
        <w:tc>
          <w:tcPr>
            <w:tcW w:w="5547" w:type="dxa"/>
            <w:vAlign w:val="center"/>
          </w:tcPr>
          <w:p w14:paraId="20CBA08F">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全面负责学校</w:t>
            </w:r>
            <w:r>
              <w:rPr>
                <w:rFonts w:hint="eastAsia" w:ascii="宋体" w:hAnsi="宋体" w:eastAsia="Times New Roman" w:cs="Times New Roman"/>
                <w:kern w:val="0"/>
                <w:sz w:val="22"/>
                <w:szCs w:val="20"/>
              </w:rPr>
              <w:t>园</w:t>
            </w:r>
            <w:r>
              <w:rPr>
                <w:rFonts w:ascii="宋体" w:hAnsi="宋体" w:eastAsia="Times New Roman" w:cs="Times New Roman"/>
                <w:kern w:val="0"/>
                <w:sz w:val="22"/>
                <w:szCs w:val="20"/>
              </w:rPr>
              <w:t>的安全防范，接待外来访客、</w:t>
            </w:r>
            <w:r>
              <w:rPr>
                <w:rFonts w:hint="eastAsia" w:ascii="宋体" w:hAnsi="宋体" w:eastAsia="Times New Roman" w:cs="Times New Roman"/>
                <w:kern w:val="0"/>
                <w:sz w:val="22"/>
                <w:szCs w:val="20"/>
              </w:rPr>
              <w:t>定时对校区开展巡逻工作，及时消除安全隐患。</w:t>
            </w:r>
            <w:r>
              <w:rPr>
                <w:rFonts w:ascii="宋体" w:hAnsi="宋体" w:eastAsia="Times New Roman" w:cs="Times New Roman"/>
                <w:kern w:val="0"/>
                <w:sz w:val="22"/>
                <w:szCs w:val="20"/>
              </w:rPr>
              <w:t>须持有保安员证</w:t>
            </w:r>
          </w:p>
        </w:tc>
        <w:tc>
          <w:tcPr>
            <w:tcW w:w="1693" w:type="dxa"/>
            <w:vAlign w:val="center"/>
          </w:tcPr>
          <w:p w14:paraId="7C0B790F">
            <w:pPr>
              <w:rPr>
                <w:rFonts w:ascii="宋体" w:hAnsi="宋体" w:eastAsia="Times New Roman" w:cs="Times New Roman"/>
                <w:kern w:val="0"/>
                <w:sz w:val="22"/>
                <w:szCs w:val="20"/>
              </w:rPr>
            </w:pPr>
            <w:r>
              <w:rPr>
                <w:rFonts w:ascii="宋体" w:hAnsi="宋体" w:eastAsia="Times New Roman" w:cs="Times New Roman"/>
                <w:kern w:val="0"/>
                <w:sz w:val="22"/>
                <w:szCs w:val="20"/>
              </w:rPr>
              <w:t>7天24小</w:t>
            </w:r>
            <w:r>
              <w:rPr>
                <w:rFonts w:hint="eastAsia" w:ascii="宋体" w:hAnsi="宋体" w:eastAsia="Times New Roman" w:cs="微软雅黑"/>
                <w:kern w:val="0"/>
                <w:sz w:val="22"/>
                <w:szCs w:val="20"/>
              </w:rPr>
              <w:t>时制</w:t>
            </w:r>
          </w:p>
        </w:tc>
      </w:tr>
      <w:tr w14:paraId="4811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Merge w:val="continue"/>
            <w:vAlign w:val="center"/>
          </w:tcPr>
          <w:p w14:paraId="45AC9302">
            <w:pPr>
              <w:jc w:val="center"/>
              <w:rPr>
                <w:rFonts w:ascii="宋体" w:hAnsi="宋体" w:eastAsia="Times New Roman" w:cs="Times New Roman"/>
                <w:kern w:val="0"/>
                <w:sz w:val="22"/>
                <w:szCs w:val="20"/>
              </w:rPr>
            </w:pPr>
          </w:p>
        </w:tc>
        <w:tc>
          <w:tcPr>
            <w:tcW w:w="1022" w:type="dxa"/>
            <w:vAlign w:val="center"/>
          </w:tcPr>
          <w:p w14:paraId="02285BEE">
            <w:pPr>
              <w:widowControl/>
              <w:jc w:val="center"/>
              <w:rPr>
                <w:rFonts w:ascii="宋体" w:hAnsi="宋体" w:eastAsia="Times New Roman" w:cs="宋体"/>
                <w:color w:val="000000"/>
                <w:kern w:val="0"/>
                <w:sz w:val="22"/>
                <w:szCs w:val="20"/>
              </w:rPr>
            </w:pPr>
            <w:r>
              <w:rPr>
                <w:rFonts w:hint="eastAsia" w:ascii="宋体" w:hAnsi="宋体" w:eastAsia="Times New Roman" w:cs="宋体"/>
                <w:color w:val="000000"/>
                <w:kern w:val="0"/>
                <w:sz w:val="22"/>
                <w:szCs w:val="20"/>
              </w:rPr>
              <w:t>1</w:t>
            </w:r>
          </w:p>
        </w:tc>
        <w:tc>
          <w:tcPr>
            <w:tcW w:w="1276" w:type="dxa"/>
            <w:vAlign w:val="center"/>
          </w:tcPr>
          <w:p w14:paraId="083DC66C">
            <w:pPr>
              <w:widowControl/>
              <w:jc w:val="center"/>
              <w:rPr>
                <w:rFonts w:ascii="宋体" w:hAnsi="宋体" w:eastAsia="Times New Roman" w:cs="Times New Roman"/>
                <w:kern w:val="0"/>
                <w:sz w:val="22"/>
                <w:szCs w:val="20"/>
              </w:rPr>
            </w:pPr>
            <w:r>
              <w:rPr>
                <w:rFonts w:hint="eastAsia" w:ascii="宋体" w:hAnsi="宋体" w:eastAsia="Times New Roman" w:cs="宋体"/>
                <w:color w:val="000000"/>
                <w:kern w:val="0"/>
                <w:sz w:val="22"/>
                <w:szCs w:val="20"/>
              </w:rPr>
              <w:t>巡逻岗</w:t>
            </w:r>
          </w:p>
        </w:tc>
        <w:tc>
          <w:tcPr>
            <w:tcW w:w="5547" w:type="dxa"/>
            <w:vAlign w:val="center"/>
          </w:tcPr>
          <w:p w14:paraId="09109DF3">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全面负责学生在校期间日常巡逻、接待、守卫的保卫工作，</w:t>
            </w:r>
            <w:r>
              <w:rPr>
                <w:rFonts w:ascii="宋体" w:hAnsi="宋体" w:eastAsia="Times New Roman" w:cs="Times New Roman"/>
                <w:kern w:val="0"/>
                <w:sz w:val="22"/>
                <w:szCs w:val="20"/>
              </w:rPr>
              <w:t>须持有保安员证</w:t>
            </w:r>
          </w:p>
        </w:tc>
        <w:tc>
          <w:tcPr>
            <w:tcW w:w="1693" w:type="dxa"/>
            <w:vAlign w:val="center"/>
          </w:tcPr>
          <w:p w14:paraId="73476924">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7天</w:t>
            </w:r>
          </w:p>
          <w:p w14:paraId="4305A278">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7:00—18:00</w:t>
            </w:r>
          </w:p>
        </w:tc>
      </w:tr>
      <w:tr w14:paraId="449DF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Align w:val="center"/>
          </w:tcPr>
          <w:p w14:paraId="27389562">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维修</w:t>
            </w:r>
            <w:r>
              <w:rPr>
                <w:rFonts w:ascii="宋体" w:hAnsi="宋体" w:eastAsia="Times New Roman" w:cs="Times New Roman"/>
                <w:kern w:val="0"/>
                <w:sz w:val="22"/>
                <w:szCs w:val="20"/>
              </w:rPr>
              <w:t>部</w:t>
            </w:r>
          </w:p>
        </w:tc>
        <w:tc>
          <w:tcPr>
            <w:tcW w:w="1022" w:type="dxa"/>
            <w:vAlign w:val="center"/>
          </w:tcPr>
          <w:p w14:paraId="199C6852">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w:t>
            </w:r>
          </w:p>
        </w:tc>
        <w:tc>
          <w:tcPr>
            <w:tcW w:w="1276" w:type="dxa"/>
            <w:vAlign w:val="center"/>
          </w:tcPr>
          <w:p w14:paraId="315654DE">
            <w:pPr>
              <w:jc w:val="center"/>
              <w:rPr>
                <w:rFonts w:ascii="宋体" w:hAnsi="宋体" w:eastAsia="Times New Roman" w:cs="Times New Roman"/>
                <w:kern w:val="0"/>
                <w:sz w:val="22"/>
                <w:szCs w:val="20"/>
              </w:rPr>
            </w:pPr>
            <w:r>
              <w:rPr>
                <w:rFonts w:ascii="宋体" w:hAnsi="宋体" w:eastAsia="Times New Roman" w:cs="Times New Roman"/>
                <w:kern w:val="0"/>
                <w:sz w:val="22"/>
                <w:szCs w:val="20"/>
              </w:rPr>
              <w:t>维修工</w:t>
            </w:r>
          </w:p>
        </w:tc>
        <w:tc>
          <w:tcPr>
            <w:tcW w:w="5547" w:type="dxa"/>
            <w:vAlign w:val="center"/>
          </w:tcPr>
          <w:p w14:paraId="1E63BCA9">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全面负责校区内水、电的零星常规维修、须持有电工操作证</w:t>
            </w:r>
          </w:p>
        </w:tc>
        <w:tc>
          <w:tcPr>
            <w:tcW w:w="1693" w:type="dxa"/>
            <w:vAlign w:val="center"/>
          </w:tcPr>
          <w:p w14:paraId="7ABC6D4D">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周一～周五</w:t>
            </w:r>
          </w:p>
          <w:p w14:paraId="3B4D4C3F">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7:00-11:00</w:t>
            </w:r>
          </w:p>
          <w:p w14:paraId="4F048B29">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12:30-16:30</w:t>
            </w:r>
          </w:p>
        </w:tc>
      </w:tr>
      <w:tr w14:paraId="0659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37" w:type="dxa"/>
            <w:vAlign w:val="center"/>
          </w:tcPr>
          <w:p w14:paraId="6742F15E">
            <w:pPr>
              <w:jc w:val="center"/>
              <w:rPr>
                <w:rFonts w:ascii="宋体" w:hAnsi="宋体" w:eastAsia="Times New Roman" w:cs="Times New Roman"/>
                <w:kern w:val="0"/>
                <w:sz w:val="22"/>
                <w:szCs w:val="20"/>
              </w:rPr>
            </w:pPr>
            <w:r>
              <w:rPr>
                <w:rFonts w:ascii="宋体" w:hAnsi="宋体" w:eastAsia="Times New Roman" w:cs="Times New Roman"/>
                <w:kern w:val="0"/>
                <w:sz w:val="22"/>
                <w:szCs w:val="20"/>
              </w:rPr>
              <w:t>后勤部</w:t>
            </w:r>
          </w:p>
        </w:tc>
        <w:tc>
          <w:tcPr>
            <w:tcW w:w="1022" w:type="dxa"/>
            <w:vAlign w:val="center"/>
          </w:tcPr>
          <w:p w14:paraId="0D092E9D">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1</w:t>
            </w:r>
          </w:p>
        </w:tc>
        <w:tc>
          <w:tcPr>
            <w:tcW w:w="1276" w:type="dxa"/>
            <w:vAlign w:val="center"/>
          </w:tcPr>
          <w:p w14:paraId="41EFAE35">
            <w:pPr>
              <w:jc w:val="center"/>
              <w:rPr>
                <w:rFonts w:ascii="宋体" w:hAnsi="宋体" w:eastAsia="Times New Roman" w:cs="Times New Roman"/>
                <w:kern w:val="0"/>
                <w:sz w:val="22"/>
                <w:szCs w:val="20"/>
              </w:rPr>
            </w:pPr>
            <w:bookmarkStart w:id="34" w:name="OLE_LINK7"/>
            <w:bookmarkStart w:id="35" w:name="OLE_LINK8"/>
            <w:r>
              <w:rPr>
                <w:rFonts w:ascii="宋体" w:hAnsi="宋体" w:eastAsia="Times New Roman" w:cs="Times New Roman"/>
                <w:kern w:val="0"/>
                <w:sz w:val="22"/>
                <w:szCs w:val="20"/>
              </w:rPr>
              <w:t>事务</w:t>
            </w:r>
            <w:r>
              <w:rPr>
                <w:rFonts w:hint="eastAsia" w:ascii="宋体" w:hAnsi="宋体" w:eastAsia="Times New Roman" w:cs="Times New Roman"/>
                <w:kern w:val="0"/>
                <w:sz w:val="22"/>
                <w:szCs w:val="20"/>
              </w:rPr>
              <w:t>员</w:t>
            </w:r>
            <w:r>
              <w:rPr>
                <w:rFonts w:ascii="宋体" w:hAnsi="宋体" w:eastAsia="Times New Roman" w:cs="Times New Roman"/>
                <w:kern w:val="0"/>
                <w:sz w:val="22"/>
                <w:szCs w:val="20"/>
              </w:rPr>
              <w:t>岗</w:t>
            </w:r>
            <w:bookmarkEnd w:id="34"/>
            <w:bookmarkEnd w:id="35"/>
          </w:p>
        </w:tc>
        <w:tc>
          <w:tcPr>
            <w:tcW w:w="5547" w:type="dxa"/>
            <w:vAlign w:val="center"/>
          </w:tcPr>
          <w:p w14:paraId="2A80C930">
            <w:pPr>
              <w:jc w:val="center"/>
              <w:rPr>
                <w:rFonts w:ascii="宋体" w:hAnsi="宋体" w:eastAsia="Times New Roman" w:cs="Times New Roman"/>
                <w:kern w:val="0"/>
                <w:sz w:val="22"/>
                <w:szCs w:val="20"/>
              </w:rPr>
            </w:pPr>
            <w:r>
              <w:rPr>
                <w:rFonts w:ascii="宋体" w:hAnsi="宋体" w:eastAsia="Times New Roman" w:cs="Times New Roman"/>
                <w:kern w:val="0"/>
                <w:sz w:val="22"/>
                <w:szCs w:val="20"/>
              </w:rPr>
              <w:t>配合学校做好相关的后勤管理工作、布置活动场所等</w:t>
            </w:r>
          </w:p>
        </w:tc>
        <w:tc>
          <w:tcPr>
            <w:tcW w:w="1693" w:type="dxa"/>
            <w:vAlign w:val="center"/>
          </w:tcPr>
          <w:p w14:paraId="278BA638">
            <w:pPr>
              <w:jc w:val="center"/>
              <w:rPr>
                <w:rFonts w:ascii="宋体" w:hAnsi="宋体" w:eastAsia="Times New Roman" w:cs="Times New Roman"/>
                <w:kern w:val="0"/>
                <w:sz w:val="22"/>
                <w:szCs w:val="20"/>
              </w:rPr>
            </w:pPr>
            <w:r>
              <w:rPr>
                <w:rFonts w:hint="eastAsia" w:ascii="宋体" w:hAnsi="宋体" w:eastAsia="Times New Roman" w:cs="Times New Roman"/>
                <w:kern w:val="0"/>
                <w:sz w:val="22"/>
                <w:szCs w:val="20"/>
              </w:rPr>
              <w:t>周一～周五</w:t>
            </w:r>
          </w:p>
          <w:p w14:paraId="7B33D0C8">
            <w:pPr>
              <w:jc w:val="center"/>
              <w:rPr>
                <w:rFonts w:ascii="宋体" w:hAnsi="宋体" w:eastAsia="Times New Roman" w:cs="Times New Roman"/>
                <w:kern w:val="0"/>
                <w:sz w:val="22"/>
                <w:szCs w:val="20"/>
              </w:rPr>
            </w:pPr>
            <w:r>
              <w:rPr>
                <w:rFonts w:ascii="宋体" w:hAnsi="宋体" w:eastAsia="Times New Roman" w:cs="Times New Roman"/>
                <w:kern w:val="0"/>
                <w:sz w:val="22"/>
                <w:szCs w:val="20"/>
              </w:rPr>
              <w:t>7:</w:t>
            </w:r>
            <w:r>
              <w:rPr>
                <w:rFonts w:hint="eastAsia" w:ascii="宋体" w:hAnsi="宋体" w:eastAsia="Times New Roman" w:cs="Times New Roman"/>
                <w:kern w:val="0"/>
                <w:sz w:val="22"/>
                <w:szCs w:val="20"/>
              </w:rPr>
              <w:t>30</w:t>
            </w:r>
            <w:r>
              <w:rPr>
                <w:rFonts w:ascii="宋体" w:hAnsi="宋体" w:eastAsia="Times New Roman" w:cs="Times New Roman"/>
                <w:kern w:val="0"/>
                <w:sz w:val="22"/>
                <w:szCs w:val="20"/>
              </w:rPr>
              <w:t>-16:30</w:t>
            </w:r>
          </w:p>
        </w:tc>
      </w:tr>
    </w:tbl>
    <w:p w14:paraId="33FE72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eastAsia="宋体" w:cs="Times New Roman"/>
          <w:b/>
          <w:sz w:val="22"/>
        </w:rPr>
      </w:pPr>
      <w:r>
        <w:rPr>
          <w:rFonts w:ascii="Times New Roman" w:hAnsi="Times New Roman" w:eastAsia="宋体" w:cs="Times New Roman"/>
          <w:b/>
          <w:sz w:val="22"/>
        </w:rPr>
        <w:t>说明：</w:t>
      </w:r>
      <w:r>
        <w:rPr>
          <w:rFonts w:hint="eastAsia" w:ascii="Times New Roman" w:hAnsi="Times New Roman" w:eastAsia="宋体" w:cs="Times New Roman"/>
          <w:b/>
          <w:sz w:val="22"/>
        </w:rPr>
        <w:t>1、</w:t>
      </w:r>
      <w:r>
        <w:rPr>
          <w:rFonts w:ascii="Times New Roman" w:hAnsi="Times New Roman" w:eastAsia="宋体" w:cs="Times New Roman"/>
          <w:b/>
          <w:sz w:val="22"/>
        </w:rPr>
        <w:t>投标人的各岗位配置标准不得低于表内岗位配置数要求。</w:t>
      </w:r>
    </w:p>
    <w:p w14:paraId="5C89309A">
      <w:pPr>
        <w:tabs>
          <w:tab w:val="left" w:pos="7200"/>
        </w:tabs>
        <w:adjustRightInd w:val="0"/>
        <w:snapToGrid w:val="0"/>
        <w:spacing w:line="300" w:lineRule="auto"/>
        <w:ind w:firstLine="663" w:firstLineChars="300"/>
        <w:rPr>
          <w:rFonts w:ascii="Times New Roman" w:hAnsi="Times New Roman" w:eastAsia="宋体" w:cs="Times New Roman"/>
          <w:b/>
          <w:sz w:val="22"/>
        </w:rPr>
      </w:pPr>
      <w:r>
        <w:rPr>
          <w:rFonts w:ascii="Times New Roman" w:hAnsi="Times New Roman" w:eastAsia="宋体" w:cs="Times New Roman"/>
          <w:b/>
          <w:sz w:val="22"/>
        </w:rPr>
        <w:t>2、投标人须在上传的投标文件中填报项目负责人相关信息，并附项目负责人身份证复印件以及采购文件要求的资质（若有），材料提交要求以招标文件具体规定为准，确保投标文件有效。</w:t>
      </w:r>
    </w:p>
    <w:p w14:paraId="71EA20E6">
      <w:pPr>
        <w:tabs>
          <w:tab w:val="left" w:pos="7200"/>
        </w:tabs>
        <w:adjustRightInd w:val="0"/>
        <w:snapToGrid w:val="0"/>
        <w:spacing w:line="300" w:lineRule="auto"/>
        <w:ind w:firstLine="440" w:firstLineChars="200"/>
        <w:outlineLvl w:val="3"/>
        <w:rPr>
          <w:rFonts w:ascii="Times New Roman" w:hAnsi="Times New Roman" w:eastAsia="宋体" w:cs="Times New Roman"/>
          <w:bCs/>
          <w:sz w:val="22"/>
        </w:rPr>
      </w:pPr>
      <w:r>
        <w:rPr>
          <w:rFonts w:ascii="Times New Roman" w:hAnsi="Times New Roman" w:eastAsia="宋体" w:cs="Times New Roman"/>
          <w:bCs/>
          <w:sz w:val="22"/>
        </w:rPr>
        <w:t>9.2 组织架构、管理制度及管理团队要求</w:t>
      </w:r>
    </w:p>
    <w:p w14:paraId="7B6AF21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9.2.1 组织架构</w:t>
      </w:r>
    </w:p>
    <w:p w14:paraId="43D3E6F4">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物业部门设置经理或现场主管负责学校物业服务管理和监督工作。</w:t>
      </w:r>
    </w:p>
    <w:p w14:paraId="526A0D3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物业服务包括管理部、保洁部、绿化部、宿管部、工程部、后勤部和保安部。</w:t>
      </w:r>
    </w:p>
    <w:p w14:paraId="702994D6">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9.2.2 管理制度</w:t>
      </w:r>
    </w:p>
    <w:p w14:paraId="03FBD4E4">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(1)严格规范招标制度。按招标文件要求，规范服务类项目采购流程。</w:t>
      </w:r>
    </w:p>
    <w:p w14:paraId="3AA3B1A7">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(2)完善后勤保障各项制度建设，按制度规范行为。</w:t>
      </w:r>
    </w:p>
    <w:p w14:paraId="22CC7A59">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(3)加强日常工作监管：</w:t>
      </w:r>
    </w:p>
    <w:p w14:paraId="1F32EAE6">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①学校物业公司在分管领导、办公事务部的领导、监督下进行工作。</w:t>
      </w:r>
    </w:p>
    <w:p w14:paraId="4A14808E">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②每周定期召开例会，总结上周工作，沟通、协调本周工作。</w:t>
      </w:r>
    </w:p>
    <w:p w14:paraId="2AE0BE5E">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③不定时召开专项会议，进行专题讨论。</w:t>
      </w:r>
    </w:p>
    <w:p w14:paraId="37B0F11A">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④群众监督，每月对各服务公司工作进行监督。</w:t>
      </w:r>
    </w:p>
    <w:p w14:paraId="247648A0">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⑤每月定期召开办公考核会，对各服务公司进行考核。</w:t>
      </w:r>
    </w:p>
    <w:p w14:paraId="0F3828D2">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⑥定期召开联席会议，通过联席会议，分期进行工作总结和工作计划。</w:t>
      </w:r>
    </w:p>
    <w:p w14:paraId="3819340C">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⑦不定期参加后勤会议，对存在的问题进行现场沟通。</w:t>
      </w:r>
    </w:p>
    <w:p w14:paraId="1FC785BA">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9.2.3管理团队要求</w:t>
      </w:r>
    </w:p>
    <w:p w14:paraId="1D7B64F1">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(1)具有多年相关工作经验。</w:t>
      </w:r>
    </w:p>
    <w:p w14:paraId="422C1109">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(2)一定的协调和组织能力，了解行业法规和要求。</w:t>
      </w:r>
    </w:p>
    <w:p w14:paraId="2AAEBD7B">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(3)组织本部门员工的专业技能培训；制定各专项规章制度,对本部门员工工作业绩予以评审；负责所属项目的物业管理的日常工作,并对部门员工进行业务指导。</w:t>
      </w:r>
    </w:p>
    <w:p w14:paraId="3CB4D7AC">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(4)自我监督与质量体系有关的程序操作,发现不合格时,及时采取纠正措施及适当的预防措。</w:t>
      </w:r>
    </w:p>
    <w:p w14:paraId="22CC81C6">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(5)检查监督各项业务计划(年度、季度、月度等)的实施情况并向上级报告，推广新的有效的管理方法,并总结分析,提出合理的建议。</w:t>
      </w:r>
    </w:p>
    <w:p w14:paraId="7A0B05A8">
      <w:pPr>
        <w:tabs>
          <w:tab w:val="left" w:pos="7200"/>
        </w:tabs>
        <w:adjustRightInd w:val="0"/>
        <w:snapToGrid w:val="0"/>
        <w:spacing w:line="300" w:lineRule="auto"/>
        <w:ind w:firstLine="440" w:firstLineChars="200"/>
        <w:outlineLvl w:val="3"/>
        <w:rPr>
          <w:rFonts w:ascii="Times New Roman" w:hAnsi="Times New Roman" w:eastAsia="宋体" w:cs="Times New Roman"/>
          <w:bCs/>
          <w:sz w:val="22"/>
        </w:rPr>
      </w:pPr>
      <w:r>
        <w:rPr>
          <w:rFonts w:ascii="Times New Roman" w:hAnsi="Times New Roman" w:eastAsia="宋体" w:cs="Times New Roman"/>
          <w:bCs/>
          <w:sz w:val="22"/>
        </w:rPr>
        <w:t>9.3 各岗位具体服务要求</w:t>
      </w:r>
    </w:p>
    <w:p w14:paraId="0CEC63C8">
      <w:pPr>
        <w:tabs>
          <w:tab w:val="left" w:pos="7200"/>
        </w:tabs>
        <w:adjustRightInd w:val="0"/>
        <w:snapToGrid w:val="0"/>
        <w:spacing w:line="300" w:lineRule="auto"/>
        <w:ind w:firstLine="440" w:firstLineChars="200"/>
        <w:outlineLvl w:val="4"/>
        <w:rPr>
          <w:rFonts w:ascii="Times New Roman" w:hAnsi="Times New Roman" w:eastAsia="宋体" w:cs="Times New Roman"/>
          <w:bCs/>
          <w:sz w:val="22"/>
        </w:rPr>
      </w:pPr>
      <w:r>
        <w:rPr>
          <w:rFonts w:ascii="Times New Roman" w:hAnsi="Times New Roman" w:eastAsia="宋体" w:cs="Times New Roman"/>
          <w:bCs/>
          <w:sz w:val="22"/>
        </w:rPr>
        <w:t xml:space="preserve">9.3.1 </w:t>
      </w:r>
      <w:r>
        <w:rPr>
          <w:rFonts w:hint="eastAsia" w:ascii="Times New Roman" w:hAnsi="Times New Roman" w:eastAsia="宋体" w:cs="Times New Roman"/>
          <w:bCs/>
          <w:sz w:val="22"/>
        </w:rPr>
        <w:t>管理部</w:t>
      </w:r>
    </w:p>
    <w:p w14:paraId="18D7E598">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(1)工作职责</w:t>
      </w:r>
    </w:p>
    <w:p w14:paraId="539DB12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1、全面负责所辖校区的物业管理工作；</w:t>
      </w:r>
    </w:p>
    <w:p w14:paraId="55CFEC34">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2、根据公司总体规划，制订管理处年度发展计划和经营战略，报公司批准后实施；</w:t>
      </w:r>
    </w:p>
    <w:p w14:paraId="505C50C8">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3、管理处实行单独核算，自计盈亏，在公司规定的开支范围内管理处经理具有最终签字权；</w:t>
      </w:r>
    </w:p>
    <w:p w14:paraId="6D00F3CC">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4、建议管理处各部门主管的招聘、任免和奖惩；审核管理处其他员工的招聘、奖惩、辞退等；</w:t>
      </w:r>
    </w:p>
    <w:p w14:paraId="2A145E99">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5、以身作则、率先垂范、廉洁奉公，团结带领管理处广大员工，全力以赴完成管理处的各项工作和创“优”任务；</w:t>
      </w:r>
    </w:p>
    <w:p w14:paraId="23697339">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6、负责处理校区师生投诉，定期收集师生意见、建议，并反馈至各职能部门，必要时要上报公司总经理或副总经理；</w:t>
      </w:r>
    </w:p>
    <w:p w14:paraId="5E84D5DE">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7、强化日常行政管理，努力提高服务质量和工作效率，减少师生投诉；</w:t>
      </w:r>
    </w:p>
    <w:p w14:paraId="015CE084">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8、负责员工工作责任心和敬业精神教育，狠抓员工业务技能培训，努力培养和造就一支高素质的员工队伍；</w:t>
      </w:r>
    </w:p>
    <w:p w14:paraId="7CBB56A6">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9、及时检查、督促下属员工的工作质量和服务质量；</w:t>
      </w:r>
    </w:p>
    <w:p w14:paraId="2BAE8BDE">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10、加强检查、督促校区清洁卫生工作；</w:t>
      </w:r>
    </w:p>
    <w:p w14:paraId="4D2E056B">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11、广泛联系师生，重视师生的投诉，不断改进工作方法；</w:t>
      </w:r>
    </w:p>
    <w:p w14:paraId="32F5C253">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12、校区出现重大事故或发生异常情况，必须赶赴现场处理；</w:t>
      </w:r>
    </w:p>
    <w:p w14:paraId="27A8F942">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13、关心员工的工作、学习、生活及家庭，重视企业文化建设，不断增强企业的凝聚力；</w:t>
      </w:r>
    </w:p>
    <w:p w14:paraId="28D8C05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14、强调安全，努力防范，保证托管区域治安、刑事案件发生率在控制范围以内；</w:t>
      </w:r>
    </w:p>
    <w:p w14:paraId="5E22DBF4">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15、严格开支，厉行节约，持续降低管理成本；</w:t>
      </w:r>
    </w:p>
    <w:p w14:paraId="74B2B34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16、负责管理处质量管理体系的运行和实施；</w:t>
      </w:r>
    </w:p>
    <w:p w14:paraId="5796D39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17、负责制订下属员工培训计划，定期进行业务指导与业务技能培训；</w:t>
      </w:r>
    </w:p>
    <w:p w14:paraId="01A70229">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18、负责组织员工参与校区文化活动。</w:t>
      </w:r>
    </w:p>
    <w:p w14:paraId="1425722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19、与属地联动、做好疫情防控指挥。</w:t>
      </w:r>
    </w:p>
    <w:p w14:paraId="07FA0F7F">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(2)总体要求</w:t>
      </w:r>
    </w:p>
    <w:p w14:paraId="6ED94564">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1、项目经理受采购人委托，代表采购人，依据服务合同和约定，对内管理整个物业，组织专业化的服务；对外先行承担与物业管理相关的责任，履行相关义务，代表采购人与物业管理所涉及的各有关方面交涉，维护采购人的合法权益，并提醒采购人遵守与物业管理有关的法规政策，履行应尽的责任和义务。</w:t>
      </w:r>
    </w:p>
    <w:p w14:paraId="1B25FA15">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2、项目经理应加强与采购人沟通，如协商同意，可决定为采购人提供力所能及的附加服务，费用另结。</w:t>
      </w:r>
    </w:p>
    <w:p w14:paraId="32EEBCE0">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3、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40A770B0">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4、各类服务相互协调；人员调派和作业时间安排不得违反劳动法和行政部门的资质规定。在一视同仁，不予歧视和排斥的前提下，兼顾岗位对人员的特殊要求。</w:t>
      </w:r>
    </w:p>
    <w:p w14:paraId="29CDD1B2">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5、对采购人日常业务所需资源和相关设备设施、包括施工和服务安排专人巡视、检查，发现问题，及时处理，将一切可能发生的故障隐患消灭在萌芽中。</w:t>
      </w:r>
    </w:p>
    <w:p w14:paraId="47684076">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6、执行重大事项报告制度，遇到险情和重大事故，或对违规行为劝阻无效时，立即向采购人主管部门报告。</w:t>
      </w:r>
    </w:p>
    <w:p w14:paraId="0DB5C266">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(3)工作时间要求</w:t>
      </w:r>
    </w:p>
    <w:p w14:paraId="5DEB1F5C">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详见9.1岗位设置表</w:t>
      </w:r>
    </w:p>
    <w:p w14:paraId="1809E47E">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(4)人员自身要求</w:t>
      </w:r>
    </w:p>
    <w:p w14:paraId="3CA4DCA2">
      <w:pPr>
        <w:adjustRightInd w:val="0"/>
        <w:snapToGrid w:val="0"/>
        <w:spacing w:line="300" w:lineRule="auto"/>
        <w:ind w:firstLine="440" w:firstLineChars="200"/>
        <w:jc w:val="left"/>
        <w:rPr>
          <w:rFonts w:ascii="Times New Roman" w:hAnsi="Times New Roman" w:eastAsia="宋体" w:cs="Times New Roman"/>
          <w:sz w:val="22"/>
        </w:rPr>
      </w:pPr>
      <w:r>
        <w:rPr>
          <w:rFonts w:hint="eastAsia" w:ascii="Times New Roman" w:hAnsi="Times New Roman" w:eastAsia="宋体" w:cs="Times New Roman"/>
          <w:sz w:val="22"/>
        </w:rPr>
        <w:t>身体健康，工作勤劳；具有多年工作经验；工作业绩：从事学校、酒店、小区物业或者商业物业管理工作多年；管理能力：具有较强的管理能力和领导水平，熟悉任职岗位及下属岗位的各项业务及运作流程，能有效协调部门之间运作和处理员工关系，善于处理员工关系，维护劳资双方利益。</w:t>
      </w:r>
    </w:p>
    <w:p w14:paraId="414F3478">
      <w:pPr>
        <w:tabs>
          <w:tab w:val="left" w:pos="7200"/>
        </w:tabs>
        <w:adjustRightInd w:val="0"/>
        <w:snapToGrid w:val="0"/>
        <w:spacing w:line="300" w:lineRule="auto"/>
        <w:ind w:firstLine="440" w:firstLineChars="200"/>
        <w:outlineLvl w:val="4"/>
        <w:rPr>
          <w:rFonts w:ascii="Times New Roman" w:hAnsi="Times New Roman" w:eastAsia="宋体" w:cs="Times New Roman"/>
          <w:bCs/>
          <w:sz w:val="22"/>
        </w:rPr>
      </w:pPr>
      <w:r>
        <w:rPr>
          <w:rFonts w:ascii="Times New Roman" w:hAnsi="Times New Roman" w:eastAsia="宋体" w:cs="Times New Roman"/>
          <w:bCs/>
          <w:sz w:val="22"/>
        </w:rPr>
        <w:t xml:space="preserve">9.3.2 </w:t>
      </w:r>
      <w:r>
        <w:rPr>
          <w:rFonts w:hint="eastAsia" w:ascii="Times New Roman" w:hAnsi="Times New Roman" w:eastAsia="宋体" w:cs="Times New Roman"/>
          <w:bCs/>
          <w:sz w:val="22"/>
        </w:rPr>
        <w:t>保洁部</w:t>
      </w:r>
    </w:p>
    <w:p w14:paraId="0F011BA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 服务范围：校内</w:t>
      </w:r>
    </w:p>
    <w:p w14:paraId="21B736B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(2)工作职责</w:t>
      </w:r>
    </w:p>
    <w:p w14:paraId="2F93C1F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1、负责指定区域的清洁、保洁和垃圾清运工作。</w:t>
      </w:r>
    </w:p>
    <w:p w14:paraId="401EA86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2、按照计划卫生要求做好本区域的计划卫生。</w:t>
      </w:r>
    </w:p>
    <w:p w14:paraId="1C9E794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3、根据管理处的工作安排，协助做好本区域的服务工作。</w:t>
      </w:r>
    </w:p>
    <w:p w14:paraId="2A8FD3B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4、负责消杀、灭虫工作。</w:t>
      </w:r>
    </w:p>
    <w:p w14:paraId="4F0829F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5、完成上级交办的其他工作。</w:t>
      </w:r>
    </w:p>
    <w:p w14:paraId="27F70F1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(3)总体要求</w:t>
      </w:r>
    </w:p>
    <w:p w14:paraId="50D9888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(一)环境卫生与保洁管理</w:t>
      </w:r>
    </w:p>
    <w:p w14:paraId="1C086BE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1、请专业清洁人员组建公共卫生清洁班，尽可能使用机械化设备用于路面保洁，每天打扫公共部分做到杂物、废弃物立即清理。</w:t>
      </w:r>
    </w:p>
    <w:p w14:paraId="1D3B4CA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2、楼内垃圾实行袋装化，在各楼层公共部位设立公共垃圾箱，在露天公共部位设立杂物箱，由清洁工清运、处理。</w:t>
      </w:r>
    </w:p>
    <w:p w14:paraId="37F598F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3、管理区域垃圾实行分类收集（有机垃圾、无机垃圾、有害垃圾），从而达到更高层次的环保效果。</w:t>
      </w:r>
    </w:p>
    <w:p w14:paraId="1E940E6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4、及时清扫大区域地面积水、垃圾、烟头等，使地面保持干净、无杂物、无积水等。</w:t>
      </w:r>
    </w:p>
    <w:p w14:paraId="4F46629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5、对公共道路上之汽车道闸、垃圾筒等定期清洁或清洗，停车场、地面道路定期高压冲洗。</w:t>
      </w:r>
    </w:p>
    <w:p w14:paraId="2C4C8CE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6、对设备、设施的表面进行清洁、抹净处理，保持洁净。</w:t>
      </w:r>
    </w:p>
    <w:p w14:paraId="32C01F0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7、定期对设施、设备各类金属表层或表面使用专用保洁剂或防锈处理，保持光亮洁净。</w:t>
      </w:r>
    </w:p>
    <w:p w14:paraId="1AD3383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8、将楼层的垃圾清运、处理，对楼内公共设施进行擦抹保洁。</w:t>
      </w:r>
    </w:p>
    <w:p w14:paraId="4DB8CF3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9、对人员出入频繁之地，进行不间断的走动保洁。</w:t>
      </w:r>
    </w:p>
    <w:p w14:paraId="53B45C0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10、清扫、拖洗属于公共区域室内外的地面。</w:t>
      </w:r>
    </w:p>
    <w:p w14:paraId="2AF98F7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11、擦净、抹净各楼层内公共教室、会议室、接待室、图书馆、休息室等室内的桌、椅台面、文件柜等家具。</w:t>
      </w:r>
    </w:p>
    <w:p w14:paraId="4D7C13C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12、定期清扫各楼天台、设备机房等部位。</w:t>
      </w:r>
    </w:p>
    <w:p w14:paraId="4B2D604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13、清洗及保洁各楼层的洗手间、抹净各类洁具等工作。</w:t>
      </w:r>
    </w:p>
    <w:p w14:paraId="2180E1D7">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14、定时收集各楼层内之生活垃圾，并更换垃圾袋，定期清洁垃圾筒等，保持洁净。</w:t>
      </w:r>
    </w:p>
    <w:p w14:paraId="663048A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15、定期、定点、定计划使用专业消毒、杀虫害等药剂进行环保消杀工作。</w:t>
      </w:r>
    </w:p>
    <w:p w14:paraId="3628A4C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16、按时清运、处理垃圾、定时高压冲洗收集站内外墙壁及地面、定期进行灭虫、消毒。</w:t>
      </w:r>
    </w:p>
    <w:p w14:paraId="27D5670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17、做好预防常见传染病的日常保洁消杀。</w:t>
      </w:r>
    </w:p>
    <w:p w14:paraId="115E6AB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18、指定办公室的保洁。</w:t>
      </w:r>
    </w:p>
    <w:p w14:paraId="14A707B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19、校区内水域保洁。</w:t>
      </w:r>
    </w:p>
    <w:p w14:paraId="709C35C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服务标准：建立环境管理制度并认真落实，环卫设施齐备，实行标准化清扫保洁，由专人负责检查监督，要求每天有明确的督查记录，清洁率100%。具体区域标准要求如下：</w:t>
      </w:r>
    </w:p>
    <w:p w14:paraId="6A75C3A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外围及周边道路地面干净无杂物、无积水，无明显污迹、油渍；明沟、窨井内无杂物、无异味；各种标示标牌表面干净无积尘、无水印；路灯表面干净无污渍。</w:t>
      </w:r>
    </w:p>
    <w:p w14:paraId="23E5E33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绿化带及水域内无大件杂物，花台表面干净无污渍，水域内水质清澈，无漂浮物，无青苔等污垢，无异味。</w:t>
      </w:r>
    </w:p>
    <w:p w14:paraId="0C39B48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1FE8DE5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公共教室、会议室、接待室地面、墙面、干净，无灰尘、污渍；天花板、风口目视无灰尘、污渍；桌椅干净，物品摆放整齐、有序。</w:t>
      </w:r>
    </w:p>
    <w:p w14:paraId="28E5042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楼梯及楼梯间梯步表面干净无污渍，防滑条(缝)干净，扶手栏杆表面干净无灰尘，防火门及闭门器表面干净无污渍，墙面、天花板无积尘、蛛网。</w:t>
      </w:r>
    </w:p>
    <w:p w14:paraId="6105654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干净无积尘、蛛网；墙面干净无积尘，各种指示牌表面干净有光泽；消防器材表面干净，摆放整齐；减速带表面干净无明显污迹，各种道闸表面无灰尘。</w:t>
      </w:r>
    </w:p>
    <w:p w14:paraId="21909BF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开水间及清洁间地面干净，无杂物、无积水，地垫摆放整齐干净，天花板干净无蛛网，灯罩表面无积尘、蛛网。</w:t>
      </w:r>
    </w:p>
    <w:p w14:paraId="271754F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电器设施灯泡、灯管、灯罩无积尘、无污迹。装饰件无积尘、无污迹；开关、插座、配电箱无积尘、无明显污迹。</w:t>
      </w:r>
    </w:p>
    <w:p w14:paraId="0CA1DBC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垃圾桶及果皮桶、箱按指定位置摆放，桶身表面干净无污渍无痰迹；烟灰缸内烟头不应超过3个，垃圾不应超过2／3，内胆应定期清洁、消毒。</w:t>
      </w:r>
    </w:p>
    <w:p w14:paraId="33A0173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7BDF072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垃圾中转房应专人管理定时开放，袋装垃圾摆放整齐，地面无明显垃圾，无污水外溢，房内应无明显异味，垃圾日产日清。</w:t>
      </w:r>
    </w:p>
    <w:p w14:paraId="4D01944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设备机房、管道，指示牌无卫生死角、无垃圾堆积，无积尘、目视无蜘蛛网、无明显污渍、无水渍；指示牌、广告牌无灰尘、无污迹，金属件表面光亮，无痕迹。</w:t>
      </w:r>
    </w:p>
    <w:p w14:paraId="598EA33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(二)垃圾清运、处理（由采购人与环卫部门签订合同）</w:t>
      </w:r>
    </w:p>
    <w:p w14:paraId="2363257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1、垃圾清运、处理分为：生活垃圾（有机、无机、有害垃圾）清运处理、督促装修队伍装修垃圾清运处理和废纸及可再生废物的回收。所有垃圾清运处理应符合上海市有关法律、法规规定。</w:t>
      </w:r>
    </w:p>
    <w:p w14:paraId="379814D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2、垃圾清运、处理的范围分为：</w:t>
      </w:r>
    </w:p>
    <w:p w14:paraId="02D86D7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（1）日常办公垃圾</w:t>
      </w:r>
    </w:p>
    <w:p w14:paraId="45ED760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（2）日常生活垃圾</w:t>
      </w:r>
    </w:p>
    <w:p w14:paraId="2A64DDA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3、垃圾清运、处理工作分为：</w:t>
      </w:r>
    </w:p>
    <w:p w14:paraId="4D1E561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（1）每天定时清运、处理2次。</w:t>
      </w:r>
    </w:p>
    <w:p w14:paraId="49830D2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（2）将物业项目内所有桶内垃圾清理干净封好胶袋口。</w:t>
      </w:r>
    </w:p>
    <w:p w14:paraId="2E93D31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38BBE34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(三)污水管理</w:t>
      </w:r>
    </w:p>
    <w:p w14:paraId="5B9CAD4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1、管理区域内生活污水经污水管道集中排放处理。</w:t>
      </w:r>
    </w:p>
    <w:p w14:paraId="4F012E9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为保持污水管通畅，保洁员每月对排水沟清扫一次。(明沟每周一次，暗沟每月一次)。其他排水管道每月检查2次，如有堵塞应随时处理、疏通、及时采样及分析，保持构筑物进出流、水位正常。判断正常运作采取有力措施。</w:t>
      </w:r>
    </w:p>
    <w:p w14:paraId="4911181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每日一次对排水系统进行检查巡视，并做好记录。定期对排水管进行清通、养护及清除污垢，保证室内外排水系统畅通，保证汛期道路、地下室、设备间无积水和浸泡的现象发生；化粪池每年清理1次，每季巡查1次。出入口畅通，井内无积物浮于面上，池盖无污渍、污物，清理后及时清洁现场；楼面落水管落水口等保持完好。开裂、破损等及时更换，定期检查；每2个月对地下管井清理1次，捞起井内泥沙和悬浮物；每季度对地下管并彻底疏通1次，清理结束地面冲洗干净。清理时地面竖警示牌，必要时加护拦。清理后达到目视管道内壁无粘附物，井底无沉淀物，水面无漂浮物，水流畅通，井盖上无污渍、污物。污水排放管道（沟渠）应做到无异味、无杂物、不堵塞。无瘀积、无蚊蝇繁殖。</w:t>
      </w:r>
    </w:p>
    <w:p w14:paraId="6A5F90C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(四)卫生管理</w:t>
      </w:r>
    </w:p>
    <w:p w14:paraId="6BBCE69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1、灭鼠、灭蚊、灭苍蝇、灭蟑螂。</w:t>
      </w:r>
    </w:p>
    <w:p w14:paraId="1D700FB7">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2、科学有效地进行卫生消毒。</w:t>
      </w:r>
    </w:p>
    <w:p w14:paraId="6CBD80A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352F833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(4)工作时间要求</w:t>
      </w:r>
    </w:p>
    <w:p w14:paraId="1986054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详见9.1岗位设置表</w:t>
      </w:r>
    </w:p>
    <w:p w14:paraId="669E983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(5)人员自身要求</w:t>
      </w:r>
    </w:p>
    <w:p w14:paraId="52067F3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身体健康，工作勤劳，需要健康证。</w:t>
      </w:r>
    </w:p>
    <w:p w14:paraId="77A3ECE5">
      <w:pPr>
        <w:tabs>
          <w:tab w:val="left" w:pos="7200"/>
        </w:tabs>
        <w:adjustRightInd w:val="0"/>
        <w:snapToGrid w:val="0"/>
        <w:spacing w:line="300" w:lineRule="auto"/>
        <w:ind w:firstLine="440" w:firstLineChars="200"/>
        <w:outlineLvl w:val="4"/>
        <w:rPr>
          <w:rFonts w:ascii="Times New Roman" w:hAnsi="Times New Roman" w:eastAsia="宋体" w:cs="Times New Roman"/>
          <w:bCs/>
          <w:sz w:val="22"/>
        </w:rPr>
      </w:pPr>
      <w:r>
        <w:rPr>
          <w:rFonts w:ascii="Times New Roman" w:hAnsi="Times New Roman" w:eastAsia="宋体" w:cs="Times New Roman"/>
          <w:bCs/>
          <w:sz w:val="22"/>
        </w:rPr>
        <w:t xml:space="preserve">9.3.3 </w:t>
      </w:r>
      <w:r>
        <w:rPr>
          <w:rFonts w:hint="eastAsia" w:ascii="Times New Roman" w:hAnsi="Times New Roman" w:eastAsia="宋体" w:cs="Times New Roman"/>
          <w:bCs/>
          <w:sz w:val="22"/>
        </w:rPr>
        <w:t>保安部</w:t>
      </w:r>
    </w:p>
    <w:p w14:paraId="0AA0D86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①服务范围</w:t>
      </w:r>
    </w:p>
    <w:p w14:paraId="5647DD3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学校内部及学校围墙周边</w:t>
      </w:r>
    </w:p>
    <w:p w14:paraId="77F0D19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②工作职责</w:t>
      </w:r>
    </w:p>
    <w:p w14:paraId="3C2C904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1、保安队员需持证上岗并按规定着装、佩戴标志和巡逻执勤装备上岗、巡逻</w:t>
      </w:r>
    </w:p>
    <w:p w14:paraId="1FDE5FE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2、上岗时必须着统一制服，特别是工作衣裤整洁，帽子端正。</w:t>
      </w:r>
    </w:p>
    <w:p w14:paraId="4FC5198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3、负责对进出校门的车辆进行管理和疏导，保持大门的整洁和畅通，阻止推销员、商贩等外来无关人员进入校区，并阻止在校园门口50米以内设摊；</w:t>
      </w:r>
    </w:p>
    <w:p w14:paraId="18C4B13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4、对进出校园的可疑人员和车辆进行盘查和查看，来人来访须通知到被访人，经被访人同意后方可进入（门卫指引方向），负责按工作规定要求，做好进出机动车辆的登记工作和人员来访的登记工作；</w:t>
      </w:r>
    </w:p>
    <w:p w14:paraId="32D11CD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5、门卫室当值保安队员必须会熟练操作，并按规定使用和维护门卫设备，发现设备故障必须立即报修；</w:t>
      </w:r>
    </w:p>
    <w:p w14:paraId="5938709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6、非学校教职员工、学生携带大件、贵重物品出入时，要进行询问，做好物品名称和数量的登记；</w:t>
      </w:r>
    </w:p>
    <w:p w14:paraId="6F1A378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7、熟悉各类报警业务范围以及报警电话的使用，一旦发生紧急情况，迅速处置报警；</w:t>
      </w:r>
    </w:p>
    <w:p w14:paraId="2B02236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8、门卫室内严禁出现值班人员脱岗、打瞌睡等现象，严禁从事与学校工作无关的事情；</w:t>
      </w:r>
    </w:p>
    <w:p w14:paraId="69AB48C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9、保持门卫室内及门卫室外50米以内清洁整齐的环境，并做好每日工作情况及交接班记录。</w:t>
      </w:r>
    </w:p>
    <w:p w14:paraId="3CC3186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10、根据治安情况，采取灵活机动的方式，适时调整巡逻路线、时间，巡逻中要注意提高警惕，做好自身防范；</w:t>
      </w:r>
    </w:p>
    <w:p w14:paraId="461FE98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11、巡逻时要注意观察可疑情况，发现重大涉嫌情况，在积极做好应对措施的同时，及时向派出所报告，扭获违法犯罪嫌疑人员，应及时扭送至派出所，防止嫌疑人逃脱或自身受到伤害。</w:t>
      </w:r>
    </w:p>
    <w:p w14:paraId="62769CE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12、做好每日工作情况及交接班记录。</w:t>
      </w:r>
    </w:p>
    <w:p w14:paraId="4FB2326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13、负责清查在上课时间和熄灯休息后仍滞留在一些不该有学生的场所、负责检查并处理在校园内吸烟、酗酒、打架、男女不正当交往、乱丢垃圾、校内闲逛等违反学校规定的学生。</w:t>
      </w:r>
    </w:p>
    <w:p w14:paraId="0007EEE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14、完成领导交办的其他工作任务.</w:t>
      </w:r>
    </w:p>
    <w:p w14:paraId="7431A94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③总体要求</w:t>
      </w:r>
    </w:p>
    <w:p w14:paraId="4713B80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提供保安服务的单位和从业人员必须符合《保安服务管理条例》相关要求，并在其规定的权限内提供服务。具体内容如下：</w:t>
      </w:r>
    </w:p>
    <w:p w14:paraId="51C99EB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1、全天候负责校区大门24小时双岗执勤服务，并对通道、围墙、办公楼、教学楼实施24小时保安、巡逻、值勤。</w:t>
      </w:r>
    </w:p>
    <w:p w14:paraId="1A080CE7">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2、校区外车辆以及来访人员通报、登记、证件检查等。</w:t>
      </w:r>
    </w:p>
    <w:p w14:paraId="755F9FB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3、积极配合公安部门工作，完善监控室管理制度。</w:t>
      </w:r>
    </w:p>
    <w:p w14:paraId="1F1E9D7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4、贯彻执行公安部门关于保安保卫工作方针、政策和有关条例。</w:t>
      </w:r>
    </w:p>
    <w:p w14:paraId="157F2C16">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5、坚决制止物业管理区域内的不文明及违法行为。</w:t>
      </w:r>
    </w:p>
    <w:p w14:paraId="1ECD824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6、定期对电气设备、开关、线路和照明灯具等进行检查。积极开展防盗、防火宣传。</w:t>
      </w:r>
    </w:p>
    <w:p w14:paraId="4A10C7E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7、保安巡逻范围包括区域的公共道路、绿地带、设备用房和各楼的各楼层。</w:t>
      </w:r>
    </w:p>
    <w:p w14:paraId="61FA459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8、处理各种突发事件。</w:t>
      </w:r>
    </w:p>
    <w:p w14:paraId="64186EB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9、实施三级防火责任制和岗位责任制，建立健全防火制度和安全操作制度。</w:t>
      </w:r>
    </w:p>
    <w:p w14:paraId="3445790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10、定期巡视、试验、维修、更新消防器材和设备，指定有关人员负责保养、维修和管理。</w:t>
      </w:r>
    </w:p>
    <w:p w14:paraId="57FB950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11、建筑物内严禁焚烧物品。建筑物内的走道、楼梯、出口等部位，保持畅通，严禁堆放物品。</w:t>
      </w:r>
    </w:p>
    <w:p w14:paraId="0B95E47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12、保安人员上班时着统一的制服，配戴工作证。执勤人员佩带对讲机、警棒、电筒等装备。13、每天负责教学楼内教室门开启和关闭，包括检查门、窗、空调、电扇、灯完好以及开、关，检查粉笔配备。</w:t>
      </w:r>
    </w:p>
    <w:p w14:paraId="63B11A0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13、在学校保卫处的指导下，按要求对管理区域内的消防设备设施进行定期的巡检（设置专人），发现损坏以及遗失的，及时报学校保卫处。</w:t>
      </w:r>
    </w:p>
    <w:p w14:paraId="68ABEA7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14、对整体校园进行24小时安全巡视。</w:t>
      </w:r>
    </w:p>
    <w:p w14:paraId="3806860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24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1次，发现违法违章行为应及时制止，做好传染病防控工作。保安人员的常用装备、易耗品包含在投标总价内，保安用品（常用装备）、耗材（易耗品）清单如下：</w:t>
      </w:r>
    </w:p>
    <w:p w14:paraId="613F177B">
      <w:pPr>
        <w:tabs>
          <w:tab w:val="left" w:pos="7200"/>
        </w:tabs>
        <w:adjustRightInd w:val="0"/>
        <w:snapToGrid w:val="0"/>
        <w:spacing w:line="300" w:lineRule="auto"/>
        <w:ind w:firstLine="440" w:firstLineChars="200"/>
        <w:jc w:val="center"/>
        <w:rPr>
          <w:rFonts w:hint="eastAsia" w:ascii="Cambria Math" w:hAnsi="Cambria Math" w:eastAsia="宋体" w:cs="Cambria Math"/>
          <w:bCs/>
          <w:sz w:val="22"/>
        </w:rPr>
      </w:pPr>
      <w:r>
        <w:rPr>
          <w:rFonts w:hint="eastAsia" w:ascii="Cambria Math" w:hAnsi="Cambria Math" w:eastAsia="宋体" w:cs="Cambria Math"/>
          <w:bCs/>
          <w:sz w:val="22"/>
        </w:rPr>
        <w:t>保安耗材清单</w:t>
      </w:r>
    </w:p>
    <w:tbl>
      <w:tblPr>
        <w:tblStyle w:val="49"/>
        <w:tblW w:w="8460" w:type="dxa"/>
        <w:jc w:val="center"/>
        <w:tblLayout w:type="autofit"/>
        <w:tblCellMar>
          <w:top w:w="0" w:type="dxa"/>
          <w:left w:w="108" w:type="dxa"/>
          <w:bottom w:w="0" w:type="dxa"/>
          <w:right w:w="108" w:type="dxa"/>
        </w:tblCellMar>
      </w:tblPr>
      <w:tblGrid>
        <w:gridCol w:w="1208"/>
        <w:gridCol w:w="3223"/>
        <w:gridCol w:w="1208"/>
        <w:gridCol w:w="1208"/>
        <w:gridCol w:w="1613"/>
      </w:tblGrid>
      <w:tr w14:paraId="4E911478">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05CD">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9A317">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物品名称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BABA8">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规格</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D1903">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5A4846">
            <w:pPr>
              <w:widowControl/>
              <w:jc w:val="center"/>
              <w:textAlignment w:val="center"/>
              <w:rPr>
                <w:rFonts w:ascii="宋体" w:hAnsi="宋体" w:eastAsia="宋体" w:cs="宋体"/>
                <w:b/>
                <w:bCs/>
                <w:color w:val="000000"/>
                <w:sz w:val="22"/>
              </w:rPr>
            </w:pPr>
            <w:r>
              <w:rPr>
                <w:rFonts w:hint="eastAsia" w:ascii="宋体" w:hAnsi="宋体" w:eastAsia="宋体" w:cs="宋体"/>
                <w:b/>
                <w:bCs/>
                <w:color w:val="000000"/>
                <w:kern w:val="0"/>
                <w:sz w:val="22"/>
                <w:lang w:bidi="ar"/>
              </w:rPr>
              <w:t>年用量</w:t>
            </w:r>
          </w:p>
        </w:tc>
      </w:tr>
      <w:tr w14:paraId="76754B47">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0CC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85A6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长警棍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21B0E">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091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3B9C6">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1DB6F400">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233F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04105">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短警棍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48DD1">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70364">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2A71F5">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083EC69A">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A52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08B8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白手套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96ECA">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C40AA">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EEBA0F">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120</w:t>
            </w:r>
          </w:p>
        </w:tc>
      </w:tr>
      <w:tr w14:paraId="3A582CD6">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D501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D3F1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盾牌</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DC3D90">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6460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93F2B2">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0005312D">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D3BD4">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02D0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钢盔</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4378F">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57AA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D8E36">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15</w:t>
            </w:r>
          </w:p>
        </w:tc>
      </w:tr>
      <w:tr w14:paraId="699B59E7">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EB92D">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69B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钢叉</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47CD1">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785C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A5758">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4</w:t>
            </w:r>
          </w:p>
        </w:tc>
      </w:tr>
      <w:tr w14:paraId="7E3D618E">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98FD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94C3C1">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塑料扫帚、簸箕</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6BB59">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B546F">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A29660">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565300FE">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4125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18C68">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小拖把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63333A">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4A12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21C4A">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5E258865">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C38CB">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9AE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海绵拖把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757DC">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3E806">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把</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A043B">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8</w:t>
            </w:r>
          </w:p>
        </w:tc>
      </w:tr>
      <w:tr w14:paraId="48524685">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0BAB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DA6D2">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毛巾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822B8">
            <w:pPr>
              <w:widowControl/>
              <w:jc w:val="center"/>
              <w:textAlignment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0A450">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53236">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28</w:t>
            </w:r>
          </w:p>
        </w:tc>
      </w:tr>
      <w:tr w14:paraId="313B8FDC">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10099">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DEA1C">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纱手套</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4D713D">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BB1D">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副</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C96B3">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60</w:t>
            </w:r>
          </w:p>
        </w:tc>
      </w:tr>
      <w:tr w14:paraId="7B25D54E">
        <w:tblPrEx>
          <w:tblCellMar>
            <w:top w:w="0" w:type="dxa"/>
            <w:left w:w="108" w:type="dxa"/>
            <w:bottom w:w="0" w:type="dxa"/>
            <w:right w:w="108" w:type="dxa"/>
          </w:tblCellMar>
        </w:tblPrEx>
        <w:trPr>
          <w:trHeight w:val="402"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FD45B7">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B099AE">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雨衣</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74EDE">
            <w:pPr>
              <w:jc w:val="center"/>
              <w:rPr>
                <w:rFonts w:ascii="宋体" w:hAnsi="宋体" w:eastAsia="宋体" w:cs="宋体"/>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5FFDA">
            <w:pPr>
              <w:widowControl/>
              <w:jc w:val="center"/>
              <w:textAlignment w:val="center"/>
              <w:rPr>
                <w:rFonts w:ascii="宋体" w:hAnsi="宋体" w:eastAsia="宋体" w:cs="宋体"/>
                <w:color w:val="000000"/>
                <w:sz w:val="22"/>
              </w:rPr>
            </w:pPr>
            <w:r>
              <w:rPr>
                <w:rFonts w:hint="eastAsia" w:ascii="宋体" w:hAnsi="宋体" w:eastAsia="宋体" w:cs="宋体"/>
                <w:color w:val="000000"/>
                <w:kern w:val="0"/>
                <w:sz w:val="22"/>
                <w:lang w:bidi="ar"/>
              </w:rPr>
              <w:t>件</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B8703">
            <w:pPr>
              <w:widowControl/>
              <w:jc w:val="center"/>
              <w:textAlignment w:val="center"/>
              <w:rPr>
                <w:rFonts w:ascii="宋体" w:hAnsi="宋体" w:eastAsia="宋体" w:cs="宋体"/>
                <w:color w:val="000000"/>
                <w:sz w:val="22"/>
              </w:rPr>
            </w:pPr>
            <w:r>
              <w:rPr>
                <w:rFonts w:hint="eastAsia" w:ascii="宋体" w:hAnsi="宋体" w:eastAsia="宋体" w:cs="宋体"/>
                <w:color w:val="000000"/>
                <w:sz w:val="22"/>
              </w:rPr>
              <w:t>30</w:t>
            </w:r>
          </w:p>
        </w:tc>
      </w:tr>
    </w:tbl>
    <w:p w14:paraId="239A234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车辆管理</w:t>
      </w:r>
    </w:p>
    <w:p w14:paraId="7EF6205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1、制定停车使用条例，停车管理规定。</w:t>
      </w:r>
    </w:p>
    <w:p w14:paraId="534971B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2、外来车辆进出辖区办理登记手续、记录车牌号码、进出时间。</w:t>
      </w:r>
    </w:p>
    <w:p w14:paraId="2AFB554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3、进入辖区停放的车辆，必须停放在划定的车位、车棚内。行车通道、消防通道及非停车位禁止停车。</w:t>
      </w:r>
    </w:p>
    <w:p w14:paraId="52EF1D0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4、进入辖区的车辆严禁鸣笛，限速5公里／小时行驶。</w:t>
      </w:r>
    </w:p>
    <w:p w14:paraId="2C69C8E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5、保安队员严格执行车辆出入规定。</w:t>
      </w:r>
    </w:p>
    <w:p w14:paraId="7EF5333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6、保安队员若发现车辆门、窗没关好，速找车主提醒注意。</w:t>
      </w:r>
    </w:p>
    <w:p w14:paraId="2A92475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服务标准：确保车辆进出有记录、停放进出井然有序、车道通畅。凡装有易燃、易爆、剧毒物品或有污染性物品的车辆及其他来历不明车辆严禁驶入管理区内。</w:t>
      </w:r>
    </w:p>
    <w:p w14:paraId="100575A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④工作时长要求</w:t>
      </w:r>
    </w:p>
    <w:p w14:paraId="5583932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详见9.1岗位设置表</w:t>
      </w:r>
    </w:p>
    <w:p w14:paraId="2CF60B10">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⑤人员自身要求</w:t>
      </w:r>
    </w:p>
    <w:p w14:paraId="41A2FCE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保安参照“上海市保安服务行业协会”沪保协（2018）001号文件，《2018年度人力防范最低合同指导价》，并结合教育局实际情况，考虑三年内人力成本增长等因素），配置保安人员必须持有保安员上岗证。保安员年龄的要求按市教委、市公安局相关文件规定执行；健康状况良好;无刑事犯罪以及其他不良记录；无精神病史或影响保安工作的其他疾病。</w:t>
      </w:r>
    </w:p>
    <w:p w14:paraId="3910897D">
      <w:pPr>
        <w:tabs>
          <w:tab w:val="left" w:pos="7200"/>
        </w:tabs>
        <w:adjustRightInd w:val="0"/>
        <w:snapToGrid w:val="0"/>
        <w:spacing w:line="300" w:lineRule="auto"/>
        <w:ind w:firstLine="440" w:firstLineChars="200"/>
        <w:outlineLvl w:val="4"/>
        <w:rPr>
          <w:rFonts w:ascii="Times New Roman" w:hAnsi="Times New Roman" w:eastAsia="宋体" w:cs="Times New Roman"/>
          <w:bCs/>
          <w:sz w:val="22"/>
        </w:rPr>
      </w:pPr>
      <w:r>
        <w:rPr>
          <w:rFonts w:ascii="Times New Roman" w:hAnsi="Times New Roman" w:eastAsia="宋体" w:cs="Times New Roman"/>
          <w:bCs/>
          <w:sz w:val="22"/>
        </w:rPr>
        <w:t>9.3.</w:t>
      </w:r>
      <w:r>
        <w:rPr>
          <w:rFonts w:hint="eastAsia" w:ascii="Times New Roman" w:hAnsi="Times New Roman" w:eastAsia="宋体" w:cs="Times New Roman"/>
          <w:bCs/>
          <w:sz w:val="22"/>
        </w:rPr>
        <w:t>4</w:t>
      </w:r>
      <w:r>
        <w:rPr>
          <w:rFonts w:hint="eastAsia" w:ascii="Calibri" w:hAnsi="Calibri" w:eastAsia="宋体" w:cs="Times New Roman"/>
        </w:rPr>
        <w:t>维修部</w:t>
      </w:r>
    </w:p>
    <w:p w14:paraId="04E9F86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①服务范围</w:t>
      </w:r>
    </w:p>
    <w:p w14:paraId="2905EBE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校内</w:t>
      </w:r>
    </w:p>
    <w:p w14:paraId="334D0F7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②工作职责</w:t>
      </w:r>
    </w:p>
    <w:p w14:paraId="1E8743A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1、服从上级的工作安排。</w:t>
      </w:r>
    </w:p>
    <w:p w14:paraId="5B6602C6">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2、熟悉和了解管理处和部门的各项规章制度、管理目标以及各项考评标准。</w:t>
      </w:r>
    </w:p>
    <w:p w14:paraId="4928AAE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3、掌握物业管理的有关知识，树立为业主服务的思想。</w:t>
      </w:r>
    </w:p>
    <w:p w14:paraId="3BA25BC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4、熟悉物业区域各类房屋的结构特点、使用要求以及其维修、养护的方法。</w:t>
      </w:r>
    </w:p>
    <w:p w14:paraId="6D9D127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5、熟悉物业区域内设施、设备的种类、分布，掌握各类管道（地下、地上）的分布、走向、位置以及其维修及养护的方法。</w:t>
      </w:r>
    </w:p>
    <w:p w14:paraId="775F0F1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6、每天对自己的责任区要巡视，发现房屋及设施、设备有损坏、隐患或其他不正常的情况，应及时报修或维修，确保设施设备能正常使用。</w:t>
      </w:r>
    </w:p>
    <w:p w14:paraId="7704EDB7">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7、确保自己责任区内的地上、地下排污、雨水管道的畅通，每月检查一次，对于污水突然外溢的，应在半小时内组织疏通。化粪池充满达80%以上，应及时上报主管，由主管联系有资质的的人员进行清理。</w:t>
      </w:r>
    </w:p>
    <w:p w14:paraId="4612A21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8、上门维修应做到态度热情，服务周到。</w:t>
      </w:r>
    </w:p>
    <w:p w14:paraId="4D7A03C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9、积极参加管理处组织的各项义务活动和物业管理专业知识的培训，努力提高自己的维修技能。</w:t>
      </w:r>
    </w:p>
    <w:p w14:paraId="4730F6C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10、完成领导交办的其他工作任务。</w:t>
      </w:r>
    </w:p>
    <w:p w14:paraId="71560A4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③总体要求</w:t>
      </w:r>
    </w:p>
    <w:p w14:paraId="633E3DF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建筑物日常维修、养护、管理（维修材料费由采购人承担）</w:t>
      </w:r>
    </w:p>
    <w:p w14:paraId="183772A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1.房屋地面、墙台面及吊顶、门窗、楼梯、通风道等日常养护维修。</w:t>
      </w:r>
    </w:p>
    <w:p w14:paraId="3AA216F4">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2.大修、装修的施工管理配合与相应水电使用管理与安全管理。</w:t>
      </w:r>
    </w:p>
    <w:p w14:paraId="5D45A635">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24小时，回访率应为100%。对房屋日常维修、养护记录完整。</w:t>
      </w:r>
    </w:p>
    <w:p w14:paraId="2AA52EB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公共设备维护、保养（维修材料费由采购人承担）</w:t>
      </w:r>
    </w:p>
    <w:p w14:paraId="4C3E41E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11891F1A">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1.给排水、供水系统：</w:t>
      </w:r>
    </w:p>
    <w:p w14:paraId="4848E54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（1）建立正常用水、供水、排水管理制度并根据实际使用情况制订年度设备、设施管理、维修保养计划及总体节能计划；</w:t>
      </w:r>
    </w:p>
    <w:p w14:paraId="5FEC730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（2）节约用水，防止冒、滴、漏，大面积跑水事故的发生；</w:t>
      </w:r>
    </w:p>
    <w:p w14:paraId="65E42FB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（3）保持供水系统的正常运转，定期检查水泵运转情况；</w:t>
      </w:r>
    </w:p>
    <w:p w14:paraId="793D0F0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（4）保持水池、水箱的清洁卫生，防止二次污染（水箱清洗费用由采购人承担）；</w:t>
      </w:r>
    </w:p>
    <w:p w14:paraId="5DE22E1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（5）定期检修维护供水系统管路、水泵、水池、水箱、阀门、水表，保证其正常运转；</w:t>
      </w:r>
    </w:p>
    <w:p w14:paraId="50442B2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（6）保证排水系统的正常运转，防止阻塞；</w:t>
      </w:r>
    </w:p>
    <w:p w14:paraId="7A27F97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（7）停水预先通知业主及用户，以便做好安排。</w:t>
      </w:r>
    </w:p>
    <w:p w14:paraId="588F159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服务标准：每日一次对给水系统进行检查巡视，压力符合要求，仪表指示准确，保证给排水系统</w:t>
      </w:r>
    </w:p>
    <w:p w14:paraId="66396C6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正常运行使用。建立正常供水管理制度，防止跑、冒、滴、漏，对供水系统管路、水泵、水箱、阀门、机电设备等进行日常维护，每月检查、保养、维护、清洁一次；二次供水水箱保持清洁卫生，水箱由业主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100％；给排水系统发生事故时，维修人员在10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1A7F7ED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2.机电、照明及自动化系统管理：</w:t>
      </w:r>
    </w:p>
    <w:p w14:paraId="51FFC4D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（1）对管理区域内供电系统高、低压电器设备、明装置等设备正常运行使用进行日常管理和养护维修并根据实际使用情况制订年度总体节能计划。</w:t>
      </w:r>
    </w:p>
    <w:p w14:paraId="61B2B22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（2）建立严格的配送电运行制度和电气维修制度。</w:t>
      </w:r>
    </w:p>
    <w:p w14:paraId="4C36BA1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（3）供电和维修人员持证上岗。并配主管电气工程师。做到发现故障、及时排除。</w:t>
      </w:r>
    </w:p>
    <w:p w14:paraId="3478E3D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（4）保证公共使用的照明、指示、显示灯完好；符合电气线路符设计、施工技术要求，线路负荷要满足用户的要求、确保发配电设备安全运行。</w:t>
      </w:r>
    </w:p>
    <w:p w14:paraId="4C259A12">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（5）停电限电事先出通知、以免影响正常教学生活秩序。</w:t>
      </w:r>
    </w:p>
    <w:p w14:paraId="568C325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（6）对临时施工工程有用电管理措施。</w:t>
      </w:r>
    </w:p>
    <w:p w14:paraId="6CBC977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（7）发生特殊情况，如火灾、地震、水灾时，及时切断电源。</w:t>
      </w:r>
    </w:p>
    <w:p w14:paraId="4E2D3406">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（8）负责对路灯、庭园灯电源的操作，保证供电正常。</w:t>
      </w:r>
    </w:p>
    <w:p w14:paraId="2024B92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（9）确保管理区域内所有公共及专用照明灯管灯泡完好，发现损坏，联系相关单位及时更换。</w:t>
      </w:r>
    </w:p>
    <w:p w14:paraId="47AD9A03">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（10）负责管理区域内楼音源、服务器、喇叭正常使用及维修保养工作。</w:t>
      </w:r>
    </w:p>
    <w:p w14:paraId="321B188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2小时，维修合格率100％；加强日常维护检修，公共使用的照明、指示灯具线路、开关要保证完好，确保用电完全；管理和维护好管理区域内照明设施；制定突发事件应急处理程序和临时用电管理措施，明确停、送审批权限；供电设备完好率达到99％、弱电设备完好率达到98％。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箱)、管道、金属构架物接地良好。一年内无重大管理责任事故。</w:t>
      </w:r>
    </w:p>
    <w:p w14:paraId="492D656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3.消防系统：</w:t>
      </w:r>
    </w:p>
    <w:p w14:paraId="22DE5F7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消防系统日常维保由采购人另行委托专业单位负责，中标单位需要做好日常服务监管以及故障报修工作。</w:t>
      </w:r>
    </w:p>
    <w:p w14:paraId="460E132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（1）对火灾自动报警系统；自动喷淋系统；室内灭火栓；排防烟系统；安全疏散、应急系统；防火门系统；二氧化碳等灭火系统进行日常管理和养护维修。</w:t>
      </w:r>
    </w:p>
    <w:p w14:paraId="105B977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（2）按时对消防、喷淋、配电系统做启动测试，管道养护工作。将水管内污水排空，保证消防系统在应急处理中能正常运转，培训有关人员学会应急处理的方法。</w:t>
      </w:r>
    </w:p>
    <w:p w14:paraId="48EA28C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（3）负责对消防水电设施进行例行保养，定期检查消防栓和消防器械。消防水电设施确保运行良好。</w:t>
      </w:r>
    </w:p>
    <w:p w14:paraId="6F91AEFE">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100％；安全出口、疏散指示灯在火灾时应维持90分钟以上的照明时间，引路标志完好，紧急疏散通道畅通；消防水带每半年检查一次，应无破损、发黑、发霉现象；联动控制台工作正常、显示正确，系统误报率不超过3％；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2F07497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4.空调系统运行维护</w:t>
      </w:r>
    </w:p>
    <w:p w14:paraId="7ABDC74D">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空调系统日常维保由采购人另行委托专业单位负责，中标单位需要做好日常服务监管以及故障报修工作。</w:t>
      </w:r>
    </w:p>
    <w:p w14:paraId="64B2CFC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（1）集中空调系统的运行管理及冷水机组、新风机组、水泵、风机盘管、管道系统、各种阀类、采气装置和各类风口、自动控制系统等设备的日常养护维修。</w:t>
      </w:r>
    </w:p>
    <w:p w14:paraId="44145F78">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（2）建立空调运行管理制度和安全操作规程，保证空调系统安全运行和正常使用。</w:t>
      </w:r>
    </w:p>
    <w:p w14:paraId="53AE7E5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（3）根据实际使用情况制订年度总体节能计划。</w:t>
      </w:r>
    </w:p>
    <w:p w14:paraId="6E0BEEEB">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服务标准：定期巡查设备运行状态并记录运行参数；每月检查空调主机，测试运行控制和安全控制功能，分析运行数据；定期检查冷却塔电机、变速箱、布水器及其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除)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如冷却水循环管道、冷冻水循环管道风管、新风系统等的管件、阀门、电气控制、隔热保温等)进行严格细致的检查、清洗、测试和调整，确定正常后方能投入运行；空调系统出现运行故障后，维修人员应在10分钟内到达现场发现故障原因，并及时联系维保单位实施维修，并做好记录，维修合格率100％。</w:t>
      </w:r>
    </w:p>
    <w:p w14:paraId="271913CF">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设备类总体运行标准详见《全国城市物业管理示范大厦标准及评分细则》</w:t>
      </w:r>
    </w:p>
    <w:p w14:paraId="3DB8A556">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（4）工作时间要求</w:t>
      </w:r>
    </w:p>
    <w:p w14:paraId="44070541">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详见9.1岗位设置表</w:t>
      </w:r>
    </w:p>
    <w:p w14:paraId="56AA0F89">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（5）人员自身要求</w:t>
      </w:r>
    </w:p>
    <w:p w14:paraId="01C27A5C">
      <w:pPr>
        <w:tabs>
          <w:tab w:val="left" w:pos="7200"/>
        </w:tabs>
        <w:adjustRightInd w:val="0"/>
        <w:snapToGrid w:val="0"/>
        <w:spacing w:line="300" w:lineRule="auto"/>
        <w:ind w:firstLine="440" w:firstLineChars="200"/>
        <w:jc w:val="left"/>
        <w:rPr>
          <w:rFonts w:ascii="Times New Roman" w:hAnsi="Times New Roman" w:eastAsia="宋体" w:cs="Times New Roman"/>
          <w:bCs/>
          <w:sz w:val="22"/>
        </w:rPr>
      </w:pPr>
      <w:r>
        <w:rPr>
          <w:rFonts w:hint="eastAsia" w:ascii="Times New Roman" w:hAnsi="Times New Roman" w:eastAsia="宋体" w:cs="Times New Roman"/>
          <w:bCs/>
          <w:sz w:val="22"/>
        </w:rPr>
        <w:t>身体健康，工作勤劳，维修人员持证上岗（电工需有高、低压证书），确保水电运行正常，确保排水、排污畅通，确保房屋设施得到有效保养和维护，对维保设备做到定期检查、定期保养、定期测试。</w:t>
      </w:r>
    </w:p>
    <w:p w14:paraId="58A21540">
      <w:pPr>
        <w:tabs>
          <w:tab w:val="left" w:pos="7200"/>
        </w:tabs>
        <w:adjustRightInd w:val="0"/>
        <w:snapToGrid w:val="0"/>
        <w:spacing w:line="300" w:lineRule="auto"/>
        <w:ind w:firstLine="440" w:firstLineChars="200"/>
        <w:outlineLvl w:val="4"/>
        <w:rPr>
          <w:rFonts w:ascii="Times New Roman" w:hAnsi="Times New Roman" w:eastAsia="宋体" w:cs="Times New Roman"/>
          <w:bCs/>
          <w:sz w:val="22"/>
        </w:rPr>
      </w:pPr>
      <w:r>
        <w:rPr>
          <w:rFonts w:ascii="Times New Roman" w:hAnsi="Times New Roman" w:eastAsia="宋体" w:cs="Times New Roman"/>
          <w:bCs/>
          <w:sz w:val="22"/>
        </w:rPr>
        <w:t>9.3.</w:t>
      </w:r>
      <w:r>
        <w:rPr>
          <w:rFonts w:hint="eastAsia" w:ascii="Times New Roman" w:hAnsi="Times New Roman" w:eastAsia="宋体" w:cs="Times New Roman"/>
          <w:bCs/>
          <w:sz w:val="22"/>
        </w:rPr>
        <w:t>5</w:t>
      </w:r>
      <w:r>
        <w:rPr>
          <w:rFonts w:ascii="Times New Roman" w:hAnsi="Times New Roman" w:eastAsia="宋体" w:cs="Times New Roman"/>
          <w:bCs/>
          <w:sz w:val="22"/>
        </w:rPr>
        <w:t xml:space="preserve"> </w:t>
      </w:r>
      <w:r>
        <w:rPr>
          <w:rFonts w:hint="eastAsia" w:ascii="Times New Roman" w:hAnsi="Times New Roman" w:eastAsia="宋体" w:cs="Times New Roman"/>
          <w:bCs/>
          <w:sz w:val="22"/>
        </w:rPr>
        <w:t>后勤部</w:t>
      </w:r>
    </w:p>
    <w:p w14:paraId="0F44038E">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(1) 服务范围</w:t>
      </w:r>
    </w:p>
    <w:p w14:paraId="2C41D9D8">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校内</w:t>
      </w:r>
    </w:p>
    <w:p w14:paraId="656CBC74">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(2) 工作职责</w:t>
      </w:r>
    </w:p>
    <w:p w14:paraId="61A1C1A9">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1.必须留意节约用水、用电。</w:t>
      </w:r>
    </w:p>
    <w:p w14:paraId="205E11E3">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2.及时做好各办公室、会议室、多功能室、微机室、校长室、教诲处、老师阅览室的卫生，办公楼走廊、楼梯卫生，并做好各办公室的报刊整理上架工作。</w:t>
      </w:r>
    </w:p>
    <w:p w14:paraId="40D382E6">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3.每天负责及时开关老师办公室、广播室门窗，教学楼、办公楼有关铁门。</w:t>
      </w:r>
    </w:p>
    <w:p w14:paraId="7AC5B8CD">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4.学校有会议时，要负责供给开水，清洗好杯子，多功能室开放时也要负责供给开水，并及时搞好卫生。</w:t>
      </w:r>
    </w:p>
    <w:p w14:paraId="158FDF66">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5.全面负责楼内公共资产和设备设施等日常管理工作，注意教学设施运作情况并保管好教学区域的教学设施。</w:t>
      </w:r>
    </w:p>
    <w:p w14:paraId="240F3F1A">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6.完成领导交办的其他工作任务。</w:t>
      </w:r>
    </w:p>
    <w:p w14:paraId="5516FF51">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(3) 总体要求</w:t>
      </w:r>
    </w:p>
    <w:p w14:paraId="48F5D7D1">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(一)会议服务</w:t>
      </w:r>
    </w:p>
    <w:p w14:paraId="0D53AEE2">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为管理区域内举办的各类会议、活动提供服务</w:t>
      </w:r>
    </w:p>
    <w:p w14:paraId="0436B315">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（1）会场布置、会议材料复印、发放，与会人员登记、会议礼仪接待、引导服务等。</w:t>
      </w:r>
    </w:p>
    <w:p w14:paraId="3E6856CE">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（2）视频、音响保障。</w:t>
      </w:r>
    </w:p>
    <w:p w14:paraId="00211618">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（3）会议期间开水供应及相关服务</w:t>
      </w:r>
    </w:p>
    <w:p w14:paraId="2F3E33C3">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（4）会议后会场整理、保洁服务</w:t>
      </w:r>
    </w:p>
    <w:p w14:paraId="75ACDF35">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服务标准：建立会议室管理制度，制订会议服务规程并认真落实，做好会议室的音响服务，礼仪接待周到、规范。保证会议期间茶水供应并定时续水，会前会后打扫室内卫生，保持室内整洁，会场布置及时。</w:t>
      </w:r>
    </w:p>
    <w:p w14:paraId="4AC9B3F4">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(二)公共关系管理</w:t>
      </w:r>
    </w:p>
    <w:p w14:paraId="14234C46">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1、主动联系管理区域内水、电、气的供应、管理部门和环卫、公安等部门，建立良好关系和应急协调机制。</w:t>
      </w:r>
    </w:p>
    <w:p w14:paraId="330AFC9F">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2、主动联系管理区域内公共设备制造供应商，了解设备大修、维护情况，建立良好关系和应急协调机制。</w:t>
      </w:r>
    </w:p>
    <w:p w14:paraId="2C745414">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3、制作材质好、外观美的名牌、标牌、告示牌、警示牌等指示牌，与校区整体设计相呼应。</w:t>
      </w:r>
    </w:p>
    <w:p w14:paraId="01454E1B">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服务标准：对外与各相关部门建立良好联系，在有事情况下能够获得及时支持与帮助。对内定期了解和满足业主需求，提高服务管理水准。</w:t>
      </w:r>
    </w:p>
    <w:p w14:paraId="05CEFC8F">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(三)档案管理</w:t>
      </w:r>
    </w:p>
    <w:p w14:paraId="76CCE90A">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1、建立管理人员人事档案和各类行政文件、合同的存档工作。</w:t>
      </w:r>
    </w:p>
    <w:p w14:paraId="1F98D28E">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2、健全所有建筑物、公用设施、设备的图纸资料，及时增加修改资料。</w:t>
      </w:r>
    </w:p>
    <w:p w14:paraId="4BA9D0CC">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3、建立设备、设施、保安、保洁、车辆等日常运作管理档案。</w:t>
      </w:r>
    </w:p>
    <w:p w14:paraId="4977A06C">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4、所有资料及管理资料分为图、档、卡、册四类，安放于防火、防潮、防蛀之专用档案箱内。</w:t>
      </w:r>
    </w:p>
    <w:p w14:paraId="3ACC9C43">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服务标准：所有有关管理区域管理档案资料，必须保证完整、完好，撤离时全部移交采购人。</w:t>
      </w:r>
    </w:p>
    <w:p w14:paraId="1BB842D7">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(四)勤杂服务</w:t>
      </w:r>
    </w:p>
    <w:p w14:paraId="4DFA7F9D">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1、负责学校体育馆管理工作，包括12小时值班，控制人员进出，场馆安全巡视等工作。</w:t>
      </w:r>
    </w:p>
    <w:p w14:paraId="34C48F73">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2、负责项目快递收发与重点科室的物资运送。</w:t>
      </w:r>
    </w:p>
    <w:p w14:paraId="3515342F">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(4) 工作时间要求</w:t>
      </w:r>
    </w:p>
    <w:p w14:paraId="59E00748">
      <w:pPr>
        <w:tabs>
          <w:tab w:val="left" w:pos="7200"/>
        </w:tabs>
        <w:adjustRightInd w:val="0"/>
        <w:snapToGrid w:val="0"/>
        <w:spacing w:line="300" w:lineRule="auto"/>
        <w:ind w:firstLine="442" w:firstLineChars="200"/>
        <w:rPr>
          <w:rFonts w:ascii="Times New Roman" w:hAnsi="Times New Roman" w:eastAsia="宋体" w:cs="Times New Roman"/>
          <w:b/>
          <w:sz w:val="22"/>
        </w:rPr>
      </w:pPr>
      <w:r>
        <w:rPr>
          <w:rFonts w:hint="eastAsia" w:ascii="Times New Roman" w:hAnsi="Times New Roman" w:eastAsia="宋体" w:cs="Times New Roman"/>
          <w:b/>
          <w:sz w:val="22"/>
        </w:rPr>
        <w:t>详见9.1岗位配置表</w:t>
      </w:r>
    </w:p>
    <w:p w14:paraId="17685EE8">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(5)人员自身要求</w:t>
      </w:r>
    </w:p>
    <w:p w14:paraId="4F472193">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身体健康，工作勤劳、仔细，熟悉电脑操作、熟练运用各类办公软件。</w:t>
      </w:r>
    </w:p>
    <w:p w14:paraId="396C8FC3">
      <w:pPr>
        <w:adjustRightInd w:val="0"/>
        <w:snapToGrid w:val="0"/>
        <w:spacing w:line="300" w:lineRule="auto"/>
        <w:ind w:firstLine="440" w:firstLineChars="200"/>
        <w:outlineLvl w:val="4"/>
        <w:rPr>
          <w:rFonts w:ascii="Times New Roman" w:hAnsi="Times New Roman" w:eastAsia="宋体" w:cs="Times New Roman"/>
          <w:sz w:val="22"/>
        </w:rPr>
      </w:pPr>
      <w:r>
        <w:rPr>
          <w:rFonts w:ascii="Times New Roman" w:hAnsi="Times New Roman" w:eastAsia="宋体" w:cs="Times New Roman"/>
          <w:sz w:val="22"/>
        </w:rPr>
        <w:t>9.3.</w:t>
      </w:r>
      <w:r>
        <w:rPr>
          <w:rFonts w:hint="eastAsia" w:ascii="Times New Roman" w:hAnsi="Times New Roman" w:eastAsia="宋体" w:cs="Times New Roman"/>
          <w:sz w:val="22"/>
        </w:rPr>
        <w:t>6 其他要求</w:t>
      </w:r>
    </w:p>
    <w:p w14:paraId="549D99C2">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①中标人为本项目配备的所有服务人员都需经过岗前培训合格后才能上岗。</w:t>
      </w:r>
    </w:p>
    <w:p w14:paraId="1D9BB645">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66AA3692">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hint="eastAsia" w:ascii="Times New Roman" w:hAnsi="Times New Roman" w:eastAsia="宋体" w:cs="Times New Roman"/>
          <w:bCs/>
          <w:sz w:val="22"/>
        </w:rPr>
        <w:t>③中标人需严格按照标准化的操作程序、完善的培训体系和质量控制体系完成本项目，以保证整个后勤系统安全、高效、有序和有计划地运转。</w:t>
      </w:r>
    </w:p>
    <w:p w14:paraId="55841E05">
      <w:pPr>
        <w:adjustRightInd w:val="0"/>
        <w:snapToGrid w:val="0"/>
        <w:spacing w:line="300" w:lineRule="auto"/>
        <w:ind w:firstLine="442" w:firstLineChars="200"/>
        <w:outlineLvl w:val="2"/>
        <w:rPr>
          <w:rFonts w:ascii="Times New Roman" w:hAnsi="Times New Roman" w:eastAsia="宋体" w:cs="Times New Roman"/>
          <w:b/>
          <w:bCs/>
          <w:sz w:val="22"/>
        </w:rPr>
      </w:pPr>
      <w:bookmarkStart w:id="36" w:name="_Toc243060108"/>
      <w:r>
        <w:rPr>
          <w:rFonts w:ascii="Times New Roman" w:hAnsi="Times New Roman" w:eastAsia="宋体" w:cs="Times New Roman"/>
          <w:b/>
          <w:bCs/>
          <w:sz w:val="22"/>
        </w:rPr>
        <w:t>10 安全文明作业要求和应急处置要求</w:t>
      </w:r>
      <w:bookmarkEnd w:id="36"/>
    </w:p>
    <w:p w14:paraId="5F169B40">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1）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735CD770">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（2）中标人在项目实施期间，必须遵守国家与上海市各项有关安全作业规章、规范与制度，建立动用明火申请批准制度，安全用电等制度，确保杜绝各类事故的发生。</w:t>
      </w:r>
    </w:p>
    <w:p w14:paraId="1DFBD898">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（3）中标人在提供物业服务时，如岗位涉及维护修理等工作，其负责人应具有专业证书，服务人员必须持证上岗。中标人对其提供服务的人员的人身安全负责，对采购方、第三方的人身安全和财产安全负责。</w:t>
      </w:r>
    </w:p>
    <w:p w14:paraId="5D020F2A">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（4）中标人在提供物业服务时必须保护好服务区域内的环境和原有建筑、装饰与设施，保证环境和原有建筑、装饰与设施完好。</w:t>
      </w:r>
    </w:p>
    <w:p w14:paraId="6EDD627F">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（5）各投标人在投标文件中要结合本项目的特点和采购人上述的具体要求制定相应的安全文明施工措施。</w:t>
      </w:r>
    </w:p>
    <w:p w14:paraId="4CD4CD24">
      <w:pPr>
        <w:tabs>
          <w:tab w:val="left" w:pos="7200"/>
        </w:tabs>
        <w:adjustRightInd w:val="0"/>
        <w:snapToGrid w:val="0"/>
        <w:spacing w:line="300" w:lineRule="auto"/>
        <w:ind w:firstLine="440" w:firstLineChars="200"/>
        <w:rPr>
          <w:rFonts w:ascii="Times New Roman" w:hAnsi="Times New Roman" w:eastAsia="宋体" w:cs="Times New Roman"/>
          <w:bCs/>
          <w:sz w:val="22"/>
        </w:rPr>
      </w:pPr>
      <w:r>
        <w:rPr>
          <w:rFonts w:ascii="Times New Roman" w:hAnsi="Times New Roman" w:eastAsia="宋体" w:cs="Times New Roman"/>
          <w:bCs/>
          <w:sz w:val="22"/>
        </w:rPr>
        <w:t>（6）建立突发事件应急处置方案，定期开展防灾防火应急疏散演练，并做好相应记录。</w:t>
      </w:r>
    </w:p>
    <w:p w14:paraId="57F9EDF3">
      <w:pPr>
        <w:adjustRightInd w:val="0"/>
        <w:snapToGrid w:val="0"/>
        <w:spacing w:line="300" w:lineRule="auto"/>
        <w:ind w:firstLine="442" w:firstLineChars="200"/>
        <w:outlineLvl w:val="2"/>
        <w:rPr>
          <w:rFonts w:ascii="Times New Roman" w:hAnsi="Times New Roman" w:eastAsia="宋体" w:cs="Times New Roman"/>
          <w:b/>
          <w:bCs/>
          <w:sz w:val="22"/>
        </w:rPr>
      </w:pPr>
      <w:bookmarkStart w:id="37" w:name="_Toc243060109"/>
      <w:r>
        <w:rPr>
          <w:rFonts w:ascii="Times New Roman" w:hAnsi="Times New Roman" w:eastAsia="宋体" w:cs="Times New Roman"/>
          <w:b/>
          <w:bCs/>
          <w:sz w:val="22"/>
        </w:rPr>
        <w:t>11考核管理办法和要求</w:t>
      </w:r>
      <w:bookmarkEnd w:id="37"/>
    </w:p>
    <w:p w14:paraId="54E54287">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（一）考核依据</w:t>
      </w:r>
    </w:p>
    <w:p w14:paraId="399FD17E">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物业服务合同、招标文件所委托的物业管理服务范围、服务内容、服务要求（标准）和投标文件。</w:t>
      </w:r>
    </w:p>
    <w:p w14:paraId="7DFD69FA">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（二）考核等级</w:t>
      </w:r>
    </w:p>
    <w:p w14:paraId="7DCA3246">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1、考核分90分（含90分）以上为优秀。</w:t>
      </w:r>
    </w:p>
    <w:p w14:paraId="4FD0679C">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2、考核分89分～70分为合格。</w:t>
      </w:r>
    </w:p>
    <w:p w14:paraId="38F4A593">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3、考核分69分～60分为基本合格。</w:t>
      </w:r>
    </w:p>
    <w:p w14:paraId="6163A801">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4、考核分60分以下为不合格。</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260"/>
        <w:gridCol w:w="2260"/>
        <w:gridCol w:w="2554"/>
      </w:tblGrid>
      <w:tr w14:paraId="1213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60" w:type="dxa"/>
          </w:tcPr>
          <w:p w14:paraId="255EB8AD">
            <w:pPr>
              <w:widowControl/>
              <w:spacing w:line="360" w:lineRule="atLeast"/>
              <w:jc w:val="center"/>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考核单位</w:t>
            </w:r>
          </w:p>
        </w:tc>
        <w:tc>
          <w:tcPr>
            <w:tcW w:w="2260" w:type="dxa"/>
            <w:tcMar>
              <w:top w:w="0" w:type="dxa"/>
              <w:left w:w="108" w:type="dxa"/>
              <w:bottom w:w="0" w:type="dxa"/>
              <w:right w:w="108" w:type="dxa"/>
            </w:tcMar>
          </w:tcPr>
          <w:p w14:paraId="17A94911">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考核分</w:t>
            </w:r>
          </w:p>
        </w:tc>
        <w:tc>
          <w:tcPr>
            <w:tcW w:w="2554" w:type="dxa"/>
            <w:tcMar>
              <w:top w:w="0" w:type="dxa"/>
              <w:left w:w="108" w:type="dxa"/>
              <w:bottom w:w="0" w:type="dxa"/>
              <w:right w:w="108" w:type="dxa"/>
            </w:tcMar>
          </w:tcPr>
          <w:p w14:paraId="7C6ECFA1">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等级</w:t>
            </w:r>
          </w:p>
        </w:tc>
      </w:tr>
      <w:tr w14:paraId="510B0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60" w:type="dxa"/>
            <w:vMerge w:val="restart"/>
            <w:vAlign w:val="center"/>
          </w:tcPr>
          <w:p w14:paraId="571CBA38">
            <w:pPr>
              <w:widowControl/>
              <w:spacing w:line="360" w:lineRule="atLeast"/>
              <w:jc w:val="center"/>
              <w:rPr>
                <w:rFonts w:ascii="Times New Roman" w:hAnsi="Times New Roman" w:eastAsia="宋体" w:cs="Times New Roman"/>
                <w:color w:val="000000"/>
                <w:kern w:val="0"/>
                <w:sz w:val="22"/>
              </w:rPr>
            </w:pPr>
            <w:r>
              <w:rPr>
                <w:rFonts w:hint="eastAsia" w:ascii="Times New Roman" w:hAnsi="Times New Roman" w:eastAsia="宋体" w:cs="Times New Roman"/>
                <w:color w:val="000000"/>
                <w:kern w:val="0"/>
                <w:sz w:val="22"/>
              </w:rPr>
              <w:t>上海市泾南中学</w:t>
            </w:r>
          </w:p>
        </w:tc>
        <w:tc>
          <w:tcPr>
            <w:tcW w:w="2260" w:type="dxa"/>
            <w:tcMar>
              <w:top w:w="0" w:type="dxa"/>
              <w:left w:w="108" w:type="dxa"/>
              <w:bottom w:w="0" w:type="dxa"/>
              <w:right w:w="108" w:type="dxa"/>
            </w:tcMar>
          </w:tcPr>
          <w:p w14:paraId="28E8B003">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90分以上</w:t>
            </w:r>
          </w:p>
        </w:tc>
        <w:tc>
          <w:tcPr>
            <w:tcW w:w="2554" w:type="dxa"/>
            <w:tcMar>
              <w:top w:w="0" w:type="dxa"/>
              <w:left w:w="108" w:type="dxa"/>
              <w:bottom w:w="0" w:type="dxa"/>
              <w:right w:w="108" w:type="dxa"/>
            </w:tcMar>
          </w:tcPr>
          <w:p w14:paraId="620823F3">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优秀</w:t>
            </w:r>
          </w:p>
        </w:tc>
      </w:tr>
      <w:tr w14:paraId="0333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60" w:type="dxa"/>
            <w:vMerge w:val="continue"/>
          </w:tcPr>
          <w:p w14:paraId="35D31B7B">
            <w:pPr>
              <w:widowControl/>
              <w:spacing w:line="360" w:lineRule="atLeast"/>
              <w:jc w:val="center"/>
              <w:rPr>
                <w:rFonts w:ascii="Times New Roman" w:hAnsi="Times New Roman" w:eastAsia="宋体" w:cs="Times New Roman"/>
                <w:color w:val="000000"/>
                <w:kern w:val="0"/>
                <w:sz w:val="22"/>
              </w:rPr>
            </w:pPr>
          </w:p>
        </w:tc>
        <w:tc>
          <w:tcPr>
            <w:tcW w:w="2260" w:type="dxa"/>
            <w:tcMar>
              <w:top w:w="0" w:type="dxa"/>
              <w:left w:w="108" w:type="dxa"/>
              <w:bottom w:w="0" w:type="dxa"/>
              <w:right w:w="108" w:type="dxa"/>
            </w:tcMar>
          </w:tcPr>
          <w:p w14:paraId="1C9F7D26">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89分～70分</w:t>
            </w:r>
          </w:p>
        </w:tc>
        <w:tc>
          <w:tcPr>
            <w:tcW w:w="2554" w:type="dxa"/>
            <w:tcMar>
              <w:top w:w="0" w:type="dxa"/>
              <w:left w:w="108" w:type="dxa"/>
              <w:bottom w:w="0" w:type="dxa"/>
              <w:right w:w="108" w:type="dxa"/>
            </w:tcMar>
          </w:tcPr>
          <w:p w14:paraId="526F7BA2">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合格</w:t>
            </w:r>
          </w:p>
        </w:tc>
      </w:tr>
      <w:tr w14:paraId="34DA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60" w:type="dxa"/>
            <w:vMerge w:val="continue"/>
          </w:tcPr>
          <w:p w14:paraId="152C1C49">
            <w:pPr>
              <w:widowControl/>
              <w:spacing w:line="360" w:lineRule="atLeast"/>
              <w:jc w:val="center"/>
              <w:rPr>
                <w:rFonts w:ascii="Times New Roman" w:hAnsi="Times New Roman" w:eastAsia="宋体" w:cs="Times New Roman"/>
                <w:color w:val="000000"/>
                <w:kern w:val="0"/>
                <w:sz w:val="22"/>
              </w:rPr>
            </w:pPr>
          </w:p>
        </w:tc>
        <w:tc>
          <w:tcPr>
            <w:tcW w:w="2260" w:type="dxa"/>
            <w:tcMar>
              <w:top w:w="0" w:type="dxa"/>
              <w:left w:w="108" w:type="dxa"/>
              <w:bottom w:w="0" w:type="dxa"/>
              <w:right w:w="108" w:type="dxa"/>
            </w:tcMar>
          </w:tcPr>
          <w:p w14:paraId="2E2336EC">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69分～60分</w:t>
            </w:r>
          </w:p>
        </w:tc>
        <w:tc>
          <w:tcPr>
            <w:tcW w:w="2554" w:type="dxa"/>
            <w:tcMar>
              <w:top w:w="0" w:type="dxa"/>
              <w:left w:w="108" w:type="dxa"/>
              <w:bottom w:w="0" w:type="dxa"/>
              <w:right w:w="108" w:type="dxa"/>
            </w:tcMar>
          </w:tcPr>
          <w:p w14:paraId="249B9BC8">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基本合格</w:t>
            </w:r>
          </w:p>
        </w:tc>
      </w:tr>
      <w:tr w14:paraId="53C3E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jc w:val="center"/>
        </w:trPr>
        <w:tc>
          <w:tcPr>
            <w:tcW w:w="2260" w:type="dxa"/>
            <w:vMerge w:val="continue"/>
          </w:tcPr>
          <w:p w14:paraId="76579612">
            <w:pPr>
              <w:widowControl/>
              <w:spacing w:line="360" w:lineRule="atLeast"/>
              <w:jc w:val="center"/>
              <w:rPr>
                <w:rFonts w:ascii="Times New Roman" w:hAnsi="Times New Roman" w:eastAsia="宋体" w:cs="Times New Roman"/>
                <w:color w:val="000000"/>
                <w:kern w:val="0"/>
                <w:sz w:val="22"/>
              </w:rPr>
            </w:pPr>
          </w:p>
        </w:tc>
        <w:tc>
          <w:tcPr>
            <w:tcW w:w="2260" w:type="dxa"/>
            <w:tcMar>
              <w:top w:w="0" w:type="dxa"/>
              <w:left w:w="108" w:type="dxa"/>
              <w:bottom w:w="0" w:type="dxa"/>
              <w:right w:w="108" w:type="dxa"/>
            </w:tcMar>
          </w:tcPr>
          <w:p w14:paraId="6F2FB11F">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60分以下</w:t>
            </w:r>
          </w:p>
        </w:tc>
        <w:tc>
          <w:tcPr>
            <w:tcW w:w="2554" w:type="dxa"/>
            <w:tcMar>
              <w:top w:w="0" w:type="dxa"/>
              <w:left w:w="108" w:type="dxa"/>
              <w:bottom w:w="0" w:type="dxa"/>
              <w:right w:w="108" w:type="dxa"/>
            </w:tcMar>
          </w:tcPr>
          <w:p w14:paraId="0C4A1B1F">
            <w:pPr>
              <w:widowControl/>
              <w:spacing w:line="360" w:lineRule="atLeast"/>
              <w:jc w:val="center"/>
              <w:rPr>
                <w:rFonts w:ascii="Times New Roman" w:hAnsi="Times New Roman" w:eastAsia="宋体" w:cs="Times New Roman"/>
                <w:kern w:val="0"/>
                <w:sz w:val="22"/>
              </w:rPr>
            </w:pPr>
            <w:r>
              <w:rPr>
                <w:rFonts w:ascii="Times New Roman" w:hAnsi="Times New Roman" w:eastAsia="宋体" w:cs="Times New Roman"/>
                <w:color w:val="000000"/>
                <w:kern w:val="0"/>
                <w:sz w:val="22"/>
              </w:rPr>
              <w:t>不合格</w:t>
            </w:r>
          </w:p>
        </w:tc>
      </w:tr>
    </w:tbl>
    <w:p w14:paraId="27EADEA6">
      <w:pPr>
        <w:widowControl/>
        <w:spacing w:line="300" w:lineRule="auto"/>
        <w:ind w:firstLine="440" w:firstLineChars="200"/>
        <w:jc w:val="left"/>
        <w:rPr>
          <w:rFonts w:ascii="Times New Roman" w:hAnsi="Times New Roman" w:eastAsia="宋体" w:cs="Times New Roman"/>
          <w:color w:val="auto"/>
          <w:kern w:val="0"/>
          <w:sz w:val="22"/>
          <w:highlight w:val="none"/>
        </w:rPr>
      </w:pPr>
      <w:r>
        <w:rPr>
          <w:rFonts w:ascii="Times New Roman" w:hAnsi="Times New Roman" w:eastAsia="宋体" w:cs="Times New Roman"/>
          <w:color w:val="000000"/>
          <w:kern w:val="0"/>
          <w:sz w:val="22"/>
        </w:rPr>
        <w:t>奖惩措</w:t>
      </w:r>
      <w:r>
        <w:rPr>
          <w:rFonts w:ascii="Times New Roman" w:hAnsi="Times New Roman" w:eastAsia="宋体" w:cs="Times New Roman"/>
          <w:color w:val="auto"/>
          <w:kern w:val="0"/>
          <w:sz w:val="22"/>
          <w:highlight w:val="none"/>
        </w:rPr>
        <w:t>施：考核等级结果是“优秀”、“合格”、“基本合格”的，支付合同费用的100%；连续三次考核等级结果是“不合格”的，支付合同费用的</w:t>
      </w:r>
      <w:r>
        <w:rPr>
          <w:rFonts w:hint="eastAsia" w:ascii="Times New Roman" w:hAnsi="Times New Roman" w:eastAsia="宋体" w:cs="Times New Roman"/>
          <w:color w:val="auto"/>
          <w:kern w:val="0"/>
          <w:sz w:val="22"/>
          <w:highlight w:val="none"/>
          <w:lang w:val="en-US" w:eastAsia="zh-CN"/>
        </w:rPr>
        <w:t>94.40</w:t>
      </w:r>
      <w:r>
        <w:rPr>
          <w:rFonts w:ascii="Times New Roman" w:hAnsi="Times New Roman" w:eastAsia="宋体" w:cs="Times New Roman"/>
          <w:color w:val="auto"/>
          <w:kern w:val="0"/>
          <w:sz w:val="22"/>
          <w:highlight w:val="none"/>
        </w:rPr>
        <w:t>%。</w:t>
      </w:r>
    </w:p>
    <w:p w14:paraId="455F8710">
      <w:pPr>
        <w:tabs>
          <w:tab w:val="left" w:pos="7200"/>
        </w:tabs>
        <w:adjustRightInd w:val="0"/>
        <w:snapToGrid w:val="0"/>
        <w:spacing w:line="300" w:lineRule="auto"/>
        <w:ind w:firstLine="440" w:firstLineChars="200"/>
        <w:rPr>
          <w:rFonts w:ascii="Times New Roman" w:hAnsi="Times New Roman" w:eastAsia="宋体" w:cs="Times New Roman"/>
          <w:color w:val="auto"/>
          <w:sz w:val="22"/>
          <w:highlight w:val="none"/>
        </w:rPr>
      </w:pPr>
      <w:r>
        <w:rPr>
          <w:rFonts w:ascii="Times New Roman" w:hAnsi="Times New Roman" w:eastAsia="宋体" w:cs="Times New Roman"/>
          <w:color w:val="auto"/>
          <w:sz w:val="22"/>
          <w:highlight w:val="none"/>
        </w:rPr>
        <w:t>（三）考核实施</w:t>
      </w:r>
    </w:p>
    <w:p w14:paraId="60491934">
      <w:pPr>
        <w:tabs>
          <w:tab w:val="left" w:pos="7200"/>
        </w:tabs>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校方组织相关人员成立考核小组（不少于3人），考核组人员查看现场和各类台帐记录，对照物业服务质量考核表（详见下表）逐项打分，各考核人员单独打分取平均值，每月考核一次，每季度汇总（取平均分）。</w:t>
      </w:r>
    </w:p>
    <w:p w14:paraId="219914E1">
      <w:pPr>
        <w:tabs>
          <w:tab w:val="left" w:pos="7200"/>
        </w:tabs>
        <w:adjustRightInd w:val="0"/>
        <w:snapToGrid w:val="0"/>
        <w:spacing w:line="300" w:lineRule="auto"/>
        <w:ind w:firstLine="440" w:firstLineChars="200"/>
        <w:rPr>
          <w:rFonts w:ascii="Calibri" w:hAnsi="Calibri" w:eastAsia="宋体" w:cs="Times New Roman"/>
          <w:sz w:val="22"/>
        </w:rPr>
      </w:pPr>
      <w:r>
        <w:rPr>
          <w:rFonts w:hint="eastAsia" w:ascii="Calibri" w:hAnsi="Calibri" w:eastAsia="宋体" w:cs="Times New Roman"/>
          <w:sz w:val="22"/>
        </w:rPr>
        <w:t>物业服务质量考核表</w:t>
      </w:r>
    </w:p>
    <w:tbl>
      <w:tblPr>
        <w:tblStyle w:val="49"/>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57"/>
        <w:gridCol w:w="1232"/>
        <w:gridCol w:w="1003"/>
        <w:gridCol w:w="4560"/>
        <w:gridCol w:w="901"/>
      </w:tblGrid>
      <w:tr w14:paraId="5DCBF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blHeader/>
          <w:jc w:val="center"/>
        </w:trPr>
        <w:tc>
          <w:tcPr>
            <w:tcW w:w="701" w:type="pct"/>
            <w:noWrap/>
            <w:vAlign w:val="center"/>
          </w:tcPr>
          <w:p w14:paraId="2B8A7E30">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检查类别</w:t>
            </w:r>
          </w:p>
        </w:tc>
        <w:tc>
          <w:tcPr>
            <w:tcW w:w="687" w:type="pct"/>
            <w:vAlign w:val="center"/>
          </w:tcPr>
          <w:p w14:paraId="75389DB8">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检查项目</w:t>
            </w:r>
          </w:p>
        </w:tc>
        <w:tc>
          <w:tcPr>
            <w:tcW w:w="560" w:type="pct"/>
            <w:noWrap/>
            <w:vAlign w:val="center"/>
          </w:tcPr>
          <w:p w14:paraId="2432C093">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标准分</w:t>
            </w:r>
          </w:p>
        </w:tc>
        <w:tc>
          <w:tcPr>
            <w:tcW w:w="2546" w:type="pct"/>
            <w:vAlign w:val="center"/>
          </w:tcPr>
          <w:p w14:paraId="16F92538">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检查标准</w:t>
            </w:r>
          </w:p>
        </w:tc>
        <w:tc>
          <w:tcPr>
            <w:tcW w:w="503" w:type="pct"/>
            <w:noWrap/>
            <w:vAlign w:val="center"/>
          </w:tcPr>
          <w:p w14:paraId="7367B669">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得分</w:t>
            </w:r>
          </w:p>
        </w:tc>
      </w:tr>
      <w:tr w14:paraId="56CFE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restart"/>
            <w:noWrap/>
            <w:vAlign w:val="center"/>
          </w:tcPr>
          <w:p w14:paraId="29DC1479">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综合管理</w:t>
            </w:r>
          </w:p>
          <w:p w14:paraId="37428A7E">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w:t>
            </w:r>
            <w:r>
              <w:rPr>
                <w:rFonts w:ascii="Calibri" w:hAnsi="Calibri" w:eastAsia="宋体" w:cs="Times New Roman"/>
                <w:sz w:val="22"/>
              </w:rPr>
              <w:t>1</w:t>
            </w:r>
            <w:r>
              <w:rPr>
                <w:rFonts w:hint="eastAsia" w:ascii="Calibri" w:hAnsi="Calibri" w:eastAsia="宋体" w:cs="Times New Roman"/>
                <w:sz w:val="22"/>
              </w:rPr>
              <w:t>5分）</w:t>
            </w:r>
          </w:p>
        </w:tc>
        <w:tc>
          <w:tcPr>
            <w:tcW w:w="687" w:type="pct"/>
            <w:vAlign w:val="center"/>
          </w:tcPr>
          <w:p w14:paraId="1E01AA39">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管理制度</w:t>
            </w:r>
          </w:p>
        </w:tc>
        <w:tc>
          <w:tcPr>
            <w:tcW w:w="560" w:type="pct"/>
            <w:noWrap/>
            <w:vAlign w:val="center"/>
          </w:tcPr>
          <w:p w14:paraId="52D76AE2">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3B0131B9">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查看项目管理部日常管理、服务制度（含岗位职责、质量控制、安全管理、员工手册等）是否完善。</w:t>
            </w:r>
          </w:p>
        </w:tc>
        <w:tc>
          <w:tcPr>
            <w:tcW w:w="503" w:type="pct"/>
            <w:noWrap/>
          </w:tcPr>
          <w:p w14:paraId="4BCADED3">
            <w:pPr>
              <w:tabs>
                <w:tab w:val="left" w:pos="7200"/>
              </w:tabs>
              <w:adjustRightInd w:val="0"/>
              <w:snapToGrid w:val="0"/>
              <w:spacing w:line="300" w:lineRule="auto"/>
              <w:rPr>
                <w:rFonts w:ascii="Calibri" w:hAnsi="Calibri" w:eastAsia="宋体" w:cs="Times New Roman"/>
                <w:sz w:val="22"/>
              </w:rPr>
            </w:pPr>
          </w:p>
        </w:tc>
      </w:tr>
      <w:tr w14:paraId="3209C4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701" w:type="pct"/>
            <w:vMerge w:val="continue"/>
            <w:vAlign w:val="center"/>
          </w:tcPr>
          <w:p w14:paraId="3152A01D">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14C35ACF">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资产管理</w:t>
            </w:r>
          </w:p>
        </w:tc>
        <w:tc>
          <w:tcPr>
            <w:tcW w:w="560" w:type="pct"/>
            <w:noWrap/>
            <w:vAlign w:val="center"/>
          </w:tcPr>
          <w:p w14:paraId="50250C04">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71F2618D">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查看委托管理的资产是否建立台帐，是否有专门的保管制度，是否完好、有无丢失等。</w:t>
            </w:r>
          </w:p>
        </w:tc>
        <w:tc>
          <w:tcPr>
            <w:tcW w:w="503" w:type="pct"/>
            <w:noWrap/>
          </w:tcPr>
          <w:p w14:paraId="384142A4">
            <w:pPr>
              <w:tabs>
                <w:tab w:val="left" w:pos="7200"/>
              </w:tabs>
              <w:adjustRightInd w:val="0"/>
              <w:snapToGrid w:val="0"/>
              <w:spacing w:line="300" w:lineRule="auto"/>
              <w:rPr>
                <w:rFonts w:ascii="Calibri" w:hAnsi="Calibri" w:eastAsia="宋体" w:cs="Times New Roman"/>
                <w:sz w:val="22"/>
              </w:rPr>
            </w:pPr>
          </w:p>
        </w:tc>
      </w:tr>
      <w:tr w14:paraId="09EA7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7883FA29">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3EF7950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培训记录</w:t>
            </w:r>
          </w:p>
        </w:tc>
        <w:tc>
          <w:tcPr>
            <w:tcW w:w="560" w:type="pct"/>
            <w:noWrap/>
            <w:vAlign w:val="center"/>
          </w:tcPr>
          <w:p w14:paraId="68B0403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26A3D64F">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查看各类员工培训记录，含岗位培训、技能培训、安全培训、新员工培训等。</w:t>
            </w:r>
          </w:p>
        </w:tc>
        <w:tc>
          <w:tcPr>
            <w:tcW w:w="503" w:type="pct"/>
            <w:noWrap/>
          </w:tcPr>
          <w:p w14:paraId="08BD8945">
            <w:pPr>
              <w:tabs>
                <w:tab w:val="left" w:pos="7200"/>
              </w:tabs>
              <w:adjustRightInd w:val="0"/>
              <w:snapToGrid w:val="0"/>
              <w:spacing w:line="300" w:lineRule="auto"/>
              <w:rPr>
                <w:rFonts w:ascii="Calibri" w:hAnsi="Calibri" w:eastAsia="宋体" w:cs="Times New Roman"/>
                <w:sz w:val="22"/>
              </w:rPr>
            </w:pPr>
          </w:p>
        </w:tc>
      </w:tr>
      <w:tr w14:paraId="1666A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1" w:type="pct"/>
            <w:vMerge w:val="continue"/>
            <w:vAlign w:val="center"/>
          </w:tcPr>
          <w:p w14:paraId="61C8E38E">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164C90EE">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持证上岗</w:t>
            </w:r>
          </w:p>
        </w:tc>
        <w:tc>
          <w:tcPr>
            <w:tcW w:w="560" w:type="pct"/>
            <w:noWrap/>
            <w:vAlign w:val="center"/>
          </w:tcPr>
          <w:p w14:paraId="628E8D56">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25DE7FE6">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检查是否持证上岗及各类上岗证的有效期与适用性。</w:t>
            </w:r>
          </w:p>
        </w:tc>
        <w:tc>
          <w:tcPr>
            <w:tcW w:w="503" w:type="pct"/>
            <w:noWrap/>
          </w:tcPr>
          <w:p w14:paraId="759483C6">
            <w:pPr>
              <w:tabs>
                <w:tab w:val="left" w:pos="7200"/>
              </w:tabs>
              <w:adjustRightInd w:val="0"/>
              <w:snapToGrid w:val="0"/>
              <w:spacing w:line="300" w:lineRule="auto"/>
              <w:rPr>
                <w:rFonts w:ascii="Calibri" w:hAnsi="Calibri" w:eastAsia="宋体" w:cs="Times New Roman"/>
                <w:sz w:val="22"/>
              </w:rPr>
            </w:pPr>
          </w:p>
        </w:tc>
      </w:tr>
      <w:tr w14:paraId="72B7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1" w:type="pct"/>
            <w:vMerge w:val="continue"/>
            <w:vAlign w:val="center"/>
          </w:tcPr>
          <w:p w14:paraId="4DCFB434">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25A7B320">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仪表仪容</w:t>
            </w:r>
          </w:p>
        </w:tc>
        <w:tc>
          <w:tcPr>
            <w:tcW w:w="560" w:type="pct"/>
            <w:noWrap/>
            <w:vAlign w:val="center"/>
          </w:tcPr>
          <w:p w14:paraId="6C937591">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4F9C1A0E">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查看工装是否统一整洁干净，员工精神面貌。</w:t>
            </w:r>
          </w:p>
        </w:tc>
        <w:tc>
          <w:tcPr>
            <w:tcW w:w="503" w:type="pct"/>
            <w:noWrap/>
          </w:tcPr>
          <w:p w14:paraId="4F16AA44">
            <w:pPr>
              <w:tabs>
                <w:tab w:val="left" w:pos="7200"/>
              </w:tabs>
              <w:adjustRightInd w:val="0"/>
              <w:snapToGrid w:val="0"/>
              <w:spacing w:line="300" w:lineRule="auto"/>
              <w:rPr>
                <w:rFonts w:ascii="Calibri" w:hAnsi="Calibri" w:eastAsia="宋体" w:cs="Times New Roman"/>
                <w:sz w:val="22"/>
              </w:rPr>
            </w:pPr>
          </w:p>
        </w:tc>
      </w:tr>
      <w:tr w14:paraId="6B1FC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01" w:type="pct"/>
            <w:vMerge w:val="restart"/>
            <w:noWrap/>
            <w:vAlign w:val="center"/>
          </w:tcPr>
          <w:p w14:paraId="7F62904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校园环境</w:t>
            </w:r>
          </w:p>
          <w:p w14:paraId="19A04134">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（25分）</w:t>
            </w:r>
          </w:p>
        </w:tc>
        <w:tc>
          <w:tcPr>
            <w:tcW w:w="687" w:type="pct"/>
            <w:vAlign w:val="center"/>
          </w:tcPr>
          <w:p w14:paraId="39FE7466">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道路与附属设施卫生</w:t>
            </w:r>
          </w:p>
        </w:tc>
        <w:tc>
          <w:tcPr>
            <w:tcW w:w="560" w:type="pct"/>
            <w:noWrap/>
            <w:vAlign w:val="center"/>
          </w:tcPr>
          <w:p w14:paraId="5ABF2A92">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10</w:t>
            </w:r>
          </w:p>
        </w:tc>
        <w:tc>
          <w:tcPr>
            <w:tcW w:w="2546" w:type="pct"/>
          </w:tcPr>
          <w:p w14:paraId="22B9F1E8">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现场查看道路保洁，果壳箱、路牌、电话亭、宣传栏完好性与卫生，路灯完好性与有无瞎灯等，室外消火栓功能正常无滴漏现象，消火栓每年油漆一次。</w:t>
            </w:r>
          </w:p>
        </w:tc>
        <w:tc>
          <w:tcPr>
            <w:tcW w:w="503" w:type="pct"/>
            <w:noWrap/>
          </w:tcPr>
          <w:p w14:paraId="6D07707E">
            <w:pPr>
              <w:tabs>
                <w:tab w:val="left" w:pos="7200"/>
              </w:tabs>
              <w:adjustRightInd w:val="0"/>
              <w:snapToGrid w:val="0"/>
              <w:spacing w:line="300" w:lineRule="auto"/>
              <w:rPr>
                <w:rFonts w:ascii="Calibri" w:hAnsi="Calibri" w:eastAsia="宋体" w:cs="Times New Roman"/>
                <w:sz w:val="22"/>
              </w:rPr>
            </w:pPr>
          </w:p>
        </w:tc>
      </w:tr>
      <w:tr w14:paraId="4358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1" w:type="pct"/>
            <w:vMerge w:val="continue"/>
            <w:vAlign w:val="center"/>
          </w:tcPr>
          <w:p w14:paraId="6CF688E3">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07A2B100">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停车棚管理</w:t>
            </w:r>
          </w:p>
        </w:tc>
        <w:tc>
          <w:tcPr>
            <w:tcW w:w="560" w:type="pct"/>
            <w:noWrap/>
            <w:vAlign w:val="center"/>
          </w:tcPr>
          <w:p w14:paraId="2C1EB60F">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tcPr>
          <w:p w14:paraId="4881BAE0">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停车棚卫生、电源盒安全状况，结构是否牢固等</w:t>
            </w:r>
          </w:p>
        </w:tc>
        <w:tc>
          <w:tcPr>
            <w:tcW w:w="503" w:type="pct"/>
            <w:noWrap/>
          </w:tcPr>
          <w:p w14:paraId="1BA8E284">
            <w:pPr>
              <w:tabs>
                <w:tab w:val="left" w:pos="7200"/>
              </w:tabs>
              <w:adjustRightInd w:val="0"/>
              <w:snapToGrid w:val="0"/>
              <w:spacing w:line="300" w:lineRule="auto"/>
              <w:rPr>
                <w:rFonts w:ascii="Calibri" w:hAnsi="Calibri" w:eastAsia="宋体" w:cs="Times New Roman"/>
                <w:sz w:val="22"/>
              </w:rPr>
            </w:pPr>
          </w:p>
        </w:tc>
      </w:tr>
      <w:tr w14:paraId="46D84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344401BB">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6D910A07">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硬质景观</w:t>
            </w:r>
          </w:p>
        </w:tc>
        <w:tc>
          <w:tcPr>
            <w:tcW w:w="560" w:type="pct"/>
            <w:noWrap/>
            <w:vAlign w:val="center"/>
          </w:tcPr>
          <w:p w14:paraId="531FBE78">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6</w:t>
            </w:r>
          </w:p>
        </w:tc>
        <w:tc>
          <w:tcPr>
            <w:tcW w:w="2546" w:type="pct"/>
          </w:tcPr>
          <w:p w14:paraId="72FB0BB1">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大理石、透水砖等无松动脱落、无缺失，景观水循环系统功能正常，景观水面干净。</w:t>
            </w:r>
          </w:p>
        </w:tc>
        <w:tc>
          <w:tcPr>
            <w:tcW w:w="503" w:type="pct"/>
            <w:noWrap/>
          </w:tcPr>
          <w:p w14:paraId="4904B43E">
            <w:pPr>
              <w:tabs>
                <w:tab w:val="left" w:pos="7200"/>
              </w:tabs>
              <w:adjustRightInd w:val="0"/>
              <w:snapToGrid w:val="0"/>
              <w:spacing w:line="300" w:lineRule="auto"/>
              <w:rPr>
                <w:rFonts w:ascii="Calibri" w:hAnsi="Calibri" w:eastAsia="宋体" w:cs="Times New Roman"/>
                <w:sz w:val="22"/>
              </w:rPr>
            </w:pPr>
          </w:p>
        </w:tc>
      </w:tr>
      <w:tr w14:paraId="79948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252406B8">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6323AA19">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下水道管理</w:t>
            </w:r>
          </w:p>
        </w:tc>
        <w:tc>
          <w:tcPr>
            <w:tcW w:w="560" w:type="pct"/>
            <w:noWrap/>
            <w:vAlign w:val="center"/>
          </w:tcPr>
          <w:p w14:paraId="6BE6CE51">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5</w:t>
            </w:r>
          </w:p>
        </w:tc>
        <w:tc>
          <w:tcPr>
            <w:tcW w:w="2546" w:type="pct"/>
          </w:tcPr>
          <w:p w14:paraId="702D155F">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定期清理下水道与窨井（查看现场与台帐记录），窨井盖有无破损与缺失，污水格栅井内有无漂浮物等。</w:t>
            </w:r>
          </w:p>
        </w:tc>
        <w:tc>
          <w:tcPr>
            <w:tcW w:w="503" w:type="pct"/>
            <w:noWrap/>
          </w:tcPr>
          <w:p w14:paraId="4CFDBD38">
            <w:pPr>
              <w:tabs>
                <w:tab w:val="left" w:pos="7200"/>
              </w:tabs>
              <w:adjustRightInd w:val="0"/>
              <w:snapToGrid w:val="0"/>
              <w:spacing w:line="300" w:lineRule="auto"/>
              <w:rPr>
                <w:rFonts w:ascii="Calibri" w:hAnsi="Calibri" w:eastAsia="宋体" w:cs="Times New Roman"/>
                <w:sz w:val="22"/>
              </w:rPr>
            </w:pPr>
          </w:p>
        </w:tc>
      </w:tr>
      <w:tr w14:paraId="4C60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restart"/>
            <w:noWrap/>
            <w:vAlign w:val="center"/>
          </w:tcPr>
          <w:p w14:paraId="3EF66932">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楼宇保洁</w:t>
            </w:r>
          </w:p>
          <w:p w14:paraId="7186D21B">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（25分）</w:t>
            </w:r>
          </w:p>
        </w:tc>
        <w:tc>
          <w:tcPr>
            <w:tcW w:w="687" w:type="pct"/>
            <w:vAlign w:val="center"/>
          </w:tcPr>
          <w:p w14:paraId="6DA1D9A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楼宇外部</w:t>
            </w:r>
          </w:p>
        </w:tc>
        <w:tc>
          <w:tcPr>
            <w:tcW w:w="560" w:type="pct"/>
            <w:noWrap/>
            <w:vAlign w:val="center"/>
          </w:tcPr>
          <w:p w14:paraId="16DBE374">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3609FCC2">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查看楼宇外围绿地及门前场地有无白色垃圾，天台卫生和天沟有无堵塞。</w:t>
            </w:r>
          </w:p>
        </w:tc>
        <w:tc>
          <w:tcPr>
            <w:tcW w:w="503" w:type="pct"/>
            <w:noWrap/>
          </w:tcPr>
          <w:p w14:paraId="101B927C">
            <w:pPr>
              <w:tabs>
                <w:tab w:val="left" w:pos="7200"/>
              </w:tabs>
              <w:adjustRightInd w:val="0"/>
              <w:snapToGrid w:val="0"/>
              <w:spacing w:line="300" w:lineRule="auto"/>
              <w:rPr>
                <w:rFonts w:ascii="Calibri" w:hAnsi="Calibri" w:eastAsia="宋体" w:cs="Times New Roman"/>
                <w:sz w:val="22"/>
              </w:rPr>
            </w:pPr>
          </w:p>
        </w:tc>
      </w:tr>
      <w:tr w14:paraId="6FE7D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0" w:hRule="atLeast"/>
          <w:jc w:val="center"/>
        </w:trPr>
        <w:tc>
          <w:tcPr>
            <w:tcW w:w="701" w:type="pct"/>
            <w:vMerge w:val="continue"/>
            <w:vAlign w:val="center"/>
          </w:tcPr>
          <w:p w14:paraId="5322F0E7">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652131C8">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楼宇内部</w:t>
            </w:r>
          </w:p>
        </w:tc>
        <w:tc>
          <w:tcPr>
            <w:tcW w:w="560" w:type="pct"/>
            <w:noWrap/>
            <w:vAlign w:val="center"/>
          </w:tcPr>
          <w:p w14:paraId="6F94A01D">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12</w:t>
            </w:r>
          </w:p>
        </w:tc>
        <w:tc>
          <w:tcPr>
            <w:tcW w:w="2546" w:type="pct"/>
          </w:tcPr>
          <w:p w14:paraId="37194B38">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盥洗室有无异味、污迹、积水，无杂物堆放，镜面干净；楼道、楼梯干净无垃圾、无杂物，墙面、扶手无积灰，门窗干净、无蜘蛛网；强电间干净卫生，不堆放杂物；消防箱消火栓内设备齐、无过期，有定期检查记录；保洁工具定点摆放整齐；安全通道畅通，无杂物堆放。</w:t>
            </w:r>
          </w:p>
        </w:tc>
        <w:tc>
          <w:tcPr>
            <w:tcW w:w="503" w:type="pct"/>
            <w:noWrap/>
          </w:tcPr>
          <w:p w14:paraId="62E5C3C3">
            <w:pPr>
              <w:tabs>
                <w:tab w:val="left" w:pos="7200"/>
              </w:tabs>
              <w:adjustRightInd w:val="0"/>
              <w:snapToGrid w:val="0"/>
              <w:spacing w:line="300" w:lineRule="auto"/>
              <w:rPr>
                <w:rFonts w:ascii="Calibri" w:hAnsi="Calibri" w:eastAsia="宋体" w:cs="Times New Roman"/>
                <w:sz w:val="22"/>
              </w:rPr>
            </w:pPr>
          </w:p>
        </w:tc>
      </w:tr>
      <w:tr w14:paraId="24BBC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1" w:type="pct"/>
            <w:vMerge w:val="continue"/>
            <w:vAlign w:val="center"/>
          </w:tcPr>
          <w:p w14:paraId="167AFAC9">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0D722198">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教室、教师休息室</w:t>
            </w:r>
          </w:p>
        </w:tc>
        <w:tc>
          <w:tcPr>
            <w:tcW w:w="560" w:type="pct"/>
            <w:noWrap/>
            <w:vAlign w:val="center"/>
          </w:tcPr>
          <w:p w14:paraId="507A4BE8">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596C8CF4">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教室地面干净无垃圾，课桌椅无杂物，讲台、黑板无粉笔灰，教室内无瞎灯。教师休息室干净卫生，办公家具摆放整齐、整洁，微波炉、饮水机等设备内外干净、功能正常。</w:t>
            </w:r>
          </w:p>
        </w:tc>
        <w:tc>
          <w:tcPr>
            <w:tcW w:w="503" w:type="pct"/>
            <w:noWrap/>
          </w:tcPr>
          <w:p w14:paraId="0B852FBA">
            <w:pPr>
              <w:tabs>
                <w:tab w:val="left" w:pos="7200"/>
              </w:tabs>
              <w:adjustRightInd w:val="0"/>
              <w:snapToGrid w:val="0"/>
              <w:spacing w:line="300" w:lineRule="auto"/>
              <w:rPr>
                <w:rFonts w:ascii="Calibri" w:hAnsi="Calibri" w:eastAsia="宋体" w:cs="Times New Roman"/>
                <w:sz w:val="22"/>
              </w:rPr>
            </w:pPr>
          </w:p>
        </w:tc>
      </w:tr>
      <w:tr w14:paraId="732B5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1" w:type="pct"/>
            <w:vMerge w:val="continue"/>
            <w:vAlign w:val="center"/>
          </w:tcPr>
          <w:p w14:paraId="49DB6513">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73933258">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公共设施</w:t>
            </w:r>
          </w:p>
        </w:tc>
        <w:tc>
          <w:tcPr>
            <w:tcW w:w="560" w:type="pct"/>
            <w:noWrap/>
            <w:vAlign w:val="center"/>
          </w:tcPr>
          <w:p w14:paraId="5A0030F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tcPr>
          <w:p w14:paraId="32F4ED7B">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直饮水机：外表干净无乱张贴，积水盘无异物、落水通畅，水龙头无滴漏，设备处于正常待机可用状态；自动售货机、考勤机等设备功能正常，发现异常及时报修并有报修记录。</w:t>
            </w:r>
          </w:p>
        </w:tc>
        <w:tc>
          <w:tcPr>
            <w:tcW w:w="503" w:type="pct"/>
            <w:noWrap/>
          </w:tcPr>
          <w:p w14:paraId="0D4DB017">
            <w:pPr>
              <w:tabs>
                <w:tab w:val="left" w:pos="7200"/>
              </w:tabs>
              <w:adjustRightInd w:val="0"/>
              <w:snapToGrid w:val="0"/>
              <w:spacing w:line="300" w:lineRule="auto"/>
              <w:rPr>
                <w:rFonts w:ascii="Calibri" w:hAnsi="Calibri" w:eastAsia="宋体" w:cs="Times New Roman"/>
                <w:sz w:val="22"/>
              </w:rPr>
            </w:pPr>
          </w:p>
        </w:tc>
      </w:tr>
      <w:tr w14:paraId="7D341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77B633F8">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17C9520C">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垃圾桶</w:t>
            </w:r>
          </w:p>
        </w:tc>
        <w:tc>
          <w:tcPr>
            <w:tcW w:w="560" w:type="pct"/>
            <w:noWrap/>
            <w:vAlign w:val="center"/>
          </w:tcPr>
          <w:p w14:paraId="6FDE15A1">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3</w:t>
            </w:r>
          </w:p>
        </w:tc>
        <w:tc>
          <w:tcPr>
            <w:tcW w:w="2546" w:type="pct"/>
          </w:tcPr>
          <w:p w14:paraId="1A66CF7B">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摆放四分类垃圾桶，垃圾桶外表干净，无异味、无漏液、无垃圾溢出，定时倾倒分类垃圾。</w:t>
            </w:r>
          </w:p>
        </w:tc>
        <w:tc>
          <w:tcPr>
            <w:tcW w:w="503" w:type="pct"/>
            <w:noWrap/>
          </w:tcPr>
          <w:p w14:paraId="78C3755B">
            <w:pPr>
              <w:tabs>
                <w:tab w:val="left" w:pos="7200"/>
              </w:tabs>
              <w:adjustRightInd w:val="0"/>
              <w:snapToGrid w:val="0"/>
              <w:spacing w:line="300" w:lineRule="auto"/>
              <w:rPr>
                <w:rFonts w:ascii="Calibri" w:hAnsi="Calibri" w:eastAsia="宋体" w:cs="Times New Roman"/>
                <w:sz w:val="22"/>
              </w:rPr>
            </w:pPr>
          </w:p>
        </w:tc>
      </w:tr>
      <w:tr w14:paraId="3B5B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01" w:type="pct"/>
            <w:vMerge w:val="restart"/>
            <w:noWrap/>
            <w:vAlign w:val="center"/>
          </w:tcPr>
          <w:p w14:paraId="4B68768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安保服务</w:t>
            </w:r>
          </w:p>
          <w:p w14:paraId="4DFAE854">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（16）</w:t>
            </w:r>
          </w:p>
        </w:tc>
        <w:tc>
          <w:tcPr>
            <w:tcW w:w="687" w:type="pct"/>
            <w:vAlign w:val="center"/>
          </w:tcPr>
          <w:p w14:paraId="3AADF49F">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安全管理</w:t>
            </w:r>
          </w:p>
        </w:tc>
        <w:tc>
          <w:tcPr>
            <w:tcW w:w="560" w:type="pct"/>
            <w:noWrap/>
            <w:vAlign w:val="center"/>
          </w:tcPr>
          <w:p w14:paraId="76DEEF2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tcPr>
          <w:p w14:paraId="79F4B7BC">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查看安全教育、培训记录；执勤器械、器具配备是否齐全，队员操作是否熟练；是否持证上岗，是否开展专业技能培训和学校规章制度培训；有无安全责任事故等。</w:t>
            </w:r>
          </w:p>
        </w:tc>
        <w:tc>
          <w:tcPr>
            <w:tcW w:w="503" w:type="pct"/>
            <w:noWrap/>
          </w:tcPr>
          <w:p w14:paraId="08A46114">
            <w:pPr>
              <w:tabs>
                <w:tab w:val="left" w:pos="7200"/>
              </w:tabs>
              <w:adjustRightInd w:val="0"/>
              <w:snapToGrid w:val="0"/>
              <w:spacing w:line="300" w:lineRule="auto"/>
              <w:rPr>
                <w:rFonts w:ascii="Calibri" w:hAnsi="Calibri" w:eastAsia="宋体" w:cs="Times New Roman"/>
                <w:sz w:val="22"/>
              </w:rPr>
            </w:pPr>
          </w:p>
        </w:tc>
      </w:tr>
      <w:tr w14:paraId="5FD99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01" w:type="pct"/>
            <w:vMerge w:val="continue"/>
            <w:vAlign w:val="center"/>
          </w:tcPr>
          <w:p w14:paraId="17216164">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22D42D36">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日常管理</w:t>
            </w:r>
          </w:p>
        </w:tc>
        <w:tc>
          <w:tcPr>
            <w:tcW w:w="560" w:type="pct"/>
            <w:noWrap/>
            <w:vAlign w:val="center"/>
          </w:tcPr>
          <w:p w14:paraId="34E07657">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tcPr>
          <w:p w14:paraId="2EC19AEF">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队伍是否按要求配齐，队员遵纪守法、遵守工作纪律情况，有无迟到、早退、脱岗现象；队伍稳定，人员变动及时报学校；学校安全规章制度、疫情防控要求、防控流程的执行情况。</w:t>
            </w:r>
          </w:p>
        </w:tc>
        <w:tc>
          <w:tcPr>
            <w:tcW w:w="503" w:type="pct"/>
            <w:noWrap/>
          </w:tcPr>
          <w:p w14:paraId="361B5F80">
            <w:pPr>
              <w:tabs>
                <w:tab w:val="left" w:pos="7200"/>
              </w:tabs>
              <w:adjustRightInd w:val="0"/>
              <w:snapToGrid w:val="0"/>
              <w:spacing w:line="300" w:lineRule="auto"/>
              <w:rPr>
                <w:rFonts w:ascii="Calibri" w:hAnsi="Calibri" w:eastAsia="宋体" w:cs="Times New Roman"/>
                <w:sz w:val="22"/>
              </w:rPr>
            </w:pPr>
          </w:p>
        </w:tc>
      </w:tr>
      <w:tr w14:paraId="1A3F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01" w:type="pct"/>
            <w:vMerge w:val="continue"/>
            <w:vAlign w:val="center"/>
          </w:tcPr>
          <w:p w14:paraId="1CDFB1B3">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4B5D8C0A">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文明服务</w:t>
            </w:r>
          </w:p>
        </w:tc>
        <w:tc>
          <w:tcPr>
            <w:tcW w:w="560" w:type="pct"/>
            <w:noWrap/>
            <w:vAlign w:val="center"/>
          </w:tcPr>
          <w:p w14:paraId="7843E5FF">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tcPr>
          <w:p w14:paraId="79A6B482">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着装统一、整洁，工作岗位区域环境整洁、物品摆放整齐；执勤规范、精神饱满；热情服务师生，言行举止文明、礼貌，无粗暴、蛮横行为；未受到服务态度差、工作不到位等投诉。</w:t>
            </w:r>
          </w:p>
        </w:tc>
        <w:tc>
          <w:tcPr>
            <w:tcW w:w="503" w:type="pct"/>
            <w:noWrap/>
          </w:tcPr>
          <w:p w14:paraId="0A90C77D">
            <w:pPr>
              <w:tabs>
                <w:tab w:val="left" w:pos="7200"/>
              </w:tabs>
              <w:adjustRightInd w:val="0"/>
              <w:snapToGrid w:val="0"/>
              <w:spacing w:line="300" w:lineRule="auto"/>
              <w:rPr>
                <w:rFonts w:ascii="Calibri" w:hAnsi="Calibri" w:eastAsia="宋体" w:cs="Times New Roman"/>
                <w:sz w:val="22"/>
              </w:rPr>
            </w:pPr>
          </w:p>
        </w:tc>
      </w:tr>
      <w:tr w14:paraId="0B6DA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jc w:val="center"/>
        </w:trPr>
        <w:tc>
          <w:tcPr>
            <w:tcW w:w="701" w:type="pct"/>
            <w:vMerge w:val="continue"/>
            <w:vAlign w:val="center"/>
          </w:tcPr>
          <w:p w14:paraId="55412853">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29392ACC">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工作责任心与主动性</w:t>
            </w:r>
          </w:p>
        </w:tc>
        <w:tc>
          <w:tcPr>
            <w:tcW w:w="560" w:type="pct"/>
            <w:noWrap/>
            <w:vAlign w:val="center"/>
          </w:tcPr>
          <w:p w14:paraId="5B9572C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tcPr>
          <w:p w14:paraId="0742C812">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主动及时汇报工作中发现的安全隐患和问题；认真履职，校内治安、交通秩序良好；积极做好校内各类活动的安全保障，积极协助学校保卫处妥善处理各类案事件和突发事件；服从指挥，积极、主动完成保卫处交办的各项任务。</w:t>
            </w:r>
          </w:p>
        </w:tc>
        <w:tc>
          <w:tcPr>
            <w:tcW w:w="503" w:type="pct"/>
            <w:noWrap/>
          </w:tcPr>
          <w:p w14:paraId="45C4E1A1">
            <w:pPr>
              <w:tabs>
                <w:tab w:val="left" w:pos="7200"/>
              </w:tabs>
              <w:adjustRightInd w:val="0"/>
              <w:snapToGrid w:val="0"/>
              <w:spacing w:line="300" w:lineRule="auto"/>
              <w:rPr>
                <w:rFonts w:ascii="Calibri" w:hAnsi="Calibri" w:eastAsia="宋体" w:cs="Times New Roman"/>
                <w:sz w:val="22"/>
              </w:rPr>
            </w:pPr>
          </w:p>
        </w:tc>
      </w:tr>
      <w:tr w14:paraId="4EF0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restart"/>
            <w:noWrap/>
            <w:vAlign w:val="center"/>
          </w:tcPr>
          <w:p w14:paraId="398C9BF6">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维修管理（</w:t>
            </w:r>
            <w:r>
              <w:rPr>
                <w:rFonts w:ascii="Calibri" w:hAnsi="Calibri" w:eastAsia="宋体" w:cs="Times New Roman"/>
                <w:sz w:val="22"/>
              </w:rPr>
              <w:t>12</w:t>
            </w:r>
            <w:r>
              <w:rPr>
                <w:rFonts w:hint="eastAsia" w:ascii="Calibri" w:hAnsi="Calibri" w:eastAsia="宋体" w:cs="Times New Roman"/>
                <w:sz w:val="22"/>
              </w:rPr>
              <w:t>分）</w:t>
            </w:r>
          </w:p>
        </w:tc>
        <w:tc>
          <w:tcPr>
            <w:tcW w:w="687" w:type="pct"/>
            <w:vAlign w:val="center"/>
          </w:tcPr>
          <w:p w14:paraId="48701ED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维修受理</w:t>
            </w:r>
          </w:p>
        </w:tc>
        <w:tc>
          <w:tcPr>
            <w:tcW w:w="560" w:type="pct"/>
            <w:noWrap/>
            <w:vAlign w:val="center"/>
          </w:tcPr>
          <w:p w14:paraId="431F4527">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2</w:t>
            </w:r>
          </w:p>
        </w:tc>
        <w:tc>
          <w:tcPr>
            <w:tcW w:w="2546" w:type="pct"/>
          </w:tcPr>
          <w:p w14:paraId="117A17DA">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设立报修电话，主动巡检及时发现，畅通各类报修途径；建立报修记录台帐。</w:t>
            </w:r>
          </w:p>
        </w:tc>
        <w:tc>
          <w:tcPr>
            <w:tcW w:w="503" w:type="pct"/>
            <w:noWrap/>
          </w:tcPr>
          <w:p w14:paraId="7D9BF8E2">
            <w:pPr>
              <w:tabs>
                <w:tab w:val="left" w:pos="7200"/>
              </w:tabs>
              <w:adjustRightInd w:val="0"/>
              <w:snapToGrid w:val="0"/>
              <w:spacing w:line="300" w:lineRule="auto"/>
              <w:rPr>
                <w:rFonts w:ascii="Calibri" w:hAnsi="Calibri" w:eastAsia="宋体" w:cs="Times New Roman"/>
                <w:sz w:val="22"/>
              </w:rPr>
            </w:pPr>
          </w:p>
        </w:tc>
      </w:tr>
      <w:tr w14:paraId="0F4FF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769A08C9">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00BDDDDB">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及时维修</w:t>
            </w:r>
          </w:p>
        </w:tc>
        <w:tc>
          <w:tcPr>
            <w:tcW w:w="560" w:type="pct"/>
            <w:noWrap/>
            <w:vAlign w:val="center"/>
          </w:tcPr>
          <w:p w14:paraId="54D41722">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4</w:t>
            </w:r>
          </w:p>
        </w:tc>
        <w:tc>
          <w:tcPr>
            <w:tcW w:w="2546" w:type="pct"/>
          </w:tcPr>
          <w:p w14:paraId="41B7EB8E">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按招标文件要求、投标文件承诺及时处理各项维修，维修做到落手清。</w:t>
            </w:r>
          </w:p>
        </w:tc>
        <w:tc>
          <w:tcPr>
            <w:tcW w:w="503" w:type="pct"/>
            <w:noWrap/>
          </w:tcPr>
          <w:p w14:paraId="2A6EF9A2">
            <w:pPr>
              <w:tabs>
                <w:tab w:val="left" w:pos="7200"/>
              </w:tabs>
              <w:adjustRightInd w:val="0"/>
              <w:snapToGrid w:val="0"/>
              <w:spacing w:line="300" w:lineRule="auto"/>
              <w:rPr>
                <w:rFonts w:ascii="Calibri" w:hAnsi="Calibri" w:eastAsia="宋体" w:cs="Times New Roman"/>
                <w:sz w:val="22"/>
              </w:rPr>
            </w:pPr>
          </w:p>
        </w:tc>
      </w:tr>
      <w:tr w14:paraId="4EA9C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7BCEF164">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0F5BB8F7">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项目配合</w:t>
            </w:r>
          </w:p>
        </w:tc>
        <w:tc>
          <w:tcPr>
            <w:tcW w:w="560" w:type="pct"/>
            <w:noWrap/>
            <w:vAlign w:val="center"/>
          </w:tcPr>
          <w:p w14:paraId="4159243D">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2</w:t>
            </w:r>
          </w:p>
        </w:tc>
        <w:tc>
          <w:tcPr>
            <w:tcW w:w="2546" w:type="pct"/>
          </w:tcPr>
          <w:p w14:paraId="5066A87A">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根据各楼宇现状，提出楼宇大修、维修计划；配合学校做好各类维修立项工作；有专门工作记录。</w:t>
            </w:r>
          </w:p>
        </w:tc>
        <w:tc>
          <w:tcPr>
            <w:tcW w:w="503" w:type="pct"/>
            <w:noWrap/>
          </w:tcPr>
          <w:p w14:paraId="0669B5AF">
            <w:pPr>
              <w:tabs>
                <w:tab w:val="left" w:pos="7200"/>
              </w:tabs>
              <w:adjustRightInd w:val="0"/>
              <w:snapToGrid w:val="0"/>
              <w:spacing w:line="300" w:lineRule="auto"/>
              <w:rPr>
                <w:rFonts w:ascii="Calibri" w:hAnsi="Calibri" w:eastAsia="宋体" w:cs="Times New Roman"/>
                <w:sz w:val="22"/>
              </w:rPr>
            </w:pPr>
          </w:p>
        </w:tc>
      </w:tr>
      <w:tr w14:paraId="0EAD4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1" w:type="pct"/>
            <w:vMerge w:val="continue"/>
            <w:vAlign w:val="center"/>
          </w:tcPr>
          <w:p w14:paraId="15D2E3D0">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1D631095">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维修质量</w:t>
            </w:r>
          </w:p>
        </w:tc>
        <w:tc>
          <w:tcPr>
            <w:tcW w:w="560" w:type="pct"/>
            <w:noWrap/>
            <w:vAlign w:val="center"/>
          </w:tcPr>
          <w:p w14:paraId="2B0DF298">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2</w:t>
            </w:r>
          </w:p>
        </w:tc>
        <w:tc>
          <w:tcPr>
            <w:tcW w:w="2546" w:type="pct"/>
          </w:tcPr>
          <w:p w14:paraId="078B888E">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有维修质量自检、自查制度，有专门的记录台帐。</w:t>
            </w:r>
          </w:p>
        </w:tc>
        <w:tc>
          <w:tcPr>
            <w:tcW w:w="503" w:type="pct"/>
            <w:noWrap/>
          </w:tcPr>
          <w:p w14:paraId="37B07726">
            <w:pPr>
              <w:tabs>
                <w:tab w:val="left" w:pos="7200"/>
              </w:tabs>
              <w:adjustRightInd w:val="0"/>
              <w:snapToGrid w:val="0"/>
              <w:spacing w:line="300" w:lineRule="auto"/>
              <w:rPr>
                <w:rFonts w:ascii="Calibri" w:hAnsi="Calibri" w:eastAsia="宋体" w:cs="Times New Roman"/>
                <w:sz w:val="22"/>
              </w:rPr>
            </w:pPr>
          </w:p>
        </w:tc>
      </w:tr>
      <w:tr w14:paraId="79EDC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continue"/>
            <w:vAlign w:val="center"/>
          </w:tcPr>
          <w:p w14:paraId="24CEAADA">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30811804">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进校施工监管</w:t>
            </w:r>
          </w:p>
        </w:tc>
        <w:tc>
          <w:tcPr>
            <w:tcW w:w="560" w:type="pct"/>
            <w:noWrap/>
            <w:vAlign w:val="center"/>
          </w:tcPr>
          <w:p w14:paraId="2C991BB7">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2</w:t>
            </w:r>
          </w:p>
        </w:tc>
        <w:tc>
          <w:tcPr>
            <w:tcW w:w="2546" w:type="pct"/>
          </w:tcPr>
          <w:p w14:paraId="4651BE3B">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负责对进校施工的工程队伍进行现场监管，配合施工队规范取水、取电，及时制止违规操作杜绝安全隐患。</w:t>
            </w:r>
          </w:p>
        </w:tc>
        <w:tc>
          <w:tcPr>
            <w:tcW w:w="503" w:type="pct"/>
            <w:noWrap/>
          </w:tcPr>
          <w:p w14:paraId="313C2BEF">
            <w:pPr>
              <w:tabs>
                <w:tab w:val="left" w:pos="7200"/>
              </w:tabs>
              <w:adjustRightInd w:val="0"/>
              <w:snapToGrid w:val="0"/>
              <w:spacing w:line="300" w:lineRule="auto"/>
              <w:rPr>
                <w:rFonts w:ascii="Calibri" w:hAnsi="Calibri" w:eastAsia="宋体" w:cs="Times New Roman"/>
                <w:sz w:val="22"/>
              </w:rPr>
            </w:pPr>
          </w:p>
        </w:tc>
      </w:tr>
      <w:tr w14:paraId="78BC5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701" w:type="pct"/>
            <w:vMerge w:val="restart"/>
            <w:noWrap/>
            <w:vAlign w:val="center"/>
          </w:tcPr>
          <w:p w14:paraId="41BDC97B">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投诉处理</w:t>
            </w:r>
          </w:p>
          <w:p w14:paraId="1DFE65DC">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w:t>
            </w:r>
            <w:r>
              <w:rPr>
                <w:rFonts w:ascii="Calibri" w:hAnsi="Calibri" w:eastAsia="宋体" w:cs="Times New Roman"/>
                <w:sz w:val="22"/>
              </w:rPr>
              <w:t>3</w:t>
            </w:r>
            <w:r>
              <w:rPr>
                <w:rFonts w:hint="eastAsia" w:ascii="Calibri" w:hAnsi="Calibri" w:eastAsia="宋体" w:cs="Times New Roman"/>
                <w:sz w:val="22"/>
              </w:rPr>
              <w:t>分）</w:t>
            </w:r>
          </w:p>
        </w:tc>
        <w:tc>
          <w:tcPr>
            <w:tcW w:w="687" w:type="pct"/>
            <w:vAlign w:val="center"/>
          </w:tcPr>
          <w:p w14:paraId="4882AE6F">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投诉受理</w:t>
            </w:r>
          </w:p>
        </w:tc>
        <w:tc>
          <w:tcPr>
            <w:tcW w:w="560" w:type="pct"/>
            <w:noWrap/>
            <w:vAlign w:val="center"/>
          </w:tcPr>
          <w:p w14:paraId="070314AC">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1</w:t>
            </w:r>
          </w:p>
        </w:tc>
        <w:tc>
          <w:tcPr>
            <w:tcW w:w="2546" w:type="pct"/>
          </w:tcPr>
          <w:p w14:paraId="3E92A4EF">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设立投诉箱、投诉电话、邮箱，畅通投诉途径；关注家校互动渠道，收集意见建议；定期与师生沟通，了解服务需求。</w:t>
            </w:r>
          </w:p>
        </w:tc>
        <w:tc>
          <w:tcPr>
            <w:tcW w:w="503" w:type="pct"/>
            <w:noWrap/>
          </w:tcPr>
          <w:p w14:paraId="1331238B">
            <w:pPr>
              <w:tabs>
                <w:tab w:val="left" w:pos="7200"/>
              </w:tabs>
              <w:adjustRightInd w:val="0"/>
              <w:snapToGrid w:val="0"/>
              <w:spacing w:line="300" w:lineRule="auto"/>
              <w:rPr>
                <w:rFonts w:ascii="Calibri" w:hAnsi="Calibri" w:eastAsia="宋体" w:cs="Times New Roman"/>
                <w:sz w:val="22"/>
              </w:rPr>
            </w:pPr>
          </w:p>
        </w:tc>
      </w:tr>
      <w:tr w14:paraId="3E045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701" w:type="pct"/>
            <w:vMerge w:val="continue"/>
            <w:vAlign w:val="center"/>
          </w:tcPr>
          <w:p w14:paraId="40D35EBB">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2D0E45AF">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投诉处理</w:t>
            </w:r>
          </w:p>
        </w:tc>
        <w:tc>
          <w:tcPr>
            <w:tcW w:w="560" w:type="pct"/>
            <w:noWrap/>
            <w:vAlign w:val="center"/>
          </w:tcPr>
          <w:p w14:paraId="1664571D">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1</w:t>
            </w:r>
          </w:p>
        </w:tc>
        <w:tc>
          <w:tcPr>
            <w:tcW w:w="2546" w:type="pct"/>
          </w:tcPr>
          <w:p w14:paraId="7A77C113">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及时回复处理有效投诉，并形成书面记录。</w:t>
            </w:r>
          </w:p>
        </w:tc>
        <w:tc>
          <w:tcPr>
            <w:tcW w:w="503" w:type="pct"/>
            <w:noWrap/>
          </w:tcPr>
          <w:p w14:paraId="7D11B466">
            <w:pPr>
              <w:tabs>
                <w:tab w:val="left" w:pos="7200"/>
              </w:tabs>
              <w:adjustRightInd w:val="0"/>
              <w:snapToGrid w:val="0"/>
              <w:spacing w:line="300" w:lineRule="auto"/>
              <w:rPr>
                <w:rFonts w:ascii="Calibri" w:hAnsi="Calibri" w:eastAsia="宋体" w:cs="Times New Roman"/>
                <w:sz w:val="22"/>
              </w:rPr>
            </w:pPr>
          </w:p>
        </w:tc>
      </w:tr>
      <w:tr w14:paraId="2C064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1" w:type="pct"/>
            <w:vMerge w:val="continue"/>
            <w:vAlign w:val="center"/>
          </w:tcPr>
          <w:p w14:paraId="05C12EDA">
            <w:pPr>
              <w:tabs>
                <w:tab w:val="left" w:pos="7200"/>
              </w:tabs>
              <w:adjustRightInd w:val="0"/>
              <w:snapToGrid w:val="0"/>
              <w:spacing w:line="300" w:lineRule="auto"/>
              <w:ind w:firstLine="440" w:firstLineChars="200"/>
              <w:jc w:val="center"/>
              <w:rPr>
                <w:rFonts w:ascii="Calibri" w:hAnsi="Calibri" w:eastAsia="宋体" w:cs="Times New Roman"/>
                <w:sz w:val="22"/>
              </w:rPr>
            </w:pPr>
          </w:p>
        </w:tc>
        <w:tc>
          <w:tcPr>
            <w:tcW w:w="687" w:type="pct"/>
            <w:vAlign w:val="center"/>
          </w:tcPr>
          <w:p w14:paraId="1AA81046">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反馈提高</w:t>
            </w:r>
          </w:p>
        </w:tc>
        <w:tc>
          <w:tcPr>
            <w:tcW w:w="560" w:type="pct"/>
            <w:noWrap/>
            <w:vAlign w:val="center"/>
          </w:tcPr>
          <w:p w14:paraId="59B0D571">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1</w:t>
            </w:r>
          </w:p>
        </w:tc>
        <w:tc>
          <w:tcPr>
            <w:tcW w:w="2546" w:type="pct"/>
            <w:vAlign w:val="center"/>
          </w:tcPr>
          <w:p w14:paraId="15E8F3D7">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分析投诉原因，改进服务方法，提高服务质量。</w:t>
            </w:r>
          </w:p>
        </w:tc>
        <w:tc>
          <w:tcPr>
            <w:tcW w:w="503" w:type="pct"/>
            <w:noWrap/>
          </w:tcPr>
          <w:p w14:paraId="274B92D0">
            <w:pPr>
              <w:tabs>
                <w:tab w:val="left" w:pos="7200"/>
              </w:tabs>
              <w:adjustRightInd w:val="0"/>
              <w:snapToGrid w:val="0"/>
              <w:spacing w:line="300" w:lineRule="auto"/>
              <w:rPr>
                <w:rFonts w:ascii="Calibri" w:hAnsi="Calibri" w:eastAsia="宋体" w:cs="Times New Roman"/>
                <w:sz w:val="22"/>
              </w:rPr>
            </w:pPr>
          </w:p>
        </w:tc>
      </w:tr>
      <w:tr w14:paraId="76481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701" w:type="pct"/>
            <w:vAlign w:val="center"/>
          </w:tcPr>
          <w:p w14:paraId="1F8BA952">
            <w:pPr>
              <w:tabs>
                <w:tab w:val="left" w:pos="7200"/>
              </w:tabs>
              <w:adjustRightInd w:val="0"/>
              <w:snapToGrid w:val="0"/>
              <w:spacing w:line="300" w:lineRule="auto"/>
              <w:jc w:val="center"/>
              <w:rPr>
                <w:rFonts w:ascii="Calibri" w:hAnsi="Calibri" w:eastAsia="宋体" w:cs="Times New Roman"/>
                <w:sz w:val="22"/>
              </w:rPr>
            </w:pPr>
            <w:r>
              <w:rPr>
                <w:rFonts w:ascii="Calibri" w:hAnsi="Calibri" w:eastAsia="宋体" w:cs="Times New Roman"/>
                <w:sz w:val="22"/>
              </w:rPr>
              <w:t>后勤管理</w:t>
            </w:r>
          </w:p>
          <w:p w14:paraId="1173E403">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（4分）</w:t>
            </w:r>
          </w:p>
        </w:tc>
        <w:tc>
          <w:tcPr>
            <w:tcW w:w="687" w:type="pct"/>
            <w:vAlign w:val="center"/>
          </w:tcPr>
          <w:p w14:paraId="2B904736">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项目配合</w:t>
            </w:r>
          </w:p>
        </w:tc>
        <w:tc>
          <w:tcPr>
            <w:tcW w:w="560" w:type="pct"/>
            <w:noWrap/>
            <w:vAlign w:val="center"/>
          </w:tcPr>
          <w:p w14:paraId="1B5A20DB">
            <w:pPr>
              <w:tabs>
                <w:tab w:val="left" w:pos="7200"/>
              </w:tabs>
              <w:adjustRightInd w:val="0"/>
              <w:snapToGrid w:val="0"/>
              <w:spacing w:line="300" w:lineRule="auto"/>
              <w:jc w:val="center"/>
              <w:rPr>
                <w:rFonts w:ascii="Calibri" w:hAnsi="Calibri" w:eastAsia="宋体" w:cs="Times New Roman"/>
                <w:sz w:val="22"/>
              </w:rPr>
            </w:pPr>
            <w:r>
              <w:rPr>
                <w:rFonts w:hint="eastAsia" w:ascii="Calibri" w:hAnsi="Calibri" w:eastAsia="宋体" w:cs="Times New Roman"/>
                <w:sz w:val="22"/>
              </w:rPr>
              <w:t>4</w:t>
            </w:r>
          </w:p>
        </w:tc>
        <w:tc>
          <w:tcPr>
            <w:tcW w:w="2546" w:type="pct"/>
            <w:vAlign w:val="center"/>
          </w:tcPr>
          <w:p w14:paraId="4C260D69">
            <w:pPr>
              <w:tabs>
                <w:tab w:val="left" w:pos="7200"/>
              </w:tabs>
              <w:adjustRightInd w:val="0"/>
              <w:snapToGrid w:val="0"/>
              <w:spacing w:line="300" w:lineRule="auto"/>
              <w:rPr>
                <w:rFonts w:ascii="Calibri" w:hAnsi="Calibri" w:eastAsia="宋体" w:cs="Times New Roman"/>
                <w:sz w:val="22"/>
              </w:rPr>
            </w:pPr>
            <w:r>
              <w:rPr>
                <w:rFonts w:hint="eastAsia" w:ascii="Calibri" w:hAnsi="Calibri" w:eastAsia="宋体" w:cs="Times New Roman"/>
                <w:sz w:val="22"/>
              </w:rPr>
              <w:t>配合学校做好各类安全巡视工作；有专门工作记录。</w:t>
            </w:r>
          </w:p>
        </w:tc>
        <w:tc>
          <w:tcPr>
            <w:tcW w:w="503" w:type="pct"/>
            <w:noWrap/>
          </w:tcPr>
          <w:p w14:paraId="4C7BED33">
            <w:pPr>
              <w:tabs>
                <w:tab w:val="left" w:pos="7200"/>
              </w:tabs>
              <w:adjustRightInd w:val="0"/>
              <w:snapToGrid w:val="0"/>
              <w:spacing w:line="300" w:lineRule="auto"/>
              <w:rPr>
                <w:rFonts w:ascii="Calibri" w:hAnsi="Calibri" w:eastAsia="宋体" w:cs="Times New Roman"/>
                <w:sz w:val="22"/>
              </w:rPr>
            </w:pPr>
          </w:p>
        </w:tc>
      </w:tr>
      <w:tr w14:paraId="2622A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89" w:type="pct"/>
            <w:gridSpan w:val="2"/>
            <w:vAlign w:val="center"/>
          </w:tcPr>
          <w:p w14:paraId="0E887C21">
            <w:pPr>
              <w:tabs>
                <w:tab w:val="left" w:pos="7200"/>
              </w:tabs>
              <w:adjustRightInd w:val="0"/>
              <w:snapToGrid w:val="0"/>
              <w:spacing w:line="300" w:lineRule="auto"/>
              <w:ind w:firstLine="440" w:firstLineChars="200"/>
              <w:rPr>
                <w:rFonts w:ascii="Calibri" w:hAnsi="Calibri" w:eastAsia="宋体" w:cs="Times New Roman"/>
                <w:sz w:val="22"/>
              </w:rPr>
            </w:pPr>
            <w:r>
              <w:rPr>
                <w:rFonts w:hint="eastAsia" w:ascii="Calibri" w:hAnsi="Calibri" w:eastAsia="宋体" w:cs="Times New Roman"/>
                <w:sz w:val="22"/>
              </w:rPr>
              <w:t>本次得分：</w:t>
            </w:r>
          </w:p>
        </w:tc>
        <w:tc>
          <w:tcPr>
            <w:tcW w:w="3610" w:type="pct"/>
            <w:gridSpan w:val="3"/>
            <w:noWrap/>
            <w:vAlign w:val="center"/>
          </w:tcPr>
          <w:p w14:paraId="620BC1A0">
            <w:pPr>
              <w:tabs>
                <w:tab w:val="left" w:pos="7200"/>
              </w:tabs>
              <w:adjustRightInd w:val="0"/>
              <w:snapToGrid w:val="0"/>
              <w:spacing w:line="300" w:lineRule="auto"/>
              <w:ind w:firstLine="440" w:firstLineChars="200"/>
              <w:rPr>
                <w:rFonts w:ascii="Calibri" w:hAnsi="Calibri" w:eastAsia="宋体" w:cs="Times New Roman"/>
                <w:sz w:val="22"/>
              </w:rPr>
            </w:pPr>
            <w:r>
              <w:rPr>
                <w:rFonts w:hint="eastAsia" w:ascii="Calibri" w:hAnsi="Calibri" w:eastAsia="宋体" w:cs="Times New Roman"/>
                <w:sz w:val="22"/>
              </w:rPr>
              <w:t>整体评价：</w:t>
            </w:r>
          </w:p>
        </w:tc>
      </w:tr>
      <w:tr w14:paraId="7C746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1389" w:type="pct"/>
            <w:gridSpan w:val="2"/>
            <w:vAlign w:val="center"/>
          </w:tcPr>
          <w:p w14:paraId="6B5631CB">
            <w:pPr>
              <w:tabs>
                <w:tab w:val="left" w:pos="7200"/>
              </w:tabs>
              <w:adjustRightInd w:val="0"/>
              <w:snapToGrid w:val="0"/>
              <w:spacing w:line="300" w:lineRule="auto"/>
              <w:ind w:firstLine="440" w:firstLineChars="200"/>
              <w:rPr>
                <w:rFonts w:ascii="Calibri" w:hAnsi="Calibri" w:eastAsia="宋体" w:cs="Times New Roman"/>
                <w:sz w:val="22"/>
              </w:rPr>
            </w:pPr>
            <w:r>
              <w:rPr>
                <w:rFonts w:hint="eastAsia" w:ascii="Calibri" w:hAnsi="Calibri" w:eastAsia="宋体" w:cs="Times New Roman"/>
                <w:sz w:val="22"/>
              </w:rPr>
              <w:t>考核人：</w:t>
            </w:r>
          </w:p>
        </w:tc>
        <w:tc>
          <w:tcPr>
            <w:tcW w:w="3610" w:type="pct"/>
            <w:gridSpan w:val="3"/>
            <w:noWrap/>
            <w:vAlign w:val="center"/>
          </w:tcPr>
          <w:p w14:paraId="3967C2DB">
            <w:pPr>
              <w:tabs>
                <w:tab w:val="left" w:pos="7200"/>
              </w:tabs>
              <w:adjustRightInd w:val="0"/>
              <w:snapToGrid w:val="0"/>
              <w:spacing w:line="300" w:lineRule="auto"/>
              <w:ind w:firstLine="440" w:firstLineChars="200"/>
              <w:rPr>
                <w:rFonts w:ascii="Calibri" w:hAnsi="Calibri" w:eastAsia="宋体" w:cs="Times New Roman"/>
                <w:sz w:val="22"/>
              </w:rPr>
            </w:pPr>
            <w:r>
              <w:rPr>
                <w:rFonts w:hint="eastAsia" w:ascii="Calibri" w:hAnsi="Calibri" w:eastAsia="宋体" w:cs="Times New Roman"/>
                <w:sz w:val="22"/>
              </w:rPr>
              <w:t>考核日期：</w:t>
            </w:r>
          </w:p>
        </w:tc>
      </w:tr>
    </w:tbl>
    <w:p w14:paraId="1632C334">
      <w:pPr>
        <w:rPr>
          <w:rFonts w:ascii="Calibri" w:hAnsi="Calibri" w:eastAsia="宋体" w:cs="Times New Roman"/>
        </w:rPr>
      </w:pPr>
    </w:p>
    <w:p w14:paraId="08D79512">
      <w:pPr>
        <w:adjustRightInd w:val="0"/>
        <w:snapToGrid w:val="0"/>
        <w:spacing w:line="300" w:lineRule="auto"/>
        <w:jc w:val="center"/>
        <w:outlineLvl w:val="1"/>
        <w:rPr>
          <w:rFonts w:ascii="Times New Roman" w:hAnsi="Times New Roman" w:eastAsia="黑体" w:cs="Times New Roman"/>
          <w:sz w:val="30"/>
          <w:szCs w:val="30"/>
        </w:rPr>
      </w:pPr>
      <w:bookmarkStart w:id="38" w:name="_Toc464465687"/>
      <w:bookmarkStart w:id="39" w:name="_Toc460922295"/>
      <w:bookmarkStart w:id="40" w:name="_Toc243060110"/>
      <w:r>
        <w:rPr>
          <w:rFonts w:ascii="Times New Roman" w:hAnsi="Times New Roman" w:eastAsia="黑体" w:cs="Times New Roman"/>
          <w:sz w:val="30"/>
          <w:szCs w:val="30"/>
        </w:rPr>
        <w:t>四、</w:t>
      </w:r>
      <w:bookmarkEnd w:id="38"/>
      <w:bookmarkEnd w:id="39"/>
      <w:r>
        <w:rPr>
          <w:rFonts w:ascii="Times New Roman" w:hAnsi="Times New Roman" w:eastAsia="黑体" w:cs="Times New Roman"/>
          <w:sz w:val="30"/>
          <w:szCs w:val="30"/>
        </w:rPr>
        <w:t>投标报价须知</w:t>
      </w:r>
      <w:bookmarkEnd w:id="40"/>
    </w:p>
    <w:p w14:paraId="459C350F">
      <w:pPr>
        <w:adjustRightInd w:val="0"/>
        <w:snapToGrid w:val="0"/>
        <w:spacing w:line="300" w:lineRule="auto"/>
        <w:ind w:firstLine="442" w:firstLineChars="200"/>
        <w:outlineLvl w:val="2"/>
        <w:rPr>
          <w:rFonts w:ascii="Times New Roman" w:hAnsi="Times New Roman" w:eastAsia="宋体" w:cs="Times New Roman"/>
          <w:b/>
          <w:bCs/>
          <w:sz w:val="22"/>
        </w:rPr>
      </w:pPr>
      <w:bookmarkStart w:id="41" w:name="_Toc243060111"/>
      <w:r>
        <w:rPr>
          <w:rFonts w:ascii="Times New Roman" w:hAnsi="Times New Roman" w:eastAsia="宋体" w:cs="Times New Roman"/>
          <w:b/>
          <w:bCs/>
          <w:sz w:val="22"/>
        </w:rPr>
        <w:t>12 投标报价依据</w:t>
      </w:r>
      <w:bookmarkEnd w:id="41"/>
    </w:p>
    <w:p w14:paraId="6E4598E4">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12.1 投标报价计算依据包括本项目的招标文件（包括提供的附件）、招标文件答疑或修改的补充文书、工作量清单、项目现场条件等。</w:t>
      </w:r>
    </w:p>
    <w:p w14:paraId="4046ED39">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12.2 招标文件明确的服务范围、服务内容、服务期限、服务质量要求、售后服务、管理要求与服务标准及考核要求等。</w:t>
      </w:r>
    </w:p>
    <w:p w14:paraId="53F0391A">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12.3 岗位设置一览表说明</w:t>
      </w:r>
    </w:p>
    <w:p w14:paraId="22059AE6">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12.3.1 岗位设置一览表应与投标人须知、合同条件、项目质量标准和要求等文件结合起来理解或解释。</w:t>
      </w:r>
    </w:p>
    <w:p w14:paraId="68022592">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12.3.2 采购人提供的</w:t>
      </w:r>
      <w:r>
        <w:rPr>
          <w:rFonts w:ascii="Times New Roman" w:hAnsi="Times New Roman" w:eastAsia="宋体" w:cs="Times New Roman"/>
          <w:b/>
          <w:kern w:val="0"/>
          <w:sz w:val="22"/>
          <w:u w:val="single"/>
        </w:rPr>
        <w:t>岗位设置一览表</w:t>
      </w:r>
      <w:r>
        <w:rPr>
          <w:rFonts w:ascii="Times New Roman" w:hAnsi="Times New Roman" w:eastAsia="宋体" w:cs="Times New Roman"/>
          <w:sz w:val="22"/>
        </w:rPr>
        <w:t>是依照采购需求测算出的</w:t>
      </w:r>
      <w:r>
        <w:rPr>
          <w:rFonts w:ascii="Times New Roman" w:hAnsi="Times New Roman" w:eastAsia="宋体" w:cs="Times New Roman"/>
          <w:b/>
          <w:kern w:val="0"/>
          <w:sz w:val="22"/>
          <w:u w:val="single"/>
        </w:rPr>
        <w:t>各岗位最低配置要求</w:t>
      </w:r>
      <w:r>
        <w:rPr>
          <w:rFonts w:ascii="Times New Roman" w:hAnsi="Times New Roman" w:eastAsia="宋体" w:cs="Times New Roman"/>
          <w:sz w:val="22"/>
        </w:rPr>
        <w:t>，与最终的实际履约可能存在小的出入，各投标人应自行认真踏勘现场，了解招标需求。投标人如发现</w:t>
      </w:r>
      <w:r>
        <w:rPr>
          <w:rFonts w:ascii="Times New Roman" w:hAnsi="Times New Roman" w:eastAsia="宋体" w:cs="Times New Roman"/>
          <w:b/>
          <w:kern w:val="0"/>
          <w:sz w:val="22"/>
          <w:u w:val="single"/>
        </w:rPr>
        <w:t>该表</w:t>
      </w:r>
      <w:r>
        <w:rPr>
          <w:rFonts w:ascii="Times New Roman" w:hAnsi="Times New Roman" w:eastAsia="宋体" w:cs="Times New Roman"/>
          <w:sz w:val="22"/>
        </w:rPr>
        <w:t>和实际工作内容不一致时，应立即以书面形式通知采购人核查，除非采购人以答疑文件或补充文件予以更正，否则，投标人不得</w:t>
      </w:r>
      <w:r>
        <w:rPr>
          <w:rFonts w:ascii="Times New Roman" w:hAnsi="Times New Roman" w:eastAsia="宋体" w:cs="Times New Roman"/>
          <w:b/>
          <w:kern w:val="0"/>
          <w:sz w:val="22"/>
          <w:u w:val="single"/>
        </w:rPr>
        <w:t>对岗位设置一览表中的岗位类别和数量进行缩减</w:t>
      </w:r>
      <w:r>
        <w:rPr>
          <w:rFonts w:ascii="Times New Roman" w:hAnsi="Times New Roman" w:eastAsia="宋体" w:cs="Times New Roman"/>
          <w:sz w:val="22"/>
        </w:rPr>
        <w:t>。</w:t>
      </w:r>
    </w:p>
    <w:p w14:paraId="2B647540">
      <w:pPr>
        <w:adjustRightInd w:val="0"/>
        <w:snapToGrid w:val="0"/>
        <w:spacing w:line="300" w:lineRule="auto"/>
        <w:ind w:firstLine="442" w:firstLineChars="200"/>
        <w:jc w:val="left"/>
        <w:outlineLvl w:val="2"/>
        <w:rPr>
          <w:rFonts w:ascii="Times New Roman" w:hAnsi="Times New Roman" w:eastAsia="宋体" w:cs="Times New Roman"/>
          <w:b/>
          <w:sz w:val="22"/>
        </w:rPr>
      </w:pPr>
      <w:bookmarkStart w:id="42" w:name="_Toc243060112"/>
      <w:r>
        <w:rPr>
          <w:rFonts w:ascii="Times New Roman" w:hAnsi="Times New Roman" w:eastAsia="宋体" w:cs="Times New Roman"/>
          <w:b/>
          <w:sz w:val="22"/>
        </w:rPr>
        <w:t>13投标报价内容</w:t>
      </w:r>
      <w:bookmarkEnd w:id="42"/>
    </w:p>
    <w:p w14:paraId="7AD22F9A">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13.1依据本项目的招标范围和内容，中标人提供物业管理服务，其投标报价应包括管理费、人工、清扫用设备、耗材等费用。</w:t>
      </w:r>
    </w:p>
    <w:p w14:paraId="4E258DC4">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13.2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23534640">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13.3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66E49F72">
      <w:pPr>
        <w:adjustRightInd w:val="0"/>
        <w:snapToGrid w:val="0"/>
        <w:spacing w:line="300" w:lineRule="auto"/>
        <w:ind w:firstLine="440" w:firstLineChars="200"/>
        <w:jc w:val="left"/>
        <w:rPr>
          <w:rFonts w:ascii="Times New Roman" w:hAnsi="Times New Roman" w:eastAsia="宋体" w:cs="Times New Roman"/>
          <w:b/>
          <w:kern w:val="0"/>
          <w:sz w:val="22"/>
          <w:u w:val="single"/>
        </w:rPr>
      </w:pPr>
      <w:r>
        <w:rPr>
          <w:rFonts w:ascii="Times New Roman" w:hAnsi="Times New Roman" w:eastAsia="宋体" w:cs="Times New Roman"/>
          <w:sz w:val="22"/>
        </w:rPr>
        <w:t>13.4投标人应考虑本项目可能存在的其他任何风险因素，包括政策性调价、人工和材料成本增涨、因</w:t>
      </w:r>
      <w:r>
        <w:rPr>
          <w:rFonts w:ascii="Times New Roman" w:hAnsi="Times New Roman" w:eastAsia="宋体" w:cs="Times New Roman"/>
          <w:kern w:val="0"/>
          <w:sz w:val="22"/>
        </w:rPr>
        <w:t>设备使用年限增长引起的维修成本增加和效能衰减等。</w:t>
      </w:r>
    </w:p>
    <w:p w14:paraId="76E20B19">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13.5投标人按照投标文件格式中所附的表式完整地填写开标一览表及各类投标报价明细表，说明其拟提供服务的内容、数量、价格构成等。</w:t>
      </w:r>
    </w:p>
    <w:p w14:paraId="366C6454">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投标人只需在《开标一览表》中报出对应服务期限的投标价格即可。</w:t>
      </w:r>
    </w:p>
    <w:p w14:paraId="4D0DC341">
      <w:pPr>
        <w:tabs>
          <w:tab w:val="left" w:pos="3060"/>
        </w:tabs>
        <w:adjustRightInd w:val="0"/>
        <w:snapToGrid w:val="0"/>
        <w:spacing w:line="300" w:lineRule="auto"/>
        <w:ind w:firstLine="440" w:firstLineChars="200"/>
        <w:jc w:val="left"/>
        <w:rPr>
          <w:rFonts w:ascii="Times New Roman" w:hAnsi="Times New Roman" w:eastAsia="宋体" w:cs="Times New Roman"/>
          <w:bCs/>
          <w:sz w:val="22"/>
        </w:rPr>
      </w:pPr>
      <w:r>
        <w:rPr>
          <w:rFonts w:ascii="Times New Roman" w:hAnsi="Times New Roman" w:eastAsia="宋体" w:cs="Times New Roman"/>
          <w:sz w:val="22"/>
        </w:rPr>
        <w:t xml:space="preserve">13.6 </w:t>
      </w:r>
      <w:r>
        <w:rPr>
          <w:rFonts w:ascii="Times New Roman" w:hAnsi="Times New Roman" w:eastAsia="宋体" w:cs="Times New Roman"/>
          <w:bCs/>
          <w:sz w:val="22"/>
        </w:rPr>
        <w:t>投标报价组成表</w:t>
      </w:r>
    </w:p>
    <w:tbl>
      <w:tblPr>
        <w:tblStyle w:val="49"/>
        <w:tblW w:w="9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595"/>
        <w:gridCol w:w="4678"/>
        <w:gridCol w:w="1275"/>
        <w:gridCol w:w="1542"/>
      </w:tblGrid>
      <w:tr w14:paraId="7F5CE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2021" w:type="dxa"/>
            <w:gridSpan w:val="2"/>
            <w:tcBorders>
              <w:bottom w:val="double" w:color="auto" w:sz="4" w:space="0"/>
            </w:tcBorders>
            <w:vAlign w:val="center"/>
          </w:tcPr>
          <w:p w14:paraId="625AEEE2">
            <w:pPr>
              <w:tabs>
                <w:tab w:val="left" w:pos="3060"/>
              </w:tabs>
              <w:adjustRightInd w:val="0"/>
              <w:snapToGrid w:val="0"/>
              <w:spacing w:line="300" w:lineRule="auto"/>
              <w:jc w:val="center"/>
              <w:rPr>
                <w:rFonts w:ascii="Times New Roman" w:hAnsi="Times New Roman" w:eastAsia="宋体" w:cs="Times New Roman"/>
                <w:b/>
                <w:bCs/>
                <w:sz w:val="22"/>
              </w:rPr>
            </w:pPr>
            <w:r>
              <w:rPr>
                <w:rFonts w:ascii="Times New Roman" w:hAnsi="Times New Roman" w:eastAsia="宋体" w:cs="Times New Roman"/>
                <w:b/>
                <w:bCs/>
                <w:sz w:val="22"/>
              </w:rPr>
              <w:t>项目</w:t>
            </w:r>
          </w:p>
        </w:tc>
        <w:tc>
          <w:tcPr>
            <w:tcW w:w="4678" w:type="dxa"/>
            <w:tcBorders>
              <w:bottom w:val="double" w:color="auto" w:sz="4" w:space="0"/>
            </w:tcBorders>
            <w:vAlign w:val="center"/>
          </w:tcPr>
          <w:p w14:paraId="530D7142">
            <w:pPr>
              <w:tabs>
                <w:tab w:val="left" w:pos="3060"/>
              </w:tabs>
              <w:adjustRightInd w:val="0"/>
              <w:snapToGrid w:val="0"/>
              <w:spacing w:line="300" w:lineRule="auto"/>
              <w:jc w:val="center"/>
              <w:rPr>
                <w:rFonts w:ascii="Times New Roman" w:hAnsi="Times New Roman" w:eastAsia="宋体" w:cs="Times New Roman"/>
                <w:b/>
                <w:bCs/>
                <w:sz w:val="22"/>
              </w:rPr>
            </w:pPr>
            <w:r>
              <w:rPr>
                <w:rFonts w:ascii="Times New Roman" w:hAnsi="Times New Roman" w:eastAsia="宋体" w:cs="Times New Roman"/>
                <w:b/>
                <w:bCs/>
                <w:sz w:val="22"/>
              </w:rPr>
              <w:t>要求</w:t>
            </w:r>
          </w:p>
        </w:tc>
        <w:tc>
          <w:tcPr>
            <w:tcW w:w="1275" w:type="dxa"/>
            <w:tcBorders>
              <w:bottom w:val="double" w:color="auto" w:sz="4" w:space="0"/>
            </w:tcBorders>
            <w:vAlign w:val="center"/>
          </w:tcPr>
          <w:p w14:paraId="519F92ED">
            <w:pPr>
              <w:tabs>
                <w:tab w:val="left" w:pos="3060"/>
              </w:tabs>
              <w:adjustRightInd w:val="0"/>
              <w:snapToGrid w:val="0"/>
              <w:spacing w:line="300" w:lineRule="auto"/>
              <w:jc w:val="center"/>
              <w:rPr>
                <w:rFonts w:ascii="Times New Roman" w:hAnsi="Times New Roman" w:eastAsia="宋体" w:cs="Times New Roman"/>
                <w:b/>
                <w:bCs/>
                <w:sz w:val="22"/>
              </w:rPr>
            </w:pPr>
            <w:r>
              <w:rPr>
                <w:rFonts w:ascii="Times New Roman" w:hAnsi="Times New Roman" w:eastAsia="宋体" w:cs="Times New Roman"/>
                <w:b/>
                <w:bCs/>
                <w:sz w:val="22"/>
              </w:rPr>
              <w:t>分项报价</w:t>
            </w:r>
          </w:p>
        </w:tc>
        <w:tc>
          <w:tcPr>
            <w:tcW w:w="1542" w:type="dxa"/>
            <w:tcBorders>
              <w:bottom w:val="double" w:color="auto" w:sz="4" w:space="0"/>
            </w:tcBorders>
            <w:vAlign w:val="center"/>
          </w:tcPr>
          <w:p w14:paraId="5D9DFB33">
            <w:pPr>
              <w:tabs>
                <w:tab w:val="left" w:pos="3060"/>
              </w:tabs>
              <w:adjustRightInd w:val="0"/>
              <w:snapToGrid w:val="0"/>
              <w:spacing w:line="300" w:lineRule="auto"/>
              <w:jc w:val="center"/>
              <w:rPr>
                <w:rFonts w:ascii="Times New Roman" w:hAnsi="Times New Roman" w:eastAsia="宋体" w:cs="Times New Roman"/>
                <w:b/>
                <w:bCs/>
                <w:sz w:val="22"/>
              </w:rPr>
            </w:pPr>
            <w:r>
              <w:rPr>
                <w:rFonts w:ascii="Times New Roman" w:hAnsi="Times New Roman" w:eastAsia="宋体" w:cs="Times New Roman"/>
                <w:b/>
                <w:bCs/>
                <w:sz w:val="22"/>
              </w:rPr>
              <w:t>备注</w:t>
            </w:r>
          </w:p>
        </w:tc>
      </w:tr>
      <w:tr w14:paraId="0B8C1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426" w:type="dxa"/>
            <w:tcBorders>
              <w:top w:val="double" w:color="auto" w:sz="4" w:space="0"/>
            </w:tcBorders>
            <w:vAlign w:val="center"/>
          </w:tcPr>
          <w:p w14:paraId="760B69CB">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1</w:t>
            </w:r>
          </w:p>
        </w:tc>
        <w:tc>
          <w:tcPr>
            <w:tcW w:w="1595" w:type="dxa"/>
            <w:tcBorders>
              <w:top w:val="double" w:color="auto" w:sz="4" w:space="0"/>
            </w:tcBorders>
            <w:vAlign w:val="center"/>
          </w:tcPr>
          <w:p w14:paraId="33C20F38">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人员费用</w:t>
            </w:r>
          </w:p>
        </w:tc>
        <w:tc>
          <w:tcPr>
            <w:tcW w:w="4678" w:type="dxa"/>
            <w:tcBorders>
              <w:top w:val="double" w:color="auto" w:sz="4" w:space="0"/>
            </w:tcBorders>
            <w:vAlign w:val="center"/>
          </w:tcPr>
          <w:p w14:paraId="04765255">
            <w:pPr>
              <w:tabs>
                <w:tab w:val="left" w:pos="3060"/>
              </w:tabs>
              <w:adjustRightInd w:val="0"/>
              <w:snapToGrid w:val="0"/>
              <w:spacing w:line="300" w:lineRule="auto"/>
              <w:jc w:val="center"/>
              <w:rPr>
                <w:rFonts w:ascii="Times New Roman" w:hAnsi="Times New Roman" w:eastAsia="宋体" w:cs="Times New Roman"/>
                <w:kern w:val="0"/>
                <w:szCs w:val="21"/>
              </w:rPr>
            </w:pPr>
            <w:r>
              <w:rPr>
                <w:rFonts w:ascii="Times New Roman" w:hAnsi="Times New Roman" w:eastAsia="宋体" w:cs="Times New Roman"/>
                <w:bCs/>
                <w:sz w:val="22"/>
              </w:rPr>
              <w:t>含工资、社会保险和按规定提取的福利费</w:t>
            </w:r>
          </w:p>
        </w:tc>
        <w:tc>
          <w:tcPr>
            <w:tcW w:w="1275" w:type="dxa"/>
            <w:tcBorders>
              <w:top w:val="double" w:color="auto" w:sz="4" w:space="0"/>
            </w:tcBorders>
            <w:vAlign w:val="center"/>
          </w:tcPr>
          <w:p w14:paraId="181DF6DE">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tcBorders>
              <w:top w:val="double" w:color="auto" w:sz="4" w:space="0"/>
            </w:tcBorders>
            <w:vAlign w:val="center"/>
          </w:tcPr>
          <w:p w14:paraId="7ED76776">
            <w:pPr>
              <w:tabs>
                <w:tab w:val="left" w:pos="3060"/>
              </w:tabs>
              <w:adjustRightInd w:val="0"/>
              <w:snapToGrid w:val="0"/>
              <w:spacing w:line="300" w:lineRule="auto"/>
              <w:jc w:val="center"/>
              <w:rPr>
                <w:rFonts w:ascii="Times New Roman" w:hAnsi="Times New Roman" w:eastAsia="宋体" w:cs="Times New Roman"/>
                <w:bCs/>
                <w:sz w:val="22"/>
              </w:rPr>
            </w:pPr>
          </w:p>
        </w:tc>
      </w:tr>
      <w:tr w14:paraId="3D216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26" w:type="dxa"/>
            <w:vAlign w:val="center"/>
          </w:tcPr>
          <w:p w14:paraId="15F7AC4F">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2</w:t>
            </w:r>
          </w:p>
        </w:tc>
        <w:tc>
          <w:tcPr>
            <w:tcW w:w="1595" w:type="dxa"/>
            <w:vAlign w:val="center"/>
          </w:tcPr>
          <w:p w14:paraId="591032F5">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材料费</w:t>
            </w:r>
          </w:p>
        </w:tc>
        <w:tc>
          <w:tcPr>
            <w:tcW w:w="4678" w:type="dxa"/>
            <w:vAlign w:val="center"/>
          </w:tcPr>
          <w:p w14:paraId="4900517E">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包括材料等费用</w:t>
            </w:r>
          </w:p>
        </w:tc>
        <w:tc>
          <w:tcPr>
            <w:tcW w:w="1275" w:type="dxa"/>
            <w:vAlign w:val="center"/>
          </w:tcPr>
          <w:p w14:paraId="51C1E397">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vAlign w:val="center"/>
          </w:tcPr>
          <w:p w14:paraId="48D1F03D">
            <w:pPr>
              <w:tabs>
                <w:tab w:val="left" w:pos="3060"/>
              </w:tabs>
              <w:adjustRightInd w:val="0"/>
              <w:snapToGrid w:val="0"/>
              <w:spacing w:line="300" w:lineRule="auto"/>
              <w:jc w:val="center"/>
              <w:rPr>
                <w:rFonts w:ascii="Times New Roman" w:hAnsi="Times New Roman" w:eastAsia="宋体" w:cs="Times New Roman"/>
                <w:bCs/>
                <w:sz w:val="22"/>
              </w:rPr>
            </w:pPr>
          </w:p>
        </w:tc>
      </w:tr>
      <w:tr w14:paraId="7579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0BB1F1AB">
            <w:pPr>
              <w:tabs>
                <w:tab w:val="left" w:pos="3060"/>
              </w:tabs>
              <w:adjustRightInd w:val="0"/>
              <w:snapToGrid w:val="0"/>
              <w:spacing w:line="300" w:lineRule="auto"/>
              <w:jc w:val="center"/>
              <w:rPr>
                <w:rFonts w:ascii="Times New Roman" w:hAnsi="Times New Roman" w:eastAsia="宋体" w:cs="Times New Roman"/>
                <w:bCs/>
                <w:sz w:val="22"/>
              </w:rPr>
            </w:pPr>
            <w:r>
              <w:rPr>
                <w:rFonts w:hint="eastAsia" w:ascii="Times New Roman" w:hAnsi="Times New Roman" w:eastAsia="宋体" w:cs="Times New Roman"/>
                <w:bCs/>
                <w:sz w:val="22"/>
              </w:rPr>
              <w:t>3</w:t>
            </w:r>
          </w:p>
        </w:tc>
        <w:tc>
          <w:tcPr>
            <w:tcW w:w="1595" w:type="dxa"/>
            <w:vAlign w:val="center"/>
          </w:tcPr>
          <w:p w14:paraId="7D0316FB">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保险费用</w:t>
            </w:r>
          </w:p>
          <w:p w14:paraId="693FE445">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（如有）</w:t>
            </w:r>
          </w:p>
        </w:tc>
        <w:tc>
          <w:tcPr>
            <w:tcW w:w="4678" w:type="dxa"/>
            <w:vAlign w:val="center"/>
          </w:tcPr>
          <w:p w14:paraId="7A617298">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如雇主责任险、公众责任险等</w:t>
            </w:r>
          </w:p>
        </w:tc>
        <w:tc>
          <w:tcPr>
            <w:tcW w:w="1275" w:type="dxa"/>
            <w:vAlign w:val="center"/>
          </w:tcPr>
          <w:p w14:paraId="45F2426A">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vAlign w:val="center"/>
          </w:tcPr>
          <w:p w14:paraId="6A14B7A6">
            <w:pPr>
              <w:tabs>
                <w:tab w:val="left" w:pos="3060"/>
              </w:tabs>
              <w:adjustRightInd w:val="0"/>
              <w:snapToGrid w:val="0"/>
              <w:spacing w:line="300" w:lineRule="auto"/>
              <w:jc w:val="center"/>
              <w:rPr>
                <w:rFonts w:ascii="Times New Roman" w:hAnsi="Times New Roman" w:eastAsia="宋体" w:cs="Times New Roman"/>
                <w:bCs/>
                <w:sz w:val="22"/>
              </w:rPr>
            </w:pPr>
          </w:p>
        </w:tc>
      </w:tr>
      <w:tr w14:paraId="57AF6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7CE468CD">
            <w:pPr>
              <w:tabs>
                <w:tab w:val="left" w:pos="3060"/>
              </w:tabs>
              <w:adjustRightInd w:val="0"/>
              <w:snapToGrid w:val="0"/>
              <w:spacing w:line="300" w:lineRule="auto"/>
              <w:jc w:val="center"/>
              <w:rPr>
                <w:rFonts w:ascii="Times New Roman" w:hAnsi="Times New Roman" w:eastAsia="宋体" w:cs="Times New Roman"/>
                <w:bCs/>
                <w:sz w:val="22"/>
              </w:rPr>
            </w:pPr>
            <w:r>
              <w:rPr>
                <w:rFonts w:hint="eastAsia" w:ascii="Times New Roman" w:hAnsi="Times New Roman" w:eastAsia="宋体" w:cs="Times New Roman"/>
                <w:bCs/>
                <w:sz w:val="22"/>
              </w:rPr>
              <w:t>4</w:t>
            </w:r>
          </w:p>
        </w:tc>
        <w:tc>
          <w:tcPr>
            <w:tcW w:w="1595" w:type="dxa"/>
            <w:shd w:val="clear" w:color="auto" w:fill="auto"/>
            <w:vAlign w:val="center"/>
          </w:tcPr>
          <w:p w14:paraId="1E3B9829">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其他</w:t>
            </w:r>
          </w:p>
        </w:tc>
        <w:tc>
          <w:tcPr>
            <w:tcW w:w="4678" w:type="dxa"/>
            <w:shd w:val="clear" w:color="auto" w:fill="auto"/>
            <w:vAlign w:val="center"/>
          </w:tcPr>
          <w:p w14:paraId="08B014AC">
            <w:pPr>
              <w:tabs>
                <w:tab w:val="left" w:pos="3060"/>
              </w:tabs>
              <w:adjustRightInd w:val="0"/>
              <w:snapToGrid w:val="0"/>
              <w:spacing w:line="300" w:lineRule="auto"/>
              <w:jc w:val="center"/>
              <w:rPr>
                <w:rFonts w:ascii="Times New Roman" w:hAnsi="Times New Roman" w:eastAsia="宋体" w:cs="Times New Roman"/>
                <w:kern w:val="0"/>
                <w:szCs w:val="21"/>
              </w:rPr>
            </w:pPr>
            <w:r>
              <w:rPr>
                <w:rFonts w:ascii="Times New Roman" w:hAnsi="Times New Roman" w:eastAsia="宋体" w:cs="Times New Roman"/>
                <w:bCs/>
                <w:sz w:val="22"/>
              </w:rPr>
              <w:t>投标人认为本表中未能包括的其他必要费用</w:t>
            </w:r>
          </w:p>
        </w:tc>
        <w:tc>
          <w:tcPr>
            <w:tcW w:w="1275" w:type="dxa"/>
            <w:vAlign w:val="center"/>
          </w:tcPr>
          <w:p w14:paraId="4B431B0D">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vAlign w:val="center"/>
          </w:tcPr>
          <w:p w14:paraId="1F055F62">
            <w:pPr>
              <w:tabs>
                <w:tab w:val="left" w:pos="3060"/>
              </w:tabs>
              <w:adjustRightInd w:val="0"/>
              <w:snapToGrid w:val="0"/>
              <w:spacing w:line="300" w:lineRule="auto"/>
              <w:jc w:val="center"/>
              <w:rPr>
                <w:rFonts w:ascii="Times New Roman" w:hAnsi="Times New Roman" w:eastAsia="宋体" w:cs="Times New Roman"/>
                <w:bCs/>
                <w:sz w:val="22"/>
              </w:rPr>
            </w:pPr>
          </w:p>
        </w:tc>
      </w:tr>
      <w:tr w14:paraId="07005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3F31D97C">
            <w:pPr>
              <w:tabs>
                <w:tab w:val="left" w:pos="3060"/>
              </w:tabs>
              <w:adjustRightInd w:val="0"/>
              <w:snapToGrid w:val="0"/>
              <w:spacing w:line="300" w:lineRule="auto"/>
              <w:jc w:val="center"/>
              <w:rPr>
                <w:rFonts w:ascii="Times New Roman" w:hAnsi="Times New Roman" w:eastAsia="宋体" w:cs="Times New Roman"/>
                <w:bCs/>
                <w:sz w:val="22"/>
              </w:rPr>
            </w:pPr>
            <w:r>
              <w:rPr>
                <w:rFonts w:hint="eastAsia" w:ascii="Times New Roman" w:hAnsi="Times New Roman" w:eastAsia="宋体" w:cs="Times New Roman"/>
                <w:bCs/>
                <w:sz w:val="22"/>
              </w:rPr>
              <w:t>5</w:t>
            </w:r>
          </w:p>
        </w:tc>
        <w:tc>
          <w:tcPr>
            <w:tcW w:w="1595" w:type="dxa"/>
            <w:shd w:val="clear" w:color="auto" w:fill="auto"/>
            <w:vAlign w:val="center"/>
          </w:tcPr>
          <w:p w14:paraId="5EAD1BCC">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利润</w:t>
            </w:r>
          </w:p>
        </w:tc>
        <w:tc>
          <w:tcPr>
            <w:tcW w:w="4678" w:type="dxa"/>
            <w:shd w:val="clear" w:color="auto" w:fill="auto"/>
            <w:vAlign w:val="center"/>
          </w:tcPr>
          <w:p w14:paraId="38A42A0C">
            <w:pPr>
              <w:tabs>
                <w:tab w:val="left" w:pos="3060"/>
              </w:tabs>
              <w:adjustRightInd w:val="0"/>
              <w:snapToGrid w:val="0"/>
              <w:spacing w:line="300" w:lineRule="auto"/>
              <w:jc w:val="center"/>
              <w:rPr>
                <w:rFonts w:ascii="Times New Roman" w:hAnsi="Times New Roman" w:eastAsia="宋体" w:cs="Times New Roman"/>
                <w:kern w:val="0"/>
                <w:szCs w:val="21"/>
              </w:rPr>
            </w:pPr>
            <w:r>
              <w:rPr>
                <w:rFonts w:ascii="Times New Roman" w:hAnsi="Times New Roman" w:eastAsia="宋体" w:cs="Times New Roman"/>
                <w:bCs/>
                <w:sz w:val="22"/>
              </w:rPr>
              <w:t>按（1+2+3</w:t>
            </w:r>
            <w:r>
              <w:rPr>
                <w:rFonts w:hint="eastAsia" w:ascii="Times New Roman" w:hAnsi="Times New Roman" w:eastAsia="宋体" w:cs="Times New Roman"/>
                <w:bCs/>
                <w:sz w:val="22"/>
              </w:rPr>
              <w:t>+4</w:t>
            </w:r>
            <w:r>
              <w:rPr>
                <w:rFonts w:ascii="Times New Roman" w:hAnsi="Times New Roman" w:eastAsia="宋体" w:cs="Times New Roman"/>
                <w:bCs/>
                <w:sz w:val="22"/>
              </w:rPr>
              <w:t>）的%计取</w:t>
            </w:r>
          </w:p>
        </w:tc>
        <w:tc>
          <w:tcPr>
            <w:tcW w:w="1275" w:type="dxa"/>
            <w:vAlign w:val="center"/>
          </w:tcPr>
          <w:p w14:paraId="45F0831F">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vAlign w:val="center"/>
          </w:tcPr>
          <w:p w14:paraId="03B1B922">
            <w:pPr>
              <w:tabs>
                <w:tab w:val="left" w:pos="3060"/>
              </w:tabs>
              <w:adjustRightInd w:val="0"/>
              <w:snapToGrid w:val="0"/>
              <w:spacing w:line="300" w:lineRule="auto"/>
              <w:jc w:val="center"/>
              <w:rPr>
                <w:rFonts w:ascii="Times New Roman" w:hAnsi="Times New Roman" w:eastAsia="宋体" w:cs="Times New Roman"/>
                <w:bCs/>
                <w:sz w:val="22"/>
              </w:rPr>
            </w:pPr>
          </w:p>
        </w:tc>
      </w:tr>
      <w:tr w14:paraId="76DB1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6" w:type="dxa"/>
            <w:vAlign w:val="center"/>
          </w:tcPr>
          <w:p w14:paraId="123A4A82">
            <w:pPr>
              <w:tabs>
                <w:tab w:val="left" w:pos="3060"/>
              </w:tabs>
              <w:adjustRightInd w:val="0"/>
              <w:snapToGrid w:val="0"/>
              <w:spacing w:line="300" w:lineRule="auto"/>
              <w:jc w:val="center"/>
              <w:rPr>
                <w:rFonts w:ascii="Times New Roman" w:hAnsi="Times New Roman" w:eastAsia="宋体" w:cs="Times New Roman"/>
                <w:bCs/>
                <w:sz w:val="22"/>
              </w:rPr>
            </w:pPr>
            <w:r>
              <w:rPr>
                <w:rFonts w:hint="eastAsia" w:ascii="Times New Roman" w:hAnsi="Times New Roman" w:eastAsia="宋体" w:cs="Times New Roman"/>
                <w:bCs/>
                <w:sz w:val="22"/>
              </w:rPr>
              <w:t>6</w:t>
            </w:r>
          </w:p>
        </w:tc>
        <w:tc>
          <w:tcPr>
            <w:tcW w:w="1595" w:type="dxa"/>
            <w:shd w:val="clear" w:color="auto" w:fill="auto"/>
            <w:vAlign w:val="center"/>
          </w:tcPr>
          <w:p w14:paraId="2BE04440">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税金</w:t>
            </w:r>
          </w:p>
        </w:tc>
        <w:tc>
          <w:tcPr>
            <w:tcW w:w="4678" w:type="dxa"/>
            <w:shd w:val="clear" w:color="auto" w:fill="auto"/>
            <w:vAlign w:val="center"/>
          </w:tcPr>
          <w:p w14:paraId="0C109D74">
            <w:pPr>
              <w:tabs>
                <w:tab w:val="left" w:pos="3060"/>
              </w:tabs>
              <w:adjustRightInd w:val="0"/>
              <w:snapToGrid w:val="0"/>
              <w:spacing w:line="300" w:lineRule="auto"/>
              <w:jc w:val="center"/>
              <w:rPr>
                <w:rFonts w:ascii="Times New Roman" w:hAnsi="Times New Roman" w:eastAsia="宋体" w:cs="Times New Roman"/>
                <w:bCs/>
                <w:sz w:val="22"/>
              </w:rPr>
            </w:pPr>
            <w:r>
              <w:rPr>
                <w:rFonts w:ascii="Times New Roman" w:hAnsi="Times New Roman" w:eastAsia="宋体" w:cs="Times New Roman"/>
                <w:bCs/>
                <w:sz w:val="22"/>
              </w:rPr>
              <w:t>按国家及上海市规定缴纳</w:t>
            </w:r>
          </w:p>
        </w:tc>
        <w:tc>
          <w:tcPr>
            <w:tcW w:w="1275" w:type="dxa"/>
            <w:vAlign w:val="center"/>
          </w:tcPr>
          <w:p w14:paraId="62281AAB">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vAlign w:val="center"/>
          </w:tcPr>
          <w:p w14:paraId="2AB7B1D8">
            <w:pPr>
              <w:tabs>
                <w:tab w:val="left" w:pos="3060"/>
              </w:tabs>
              <w:adjustRightInd w:val="0"/>
              <w:snapToGrid w:val="0"/>
              <w:spacing w:line="300" w:lineRule="auto"/>
              <w:jc w:val="center"/>
              <w:rPr>
                <w:rFonts w:ascii="Times New Roman" w:hAnsi="Times New Roman" w:eastAsia="宋体" w:cs="Times New Roman"/>
                <w:bCs/>
                <w:sz w:val="22"/>
              </w:rPr>
            </w:pPr>
          </w:p>
        </w:tc>
      </w:tr>
      <w:tr w14:paraId="3C73D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699" w:type="dxa"/>
            <w:gridSpan w:val="3"/>
            <w:vAlign w:val="center"/>
          </w:tcPr>
          <w:p w14:paraId="19EF4A09">
            <w:pPr>
              <w:tabs>
                <w:tab w:val="left" w:pos="3060"/>
              </w:tabs>
              <w:adjustRightInd w:val="0"/>
              <w:snapToGrid w:val="0"/>
              <w:spacing w:line="300" w:lineRule="auto"/>
              <w:jc w:val="center"/>
              <w:rPr>
                <w:rFonts w:ascii="Times New Roman" w:hAnsi="Times New Roman" w:eastAsia="宋体" w:cs="Times New Roman"/>
                <w:b/>
                <w:bCs/>
                <w:sz w:val="22"/>
              </w:rPr>
            </w:pPr>
            <w:r>
              <w:rPr>
                <w:rFonts w:ascii="Times New Roman" w:hAnsi="Times New Roman" w:eastAsia="宋体" w:cs="Times New Roman"/>
                <w:b/>
                <w:bCs/>
                <w:sz w:val="22"/>
              </w:rPr>
              <w:t>投标总价</w:t>
            </w:r>
          </w:p>
        </w:tc>
        <w:tc>
          <w:tcPr>
            <w:tcW w:w="1275" w:type="dxa"/>
            <w:vAlign w:val="center"/>
          </w:tcPr>
          <w:p w14:paraId="6572BAEF">
            <w:pPr>
              <w:tabs>
                <w:tab w:val="left" w:pos="3060"/>
              </w:tabs>
              <w:adjustRightInd w:val="0"/>
              <w:snapToGrid w:val="0"/>
              <w:spacing w:line="300" w:lineRule="auto"/>
              <w:jc w:val="center"/>
              <w:rPr>
                <w:rFonts w:ascii="Times New Roman" w:hAnsi="Times New Roman" w:eastAsia="宋体" w:cs="Times New Roman"/>
                <w:bCs/>
                <w:sz w:val="22"/>
              </w:rPr>
            </w:pPr>
          </w:p>
        </w:tc>
        <w:tc>
          <w:tcPr>
            <w:tcW w:w="1542" w:type="dxa"/>
          </w:tcPr>
          <w:p w14:paraId="4F9F6523">
            <w:pPr>
              <w:tabs>
                <w:tab w:val="left" w:pos="3060"/>
              </w:tabs>
              <w:adjustRightInd w:val="0"/>
              <w:snapToGrid w:val="0"/>
              <w:spacing w:line="300" w:lineRule="auto"/>
              <w:jc w:val="center"/>
              <w:rPr>
                <w:rFonts w:ascii="Times New Roman" w:hAnsi="Times New Roman" w:eastAsia="宋体" w:cs="Times New Roman"/>
                <w:bCs/>
                <w:sz w:val="22"/>
              </w:rPr>
            </w:pPr>
          </w:p>
        </w:tc>
      </w:tr>
    </w:tbl>
    <w:p w14:paraId="73C00857">
      <w:pPr>
        <w:tabs>
          <w:tab w:val="left" w:pos="3060"/>
        </w:tabs>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bCs/>
          <w:sz w:val="22"/>
        </w:rPr>
        <w:t>备注：投标人应按照服务项目的特点和性质，分项说明并计算出本项目范围内各人员费用的组成。成本测算和列项要求完整、成本分析依据充分，人员、材料经费测算合理。</w:t>
      </w:r>
    </w:p>
    <w:p w14:paraId="5FDA2F91">
      <w:pPr>
        <w:adjustRightInd w:val="0"/>
        <w:snapToGrid w:val="0"/>
        <w:spacing w:line="300" w:lineRule="auto"/>
        <w:ind w:firstLine="442" w:firstLineChars="200"/>
        <w:jc w:val="left"/>
        <w:outlineLvl w:val="2"/>
        <w:rPr>
          <w:rFonts w:ascii="Times New Roman" w:hAnsi="Times New Roman" w:eastAsia="宋体" w:cs="Times New Roman"/>
          <w:b/>
          <w:sz w:val="22"/>
        </w:rPr>
      </w:pPr>
      <w:bookmarkStart w:id="43" w:name="_Toc243060113"/>
      <w:r>
        <w:rPr>
          <w:rFonts w:ascii="Times New Roman" w:hAnsi="Times New Roman" w:eastAsia="宋体" w:cs="Times New Roman"/>
          <w:b/>
          <w:sz w:val="22"/>
        </w:rPr>
        <w:t>14投标报价控制性条款</w:t>
      </w:r>
      <w:bookmarkEnd w:id="43"/>
    </w:p>
    <w:p w14:paraId="31052382">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14.1 投标报价不得超过公布的预算金额或最高限价，其中各年度或各分项报价（如有要求）均不得超过对应的预算金额或最高限价。</w:t>
      </w:r>
    </w:p>
    <w:p w14:paraId="25D34E3F">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14.2 本项目只允许有一个报价，任何有选择的报价将不予接受。</w:t>
      </w:r>
    </w:p>
    <w:p w14:paraId="34A97EFB">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14.3 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29142FF9">
      <w:pPr>
        <w:adjustRightInd w:val="0"/>
        <w:snapToGrid w:val="0"/>
        <w:spacing w:line="300" w:lineRule="auto"/>
        <w:ind w:firstLine="442" w:firstLineChars="200"/>
        <w:jc w:val="left"/>
        <w:rPr>
          <w:rFonts w:ascii="Times New Roman" w:hAnsi="Times New Roman" w:eastAsia="宋体" w:cs="Times New Roman"/>
          <w:sz w:val="22"/>
        </w:rPr>
      </w:pPr>
      <w:r>
        <w:rPr>
          <w:rFonts w:hint="eastAsia" w:ascii="宋体" w:hAnsi="宋体" w:eastAsia="宋体" w:cs="宋体"/>
          <w:b/>
          <w:bCs/>
          <w:kern w:val="0"/>
          <w:sz w:val="22"/>
        </w:rPr>
        <w:t>★</w:t>
      </w:r>
      <w:r>
        <w:rPr>
          <w:rFonts w:ascii="Times New Roman" w:hAnsi="Times New Roman" w:eastAsia="宋体" w:cs="Times New Roman"/>
          <w:sz w:val="22"/>
        </w:rPr>
        <w:t>14.4 经评标委员会审定，投标报价存在下列情形之一的，该投标文件作无效标处理：</w:t>
      </w:r>
    </w:p>
    <w:p w14:paraId="03A42789">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14.4.1 对岗位设置一览表中的岗位配置数进行缩减的；</w:t>
      </w:r>
    </w:p>
    <w:p w14:paraId="3BE873F8">
      <w:pPr>
        <w:adjustRightInd w:val="0"/>
        <w:snapToGrid w:val="0"/>
        <w:spacing w:line="300" w:lineRule="auto"/>
        <w:ind w:firstLine="440" w:firstLineChars="200"/>
        <w:jc w:val="left"/>
        <w:rPr>
          <w:rFonts w:ascii="Times New Roman" w:hAnsi="Times New Roman" w:eastAsia="宋体" w:cs="Times New Roman"/>
          <w:sz w:val="22"/>
        </w:rPr>
      </w:pPr>
      <w:r>
        <w:rPr>
          <w:rFonts w:ascii="Times New Roman" w:hAnsi="Times New Roman" w:eastAsia="宋体" w:cs="Times New Roman"/>
          <w:sz w:val="22"/>
        </w:rPr>
        <w:t>14.4.2 投标报价和技术方案明显不相符的；</w:t>
      </w:r>
    </w:p>
    <w:p w14:paraId="05B92236">
      <w:pPr>
        <w:adjustRightInd w:val="0"/>
        <w:snapToGrid w:val="0"/>
        <w:spacing w:line="300" w:lineRule="auto"/>
        <w:ind w:firstLine="440" w:firstLineChars="200"/>
        <w:jc w:val="left"/>
        <w:rPr>
          <w:rFonts w:ascii="Times New Roman" w:hAnsi="Times New Roman" w:eastAsia="宋体" w:cs="Times New Roman"/>
          <w:sz w:val="22"/>
        </w:rPr>
      </w:pPr>
    </w:p>
    <w:p w14:paraId="4ED2D6EC">
      <w:pPr>
        <w:adjustRightInd w:val="0"/>
        <w:snapToGrid w:val="0"/>
        <w:spacing w:line="300" w:lineRule="auto"/>
        <w:jc w:val="center"/>
        <w:outlineLvl w:val="1"/>
        <w:rPr>
          <w:rFonts w:ascii="Times New Roman" w:hAnsi="Times New Roman" w:eastAsia="黑体" w:cs="Times New Roman"/>
          <w:sz w:val="30"/>
          <w:szCs w:val="30"/>
        </w:rPr>
      </w:pPr>
      <w:bookmarkStart w:id="44" w:name="_Toc243060114"/>
      <w:bookmarkStart w:id="45" w:name="_Toc481849902"/>
      <w:bookmarkStart w:id="46" w:name="_Toc486604818"/>
      <w:r>
        <w:rPr>
          <w:rFonts w:ascii="Times New Roman" w:hAnsi="Times New Roman" w:eastAsia="黑体" w:cs="Times New Roman"/>
          <w:sz w:val="30"/>
          <w:szCs w:val="30"/>
        </w:rPr>
        <w:t>五、政府采购政策</w:t>
      </w:r>
      <w:bookmarkEnd w:id="44"/>
    </w:p>
    <w:bookmarkEnd w:id="45"/>
    <w:bookmarkEnd w:id="46"/>
    <w:p w14:paraId="60D764BE">
      <w:pPr>
        <w:adjustRightInd w:val="0"/>
        <w:snapToGrid w:val="0"/>
        <w:spacing w:line="300" w:lineRule="auto"/>
        <w:ind w:firstLine="442" w:firstLineChars="200"/>
        <w:outlineLvl w:val="2"/>
        <w:rPr>
          <w:rFonts w:ascii="Times New Roman" w:hAnsi="Times New Roman" w:eastAsia="宋体" w:cs="Times New Roman"/>
          <w:b/>
          <w:sz w:val="22"/>
        </w:rPr>
      </w:pPr>
      <w:bookmarkStart w:id="47" w:name="_Toc243060115"/>
      <w:bookmarkStart w:id="48" w:name="_Toc481849905"/>
      <w:bookmarkStart w:id="49" w:name="_Toc486604821"/>
      <w:r>
        <w:rPr>
          <w:rFonts w:ascii="Times New Roman" w:hAnsi="Times New Roman" w:eastAsia="宋体" w:cs="Times New Roman"/>
          <w:b/>
          <w:sz w:val="22"/>
        </w:rPr>
        <w:t>15促进中小企业发展</w:t>
      </w:r>
      <w:bookmarkEnd w:id="47"/>
    </w:p>
    <w:bookmarkEnd w:id="48"/>
    <w:bookmarkEnd w:id="49"/>
    <w:p w14:paraId="01146F41">
      <w:pPr>
        <w:tabs>
          <w:tab w:val="left" w:pos="3060"/>
        </w:tabs>
        <w:adjustRightInd w:val="0"/>
        <w:snapToGrid w:val="0"/>
        <w:spacing w:line="300" w:lineRule="auto"/>
        <w:ind w:firstLine="442" w:firstLineChars="200"/>
        <w:rPr>
          <w:rFonts w:ascii="Times New Roman" w:hAnsi="Times New Roman" w:eastAsia="宋体" w:cs="Times New Roman"/>
          <w:sz w:val="22"/>
        </w:rPr>
      </w:pPr>
      <w:r>
        <w:rPr>
          <w:rFonts w:ascii="宋体" w:hAnsi="宋体" w:eastAsia="宋体" w:cs="Times New Roman"/>
          <w:b/>
          <w:bCs/>
          <w:kern w:val="0"/>
          <w:sz w:val="22"/>
        </w:rPr>
        <w:t>★</w:t>
      </w:r>
      <w:r>
        <w:rPr>
          <w:rFonts w:ascii="Times New Roman" w:hAnsi="Times New Roman" w:eastAsia="宋体" w:cs="Times New Roman"/>
          <w:sz w:val="22"/>
        </w:rPr>
        <w:t>15</w:t>
      </w:r>
      <w:r>
        <w:rPr>
          <w:rFonts w:ascii="Times New Roman" w:hAnsi="Times New Roman" w:eastAsia="宋体" w:cs="Times New Roman"/>
          <w:bCs/>
          <w:sz w:val="22"/>
        </w:rPr>
        <w:t>.1</w:t>
      </w:r>
      <w:r>
        <w:rPr>
          <w:rFonts w:ascii="Times New Roman" w:hAnsi="宋体" w:eastAsia="宋体" w:cs="Times New Roman"/>
          <w:sz w:val="22"/>
        </w:rPr>
        <w:t>中小企业（含中型、小型、微型企业，下同）的划定按照《中小企业划型标准规定》（工信部联企业</w:t>
      </w:r>
      <w:r>
        <w:rPr>
          <w:rFonts w:ascii="Times New Roman" w:hAnsi="Times New Roman" w:eastAsia="宋体" w:cs="Times New Roman"/>
          <w:sz w:val="22"/>
        </w:rPr>
        <w:t>〔2011〕300</w:t>
      </w:r>
      <w:r>
        <w:rPr>
          <w:rFonts w:ascii="Times New Roman" w:hAnsi="宋体" w:eastAsia="宋体" w:cs="Times New Roman"/>
          <w:sz w:val="22"/>
        </w:rPr>
        <w:t>号）执行，参加投标的中小企业应当提供《中小企业声明函》（具体格式见</w:t>
      </w:r>
      <w:r>
        <w:rPr>
          <w:rFonts w:ascii="Times New Roman" w:hAnsi="Times New Roman" w:eastAsia="宋体" w:cs="Times New Roman"/>
          <w:sz w:val="22"/>
        </w:rPr>
        <w:t>“</w:t>
      </w:r>
      <w:r>
        <w:rPr>
          <w:rFonts w:ascii="Times New Roman" w:hAnsi="宋体" w:eastAsia="宋体" w:cs="Times New Roman"/>
          <w:sz w:val="22"/>
        </w:rPr>
        <w:t>投标文件格式</w:t>
      </w:r>
      <w:r>
        <w:rPr>
          <w:rFonts w:ascii="Times New Roman" w:hAnsi="Times New Roman" w:eastAsia="宋体" w:cs="Times New Roman"/>
          <w:sz w:val="22"/>
        </w:rPr>
        <w:t>”</w:t>
      </w:r>
      <w:r>
        <w:rPr>
          <w:rFonts w:ascii="Times New Roman" w:hAnsi="宋体" w:eastAsia="宋体" w:cs="Times New Roman"/>
          <w:sz w:val="22"/>
        </w:rPr>
        <w:t>），反之，视作非中、小微企业，不具备参与投标资格。如项目允许联合体参与竞争的，则联合体中各方均应为中小企业，并按本款要求提供《中小企业声明函》。</w:t>
      </w:r>
    </w:p>
    <w:p w14:paraId="40E6A6B6">
      <w:pPr>
        <w:adjustRightInd w:val="0"/>
        <w:snapToGrid w:val="0"/>
        <w:spacing w:line="300" w:lineRule="auto"/>
        <w:ind w:firstLine="442" w:firstLineChars="200"/>
        <w:rPr>
          <w:rFonts w:ascii="Times New Roman" w:hAnsi="Times New Roman" w:eastAsia="宋体" w:cs="Times New Roman"/>
          <w:sz w:val="22"/>
        </w:rPr>
      </w:pPr>
      <w:r>
        <w:rPr>
          <w:rFonts w:ascii="宋体" w:hAnsi="宋体" w:eastAsia="宋体" w:cs="Times New Roman"/>
          <w:b/>
          <w:bCs/>
          <w:kern w:val="0"/>
          <w:sz w:val="22"/>
        </w:rPr>
        <w:t>★</w:t>
      </w:r>
      <w:r>
        <w:rPr>
          <w:rFonts w:ascii="Times New Roman" w:hAnsi="Times New Roman" w:eastAsia="宋体" w:cs="Times New Roman"/>
          <w:sz w:val="22"/>
        </w:rPr>
        <w:t xml:space="preserve">15.2 </w:t>
      </w:r>
      <w:r>
        <w:rPr>
          <w:rFonts w:ascii="Times New Roman" w:hAnsi="宋体" w:eastAsia="宋体" w:cs="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w:t>
      </w:r>
      <w:r>
        <w:rPr>
          <w:rFonts w:hint="eastAsia" w:ascii="Times New Roman" w:hAnsi="宋体" w:eastAsia="宋体" w:cs="Times New Roman"/>
          <w:sz w:val="22"/>
        </w:rPr>
        <w:t>管理</w:t>
      </w:r>
      <w:r>
        <w:rPr>
          <w:rFonts w:ascii="Times New Roman" w:hAnsi="宋体" w:eastAsia="宋体" w:cs="Times New Roman"/>
          <w:sz w:val="22"/>
        </w:rPr>
        <w:t>办法》。</w:t>
      </w:r>
    </w:p>
    <w:p w14:paraId="1F470180">
      <w:pPr>
        <w:adjustRightInd w:val="0"/>
        <w:snapToGrid w:val="0"/>
        <w:spacing w:line="300" w:lineRule="auto"/>
        <w:ind w:firstLine="442" w:firstLineChars="200"/>
        <w:rPr>
          <w:rFonts w:ascii="Times New Roman" w:hAnsi="Times New Roman" w:eastAsia="宋体" w:cs="Times New Roman"/>
          <w:sz w:val="22"/>
        </w:rPr>
      </w:pPr>
      <w:r>
        <w:rPr>
          <w:rFonts w:ascii="宋体" w:hAnsi="宋体" w:eastAsia="宋体" w:cs="Times New Roman"/>
          <w:b/>
          <w:bCs/>
          <w:kern w:val="0"/>
          <w:sz w:val="22"/>
        </w:rPr>
        <w:t>★</w:t>
      </w:r>
      <w:r>
        <w:rPr>
          <w:rFonts w:ascii="Times New Roman" w:hAnsi="Times New Roman" w:eastAsia="宋体" w:cs="Times New Roman"/>
          <w:sz w:val="22"/>
        </w:rPr>
        <w:t xml:space="preserve">15.3 </w:t>
      </w:r>
      <w:r>
        <w:rPr>
          <w:rFonts w:ascii="Times New Roman" w:hAnsi="宋体" w:eastAsia="宋体" w:cs="Times New Roman"/>
          <w:sz w:val="22"/>
        </w:rPr>
        <w:t>如项目允许联合体参与竞争的，组成联合体的中型企业和其他自然人、法人或者其他组织，与小型、微型企业之间不得存在投资关系。</w:t>
      </w:r>
    </w:p>
    <w:p w14:paraId="752CDDDC">
      <w:pPr>
        <w:adjustRightInd w:val="0"/>
        <w:snapToGrid w:val="0"/>
        <w:spacing w:line="300" w:lineRule="auto"/>
        <w:ind w:firstLine="442" w:firstLineChars="200"/>
        <w:rPr>
          <w:rFonts w:ascii="Times New Roman" w:hAnsi="Times New Roman" w:eastAsia="宋体" w:cs="Times New Roman"/>
          <w:bCs/>
          <w:sz w:val="22"/>
        </w:rPr>
      </w:pPr>
      <w:r>
        <w:rPr>
          <w:rFonts w:ascii="宋体" w:hAnsi="宋体" w:eastAsia="宋体" w:cs="Times New Roman"/>
          <w:b/>
          <w:bCs/>
          <w:kern w:val="0"/>
          <w:sz w:val="22"/>
        </w:rPr>
        <w:t>★</w:t>
      </w:r>
      <w:r>
        <w:rPr>
          <w:rFonts w:ascii="Times New Roman" w:hAnsi="Times New Roman" w:eastAsia="宋体" w:cs="Times New Roman"/>
          <w:sz w:val="22"/>
        </w:rPr>
        <w:t>15.4</w:t>
      </w:r>
      <w:r>
        <w:rPr>
          <w:rFonts w:ascii="Times New Roman" w:hAnsi="宋体" w:eastAsia="宋体" w:cs="Times New Roman"/>
          <w:sz w:val="22"/>
        </w:rPr>
        <w:t>供应商如提供虚假材料以谋取成交的，按照《政府采购法》有关条款处理，并记入供应商诚信档案。</w:t>
      </w:r>
    </w:p>
    <w:p w14:paraId="4C045317">
      <w:pPr>
        <w:adjustRightInd w:val="0"/>
        <w:snapToGrid w:val="0"/>
        <w:spacing w:line="300" w:lineRule="auto"/>
        <w:ind w:firstLine="442" w:firstLineChars="200"/>
        <w:outlineLvl w:val="2"/>
        <w:rPr>
          <w:rFonts w:ascii="Times New Roman" w:hAnsi="Times New Roman" w:eastAsia="宋体" w:cs="Times New Roman"/>
          <w:b/>
          <w:sz w:val="22"/>
        </w:rPr>
      </w:pPr>
      <w:bookmarkStart w:id="50" w:name="_Toc243060116"/>
      <w:r>
        <w:rPr>
          <w:rFonts w:ascii="Times New Roman" w:hAnsi="Times New Roman" w:eastAsia="宋体" w:cs="Times New Roman"/>
          <w:b/>
          <w:sz w:val="22"/>
        </w:rPr>
        <w:t>16 促进残疾人就业</w:t>
      </w:r>
      <w:r>
        <w:rPr>
          <w:rFonts w:ascii="Times New Roman" w:hAnsi="Times New Roman" w:eastAsia="宋体" w:cs="Times New Roman"/>
          <w:sz w:val="22"/>
        </w:rPr>
        <w:t>（注：仅残疾人福利单位适用）</w:t>
      </w:r>
      <w:bookmarkEnd w:id="50"/>
    </w:p>
    <w:p w14:paraId="30CC7460">
      <w:pPr>
        <w:adjustRightInd w:val="0"/>
        <w:snapToGrid w:val="0"/>
        <w:spacing w:line="300" w:lineRule="auto"/>
        <w:ind w:firstLine="440" w:firstLineChars="200"/>
        <w:rPr>
          <w:rFonts w:ascii="Times New Roman" w:hAnsi="Times New Roman" w:eastAsia="宋体" w:cs="Times New Roman"/>
          <w:sz w:val="22"/>
        </w:rPr>
      </w:pPr>
      <w:r>
        <w:rPr>
          <w:rFonts w:ascii="Times New Roman" w:hAnsi="Times New Roman" w:eastAsia="宋体" w:cs="Times New Roman"/>
          <w:sz w:val="22"/>
        </w:rPr>
        <w:t xml:space="preserve">16.1 </w:t>
      </w:r>
      <w:bookmarkStart w:id="51" w:name="sendNo"/>
      <w:r>
        <w:rPr>
          <w:rFonts w:ascii="Times New Roman" w:hAnsi="Times New Roman" w:eastAsia="宋体" w:cs="Times New Roman"/>
          <w:sz w:val="22"/>
        </w:rPr>
        <w:t>符合财库</w:t>
      </w:r>
      <w:bookmarkEnd w:id="51"/>
      <w:r>
        <w:rPr>
          <w:rFonts w:ascii="Times New Roman" w:hAnsi="Times New Roman" w:eastAsia="宋体" w:cs="Times New Roman"/>
          <w:sz w:val="22"/>
        </w:rPr>
        <w:t>〔2017〕141号文中所示条件的残疾人福利性单位视同小型、微型企业，享受促进中小企业发展的政府采购政策。残疾人福利性单位属于小型、微型企业的，不重复享受政策。</w:t>
      </w:r>
    </w:p>
    <w:p w14:paraId="6E05C748">
      <w:r>
        <w:rPr>
          <w:rFonts w:ascii="Times New Roman" w:hAnsi="Times New Roman" w:eastAsia="宋体" w:cs="Times New Roman"/>
          <w:sz w:val="22"/>
        </w:rPr>
        <w:t>16.2残疾人福利性单位在参加政府采购活动时，应当按财库〔2017〕141号规定的《残疾人福利性单位声明函》（具体格式详见“投标文件格式”），并对声明的真实性负责。</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default"/>
    <w:sig w:usb0="00000287" w:usb1="080F0000" w:usb2="00000000" w:usb3="00000000" w:csb0="0004009F" w:csb1="DFD70000"/>
  </w:font>
  <w:font w:name="方正魏碑简体">
    <w:altName w:val="宋体"/>
    <w:panose1 w:val="00000000000000000000"/>
    <w:charset w:val="86"/>
    <w:family w:val="auto"/>
    <w:pitch w:val="default"/>
    <w:sig w:usb0="00000000" w:usb1="00000000" w:usb2="00000010" w:usb3="00000000" w:csb0="00040000" w:csb1="00000000"/>
  </w:font>
  <w:font w:name="Calibri Light">
    <w:altName w:val="Calibri"/>
    <w:panose1 w:val="00000000000000000000"/>
    <w:charset w:val="00"/>
    <w:family w:val="roman"/>
    <w:pitch w:val="default"/>
    <w:sig w:usb0="00000000" w:usb1="00000000" w:usb2="00000009" w:usb3="00000000" w:csb0="200001F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Cambria">
    <w:panose1 w:val="02040503050406030204"/>
    <w:charset w:val="00"/>
    <w:family w:val="roman"/>
    <w:pitch w:val="default"/>
    <w:sig w:usb0="E00002FF" w:usb1="400004FF" w:usb2="00000000" w:usb3="00000000" w:csb0="2000019F" w:csb1="00000000"/>
  </w:font>
  <w:font w:name="Arial Unicode MS">
    <w:panose1 w:val="020B0604020202020204"/>
    <w:charset w:val="86"/>
    <w:family w:val="swiss"/>
    <w:pitch w:val="default"/>
    <w:sig w:usb0="FFFFFFFF" w:usb1="E9FFFFFF" w:usb2="0000003F" w:usb3="00000000" w:csb0="603F01FF" w:csb1="FFFF0000"/>
  </w:font>
  <w:font w:name="华文仿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Verdana">
    <w:panose1 w:val="020B0604030504040204"/>
    <w:charset w:val="00"/>
    <w:family w:val="swiss"/>
    <w:pitch w:val="default"/>
    <w:sig w:usb0="A10006FF" w:usb1="4000205B" w:usb2="0000001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Garamond">
    <w:panose1 w:val="02020404030301010803"/>
    <w:charset w:val="00"/>
    <w:family w:val="roman"/>
    <w:pitch w:val="default"/>
    <w:sig w:usb0="00000287" w:usb1="00000000" w:usb2="00000000" w:usb3="00000000" w:csb0="0000009F" w:csb1="DFD70000"/>
  </w:font>
  <w:font w:name="BatangChe">
    <w:panose1 w:val="02030609000101010101"/>
    <w:charset w:val="81"/>
    <w:family w:val="modern"/>
    <w:pitch w:val="default"/>
    <w:sig w:usb0="B00002AF" w:usb1="69D77CFB" w:usb2="00000030" w:usb3="00000000" w:csb0="4008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FZFangSong-Z02">
    <w:altName w:val="宋体"/>
    <w:panose1 w:val="00000000000000000000"/>
    <w:charset w:val="86"/>
    <w:family w:val="swiss"/>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9BA59AF"/>
    <w:multiLevelType w:val="multilevel"/>
    <w:tmpl w:val="39BA59AF"/>
    <w:lvl w:ilvl="0" w:tentative="0">
      <w:start w:val="1"/>
      <w:numFmt w:val="bullet"/>
      <w:lvlText w:val=""/>
      <w:lvlJc w:val="left"/>
      <w:pPr>
        <w:ind w:left="860" w:hanging="420"/>
      </w:pPr>
      <w:rPr>
        <w:rFonts w:hint="default" w:ascii="Wingdings" w:hAnsi="Wingdings"/>
      </w:r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8EF"/>
    <w:rsid w:val="005906B8"/>
    <w:rsid w:val="00C208EF"/>
    <w:rsid w:val="5DA523E5"/>
    <w:rsid w:val="6AD91D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qFormat="1" w:unhideWhenUsed="0" w:uiPriority="0" w:semiHidden="0" w:name="List Bullet"/>
    <w:lsdException w:qFormat="1" w:unhideWhenUsed="0" w:uiPriority="0" w:semiHidden="0"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99"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8"/>
    <w:qFormat/>
    <w:uiPriority w:val="0"/>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3">
    <w:name w:val="heading 2"/>
    <w:basedOn w:val="1"/>
    <w:next w:val="1"/>
    <w:link w:val="59"/>
    <w:autoRedefine/>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1"/>
    <w:link w:val="60"/>
    <w:qFormat/>
    <w:uiPriority w:val="0"/>
    <w:pPr>
      <w:keepNext/>
      <w:keepLines/>
      <w:spacing w:before="120" w:after="120"/>
      <w:outlineLvl w:val="2"/>
    </w:pPr>
    <w:rPr>
      <w:rFonts w:ascii="Times New Roman" w:hAnsi="Times New Roman" w:eastAsia="宋体" w:cs="Times New Roman"/>
      <w:b/>
      <w:bCs/>
      <w:szCs w:val="32"/>
    </w:rPr>
  </w:style>
  <w:style w:type="paragraph" w:styleId="5">
    <w:name w:val="heading 4"/>
    <w:basedOn w:val="1"/>
    <w:next w:val="1"/>
    <w:link w:val="61"/>
    <w:qFormat/>
    <w:uiPriority w:val="0"/>
    <w:pPr>
      <w:keepNext/>
      <w:keepLines/>
      <w:spacing w:before="280" w:after="290" w:line="376" w:lineRule="auto"/>
      <w:outlineLvl w:val="3"/>
    </w:pPr>
    <w:rPr>
      <w:rFonts w:ascii="Arial" w:hAnsi="Arial" w:eastAsia="黑体" w:cs="Times New Roman"/>
      <w:b/>
      <w:bCs/>
      <w:sz w:val="28"/>
      <w:szCs w:val="28"/>
    </w:rPr>
  </w:style>
  <w:style w:type="paragraph" w:styleId="6">
    <w:name w:val="heading 5"/>
    <w:basedOn w:val="1"/>
    <w:next w:val="7"/>
    <w:link w:val="62"/>
    <w:qFormat/>
    <w:uiPriority w:val="0"/>
    <w:pPr>
      <w:keepNext/>
      <w:keepLines/>
      <w:tabs>
        <w:tab w:val="left" w:pos="1080"/>
      </w:tabs>
      <w:spacing w:before="280" w:after="290" w:line="376" w:lineRule="auto"/>
      <w:ind w:left="1080" w:hanging="1080"/>
      <w:outlineLvl w:val="4"/>
    </w:pPr>
    <w:rPr>
      <w:rFonts w:ascii="Times New Roman" w:hAnsi="Times New Roman" w:eastAsia="宋体" w:cs="Times New Roman"/>
      <w:b/>
      <w:sz w:val="28"/>
      <w:szCs w:val="20"/>
    </w:rPr>
  </w:style>
  <w:style w:type="paragraph" w:styleId="8">
    <w:name w:val="heading 6"/>
    <w:basedOn w:val="1"/>
    <w:next w:val="7"/>
    <w:link w:val="63"/>
    <w:qFormat/>
    <w:uiPriority w:val="0"/>
    <w:pPr>
      <w:keepNext/>
      <w:keepLines/>
      <w:tabs>
        <w:tab w:val="left" w:pos="1080"/>
      </w:tabs>
      <w:spacing w:before="240" w:after="64" w:line="320" w:lineRule="auto"/>
      <w:ind w:left="1080" w:hanging="1080"/>
      <w:outlineLvl w:val="5"/>
    </w:pPr>
    <w:rPr>
      <w:rFonts w:ascii="Arial" w:hAnsi="Arial" w:eastAsia="黑体" w:cs="Times New Roman"/>
      <w:b/>
      <w:sz w:val="24"/>
      <w:szCs w:val="20"/>
    </w:rPr>
  </w:style>
  <w:style w:type="paragraph" w:styleId="9">
    <w:name w:val="heading 7"/>
    <w:basedOn w:val="1"/>
    <w:next w:val="1"/>
    <w:link w:val="64"/>
    <w:qFormat/>
    <w:uiPriority w:val="0"/>
    <w:pPr>
      <w:keepNext/>
      <w:keepLines/>
      <w:tabs>
        <w:tab w:val="left" w:pos="1080"/>
      </w:tabs>
      <w:spacing w:before="240" w:after="64" w:line="320" w:lineRule="auto"/>
      <w:ind w:left="1080" w:hanging="1080"/>
      <w:outlineLvl w:val="6"/>
    </w:pPr>
    <w:rPr>
      <w:rFonts w:ascii="Times New Roman" w:hAnsi="Times New Roman" w:eastAsia="宋体" w:cs="Times New Roman"/>
      <w:b/>
      <w:sz w:val="24"/>
      <w:szCs w:val="20"/>
    </w:rPr>
  </w:style>
  <w:style w:type="paragraph" w:styleId="10">
    <w:name w:val="heading 8"/>
    <w:basedOn w:val="1"/>
    <w:next w:val="7"/>
    <w:link w:val="65"/>
    <w:qFormat/>
    <w:uiPriority w:val="0"/>
    <w:pPr>
      <w:keepNext/>
      <w:keepLines/>
      <w:tabs>
        <w:tab w:val="left" w:pos="1440"/>
      </w:tabs>
      <w:spacing w:before="240" w:after="64" w:line="320" w:lineRule="auto"/>
      <w:ind w:left="1440" w:hanging="1440"/>
      <w:outlineLvl w:val="7"/>
    </w:pPr>
    <w:rPr>
      <w:rFonts w:ascii="Arial" w:hAnsi="Arial" w:eastAsia="黑体" w:cs="Times New Roman"/>
      <w:sz w:val="24"/>
      <w:szCs w:val="20"/>
    </w:rPr>
  </w:style>
  <w:style w:type="paragraph" w:styleId="11">
    <w:name w:val="heading 9"/>
    <w:basedOn w:val="1"/>
    <w:next w:val="7"/>
    <w:link w:val="66"/>
    <w:qFormat/>
    <w:uiPriority w:val="0"/>
    <w:pPr>
      <w:keepNext/>
      <w:keepLines/>
      <w:tabs>
        <w:tab w:val="left" w:pos="1440"/>
      </w:tabs>
      <w:spacing w:before="240" w:after="64" w:line="320" w:lineRule="auto"/>
      <w:ind w:left="1440" w:hanging="1440"/>
      <w:outlineLvl w:val="8"/>
    </w:pPr>
    <w:rPr>
      <w:rFonts w:ascii="Arial" w:hAnsi="Arial" w:eastAsia="黑体" w:cs="Times New Roman"/>
      <w:szCs w:val="20"/>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7">
    <w:name w:val="Normal Indent"/>
    <w:basedOn w:val="1"/>
    <w:link w:val="122"/>
    <w:autoRedefine/>
    <w:qFormat/>
    <w:uiPriority w:val="0"/>
    <w:pPr>
      <w:ind w:firstLine="420"/>
    </w:pPr>
    <w:rPr>
      <w:rFonts w:ascii="Calibri" w:hAnsi="Calibri" w:eastAsia="宋体" w:cs="Times New Roman"/>
    </w:rPr>
  </w:style>
  <w:style w:type="paragraph" w:styleId="12">
    <w:name w:val="toc 7"/>
    <w:basedOn w:val="1"/>
    <w:next w:val="1"/>
    <w:autoRedefine/>
    <w:qFormat/>
    <w:uiPriority w:val="39"/>
    <w:pPr>
      <w:ind w:left="2520" w:leftChars="1200"/>
    </w:pPr>
    <w:rPr>
      <w:rFonts w:ascii="Times New Roman" w:hAnsi="Times New Roman" w:eastAsia="宋体" w:cs="Times New Roman"/>
      <w:szCs w:val="20"/>
    </w:rPr>
  </w:style>
  <w:style w:type="paragraph" w:styleId="13">
    <w:name w:val="Note Heading"/>
    <w:basedOn w:val="1"/>
    <w:next w:val="1"/>
    <w:link w:val="67"/>
    <w:autoRedefine/>
    <w:qFormat/>
    <w:uiPriority w:val="0"/>
    <w:pPr>
      <w:jc w:val="center"/>
    </w:pPr>
    <w:rPr>
      <w:rFonts w:ascii="Calibri" w:hAnsi="Calibri" w:eastAsia="宋体" w:cs="Times New Roman"/>
    </w:rPr>
  </w:style>
  <w:style w:type="paragraph" w:styleId="14">
    <w:name w:val="List Bullet 4"/>
    <w:basedOn w:val="1"/>
    <w:autoRedefine/>
    <w:qFormat/>
    <w:uiPriority w:val="0"/>
    <w:pPr>
      <w:widowControl/>
      <w:tabs>
        <w:tab w:val="left" w:pos="840"/>
      </w:tabs>
      <w:overflowPunct w:val="0"/>
      <w:autoSpaceDE w:val="0"/>
      <w:autoSpaceDN w:val="0"/>
      <w:adjustRightInd w:val="0"/>
      <w:ind w:left="1180" w:hanging="340"/>
      <w:jc w:val="left"/>
      <w:textAlignment w:val="baseline"/>
    </w:pPr>
    <w:rPr>
      <w:rFonts w:ascii="Courier" w:hAnsi="Courier" w:eastAsia="宋体" w:cs="Times New Roman"/>
      <w:kern w:val="0"/>
      <w:sz w:val="24"/>
      <w:szCs w:val="20"/>
    </w:rPr>
  </w:style>
  <w:style w:type="paragraph" w:styleId="15">
    <w:name w:val="List Number"/>
    <w:basedOn w:val="1"/>
    <w:qFormat/>
    <w:uiPriority w:val="0"/>
    <w:pPr>
      <w:tabs>
        <w:tab w:val="left" w:pos="560"/>
      </w:tabs>
      <w:ind w:left="900" w:hanging="340"/>
    </w:pPr>
    <w:rPr>
      <w:rFonts w:ascii="Times New Roman" w:hAnsi="Times New Roman" w:eastAsia="宋体" w:cs="Times New Roman"/>
      <w:szCs w:val="20"/>
    </w:rPr>
  </w:style>
  <w:style w:type="paragraph" w:styleId="16">
    <w:name w:val="caption"/>
    <w:basedOn w:val="1"/>
    <w:next w:val="1"/>
    <w:autoRedefine/>
    <w:qFormat/>
    <w:uiPriority w:val="0"/>
    <w:pPr>
      <w:spacing w:line="480" w:lineRule="auto"/>
    </w:pPr>
    <w:rPr>
      <w:rFonts w:ascii="华文中宋" w:hAnsi="华文中宋" w:eastAsia="华文中宋" w:cs="Times New Roman"/>
      <w:sz w:val="36"/>
      <w:szCs w:val="20"/>
    </w:rPr>
  </w:style>
  <w:style w:type="paragraph" w:styleId="17">
    <w:name w:val="List Bullet"/>
    <w:basedOn w:val="1"/>
    <w:autoRedefine/>
    <w:qFormat/>
    <w:uiPriority w:val="0"/>
    <w:pPr>
      <w:adjustRightInd w:val="0"/>
      <w:spacing w:line="300" w:lineRule="auto"/>
      <w:ind w:left="360" w:hanging="360"/>
      <w:textAlignment w:val="baseline"/>
    </w:pPr>
    <w:rPr>
      <w:rFonts w:ascii="Times New Roman" w:hAnsi="Times New Roman" w:eastAsia="宋体" w:cs="Times New Roman"/>
      <w:kern w:val="0"/>
      <w:sz w:val="24"/>
      <w:szCs w:val="20"/>
    </w:rPr>
  </w:style>
  <w:style w:type="paragraph" w:styleId="18">
    <w:name w:val="Document Map"/>
    <w:basedOn w:val="1"/>
    <w:link w:val="68"/>
    <w:autoRedefine/>
    <w:semiHidden/>
    <w:qFormat/>
    <w:uiPriority w:val="0"/>
    <w:pPr>
      <w:shd w:val="clear" w:color="auto" w:fill="000080"/>
    </w:pPr>
    <w:rPr>
      <w:rFonts w:ascii="Times New Roman" w:hAnsi="Times New Roman" w:eastAsia="宋体" w:cs="Times New Roman"/>
      <w:szCs w:val="20"/>
    </w:rPr>
  </w:style>
  <w:style w:type="paragraph" w:styleId="19">
    <w:name w:val="annotation text"/>
    <w:basedOn w:val="1"/>
    <w:link w:val="69"/>
    <w:autoRedefine/>
    <w:unhideWhenUsed/>
    <w:qFormat/>
    <w:uiPriority w:val="99"/>
    <w:pPr>
      <w:jc w:val="left"/>
    </w:pPr>
    <w:rPr>
      <w:rFonts w:ascii="Calibri" w:hAnsi="Calibri" w:eastAsia="宋体" w:cs="Times New Roman"/>
    </w:rPr>
  </w:style>
  <w:style w:type="paragraph" w:styleId="20">
    <w:name w:val="Salutation"/>
    <w:basedOn w:val="1"/>
    <w:next w:val="1"/>
    <w:link w:val="70"/>
    <w:autoRedefine/>
    <w:qFormat/>
    <w:uiPriority w:val="0"/>
    <w:pPr>
      <w:spacing w:beforeLines="40" w:afterLines="40" w:line="312" w:lineRule="auto"/>
    </w:pPr>
    <w:rPr>
      <w:rFonts w:ascii="Times New Roman" w:hAnsi="Times New Roman" w:eastAsia="宋体" w:cs="Times New Roman"/>
      <w:kern w:val="0"/>
      <w:sz w:val="24"/>
      <w:szCs w:val="24"/>
    </w:rPr>
  </w:style>
  <w:style w:type="paragraph" w:styleId="21">
    <w:name w:val="Body Text 3"/>
    <w:basedOn w:val="1"/>
    <w:link w:val="71"/>
    <w:autoRedefine/>
    <w:qFormat/>
    <w:uiPriority w:val="0"/>
    <w:pPr>
      <w:autoSpaceDE w:val="0"/>
      <w:autoSpaceDN w:val="0"/>
      <w:jc w:val="center"/>
    </w:pPr>
    <w:rPr>
      <w:rFonts w:ascii="Times New Roman" w:hAnsi="Times New Roman" w:eastAsia="宋体" w:cs="Times New Roman"/>
      <w:kern w:val="0"/>
      <w:sz w:val="16"/>
      <w:szCs w:val="20"/>
    </w:rPr>
  </w:style>
  <w:style w:type="paragraph" w:styleId="22">
    <w:name w:val="List Bullet 3"/>
    <w:basedOn w:val="1"/>
    <w:autoRedefine/>
    <w:qFormat/>
    <w:uiPriority w:val="0"/>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eastAsia="宋体" w:cs="Times New Roman"/>
      <w:kern w:val="0"/>
      <w:sz w:val="24"/>
      <w:szCs w:val="20"/>
    </w:rPr>
  </w:style>
  <w:style w:type="paragraph" w:styleId="23">
    <w:name w:val="Body Text"/>
    <w:basedOn w:val="1"/>
    <w:link w:val="91"/>
    <w:autoRedefine/>
    <w:unhideWhenUsed/>
    <w:qFormat/>
    <w:uiPriority w:val="0"/>
    <w:pPr>
      <w:spacing w:after="120"/>
    </w:pPr>
    <w:rPr>
      <w:rFonts w:ascii="Calibri" w:hAnsi="Calibri" w:eastAsia="宋体" w:cs="Times New Roman"/>
    </w:rPr>
  </w:style>
  <w:style w:type="paragraph" w:styleId="24">
    <w:name w:val="Body Text Indent"/>
    <w:basedOn w:val="1"/>
    <w:link w:val="73"/>
    <w:autoRedefine/>
    <w:qFormat/>
    <w:uiPriority w:val="0"/>
    <w:pPr>
      <w:ind w:firstLine="444"/>
    </w:pPr>
    <w:rPr>
      <w:rFonts w:ascii="Times New Roman" w:hAnsi="Times New Roman" w:eastAsia="宋体" w:cs="Times New Roman"/>
      <w:b/>
      <w:sz w:val="24"/>
      <w:szCs w:val="20"/>
    </w:rPr>
  </w:style>
  <w:style w:type="paragraph" w:styleId="25">
    <w:name w:val="List Bullet 2"/>
    <w:basedOn w:val="1"/>
    <w:qFormat/>
    <w:uiPriority w:val="0"/>
    <w:pPr>
      <w:tabs>
        <w:tab w:val="left" w:pos="1680"/>
      </w:tabs>
      <w:spacing w:line="360" w:lineRule="auto"/>
      <w:ind w:left="1680" w:hanging="420"/>
    </w:pPr>
    <w:rPr>
      <w:rFonts w:ascii="Times New Roman" w:hAnsi="Times New Roman" w:eastAsia="宋体" w:cs="Times New Roman"/>
      <w:sz w:val="24"/>
      <w:szCs w:val="20"/>
    </w:rPr>
  </w:style>
  <w:style w:type="paragraph" w:styleId="26">
    <w:name w:val="toc 5"/>
    <w:basedOn w:val="1"/>
    <w:next w:val="1"/>
    <w:autoRedefine/>
    <w:qFormat/>
    <w:uiPriority w:val="39"/>
    <w:pPr>
      <w:ind w:left="1680" w:leftChars="800"/>
    </w:pPr>
    <w:rPr>
      <w:rFonts w:ascii="Times New Roman" w:hAnsi="Times New Roman" w:eastAsia="宋体" w:cs="Times New Roman"/>
      <w:szCs w:val="20"/>
    </w:rPr>
  </w:style>
  <w:style w:type="paragraph" w:styleId="27">
    <w:name w:val="toc 3"/>
    <w:basedOn w:val="1"/>
    <w:next w:val="1"/>
    <w:autoRedefine/>
    <w:qFormat/>
    <w:uiPriority w:val="39"/>
    <w:pPr>
      <w:tabs>
        <w:tab w:val="right" w:leader="dot" w:pos="9231"/>
      </w:tabs>
      <w:ind w:left="840" w:leftChars="400"/>
    </w:pPr>
    <w:rPr>
      <w:rFonts w:ascii="Times New Roman" w:hAnsi="Times New Roman" w:eastAsia="宋体" w:cs="Times New Roman"/>
      <w:szCs w:val="24"/>
    </w:rPr>
  </w:style>
  <w:style w:type="paragraph" w:styleId="28">
    <w:name w:val="Plain Text"/>
    <w:basedOn w:val="1"/>
    <w:link w:val="74"/>
    <w:autoRedefine/>
    <w:qFormat/>
    <w:uiPriority w:val="0"/>
    <w:rPr>
      <w:rFonts w:ascii="宋体" w:hAnsi="Courier New" w:eastAsia="宋体" w:cs="Times New Roman"/>
      <w:kern w:val="0"/>
      <w:sz w:val="20"/>
      <w:szCs w:val="20"/>
    </w:rPr>
  </w:style>
  <w:style w:type="paragraph" w:styleId="29">
    <w:name w:val="toc 8"/>
    <w:basedOn w:val="1"/>
    <w:next w:val="1"/>
    <w:autoRedefine/>
    <w:qFormat/>
    <w:uiPriority w:val="39"/>
    <w:pPr>
      <w:ind w:left="2940" w:leftChars="1400"/>
    </w:pPr>
    <w:rPr>
      <w:rFonts w:ascii="Times New Roman" w:hAnsi="Times New Roman" w:eastAsia="宋体" w:cs="Times New Roman"/>
      <w:szCs w:val="20"/>
    </w:rPr>
  </w:style>
  <w:style w:type="paragraph" w:styleId="30">
    <w:name w:val="Date"/>
    <w:basedOn w:val="1"/>
    <w:next w:val="1"/>
    <w:link w:val="75"/>
    <w:autoRedefine/>
    <w:qFormat/>
    <w:uiPriority w:val="0"/>
    <w:rPr>
      <w:rFonts w:ascii="Calibri" w:hAnsi="Calibri" w:eastAsia="宋体" w:cs="Times New Roman"/>
    </w:rPr>
  </w:style>
  <w:style w:type="paragraph" w:styleId="31">
    <w:name w:val="Body Text Indent 2"/>
    <w:basedOn w:val="1"/>
    <w:link w:val="76"/>
    <w:autoRedefine/>
    <w:qFormat/>
    <w:uiPriority w:val="0"/>
    <w:pPr>
      <w:adjustRightInd w:val="0"/>
      <w:spacing w:line="360" w:lineRule="auto"/>
      <w:ind w:firstLine="420" w:firstLineChars="175"/>
    </w:pPr>
    <w:rPr>
      <w:rFonts w:ascii="宋体" w:hAnsi="宋体" w:eastAsia="宋体" w:cs="Times New Roman"/>
      <w:b/>
      <w:bCs/>
      <w:sz w:val="24"/>
      <w:szCs w:val="20"/>
    </w:rPr>
  </w:style>
  <w:style w:type="paragraph" w:styleId="32">
    <w:name w:val="Balloon Text"/>
    <w:basedOn w:val="1"/>
    <w:link w:val="77"/>
    <w:autoRedefine/>
    <w:semiHidden/>
    <w:qFormat/>
    <w:uiPriority w:val="0"/>
    <w:rPr>
      <w:rFonts w:ascii="Times New Roman" w:hAnsi="Times New Roman" w:eastAsia="宋体" w:cs="Times New Roman"/>
      <w:sz w:val="18"/>
      <w:szCs w:val="18"/>
    </w:rPr>
  </w:style>
  <w:style w:type="paragraph" w:styleId="33">
    <w:name w:val="footer"/>
    <w:basedOn w:val="1"/>
    <w:link w:val="78"/>
    <w:autoRedefine/>
    <w:qFormat/>
    <w:uiPriority w:val="99"/>
    <w:pPr>
      <w:tabs>
        <w:tab w:val="center" w:pos="4153"/>
        <w:tab w:val="right" w:pos="8306"/>
      </w:tabs>
      <w:snapToGrid w:val="0"/>
      <w:jc w:val="left"/>
    </w:pPr>
    <w:rPr>
      <w:rFonts w:ascii="Times New Roman" w:hAnsi="Times New Roman" w:eastAsia="宋体" w:cs="Times New Roman"/>
      <w:kern w:val="0"/>
      <w:sz w:val="18"/>
      <w:szCs w:val="20"/>
    </w:rPr>
  </w:style>
  <w:style w:type="paragraph" w:styleId="34">
    <w:name w:val="header"/>
    <w:basedOn w:val="1"/>
    <w:link w:val="79"/>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kern w:val="0"/>
      <w:sz w:val="18"/>
      <w:szCs w:val="20"/>
    </w:rPr>
  </w:style>
  <w:style w:type="paragraph" w:styleId="35">
    <w:name w:val="toc 1"/>
    <w:basedOn w:val="1"/>
    <w:next w:val="1"/>
    <w:autoRedefine/>
    <w:qFormat/>
    <w:uiPriority w:val="39"/>
    <w:pPr>
      <w:tabs>
        <w:tab w:val="left" w:pos="840"/>
        <w:tab w:val="right" w:leader="dot" w:pos="9231"/>
      </w:tabs>
    </w:pPr>
    <w:rPr>
      <w:rFonts w:ascii="Times New Roman" w:hAnsi="Times New Roman" w:eastAsia="宋体" w:cs="Times New Roman"/>
      <w:szCs w:val="24"/>
    </w:rPr>
  </w:style>
  <w:style w:type="paragraph" w:styleId="36">
    <w:name w:val="toc 4"/>
    <w:basedOn w:val="1"/>
    <w:next w:val="1"/>
    <w:autoRedefine/>
    <w:qFormat/>
    <w:uiPriority w:val="39"/>
    <w:pPr>
      <w:ind w:left="1260" w:leftChars="600"/>
    </w:pPr>
    <w:rPr>
      <w:rFonts w:ascii="Times New Roman" w:hAnsi="Times New Roman" w:eastAsia="宋体" w:cs="Times New Roman"/>
      <w:szCs w:val="20"/>
    </w:rPr>
  </w:style>
  <w:style w:type="paragraph" w:styleId="37">
    <w:name w:val="Subtitle"/>
    <w:basedOn w:val="1"/>
    <w:next w:val="1"/>
    <w:link w:val="80"/>
    <w:autoRedefine/>
    <w:qFormat/>
    <w:uiPriority w:val="0"/>
    <w:pPr>
      <w:spacing w:beforeLines="100" w:afterLines="50" w:line="360" w:lineRule="auto"/>
      <w:jc w:val="center"/>
    </w:pPr>
    <w:rPr>
      <w:rFonts w:ascii="Arial" w:hAnsi="Arial" w:eastAsia="方正魏碑简体" w:cs="Times New Roman"/>
      <w:bCs/>
      <w:kern w:val="28"/>
      <w:sz w:val="32"/>
      <w:szCs w:val="32"/>
    </w:rPr>
  </w:style>
  <w:style w:type="paragraph" w:styleId="38">
    <w:name w:val="footnote text"/>
    <w:basedOn w:val="1"/>
    <w:link w:val="90"/>
    <w:autoRedefine/>
    <w:unhideWhenUsed/>
    <w:qFormat/>
    <w:uiPriority w:val="0"/>
    <w:pPr>
      <w:snapToGrid w:val="0"/>
      <w:jc w:val="left"/>
    </w:pPr>
    <w:rPr>
      <w:rFonts w:ascii="Times New Roman" w:hAnsi="Times New Roman" w:eastAsia="宋体" w:cs="Times New Roman"/>
      <w:sz w:val="18"/>
      <w:szCs w:val="18"/>
    </w:rPr>
  </w:style>
  <w:style w:type="paragraph" w:styleId="39">
    <w:name w:val="toc 6"/>
    <w:basedOn w:val="1"/>
    <w:next w:val="1"/>
    <w:autoRedefine/>
    <w:qFormat/>
    <w:uiPriority w:val="39"/>
    <w:pPr>
      <w:ind w:left="2100" w:leftChars="1000"/>
    </w:pPr>
    <w:rPr>
      <w:rFonts w:ascii="Times New Roman" w:hAnsi="Times New Roman" w:eastAsia="宋体" w:cs="Times New Roman"/>
      <w:szCs w:val="20"/>
    </w:rPr>
  </w:style>
  <w:style w:type="paragraph" w:styleId="40">
    <w:name w:val="Body Text Indent 3"/>
    <w:basedOn w:val="1"/>
    <w:link w:val="82"/>
    <w:autoRedefine/>
    <w:qFormat/>
    <w:uiPriority w:val="0"/>
    <w:pPr>
      <w:spacing w:afterLines="50"/>
      <w:ind w:firstLine="420" w:firstLineChars="200"/>
    </w:pPr>
    <w:rPr>
      <w:rFonts w:ascii="Times New Roman" w:hAnsi="Times New Roman" w:eastAsia="宋体" w:cs="Times New Roman"/>
      <w:szCs w:val="21"/>
    </w:rPr>
  </w:style>
  <w:style w:type="paragraph" w:styleId="41">
    <w:name w:val="toc 2"/>
    <w:basedOn w:val="1"/>
    <w:next w:val="1"/>
    <w:autoRedefine/>
    <w:qFormat/>
    <w:uiPriority w:val="39"/>
    <w:pPr>
      <w:tabs>
        <w:tab w:val="left" w:pos="851"/>
        <w:tab w:val="right" w:leader="dot" w:pos="9231"/>
      </w:tabs>
      <w:ind w:left="420" w:leftChars="200"/>
    </w:pPr>
    <w:rPr>
      <w:rFonts w:ascii="Times New Roman" w:hAnsi="Times New Roman" w:eastAsia="宋体" w:cs="Times New Roman"/>
      <w:szCs w:val="20"/>
    </w:rPr>
  </w:style>
  <w:style w:type="paragraph" w:styleId="42">
    <w:name w:val="toc 9"/>
    <w:basedOn w:val="1"/>
    <w:next w:val="1"/>
    <w:autoRedefine/>
    <w:qFormat/>
    <w:uiPriority w:val="39"/>
    <w:pPr>
      <w:ind w:left="3360" w:leftChars="1600"/>
    </w:pPr>
    <w:rPr>
      <w:rFonts w:ascii="Times New Roman" w:hAnsi="Times New Roman" w:eastAsia="宋体" w:cs="Times New Roman"/>
      <w:szCs w:val="20"/>
    </w:rPr>
  </w:style>
  <w:style w:type="paragraph" w:styleId="43">
    <w:name w:val="Body Text 2"/>
    <w:basedOn w:val="1"/>
    <w:link w:val="83"/>
    <w:autoRedefine/>
    <w:qFormat/>
    <w:uiPriority w:val="0"/>
    <w:pPr>
      <w:spacing w:after="120" w:line="480" w:lineRule="auto"/>
    </w:pPr>
    <w:rPr>
      <w:rFonts w:ascii="Times New Roman" w:hAnsi="Times New Roman" w:eastAsia="宋体" w:cs="Times New Roman"/>
      <w:szCs w:val="20"/>
    </w:rPr>
  </w:style>
  <w:style w:type="paragraph" w:styleId="44">
    <w:name w:val="HTML Preformatted"/>
    <w:basedOn w:val="1"/>
    <w:link w:val="8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45">
    <w:name w:val="Normal (Web)"/>
    <w:basedOn w:val="1"/>
    <w:autoRedefine/>
    <w:qFormat/>
    <w:uiPriority w:val="99"/>
    <w:pPr>
      <w:widowControl/>
      <w:spacing w:before="100" w:beforeAutospacing="1" w:after="100" w:afterAutospacing="1"/>
      <w:jc w:val="left"/>
    </w:pPr>
    <w:rPr>
      <w:rFonts w:ascii="宋体" w:hAnsi="宋体" w:eastAsia="宋体" w:cs="宋体"/>
      <w:kern w:val="0"/>
      <w:sz w:val="24"/>
      <w:szCs w:val="24"/>
    </w:rPr>
  </w:style>
  <w:style w:type="paragraph" w:styleId="46">
    <w:name w:val="Title"/>
    <w:basedOn w:val="1"/>
    <w:link w:val="85"/>
    <w:autoRedefine/>
    <w:qFormat/>
    <w:uiPriority w:val="0"/>
    <w:pPr>
      <w:spacing w:before="240" w:after="240" w:line="360" w:lineRule="auto"/>
      <w:jc w:val="center"/>
    </w:pPr>
    <w:rPr>
      <w:rFonts w:ascii="Arial" w:hAnsi="Arial" w:eastAsia="黑体" w:cs="Times New Roman"/>
      <w:kern w:val="0"/>
      <w:sz w:val="44"/>
      <w:szCs w:val="20"/>
    </w:rPr>
  </w:style>
  <w:style w:type="paragraph" w:styleId="47">
    <w:name w:val="annotation subject"/>
    <w:basedOn w:val="19"/>
    <w:next w:val="19"/>
    <w:link w:val="86"/>
    <w:autoRedefine/>
    <w:unhideWhenUsed/>
    <w:qFormat/>
    <w:uiPriority w:val="99"/>
    <w:rPr>
      <w:rFonts w:ascii="Times New Roman" w:hAnsi="Times New Roman"/>
      <w:b/>
      <w:bCs/>
      <w:kern w:val="0"/>
      <w:sz w:val="20"/>
      <w:szCs w:val="20"/>
    </w:rPr>
  </w:style>
  <w:style w:type="paragraph" w:styleId="48">
    <w:name w:val="Body Text First Indent"/>
    <w:basedOn w:val="23"/>
    <w:link w:val="87"/>
    <w:autoRedefine/>
    <w:qFormat/>
    <w:uiPriority w:val="0"/>
    <w:pPr>
      <w:spacing w:line="300" w:lineRule="auto"/>
      <w:ind w:firstLine="510"/>
    </w:pPr>
    <w:rPr>
      <w:sz w:val="24"/>
    </w:rPr>
  </w:style>
  <w:style w:type="table" w:styleId="50">
    <w:name w:val="Table Grid"/>
    <w:basedOn w:val="49"/>
    <w:autoRedefine/>
    <w:qFormat/>
    <w:uiPriority w:val="59"/>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52">
    <w:name w:val="Strong"/>
    <w:autoRedefine/>
    <w:qFormat/>
    <w:uiPriority w:val="22"/>
    <w:rPr>
      <w:b/>
      <w:bCs/>
    </w:rPr>
  </w:style>
  <w:style w:type="character" w:styleId="53">
    <w:name w:val="page number"/>
    <w:basedOn w:val="51"/>
    <w:autoRedefine/>
    <w:qFormat/>
    <w:uiPriority w:val="0"/>
  </w:style>
  <w:style w:type="character" w:styleId="54">
    <w:name w:val="FollowedHyperlink"/>
    <w:autoRedefine/>
    <w:qFormat/>
    <w:uiPriority w:val="0"/>
    <w:rPr>
      <w:color w:val="800080"/>
      <w:u w:val="single"/>
    </w:rPr>
  </w:style>
  <w:style w:type="character" w:styleId="55">
    <w:name w:val="Emphasis"/>
    <w:autoRedefine/>
    <w:qFormat/>
    <w:uiPriority w:val="0"/>
    <w:rPr>
      <w:i/>
      <w:iCs/>
    </w:rPr>
  </w:style>
  <w:style w:type="character" w:styleId="56">
    <w:name w:val="Hyperlink"/>
    <w:autoRedefine/>
    <w:qFormat/>
    <w:uiPriority w:val="99"/>
    <w:rPr>
      <w:color w:val="0000FF"/>
      <w:u w:val="single"/>
    </w:rPr>
  </w:style>
  <w:style w:type="character" w:styleId="57">
    <w:name w:val="annotation reference"/>
    <w:basedOn w:val="51"/>
    <w:autoRedefine/>
    <w:unhideWhenUsed/>
    <w:qFormat/>
    <w:uiPriority w:val="99"/>
    <w:rPr>
      <w:sz w:val="21"/>
      <w:szCs w:val="21"/>
    </w:rPr>
  </w:style>
  <w:style w:type="character" w:customStyle="1" w:styleId="58">
    <w:name w:val="标题 1 Char"/>
    <w:basedOn w:val="51"/>
    <w:link w:val="2"/>
    <w:qFormat/>
    <w:uiPriority w:val="0"/>
    <w:rPr>
      <w:rFonts w:ascii="Times New Roman" w:hAnsi="Times New Roman" w:eastAsia="宋体" w:cs="Times New Roman"/>
      <w:b/>
      <w:bCs/>
      <w:kern w:val="44"/>
      <w:sz w:val="44"/>
      <w:szCs w:val="44"/>
    </w:rPr>
  </w:style>
  <w:style w:type="character" w:customStyle="1" w:styleId="59">
    <w:name w:val="标题 2 Char"/>
    <w:basedOn w:val="51"/>
    <w:link w:val="3"/>
    <w:qFormat/>
    <w:uiPriority w:val="0"/>
    <w:rPr>
      <w:rFonts w:ascii="Arial" w:hAnsi="Arial" w:eastAsia="黑体" w:cs="Times New Roman"/>
      <w:b/>
      <w:bCs/>
      <w:sz w:val="32"/>
      <w:szCs w:val="32"/>
    </w:rPr>
  </w:style>
  <w:style w:type="character" w:customStyle="1" w:styleId="60">
    <w:name w:val="标题 3 Char"/>
    <w:basedOn w:val="51"/>
    <w:link w:val="4"/>
    <w:qFormat/>
    <w:uiPriority w:val="0"/>
    <w:rPr>
      <w:rFonts w:ascii="Times New Roman" w:hAnsi="Times New Roman" w:eastAsia="宋体" w:cs="Times New Roman"/>
      <w:b/>
      <w:bCs/>
      <w:szCs w:val="32"/>
    </w:rPr>
  </w:style>
  <w:style w:type="character" w:customStyle="1" w:styleId="61">
    <w:name w:val="标题 4 Char"/>
    <w:basedOn w:val="51"/>
    <w:link w:val="5"/>
    <w:qFormat/>
    <w:uiPriority w:val="0"/>
    <w:rPr>
      <w:rFonts w:ascii="Arial" w:hAnsi="Arial" w:eastAsia="黑体" w:cs="Times New Roman"/>
      <w:b/>
      <w:bCs/>
      <w:sz w:val="28"/>
      <w:szCs w:val="28"/>
    </w:rPr>
  </w:style>
  <w:style w:type="character" w:customStyle="1" w:styleId="62">
    <w:name w:val="标题 5 Char"/>
    <w:basedOn w:val="51"/>
    <w:link w:val="6"/>
    <w:qFormat/>
    <w:uiPriority w:val="0"/>
    <w:rPr>
      <w:rFonts w:ascii="Times New Roman" w:hAnsi="Times New Roman" w:eastAsia="宋体" w:cs="Times New Roman"/>
      <w:b/>
      <w:sz w:val="28"/>
      <w:szCs w:val="20"/>
    </w:rPr>
  </w:style>
  <w:style w:type="character" w:customStyle="1" w:styleId="63">
    <w:name w:val="标题 6 Char"/>
    <w:basedOn w:val="51"/>
    <w:link w:val="8"/>
    <w:qFormat/>
    <w:uiPriority w:val="0"/>
    <w:rPr>
      <w:rFonts w:ascii="Arial" w:hAnsi="Arial" w:eastAsia="黑体" w:cs="Times New Roman"/>
      <w:b/>
      <w:sz w:val="24"/>
      <w:szCs w:val="20"/>
    </w:rPr>
  </w:style>
  <w:style w:type="character" w:customStyle="1" w:styleId="64">
    <w:name w:val="标题 7 Char"/>
    <w:basedOn w:val="51"/>
    <w:link w:val="9"/>
    <w:qFormat/>
    <w:uiPriority w:val="0"/>
    <w:rPr>
      <w:rFonts w:ascii="Times New Roman" w:hAnsi="Times New Roman" w:eastAsia="宋体" w:cs="Times New Roman"/>
      <w:b/>
      <w:sz w:val="24"/>
      <w:szCs w:val="20"/>
    </w:rPr>
  </w:style>
  <w:style w:type="character" w:customStyle="1" w:styleId="65">
    <w:name w:val="标题 8 Char"/>
    <w:basedOn w:val="51"/>
    <w:link w:val="10"/>
    <w:qFormat/>
    <w:uiPriority w:val="0"/>
    <w:rPr>
      <w:rFonts w:ascii="Arial" w:hAnsi="Arial" w:eastAsia="黑体" w:cs="Times New Roman"/>
      <w:sz w:val="24"/>
      <w:szCs w:val="20"/>
    </w:rPr>
  </w:style>
  <w:style w:type="character" w:customStyle="1" w:styleId="66">
    <w:name w:val="标题 9 Char"/>
    <w:basedOn w:val="51"/>
    <w:link w:val="11"/>
    <w:qFormat/>
    <w:uiPriority w:val="0"/>
    <w:rPr>
      <w:rFonts w:ascii="Arial" w:hAnsi="Arial" w:eastAsia="黑体" w:cs="Times New Roman"/>
      <w:szCs w:val="20"/>
    </w:rPr>
  </w:style>
  <w:style w:type="character" w:customStyle="1" w:styleId="67">
    <w:name w:val="注释标题 Char"/>
    <w:basedOn w:val="51"/>
    <w:link w:val="13"/>
    <w:qFormat/>
    <w:uiPriority w:val="0"/>
    <w:rPr>
      <w:rFonts w:ascii="Calibri" w:hAnsi="Calibri" w:eastAsia="宋体" w:cs="Times New Roman"/>
    </w:rPr>
  </w:style>
  <w:style w:type="character" w:customStyle="1" w:styleId="68">
    <w:name w:val="文档结构图 Char"/>
    <w:basedOn w:val="51"/>
    <w:link w:val="18"/>
    <w:semiHidden/>
    <w:qFormat/>
    <w:uiPriority w:val="0"/>
    <w:rPr>
      <w:rFonts w:ascii="Times New Roman" w:hAnsi="Times New Roman" w:eastAsia="宋体" w:cs="Times New Roman"/>
      <w:szCs w:val="20"/>
      <w:shd w:val="clear" w:color="auto" w:fill="000080"/>
    </w:rPr>
  </w:style>
  <w:style w:type="character" w:customStyle="1" w:styleId="69">
    <w:name w:val="批注文字 Char"/>
    <w:basedOn w:val="51"/>
    <w:link w:val="19"/>
    <w:qFormat/>
    <w:uiPriority w:val="99"/>
    <w:rPr>
      <w:rFonts w:ascii="Calibri" w:hAnsi="Calibri" w:eastAsia="宋体" w:cs="Times New Roman"/>
    </w:rPr>
  </w:style>
  <w:style w:type="character" w:customStyle="1" w:styleId="70">
    <w:name w:val="称呼 Char"/>
    <w:basedOn w:val="51"/>
    <w:link w:val="20"/>
    <w:qFormat/>
    <w:uiPriority w:val="0"/>
    <w:rPr>
      <w:rFonts w:ascii="Times New Roman" w:hAnsi="Times New Roman" w:eastAsia="宋体" w:cs="Times New Roman"/>
      <w:kern w:val="0"/>
      <w:sz w:val="24"/>
      <w:szCs w:val="24"/>
    </w:rPr>
  </w:style>
  <w:style w:type="character" w:customStyle="1" w:styleId="71">
    <w:name w:val="正文文本 3 Char"/>
    <w:basedOn w:val="51"/>
    <w:link w:val="21"/>
    <w:qFormat/>
    <w:uiPriority w:val="0"/>
    <w:rPr>
      <w:rFonts w:ascii="Times New Roman" w:hAnsi="Times New Roman" w:eastAsia="宋体" w:cs="Times New Roman"/>
      <w:kern w:val="0"/>
      <w:sz w:val="16"/>
      <w:szCs w:val="20"/>
    </w:rPr>
  </w:style>
  <w:style w:type="character" w:customStyle="1" w:styleId="72">
    <w:name w:val="正文文本 Char"/>
    <w:basedOn w:val="51"/>
    <w:qFormat/>
    <w:uiPriority w:val="0"/>
  </w:style>
  <w:style w:type="character" w:customStyle="1" w:styleId="73">
    <w:name w:val="正文文本缩进 Char"/>
    <w:basedOn w:val="51"/>
    <w:link w:val="24"/>
    <w:qFormat/>
    <w:uiPriority w:val="0"/>
    <w:rPr>
      <w:rFonts w:ascii="Times New Roman" w:hAnsi="Times New Roman" w:eastAsia="宋体" w:cs="Times New Roman"/>
      <w:b/>
      <w:sz w:val="24"/>
      <w:szCs w:val="20"/>
    </w:rPr>
  </w:style>
  <w:style w:type="character" w:customStyle="1" w:styleId="74">
    <w:name w:val="纯文本 Char"/>
    <w:basedOn w:val="51"/>
    <w:link w:val="28"/>
    <w:qFormat/>
    <w:uiPriority w:val="0"/>
    <w:rPr>
      <w:rFonts w:ascii="宋体" w:hAnsi="Courier New" w:eastAsia="宋体" w:cs="Times New Roman"/>
      <w:kern w:val="0"/>
      <w:sz w:val="20"/>
      <w:szCs w:val="20"/>
    </w:rPr>
  </w:style>
  <w:style w:type="character" w:customStyle="1" w:styleId="75">
    <w:name w:val="日期 Char"/>
    <w:basedOn w:val="51"/>
    <w:link w:val="30"/>
    <w:qFormat/>
    <w:uiPriority w:val="0"/>
    <w:rPr>
      <w:rFonts w:ascii="Calibri" w:hAnsi="Calibri" w:eastAsia="宋体" w:cs="Times New Roman"/>
    </w:rPr>
  </w:style>
  <w:style w:type="character" w:customStyle="1" w:styleId="76">
    <w:name w:val="正文文本缩进 2 Char"/>
    <w:basedOn w:val="51"/>
    <w:link w:val="31"/>
    <w:qFormat/>
    <w:uiPriority w:val="0"/>
    <w:rPr>
      <w:rFonts w:ascii="宋体" w:hAnsi="宋体" w:eastAsia="宋体" w:cs="Times New Roman"/>
      <w:b/>
      <w:bCs/>
      <w:sz w:val="24"/>
      <w:szCs w:val="20"/>
    </w:rPr>
  </w:style>
  <w:style w:type="character" w:customStyle="1" w:styleId="77">
    <w:name w:val="批注框文本 Char"/>
    <w:basedOn w:val="51"/>
    <w:link w:val="32"/>
    <w:semiHidden/>
    <w:qFormat/>
    <w:uiPriority w:val="0"/>
    <w:rPr>
      <w:rFonts w:ascii="Times New Roman" w:hAnsi="Times New Roman" w:eastAsia="宋体" w:cs="Times New Roman"/>
      <w:sz w:val="18"/>
      <w:szCs w:val="18"/>
    </w:rPr>
  </w:style>
  <w:style w:type="character" w:customStyle="1" w:styleId="78">
    <w:name w:val="页脚 Char"/>
    <w:basedOn w:val="51"/>
    <w:link w:val="33"/>
    <w:qFormat/>
    <w:uiPriority w:val="99"/>
    <w:rPr>
      <w:rFonts w:ascii="Times New Roman" w:hAnsi="Times New Roman" w:eastAsia="宋体" w:cs="Times New Roman"/>
      <w:kern w:val="0"/>
      <w:sz w:val="18"/>
      <w:szCs w:val="20"/>
    </w:rPr>
  </w:style>
  <w:style w:type="character" w:customStyle="1" w:styleId="79">
    <w:name w:val="页眉 Char"/>
    <w:basedOn w:val="51"/>
    <w:link w:val="34"/>
    <w:qFormat/>
    <w:uiPriority w:val="0"/>
    <w:rPr>
      <w:rFonts w:ascii="Times New Roman" w:hAnsi="Times New Roman" w:eastAsia="宋体" w:cs="Times New Roman"/>
      <w:kern w:val="0"/>
      <w:sz w:val="18"/>
      <w:szCs w:val="20"/>
    </w:rPr>
  </w:style>
  <w:style w:type="character" w:customStyle="1" w:styleId="80">
    <w:name w:val="副标题 Char"/>
    <w:basedOn w:val="51"/>
    <w:link w:val="37"/>
    <w:qFormat/>
    <w:uiPriority w:val="0"/>
    <w:rPr>
      <w:rFonts w:ascii="Arial" w:hAnsi="Arial" w:eastAsia="方正魏碑简体" w:cs="Times New Roman"/>
      <w:bCs/>
      <w:kern w:val="28"/>
      <w:sz w:val="32"/>
      <w:szCs w:val="32"/>
    </w:rPr>
  </w:style>
  <w:style w:type="character" w:customStyle="1" w:styleId="81">
    <w:name w:val="脚注文本 Char"/>
    <w:basedOn w:val="51"/>
    <w:semiHidden/>
    <w:qFormat/>
    <w:uiPriority w:val="0"/>
    <w:rPr>
      <w:sz w:val="18"/>
      <w:szCs w:val="18"/>
    </w:rPr>
  </w:style>
  <w:style w:type="character" w:customStyle="1" w:styleId="82">
    <w:name w:val="正文文本缩进 3 Char"/>
    <w:basedOn w:val="51"/>
    <w:link w:val="40"/>
    <w:qFormat/>
    <w:uiPriority w:val="0"/>
    <w:rPr>
      <w:rFonts w:ascii="Times New Roman" w:hAnsi="Times New Roman" w:eastAsia="宋体" w:cs="Times New Roman"/>
      <w:szCs w:val="21"/>
    </w:rPr>
  </w:style>
  <w:style w:type="character" w:customStyle="1" w:styleId="83">
    <w:name w:val="正文文本 2 Char"/>
    <w:basedOn w:val="51"/>
    <w:link w:val="43"/>
    <w:qFormat/>
    <w:uiPriority w:val="0"/>
    <w:rPr>
      <w:rFonts w:ascii="Times New Roman" w:hAnsi="Times New Roman" w:eastAsia="宋体" w:cs="Times New Roman"/>
      <w:szCs w:val="20"/>
    </w:rPr>
  </w:style>
  <w:style w:type="character" w:customStyle="1" w:styleId="84">
    <w:name w:val="HTML 预设格式 Char"/>
    <w:basedOn w:val="51"/>
    <w:link w:val="44"/>
    <w:qFormat/>
    <w:uiPriority w:val="0"/>
    <w:rPr>
      <w:rFonts w:ascii="宋体" w:hAnsi="宋体" w:eastAsia="宋体" w:cs="宋体"/>
      <w:kern w:val="0"/>
      <w:sz w:val="24"/>
      <w:szCs w:val="24"/>
    </w:rPr>
  </w:style>
  <w:style w:type="character" w:customStyle="1" w:styleId="85">
    <w:name w:val="标题 Char"/>
    <w:basedOn w:val="51"/>
    <w:link w:val="46"/>
    <w:qFormat/>
    <w:uiPriority w:val="0"/>
    <w:rPr>
      <w:rFonts w:ascii="Arial" w:hAnsi="Arial" w:eastAsia="黑体" w:cs="Times New Roman"/>
      <w:kern w:val="0"/>
      <w:sz w:val="44"/>
      <w:szCs w:val="20"/>
    </w:rPr>
  </w:style>
  <w:style w:type="character" w:customStyle="1" w:styleId="86">
    <w:name w:val="批注主题 Char"/>
    <w:basedOn w:val="69"/>
    <w:link w:val="47"/>
    <w:qFormat/>
    <w:uiPriority w:val="99"/>
    <w:rPr>
      <w:rFonts w:ascii="Times New Roman" w:hAnsi="Times New Roman" w:eastAsia="宋体" w:cs="Times New Roman"/>
      <w:b/>
      <w:bCs/>
      <w:kern w:val="0"/>
      <w:sz w:val="20"/>
      <w:szCs w:val="20"/>
    </w:rPr>
  </w:style>
  <w:style w:type="character" w:customStyle="1" w:styleId="87">
    <w:name w:val="正文首行缩进 Char"/>
    <w:basedOn w:val="72"/>
    <w:link w:val="48"/>
    <w:qFormat/>
    <w:uiPriority w:val="0"/>
    <w:rPr>
      <w:rFonts w:ascii="Calibri" w:hAnsi="Calibri" w:eastAsia="宋体" w:cs="Times New Roman"/>
      <w:sz w:val="24"/>
    </w:rPr>
  </w:style>
  <w:style w:type="character" w:customStyle="1" w:styleId="88">
    <w:name w:val="居中 Char"/>
    <w:autoRedefine/>
    <w:qFormat/>
    <w:uiPriority w:val="0"/>
    <w:rPr>
      <w:kern w:val="2"/>
      <w:sz w:val="24"/>
    </w:rPr>
  </w:style>
  <w:style w:type="character" w:customStyle="1" w:styleId="89">
    <w:name w:val="批注文字 Char1"/>
    <w:basedOn w:val="51"/>
    <w:autoRedefine/>
    <w:semiHidden/>
    <w:qFormat/>
    <w:uiPriority w:val="99"/>
  </w:style>
  <w:style w:type="character" w:customStyle="1" w:styleId="90">
    <w:name w:val="脚注文本 Char1"/>
    <w:basedOn w:val="51"/>
    <w:link w:val="38"/>
    <w:autoRedefine/>
    <w:qFormat/>
    <w:locked/>
    <w:uiPriority w:val="0"/>
    <w:rPr>
      <w:rFonts w:ascii="Times New Roman" w:hAnsi="Times New Roman" w:eastAsia="宋体" w:cs="Times New Roman"/>
      <w:sz w:val="18"/>
      <w:szCs w:val="18"/>
    </w:rPr>
  </w:style>
  <w:style w:type="character" w:customStyle="1" w:styleId="91">
    <w:name w:val="正文文本 Char1"/>
    <w:basedOn w:val="51"/>
    <w:link w:val="23"/>
    <w:autoRedefine/>
    <w:qFormat/>
    <w:uiPriority w:val="0"/>
    <w:rPr>
      <w:rFonts w:ascii="Calibri" w:hAnsi="Calibri" w:eastAsia="宋体" w:cs="Times New Roman"/>
    </w:rPr>
  </w:style>
  <w:style w:type="character" w:customStyle="1" w:styleId="92">
    <w:name w:val="标准款样式 Char"/>
    <w:basedOn w:val="51"/>
    <w:link w:val="93"/>
    <w:autoRedefine/>
    <w:qFormat/>
    <w:uiPriority w:val="0"/>
    <w:rPr>
      <w:rFonts w:ascii="黑体" w:hAnsi="宋体" w:eastAsia="宋体" w:cs="Times New Roman"/>
      <w:szCs w:val="20"/>
    </w:rPr>
  </w:style>
  <w:style w:type="paragraph" w:customStyle="1" w:styleId="93">
    <w:name w:val="标准款样式"/>
    <w:basedOn w:val="1"/>
    <w:link w:val="92"/>
    <w:autoRedefine/>
    <w:qFormat/>
    <w:uiPriority w:val="0"/>
    <w:rPr>
      <w:rFonts w:ascii="黑体" w:hAnsi="宋体" w:eastAsia="宋体" w:cs="Times New Roman"/>
      <w:szCs w:val="20"/>
    </w:rPr>
  </w:style>
  <w:style w:type="character" w:customStyle="1" w:styleId="94">
    <w:name w:val="solutioncontent1"/>
    <w:autoRedefine/>
    <w:qFormat/>
    <w:uiPriority w:val="0"/>
    <w:rPr>
      <w:rFonts w:cs="Times New Roman"/>
      <w:color w:val="333333"/>
      <w:sz w:val="15"/>
      <w:szCs w:val="15"/>
    </w:rPr>
  </w:style>
  <w:style w:type="character" w:customStyle="1" w:styleId="95">
    <w:name w:val="Subtitle Char"/>
    <w:autoRedefine/>
    <w:qFormat/>
    <w:locked/>
    <w:uiPriority w:val="0"/>
    <w:rPr>
      <w:rFonts w:ascii="Calibri Light" w:hAnsi="Calibri Light" w:eastAsia="宋体" w:cs="Times New Roman"/>
      <w:b/>
      <w:bCs/>
      <w:kern w:val="28"/>
      <w:sz w:val="32"/>
      <w:szCs w:val="32"/>
      <w:lang w:eastAsia="en-US"/>
    </w:rPr>
  </w:style>
  <w:style w:type="character" w:customStyle="1" w:styleId="96">
    <w:name w:val="页脚 Char1"/>
    <w:basedOn w:val="51"/>
    <w:autoRedefine/>
    <w:semiHidden/>
    <w:qFormat/>
    <w:uiPriority w:val="99"/>
    <w:rPr>
      <w:sz w:val="18"/>
      <w:szCs w:val="18"/>
    </w:rPr>
  </w:style>
  <w:style w:type="character" w:customStyle="1" w:styleId="97">
    <w:name w:val="明显引用 Char"/>
    <w:basedOn w:val="51"/>
    <w:autoRedefine/>
    <w:qFormat/>
    <w:uiPriority w:val="0"/>
    <w:rPr>
      <w:b/>
      <w:bCs/>
      <w:i/>
      <w:iCs/>
      <w:color w:val="4F81BD"/>
      <w:kern w:val="2"/>
      <w:sz w:val="21"/>
    </w:rPr>
  </w:style>
  <w:style w:type="character" w:customStyle="1" w:styleId="98">
    <w:name w:val="+正文 Char Char"/>
    <w:link w:val="99"/>
    <w:autoRedefine/>
    <w:qFormat/>
    <w:locked/>
    <w:uiPriority w:val="0"/>
    <w:rPr>
      <w:rFonts w:ascii="楷体_GB2312" w:eastAsia="楷体_GB2312"/>
      <w:sz w:val="24"/>
    </w:rPr>
  </w:style>
  <w:style w:type="paragraph" w:customStyle="1" w:styleId="99">
    <w:name w:val="+正文 Char Char Char"/>
    <w:basedOn w:val="1"/>
    <w:link w:val="98"/>
    <w:autoRedefine/>
    <w:qFormat/>
    <w:uiPriority w:val="0"/>
    <w:pPr>
      <w:spacing w:line="360" w:lineRule="auto"/>
      <w:ind w:firstLine="200" w:firstLineChars="200"/>
    </w:pPr>
    <w:rPr>
      <w:rFonts w:ascii="楷体_GB2312" w:eastAsia="楷体_GB2312"/>
      <w:sz w:val="24"/>
    </w:rPr>
  </w:style>
  <w:style w:type="character" w:customStyle="1" w:styleId="100">
    <w:name w:val="Char Char4"/>
    <w:autoRedefine/>
    <w:qFormat/>
    <w:uiPriority w:val="0"/>
    <w:rPr>
      <w:kern w:val="2"/>
      <w:sz w:val="16"/>
    </w:rPr>
  </w:style>
  <w:style w:type="character" w:customStyle="1" w:styleId="101">
    <w:name w:val="Char Char6"/>
    <w:autoRedefine/>
    <w:qFormat/>
    <w:uiPriority w:val="0"/>
    <w:rPr>
      <w:rFonts w:ascii="Arial" w:hAnsi="Arial" w:eastAsia="黑体"/>
      <w:kern w:val="2"/>
      <w:sz w:val="44"/>
    </w:rPr>
  </w:style>
  <w:style w:type="character" w:customStyle="1" w:styleId="102">
    <w:name w:val="引用 Char"/>
    <w:basedOn w:val="51"/>
    <w:autoRedefine/>
    <w:qFormat/>
    <w:uiPriority w:val="0"/>
    <w:rPr>
      <w:i/>
      <w:iCs/>
      <w:color w:val="000000"/>
      <w:kern w:val="2"/>
      <w:sz w:val="21"/>
    </w:rPr>
  </w:style>
  <w:style w:type="character" w:customStyle="1" w:styleId="103">
    <w:name w:val="+列表1 Char Char Char Char Char"/>
    <w:link w:val="104"/>
    <w:autoRedefine/>
    <w:qFormat/>
    <w:locked/>
    <w:uiPriority w:val="0"/>
    <w:rPr>
      <w:rFonts w:ascii="宋体" w:hAnsi="宋体"/>
    </w:rPr>
  </w:style>
  <w:style w:type="paragraph" w:customStyle="1" w:styleId="104">
    <w:name w:val="+列表1 Char Char Char"/>
    <w:basedOn w:val="1"/>
    <w:link w:val="103"/>
    <w:autoRedefine/>
    <w:qFormat/>
    <w:uiPriority w:val="0"/>
    <w:pPr>
      <w:jc w:val="center"/>
    </w:pPr>
    <w:rPr>
      <w:rFonts w:ascii="宋体" w:hAnsi="宋体"/>
    </w:rPr>
  </w:style>
  <w:style w:type="character" w:customStyle="1" w:styleId="105">
    <w:name w:val="正文文本 3 Char1"/>
    <w:basedOn w:val="51"/>
    <w:autoRedefine/>
    <w:semiHidden/>
    <w:qFormat/>
    <w:uiPriority w:val="99"/>
    <w:rPr>
      <w:sz w:val="16"/>
      <w:szCs w:val="16"/>
    </w:rPr>
  </w:style>
  <w:style w:type="character" w:customStyle="1" w:styleId="106">
    <w:name w:val="日期 Char1"/>
    <w:basedOn w:val="51"/>
    <w:autoRedefine/>
    <w:semiHidden/>
    <w:qFormat/>
    <w:uiPriority w:val="99"/>
  </w:style>
  <w:style w:type="character" w:customStyle="1" w:styleId="107">
    <w:name w:val="无间隔 Char"/>
    <w:link w:val="108"/>
    <w:autoRedefine/>
    <w:qFormat/>
    <w:locked/>
    <w:uiPriority w:val="0"/>
    <w:rPr>
      <w:rFonts w:ascii="Calibri" w:hAnsi="Calibri" w:eastAsia="Times New Roman"/>
      <w:sz w:val="22"/>
      <w:lang w:eastAsia="en-US" w:bidi="en-US"/>
    </w:rPr>
  </w:style>
  <w:style w:type="paragraph" w:customStyle="1" w:styleId="108">
    <w:name w:val="无间隔1"/>
    <w:link w:val="107"/>
    <w:autoRedefine/>
    <w:qFormat/>
    <w:uiPriority w:val="0"/>
    <w:rPr>
      <w:rFonts w:ascii="Calibri" w:hAnsi="Calibri" w:eastAsia="Times New Roman" w:cstheme="minorBidi"/>
      <w:kern w:val="2"/>
      <w:sz w:val="22"/>
      <w:szCs w:val="22"/>
      <w:lang w:val="en-US" w:eastAsia="en-US" w:bidi="en-US"/>
    </w:rPr>
  </w:style>
  <w:style w:type="character" w:customStyle="1" w:styleId="109">
    <w:name w:val="Char Char5"/>
    <w:autoRedefine/>
    <w:qFormat/>
    <w:uiPriority w:val="0"/>
    <w:rPr>
      <w:rFonts w:ascii="Arial" w:hAnsi="Arial" w:eastAsia="方正魏碑简体" w:cs="Arial"/>
      <w:bCs/>
      <w:kern w:val="28"/>
      <w:sz w:val="32"/>
      <w:szCs w:val="32"/>
    </w:rPr>
  </w:style>
  <w:style w:type="character" w:customStyle="1" w:styleId="110">
    <w:name w:val="表文字 Char Char"/>
    <w:link w:val="111"/>
    <w:autoRedefine/>
    <w:qFormat/>
    <w:locked/>
    <w:uiPriority w:val="0"/>
    <w:rPr>
      <w:rFonts w:ascii="楷体_GB2312" w:hAnsi="宋体" w:eastAsia="楷体_GB2312"/>
      <w:spacing w:val="-8"/>
      <w:sz w:val="24"/>
      <w:lang w:val="zh-CN"/>
    </w:rPr>
  </w:style>
  <w:style w:type="paragraph" w:customStyle="1" w:styleId="111">
    <w:name w:val="表文字"/>
    <w:basedOn w:val="1"/>
    <w:link w:val="110"/>
    <w:autoRedefine/>
    <w:qFormat/>
    <w:uiPriority w:val="0"/>
    <w:pPr>
      <w:adjustRightInd w:val="0"/>
      <w:snapToGrid w:val="0"/>
      <w:spacing w:line="320" w:lineRule="exact"/>
      <w:ind w:right="-31" w:rightChars="-31" w:firstLine="448" w:firstLineChars="200"/>
      <w:jc w:val="center"/>
    </w:pPr>
    <w:rPr>
      <w:rFonts w:ascii="楷体_GB2312" w:hAnsi="宋体" w:eastAsia="楷体_GB2312"/>
      <w:spacing w:val="-8"/>
      <w:sz w:val="24"/>
      <w:lang w:val="zh-CN"/>
    </w:rPr>
  </w:style>
  <w:style w:type="character" w:customStyle="1" w:styleId="112">
    <w:name w:val="Mention"/>
    <w:basedOn w:val="51"/>
    <w:autoRedefine/>
    <w:unhideWhenUsed/>
    <w:qFormat/>
    <w:uiPriority w:val="99"/>
    <w:rPr>
      <w:color w:val="2B579A"/>
      <w:shd w:val="clear" w:color="auto" w:fill="E6E6E6"/>
    </w:rPr>
  </w:style>
  <w:style w:type="character" w:customStyle="1" w:styleId="113">
    <w:name w:val="+正文 Char5 Char Char Char Char Char"/>
    <w:link w:val="114"/>
    <w:autoRedefine/>
    <w:qFormat/>
    <w:locked/>
    <w:uiPriority w:val="0"/>
    <w:rPr>
      <w:rFonts w:ascii="宋体" w:hAnsi="宋体"/>
      <w:sz w:val="24"/>
    </w:rPr>
  </w:style>
  <w:style w:type="paragraph" w:customStyle="1" w:styleId="114">
    <w:name w:val="+正文 Char5 Char Char Char"/>
    <w:basedOn w:val="1"/>
    <w:link w:val="113"/>
    <w:autoRedefine/>
    <w:qFormat/>
    <w:uiPriority w:val="0"/>
    <w:pPr>
      <w:spacing w:line="360" w:lineRule="auto"/>
      <w:ind w:firstLine="200" w:firstLineChars="200"/>
    </w:pPr>
    <w:rPr>
      <w:rFonts w:ascii="宋体" w:hAnsi="宋体"/>
      <w:sz w:val="24"/>
    </w:rPr>
  </w:style>
  <w:style w:type="character" w:customStyle="1" w:styleId="115">
    <w:name w:val="h Char Char"/>
    <w:autoRedefine/>
    <w:qFormat/>
    <w:uiPriority w:val="0"/>
    <w:rPr>
      <w:kern w:val="2"/>
      <w:sz w:val="18"/>
    </w:rPr>
  </w:style>
  <w:style w:type="character" w:customStyle="1" w:styleId="116">
    <w:name w:val="段 Char"/>
    <w:basedOn w:val="51"/>
    <w:link w:val="117"/>
    <w:autoRedefine/>
    <w:qFormat/>
    <w:uiPriority w:val="0"/>
    <w:rPr>
      <w:rFonts w:ascii="宋体"/>
    </w:rPr>
  </w:style>
  <w:style w:type="paragraph" w:customStyle="1" w:styleId="117">
    <w:name w:val="段"/>
    <w:link w:val="116"/>
    <w:autoRedefine/>
    <w:qFormat/>
    <w:uiPriority w:val="0"/>
    <w:pPr>
      <w:tabs>
        <w:tab w:val="center" w:pos="4201"/>
        <w:tab w:val="right" w:leader="dot" w:pos="9298"/>
      </w:tabs>
      <w:autoSpaceDE w:val="0"/>
      <w:autoSpaceDN w:val="0"/>
      <w:ind w:firstLine="420" w:firstLineChars="200"/>
      <w:jc w:val="both"/>
    </w:pPr>
    <w:rPr>
      <w:rFonts w:ascii="宋体" w:hAnsiTheme="minorHAnsi" w:eastAsiaTheme="minorEastAsia" w:cstheme="minorBidi"/>
      <w:kern w:val="2"/>
      <w:sz w:val="21"/>
      <w:szCs w:val="22"/>
      <w:lang w:val="en-US" w:eastAsia="zh-CN" w:bidi="ar-SA"/>
    </w:rPr>
  </w:style>
  <w:style w:type="character" w:customStyle="1" w:styleId="118">
    <w:name w:val="Char Char2"/>
    <w:autoRedefine/>
    <w:qFormat/>
    <w:uiPriority w:val="0"/>
    <w:rPr>
      <w:kern w:val="2"/>
      <w:sz w:val="24"/>
      <w:szCs w:val="24"/>
    </w:rPr>
  </w:style>
  <w:style w:type="character" w:customStyle="1" w:styleId="119">
    <w:name w:val="msoins"/>
    <w:basedOn w:val="51"/>
    <w:autoRedefine/>
    <w:qFormat/>
    <w:uiPriority w:val="0"/>
  </w:style>
  <w:style w:type="character" w:customStyle="1" w:styleId="120">
    <w:name w:val="纯文本 Char1"/>
    <w:basedOn w:val="51"/>
    <w:autoRedefine/>
    <w:qFormat/>
    <w:uiPriority w:val="99"/>
    <w:rPr>
      <w:rFonts w:ascii="宋体" w:hAnsi="Courier New" w:eastAsia="宋体" w:cs="Courier New"/>
      <w:szCs w:val="21"/>
    </w:rPr>
  </w:style>
  <w:style w:type="character" w:customStyle="1" w:styleId="121">
    <w:name w:val="Char Char1"/>
    <w:autoRedefine/>
    <w:semiHidden/>
    <w:qFormat/>
    <w:uiPriority w:val="0"/>
    <w:rPr>
      <w:kern w:val="2"/>
      <w:sz w:val="21"/>
    </w:rPr>
  </w:style>
  <w:style w:type="character" w:customStyle="1" w:styleId="122">
    <w:name w:val="正文缩进 Char"/>
    <w:link w:val="7"/>
    <w:autoRedefine/>
    <w:qFormat/>
    <w:uiPriority w:val="0"/>
    <w:rPr>
      <w:rFonts w:ascii="Calibri" w:hAnsi="Calibri" w:eastAsia="宋体" w:cs="Times New Roman"/>
    </w:rPr>
  </w:style>
  <w:style w:type="character" w:customStyle="1" w:styleId="123">
    <w:name w:val="black1"/>
    <w:autoRedefine/>
    <w:qFormat/>
    <w:uiPriority w:val="0"/>
    <w:rPr>
      <w:rFonts w:hint="default" w:ascii="ˎ̥" w:hAnsi="ˎ̥"/>
      <w:color w:val="333333"/>
      <w:sz w:val="18"/>
      <w:szCs w:val="18"/>
      <w:u w:val="none"/>
    </w:rPr>
  </w:style>
  <w:style w:type="character" w:customStyle="1" w:styleId="124">
    <w:name w:val="引用 Char1"/>
    <w:basedOn w:val="51"/>
    <w:link w:val="125"/>
    <w:autoRedefine/>
    <w:qFormat/>
    <w:locked/>
    <w:uiPriority w:val="0"/>
    <w:rPr>
      <w:rFonts w:ascii="Calibri" w:hAnsi="Calibri" w:eastAsia="宋体" w:cs="Times New Roman"/>
      <w:i/>
      <w:iCs/>
      <w:color w:val="000000"/>
      <w:kern w:val="0"/>
      <w:sz w:val="22"/>
      <w:lang w:eastAsia="en-US" w:bidi="en-US"/>
    </w:rPr>
  </w:style>
  <w:style w:type="paragraph" w:customStyle="1" w:styleId="125">
    <w:name w:val="引用1"/>
    <w:basedOn w:val="1"/>
    <w:next w:val="1"/>
    <w:link w:val="124"/>
    <w:autoRedefine/>
    <w:qFormat/>
    <w:uiPriority w:val="0"/>
    <w:pPr>
      <w:widowControl/>
      <w:spacing w:after="200" w:line="276" w:lineRule="auto"/>
      <w:jc w:val="left"/>
    </w:pPr>
    <w:rPr>
      <w:rFonts w:ascii="Calibri" w:hAnsi="Calibri" w:eastAsia="宋体" w:cs="Times New Roman"/>
      <w:i/>
      <w:iCs/>
      <w:color w:val="000000"/>
      <w:kern w:val="0"/>
      <w:sz w:val="22"/>
      <w:lang w:eastAsia="en-US" w:bidi="en-US"/>
    </w:rPr>
  </w:style>
  <w:style w:type="character" w:customStyle="1" w:styleId="126">
    <w:name w:val="+正文 Char Char3 Char Char Char Char"/>
    <w:link w:val="127"/>
    <w:autoRedefine/>
    <w:qFormat/>
    <w:locked/>
    <w:uiPriority w:val="0"/>
    <w:rPr>
      <w:rFonts w:ascii="宋体" w:hAnsi="宋体"/>
      <w:sz w:val="24"/>
    </w:rPr>
  </w:style>
  <w:style w:type="paragraph" w:customStyle="1" w:styleId="127">
    <w:name w:val="+正文 Char Char3 Char Char"/>
    <w:basedOn w:val="1"/>
    <w:link w:val="126"/>
    <w:autoRedefine/>
    <w:qFormat/>
    <w:uiPriority w:val="0"/>
    <w:pPr>
      <w:spacing w:line="360" w:lineRule="auto"/>
      <w:ind w:firstLine="200" w:firstLineChars="200"/>
    </w:pPr>
    <w:rPr>
      <w:rFonts w:ascii="宋体" w:hAnsi="宋体"/>
      <w:sz w:val="24"/>
    </w:rPr>
  </w:style>
  <w:style w:type="character" w:customStyle="1" w:styleId="128">
    <w:name w:val="页眉 Char1"/>
    <w:basedOn w:val="51"/>
    <w:autoRedefine/>
    <w:semiHidden/>
    <w:qFormat/>
    <w:uiPriority w:val="99"/>
    <w:rPr>
      <w:sz w:val="18"/>
      <w:szCs w:val="18"/>
    </w:rPr>
  </w:style>
  <w:style w:type="character" w:customStyle="1" w:styleId="129">
    <w:name w:val="副标题 Char1"/>
    <w:basedOn w:val="51"/>
    <w:autoRedefine/>
    <w:qFormat/>
    <w:uiPriority w:val="11"/>
    <w:rPr>
      <w:rFonts w:ascii="Cambria" w:hAnsi="Cambria" w:eastAsia="宋体" w:cs="Times New Roman"/>
      <w:b/>
      <w:bCs/>
      <w:kern w:val="28"/>
      <w:sz w:val="32"/>
      <w:szCs w:val="32"/>
    </w:rPr>
  </w:style>
  <w:style w:type="character" w:customStyle="1" w:styleId="130">
    <w:name w:val="font12-blue-bold1"/>
    <w:autoRedefine/>
    <w:qFormat/>
    <w:uiPriority w:val="0"/>
    <w:rPr>
      <w:b/>
      <w:bCs/>
      <w:color w:val="0249A5"/>
      <w:sz w:val="18"/>
      <w:szCs w:val="18"/>
      <w:u w:val="none"/>
    </w:rPr>
  </w:style>
  <w:style w:type="character" w:customStyle="1" w:styleId="131">
    <w:name w:val="+正文 Char Char5 Char Char Char"/>
    <w:link w:val="132"/>
    <w:autoRedefine/>
    <w:qFormat/>
    <w:locked/>
    <w:uiPriority w:val="0"/>
    <w:rPr>
      <w:rFonts w:ascii="宋体" w:hAnsi="宋体"/>
      <w:sz w:val="24"/>
    </w:rPr>
  </w:style>
  <w:style w:type="paragraph" w:customStyle="1" w:styleId="132">
    <w:name w:val="+正文 Char Char5 Char"/>
    <w:basedOn w:val="1"/>
    <w:link w:val="131"/>
    <w:autoRedefine/>
    <w:qFormat/>
    <w:uiPriority w:val="0"/>
    <w:pPr>
      <w:spacing w:line="360" w:lineRule="auto"/>
      <w:ind w:firstLine="200" w:firstLineChars="200"/>
    </w:pPr>
    <w:rPr>
      <w:rFonts w:ascii="宋体" w:hAnsi="宋体"/>
      <w:sz w:val="24"/>
    </w:rPr>
  </w:style>
  <w:style w:type="character" w:customStyle="1" w:styleId="133">
    <w:name w:val="批注主题 Char1"/>
    <w:basedOn w:val="89"/>
    <w:autoRedefine/>
    <w:semiHidden/>
    <w:qFormat/>
    <w:uiPriority w:val="99"/>
    <w:rPr>
      <w:b/>
      <w:bCs/>
    </w:rPr>
  </w:style>
  <w:style w:type="character" w:customStyle="1" w:styleId="134">
    <w:name w:val="Char Char3"/>
    <w:autoRedefine/>
    <w:qFormat/>
    <w:uiPriority w:val="0"/>
    <w:rPr>
      <w:kern w:val="2"/>
      <w:sz w:val="21"/>
    </w:rPr>
  </w:style>
  <w:style w:type="character" w:customStyle="1" w:styleId="135">
    <w:name w:val="普通文字 Char Char"/>
    <w:autoRedefine/>
    <w:qFormat/>
    <w:uiPriority w:val="0"/>
    <w:rPr>
      <w:rFonts w:ascii="宋体" w:hAnsi="Courier New"/>
      <w:kern w:val="2"/>
      <w:sz w:val="21"/>
    </w:rPr>
  </w:style>
  <w:style w:type="character" w:customStyle="1" w:styleId="136">
    <w:name w:val="grame"/>
    <w:basedOn w:val="51"/>
    <w:autoRedefine/>
    <w:qFormat/>
    <w:uiPriority w:val="0"/>
  </w:style>
  <w:style w:type="character" w:customStyle="1" w:styleId="137">
    <w:name w:val="16"/>
    <w:autoRedefine/>
    <w:qFormat/>
    <w:uiPriority w:val="0"/>
    <w:rPr>
      <w:rFonts w:hint="default" w:ascii="Times New Roman" w:hAnsi="Times New Roman" w:cs="Times New Roman"/>
      <w:color w:val="0000FF"/>
      <w:sz w:val="20"/>
      <w:szCs w:val="20"/>
      <w:u w:val="single"/>
    </w:rPr>
  </w:style>
  <w:style w:type="character" w:customStyle="1" w:styleId="138">
    <w:name w:val="Char Char7"/>
    <w:autoRedefine/>
    <w:qFormat/>
    <w:uiPriority w:val="0"/>
    <w:rPr>
      <w:kern w:val="2"/>
      <w:sz w:val="18"/>
    </w:rPr>
  </w:style>
  <w:style w:type="character" w:customStyle="1" w:styleId="139">
    <w:name w:val="15"/>
    <w:autoRedefine/>
    <w:qFormat/>
    <w:uiPriority w:val="0"/>
    <w:rPr>
      <w:rFonts w:hint="default" w:ascii="Calibri" w:hAnsi="Calibri"/>
    </w:rPr>
  </w:style>
  <w:style w:type="character" w:customStyle="1" w:styleId="140">
    <w:name w:val="+1. Char Char Char"/>
    <w:link w:val="141"/>
    <w:autoRedefine/>
    <w:qFormat/>
    <w:locked/>
    <w:uiPriority w:val="0"/>
    <w:rPr>
      <w:rFonts w:ascii="Times New Roman" w:hAnsi="Times New Roman" w:eastAsia="宋体" w:cs="Times New Roman"/>
      <w:szCs w:val="20"/>
    </w:rPr>
  </w:style>
  <w:style w:type="paragraph" w:customStyle="1" w:styleId="141">
    <w:name w:val="+1. Char"/>
    <w:basedOn w:val="1"/>
    <w:link w:val="140"/>
    <w:autoRedefine/>
    <w:qFormat/>
    <w:uiPriority w:val="0"/>
    <w:rPr>
      <w:rFonts w:ascii="Times New Roman" w:hAnsi="Times New Roman" w:eastAsia="宋体" w:cs="Times New Roman"/>
      <w:szCs w:val="20"/>
    </w:rPr>
  </w:style>
  <w:style w:type="character" w:customStyle="1" w:styleId="142">
    <w:name w:val="明显引用 Char1"/>
    <w:basedOn w:val="51"/>
    <w:link w:val="143"/>
    <w:autoRedefine/>
    <w:qFormat/>
    <w:locked/>
    <w:uiPriority w:val="0"/>
    <w:rPr>
      <w:rFonts w:ascii="Calibri" w:hAnsi="Calibri" w:eastAsia="宋体" w:cs="Times New Roman"/>
      <w:b/>
      <w:bCs/>
      <w:i/>
      <w:iCs/>
      <w:color w:val="4F81BD"/>
      <w:kern w:val="0"/>
      <w:sz w:val="22"/>
      <w:lang w:eastAsia="en-US" w:bidi="en-US"/>
    </w:rPr>
  </w:style>
  <w:style w:type="paragraph" w:customStyle="1" w:styleId="143">
    <w:name w:val="明显引用1"/>
    <w:basedOn w:val="1"/>
    <w:next w:val="1"/>
    <w:link w:val="142"/>
    <w:autoRedefine/>
    <w:qFormat/>
    <w:uiPriority w:val="0"/>
    <w:pPr>
      <w:widowControl/>
      <w:pBdr>
        <w:bottom w:val="single" w:color="4F81BD" w:sz="4" w:space="4"/>
      </w:pBdr>
      <w:spacing w:before="200" w:after="280" w:line="276" w:lineRule="auto"/>
      <w:ind w:left="936" w:right="936"/>
      <w:jc w:val="left"/>
    </w:pPr>
    <w:rPr>
      <w:rFonts w:ascii="Calibri" w:hAnsi="Calibri" w:eastAsia="宋体" w:cs="Times New Roman"/>
      <w:b/>
      <w:bCs/>
      <w:i/>
      <w:iCs/>
      <w:color w:val="4F81BD"/>
      <w:kern w:val="0"/>
      <w:sz w:val="22"/>
      <w:lang w:eastAsia="en-US" w:bidi="en-US"/>
    </w:rPr>
  </w:style>
  <w:style w:type="character" w:customStyle="1" w:styleId="144">
    <w:name w:val="Char Char8"/>
    <w:autoRedefine/>
    <w:qFormat/>
    <w:uiPriority w:val="0"/>
    <w:rPr>
      <w:kern w:val="2"/>
      <w:sz w:val="21"/>
    </w:rPr>
  </w:style>
  <w:style w:type="character" w:customStyle="1" w:styleId="145">
    <w:name w:val="Char Char"/>
    <w:autoRedefine/>
    <w:semiHidden/>
    <w:qFormat/>
    <w:uiPriority w:val="0"/>
    <w:rPr>
      <w:b/>
      <w:bCs/>
      <w:kern w:val="2"/>
      <w:sz w:val="21"/>
    </w:rPr>
  </w:style>
  <w:style w:type="character" w:customStyle="1" w:styleId="146">
    <w:name w:val="表正文 Char1"/>
    <w:autoRedefine/>
    <w:qFormat/>
    <w:uiPriority w:val="0"/>
    <w:rPr>
      <w:kern w:val="2"/>
      <w:sz w:val="21"/>
    </w:rPr>
  </w:style>
  <w:style w:type="character" w:customStyle="1" w:styleId="147">
    <w:name w:val="表正文 Char"/>
    <w:autoRedefine/>
    <w:qFormat/>
    <w:uiPriority w:val="0"/>
    <w:rPr>
      <w:rFonts w:eastAsia="宋体"/>
      <w:kern w:val="2"/>
      <w:sz w:val="24"/>
      <w:lang w:val="en-US" w:eastAsia="zh-CN" w:bidi="ar-SA"/>
    </w:rPr>
  </w:style>
  <w:style w:type="character" w:customStyle="1" w:styleId="148">
    <w:name w:val="正文首行缩进 Char1"/>
    <w:basedOn w:val="91"/>
    <w:autoRedefine/>
    <w:semiHidden/>
    <w:qFormat/>
    <w:uiPriority w:val="99"/>
    <w:rPr>
      <w:rFonts w:ascii="Calibri" w:hAnsi="Calibri" w:eastAsia="宋体" w:cs="Times New Roman"/>
    </w:rPr>
  </w:style>
  <w:style w:type="character" w:customStyle="1" w:styleId="149">
    <w:name w:val="标题 Char1"/>
    <w:basedOn w:val="51"/>
    <w:autoRedefine/>
    <w:qFormat/>
    <w:uiPriority w:val="10"/>
    <w:rPr>
      <w:rFonts w:ascii="Cambria" w:hAnsi="Cambria" w:eastAsia="宋体" w:cs="Times New Roman"/>
      <w:b/>
      <w:bCs/>
      <w:sz w:val="32"/>
      <w:szCs w:val="32"/>
    </w:rPr>
  </w:style>
  <w:style w:type="character" w:customStyle="1" w:styleId="150">
    <w:name w:val="+正文 Char4"/>
    <w:link w:val="151"/>
    <w:autoRedefine/>
    <w:qFormat/>
    <w:locked/>
    <w:uiPriority w:val="0"/>
    <w:rPr>
      <w:rFonts w:ascii="宋体" w:hAnsi="宋体"/>
      <w:sz w:val="24"/>
    </w:rPr>
  </w:style>
  <w:style w:type="paragraph" w:customStyle="1" w:styleId="151">
    <w:name w:val="+正文"/>
    <w:basedOn w:val="1"/>
    <w:link w:val="150"/>
    <w:autoRedefine/>
    <w:qFormat/>
    <w:uiPriority w:val="0"/>
    <w:pPr>
      <w:spacing w:line="360" w:lineRule="auto"/>
      <w:ind w:firstLine="200" w:firstLineChars="200"/>
    </w:pPr>
    <w:rPr>
      <w:rFonts w:ascii="宋体" w:hAnsi="宋体"/>
      <w:sz w:val="24"/>
    </w:rPr>
  </w:style>
  <w:style w:type="character" w:customStyle="1" w:styleId="152">
    <w:name w:val="+正文 Char Char2 Char Char Char"/>
    <w:link w:val="153"/>
    <w:autoRedefine/>
    <w:qFormat/>
    <w:locked/>
    <w:uiPriority w:val="0"/>
    <w:rPr>
      <w:rFonts w:ascii="宋体" w:hAnsi="宋体"/>
      <w:sz w:val="24"/>
    </w:rPr>
  </w:style>
  <w:style w:type="paragraph" w:customStyle="1" w:styleId="153">
    <w:name w:val="+正文 Char Char2 Char"/>
    <w:basedOn w:val="1"/>
    <w:link w:val="152"/>
    <w:autoRedefine/>
    <w:qFormat/>
    <w:uiPriority w:val="0"/>
    <w:pPr>
      <w:spacing w:line="360" w:lineRule="auto"/>
      <w:ind w:firstLine="200" w:firstLineChars="200"/>
    </w:pPr>
    <w:rPr>
      <w:rFonts w:ascii="宋体" w:hAnsi="宋体"/>
      <w:sz w:val="24"/>
    </w:rPr>
  </w:style>
  <w:style w:type="character" w:customStyle="1" w:styleId="154">
    <w:name w:val="注释标题 Char1"/>
    <w:basedOn w:val="51"/>
    <w:autoRedefine/>
    <w:semiHidden/>
    <w:qFormat/>
    <w:uiPriority w:val="99"/>
  </w:style>
  <w:style w:type="character" w:customStyle="1" w:styleId="155">
    <w:name w:val="+正文 Char2 Char Char"/>
    <w:link w:val="156"/>
    <w:autoRedefine/>
    <w:qFormat/>
    <w:locked/>
    <w:uiPriority w:val="0"/>
    <w:rPr>
      <w:rFonts w:ascii="宋体" w:hAnsi="宋体"/>
      <w:sz w:val="24"/>
    </w:rPr>
  </w:style>
  <w:style w:type="paragraph" w:customStyle="1" w:styleId="156">
    <w:name w:val="+正文 Char2"/>
    <w:basedOn w:val="1"/>
    <w:link w:val="155"/>
    <w:autoRedefine/>
    <w:qFormat/>
    <w:uiPriority w:val="0"/>
    <w:pPr>
      <w:spacing w:line="360" w:lineRule="auto"/>
      <w:ind w:firstLine="200" w:firstLineChars="200"/>
    </w:pPr>
    <w:rPr>
      <w:rFonts w:ascii="宋体" w:hAnsi="宋体"/>
      <w:sz w:val="24"/>
    </w:rPr>
  </w:style>
  <w:style w:type="character" w:customStyle="1" w:styleId="157">
    <w:name w:val="称呼 Char1"/>
    <w:basedOn w:val="51"/>
    <w:autoRedefine/>
    <w:semiHidden/>
    <w:qFormat/>
    <w:uiPriority w:val="99"/>
  </w:style>
  <w:style w:type="paragraph" w:customStyle="1" w:styleId="158">
    <w:name w:val="标准次分项"/>
    <w:basedOn w:val="1"/>
    <w:autoRedefine/>
    <w:qFormat/>
    <w:uiPriority w:val="0"/>
    <w:pPr>
      <w:jc w:val="left"/>
    </w:pPr>
    <w:rPr>
      <w:rFonts w:ascii="宋体" w:hAnsi="宋体" w:eastAsia="宋体" w:cs="Times New Roman"/>
      <w:szCs w:val="21"/>
    </w:rPr>
  </w:style>
  <w:style w:type="paragraph" w:customStyle="1" w:styleId="159">
    <w:name w:val="xl34"/>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60">
    <w:name w:val="p17"/>
    <w:basedOn w:val="1"/>
    <w:autoRedefine/>
    <w:qFormat/>
    <w:uiPriority w:val="0"/>
    <w:pPr>
      <w:widowControl/>
    </w:pPr>
    <w:rPr>
      <w:rFonts w:ascii="Times New Roman" w:hAnsi="Times New Roman" w:eastAsia="宋体" w:cs="Times New Roman"/>
      <w:kern w:val="0"/>
      <w:szCs w:val="21"/>
    </w:rPr>
  </w:style>
  <w:style w:type="paragraph" w:customStyle="1" w:styleId="161">
    <w:name w:val="xl6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6"/>
      <w:szCs w:val="16"/>
    </w:rPr>
  </w:style>
  <w:style w:type="paragraph" w:customStyle="1" w:styleId="162">
    <w:name w:val="xl40"/>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163">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164">
    <w:name w:val="四号　首行缩进"/>
    <w:basedOn w:val="1"/>
    <w:autoRedefine/>
    <w:qFormat/>
    <w:uiPriority w:val="0"/>
    <w:pPr>
      <w:spacing w:line="360" w:lineRule="auto"/>
    </w:pPr>
    <w:rPr>
      <w:rFonts w:ascii="宋体" w:hAnsi="宋体" w:eastAsia="宋体" w:cs="Times New Roman"/>
      <w:bCs/>
      <w:szCs w:val="21"/>
    </w:rPr>
  </w:style>
  <w:style w:type="paragraph" w:customStyle="1" w:styleId="165">
    <w:name w:val="xl44"/>
    <w:basedOn w:val="1"/>
    <w:autoRedefine/>
    <w:qFormat/>
    <w:uiPriority w:val="0"/>
    <w:pPr>
      <w:widowControl/>
      <w:pBdr>
        <w:top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166">
    <w:name w:val="样式 正文文本缩进 + 段前: 2 字符"/>
    <w:basedOn w:val="1"/>
    <w:autoRedefine/>
    <w:qFormat/>
    <w:uiPriority w:val="0"/>
    <w:pPr>
      <w:ind w:left="420" w:leftChars="200"/>
      <w:jc w:val="left"/>
    </w:pPr>
    <w:rPr>
      <w:rFonts w:ascii="Times New Roman" w:hAnsi="Times New Roman" w:eastAsia="宋体" w:cs="Times New Roman"/>
      <w:sz w:val="28"/>
      <w:szCs w:val="24"/>
      <w:lang w:eastAsia="zh-TW"/>
    </w:rPr>
  </w:style>
  <w:style w:type="paragraph" w:customStyle="1" w:styleId="167">
    <w:name w:val="Char Char Char"/>
    <w:basedOn w:val="1"/>
    <w:autoRedefine/>
    <w:qFormat/>
    <w:uiPriority w:val="0"/>
    <w:rPr>
      <w:rFonts w:ascii="宋体" w:hAnsi="宋体" w:eastAsia="宋体" w:cs="Times New Roman"/>
      <w:szCs w:val="24"/>
    </w:rPr>
  </w:style>
  <w:style w:type="paragraph" w:customStyle="1" w:styleId="168">
    <w:name w:val="文档编号"/>
    <w:basedOn w:val="1"/>
    <w:next w:val="1"/>
    <w:autoRedefine/>
    <w:qFormat/>
    <w:uiPriority w:val="0"/>
    <w:pPr>
      <w:autoSpaceDE w:val="0"/>
      <w:autoSpaceDN w:val="0"/>
      <w:adjustRightInd w:val="0"/>
      <w:spacing w:before="120" w:line="360" w:lineRule="auto"/>
      <w:jc w:val="center"/>
      <w:textAlignment w:val="baseline"/>
    </w:pPr>
    <w:rPr>
      <w:rFonts w:ascii="宋体" w:hAnsi="Times New Roman" w:eastAsia="宋体" w:cs="Times New Roman"/>
      <w:color w:val="000000"/>
      <w:kern w:val="0"/>
      <w:sz w:val="24"/>
      <w:szCs w:val="20"/>
    </w:rPr>
  </w:style>
  <w:style w:type="paragraph" w:customStyle="1" w:styleId="169">
    <w:name w:val="Char2"/>
    <w:basedOn w:val="1"/>
    <w:autoRedefine/>
    <w:qFormat/>
    <w:uiPriority w:val="0"/>
    <w:pPr>
      <w:tabs>
        <w:tab w:val="left" w:pos="360"/>
      </w:tabs>
    </w:pPr>
    <w:rPr>
      <w:rFonts w:ascii="Times New Roman" w:hAnsi="Times New Roman" w:eastAsia="宋体" w:cs="Times New Roman"/>
      <w:sz w:val="24"/>
      <w:szCs w:val="24"/>
    </w:rPr>
  </w:style>
  <w:style w:type="paragraph" w:customStyle="1" w:styleId="170">
    <w:name w:val="xl7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71">
    <w:name w:val="彩色列表 - 着色 11"/>
    <w:basedOn w:val="1"/>
    <w:autoRedefine/>
    <w:qFormat/>
    <w:uiPriority w:val="34"/>
    <w:pPr>
      <w:autoSpaceDE w:val="0"/>
      <w:autoSpaceDN w:val="0"/>
      <w:adjustRightInd w:val="0"/>
      <w:ind w:firstLine="420" w:firstLineChars="200"/>
      <w:jc w:val="left"/>
      <w:textAlignment w:val="baseline"/>
    </w:pPr>
    <w:rPr>
      <w:rFonts w:ascii="宋体" w:hAnsi="Times New Roman" w:eastAsia="宋体" w:cs="Times New Roman"/>
      <w:kern w:val="0"/>
      <w:sz w:val="34"/>
      <w:szCs w:val="20"/>
    </w:rPr>
  </w:style>
  <w:style w:type="paragraph" w:customStyle="1" w:styleId="172">
    <w:name w:val="xl8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kern w:val="0"/>
      <w:sz w:val="16"/>
      <w:szCs w:val="16"/>
    </w:rPr>
  </w:style>
  <w:style w:type="paragraph" w:customStyle="1" w:styleId="173">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华文仿宋" w:hAnsi="华文仿宋" w:eastAsia="华文仿宋" w:cs="Arial Unicode MS"/>
      <w:b/>
      <w:bCs/>
      <w:kern w:val="0"/>
      <w:sz w:val="22"/>
    </w:rPr>
  </w:style>
  <w:style w:type="paragraph" w:customStyle="1" w:styleId="174">
    <w:name w:val="font6"/>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75">
    <w:name w:val="正文1"/>
    <w:autoRedefine/>
    <w:qFormat/>
    <w:uiPriority w:val="0"/>
    <w:pPr>
      <w:widowControl w:val="0"/>
      <w:adjustRightInd w:val="0"/>
      <w:spacing w:line="315" w:lineRule="atLeast"/>
      <w:jc w:val="both"/>
      <w:textAlignment w:val="baseline"/>
    </w:pPr>
    <w:rPr>
      <w:rFonts w:ascii="宋体" w:hAnsi="Times New Roman" w:eastAsia="宋体" w:cs="Times New Roman"/>
      <w:kern w:val="0"/>
      <w:sz w:val="24"/>
      <w:szCs w:val="20"/>
      <w:lang w:val="en-US" w:eastAsia="zh-CN" w:bidi="ar-SA"/>
    </w:rPr>
  </w:style>
  <w:style w:type="paragraph" w:customStyle="1" w:styleId="176">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b/>
      <w:bCs/>
      <w:kern w:val="0"/>
      <w:sz w:val="20"/>
      <w:szCs w:val="20"/>
    </w:rPr>
  </w:style>
  <w:style w:type="paragraph" w:customStyle="1" w:styleId="177">
    <w:name w:val="xl8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78">
    <w:name w:val="xl7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color w:val="000000"/>
      <w:kern w:val="0"/>
      <w:sz w:val="16"/>
      <w:szCs w:val="16"/>
    </w:rPr>
  </w:style>
  <w:style w:type="paragraph" w:customStyle="1" w:styleId="179">
    <w:name w:val="font9"/>
    <w:basedOn w:val="1"/>
    <w:autoRedefine/>
    <w:qFormat/>
    <w:uiPriority w:val="0"/>
    <w:pPr>
      <w:widowControl/>
      <w:spacing w:before="100" w:beforeAutospacing="1" w:after="100" w:afterAutospacing="1"/>
      <w:jc w:val="left"/>
    </w:pPr>
    <w:rPr>
      <w:rFonts w:ascii="Times New Roman" w:hAnsi="Times New Roman" w:eastAsia="宋体" w:cs="Times New Roman"/>
      <w:b/>
      <w:bCs/>
      <w:kern w:val="0"/>
      <w:sz w:val="16"/>
      <w:szCs w:val="16"/>
    </w:rPr>
  </w:style>
  <w:style w:type="paragraph" w:customStyle="1" w:styleId="180">
    <w:name w:val="xl8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6"/>
      <w:szCs w:val="16"/>
    </w:rPr>
  </w:style>
  <w:style w:type="paragraph" w:customStyle="1" w:styleId="181">
    <w:name w:val="Char"/>
    <w:basedOn w:val="1"/>
    <w:autoRedefine/>
    <w:qFormat/>
    <w:uiPriority w:val="0"/>
    <w:rPr>
      <w:rFonts w:ascii="Tahoma" w:hAnsi="Tahoma" w:eastAsia="宋体" w:cs="Times New Roman"/>
      <w:sz w:val="24"/>
      <w:szCs w:val="20"/>
    </w:rPr>
  </w:style>
  <w:style w:type="paragraph" w:customStyle="1" w:styleId="182">
    <w:name w:val="列出段落2"/>
    <w:basedOn w:val="1"/>
    <w:autoRedefine/>
    <w:qFormat/>
    <w:uiPriority w:val="34"/>
    <w:pPr>
      <w:ind w:firstLine="420" w:firstLineChars="200"/>
    </w:pPr>
    <w:rPr>
      <w:rFonts w:ascii="Calibri" w:hAnsi="Calibri" w:eastAsia="宋体" w:cs="Times New Roman"/>
    </w:rPr>
  </w:style>
  <w:style w:type="paragraph" w:customStyle="1" w:styleId="183">
    <w:name w:val="22"/>
    <w:basedOn w:val="1"/>
    <w:autoRedefine/>
    <w:qFormat/>
    <w:uiPriority w:val="0"/>
    <w:pPr>
      <w:widowControl/>
      <w:snapToGrid w:val="0"/>
      <w:spacing w:before="100" w:beforeAutospacing="1" w:after="100" w:afterAutospacing="1"/>
    </w:pPr>
    <w:rPr>
      <w:rFonts w:ascii="Times New Roman" w:hAnsi="Times New Roman" w:eastAsia="Arial Unicode MS" w:cs="Times New Roman"/>
      <w:kern w:val="0"/>
      <w:szCs w:val="21"/>
    </w:rPr>
  </w:style>
  <w:style w:type="paragraph" w:customStyle="1" w:styleId="184">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85">
    <w:name w:val="xl75"/>
    <w:basedOn w:val="1"/>
    <w:autoRedefine/>
    <w:qFormat/>
    <w:uiPriority w:val="0"/>
    <w:pPr>
      <w:widowControl/>
      <w:spacing w:before="100" w:beforeAutospacing="1" w:after="100" w:afterAutospacing="1"/>
      <w:jc w:val="center"/>
    </w:pPr>
    <w:rPr>
      <w:rFonts w:ascii="Arial" w:hAnsi="Arial" w:eastAsia="宋体" w:cs="Arial"/>
      <w:kern w:val="0"/>
      <w:sz w:val="16"/>
      <w:szCs w:val="16"/>
    </w:rPr>
  </w:style>
  <w:style w:type="paragraph" w:customStyle="1" w:styleId="186">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187">
    <w:name w:val="Char Char Char Char Char Char Char Char Char Char Char Char Char Char Char Char"/>
    <w:basedOn w:val="1"/>
    <w:autoRedefine/>
    <w:qFormat/>
    <w:uiPriority w:val="0"/>
    <w:pPr>
      <w:tabs>
        <w:tab w:val="left" w:pos="360"/>
      </w:tabs>
    </w:pPr>
    <w:rPr>
      <w:rFonts w:ascii="Times New Roman" w:hAnsi="Times New Roman" w:eastAsia="宋体" w:cs="Times New Roman"/>
      <w:sz w:val="24"/>
      <w:szCs w:val="24"/>
    </w:rPr>
  </w:style>
  <w:style w:type="paragraph" w:customStyle="1" w:styleId="188">
    <w:name w:val="font10"/>
    <w:basedOn w:val="1"/>
    <w:autoRedefine/>
    <w:qFormat/>
    <w:uiPriority w:val="0"/>
    <w:pPr>
      <w:widowControl/>
      <w:spacing w:before="100" w:beforeAutospacing="1" w:after="100" w:afterAutospacing="1"/>
      <w:jc w:val="left"/>
    </w:pPr>
    <w:rPr>
      <w:rFonts w:ascii="Times New Roman" w:hAnsi="Times New Roman" w:eastAsia="宋体" w:cs="Times New Roman"/>
      <w:kern w:val="0"/>
      <w:sz w:val="16"/>
      <w:szCs w:val="16"/>
    </w:rPr>
  </w:style>
  <w:style w:type="paragraph" w:customStyle="1" w:styleId="189">
    <w:name w:val="一般正文"/>
    <w:basedOn w:val="1"/>
    <w:autoRedefine/>
    <w:qFormat/>
    <w:uiPriority w:val="0"/>
    <w:pPr>
      <w:spacing w:line="360" w:lineRule="auto"/>
      <w:ind w:firstLine="480" w:firstLineChars="200"/>
    </w:pPr>
    <w:rPr>
      <w:rFonts w:ascii="Times New Roman" w:hAnsi="Times New Roman" w:eastAsia="宋体" w:cs="宋体"/>
      <w:sz w:val="24"/>
      <w:szCs w:val="20"/>
    </w:rPr>
  </w:style>
  <w:style w:type="paragraph" w:customStyle="1" w:styleId="190">
    <w:name w:val="p0"/>
    <w:basedOn w:val="1"/>
    <w:autoRedefine/>
    <w:qFormat/>
    <w:uiPriority w:val="0"/>
    <w:pPr>
      <w:widowControl/>
    </w:pPr>
    <w:rPr>
      <w:rFonts w:ascii="Times New Roman" w:hAnsi="Times New Roman" w:eastAsia="宋体" w:cs="Times New Roman"/>
      <w:kern w:val="0"/>
      <w:szCs w:val="21"/>
    </w:rPr>
  </w:style>
  <w:style w:type="paragraph" w:customStyle="1" w:styleId="191">
    <w:name w:val="xl6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192">
    <w:name w:val="列出段落1"/>
    <w:basedOn w:val="1"/>
    <w:autoRedefine/>
    <w:unhideWhenUsed/>
    <w:qFormat/>
    <w:uiPriority w:val="99"/>
    <w:pPr>
      <w:ind w:firstLine="420" w:firstLineChars="200"/>
    </w:pPr>
    <w:rPr>
      <w:rFonts w:ascii="Calibri" w:hAnsi="Calibri" w:eastAsia="宋体" w:cs="Times New Roman"/>
    </w:rPr>
  </w:style>
  <w:style w:type="paragraph" w:customStyle="1" w:styleId="193">
    <w:name w:val="文档正文"/>
    <w:basedOn w:val="1"/>
    <w:autoRedefine/>
    <w:qFormat/>
    <w:uiPriority w:val="0"/>
    <w:pPr>
      <w:spacing w:line="360" w:lineRule="auto"/>
    </w:pPr>
    <w:rPr>
      <w:rFonts w:ascii="宋体" w:hAnsi="宋体" w:eastAsia="宋体" w:cs="Arial"/>
      <w:b/>
      <w:bCs/>
      <w:szCs w:val="21"/>
    </w:rPr>
  </w:style>
  <w:style w:type="paragraph" w:customStyle="1" w:styleId="194">
    <w:name w:val="font1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195">
    <w:name w:val="xl50"/>
    <w:basedOn w:val="1"/>
    <w:autoRedefine/>
    <w:qFormat/>
    <w:uiPriority w:val="0"/>
    <w:pPr>
      <w:widowControl/>
      <w:pBdr>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96">
    <w:name w:val="点点"/>
    <w:basedOn w:val="1"/>
    <w:autoRedefine/>
    <w:qFormat/>
    <w:uiPriority w:val="0"/>
    <w:pPr>
      <w:tabs>
        <w:tab w:val="left" w:pos="360"/>
      </w:tabs>
      <w:spacing w:before="120" w:after="120" w:line="360" w:lineRule="auto"/>
      <w:ind w:firstLine="539"/>
    </w:pPr>
    <w:rPr>
      <w:rFonts w:ascii="Arial Narrow" w:hAnsi="Arial Narrow" w:eastAsia="楷体_GB2312" w:cs="Times New Roman"/>
      <w:sz w:val="24"/>
      <w:szCs w:val="20"/>
    </w:rPr>
  </w:style>
  <w:style w:type="paragraph" w:customStyle="1" w:styleId="197">
    <w:name w:val="0"/>
    <w:basedOn w:val="1"/>
    <w:autoRedefine/>
    <w:qFormat/>
    <w:uiPriority w:val="0"/>
    <w:pPr>
      <w:widowControl/>
      <w:snapToGrid w:val="0"/>
    </w:pPr>
    <w:rPr>
      <w:rFonts w:ascii="Times New Roman" w:hAnsi="Times New Roman" w:eastAsia="Arial Unicode MS" w:cs="Times New Roman"/>
      <w:kern w:val="0"/>
      <w:szCs w:val="21"/>
    </w:rPr>
  </w:style>
  <w:style w:type="paragraph" w:customStyle="1" w:styleId="198">
    <w:name w:val="17"/>
    <w:basedOn w:val="1"/>
    <w:qFormat/>
    <w:uiPriority w:val="0"/>
    <w:pPr>
      <w:widowControl/>
      <w:snapToGrid w:val="0"/>
      <w:spacing w:before="100" w:beforeAutospacing="1" w:after="100" w:afterAutospacing="1"/>
      <w:jc w:val="left"/>
    </w:pPr>
    <w:rPr>
      <w:rFonts w:ascii="Times New Roman" w:hAnsi="Times New Roman" w:eastAsia="Arial Unicode MS" w:cs="Times New Roman"/>
      <w:kern w:val="0"/>
      <w:sz w:val="18"/>
      <w:szCs w:val="18"/>
    </w:rPr>
  </w:style>
  <w:style w:type="paragraph" w:customStyle="1" w:styleId="199">
    <w:name w:val="列出段落111"/>
    <w:basedOn w:val="1"/>
    <w:qFormat/>
    <w:uiPriority w:val="34"/>
    <w:pPr>
      <w:ind w:firstLine="420" w:firstLineChars="200"/>
    </w:pPr>
    <w:rPr>
      <w:rFonts w:ascii="Calibri" w:hAnsi="Calibri" w:eastAsia="宋体" w:cs="Times New Roman"/>
    </w:rPr>
  </w:style>
  <w:style w:type="paragraph" w:customStyle="1" w:styleId="200">
    <w:name w:val="Char1"/>
    <w:basedOn w:val="1"/>
    <w:autoRedefine/>
    <w:semiHidden/>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01">
    <w:name w:val="Char Char Char Char Char Char Char Char Char Char"/>
    <w:basedOn w:val="1"/>
    <w:autoRedefine/>
    <w:qFormat/>
    <w:uiPriority w:val="0"/>
    <w:pPr>
      <w:adjustRightInd w:val="0"/>
      <w:spacing w:line="360" w:lineRule="auto"/>
    </w:pPr>
    <w:rPr>
      <w:rFonts w:ascii="Times New Roman" w:hAnsi="Times New Roman" w:eastAsia="宋体" w:cs="Times New Roman"/>
      <w:kern w:val="0"/>
      <w:sz w:val="24"/>
      <w:szCs w:val="20"/>
    </w:rPr>
  </w:style>
  <w:style w:type="paragraph" w:customStyle="1" w:styleId="202">
    <w:name w:val="font11"/>
    <w:basedOn w:val="1"/>
    <w:autoRedefine/>
    <w:qFormat/>
    <w:uiPriority w:val="0"/>
    <w:pPr>
      <w:widowControl/>
      <w:spacing w:before="100" w:beforeAutospacing="1" w:after="100" w:afterAutospacing="1"/>
      <w:jc w:val="left"/>
    </w:pPr>
    <w:rPr>
      <w:rFonts w:ascii="Arial" w:hAnsi="Arial" w:eastAsia="宋体" w:cs="Arial"/>
      <w:kern w:val="0"/>
      <w:sz w:val="16"/>
      <w:szCs w:val="16"/>
    </w:rPr>
  </w:style>
  <w:style w:type="paragraph" w:customStyle="1" w:styleId="203">
    <w:name w:val="xl49"/>
    <w:basedOn w:val="1"/>
    <w:autoRedefine/>
    <w:qFormat/>
    <w:uiPriority w:val="0"/>
    <w:pPr>
      <w:widowControl/>
      <w:pBdr>
        <w:left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04">
    <w:name w:val="xl8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6"/>
      <w:szCs w:val="16"/>
    </w:rPr>
  </w:style>
  <w:style w:type="paragraph" w:customStyle="1" w:styleId="205">
    <w:name w:val="xl38"/>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06">
    <w:name w:val="xl45"/>
    <w:basedOn w:val="1"/>
    <w:qFormat/>
    <w:uiPriority w:val="0"/>
    <w:pPr>
      <w:widowControl/>
      <w:pBdr>
        <w:top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07">
    <w:name w:val="TOC 标题1"/>
    <w:basedOn w:val="2"/>
    <w:next w:val="1"/>
    <w:autoRedefine/>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208">
    <w:name w:val="Char11"/>
    <w:basedOn w:val="1"/>
    <w:autoRedefine/>
    <w:qFormat/>
    <w:uiPriority w:val="0"/>
    <w:pPr>
      <w:tabs>
        <w:tab w:val="left" w:pos="360"/>
      </w:tabs>
    </w:pPr>
    <w:rPr>
      <w:rFonts w:ascii="Times New Roman" w:hAnsi="Times New Roman" w:eastAsia="宋体" w:cs="Times New Roman"/>
      <w:sz w:val="24"/>
      <w:szCs w:val="24"/>
    </w:rPr>
  </w:style>
  <w:style w:type="paragraph" w:customStyle="1" w:styleId="209">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b/>
      <w:bCs/>
      <w:kern w:val="0"/>
      <w:sz w:val="16"/>
      <w:szCs w:val="16"/>
    </w:rPr>
  </w:style>
  <w:style w:type="paragraph" w:customStyle="1" w:styleId="210">
    <w:name w:val="全文标题"/>
    <w:next w:val="1"/>
    <w:autoRedefine/>
    <w:qFormat/>
    <w:uiPriority w:val="0"/>
    <w:pPr>
      <w:jc w:val="center"/>
    </w:pPr>
    <w:rPr>
      <w:rFonts w:ascii="Arial" w:hAnsi="Arial" w:eastAsia="黑体" w:cs="Arial"/>
      <w:bCs/>
      <w:kern w:val="2"/>
      <w:sz w:val="52"/>
      <w:szCs w:val="32"/>
      <w:lang w:val="en-US" w:eastAsia="zh-CN" w:bidi="ar-SA"/>
    </w:rPr>
  </w:style>
  <w:style w:type="paragraph" w:customStyle="1" w:styleId="211">
    <w:name w:val="p18"/>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12">
    <w:name w:val="xl58"/>
    <w:basedOn w:val="1"/>
    <w:autoRedefine/>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13">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cs="Arial"/>
      <w:b/>
      <w:bCs/>
      <w:kern w:val="0"/>
      <w:sz w:val="16"/>
      <w:szCs w:val="16"/>
    </w:rPr>
  </w:style>
  <w:style w:type="paragraph" w:customStyle="1" w:styleId="214">
    <w:name w:val="正文文本缩进 21"/>
    <w:basedOn w:val="1"/>
    <w:autoRedefine/>
    <w:qFormat/>
    <w:uiPriority w:val="0"/>
    <w:pPr>
      <w:autoSpaceDE w:val="0"/>
      <w:autoSpaceDN w:val="0"/>
      <w:adjustRightInd w:val="0"/>
      <w:ind w:firstLine="540"/>
      <w:textAlignment w:val="baseline"/>
    </w:pPr>
    <w:rPr>
      <w:rFonts w:ascii="Times New Roman" w:hAnsi="Times New Roman" w:eastAsia="宋体" w:cs="Times New Roman"/>
      <w:sz w:val="24"/>
      <w:szCs w:val="20"/>
    </w:rPr>
  </w:style>
  <w:style w:type="paragraph" w:customStyle="1" w:styleId="215">
    <w:name w:val="xl37"/>
    <w:basedOn w:val="1"/>
    <w:autoRedefine/>
    <w:qFormat/>
    <w:uiPriority w:val="0"/>
    <w:pPr>
      <w:widowControl/>
      <w:pBdr>
        <w:top w:val="single" w:color="auto" w:sz="4" w:space="0"/>
        <w:bottom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16">
    <w:name w:val="列出段落12"/>
    <w:basedOn w:val="1"/>
    <w:autoRedefine/>
    <w:qFormat/>
    <w:uiPriority w:val="34"/>
    <w:pPr>
      <w:widowControl/>
      <w:adjustRightInd w:val="0"/>
      <w:spacing w:line="360" w:lineRule="auto"/>
      <w:ind w:firstLine="420" w:firstLineChars="200"/>
      <w:jc w:val="left"/>
    </w:pPr>
    <w:rPr>
      <w:rFonts w:ascii="Arial" w:hAnsi="Arial" w:eastAsia="宋体" w:cs="Times New Roman"/>
      <w:kern w:val="0"/>
      <w:szCs w:val="24"/>
      <w:lang w:eastAsia="en-US"/>
    </w:rPr>
  </w:style>
  <w:style w:type="paragraph" w:customStyle="1" w:styleId="217">
    <w:name w:val="xl6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6"/>
      <w:szCs w:val="16"/>
    </w:rPr>
  </w:style>
  <w:style w:type="paragraph" w:customStyle="1" w:styleId="218">
    <w:name w:val="Char1 Char Char Char Char Char Char Char Char Char"/>
    <w:basedOn w:val="1"/>
    <w:autoRedefine/>
    <w:qFormat/>
    <w:uiPriority w:val="0"/>
    <w:rPr>
      <w:rFonts w:ascii="Tahoma" w:hAnsi="Tahoma" w:eastAsia="宋体" w:cs="Times New Roman"/>
      <w:sz w:val="24"/>
      <w:szCs w:val="20"/>
    </w:rPr>
  </w:style>
  <w:style w:type="paragraph" w:customStyle="1" w:styleId="219">
    <w:name w:val="flType"/>
    <w:basedOn w:val="1"/>
    <w:autoRedefine/>
    <w:qFormat/>
    <w:uiPriority w:val="0"/>
    <w:pPr>
      <w:adjustRightInd w:val="0"/>
      <w:spacing w:after="284" w:line="113" w:lineRule="atLeast"/>
      <w:jc w:val="center"/>
      <w:textAlignment w:val="baseline"/>
    </w:pPr>
    <w:rPr>
      <w:rFonts w:ascii="Times New Roman" w:hAnsi="Times New Roman" w:eastAsia="宋体" w:cs="Times New Roman"/>
      <w:kern w:val="0"/>
      <w:sz w:val="24"/>
      <w:szCs w:val="20"/>
    </w:rPr>
  </w:style>
  <w:style w:type="paragraph" w:customStyle="1" w:styleId="220">
    <w:name w:val="Char4"/>
    <w:basedOn w:val="1"/>
    <w:autoRedefine/>
    <w:qFormat/>
    <w:uiPriority w:val="0"/>
    <w:rPr>
      <w:rFonts w:ascii="Tahoma" w:hAnsi="Tahoma" w:eastAsia="宋体" w:cs="Times New Roman"/>
      <w:sz w:val="24"/>
      <w:szCs w:val="20"/>
    </w:rPr>
  </w:style>
  <w:style w:type="paragraph" w:customStyle="1" w:styleId="221">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22">
    <w:name w:val="font16"/>
    <w:basedOn w:val="1"/>
    <w:qFormat/>
    <w:uiPriority w:val="0"/>
    <w:pPr>
      <w:widowControl/>
      <w:spacing w:before="100" w:beforeAutospacing="1" w:after="100" w:afterAutospacing="1"/>
      <w:jc w:val="left"/>
    </w:pPr>
    <w:rPr>
      <w:rFonts w:ascii="宋体" w:hAnsi="宋体" w:eastAsia="宋体" w:cs="宋体"/>
      <w:kern w:val="0"/>
      <w:sz w:val="16"/>
      <w:szCs w:val="16"/>
    </w:rPr>
  </w:style>
  <w:style w:type="paragraph" w:customStyle="1" w:styleId="223">
    <w:name w:val="xl7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0"/>
    </w:rPr>
  </w:style>
  <w:style w:type="paragraph" w:customStyle="1" w:styleId="224">
    <w:name w:val="正文段"/>
    <w:basedOn w:val="1"/>
    <w:autoRedefine/>
    <w:qFormat/>
    <w:uiPriority w:val="0"/>
    <w:pPr>
      <w:autoSpaceDE w:val="0"/>
      <w:autoSpaceDN w:val="0"/>
      <w:adjustRightInd w:val="0"/>
      <w:spacing w:after="240" w:line="360" w:lineRule="atLeast"/>
      <w:ind w:firstLine="454"/>
      <w:textAlignment w:val="baseline"/>
    </w:pPr>
    <w:rPr>
      <w:rFonts w:ascii="宋体" w:hAnsi="Tms Rmn" w:eastAsia="宋体" w:cs="Times New Roman"/>
      <w:kern w:val="0"/>
      <w:sz w:val="24"/>
      <w:szCs w:val="20"/>
    </w:rPr>
  </w:style>
  <w:style w:type="paragraph" w:customStyle="1" w:styleId="225">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26">
    <w:name w:val="23"/>
    <w:basedOn w:val="1"/>
    <w:autoRedefine/>
    <w:qFormat/>
    <w:uiPriority w:val="0"/>
    <w:pPr>
      <w:widowControl/>
      <w:snapToGrid w:val="0"/>
      <w:spacing w:before="100" w:beforeAutospacing="1" w:after="100" w:afterAutospacing="1"/>
      <w:ind w:left="840"/>
    </w:pPr>
    <w:rPr>
      <w:rFonts w:ascii="Times New Roman" w:hAnsi="Times New Roman" w:eastAsia="Arial Unicode MS" w:cs="Times New Roman"/>
      <w:kern w:val="0"/>
      <w:szCs w:val="21"/>
    </w:rPr>
  </w:style>
  <w:style w:type="paragraph" w:customStyle="1" w:styleId="227">
    <w:name w:val="xl2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华文仿宋" w:hAnsi="华文仿宋" w:eastAsia="华文仿宋" w:cs="Arial Unicode MS"/>
      <w:b/>
      <w:bCs/>
      <w:kern w:val="0"/>
      <w:sz w:val="22"/>
    </w:rPr>
  </w:style>
  <w:style w:type="paragraph" w:customStyle="1" w:styleId="228">
    <w:name w:val="普通(网站)1"/>
    <w:basedOn w:val="1"/>
    <w:autoRedefine/>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paragraph" w:customStyle="1" w:styleId="229">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cs="Arial"/>
      <w:kern w:val="0"/>
      <w:sz w:val="16"/>
      <w:szCs w:val="16"/>
    </w:rPr>
  </w:style>
  <w:style w:type="paragraph" w:customStyle="1" w:styleId="230">
    <w:name w:val="font12"/>
    <w:basedOn w:val="1"/>
    <w:autoRedefine/>
    <w:qFormat/>
    <w:uiPriority w:val="0"/>
    <w:pPr>
      <w:widowControl/>
      <w:spacing w:before="100" w:beforeAutospacing="1" w:after="100" w:afterAutospacing="1"/>
      <w:jc w:val="left"/>
    </w:pPr>
    <w:rPr>
      <w:rFonts w:ascii="宋体" w:hAnsi="宋体" w:eastAsia="宋体" w:cs="宋体"/>
      <w:color w:val="000000"/>
      <w:kern w:val="0"/>
      <w:sz w:val="16"/>
      <w:szCs w:val="16"/>
    </w:rPr>
  </w:style>
  <w:style w:type="paragraph" w:customStyle="1" w:styleId="231">
    <w:name w:val="9c"/>
    <w:basedOn w:val="1"/>
    <w:autoRedefine/>
    <w:qFormat/>
    <w:uiPriority w:val="0"/>
    <w:pPr>
      <w:widowControl/>
      <w:spacing w:before="240" w:afterLines="50" w:line="360" w:lineRule="auto"/>
      <w:ind w:left="119"/>
      <w:jc w:val="left"/>
    </w:pPr>
    <w:rPr>
      <w:rFonts w:ascii="Arial" w:hAnsi="Arial" w:eastAsia="宋体" w:cs="Arial"/>
      <w:b/>
      <w:bCs/>
      <w:color w:val="99CCCC"/>
      <w:kern w:val="0"/>
      <w:sz w:val="24"/>
      <w:szCs w:val="24"/>
    </w:rPr>
  </w:style>
  <w:style w:type="paragraph" w:customStyle="1" w:styleId="232">
    <w:name w:val="xl31"/>
    <w:basedOn w:val="1"/>
    <w:qFormat/>
    <w:uiPriority w:val="0"/>
    <w:pPr>
      <w:widowControl/>
      <w:pBdr>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33">
    <w:name w:val="18"/>
    <w:basedOn w:val="1"/>
    <w:autoRedefine/>
    <w:qFormat/>
    <w:uiPriority w:val="0"/>
    <w:pPr>
      <w:widowControl/>
      <w:pBdr>
        <w:bottom w:val="single" w:color="000000" w:sz="6" w:space="1"/>
      </w:pBdr>
      <w:snapToGrid w:val="0"/>
      <w:spacing w:before="100" w:beforeAutospacing="1" w:after="100" w:afterAutospacing="1"/>
      <w:jc w:val="center"/>
    </w:pPr>
    <w:rPr>
      <w:rFonts w:ascii="Times New Roman" w:hAnsi="Times New Roman" w:eastAsia="Arial Unicode MS" w:cs="Times New Roman"/>
      <w:kern w:val="0"/>
      <w:sz w:val="18"/>
      <w:szCs w:val="18"/>
    </w:rPr>
  </w:style>
  <w:style w:type="paragraph" w:customStyle="1" w:styleId="234">
    <w:name w:val="font5"/>
    <w:basedOn w:val="1"/>
    <w:autoRedefine/>
    <w:qFormat/>
    <w:uiPriority w:val="0"/>
    <w:pPr>
      <w:widowControl/>
      <w:spacing w:before="100" w:beforeAutospacing="1" w:after="100" w:afterAutospacing="1"/>
      <w:jc w:val="left"/>
    </w:pPr>
    <w:rPr>
      <w:rFonts w:hint="eastAsia" w:ascii="宋体" w:hAnsi="宋体" w:eastAsia="宋体" w:cs="Arial Unicode MS"/>
      <w:kern w:val="0"/>
      <w:sz w:val="18"/>
      <w:szCs w:val="18"/>
    </w:rPr>
  </w:style>
  <w:style w:type="paragraph" w:customStyle="1" w:styleId="235">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6"/>
      <w:szCs w:val="16"/>
    </w:rPr>
  </w:style>
  <w:style w:type="paragraph" w:customStyle="1" w:styleId="236">
    <w:name w:val="xl53"/>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37">
    <w:name w:val="附录标题1"/>
    <w:basedOn w:val="2"/>
    <w:next w:val="1"/>
    <w:qFormat/>
    <w:uiPriority w:val="0"/>
    <w:pPr>
      <w:pageBreakBefore/>
      <w:pBdr>
        <w:bottom w:val="single" w:color="C0C0C0" w:sz="18" w:space="1"/>
      </w:pBdr>
      <w:tabs>
        <w:tab w:val="left" w:pos="360"/>
      </w:tabs>
      <w:adjustRightInd w:val="0"/>
      <w:snapToGrid w:val="0"/>
      <w:ind w:left="576" w:right="42" w:rightChars="20" w:hanging="576"/>
    </w:pPr>
    <w:rPr>
      <w:rFonts w:ascii="宋体" w:hAnsi="Garamond" w:eastAsia="黑体"/>
      <w:color w:val="000000"/>
      <w:sz w:val="40"/>
      <w:szCs w:val="24"/>
    </w:rPr>
  </w:style>
  <w:style w:type="paragraph" w:customStyle="1" w:styleId="238">
    <w:name w:val="19"/>
    <w:basedOn w:val="1"/>
    <w:autoRedefine/>
    <w:qFormat/>
    <w:uiPriority w:val="0"/>
    <w:pPr>
      <w:widowControl/>
      <w:snapToGrid w:val="0"/>
      <w:spacing w:before="100" w:beforeAutospacing="1" w:after="100" w:afterAutospacing="1" w:line="360" w:lineRule="auto"/>
    </w:pPr>
    <w:rPr>
      <w:rFonts w:ascii="Times New Roman" w:hAnsi="Times New Roman" w:eastAsia="Arial Unicode MS" w:cs="Times New Roman"/>
      <w:kern w:val="0"/>
      <w:sz w:val="24"/>
      <w:szCs w:val="24"/>
    </w:rPr>
  </w:style>
  <w:style w:type="paragraph" w:customStyle="1" w:styleId="239">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40">
    <w:name w:val="xl2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41">
    <w:name w:val="xl41"/>
    <w:basedOn w:val="1"/>
    <w:autoRedefine/>
    <w:qFormat/>
    <w:uiPriority w:val="0"/>
    <w:pPr>
      <w:widowControl/>
      <w:pBdr>
        <w:top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42">
    <w:name w:val="xl7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cs="Arial"/>
      <w:kern w:val="0"/>
      <w:sz w:val="16"/>
      <w:szCs w:val="16"/>
    </w:rPr>
  </w:style>
  <w:style w:type="paragraph" w:customStyle="1" w:styleId="243">
    <w:name w:val="font1"/>
    <w:basedOn w:val="1"/>
    <w:autoRedefine/>
    <w:qFormat/>
    <w:uiPriority w:val="0"/>
    <w:pPr>
      <w:widowControl/>
      <w:spacing w:before="100" w:beforeAutospacing="1" w:after="100" w:afterAutospacing="1"/>
      <w:jc w:val="left"/>
    </w:pPr>
    <w:rPr>
      <w:rFonts w:hint="eastAsia" w:ascii="宋体" w:hAnsi="宋体" w:eastAsia="宋体" w:cs="Times New Roman"/>
      <w:kern w:val="0"/>
      <w:sz w:val="24"/>
      <w:szCs w:val="24"/>
    </w:rPr>
  </w:style>
  <w:style w:type="paragraph" w:customStyle="1" w:styleId="244">
    <w:name w:val="font8"/>
    <w:basedOn w:val="1"/>
    <w:autoRedefine/>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245">
    <w:name w:val="font13"/>
    <w:basedOn w:val="1"/>
    <w:autoRedefine/>
    <w:qFormat/>
    <w:uiPriority w:val="0"/>
    <w:pPr>
      <w:widowControl/>
      <w:spacing w:before="100" w:beforeAutospacing="1" w:after="100" w:afterAutospacing="1"/>
      <w:jc w:val="left"/>
    </w:pPr>
    <w:rPr>
      <w:rFonts w:ascii="BatangChe" w:hAnsi="BatangChe" w:eastAsia="BatangChe" w:cs="宋体"/>
      <w:kern w:val="0"/>
      <w:sz w:val="16"/>
      <w:szCs w:val="16"/>
    </w:rPr>
  </w:style>
  <w:style w:type="paragraph" w:customStyle="1" w:styleId="246">
    <w:name w:val="font7"/>
    <w:basedOn w:val="1"/>
    <w:autoRedefine/>
    <w:qFormat/>
    <w:uiPriority w:val="0"/>
    <w:pPr>
      <w:widowControl/>
      <w:spacing w:before="100" w:beforeAutospacing="1" w:after="100" w:afterAutospacing="1"/>
      <w:jc w:val="left"/>
    </w:pPr>
    <w:rPr>
      <w:rFonts w:ascii="宋体" w:hAnsi="宋体" w:eastAsia="宋体" w:cs="宋体"/>
      <w:kern w:val="0"/>
      <w:sz w:val="16"/>
      <w:szCs w:val="16"/>
    </w:rPr>
  </w:style>
  <w:style w:type="paragraph" w:customStyle="1" w:styleId="247">
    <w:name w:val="缩进正文"/>
    <w:basedOn w:val="1"/>
    <w:qFormat/>
    <w:uiPriority w:val="0"/>
    <w:pPr>
      <w:spacing w:beforeLines="25" w:afterLines="25" w:line="360" w:lineRule="auto"/>
      <w:ind w:firstLine="480" w:firstLineChars="200"/>
    </w:pPr>
    <w:rPr>
      <w:rFonts w:ascii="Times New Roman" w:hAnsi="Times New Roman" w:eastAsia="宋体" w:cs="Times New Roman"/>
      <w:sz w:val="24"/>
      <w:szCs w:val="21"/>
    </w:rPr>
  </w:style>
  <w:style w:type="paragraph" w:customStyle="1" w:styleId="248">
    <w:name w:val="文字列表"/>
    <w:basedOn w:val="48"/>
    <w:qFormat/>
    <w:uiPriority w:val="0"/>
  </w:style>
  <w:style w:type="paragraph" w:customStyle="1" w:styleId="249">
    <w:name w:val="图例编号"/>
    <w:basedOn w:val="48"/>
    <w:next w:val="48"/>
    <w:autoRedefine/>
    <w:qFormat/>
    <w:uiPriority w:val="0"/>
  </w:style>
  <w:style w:type="paragraph" w:customStyle="1" w:styleId="250">
    <w:name w:val="font14"/>
    <w:basedOn w:val="1"/>
    <w:qFormat/>
    <w:uiPriority w:val="0"/>
    <w:pPr>
      <w:widowControl/>
      <w:spacing w:before="100" w:beforeAutospacing="1" w:after="100" w:afterAutospacing="1"/>
      <w:jc w:val="left"/>
    </w:pPr>
    <w:rPr>
      <w:rFonts w:ascii="Arial" w:hAnsi="Arial" w:eastAsia="宋体" w:cs="Arial"/>
      <w:color w:val="000000"/>
      <w:kern w:val="0"/>
      <w:sz w:val="16"/>
      <w:szCs w:val="16"/>
    </w:rPr>
  </w:style>
  <w:style w:type="paragraph" w:customStyle="1" w:styleId="251">
    <w:name w:val="xl48"/>
    <w:basedOn w:val="1"/>
    <w:autoRedefine/>
    <w:qFormat/>
    <w:uiPriority w:val="0"/>
    <w:pPr>
      <w:widowControl/>
      <w:pBdr>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52">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53">
    <w:name w:val="xl54"/>
    <w:basedOn w:val="1"/>
    <w:autoRedefine/>
    <w:qFormat/>
    <w:uiPriority w:val="0"/>
    <w:pPr>
      <w:widowControl/>
      <w:pBdr>
        <w:top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254">
    <w:name w:val="21"/>
    <w:basedOn w:val="1"/>
    <w:autoRedefine/>
    <w:qFormat/>
    <w:uiPriority w:val="0"/>
    <w:pPr>
      <w:widowControl/>
      <w:snapToGrid w:val="0"/>
      <w:spacing w:before="100" w:beforeAutospacing="1" w:after="100" w:afterAutospacing="1"/>
    </w:pPr>
    <w:rPr>
      <w:rFonts w:ascii="Times New Roman" w:hAnsi="Times New Roman" w:eastAsia="Arial Unicode MS" w:cs="Times New Roman"/>
      <w:kern w:val="0"/>
      <w:szCs w:val="21"/>
    </w:rPr>
  </w:style>
  <w:style w:type="paragraph" w:customStyle="1" w:styleId="255">
    <w:name w:val="xl4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2"/>
    </w:rPr>
  </w:style>
  <w:style w:type="paragraph" w:customStyle="1" w:styleId="256">
    <w:name w:val="xl82"/>
    <w:basedOn w:val="1"/>
    <w:qFormat/>
    <w:uiPriority w:val="0"/>
    <w:pPr>
      <w:widowControl/>
      <w:spacing w:before="100" w:beforeAutospacing="1" w:after="100" w:afterAutospacing="1"/>
      <w:jc w:val="left"/>
    </w:pPr>
    <w:rPr>
      <w:rFonts w:ascii="Arial" w:hAnsi="Arial" w:eastAsia="宋体" w:cs="Arial"/>
      <w:kern w:val="0"/>
      <w:sz w:val="16"/>
      <w:szCs w:val="16"/>
    </w:rPr>
  </w:style>
  <w:style w:type="paragraph" w:customStyle="1" w:styleId="257">
    <w:name w:val="xl39"/>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b/>
      <w:bCs/>
      <w:kern w:val="0"/>
      <w:sz w:val="20"/>
      <w:szCs w:val="20"/>
    </w:rPr>
  </w:style>
  <w:style w:type="paragraph" w:customStyle="1" w:styleId="258">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16"/>
      <w:szCs w:val="16"/>
    </w:rPr>
  </w:style>
  <w:style w:type="paragraph" w:customStyle="1" w:styleId="259">
    <w:name w:val="xl36"/>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kern w:val="0"/>
      <w:sz w:val="22"/>
    </w:rPr>
  </w:style>
  <w:style w:type="paragraph" w:customStyle="1" w:styleId="260">
    <w:name w:val="TOC 标题11"/>
    <w:basedOn w:val="2"/>
    <w:next w:val="1"/>
    <w:autoRedefine/>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261">
    <w:name w:val="xl56"/>
    <w:basedOn w:val="1"/>
    <w:autoRedefine/>
    <w:qFormat/>
    <w:uiPriority w:val="0"/>
    <w:pPr>
      <w:widowControl/>
      <w:pBdr>
        <w:bottom w:val="single" w:color="auto" w:sz="4" w:space="0"/>
      </w:pBdr>
      <w:spacing w:before="100" w:beforeAutospacing="1" w:after="100" w:afterAutospacing="1"/>
      <w:jc w:val="center"/>
    </w:pPr>
    <w:rPr>
      <w:rFonts w:hint="eastAsia" w:ascii="华文仿宋" w:hAnsi="华文仿宋" w:eastAsia="华文仿宋" w:cs="Arial Unicode MS"/>
      <w:b/>
      <w:bCs/>
      <w:kern w:val="0"/>
      <w:sz w:val="32"/>
      <w:szCs w:val="32"/>
    </w:rPr>
  </w:style>
  <w:style w:type="paragraph" w:customStyle="1" w:styleId="262">
    <w:name w:val="1"/>
    <w:basedOn w:val="1"/>
    <w:autoRedefine/>
    <w:qFormat/>
    <w:uiPriority w:val="0"/>
    <w:pPr>
      <w:spacing w:afterLines="50" w:line="360" w:lineRule="auto"/>
    </w:pPr>
    <w:rPr>
      <w:rFonts w:ascii="仿宋_GB2312" w:hAnsi="宋体" w:eastAsia="仿宋_GB2312" w:cs="Times New Roman"/>
      <w:sz w:val="24"/>
      <w:szCs w:val="24"/>
    </w:rPr>
  </w:style>
  <w:style w:type="paragraph" w:customStyle="1" w:styleId="263">
    <w:name w:val="p15"/>
    <w:basedOn w:val="1"/>
    <w:autoRedefine/>
    <w:qFormat/>
    <w:uiPriority w:val="0"/>
    <w:pPr>
      <w:widowControl/>
      <w:ind w:firstLine="420"/>
    </w:pPr>
    <w:rPr>
      <w:rFonts w:ascii="Calibri" w:hAnsi="Calibri" w:eastAsia="宋体" w:cs="宋体"/>
      <w:kern w:val="0"/>
      <w:szCs w:val="21"/>
    </w:rPr>
  </w:style>
  <w:style w:type="paragraph" w:customStyle="1" w:styleId="264">
    <w:name w:val="xl4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265">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w:hAnsi="Arial" w:eastAsia="宋体" w:cs="Arial"/>
      <w:kern w:val="0"/>
      <w:sz w:val="16"/>
      <w:szCs w:val="16"/>
    </w:rPr>
  </w:style>
  <w:style w:type="paragraph" w:customStyle="1" w:styleId="266">
    <w:name w:val="列出段落11"/>
    <w:basedOn w:val="1"/>
    <w:qFormat/>
    <w:uiPriority w:val="34"/>
    <w:pPr>
      <w:widowControl/>
      <w:adjustRightInd w:val="0"/>
      <w:spacing w:line="360" w:lineRule="auto"/>
      <w:ind w:firstLine="420" w:firstLineChars="200"/>
      <w:jc w:val="left"/>
    </w:pPr>
    <w:rPr>
      <w:rFonts w:ascii="Arial" w:hAnsi="Arial" w:eastAsia="宋体" w:cs="Times New Roman"/>
      <w:kern w:val="0"/>
      <w:szCs w:val="24"/>
      <w:lang w:eastAsia="en-US"/>
    </w:rPr>
  </w:style>
  <w:style w:type="paragraph" w:customStyle="1" w:styleId="267">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color w:val="FF0000"/>
      <w:kern w:val="0"/>
      <w:sz w:val="20"/>
      <w:szCs w:val="20"/>
    </w:rPr>
  </w:style>
  <w:style w:type="paragraph" w:customStyle="1" w:styleId="268">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6"/>
      <w:szCs w:val="16"/>
    </w:rPr>
  </w:style>
  <w:style w:type="paragraph" w:customStyle="1" w:styleId="269">
    <w:name w:val="xl80"/>
    <w:basedOn w:val="1"/>
    <w:autoRedefine/>
    <w:qFormat/>
    <w:uiPriority w:val="0"/>
    <w:pPr>
      <w:widowControl/>
      <w:spacing w:before="100" w:beforeAutospacing="1" w:after="100" w:afterAutospacing="1"/>
      <w:jc w:val="left"/>
    </w:pPr>
    <w:rPr>
      <w:rFonts w:ascii="Arial" w:hAnsi="Arial" w:eastAsia="宋体" w:cs="Arial"/>
      <w:kern w:val="0"/>
      <w:sz w:val="16"/>
      <w:szCs w:val="16"/>
    </w:rPr>
  </w:style>
  <w:style w:type="paragraph" w:customStyle="1" w:styleId="270">
    <w:name w:val="Style4"/>
    <w:basedOn w:val="5"/>
    <w:autoRedefine/>
    <w:qFormat/>
    <w:uiPriority w:val="0"/>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line="240" w:lineRule="auto"/>
      <w:jc w:val="left"/>
      <w:outlineLvl w:val="9"/>
    </w:pPr>
    <w:rPr>
      <w:rFonts w:ascii="Times New Roman" w:hAnsi="Times New Roman" w:eastAsia="宋体"/>
      <w:b w:val="0"/>
      <w:bCs w:val="0"/>
      <w:kern w:val="0"/>
      <w:szCs w:val="20"/>
      <w:lang w:val="fr-FR" w:eastAsia="en-US"/>
    </w:rPr>
  </w:style>
  <w:style w:type="paragraph" w:customStyle="1" w:styleId="271">
    <w:name w:val="24"/>
    <w:basedOn w:val="1"/>
    <w:qFormat/>
    <w:uiPriority w:val="0"/>
    <w:pPr>
      <w:widowControl/>
      <w:snapToGrid w:val="0"/>
      <w:spacing w:before="100" w:beforeAutospacing="1" w:after="100" w:afterAutospacing="1"/>
      <w:ind w:firstLine="420"/>
    </w:pPr>
    <w:rPr>
      <w:rFonts w:ascii="Times New Roman" w:hAnsi="Times New Roman" w:eastAsia="Arial Unicode MS" w:cs="Times New Roman"/>
      <w:kern w:val="0"/>
      <w:szCs w:val="21"/>
    </w:rPr>
  </w:style>
  <w:style w:type="paragraph" w:customStyle="1" w:styleId="272">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cs="Arial"/>
      <w:kern w:val="0"/>
      <w:sz w:val="16"/>
      <w:szCs w:val="16"/>
    </w:rPr>
  </w:style>
  <w:style w:type="paragraph" w:customStyle="1" w:styleId="273">
    <w:name w:val="表格3"/>
    <w:basedOn w:val="1"/>
    <w:qFormat/>
    <w:uiPriority w:val="0"/>
    <w:pPr>
      <w:adjustRightInd w:val="0"/>
      <w:spacing w:line="360" w:lineRule="atLeast"/>
      <w:ind w:left="72" w:leftChars="30" w:right="72" w:rightChars="30"/>
      <w:textAlignment w:val="baseline"/>
    </w:pPr>
    <w:rPr>
      <w:rFonts w:ascii="Times New Roman" w:hAnsi="Times New Roman" w:eastAsia="宋体" w:cs="Times New Roman"/>
      <w:kern w:val="0"/>
      <w:szCs w:val="20"/>
    </w:rPr>
  </w:style>
  <w:style w:type="paragraph" w:customStyle="1" w:styleId="274">
    <w:name w:val="xl42"/>
    <w:basedOn w:val="1"/>
    <w:autoRedefine/>
    <w:qFormat/>
    <w:uiPriority w:val="0"/>
    <w:pPr>
      <w:widowControl/>
      <w:pBdr>
        <w:top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7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cs="Arial"/>
      <w:kern w:val="0"/>
      <w:sz w:val="16"/>
      <w:szCs w:val="16"/>
    </w:rPr>
  </w:style>
  <w:style w:type="paragraph" w:customStyle="1" w:styleId="27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277">
    <w:name w:val="彩色列表 - 着色 12"/>
    <w:basedOn w:val="1"/>
    <w:autoRedefine/>
    <w:qFormat/>
    <w:uiPriority w:val="34"/>
    <w:pPr>
      <w:autoSpaceDE w:val="0"/>
      <w:autoSpaceDN w:val="0"/>
      <w:adjustRightInd w:val="0"/>
      <w:ind w:firstLine="420" w:firstLineChars="200"/>
      <w:jc w:val="left"/>
      <w:textAlignment w:val="baseline"/>
    </w:pPr>
    <w:rPr>
      <w:rFonts w:ascii="宋体" w:hAnsi="Times New Roman" w:eastAsia="宋体" w:cs="Times New Roman"/>
      <w:kern w:val="0"/>
      <w:sz w:val="34"/>
      <w:szCs w:val="20"/>
    </w:rPr>
  </w:style>
  <w:style w:type="paragraph" w:customStyle="1" w:styleId="278">
    <w:name w:val="flName"/>
    <w:basedOn w:val="1"/>
    <w:autoRedefine/>
    <w:qFormat/>
    <w:uiPriority w:val="0"/>
    <w:pPr>
      <w:adjustRightInd w:val="0"/>
      <w:spacing w:before="320" w:after="160" w:line="360" w:lineRule="atLeast"/>
      <w:jc w:val="center"/>
    </w:pPr>
    <w:rPr>
      <w:rFonts w:ascii="Arial" w:hAnsi="Times New Roman" w:eastAsia="黑体" w:cs="Times New Roman"/>
      <w:kern w:val="0"/>
      <w:sz w:val="32"/>
      <w:szCs w:val="20"/>
    </w:rPr>
  </w:style>
  <w:style w:type="paragraph" w:customStyle="1" w:styleId="279">
    <w:name w:val="xl5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80">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2"/>
    </w:rPr>
  </w:style>
  <w:style w:type="paragraph" w:customStyle="1" w:styleId="281">
    <w:name w:val="普通 (Web)"/>
    <w:basedOn w:val="1"/>
    <w:qFormat/>
    <w:uiPriority w:val="0"/>
    <w:pPr>
      <w:spacing w:line="300" w:lineRule="auto"/>
    </w:pPr>
    <w:rPr>
      <w:rFonts w:ascii="Times New Roman" w:hAnsi="Times New Roman" w:eastAsia="宋体" w:cs="Times New Roman"/>
      <w:sz w:val="24"/>
      <w:szCs w:val="24"/>
    </w:rPr>
  </w:style>
  <w:style w:type="paragraph" w:customStyle="1" w:styleId="282">
    <w:name w:val="xl33"/>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left"/>
      <w:textAlignment w:val="bottom"/>
    </w:pPr>
    <w:rPr>
      <w:rFonts w:ascii="Arial Unicode MS" w:hAnsi="Arial Unicode MS" w:eastAsia="Arial Unicode MS" w:cs="Arial Unicode MS"/>
      <w:kern w:val="0"/>
      <w:sz w:val="20"/>
      <w:szCs w:val="20"/>
    </w:rPr>
  </w:style>
  <w:style w:type="paragraph" w:customStyle="1" w:styleId="283">
    <w:name w:val="20"/>
    <w:basedOn w:val="1"/>
    <w:autoRedefine/>
    <w:qFormat/>
    <w:uiPriority w:val="0"/>
    <w:pPr>
      <w:widowControl/>
      <w:snapToGrid w:val="0"/>
      <w:spacing w:before="100" w:beforeAutospacing="1" w:after="100" w:afterAutospacing="1"/>
      <w:jc w:val="left"/>
    </w:pPr>
    <w:rPr>
      <w:rFonts w:hint="eastAsia" w:ascii="宋体" w:hAnsi="宋体" w:eastAsia="宋体" w:cs="Arial Unicode MS"/>
      <w:kern w:val="0"/>
      <w:sz w:val="24"/>
      <w:szCs w:val="24"/>
    </w:rPr>
  </w:style>
  <w:style w:type="paragraph" w:customStyle="1" w:styleId="284">
    <w:name w:val="Char Char Char Char Char Char Char Char Char Char1"/>
    <w:basedOn w:val="1"/>
    <w:autoRedefine/>
    <w:qFormat/>
    <w:uiPriority w:val="0"/>
    <w:pPr>
      <w:tabs>
        <w:tab w:val="left" w:pos="794"/>
        <w:tab w:val="left" w:pos="1191"/>
        <w:tab w:val="left" w:pos="1588"/>
        <w:tab w:val="left" w:pos="1985"/>
      </w:tabs>
      <w:autoSpaceDE w:val="0"/>
      <w:autoSpaceDN w:val="0"/>
      <w:adjustRightInd w:val="0"/>
      <w:spacing w:before="136"/>
    </w:pPr>
    <w:rPr>
      <w:rFonts w:ascii="Tahoma" w:hAnsi="Tahoma" w:eastAsia="宋体" w:cs="Times New Roman"/>
      <w:kern w:val="0"/>
      <w:sz w:val="24"/>
      <w:szCs w:val="20"/>
      <w:lang w:val="en-GB"/>
    </w:rPr>
  </w:style>
  <w:style w:type="paragraph" w:styleId="285">
    <w:name w:val="List Paragraph"/>
    <w:basedOn w:val="1"/>
    <w:autoRedefine/>
    <w:qFormat/>
    <w:uiPriority w:val="34"/>
    <w:pPr>
      <w:suppressAutoHyphens/>
      <w:ind w:firstLine="420"/>
    </w:pPr>
    <w:rPr>
      <w:rFonts w:ascii="Times New Roman" w:hAnsi="Times New Roman" w:eastAsia="宋体" w:cs="Times New Roman"/>
      <w:kern w:val="1"/>
      <w:szCs w:val="21"/>
    </w:rPr>
  </w:style>
  <w:style w:type="character" w:customStyle="1" w:styleId="286">
    <w:name w:val="navname"/>
    <w:basedOn w:val="51"/>
    <w:autoRedefine/>
    <w:qFormat/>
    <w:uiPriority w:val="0"/>
  </w:style>
  <w:style w:type="paragraph" w:customStyle="1" w:styleId="287">
    <w:name w:val="Default"/>
    <w:autoRedefine/>
    <w:qFormat/>
    <w:uiPriority w:val="0"/>
    <w:pPr>
      <w:widowControl w:val="0"/>
      <w:autoSpaceDE w:val="0"/>
      <w:autoSpaceDN w:val="0"/>
      <w:adjustRightInd w:val="0"/>
    </w:pPr>
    <w:rPr>
      <w:rFonts w:ascii="FZFangSong-Z02" w:hAnsi="Times New Roman" w:eastAsia="FZFangSong-Z02" w:cs="FZFangSong-Z02"/>
      <w:color w:val="000000"/>
      <w:kern w:val="0"/>
      <w:sz w:val="24"/>
      <w:szCs w:val="24"/>
      <w:lang w:val="en-US" w:eastAsia="zh-CN" w:bidi="ar-SA"/>
    </w:rPr>
  </w:style>
  <w:style w:type="paragraph" w:customStyle="1" w:styleId="288">
    <w:name w:val="Table Text"/>
    <w:basedOn w:val="1"/>
    <w:semiHidden/>
    <w:qFormat/>
    <w:uiPriority w:val="0"/>
    <w:pPr>
      <w:widowControl/>
      <w:kinsoku w:val="0"/>
      <w:autoSpaceDE w:val="0"/>
      <w:autoSpaceDN w:val="0"/>
      <w:adjustRightInd w:val="0"/>
      <w:snapToGrid w:val="0"/>
      <w:jc w:val="left"/>
      <w:textAlignment w:val="baseline"/>
    </w:pPr>
    <w:rPr>
      <w:rFonts w:ascii="宋体" w:hAnsi="宋体" w:eastAsia="宋体" w:cs="宋体"/>
      <w:snapToGrid w:val="0"/>
      <w:color w:val="000000"/>
      <w:kern w:val="0"/>
      <w:sz w:val="22"/>
      <w:lang w:eastAsia="en-US"/>
    </w:rPr>
  </w:style>
  <w:style w:type="table" w:customStyle="1" w:styleId="289">
    <w:name w:val="Table Normal"/>
    <w:semiHidden/>
    <w:unhideWhenUsed/>
    <w:qFormat/>
    <w:uiPriority w:val="0"/>
    <w:rPr>
      <w:rFonts w:ascii="Times New Roman" w:hAnsi="Times New Roman" w:eastAsia="宋体" w:cs="Times New Roman"/>
      <w:kern w:val="0"/>
      <w:sz w:val="20"/>
      <w:szCs w:val="20"/>
    </w:rPr>
    <w:tblPr>
      <w:tblCellMar>
        <w:top w:w="0" w:type="dxa"/>
        <w:left w:w="0" w:type="dxa"/>
        <w:bottom w:w="0" w:type="dxa"/>
        <w:right w:w="0" w:type="dxa"/>
      </w:tblCellMar>
    </w:tblPr>
  </w:style>
  <w:style w:type="table" w:customStyle="1" w:styleId="290">
    <w:name w:val="网格型3"/>
    <w:basedOn w:val="49"/>
    <w:qFormat/>
    <w:uiPriority w:val="0"/>
    <w:pPr>
      <w:widowControl w:val="0"/>
      <w:jc w:val="both"/>
    </w:pPr>
    <w:rPr>
      <w:rFonts w:ascii="Times New Roman" w:hAnsi="Times New Roman" w:eastAsia="Times New Roman"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22</Pages>
  <Words>1042</Words>
  <Characters>1142</Characters>
  <Lines>149</Lines>
  <Paragraphs>42</Paragraphs>
  <TotalTime>1</TotalTime>
  <ScaleCrop>false</ScaleCrop>
  <LinksUpToDate>false</LinksUpToDate>
  <CharactersWithSpaces>1159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2026-10-16T08:45:00Z</dcterms:created>
  <dc:creator>Lenovo</dc:creator>
  <cp:lastModifiedBy>陈芊伊</cp:lastModifiedBy>
  <dcterms:modified xsi:type="dcterms:W3CDTF">2026-10-19T07:00:08Z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eyJoZGlkIjoiYWQ2OWM2NDM4YWRhYjg0MmIzMDMzZWMzYWEwNzU4MzAiLCJ1c2VySWQiOiIyMDMwMTYzNjUifQ==</vt:lpwstr>
  </property>
  <property fmtid="{D5CDD505-2E9C-101B-9397-08002B2CF9AE}" pid="3" name="KSOProductBuildVer">
    <vt:lpwstr>2052-12.1.0.25865</vt:lpwstr>
  </property>
  <property fmtid="{D5CDD505-2E9C-101B-9397-08002B2CF9AE}" pid="4" name="ICV">
    <vt:lpwstr>AEFAE65AF02F4C33A009F622E820D7C7_12</vt:lpwstr>
  </property>
</Properties>
</file>