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B7DA0">
      <w:pPr>
        <w:numPr>
          <w:ilvl w:val="0"/>
          <w:numId w:val="1"/>
        </w:numPr>
        <w:adjustRightInd w:val="0"/>
        <w:snapToGrid w:val="0"/>
        <w:spacing w:line="300" w:lineRule="auto"/>
        <w:ind w:left="420" w:hanging="420"/>
        <w:jc w:val="center"/>
        <w:outlineLvl w:val="1"/>
        <w:rPr>
          <w:rFonts w:ascii="Times New Roman" w:hAnsi="Times New Roman" w:eastAsia="黑体" w:cs="Times New Roman"/>
          <w:color w:val="auto"/>
          <w:sz w:val="30"/>
          <w:szCs w:val="30"/>
          <w:highlight w:val="none"/>
        </w:rPr>
      </w:pPr>
      <w:bookmarkStart w:id="0" w:name="_Toc25550"/>
      <w:r>
        <w:rPr>
          <w:rFonts w:ascii="Times New Roman" w:hAnsi="Times New Roman" w:eastAsia="黑体" w:cs="Times New Roman"/>
          <w:color w:val="auto"/>
          <w:sz w:val="30"/>
          <w:szCs w:val="30"/>
          <w:highlight w:val="none"/>
        </w:rPr>
        <w:t>说明</w:t>
      </w:r>
      <w:bookmarkEnd w:id="0"/>
    </w:p>
    <w:p w14:paraId="063F279D">
      <w:pPr>
        <w:spacing w:line="300" w:lineRule="auto"/>
        <w:ind w:firstLine="424" w:firstLineChars="192"/>
        <w:outlineLvl w:val="2"/>
        <w:rPr>
          <w:rFonts w:ascii="Times New Roman" w:hAnsi="Times New Roman" w:eastAsia="宋体" w:cs="Times New Roman"/>
          <w:b/>
          <w:color w:val="auto"/>
          <w:sz w:val="22"/>
          <w:szCs w:val="22"/>
          <w:highlight w:val="none"/>
        </w:rPr>
      </w:pPr>
      <w:bookmarkStart w:id="1" w:name="_Toc30602"/>
      <w:r>
        <w:rPr>
          <w:rFonts w:ascii="Times New Roman" w:hAnsi="Times New Roman" w:eastAsia="宋体" w:cs="Times New Roman"/>
          <w:b/>
          <w:color w:val="auto"/>
          <w:sz w:val="22"/>
          <w:szCs w:val="22"/>
          <w:highlight w:val="none"/>
        </w:rPr>
        <w:t>1 总则</w:t>
      </w:r>
      <w:bookmarkEnd w:id="1"/>
    </w:p>
    <w:p w14:paraId="7862E2F7">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 投标人应具备国家或行业管理部门规定的，在本市实施本项目所需的资格（资质）和相关手续（如果有），由此引起的所有有关事宜及费用由投标人自行负责。</w:t>
      </w:r>
    </w:p>
    <w:p w14:paraId="04AA1AA4">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 投标人提供的服务应当符合招标文件的要求，并且其质量完全符合国家标准、行业标准或地方标准。</w:t>
      </w:r>
    </w:p>
    <w:p w14:paraId="0CCCB144">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 投标人在投标前应认真了解项目的实施背景、应提供的服务内容和质量、项目考核管理要求等，一旦中标，应按照招标文件和合同规定的要求提供相关服务。</w:t>
      </w:r>
    </w:p>
    <w:p w14:paraId="23B92D36">
      <w:pPr>
        <w:adjustRightInd w:val="0"/>
        <w:snapToGrid w:val="0"/>
        <w:spacing w:line="300" w:lineRule="auto"/>
        <w:ind w:firstLine="440" w:firstLineChars="200"/>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hint="eastAsia" w:ascii="Times New Roman" w:hAnsi="Times New Roman" w:eastAsia="宋体" w:cs="Times New Roman"/>
          <w:color w:val="auto"/>
          <w:sz w:val="22"/>
          <w:szCs w:val="22"/>
          <w:highlight w:val="none"/>
        </w:rPr>
        <w:t>投标人认为招标文件（包括招标补充文件）存在排他性或歧视性条款，自收到招标文件之日或者招标文件公告期限届满</w:t>
      </w:r>
      <w:r>
        <w:rPr>
          <w:rFonts w:hint="eastAsia" w:ascii="Times New Roman" w:hAnsi="Times New Roman" w:eastAsia="宋体" w:cs="Times New Roman"/>
          <w:color w:val="auto"/>
          <w:sz w:val="22"/>
          <w:szCs w:val="22"/>
          <w:highlight w:val="none"/>
        </w:rPr>
        <w:t>之日起</w:t>
      </w:r>
      <w:r>
        <w:rPr>
          <w:rFonts w:ascii="Times New Roman" w:hAnsi="Times New Roman" w:eastAsia="宋体" w:cs="Times New Roman"/>
          <w:color w:val="auto"/>
          <w:sz w:val="22"/>
          <w:szCs w:val="22"/>
          <w:highlight w:val="none"/>
        </w:rPr>
        <w:t>10日内</w:t>
      </w:r>
      <w:r>
        <w:rPr>
          <w:rFonts w:hint="eastAsia" w:ascii="Times New Roman" w:hAnsi="Times New Roman" w:eastAsia="宋体" w:cs="Times New Roman"/>
          <w:color w:val="auto"/>
          <w:sz w:val="22"/>
          <w:szCs w:val="22"/>
          <w:highlight w:val="none"/>
        </w:rPr>
        <w:t>，以书面形式</w:t>
      </w:r>
      <w:r>
        <w:rPr>
          <w:rFonts w:hint="eastAsia" w:ascii="Times New Roman" w:hAnsi="Times New Roman" w:eastAsia="宋体" w:cs="Times New Roman"/>
          <w:color w:val="auto"/>
          <w:sz w:val="22"/>
          <w:szCs w:val="22"/>
          <w:highlight w:val="none"/>
        </w:rPr>
        <w:t>提出，并附相关证据。</w:t>
      </w:r>
    </w:p>
    <w:p w14:paraId="12082A3D">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14:paraId="5A786DA0">
      <w:pPr>
        <w:snapToGrid w:val="0"/>
        <w:spacing w:line="300" w:lineRule="auto"/>
        <w:ind w:firstLine="440" w:firstLineChars="200"/>
        <w:jc w:val="left"/>
        <w:rPr>
          <w:rFonts w:ascii="Calibri" w:hAnsi="Calibri" w:eastAsia="宋体" w:cs="Times New Roman"/>
          <w:b/>
          <w:bCs/>
          <w:color w:val="auto"/>
          <w:sz w:val="22"/>
          <w:szCs w:val="22"/>
          <w:highlight w:val="none"/>
        </w:rPr>
      </w:pPr>
      <w:r>
        <w:rPr>
          <w:rFonts w:hint="eastAsia" w:ascii="宋体" w:hAnsi="宋体" w:eastAsia="宋体" w:cs="宋体"/>
          <w:color w:val="auto"/>
          <w:sz w:val="22"/>
          <w:szCs w:val="22"/>
          <w:highlight w:val="none"/>
        </w:rPr>
        <w:t>★</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6</w:t>
      </w:r>
      <w:r>
        <w:rPr>
          <w:rFonts w:hint="eastAsia" w:ascii="Calibri" w:hAnsi="Calibri" w:eastAsia="宋体" w:cs="Times New Roman"/>
          <w:color w:val="auto"/>
          <w:sz w:val="22"/>
          <w:szCs w:val="22"/>
          <w:highlight w:val="none"/>
        </w:rPr>
        <w:t>投标人提供的服务必须符合国家强制性标准。</w:t>
      </w:r>
    </w:p>
    <w:p w14:paraId="59127B20">
      <w:pPr>
        <w:spacing w:line="300" w:lineRule="auto"/>
        <w:rPr>
          <w:rFonts w:ascii="Times New Roman" w:hAnsi="Times New Roman" w:eastAsia="宋体" w:cs="Times New Roman"/>
          <w:color w:val="auto"/>
          <w:sz w:val="22"/>
          <w:szCs w:val="22"/>
          <w:highlight w:val="none"/>
        </w:rPr>
      </w:pPr>
    </w:p>
    <w:p w14:paraId="350A58F6">
      <w:pPr>
        <w:adjustRightInd w:val="0"/>
        <w:snapToGrid w:val="0"/>
        <w:spacing w:line="300" w:lineRule="auto"/>
        <w:jc w:val="center"/>
        <w:outlineLvl w:val="1"/>
        <w:rPr>
          <w:rFonts w:ascii="Times New Roman" w:hAnsi="Times New Roman" w:eastAsia="黑体" w:cs="Times New Roman"/>
          <w:color w:val="auto"/>
          <w:sz w:val="30"/>
          <w:szCs w:val="30"/>
          <w:highlight w:val="none"/>
        </w:rPr>
      </w:pPr>
      <w:bookmarkStart w:id="2" w:name="_Toc13313"/>
      <w:bookmarkStart w:id="3" w:name="_Toc486947676"/>
      <w:r>
        <w:rPr>
          <w:rFonts w:ascii="Times New Roman" w:hAnsi="Times New Roman" w:eastAsia="黑体" w:cs="Times New Roman"/>
          <w:color w:val="auto"/>
          <w:sz w:val="30"/>
          <w:szCs w:val="30"/>
          <w:highlight w:val="none"/>
        </w:rPr>
        <w:t>二、项目概况</w:t>
      </w:r>
      <w:bookmarkEnd w:id="2"/>
      <w:bookmarkEnd w:id="3"/>
    </w:p>
    <w:p w14:paraId="6903A324">
      <w:pPr>
        <w:spacing w:line="300" w:lineRule="auto"/>
        <w:ind w:firstLine="424" w:firstLineChars="192"/>
        <w:outlineLvl w:val="2"/>
        <w:rPr>
          <w:rFonts w:ascii="Times New Roman" w:hAnsi="Times New Roman" w:eastAsia="宋体" w:cs="Times New Roman"/>
          <w:b/>
          <w:color w:val="auto"/>
          <w:sz w:val="22"/>
          <w:szCs w:val="22"/>
          <w:highlight w:val="none"/>
        </w:rPr>
      </w:pPr>
      <w:bookmarkStart w:id="4" w:name="_Toc12296"/>
      <w:r>
        <w:rPr>
          <w:rFonts w:ascii="Times New Roman" w:hAnsi="Times New Roman" w:eastAsia="宋体" w:cs="Times New Roman"/>
          <w:b/>
          <w:color w:val="auto"/>
          <w:sz w:val="22"/>
          <w:szCs w:val="22"/>
          <w:highlight w:val="none"/>
        </w:rPr>
        <w:t>2 项目名称</w:t>
      </w:r>
      <w:bookmarkEnd w:id="4"/>
    </w:p>
    <w:p w14:paraId="4B968ABF">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2.1项目名称</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bCs/>
          <w:color w:val="auto"/>
          <w:sz w:val="22"/>
          <w:szCs w:val="22"/>
          <w:highlight w:val="none"/>
        </w:rPr>
        <w:t>2026年浦东新区卫健委及下属医院、直属、社区卫生服务中心年报审计</w:t>
      </w:r>
      <w:r>
        <w:rPr>
          <w:rFonts w:hint="eastAsia" w:ascii="Times New Roman" w:hAnsi="Times New Roman" w:eastAsia="宋体" w:cs="Times New Roman"/>
          <w:bCs/>
          <w:color w:val="auto"/>
          <w:sz w:val="22"/>
          <w:szCs w:val="22"/>
          <w:highlight w:val="none"/>
          <w:lang w:val="en-US" w:eastAsia="zh-CN"/>
        </w:rPr>
        <w:t>服务项目</w:t>
      </w:r>
      <w:r>
        <w:rPr>
          <w:rFonts w:ascii="Times New Roman" w:hAnsi="Times New Roman" w:eastAsia="宋体" w:cs="Times New Roman"/>
          <w:color w:val="auto"/>
          <w:sz w:val="22"/>
          <w:szCs w:val="22"/>
          <w:highlight w:val="none"/>
        </w:rPr>
        <w:t>。</w:t>
      </w:r>
    </w:p>
    <w:p w14:paraId="6955A617">
      <w:pPr>
        <w:spacing w:line="300" w:lineRule="auto"/>
        <w:ind w:firstLine="424" w:firstLineChars="192"/>
        <w:outlineLvl w:val="2"/>
        <w:rPr>
          <w:rFonts w:ascii="Times New Roman" w:hAnsi="Times New Roman" w:eastAsia="宋体" w:cs="Times New Roman"/>
          <w:b/>
          <w:color w:val="auto"/>
          <w:sz w:val="22"/>
          <w:szCs w:val="22"/>
          <w:highlight w:val="none"/>
        </w:rPr>
      </w:pPr>
      <w:bookmarkStart w:id="5" w:name="_Toc7771"/>
      <w:r>
        <w:rPr>
          <w:rFonts w:ascii="Times New Roman" w:hAnsi="Times New Roman" w:eastAsia="宋体" w:cs="Times New Roman"/>
          <w:b/>
          <w:color w:val="auto"/>
          <w:sz w:val="22"/>
          <w:szCs w:val="22"/>
          <w:highlight w:val="none"/>
        </w:rPr>
        <w:t>3 项目地点</w:t>
      </w:r>
      <w:bookmarkEnd w:id="5"/>
    </w:p>
    <w:p w14:paraId="15D19EFE">
      <w:pPr>
        <w:tabs>
          <w:tab w:val="left" w:pos="840"/>
        </w:tabs>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3.1</w:t>
      </w:r>
      <w:r>
        <w:rPr>
          <w:rFonts w:hint="eastAsia" w:ascii="Times New Roman" w:hAnsi="Times New Roman" w:eastAsia="宋体" w:cs="Times New Roman"/>
          <w:bCs/>
          <w:color w:val="auto"/>
          <w:sz w:val="22"/>
          <w:szCs w:val="22"/>
          <w:highlight w:val="none"/>
          <w:lang w:eastAsia="zh-CN"/>
        </w:rPr>
        <w:t>服务</w:t>
      </w:r>
      <w:r>
        <w:rPr>
          <w:rFonts w:ascii="Times New Roman" w:hAnsi="Times New Roman" w:eastAsia="宋体" w:cs="Times New Roman"/>
          <w:bCs/>
          <w:color w:val="auto"/>
          <w:sz w:val="22"/>
          <w:szCs w:val="22"/>
          <w:highlight w:val="none"/>
        </w:rPr>
        <w:t>地址：</w:t>
      </w:r>
      <w:r>
        <w:rPr>
          <w:rFonts w:hint="eastAsia" w:ascii="Times New Roman" w:hAnsi="Times New Roman" w:eastAsia="宋体" w:cs="Times New Roman"/>
          <w:bCs/>
          <w:color w:val="auto"/>
          <w:sz w:val="22"/>
          <w:szCs w:val="22"/>
          <w:highlight w:val="none"/>
        </w:rPr>
        <w:t>采购人指定地点</w:t>
      </w:r>
      <w:r>
        <w:rPr>
          <w:rFonts w:ascii="Times New Roman" w:hAnsi="Times New Roman" w:eastAsia="宋体" w:cs="Times New Roman"/>
          <w:color w:val="auto"/>
          <w:sz w:val="22"/>
          <w:szCs w:val="22"/>
          <w:highlight w:val="none"/>
        </w:rPr>
        <w:t>。</w:t>
      </w:r>
    </w:p>
    <w:p w14:paraId="25CD3990">
      <w:pPr>
        <w:spacing w:line="300" w:lineRule="auto"/>
        <w:ind w:firstLine="424" w:firstLineChars="192"/>
        <w:outlineLvl w:val="2"/>
        <w:rPr>
          <w:rFonts w:ascii="Times New Roman" w:hAnsi="Times New Roman" w:eastAsia="宋体" w:cs="Times New Roman"/>
          <w:b/>
          <w:color w:val="auto"/>
          <w:sz w:val="22"/>
          <w:szCs w:val="22"/>
          <w:highlight w:val="none"/>
        </w:rPr>
      </w:pPr>
      <w:bookmarkStart w:id="6" w:name="_Toc2080"/>
      <w:r>
        <w:rPr>
          <w:rFonts w:ascii="Times New Roman" w:hAnsi="Times New Roman" w:eastAsia="宋体" w:cs="Times New Roman"/>
          <w:b/>
          <w:color w:val="auto"/>
          <w:sz w:val="22"/>
          <w:szCs w:val="22"/>
          <w:highlight w:val="none"/>
        </w:rPr>
        <w:t>4 招标范围与内容</w:t>
      </w:r>
      <w:bookmarkEnd w:id="6"/>
    </w:p>
    <w:p w14:paraId="4D260122">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4.1 项目背景及现状</w:t>
      </w:r>
    </w:p>
    <w:p w14:paraId="727322D6">
      <w:pPr>
        <w:spacing w:line="300" w:lineRule="auto"/>
        <w:ind w:firstLine="422" w:firstLineChars="192"/>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rPr>
        <w:t>为规范开展新区卫生健康委员会及其下属单位的财务审计工作，提高财政资金使用效益，强化国有资产管理，本中心计划对浦东新区卫生健康委员会及其下属公立医院、直属单位、社区卫生服务中心，总计73家单位的2025年年报审计服务项目进行采购</w:t>
      </w:r>
      <w:r>
        <w:rPr>
          <w:rFonts w:hint="eastAsia" w:ascii="Times New Roman" w:hAnsi="Times New Roman" w:eastAsia="宋体" w:cs="Times New Roman"/>
          <w:color w:val="auto"/>
          <w:sz w:val="22"/>
          <w:szCs w:val="22"/>
          <w:highlight w:val="none"/>
          <w:lang w:eastAsia="zh-CN"/>
        </w:rPr>
        <w:t>。</w:t>
      </w:r>
    </w:p>
    <w:p w14:paraId="3466630B">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4.2 项目招标范围及内容</w:t>
      </w:r>
    </w:p>
    <w:p w14:paraId="44221AF2">
      <w:pPr>
        <w:autoSpaceDN w:val="0"/>
        <w:adjustRightInd w:val="0"/>
        <w:snapToGrid w:val="0"/>
        <w:spacing w:line="300" w:lineRule="auto"/>
        <w:ind w:firstLine="440" w:firstLineChars="200"/>
        <w:textAlignment w:val="baseline"/>
        <w:rPr>
          <w:rFonts w:hint="eastAsia"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rPr>
        <w:t>本项目为2026年浦东新区卫健委及下属医院、直属、社区卫生服务中心年报审计</w:t>
      </w:r>
      <w:r>
        <w:rPr>
          <w:rFonts w:hint="eastAsia" w:ascii="Times New Roman" w:hAnsi="Times New Roman" w:eastAsia="宋体" w:cs="Times New Roman"/>
          <w:bCs/>
          <w:color w:val="auto"/>
          <w:sz w:val="22"/>
          <w:szCs w:val="22"/>
          <w:highlight w:val="none"/>
          <w:lang w:val="en-US" w:eastAsia="zh-CN"/>
        </w:rPr>
        <w:t>服务项目，审计范围为</w:t>
      </w:r>
      <w:r>
        <w:rPr>
          <w:rFonts w:hint="eastAsia" w:ascii="Times New Roman" w:hAnsi="Times New Roman" w:eastAsia="宋体" w:cs="Times New Roman"/>
          <w:bCs/>
          <w:color w:val="auto"/>
          <w:sz w:val="22"/>
          <w:szCs w:val="22"/>
          <w:highlight w:val="none"/>
        </w:rPr>
        <w:t>浦东新区卫健委及委属73家单位2025年度财务报告审计</w:t>
      </w:r>
      <w:r>
        <w:rPr>
          <w:rFonts w:hint="eastAsia" w:ascii="Times New Roman" w:hAnsi="Times New Roman" w:eastAsia="宋体" w:cs="Times New Roman"/>
          <w:bCs/>
          <w:color w:val="auto"/>
          <w:sz w:val="22"/>
          <w:szCs w:val="22"/>
          <w:highlight w:val="none"/>
          <w:lang w:eastAsia="zh-CN"/>
        </w:rPr>
        <w:t>，其中：①医院17家；②卫健委本部及直属共计10家；③社区潍坊片</w:t>
      </w:r>
      <w:r>
        <w:rPr>
          <w:rFonts w:hint="eastAsia" w:ascii="Times New Roman" w:hAnsi="Times New Roman" w:eastAsia="宋体" w:cs="Times New Roman"/>
          <w:bCs/>
          <w:color w:val="auto"/>
          <w:sz w:val="22"/>
          <w:szCs w:val="22"/>
          <w:highlight w:val="none"/>
          <w:lang w:val="en-US" w:eastAsia="zh-CN"/>
        </w:rPr>
        <w:t>区</w:t>
      </w:r>
      <w:r>
        <w:rPr>
          <w:rFonts w:hint="eastAsia" w:ascii="Times New Roman" w:hAnsi="Times New Roman" w:eastAsia="宋体" w:cs="Times New Roman"/>
          <w:bCs/>
          <w:color w:val="auto"/>
          <w:sz w:val="22"/>
          <w:szCs w:val="22"/>
          <w:highlight w:val="none"/>
          <w:lang w:eastAsia="zh-CN"/>
        </w:rPr>
        <w:t>12家；④社区机场片</w:t>
      </w:r>
      <w:r>
        <w:rPr>
          <w:rFonts w:hint="eastAsia" w:ascii="Times New Roman" w:hAnsi="Times New Roman" w:eastAsia="宋体" w:cs="Times New Roman"/>
          <w:bCs/>
          <w:color w:val="auto"/>
          <w:sz w:val="22"/>
          <w:szCs w:val="22"/>
          <w:highlight w:val="none"/>
          <w:lang w:val="en-US" w:eastAsia="zh-CN"/>
        </w:rPr>
        <w:t>区</w:t>
      </w:r>
      <w:r>
        <w:rPr>
          <w:rFonts w:hint="eastAsia" w:ascii="Times New Roman" w:hAnsi="Times New Roman" w:eastAsia="宋体" w:cs="Times New Roman"/>
          <w:bCs/>
          <w:color w:val="auto"/>
          <w:sz w:val="22"/>
          <w:szCs w:val="22"/>
          <w:highlight w:val="none"/>
          <w:lang w:eastAsia="zh-CN"/>
        </w:rPr>
        <w:t>11家；⑤社区花木片</w:t>
      </w:r>
      <w:r>
        <w:rPr>
          <w:rFonts w:hint="eastAsia" w:ascii="Times New Roman" w:hAnsi="Times New Roman" w:eastAsia="宋体" w:cs="Times New Roman"/>
          <w:bCs/>
          <w:color w:val="auto"/>
          <w:sz w:val="22"/>
          <w:szCs w:val="22"/>
          <w:highlight w:val="none"/>
          <w:lang w:val="en-US" w:eastAsia="zh-CN"/>
        </w:rPr>
        <w:t>区</w:t>
      </w:r>
      <w:r>
        <w:rPr>
          <w:rFonts w:hint="eastAsia" w:ascii="Times New Roman" w:hAnsi="Times New Roman" w:eastAsia="宋体" w:cs="Times New Roman"/>
          <w:bCs/>
          <w:color w:val="auto"/>
          <w:sz w:val="22"/>
          <w:szCs w:val="22"/>
          <w:highlight w:val="none"/>
          <w:lang w:eastAsia="zh-CN"/>
        </w:rPr>
        <w:t>10家；⑥社区南片</w:t>
      </w:r>
      <w:r>
        <w:rPr>
          <w:rFonts w:hint="eastAsia" w:ascii="Times New Roman" w:hAnsi="Times New Roman" w:eastAsia="宋体" w:cs="Times New Roman"/>
          <w:bCs/>
          <w:color w:val="auto"/>
          <w:sz w:val="22"/>
          <w:szCs w:val="22"/>
          <w:highlight w:val="none"/>
          <w:lang w:val="en-US" w:eastAsia="zh-CN"/>
        </w:rPr>
        <w:t>区</w:t>
      </w:r>
      <w:r>
        <w:rPr>
          <w:rFonts w:hint="eastAsia" w:ascii="Times New Roman" w:hAnsi="Times New Roman" w:eastAsia="宋体" w:cs="Times New Roman"/>
          <w:bCs/>
          <w:color w:val="auto"/>
          <w:sz w:val="22"/>
          <w:szCs w:val="22"/>
          <w:highlight w:val="none"/>
          <w:lang w:eastAsia="zh-CN"/>
        </w:rPr>
        <w:t>13家</w:t>
      </w:r>
      <w:r>
        <w:rPr>
          <w:rFonts w:hint="eastAsia" w:ascii="Times New Roman" w:hAnsi="Times New Roman" w:eastAsia="宋体" w:cs="Times New Roman"/>
          <w:bCs/>
          <w:color w:val="auto"/>
          <w:sz w:val="22"/>
          <w:szCs w:val="22"/>
          <w:highlight w:val="none"/>
        </w:rPr>
        <w:t>。</w:t>
      </w:r>
    </w:p>
    <w:p w14:paraId="7CF32721">
      <w:pPr>
        <w:spacing w:line="300" w:lineRule="auto"/>
        <w:ind w:firstLine="422" w:firstLineChars="192"/>
        <w:rPr>
          <w:rFonts w:ascii="Times New Roman" w:hAnsi="Times New Roman" w:eastAsia="宋体" w:cs="Times New Roman"/>
          <w:bCs/>
          <w:color w:val="auto"/>
          <w:sz w:val="22"/>
          <w:szCs w:val="22"/>
          <w:highlight w:val="none"/>
        </w:rPr>
      </w:pPr>
      <w:r>
        <w:rPr>
          <w:rFonts w:ascii="Times New Roman" w:hAnsi="Times New Roman" w:eastAsia="宋体" w:cs="Times New Roman"/>
          <w:color w:val="auto"/>
          <w:sz w:val="22"/>
          <w:szCs w:val="22"/>
          <w:highlight w:val="none"/>
        </w:rPr>
        <w:t xml:space="preserve">4.3 </w:t>
      </w:r>
      <w:r>
        <w:rPr>
          <w:rFonts w:hint="eastAsia" w:ascii="Times New Roman" w:hAnsi="Times New Roman" w:eastAsia="宋体" w:cs="Times New Roman"/>
          <w:color w:val="auto"/>
          <w:sz w:val="22"/>
          <w:szCs w:val="22"/>
          <w:highlight w:val="none"/>
        </w:rPr>
        <w:t>服务期限：</w:t>
      </w:r>
      <w:r>
        <w:rPr>
          <w:rFonts w:hint="eastAsia" w:ascii="Times New Roman" w:hAnsi="Times New Roman" w:eastAsia="宋体" w:cs="Times New Roman"/>
          <w:bCs/>
          <w:color w:val="auto"/>
          <w:sz w:val="22"/>
          <w:szCs w:val="22"/>
          <w:highlight w:val="none"/>
          <w:lang w:eastAsia="zh-CN"/>
        </w:rPr>
        <w:t>自合同签订之日起至</w:t>
      </w:r>
      <w:r>
        <w:rPr>
          <w:rFonts w:hint="eastAsia" w:ascii="Times New Roman" w:hAnsi="Times New Roman" w:eastAsia="宋体" w:cs="Times New Roman"/>
          <w:bCs/>
          <w:color w:val="auto"/>
          <w:sz w:val="22"/>
          <w:szCs w:val="22"/>
          <w:highlight w:val="none"/>
          <w:lang w:val="en-US" w:eastAsia="zh-CN"/>
        </w:rPr>
        <w:t>2026年8月15日</w:t>
      </w:r>
      <w:r>
        <w:rPr>
          <w:rFonts w:hint="eastAsia" w:ascii="Times New Roman" w:hAnsi="Times New Roman" w:eastAsia="宋体" w:cs="Times New Roman"/>
          <w:bCs/>
          <w:color w:val="auto"/>
          <w:sz w:val="22"/>
          <w:szCs w:val="22"/>
          <w:highlight w:val="none"/>
        </w:rPr>
        <w:t>，具体以合同签订日期为准</w:t>
      </w:r>
      <w:r>
        <w:rPr>
          <w:rFonts w:hint="eastAsia" w:ascii="Times New Roman" w:hAnsi="Times New Roman" w:eastAsia="宋体" w:cs="Times New Roman"/>
          <w:color w:val="auto"/>
          <w:sz w:val="22"/>
          <w:szCs w:val="22"/>
          <w:highlight w:val="none"/>
        </w:rPr>
        <w:t>。</w:t>
      </w:r>
    </w:p>
    <w:p w14:paraId="1731274F">
      <w:pPr>
        <w:spacing w:line="300" w:lineRule="auto"/>
        <w:ind w:firstLine="424" w:firstLineChars="192"/>
        <w:outlineLvl w:val="2"/>
        <w:rPr>
          <w:rFonts w:ascii="Times New Roman" w:hAnsi="Times New Roman" w:eastAsia="宋体" w:cs="Times New Roman"/>
          <w:b/>
          <w:color w:val="auto"/>
          <w:sz w:val="22"/>
          <w:szCs w:val="22"/>
          <w:highlight w:val="none"/>
        </w:rPr>
      </w:pPr>
      <w:bookmarkStart w:id="7" w:name="_Toc22728"/>
      <w:r>
        <w:rPr>
          <w:rFonts w:ascii="Times New Roman" w:hAnsi="Times New Roman" w:eastAsia="宋体" w:cs="Times New Roman"/>
          <w:b/>
          <w:color w:val="auto"/>
          <w:sz w:val="22"/>
          <w:szCs w:val="22"/>
          <w:highlight w:val="none"/>
        </w:rPr>
        <w:t>5 承包方式</w:t>
      </w:r>
      <w:bookmarkEnd w:id="7"/>
    </w:p>
    <w:p w14:paraId="31A83C54">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5.1依照本项目的招标范围和内容，中标人以</w:t>
      </w:r>
      <w:r>
        <w:rPr>
          <w:rFonts w:ascii="Times New Roman" w:hAnsi="Times New Roman" w:eastAsia="宋体" w:cs="Times New Roman"/>
          <w:color w:val="auto"/>
          <w:kern w:val="2"/>
          <w:sz w:val="22"/>
          <w:szCs w:val="22"/>
          <w:highlight w:val="none"/>
          <w:u w:val="single"/>
          <w:lang w:val="en-US" w:eastAsia="zh-CN" w:bidi="ar-SA"/>
        </w:rPr>
        <w:t xml:space="preserve">    </w:t>
      </w:r>
      <w:r>
        <w:rPr>
          <w:rFonts w:hint="eastAsia" w:ascii="Times New Roman" w:hAnsi="Times New Roman" w:eastAsia="宋体" w:cs="Times New Roman"/>
          <w:color w:val="auto"/>
          <w:kern w:val="2"/>
          <w:sz w:val="22"/>
          <w:szCs w:val="22"/>
          <w:highlight w:val="none"/>
          <w:u w:val="single"/>
          <w:lang w:val="en-US" w:eastAsia="zh-CN" w:bidi="ar-SA"/>
        </w:rPr>
        <w:t>包质量、包进度</w:t>
      </w:r>
      <w:r>
        <w:rPr>
          <w:rFonts w:ascii="Times New Roman" w:hAnsi="Times New Roman" w:eastAsia="宋体" w:cs="Times New Roman"/>
          <w:color w:val="auto"/>
          <w:kern w:val="2"/>
          <w:sz w:val="22"/>
          <w:szCs w:val="22"/>
          <w:highlight w:val="none"/>
          <w:u w:val="single"/>
          <w:lang w:val="en-US" w:eastAsia="zh-CN" w:bidi="ar-SA"/>
        </w:rPr>
        <w:t xml:space="preserve">   </w:t>
      </w:r>
      <w:r>
        <w:rPr>
          <w:rFonts w:ascii="Times New Roman" w:hAnsi="Times New Roman" w:eastAsia="宋体" w:cs="Times New Roman"/>
          <w:color w:val="auto"/>
          <w:kern w:val="2"/>
          <w:sz w:val="22"/>
          <w:szCs w:val="22"/>
          <w:highlight w:val="none"/>
          <w:lang w:val="en-US" w:eastAsia="zh-CN" w:bidi="ar-SA"/>
        </w:rPr>
        <w:t>实施项目</w:t>
      </w:r>
      <w:r>
        <w:rPr>
          <w:rFonts w:ascii="Times New Roman" w:hAnsi="Times New Roman" w:eastAsia="宋体" w:cs="Times New Roman"/>
          <w:color w:val="auto"/>
          <w:kern w:val="2"/>
          <w:sz w:val="22"/>
          <w:szCs w:val="22"/>
          <w:highlight w:val="none"/>
          <w:lang w:val="en-US" w:eastAsia="zh-CN" w:bidi="ar-SA"/>
        </w:rPr>
        <w:t>总</w:t>
      </w:r>
      <w:r>
        <w:rPr>
          <w:rFonts w:ascii="Times New Roman" w:hAnsi="Times New Roman" w:eastAsia="宋体" w:cs="Times New Roman"/>
          <w:color w:val="auto"/>
          <w:kern w:val="2"/>
          <w:sz w:val="22"/>
          <w:szCs w:val="22"/>
          <w:highlight w:val="none"/>
          <w:lang w:val="en-US" w:eastAsia="zh-CN" w:bidi="ar-SA"/>
        </w:rPr>
        <w:t>承包。</w:t>
      </w:r>
    </w:p>
    <w:p w14:paraId="063ED227">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5.2本项目不允许分包。</w:t>
      </w:r>
    </w:p>
    <w:p w14:paraId="3310C682">
      <w:pPr>
        <w:spacing w:line="300" w:lineRule="auto"/>
        <w:ind w:firstLine="424" w:firstLineChars="192"/>
        <w:outlineLvl w:val="2"/>
        <w:rPr>
          <w:rFonts w:ascii="Times New Roman" w:hAnsi="Times New Roman" w:eastAsia="宋体" w:cs="Times New Roman"/>
          <w:b/>
          <w:color w:val="auto"/>
          <w:sz w:val="22"/>
          <w:szCs w:val="22"/>
          <w:highlight w:val="none"/>
        </w:rPr>
      </w:pPr>
      <w:bookmarkStart w:id="8" w:name="_Toc30809"/>
      <w:r>
        <w:rPr>
          <w:rFonts w:ascii="Times New Roman" w:hAnsi="Times New Roman" w:eastAsia="宋体" w:cs="Times New Roman"/>
          <w:b/>
          <w:color w:val="auto"/>
          <w:sz w:val="22"/>
          <w:szCs w:val="22"/>
          <w:highlight w:val="none"/>
        </w:rPr>
        <w:t>6 合同签订方式</w:t>
      </w:r>
      <w:bookmarkEnd w:id="8"/>
    </w:p>
    <w:p w14:paraId="259C46BD">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6.1 本项目合同的标的、价格、质量及验收标准、考核管理、履约期限等主要条款应当与招标文件和中标人投标文件的内容一致，并互相补充和解释。</w:t>
      </w:r>
    </w:p>
    <w:p w14:paraId="77528E82">
      <w:pPr>
        <w:spacing w:line="300" w:lineRule="auto"/>
        <w:ind w:firstLine="424" w:firstLineChars="192"/>
        <w:outlineLvl w:val="2"/>
        <w:rPr>
          <w:rFonts w:ascii="Times New Roman" w:hAnsi="Times New Roman" w:eastAsia="宋体" w:cs="Times New Roman"/>
          <w:b/>
          <w:color w:val="auto"/>
          <w:sz w:val="22"/>
          <w:szCs w:val="22"/>
          <w:highlight w:val="none"/>
        </w:rPr>
      </w:pPr>
      <w:bookmarkStart w:id="9" w:name="_Toc29374"/>
      <w:r>
        <w:rPr>
          <w:rFonts w:ascii="Times New Roman" w:hAnsi="Times New Roman" w:eastAsia="宋体" w:cs="Times New Roman"/>
          <w:b/>
          <w:color w:val="auto"/>
          <w:sz w:val="22"/>
          <w:szCs w:val="22"/>
          <w:highlight w:val="none"/>
        </w:rPr>
        <w:t>7 结算原则和支付方式</w:t>
      </w:r>
      <w:bookmarkEnd w:id="9"/>
    </w:p>
    <w:p w14:paraId="353206DD">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7.1 结算原则</w:t>
      </w:r>
    </w:p>
    <w:p w14:paraId="7B51DF65">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7.1.1本项目合同总价不变，采购人不会因政策性调价、人工成本、材料、设备使用年限增长引起的维修成本增加和效能衰减等因素（不可抗力除外）的变动而进行调整。</w:t>
      </w:r>
    </w:p>
    <w:p w14:paraId="76AB35E9">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7.2 支付方式</w:t>
      </w:r>
    </w:p>
    <w:p w14:paraId="34102A7A">
      <w:pPr>
        <w:widowControl w:val="0"/>
        <w:spacing w:line="300" w:lineRule="auto"/>
        <w:ind w:firstLine="422" w:firstLineChars="192"/>
        <w:jc w:val="both"/>
        <w:rPr>
          <w:rFonts w:ascii="Times New Roman" w:hAnsi="Times New Roman" w:eastAsia="宋体" w:cs="Times New Roman"/>
          <w:b/>
          <w:color w:val="auto"/>
          <w:kern w:val="2"/>
          <w:sz w:val="22"/>
          <w:szCs w:val="22"/>
          <w:highlight w:val="none"/>
          <w:u w:val="single"/>
          <w:lang w:val="en-US" w:eastAsia="zh-CN" w:bidi="ar-SA"/>
        </w:rPr>
      </w:pPr>
      <w:r>
        <w:rPr>
          <w:rFonts w:ascii="Times New Roman" w:hAnsi="Times New Roman" w:eastAsia="宋体" w:cs="Times New Roman"/>
          <w:color w:val="auto"/>
          <w:kern w:val="2"/>
          <w:sz w:val="22"/>
          <w:szCs w:val="22"/>
          <w:highlight w:val="none"/>
          <w:lang w:val="en-US" w:eastAsia="zh-CN" w:bidi="ar-SA"/>
        </w:rPr>
        <w:t>7.2.1 本项目合同金额采用</w:t>
      </w:r>
      <w:r>
        <w:rPr>
          <w:rFonts w:ascii="Times New Roman" w:hAnsi="Times New Roman" w:eastAsia="宋体" w:cs="Times New Roman"/>
          <w:b/>
          <w:color w:val="auto"/>
          <w:kern w:val="2"/>
          <w:sz w:val="22"/>
          <w:szCs w:val="22"/>
          <w:highlight w:val="none"/>
          <w:u w:val="single"/>
          <w:lang w:val="en-US" w:eastAsia="zh-CN" w:bidi="ar-SA"/>
        </w:rPr>
        <w:t>分期付款</w:t>
      </w:r>
      <w:r>
        <w:rPr>
          <w:rFonts w:ascii="Times New Roman" w:hAnsi="Times New Roman" w:eastAsia="宋体" w:cs="Times New Roman"/>
          <w:color w:val="auto"/>
          <w:kern w:val="2"/>
          <w:sz w:val="22"/>
          <w:szCs w:val="22"/>
          <w:highlight w:val="none"/>
          <w:lang w:val="en-US" w:eastAsia="zh-CN" w:bidi="ar-SA"/>
        </w:rPr>
        <w:t>方式，在采购人和中标人合同签订后，按下款要求支付相应的合同款项。</w:t>
      </w:r>
    </w:p>
    <w:p w14:paraId="316A6392">
      <w:pPr>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7.2.2分期付款的时间进度要求和支付比例具体如下：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143"/>
        <w:gridCol w:w="1315"/>
      </w:tblGrid>
      <w:tr w14:paraId="7CAC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14:paraId="3EE97DF7">
            <w:pPr>
              <w:widowControl/>
              <w:jc w:val="center"/>
              <w:textAlignment w:val="center"/>
              <w:rPr>
                <w:rFonts w:ascii="宋体" w:hAnsi="宋体" w:eastAsia="Times New Roman" w:cs="宋体"/>
                <w:b/>
                <w:bCs/>
                <w:color w:val="auto"/>
                <w:kern w:val="0"/>
                <w:szCs w:val="21"/>
                <w:highlight w:val="none"/>
              </w:rPr>
            </w:pPr>
            <w:r>
              <w:rPr>
                <w:rFonts w:hint="eastAsia" w:ascii="宋体" w:hAnsi="宋体" w:eastAsia="Times New Roman" w:cs="宋体"/>
                <w:b/>
                <w:bCs/>
                <w:color w:val="auto"/>
                <w:kern w:val="0"/>
                <w:szCs w:val="21"/>
                <w:highlight w:val="none"/>
              </w:rPr>
              <w:t>序号</w:t>
            </w:r>
          </w:p>
        </w:tc>
        <w:tc>
          <w:tcPr>
            <w:tcW w:w="6143" w:type="dxa"/>
            <w:vAlign w:val="center"/>
          </w:tcPr>
          <w:p w14:paraId="5BB52DBB">
            <w:pPr>
              <w:widowControl/>
              <w:jc w:val="center"/>
              <w:textAlignment w:val="center"/>
              <w:rPr>
                <w:rFonts w:ascii="宋体" w:hAnsi="宋体" w:eastAsia="Times New Roman" w:cs="宋体"/>
                <w:b/>
                <w:bCs/>
                <w:color w:val="auto"/>
                <w:kern w:val="0"/>
                <w:szCs w:val="21"/>
                <w:highlight w:val="none"/>
              </w:rPr>
            </w:pPr>
            <w:r>
              <w:rPr>
                <w:rFonts w:hint="eastAsia" w:ascii="宋体" w:hAnsi="宋体" w:eastAsia="Times New Roman" w:cs="宋体"/>
                <w:b/>
                <w:bCs/>
                <w:color w:val="auto"/>
                <w:kern w:val="0"/>
                <w:szCs w:val="21"/>
                <w:highlight w:val="none"/>
                <w:lang w:val="en-US" w:eastAsia="zh-CN"/>
              </w:rPr>
              <w:t>支付时间和支付条件</w:t>
            </w:r>
          </w:p>
        </w:tc>
        <w:tc>
          <w:tcPr>
            <w:tcW w:w="1315" w:type="dxa"/>
            <w:vAlign w:val="center"/>
          </w:tcPr>
          <w:p w14:paraId="0CA89122">
            <w:pPr>
              <w:widowControl/>
              <w:jc w:val="center"/>
              <w:textAlignment w:val="center"/>
              <w:rPr>
                <w:rFonts w:ascii="宋体" w:hAnsi="宋体" w:eastAsia="Times New Roman" w:cs="宋体"/>
                <w:b/>
                <w:bCs/>
                <w:color w:val="auto"/>
                <w:kern w:val="0"/>
                <w:szCs w:val="21"/>
                <w:highlight w:val="none"/>
              </w:rPr>
            </w:pPr>
            <w:r>
              <w:rPr>
                <w:rFonts w:hint="eastAsia" w:ascii="宋体" w:hAnsi="宋体" w:eastAsia="Times New Roman" w:cs="宋体"/>
                <w:b/>
                <w:bCs/>
                <w:color w:val="auto"/>
                <w:kern w:val="0"/>
                <w:szCs w:val="21"/>
                <w:highlight w:val="none"/>
              </w:rPr>
              <w:t>支付比例</w:t>
            </w:r>
          </w:p>
        </w:tc>
      </w:tr>
      <w:tr w14:paraId="1B66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9" w:type="dxa"/>
            <w:vAlign w:val="center"/>
          </w:tcPr>
          <w:p w14:paraId="1ED513ED">
            <w:pPr>
              <w:widowControl/>
              <w:jc w:val="center"/>
              <w:textAlignment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1</w:t>
            </w:r>
          </w:p>
        </w:tc>
        <w:tc>
          <w:tcPr>
            <w:tcW w:w="6143" w:type="dxa"/>
            <w:vAlign w:val="center"/>
          </w:tcPr>
          <w:p w14:paraId="4773E1B8">
            <w:pPr>
              <w:widowControl/>
              <w:jc w:val="center"/>
              <w:textAlignment w:val="center"/>
              <w:rPr>
                <w:rFonts w:ascii="宋体" w:hAnsi="宋体" w:eastAsia="Times New Roman" w:cs="宋体"/>
                <w:color w:val="auto"/>
                <w:kern w:val="0"/>
                <w:szCs w:val="21"/>
                <w:highlight w:val="none"/>
              </w:rPr>
            </w:pPr>
            <w:r>
              <w:rPr>
                <w:rFonts w:ascii="Times New Roman" w:hAnsi="Times New Roman" w:eastAsia="宋体" w:cs="Times New Roman"/>
                <w:color w:val="auto"/>
                <w:kern w:val="2"/>
                <w:sz w:val="22"/>
                <w:szCs w:val="22"/>
                <w:highlight w:val="none"/>
                <w:lang w:val="en-US" w:eastAsia="zh-CN" w:bidi="ar-SA"/>
              </w:rPr>
              <w:t>合同签订后</w:t>
            </w:r>
            <w:r>
              <w:rPr>
                <w:rFonts w:hint="eastAsia" w:ascii="Times New Roman" w:hAnsi="Times New Roman" w:eastAsia="宋体" w:cs="Times New Roman"/>
                <w:color w:val="auto"/>
                <w:kern w:val="2"/>
                <w:sz w:val="22"/>
                <w:szCs w:val="22"/>
                <w:highlight w:val="none"/>
                <w:lang w:val="en-US" w:eastAsia="zh-CN" w:bidi="ar-SA"/>
              </w:rPr>
              <w:t>于</w:t>
            </w:r>
            <w:r>
              <w:rPr>
                <w:rFonts w:hint="eastAsia" w:ascii="宋体" w:hAnsi="宋体" w:eastAsia="宋体" w:cs="宋体"/>
                <w:color w:val="auto"/>
                <w:kern w:val="0"/>
                <w:szCs w:val="21"/>
                <w:highlight w:val="none"/>
                <w:lang w:val="en-US" w:eastAsia="zh-CN"/>
              </w:rPr>
              <w:t xml:space="preserve">2026 </w:t>
            </w:r>
            <w:r>
              <w:rPr>
                <w:rFonts w:hint="eastAsia" w:ascii="宋体" w:hAnsi="宋体" w:eastAsia="Times New Roman"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5 </w:t>
            </w:r>
            <w:r>
              <w:rPr>
                <w:rFonts w:hint="eastAsia" w:ascii="宋体" w:hAnsi="宋体" w:eastAsia="Times New Roman"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31 </w:t>
            </w:r>
            <w:r>
              <w:rPr>
                <w:rFonts w:hint="eastAsia" w:ascii="宋体" w:hAnsi="宋体" w:eastAsia="Times New Roman" w:cs="宋体"/>
                <w:color w:val="auto"/>
                <w:kern w:val="0"/>
                <w:szCs w:val="21"/>
                <w:highlight w:val="none"/>
              </w:rPr>
              <w:t>日前</w:t>
            </w:r>
          </w:p>
        </w:tc>
        <w:tc>
          <w:tcPr>
            <w:tcW w:w="1315" w:type="dxa"/>
            <w:vAlign w:val="center"/>
          </w:tcPr>
          <w:p w14:paraId="27725E6C">
            <w:pPr>
              <w:widowControl/>
              <w:jc w:val="center"/>
              <w:textAlignment w:val="center"/>
              <w:rPr>
                <w:rFonts w:ascii="宋体" w:hAnsi="宋体" w:eastAsia="Times New Roman" w:cs="宋体"/>
                <w:color w:val="auto"/>
                <w:kern w:val="0"/>
                <w:szCs w:val="21"/>
                <w:highlight w:val="none"/>
              </w:rPr>
            </w:pPr>
            <w:r>
              <w:rPr>
                <w:rFonts w:hint="eastAsia" w:ascii="宋体" w:hAnsi="宋体" w:eastAsia="宋体" w:cs="宋体"/>
                <w:color w:val="auto"/>
                <w:kern w:val="0"/>
                <w:szCs w:val="21"/>
                <w:highlight w:val="none"/>
                <w:lang w:val="en-US" w:eastAsia="zh-CN"/>
              </w:rPr>
              <w:t>30.00</w:t>
            </w:r>
            <w:r>
              <w:rPr>
                <w:rFonts w:hint="eastAsia" w:ascii="宋体" w:hAnsi="宋体" w:eastAsia="Times New Roman" w:cs="宋体"/>
                <w:color w:val="auto"/>
                <w:kern w:val="0"/>
                <w:szCs w:val="21"/>
                <w:highlight w:val="none"/>
              </w:rPr>
              <w:t>%</w:t>
            </w:r>
          </w:p>
        </w:tc>
      </w:tr>
      <w:tr w14:paraId="797E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14:paraId="78946FE2">
            <w:pPr>
              <w:widowControl/>
              <w:jc w:val="center"/>
              <w:textAlignment w:val="center"/>
              <w:rPr>
                <w:rFonts w:ascii="宋体" w:hAnsi="宋体" w:eastAsia="Times New Roman" w:cs="宋体"/>
                <w:color w:val="auto"/>
                <w:kern w:val="0"/>
                <w:szCs w:val="21"/>
                <w:highlight w:val="none"/>
              </w:rPr>
            </w:pPr>
            <w:r>
              <w:rPr>
                <w:rFonts w:hint="eastAsia" w:ascii="宋体" w:hAnsi="宋体" w:eastAsia="Times New Roman" w:cs="宋体"/>
                <w:color w:val="auto"/>
                <w:kern w:val="0"/>
                <w:szCs w:val="21"/>
                <w:highlight w:val="none"/>
              </w:rPr>
              <w:t>2</w:t>
            </w:r>
          </w:p>
        </w:tc>
        <w:tc>
          <w:tcPr>
            <w:tcW w:w="6143" w:type="dxa"/>
            <w:vAlign w:val="center"/>
          </w:tcPr>
          <w:p w14:paraId="3A3B2C9F">
            <w:pPr>
              <w:widowControl/>
              <w:jc w:val="center"/>
              <w:textAlignment w:val="center"/>
              <w:rPr>
                <w:rFonts w:ascii="宋体" w:hAnsi="宋体" w:eastAsia="Times New Roman" w:cs="宋体"/>
                <w:color w:val="auto"/>
                <w:kern w:val="0"/>
                <w:szCs w:val="21"/>
                <w:highlight w:val="none"/>
              </w:rPr>
            </w:pPr>
            <w:r>
              <w:rPr>
                <w:rFonts w:ascii="Times New Roman" w:hAnsi="Times New Roman" w:eastAsia="宋体" w:cs="Times New Roman"/>
                <w:color w:val="auto"/>
                <w:kern w:val="2"/>
                <w:sz w:val="22"/>
                <w:szCs w:val="22"/>
                <w:highlight w:val="none"/>
                <w:lang w:val="en-US" w:eastAsia="zh-CN" w:bidi="ar-SA"/>
              </w:rPr>
              <w:t>全部审计报告交付并通过审核后</w:t>
            </w:r>
            <w:r>
              <w:rPr>
                <w:rFonts w:hint="eastAsia" w:ascii="Times New Roman" w:hAnsi="Times New Roman" w:eastAsia="宋体" w:cs="Times New Roman"/>
                <w:color w:val="auto"/>
                <w:kern w:val="2"/>
                <w:sz w:val="22"/>
                <w:szCs w:val="22"/>
                <w:highlight w:val="none"/>
                <w:lang w:val="en-US" w:eastAsia="zh-CN" w:bidi="ar-SA"/>
              </w:rPr>
              <w:t>于</w:t>
            </w:r>
            <w:r>
              <w:rPr>
                <w:rFonts w:hint="eastAsia" w:ascii="宋体" w:hAnsi="宋体" w:eastAsia="宋体" w:cs="宋体"/>
                <w:color w:val="auto"/>
                <w:kern w:val="0"/>
                <w:szCs w:val="21"/>
                <w:highlight w:val="none"/>
                <w:lang w:val="en-US" w:eastAsia="zh-CN"/>
              </w:rPr>
              <w:t xml:space="preserve"> 2026</w:t>
            </w:r>
            <w:r>
              <w:rPr>
                <w:rFonts w:hint="eastAsia" w:ascii="宋体" w:hAnsi="宋体" w:eastAsia="Times New Roman"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6 </w:t>
            </w:r>
            <w:r>
              <w:rPr>
                <w:rFonts w:hint="eastAsia" w:ascii="宋体" w:hAnsi="宋体" w:eastAsia="Times New Roman"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31</w:t>
            </w:r>
            <w:r>
              <w:rPr>
                <w:rFonts w:hint="eastAsia" w:ascii="宋体" w:hAnsi="宋体" w:eastAsia="Times New Roman" w:cs="宋体"/>
                <w:color w:val="auto"/>
                <w:kern w:val="0"/>
                <w:szCs w:val="21"/>
                <w:highlight w:val="none"/>
              </w:rPr>
              <w:t>日前</w:t>
            </w:r>
          </w:p>
        </w:tc>
        <w:tc>
          <w:tcPr>
            <w:tcW w:w="1315" w:type="dxa"/>
            <w:vAlign w:val="center"/>
          </w:tcPr>
          <w:p w14:paraId="717779E8">
            <w:pPr>
              <w:widowControl/>
              <w:jc w:val="center"/>
              <w:textAlignment w:val="center"/>
              <w:rPr>
                <w:rFonts w:ascii="宋体" w:hAnsi="宋体" w:eastAsia="Times New Roman" w:cs="宋体"/>
                <w:color w:val="auto"/>
                <w:kern w:val="0"/>
                <w:szCs w:val="21"/>
                <w:highlight w:val="none"/>
              </w:rPr>
            </w:pPr>
            <w:r>
              <w:rPr>
                <w:rFonts w:hint="eastAsia" w:ascii="宋体" w:hAnsi="宋体" w:eastAsia="宋体" w:cs="宋体"/>
                <w:color w:val="auto"/>
                <w:kern w:val="0"/>
                <w:szCs w:val="21"/>
                <w:highlight w:val="none"/>
                <w:lang w:val="en-US" w:eastAsia="zh-CN"/>
              </w:rPr>
              <w:t>60.00</w:t>
            </w:r>
            <w:r>
              <w:rPr>
                <w:rFonts w:hint="eastAsia" w:ascii="宋体" w:hAnsi="宋体" w:eastAsia="Times New Roman" w:cs="宋体"/>
                <w:color w:val="auto"/>
                <w:kern w:val="0"/>
                <w:szCs w:val="21"/>
                <w:highlight w:val="none"/>
              </w:rPr>
              <w:t>%</w:t>
            </w:r>
          </w:p>
        </w:tc>
      </w:tr>
      <w:tr w14:paraId="7E49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14:paraId="70AFA852">
            <w:pPr>
              <w:widowControl/>
              <w:jc w:val="center"/>
              <w:textAlignment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6143" w:type="dxa"/>
            <w:vAlign w:val="center"/>
          </w:tcPr>
          <w:p w14:paraId="218F8D5F">
            <w:pPr>
              <w:widowControl/>
              <w:jc w:val="center"/>
              <w:textAlignment w:val="center"/>
              <w:rPr>
                <w:rFonts w:hint="eastAsia" w:ascii="宋体" w:hAnsi="宋体" w:eastAsia="宋体" w:cs="宋体"/>
                <w:color w:val="auto"/>
                <w:kern w:val="0"/>
                <w:szCs w:val="21"/>
                <w:highlight w:val="none"/>
                <w:lang w:val="en-US" w:eastAsia="zh-CN"/>
              </w:rPr>
            </w:pPr>
            <w:r>
              <w:rPr>
                <w:rFonts w:ascii="Times New Roman" w:hAnsi="Times New Roman" w:eastAsia="宋体" w:cs="Times New Roman"/>
                <w:color w:val="auto"/>
                <w:kern w:val="2"/>
                <w:sz w:val="22"/>
                <w:szCs w:val="22"/>
                <w:highlight w:val="none"/>
                <w:lang w:val="en-US" w:eastAsia="zh-CN" w:bidi="ar-SA"/>
              </w:rPr>
              <w:t>整改完成验收合格后</w:t>
            </w:r>
            <w:r>
              <w:rPr>
                <w:rFonts w:hint="eastAsia" w:ascii="Times New Roman" w:hAnsi="Times New Roman" w:eastAsia="宋体" w:cs="Times New Roman"/>
                <w:color w:val="auto"/>
                <w:kern w:val="2"/>
                <w:sz w:val="22"/>
                <w:szCs w:val="22"/>
                <w:highlight w:val="none"/>
                <w:lang w:val="en-US" w:eastAsia="zh-CN" w:bidi="ar-SA"/>
              </w:rPr>
              <w:t>于</w:t>
            </w:r>
            <w:r>
              <w:rPr>
                <w:rFonts w:hint="eastAsia" w:ascii="宋体" w:hAnsi="宋体" w:eastAsia="宋体" w:cs="宋体"/>
                <w:color w:val="auto"/>
                <w:kern w:val="0"/>
                <w:szCs w:val="21"/>
                <w:highlight w:val="none"/>
                <w:lang w:val="en-US" w:eastAsia="zh-CN"/>
              </w:rPr>
              <w:t xml:space="preserve">2026 </w:t>
            </w:r>
            <w:r>
              <w:rPr>
                <w:rFonts w:hint="eastAsia" w:ascii="宋体" w:hAnsi="宋体" w:eastAsia="Times New Roman" w:cs="宋体"/>
                <w:color w:val="auto"/>
                <w:kern w:val="0"/>
                <w:szCs w:val="21"/>
                <w:highlight w:val="none"/>
              </w:rPr>
              <w:t>年</w:t>
            </w:r>
            <w:r>
              <w:rPr>
                <w:rFonts w:hint="eastAsia" w:ascii="宋体" w:hAnsi="宋体" w:eastAsia="宋体" w:cs="宋体"/>
                <w:color w:val="auto"/>
                <w:kern w:val="0"/>
                <w:szCs w:val="21"/>
                <w:highlight w:val="none"/>
                <w:lang w:val="en-US" w:eastAsia="zh-CN"/>
              </w:rPr>
              <w:t xml:space="preserve">8 </w:t>
            </w:r>
            <w:r>
              <w:rPr>
                <w:rFonts w:hint="eastAsia" w:ascii="宋体" w:hAnsi="宋体" w:eastAsia="Times New Roman"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31 </w:t>
            </w:r>
            <w:r>
              <w:rPr>
                <w:rFonts w:hint="eastAsia" w:ascii="宋体" w:hAnsi="宋体" w:eastAsia="Times New Roman" w:cs="宋体"/>
                <w:color w:val="auto"/>
                <w:kern w:val="0"/>
                <w:szCs w:val="21"/>
                <w:highlight w:val="none"/>
              </w:rPr>
              <w:t>日前</w:t>
            </w:r>
          </w:p>
        </w:tc>
        <w:tc>
          <w:tcPr>
            <w:tcW w:w="1315" w:type="dxa"/>
            <w:vAlign w:val="center"/>
          </w:tcPr>
          <w:p w14:paraId="4BFB9718">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10.00%</w:t>
            </w:r>
          </w:p>
        </w:tc>
      </w:tr>
    </w:tbl>
    <w:p w14:paraId="229126E4">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7.3中标人因自身原因造成返工的工作量，采购人将不予计量和支付。</w:t>
      </w:r>
    </w:p>
    <w:p w14:paraId="358DB093">
      <w:pPr>
        <w:snapToGrid w:val="0"/>
        <w:spacing w:line="360" w:lineRule="auto"/>
        <w:ind w:firstLine="440" w:firstLineChars="200"/>
        <w:jc w:val="left"/>
        <w:rPr>
          <w:rFonts w:ascii="Calibri" w:hAnsi="Calibri" w:eastAsia="宋体" w:cs="Times New Roman"/>
          <w:color w:val="auto"/>
          <w:sz w:val="22"/>
          <w:szCs w:val="22"/>
          <w:highlight w:val="none"/>
        </w:rPr>
      </w:pPr>
      <w:r>
        <w:rPr>
          <w:rFonts w:hint="eastAsia" w:ascii="Calibri" w:hAnsi="Calibri" w:eastAsia="宋体" w:cs="Times New Roman"/>
          <w:color w:val="auto"/>
          <w:sz w:val="22"/>
          <w:szCs w:val="22"/>
          <w:highlight w:val="none"/>
        </w:rPr>
        <w:t>7.4</w:t>
      </w:r>
      <w:r>
        <w:rPr>
          <w:rFonts w:hint="eastAsia" w:ascii="Times New Roman" w:hAnsi="Times New Roman" w:eastAsia="宋体" w:cs="Times New Roman"/>
          <w:color w:val="auto"/>
          <w:sz w:val="22"/>
          <w:szCs w:val="22"/>
          <w:highlight w: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rPr>
        <w:t>年期贷款市场报价利率。</w:t>
      </w:r>
    </w:p>
    <w:p w14:paraId="78D664AE">
      <w:pPr>
        <w:spacing w:line="300" w:lineRule="auto"/>
        <w:rPr>
          <w:rFonts w:ascii="Times New Roman" w:hAnsi="Times New Roman" w:eastAsia="宋体" w:cs="Times New Roman"/>
          <w:color w:val="auto"/>
          <w:sz w:val="20"/>
          <w:szCs w:val="20"/>
          <w:highlight w:val="none"/>
        </w:rPr>
      </w:pPr>
    </w:p>
    <w:p w14:paraId="53E15069">
      <w:pPr>
        <w:adjustRightInd w:val="0"/>
        <w:snapToGrid w:val="0"/>
        <w:spacing w:line="300" w:lineRule="auto"/>
        <w:jc w:val="center"/>
        <w:outlineLvl w:val="1"/>
        <w:rPr>
          <w:rFonts w:ascii="Times New Roman" w:hAnsi="Times New Roman" w:eastAsia="黑体" w:cs="Times New Roman"/>
          <w:color w:val="auto"/>
          <w:sz w:val="30"/>
          <w:szCs w:val="30"/>
          <w:highlight w:val="none"/>
        </w:rPr>
      </w:pPr>
      <w:bookmarkStart w:id="10" w:name="_Toc3890"/>
      <w:r>
        <w:rPr>
          <w:rFonts w:ascii="Times New Roman" w:hAnsi="Times New Roman" w:eastAsia="黑体" w:cs="Times New Roman"/>
          <w:color w:val="auto"/>
          <w:sz w:val="30"/>
          <w:szCs w:val="30"/>
          <w:highlight w:val="none"/>
        </w:rPr>
        <w:t>三、技术质量要求</w:t>
      </w:r>
      <w:bookmarkEnd w:id="10"/>
    </w:p>
    <w:p w14:paraId="05D6A6E3">
      <w:pPr>
        <w:spacing w:line="300" w:lineRule="auto"/>
        <w:ind w:firstLine="424" w:firstLineChars="192"/>
        <w:outlineLvl w:val="2"/>
        <w:rPr>
          <w:rFonts w:ascii="Times New Roman" w:hAnsi="Times New Roman" w:eastAsia="宋体" w:cs="Times New Roman"/>
          <w:b/>
          <w:color w:val="auto"/>
          <w:sz w:val="22"/>
          <w:szCs w:val="22"/>
          <w:highlight w:val="none"/>
        </w:rPr>
      </w:pPr>
      <w:bookmarkStart w:id="11" w:name="_Toc4631"/>
      <w:r>
        <w:rPr>
          <w:rFonts w:ascii="Times New Roman" w:hAnsi="Times New Roman" w:eastAsia="宋体" w:cs="Times New Roman"/>
          <w:b/>
          <w:color w:val="auto"/>
          <w:sz w:val="22"/>
          <w:szCs w:val="22"/>
          <w:highlight w:val="none"/>
        </w:rPr>
        <w:t>8 适用技术规范与规范性文件</w:t>
      </w:r>
      <w:bookmarkEnd w:id="11"/>
    </w:p>
    <w:p w14:paraId="7319887A">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bookmarkStart w:id="31" w:name="_GoBack"/>
      <w:r>
        <w:rPr>
          <w:rFonts w:hint="eastAsia" w:ascii="Times New Roman" w:hAnsi="Times New Roman" w:eastAsia="宋体" w:cs="Times New Roman"/>
          <w:color w:val="auto"/>
          <w:sz w:val="22"/>
          <w:szCs w:val="22"/>
          <w:highlight w:val="none"/>
          <w:lang w:val="en-US" w:eastAsia="zh-CN"/>
        </w:rPr>
        <w:t>8.1国家法律与审计法规（顶层依据）</w:t>
      </w:r>
    </w:p>
    <w:p w14:paraId="6655908B">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8.1.1《中华人民共和国审计法》（2021 年 10 月 23 日修订，2022 年 1 月 1 日起施行）</w:t>
      </w:r>
    </w:p>
    <w:p w14:paraId="3505D363">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8.1.2《中华人民共和国审计法实施条例》（2010 年 2 月 2 日修订，2010 年 5 月 1 日起施行）</w:t>
      </w:r>
    </w:p>
    <w:p w14:paraId="4E2460E3">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8.1.3《中华人民共和国政府采购法》（2014 年 8 月 31 日修正，自公布之日起施行）</w:t>
      </w:r>
    </w:p>
    <w:p w14:paraId="35C22F07">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8.1.4《中华人民共和国政府采购法实施条例》（2015 年 1 月 30 日发布，2015 年 3 月 1 日起施行）</w:t>
      </w:r>
    </w:p>
    <w:p w14:paraId="3746C8BD">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8.1.5《中国注册会计师审计准则》（财政部 2022 年修订，2023 年 1 月 1 日起施行）</w:t>
      </w:r>
    </w:p>
    <w:p w14:paraId="3F8D6B48">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8.1.6《中国内部审计准则》（中国内部审计协会 2013 年发布，2014 年 1 月 1 日起施行）</w:t>
      </w:r>
    </w:p>
    <w:p w14:paraId="20FBD27B">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8.2卫生健康行业专项制度（核心依据）</w:t>
      </w:r>
    </w:p>
    <w:p w14:paraId="5705542D">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8.2.1《政府会计制度 —— 行政事业单位会计科目和报表》（财政部，财会〔2017〕25 号，2019 年 1 月 1 日起施行）</w:t>
      </w:r>
    </w:p>
    <w:p w14:paraId="7A436F47">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8.2.2《医院财务制度》（财政部、卫生部，财社〔2010〕306 号，2012 年 1 月 1 日起施行）</w:t>
      </w:r>
    </w:p>
    <w:p w14:paraId="7F0956A0">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8.2.3《基层医疗卫生机构财务制度》（财政部、卫生部，财社〔2010〕307 号，2011 年 7 月 1 日起施行）</w:t>
      </w:r>
    </w:p>
    <w:p w14:paraId="514B0BCA">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8.2.4《卫生计生系统内部审计工作规定》（国家卫生和计划生育委员会令第 16 号，2017 年 11 月 20 日发布，2018 年 1 月 1 日起施行）</w:t>
      </w:r>
    </w:p>
    <w:p w14:paraId="7AEA8E69">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8.2.5《进一步加强卫生健康行业内部审计工作的若干意见》（国家卫生健康委，国卫财务发〔2022〕9 号，2022 年 4 月 2 日发布，自发布之日起施行）</w:t>
      </w:r>
    </w:p>
    <w:p w14:paraId="112BE969">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8.2.6《卫生健康行业内部审计基本指引（试行）》等 7 个工作指引（国家卫生健康委办公厅，国卫办财务函〔2023〕416 号，2023 年 11 月 14 日发布，自发布之日起施行）</w:t>
      </w:r>
    </w:p>
    <w:p w14:paraId="4300801A">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8.2.7《公立医院全面预算管理制度实施办法》（国家卫生健康委、国家中医药局，国卫财务发〔2020〕30 号，2020 年 12 月 31 日发布，2021 年 1 月 1 日起施行）</w:t>
      </w:r>
    </w:p>
    <w:p w14:paraId="2925233F">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8.2.8《公立医院成本核算规范》（国家卫生健康委、国家中医药局，国卫财务发〔2021〕4 号，2021 年 2 月 3 日发布，自发布之日起施行）</w:t>
      </w:r>
    </w:p>
    <w:p w14:paraId="2E63D9B2">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8.3招标与服务管理规范（招标合规）</w:t>
      </w:r>
    </w:p>
    <w:p w14:paraId="4A37824D">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8.3.1《中华人民共和国招标投标法》（2017 年 12 月 28 日修正，自公布之日起施行）</w:t>
      </w:r>
    </w:p>
    <w:p w14:paraId="005AFBEF">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8.3.2《中华人民共和国招标投标法实施条例》（2011 年 12 月 20 日发布，2012 年 2 月 1 日起施行，2018 年 3 月 19 日修订）</w:t>
      </w:r>
    </w:p>
    <w:p w14:paraId="1D108B05">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8.3.3《政府采购需求管理办法》（财政部，财库〔2021〕22 号，2021 年 7 月 1 日起施行）</w:t>
      </w:r>
    </w:p>
    <w:p w14:paraId="6F7A3767">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8.3.4《医院财务报表审计指引》（中国注册会计师协会，会协〔2011〕3 号，2011 年 8 月 1 日起施行）仅适用医院财务报表审计不覆盖基层医疗卫生机构</w:t>
      </w:r>
    </w:p>
    <w:p w14:paraId="75857E42">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8.4专项监管与资金管理文件（重点审计依据）</w:t>
      </w:r>
    </w:p>
    <w:p w14:paraId="3B19F020">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8.4.1《医疗保障基金使用监督管理条例》（国务院，2021 年 1 月 15 日发布，2021 年 5 月 1 日起施行）</w:t>
      </w:r>
    </w:p>
    <w:p w14:paraId="33E50D80">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8.4.2《公立医院内部控制管理办法》（国家卫生健康委，国卫财务发〔2020〕31 号，2020 年 12 月 31 日发布，2021 年 1 月 1 日起施行）</w:t>
      </w:r>
    </w:p>
    <w:p w14:paraId="5736141B">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8.4.3《事业单位成本核算具体指引 —— 公立医院》（财政部，财会〔2021〕26 号，2021 年 11 月 15 日发布，自发布之日起施行）</w:t>
      </w:r>
    </w:p>
    <w:p w14:paraId="6E6231D3">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8.4.4财政、卫生健康行政部门关于财政补助资金、科教项目资金、大型医用设备采购、医用耗材采购、基本建设项目等专项管理规定。</w:t>
      </w:r>
    </w:p>
    <w:p w14:paraId="0FD66263">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8.5上海市及浦东新区地方性文件（属地执行依据）</w:t>
      </w:r>
    </w:p>
    <w:p w14:paraId="014E4CA6">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8.5.1《上海市市级事业单位年度财务会计报表和部门决算报表审计监督工作办法》（上海市财政局，2013 年 12 月发布，自发布之日起施行）</w:t>
      </w:r>
    </w:p>
    <w:p w14:paraId="3DED632E">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8.5.2《关于开展事业单位年度财务会计报表和部门决算报表注册会计师审计工作的通知》（浦东新区财政局，浦财督〔2012〕10 号，2012 年发布）</w:t>
      </w:r>
    </w:p>
    <w:p w14:paraId="25EE0B1D">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8.5.3《浦东新区卫生健康委员会内部审计管理办法》（上海市浦东新区卫生健康委员会）</w:t>
      </w:r>
    </w:p>
    <w:p w14:paraId="3473B5DE">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8.5.4浦东新区财政局、卫生健康委员会关于年度财务报告审计、部门决算审计相关工作要求</w:t>
      </w:r>
    </w:p>
    <w:p w14:paraId="6B531BF4">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各投标人应充分注意，凡涉及国家或行业管理部门颁发的相关规范、规程和标准，无论其是否在本招标文件中列明，中标人应无条件执行。标准、规范等不一致的，以要求高者为准。</w:t>
      </w:r>
    </w:p>
    <w:bookmarkEnd w:id="31"/>
    <w:p w14:paraId="6E644DDC">
      <w:pPr>
        <w:spacing w:line="300" w:lineRule="auto"/>
        <w:ind w:firstLine="424" w:firstLineChars="192"/>
        <w:outlineLvl w:val="2"/>
        <w:rPr>
          <w:rFonts w:ascii="Times New Roman" w:hAnsi="Times New Roman" w:eastAsia="宋体" w:cs="Times New Roman"/>
          <w:b/>
          <w:color w:val="auto"/>
          <w:sz w:val="22"/>
          <w:szCs w:val="22"/>
          <w:highlight w:val="none"/>
        </w:rPr>
      </w:pPr>
      <w:bookmarkStart w:id="12" w:name="_Toc20246"/>
      <w:r>
        <w:rPr>
          <w:rFonts w:ascii="Times New Roman" w:hAnsi="Times New Roman" w:eastAsia="宋体" w:cs="Times New Roman"/>
          <w:b/>
          <w:color w:val="auto"/>
          <w:sz w:val="22"/>
          <w:szCs w:val="22"/>
          <w:highlight w:val="none"/>
        </w:rPr>
        <w:t>9 招标内容与质量要求</w:t>
      </w:r>
      <w:bookmarkEnd w:id="12"/>
    </w:p>
    <w:p w14:paraId="190BD242">
      <w:pPr>
        <w:snapToGrid w:val="0"/>
        <w:spacing w:line="300" w:lineRule="auto"/>
        <w:ind w:firstLine="440" w:firstLineChars="200"/>
        <w:jc w:val="left"/>
        <w:rPr>
          <w:rFonts w:ascii="Times New Roman" w:hAnsi="Times New Roman" w:eastAsia="宋体" w:cs="Times New Roman"/>
          <w:color w:val="auto"/>
          <w:sz w:val="22"/>
          <w:szCs w:val="22"/>
          <w:highlight w:val="none"/>
        </w:rPr>
      </w:pPr>
      <w:r>
        <w:rPr>
          <w:rFonts w:ascii="Times New Roman" w:hAnsi="Times New Roman" w:eastAsia="宋体" w:cs="Times New Roman"/>
          <w:bCs/>
          <w:color w:val="auto"/>
          <w:sz w:val="22"/>
          <w:szCs w:val="22"/>
          <w:highlight w:val="none"/>
        </w:rPr>
        <w:t>9.1工作目</w:t>
      </w:r>
      <w:r>
        <w:rPr>
          <w:rFonts w:ascii="Times New Roman" w:hAnsi="Times New Roman" w:eastAsia="宋体" w:cs="Times New Roman"/>
          <w:color w:val="auto"/>
          <w:sz w:val="22"/>
          <w:szCs w:val="22"/>
          <w:highlight w:val="none"/>
        </w:rPr>
        <w:t>标与总体要求</w:t>
      </w:r>
    </w:p>
    <w:p w14:paraId="44134472">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1、严格遵循《中华人民共和国审计法》《中国注册会计师审计准则》《浦东新区政府采购实施办法》等相关法律法规和政策规定开展审计工作；</w:t>
      </w:r>
    </w:p>
    <w:p w14:paraId="445DB57D">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2、采用风险导向审计方法，结合委属单位不同类型（机关、直属单位、公立医院、社区卫生服务中心）特点制定针对性审计方案，确保审计覆盖全部细化内容，无遗漏重点审计领域；</w:t>
      </w:r>
    </w:p>
    <w:p w14:paraId="65B2BAE2">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3、对审计过程中发现的问题及时与采购单位沟通，出具真实、准确、完整的审计报告，包括审计结果、问题清单、整改建议等核心内容；对重大违规问题需单独出具专项报告。</w:t>
      </w:r>
    </w:p>
    <w:p w14:paraId="252323FC">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 xml:space="preserve">4、审计报告需经采购单位审核通过，满足财政部门监督检查要求，同时提供必要的后续咨询服务，协助委属单位落实整改；  </w:t>
      </w:r>
    </w:p>
    <w:p w14:paraId="065D7745">
      <w:pPr>
        <w:snapToGrid w:val="0"/>
        <w:spacing w:line="300" w:lineRule="auto"/>
        <w:ind w:firstLine="440" w:firstLineChars="200"/>
        <w:jc w:val="left"/>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5、严格遵守保密规定，对审计过程中获取的委属单位财务数据、内部信息等商业秘密和工作秘密承担保密责任，保密期限不少于3年。</w:t>
      </w:r>
    </w:p>
    <w:p w14:paraId="758DDFA7">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9.2 本项目招标内容与具体质量要求（但不仅限于）详见下表。</w:t>
      </w:r>
    </w:p>
    <w:p w14:paraId="5EC9F3EA">
      <w:pPr>
        <w:spacing w:line="300" w:lineRule="auto"/>
        <w:jc w:val="center"/>
        <w:rPr>
          <w:rFonts w:ascii="Times New Roman" w:hAnsi="Times New Roman" w:eastAsia="宋体" w:cs="Times New Roman"/>
          <w:b/>
          <w:color w:val="auto"/>
          <w:sz w:val="22"/>
          <w:szCs w:val="22"/>
          <w:highlight w:val="none"/>
        </w:rPr>
      </w:pPr>
      <w:r>
        <w:rPr>
          <w:rFonts w:ascii="Times New Roman" w:hAnsi="Times New Roman" w:eastAsia="宋体" w:cs="Times New Roman"/>
          <w:b/>
          <w:color w:val="auto"/>
          <w:sz w:val="22"/>
          <w:szCs w:val="22"/>
          <w:highlight w:val="none"/>
        </w:rPr>
        <w:t>服务内容一览表</w:t>
      </w:r>
    </w:p>
    <w:tbl>
      <w:tblPr>
        <w:tblStyle w:val="3"/>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344"/>
        <w:gridCol w:w="1693"/>
        <w:gridCol w:w="1852"/>
        <w:gridCol w:w="3312"/>
      </w:tblGrid>
      <w:tr w14:paraId="3A7F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blHeader/>
          <w:jc w:val="center"/>
        </w:trPr>
        <w:tc>
          <w:tcPr>
            <w:tcW w:w="710" w:type="dxa"/>
            <w:vAlign w:val="center"/>
          </w:tcPr>
          <w:p w14:paraId="025B5955">
            <w:pPr>
              <w:widowControl/>
              <w:tabs>
                <w:tab w:val="left" w:pos="720"/>
              </w:tabs>
              <w:snapToGrid w:val="0"/>
              <w:jc w:val="center"/>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344" w:type="dxa"/>
            <w:vAlign w:val="center"/>
          </w:tcPr>
          <w:p w14:paraId="3A62FC0A">
            <w:pPr>
              <w:widowControl/>
              <w:tabs>
                <w:tab w:val="left" w:pos="720"/>
              </w:tabs>
              <w:snapToGrid w:val="0"/>
              <w:jc w:val="center"/>
              <w:rPr>
                <w:rFonts w:hint="eastAsia" w:ascii="宋体" w:hAnsi="宋体" w:eastAsia="宋体" w:cs="宋体"/>
                <w:b/>
                <w:color w:val="auto"/>
                <w:kern w:val="0"/>
                <w:sz w:val="22"/>
                <w:szCs w:val="22"/>
                <w:highlight w:val="none"/>
                <w:lang w:eastAsia="zh-CN"/>
              </w:rPr>
            </w:pPr>
            <w:r>
              <w:rPr>
                <w:rFonts w:hint="eastAsia" w:ascii="宋体" w:hAnsi="宋体" w:eastAsia="宋体" w:cs="宋体"/>
                <w:b/>
                <w:color w:val="auto"/>
                <w:kern w:val="0"/>
                <w:sz w:val="22"/>
                <w:szCs w:val="22"/>
                <w:highlight w:val="none"/>
              </w:rPr>
              <w:t>项目</w:t>
            </w:r>
            <w:r>
              <w:rPr>
                <w:rFonts w:hint="eastAsia" w:ascii="宋体" w:hAnsi="宋体" w:eastAsia="宋体" w:cs="宋体"/>
                <w:b/>
                <w:color w:val="auto"/>
                <w:kern w:val="0"/>
                <w:sz w:val="22"/>
                <w:szCs w:val="22"/>
                <w:highlight w:val="none"/>
                <w:lang w:eastAsia="zh-CN"/>
              </w:rPr>
              <w:t>内容</w:t>
            </w:r>
          </w:p>
        </w:tc>
        <w:tc>
          <w:tcPr>
            <w:tcW w:w="1693" w:type="dxa"/>
            <w:tcBorders>
              <w:bottom w:val="single" w:color="auto" w:sz="4" w:space="0"/>
            </w:tcBorders>
            <w:vAlign w:val="center"/>
          </w:tcPr>
          <w:p w14:paraId="026BD571">
            <w:pPr>
              <w:widowControl/>
              <w:tabs>
                <w:tab w:val="left" w:pos="720"/>
              </w:tabs>
              <w:snapToGrid w:val="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服务期限要求</w:t>
            </w:r>
          </w:p>
        </w:tc>
        <w:tc>
          <w:tcPr>
            <w:tcW w:w="1852" w:type="dxa"/>
            <w:vAlign w:val="center"/>
          </w:tcPr>
          <w:p w14:paraId="7DE8004D">
            <w:pPr>
              <w:widowControl/>
              <w:tabs>
                <w:tab w:val="left" w:pos="720"/>
              </w:tabs>
              <w:snapToGrid w:val="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lang w:eastAsia="zh-CN"/>
              </w:rPr>
              <w:t>岗位</w:t>
            </w:r>
            <w:r>
              <w:rPr>
                <w:rFonts w:hint="eastAsia" w:ascii="宋体" w:hAnsi="宋体" w:eastAsia="宋体" w:cs="宋体"/>
                <w:b/>
                <w:color w:val="auto"/>
                <w:kern w:val="0"/>
                <w:sz w:val="22"/>
                <w:szCs w:val="22"/>
                <w:highlight w:val="none"/>
              </w:rPr>
              <w:t>配备要求</w:t>
            </w:r>
          </w:p>
        </w:tc>
        <w:tc>
          <w:tcPr>
            <w:tcW w:w="3312" w:type="dxa"/>
            <w:vAlign w:val="center"/>
          </w:tcPr>
          <w:p w14:paraId="48608947">
            <w:pPr>
              <w:widowControl/>
              <w:tabs>
                <w:tab w:val="left" w:pos="720"/>
              </w:tabs>
              <w:snapToGrid w:val="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成果交付要求</w:t>
            </w:r>
          </w:p>
        </w:tc>
      </w:tr>
      <w:tr w14:paraId="3378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2976E1DE">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1344" w:type="dxa"/>
            <w:vAlign w:val="center"/>
          </w:tcPr>
          <w:p w14:paraId="405CC4D1">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公立医院17家</w:t>
            </w:r>
          </w:p>
        </w:tc>
        <w:tc>
          <w:tcPr>
            <w:tcW w:w="1693" w:type="dxa"/>
            <w:vMerge w:val="restart"/>
            <w:vAlign w:val="center"/>
          </w:tcPr>
          <w:p w14:paraId="5EC40F2A">
            <w:pPr>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1.2026年</w:t>
            </w:r>
            <w:r>
              <w:rPr>
                <w:rFonts w:hint="eastAsia" w:ascii="宋体" w:hAnsi="宋体" w:eastAsia="宋体" w:cs="宋体"/>
                <w:color w:val="auto"/>
                <w:kern w:val="0"/>
                <w:sz w:val="22"/>
                <w:szCs w:val="22"/>
                <w:highlight w:val="none"/>
                <w:lang w:val="en-US" w:eastAsia="zh-CN"/>
              </w:rPr>
              <w:t>6</w:t>
            </w:r>
            <w:r>
              <w:rPr>
                <w:rFonts w:hint="eastAsia" w:ascii="宋体" w:hAnsi="宋体" w:eastAsia="宋体" w:cs="宋体"/>
                <w:color w:val="auto"/>
                <w:kern w:val="0"/>
                <w:sz w:val="22"/>
                <w:szCs w:val="22"/>
                <w:highlight w:val="none"/>
              </w:rPr>
              <w:t>月30日前完成现场审计并</w:t>
            </w:r>
            <w:r>
              <w:rPr>
                <w:rFonts w:hint="eastAsia" w:ascii="宋体" w:hAnsi="宋体" w:eastAsia="宋体" w:cs="宋体"/>
                <w:color w:val="auto"/>
                <w:kern w:val="0"/>
                <w:sz w:val="22"/>
                <w:szCs w:val="22"/>
                <w:highlight w:val="none"/>
                <w:lang w:val="en-US" w:eastAsia="zh-CN"/>
              </w:rPr>
              <w:t>确认</w:t>
            </w:r>
            <w:r>
              <w:rPr>
                <w:rFonts w:hint="eastAsia" w:ascii="宋体" w:hAnsi="宋体" w:eastAsia="宋体" w:cs="宋体"/>
                <w:color w:val="auto"/>
                <w:kern w:val="0"/>
                <w:sz w:val="22"/>
                <w:szCs w:val="22"/>
                <w:highlight w:val="none"/>
              </w:rPr>
              <w:t>审计报</w:t>
            </w:r>
            <w:r>
              <w:rPr>
                <w:rFonts w:hint="eastAsia" w:ascii="宋体" w:hAnsi="宋体" w:eastAsia="宋体" w:cs="宋体"/>
                <w:color w:val="auto"/>
                <w:kern w:val="0"/>
                <w:sz w:val="22"/>
                <w:szCs w:val="22"/>
                <w:highlight w:val="none"/>
                <w:lang w:val="en-US" w:eastAsia="zh-CN"/>
              </w:rPr>
              <w:t>告</w:t>
            </w:r>
            <w:r>
              <w:rPr>
                <w:rFonts w:hint="eastAsia" w:ascii="宋体" w:hAnsi="宋体" w:eastAsia="宋体" w:cs="宋体"/>
                <w:color w:val="auto"/>
                <w:kern w:val="0"/>
                <w:sz w:val="22"/>
                <w:szCs w:val="22"/>
                <w:highlight w:val="none"/>
              </w:rPr>
              <w:t>。</w:t>
            </w:r>
          </w:p>
          <w:p w14:paraId="035E90E1">
            <w:pPr>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2.2026年</w:t>
            </w:r>
            <w:r>
              <w:rPr>
                <w:rFonts w:hint="eastAsia" w:ascii="宋体" w:hAnsi="宋体" w:eastAsia="宋体" w:cs="宋体"/>
                <w:color w:val="auto"/>
                <w:kern w:val="0"/>
                <w:sz w:val="22"/>
                <w:szCs w:val="22"/>
                <w:highlight w:val="none"/>
                <w:lang w:val="en-US" w:eastAsia="zh-CN"/>
              </w:rPr>
              <w:t>7</w:t>
            </w:r>
            <w:r>
              <w:rPr>
                <w:rFonts w:hint="eastAsia" w:ascii="宋体" w:hAnsi="宋体" w:eastAsia="宋体" w:cs="宋体"/>
                <w:color w:val="auto"/>
                <w:kern w:val="0"/>
                <w:sz w:val="22"/>
                <w:szCs w:val="22"/>
                <w:highlight w:val="none"/>
              </w:rPr>
              <w:t>月至8月事务所配合委托方实施基层单位问题整改推进及专业指导。</w:t>
            </w:r>
          </w:p>
          <w:p w14:paraId="24D36620">
            <w:pPr>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3.2026年8月15日前</w:t>
            </w:r>
            <w:r>
              <w:rPr>
                <w:rFonts w:hint="eastAsia" w:ascii="宋体" w:hAnsi="宋体" w:eastAsia="宋体" w:cs="宋体"/>
                <w:color w:val="auto"/>
                <w:kern w:val="0"/>
                <w:sz w:val="22"/>
                <w:szCs w:val="22"/>
                <w:highlight w:val="none"/>
                <w:lang w:val="en-US" w:eastAsia="zh-CN"/>
              </w:rPr>
              <w:t>出具</w:t>
            </w:r>
            <w:r>
              <w:rPr>
                <w:rFonts w:hint="eastAsia" w:ascii="宋体" w:hAnsi="宋体" w:eastAsia="宋体" w:cs="宋体"/>
                <w:color w:val="auto"/>
                <w:kern w:val="0"/>
                <w:sz w:val="22"/>
                <w:szCs w:val="22"/>
                <w:highlight w:val="none"/>
              </w:rPr>
              <w:t>汇总报告（含问题分析及建议等）</w:t>
            </w:r>
            <w:r>
              <w:rPr>
                <w:rFonts w:hint="eastAsia" w:ascii="宋体" w:hAnsi="宋体" w:eastAsia="宋体" w:cs="宋体"/>
                <w:color w:val="auto"/>
                <w:kern w:val="0"/>
                <w:sz w:val="22"/>
                <w:szCs w:val="22"/>
                <w:highlight w:val="none"/>
                <w:lang w:val="en-US" w:eastAsia="zh-CN"/>
              </w:rPr>
              <w:t>和“2026年度年报审计及整改情况表”</w:t>
            </w:r>
            <w:r>
              <w:rPr>
                <w:rFonts w:hint="eastAsia" w:ascii="宋体" w:hAnsi="宋体" w:eastAsia="宋体" w:cs="宋体"/>
                <w:color w:val="auto"/>
                <w:kern w:val="0"/>
                <w:sz w:val="22"/>
                <w:szCs w:val="22"/>
                <w:highlight w:val="none"/>
              </w:rPr>
              <w:t>待上报财政局。</w:t>
            </w:r>
          </w:p>
        </w:tc>
        <w:tc>
          <w:tcPr>
            <w:tcW w:w="1852" w:type="dxa"/>
            <w:vMerge w:val="restart"/>
            <w:vAlign w:val="center"/>
          </w:tcPr>
          <w:p w14:paraId="01A7ED14">
            <w:pPr>
              <w:widowControl/>
              <w:tabs>
                <w:tab w:val="left" w:pos="720"/>
              </w:tabs>
              <w:snapToGrid w:val="0"/>
              <w:ind w:left="0"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1.每个项目内容至少配备2组（每组人员不得低于3人）及以上人员；</w:t>
            </w:r>
          </w:p>
          <w:p w14:paraId="223EB6B0">
            <w:pPr>
              <w:widowControl/>
              <w:tabs>
                <w:tab w:val="left" w:pos="720"/>
              </w:tabs>
              <w:snapToGrid w:val="0"/>
              <w:ind w:left="0" w:firstLine="440" w:firstLineChars="20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2.每个项目内容至少配置1名项目负责人；</w:t>
            </w:r>
          </w:p>
          <w:p w14:paraId="4CA7E68B">
            <w:pPr>
              <w:tabs>
                <w:tab w:val="left" w:pos="720"/>
              </w:tabs>
              <w:snapToGrid w:val="0"/>
              <w:jc w:val="left"/>
              <w:rPr>
                <w:rFonts w:hint="eastAsia" w:ascii="宋体" w:hAnsi="宋体" w:eastAsia="宋体" w:cs="宋体"/>
                <w:color w:val="auto"/>
                <w:kern w:val="0"/>
                <w:sz w:val="22"/>
                <w:szCs w:val="22"/>
                <w:highlight w:val="none"/>
              </w:rPr>
            </w:pPr>
          </w:p>
        </w:tc>
        <w:tc>
          <w:tcPr>
            <w:tcW w:w="3312" w:type="dxa"/>
            <w:vMerge w:val="restart"/>
            <w:vAlign w:val="center"/>
          </w:tcPr>
          <w:p w14:paraId="6044337E">
            <w:pPr>
              <w:widowControl/>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1.每家被审计单位的《年度财务审计报告》正本 2 份、副本 3 份及电子版 1 份；对存在重大问题的单位，额外提交《专项审计问题报告》。完成对各单位整改推进的确认，并提供《2026年年报审计问题及整改情况表》盖章PDF及电子版各1份。</w:t>
            </w:r>
          </w:p>
        </w:tc>
      </w:tr>
      <w:tr w14:paraId="25ED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Align w:val="center"/>
          </w:tcPr>
          <w:p w14:paraId="60BFCEEE">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1344" w:type="dxa"/>
            <w:vAlign w:val="center"/>
          </w:tcPr>
          <w:p w14:paraId="29A89B4D">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直属+委本部10家</w:t>
            </w:r>
          </w:p>
        </w:tc>
        <w:tc>
          <w:tcPr>
            <w:tcW w:w="1693" w:type="dxa"/>
            <w:vMerge w:val="continue"/>
            <w:vAlign w:val="center"/>
          </w:tcPr>
          <w:p w14:paraId="445AA15A">
            <w:pPr>
              <w:widowControl/>
              <w:tabs>
                <w:tab w:val="left" w:pos="720"/>
              </w:tabs>
              <w:snapToGrid w:val="0"/>
              <w:jc w:val="center"/>
              <w:rPr>
                <w:rFonts w:hint="eastAsia" w:ascii="宋体" w:hAnsi="宋体" w:eastAsia="宋体" w:cs="宋体"/>
                <w:color w:val="auto"/>
                <w:kern w:val="0"/>
                <w:sz w:val="22"/>
                <w:szCs w:val="22"/>
                <w:highlight w:val="none"/>
              </w:rPr>
            </w:pPr>
          </w:p>
        </w:tc>
        <w:tc>
          <w:tcPr>
            <w:tcW w:w="1852" w:type="dxa"/>
            <w:vMerge w:val="continue"/>
            <w:vAlign w:val="center"/>
          </w:tcPr>
          <w:p w14:paraId="122821AA">
            <w:pPr>
              <w:tabs>
                <w:tab w:val="left" w:pos="720"/>
              </w:tabs>
              <w:snapToGrid w:val="0"/>
              <w:jc w:val="left"/>
              <w:rPr>
                <w:rFonts w:hint="eastAsia" w:ascii="宋体" w:hAnsi="宋体" w:eastAsia="宋体" w:cs="宋体"/>
                <w:color w:val="auto"/>
                <w:kern w:val="0"/>
                <w:sz w:val="22"/>
                <w:szCs w:val="22"/>
                <w:highlight w:val="none"/>
              </w:rPr>
            </w:pPr>
          </w:p>
        </w:tc>
        <w:tc>
          <w:tcPr>
            <w:tcW w:w="3312" w:type="dxa"/>
            <w:vMerge w:val="continue"/>
            <w:vAlign w:val="center"/>
          </w:tcPr>
          <w:p w14:paraId="28A03A6B">
            <w:pPr>
              <w:widowControl/>
              <w:tabs>
                <w:tab w:val="left" w:pos="720"/>
              </w:tabs>
              <w:snapToGrid w:val="0"/>
              <w:jc w:val="left"/>
              <w:rPr>
                <w:rFonts w:hint="eastAsia" w:ascii="宋体" w:hAnsi="宋体" w:eastAsia="宋体" w:cs="宋体"/>
                <w:color w:val="auto"/>
                <w:kern w:val="0"/>
                <w:sz w:val="22"/>
                <w:szCs w:val="22"/>
                <w:highlight w:val="none"/>
              </w:rPr>
            </w:pPr>
          </w:p>
        </w:tc>
      </w:tr>
      <w:tr w14:paraId="5FCA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558C756D">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1344" w:type="dxa"/>
            <w:vAlign w:val="center"/>
          </w:tcPr>
          <w:p w14:paraId="34F15A5E">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社区潍坊片</w:t>
            </w:r>
            <w:r>
              <w:rPr>
                <w:rFonts w:hint="eastAsia" w:ascii="宋体" w:hAnsi="宋体" w:eastAsia="宋体" w:cs="宋体"/>
                <w:bCs/>
                <w:color w:val="auto"/>
                <w:sz w:val="22"/>
                <w:szCs w:val="22"/>
                <w:highlight w:val="none"/>
                <w:lang w:val="en-US" w:eastAsia="zh-CN"/>
              </w:rPr>
              <w:t>区</w:t>
            </w:r>
            <w:r>
              <w:rPr>
                <w:rFonts w:hint="eastAsia" w:ascii="宋体" w:hAnsi="宋体" w:eastAsia="宋体" w:cs="宋体"/>
                <w:color w:val="auto"/>
                <w:kern w:val="0"/>
                <w:sz w:val="22"/>
                <w:szCs w:val="22"/>
                <w:highlight w:val="none"/>
              </w:rPr>
              <w:t>12家</w:t>
            </w:r>
          </w:p>
        </w:tc>
        <w:tc>
          <w:tcPr>
            <w:tcW w:w="1693" w:type="dxa"/>
            <w:vMerge w:val="continue"/>
            <w:vAlign w:val="center"/>
          </w:tcPr>
          <w:p w14:paraId="2A249A92">
            <w:pPr>
              <w:widowControl/>
              <w:tabs>
                <w:tab w:val="left" w:pos="720"/>
              </w:tabs>
              <w:snapToGrid w:val="0"/>
              <w:jc w:val="center"/>
              <w:rPr>
                <w:rFonts w:hint="eastAsia" w:ascii="宋体" w:hAnsi="宋体" w:eastAsia="宋体" w:cs="宋体"/>
                <w:color w:val="auto"/>
                <w:kern w:val="0"/>
                <w:sz w:val="22"/>
                <w:szCs w:val="22"/>
                <w:highlight w:val="none"/>
              </w:rPr>
            </w:pPr>
          </w:p>
        </w:tc>
        <w:tc>
          <w:tcPr>
            <w:tcW w:w="1852" w:type="dxa"/>
            <w:vMerge w:val="continue"/>
            <w:vAlign w:val="center"/>
          </w:tcPr>
          <w:p w14:paraId="386F1AAA">
            <w:pPr>
              <w:tabs>
                <w:tab w:val="left" w:pos="720"/>
              </w:tabs>
              <w:snapToGrid w:val="0"/>
              <w:jc w:val="left"/>
              <w:rPr>
                <w:rFonts w:hint="eastAsia" w:ascii="宋体" w:hAnsi="宋体" w:eastAsia="宋体" w:cs="宋体"/>
                <w:color w:val="auto"/>
                <w:kern w:val="0"/>
                <w:sz w:val="22"/>
                <w:szCs w:val="22"/>
                <w:highlight w:val="none"/>
              </w:rPr>
            </w:pPr>
          </w:p>
        </w:tc>
        <w:tc>
          <w:tcPr>
            <w:tcW w:w="3312" w:type="dxa"/>
            <w:vMerge w:val="restart"/>
            <w:vAlign w:val="center"/>
          </w:tcPr>
          <w:p w14:paraId="195EAAC6">
            <w:pPr>
              <w:widowControl/>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2.整体审计工作总结报告（含全部被审计单位审计情况汇总、共性问题分析、行业改进建议等）正本 2 份、副本 3 份及电子版 1 份；并完成PPT汇报材料的准备工作。</w:t>
            </w:r>
          </w:p>
        </w:tc>
      </w:tr>
      <w:tr w14:paraId="09DD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6514714F">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1344" w:type="dxa"/>
            <w:vAlign w:val="center"/>
          </w:tcPr>
          <w:p w14:paraId="6CCE9225">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社区集机场片</w:t>
            </w:r>
            <w:r>
              <w:rPr>
                <w:rFonts w:hint="eastAsia" w:ascii="宋体" w:hAnsi="宋体" w:eastAsia="宋体" w:cs="宋体"/>
                <w:bCs/>
                <w:color w:val="auto"/>
                <w:sz w:val="22"/>
                <w:szCs w:val="22"/>
                <w:highlight w:val="none"/>
                <w:lang w:val="en-US" w:eastAsia="zh-CN"/>
              </w:rPr>
              <w:t>区</w:t>
            </w:r>
            <w:r>
              <w:rPr>
                <w:rFonts w:hint="eastAsia" w:ascii="宋体" w:hAnsi="宋体" w:eastAsia="宋体" w:cs="宋体"/>
                <w:color w:val="auto"/>
                <w:kern w:val="0"/>
                <w:sz w:val="22"/>
                <w:szCs w:val="22"/>
                <w:highlight w:val="none"/>
              </w:rPr>
              <w:t>11家</w:t>
            </w:r>
          </w:p>
        </w:tc>
        <w:tc>
          <w:tcPr>
            <w:tcW w:w="1693" w:type="dxa"/>
            <w:vMerge w:val="continue"/>
            <w:vAlign w:val="center"/>
          </w:tcPr>
          <w:p w14:paraId="4BC976FF">
            <w:pPr>
              <w:widowControl/>
              <w:tabs>
                <w:tab w:val="left" w:pos="720"/>
              </w:tabs>
              <w:snapToGrid w:val="0"/>
              <w:jc w:val="center"/>
              <w:rPr>
                <w:rFonts w:hint="eastAsia" w:ascii="宋体" w:hAnsi="宋体" w:eastAsia="宋体" w:cs="宋体"/>
                <w:color w:val="auto"/>
                <w:kern w:val="0"/>
                <w:sz w:val="22"/>
                <w:szCs w:val="22"/>
                <w:highlight w:val="none"/>
              </w:rPr>
            </w:pPr>
          </w:p>
        </w:tc>
        <w:tc>
          <w:tcPr>
            <w:tcW w:w="1852" w:type="dxa"/>
            <w:vMerge w:val="continue"/>
            <w:vAlign w:val="center"/>
          </w:tcPr>
          <w:p w14:paraId="5B376EE2">
            <w:pPr>
              <w:tabs>
                <w:tab w:val="left" w:pos="720"/>
              </w:tabs>
              <w:snapToGrid w:val="0"/>
              <w:jc w:val="left"/>
              <w:rPr>
                <w:rFonts w:hint="eastAsia" w:ascii="宋体" w:hAnsi="宋体" w:eastAsia="宋体" w:cs="宋体"/>
                <w:color w:val="auto"/>
                <w:kern w:val="0"/>
                <w:sz w:val="22"/>
                <w:szCs w:val="22"/>
                <w:highlight w:val="none"/>
              </w:rPr>
            </w:pPr>
          </w:p>
        </w:tc>
        <w:tc>
          <w:tcPr>
            <w:tcW w:w="3312" w:type="dxa"/>
            <w:vMerge w:val="continue"/>
            <w:vAlign w:val="center"/>
          </w:tcPr>
          <w:p w14:paraId="78A5C0AB">
            <w:pPr>
              <w:widowControl/>
              <w:tabs>
                <w:tab w:val="left" w:pos="720"/>
              </w:tabs>
              <w:snapToGrid w:val="0"/>
              <w:jc w:val="left"/>
              <w:rPr>
                <w:rFonts w:hint="eastAsia" w:ascii="宋体" w:hAnsi="宋体" w:eastAsia="宋体" w:cs="宋体"/>
                <w:color w:val="auto"/>
                <w:kern w:val="0"/>
                <w:sz w:val="22"/>
                <w:szCs w:val="22"/>
                <w:highlight w:val="none"/>
              </w:rPr>
            </w:pPr>
          </w:p>
        </w:tc>
      </w:tr>
      <w:tr w14:paraId="0868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14:paraId="4BC4E436">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1344" w:type="dxa"/>
            <w:vAlign w:val="center"/>
          </w:tcPr>
          <w:p w14:paraId="0DE774C4">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社区花木片</w:t>
            </w:r>
            <w:r>
              <w:rPr>
                <w:rFonts w:hint="eastAsia" w:ascii="宋体" w:hAnsi="宋体" w:eastAsia="宋体" w:cs="宋体"/>
                <w:bCs/>
                <w:color w:val="auto"/>
                <w:sz w:val="22"/>
                <w:szCs w:val="22"/>
                <w:highlight w:val="none"/>
                <w:lang w:val="en-US" w:eastAsia="zh-CN"/>
              </w:rPr>
              <w:t>区</w:t>
            </w:r>
            <w:r>
              <w:rPr>
                <w:rFonts w:hint="eastAsia" w:ascii="宋体" w:hAnsi="宋体" w:eastAsia="宋体" w:cs="宋体"/>
                <w:color w:val="auto"/>
                <w:kern w:val="0"/>
                <w:sz w:val="22"/>
                <w:szCs w:val="22"/>
                <w:highlight w:val="none"/>
              </w:rPr>
              <w:t>10家</w:t>
            </w:r>
          </w:p>
        </w:tc>
        <w:tc>
          <w:tcPr>
            <w:tcW w:w="1693" w:type="dxa"/>
            <w:vMerge w:val="continue"/>
            <w:vAlign w:val="center"/>
          </w:tcPr>
          <w:p w14:paraId="03773C01">
            <w:pPr>
              <w:widowControl/>
              <w:tabs>
                <w:tab w:val="left" w:pos="720"/>
              </w:tabs>
              <w:snapToGrid w:val="0"/>
              <w:jc w:val="center"/>
              <w:rPr>
                <w:rFonts w:hint="eastAsia" w:ascii="宋体" w:hAnsi="宋体" w:eastAsia="宋体" w:cs="宋体"/>
                <w:color w:val="auto"/>
                <w:kern w:val="0"/>
                <w:sz w:val="22"/>
                <w:szCs w:val="22"/>
                <w:highlight w:val="none"/>
              </w:rPr>
            </w:pPr>
          </w:p>
        </w:tc>
        <w:tc>
          <w:tcPr>
            <w:tcW w:w="1852" w:type="dxa"/>
            <w:vMerge w:val="continue"/>
            <w:vAlign w:val="center"/>
          </w:tcPr>
          <w:p w14:paraId="0B81EA74">
            <w:pPr>
              <w:widowControl/>
              <w:tabs>
                <w:tab w:val="left" w:pos="720"/>
              </w:tabs>
              <w:snapToGrid w:val="0"/>
              <w:jc w:val="left"/>
              <w:rPr>
                <w:rFonts w:hint="eastAsia" w:ascii="宋体" w:hAnsi="宋体" w:eastAsia="宋体" w:cs="宋体"/>
                <w:color w:val="auto"/>
                <w:kern w:val="0"/>
                <w:sz w:val="22"/>
                <w:szCs w:val="22"/>
                <w:highlight w:val="none"/>
              </w:rPr>
            </w:pPr>
          </w:p>
        </w:tc>
        <w:tc>
          <w:tcPr>
            <w:tcW w:w="3312" w:type="dxa"/>
            <w:vMerge w:val="restart"/>
            <w:vAlign w:val="center"/>
          </w:tcPr>
          <w:p w14:paraId="120C0A35">
            <w:pPr>
              <w:widowControl/>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3.审计工作底稿、取证材料、询证函、盘点记录等（纸质版/电子版），事务所按财政部门档案管理规定全套审计档案整理归档。</w:t>
            </w:r>
          </w:p>
          <w:p w14:paraId="72F05138">
            <w:pPr>
              <w:widowControl/>
              <w:tabs>
                <w:tab w:val="left" w:pos="720"/>
              </w:tabs>
              <w:snapToGrid w:val="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4.电子版按问题归类整理交委托单位归档。</w:t>
            </w:r>
          </w:p>
        </w:tc>
      </w:tr>
      <w:tr w14:paraId="5B58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710" w:type="dxa"/>
            <w:vAlign w:val="center"/>
          </w:tcPr>
          <w:p w14:paraId="367686D7">
            <w:pPr>
              <w:widowControl/>
              <w:tabs>
                <w:tab w:val="left" w:pos="720"/>
              </w:tabs>
              <w:snapToGrid w:val="0"/>
              <w:spacing w:line="30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1344" w:type="dxa"/>
            <w:vAlign w:val="center"/>
          </w:tcPr>
          <w:p w14:paraId="33BB0D8B">
            <w:pPr>
              <w:widowControl/>
              <w:tabs>
                <w:tab w:val="left" w:pos="720"/>
              </w:tabs>
              <w:snapToGrid w:val="0"/>
              <w:spacing w:line="30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社区南片</w:t>
            </w:r>
            <w:r>
              <w:rPr>
                <w:rFonts w:hint="eastAsia" w:ascii="宋体" w:hAnsi="宋体" w:eastAsia="宋体" w:cs="宋体"/>
                <w:bCs/>
                <w:color w:val="auto"/>
                <w:sz w:val="22"/>
                <w:szCs w:val="22"/>
                <w:highlight w:val="none"/>
                <w:lang w:val="en-US" w:eastAsia="zh-CN"/>
              </w:rPr>
              <w:t>区</w:t>
            </w:r>
            <w:r>
              <w:rPr>
                <w:rFonts w:hint="eastAsia" w:ascii="宋体" w:hAnsi="宋体" w:eastAsia="宋体" w:cs="宋体"/>
                <w:color w:val="auto"/>
                <w:kern w:val="0"/>
                <w:sz w:val="22"/>
                <w:szCs w:val="22"/>
                <w:highlight w:val="none"/>
              </w:rPr>
              <w:t>13家</w:t>
            </w:r>
          </w:p>
        </w:tc>
        <w:tc>
          <w:tcPr>
            <w:tcW w:w="1693" w:type="dxa"/>
            <w:vMerge w:val="continue"/>
            <w:vAlign w:val="center"/>
          </w:tcPr>
          <w:p w14:paraId="2A035162">
            <w:pPr>
              <w:widowControl/>
              <w:tabs>
                <w:tab w:val="left" w:pos="720"/>
              </w:tabs>
              <w:snapToGrid w:val="0"/>
              <w:jc w:val="center"/>
              <w:rPr>
                <w:rFonts w:hint="eastAsia" w:ascii="宋体" w:hAnsi="宋体" w:eastAsia="宋体" w:cs="宋体"/>
                <w:color w:val="auto"/>
                <w:kern w:val="0"/>
                <w:sz w:val="22"/>
                <w:szCs w:val="22"/>
                <w:highlight w:val="none"/>
              </w:rPr>
            </w:pPr>
          </w:p>
        </w:tc>
        <w:tc>
          <w:tcPr>
            <w:tcW w:w="1852" w:type="dxa"/>
            <w:vMerge w:val="continue"/>
            <w:vAlign w:val="center"/>
          </w:tcPr>
          <w:p w14:paraId="665DFB6E">
            <w:pPr>
              <w:widowControl/>
              <w:tabs>
                <w:tab w:val="left" w:pos="720"/>
              </w:tabs>
              <w:snapToGrid w:val="0"/>
              <w:jc w:val="left"/>
              <w:rPr>
                <w:rFonts w:hint="eastAsia" w:ascii="宋体" w:hAnsi="宋体" w:eastAsia="宋体" w:cs="宋体"/>
                <w:color w:val="auto"/>
                <w:kern w:val="0"/>
                <w:sz w:val="22"/>
                <w:szCs w:val="22"/>
                <w:highlight w:val="none"/>
              </w:rPr>
            </w:pPr>
          </w:p>
        </w:tc>
        <w:tc>
          <w:tcPr>
            <w:tcW w:w="3312" w:type="dxa"/>
            <w:vMerge w:val="continue"/>
            <w:vAlign w:val="center"/>
          </w:tcPr>
          <w:p w14:paraId="3E83A4DF">
            <w:pPr>
              <w:widowControl/>
              <w:tabs>
                <w:tab w:val="left" w:pos="720"/>
              </w:tabs>
              <w:snapToGrid w:val="0"/>
              <w:jc w:val="left"/>
              <w:rPr>
                <w:rFonts w:hint="eastAsia" w:ascii="宋体" w:hAnsi="宋体" w:eastAsia="宋体" w:cs="宋体"/>
                <w:color w:val="auto"/>
                <w:kern w:val="0"/>
                <w:sz w:val="22"/>
                <w:szCs w:val="22"/>
                <w:highlight w:val="none"/>
              </w:rPr>
            </w:pPr>
          </w:p>
        </w:tc>
      </w:tr>
    </w:tbl>
    <w:p w14:paraId="493C9BE5">
      <w:pPr>
        <w:adjustRightInd w:val="0"/>
        <w:snapToGrid w:val="0"/>
        <w:spacing w:line="300" w:lineRule="auto"/>
        <w:ind w:firstLine="424" w:firstLineChars="192"/>
        <w:rPr>
          <w:rFonts w:ascii="Times New Roman" w:hAnsi="Times New Roman" w:eastAsia="宋体" w:cs="Times New Roman"/>
          <w:b/>
          <w:bCs/>
          <w:color w:val="auto"/>
          <w:sz w:val="22"/>
          <w:szCs w:val="22"/>
          <w:highlight w:val="none"/>
        </w:rPr>
      </w:pPr>
      <w:r>
        <w:rPr>
          <w:rFonts w:ascii="Times New Roman" w:hAnsi="Times New Roman" w:eastAsia="宋体" w:cs="Times New Roman"/>
          <w:b/>
          <w:bCs/>
          <w:color w:val="auto"/>
          <w:sz w:val="22"/>
          <w:szCs w:val="22"/>
          <w:highlight w:val="none"/>
        </w:rPr>
        <w:t>说明：此表所列内容为本次招标核心工作内容，投标人不得缩减。</w:t>
      </w:r>
    </w:p>
    <w:p w14:paraId="1C99406A">
      <w:pPr>
        <w:snapToGrid w:val="0"/>
        <w:spacing w:line="300" w:lineRule="auto"/>
        <w:ind w:firstLine="440" w:firstLineChars="200"/>
        <w:jc w:val="left"/>
        <w:rPr>
          <w:rFonts w:ascii="Times New Roman" w:hAnsi="Times New Roman" w:eastAsia="宋体" w:cs="Times New Roman"/>
          <w:bCs/>
          <w:color w:val="auto"/>
          <w:sz w:val="22"/>
          <w:szCs w:val="22"/>
          <w:highlight w:val="none"/>
        </w:rPr>
      </w:pPr>
      <w:r>
        <w:rPr>
          <w:rFonts w:hint="eastAsia" w:ascii="Times New Roman" w:hAnsi="Times New Roman" w:eastAsia="宋体" w:cs="Times New Roman"/>
          <w:bCs/>
          <w:color w:val="auto"/>
          <w:sz w:val="22"/>
          <w:szCs w:val="22"/>
          <w:highlight w:val="none"/>
          <w:lang w:val="en-US" w:eastAsia="zh-CN"/>
        </w:rPr>
        <w:t>9.3</w:t>
      </w:r>
      <w:r>
        <w:rPr>
          <w:rFonts w:ascii="Times New Roman" w:hAnsi="Times New Roman" w:eastAsia="宋体" w:cs="Times New Roman"/>
          <w:bCs/>
          <w:color w:val="auto"/>
          <w:sz w:val="22"/>
          <w:szCs w:val="22"/>
          <w:highlight w:val="none"/>
          <w:lang w:val="en-US" w:eastAsia="zh-CN"/>
        </w:rPr>
        <w:t>工作要求</w:t>
      </w:r>
    </w:p>
    <w:p w14:paraId="1927FA8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9.3.1审计内容：</w:t>
      </w:r>
    </w:p>
    <w:p w14:paraId="7BBB6D4E">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（1）报告编报内容和范围的完整性审计</w:t>
      </w:r>
    </w:p>
    <w:p w14:paraId="6445DF6E">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核查年报编报范围是否覆盖单位全部所属机构，有无漏报、瞒报资产负债及收支情况的情形。</w:t>
      </w:r>
    </w:p>
    <w:p w14:paraId="63FE6040">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审查年报内容是否涵盖资产负债表、收入支出表、财政拨款收入支出表等规定的全部报表。</w:t>
      </w:r>
    </w:p>
    <w:p w14:paraId="37C0E37B">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核实年报编报口径是否符合财政部门要求，是否存在随意调整编报范围、拆分合并报表的情况。</w:t>
      </w:r>
    </w:p>
    <w:p w14:paraId="283EDC60">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u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（2）预算执行情况和财</w:t>
      </w:r>
      <w:r>
        <w:rPr>
          <w:rFonts w:hint="eastAsia" w:ascii="Times New Roman" w:hAnsi="Times New Roman" w:eastAsia="宋体" w:cs="Times New Roman"/>
          <w:bCs/>
          <w:color w:val="auto"/>
          <w:kern w:val="2"/>
          <w:sz w:val="22"/>
          <w:szCs w:val="22"/>
          <w:highlight w:val="none"/>
          <w:u w:val="none"/>
          <w:lang w:val="en-US" w:eastAsia="zh-CN" w:bidi="ar-SA"/>
        </w:rPr>
        <w:t>务收支情况的合法性、真实性和完整性审计</w:t>
      </w:r>
    </w:p>
    <w:p w14:paraId="348F409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u w:val="none"/>
          <w:lang w:val="en-US" w:eastAsia="zh-CN" w:bidi="ar-SA"/>
        </w:rPr>
        <w:t>预算执行合法性：核查预算编制、调整、批复程序是否合规；各项收入是否全部纳入预算管理，有无超预算、无预算支出行为；支</w:t>
      </w:r>
      <w:r>
        <w:rPr>
          <w:rFonts w:hint="eastAsia" w:ascii="Times New Roman" w:hAnsi="Times New Roman" w:eastAsia="宋体" w:cs="Times New Roman"/>
          <w:bCs/>
          <w:color w:val="auto"/>
          <w:kern w:val="2"/>
          <w:sz w:val="22"/>
          <w:szCs w:val="22"/>
          <w:highlight w:val="none"/>
          <w:lang w:val="en-US" w:eastAsia="zh-CN" w:bidi="ar-SA"/>
        </w:rPr>
        <w:t>出是否严格执行国库集中支付、政府采购等制度，有无挤占、挪用、截留财政资金的情形；专项资金是否专款专用，有无擅自改变资金用途的行为。</w:t>
      </w:r>
    </w:p>
    <w:p w14:paraId="317F2CE1">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财务收支真实性：审查各项收入（财政拨款收入、事业收入、其他收入等）是否真实发生，票据是否合法有效，有无虚列收入、隐瞒收入的情况；各项支出是否真实合规，报销凭证是否齐全、审批流程是否完整，有无虚列支出、套取资金的行为。</w:t>
      </w:r>
    </w:p>
    <w:p w14:paraId="72D93D62">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财务收支完整性：核实单位所有收支是否全部纳入财务账册核算，有无私设 “小金库”、账外账等违规行为；往来款项是否及时清理，有无长期挂账未处理的款项，是否存在利用往来款项隐匿收支的情形。</w:t>
      </w:r>
    </w:p>
    <w:p w14:paraId="4E154C35">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（3）年终结余资金结转和分配的真实性和完整性审计</w:t>
      </w:r>
    </w:p>
    <w:p w14:paraId="05193057">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核查结余资金的形成是否真实，是否存在虚增或虚减结余的情况；结余资金的分类是否准确。</w:t>
      </w:r>
    </w:p>
    <w:p w14:paraId="40748277">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审查结转资金的用途是否符合规定，结转依据是否充分，有无违规结转无实质内容的项目资金；结转资金的管理是否规范，是否按要求进行明细核算，有无长期闲置未使用的结转资金。</w:t>
      </w:r>
    </w:p>
    <w:p w14:paraId="720FE7C8">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核实结余资金的分配是否符合财政部门和单位内部管理制度。</w:t>
      </w:r>
    </w:p>
    <w:p w14:paraId="41BF033F">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（4）资产负债净资产核算的真实性和完整性审计</w:t>
      </w:r>
    </w:p>
    <w:p w14:paraId="2BFA34E2">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资产审计：核查货币资金是否账实相符，有无公款私存、挪用现金等行为；应收账款、预付账款是否真实，有无坏账风险，坏账准备计提是否合规；存货是否定期盘点，账实是否一致；固定资产是否账卡物三相符，购置、处置、折旧计提是否合规，入账是否及时；在建工程已达入账条件是否及时暂估入账；无形资产核算是否规范，有无漏记、少记无形资产的情况。需资本化的固定资产、无形资产是否存在费用化的情况。</w:t>
      </w:r>
    </w:p>
    <w:p w14:paraId="48192DF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负债审计：审查应付账款、预收账款是否真实存在，有无虚列负债的情形；应交税费是否按规定计提并足额缴纳，有无偷税漏税行为；应付职工薪酬是否足额发放，社保公积金是否按规定缴纳。</w:t>
      </w:r>
    </w:p>
    <w:p w14:paraId="379EF23D">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净资产审计：核实各项基金（如专用基金等）的形成和使用是否合规，有无违规动用专用基金的行为；净资产的核算是否准确，是否与资产负债表相关项目勾稽一致。</w:t>
      </w:r>
    </w:p>
    <w:p w14:paraId="0CB4CEBE">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（5）年报数据填报准确性，以及账表、上下年度数据衔接的一致性审计</w:t>
      </w:r>
    </w:p>
    <w:p w14:paraId="35B08834">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核查年报报表数据与会计账簿、记账凭证、原始凭证是否一致，有无账表不符的情况；报表内各项目之间、报表与报表之间的勾稽关系是否正确。</w:t>
      </w:r>
    </w:p>
    <w:p w14:paraId="2E9AA51A">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审查上下年度数据衔接是否一致，期初余额是否与上年度期末余额相符，有无擅自调整期初余额的情形；年度间会计政策、会计估计变更是否合规，变更影响是否准确披露。</w:t>
      </w:r>
    </w:p>
    <w:p w14:paraId="559EB215">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核实年报填报的各项指标（如财政拨款占比、人员经费占比等）是否准确。</w:t>
      </w:r>
    </w:p>
    <w:p w14:paraId="4EFEFA7F">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（6）其他审计内容</w:t>
      </w:r>
    </w:p>
    <w:p w14:paraId="0FA054DC">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核查单位内部控制制度的建立和执行情况，重点关注预算管理、资金管理、资产管理等关键环节的内控有效性。</w:t>
      </w:r>
    </w:p>
    <w:p w14:paraId="341127E3">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审查采购项目的执行情况，包括采购方式选择、采购程序履行、采购合同签订及履约验收等是否合规。</w:t>
      </w:r>
    </w:p>
    <w:p w14:paraId="5F9FEADA">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核实单位国有资产保值增值情况，有无国有资产流失、违规处置国有资产的行为。</w:t>
      </w:r>
    </w:p>
    <w:p w14:paraId="7EE8AA0B">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default" w:ascii="Times New Roman" w:hAnsi="Times New Roman" w:eastAsia="宋体" w:cs="Times New Roman"/>
          <w:bCs/>
          <w:color w:val="auto"/>
          <w:kern w:val="2"/>
          <w:sz w:val="22"/>
          <w:szCs w:val="22"/>
          <w:highlight w:val="none"/>
          <w:lang w:val="en-US" w:eastAsia="zh-CN" w:bidi="ar-SA"/>
        </w:rPr>
        <w:t>9.</w:t>
      </w:r>
      <w:r>
        <w:rPr>
          <w:rFonts w:hint="eastAsia" w:ascii="Times New Roman" w:hAnsi="Times New Roman" w:eastAsia="宋体" w:cs="Times New Roman"/>
          <w:bCs/>
          <w:color w:val="auto"/>
          <w:kern w:val="2"/>
          <w:sz w:val="22"/>
          <w:szCs w:val="22"/>
          <w:highlight w:val="none"/>
          <w:lang w:val="en-US" w:eastAsia="zh-CN" w:bidi="ar-SA"/>
        </w:rPr>
        <w:t>3</w:t>
      </w:r>
      <w:r>
        <w:rPr>
          <w:rFonts w:hint="default" w:ascii="Times New Roman" w:hAnsi="Times New Roman" w:eastAsia="宋体" w:cs="Times New Roman"/>
          <w:bCs/>
          <w:color w:val="auto"/>
          <w:kern w:val="2"/>
          <w:sz w:val="22"/>
          <w:szCs w:val="22"/>
          <w:highlight w:val="none"/>
          <w:lang w:val="en-US" w:eastAsia="zh-CN" w:bidi="ar-SA"/>
        </w:rPr>
        <w:t>.2</w:t>
      </w:r>
      <w:r>
        <w:rPr>
          <w:rFonts w:hint="eastAsia" w:ascii="Times New Roman" w:hAnsi="Times New Roman" w:eastAsia="宋体" w:cs="Times New Roman"/>
          <w:bCs/>
          <w:color w:val="auto"/>
          <w:kern w:val="2"/>
          <w:sz w:val="22"/>
          <w:szCs w:val="22"/>
          <w:highlight w:val="none"/>
          <w:lang w:val="en-US" w:eastAsia="zh-CN" w:bidi="ar-SA"/>
        </w:rPr>
        <w:t>、人员配备要求。</w:t>
      </w:r>
    </w:p>
    <w:p w14:paraId="54AACA3B">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（1）总体要求</w:t>
      </w:r>
    </w:p>
    <w:p w14:paraId="5FD0FBC4">
      <w:pPr>
        <w:widowControl w:val="0"/>
        <w:spacing w:line="300" w:lineRule="auto"/>
        <w:ind w:firstLine="422" w:firstLineChars="192"/>
        <w:jc w:val="both"/>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投标人须为本项目组建专职、固定、独立的审计服务团队，共设6个项目，每个项目不少于2个项目组，总人数不少于6 人。每个项目设“项目负责人”1名。</w:t>
      </w:r>
    </w:p>
    <w:p w14:paraId="49CA7588">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团队具备公立医院、政府会计制度、医保资金、事业单位年报审计专业能力。</w:t>
      </w:r>
    </w:p>
    <w:p w14:paraId="45921B70">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项目负责人、现场负责人、签字注册会计师等核心人员全程参与，不得随意更换。</w:t>
      </w:r>
    </w:p>
    <w:p w14:paraId="6DCEC41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全体人员必须严格遵守审计准则、保密及廉洁规定。</w:t>
      </w:r>
    </w:p>
    <w:p w14:paraId="13A0E62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（2）工作职责</w:t>
      </w:r>
    </w:p>
    <w:p w14:paraId="22970735">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项目负责人：统筹项目、风险与质量管控、对接主管部门、审定报告。</w:t>
      </w:r>
    </w:p>
    <w:p w14:paraId="1285620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现场负责人：组织现场实施、进度管理、底稿复核、沟通协调。</w:t>
      </w:r>
    </w:p>
    <w:p w14:paraId="6C875829">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签字注册会计师：执行关键程序、审核底稿、签署审计报告。</w:t>
      </w:r>
    </w:p>
    <w:p w14:paraId="0DAE7C3B">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审计人员：凭证抽查、账目核对、盘点、底稿编制。</w:t>
      </w:r>
    </w:p>
    <w:p w14:paraId="6A71DEA7">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质量复核人：独立复核底稿与报告，把控执业质量。</w:t>
      </w:r>
    </w:p>
    <w:p w14:paraId="67A45ED7">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（3）工作时间要求</w:t>
      </w:r>
    </w:p>
    <w:p w14:paraId="373CABB6">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按委托方要求按时进场、驻场、出具报告。</w:t>
      </w:r>
    </w:p>
    <w:p w14:paraId="4BD5885F">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核心人员全勤在岗，服从加班及进度安排。</w:t>
      </w:r>
    </w:p>
    <w:p w14:paraId="6A727CF4">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按期提交初稿、正式报告及整改核查资料。</w:t>
      </w:r>
    </w:p>
    <w:p w14:paraId="5AE918F1">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（4）人员自身要求</w:t>
      </w:r>
    </w:p>
    <w:p w14:paraId="0281973E">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项目负责人：注册会计师，</w:t>
      </w:r>
      <w:r>
        <w:rPr>
          <w:rFonts w:hint="eastAsia" w:ascii="Calibri" w:hAnsi="Calibri" w:eastAsia="宋体" w:cs="Times New Roman"/>
          <w:color w:val="auto"/>
          <w:kern w:val="2"/>
          <w:sz w:val="21"/>
          <w:szCs w:val="22"/>
          <w:highlight w:val="none"/>
          <w:lang w:val="en-US" w:eastAsia="zh-CN" w:bidi="ar-SA"/>
        </w:rPr>
        <w:t>多年丰富执业经验，</w:t>
      </w:r>
      <w:r>
        <w:rPr>
          <w:rFonts w:hint="eastAsia" w:ascii="Times New Roman" w:hAnsi="Times New Roman" w:eastAsia="宋体" w:cs="Times New Roman"/>
          <w:bCs/>
          <w:color w:val="auto"/>
          <w:kern w:val="2"/>
          <w:sz w:val="22"/>
          <w:szCs w:val="22"/>
          <w:highlight w:val="none"/>
          <w:lang w:val="en-US" w:eastAsia="zh-CN" w:bidi="ar-SA"/>
        </w:rPr>
        <w:t>有卫生行业审计案例。</w:t>
      </w:r>
    </w:p>
    <w:p w14:paraId="14DAFDDC">
      <w:pPr>
        <w:widowControl w:val="0"/>
        <w:spacing w:line="300" w:lineRule="auto"/>
        <w:ind w:firstLine="422" w:firstLineChars="192"/>
        <w:jc w:val="both"/>
        <w:rPr>
          <w:rFonts w:hint="eastAsia" w:ascii="Calibri" w:hAnsi="Calibri" w:eastAsia="宋体" w:cs="Times New Roman"/>
          <w:color w:val="auto"/>
          <w:kern w:val="2"/>
          <w:sz w:val="21"/>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现场负责人、签字 CPA：注册会计师，</w:t>
      </w:r>
      <w:r>
        <w:rPr>
          <w:rFonts w:hint="eastAsia" w:ascii="Calibri" w:hAnsi="Calibri" w:eastAsia="宋体" w:cs="Times New Roman"/>
          <w:color w:val="auto"/>
          <w:kern w:val="2"/>
          <w:sz w:val="21"/>
          <w:szCs w:val="22"/>
          <w:highlight w:val="none"/>
          <w:lang w:val="en-US" w:eastAsia="zh-CN" w:bidi="ar-SA"/>
        </w:rPr>
        <w:t>多年丰富执业经验。</w:t>
      </w:r>
    </w:p>
    <w:p w14:paraId="66DDCD33">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审计人员：相关专业，</w:t>
      </w:r>
      <w:r>
        <w:rPr>
          <w:rFonts w:hint="eastAsia" w:ascii="Calibri" w:hAnsi="Calibri" w:eastAsia="宋体" w:cs="Times New Roman"/>
          <w:color w:val="auto"/>
          <w:kern w:val="2"/>
          <w:sz w:val="21"/>
          <w:szCs w:val="22"/>
          <w:highlight w:val="none"/>
          <w:lang w:val="en-US" w:eastAsia="zh-CN" w:bidi="ar-SA"/>
        </w:rPr>
        <w:t>多年丰富执业经验。</w:t>
      </w:r>
    </w:p>
    <w:p w14:paraId="0180807B">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所有人员无不良执业记录、品行端正、廉洁自律。</w:t>
      </w:r>
    </w:p>
    <w:p w14:paraId="6EEF93A9">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（5）其他要求</w:t>
      </w:r>
    </w:p>
    <w:p w14:paraId="678C7A51">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5.1核心人员未经书面批准不得更换，替换资质不低于原人员。</w:t>
      </w:r>
    </w:p>
    <w:p w14:paraId="4D9C4BD0">
      <w:pPr>
        <w:widowControl w:val="0"/>
        <w:spacing w:line="300" w:lineRule="auto"/>
        <w:ind w:firstLine="422" w:firstLineChars="192"/>
        <w:jc w:val="both"/>
        <w:rPr>
          <w:rFonts w:hint="default"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5.2投标时提供人员证书、社保证明、执业经历、无不良记录承诺。</w:t>
      </w:r>
    </w:p>
    <w:p w14:paraId="191F7493">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5.2签署独立性及廉洁保密承诺。</w:t>
      </w:r>
    </w:p>
    <w:p w14:paraId="64758A9A">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5.3配合财政、卫健部门检查、答疑及后续服务。</w:t>
      </w:r>
    </w:p>
    <w:p w14:paraId="63A5F454">
      <w:pPr>
        <w:spacing w:line="300" w:lineRule="auto"/>
        <w:ind w:firstLine="424" w:firstLineChars="192"/>
        <w:outlineLvl w:val="2"/>
        <w:rPr>
          <w:rFonts w:ascii="Times New Roman" w:hAnsi="Times New Roman" w:eastAsia="宋体" w:cs="Times New Roman"/>
          <w:b/>
          <w:color w:val="auto"/>
          <w:sz w:val="22"/>
          <w:szCs w:val="22"/>
          <w:highlight w:val="none"/>
        </w:rPr>
      </w:pPr>
      <w:bookmarkStart w:id="13" w:name="_Toc7105"/>
      <w:r>
        <w:rPr>
          <w:rFonts w:ascii="Times New Roman" w:hAnsi="Times New Roman" w:eastAsia="宋体" w:cs="Times New Roman"/>
          <w:b/>
          <w:color w:val="auto"/>
          <w:sz w:val="22"/>
          <w:szCs w:val="22"/>
          <w:highlight w:val="none"/>
        </w:rPr>
        <w:t>10安全文明作业要求与应急处置要求</w:t>
      </w:r>
      <w:bookmarkEnd w:id="13"/>
    </w:p>
    <w:p w14:paraId="21E730B9">
      <w:pPr>
        <w:widowControl w:val="0"/>
        <w:spacing w:line="300" w:lineRule="auto"/>
        <w:ind w:firstLine="422" w:firstLineChars="192"/>
        <w:jc w:val="both"/>
        <w:rPr>
          <w:rFonts w:hint="eastAsia" w:ascii="Times New Roman" w:hAnsi="Times New Roman" w:eastAsia="宋体" w:cs="Times New Roman"/>
          <w:bCs/>
          <w:color w:val="auto"/>
          <w:kern w:val="2"/>
          <w:sz w:val="22"/>
          <w:szCs w:val="22"/>
          <w:highlight w:val="none"/>
          <w:lang w:val="en-US" w:eastAsia="zh-CN" w:bidi="ar-SA"/>
        </w:rPr>
      </w:pPr>
      <w:r>
        <w:rPr>
          <w:rFonts w:hint="eastAsia" w:ascii="Times New Roman" w:hAnsi="Times New Roman" w:eastAsia="宋体" w:cs="Times New Roman"/>
          <w:bCs/>
          <w:color w:val="auto"/>
          <w:kern w:val="2"/>
          <w:sz w:val="22"/>
          <w:szCs w:val="22"/>
          <w:highlight w:val="none"/>
          <w:lang w:val="en-US" w:eastAsia="zh-CN" w:bidi="ar-SA"/>
        </w:rPr>
        <w:t>投标人应具备上海市或有关行业管理部门规定的在本市进行相关服务所需的资质（包括国家和本市各类专业工种持证上岗要求）、资格和一切手续（如有的话），由此引起的所有有关事宜及费用由投标人自行负责。</w:t>
      </w:r>
    </w:p>
    <w:p w14:paraId="1CEBFD1B">
      <w:pPr>
        <w:spacing w:line="300" w:lineRule="auto"/>
        <w:ind w:firstLine="424" w:firstLineChars="192"/>
        <w:outlineLvl w:val="2"/>
        <w:rPr>
          <w:rFonts w:ascii="Times New Roman" w:hAnsi="Times New Roman" w:eastAsia="宋体" w:cs="Times New Roman"/>
          <w:b/>
          <w:color w:val="auto"/>
          <w:sz w:val="22"/>
          <w:szCs w:val="22"/>
          <w:highlight w:val="none"/>
        </w:rPr>
      </w:pPr>
      <w:bookmarkStart w:id="14" w:name="_Toc27833"/>
      <w:r>
        <w:rPr>
          <w:rFonts w:ascii="Times New Roman" w:hAnsi="Times New Roman" w:eastAsia="宋体" w:cs="Times New Roman"/>
          <w:b/>
          <w:color w:val="auto"/>
          <w:sz w:val="22"/>
          <w:szCs w:val="22"/>
          <w:highlight w:val="none"/>
        </w:rPr>
        <w:t>11管理、考核与售后服务要求</w:t>
      </w:r>
      <w:bookmarkEnd w:id="14"/>
    </w:p>
    <w:p w14:paraId="2459C4E9">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 项目管理要求</w:t>
      </w:r>
    </w:p>
    <w:p w14:paraId="1A00956D">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11.1.1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14:paraId="23713A7C">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11.1.2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14:paraId="49DD7040">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11.1.3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14:paraId="4F2832D9">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11.1.4中标人需建立职工（含劳务工等各种类型用工）花名册等档案资料，与职工签订劳动合同，为其办理国家规定的相关保险，并按规定标准安排专业健康体检和配备劳动防护用品。</w:t>
      </w:r>
    </w:p>
    <w:p w14:paraId="54338260">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11.1.5本项目所用材料、制品、设备等均需符合相关技术规程、规范要求。</w:t>
      </w:r>
    </w:p>
    <w:p w14:paraId="571D8B05">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11.1.6本项目所用的材料、制品、设备等，供货单位送达施工现场后，由中标人负责办理验收交割手续，并负责日常保管工作。</w:t>
      </w:r>
    </w:p>
    <w:p w14:paraId="236B191B">
      <w:pPr>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11.2 项目考核办法</w:t>
      </w:r>
    </w:p>
    <w:p w14:paraId="7BD76C08">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11.2.1考核目的</w:t>
      </w:r>
    </w:p>
    <w:p w14:paraId="73286510">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为规范审计服务质量，保障年报审计工作高效、合规、按时完成，强化履约管理，特制定本考核办法。</w:t>
      </w:r>
    </w:p>
    <w:p w14:paraId="3598EE95">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11.2.2考核对象</w:t>
      </w:r>
    </w:p>
    <w:p w14:paraId="17DD6600">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中标会计师事务所及本项目全体审计服务人员。</w:t>
      </w:r>
    </w:p>
    <w:p w14:paraId="38261D28">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11.2.3考核内容</w:t>
      </w:r>
    </w:p>
    <w:p w14:paraId="5996A77D">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人员履约考核：项目团队按约定到岗、核心人员不更换、资质真实有效、驻场到位。</w:t>
      </w:r>
    </w:p>
    <w:p w14:paraId="03AA82EB">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质量考核：审计程序规范、底稿完整、报告真实公允、无重大差错、符合国家及浦东地方规范。</w:t>
      </w:r>
    </w:p>
    <w:p w14:paraId="41DF6E8F">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时效考核：严格按照委托方要求的时间节点进场、取证、出具初稿及正式报告，不拖延。</w:t>
      </w:r>
    </w:p>
    <w:p w14:paraId="7B569FC8">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服务考核：沟通及时、配合积极、遵守保密与廉洁规定、服从管理、整改反馈到位。</w:t>
      </w:r>
    </w:p>
    <w:p w14:paraId="2DA21CE7">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5</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成果考核：审计报告、管理建议书、工作底稿等资料完整规范，满足财政及卫健部门检查要求。</w:t>
      </w:r>
    </w:p>
    <w:p w14:paraId="76DD1B1D">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11.2.4考核方式</w:t>
      </w:r>
    </w:p>
    <w:p w14:paraId="29AD14C7">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实行全过程动态考核，结合日常履约、现场检查、成果验收、主管部门评价综合评定。</w:t>
      </w:r>
    </w:p>
    <w:p w14:paraId="3D76A8A2">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11.2.5考核等级</w:t>
      </w:r>
    </w:p>
    <w:p w14:paraId="4B387A98">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优秀：完全履约，质量高、时效快、服务好</w:t>
      </w:r>
    </w:p>
    <w:p w14:paraId="03C317C5">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合格：基本履约，无重大问题</w:t>
      </w:r>
    </w:p>
    <w:p w14:paraId="128071F5">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不合格：出现人员违约、质量差错、严重拖延、违规违纪等情况</w:t>
      </w:r>
    </w:p>
    <w:p w14:paraId="69FB9DAF">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11.2.6考核结果运用</w:t>
      </w:r>
    </w:p>
    <w:p w14:paraId="55E53B03">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考核合格及以上，按合同支付服务费。</w:t>
      </w:r>
    </w:p>
    <w:p w14:paraId="55E93822">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考核优秀，可作为后续合作优先推荐依据。</w:t>
      </w:r>
    </w:p>
    <w:p w14:paraId="791D6C1F">
      <w:pPr>
        <w:spacing w:line="300" w:lineRule="auto"/>
        <w:ind w:firstLine="422" w:firstLineChars="192"/>
        <w:jc w:val="left"/>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考核不合格，委托方有权扣减服务费、中止合同、列入不良记录，并上报财政与卫健部门。</w:t>
      </w:r>
      <w:r>
        <w:rPr>
          <w:rFonts w:ascii="Times New Roman" w:hAnsi="Times New Roman" w:eastAsia="宋体" w:cs="Times New Roman"/>
          <w:color w:val="auto"/>
          <w:sz w:val="22"/>
          <w:szCs w:val="22"/>
          <w:highlight w:val="none"/>
        </w:rPr>
        <w:t xml:space="preserve">11.3 </w:t>
      </w:r>
      <w:r>
        <w:rPr>
          <w:rFonts w:hint="eastAsia" w:ascii="Times New Roman" w:hAnsi="Times New Roman" w:eastAsia="宋体" w:cs="Times New Roman"/>
          <w:color w:val="auto"/>
          <w:sz w:val="22"/>
          <w:szCs w:val="22"/>
          <w:highlight w:val="none"/>
        </w:rPr>
        <w:t>违约责任</w:t>
      </w:r>
    </w:p>
    <w:p w14:paraId="21A012EB">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 xml:space="preserve">11.3.1 </w:t>
      </w:r>
      <w:r>
        <w:rPr>
          <w:rFonts w:hint="eastAsia" w:ascii="Times New Roman" w:hAnsi="Times New Roman" w:eastAsia="宋体" w:cs="Times New Roman"/>
          <w:color w:val="auto"/>
          <w:sz w:val="22"/>
          <w:szCs w:val="22"/>
          <w:highlight w:val="none"/>
        </w:rPr>
        <w:t>出现以下情况直接判定不合格：</w:t>
      </w:r>
    </w:p>
    <w:p w14:paraId="2FC8B330">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擅自更换核心人员或人员不到位；</w:t>
      </w:r>
    </w:p>
    <w:p w14:paraId="44FFF99F">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审计报告出现重大错报、漏报；</w:t>
      </w:r>
    </w:p>
    <w:p w14:paraId="432D1DA4">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严重逾期、拒不配合工作；</w:t>
      </w:r>
    </w:p>
    <w:p w14:paraId="12BD58C8">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违反保密、廉洁、独立性规定；</w:t>
      </w:r>
    </w:p>
    <w:p w14:paraId="4B99EECD">
      <w:pPr>
        <w:spacing w:line="300" w:lineRule="auto"/>
        <w:ind w:firstLine="422" w:firstLineChars="192"/>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lang w:val="en-US" w:eastAsia="zh-CN"/>
        </w:rPr>
        <w:t>5</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被财政、卫健等部门通报批评。</w:t>
      </w:r>
    </w:p>
    <w:p w14:paraId="1CEB0F0D">
      <w:pPr>
        <w:spacing w:line="300" w:lineRule="auto"/>
        <w:ind w:firstLine="424" w:firstLineChars="192"/>
        <w:outlineLvl w:val="2"/>
        <w:rPr>
          <w:rFonts w:ascii="Times New Roman" w:hAnsi="Times New Roman" w:eastAsia="宋体" w:cs="Times New Roman"/>
          <w:b/>
          <w:color w:val="auto"/>
          <w:sz w:val="22"/>
          <w:szCs w:val="22"/>
          <w:highlight w:val="none"/>
        </w:rPr>
      </w:pPr>
      <w:bookmarkStart w:id="15" w:name="_Toc20247"/>
      <w:r>
        <w:rPr>
          <w:rFonts w:ascii="Times New Roman" w:hAnsi="Times New Roman" w:eastAsia="宋体" w:cs="Times New Roman"/>
          <w:b/>
          <w:color w:val="auto"/>
          <w:sz w:val="22"/>
          <w:szCs w:val="22"/>
          <w:highlight w:val="none"/>
        </w:rPr>
        <w:t>12保密要求</w:t>
      </w:r>
      <w:bookmarkEnd w:id="15"/>
    </w:p>
    <w:p w14:paraId="00AD2C9C">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12.1</w:t>
      </w:r>
      <w:r>
        <w:rPr>
          <w:rFonts w:ascii="Times New Roman" w:hAnsi="Times New Roman" w:eastAsia="宋体" w:cs="Times New Roman"/>
          <w:color w:val="auto"/>
          <w:sz w:val="22"/>
          <w:szCs w:val="22"/>
          <w:highlight w:val="none"/>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14:paraId="0E9509B5">
      <w:pPr>
        <w:spacing w:line="300" w:lineRule="auto"/>
        <w:rPr>
          <w:rFonts w:ascii="Times New Roman" w:hAnsi="Times New Roman" w:eastAsia="宋体" w:cs="Times New Roman"/>
          <w:color w:val="auto"/>
          <w:sz w:val="20"/>
          <w:szCs w:val="20"/>
          <w:highlight w:val="none"/>
        </w:rPr>
      </w:pPr>
    </w:p>
    <w:p w14:paraId="06A21E9B">
      <w:pPr>
        <w:adjustRightInd w:val="0"/>
        <w:snapToGrid w:val="0"/>
        <w:spacing w:line="300" w:lineRule="auto"/>
        <w:jc w:val="center"/>
        <w:outlineLvl w:val="1"/>
        <w:rPr>
          <w:rFonts w:ascii="Times New Roman" w:hAnsi="Times New Roman" w:eastAsia="黑体" w:cs="Times New Roman"/>
          <w:color w:val="auto"/>
          <w:sz w:val="30"/>
          <w:szCs w:val="30"/>
          <w:highlight w:val="none"/>
        </w:rPr>
      </w:pPr>
      <w:bookmarkStart w:id="16" w:name="_Toc31133"/>
      <w:r>
        <w:rPr>
          <w:rFonts w:ascii="Times New Roman" w:hAnsi="Times New Roman" w:eastAsia="黑体" w:cs="Times New Roman"/>
          <w:color w:val="auto"/>
          <w:sz w:val="30"/>
          <w:szCs w:val="30"/>
          <w:highlight w:val="none"/>
        </w:rPr>
        <w:t>四、报价须知</w:t>
      </w:r>
      <w:bookmarkEnd w:id="16"/>
    </w:p>
    <w:p w14:paraId="147CC19E">
      <w:pPr>
        <w:spacing w:line="300" w:lineRule="auto"/>
        <w:ind w:firstLine="424" w:firstLineChars="192"/>
        <w:outlineLvl w:val="2"/>
        <w:rPr>
          <w:rFonts w:ascii="Times New Roman" w:hAnsi="Times New Roman" w:eastAsia="宋体" w:cs="Times New Roman"/>
          <w:b/>
          <w:color w:val="auto"/>
          <w:sz w:val="22"/>
          <w:szCs w:val="22"/>
          <w:highlight w:val="none"/>
        </w:rPr>
      </w:pPr>
      <w:bookmarkStart w:id="17" w:name="_Toc20701"/>
      <w:r>
        <w:rPr>
          <w:rFonts w:ascii="Times New Roman" w:hAnsi="Times New Roman" w:eastAsia="宋体" w:cs="Times New Roman"/>
          <w:b/>
          <w:color w:val="auto"/>
          <w:sz w:val="22"/>
          <w:szCs w:val="22"/>
          <w:highlight w:val="none"/>
        </w:rPr>
        <w:t>13投标报价依据</w:t>
      </w:r>
      <w:bookmarkEnd w:id="17"/>
    </w:p>
    <w:p w14:paraId="111C870E">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13.1投标报价计算依据包括本项目的招标文件（包括提供的附件）、招标文件答疑或修改的补充文书、工作量清单、项目现场条件等。</w:t>
      </w:r>
    </w:p>
    <w:p w14:paraId="0E75EC35">
      <w:pPr>
        <w:widowControl w:val="0"/>
        <w:spacing w:line="300" w:lineRule="auto"/>
        <w:ind w:firstLine="422" w:firstLineChars="192"/>
        <w:jc w:val="both"/>
        <w:rPr>
          <w:rFonts w:ascii="Times New Roman" w:hAnsi="Times New Roman" w:eastAsia="宋体" w:cs="Times New Roman"/>
          <w:color w:val="auto"/>
          <w:kern w:val="2"/>
          <w:sz w:val="22"/>
          <w:szCs w:val="22"/>
          <w:highlight w:val="none"/>
          <w:lang w:val="en-US" w:eastAsia="zh-CN" w:bidi="ar-SA"/>
        </w:rPr>
      </w:pPr>
      <w:r>
        <w:rPr>
          <w:rFonts w:ascii="Times New Roman" w:hAnsi="Times New Roman" w:eastAsia="宋体" w:cs="Times New Roman"/>
          <w:color w:val="auto"/>
          <w:kern w:val="2"/>
          <w:sz w:val="22"/>
          <w:szCs w:val="22"/>
          <w:highlight w:val="none"/>
          <w:lang w:val="en-US" w:eastAsia="zh-CN" w:bidi="ar-SA"/>
        </w:rPr>
        <w:t>13.2招标文件明确的服务范围、服务内容、服务期限、服务质量要求、</w:t>
      </w:r>
      <w:r>
        <w:rPr>
          <w:rFonts w:ascii="Times New Roman" w:hAnsi="Times New Roman" w:eastAsia="宋体" w:cs="Times New Roman"/>
          <w:color w:val="auto"/>
          <w:kern w:val="2"/>
          <w:sz w:val="22"/>
          <w:szCs w:val="22"/>
          <w:highlight w:val="none"/>
          <w:lang w:val="en-US" w:eastAsia="zh-CN" w:bidi="ar-SA"/>
        </w:rPr>
        <w:t>售后服务、</w:t>
      </w:r>
      <w:r>
        <w:rPr>
          <w:rFonts w:ascii="Times New Roman" w:hAnsi="Times New Roman" w:eastAsia="宋体" w:cs="Times New Roman"/>
          <w:color w:val="auto"/>
          <w:kern w:val="2"/>
          <w:sz w:val="22"/>
          <w:szCs w:val="22"/>
          <w:highlight w:val="none"/>
          <w:lang w:val="en-US" w:eastAsia="zh-CN" w:bidi="ar-SA"/>
        </w:rPr>
        <w:t>管理要求与服务标准及考核要求等。</w:t>
      </w:r>
    </w:p>
    <w:p w14:paraId="5CF36D5B">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13.3服务内容一览表说明</w:t>
      </w:r>
    </w:p>
    <w:p w14:paraId="01B711D1">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13.3.1服务内容一览表说明应与投标人须知、合同条件、项目质量标准和要求等文件结合起来理解或解释。</w:t>
      </w:r>
    </w:p>
    <w:p w14:paraId="6733414F">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13.3.2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14:paraId="7FD291FC">
      <w:pPr>
        <w:spacing w:line="300" w:lineRule="auto"/>
        <w:ind w:firstLine="424" w:firstLineChars="192"/>
        <w:outlineLvl w:val="2"/>
        <w:rPr>
          <w:rFonts w:ascii="Times New Roman" w:hAnsi="Times New Roman" w:eastAsia="宋体" w:cs="Times New Roman"/>
          <w:b/>
          <w:color w:val="auto"/>
          <w:sz w:val="22"/>
          <w:szCs w:val="22"/>
          <w:highlight w:val="none"/>
        </w:rPr>
      </w:pPr>
      <w:bookmarkStart w:id="18" w:name="_Toc9110"/>
      <w:r>
        <w:rPr>
          <w:rFonts w:ascii="Times New Roman" w:hAnsi="Times New Roman" w:eastAsia="宋体" w:cs="Times New Roman"/>
          <w:b/>
          <w:color w:val="auto"/>
          <w:sz w:val="22"/>
          <w:szCs w:val="22"/>
          <w:highlight w:val="none"/>
        </w:rPr>
        <w:t>14投标报价内容</w:t>
      </w:r>
      <w:bookmarkEnd w:id="18"/>
    </w:p>
    <w:p w14:paraId="08404CCE">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14.1依据本项目的招标范围和内容，中标人提供项目服务，其投标报价应包括以下费用：</w:t>
      </w:r>
      <w:r>
        <w:rPr>
          <w:rFonts w:hint="eastAsia" w:ascii="Times New Roman" w:hAnsi="Times New Roman" w:eastAsia="宋体" w:cs="Times New Roman"/>
          <w:color w:val="auto"/>
          <w:sz w:val="22"/>
          <w:szCs w:val="22"/>
          <w:highlight w:val="none"/>
        </w:rPr>
        <w:t>人员费用、设备材料使用费用、资料编制印刷费、其他、管理费、利润、税金等这一系列过程中所包含的所有费用。</w:t>
      </w:r>
    </w:p>
    <w:p w14:paraId="25CF32BC">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8DA1D1B">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14.3投标报价应将所有工作内容考虑在内，如有漏项或缺项，均属于投标人的风险，</w:t>
      </w:r>
      <w:r>
        <w:rPr>
          <w:rFonts w:ascii="Times New Roman" w:hAnsi="Times New Roman" w:eastAsia="宋体" w:cs="Times New Roman"/>
          <w:color w:val="auto"/>
          <w:sz w:val="22"/>
          <w:szCs w:val="22"/>
          <w:highlight w:val="none"/>
        </w:rPr>
        <w:t>其费用视作已分配在报价明细表内单价或总价之中</w:t>
      </w:r>
      <w:r>
        <w:rPr>
          <w:rFonts w:ascii="Times New Roman" w:hAnsi="Times New Roman" w:eastAsia="宋体" w:cs="Times New Roman"/>
          <w:color w:val="auto"/>
          <w:sz w:val="22"/>
          <w:szCs w:val="22"/>
          <w:highlight w:val="none"/>
        </w:rPr>
        <w:t>。投标人应逐项计算并填写单价、合计价和总价。</w:t>
      </w:r>
    </w:p>
    <w:p w14:paraId="029B613D">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14.4</w:t>
      </w:r>
      <w:r>
        <w:rPr>
          <w:rFonts w:ascii="Times New Roman" w:hAnsi="Times New Roman" w:eastAsia="宋体" w:cs="Times New Roman"/>
          <w:color w:val="auto"/>
          <w:sz w:val="22"/>
          <w:szCs w:val="22"/>
          <w:highlight w:val="none"/>
        </w:rPr>
        <w:t>投标人应考虑本项目可能存在的其他任何风险因素，包括政策性调价、人工和材料成本增涨、因设备使用年限增长引起的维修成本增加和效能衰减等。</w:t>
      </w:r>
    </w:p>
    <w:p w14:paraId="5DBDE5B8">
      <w:pPr>
        <w:ind w:firstLine="420" w:firstLineChars="200"/>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14.4.1投标人在报价时须综合考虑以下因素：</w:t>
      </w:r>
    </w:p>
    <w:p w14:paraId="3EC0E421">
      <w:p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（1）投标人承诺对采购方进行财会专业方面培训，培训内容、课时安排由投标人先行提供，今后由采购人在中标后根据投标人提供的培训内容和课时进行安排并根据实际情况调整。</w:t>
      </w:r>
    </w:p>
    <w:p w14:paraId="6848A59E">
      <w:p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（2）审计过程中，投标人免费提供专业咨询、材料复印、整理等服务。</w:t>
      </w:r>
    </w:p>
    <w:p w14:paraId="19D9D56E">
      <w:p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（3）投标人承诺委派的审计人员的交通费、出差费等各类费用自行承担。</w:t>
      </w:r>
    </w:p>
    <w:p w14:paraId="3F5A48B3">
      <w:p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（4）投标人无偿配合采购人落实相关审计电子数据资料的上传工作。</w:t>
      </w:r>
    </w:p>
    <w:p w14:paraId="12D23890">
      <w:pPr>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（5）对个别案件，如财力无法保障，投标人可向采购人提供适当性的公益服务。</w:t>
      </w:r>
    </w:p>
    <w:p w14:paraId="52B5CB8F">
      <w:pPr>
        <w:ind w:firstLine="420" w:firstLineChars="200"/>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14.4.2投标方提供的审计及相关服务，应当符合国家有关法律、法规和标准规范，满足合同约定的服务内容和质量等要求。投标人不得违反标准规范规定或合同约定，通过降低服务质量、减少服务内容等手段进行恶性竞争，扰乱正常市场秩序。</w:t>
      </w:r>
    </w:p>
    <w:p w14:paraId="46055021">
      <w:pPr>
        <w:adjustRightInd w:val="0"/>
        <w:snapToGrid w:val="0"/>
        <w:spacing w:line="300" w:lineRule="auto"/>
        <w:ind w:firstLine="403" w:firstLineChars="192"/>
        <w:jc w:val="left"/>
        <w:rPr>
          <w:rFonts w:hint="eastAsia" w:ascii="Calibri" w:hAnsi="Calibri" w:eastAsia="宋体" w:cs="Times New Roman"/>
          <w:color w:val="auto"/>
          <w:szCs w:val="22"/>
          <w:highlight w:val="none"/>
        </w:rPr>
      </w:pPr>
      <w:r>
        <w:rPr>
          <w:rFonts w:hint="eastAsia" w:ascii="Calibri" w:hAnsi="Calibri" w:eastAsia="宋体" w:cs="Times New Roman"/>
          <w:color w:val="auto"/>
          <w:szCs w:val="22"/>
          <w:highlight w:val="none"/>
        </w:rPr>
        <w:t>14.4.3中标人的审计工作应按国家及上海市的最新规范、要求及标准等进行。按合同规定的审计时限、审计结果误差率完成审计业务，出具审计报告并对其负责。</w:t>
      </w:r>
    </w:p>
    <w:p w14:paraId="1DEE1F21">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14.5投标人按照投标文件格式中所附的表式完整地填写开标一览表及各类投标报价明细表，说明其拟提供服务的内容、数量、价格构成等。</w:t>
      </w:r>
    </w:p>
    <w:p w14:paraId="532CF0C8">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14.6</w:t>
      </w:r>
      <w:r>
        <w:rPr>
          <w:rFonts w:ascii="Times New Roman" w:hAnsi="Times New Roman" w:eastAsia="宋体" w:cs="Times New Roman"/>
          <w:color w:val="auto"/>
          <w:sz w:val="22"/>
          <w:szCs w:val="22"/>
          <w:highlight w:val="none"/>
        </w:rPr>
        <w:t>投标人只需在《开标一览表》中报出对应服务期限的投标价格即可。</w:t>
      </w:r>
    </w:p>
    <w:p w14:paraId="7E1E178C">
      <w:pPr>
        <w:spacing w:line="300" w:lineRule="auto"/>
        <w:ind w:firstLine="422" w:firstLineChars="192"/>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14.7 投标报价组成详见第四章“投标报价明细表”</w:t>
      </w:r>
    </w:p>
    <w:p w14:paraId="664780F0">
      <w:pPr>
        <w:spacing w:line="300" w:lineRule="auto"/>
        <w:ind w:firstLine="424" w:firstLineChars="192"/>
        <w:outlineLvl w:val="2"/>
        <w:rPr>
          <w:rFonts w:ascii="Times New Roman" w:hAnsi="Times New Roman" w:eastAsia="宋体" w:cs="Times New Roman"/>
          <w:b/>
          <w:color w:val="auto"/>
          <w:sz w:val="22"/>
          <w:szCs w:val="22"/>
          <w:highlight w:val="none"/>
        </w:rPr>
      </w:pPr>
      <w:bookmarkStart w:id="19" w:name="_Toc19249"/>
      <w:r>
        <w:rPr>
          <w:rFonts w:ascii="Times New Roman" w:hAnsi="Times New Roman" w:eastAsia="宋体" w:cs="Times New Roman"/>
          <w:b/>
          <w:color w:val="auto"/>
          <w:sz w:val="22"/>
          <w:szCs w:val="22"/>
          <w:highlight w:val="none"/>
        </w:rPr>
        <w:t>15投标报价控制性条款</w:t>
      </w:r>
      <w:bookmarkEnd w:id="19"/>
    </w:p>
    <w:p w14:paraId="602A68ED">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15.1 投标报价不得超过公布的预算金额或最高限价，其中各年度或各分项报价（如有要求）均不得超过对应的预算金额或最高限价。</w:t>
      </w:r>
    </w:p>
    <w:p w14:paraId="560841F5">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15.2 本项目只允许有一个报价，任何有选择的报价将不予接受。</w:t>
      </w:r>
    </w:p>
    <w:p w14:paraId="15D7497F">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F2B396A">
      <w:pPr>
        <w:adjustRightInd w:val="0"/>
        <w:snapToGrid w:val="0"/>
        <w:spacing w:line="300" w:lineRule="auto"/>
        <w:ind w:firstLine="424" w:firstLineChars="192"/>
        <w:jc w:val="left"/>
        <w:rPr>
          <w:rFonts w:ascii="Times New Roman" w:hAnsi="Times New Roman" w:eastAsia="宋体" w:cs="Times New Roman"/>
          <w:color w:val="auto"/>
          <w:sz w:val="22"/>
          <w:szCs w:val="22"/>
          <w:highlight w:val="none"/>
        </w:rPr>
      </w:pPr>
      <w:r>
        <w:rPr>
          <w:rFonts w:hint="eastAsia" w:ascii="宋体" w:hAnsi="宋体" w:eastAsia="宋体" w:cs="宋体"/>
          <w:b/>
          <w:bCs/>
          <w:color w:val="auto"/>
          <w:kern w:val="0"/>
          <w:sz w:val="22"/>
          <w:szCs w:val="22"/>
          <w:highlight w:val="none"/>
        </w:rPr>
        <w:t>★</w:t>
      </w:r>
      <w:r>
        <w:rPr>
          <w:rFonts w:ascii="Times New Roman" w:hAnsi="Times New Roman" w:eastAsia="宋体" w:cs="Times New Roman"/>
          <w:color w:val="auto"/>
          <w:sz w:val="22"/>
          <w:szCs w:val="22"/>
          <w:highlight w:val="none"/>
        </w:rPr>
        <w:t>15.4经评标委员会审定，投标报价存在下列情形之一的，该投标文件作无效标处理：</w:t>
      </w:r>
    </w:p>
    <w:p w14:paraId="3846A520">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15.4.1投标报价和技术方案明显不相符的；</w:t>
      </w:r>
    </w:p>
    <w:p w14:paraId="09397BCB">
      <w:pPr>
        <w:adjustRightInd w:val="0"/>
        <w:snapToGrid w:val="0"/>
        <w:spacing w:line="300" w:lineRule="auto"/>
        <w:ind w:firstLine="422" w:firstLineChars="192"/>
        <w:jc w:val="left"/>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15.4.2 投标报价中缩减服务内容一览表内容的；</w:t>
      </w:r>
    </w:p>
    <w:p w14:paraId="03CF9BD2">
      <w:pPr>
        <w:snapToGrid w:val="0"/>
        <w:spacing w:line="300" w:lineRule="auto"/>
        <w:ind w:firstLine="424" w:firstLineChars="192"/>
        <w:rPr>
          <w:rFonts w:ascii="Times New Roman" w:hAnsi="Times New Roman" w:eastAsia="宋体" w:cs="Times New Roman"/>
          <w:b/>
          <w:color w:val="auto"/>
          <w:sz w:val="22"/>
          <w:szCs w:val="22"/>
          <w:highlight w:val="none"/>
          <w:u w:val="wavyHeavy"/>
        </w:rPr>
      </w:pPr>
    </w:p>
    <w:p w14:paraId="4E99675C">
      <w:pPr>
        <w:adjustRightInd w:val="0"/>
        <w:snapToGrid w:val="0"/>
        <w:spacing w:line="300" w:lineRule="auto"/>
        <w:jc w:val="center"/>
        <w:outlineLvl w:val="1"/>
        <w:rPr>
          <w:rFonts w:ascii="Times New Roman" w:hAnsi="Times New Roman" w:eastAsia="黑体" w:cs="Times New Roman"/>
          <w:color w:val="auto"/>
          <w:sz w:val="30"/>
          <w:szCs w:val="30"/>
          <w:highlight w:val="none"/>
        </w:rPr>
      </w:pPr>
      <w:bookmarkStart w:id="20" w:name="_Toc486947670"/>
      <w:bookmarkStart w:id="21" w:name="_Toc14717"/>
      <w:r>
        <w:rPr>
          <w:rFonts w:ascii="Times New Roman" w:hAnsi="Times New Roman" w:eastAsia="黑体" w:cs="Times New Roman"/>
          <w:color w:val="auto"/>
          <w:sz w:val="30"/>
          <w:szCs w:val="30"/>
          <w:highlight w:val="none"/>
        </w:rPr>
        <w:t>五、政府采购政策</w:t>
      </w:r>
      <w:bookmarkEnd w:id="20"/>
      <w:bookmarkEnd w:id="21"/>
    </w:p>
    <w:p w14:paraId="3D4BD5DA">
      <w:pPr>
        <w:adjustRightInd w:val="0"/>
        <w:snapToGrid w:val="0"/>
        <w:spacing w:line="300" w:lineRule="auto"/>
        <w:ind w:firstLine="442" w:firstLineChars="200"/>
        <w:outlineLvl w:val="2"/>
        <w:rPr>
          <w:rFonts w:ascii="Times New Roman" w:hAnsi="Times New Roman" w:eastAsia="宋体" w:cs="Times New Roman"/>
          <w:b/>
          <w:color w:val="auto"/>
          <w:sz w:val="22"/>
          <w:szCs w:val="22"/>
          <w:highlight w:val="none"/>
        </w:rPr>
      </w:pPr>
      <w:bookmarkStart w:id="22" w:name="_Toc497230834"/>
      <w:bookmarkStart w:id="23" w:name="_Toc12786"/>
      <w:r>
        <w:rPr>
          <w:rFonts w:ascii="Times New Roman" w:hAnsi="Times New Roman" w:eastAsia="宋体" w:cs="Times New Roman"/>
          <w:b/>
          <w:color w:val="auto"/>
          <w:sz w:val="22"/>
          <w:szCs w:val="22"/>
          <w:highlight w:val="none"/>
        </w:rPr>
        <w:t>1</w:t>
      </w:r>
      <w:r>
        <w:rPr>
          <w:rFonts w:hint="eastAsia" w:ascii="Times New Roman" w:hAnsi="Times New Roman" w:eastAsia="宋体" w:cs="Times New Roman"/>
          <w:b/>
          <w:color w:val="auto"/>
          <w:sz w:val="22"/>
          <w:szCs w:val="22"/>
          <w:highlight w:val="none"/>
          <w:lang w:val="en-US" w:eastAsia="zh-CN"/>
        </w:rPr>
        <w:t>6</w:t>
      </w:r>
      <w:r>
        <w:rPr>
          <w:rFonts w:ascii="Times New Roman" w:hAnsi="Times New Roman" w:eastAsia="宋体" w:cs="Times New Roman"/>
          <w:b/>
          <w:color w:val="auto"/>
          <w:sz w:val="22"/>
          <w:szCs w:val="22"/>
          <w:highlight w:val="none"/>
        </w:rPr>
        <w:t>促进中小企业发展</w:t>
      </w:r>
      <w:bookmarkEnd w:id="22"/>
      <w:bookmarkEnd w:id="23"/>
    </w:p>
    <w:p w14:paraId="62EB6140">
      <w:pPr>
        <w:tabs>
          <w:tab w:val="left" w:pos="3060"/>
        </w:tabs>
        <w:adjustRightInd w:val="0"/>
        <w:snapToGrid w:val="0"/>
        <w:spacing w:line="300" w:lineRule="auto"/>
        <w:ind w:firstLine="442" w:firstLineChars="200"/>
        <w:rPr>
          <w:rFonts w:ascii="Times New Roman" w:hAnsi="Times New Roman" w:eastAsia="宋体" w:cs="Times New Roman"/>
          <w:color w:val="auto"/>
          <w:sz w:val="22"/>
          <w:szCs w:val="22"/>
          <w:highlight w:val="none"/>
        </w:rPr>
      </w:pPr>
      <w:bookmarkStart w:id="24" w:name="_Toc506191162"/>
      <w:bookmarkStart w:id="25" w:name="_Toc486604822"/>
      <w:bookmarkStart w:id="26" w:name="_Toc495411567"/>
      <w:bookmarkStart w:id="27" w:name="_Toc481849906"/>
      <w:r>
        <w:rPr>
          <w:rFonts w:hint="eastAsia" w:ascii="宋体" w:hAnsi="宋体" w:eastAsia="宋体" w:cs="宋体"/>
          <w:b/>
          <w:bCs/>
          <w:color w:val="auto"/>
          <w:kern w:val="0"/>
          <w:sz w:val="22"/>
          <w:szCs w:val="22"/>
          <w:highlight w:val="none"/>
        </w:rPr>
        <w:t>★</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6</w:t>
      </w:r>
      <w:r>
        <w:rPr>
          <w:rFonts w:ascii="Times New Roman" w:hAnsi="Times New Roman" w:eastAsia="宋体" w:cs="Times New Roman"/>
          <w:bCs/>
          <w:color w:val="auto"/>
          <w:sz w:val="22"/>
          <w:szCs w:val="22"/>
          <w:highlight w:val="none"/>
        </w:rPr>
        <w:t>.1</w:t>
      </w:r>
      <w:r>
        <w:rPr>
          <w:rFonts w:ascii="Times New Roman" w:hAnsi="Times New Roman" w:eastAsia="宋体" w:cs="Times New Roman"/>
          <w:color w:val="auto"/>
          <w:sz w:val="22"/>
          <w:szCs w:val="22"/>
          <w:highlight w:val="none"/>
        </w:rPr>
        <w:t>中小企业（含中型、小型、微型企业，下同）的划定按照《中小企业划型标准规定》（工信部联企业〔2011〕300号）执行，参加投标的中小企业应当提供《中小企业声明函》（具体格式见“投标文件格式”），反之，视作非中、小微企业，不具备参与投标资格。如项目允许联合体参与竞争的，则联合体中各方均应为中小企业，并按本款要求提供《中小企业声明函》。</w:t>
      </w:r>
    </w:p>
    <w:p w14:paraId="7AFEB49B">
      <w:pPr>
        <w:adjustRightInd w:val="0"/>
        <w:snapToGrid w:val="0"/>
        <w:spacing w:line="300" w:lineRule="auto"/>
        <w:ind w:firstLine="442" w:firstLineChars="200"/>
        <w:rPr>
          <w:rFonts w:ascii="Times New Roman" w:hAnsi="Times New Roman" w:eastAsia="宋体" w:cs="Times New Roman"/>
          <w:color w:val="auto"/>
          <w:sz w:val="22"/>
          <w:szCs w:val="22"/>
          <w:highlight w:val="none"/>
        </w:rPr>
      </w:pPr>
      <w:r>
        <w:rPr>
          <w:rFonts w:hint="eastAsia" w:ascii="宋体" w:hAnsi="宋体" w:eastAsia="宋体" w:cs="宋体"/>
          <w:b/>
          <w:bCs/>
          <w:color w:val="auto"/>
          <w:kern w:val="0"/>
          <w:sz w:val="22"/>
          <w:szCs w:val="22"/>
          <w:highlight w:val="none"/>
        </w:rPr>
        <w:t>★</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6</w:t>
      </w:r>
      <w:r>
        <w:rPr>
          <w:rFonts w:ascii="Times New Roman" w:hAnsi="Times New Roman" w:eastAsia="宋体" w:cs="Times New Roman"/>
          <w:color w:val="auto"/>
          <w:sz w:val="22"/>
          <w:szCs w:val="22"/>
          <w:highlight w:val="none"/>
        </w:rPr>
        <w:t>.2 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ascii="Times New Roman" w:hAnsi="Times New Roman" w:eastAsia="宋体" w:cs="Times New Roman"/>
          <w:color w:val="auto"/>
          <w:sz w:val="22"/>
          <w:szCs w:val="22"/>
          <w:highlight w:val="none"/>
        </w:rPr>
        <w:t>管理</w:t>
      </w:r>
      <w:r>
        <w:rPr>
          <w:rFonts w:ascii="Times New Roman" w:hAnsi="Times New Roman" w:eastAsia="宋体" w:cs="Times New Roman"/>
          <w:color w:val="auto"/>
          <w:sz w:val="22"/>
          <w:szCs w:val="22"/>
          <w:highlight w:val="none"/>
        </w:rPr>
        <w:t>办法》。</w:t>
      </w:r>
    </w:p>
    <w:p w14:paraId="18638EC7">
      <w:pPr>
        <w:adjustRightInd w:val="0"/>
        <w:snapToGrid w:val="0"/>
        <w:spacing w:line="300" w:lineRule="auto"/>
        <w:ind w:firstLine="442" w:firstLineChars="200"/>
        <w:rPr>
          <w:rFonts w:ascii="Times New Roman" w:hAnsi="Times New Roman" w:eastAsia="宋体" w:cs="Times New Roman"/>
          <w:color w:val="auto"/>
          <w:sz w:val="22"/>
          <w:szCs w:val="22"/>
          <w:highlight w:val="none"/>
        </w:rPr>
      </w:pPr>
      <w:r>
        <w:rPr>
          <w:rFonts w:hint="eastAsia" w:ascii="宋体" w:hAnsi="宋体" w:eastAsia="宋体" w:cs="宋体"/>
          <w:b/>
          <w:bCs/>
          <w:color w:val="auto"/>
          <w:kern w:val="0"/>
          <w:sz w:val="22"/>
          <w:szCs w:val="22"/>
          <w:highlight w:val="none"/>
        </w:rPr>
        <w:t>★</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6</w:t>
      </w:r>
      <w:r>
        <w:rPr>
          <w:rFonts w:ascii="Times New Roman" w:hAnsi="Times New Roman" w:eastAsia="宋体" w:cs="Times New Roman"/>
          <w:color w:val="auto"/>
          <w:sz w:val="22"/>
          <w:szCs w:val="22"/>
          <w:highlight w:val="none"/>
        </w:rPr>
        <w:t>.3 如项目允许联合体参与竞争的，组成联合体的中型企业和其他自然人、法人或者其他组织，与小型、微型企业之间不得存在投资关系。</w:t>
      </w:r>
    </w:p>
    <w:p w14:paraId="3E69347F">
      <w:pPr>
        <w:adjustRightInd w:val="0"/>
        <w:snapToGrid w:val="0"/>
        <w:spacing w:line="300" w:lineRule="auto"/>
        <w:ind w:firstLine="442" w:firstLineChars="200"/>
        <w:rPr>
          <w:rFonts w:ascii="Times New Roman" w:hAnsi="Times New Roman" w:eastAsia="宋体" w:cs="Times New Roman"/>
          <w:color w:val="auto"/>
          <w:sz w:val="22"/>
          <w:szCs w:val="22"/>
          <w:highlight w:val="none"/>
        </w:rPr>
      </w:pPr>
      <w:r>
        <w:rPr>
          <w:rFonts w:hint="eastAsia" w:ascii="宋体" w:hAnsi="宋体" w:eastAsia="宋体" w:cs="宋体"/>
          <w:b/>
          <w:bCs/>
          <w:color w:val="auto"/>
          <w:kern w:val="0"/>
          <w:sz w:val="22"/>
          <w:szCs w:val="22"/>
          <w:highlight w:val="none"/>
        </w:rPr>
        <w:t>★</w:t>
      </w:r>
      <w:r>
        <w:rPr>
          <w:rFonts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6</w:t>
      </w:r>
      <w:r>
        <w:rPr>
          <w:rFonts w:ascii="Times New Roman" w:hAnsi="Times New Roman" w:eastAsia="宋体" w:cs="Times New Roman"/>
          <w:color w:val="auto"/>
          <w:sz w:val="22"/>
          <w:szCs w:val="22"/>
          <w:highlight w:val="none"/>
        </w:rPr>
        <w:t>.4供应商如提供虚假材料以谋取成交的，按照《政府采购法》有关条款处理，并记入供应商诚信档案。</w:t>
      </w:r>
    </w:p>
    <w:bookmarkEnd w:id="24"/>
    <w:bookmarkEnd w:id="25"/>
    <w:bookmarkEnd w:id="26"/>
    <w:bookmarkEnd w:id="27"/>
    <w:p w14:paraId="0DC79583">
      <w:pPr>
        <w:adjustRightInd w:val="0"/>
        <w:snapToGrid w:val="0"/>
        <w:spacing w:line="300" w:lineRule="auto"/>
        <w:ind w:firstLine="442" w:firstLineChars="200"/>
        <w:outlineLvl w:val="2"/>
        <w:rPr>
          <w:rFonts w:ascii="Times New Roman" w:hAnsi="Times New Roman" w:eastAsia="宋体" w:cs="Times New Roman"/>
          <w:b/>
          <w:color w:val="auto"/>
          <w:sz w:val="22"/>
          <w:szCs w:val="22"/>
          <w:highlight w:val="none"/>
        </w:rPr>
      </w:pPr>
      <w:bookmarkStart w:id="28" w:name="_Toc495411569"/>
      <w:bookmarkStart w:id="29" w:name="_Toc26232"/>
      <w:r>
        <w:rPr>
          <w:rFonts w:hint="eastAsia" w:ascii="Times New Roman" w:hAnsi="Times New Roman" w:eastAsia="宋体" w:cs="Times New Roman"/>
          <w:b/>
          <w:color w:val="auto"/>
          <w:sz w:val="22"/>
          <w:szCs w:val="22"/>
          <w:highlight w:val="none"/>
          <w:lang w:val="en-US" w:eastAsia="zh-CN"/>
        </w:rPr>
        <w:t>17</w:t>
      </w:r>
      <w:r>
        <w:rPr>
          <w:rFonts w:ascii="Times New Roman" w:hAnsi="Times New Roman" w:eastAsia="宋体" w:cs="Times New Roman"/>
          <w:b/>
          <w:color w:val="auto"/>
          <w:sz w:val="22"/>
          <w:szCs w:val="22"/>
          <w:highlight w:val="none"/>
        </w:rPr>
        <w:t>促进残疾人就业</w:t>
      </w:r>
      <w:bookmarkEnd w:id="28"/>
      <w:r>
        <w:rPr>
          <w:rFonts w:ascii="Times New Roman" w:hAnsi="Times New Roman" w:eastAsia="宋体" w:cs="Times New Roman"/>
          <w:b/>
          <w:color w:val="auto"/>
          <w:sz w:val="22"/>
          <w:szCs w:val="22"/>
          <w:highlight w:val="none"/>
        </w:rPr>
        <w:t>（注：仅残疾人福利单位适用）</w:t>
      </w:r>
      <w:bookmarkEnd w:id="29"/>
    </w:p>
    <w:p w14:paraId="3CBF8175">
      <w:pPr>
        <w:adjustRightInd w:val="0"/>
        <w:snapToGrid w:val="0"/>
        <w:spacing w:line="300" w:lineRule="auto"/>
        <w:ind w:firstLine="440" w:firstLineChars="200"/>
        <w:jc w:val="left"/>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17</w:t>
      </w:r>
      <w:r>
        <w:rPr>
          <w:rFonts w:ascii="Times New Roman" w:hAnsi="Times New Roman" w:eastAsia="宋体" w:cs="Times New Roman"/>
          <w:color w:val="auto"/>
          <w:sz w:val="22"/>
          <w:szCs w:val="22"/>
          <w:highlight w:val="none"/>
        </w:rPr>
        <w:t xml:space="preserve">.1 </w:t>
      </w:r>
      <w:bookmarkStart w:id="30" w:name="sendNo"/>
      <w:r>
        <w:rPr>
          <w:rFonts w:ascii="Times New Roman" w:hAnsi="Times New Roman" w:eastAsia="宋体" w:cs="Times New Roman"/>
          <w:color w:val="auto"/>
          <w:sz w:val="22"/>
          <w:szCs w:val="22"/>
          <w:highlight w:val="none"/>
        </w:rPr>
        <w:t>符合财库</w:t>
      </w:r>
      <w:bookmarkEnd w:id="30"/>
      <w:r>
        <w:rPr>
          <w:rFonts w:ascii="Times New Roman" w:hAnsi="Times New Roman" w:eastAsia="宋体" w:cs="Times New Roman"/>
          <w:color w:val="auto"/>
          <w:sz w:val="22"/>
          <w:szCs w:val="22"/>
          <w:highlight w:val="none"/>
        </w:rPr>
        <w:t>〔2017〕141号文中所示条件的残疾人福利性单位视同小型、微型企业，享受促进中小企业发展的政府采购政策。残疾人福利性单位属于小型、微型企业的，不重复享受政策。</w:t>
      </w:r>
    </w:p>
    <w:p w14:paraId="19D62831">
      <w:pPr>
        <w:adjustRightInd w:val="0"/>
        <w:snapToGrid w:val="0"/>
        <w:spacing w:line="300" w:lineRule="auto"/>
        <w:ind w:firstLine="440" w:firstLineChars="200"/>
        <w:jc w:val="left"/>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17</w:t>
      </w:r>
      <w:r>
        <w:rPr>
          <w:rFonts w:ascii="Times New Roman" w:hAnsi="Times New Roman" w:eastAsia="宋体" w:cs="Times New Roman"/>
          <w:color w:val="auto"/>
          <w:sz w:val="22"/>
          <w:szCs w:val="22"/>
          <w:highlight w:val="none"/>
        </w:rPr>
        <w:t>.2 残疾人福利性单位在参加政府采购活动时，应当按财库〔2017〕141号规定的《残疾人福利性单位声明函》（具体格式详见“投标文件格式”），并对声明的真实性负责。</w:t>
      </w:r>
    </w:p>
    <w:p w14:paraId="68E432BB">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47DDF"/>
    <w:multiLevelType w:val="multilevel"/>
    <w:tmpl w:val="68247DDF"/>
    <w:lvl w:ilvl="0" w:tentative="0">
      <w:start w:val="1"/>
      <w:numFmt w:val="japaneseCounting"/>
      <w:lvlText w:val="%1、"/>
      <w:lvlJc w:val="left"/>
      <w:pPr>
        <w:ind w:left="420" w:hanging="4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51BAC"/>
    <w:rsid w:val="6AC30E36"/>
    <w:rsid w:val="7EF51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3365</Words>
  <Characters>3784</Characters>
  <Lines>0</Lines>
  <Paragraphs>0</Paragraphs>
  <TotalTime>1</TotalTime>
  <ScaleCrop>false</ScaleCrop>
  <LinksUpToDate>false</LinksUpToDate>
  <CharactersWithSpaces>4006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2026-03-19T03:07:00Z</dcterms:created>
  <dc:creator>陈芊伊</dc:creator>
  <cp:lastModifiedBy>陈芊伊</cp:lastModifiedBy>
  <dcterms:modified xsi:type="dcterms:W3CDTF">2026-03-19T04:02:50Z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C5A65F1C42FB4B53A522C18DDD0CC584_11</vt:lpwstr>
  </property>
  <property fmtid="{D5CDD505-2E9C-101B-9397-08002B2CF9AE}" pid="4" name="KSOTemplateDocerSaveRecord">
    <vt:lpwstr>eyJoZGlkIjoiM2FiMTNiNDM0MzQ4MmYyNzMyMjVkMzRjN2JkN2ViNDEiLCJ1c2VySWQiOiIyMDMwMTYzNjUifQ==</vt:lpwstr>
  </property>
</Properties>
</file>