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C681C">
      <w:pPr>
        <w:adjustRightInd w:val="0"/>
        <w:snapToGrid w:val="0"/>
        <w:spacing w:line="300" w:lineRule="auto"/>
        <w:jc w:val="center"/>
        <w:outlineLvl w:val="1"/>
        <w:rPr>
          <w:rFonts w:ascii="Times New Roman" w:hAnsi="Times New Roman" w:eastAsia="黑体" w:cs="Times New Roman"/>
          <w:color w:val="auto"/>
          <w:sz w:val="30"/>
          <w:szCs w:val="30"/>
        </w:rPr>
      </w:pPr>
      <w:bookmarkStart w:id="0" w:name="_Toc27641"/>
      <w:bookmarkStart w:id="1" w:name="_Toc497211593"/>
      <w:bookmarkStart w:id="2" w:name="OLE_LINK4"/>
      <w:r>
        <w:rPr>
          <w:rFonts w:hint="eastAsia" w:ascii="Times New Roman" w:hAnsi="Times New Roman" w:eastAsia="黑体" w:cs="Times New Roman"/>
          <w:color w:val="auto"/>
          <w:sz w:val="30"/>
          <w:szCs w:val="30"/>
        </w:rPr>
        <w:t>一、</w:t>
      </w:r>
      <w:r>
        <w:rPr>
          <w:rFonts w:ascii="Times New Roman" w:hAnsi="Times New Roman" w:eastAsia="黑体" w:cs="Times New Roman"/>
          <w:color w:val="auto"/>
          <w:sz w:val="30"/>
          <w:szCs w:val="30"/>
        </w:rPr>
        <w:t>说明</w:t>
      </w:r>
      <w:bookmarkEnd w:id="0"/>
      <w:bookmarkEnd w:id="1"/>
    </w:p>
    <w:p w14:paraId="5A8C6700">
      <w:pPr>
        <w:spacing w:line="300" w:lineRule="auto"/>
        <w:ind w:firstLine="424" w:firstLineChars="192"/>
        <w:outlineLvl w:val="2"/>
        <w:rPr>
          <w:rFonts w:ascii="Times New Roman" w:hAnsi="Times New Roman" w:eastAsia="宋体" w:cs="Times New Roman"/>
          <w:b/>
          <w:color w:val="auto"/>
          <w:sz w:val="22"/>
          <w:szCs w:val="22"/>
        </w:rPr>
      </w:pPr>
      <w:bookmarkStart w:id="3" w:name="_Toc497211594"/>
      <w:bookmarkStart w:id="4" w:name="_Toc29183"/>
      <w:r>
        <w:rPr>
          <w:rFonts w:ascii="Times New Roman" w:hAnsi="Times New Roman" w:eastAsia="宋体" w:cs="Times New Roman"/>
          <w:b/>
          <w:color w:val="auto"/>
          <w:sz w:val="22"/>
          <w:szCs w:val="22"/>
        </w:rPr>
        <w:t>1 总则</w:t>
      </w:r>
      <w:bookmarkEnd w:id="3"/>
      <w:bookmarkEnd w:id="4"/>
    </w:p>
    <w:p w14:paraId="659E5D27">
      <w:pPr>
        <w:adjustRightInd w:val="0"/>
        <w:snapToGrid w:val="0"/>
        <w:spacing w:line="300" w:lineRule="auto"/>
        <w:ind w:firstLine="422" w:firstLineChars="192"/>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 xml:space="preserve">1.1 </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应具备国家或行业管理部门规定的，在本市实施本项目所需的资格（资质）和相关手续（如果有），由此引起的所有有关事宜及费用由</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自行负责。</w:t>
      </w:r>
    </w:p>
    <w:p w14:paraId="0DD4EB68">
      <w:pPr>
        <w:snapToGrid w:val="0"/>
        <w:spacing w:line="300" w:lineRule="auto"/>
        <w:ind w:firstLine="422" w:firstLineChars="192"/>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 xml:space="preserve">1.2 </w:t>
      </w:r>
      <w:r>
        <w:rPr>
          <w:rFonts w:hint="eastAsia" w:ascii="Times New Roman" w:hAnsi="Times New Roman" w:eastAsia="宋体" w:cs="Times New Roman"/>
          <w:color w:val="auto"/>
          <w:sz w:val="22"/>
          <w:szCs w:val="22"/>
        </w:rPr>
        <w:t>供应商提供的货物和服务应当符合磋商文件的要求，并且其质量完全符合国家标准、行业标准或地方标准。所提供的货物应当是全新的、未使用过的。</w:t>
      </w:r>
    </w:p>
    <w:p w14:paraId="38E45EB3">
      <w:pPr>
        <w:adjustRightInd w:val="0"/>
        <w:snapToGrid w:val="0"/>
        <w:spacing w:line="300" w:lineRule="auto"/>
        <w:ind w:firstLine="422" w:firstLineChars="192"/>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 xml:space="preserve">1.3 </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在</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前应认真了解项目的实施背景、应提供的服务内容和质量、项目考核管理要求等，一旦</w:t>
      </w:r>
      <w:r>
        <w:rPr>
          <w:rFonts w:hint="eastAsia" w:ascii="Times New Roman" w:hAnsi="Times New Roman" w:eastAsia="宋体" w:cs="Times New Roman"/>
          <w:color w:val="auto"/>
          <w:sz w:val="22"/>
          <w:szCs w:val="22"/>
        </w:rPr>
        <w:t>成交</w:t>
      </w:r>
      <w:r>
        <w:rPr>
          <w:rFonts w:ascii="Times New Roman" w:hAnsi="Times New Roman" w:eastAsia="宋体" w:cs="Times New Roman"/>
          <w:color w:val="auto"/>
          <w:sz w:val="22"/>
          <w:szCs w:val="22"/>
        </w:rPr>
        <w:t>，应按照</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文件和合同规定的要求提供相关服务。</w:t>
      </w:r>
    </w:p>
    <w:p w14:paraId="389CC24E">
      <w:pPr>
        <w:spacing w:line="300" w:lineRule="auto"/>
        <w:ind w:firstLine="422" w:firstLineChars="192"/>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4供应商对所提供的货物和服务应当享有合法的所有权，没有侵犯任何第三方的知识产权、商业秘密、技术秘密等权利，而且不存在任何抵押、留置、查封等产权瑕疵。如采购人使用该服务构成上述侵权的，则由成交供应商承担全部责任。</w:t>
      </w:r>
    </w:p>
    <w:p w14:paraId="1202BE55">
      <w:pPr>
        <w:adjustRightInd w:val="0"/>
        <w:snapToGrid w:val="0"/>
        <w:spacing w:line="300" w:lineRule="auto"/>
        <w:ind w:firstLine="440" w:firstLineChars="200"/>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1.5</w:t>
      </w:r>
      <w:r>
        <w:rPr>
          <w:rFonts w:hint="eastAsia" w:ascii="Times New Roman" w:hAnsi="Times New Roman" w:eastAsia="宋体" w:cs="Times New Roman"/>
          <w:color w:val="auto"/>
          <w:sz w:val="22"/>
          <w:szCs w:val="22"/>
        </w:rPr>
        <w:t>投标人认为招标文件（包括招标补充文件）存在排他性或歧视性条款，自收到招标文件之日或者招标文件公告期限届满之日起</w:t>
      </w:r>
      <w:r>
        <w:rPr>
          <w:rFonts w:ascii="Times New Roman" w:hAnsi="Times New Roman" w:eastAsia="宋体" w:cs="Times New Roman"/>
          <w:color w:val="auto"/>
          <w:sz w:val="22"/>
          <w:szCs w:val="22"/>
        </w:rPr>
        <w:t>10日内</w:t>
      </w:r>
      <w:r>
        <w:rPr>
          <w:rFonts w:hint="eastAsia" w:ascii="Times New Roman" w:hAnsi="Times New Roman" w:eastAsia="宋体" w:cs="Times New Roman"/>
          <w:color w:val="auto"/>
          <w:sz w:val="22"/>
          <w:szCs w:val="22"/>
        </w:rPr>
        <w:t>，以书面形式提出，并附相关证据。</w:t>
      </w:r>
    </w:p>
    <w:p w14:paraId="2493F8E2">
      <w:pPr>
        <w:spacing w:line="300" w:lineRule="auto"/>
        <w:ind w:firstLine="440" w:firstLineChars="200"/>
        <w:rPr>
          <w:rFonts w:ascii="Times New Roman" w:hAnsi="Times New Roman" w:eastAsia="宋体" w:cs="Times New Roman"/>
          <w:color w:val="auto"/>
          <w:sz w:val="22"/>
          <w:szCs w:val="22"/>
        </w:rPr>
      </w:pPr>
      <w:r>
        <w:rPr>
          <w:rFonts w:hint="eastAsia" w:ascii="宋体" w:hAnsi="宋体" w:eastAsia="宋体" w:cs="宋体"/>
          <w:color w:val="auto"/>
          <w:sz w:val="22"/>
          <w:szCs w:val="22"/>
        </w:rPr>
        <w:t>★</w:t>
      </w: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6供应商提供的产品和服务必须符合国家强制性标准。</w:t>
      </w:r>
    </w:p>
    <w:p w14:paraId="4EDD0E4C">
      <w:pPr>
        <w:spacing w:line="300" w:lineRule="auto"/>
        <w:ind w:firstLine="440" w:firstLineChars="200"/>
        <w:rPr>
          <w:rFonts w:ascii="Times New Roman" w:hAnsi="Times New Roman" w:eastAsia="宋体" w:cs="Times New Roman"/>
          <w:color w:val="auto"/>
          <w:sz w:val="22"/>
          <w:szCs w:val="22"/>
        </w:rPr>
      </w:pPr>
    </w:p>
    <w:p w14:paraId="319E46FB">
      <w:pPr>
        <w:adjustRightInd w:val="0"/>
        <w:snapToGrid w:val="0"/>
        <w:spacing w:line="300" w:lineRule="auto"/>
        <w:jc w:val="center"/>
        <w:outlineLvl w:val="1"/>
        <w:rPr>
          <w:rFonts w:ascii="Times New Roman" w:hAnsi="Times New Roman" w:eastAsia="黑体" w:cs="Times New Roman"/>
          <w:color w:val="auto"/>
          <w:sz w:val="30"/>
          <w:szCs w:val="30"/>
        </w:rPr>
      </w:pPr>
      <w:bookmarkStart w:id="5" w:name="_Toc486947676"/>
      <w:bookmarkStart w:id="6" w:name="_Toc497211595"/>
      <w:bookmarkStart w:id="7" w:name="_Toc20205"/>
      <w:r>
        <w:rPr>
          <w:rFonts w:ascii="Times New Roman" w:hAnsi="Times New Roman" w:eastAsia="黑体" w:cs="Times New Roman"/>
          <w:color w:val="auto"/>
          <w:sz w:val="30"/>
          <w:szCs w:val="30"/>
        </w:rPr>
        <w:t>二、项目概况</w:t>
      </w:r>
      <w:bookmarkEnd w:id="5"/>
      <w:bookmarkEnd w:id="6"/>
      <w:bookmarkEnd w:id="7"/>
    </w:p>
    <w:p w14:paraId="26B776B8">
      <w:pPr>
        <w:spacing w:line="300" w:lineRule="auto"/>
        <w:ind w:firstLine="424" w:firstLineChars="192"/>
        <w:outlineLvl w:val="2"/>
        <w:rPr>
          <w:rFonts w:ascii="Times New Roman" w:hAnsi="Times New Roman" w:eastAsia="宋体" w:cs="Times New Roman"/>
          <w:b/>
          <w:color w:val="auto"/>
          <w:sz w:val="22"/>
          <w:szCs w:val="22"/>
        </w:rPr>
      </w:pPr>
      <w:bookmarkStart w:id="8" w:name="_Toc14036"/>
      <w:bookmarkStart w:id="9" w:name="_Toc497211598"/>
      <w:r>
        <w:rPr>
          <w:rFonts w:hint="eastAsia" w:ascii="Times New Roman" w:hAnsi="Times New Roman" w:eastAsia="宋体" w:cs="Times New Roman"/>
          <w:b/>
          <w:color w:val="auto"/>
          <w:sz w:val="22"/>
          <w:szCs w:val="22"/>
        </w:rPr>
        <w:t>2磋商</w:t>
      </w:r>
      <w:r>
        <w:rPr>
          <w:rFonts w:ascii="Times New Roman" w:hAnsi="Times New Roman" w:eastAsia="宋体" w:cs="Times New Roman"/>
          <w:b/>
          <w:color w:val="auto"/>
          <w:sz w:val="22"/>
          <w:szCs w:val="22"/>
        </w:rPr>
        <w:t>范围与内容</w:t>
      </w:r>
      <w:bookmarkEnd w:id="8"/>
      <w:bookmarkEnd w:id="9"/>
    </w:p>
    <w:p w14:paraId="1E121FD2">
      <w:pPr>
        <w:spacing w:line="300" w:lineRule="auto"/>
        <w:ind w:firstLine="422" w:firstLineChars="192"/>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2</w:t>
      </w:r>
      <w:r>
        <w:rPr>
          <w:rFonts w:ascii="Times New Roman" w:hAnsi="Times New Roman" w:eastAsia="宋体" w:cs="Times New Roman"/>
          <w:color w:val="auto"/>
          <w:sz w:val="22"/>
          <w:szCs w:val="22"/>
        </w:rPr>
        <w:t>.1 项目背景及现状</w:t>
      </w:r>
    </w:p>
    <w:p w14:paraId="664AFE82">
      <w:pPr>
        <w:spacing w:line="300" w:lineRule="auto"/>
        <w:ind w:firstLine="422" w:firstLineChars="192"/>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为了张江镇道路照明管理维修工作的需要，服务于民，方便于民，确保社会稳定，特对张江镇所辖区域内镇管路灯及附属设施等的常态巡检、维修、保养等工作。</w:t>
      </w:r>
    </w:p>
    <w:p w14:paraId="26E4BC71">
      <w:pPr>
        <w:spacing w:line="300" w:lineRule="auto"/>
        <w:ind w:firstLine="422" w:firstLineChars="192"/>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2</w:t>
      </w:r>
      <w:r>
        <w:rPr>
          <w:rFonts w:ascii="Times New Roman" w:hAnsi="Times New Roman" w:eastAsia="宋体" w:cs="Times New Roman"/>
          <w:color w:val="auto"/>
          <w:sz w:val="22"/>
          <w:szCs w:val="22"/>
        </w:rPr>
        <w:t>.2 项目</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范围及内容</w:t>
      </w:r>
    </w:p>
    <w:p w14:paraId="15DAB943">
      <w:pPr>
        <w:spacing w:line="300" w:lineRule="auto"/>
        <w:ind w:firstLine="422" w:firstLineChars="192"/>
        <w:rPr>
          <w:rFonts w:ascii="Times New Roman" w:hAnsi="Times New Roman" w:eastAsia="宋体" w:cs="Times New Roman"/>
          <w:color w:val="auto"/>
          <w:sz w:val="22"/>
          <w:szCs w:val="22"/>
        </w:rPr>
      </w:pPr>
      <w:r>
        <w:rPr>
          <w:rFonts w:hint="eastAsia" w:ascii="宋体" w:hAnsi="宋体" w:eastAsia="宋体" w:cs="Times New Roman"/>
          <w:color w:val="auto"/>
          <w:sz w:val="22"/>
          <w:szCs w:val="22"/>
        </w:rPr>
        <w:t>本项目是对张江镇所辖区域内镇管路灯及附属设施等的常态巡检、维修、保养等服 务工作。</w:t>
      </w:r>
    </w:p>
    <w:p w14:paraId="2D7EF783">
      <w:pPr>
        <w:spacing w:line="300" w:lineRule="auto"/>
        <w:ind w:firstLine="422" w:firstLineChars="192"/>
        <w:rPr>
          <w:rFonts w:ascii="Times New Roman" w:hAnsi="Times New Roman" w:eastAsia="宋体" w:cs="Times New Roman"/>
          <w:bCs/>
          <w:color w:val="auto"/>
          <w:sz w:val="22"/>
          <w:szCs w:val="22"/>
        </w:rPr>
      </w:pPr>
      <w:r>
        <w:rPr>
          <w:rFonts w:hint="eastAsia" w:ascii="Times New Roman" w:hAnsi="Times New Roman" w:eastAsia="宋体" w:cs="Times New Roman"/>
          <w:color w:val="auto"/>
          <w:sz w:val="22"/>
          <w:szCs w:val="22"/>
        </w:rPr>
        <w:t>2</w:t>
      </w:r>
      <w:r>
        <w:rPr>
          <w:rFonts w:ascii="Times New Roman" w:hAnsi="Times New Roman" w:eastAsia="宋体" w:cs="Times New Roman"/>
          <w:color w:val="auto"/>
          <w:sz w:val="22"/>
          <w:szCs w:val="22"/>
        </w:rPr>
        <w:t xml:space="preserve">.3 </w:t>
      </w:r>
      <w:r>
        <w:rPr>
          <w:rFonts w:hint="eastAsia" w:ascii="Times New Roman" w:hAnsi="Times New Roman" w:eastAsia="宋体" w:cs="Times New Roman"/>
          <w:color w:val="auto"/>
          <w:sz w:val="22"/>
          <w:szCs w:val="22"/>
        </w:rPr>
        <w:t>本项目服务期限为合同签订后一年，暂定起讫日期为自 2026年9月16日起至 2027年9月15日止，具体以合同签订日期为准。</w:t>
      </w:r>
    </w:p>
    <w:p w14:paraId="039D73B6">
      <w:pPr>
        <w:spacing w:line="300" w:lineRule="auto"/>
        <w:ind w:firstLine="424" w:firstLineChars="192"/>
        <w:outlineLvl w:val="2"/>
        <w:rPr>
          <w:rFonts w:ascii="Times New Roman" w:hAnsi="Times New Roman" w:eastAsia="宋体" w:cs="Times New Roman"/>
          <w:b/>
          <w:color w:val="auto"/>
          <w:sz w:val="22"/>
          <w:szCs w:val="22"/>
        </w:rPr>
      </w:pPr>
      <w:bookmarkStart w:id="10" w:name="_Toc497211599"/>
      <w:bookmarkStart w:id="11" w:name="_Toc24569"/>
      <w:r>
        <w:rPr>
          <w:rFonts w:hint="eastAsia" w:ascii="Times New Roman" w:hAnsi="Times New Roman" w:eastAsia="宋体" w:cs="Times New Roman"/>
          <w:b/>
          <w:color w:val="auto"/>
          <w:sz w:val="22"/>
          <w:szCs w:val="22"/>
        </w:rPr>
        <w:t>3</w:t>
      </w:r>
      <w:r>
        <w:rPr>
          <w:rFonts w:ascii="Times New Roman" w:hAnsi="Times New Roman" w:eastAsia="宋体" w:cs="Times New Roman"/>
          <w:b/>
          <w:color w:val="auto"/>
          <w:sz w:val="22"/>
          <w:szCs w:val="22"/>
        </w:rPr>
        <w:t>承包方式</w:t>
      </w:r>
      <w:bookmarkEnd w:id="10"/>
      <w:bookmarkEnd w:id="11"/>
    </w:p>
    <w:p w14:paraId="471C6E73">
      <w:pPr>
        <w:widowControl w:val="0"/>
        <w:suppressAutoHyphens/>
        <w:spacing w:line="300" w:lineRule="auto"/>
        <w:ind w:firstLine="422" w:firstLineChars="192"/>
        <w:jc w:val="both"/>
        <w:rPr>
          <w:rFonts w:ascii="Times New Roman" w:hAnsi="Times New Roman" w:eastAsia="宋体" w:cs="Times New Roman"/>
          <w:color w:val="auto"/>
          <w:kern w:val="1"/>
          <w:sz w:val="22"/>
          <w:szCs w:val="20"/>
          <w:lang w:val="en-US" w:eastAsia="zh-CN" w:bidi="ar-SA"/>
        </w:rPr>
      </w:pPr>
      <w:r>
        <w:rPr>
          <w:rFonts w:hint="eastAsia" w:ascii="Times New Roman" w:hAnsi="Times New Roman" w:eastAsia="宋体" w:cs="Times New Roman"/>
          <w:color w:val="auto"/>
          <w:kern w:val="1"/>
          <w:sz w:val="22"/>
          <w:szCs w:val="20"/>
          <w:lang w:val="en-US" w:eastAsia="zh-CN" w:bidi="ar-SA"/>
        </w:rPr>
        <w:t>3</w:t>
      </w:r>
      <w:r>
        <w:rPr>
          <w:rFonts w:ascii="Times New Roman" w:hAnsi="Times New Roman" w:eastAsia="宋体" w:cs="Times New Roman"/>
          <w:color w:val="auto"/>
          <w:kern w:val="1"/>
          <w:sz w:val="22"/>
          <w:szCs w:val="20"/>
          <w:lang w:val="en-US" w:eastAsia="zh-CN" w:bidi="ar-SA"/>
        </w:rPr>
        <w:t>.1 依照本项目的</w:t>
      </w:r>
      <w:r>
        <w:rPr>
          <w:rFonts w:hint="eastAsia" w:ascii="Times New Roman" w:hAnsi="Times New Roman" w:eastAsia="宋体" w:cs="Times New Roman"/>
          <w:color w:val="auto"/>
          <w:kern w:val="1"/>
          <w:sz w:val="22"/>
          <w:szCs w:val="20"/>
          <w:lang w:val="en-US" w:eastAsia="zh-CN" w:bidi="ar-SA"/>
        </w:rPr>
        <w:t>磋商</w:t>
      </w:r>
      <w:r>
        <w:rPr>
          <w:rFonts w:ascii="Times New Roman" w:hAnsi="Times New Roman" w:eastAsia="宋体" w:cs="Times New Roman"/>
          <w:color w:val="auto"/>
          <w:kern w:val="1"/>
          <w:sz w:val="22"/>
          <w:szCs w:val="20"/>
          <w:lang w:val="en-US" w:eastAsia="zh-CN" w:bidi="ar-SA"/>
        </w:rPr>
        <w:t>范围和内容，</w:t>
      </w:r>
      <w:r>
        <w:rPr>
          <w:rFonts w:hint="eastAsia" w:ascii="Times New Roman" w:hAnsi="Times New Roman" w:eastAsia="宋体" w:cs="Times New Roman"/>
          <w:color w:val="auto"/>
          <w:kern w:val="1"/>
          <w:sz w:val="22"/>
          <w:szCs w:val="20"/>
          <w:lang w:val="en-US" w:eastAsia="zh-CN" w:bidi="ar-SA"/>
        </w:rPr>
        <w:t>成交供应商</w:t>
      </w:r>
      <w:r>
        <w:rPr>
          <w:rFonts w:ascii="Times New Roman" w:hAnsi="Times New Roman" w:eastAsia="宋体" w:cs="Times New Roman"/>
          <w:color w:val="auto"/>
          <w:kern w:val="1"/>
          <w:sz w:val="22"/>
          <w:szCs w:val="20"/>
          <w:lang w:val="en-US" w:eastAsia="zh-CN" w:bidi="ar-SA"/>
        </w:rPr>
        <w:t>以</w:t>
      </w:r>
      <w:r>
        <w:rPr>
          <w:rFonts w:ascii="Times New Roman" w:hAnsi="Times New Roman" w:eastAsia="宋体" w:cs="Times New Roman"/>
          <w:color w:val="auto"/>
          <w:kern w:val="1"/>
          <w:sz w:val="22"/>
          <w:szCs w:val="20"/>
          <w:u w:val="single"/>
          <w:lang w:val="en-US" w:eastAsia="zh-CN" w:bidi="ar-SA"/>
        </w:rPr>
        <w:t xml:space="preserve">  </w:t>
      </w:r>
      <w:r>
        <w:rPr>
          <w:rFonts w:hint="eastAsia" w:ascii="Times New Roman" w:hAnsi="Times New Roman" w:eastAsia="宋体" w:cs="Times New Roman"/>
          <w:color w:val="auto"/>
          <w:kern w:val="1"/>
          <w:sz w:val="22"/>
          <w:szCs w:val="20"/>
          <w:u w:val="single"/>
          <w:lang w:val="en-US" w:eastAsia="zh-CN" w:bidi="ar-SA"/>
        </w:rPr>
        <w:t>完成本项目全部内容所需的人工、材料、设备等按包工包料、包安全、包质量、包文明施工、包进度等方式</w:t>
      </w:r>
      <w:r>
        <w:rPr>
          <w:rFonts w:ascii="Times New Roman" w:hAnsi="Times New Roman" w:eastAsia="宋体" w:cs="Times New Roman"/>
          <w:color w:val="auto"/>
          <w:kern w:val="1"/>
          <w:sz w:val="22"/>
          <w:szCs w:val="20"/>
          <w:u w:val="single"/>
          <w:lang w:val="en-US" w:eastAsia="zh-CN" w:bidi="ar-SA"/>
        </w:rPr>
        <w:t xml:space="preserve">  </w:t>
      </w:r>
      <w:r>
        <w:rPr>
          <w:rFonts w:ascii="Times New Roman" w:hAnsi="Times New Roman" w:eastAsia="宋体" w:cs="Times New Roman"/>
          <w:color w:val="auto"/>
          <w:kern w:val="1"/>
          <w:sz w:val="22"/>
          <w:szCs w:val="20"/>
          <w:lang w:val="en-US" w:eastAsia="zh-CN" w:bidi="ar-SA"/>
        </w:rPr>
        <w:t>实施项目承包。</w:t>
      </w:r>
    </w:p>
    <w:p w14:paraId="6230F3E0">
      <w:pPr>
        <w:widowControl w:val="0"/>
        <w:suppressAutoHyphens/>
        <w:spacing w:line="300" w:lineRule="auto"/>
        <w:ind w:firstLine="422" w:firstLineChars="192"/>
        <w:jc w:val="both"/>
        <w:rPr>
          <w:rFonts w:ascii="Times New Roman" w:hAnsi="Times New Roman" w:eastAsia="宋体" w:cs="Times New Roman"/>
          <w:color w:val="auto"/>
          <w:kern w:val="1"/>
          <w:sz w:val="22"/>
          <w:szCs w:val="20"/>
          <w:lang w:val="en-US" w:eastAsia="zh-CN" w:bidi="ar-SA"/>
        </w:rPr>
      </w:pPr>
      <w:r>
        <w:rPr>
          <w:rFonts w:hint="eastAsia" w:ascii="Times New Roman" w:hAnsi="Times New Roman" w:eastAsia="宋体" w:cs="Times New Roman"/>
          <w:color w:val="auto"/>
          <w:kern w:val="1"/>
          <w:sz w:val="22"/>
          <w:szCs w:val="20"/>
          <w:lang w:val="en-US" w:eastAsia="zh-CN" w:bidi="ar-SA"/>
        </w:rPr>
        <w:t>3</w:t>
      </w:r>
      <w:r>
        <w:rPr>
          <w:rFonts w:ascii="Times New Roman" w:hAnsi="Times New Roman" w:eastAsia="宋体" w:cs="Times New Roman"/>
          <w:color w:val="auto"/>
          <w:kern w:val="1"/>
          <w:sz w:val="22"/>
          <w:szCs w:val="20"/>
          <w:lang w:val="en-US" w:eastAsia="zh-CN" w:bidi="ar-SA"/>
        </w:rPr>
        <w:t>.2 本项目不允许分包。</w:t>
      </w:r>
    </w:p>
    <w:p w14:paraId="04CF0E4D">
      <w:pPr>
        <w:spacing w:line="300" w:lineRule="auto"/>
        <w:ind w:firstLine="424" w:firstLineChars="192"/>
        <w:outlineLvl w:val="2"/>
        <w:rPr>
          <w:rFonts w:ascii="Times New Roman" w:hAnsi="Times New Roman" w:eastAsia="宋体" w:cs="Times New Roman"/>
          <w:b/>
          <w:color w:val="auto"/>
          <w:sz w:val="22"/>
          <w:szCs w:val="22"/>
        </w:rPr>
      </w:pPr>
      <w:bookmarkStart w:id="12" w:name="_Toc497211600"/>
      <w:bookmarkStart w:id="13" w:name="_Toc27439"/>
      <w:r>
        <w:rPr>
          <w:rFonts w:hint="eastAsia" w:ascii="Times New Roman" w:hAnsi="Times New Roman" w:eastAsia="宋体" w:cs="Times New Roman"/>
          <w:b/>
          <w:color w:val="auto"/>
          <w:sz w:val="22"/>
          <w:szCs w:val="22"/>
        </w:rPr>
        <w:t>4</w:t>
      </w:r>
      <w:r>
        <w:rPr>
          <w:rFonts w:ascii="Times New Roman" w:hAnsi="Times New Roman" w:eastAsia="宋体" w:cs="Times New Roman"/>
          <w:b/>
          <w:color w:val="auto"/>
          <w:sz w:val="22"/>
          <w:szCs w:val="22"/>
        </w:rPr>
        <w:t>合同签订方式</w:t>
      </w:r>
      <w:bookmarkEnd w:id="12"/>
      <w:bookmarkEnd w:id="13"/>
    </w:p>
    <w:p w14:paraId="57C36F26">
      <w:pPr>
        <w:widowControl w:val="0"/>
        <w:suppressAutoHyphens/>
        <w:spacing w:line="300" w:lineRule="auto"/>
        <w:ind w:firstLine="422" w:firstLineChars="192"/>
        <w:jc w:val="both"/>
        <w:rPr>
          <w:rFonts w:ascii="Times New Roman" w:hAnsi="Times New Roman" w:eastAsia="宋体" w:cs="Times New Roman"/>
          <w:color w:val="auto"/>
          <w:kern w:val="1"/>
          <w:sz w:val="22"/>
          <w:szCs w:val="20"/>
          <w:lang w:val="en-US" w:eastAsia="zh-CN" w:bidi="ar-SA"/>
        </w:rPr>
      </w:pPr>
      <w:r>
        <w:rPr>
          <w:rFonts w:hint="eastAsia" w:ascii="Times New Roman" w:hAnsi="Times New Roman" w:eastAsia="宋体" w:cs="Times New Roman"/>
          <w:color w:val="auto"/>
          <w:kern w:val="1"/>
          <w:sz w:val="22"/>
          <w:szCs w:val="20"/>
          <w:lang w:val="en-US" w:eastAsia="zh-CN" w:bidi="ar-SA"/>
        </w:rPr>
        <w:t>4</w:t>
      </w:r>
      <w:r>
        <w:rPr>
          <w:rFonts w:ascii="Times New Roman" w:hAnsi="Times New Roman" w:eastAsia="宋体" w:cs="Times New Roman"/>
          <w:color w:val="auto"/>
          <w:kern w:val="1"/>
          <w:sz w:val="22"/>
          <w:szCs w:val="20"/>
          <w:lang w:val="en-US" w:eastAsia="zh-CN" w:bidi="ar-SA"/>
        </w:rPr>
        <w:t>.1 本项目合同的标的、价格、质量及验收标准、考核管理、履约期限等主要条款应当与</w:t>
      </w:r>
      <w:r>
        <w:rPr>
          <w:rFonts w:hint="eastAsia" w:ascii="Times New Roman" w:hAnsi="Times New Roman" w:eastAsia="宋体" w:cs="Times New Roman"/>
          <w:color w:val="auto"/>
          <w:kern w:val="1"/>
          <w:sz w:val="22"/>
          <w:szCs w:val="20"/>
          <w:lang w:val="en-US" w:eastAsia="zh-CN" w:bidi="ar-SA"/>
        </w:rPr>
        <w:t>磋商</w:t>
      </w:r>
      <w:r>
        <w:rPr>
          <w:rFonts w:ascii="Times New Roman" w:hAnsi="Times New Roman" w:eastAsia="宋体" w:cs="Times New Roman"/>
          <w:color w:val="auto"/>
          <w:kern w:val="1"/>
          <w:sz w:val="22"/>
          <w:szCs w:val="20"/>
          <w:lang w:val="en-US" w:eastAsia="zh-CN" w:bidi="ar-SA"/>
        </w:rPr>
        <w:t>文件和</w:t>
      </w:r>
      <w:r>
        <w:rPr>
          <w:rFonts w:hint="eastAsia" w:ascii="Times New Roman" w:hAnsi="Times New Roman" w:eastAsia="宋体" w:cs="Times New Roman"/>
          <w:color w:val="auto"/>
          <w:kern w:val="1"/>
          <w:sz w:val="22"/>
          <w:szCs w:val="20"/>
          <w:lang w:val="en-US" w:eastAsia="zh-CN" w:bidi="ar-SA"/>
        </w:rPr>
        <w:t>成交供应商响应</w:t>
      </w:r>
      <w:r>
        <w:rPr>
          <w:rFonts w:ascii="Times New Roman" w:hAnsi="Times New Roman" w:eastAsia="宋体" w:cs="Times New Roman"/>
          <w:color w:val="auto"/>
          <w:kern w:val="1"/>
          <w:sz w:val="22"/>
          <w:szCs w:val="20"/>
          <w:lang w:val="en-US" w:eastAsia="zh-CN" w:bidi="ar-SA"/>
        </w:rPr>
        <w:t>文件的内容一致，并互相补充和解释。</w:t>
      </w:r>
    </w:p>
    <w:p w14:paraId="357B7945">
      <w:pPr>
        <w:spacing w:line="300" w:lineRule="auto"/>
        <w:ind w:firstLine="424" w:firstLineChars="192"/>
        <w:outlineLvl w:val="2"/>
        <w:rPr>
          <w:rFonts w:ascii="Times New Roman" w:hAnsi="Times New Roman" w:eastAsia="宋体" w:cs="Times New Roman"/>
          <w:b/>
          <w:color w:val="auto"/>
          <w:sz w:val="22"/>
          <w:szCs w:val="22"/>
        </w:rPr>
      </w:pPr>
      <w:bookmarkStart w:id="14" w:name="_Toc497211601"/>
      <w:bookmarkStart w:id="15" w:name="_Toc31241"/>
      <w:r>
        <w:rPr>
          <w:rFonts w:hint="eastAsia" w:ascii="Times New Roman" w:hAnsi="Times New Roman" w:eastAsia="宋体" w:cs="Times New Roman"/>
          <w:b/>
          <w:color w:val="auto"/>
          <w:sz w:val="22"/>
          <w:szCs w:val="22"/>
        </w:rPr>
        <w:t>5</w:t>
      </w:r>
      <w:r>
        <w:rPr>
          <w:rFonts w:ascii="Times New Roman" w:hAnsi="Times New Roman" w:eastAsia="宋体" w:cs="Times New Roman"/>
          <w:b/>
          <w:color w:val="auto"/>
          <w:sz w:val="22"/>
          <w:szCs w:val="22"/>
        </w:rPr>
        <w:t>结算原则和支付方式</w:t>
      </w:r>
      <w:bookmarkEnd w:id="14"/>
      <w:bookmarkEnd w:id="15"/>
    </w:p>
    <w:p w14:paraId="3B48C374">
      <w:pPr>
        <w:widowControl w:val="0"/>
        <w:suppressAutoHyphens/>
        <w:spacing w:line="300" w:lineRule="auto"/>
        <w:ind w:firstLine="422" w:firstLineChars="192"/>
        <w:jc w:val="both"/>
        <w:rPr>
          <w:rFonts w:ascii="Times New Roman" w:hAnsi="Times New Roman" w:eastAsia="宋体" w:cs="Times New Roman"/>
          <w:color w:val="auto"/>
          <w:kern w:val="1"/>
          <w:sz w:val="22"/>
          <w:szCs w:val="20"/>
          <w:lang w:val="en-US" w:eastAsia="zh-CN" w:bidi="ar-SA"/>
        </w:rPr>
      </w:pPr>
      <w:r>
        <w:rPr>
          <w:rFonts w:hint="eastAsia" w:ascii="Times New Roman" w:hAnsi="Times New Roman" w:eastAsia="宋体" w:cs="Times New Roman"/>
          <w:color w:val="auto"/>
          <w:kern w:val="1"/>
          <w:sz w:val="22"/>
          <w:szCs w:val="20"/>
          <w:lang w:val="en-US" w:eastAsia="zh-CN" w:bidi="ar-SA"/>
        </w:rPr>
        <w:t>5</w:t>
      </w:r>
      <w:r>
        <w:rPr>
          <w:rFonts w:ascii="Times New Roman" w:hAnsi="Times New Roman" w:eastAsia="宋体" w:cs="Times New Roman"/>
          <w:color w:val="auto"/>
          <w:kern w:val="1"/>
          <w:sz w:val="22"/>
          <w:szCs w:val="20"/>
          <w:lang w:val="en-US" w:eastAsia="zh-CN" w:bidi="ar-SA"/>
        </w:rPr>
        <w:t>.1 结算原则</w:t>
      </w:r>
    </w:p>
    <w:p w14:paraId="18FECF80">
      <w:pPr>
        <w:suppressAutoHyphens/>
        <w:spacing w:line="300" w:lineRule="auto"/>
        <w:ind w:firstLine="422" w:firstLineChars="192"/>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5</w:t>
      </w:r>
      <w:r>
        <w:rPr>
          <w:rFonts w:ascii="Times New Roman" w:hAnsi="Times New Roman" w:eastAsia="宋体" w:cs="Times New Roman"/>
          <w:color w:val="auto"/>
          <w:sz w:val="22"/>
          <w:szCs w:val="22"/>
        </w:rPr>
        <w:t>.1.1 本项目合同结算价以审计价为准，</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的</w:t>
      </w:r>
      <w:r>
        <w:rPr>
          <w:rFonts w:hint="eastAsia" w:ascii="Times New Roman" w:hAnsi="Times New Roman" w:eastAsia="宋体" w:cs="Times New Roman"/>
          <w:color w:val="auto"/>
          <w:sz w:val="22"/>
          <w:szCs w:val="22"/>
        </w:rPr>
        <w:t>成交</w:t>
      </w:r>
      <w:r>
        <w:rPr>
          <w:rFonts w:ascii="Times New Roman" w:hAnsi="Times New Roman" w:eastAsia="宋体" w:cs="Times New Roman"/>
          <w:color w:val="auto"/>
          <w:sz w:val="22"/>
          <w:szCs w:val="22"/>
        </w:rPr>
        <w:t>价</w:t>
      </w:r>
      <w:r>
        <w:rPr>
          <w:rFonts w:hint="eastAsia" w:ascii="Times New Roman" w:hAnsi="Times New Roman" w:eastAsia="宋体" w:cs="Times New Roman"/>
          <w:color w:val="auto"/>
          <w:kern w:val="1"/>
          <w:sz w:val="22"/>
          <w:szCs w:val="20"/>
        </w:rPr>
        <w:t>除电费外包干使用，保持不变；电费根据区域分装电表的实际数量及费用按实结算</w:t>
      </w:r>
      <w:r>
        <w:rPr>
          <w:rFonts w:ascii="Times New Roman" w:hAnsi="Times New Roman" w:eastAsia="宋体" w:cs="Times New Roman"/>
          <w:color w:val="auto"/>
          <w:sz w:val="22"/>
          <w:szCs w:val="22"/>
        </w:rPr>
        <w:t>。</w:t>
      </w:r>
    </w:p>
    <w:p w14:paraId="1683A876">
      <w:pPr>
        <w:widowControl w:val="0"/>
        <w:suppressAutoHyphens/>
        <w:spacing w:line="300" w:lineRule="auto"/>
        <w:ind w:firstLine="422" w:firstLineChars="192"/>
        <w:jc w:val="both"/>
        <w:rPr>
          <w:rFonts w:ascii="Times New Roman" w:hAnsi="Times New Roman" w:eastAsia="宋体" w:cs="Times New Roman"/>
          <w:color w:val="auto"/>
          <w:kern w:val="1"/>
          <w:sz w:val="22"/>
          <w:szCs w:val="20"/>
          <w:lang w:val="en-US" w:eastAsia="zh-CN" w:bidi="ar-SA"/>
        </w:rPr>
      </w:pPr>
      <w:r>
        <w:rPr>
          <w:rFonts w:hint="eastAsia" w:ascii="Times New Roman" w:hAnsi="Times New Roman" w:eastAsia="宋体" w:cs="Times New Roman"/>
          <w:color w:val="auto"/>
          <w:kern w:val="1"/>
          <w:sz w:val="22"/>
          <w:szCs w:val="20"/>
          <w:lang w:val="en-US" w:eastAsia="zh-CN" w:bidi="ar-SA"/>
        </w:rPr>
        <w:t>5</w:t>
      </w:r>
      <w:r>
        <w:rPr>
          <w:rFonts w:ascii="Times New Roman" w:hAnsi="Times New Roman" w:eastAsia="宋体" w:cs="Times New Roman"/>
          <w:color w:val="auto"/>
          <w:kern w:val="1"/>
          <w:sz w:val="22"/>
          <w:szCs w:val="20"/>
          <w:lang w:val="en-US" w:eastAsia="zh-CN" w:bidi="ar-SA"/>
        </w:rPr>
        <w:t>.1.2合同履约期内发生的设备维修，采购人不另行支付相关费用。</w:t>
      </w:r>
    </w:p>
    <w:p w14:paraId="508CE286">
      <w:pPr>
        <w:widowControl w:val="0"/>
        <w:suppressAutoHyphens/>
        <w:spacing w:line="300" w:lineRule="auto"/>
        <w:ind w:firstLine="422" w:firstLineChars="192"/>
        <w:jc w:val="both"/>
        <w:rPr>
          <w:rFonts w:ascii="Times New Roman" w:hAnsi="Times New Roman" w:eastAsia="宋体" w:cs="Times New Roman"/>
          <w:color w:val="auto"/>
          <w:kern w:val="1"/>
          <w:sz w:val="22"/>
          <w:szCs w:val="20"/>
          <w:lang w:val="en-US" w:eastAsia="zh-CN" w:bidi="ar-SA"/>
        </w:rPr>
      </w:pPr>
      <w:r>
        <w:rPr>
          <w:rFonts w:hint="eastAsia" w:ascii="Times New Roman" w:hAnsi="Times New Roman" w:eastAsia="宋体" w:cs="Times New Roman"/>
          <w:color w:val="auto"/>
          <w:kern w:val="1"/>
          <w:sz w:val="22"/>
          <w:szCs w:val="20"/>
          <w:lang w:val="en-US" w:eastAsia="zh-CN" w:bidi="ar-SA"/>
        </w:rPr>
        <w:t>5</w:t>
      </w:r>
      <w:r>
        <w:rPr>
          <w:rFonts w:ascii="Times New Roman" w:hAnsi="Times New Roman" w:eastAsia="宋体" w:cs="Times New Roman"/>
          <w:color w:val="auto"/>
          <w:kern w:val="1"/>
          <w:sz w:val="22"/>
          <w:szCs w:val="20"/>
          <w:lang w:val="en-US" w:eastAsia="zh-CN" w:bidi="ar-SA"/>
        </w:rPr>
        <w:t>.2 支付方式</w:t>
      </w:r>
    </w:p>
    <w:p w14:paraId="5522C10F">
      <w:pPr>
        <w:snapToGrid w:val="0"/>
        <w:spacing w:line="300" w:lineRule="auto"/>
        <w:ind w:firstLine="440" w:firstLineChars="200"/>
        <w:jc w:val="left"/>
        <w:rPr>
          <w:rFonts w:ascii="Times New Roman" w:hAnsi="Times New Roman" w:eastAsia="宋体" w:cs="Times New Roman"/>
          <w:color w:val="auto"/>
          <w:sz w:val="22"/>
          <w:szCs w:val="22"/>
        </w:rPr>
      </w:pPr>
      <w:r>
        <w:rPr>
          <w:rFonts w:hint="eastAsia" w:ascii="Times New Roman" w:hAnsi="Times New Roman" w:eastAsia="宋体" w:cs="Times New Roman"/>
          <w:bCs/>
          <w:color w:val="auto"/>
          <w:sz w:val="22"/>
          <w:szCs w:val="22"/>
        </w:rPr>
        <w:t>5</w:t>
      </w:r>
      <w:r>
        <w:rPr>
          <w:rFonts w:ascii="Times New Roman" w:hAnsi="Times New Roman" w:eastAsia="宋体" w:cs="Times New Roman"/>
          <w:bCs/>
          <w:color w:val="auto"/>
          <w:sz w:val="22"/>
          <w:szCs w:val="22"/>
        </w:rPr>
        <w:t>.2.1</w:t>
      </w:r>
      <w:r>
        <w:rPr>
          <w:rFonts w:hint="eastAsia" w:ascii="Times New Roman" w:hAnsi="Times New Roman" w:eastAsia="宋体" w:cs="Times New Roman"/>
          <w:color w:val="auto"/>
          <w:sz w:val="22"/>
          <w:szCs w:val="22"/>
        </w:rPr>
        <w:t>本项目合同金额采用</w:t>
      </w:r>
      <w:r>
        <w:rPr>
          <w:rFonts w:ascii="Times New Roman" w:hAnsi="Times New Roman" w:eastAsia="宋体" w:cs="Times New Roman"/>
          <w:b/>
          <w:color w:val="auto"/>
          <w:sz w:val="22"/>
          <w:szCs w:val="22"/>
          <w:u w:val="single"/>
        </w:rPr>
        <w:t>分期付款</w:t>
      </w:r>
      <w:r>
        <w:rPr>
          <w:rFonts w:hint="eastAsia" w:ascii="Times New Roman" w:hAnsi="Times New Roman" w:eastAsia="宋体" w:cs="Times New Roman"/>
          <w:color w:val="auto"/>
          <w:sz w:val="22"/>
          <w:szCs w:val="22"/>
        </w:rPr>
        <w:t>方式，在采购人和</w:t>
      </w:r>
      <w:r>
        <w:rPr>
          <w:rFonts w:hint="eastAsia" w:ascii="Times New Roman" w:hAnsi="Times New Roman" w:eastAsia="宋体" w:cs="Times New Roman"/>
          <w:bCs/>
          <w:color w:val="auto"/>
          <w:kern w:val="1"/>
          <w:sz w:val="22"/>
          <w:szCs w:val="20"/>
        </w:rPr>
        <w:t>成交供应商</w:t>
      </w:r>
      <w:r>
        <w:rPr>
          <w:rFonts w:hint="eastAsia" w:ascii="Times New Roman" w:hAnsi="Times New Roman" w:eastAsia="宋体" w:cs="Times New Roman"/>
          <w:color w:val="auto"/>
          <w:sz w:val="22"/>
          <w:szCs w:val="22"/>
        </w:rPr>
        <w:t>合同签订后，按下款要求支付相应的合同款项</w:t>
      </w:r>
      <w:r>
        <w:rPr>
          <w:rFonts w:hint="eastAsia" w:ascii="Times New Roman" w:hAnsi="Times New Roman" w:eastAsia="宋体" w:cs="Times New Roman"/>
          <w:bCs/>
          <w:color w:val="auto"/>
          <w:sz w:val="22"/>
          <w:szCs w:val="22"/>
        </w:rPr>
        <w:t>。</w:t>
      </w:r>
    </w:p>
    <w:p w14:paraId="239BB4C1">
      <w:pPr>
        <w:snapToGrid w:val="0"/>
        <w:spacing w:line="300" w:lineRule="auto"/>
        <w:ind w:firstLine="440" w:firstLineChars="200"/>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5.2.2分期付款的时间进度要求和支付比例具体如下：</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5332"/>
        <w:gridCol w:w="1789"/>
      </w:tblGrid>
      <w:tr w14:paraId="5E38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Align w:val="center"/>
          </w:tcPr>
          <w:p w14:paraId="6FC5E34B">
            <w:pPr>
              <w:widowControl/>
              <w:spacing w:line="300" w:lineRule="auto"/>
              <w:jc w:val="center"/>
              <w:textAlignment w:val="center"/>
              <w:rPr>
                <w:rFonts w:ascii="宋体" w:hAnsi="宋体" w:eastAsia="Times New Roman" w:cs="宋体"/>
                <w:b/>
                <w:bCs/>
                <w:color w:val="auto"/>
                <w:kern w:val="0"/>
                <w:szCs w:val="21"/>
                <w:lang w:bidi="ar"/>
              </w:rPr>
            </w:pPr>
            <w:r>
              <w:rPr>
                <w:rFonts w:hint="eastAsia" w:ascii="宋体" w:hAnsi="宋体" w:eastAsia="Times New Roman" w:cs="宋体"/>
                <w:b/>
                <w:bCs/>
                <w:color w:val="auto"/>
                <w:kern w:val="0"/>
                <w:szCs w:val="21"/>
                <w:lang w:bidi="ar"/>
              </w:rPr>
              <w:t>序号</w:t>
            </w:r>
          </w:p>
        </w:tc>
        <w:tc>
          <w:tcPr>
            <w:tcW w:w="5332" w:type="dxa"/>
            <w:vAlign w:val="center"/>
          </w:tcPr>
          <w:p w14:paraId="3AFEBF95">
            <w:pPr>
              <w:widowControl/>
              <w:spacing w:line="300" w:lineRule="auto"/>
              <w:jc w:val="center"/>
              <w:textAlignment w:val="center"/>
              <w:rPr>
                <w:rFonts w:ascii="宋体" w:hAnsi="宋体" w:eastAsia="Times New Roman" w:cs="宋体"/>
                <w:b/>
                <w:bCs/>
                <w:color w:val="auto"/>
                <w:kern w:val="0"/>
                <w:szCs w:val="21"/>
                <w:lang w:bidi="ar"/>
              </w:rPr>
            </w:pPr>
            <w:r>
              <w:rPr>
                <w:rFonts w:hint="eastAsia" w:ascii="宋体" w:hAnsi="宋体" w:eastAsia="Times New Roman" w:cs="宋体"/>
                <w:b/>
                <w:bCs/>
                <w:color w:val="auto"/>
                <w:kern w:val="0"/>
                <w:szCs w:val="21"/>
                <w:lang w:bidi="ar"/>
              </w:rPr>
              <w:t>支付时间</w:t>
            </w:r>
          </w:p>
        </w:tc>
        <w:tc>
          <w:tcPr>
            <w:tcW w:w="1789" w:type="dxa"/>
            <w:vAlign w:val="center"/>
          </w:tcPr>
          <w:p w14:paraId="03CE7DDE">
            <w:pPr>
              <w:widowControl/>
              <w:spacing w:line="300" w:lineRule="auto"/>
              <w:jc w:val="center"/>
              <w:textAlignment w:val="center"/>
              <w:rPr>
                <w:rFonts w:ascii="宋体" w:hAnsi="宋体" w:eastAsia="Times New Roman" w:cs="宋体"/>
                <w:b/>
                <w:bCs/>
                <w:color w:val="auto"/>
                <w:kern w:val="0"/>
                <w:szCs w:val="21"/>
                <w:lang w:bidi="ar"/>
              </w:rPr>
            </w:pPr>
            <w:r>
              <w:rPr>
                <w:rFonts w:hint="eastAsia" w:ascii="宋体" w:hAnsi="宋体" w:eastAsia="Times New Roman" w:cs="宋体"/>
                <w:b/>
                <w:bCs/>
                <w:color w:val="auto"/>
                <w:kern w:val="0"/>
                <w:szCs w:val="21"/>
                <w:lang w:bidi="ar"/>
              </w:rPr>
              <w:t>支付比例</w:t>
            </w:r>
          </w:p>
        </w:tc>
      </w:tr>
      <w:tr w14:paraId="0928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736" w:type="dxa"/>
            <w:vAlign w:val="center"/>
          </w:tcPr>
          <w:p w14:paraId="3FBB6D12">
            <w:pPr>
              <w:widowControl/>
              <w:spacing w:line="300" w:lineRule="auto"/>
              <w:jc w:val="center"/>
              <w:textAlignment w:val="center"/>
              <w:rPr>
                <w:rFonts w:ascii="宋体" w:hAnsi="宋体" w:eastAsia="Times New Roman" w:cs="宋体"/>
                <w:color w:val="auto"/>
                <w:kern w:val="0"/>
                <w:szCs w:val="21"/>
                <w:lang w:bidi="ar"/>
              </w:rPr>
            </w:pPr>
            <w:r>
              <w:rPr>
                <w:rFonts w:hint="eastAsia" w:ascii="宋体" w:hAnsi="宋体" w:eastAsia="Times New Roman" w:cs="宋体"/>
                <w:color w:val="auto"/>
                <w:kern w:val="0"/>
                <w:szCs w:val="21"/>
                <w:lang w:bidi="ar"/>
              </w:rPr>
              <w:t>1</w:t>
            </w:r>
          </w:p>
        </w:tc>
        <w:tc>
          <w:tcPr>
            <w:tcW w:w="5332" w:type="dxa"/>
            <w:vAlign w:val="center"/>
          </w:tcPr>
          <w:p w14:paraId="1CF908E4">
            <w:pPr>
              <w:widowControl/>
              <w:spacing w:line="300" w:lineRule="auto"/>
              <w:jc w:val="center"/>
              <w:textAlignment w:val="center"/>
              <w:rPr>
                <w:rFonts w:ascii="宋体" w:hAnsi="宋体" w:eastAsia="Times New Roman" w:cs="宋体"/>
                <w:color w:val="auto"/>
                <w:kern w:val="0"/>
                <w:szCs w:val="21"/>
              </w:rPr>
            </w:pPr>
            <w:r>
              <w:rPr>
                <w:rFonts w:hint="eastAsia" w:ascii="宋体" w:hAnsi="宋体" w:eastAsia="Times New Roman" w:cs="宋体"/>
                <w:color w:val="auto"/>
                <w:kern w:val="0"/>
                <w:szCs w:val="21"/>
              </w:rPr>
              <w:t>2027年1月7日前，采购人根据考核结果支付相应</w:t>
            </w:r>
            <w:r>
              <w:rPr>
                <w:rFonts w:hint="eastAsia" w:ascii="宋体" w:hAnsi="宋体" w:eastAsia="宋体" w:cs="宋体"/>
                <w:color w:val="auto"/>
                <w:kern w:val="0"/>
                <w:sz w:val="22"/>
                <w:szCs w:val="22"/>
                <w:highlight w:val="none"/>
                <w:lang w:eastAsia="zh-CN"/>
              </w:rPr>
              <w:t>日常养护</w:t>
            </w:r>
            <w:r>
              <w:rPr>
                <w:rFonts w:hint="eastAsia" w:ascii="宋体" w:hAnsi="宋体" w:eastAsia="宋体" w:cs="宋体"/>
                <w:color w:val="auto"/>
                <w:kern w:val="0"/>
                <w:sz w:val="22"/>
                <w:szCs w:val="22"/>
                <w:highlight w:val="none"/>
              </w:rPr>
              <w:t>费用</w:t>
            </w:r>
            <w:r>
              <w:rPr>
                <w:rFonts w:hint="eastAsia" w:ascii="宋体" w:hAnsi="宋体" w:eastAsia="Times New Roman" w:cs="宋体"/>
                <w:color w:val="auto"/>
                <w:kern w:val="0"/>
                <w:szCs w:val="21"/>
              </w:rPr>
              <w:t>，且考核等级结果非“不合格”</w:t>
            </w:r>
          </w:p>
        </w:tc>
        <w:tc>
          <w:tcPr>
            <w:tcW w:w="1789" w:type="dxa"/>
            <w:vAlign w:val="center"/>
          </w:tcPr>
          <w:p w14:paraId="2727A220">
            <w:pPr>
              <w:widowControl/>
              <w:spacing w:line="300" w:lineRule="auto"/>
              <w:jc w:val="center"/>
              <w:textAlignment w:val="center"/>
              <w:rPr>
                <w:rFonts w:ascii="宋体" w:hAnsi="宋体" w:eastAsia="Times New Roman" w:cs="宋体"/>
                <w:color w:val="auto"/>
                <w:kern w:val="0"/>
                <w:szCs w:val="21"/>
                <w:lang w:bidi="ar"/>
              </w:rPr>
            </w:pPr>
            <w:r>
              <w:rPr>
                <w:rFonts w:hint="eastAsia" w:ascii="宋体" w:hAnsi="宋体" w:eastAsia="宋体" w:cs="宋体"/>
                <w:color w:val="auto"/>
                <w:kern w:val="0"/>
                <w:szCs w:val="21"/>
              </w:rPr>
              <w:t>25</w:t>
            </w:r>
            <w:r>
              <w:rPr>
                <w:rFonts w:hint="eastAsia" w:ascii="宋体" w:hAnsi="宋体" w:eastAsia="Times New Roman" w:cs="宋体"/>
                <w:color w:val="auto"/>
                <w:kern w:val="0"/>
                <w:szCs w:val="21"/>
              </w:rPr>
              <w:t>%</w:t>
            </w:r>
          </w:p>
        </w:tc>
      </w:tr>
      <w:tr w14:paraId="4CE2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Align w:val="center"/>
          </w:tcPr>
          <w:p w14:paraId="6192F467">
            <w:pPr>
              <w:widowControl/>
              <w:spacing w:line="300" w:lineRule="auto"/>
              <w:jc w:val="center"/>
              <w:textAlignment w:val="center"/>
              <w:rPr>
                <w:rFonts w:ascii="宋体" w:hAnsi="宋体" w:eastAsia="Times New Roman" w:cs="宋体"/>
                <w:color w:val="auto"/>
                <w:kern w:val="0"/>
                <w:szCs w:val="21"/>
                <w:lang w:bidi="ar"/>
              </w:rPr>
            </w:pPr>
            <w:r>
              <w:rPr>
                <w:rFonts w:hint="eastAsia" w:ascii="宋体" w:hAnsi="宋体" w:eastAsia="Times New Roman" w:cs="宋体"/>
                <w:color w:val="auto"/>
                <w:kern w:val="0"/>
                <w:szCs w:val="21"/>
                <w:lang w:bidi="ar"/>
              </w:rPr>
              <w:t>2</w:t>
            </w:r>
          </w:p>
        </w:tc>
        <w:tc>
          <w:tcPr>
            <w:tcW w:w="5332" w:type="dxa"/>
            <w:vAlign w:val="center"/>
          </w:tcPr>
          <w:p w14:paraId="0131EF4B">
            <w:pPr>
              <w:widowControl/>
              <w:spacing w:line="300" w:lineRule="auto"/>
              <w:jc w:val="center"/>
              <w:textAlignment w:val="center"/>
              <w:rPr>
                <w:rFonts w:ascii="宋体" w:hAnsi="宋体" w:eastAsia="Times New Roman" w:cs="宋体"/>
                <w:color w:val="auto"/>
                <w:kern w:val="0"/>
                <w:szCs w:val="21"/>
              </w:rPr>
            </w:pPr>
            <w:r>
              <w:rPr>
                <w:rFonts w:hint="eastAsia" w:ascii="宋体" w:hAnsi="宋体" w:eastAsia="Times New Roman" w:cs="宋体"/>
                <w:color w:val="auto"/>
                <w:kern w:val="0"/>
                <w:szCs w:val="21"/>
              </w:rPr>
              <w:t>2027年3月22日前，采购人根据考核结果支付相应</w:t>
            </w:r>
            <w:r>
              <w:rPr>
                <w:rFonts w:hint="eastAsia" w:ascii="宋体" w:hAnsi="宋体" w:eastAsia="宋体" w:cs="宋体"/>
                <w:color w:val="auto"/>
                <w:kern w:val="0"/>
                <w:sz w:val="22"/>
                <w:szCs w:val="22"/>
                <w:highlight w:val="none"/>
                <w:lang w:eastAsia="zh-CN"/>
              </w:rPr>
              <w:t>日常养护</w:t>
            </w:r>
            <w:r>
              <w:rPr>
                <w:rFonts w:hint="eastAsia" w:ascii="宋体" w:hAnsi="宋体" w:eastAsia="宋体" w:cs="宋体"/>
                <w:color w:val="auto"/>
                <w:kern w:val="0"/>
                <w:sz w:val="22"/>
                <w:szCs w:val="22"/>
                <w:highlight w:val="none"/>
              </w:rPr>
              <w:t>费用</w:t>
            </w:r>
            <w:r>
              <w:rPr>
                <w:rFonts w:hint="eastAsia" w:ascii="宋体" w:hAnsi="宋体" w:eastAsia="Times New Roman" w:cs="宋体"/>
                <w:color w:val="auto"/>
                <w:kern w:val="0"/>
                <w:szCs w:val="21"/>
              </w:rPr>
              <w:t>，且考核等级结果非“不合格”</w:t>
            </w:r>
          </w:p>
        </w:tc>
        <w:tc>
          <w:tcPr>
            <w:tcW w:w="1789" w:type="dxa"/>
            <w:vAlign w:val="center"/>
          </w:tcPr>
          <w:p w14:paraId="75424A9F">
            <w:pPr>
              <w:widowControl/>
              <w:spacing w:line="300" w:lineRule="auto"/>
              <w:jc w:val="center"/>
              <w:textAlignment w:val="center"/>
              <w:rPr>
                <w:rFonts w:ascii="宋体" w:hAnsi="宋体" w:eastAsia="Times New Roman" w:cs="宋体"/>
                <w:color w:val="auto"/>
                <w:kern w:val="0"/>
                <w:szCs w:val="21"/>
                <w:lang w:bidi="ar"/>
              </w:rPr>
            </w:pPr>
            <w:r>
              <w:rPr>
                <w:rFonts w:hint="eastAsia" w:ascii="宋体" w:hAnsi="宋体" w:eastAsia="宋体" w:cs="宋体"/>
                <w:color w:val="auto"/>
                <w:kern w:val="0"/>
                <w:szCs w:val="21"/>
              </w:rPr>
              <w:t>25</w:t>
            </w:r>
            <w:r>
              <w:rPr>
                <w:rFonts w:hint="eastAsia" w:ascii="宋体" w:hAnsi="宋体" w:eastAsia="Times New Roman" w:cs="宋体"/>
                <w:color w:val="auto"/>
                <w:kern w:val="0"/>
                <w:szCs w:val="21"/>
              </w:rPr>
              <w:t>%</w:t>
            </w:r>
          </w:p>
        </w:tc>
      </w:tr>
      <w:tr w14:paraId="79C5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Align w:val="center"/>
          </w:tcPr>
          <w:p w14:paraId="04B3AAE4">
            <w:pPr>
              <w:widowControl/>
              <w:spacing w:line="300" w:lineRule="auto"/>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3</w:t>
            </w:r>
          </w:p>
        </w:tc>
        <w:tc>
          <w:tcPr>
            <w:tcW w:w="5332" w:type="dxa"/>
            <w:vAlign w:val="center"/>
          </w:tcPr>
          <w:p w14:paraId="6E83B5B6">
            <w:pPr>
              <w:widowControl/>
              <w:spacing w:line="300" w:lineRule="auto"/>
              <w:jc w:val="center"/>
              <w:textAlignment w:val="center"/>
              <w:rPr>
                <w:rFonts w:ascii="宋体" w:hAnsi="宋体" w:eastAsia="Times New Roman" w:cs="宋体"/>
                <w:color w:val="auto"/>
                <w:kern w:val="0"/>
                <w:szCs w:val="21"/>
              </w:rPr>
            </w:pPr>
            <w:r>
              <w:rPr>
                <w:rFonts w:hint="eastAsia" w:ascii="宋体" w:hAnsi="宋体" w:eastAsia="Times New Roman" w:cs="宋体"/>
                <w:color w:val="auto"/>
                <w:kern w:val="0"/>
                <w:szCs w:val="21"/>
              </w:rPr>
              <w:t>2027年6月22日前，采购人根据考核结果支付相应</w:t>
            </w:r>
            <w:r>
              <w:rPr>
                <w:rFonts w:hint="eastAsia" w:ascii="宋体" w:hAnsi="宋体" w:eastAsia="宋体" w:cs="宋体"/>
                <w:color w:val="auto"/>
                <w:kern w:val="0"/>
                <w:sz w:val="22"/>
                <w:szCs w:val="22"/>
                <w:highlight w:val="none"/>
                <w:lang w:eastAsia="zh-CN"/>
              </w:rPr>
              <w:t>日常养护</w:t>
            </w:r>
            <w:r>
              <w:rPr>
                <w:rFonts w:hint="eastAsia" w:ascii="宋体" w:hAnsi="宋体" w:eastAsia="宋体" w:cs="宋体"/>
                <w:color w:val="auto"/>
                <w:kern w:val="0"/>
                <w:sz w:val="22"/>
                <w:szCs w:val="22"/>
                <w:highlight w:val="none"/>
              </w:rPr>
              <w:t>费用</w:t>
            </w:r>
            <w:r>
              <w:rPr>
                <w:rFonts w:hint="eastAsia" w:ascii="宋体" w:hAnsi="宋体" w:eastAsia="Times New Roman" w:cs="宋体"/>
                <w:color w:val="auto"/>
                <w:kern w:val="0"/>
                <w:szCs w:val="21"/>
              </w:rPr>
              <w:t>，且考核等级结果非“不合格”</w:t>
            </w:r>
          </w:p>
        </w:tc>
        <w:tc>
          <w:tcPr>
            <w:tcW w:w="1789" w:type="dxa"/>
            <w:vAlign w:val="center"/>
          </w:tcPr>
          <w:p w14:paraId="264CD332">
            <w:pPr>
              <w:widowControl/>
              <w:spacing w:line="300" w:lineRule="auto"/>
              <w:jc w:val="center"/>
              <w:textAlignment w:val="center"/>
              <w:rPr>
                <w:rFonts w:ascii="宋体" w:hAnsi="宋体" w:eastAsia="Times New Roman" w:cs="宋体"/>
                <w:color w:val="auto"/>
                <w:kern w:val="0"/>
                <w:szCs w:val="21"/>
                <w:lang w:bidi="ar"/>
              </w:rPr>
            </w:pPr>
            <w:r>
              <w:rPr>
                <w:rFonts w:hint="eastAsia" w:ascii="宋体" w:hAnsi="宋体" w:eastAsia="宋体" w:cs="宋体"/>
                <w:color w:val="auto"/>
                <w:kern w:val="0"/>
                <w:szCs w:val="21"/>
              </w:rPr>
              <w:t>25</w:t>
            </w:r>
            <w:r>
              <w:rPr>
                <w:rFonts w:hint="eastAsia" w:ascii="宋体" w:hAnsi="宋体" w:eastAsia="Times New Roman" w:cs="宋体"/>
                <w:color w:val="auto"/>
                <w:kern w:val="0"/>
                <w:szCs w:val="21"/>
              </w:rPr>
              <w:t>%</w:t>
            </w:r>
          </w:p>
        </w:tc>
      </w:tr>
      <w:tr w14:paraId="71B39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6" w:type="dxa"/>
            <w:vAlign w:val="center"/>
          </w:tcPr>
          <w:p w14:paraId="503765CF">
            <w:pPr>
              <w:widowControl/>
              <w:spacing w:line="300" w:lineRule="auto"/>
              <w:jc w:val="center"/>
              <w:textAlignment w:val="center"/>
              <w:rPr>
                <w:rFonts w:ascii="宋体" w:hAnsi="宋体" w:eastAsia="宋体" w:cs="宋体"/>
                <w:color w:val="auto"/>
                <w:kern w:val="0"/>
                <w:szCs w:val="21"/>
                <w:lang w:bidi="ar"/>
              </w:rPr>
            </w:pPr>
            <w:r>
              <w:rPr>
                <w:rFonts w:hint="eastAsia" w:ascii="宋体" w:hAnsi="宋体" w:eastAsia="宋体" w:cs="宋体"/>
                <w:color w:val="auto"/>
                <w:kern w:val="0"/>
                <w:szCs w:val="21"/>
                <w:lang w:bidi="ar"/>
              </w:rPr>
              <w:t>4</w:t>
            </w:r>
          </w:p>
        </w:tc>
        <w:tc>
          <w:tcPr>
            <w:tcW w:w="7121" w:type="dxa"/>
            <w:gridSpan w:val="2"/>
            <w:vAlign w:val="center"/>
          </w:tcPr>
          <w:p w14:paraId="05A4BE5B">
            <w:pPr>
              <w:widowControl/>
              <w:spacing w:line="300" w:lineRule="auto"/>
              <w:jc w:val="center"/>
              <w:textAlignment w:val="center"/>
              <w:rPr>
                <w:rFonts w:hint="eastAsia" w:ascii="宋体" w:hAnsi="宋体" w:eastAsia="宋体" w:cs="宋体"/>
                <w:color w:val="auto"/>
                <w:kern w:val="0"/>
                <w:szCs w:val="21"/>
                <w:lang w:eastAsia="zh-CN" w:bidi="ar"/>
              </w:rPr>
            </w:pPr>
            <w:r>
              <w:rPr>
                <w:rFonts w:hint="eastAsia" w:ascii="Times New Roman" w:hAnsi="Times New Roman" w:eastAsia="宋体" w:cs="Times New Roman"/>
                <w:color w:val="auto"/>
                <w:szCs w:val="22"/>
              </w:rPr>
              <w:t>2027年11月15日</w:t>
            </w:r>
            <w:r>
              <w:rPr>
                <w:rFonts w:hint="eastAsia" w:ascii="宋体" w:hAnsi="宋体" w:eastAsia="Times New Roman" w:cs="宋体"/>
                <w:color w:val="auto"/>
                <w:kern w:val="0"/>
                <w:szCs w:val="21"/>
              </w:rPr>
              <w:t>前</w:t>
            </w:r>
            <w:r>
              <w:rPr>
                <w:rFonts w:hint="eastAsia" w:ascii="宋体" w:hAnsi="宋体" w:eastAsia="Times New Roman" w:cs="宋体"/>
                <w:color w:val="auto"/>
                <w:kern w:val="0"/>
                <w:szCs w:val="21"/>
                <w:lang w:bidi="ar"/>
              </w:rPr>
              <w:t>根据审价结果支付剩余</w:t>
            </w:r>
            <w:r>
              <w:rPr>
                <w:rFonts w:hint="eastAsia" w:ascii="宋体" w:hAnsi="宋体" w:eastAsia="宋体" w:cs="宋体"/>
                <w:color w:val="auto"/>
                <w:kern w:val="0"/>
                <w:sz w:val="22"/>
                <w:szCs w:val="22"/>
                <w:highlight w:val="none"/>
                <w:lang w:eastAsia="zh-CN"/>
              </w:rPr>
              <w:t>日常养护</w:t>
            </w:r>
            <w:r>
              <w:rPr>
                <w:rFonts w:hint="eastAsia" w:ascii="宋体" w:hAnsi="宋体" w:eastAsia="宋体" w:cs="宋体"/>
                <w:color w:val="auto"/>
                <w:kern w:val="0"/>
                <w:sz w:val="22"/>
                <w:szCs w:val="22"/>
                <w:highlight w:val="none"/>
              </w:rPr>
              <w:t>费用</w:t>
            </w:r>
            <w:r>
              <w:rPr>
                <w:rFonts w:hint="eastAsia" w:ascii="宋体" w:hAnsi="宋体" w:eastAsia="宋体" w:cs="宋体"/>
                <w:color w:val="auto"/>
                <w:kern w:val="0"/>
                <w:sz w:val="22"/>
                <w:szCs w:val="22"/>
                <w:highlight w:val="none"/>
                <w:lang w:eastAsia="zh-CN"/>
              </w:rPr>
              <w:t>，</w:t>
            </w:r>
            <w:r>
              <w:rPr>
                <w:rFonts w:hint="default" w:ascii="宋体" w:hAnsi="宋体" w:eastAsia="宋体" w:cs="宋体"/>
                <w:color w:val="auto"/>
                <w:sz w:val="22"/>
                <w:szCs w:val="22"/>
                <w:lang w:val="en-US" w:eastAsia="zh-CN"/>
              </w:rPr>
              <w:t>电费按实结算</w:t>
            </w:r>
          </w:p>
        </w:tc>
      </w:tr>
    </w:tbl>
    <w:p w14:paraId="24273E2C">
      <w:pPr>
        <w:widowControl w:val="0"/>
        <w:suppressAutoHyphens/>
        <w:spacing w:line="300" w:lineRule="auto"/>
        <w:ind w:firstLine="422" w:firstLineChars="192"/>
        <w:jc w:val="both"/>
        <w:rPr>
          <w:rFonts w:ascii="Times New Roman" w:hAnsi="Times New Roman" w:eastAsia="宋体" w:cs="Times New Roman"/>
          <w:color w:val="auto"/>
          <w:kern w:val="1"/>
          <w:sz w:val="22"/>
          <w:szCs w:val="20"/>
          <w:lang w:val="en-US" w:eastAsia="zh-CN" w:bidi="ar-SA"/>
        </w:rPr>
      </w:pPr>
      <w:r>
        <w:rPr>
          <w:rFonts w:hint="eastAsia" w:ascii="Times New Roman" w:hAnsi="Times New Roman" w:eastAsia="宋体" w:cs="Times New Roman"/>
          <w:color w:val="auto"/>
          <w:kern w:val="1"/>
          <w:sz w:val="22"/>
          <w:szCs w:val="20"/>
          <w:lang w:val="en-US" w:eastAsia="zh-CN" w:bidi="ar-SA"/>
        </w:rPr>
        <w:t>5</w:t>
      </w:r>
      <w:r>
        <w:rPr>
          <w:rFonts w:ascii="Times New Roman" w:hAnsi="Times New Roman" w:eastAsia="宋体" w:cs="Times New Roman"/>
          <w:color w:val="auto"/>
          <w:kern w:val="1"/>
          <w:sz w:val="22"/>
          <w:szCs w:val="20"/>
          <w:lang w:val="en-US" w:eastAsia="zh-CN" w:bidi="ar-SA"/>
        </w:rPr>
        <w:t>.3</w:t>
      </w:r>
      <w:r>
        <w:rPr>
          <w:rFonts w:hint="eastAsia" w:ascii="Times New Roman" w:hAnsi="Times New Roman" w:eastAsia="宋体" w:cs="Times New Roman"/>
          <w:color w:val="auto"/>
          <w:kern w:val="1"/>
          <w:sz w:val="22"/>
          <w:szCs w:val="20"/>
          <w:lang w:val="en-US" w:eastAsia="zh-CN" w:bidi="ar-SA"/>
        </w:rPr>
        <w:t>成交供应商</w:t>
      </w:r>
      <w:r>
        <w:rPr>
          <w:rFonts w:ascii="Times New Roman" w:hAnsi="Times New Roman" w:eastAsia="宋体" w:cs="Times New Roman"/>
          <w:color w:val="auto"/>
          <w:kern w:val="1"/>
          <w:sz w:val="22"/>
          <w:szCs w:val="20"/>
          <w:lang w:val="en-US" w:eastAsia="zh-CN" w:bidi="ar-SA"/>
        </w:rPr>
        <w:t>因自身原因造成返工的工作量，采购人将不予计量和支付。</w:t>
      </w:r>
    </w:p>
    <w:p w14:paraId="46D504A3">
      <w:pPr>
        <w:snapToGrid w:val="0"/>
        <w:spacing w:line="360" w:lineRule="auto"/>
        <w:ind w:firstLine="440" w:firstLineChars="200"/>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5.4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年期贷款市场报价利率。</w:t>
      </w:r>
    </w:p>
    <w:p w14:paraId="41E2CB0D">
      <w:pPr>
        <w:spacing w:line="300" w:lineRule="auto"/>
        <w:rPr>
          <w:rFonts w:ascii="Times New Roman" w:hAnsi="Times New Roman" w:eastAsia="宋体" w:cs="Times New Roman"/>
          <w:color w:val="auto"/>
          <w:sz w:val="20"/>
          <w:szCs w:val="20"/>
        </w:rPr>
      </w:pPr>
    </w:p>
    <w:p w14:paraId="73EB3A65">
      <w:pPr>
        <w:adjustRightInd w:val="0"/>
        <w:snapToGrid w:val="0"/>
        <w:spacing w:line="300" w:lineRule="auto"/>
        <w:jc w:val="center"/>
        <w:outlineLvl w:val="1"/>
        <w:rPr>
          <w:rFonts w:ascii="Times New Roman" w:hAnsi="Times New Roman" w:eastAsia="黑体" w:cs="Times New Roman"/>
          <w:color w:val="auto"/>
          <w:sz w:val="30"/>
          <w:szCs w:val="30"/>
        </w:rPr>
      </w:pPr>
      <w:bookmarkStart w:id="16" w:name="_Toc497211602"/>
      <w:bookmarkStart w:id="17" w:name="_Toc11956"/>
      <w:r>
        <w:rPr>
          <w:rFonts w:ascii="Times New Roman" w:hAnsi="Times New Roman" w:eastAsia="黑体" w:cs="Times New Roman"/>
          <w:color w:val="auto"/>
          <w:sz w:val="30"/>
          <w:szCs w:val="30"/>
        </w:rPr>
        <w:t>三、技术质量要求</w:t>
      </w:r>
      <w:bookmarkEnd w:id="16"/>
      <w:bookmarkEnd w:id="17"/>
    </w:p>
    <w:p w14:paraId="4BC39571">
      <w:pPr>
        <w:spacing w:line="300" w:lineRule="auto"/>
        <w:ind w:firstLine="424" w:firstLineChars="192"/>
        <w:outlineLvl w:val="2"/>
        <w:rPr>
          <w:rFonts w:ascii="Times New Roman" w:hAnsi="Times New Roman" w:eastAsia="宋体" w:cs="Times New Roman"/>
          <w:b/>
          <w:color w:val="auto"/>
          <w:sz w:val="22"/>
          <w:szCs w:val="22"/>
        </w:rPr>
      </w:pPr>
      <w:bookmarkStart w:id="18" w:name="_Toc497211603"/>
      <w:bookmarkStart w:id="19" w:name="_Toc21752"/>
      <w:r>
        <w:rPr>
          <w:rFonts w:hint="eastAsia" w:ascii="Times New Roman" w:hAnsi="Times New Roman" w:eastAsia="宋体" w:cs="Times New Roman"/>
          <w:b/>
          <w:color w:val="auto"/>
          <w:sz w:val="22"/>
          <w:szCs w:val="22"/>
        </w:rPr>
        <w:t>6</w:t>
      </w:r>
      <w:r>
        <w:rPr>
          <w:rFonts w:ascii="Times New Roman" w:hAnsi="Times New Roman" w:eastAsia="宋体" w:cs="Times New Roman"/>
          <w:b/>
          <w:color w:val="auto"/>
          <w:sz w:val="22"/>
          <w:szCs w:val="22"/>
        </w:rPr>
        <w:t>适用技术规范与规范性文件</w:t>
      </w:r>
      <w:bookmarkEnd w:id="18"/>
      <w:bookmarkEnd w:id="19"/>
    </w:p>
    <w:p w14:paraId="3945912B">
      <w:pPr>
        <w:snapToGrid w:val="0"/>
        <w:spacing w:line="300" w:lineRule="auto"/>
        <w:ind w:firstLine="440" w:firstLineChars="200"/>
        <w:jc w:val="left"/>
        <w:rPr>
          <w:rFonts w:ascii="Times New Roman" w:hAnsi="Times New Roman" w:eastAsia="宋体" w:cs="Times New Roman"/>
          <w:b/>
          <w:color w:val="auto"/>
          <w:sz w:val="22"/>
          <w:szCs w:val="22"/>
          <w:u w:val="single"/>
        </w:rPr>
      </w:pPr>
      <w:r>
        <w:rPr>
          <w:rFonts w:hint="eastAsia" w:ascii="Times New Roman" w:hAnsi="Times New Roman" w:eastAsia="宋体" w:cs="Times New Roman"/>
          <w:bCs/>
          <w:color w:val="auto"/>
          <w:sz w:val="22"/>
          <w:szCs w:val="22"/>
        </w:rPr>
        <w:t>6</w:t>
      </w:r>
      <w:r>
        <w:rPr>
          <w:rFonts w:ascii="Times New Roman" w:hAnsi="Times New Roman" w:eastAsia="宋体" w:cs="Times New Roman"/>
          <w:bCs/>
          <w:color w:val="auto"/>
          <w:sz w:val="22"/>
          <w:szCs w:val="22"/>
        </w:rPr>
        <w:t>.1本项目的质量检查评定、维修技术标准及施工安全文明要求适用国家现行法律、规范、规程、标准以及上海市现行规范标准，具体包括：</w:t>
      </w:r>
    </w:p>
    <w:p w14:paraId="4F2017E1">
      <w:pPr>
        <w:tabs>
          <w:tab w:val="left" w:pos="3060"/>
        </w:tabs>
        <w:snapToGrid w:val="0"/>
        <w:spacing w:line="300" w:lineRule="auto"/>
        <w:ind w:firstLine="440" w:firstLineChars="200"/>
        <w:rPr>
          <w:rFonts w:ascii="宋体" w:hAnsi="宋体" w:eastAsia="宋体" w:cs="Times New Roman"/>
          <w:bCs/>
          <w:color w:val="auto"/>
          <w:sz w:val="22"/>
          <w:szCs w:val="22"/>
        </w:rPr>
      </w:pPr>
      <w:r>
        <w:rPr>
          <w:rFonts w:hint="eastAsia" w:ascii="宋体" w:hAnsi="宋体" w:eastAsia="宋体" w:cs="Times New Roman"/>
          <w:bCs/>
          <w:color w:val="auto"/>
          <w:sz w:val="22"/>
          <w:szCs w:val="22"/>
        </w:rPr>
        <w:t>6.1</w:t>
      </w:r>
      <w:r>
        <w:rPr>
          <w:rFonts w:ascii="宋体" w:hAnsi="宋体" w:eastAsia="宋体" w:cs="Times New Roman"/>
          <w:bCs/>
          <w:color w:val="auto"/>
          <w:sz w:val="22"/>
          <w:szCs w:val="22"/>
        </w:rPr>
        <w:t>《</w:t>
      </w:r>
      <w:r>
        <w:rPr>
          <w:rFonts w:hint="eastAsia" w:ascii="宋体" w:hAnsi="宋体" w:eastAsia="宋体" w:cs="Times New Roman"/>
          <w:bCs/>
          <w:color w:val="auto"/>
          <w:sz w:val="22"/>
          <w:szCs w:val="22"/>
        </w:rPr>
        <w:t>城市照明管理规定</w:t>
      </w:r>
      <w:r>
        <w:rPr>
          <w:rFonts w:ascii="宋体" w:hAnsi="宋体" w:eastAsia="宋体" w:cs="Times New Roman"/>
          <w:bCs/>
          <w:color w:val="auto"/>
          <w:sz w:val="22"/>
          <w:szCs w:val="22"/>
        </w:rPr>
        <w:t>》(</w:t>
      </w:r>
      <w:r>
        <w:rPr>
          <w:rFonts w:hint="eastAsia" w:ascii="宋体" w:hAnsi="宋体" w:eastAsia="宋体" w:cs="Times New Roman"/>
          <w:bCs/>
          <w:color w:val="auto"/>
          <w:sz w:val="22"/>
          <w:szCs w:val="22"/>
        </w:rPr>
        <w:t>住建部令(2010)第4号</w:t>
      </w:r>
      <w:r>
        <w:rPr>
          <w:rFonts w:ascii="宋体" w:hAnsi="宋体" w:eastAsia="宋体" w:cs="Times New Roman"/>
          <w:bCs/>
          <w:color w:val="auto"/>
          <w:sz w:val="22"/>
          <w:szCs w:val="22"/>
        </w:rPr>
        <w:t>)</w:t>
      </w:r>
    </w:p>
    <w:p w14:paraId="56F51102">
      <w:pPr>
        <w:tabs>
          <w:tab w:val="left" w:pos="3060"/>
        </w:tabs>
        <w:snapToGrid w:val="0"/>
        <w:spacing w:line="300" w:lineRule="auto"/>
        <w:ind w:firstLine="440" w:firstLineChars="200"/>
        <w:rPr>
          <w:rFonts w:ascii="宋体" w:hAnsi="宋体" w:eastAsia="宋体" w:cs="Times New Roman"/>
          <w:bCs/>
          <w:color w:val="auto"/>
          <w:sz w:val="22"/>
          <w:szCs w:val="22"/>
        </w:rPr>
      </w:pPr>
      <w:r>
        <w:rPr>
          <w:rFonts w:hint="eastAsia" w:ascii="宋体" w:hAnsi="宋体" w:eastAsia="宋体" w:cs="Times New Roman"/>
          <w:bCs/>
          <w:color w:val="auto"/>
          <w:sz w:val="22"/>
          <w:szCs w:val="22"/>
        </w:rPr>
        <w:t>6.2</w:t>
      </w:r>
      <w:r>
        <w:rPr>
          <w:rFonts w:ascii="宋体" w:hAnsi="宋体" w:eastAsia="宋体" w:cs="Times New Roman"/>
          <w:bCs/>
          <w:color w:val="auto"/>
          <w:sz w:val="22"/>
          <w:szCs w:val="22"/>
        </w:rPr>
        <w:t>《</w:t>
      </w:r>
      <w:r>
        <w:rPr>
          <w:rFonts w:hint="eastAsia" w:ascii="宋体" w:hAnsi="宋体" w:eastAsia="宋体" w:cs="Times New Roman"/>
          <w:bCs/>
          <w:color w:val="auto"/>
          <w:sz w:val="22"/>
          <w:szCs w:val="22"/>
        </w:rPr>
        <w:t>上海市市容环境卫生管理条例</w:t>
      </w:r>
      <w:r>
        <w:rPr>
          <w:rFonts w:ascii="宋体" w:hAnsi="宋体" w:eastAsia="宋体" w:cs="Times New Roman"/>
          <w:bCs/>
          <w:color w:val="auto"/>
          <w:sz w:val="22"/>
          <w:szCs w:val="22"/>
        </w:rPr>
        <w:t>》(</w:t>
      </w:r>
      <w:r>
        <w:rPr>
          <w:rFonts w:ascii="宋体" w:hAnsi="宋体" w:eastAsia="宋体" w:cs="Arial"/>
          <w:color w:val="auto"/>
          <w:sz w:val="22"/>
          <w:szCs w:val="22"/>
          <w:shd w:val="clear" w:color="auto" w:fill="FFFFFF"/>
        </w:rPr>
        <w:t>2</w:t>
      </w:r>
      <w:r>
        <w:rPr>
          <w:rFonts w:hint="eastAsia" w:ascii="宋体" w:hAnsi="宋体" w:eastAsia="宋体" w:cs="Arial"/>
          <w:color w:val="auto"/>
          <w:sz w:val="22"/>
          <w:szCs w:val="22"/>
          <w:shd w:val="clear" w:color="auto" w:fill="FFFFFF"/>
        </w:rPr>
        <w:t>022</w:t>
      </w:r>
      <w:r>
        <w:rPr>
          <w:rFonts w:ascii="宋体" w:hAnsi="宋体" w:eastAsia="宋体" w:cs="Arial"/>
          <w:color w:val="auto"/>
          <w:sz w:val="22"/>
          <w:szCs w:val="22"/>
          <w:shd w:val="clear" w:color="auto" w:fill="FFFFFF"/>
        </w:rPr>
        <w:t>年</w:t>
      </w:r>
      <w:r>
        <w:rPr>
          <w:rFonts w:hint="eastAsia" w:ascii="宋体" w:hAnsi="宋体" w:eastAsia="宋体" w:cs="Arial"/>
          <w:color w:val="auto"/>
          <w:sz w:val="22"/>
          <w:szCs w:val="22"/>
          <w:shd w:val="clear" w:color="auto" w:fill="FFFFFF"/>
        </w:rPr>
        <w:t>9月修订、2026年7月部分修改)</w:t>
      </w:r>
      <w:r>
        <w:rPr>
          <w:rFonts w:hint="eastAsia" w:ascii="宋体" w:hAnsi="宋体" w:eastAsia="宋体" w:cs="Times New Roman"/>
          <w:bCs/>
          <w:color w:val="auto"/>
          <w:sz w:val="22"/>
          <w:szCs w:val="22"/>
        </w:rPr>
        <w:t xml:space="preserve">  </w:t>
      </w:r>
    </w:p>
    <w:p w14:paraId="27DA858B">
      <w:pPr>
        <w:tabs>
          <w:tab w:val="left" w:pos="3060"/>
        </w:tabs>
        <w:snapToGrid w:val="0"/>
        <w:spacing w:line="300" w:lineRule="auto"/>
        <w:ind w:firstLine="440" w:firstLineChars="200"/>
        <w:rPr>
          <w:rFonts w:ascii="宋体" w:hAnsi="宋体" w:eastAsia="宋体" w:cs="Times New Roman"/>
          <w:bCs/>
          <w:color w:val="auto"/>
          <w:sz w:val="22"/>
          <w:szCs w:val="22"/>
        </w:rPr>
      </w:pPr>
      <w:r>
        <w:rPr>
          <w:rFonts w:hint="eastAsia" w:ascii="宋体" w:hAnsi="宋体" w:eastAsia="宋体" w:cs="Times New Roman"/>
          <w:bCs/>
          <w:color w:val="auto"/>
          <w:sz w:val="22"/>
          <w:szCs w:val="22"/>
        </w:rPr>
        <w:t>6.3</w:t>
      </w:r>
      <w:r>
        <w:rPr>
          <w:rFonts w:ascii="宋体" w:hAnsi="宋体" w:eastAsia="宋体" w:cs="Times New Roman"/>
          <w:bCs/>
          <w:color w:val="auto"/>
          <w:sz w:val="22"/>
          <w:szCs w:val="22"/>
        </w:rPr>
        <w:t>《</w:t>
      </w:r>
      <w:r>
        <w:rPr>
          <w:rFonts w:hint="eastAsia" w:ascii="宋体" w:hAnsi="宋体" w:eastAsia="宋体" w:cs="Times New Roman"/>
          <w:bCs/>
          <w:color w:val="auto"/>
          <w:sz w:val="22"/>
          <w:szCs w:val="22"/>
        </w:rPr>
        <w:t>城市景观照明技术规范</w:t>
      </w:r>
      <w:r>
        <w:rPr>
          <w:rFonts w:ascii="宋体" w:hAnsi="宋体" w:eastAsia="宋体" w:cs="Times New Roman"/>
          <w:bCs/>
          <w:color w:val="auto"/>
          <w:sz w:val="22"/>
          <w:szCs w:val="22"/>
        </w:rPr>
        <w:t>》(DB31T316-</w:t>
      </w:r>
      <w:r>
        <w:rPr>
          <w:rFonts w:hint="eastAsia" w:ascii="宋体" w:hAnsi="宋体" w:eastAsia="宋体" w:cs="Times New Roman"/>
          <w:bCs/>
          <w:color w:val="auto"/>
          <w:sz w:val="22"/>
          <w:szCs w:val="22"/>
        </w:rPr>
        <w:t>2023</w:t>
      </w:r>
      <w:r>
        <w:rPr>
          <w:rFonts w:ascii="宋体" w:hAnsi="宋体" w:eastAsia="宋体" w:cs="Times New Roman"/>
          <w:bCs/>
          <w:color w:val="auto"/>
          <w:sz w:val="22"/>
          <w:szCs w:val="22"/>
        </w:rPr>
        <w:t>)</w:t>
      </w:r>
      <w:r>
        <w:rPr>
          <w:rFonts w:hint="eastAsia" w:ascii="宋体" w:hAnsi="宋体" w:eastAsia="宋体" w:cs="Times New Roman"/>
          <w:bCs/>
          <w:color w:val="auto"/>
          <w:sz w:val="22"/>
          <w:szCs w:val="22"/>
        </w:rPr>
        <w:t xml:space="preserve">   </w:t>
      </w:r>
    </w:p>
    <w:p w14:paraId="65E26DC3">
      <w:pPr>
        <w:tabs>
          <w:tab w:val="left" w:pos="3060"/>
        </w:tabs>
        <w:snapToGrid w:val="0"/>
        <w:spacing w:line="300" w:lineRule="auto"/>
        <w:ind w:firstLine="440" w:firstLineChars="200"/>
        <w:rPr>
          <w:rFonts w:ascii="宋体" w:hAnsi="宋体" w:eastAsia="宋体" w:cs="Times New Roman"/>
          <w:bCs/>
          <w:color w:val="auto"/>
          <w:sz w:val="22"/>
          <w:szCs w:val="22"/>
        </w:rPr>
      </w:pPr>
      <w:r>
        <w:rPr>
          <w:rFonts w:hint="eastAsia" w:ascii="宋体" w:hAnsi="宋体" w:eastAsia="宋体" w:cs="Times New Roman"/>
          <w:bCs/>
          <w:color w:val="auto"/>
          <w:sz w:val="22"/>
          <w:szCs w:val="22"/>
        </w:rPr>
        <w:t>6.4《上海市防汛条例》（上海市人大常委会2014年修订）</w:t>
      </w:r>
    </w:p>
    <w:p w14:paraId="293A2334">
      <w:pPr>
        <w:tabs>
          <w:tab w:val="left" w:pos="3060"/>
        </w:tabs>
        <w:snapToGrid w:val="0"/>
        <w:spacing w:line="300" w:lineRule="auto"/>
        <w:ind w:firstLine="440" w:firstLineChars="200"/>
        <w:rPr>
          <w:rFonts w:ascii="宋体" w:hAnsi="宋体" w:eastAsia="宋体" w:cs="Times New Roman"/>
          <w:bCs/>
          <w:color w:val="auto"/>
          <w:sz w:val="22"/>
          <w:szCs w:val="22"/>
        </w:rPr>
      </w:pPr>
      <w:r>
        <w:rPr>
          <w:rFonts w:hint="eastAsia" w:ascii="宋体" w:hAnsi="宋体" w:eastAsia="宋体" w:cs="Times New Roman"/>
          <w:bCs/>
          <w:color w:val="auto"/>
          <w:sz w:val="22"/>
          <w:szCs w:val="22"/>
        </w:rPr>
        <w:t xml:space="preserve">6.5《上海市突发事件应急预案管理实施办法》（沪府办发【2025】2号 </w:t>
      </w:r>
    </w:p>
    <w:p w14:paraId="62BB072A">
      <w:pPr>
        <w:tabs>
          <w:tab w:val="left" w:pos="3060"/>
        </w:tabs>
        <w:snapToGrid w:val="0"/>
        <w:spacing w:line="300" w:lineRule="auto"/>
        <w:ind w:firstLine="440" w:firstLineChars="200"/>
        <w:rPr>
          <w:rFonts w:ascii="宋体" w:hAnsi="宋体" w:eastAsia="宋体" w:cs="Times New Roman"/>
          <w:bCs/>
          <w:color w:val="auto"/>
          <w:sz w:val="22"/>
          <w:szCs w:val="22"/>
        </w:rPr>
      </w:pPr>
      <w:r>
        <w:rPr>
          <w:rFonts w:hint="eastAsia" w:ascii="宋体" w:hAnsi="宋体" w:eastAsia="宋体" w:cs="Times New Roman"/>
          <w:bCs/>
          <w:color w:val="auto"/>
          <w:sz w:val="22"/>
          <w:szCs w:val="22"/>
        </w:rPr>
        <w:t>6.6《关于切实做好汛期安全生产工作的通知》（沪绿容办〔2018〕13号）</w:t>
      </w:r>
    </w:p>
    <w:p w14:paraId="19328D93">
      <w:pPr>
        <w:tabs>
          <w:tab w:val="left" w:pos="3060"/>
        </w:tabs>
        <w:snapToGrid w:val="0"/>
        <w:spacing w:line="300" w:lineRule="auto"/>
        <w:ind w:firstLine="440" w:firstLineChars="200"/>
        <w:rPr>
          <w:rFonts w:ascii="宋体" w:hAnsi="宋体" w:eastAsia="宋体" w:cs="Times New Roman"/>
          <w:bCs/>
          <w:color w:val="auto"/>
          <w:sz w:val="22"/>
          <w:szCs w:val="22"/>
        </w:rPr>
      </w:pPr>
      <w:r>
        <w:rPr>
          <w:rFonts w:hint="eastAsia" w:ascii="宋体" w:hAnsi="宋体" w:eastAsia="宋体" w:cs="Times New Roman"/>
          <w:bCs/>
          <w:color w:val="auto"/>
          <w:sz w:val="22"/>
          <w:szCs w:val="22"/>
        </w:rPr>
        <w:t>6.7</w:t>
      </w:r>
      <w:r>
        <w:rPr>
          <w:rFonts w:ascii="宋体" w:hAnsi="宋体" w:eastAsia="宋体" w:cs="Times New Roman"/>
          <w:bCs/>
          <w:color w:val="auto"/>
          <w:sz w:val="22"/>
          <w:szCs w:val="22"/>
        </w:rPr>
        <w:t>《中华人民共和国安全生产法》（</w:t>
      </w:r>
      <w:r>
        <w:rPr>
          <w:rFonts w:hint="eastAsia" w:ascii="宋体" w:hAnsi="宋体" w:eastAsia="宋体" w:cs="Times New Roman"/>
          <w:bCs/>
          <w:color w:val="auto"/>
          <w:sz w:val="22"/>
          <w:szCs w:val="22"/>
        </w:rPr>
        <w:t>2021年6月第三次修正</w:t>
      </w:r>
      <w:r>
        <w:rPr>
          <w:rFonts w:ascii="宋体" w:hAnsi="宋体" w:eastAsia="宋体" w:cs="Times New Roman"/>
          <w:bCs/>
          <w:color w:val="auto"/>
          <w:sz w:val="22"/>
          <w:szCs w:val="22"/>
        </w:rPr>
        <w:t>）</w:t>
      </w:r>
    </w:p>
    <w:p w14:paraId="4FA088E2">
      <w:pPr>
        <w:tabs>
          <w:tab w:val="left" w:pos="3060"/>
        </w:tabs>
        <w:snapToGrid w:val="0"/>
        <w:spacing w:line="300" w:lineRule="auto"/>
        <w:ind w:firstLine="440" w:firstLineChars="200"/>
        <w:rPr>
          <w:rFonts w:ascii="宋体" w:hAnsi="宋体" w:eastAsia="宋体" w:cs="Times New Roman"/>
          <w:bCs/>
          <w:color w:val="auto"/>
          <w:sz w:val="22"/>
          <w:szCs w:val="22"/>
        </w:rPr>
      </w:pPr>
      <w:r>
        <w:rPr>
          <w:rFonts w:hint="eastAsia" w:ascii="宋体" w:hAnsi="宋体" w:eastAsia="宋体" w:cs="Times New Roman"/>
          <w:bCs/>
          <w:color w:val="auto"/>
          <w:sz w:val="22"/>
          <w:szCs w:val="22"/>
        </w:rPr>
        <w:t>6.8</w:t>
      </w:r>
      <w:r>
        <w:rPr>
          <w:rFonts w:ascii="宋体" w:hAnsi="宋体" w:eastAsia="宋体" w:cs="Times New Roman"/>
          <w:bCs/>
          <w:color w:val="auto"/>
          <w:sz w:val="22"/>
          <w:szCs w:val="22"/>
        </w:rPr>
        <w:t>《国务院关于进一步加强企业安全生产工作的通知》（国发〔2010〕23号）</w:t>
      </w:r>
    </w:p>
    <w:p w14:paraId="2A55EF49">
      <w:pPr>
        <w:tabs>
          <w:tab w:val="left" w:pos="3060"/>
        </w:tabs>
        <w:snapToGrid w:val="0"/>
        <w:spacing w:line="300" w:lineRule="auto"/>
        <w:ind w:firstLine="440" w:firstLineChars="200"/>
        <w:rPr>
          <w:rFonts w:ascii="宋体" w:hAnsi="宋体" w:eastAsia="宋体" w:cs="Times New Roman"/>
          <w:bCs/>
          <w:color w:val="auto"/>
          <w:sz w:val="22"/>
          <w:szCs w:val="22"/>
        </w:rPr>
      </w:pPr>
      <w:r>
        <w:rPr>
          <w:rFonts w:hint="eastAsia" w:ascii="宋体" w:hAnsi="宋体" w:eastAsia="宋体" w:cs="Times New Roman"/>
          <w:bCs/>
          <w:color w:val="auto"/>
          <w:sz w:val="22"/>
          <w:szCs w:val="22"/>
        </w:rPr>
        <w:t>6.9</w:t>
      </w:r>
      <w:r>
        <w:rPr>
          <w:rFonts w:ascii="宋体" w:hAnsi="宋体" w:eastAsia="宋体" w:cs="Times New Roman"/>
          <w:bCs/>
          <w:color w:val="auto"/>
          <w:sz w:val="22"/>
          <w:szCs w:val="22"/>
        </w:rPr>
        <w:t>《上海市安全生产条例》（2011年9月22日上海市第12届人大常委会第29次会议通过）</w:t>
      </w:r>
    </w:p>
    <w:p w14:paraId="55292F47">
      <w:pPr>
        <w:tabs>
          <w:tab w:val="left" w:pos="3060"/>
        </w:tabs>
        <w:snapToGrid w:val="0"/>
        <w:spacing w:line="300" w:lineRule="auto"/>
        <w:ind w:firstLine="440" w:firstLineChars="200"/>
        <w:rPr>
          <w:rFonts w:ascii="宋体" w:hAnsi="宋体" w:eastAsia="宋体" w:cs="Times New Roman"/>
          <w:bCs/>
          <w:color w:val="auto"/>
          <w:sz w:val="22"/>
          <w:szCs w:val="22"/>
        </w:rPr>
      </w:pPr>
      <w:r>
        <w:rPr>
          <w:rFonts w:hint="eastAsia" w:ascii="宋体" w:hAnsi="宋体" w:eastAsia="宋体" w:cs="Times New Roman"/>
          <w:bCs/>
          <w:color w:val="auto"/>
          <w:sz w:val="22"/>
          <w:szCs w:val="22"/>
        </w:rPr>
        <w:t>6.10</w:t>
      </w:r>
      <w:r>
        <w:rPr>
          <w:rFonts w:ascii="宋体" w:hAnsi="宋体" w:eastAsia="宋体" w:cs="Times New Roman"/>
          <w:bCs/>
          <w:color w:val="auto"/>
          <w:sz w:val="22"/>
          <w:szCs w:val="22"/>
        </w:rPr>
        <w:t>《上海市建设工程文明施工管理规定》（2010年10月30日上海市人民政府令第48号）</w:t>
      </w:r>
    </w:p>
    <w:p w14:paraId="6178EA7E">
      <w:pPr>
        <w:snapToGrid w:val="0"/>
        <w:spacing w:line="300" w:lineRule="auto"/>
        <w:ind w:firstLine="422" w:firstLineChars="192"/>
        <w:rPr>
          <w:rFonts w:ascii="宋体" w:hAnsi="宋体" w:eastAsia="宋体" w:cs="Times New Roman"/>
          <w:bCs/>
          <w:color w:val="auto"/>
          <w:sz w:val="22"/>
          <w:szCs w:val="22"/>
        </w:rPr>
      </w:pPr>
      <w:r>
        <w:rPr>
          <w:rFonts w:hint="eastAsia" w:ascii="宋体" w:hAnsi="宋体" w:eastAsia="宋体" w:cs="Times New Roman"/>
          <w:bCs/>
          <w:color w:val="auto"/>
          <w:sz w:val="22"/>
          <w:szCs w:val="22"/>
        </w:rPr>
        <w:t>6.11</w:t>
      </w:r>
      <w:r>
        <w:rPr>
          <w:rFonts w:ascii="宋体" w:hAnsi="宋体" w:eastAsia="宋体" w:cs="Times New Roman"/>
          <w:bCs/>
          <w:color w:val="auto"/>
          <w:sz w:val="22"/>
          <w:szCs w:val="22"/>
        </w:rPr>
        <w:t>《关于进一步规范本市建筑市场加强建设工程质量安全管理的若干意见》（沪府发〔2011〕1号）</w:t>
      </w:r>
    </w:p>
    <w:p w14:paraId="57352C6E">
      <w:pPr>
        <w:snapToGrid w:val="0"/>
        <w:spacing w:line="300" w:lineRule="auto"/>
        <w:ind w:firstLine="422" w:firstLineChars="192"/>
        <w:rPr>
          <w:rFonts w:ascii="Times New Roman" w:hAnsi="Times New Roman" w:eastAsia="宋体" w:cs="Times New Roman"/>
          <w:b/>
          <w:color w:val="auto"/>
          <w:sz w:val="22"/>
          <w:szCs w:val="22"/>
          <w:u w:val="wavyHeavy"/>
        </w:rPr>
      </w:pPr>
      <w:r>
        <w:rPr>
          <w:rFonts w:hint="eastAsia" w:ascii="宋体" w:hAnsi="宋体" w:eastAsia="宋体" w:cs="Times New Roman"/>
          <w:bCs/>
          <w:color w:val="auto"/>
          <w:sz w:val="22"/>
          <w:szCs w:val="22"/>
        </w:rPr>
        <w:t xml:space="preserve">6.12 《道路照明设施运行养护标准》上海市工程建设规范 </w:t>
      </w:r>
      <w:r>
        <w:rPr>
          <w:rFonts w:ascii="宋体" w:hAnsi="宋体" w:eastAsia="宋体" w:cs="Times New Roman"/>
          <w:bCs/>
          <w:color w:val="auto"/>
          <w:sz w:val="22"/>
          <w:szCs w:val="22"/>
        </w:rPr>
        <w:t>J13607-</w:t>
      </w:r>
      <w:r>
        <w:rPr>
          <w:rFonts w:hint="eastAsia" w:ascii="宋体" w:hAnsi="宋体" w:eastAsia="宋体" w:cs="Times New Roman"/>
          <w:bCs/>
          <w:color w:val="auto"/>
          <w:sz w:val="22"/>
          <w:szCs w:val="22"/>
        </w:rPr>
        <w:t xml:space="preserve">2025    </w:t>
      </w:r>
    </w:p>
    <w:p w14:paraId="0AF62E84">
      <w:pPr>
        <w:snapToGrid w:val="0"/>
        <w:spacing w:line="300" w:lineRule="auto"/>
        <w:ind w:firstLine="440" w:firstLineChars="200"/>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各</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应充分注意，凡涉及国家或行业管理部门颁发的相关规范、规程和标准，无论其是否在本</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文件中列明，</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应无条件执行。标准、规范等不一致的，以要求高者为准。</w:t>
      </w:r>
    </w:p>
    <w:p w14:paraId="33B629D4">
      <w:pPr>
        <w:spacing w:line="300" w:lineRule="auto"/>
        <w:ind w:firstLine="424" w:firstLineChars="192"/>
        <w:outlineLvl w:val="2"/>
        <w:rPr>
          <w:rFonts w:ascii="Times New Roman" w:hAnsi="Times New Roman" w:eastAsia="宋体" w:cs="Times New Roman"/>
          <w:b/>
          <w:color w:val="auto"/>
          <w:sz w:val="22"/>
          <w:szCs w:val="22"/>
        </w:rPr>
      </w:pPr>
      <w:bookmarkStart w:id="20" w:name="_Toc497211604"/>
      <w:bookmarkStart w:id="21" w:name="_Toc7568"/>
      <w:r>
        <w:rPr>
          <w:rFonts w:hint="eastAsia" w:ascii="Times New Roman" w:hAnsi="Times New Roman" w:eastAsia="宋体" w:cs="Times New Roman"/>
          <w:b/>
          <w:color w:val="auto"/>
          <w:sz w:val="22"/>
          <w:szCs w:val="22"/>
        </w:rPr>
        <w:t>7磋商</w:t>
      </w:r>
      <w:r>
        <w:rPr>
          <w:rFonts w:ascii="Times New Roman" w:hAnsi="Times New Roman" w:eastAsia="宋体" w:cs="Times New Roman"/>
          <w:b/>
          <w:color w:val="auto"/>
          <w:sz w:val="22"/>
          <w:szCs w:val="22"/>
        </w:rPr>
        <w:t>内容与要求</w:t>
      </w:r>
      <w:bookmarkEnd w:id="20"/>
      <w:bookmarkEnd w:id="21"/>
    </w:p>
    <w:p w14:paraId="1EB43120">
      <w:pPr>
        <w:widowControl w:val="0"/>
        <w:suppressAutoHyphens/>
        <w:spacing w:line="300" w:lineRule="auto"/>
        <w:ind w:firstLine="422" w:firstLineChars="192"/>
        <w:jc w:val="both"/>
        <w:rPr>
          <w:rFonts w:ascii="Times New Roman" w:hAnsi="Times New Roman" w:eastAsia="宋体" w:cs="Times New Roman"/>
          <w:bCs/>
          <w:color w:val="auto"/>
          <w:kern w:val="1"/>
          <w:sz w:val="22"/>
          <w:szCs w:val="20"/>
          <w:lang w:val="en-US" w:eastAsia="zh-CN" w:bidi="ar-SA"/>
        </w:rPr>
      </w:pPr>
      <w:r>
        <w:rPr>
          <w:rFonts w:hint="eastAsia" w:ascii="Times New Roman" w:hAnsi="Times New Roman" w:eastAsia="宋体" w:cs="Times New Roman"/>
          <w:bCs/>
          <w:color w:val="auto"/>
          <w:kern w:val="1"/>
          <w:sz w:val="22"/>
          <w:szCs w:val="20"/>
          <w:lang w:val="en-US" w:eastAsia="zh-CN" w:bidi="ar-SA"/>
        </w:rPr>
        <w:t>7</w:t>
      </w:r>
      <w:r>
        <w:rPr>
          <w:rFonts w:ascii="Times New Roman" w:hAnsi="Times New Roman" w:eastAsia="宋体" w:cs="Times New Roman"/>
          <w:bCs/>
          <w:color w:val="auto"/>
          <w:kern w:val="1"/>
          <w:sz w:val="22"/>
          <w:szCs w:val="20"/>
          <w:lang w:val="en-US" w:eastAsia="zh-CN" w:bidi="ar-SA"/>
        </w:rPr>
        <w:t>.1 工作目标与总体要求</w:t>
      </w:r>
    </w:p>
    <w:p w14:paraId="6FC45AEB">
      <w:pPr>
        <w:suppressAutoHyphens/>
        <w:spacing w:line="300" w:lineRule="auto"/>
        <w:ind w:firstLine="422" w:firstLineChars="192"/>
        <w:rPr>
          <w:rFonts w:ascii="宋体" w:hAnsi="宋体" w:eastAsia="宋体" w:cs="Times New Roman"/>
          <w:color w:val="auto"/>
          <w:sz w:val="22"/>
          <w:szCs w:val="22"/>
        </w:rPr>
      </w:pPr>
      <w:r>
        <w:rPr>
          <w:rFonts w:hint="eastAsia" w:ascii="Times New Roman" w:hAnsi="Times New Roman" w:eastAsia="宋体" w:cs="Times New Roman"/>
          <w:bCs/>
          <w:color w:val="auto"/>
          <w:kern w:val="1"/>
          <w:sz w:val="22"/>
          <w:szCs w:val="20"/>
        </w:rPr>
        <w:t>为了张江镇道路照明管理维修工作的需要，服务于民，方便于民，确保社会稳定，特对张江镇管路灯进行管理、维护。</w:t>
      </w:r>
      <w:r>
        <w:rPr>
          <w:rFonts w:hint="eastAsia" w:ascii="宋体" w:hAnsi="宋体" w:eastAsia="宋体" w:cs="Times New Roman"/>
          <w:color w:val="auto"/>
          <w:sz w:val="22"/>
          <w:szCs w:val="22"/>
        </w:rPr>
        <w:t>本项目涉及环东中心村路灯、中心村路灯、新丰居民区路灯、张江路景观灯、沔北居民区路灯、长元居民区路灯、古桐居委路灯、钱堂居民区路灯、韩荡居民区路灯、农村公路管理站管镇北片路灯、江益居委路灯、江春居委路灯、孙桥路居委路灯农村公路管理站管镇南片路灯、劳动居民区路灯与纳仕地区路灯等16个单位或区域处灯管理维护。</w:t>
      </w:r>
    </w:p>
    <w:p w14:paraId="7EDFED44">
      <w:pPr>
        <w:suppressAutoHyphens/>
        <w:spacing w:line="300" w:lineRule="auto"/>
        <w:ind w:firstLine="422" w:firstLineChars="192"/>
        <w:rPr>
          <w:rFonts w:ascii="宋体" w:hAnsi="宋体" w:eastAsia="宋体" w:cs="Times New Roman"/>
          <w:color w:val="auto"/>
          <w:sz w:val="22"/>
          <w:szCs w:val="22"/>
        </w:rPr>
      </w:pPr>
      <w:r>
        <w:rPr>
          <w:rFonts w:hint="eastAsia" w:ascii="宋体" w:hAnsi="宋体" w:eastAsia="宋体" w:cs="Times New Roman"/>
          <w:color w:val="auto"/>
          <w:sz w:val="22"/>
          <w:szCs w:val="22"/>
        </w:rPr>
        <w:t>总体包括灯具、路灯小线、电缆、架空线、灯杆、灯杆金 具、大刀片路灯支架等设施的常态巡检、维修（损坏更换）、保养等工作。亮灯率：不低于 99%；完好率不低于 95%；路灯会根据天气情况，自动亮灯。</w:t>
      </w:r>
    </w:p>
    <w:p w14:paraId="2446EFDE">
      <w:pPr>
        <w:widowControl w:val="0"/>
        <w:suppressAutoHyphens/>
        <w:spacing w:line="300" w:lineRule="auto"/>
        <w:ind w:firstLine="422" w:firstLineChars="192"/>
        <w:jc w:val="both"/>
        <w:rPr>
          <w:rFonts w:ascii="Times New Roman" w:hAnsi="Times New Roman" w:eastAsia="宋体" w:cs="Times New Roman"/>
          <w:bCs/>
          <w:color w:val="auto"/>
          <w:kern w:val="1"/>
          <w:sz w:val="22"/>
          <w:szCs w:val="20"/>
          <w:lang w:val="en-US" w:eastAsia="zh-CN" w:bidi="ar-SA"/>
        </w:rPr>
      </w:pPr>
      <w:r>
        <w:rPr>
          <w:rFonts w:hint="eastAsia" w:ascii="Times New Roman" w:hAnsi="Times New Roman" w:eastAsia="宋体" w:cs="Times New Roman"/>
          <w:bCs/>
          <w:color w:val="auto"/>
          <w:kern w:val="1"/>
          <w:sz w:val="22"/>
          <w:szCs w:val="20"/>
          <w:lang w:val="en-US" w:eastAsia="zh-CN" w:bidi="ar-SA"/>
        </w:rPr>
        <w:t>7</w:t>
      </w:r>
      <w:r>
        <w:rPr>
          <w:rFonts w:ascii="Times New Roman" w:hAnsi="Times New Roman" w:eastAsia="宋体" w:cs="Times New Roman"/>
          <w:bCs/>
          <w:color w:val="auto"/>
          <w:kern w:val="1"/>
          <w:sz w:val="22"/>
          <w:szCs w:val="20"/>
          <w:lang w:val="en-US" w:eastAsia="zh-CN" w:bidi="ar-SA"/>
        </w:rPr>
        <w:t>.2 本项目</w:t>
      </w:r>
      <w:r>
        <w:rPr>
          <w:rFonts w:hint="eastAsia" w:ascii="Times New Roman" w:hAnsi="Times New Roman" w:eastAsia="宋体" w:cs="Times New Roman"/>
          <w:bCs/>
          <w:color w:val="auto"/>
          <w:kern w:val="1"/>
          <w:sz w:val="22"/>
          <w:szCs w:val="20"/>
          <w:lang w:val="en-US" w:eastAsia="zh-CN" w:bidi="ar-SA"/>
        </w:rPr>
        <w:t>磋商</w:t>
      </w:r>
      <w:r>
        <w:rPr>
          <w:rFonts w:ascii="Times New Roman" w:hAnsi="Times New Roman" w:eastAsia="宋体" w:cs="Times New Roman"/>
          <w:bCs/>
          <w:color w:val="auto"/>
          <w:kern w:val="1"/>
          <w:sz w:val="22"/>
          <w:szCs w:val="20"/>
          <w:lang w:val="en-US" w:eastAsia="zh-CN" w:bidi="ar-SA"/>
        </w:rPr>
        <w:t>内容与具体质量要求（但不仅限于）详见下表。</w:t>
      </w:r>
    </w:p>
    <w:p w14:paraId="75B50B46">
      <w:pPr>
        <w:spacing w:line="300" w:lineRule="auto"/>
        <w:jc w:val="center"/>
        <w:rPr>
          <w:rFonts w:ascii="Times New Roman" w:hAnsi="Times New Roman" w:eastAsia="宋体" w:cs="Times New Roman"/>
          <w:color w:val="auto"/>
          <w:sz w:val="22"/>
          <w:szCs w:val="22"/>
        </w:rPr>
      </w:pPr>
      <w:r>
        <w:rPr>
          <w:rFonts w:ascii="Times New Roman" w:hAnsi="Times New Roman" w:eastAsia="宋体" w:cs="Times New Roman"/>
          <w:b/>
          <w:color w:val="auto"/>
          <w:sz w:val="22"/>
          <w:szCs w:val="22"/>
        </w:rPr>
        <w:t>服务内容一览表（工作量清单）</w:t>
      </w:r>
    </w:p>
    <w:tbl>
      <w:tblPr>
        <w:tblStyle w:val="3"/>
        <w:tblW w:w="9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814"/>
        <w:gridCol w:w="1331"/>
        <w:gridCol w:w="886"/>
        <w:gridCol w:w="1300"/>
        <w:gridCol w:w="1285"/>
        <w:gridCol w:w="1016"/>
      </w:tblGrid>
      <w:tr w14:paraId="2576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tcPr>
          <w:p w14:paraId="16D36AE6">
            <w:pPr>
              <w:spacing w:line="192" w:lineRule="auto"/>
              <w:jc w:val="center"/>
              <w:rPr>
                <w:rFonts w:hint="eastAsia" w:ascii="宋体" w:hAnsi="宋体" w:eastAsia="宋体" w:cs="Times New Roman"/>
                <w:b/>
                <w:bCs/>
                <w:color w:val="auto"/>
                <w:sz w:val="22"/>
                <w:szCs w:val="22"/>
                <w:lang w:val="en-US" w:eastAsia="zh-CN"/>
              </w:rPr>
            </w:pPr>
            <w:r>
              <w:rPr>
                <w:rFonts w:hint="eastAsia" w:ascii="宋体" w:hAnsi="宋体" w:eastAsia="宋体" w:cs="Times New Roman"/>
                <w:b/>
                <w:bCs/>
                <w:color w:val="auto"/>
                <w:sz w:val="22"/>
                <w:szCs w:val="22"/>
                <w:lang w:val="en-US" w:eastAsia="zh-CN"/>
              </w:rPr>
              <w:t>序号</w:t>
            </w:r>
          </w:p>
        </w:tc>
        <w:tc>
          <w:tcPr>
            <w:tcW w:w="2814" w:type="dxa"/>
          </w:tcPr>
          <w:p w14:paraId="28E1A446">
            <w:pPr>
              <w:spacing w:line="192" w:lineRule="auto"/>
              <w:jc w:val="center"/>
              <w:rPr>
                <w:rFonts w:hint="default" w:ascii="宋体" w:hAnsi="宋体" w:eastAsia="宋体" w:cs="Times New Roman"/>
                <w:b/>
                <w:bCs/>
                <w:color w:val="auto"/>
                <w:sz w:val="22"/>
                <w:szCs w:val="22"/>
                <w:lang w:val="en-US" w:eastAsia="zh-CN"/>
              </w:rPr>
            </w:pPr>
            <w:r>
              <w:rPr>
                <w:rFonts w:hint="eastAsia" w:ascii="宋体" w:hAnsi="宋体" w:eastAsia="宋体" w:cs="Times New Roman"/>
                <w:b/>
                <w:bCs/>
                <w:color w:val="auto"/>
                <w:sz w:val="22"/>
                <w:szCs w:val="22"/>
                <w:lang w:val="en-US" w:eastAsia="zh-CN"/>
              </w:rPr>
              <w:t>分布单位</w:t>
            </w:r>
          </w:p>
        </w:tc>
        <w:tc>
          <w:tcPr>
            <w:tcW w:w="1331" w:type="dxa"/>
          </w:tcPr>
          <w:p w14:paraId="7416178B">
            <w:pPr>
              <w:spacing w:line="192" w:lineRule="auto"/>
              <w:jc w:val="center"/>
              <w:rPr>
                <w:rFonts w:hint="eastAsia" w:ascii="宋体" w:hAnsi="宋体" w:eastAsia="宋体" w:cs="Times New Roman"/>
                <w:b/>
                <w:bCs/>
                <w:color w:val="auto"/>
                <w:sz w:val="22"/>
                <w:szCs w:val="22"/>
                <w:lang w:val="en-US" w:eastAsia="zh-CN"/>
              </w:rPr>
            </w:pPr>
            <w:r>
              <w:rPr>
                <w:rFonts w:hint="eastAsia" w:ascii="宋体" w:hAnsi="宋体" w:eastAsia="宋体" w:cs="Times New Roman"/>
                <w:b/>
                <w:bCs/>
                <w:color w:val="auto"/>
                <w:sz w:val="22"/>
                <w:szCs w:val="22"/>
                <w:lang w:val="en-US" w:eastAsia="zh-CN"/>
              </w:rPr>
              <w:t>光源</w:t>
            </w:r>
          </w:p>
        </w:tc>
        <w:tc>
          <w:tcPr>
            <w:tcW w:w="886" w:type="dxa"/>
          </w:tcPr>
          <w:p w14:paraId="4391C92B">
            <w:pPr>
              <w:spacing w:line="192" w:lineRule="auto"/>
              <w:jc w:val="center"/>
              <w:rPr>
                <w:rFonts w:hint="eastAsia" w:ascii="宋体" w:hAnsi="宋体" w:eastAsia="宋体" w:cs="Times New Roman"/>
                <w:b/>
                <w:bCs/>
                <w:color w:val="auto"/>
                <w:sz w:val="22"/>
                <w:szCs w:val="22"/>
                <w:lang w:val="en-US" w:eastAsia="zh-CN"/>
              </w:rPr>
            </w:pPr>
            <w:r>
              <w:rPr>
                <w:rFonts w:hint="eastAsia" w:ascii="宋体" w:hAnsi="宋体" w:eastAsia="宋体" w:cs="Times New Roman"/>
                <w:b/>
                <w:bCs/>
                <w:color w:val="auto"/>
                <w:sz w:val="22"/>
                <w:szCs w:val="22"/>
                <w:lang w:val="en-US" w:eastAsia="zh-CN"/>
              </w:rPr>
              <w:t>数量</w:t>
            </w:r>
          </w:p>
        </w:tc>
        <w:tc>
          <w:tcPr>
            <w:tcW w:w="1300" w:type="dxa"/>
          </w:tcPr>
          <w:p w14:paraId="20EA80B7">
            <w:pPr>
              <w:spacing w:line="192" w:lineRule="auto"/>
              <w:jc w:val="center"/>
              <w:rPr>
                <w:rFonts w:hint="default" w:ascii="宋体" w:hAnsi="宋体" w:eastAsia="宋体" w:cs="Times New Roman"/>
                <w:b/>
                <w:bCs/>
                <w:color w:val="auto"/>
                <w:sz w:val="22"/>
                <w:szCs w:val="22"/>
                <w:lang w:val="en-US" w:eastAsia="zh-CN"/>
              </w:rPr>
            </w:pPr>
            <w:r>
              <w:rPr>
                <w:rFonts w:hint="eastAsia" w:ascii="宋体" w:hAnsi="宋体" w:eastAsia="宋体" w:cs="Times New Roman"/>
                <w:b/>
                <w:bCs/>
                <w:color w:val="auto"/>
                <w:sz w:val="22"/>
                <w:szCs w:val="22"/>
                <w:lang w:val="en-US" w:eastAsia="zh-CN"/>
              </w:rPr>
              <w:t>进线方式</w:t>
            </w:r>
          </w:p>
        </w:tc>
        <w:tc>
          <w:tcPr>
            <w:tcW w:w="1285" w:type="dxa"/>
          </w:tcPr>
          <w:p w14:paraId="05539915">
            <w:pPr>
              <w:spacing w:line="192" w:lineRule="auto"/>
              <w:jc w:val="center"/>
              <w:rPr>
                <w:rFonts w:hint="default" w:ascii="宋体" w:hAnsi="宋体" w:eastAsia="宋体" w:cs="Times New Roman"/>
                <w:b/>
                <w:bCs/>
                <w:color w:val="auto"/>
                <w:sz w:val="22"/>
                <w:szCs w:val="22"/>
                <w:lang w:val="en-US" w:eastAsia="zh-CN"/>
              </w:rPr>
            </w:pPr>
            <w:r>
              <w:rPr>
                <w:rFonts w:hint="eastAsia" w:ascii="宋体" w:hAnsi="宋体" w:eastAsia="宋体" w:cs="Times New Roman"/>
                <w:b/>
                <w:bCs/>
                <w:color w:val="auto"/>
                <w:sz w:val="22"/>
                <w:szCs w:val="22"/>
                <w:lang w:val="en-US" w:eastAsia="zh-CN"/>
              </w:rPr>
              <w:t>控制方式</w:t>
            </w:r>
          </w:p>
        </w:tc>
        <w:tc>
          <w:tcPr>
            <w:tcW w:w="1016" w:type="dxa"/>
          </w:tcPr>
          <w:p w14:paraId="4BF05BCB">
            <w:pPr>
              <w:spacing w:line="192" w:lineRule="auto"/>
              <w:jc w:val="center"/>
              <w:rPr>
                <w:rFonts w:hint="default" w:ascii="宋体" w:hAnsi="宋体" w:eastAsia="宋体" w:cs="Times New Roman"/>
                <w:b/>
                <w:bCs/>
                <w:color w:val="auto"/>
                <w:sz w:val="22"/>
                <w:szCs w:val="22"/>
                <w:lang w:val="en-US" w:eastAsia="zh-CN"/>
              </w:rPr>
            </w:pPr>
            <w:r>
              <w:rPr>
                <w:rFonts w:hint="eastAsia" w:ascii="宋体" w:hAnsi="宋体" w:eastAsia="宋体" w:cs="Times New Roman"/>
                <w:b/>
                <w:bCs/>
                <w:color w:val="auto"/>
                <w:sz w:val="22"/>
                <w:szCs w:val="22"/>
                <w:lang w:val="en-US" w:eastAsia="zh-CN"/>
              </w:rPr>
              <w:t>材质</w:t>
            </w:r>
          </w:p>
        </w:tc>
      </w:tr>
      <w:tr w14:paraId="5D72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7310936">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w:t>
            </w:r>
          </w:p>
        </w:tc>
        <w:tc>
          <w:tcPr>
            <w:tcW w:w="2814" w:type="dxa"/>
            <w:vAlign w:val="center"/>
          </w:tcPr>
          <w:p w14:paraId="0B4CBB1A">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农村公路管理站纳仕地区路灯</w:t>
            </w:r>
          </w:p>
        </w:tc>
        <w:tc>
          <w:tcPr>
            <w:tcW w:w="1331" w:type="dxa"/>
            <w:vAlign w:val="center"/>
          </w:tcPr>
          <w:p w14:paraId="5F0B6CB8">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150w LED</w:t>
            </w:r>
          </w:p>
        </w:tc>
        <w:tc>
          <w:tcPr>
            <w:tcW w:w="886" w:type="dxa"/>
            <w:vAlign w:val="center"/>
          </w:tcPr>
          <w:p w14:paraId="75DAE1BE">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167</w:t>
            </w:r>
          </w:p>
        </w:tc>
        <w:tc>
          <w:tcPr>
            <w:tcW w:w="1300" w:type="dxa"/>
            <w:vAlign w:val="center"/>
          </w:tcPr>
          <w:p w14:paraId="2EEFB22F">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直埋电缆</w:t>
            </w:r>
          </w:p>
        </w:tc>
        <w:tc>
          <w:tcPr>
            <w:tcW w:w="1285" w:type="dxa"/>
            <w:vAlign w:val="center"/>
          </w:tcPr>
          <w:p w14:paraId="0ED7F6A4">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vAlign w:val="center"/>
          </w:tcPr>
          <w:p w14:paraId="391515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钢杆</w:t>
            </w:r>
          </w:p>
        </w:tc>
      </w:tr>
      <w:tr w14:paraId="5307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C9D7333">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2</w:t>
            </w:r>
          </w:p>
        </w:tc>
        <w:tc>
          <w:tcPr>
            <w:tcW w:w="2814" w:type="dxa"/>
            <w:vAlign w:val="center"/>
          </w:tcPr>
          <w:p w14:paraId="745AA4ED">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农村公路管理站纳仕地区路灯</w:t>
            </w:r>
          </w:p>
        </w:tc>
        <w:tc>
          <w:tcPr>
            <w:tcW w:w="1331" w:type="dxa"/>
            <w:vAlign w:val="center"/>
          </w:tcPr>
          <w:p w14:paraId="53944F7F">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200w LED</w:t>
            </w:r>
          </w:p>
        </w:tc>
        <w:tc>
          <w:tcPr>
            <w:tcW w:w="886" w:type="dxa"/>
            <w:vAlign w:val="center"/>
          </w:tcPr>
          <w:p w14:paraId="59B0EABC">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32</w:t>
            </w:r>
          </w:p>
        </w:tc>
        <w:tc>
          <w:tcPr>
            <w:tcW w:w="1300" w:type="dxa"/>
            <w:vAlign w:val="center"/>
          </w:tcPr>
          <w:p w14:paraId="0499D182">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直埋电缆</w:t>
            </w:r>
          </w:p>
        </w:tc>
        <w:tc>
          <w:tcPr>
            <w:tcW w:w="1285" w:type="dxa"/>
            <w:vAlign w:val="center"/>
          </w:tcPr>
          <w:p w14:paraId="7C164A6C">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vAlign w:val="center"/>
          </w:tcPr>
          <w:p w14:paraId="44DECB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钢杆</w:t>
            </w:r>
          </w:p>
        </w:tc>
      </w:tr>
      <w:tr w14:paraId="0C9A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CBFEB75">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3</w:t>
            </w:r>
          </w:p>
        </w:tc>
        <w:tc>
          <w:tcPr>
            <w:tcW w:w="2814" w:type="dxa"/>
            <w:vAlign w:val="center"/>
          </w:tcPr>
          <w:p w14:paraId="359D80B2">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农村公路管理站南片路灯</w:t>
            </w:r>
          </w:p>
        </w:tc>
        <w:tc>
          <w:tcPr>
            <w:tcW w:w="1331" w:type="dxa"/>
            <w:vAlign w:val="center"/>
          </w:tcPr>
          <w:p w14:paraId="540D7D4D">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40w景观灯LED</w:t>
            </w:r>
          </w:p>
        </w:tc>
        <w:tc>
          <w:tcPr>
            <w:tcW w:w="886" w:type="dxa"/>
            <w:vAlign w:val="center"/>
          </w:tcPr>
          <w:p w14:paraId="14BC9F55">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32</w:t>
            </w:r>
          </w:p>
        </w:tc>
        <w:tc>
          <w:tcPr>
            <w:tcW w:w="1300" w:type="dxa"/>
            <w:vAlign w:val="center"/>
          </w:tcPr>
          <w:p w14:paraId="25A0EBC5">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直埋电缆</w:t>
            </w:r>
          </w:p>
        </w:tc>
        <w:tc>
          <w:tcPr>
            <w:tcW w:w="1285" w:type="dxa"/>
            <w:vAlign w:val="center"/>
          </w:tcPr>
          <w:p w14:paraId="766ADB69">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vAlign w:val="center"/>
          </w:tcPr>
          <w:p w14:paraId="47A411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铝合金</w:t>
            </w:r>
          </w:p>
        </w:tc>
      </w:tr>
      <w:tr w14:paraId="4E2A2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25699F8">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4</w:t>
            </w:r>
          </w:p>
        </w:tc>
        <w:tc>
          <w:tcPr>
            <w:tcW w:w="2814" w:type="dxa"/>
            <w:vAlign w:val="center"/>
          </w:tcPr>
          <w:p w14:paraId="3E5A5096">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农村公路管理站南片路灯</w:t>
            </w:r>
          </w:p>
        </w:tc>
        <w:tc>
          <w:tcPr>
            <w:tcW w:w="1331" w:type="dxa"/>
            <w:vAlign w:val="center"/>
          </w:tcPr>
          <w:p w14:paraId="37F5171B">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80w LED</w:t>
            </w:r>
          </w:p>
        </w:tc>
        <w:tc>
          <w:tcPr>
            <w:tcW w:w="886" w:type="dxa"/>
            <w:vAlign w:val="center"/>
          </w:tcPr>
          <w:p w14:paraId="29D0ABCD">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7</w:t>
            </w:r>
          </w:p>
        </w:tc>
        <w:tc>
          <w:tcPr>
            <w:tcW w:w="1300" w:type="dxa"/>
            <w:vAlign w:val="center"/>
          </w:tcPr>
          <w:p w14:paraId="32EA0F57">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架空</w:t>
            </w:r>
          </w:p>
        </w:tc>
        <w:tc>
          <w:tcPr>
            <w:tcW w:w="1285" w:type="dxa"/>
            <w:vAlign w:val="center"/>
          </w:tcPr>
          <w:p w14:paraId="64EB8F89">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vAlign w:val="center"/>
          </w:tcPr>
          <w:p w14:paraId="2EEF9E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水泥杆</w:t>
            </w:r>
          </w:p>
        </w:tc>
      </w:tr>
      <w:tr w14:paraId="2771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0F7B8A2">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5</w:t>
            </w:r>
          </w:p>
        </w:tc>
        <w:tc>
          <w:tcPr>
            <w:tcW w:w="2814" w:type="dxa"/>
            <w:vAlign w:val="center"/>
          </w:tcPr>
          <w:p w14:paraId="54A2F68B">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长元居民区路灯</w:t>
            </w:r>
          </w:p>
        </w:tc>
        <w:tc>
          <w:tcPr>
            <w:tcW w:w="1331" w:type="dxa"/>
            <w:vAlign w:val="center"/>
          </w:tcPr>
          <w:p w14:paraId="301E1CE0">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80w LED</w:t>
            </w:r>
          </w:p>
        </w:tc>
        <w:tc>
          <w:tcPr>
            <w:tcW w:w="886" w:type="dxa"/>
            <w:vAlign w:val="center"/>
          </w:tcPr>
          <w:p w14:paraId="5A9D9FC4">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21</w:t>
            </w:r>
          </w:p>
        </w:tc>
        <w:tc>
          <w:tcPr>
            <w:tcW w:w="1300" w:type="dxa"/>
            <w:vAlign w:val="center"/>
          </w:tcPr>
          <w:p w14:paraId="7ADBB035">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直埋电缆</w:t>
            </w:r>
          </w:p>
        </w:tc>
        <w:tc>
          <w:tcPr>
            <w:tcW w:w="1285" w:type="dxa"/>
            <w:vAlign w:val="center"/>
          </w:tcPr>
          <w:p w14:paraId="15205436">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vAlign w:val="center"/>
          </w:tcPr>
          <w:p w14:paraId="4DBE3B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钢杆</w:t>
            </w:r>
          </w:p>
        </w:tc>
      </w:tr>
      <w:tr w14:paraId="33AF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47824F2D">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6</w:t>
            </w:r>
          </w:p>
        </w:tc>
        <w:tc>
          <w:tcPr>
            <w:tcW w:w="2814" w:type="dxa"/>
            <w:vAlign w:val="center"/>
          </w:tcPr>
          <w:p w14:paraId="64BC4F63">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长元居民区路灯</w:t>
            </w:r>
          </w:p>
        </w:tc>
        <w:tc>
          <w:tcPr>
            <w:tcW w:w="1331" w:type="dxa"/>
            <w:shd w:val="clear" w:color="auto" w:fill="auto"/>
            <w:vAlign w:val="center"/>
          </w:tcPr>
          <w:p w14:paraId="7611C204">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80w LED</w:t>
            </w:r>
          </w:p>
        </w:tc>
        <w:tc>
          <w:tcPr>
            <w:tcW w:w="886" w:type="dxa"/>
            <w:shd w:val="clear" w:color="auto" w:fill="auto"/>
            <w:vAlign w:val="center"/>
          </w:tcPr>
          <w:p w14:paraId="78BDA32A">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154</w:t>
            </w:r>
          </w:p>
        </w:tc>
        <w:tc>
          <w:tcPr>
            <w:tcW w:w="1300" w:type="dxa"/>
            <w:shd w:val="clear" w:color="auto" w:fill="auto"/>
            <w:vAlign w:val="center"/>
          </w:tcPr>
          <w:p w14:paraId="41102E5D">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架空</w:t>
            </w:r>
          </w:p>
        </w:tc>
        <w:tc>
          <w:tcPr>
            <w:tcW w:w="1285" w:type="dxa"/>
            <w:shd w:val="clear" w:color="auto" w:fill="auto"/>
            <w:vAlign w:val="center"/>
          </w:tcPr>
          <w:p w14:paraId="271EB28F">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shd w:val="clear" w:color="auto" w:fill="auto"/>
            <w:vAlign w:val="center"/>
          </w:tcPr>
          <w:p w14:paraId="411D54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32"/>
                <w:vertAlign w:val="baseline"/>
                <w:lang w:val="en-US" w:eastAsia="zh-CN" w:bidi="ar-SA"/>
              </w:rPr>
            </w:pPr>
            <w:r>
              <w:rPr>
                <w:rFonts w:hint="eastAsia" w:ascii="宋体" w:hAnsi="宋体" w:eastAsia="宋体" w:cs="宋体"/>
                <w:color w:val="auto"/>
                <w:sz w:val="24"/>
                <w:szCs w:val="32"/>
                <w:vertAlign w:val="baseline"/>
                <w:lang w:val="en-US" w:eastAsia="zh-CN"/>
              </w:rPr>
              <w:t>水泥杆</w:t>
            </w:r>
          </w:p>
        </w:tc>
      </w:tr>
      <w:tr w14:paraId="43A0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1BD6F648">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7</w:t>
            </w:r>
          </w:p>
        </w:tc>
        <w:tc>
          <w:tcPr>
            <w:tcW w:w="2814" w:type="dxa"/>
            <w:vAlign w:val="center"/>
          </w:tcPr>
          <w:p w14:paraId="52E42FDB">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江益居委路灯</w:t>
            </w:r>
          </w:p>
        </w:tc>
        <w:tc>
          <w:tcPr>
            <w:tcW w:w="1331" w:type="dxa"/>
            <w:shd w:val="clear" w:color="auto" w:fill="auto"/>
            <w:vAlign w:val="center"/>
          </w:tcPr>
          <w:p w14:paraId="5A96BC88">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80w LED</w:t>
            </w:r>
          </w:p>
        </w:tc>
        <w:tc>
          <w:tcPr>
            <w:tcW w:w="886" w:type="dxa"/>
            <w:shd w:val="clear" w:color="auto" w:fill="auto"/>
            <w:vAlign w:val="center"/>
          </w:tcPr>
          <w:p w14:paraId="25EFDA97">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20</w:t>
            </w:r>
          </w:p>
        </w:tc>
        <w:tc>
          <w:tcPr>
            <w:tcW w:w="1300" w:type="dxa"/>
            <w:shd w:val="clear" w:color="auto" w:fill="auto"/>
            <w:vAlign w:val="center"/>
          </w:tcPr>
          <w:p w14:paraId="2ADA6409">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直埋电缆</w:t>
            </w:r>
          </w:p>
        </w:tc>
        <w:tc>
          <w:tcPr>
            <w:tcW w:w="1285" w:type="dxa"/>
            <w:shd w:val="clear" w:color="auto" w:fill="auto"/>
            <w:vAlign w:val="center"/>
          </w:tcPr>
          <w:p w14:paraId="3C5A842B">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shd w:val="clear" w:color="auto" w:fill="auto"/>
            <w:vAlign w:val="center"/>
          </w:tcPr>
          <w:p w14:paraId="5FE66E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钢杆</w:t>
            </w:r>
          </w:p>
        </w:tc>
      </w:tr>
      <w:tr w14:paraId="37B4F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302FB907">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8</w:t>
            </w:r>
          </w:p>
        </w:tc>
        <w:tc>
          <w:tcPr>
            <w:tcW w:w="2814" w:type="dxa"/>
            <w:vAlign w:val="center"/>
          </w:tcPr>
          <w:p w14:paraId="4EEEC1FC">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江益居委路灯</w:t>
            </w:r>
          </w:p>
        </w:tc>
        <w:tc>
          <w:tcPr>
            <w:tcW w:w="1331" w:type="dxa"/>
            <w:shd w:val="clear" w:color="auto" w:fill="auto"/>
            <w:vAlign w:val="center"/>
          </w:tcPr>
          <w:p w14:paraId="78E442EB">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80w LED</w:t>
            </w:r>
          </w:p>
        </w:tc>
        <w:tc>
          <w:tcPr>
            <w:tcW w:w="886" w:type="dxa"/>
            <w:shd w:val="clear" w:color="auto" w:fill="auto"/>
            <w:vAlign w:val="center"/>
          </w:tcPr>
          <w:p w14:paraId="70193D9D">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35</w:t>
            </w:r>
          </w:p>
        </w:tc>
        <w:tc>
          <w:tcPr>
            <w:tcW w:w="1300" w:type="dxa"/>
            <w:shd w:val="clear" w:color="auto" w:fill="auto"/>
            <w:vAlign w:val="center"/>
          </w:tcPr>
          <w:p w14:paraId="0F055618">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架空</w:t>
            </w:r>
          </w:p>
        </w:tc>
        <w:tc>
          <w:tcPr>
            <w:tcW w:w="1285" w:type="dxa"/>
            <w:shd w:val="clear" w:color="auto" w:fill="auto"/>
            <w:vAlign w:val="center"/>
          </w:tcPr>
          <w:p w14:paraId="1EDC87E9">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shd w:val="clear" w:color="auto" w:fill="auto"/>
            <w:vAlign w:val="center"/>
          </w:tcPr>
          <w:p w14:paraId="14F261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32"/>
                <w:vertAlign w:val="baseline"/>
                <w:lang w:val="en-US" w:eastAsia="zh-CN" w:bidi="ar-SA"/>
              </w:rPr>
            </w:pPr>
            <w:r>
              <w:rPr>
                <w:rFonts w:hint="eastAsia" w:ascii="宋体" w:hAnsi="宋体" w:eastAsia="宋体" w:cs="宋体"/>
                <w:color w:val="auto"/>
                <w:sz w:val="24"/>
                <w:szCs w:val="32"/>
                <w:vertAlign w:val="baseline"/>
                <w:lang w:val="en-US" w:eastAsia="zh-CN"/>
              </w:rPr>
              <w:t>水泥杆</w:t>
            </w:r>
          </w:p>
        </w:tc>
      </w:tr>
      <w:tr w14:paraId="137E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50" w:type="dxa"/>
            <w:vAlign w:val="center"/>
          </w:tcPr>
          <w:p w14:paraId="4AAF3AD1">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9</w:t>
            </w:r>
          </w:p>
        </w:tc>
        <w:tc>
          <w:tcPr>
            <w:tcW w:w="2814" w:type="dxa"/>
            <w:vAlign w:val="center"/>
          </w:tcPr>
          <w:p w14:paraId="76E30CA5">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环东中心村路灯</w:t>
            </w:r>
          </w:p>
        </w:tc>
        <w:tc>
          <w:tcPr>
            <w:tcW w:w="1331" w:type="dxa"/>
            <w:vAlign w:val="center"/>
          </w:tcPr>
          <w:p w14:paraId="18AB03EB">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80w LED</w:t>
            </w:r>
          </w:p>
        </w:tc>
        <w:tc>
          <w:tcPr>
            <w:tcW w:w="886" w:type="dxa"/>
            <w:vAlign w:val="center"/>
          </w:tcPr>
          <w:p w14:paraId="2DA069DA">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430</w:t>
            </w:r>
          </w:p>
        </w:tc>
        <w:tc>
          <w:tcPr>
            <w:tcW w:w="1300" w:type="dxa"/>
            <w:vAlign w:val="center"/>
          </w:tcPr>
          <w:p w14:paraId="73561E20">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架空</w:t>
            </w:r>
          </w:p>
        </w:tc>
        <w:tc>
          <w:tcPr>
            <w:tcW w:w="1285" w:type="dxa"/>
            <w:vAlign w:val="center"/>
          </w:tcPr>
          <w:p w14:paraId="12CB3515">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vAlign w:val="center"/>
          </w:tcPr>
          <w:p w14:paraId="71B359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水泥杆</w:t>
            </w:r>
          </w:p>
        </w:tc>
      </w:tr>
      <w:tr w14:paraId="71AE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531988D5">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10</w:t>
            </w:r>
          </w:p>
        </w:tc>
        <w:tc>
          <w:tcPr>
            <w:tcW w:w="2814" w:type="dxa"/>
            <w:vAlign w:val="center"/>
          </w:tcPr>
          <w:p w14:paraId="5CB06E62">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中心村路灯</w:t>
            </w:r>
          </w:p>
        </w:tc>
        <w:tc>
          <w:tcPr>
            <w:tcW w:w="1331" w:type="dxa"/>
            <w:shd w:val="clear" w:color="auto" w:fill="auto"/>
            <w:vAlign w:val="center"/>
          </w:tcPr>
          <w:p w14:paraId="4756EC77">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80w LED</w:t>
            </w:r>
          </w:p>
        </w:tc>
        <w:tc>
          <w:tcPr>
            <w:tcW w:w="886" w:type="dxa"/>
            <w:shd w:val="clear" w:color="auto" w:fill="auto"/>
            <w:vAlign w:val="center"/>
          </w:tcPr>
          <w:p w14:paraId="4B99F1B0">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351</w:t>
            </w:r>
          </w:p>
        </w:tc>
        <w:tc>
          <w:tcPr>
            <w:tcW w:w="1300" w:type="dxa"/>
            <w:shd w:val="clear" w:color="auto" w:fill="auto"/>
            <w:vAlign w:val="center"/>
          </w:tcPr>
          <w:p w14:paraId="4DDB6A93">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架空</w:t>
            </w:r>
          </w:p>
        </w:tc>
        <w:tc>
          <w:tcPr>
            <w:tcW w:w="1285" w:type="dxa"/>
            <w:shd w:val="clear" w:color="auto" w:fill="auto"/>
            <w:vAlign w:val="center"/>
          </w:tcPr>
          <w:p w14:paraId="137625E2">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shd w:val="clear" w:color="auto" w:fill="auto"/>
            <w:vAlign w:val="center"/>
          </w:tcPr>
          <w:p w14:paraId="51768C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32"/>
                <w:vertAlign w:val="baseline"/>
                <w:lang w:val="en-US" w:eastAsia="zh-CN" w:bidi="ar-SA"/>
              </w:rPr>
            </w:pPr>
            <w:r>
              <w:rPr>
                <w:rFonts w:hint="eastAsia" w:ascii="宋体" w:hAnsi="宋体" w:eastAsia="宋体" w:cs="宋体"/>
                <w:color w:val="auto"/>
                <w:sz w:val="24"/>
                <w:szCs w:val="32"/>
                <w:vertAlign w:val="baseline"/>
                <w:lang w:val="en-US" w:eastAsia="zh-CN"/>
              </w:rPr>
              <w:t>水泥杆</w:t>
            </w:r>
          </w:p>
        </w:tc>
      </w:tr>
      <w:tr w14:paraId="6E7D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14:paraId="0BB809E5">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11</w:t>
            </w:r>
          </w:p>
        </w:tc>
        <w:tc>
          <w:tcPr>
            <w:tcW w:w="2814" w:type="dxa"/>
            <w:shd w:val="clear" w:color="auto" w:fill="auto"/>
            <w:vAlign w:val="center"/>
          </w:tcPr>
          <w:p w14:paraId="501152A0">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新丰居民区路灯</w:t>
            </w:r>
          </w:p>
        </w:tc>
        <w:tc>
          <w:tcPr>
            <w:tcW w:w="1331" w:type="dxa"/>
            <w:shd w:val="clear" w:color="auto" w:fill="auto"/>
            <w:vAlign w:val="top"/>
          </w:tcPr>
          <w:p w14:paraId="7A1ABD71">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80w LED</w:t>
            </w:r>
          </w:p>
        </w:tc>
        <w:tc>
          <w:tcPr>
            <w:tcW w:w="886" w:type="dxa"/>
            <w:shd w:val="clear" w:color="auto" w:fill="auto"/>
            <w:vAlign w:val="center"/>
          </w:tcPr>
          <w:p w14:paraId="43CD22C9">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rPr>
              <w:t>231</w:t>
            </w:r>
          </w:p>
        </w:tc>
        <w:tc>
          <w:tcPr>
            <w:tcW w:w="1300" w:type="dxa"/>
            <w:shd w:val="clear" w:color="auto" w:fill="auto"/>
            <w:vAlign w:val="center"/>
          </w:tcPr>
          <w:p w14:paraId="181EED52">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架空</w:t>
            </w:r>
          </w:p>
        </w:tc>
        <w:tc>
          <w:tcPr>
            <w:tcW w:w="1285" w:type="dxa"/>
            <w:shd w:val="clear" w:color="auto" w:fill="auto"/>
            <w:vAlign w:val="center"/>
          </w:tcPr>
          <w:p w14:paraId="46657219">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shd w:val="clear" w:color="auto" w:fill="auto"/>
            <w:vAlign w:val="center"/>
          </w:tcPr>
          <w:p w14:paraId="237696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32"/>
                <w:vertAlign w:val="baseline"/>
                <w:lang w:val="en-US" w:eastAsia="zh-CN" w:bidi="ar-SA"/>
              </w:rPr>
            </w:pPr>
            <w:r>
              <w:rPr>
                <w:rFonts w:hint="eastAsia" w:ascii="宋体" w:hAnsi="宋体" w:eastAsia="宋体" w:cs="宋体"/>
                <w:color w:val="auto"/>
                <w:sz w:val="24"/>
                <w:szCs w:val="32"/>
                <w:vertAlign w:val="baseline"/>
                <w:lang w:val="en-US" w:eastAsia="zh-CN"/>
              </w:rPr>
              <w:t>水泥杆</w:t>
            </w:r>
          </w:p>
        </w:tc>
      </w:tr>
      <w:tr w14:paraId="5B80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14:paraId="081C510C">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12</w:t>
            </w:r>
          </w:p>
        </w:tc>
        <w:tc>
          <w:tcPr>
            <w:tcW w:w="2814" w:type="dxa"/>
            <w:shd w:val="clear" w:color="auto" w:fill="auto"/>
            <w:vAlign w:val="center"/>
          </w:tcPr>
          <w:p w14:paraId="42CB882D">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沔北居民区路灯</w:t>
            </w:r>
          </w:p>
        </w:tc>
        <w:tc>
          <w:tcPr>
            <w:tcW w:w="1331" w:type="dxa"/>
            <w:shd w:val="clear" w:color="auto" w:fill="auto"/>
            <w:vAlign w:val="top"/>
          </w:tcPr>
          <w:p w14:paraId="520A02C3">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80w LED</w:t>
            </w:r>
          </w:p>
        </w:tc>
        <w:tc>
          <w:tcPr>
            <w:tcW w:w="886" w:type="dxa"/>
            <w:shd w:val="clear" w:color="auto" w:fill="auto"/>
            <w:vAlign w:val="center"/>
          </w:tcPr>
          <w:p w14:paraId="12F460F3">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175</w:t>
            </w:r>
          </w:p>
        </w:tc>
        <w:tc>
          <w:tcPr>
            <w:tcW w:w="1300" w:type="dxa"/>
            <w:shd w:val="clear" w:color="auto" w:fill="auto"/>
            <w:vAlign w:val="center"/>
          </w:tcPr>
          <w:p w14:paraId="22B28FFF">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架空</w:t>
            </w:r>
          </w:p>
        </w:tc>
        <w:tc>
          <w:tcPr>
            <w:tcW w:w="1285" w:type="dxa"/>
            <w:shd w:val="clear" w:color="auto" w:fill="auto"/>
            <w:vAlign w:val="center"/>
          </w:tcPr>
          <w:p w14:paraId="5D8FC97D">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shd w:val="clear" w:color="auto" w:fill="auto"/>
            <w:vAlign w:val="center"/>
          </w:tcPr>
          <w:p w14:paraId="3B46D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水泥杆</w:t>
            </w:r>
          </w:p>
        </w:tc>
      </w:tr>
      <w:tr w14:paraId="574E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14:paraId="312518C6">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13</w:t>
            </w:r>
          </w:p>
        </w:tc>
        <w:tc>
          <w:tcPr>
            <w:tcW w:w="2814" w:type="dxa"/>
            <w:shd w:val="clear" w:color="auto" w:fill="auto"/>
            <w:vAlign w:val="center"/>
          </w:tcPr>
          <w:p w14:paraId="38534766">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古桐居委路灯</w:t>
            </w:r>
          </w:p>
        </w:tc>
        <w:tc>
          <w:tcPr>
            <w:tcW w:w="1331" w:type="dxa"/>
            <w:shd w:val="clear" w:color="auto" w:fill="auto"/>
            <w:vAlign w:val="top"/>
          </w:tcPr>
          <w:p w14:paraId="44BC7575">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80w LED</w:t>
            </w:r>
          </w:p>
        </w:tc>
        <w:tc>
          <w:tcPr>
            <w:tcW w:w="886" w:type="dxa"/>
            <w:shd w:val="clear" w:color="auto" w:fill="auto"/>
            <w:vAlign w:val="center"/>
          </w:tcPr>
          <w:p w14:paraId="6E628090">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56</w:t>
            </w:r>
          </w:p>
        </w:tc>
        <w:tc>
          <w:tcPr>
            <w:tcW w:w="1300" w:type="dxa"/>
            <w:shd w:val="clear" w:color="auto" w:fill="auto"/>
            <w:vAlign w:val="center"/>
          </w:tcPr>
          <w:p w14:paraId="4FB826F0">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架空</w:t>
            </w:r>
          </w:p>
        </w:tc>
        <w:tc>
          <w:tcPr>
            <w:tcW w:w="1285" w:type="dxa"/>
            <w:shd w:val="clear" w:color="auto" w:fill="auto"/>
            <w:vAlign w:val="center"/>
          </w:tcPr>
          <w:p w14:paraId="2C21C6F8">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shd w:val="clear" w:color="auto" w:fill="auto"/>
            <w:vAlign w:val="center"/>
          </w:tcPr>
          <w:p w14:paraId="131C4E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水泥杆</w:t>
            </w:r>
          </w:p>
        </w:tc>
      </w:tr>
      <w:tr w14:paraId="0403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14:paraId="1D24F5FA">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14</w:t>
            </w:r>
          </w:p>
        </w:tc>
        <w:tc>
          <w:tcPr>
            <w:tcW w:w="2814" w:type="dxa"/>
            <w:shd w:val="clear" w:color="auto" w:fill="auto"/>
            <w:vAlign w:val="center"/>
          </w:tcPr>
          <w:p w14:paraId="508DB09A">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钱堂居民区路灯</w:t>
            </w:r>
          </w:p>
        </w:tc>
        <w:tc>
          <w:tcPr>
            <w:tcW w:w="1331" w:type="dxa"/>
            <w:shd w:val="clear" w:color="auto" w:fill="auto"/>
            <w:vAlign w:val="top"/>
          </w:tcPr>
          <w:p w14:paraId="2DF202F4">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80w LED</w:t>
            </w:r>
          </w:p>
        </w:tc>
        <w:tc>
          <w:tcPr>
            <w:tcW w:w="886" w:type="dxa"/>
            <w:shd w:val="clear" w:color="auto" w:fill="auto"/>
            <w:vAlign w:val="center"/>
          </w:tcPr>
          <w:p w14:paraId="6AF33792">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75</w:t>
            </w:r>
          </w:p>
        </w:tc>
        <w:tc>
          <w:tcPr>
            <w:tcW w:w="1300" w:type="dxa"/>
            <w:shd w:val="clear" w:color="auto" w:fill="auto"/>
            <w:vAlign w:val="center"/>
          </w:tcPr>
          <w:p w14:paraId="57C27871">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架空</w:t>
            </w:r>
          </w:p>
        </w:tc>
        <w:tc>
          <w:tcPr>
            <w:tcW w:w="1285" w:type="dxa"/>
            <w:shd w:val="clear" w:color="auto" w:fill="auto"/>
            <w:vAlign w:val="center"/>
          </w:tcPr>
          <w:p w14:paraId="653F71B3">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shd w:val="clear" w:color="auto" w:fill="auto"/>
            <w:vAlign w:val="center"/>
          </w:tcPr>
          <w:p w14:paraId="5390D3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水泥杆</w:t>
            </w:r>
          </w:p>
        </w:tc>
      </w:tr>
      <w:tr w14:paraId="2BFA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14:paraId="6E9C1427">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15</w:t>
            </w:r>
          </w:p>
        </w:tc>
        <w:tc>
          <w:tcPr>
            <w:tcW w:w="2814" w:type="dxa"/>
            <w:shd w:val="clear" w:color="auto" w:fill="auto"/>
            <w:vAlign w:val="center"/>
          </w:tcPr>
          <w:p w14:paraId="6715C37D">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韩荡居民区路灯</w:t>
            </w:r>
          </w:p>
        </w:tc>
        <w:tc>
          <w:tcPr>
            <w:tcW w:w="1331" w:type="dxa"/>
            <w:shd w:val="clear" w:color="auto" w:fill="auto"/>
            <w:vAlign w:val="top"/>
          </w:tcPr>
          <w:p w14:paraId="34F44178">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80w LED</w:t>
            </w:r>
          </w:p>
        </w:tc>
        <w:tc>
          <w:tcPr>
            <w:tcW w:w="886" w:type="dxa"/>
            <w:shd w:val="clear" w:color="auto" w:fill="auto"/>
            <w:vAlign w:val="center"/>
          </w:tcPr>
          <w:p w14:paraId="6F4E6680">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36</w:t>
            </w:r>
          </w:p>
        </w:tc>
        <w:tc>
          <w:tcPr>
            <w:tcW w:w="1300" w:type="dxa"/>
            <w:shd w:val="clear" w:color="auto" w:fill="auto"/>
            <w:vAlign w:val="center"/>
          </w:tcPr>
          <w:p w14:paraId="7CCC25EF">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架空</w:t>
            </w:r>
          </w:p>
        </w:tc>
        <w:tc>
          <w:tcPr>
            <w:tcW w:w="1285" w:type="dxa"/>
            <w:shd w:val="clear" w:color="auto" w:fill="auto"/>
            <w:vAlign w:val="center"/>
          </w:tcPr>
          <w:p w14:paraId="77A3FEBC">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shd w:val="clear" w:color="auto" w:fill="auto"/>
            <w:vAlign w:val="center"/>
          </w:tcPr>
          <w:p w14:paraId="190BF9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水泥杆</w:t>
            </w:r>
          </w:p>
        </w:tc>
      </w:tr>
      <w:tr w14:paraId="67B9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14:paraId="4507A895">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16</w:t>
            </w:r>
          </w:p>
        </w:tc>
        <w:tc>
          <w:tcPr>
            <w:tcW w:w="2814" w:type="dxa"/>
            <w:shd w:val="clear" w:color="auto" w:fill="auto"/>
            <w:vAlign w:val="center"/>
          </w:tcPr>
          <w:p w14:paraId="6815F654">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农村公路管理站北片路灯</w:t>
            </w:r>
          </w:p>
        </w:tc>
        <w:tc>
          <w:tcPr>
            <w:tcW w:w="1331" w:type="dxa"/>
            <w:shd w:val="clear" w:color="auto" w:fill="auto"/>
            <w:vAlign w:val="top"/>
          </w:tcPr>
          <w:p w14:paraId="1BAA9BB3">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80w LED</w:t>
            </w:r>
          </w:p>
        </w:tc>
        <w:tc>
          <w:tcPr>
            <w:tcW w:w="886" w:type="dxa"/>
            <w:shd w:val="clear" w:color="auto" w:fill="auto"/>
            <w:vAlign w:val="center"/>
          </w:tcPr>
          <w:p w14:paraId="7558A22A">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37</w:t>
            </w:r>
          </w:p>
        </w:tc>
        <w:tc>
          <w:tcPr>
            <w:tcW w:w="1300" w:type="dxa"/>
            <w:shd w:val="clear" w:color="auto" w:fill="auto"/>
            <w:vAlign w:val="center"/>
          </w:tcPr>
          <w:p w14:paraId="64CDE139">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架空</w:t>
            </w:r>
          </w:p>
        </w:tc>
        <w:tc>
          <w:tcPr>
            <w:tcW w:w="1285" w:type="dxa"/>
            <w:shd w:val="clear" w:color="auto" w:fill="auto"/>
            <w:vAlign w:val="center"/>
          </w:tcPr>
          <w:p w14:paraId="11245BCE">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shd w:val="clear" w:color="auto" w:fill="auto"/>
            <w:vAlign w:val="center"/>
          </w:tcPr>
          <w:p w14:paraId="14BBFF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水泥杆</w:t>
            </w:r>
          </w:p>
        </w:tc>
      </w:tr>
      <w:tr w14:paraId="045F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14:paraId="057579F8">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17</w:t>
            </w:r>
          </w:p>
        </w:tc>
        <w:tc>
          <w:tcPr>
            <w:tcW w:w="2814" w:type="dxa"/>
            <w:shd w:val="clear" w:color="auto" w:fill="auto"/>
            <w:vAlign w:val="center"/>
          </w:tcPr>
          <w:p w14:paraId="18549E38">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江春居委路灯</w:t>
            </w:r>
          </w:p>
        </w:tc>
        <w:tc>
          <w:tcPr>
            <w:tcW w:w="1331" w:type="dxa"/>
            <w:shd w:val="clear" w:color="auto" w:fill="auto"/>
            <w:vAlign w:val="top"/>
          </w:tcPr>
          <w:p w14:paraId="1BFA57E9">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80w LED</w:t>
            </w:r>
          </w:p>
        </w:tc>
        <w:tc>
          <w:tcPr>
            <w:tcW w:w="886" w:type="dxa"/>
            <w:shd w:val="clear" w:color="auto" w:fill="auto"/>
            <w:vAlign w:val="center"/>
          </w:tcPr>
          <w:p w14:paraId="76268C48">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29</w:t>
            </w:r>
          </w:p>
        </w:tc>
        <w:tc>
          <w:tcPr>
            <w:tcW w:w="1300" w:type="dxa"/>
            <w:shd w:val="clear" w:color="auto" w:fill="auto"/>
            <w:vAlign w:val="center"/>
          </w:tcPr>
          <w:p w14:paraId="48FCBBE1">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架空</w:t>
            </w:r>
          </w:p>
        </w:tc>
        <w:tc>
          <w:tcPr>
            <w:tcW w:w="1285" w:type="dxa"/>
            <w:shd w:val="clear" w:color="auto" w:fill="auto"/>
            <w:vAlign w:val="center"/>
          </w:tcPr>
          <w:p w14:paraId="5F1C2BEC">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shd w:val="clear" w:color="auto" w:fill="auto"/>
            <w:vAlign w:val="center"/>
          </w:tcPr>
          <w:p w14:paraId="3A09E4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水泥杆</w:t>
            </w:r>
          </w:p>
        </w:tc>
      </w:tr>
      <w:tr w14:paraId="2BD3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14:paraId="706BA2D2">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18</w:t>
            </w:r>
          </w:p>
        </w:tc>
        <w:tc>
          <w:tcPr>
            <w:tcW w:w="2814" w:type="dxa"/>
            <w:shd w:val="clear" w:color="auto" w:fill="auto"/>
            <w:vAlign w:val="center"/>
          </w:tcPr>
          <w:p w14:paraId="142ADCA0">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孙桥路居委路灯</w:t>
            </w:r>
          </w:p>
        </w:tc>
        <w:tc>
          <w:tcPr>
            <w:tcW w:w="1331" w:type="dxa"/>
            <w:shd w:val="clear" w:color="auto" w:fill="auto"/>
            <w:vAlign w:val="top"/>
          </w:tcPr>
          <w:p w14:paraId="4B3747C7">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80w LED</w:t>
            </w:r>
          </w:p>
        </w:tc>
        <w:tc>
          <w:tcPr>
            <w:tcW w:w="886" w:type="dxa"/>
            <w:shd w:val="clear" w:color="auto" w:fill="auto"/>
            <w:vAlign w:val="center"/>
          </w:tcPr>
          <w:p w14:paraId="1894140F">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16</w:t>
            </w:r>
          </w:p>
        </w:tc>
        <w:tc>
          <w:tcPr>
            <w:tcW w:w="1300" w:type="dxa"/>
            <w:shd w:val="clear" w:color="auto" w:fill="auto"/>
            <w:vAlign w:val="center"/>
          </w:tcPr>
          <w:p w14:paraId="053E65A8">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架空</w:t>
            </w:r>
          </w:p>
        </w:tc>
        <w:tc>
          <w:tcPr>
            <w:tcW w:w="1285" w:type="dxa"/>
            <w:shd w:val="clear" w:color="auto" w:fill="auto"/>
            <w:vAlign w:val="center"/>
          </w:tcPr>
          <w:p w14:paraId="4E93D4AC">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shd w:val="clear" w:color="auto" w:fill="auto"/>
            <w:vAlign w:val="center"/>
          </w:tcPr>
          <w:p w14:paraId="14DD87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水泥杆</w:t>
            </w:r>
          </w:p>
        </w:tc>
      </w:tr>
      <w:tr w14:paraId="734D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auto"/>
            <w:vAlign w:val="center"/>
          </w:tcPr>
          <w:p w14:paraId="3DFACB85">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19</w:t>
            </w:r>
          </w:p>
        </w:tc>
        <w:tc>
          <w:tcPr>
            <w:tcW w:w="2814" w:type="dxa"/>
            <w:shd w:val="clear" w:color="auto" w:fill="auto"/>
            <w:vAlign w:val="center"/>
          </w:tcPr>
          <w:p w14:paraId="6AB3FE13">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劳动居民区路灯</w:t>
            </w:r>
          </w:p>
        </w:tc>
        <w:tc>
          <w:tcPr>
            <w:tcW w:w="1331" w:type="dxa"/>
            <w:shd w:val="clear" w:color="auto" w:fill="auto"/>
            <w:vAlign w:val="top"/>
          </w:tcPr>
          <w:p w14:paraId="4A2BA25A">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80w LED</w:t>
            </w:r>
          </w:p>
        </w:tc>
        <w:tc>
          <w:tcPr>
            <w:tcW w:w="886" w:type="dxa"/>
            <w:shd w:val="clear" w:color="auto" w:fill="auto"/>
            <w:vAlign w:val="center"/>
          </w:tcPr>
          <w:p w14:paraId="27034E29">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112</w:t>
            </w:r>
          </w:p>
        </w:tc>
        <w:tc>
          <w:tcPr>
            <w:tcW w:w="1300" w:type="dxa"/>
            <w:shd w:val="clear" w:color="auto" w:fill="auto"/>
            <w:vAlign w:val="center"/>
          </w:tcPr>
          <w:p w14:paraId="2DFE2DED">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架空</w:t>
            </w:r>
          </w:p>
        </w:tc>
        <w:tc>
          <w:tcPr>
            <w:tcW w:w="1285" w:type="dxa"/>
            <w:shd w:val="clear" w:color="auto" w:fill="auto"/>
            <w:vAlign w:val="center"/>
          </w:tcPr>
          <w:p w14:paraId="6D66BD7E">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shd w:val="clear" w:color="auto" w:fill="auto"/>
            <w:vAlign w:val="center"/>
          </w:tcPr>
          <w:p w14:paraId="6DE56F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水泥杆</w:t>
            </w:r>
          </w:p>
        </w:tc>
      </w:tr>
      <w:tr w14:paraId="13DB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D9D26DF">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20</w:t>
            </w:r>
          </w:p>
        </w:tc>
        <w:tc>
          <w:tcPr>
            <w:tcW w:w="2814" w:type="dxa"/>
            <w:vAlign w:val="center"/>
          </w:tcPr>
          <w:p w14:paraId="7F7CE6BC">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张江路景观灯</w:t>
            </w:r>
          </w:p>
        </w:tc>
        <w:tc>
          <w:tcPr>
            <w:tcW w:w="1331" w:type="dxa"/>
            <w:vAlign w:val="top"/>
          </w:tcPr>
          <w:p w14:paraId="4E0B9C1D">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80w LED</w:t>
            </w:r>
          </w:p>
        </w:tc>
        <w:tc>
          <w:tcPr>
            <w:tcW w:w="886" w:type="dxa"/>
            <w:vAlign w:val="center"/>
          </w:tcPr>
          <w:p w14:paraId="02364A0C">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55</w:t>
            </w:r>
          </w:p>
        </w:tc>
        <w:tc>
          <w:tcPr>
            <w:tcW w:w="1300" w:type="dxa"/>
            <w:vAlign w:val="center"/>
          </w:tcPr>
          <w:p w14:paraId="32FD41DF">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直埋电缆</w:t>
            </w:r>
          </w:p>
        </w:tc>
        <w:tc>
          <w:tcPr>
            <w:tcW w:w="1285" w:type="dxa"/>
            <w:vAlign w:val="center"/>
          </w:tcPr>
          <w:p w14:paraId="1F2B0B8D">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shd w:val="clear" w:color="auto" w:fill="auto"/>
            <w:vAlign w:val="center"/>
          </w:tcPr>
          <w:p w14:paraId="5A1554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32"/>
                <w:vertAlign w:val="baseline"/>
                <w:lang w:val="en-US" w:eastAsia="zh-CN" w:bidi="ar-SA"/>
              </w:rPr>
            </w:pPr>
            <w:r>
              <w:rPr>
                <w:rFonts w:hint="eastAsia" w:ascii="宋体" w:hAnsi="宋体" w:eastAsia="宋体" w:cs="宋体"/>
                <w:color w:val="auto"/>
                <w:sz w:val="24"/>
                <w:szCs w:val="32"/>
                <w:vertAlign w:val="baseline"/>
                <w:lang w:val="en-US" w:eastAsia="zh-CN"/>
              </w:rPr>
              <w:t>铝合金</w:t>
            </w:r>
          </w:p>
        </w:tc>
      </w:tr>
      <w:tr w14:paraId="491B4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62EB9EF9">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21</w:t>
            </w:r>
          </w:p>
        </w:tc>
        <w:tc>
          <w:tcPr>
            <w:tcW w:w="2814" w:type="dxa"/>
            <w:vAlign w:val="center"/>
          </w:tcPr>
          <w:p w14:paraId="23321B47">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张江路景观灯</w:t>
            </w:r>
          </w:p>
        </w:tc>
        <w:tc>
          <w:tcPr>
            <w:tcW w:w="1331" w:type="dxa"/>
            <w:vAlign w:val="center"/>
          </w:tcPr>
          <w:p w14:paraId="1822884F">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40w景观灯LED</w:t>
            </w:r>
          </w:p>
        </w:tc>
        <w:tc>
          <w:tcPr>
            <w:tcW w:w="886" w:type="dxa"/>
            <w:vAlign w:val="center"/>
          </w:tcPr>
          <w:p w14:paraId="2BAF9828">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104</w:t>
            </w:r>
          </w:p>
        </w:tc>
        <w:tc>
          <w:tcPr>
            <w:tcW w:w="1300" w:type="dxa"/>
            <w:vAlign w:val="center"/>
          </w:tcPr>
          <w:p w14:paraId="3A2B7C86">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直埋电缆</w:t>
            </w:r>
          </w:p>
        </w:tc>
        <w:tc>
          <w:tcPr>
            <w:tcW w:w="1285" w:type="dxa"/>
            <w:vAlign w:val="center"/>
          </w:tcPr>
          <w:p w14:paraId="69E98707">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vAlign w:val="center"/>
          </w:tcPr>
          <w:p w14:paraId="06855F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r>
              <w:rPr>
                <w:rFonts w:hint="eastAsia" w:ascii="宋体" w:hAnsi="宋体" w:eastAsia="宋体" w:cs="宋体"/>
                <w:color w:val="auto"/>
                <w:sz w:val="24"/>
                <w:szCs w:val="32"/>
                <w:vertAlign w:val="baseline"/>
                <w:lang w:val="en-US" w:eastAsia="zh-CN"/>
              </w:rPr>
              <w:t>铝合金</w:t>
            </w:r>
          </w:p>
        </w:tc>
      </w:tr>
      <w:tr w14:paraId="6323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vAlign w:val="center"/>
          </w:tcPr>
          <w:p w14:paraId="087BC1D0">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22</w:t>
            </w:r>
          </w:p>
        </w:tc>
        <w:tc>
          <w:tcPr>
            <w:tcW w:w="2814" w:type="dxa"/>
            <w:vAlign w:val="center"/>
          </w:tcPr>
          <w:p w14:paraId="12B23426">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张江路景观灯</w:t>
            </w:r>
          </w:p>
        </w:tc>
        <w:tc>
          <w:tcPr>
            <w:tcW w:w="1331" w:type="dxa"/>
            <w:vAlign w:val="center"/>
          </w:tcPr>
          <w:p w14:paraId="3511B60C">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10w地灯</w:t>
            </w:r>
          </w:p>
        </w:tc>
        <w:tc>
          <w:tcPr>
            <w:tcW w:w="886" w:type="dxa"/>
            <w:vAlign w:val="center"/>
          </w:tcPr>
          <w:p w14:paraId="6AC8408A">
            <w:pPr>
              <w:spacing w:line="192" w:lineRule="auto"/>
              <w:jc w:val="center"/>
              <w:rPr>
                <w:rFonts w:hint="default"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37</w:t>
            </w:r>
          </w:p>
        </w:tc>
        <w:tc>
          <w:tcPr>
            <w:tcW w:w="1300" w:type="dxa"/>
            <w:vAlign w:val="center"/>
          </w:tcPr>
          <w:p w14:paraId="1E1ABA7E">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直埋电缆</w:t>
            </w:r>
          </w:p>
        </w:tc>
        <w:tc>
          <w:tcPr>
            <w:tcW w:w="1285" w:type="dxa"/>
            <w:vAlign w:val="center"/>
          </w:tcPr>
          <w:p w14:paraId="3EBA4D81">
            <w:pPr>
              <w:spacing w:line="192" w:lineRule="auto"/>
              <w:jc w:val="center"/>
              <w:rPr>
                <w:rFonts w:hint="eastAsia" w:ascii="宋体" w:hAnsi="宋体" w:eastAsia="宋体" w:cs="Times New Roman"/>
                <w:color w:val="auto"/>
                <w:sz w:val="22"/>
                <w:szCs w:val="22"/>
                <w:lang w:val="en-US" w:eastAsia="zh-CN"/>
              </w:rPr>
            </w:pPr>
            <w:r>
              <w:rPr>
                <w:rFonts w:hint="eastAsia" w:ascii="宋体" w:hAnsi="宋体" w:eastAsia="宋体" w:cs="Times New Roman"/>
                <w:color w:val="auto"/>
                <w:sz w:val="22"/>
                <w:szCs w:val="22"/>
                <w:lang w:val="en-US" w:eastAsia="zh-CN"/>
              </w:rPr>
              <w:t>光控</w:t>
            </w:r>
          </w:p>
        </w:tc>
        <w:tc>
          <w:tcPr>
            <w:tcW w:w="1016" w:type="dxa"/>
            <w:vAlign w:val="center"/>
          </w:tcPr>
          <w:p w14:paraId="2A93F22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p>
        </w:tc>
      </w:tr>
      <w:tr w14:paraId="371F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64" w:type="dxa"/>
            <w:gridSpan w:val="2"/>
            <w:shd w:val="clear" w:color="auto" w:fill="auto"/>
            <w:vAlign w:val="center"/>
          </w:tcPr>
          <w:p w14:paraId="73A8DE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32"/>
                <w:vertAlign w:val="baseline"/>
                <w:lang w:val="en-US" w:eastAsia="zh-CN" w:bidi="ar-SA"/>
              </w:rPr>
            </w:pPr>
            <w:r>
              <w:rPr>
                <w:rFonts w:hint="eastAsia" w:ascii="宋体" w:hAnsi="宋体" w:eastAsia="宋体" w:cs="宋体"/>
                <w:color w:val="auto"/>
                <w:sz w:val="24"/>
                <w:szCs w:val="32"/>
                <w:vertAlign w:val="baseline"/>
                <w:lang w:val="en-US" w:eastAsia="zh-CN"/>
              </w:rPr>
              <w:t>合计</w:t>
            </w:r>
          </w:p>
        </w:tc>
        <w:tc>
          <w:tcPr>
            <w:tcW w:w="1331" w:type="dxa"/>
            <w:shd w:val="clear" w:color="auto" w:fill="auto"/>
            <w:vAlign w:val="center"/>
          </w:tcPr>
          <w:p w14:paraId="7B86BA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32"/>
                <w:vertAlign w:val="baseline"/>
                <w:lang w:val="en-US" w:eastAsia="zh-CN" w:bidi="ar-SA"/>
              </w:rPr>
            </w:pPr>
          </w:p>
        </w:tc>
        <w:tc>
          <w:tcPr>
            <w:tcW w:w="886" w:type="dxa"/>
            <w:shd w:val="clear" w:color="auto" w:fill="auto"/>
            <w:vAlign w:val="center"/>
          </w:tcPr>
          <w:p w14:paraId="040A87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32"/>
                <w:vertAlign w:val="baseline"/>
                <w:lang w:val="en-US" w:eastAsia="zh-CN" w:bidi="ar-SA"/>
              </w:rPr>
            </w:pPr>
            <w:r>
              <w:rPr>
                <w:rFonts w:hint="eastAsia" w:ascii="宋体" w:hAnsi="宋体" w:eastAsia="宋体" w:cs="宋体"/>
                <w:color w:val="auto"/>
                <w:sz w:val="24"/>
                <w:szCs w:val="32"/>
                <w:vertAlign w:val="baseline"/>
                <w:lang w:val="en-US" w:eastAsia="zh-CN"/>
              </w:rPr>
              <w:t>2212</w:t>
            </w:r>
          </w:p>
        </w:tc>
        <w:tc>
          <w:tcPr>
            <w:tcW w:w="1300" w:type="dxa"/>
            <w:vAlign w:val="center"/>
          </w:tcPr>
          <w:p w14:paraId="7A15C1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p>
        </w:tc>
        <w:tc>
          <w:tcPr>
            <w:tcW w:w="1285" w:type="dxa"/>
            <w:vAlign w:val="center"/>
          </w:tcPr>
          <w:p w14:paraId="5DEA7E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p>
        </w:tc>
        <w:tc>
          <w:tcPr>
            <w:tcW w:w="1016" w:type="dxa"/>
            <w:vAlign w:val="center"/>
          </w:tcPr>
          <w:p w14:paraId="09AAB22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vertAlign w:val="baseline"/>
                <w:lang w:val="en-US" w:eastAsia="zh-CN"/>
              </w:rPr>
            </w:pPr>
          </w:p>
        </w:tc>
      </w:tr>
    </w:tbl>
    <w:p w14:paraId="1677D9D3">
      <w:pPr>
        <w:adjustRightInd w:val="0"/>
        <w:snapToGrid w:val="0"/>
        <w:spacing w:line="300" w:lineRule="auto"/>
        <w:ind w:firstLine="424" w:firstLineChars="192"/>
        <w:rPr>
          <w:rFonts w:ascii="Times New Roman" w:hAnsi="Times New Roman" w:eastAsia="宋体" w:cs="Times New Roman"/>
          <w:b/>
          <w:bCs/>
          <w:color w:val="auto"/>
          <w:sz w:val="22"/>
          <w:szCs w:val="22"/>
        </w:rPr>
      </w:pPr>
      <w:r>
        <w:rPr>
          <w:rFonts w:ascii="Times New Roman" w:hAnsi="Times New Roman" w:eastAsia="宋体" w:cs="Times New Roman"/>
          <w:b/>
          <w:bCs/>
          <w:color w:val="auto"/>
          <w:sz w:val="22"/>
          <w:szCs w:val="22"/>
        </w:rPr>
        <w:t>说明：此表所列内容为本次</w:t>
      </w:r>
      <w:r>
        <w:rPr>
          <w:rFonts w:hint="eastAsia" w:ascii="Times New Roman" w:hAnsi="Times New Roman" w:eastAsia="宋体" w:cs="Times New Roman"/>
          <w:b/>
          <w:bCs/>
          <w:color w:val="auto"/>
          <w:sz w:val="22"/>
          <w:szCs w:val="22"/>
        </w:rPr>
        <w:t>磋商</w:t>
      </w:r>
      <w:r>
        <w:rPr>
          <w:rFonts w:ascii="Times New Roman" w:hAnsi="Times New Roman" w:eastAsia="宋体" w:cs="Times New Roman"/>
          <w:b/>
          <w:bCs/>
          <w:color w:val="auto"/>
          <w:sz w:val="22"/>
          <w:szCs w:val="22"/>
        </w:rPr>
        <w:t>核心工作内容，</w:t>
      </w:r>
      <w:r>
        <w:rPr>
          <w:rFonts w:hint="eastAsia" w:ascii="Times New Roman" w:hAnsi="Times New Roman" w:eastAsia="宋体" w:cs="Times New Roman"/>
          <w:b/>
          <w:bCs/>
          <w:color w:val="auto"/>
          <w:sz w:val="22"/>
          <w:szCs w:val="22"/>
        </w:rPr>
        <w:t>供应商</w:t>
      </w:r>
      <w:r>
        <w:rPr>
          <w:rFonts w:ascii="Times New Roman" w:hAnsi="Times New Roman" w:eastAsia="宋体" w:cs="Times New Roman"/>
          <w:b/>
          <w:bCs/>
          <w:color w:val="auto"/>
          <w:sz w:val="22"/>
          <w:szCs w:val="22"/>
        </w:rPr>
        <w:t>不得缩减。</w:t>
      </w:r>
    </w:p>
    <w:p w14:paraId="73D79AFA">
      <w:pPr>
        <w:widowControl/>
        <w:spacing w:line="300" w:lineRule="auto"/>
        <w:ind w:firstLine="422" w:firstLineChars="192"/>
        <w:jc w:val="left"/>
        <w:rPr>
          <w:rFonts w:ascii="Times New Roman" w:hAnsi="Times New Roman" w:eastAsia="宋体" w:cs="Times New Roman"/>
          <w:b/>
          <w:color w:val="auto"/>
          <w:sz w:val="22"/>
          <w:szCs w:val="22"/>
        </w:rPr>
      </w:pPr>
      <w:r>
        <w:rPr>
          <w:rFonts w:hint="eastAsia" w:ascii="Times New Roman" w:hAnsi="Times New Roman" w:eastAsia="宋体" w:cs="Times New Roman"/>
          <w:bCs/>
          <w:color w:val="auto"/>
          <w:sz w:val="22"/>
          <w:szCs w:val="22"/>
        </w:rPr>
        <w:t>7.3具体服务内容</w:t>
      </w:r>
    </w:p>
    <w:p w14:paraId="676ACC45">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7.3.1、定期性巡查检修内容</w:t>
      </w:r>
    </w:p>
    <w:p w14:paraId="2A46ECE1">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定期性巡查检修是根据维修路灯经验和实际，各路段范围，结合设施量，光源类别，灯型等多种因素决定，巡查检修周期规定如下：</w:t>
      </w:r>
    </w:p>
    <w:p w14:paraId="2F8A1B9C">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 xml:space="preserve"> （1）主干道路灯每周至少7次；</w:t>
      </w:r>
    </w:p>
    <w:p w14:paraId="7F2EED60">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 xml:space="preserve"> （2）20米以上高杆灯每周至少7次；</w:t>
      </w:r>
    </w:p>
    <w:p w14:paraId="136E57C0">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 xml:space="preserve"> （3）监控的路灯不间断巡查。</w:t>
      </w:r>
    </w:p>
    <w:p w14:paraId="0F423400">
      <w:pPr>
        <w:spacing w:line="300" w:lineRule="auto"/>
        <w:ind w:firstLine="532" w:firstLineChars="24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（4）对有配电间区域，除日常外观巡视外还需每月打开配电间巡视以防止虫害、漏水等造成的线路故障。</w:t>
      </w:r>
    </w:p>
    <w:p w14:paraId="56920324">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定期性巡查检修是在每晚亮灯开始，因四季天黑天亮差别大，具体开关灯时间由维修负责人根据季节的变化而定。</w:t>
      </w:r>
    </w:p>
    <w:p w14:paraId="375817A3">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7.3.2、特殊性巡查检修内容</w:t>
      </w:r>
    </w:p>
    <w:p w14:paraId="6F163A69">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如遇台风等自然性灾害天气，对主干道等重要部位要在符合安全的情况下加大巡查频率，每天原则上不少于2次。</w:t>
      </w:r>
    </w:p>
    <w:p w14:paraId="1AB08196">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7.3.3、路灯及相关附属设施整洁、清洁度内容</w:t>
      </w:r>
    </w:p>
    <w:p w14:paraId="15AF1237">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养护单位应通过定期性巡查，确保路灯及相关附属设施的整洁、清洁度。</w:t>
      </w:r>
    </w:p>
    <w:p w14:paraId="4D72CC26">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7.3.4、路灯亮灯率内容</w:t>
      </w:r>
    </w:p>
    <w:p w14:paraId="7A7AEC01">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养护单位应通过定期性巡查及特殊性巡查检修，确保路灯的亮灯率不低于99%。</w:t>
      </w:r>
    </w:p>
    <w:p w14:paraId="667A55B0">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7.3.5、路灯及相关附属设施完好率内容</w:t>
      </w:r>
    </w:p>
    <w:p w14:paraId="702827E9">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养护单位应通过定期性巡查及特殊性巡查检修，确保路灯及相关附属设施的完好率不低于95%。</w:t>
      </w:r>
    </w:p>
    <w:p w14:paraId="0ABE3231">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7.3.6、路灯修复时间内容</w:t>
      </w:r>
    </w:p>
    <w:p w14:paraId="6C0D0A03">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（1）灯具四件头（灯泡、镇流器、触发器、电容）故障1个工作日修复；</w:t>
      </w:r>
    </w:p>
    <w:p w14:paraId="6CDED3F4">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（2）常规线路路障2个工作日修复；</w:t>
      </w:r>
    </w:p>
    <w:p w14:paraId="79291C44">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（3）遇有线路设施被盗或自然灾害损坏，根据实际情况12小时内修复；</w:t>
      </w:r>
    </w:p>
    <w:p w14:paraId="6C230C3A">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（4）重大节日、政治活动，立即组织修复；</w:t>
      </w:r>
    </w:p>
    <w:p w14:paraId="5D021058">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（5）对危及人身、交通安全的路灯设施，一经发现，立即组织处理，尽快修复。</w:t>
      </w:r>
    </w:p>
    <w:p w14:paraId="44E75A24">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7.3.7、路灯电杆等修复</w:t>
      </w:r>
    </w:p>
    <w:p w14:paraId="3020273F">
      <w:pPr>
        <w:widowControl/>
        <w:spacing w:line="300" w:lineRule="auto"/>
        <w:ind w:firstLine="422" w:firstLineChars="192"/>
        <w:jc w:val="left"/>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（1）外力（人为）破坏</w:t>
      </w:r>
    </w:p>
    <w:p w14:paraId="007D4ACA">
      <w:pPr>
        <w:widowControl/>
        <w:spacing w:line="300" w:lineRule="auto"/>
        <w:ind w:firstLine="422" w:firstLineChars="192"/>
        <w:jc w:val="left"/>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1）不能找到肇事者，供应商自行处理，费用包括在报价中。</w:t>
      </w:r>
    </w:p>
    <w:p w14:paraId="656AE638">
      <w:pPr>
        <w:widowControl/>
        <w:spacing w:line="300" w:lineRule="auto"/>
        <w:ind w:firstLine="422" w:firstLineChars="192"/>
        <w:jc w:val="left"/>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2）能找到肇事者，费用由相应的肇事者赔偿。</w:t>
      </w:r>
    </w:p>
    <w:p w14:paraId="2755E94B">
      <w:pPr>
        <w:widowControl/>
        <w:spacing w:line="300" w:lineRule="auto"/>
        <w:ind w:firstLine="422" w:firstLineChars="192"/>
        <w:jc w:val="left"/>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（2）台风、自然老化、汛期等破坏</w:t>
      </w:r>
    </w:p>
    <w:p w14:paraId="3B7F1183">
      <w:pPr>
        <w:widowControl/>
        <w:spacing w:line="300" w:lineRule="auto"/>
        <w:ind w:firstLine="422" w:firstLineChars="192"/>
        <w:jc w:val="left"/>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供应商自行处理，费用包括在报价中。</w:t>
      </w:r>
    </w:p>
    <w:p w14:paraId="094F5A3F">
      <w:pPr>
        <w:widowControl/>
        <w:spacing w:line="300" w:lineRule="auto"/>
        <w:ind w:firstLine="422" w:firstLineChars="192"/>
        <w:jc w:val="left"/>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7</w:t>
      </w:r>
      <w:r>
        <w:rPr>
          <w:rFonts w:ascii="Times New Roman" w:hAnsi="Times New Roman" w:eastAsia="宋体" w:cs="Times New Roman"/>
          <w:bCs/>
          <w:color w:val="auto"/>
          <w:sz w:val="22"/>
          <w:szCs w:val="22"/>
        </w:rPr>
        <w:t>.3.8</w:t>
      </w:r>
      <w:r>
        <w:rPr>
          <w:rFonts w:hint="eastAsia" w:ascii="Times New Roman" w:hAnsi="Times New Roman" w:eastAsia="宋体" w:cs="Times New Roman"/>
          <w:bCs/>
          <w:color w:val="auto"/>
          <w:sz w:val="22"/>
          <w:szCs w:val="22"/>
        </w:rPr>
        <w:t>、工单处置</w:t>
      </w:r>
    </w:p>
    <w:p w14:paraId="05E08655">
      <w:pPr>
        <w:adjustRightInd w:val="0"/>
        <w:snapToGrid w:val="0"/>
        <w:spacing w:line="300" w:lineRule="auto"/>
        <w:ind w:firstLine="440" w:firstLineChars="200"/>
        <w:jc w:val="left"/>
        <w:rPr>
          <w:rFonts w:hint="eastAsia"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相关部门收到市民报修等工单后向成交供应商派发工单，供应商应在1</w:t>
      </w:r>
      <w:r>
        <w:rPr>
          <w:rFonts w:ascii="Times New Roman" w:hAnsi="Times New Roman" w:eastAsia="宋体" w:cs="Times New Roman"/>
          <w:bCs/>
          <w:color w:val="auto"/>
          <w:sz w:val="22"/>
          <w:szCs w:val="22"/>
        </w:rPr>
        <w:t>5</w:t>
      </w:r>
      <w:r>
        <w:rPr>
          <w:rFonts w:hint="eastAsia" w:ascii="Times New Roman" w:hAnsi="Times New Roman" w:eastAsia="宋体" w:cs="Times New Roman"/>
          <w:bCs/>
          <w:color w:val="auto"/>
          <w:sz w:val="22"/>
          <w:szCs w:val="22"/>
        </w:rPr>
        <w:t>分钟内响应并抵达现场，根据采购人相关要求完成现场亮灯情况记录及修复时间承诺（不低于7</w:t>
      </w:r>
      <w:r>
        <w:rPr>
          <w:rFonts w:ascii="Times New Roman" w:hAnsi="Times New Roman" w:eastAsia="宋体" w:cs="Times New Roman"/>
          <w:bCs/>
          <w:color w:val="auto"/>
          <w:sz w:val="22"/>
          <w:szCs w:val="22"/>
        </w:rPr>
        <w:t>.3.6</w:t>
      </w:r>
      <w:r>
        <w:rPr>
          <w:rFonts w:hint="eastAsia" w:ascii="Times New Roman" w:hAnsi="Times New Roman" w:eastAsia="宋体" w:cs="Times New Roman"/>
          <w:bCs/>
          <w:color w:val="auto"/>
          <w:sz w:val="22"/>
          <w:szCs w:val="22"/>
        </w:rPr>
        <w:t>内要求）。成交供应商需在承诺修复时间内完成相关修复工作。</w:t>
      </w:r>
    </w:p>
    <w:p w14:paraId="689EBF1E">
      <w:pPr>
        <w:adjustRightInd w:val="0"/>
        <w:snapToGrid w:val="0"/>
        <w:spacing w:line="300" w:lineRule="auto"/>
        <w:ind w:firstLine="440" w:firstLineChars="200"/>
        <w:jc w:val="left"/>
        <w:rPr>
          <w:rFonts w:hint="eastAsia" w:ascii="宋体" w:hAnsi="宋体" w:eastAsia="宋体" w:cs="宋体"/>
          <w:color w:val="auto"/>
          <w:sz w:val="22"/>
          <w:szCs w:val="22"/>
        </w:rPr>
      </w:pPr>
      <w:r>
        <w:rPr>
          <w:rFonts w:hint="eastAsia" w:ascii="Times New Roman" w:hAnsi="Times New Roman" w:eastAsia="宋体" w:cs="Times New Roman"/>
          <w:bCs/>
          <w:color w:val="auto"/>
          <w:sz w:val="22"/>
          <w:szCs w:val="22"/>
          <w:lang w:val="en-US" w:eastAsia="zh-CN"/>
        </w:rPr>
        <w:t>7.3.9</w:t>
      </w:r>
      <w:r>
        <w:rPr>
          <w:rFonts w:hint="eastAsia" w:ascii="宋体" w:hAnsi="宋体" w:eastAsia="宋体" w:cs="宋体"/>
          <w:color w:val="auto"/>
          <w:sz w:val="22"/>
          <w:szCs w:val="22"/>
        </w:rPr>
        <w:t>电费（暂定价）</w:t>
      </w:r>
    </w:p>
    <w:p w14:paraId="01D321EB">
      <w:pPr>
        <w:adjustRightInd w:val="0"/>
        <w:snapToGrid w:val="0"/>
        <w:spacing w:line="300" w:lineRule="auto"/>
        <w:ind w:firstLine="440" w:firstLineChars="200"/>
        <w:jc w:val="left"/>
        <w:rPr>
          <w:rFonts w:hint="default" w:ascii="宋体" w:hAnsi="宋体" w:eastAsia="宋体" w:cs="宋体"/>
          <w:color w:val="auto"/>
          <w:sz w:val="22"/>
          <w:szCs w:val="22"/>
          <w:lang w:val="en-US" w:eastAsia="zh-CN"/>
        </w:rPr>
      </w:pPr>
      <w:r>
        <w:rPr>
          <w:rFonts w:hint="default" w:ascii="宋体" w:hAnsi="宋体" w:eastAsia="宋体" w:cs="宋体"/>
          <w:color w:val="auto"/>
          <w:sz w:val="22"/>
          <w:szCs w:val="22"/>
          <w:lang w:val="en-US" w:eastAsia="zh-CN"/>
        </w:rPr>
        <w:t>供应商在响应文件中电费（含增值税）均需统一暂按 420000 元进行报价，并在尾款结算时按实结算（电表为分区域独立设立）</w:t>
      </w:r>
      <w:r>
        <w:rPr>
          <w:rFonts w:hint="eastAsia" w:ascii="宋体" w:hAnsi="宋体" w:eastAsia="宋体" w:cs="宋体"/>
          <w:color w:val="auto"/>
          <w:sz w:val="22"/>
          <w:szCs w:val="22"/>
          <w:lang w:val="en-US" w:eastAsia="zh-CN"/>
        </w:rPr>
        <w:t>，</w:t>
      </w:r>
      <w:r>
        <w:rPr>
          <w:rFonts w:hint="default" w:ascii="宋体" w:hAnsi="宋体" w:eastAsia="宋体" w:cs="宋体"/>
          <w:color w:val="auto"/>
          <w:sz w:val="22"/>
          <w:szCs w:val="22"/>
          <w:lang w:val="en-US" w:eastAsia="zh-CN"/>
        </w:rPr>
        <w:t>未按此要求报价的，按未实质性响应磋商文件处理。</w:t>
      </w:r>
    </w:p>
    <w:p w14:paraId="513A1E3A">
      <w:pPr>
        <w:widowControl w:val="0"/>
        <w:suppressAutoHyphens/>
        <w:spacing w:line="300" w:lineRule="auto"/>
        <w:ind w:firstLine="422" w:firstLineChars="192"/>
        <w:jc w:val="both"/>
        <w:rPr>
          <w:rFonts w:ascii="Times New Roman" w:hAnsi="Times New Roman" w:eastAsia="宋体" w:cs="Times New Roman"/>
          <w:bCs/>
          <w:color w:val="auto"/>
          <w:kern w:val="1"/>
          <w:sz w:val="22"/>
          <w:szCs w:val="20"/>
          <w:lang w:val="en-US" w:eastAsia="zh-CN" w:bidi="ar-SA"/>
        </w:rPr>
      </w:pPr>
      <w:r>
        <w:rPr>
          <w:rFonts w:hint="eastAsia" w:ascii="Times New Roman" w:hAnsi="Times New Roman" w:eastAsia="宋体" w:cs="Times New Roman"/>
          <w:bCs/>
          <w:color w:val="auto"/>
          <w:kern w:val="1"/>
          <w:sz w:val="22"/>
          <w:szCs w:val="20"/>
          <w:lang w:val="en-US" w:eastAsia="zh-CN" w:bidi="ar-SA"/>
        </w:rPr>
        <w:t>7</w:t>
      </w:r>
      <w:r>
        <w:rPr>
          <w:rFonts w:ascii="Times New Roman" w:hAnsi="Times New Roman" w:eastAsia="宋体" w:cs="Times New Roman"/>
          <w:bCs/>
          <w:color w:val="auto"/>
          <w:kern w:val="1"/>
          <w:sz w:val="22"/>
          <w:szCs w:val="20"/>
          <w:lang w:val="en-US" w:eastAsia="zh-CN" w:bidi="ar-SA"/>
        </w:rPr>
        <w:t>.</w:t>
      </w:r>
      <w:r>
        <w:rPr>
          <w:rFonts w:hint="eastAsia" w:ascii="Times New Roman" w:hAnsi="Times New Roman" w:eastAsia="宋体" w:cs="Times New Roman"/>
          <w:bCs/>
          <w:color w:val="auto"/>
          <w:kern w:val="1"/>
          <w:sz w:val="22"/>
          <w:szCs w:val="20"/>
          <w:lang w:val="en-US" w:eastAsia="zh-CN" w:bidi="ar-SA"/>
        </w:rPr>
        <w:t>4人员及设备要求</w:t>
      </w:r>
    </w:p>
    <w:p w14:paraId="160E3566">
      <w:pPr>
        <w:widowControl w:val="0"/>
        <w:suppressAutoHyphens/>
        <w:spacing w:line="300" w:lineRule="auto"/>
        <w:ind w:firstLine="422" w:firstLineChars="192"/>
        <w:jc w:val="both"/>
        <w:rPr>
          <w:rFonts w:ascii="Times New Roman" w:hAnsi="Times New Roman" w:eastAsia="宋体" w:cs="Times New Roman"/>
          <w:color w:val="auto"/>
          <w:kern w:val="1"/>
          <w:sz w:val="22"/>
          <w:szCs w:val="20"/>
          <w:lang w:val="en-US" w:eastAsia="zh-CN" w:bidi="ar-SA"/>
        </w:rPr>
      </w:pPr>
      <w:r>
        <w:rPr>
          <w:rFonts w:hint="eastAsia" w:ascii="Times New Roman" w:hAnsi="Times New Roman" w:eastAsia="宋体" w:cs="Times New Roman"/>
          <w:color w:val="auto"/>
          <w:kern w:val="1"/>
          <w:sz w:val="22"/>
          <w:szCs w:val="20"/>
          <w:lang w:val="en-US" w:eastAsia="zh-CN" w:bidi="ar-SA"/>
        </w:rPr>
        <w:t>7</w:t>
      </w:r>
      <w:r>
        <w:rPr>
          <w:rFonts w:ascii="Times New Roman" w:hAnsi="Times New Roman" w:eastAsia="宋体" w:cs="Times New Roman"/>
          <w:color w:val="auto"/>
          <w:kern w:val="1"/>
          <w:sz w:val="22"/>
          <w:szCs w:val="20"/>
          <w:lang w:val="en-US" w:eastAsia="zh-CN" w:bidi="ar-SA"/>
        </w:rPr>
        <w:t>.</w:t>
      </w:r>
      <w:r>
        <w:rPr>
          <w:rFonts w:hint="eastAsia" w:ascii="Times New Roman" w:hAnsi="Times New Roman" w:eastAsia="宋体" w:cs="Times New Roman"/>
          <w:color w:val="auto"/>
          <w:kern w:val="1"/>
          <w:sz w:val="22"/>
          <w:szCs w:val="20"/>
          <w:lang w:val="en-US" w:eastAsia="zh-CN" w:bidi="ar-SA"/>
        </w:rPr>
        <w:t>4</w:t>
      </w:r>
      <w:r>
        <w:rPr>
          <w:rFonts w:ascii="Times New Roman" w:hAnsi="Times New Roman" w:eastAsia="宋体" w:cs="Times New Roman"/>
          <w:color w:val="auto"/>
          <w:kern w:val="1"/>
          <w:sz w:val="22"/>
          <w:szCs w:val="20"/>
          <w:lang w:val="en-US" w:eastAsia="zh-CN" w:bidi="ar-SA"/>
        </w:rPr>
        <w:t>.1本项目中人员岗位要求（但不仅限于）详见下表。</w:t>
      </w:r>
    </w:p>
    <w:p w14:paraId="3F8848CA">
      <w:pPr>
        <w:snapToGrid w:val="0"/>
        <w:spacing w:line="300" w:lineRule="auto"/>
        <w:jc w:val="center"/>
        <w:rPr>
          <w:rFonts w:ascii="Times New Roman" w:hAnsi="Times New Roman" w:eastAsia="宋体" w:cs="Times New Roman"/>
          <w:b/>
          <w:bCs/>
          <w:color w:val="auto"/>
          <w:kern w:val="0"/>
          <w:sz w:val="22"/>
          <w:szCs w:val="22"/>
        </w:rPr>
      </w:pPr>
      <w:r>
        <w:rPr>
          <w:rFonts w:hint="eastAsia" w:ascii="Times New Roman" w:hAnsi="Times New Roman" w:eastAsia="宋体" w:cs="Times New Roman"/>
          <w:b/>
          <w:bCs/>
          <w:color w:val="auto"/>
          <w:kern w:val="0"/>
          <w:sz w:val="22"/>
          <w:szCs w:val="22"/>
        </w:rPr>
        <w:t>项目</w:t>
      </w:r>
      <w:r>
        <w:rPr>
          <w:rFonts w:ascii="Times New Roman" w:hAnsi="Times New Roman" w:eastAsia="宋体" w:cs="Times New Roman"/>
          <w:b/>
          <w:bCs/>
          <w:color w:val="auto"/>
          <w:kern w:val="0"/>
          <w:sz w:val="22"/>
          <w:szCs w:val="22"/>
        </w:rPr>
        <w:t>人员配置表</w:t>
      </w:r>
    </w:p>
    <w:tbl>
      <w:tblPr>
        <w:tblStyle w:val="2"/>
        <w:tblW w:w="51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136"/>
        <w:gridCol w:w="1374"/>
        <w:gridCol w:w="2686"/>
        <w:gridCol w:w="672"/>
        <w:gridCol w:w="2027"/>
      </w:tblGrid>
      <w:tr w14:paraId="65A3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7" w:type="pct"/>
            <w:vAlign w:val="center"/>
          </w:tcPr>
          <w:p w14:paraId="7B201034">
            <w:pPr>
              <w:snapToGrid w:val="0"/>
              <w:spacing w:line="300" w:lineRule="auto"/>
              <w:jc w:val="center"/>
              <w:rPr>
                <w:rFonts w:ascii="Times New Roman" w:hAnsi="Times New Roman" w:eastAsia="宋体" w:cs="Times New Roman"/>
                <w:b/>
                <w:bCs/>
                <w:color w:val="auto"/>
                <w:sz w:val="22"/>
                <w:szCs w:val="22"/>
              </w:rPr>
            </w:pPr>
            <w:bookmarkStart w:id="22" w:name="OLE_LINK3"/>
            <w:r>
              <w:rPr>
                <w:rFonts w:hint="eastAsia" w:ascii="Times New Roman" w:hAnsi="Times New Roman" w:eastAsia="宋体" w:cs="Times New Roman"/>
                <w:b/>
                <w:bCs/>
                <w:color w:val="auto"/>
                <w:sz w:val="22"/>
                <w:szCs w:val="22"/>
              </w:rPr>
              <w:t>序号</w:t>
            </w:r>
          </w:p>
        </w:tc>
        <w:tc>
          <w:tcPr>
            <w:tcW w:w="651" w:type="pct"/>
            <w:vAlign w:val="center"/>
          </w:tcPr>
          <w:p w14:paraId="5DD2A9CD">
            <w:pPr>
              <w:snapToGrid w:val="0"/>
              <w:spacing w:line="300" w:lineRule="auto"/>
              <w:jc w:val="center"/>
              <w:rPr>
                <w:rFonts w:ascii="Times New Roman" w:hAnsi="Times New Roman" w:eastAsia="宋体" w:cs="Times New Roman"/>
                <w:b/>
                <w:bCs/>
                <w:color w:val="auto"/>
                <w:sz w:val="22"/>
                <w:szCs w:val="22"/>
              </w:rPr>
            </w:pPr>
            <w:r>
              <w:rPr>
                <w:rFonts w:ascii="Times New Roman" w:hAnsi="Times New Roman" w:eastAsia="宋体" w:cs="Times New Roman"/>
                <w:b/>
                <w:bCs/>
                <w:color w:val="auto"/>
                <w:sz w:val="22"/>
                <w:szCs w:val="22"/>
              </w:rPr>
              <w:t>岗位</w:t>
            </w:r>
            <w:r>
              <w:rPr>
                <w:rFonts w:hint="eastAsia" w:ascii="Times New Roman" w:hAnsi="Times New Roman" w:eastAsia="宋体" w:cs="Times New Roman"/>
                <w:b/>
                <w:bCs/>
                <w:color w:val="auto"/>
                <w:sz w:val="22"/>
                <w:szCs w:val="22"/>
              </w:rPr>
              <w:t>类别</w:t>
            </w:r>
          </w:p>
        </w:tc>
        <w:tc>
          <w:tcPr>
            <w:tcW w:w="787" w:type="pct"/>
            <w:vAlign w:val="center"/>
          </w:tcPr>
          <w:p w14:paraId="1A56F0E3">
            <w:pPr>
              <w:snapToGrid w:val="0"/>
              <w:spacing w:line="300" w:lineRule="auto"/>
              <w:jc w:val="center"/>
              <w:rPr>
                <w:rFonts w:ascii="Times New Roman" w:hAnsi="Times New Roman" w:eastAsia="宋体" w:cs="Times New Roman"/>
                <w:b/>
                <w:bCs/>
                <w:color w:val="auto"/>
                <w:sz w:val="22"/>
                <w:szCs w:val="22"/>
              </w:rPr>
            </w:pPr>
            <w:r>
              <w:rPr>
                <w:rFonts w:hint="eastAsia" w:ascii="Times New Roman" w:hAnsi="Times New Roman" w:eastAsia="宋体" w:cs="Times New Roman"/>
                <w:b/>
                <w:bCs/>
                <w:color w:val="auto"/>
                <w:sz w:val="22"/>
                <w:szCs w:val="22"/>
              </w:rPr>
              <w:t>岗位名称</w:t>
            </w:r>
          </w:p>
        </w:tc>
        <w:tc>
          <w:tcPr>
            <w:tcW w:w="1538" w:type="pct"/>
            <w:vAlign w:val="center"/>
          </w:tcPr>
          <w:p w14:paraId="4C5506C2">
            <w:pPr>
              <w:snapToGrid w:val="0"/>
              <w:spacing w:line="300" w:lineRule="auto"/>
              <w:jc w:val="center"/>
              <w:rPr>
                <w:rFonts w:ascii="Times New Roman" w:hAnsi="Times New Roman" w:eastAsia="宋体" w:cs="Times New Roman"/>
                <w:b/>
                <w:bCs/>
                <w:color w:val="auto"/>
                <w:sz w:val="22"/>
                <w:szCs w:val="22"/>
              </w:rPr>
            </w:pPr>
            <w:r>
              <w:rPr>
                <w:rFonts w:hint="eastAsia" w:ascii="Times New Roman" w:hAnsi="Times New Roman" w:eastAsia="宋体" w:cs="Times New Roman"/>
                <w:b/>
                <w:bCs/>
                <w:color w:val="auto"/>
                <w:sz w:val="22"/>
                <w:szCs w:val="22"/>
                <w:lang w:eastAsia="zh-CN"/>
              </w:rPr>
              <w:t>服务</w:t>
            </w:r>
            <w:r>
              <w:rPr>
                <w:rFonts w:hint="eastAsia" w:ascii="Times New Roman" w:hAnsi="Times New Roman" w:eastAsia="宋体" w:cs="Times New Roman"/>
                <w:b/>
                <w:bCs/>
                <w:color w:val="auto"/>
                <w:sz w:val="22"/>
                <w:szCs w:val="22"/>
              </w:rPr>
              <w:t>要求</w:t>
            </w:r>
          </w:p>
        </w:tc>
        <w:tc>
          <w:tcPr>
            <w:tcW w:w="385" w:type="pct"/>
            <w:vAlign w:val="center"/>
          </w:tcPr>
          <w:p w14:paraId="3AFD5D1E">
            <w:pPr>
              <w:adjustRightInd w:val="0"/>
              <w:snapToGrid w:val="0"/>
              <w:spacing w:line="300" w:lineRule="auto"/>
              <w:jc w:val="center"/>
              <w:rPr>
                <w:rFonts w:ascii="Times New Roman" w:hAnsi="Times New Roman" w:eastAsia="宋体" w:cs="Times New Roman"/>
                <w:b/>
                <w:bCs/>
                <w:color w:val="auto"/>
                <w:sz w:val="22"/>
                <w:szCs w:val="22"/>
              </w:rPr>
            </w:pPr>
            <w:r>
              <w:rPr>
                <w:rFonts w:hint="eastAsia" w:ascii="Times New Roman" w:hAnsi="Times New Roman" w:eastAsia="宋体" w:cs="Times New Roman"/>
                <w:b/>
                <w:bCs/>
                <w:color w:val="auto"/>
                <w:sz w:val="22"/>
                <w:szCs w:val="22"/>
              </w:rPr>
              <w:t>数量</w:t>
            </w:r>
          </w:p>
        </w:tc>
        <w:tc>
          <w:tcPr>
            <w:tcW w:w="1160" w:type="pct"/>
            <w:vAlign w:val="center"/>
          </w:tcPr>
          <w:p w14:paraId="7A652FFD">
            <w:pPr>
              <w:snapToGrid w:val="0"/>
              <w:spacing w:line="300" w:lineRule="auto"/>
              <w:jc w:val="center"/>
              <w:rPr>
                <w:rFonts w:hint="eastAsia" w:ascii="Times New Roman" w:hAnsi="Times New Roman" w:eastAsia="宋体" w:cs="Times New Roman"/>
                <w:b/>
                <w:bCs/>
                <w:color w:val="auto"/>
                <w:sz w:val="22"/>
                <w:szCs w:val="22"/>
                <w:lang w:eastAsia="zh-CN"/>
              </w:rPr>
            </w:pPr>
            <w:r>
              <w:rPr>
                <w:rFonts w:hint="eastAsia" w:ascii="Times New Roman" w:hAnsi="Times New Roman" w:eastAsia="宋体" w:cs="Times New Roman"/>
                <w:b/>
                <w:bCs/>
                <w:color w:val="auto"/>
                <w:sz w:val="22"/>
                <w:szCs w:val="22"/>
                <w:lang w:eastAsia="zh-CN"/>
              </w:rPr>
              <w:t>备注</w:t>
            </w:r>
          </w:p>
        </w:tc>
      </w:tr>
      <w:tr w14:paraId="4390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7" w:type="pct"/>
            <w:vAlign w:val="center"/>
          </w:tcPr>
          <w:p w14:paraId="524C1040">
            <w:pPr>
              <w:snapToGrid w:val="0"/>
              <w:spacing w:line="300" w:lineRule="auto"/>
              <w:jc w:val="center"/>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1</w:t>
            </w:r>
          </w:p>
        </w:tc>
        <w:tc>
          <w:tcPr>
            <w:tcW w:w="651" w:type="pct"/>
            <w:vAlign w:val="center"/>
          </w:tcPr>
          <w:p w14:paraId="31CBD231">
            <w:pPr>
              <w:snapToGrid w:val="0"/>
              <w:spacing w:line="300" w:lineRule="auto"/>
              <w:jc w:val="center"/>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项目经理</w:t>
            </w:r>
          </w:p>
        </w:tc>
        <w:tc>
          <w:tcPr>
            <w:tcW w:w="787" w:type="pct"/>
            <w:vAlign w:val="center"/>
          </w:tcPr>
          <w:p w14:paraId="19A2B2AA">
            <w:pPr>
              <w:snapToGrid w:val="0"/>
              <w:spacing w:line="300" w:lineRule="auto"/>
              <w:jc w:val="center"/>
              <w:rPr>
                <w:rFonts w:ascii="宋体" w:hAnsi="宋体" w:eastAsia="宋体" w:cs="Times New Roman"/>
                <w:bCs/>
                <w:color w:val="auto"/>
                <w:sz w:val="22"/>
                <w:szCs w:val="22"/>
              </w:rPr>
            </w:pPr>
          </w:p>
        </w:tc>
        <w:tc>
          <w:tcPr>
            <w:tcW w:w="1538" w:type="pct"/>
            <w:vAlign w:val="center"/>
          </w:tcPr>
          <w:p w14:paraId="56F6F2F3">
            <w:pPr>
              <w:snapToGrid w:val="0"/>
              <w:spacing w:line="240" w:lineRule="auto"/>
              <w:jc w:val="center"/>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具有同类项目的专业工作经验</w:t>
            </w:r>
          </w:p>
        </w:tc>
        <w:tc>
          <w:tcPr>
            <w:tcW w:w="385" w:type="pct"/>
            <w:vAlign w:val="center"/>
          </w:tcPr>
          <w:p w14:paraId="0889B5BF">
            <w:pPr>
              <w:snapToGrid w:val="0"/>
              <w:spacing w:line="300" w:lineRule="auto"/>
              <w:jc w:val="center"/>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1</w:t>
            </w:r>
          </w:p>
        </w:tc>
        <w:tc>
          <w:tcPr>
            <w:tcW w:w="1160" w:type="pct"/>
            <w:vAlign w:val="center"/>
          </w:tcPr>
          <w:p w14:paraId="70005A02">
            <w:pPr>
              <w:adjustRightInd w:val="0"/>
              <w:snapToGrid w:val="0"/>
              <w:spacing w:line="300" w:lineRule="auto"/>
              <w:jc w:val="center"/>
              <w:rPr>
                <w:rFonts w:ascii="Times New Roman" w:hAnsi="Times New Roman" w:eastAsia="宋体" w:cs="Times New Roman"/>
                <w:bCs/>
                <w:color w:val="auto"/>
                <w:sz w:val="22"/>
                <w:szCs w:val="22"/>
              </w:rPr>
            </w:pPr>
          </w:p>
        </w:tc>
      </w:tr>
      <w:tr w14:paraId="0BB9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7" w:type="pct"/>
            <w:vAlign w:val="center"/>
          </w:tcPr>
          <w:p w14:paraId="4A3BC3FF">
            <w:pPr>
              <w:snapToGrid w:val="0"/>
              <w:spacing w:line="300" w:lineRule="auto"/>
              <w:jc w:val="center"/>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2</w:t>
            </w:r>
          </w:p>
        </w:tc>
        <w:tc>
          <w:tcPr>
            <w:tcW w:w="651" w:type="pct"/>
            <w:vAlign w:val="center"/>
          </w:tcPr>
          <w:p w14:paraId="22513B11">
            <w:pPr>
              <w:snapToGrid w:val="0"/>
              <w:spacing w:line="300" w:lineRule="auto"/>
              <w:jc w:val="center"/>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技术作业工人</w:t>
            </w:r>
          </w:p>
        </w:tc>
        <w:tc>
          <w:tcPr>
            <w:tcW w:w="787" w:type="pct"/>
            <w:vAlign w:val="center"/>
          </w:tcPr>
          <w:p w14:paraId="1047115D">
            <w:pPr>
              <w:snapToGrid w:val="0"/>
              <w:spacing w:line="300" w:lineRule="auto"/>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技术工人</w:t>
            </w:r>
          </w:p>
        </w:tc>
        <w:tc>
          <w:tcPr>
            <w:tcW w:w="1538" w:type="pct"/>
            <w:vAlign w:val="center"/>
          </w:tcPr>
          <w:p w14:paraId="1B437F88">
            <w:pPr>
              <w:snapToGrid w:val="0"/>
              <w:spacing w:line="240" w:lineRule="auto"/>
              <w:jc w:val="center"/>
              <w:rPr>
                <w:rFonts w:hint="eastAsia" w:ascii="Times New Roman" w:hAnsi="Times New Roman" w:eastAsia="宋体" w:cs="Times New Roman"/>
                <w:bCs/>
                <w:color w:val="auto"/>
                <w:sz w:val="22"/>
                <w:szCs w:val="22"/>
                <w:lang w:eastAsia="zh-CN"/>
              </w:rPr>
            </w:pPr>
            <w:r>
              <w:rPr>
                <w:rFonts w:hint="eastAsia" w:ascii="Times New Roman" w:hAnsi="Times New Roman" w:eastAsia="宋体" w:cs="Times New Roman"/>
                <w:bCs/>
                <w:color w:val="auto"/>
                <w:sz w:val="22"/>
                <w:szCs w:val="22"/>
              </w:rPr>
              <w:t>特种作业人员操作证 （低压电工作业</w:t>
            </w:r>
            <w:r>
              <w:rPr>
                <w:rFonts w:hint="eastAsia" w:ascii="Times New Roman" w:hAnsi="Times New Roman" w:eastAsia="宋体" w:cs="Times New Roman"/>
                <w:bCs/>
                <w:color w:val="auto"/>
                <w:sz w:val="22"/>
                <w:szCs w:val="22"/>
                <w:lang w:eastAsia="zh-CN"/>
              </w:rPr>
              <w:t>、高处作业证</w:t>
            </w:r>
            <w:r>
              <w:rPr>
                <w:rFonts w:hint="eastAsia" w:ascii="Times New Roman" w:hAnsi="Times New Roman" w:eastAsia="宋体" w:cs="Times New Roman"/>
                <w:bCs/>
                <w:color w:val="auto"/>
                <w:sz w:val="22"/>
                <w:szCs w:val="22"/>
              </w:rPr>
              <w:t>）</w:t>
            </w:r>
          </w:p>
        </w:tc>
        <w:tc>
          <w:tcPr>
            <w:tcW w:w="385" w:type="pct"/>
            <w:vAlign w:val="center"/>
          </w:tcPr>
          <w:p w14:paraId="6AB75735">
            <w:pPr>
              <w:snapToGrid w:val="0"/>
              <w:spacing w:line="300" w:lineRule="auto"/>
              <w:jc w:val="center"/>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2</w:t>
            </w:r>
          </w:p>
        </w:tc>
        <w:tc>
          <w:tcPr>
            <w:tcW w:w="1160" w:type="pct"/>
            <w:vAlign w:val="center"/>
          </w:tcPr>
          <w:p w14:paraId="04D36C94">
            <w:pPr>
              <w:snapToGrid w:val="0"/>
              <w:spacing w:line="300" w:lineRule="auto"/>
              <w:jc w:val="center"/>
              <w:rPr>
                <w:rFonts w:hint="eastAsia" w:ascii="Times New Roman" w:hAnsi="Times New Roman" w:eastAsia="宋体" w:cs="Times New Roman"/>
                <w:bCs/>
                <w:color w:val="auto"/>
                <w:sz w:val="22"/>
                <w:szCs w:val="22"/>
                <w:lang w:eastAsia="zh-CN"/>
              </w:rPr>
            </w:pPr>
            <w:r>
              <w:rPr>
                <w:rFonts w:hint="eastAsia" w:ascii="Times New Roman" w:hAnsi="Times New Roman" w:eastAsia="宋体" w:cs="Times New Roman"/>
                <w:bCs/>
                <w:color w:val="auto"/>
                <w:sz w:val="22"/>
                <w:szCs w:val="22"/>
                <w:lang w:eastAsia="zh-CN"/>
              </w:rPr>
              <w:t>双证持有至少一人</w:t>
            </w:r>
          </w:p>
        </w:tc>
      </w:tr>
      <w:tr w14:paraId="4DFF3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7" w:type="pct"/>
            <w:vAlign w:val="center"/>
          </w:tcPr>
          <w:p w14:paraId="0FCAD3D1">
            <w:pPr>
              <w:snapToGrid w:val="0"/>
              <w:spacing w:line="300" w:lineRule="auto"/>
              <w:jc w:val="center"/>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3</w:t>
            </w:r>
          </w:p>
        </w:tc>
        <w:tc>
          <w:tcPr>
            <w:tcW w:w="651" w:type="pct"/>
            <w:vAlign w:val="center"/>
          </w:tcPr>
          <w:p w14:paraId="002C832B">
            <w:pPr>
              <w:snapToGrid w:val="0"/>
              <w:spacing w:line="300" w:lineRule="auto"/>
              <w:jc w:val="center"/>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一线劳动力</w:t>
            </w:r>
            <w:r>
              <w:rPr>
                <w:rFonts w:ascii="Times New Roman" w:hAnsi="Times New Roman" w:eastAsia="宋体" w:cs="Times New Roman"/>
                <w:bCs/>
                <w:color w:val="auto"/>
                <w:sz w:val="22"/>
                <w:szCs w:val="22"/>
              </w:rPr>
              <w:t xml:space="preserve"> </w:t>
            </w:r>
          </w:p>
        </w:tc>
        <w:tc>
          <w:tcPr>
            <w:tcW w:w="787" w:type="pct"/>
            <w:vAlign w:val="center"/>
          </w:tcPr>
          <w:p w14:paraId="51B4959D">
            <w:pPr>
              <w:snapToGrid w:val="0"/>
              <w:spacing w:line="300" w:lineRule="auto"/>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市政照明综合养护人</w:t>
            </w:r>
          </w:p>
        </w:tc>
        <w:tc>
          <w:tcPr>
            <w:tcW w:w="1538" w:type="pct"/>
            <w:vAlign w:val="center"/>
          </w:tcPr>
          <w:p w14:paraId="30A86B1A">
            <w:pPr>
              <w:snapToGrid w:val="0"/>
              <w:spacing w:line="300" w:lineRule="auto"/>
              <w:jc w:val="center"/>
              <w:rPr>
                <w:rFonts w:ascii="Times New Roman" w:hAnsi="Times New Roman" w:eastAsia="宋体" w:cs="Times New Roman"/>
                <w:bCs/>
                <w:color w:val="auto"/>
                <w:sz w:val="22"/>
                <w:szCs w:val="22"/>
              </w:rPr>
            </w:pPr>
          </w:p>
        </w:tc>
        <w:tc>
          <w:tcPr>
            <w:tcW w:w="385" w:type="pct"/>
            <w:vAlign w:val="center"/>
          </w:tcPr>
          <w:p w14:paraId="5A02CE03">
            <w:pPr>
              <w:snapToGrid w:val="0"/>
              <w:spacing w:line="300" w:lineRule="auto"/>
              <w:jc w:val="center"/>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3</w:t>
            </w:r>
          </w:p>
        </w:tc>
        <w:tc>
          <w:tcPr>
            <w:tcW w:w="1160" w:type="pct"/>
            <w:vAlign w:val="center"/>
          </w:tcPr>
          <w:p w14:paraId="3D49B1A4">
            <w:pPr>
              <w:snapToGrid w:val="0"/>
              <w:spacing w:line="300" w:lineRule="auto"/>
              <w:jc w:val="center"/>
              <w:rPr>
                <w:rFonts w:ascii="Times New Roman" w:hAnsi="Times New Roman" w:eastAsia="宋体" w:cs="Times New Roman"/>
                <w:bCs/>
                <w:color w:val="auto"/>
                <w:sz w:val="22"/>
                <w:szCs w:val="22"/>
              </w:rPr>
            </w:pPr>
          </w:p>
        </w:tc>
      </w:tr>
      <w:tr w14:paraId="627E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3454" w:type="pct"/>
            <w:gridSpan w:val="4"/>
            <w:vAlign w:val="center"/>
          </w:tcPr>
          <w:p w14:paraId="13A495EB">
            <w:pPr>
              <w:snapToGrid w:val="0"/>
              <w:spacing w:line="300" w:lineRule="auto"/>
              <w:jc w:val="center"/>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合    计</w:t>
            </w:r>
          </w:p>
        </w:tc>
        <w:tc>
          <w:tcPr>
            <w:tcW w:w="385" w:type="pct"/>
            <w:vAlign w:val="center"/>
          </w:tcPr>
          <w:p w14:paraId="70D0DA07">
            <w:pPr>
              <w:snapToGrid w:val="0"/>
              <w:spacing w:line="300" w:lineRule="auto"/>
              <w:jc w:val="center"/>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6</w:t>
            </w:r>
          </w:p>
        </w:tc>
        <w:tc>
          <w:tcPr>
            <w:tcW w:w="1160" w:type="pct"/>
            <w:vAlign w:val="center"/>
          </w:tcPr>
          <w:p w14:paraId="6F6CFFAB">
            <w:pPr>
              <w:snapToGrid w:val="0"/>
              <w:spacing w:line="300" w:lineRule="auto"/>
              <w:jc w:val="center"/>
              <w:rPr>
                <w:rFonts w:ascii="Times New Roman" w:hAnsi="Times New Roman" w:eastAsia="宋体" w:cs="Times New Roman"/>
                <w:bCs/>
                <w:color w:val="auto"/>
                <w:sz w:val="22"/>
                <w:szCs w:val="22"/>
              </w:rPr>
            </w:pPr>
          </w:p>
        </w:tc>
      </w:tr>
      <w:tr w14:paraId="33E7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000" w:type="pct"/>
            <w:gridSpan w:val="6"/>
            <w:vAlign w:val="center"/>
          </w:tcPr>
          <w:p w14:paraId="0585690D">
            <w:pPr>
              <w:snapToGrid w:val="0"/>
              <w:spacing w:line="300" w:lineRule="auto"/>
              <w:jc w:val="left"/>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备注：（1）表中项目经理、技术作业工人提供在职证明材料（格式自拟）；</w:t>
            </w:r>
          </w:p>
          <w:p w14:paraId="3C5B51C3">
            <w:pPr>
              <w:snapToGrid w:val="0"/>
              <w:spacing w:line="300" w:lineRule="auto"/>
              <w:ind w:firstLine="660" w:firstLineChars="300"/>
              <w:jc w:val="left"/>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（2）表中人员技术等级证书或资格证书，高等级可用于低等级，但不能重复使用。</w:t>
            </w:r>
          </w:p>
          <w:p w14:paraId="4EB4E0B4">
            <w:pPr>
              <w:snapToGrid w:val="0"/>
              <w:spacing w:line="300" w:lineRule="auto"/>
              <w:ind w:firstLine="660" w:firstLineChars="300"/>
              <w:jc w:val="left"/>
              <w:rPr>
                <w:rFonts w:ascii="Times New Roman" w:hAnsi="Times New Roman" w:eastAsia="宋体" w:cs="Times New Roman"/>
                <w:bCs/>
                <w:color w:val="auto"/>
                <w:sz w:val="22"/>
                <w:szCs w:val="22"/>
              </w:rPr>
            </w:pPr>
            <w:r>
              <w:rPr>
                <w:rFonts w:hint="eastAsia" w:ascii="Times New Roman" w:hAnsi="Times New Roman" w:eastAsia="宋体" w:cs="Times New Roman"/>
                <w:bCs/>
                <w:color w:val="auto"/>
                <w:sz w:val="22"/>
                <w:szCs w:val="22"/>
              </w:rPr>
              <w:t>（3）凡涉及特种作业工作的，无论上表是否列明，其操作人员均必须持证上岗。</w:t>
            </w:r>
          </w:p>
        </w:tc>
      </w:tr>
      <w:bookmarkEnd w:id="22"/>
    </w:tbl>
    <w:p w14:paraId="45F9D43A">
      <w:pPr>
        <w:widowControl/>
        <w:spacing w:line="300" w:lineRule="auto"/>
        <w:ind w:firstLine="424" w:firstLineChars="193"/>
        <w:jc w:val="left"/>
        <w:rPr>
          <w:rFonts w:ascii="Times New Roman" w:hAnsi="Times New Roman" w:eastAsia="宋体" w:cs="Times New Roman"/>
          <w:bCs/>
          <w:color w:val="auto"/>
          <w:sz w:val="22"/>
          <w:szCs w:val="22"/>
        </w:rPr>
      </w:pPr>
      <w:r>
        <w:rPr>
          <w:rFonts w:hint="eastAsia" w:ascii="Times New Roman" w:hAnsi="Times New Roman" w:eastAsia="宋体" w:cs="Times New Roman"/>
          <w:color w:val="auto"/>
          <w:sz w:val="22"/>
          <w:szCs w:val="22"/>
        </w:rPr>
        <w:t>7.4.2</w:t>
      </w:r>
      <w:r>
        <w:rPr>
          <w:rFonts w:ascii="Times New Roman" w:hAnsi="Times New Roman" w:eastAsia="宋体" w:cs="Times New Roman"/>
          <w:bCs/>
          <w:color w:val="auto"/>
          <w:sz w:val="22"/>
          <w:szCs w:val="22"/>
        </w:rPr>
        <w:t>本项目中设备材料要求</w:t>
      </w:r>
    </w:p>
    <w:p w14:paraId="3BCC26F2">
      <w:pPr>
        <w:snapToGrid w:val="0"/>
        <w:spacing w:line="300" w:lineRule="auto"/>
        <w:ind w:firstLine="440" w:firstLineChars="200"/>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（1）</w:t>
      </w:r>
      <w:r>
        <w:rPr>
          <w:rFonts w:ascii="Times New Roman" w:hAnsi="Times New Roman" w:eastAsia="宋体" w:cs="Times New Roman"/>
          <w:color w:val="auto"/>
          <w:sz w:val="22"/>
          <w:szCs w:val="22"/>
        </w:rPr>
        <w:t>本项目所有材料、设备由成交供应商自行解决，相关费用包含在磋商报价中，本养护维修项目所用材料、制品、设备均需符合相关的养护（运行）技术规程、规范要求。</w:t>
      </w:r>
    </w:p>
    <w:p w14:paraId="67F8C04A">
      <w:pPr>
        <w:snapToGrid w:val="0"/>
        <w:spacing w:line="300" w:lineRule="auto"/>
        <w:ind w:firstLine="440" w:firstLineChars="200"/>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（2）</w:t>
      </w:r>
      <w:r>
        <w:rPr>
          <w:rFonts w:ascii="Times New Roman" w:hAnsi="Times New Roman" w:eastAsia="宋体" w:cs="Times New Roman"/>
          <w:color w:val="auto"/>
          <w:sz w:val="22"/>
          <w:szCs w:val="22"/>
        </w:rPr>
        <w:t>本项目所用的材料、制品、设备等，供货单位送达施工现场后，由成交供应商负责办理验收</w:t>
      </w:r>
      <w:r>
        <w:rPr>
          <w:rFonts w:hint="eastAsia" w:ascii="Times New Roman" w:hAnsi="Times New Roman" w:eastAsia="宋体" w:cs="Times New Roman"/>
          <w:color w:val="auto"/>
          <w:sz w:val="22"/>
          <w:szCs w:val="22"/>
        </w:rPr>
        <w:t>交接</w:t>
      </w:r>
      <w:r>
        <w:rPr>
          <w:rFonts w:ascii="Times New Roman" w:hAnsi="Times New Roman" w:eastAsia="宋体" w:cs="Times New Roman"/>
          <w:color w:val="auto"/>
          <w:sz w:val="22"/>
          <w:szCs w:val="22"/>
        </w:rPr>
        <w:t>手续，并负责日常保管工作。</w:t>
      </w:r>
    </w:p>
    <w:p w14:paraId="111290EA">
      <w:pPr>
        <w:snapToGrid w:val="0"/>
        <w:spacing w:line="300" w:lineRule="auto"/>
        <w:ind w:firstLine="440" w:firstLineChars="200"/>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（3）</w:t>
      </w:r>
      <w:r>
        <w:rPr>
          <w:rFonts w:ascii="Times New Roman" w:hAnsi="Times New Roman" w:eastAsia="宋体" w:cs="Times New Roman"/>
          <w:color w:val="auto"/>
          <w:sz w:val="22"/>
          <w:szCs w:val="22"/>
        </w:rPr>
        <w:t>供应商在磋商时应同时提供涉及本项目养护、运行和维修施工的主要设备与材料的规格、型号、品种及价格情况。</w:t>
      </w:r>
    </w:p>
    <w:p w14:paraId="32CFA705">
      <w:pPr>
        <w:snapToGrid w:val="0"/>
        <w:spacing w:line="300" w:lineRule="auto"/>
        <w:ind w:firstLine="440" w:firstLineChars="200"/>
        <w:rPr>
          <w:rFonts w:ascii="Times New Roman" w:hAnsi="Times New Roman" w:eastAsia="宋体" w:cs="Times New Roman"/>
          <w:b/>
          <w:color w:val="auto"/>
          <w:sz w:val="22"/>
          <w:szCs w:val="22"/>
          <w:u w:val="wavyHeavy"/>
        </w:rPr>
      </w:pPr>
      <w:r>
        <w:rPr>
          <w:rFonts w:hint="eastAsia" w:ascii="Times New Roman" w:hAnsi="Times New Roman" w:eastAsia="宋体" w:cs="Times New Roman"/>
          <w:color w:val="auto"/>
          <w:sz w:val="22"/>
          <w:szCs w:val="22"/>
        </w:rPr>
        <w:t>（4）为提高养护工程质量和服务水平，成交供应商应采用机械化形式对设施进行 养护维修。作为承接日常养护工程的必要条件，除配备日常养护常规小型机械设备以外， 成交供应商还必须按下表要求配备一定数量的大型养护机械设备</w:t>
      </w:r>
      <w:r>
        <w:rPr>
          <w:rFonts w:ascii="Times New Roman" w:hAnsi="Times New Roman" w:eastAsia="宋体" w:cs="Times New Roman"/>
          <w:color w:val="auto"/>
          <w:sz w:val="22"/>
          <w:szCs w:val="22"/>
        </w:rPr>
        <w:t>。</w:t>
      </w:r>
    </w:p>
    <w:p w14:paraId="7ADF60A7">
      <w:pPr>
        <w:suppressAutoHyphens/>
        <w:spacing w:line="300" w:lineRule="auto"/>
        <w:ind w:firstLine="426" w:firstLineChars="193"/>
        <w:jc w:val="center"/>
        <w:rPr>
          <w:rFonts w:ascii="Times New Roman" w:hAnsi="Times New Roman" w:eastAsia="宋体" w:cs="Times New Roman"/>
          <w:bCs/>
          <w:color w:val="auto"/>
          <w:kern w:val="1"/>
          <w:sz w:val="22"/>
          <w:szCs w:val="20"/>
        </w:rPr>
      </w:pPr>
      <w:r>
        <w:rPr>
          <w:rFonts w:hint="eastAsia" w:ascii="Times New Roman" w:hAnsi="Times New Roman" w:eastAsia="宋体" w:cs="Times New Roman"/>
          <w:b/>
          <w:bCs/>
          <w:color w:val="auto"/>
          <w:kern w:val="1"/>
          <w:sz w:val="22"/>
          <w:szCs w:val="20"/>
        </w:rPr>
        <w:t>机械配置基本要求如下表</w:t>
      </w:r>
    </w:p>
    <w:tbl>
      <w:tblPr>
        <w:tblStyle w:val="2"/>
        <w:tblW w:w="51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2208"/>
        <w:gridCol w:w="856"/>
        <w:gridCol w:w="697"/>
        <w:gridCol w:w="1664"/>
        <w:gridCol w:w="2516"/>
      </w:tblGrid>
      <w:tr w14:paraId="456A3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5" w:type="pct"/>
            <w:vAlign w:val="center"/>
          </w:tcPr>
          <w:p w14:paraId="4A8252E1">
            <w:pPr>
              <w:snapToGrid w:val="0"/>
              <w:spacing w:line="300" w:lineRule="auto"/>
              <w:jc w:val="center"/>
              <w:rPr>
                <w:rFonts w:ascii="Times New Roman" w:hAnsi="Times New Roman" w:eastAsia="宋体" w:cs="Times New Roman"/>
                <w:b/>
                <w:bCs/>
                <w:color w:val="auto"/>
                <w:sz w:val="20"/>
                <w:szCs w:val="20"/>
              </w:rPr>
            </w:pPr>
            <w:r>
              <w:rPr>
                <w:rFonts w:hint="eastAsia" w:ascii="Times New Roman" w:hAnsi="Times New Roman" w:eastAsia="宋体" w:cs="Times New Roman"/>
                <w:b/>
                <w:bCs/>
                <w:color w:val="auto"/>
                <w:sz w:val="20"/>
                <w:szCs w:val="20"/>
              </w:rPr>
              <w:t>序号</w:t>
            </w:r>
          </w:p>
        </w:tc>
        <w:tc>
          <w:tcPr>
            <w:tcW w:w="1258" w:type="pct"/>
            <w:vAlign w:val="center"/>
          </w:tcPr>
          <w:p w14:paraId="299C6C82">
            <w:pPr>
              <w:snapToGrid w:val="0"/>
              <w:spacing w:line="300" w:lineRule="auto"/>
              <w:jc w:val="center"/>
              <w:rPr>
                <w:rFonts w:ascii="Times New Roman" w:hAnsi="Times New Roman" w:eastAsia="宋体" w:cs="Times New Roman"/>
                <w:b/>
                <w:bCs/>
                <w:color w:val="auto"/>
                <w:sz w:val="20"/>
                <w:szCs w:val="20"/>
              </w:rPr>
            </w:pPr>
            <w:r>
              <w:rPr>
                <w:rFonts w:hint="eastAsia" w:ascii="Times New Roman" w:hAnsi="Times New Roman" w:eastAsia="宋体" w:cs="Times New Roman"/>
                <w:b/>
                <w:bCs/>
                <w:color w:val="auto"/>
                <w:sz w:val="20"/>
                <w:szCs w:val="20"/>
              </w:rPr>
              <w:t>机械名称</w:t>
            </w:r>
          </w:p>
        </w:tc>
        <w:tc>
          <w:tcPr>
            <w:tcW w:w="488" w:type="pct"/>
            <w:vAlign w:val="center"/>
          </w:tcPr>
          <w:p w14:paraId="612273B2">
            <w:pPr>
              <w:snapToGrid w:val="0"/>
              <w:spacing w:line="300" w:lineRule="auto"/>
              <w:jc w:val="center"/>
              <w:rPr>
                <w:rFonts w:ascii="Times New Roman" w:hAnsi="Times New Roman" w:eastAsia="宋体" w:cs="Times New Roman"/>
                <w:b/>
                <w:bCs/>
                <w:color w:val="auto"/>
                <w:sz w:val="20"/>
                <w:szCs w:val="20"/>
              </w:rPr>
            </w:pPr>
            <w:r>
              <w:rPr>
                <w:rFonts w:hint="eastAsia" w:ascii="Times New Roman" w:hAnsi="Times New Roman" w:eastAsia="宋体" w:cs="Times New Roman"/>
                <w:b/>
                <w:bCs/>
                <w:color w:val="auto"/>
                <w:sz w:val="20"/>
                <w:szCs w:val="20"/>
              </w:rPr>
              <w:t>单位</w:t>
            </w:r>
          </w:p>
        </w:tc>
        <w:tc>
          <w:tcPr>
            <w:tcW w:w="397" w:type="pct"/>
            <w:vAlign w:val="center"/>
          </w:tcPr>
          <w:p w14:paraId="07BA314A">
            <w:pPr>
              <w:snapToGrid w:val="0"/>
              <w:spacing w:line="300" w:lineRule="auto"/>
              <w:jc w:val="center"/>
              <w:rPr>
                <w:rFonts w:ascii="Times New Roman" w:hAnsi="Times New Roman" w:eastAsia="宋体" w:cs="Times New Roman"/>
                <w:b/>
                <w:bCs/>
                <w:color w:val="auto"/>
                <w:sz w:val="20"/>
                <w:szCs w:val="20"/>
              </w:rPr>
            </w:pPr>
            <w:r>
              <w:rPr>
                <w:rFonts w:hint="eastAsia" w:ascii="Times New Roman" w:hAnsi="Times New Roman" w:eastAsia="宋体" w:cs="Times New Roman"/>
                <w:b/>
                <w:bCs/>
                <w:color w:val="auto"/>
                <w:sz w:val="20"/>
                <w:szCs w:val="20"/>
              </w:rPr>
              <w:t>数量</w:t>
            </w:r>
          </w:p>
        </w:tc>
        <w:tc>
          <w:tcPr>
            <w:tcW w:w="948" w:type="pct"/>
            <w:vAlign w:val="center"/>
          </w:tcPr>
          <w:p w14:paraId="39DF17B2">
            <w:pPr>
              <w:adjustRightInd w:val="0"/>
              <w:snapToGrid w:val="0"/>
              <w:spacing w:line="300" w:lineRule="auto"/>
              <w:jc w:val="center"/>
              <w:rPr>
                <w:rFonts w:ascii="Times New Roman" w:hAnsi="Times New Roman" w:eastAsia="宋体" w:cs="Times New Roman"/>
                <w:b/>
                <w:bCs/>
                <w:color w:val="auto"/>
                <w:sz w:val="20"/>
                <w:szCs w:val="20"/>
              </w:rPr>
            </w:pPr>
            <w:r>
              <w:rPr>
                <w:rFonts w:hint="eastAsia" w:ascii="Times New Roman" w:hAnsi="Times New Roman" w:eastAsia="宋体" w:cs="Times New Roman"/>
                <w:b/>
                <w:bCs/>
                <w:color w:val="auto"/>
                <w:sz w:val="20"/>
                <w:szCs w:val="20"/>
              </w:rPr>
              <w:t>配置要求</w:t>
            </w:r>
          </w:p>
        </w:tc>
        <w:tc>
          <w:tcPr>
            <w:tcW w:w="1434" w:type="pct"/>
            <w:vAlign w:val="center"/>
          </w:tcPr>
          <w:p w14:paraId="1ADB6FE9">
            <w:pPr>
              <w:snapToGrid w:val="0"/>
              <w:spacing w:line="300" w:lineRule="auto"/>
              <w:jc w:val="center"/>
              <w:rPr>
                <w:rFonts w:ascii="Times New Roman" w:hAnsi="Times New Roman" w:eastAsia="宋体" w:cs="Times New Roman"/>
                <w:b/>
                <w:bCs/>
                <w:color w:val="auto"/>
                <w:sz w:val="20"/>
                <w:szCs w:val="20"/>
              </w:rPr>
            </w:pPr>
            <w:r>
              <w:rPr>
                <w:rFonts w:hint="eastAsia" w:ascii="Times New Roman" w:hAnsi="Times New Roman" w:eastAsia="宋体" w:cs="Times New Roman"/>
                <w:b/>
                <w:bCs/>
                <w:color w:val="auto"/>
                <w:sz w:val="20"/>
                <w:szCs w:val="20"/>
              </w:rPr>
              <w:t>备注</w:t>
            </w:r>
          </w:p>
        </w:tc>
      </w:tr>
      <w:tr w14:paraId="0A079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5" w:type="pct"/>
            <w:vAlign w:val="center"/>
          </w:tcPr>
          <w:p w14:paraId="4546C21F">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1</w:t>
            </w:r>
          </w:p>
        </w:tc>
        <w:tc>
          <w:tcPr>
            <w:tcW w:w="1258" w:type="pct"/>
            <w:vAlign w:val="center"/>
          </w:tcPr>
          <w:p w14:paraId="054F1506">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路灯情况巡视车</w:t>
            </w:r>
          </w:p>
        </w:tc>
        <w:tc>
          <w:tcPr>
            <w:tcW w:w="488" w:type="pct"/>
            <w:vAlign w:val="center"/>
          </w:tcPr>
          <w:p w14:paraId="5FE101D8">
            <w:pPr>
              <w:snapToGrid w:val="0"/>
              <w:spacing w:line="300" w:lineRule="auto"/>
              <w:jc w:val="center"/>
              <w:rPr>
                <w:rFonts w:ascii="宋体" w:hAnsi="宋体" w:eastAsia="宋体" w:cs="Times New Roman"/>
                <w:bCs/>
                <w:color w:val="auto"/>
                <w:sz w:val="20"/>
                <w:szCs w:val="20"/>
              </w:rPr>
            </w:pPr>
            <w:r>
              <w:rPr>
                <w:rFonts w:hint="eastAsia" w:ascii="宋体" w:hAnsi="宋体" w:eastAsia="宋体" w:cs="Times New Roman"/>
                <w:bCs/>
                <w:color w:val="auto"/>
                <w:sz w:val="20"/>
                <w:szCs w:val="20"/>
              </w:rPr>
              <w:t>辆</w:t>
            </w:r>
          </w:p>
        </w:tc>
        <w:tc>
          <w:tcPr>
            <w:tcW w:w="397" w:type="pct"/>
            <w:vAlign w:val="center"/>
          </w:tcPr>
          <w:p w14:paraId="29633E07">
            <w:pPr>
              <w:snapToGrid w:val="0"/>
              <w:spacing w:line="24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1</w:t>
            </w:r>
          </w:p>
        </w:tc>
        <w:tc>
          <w:tcPr>
            <w:tcW w:w="948" w:type="pct"/>
            <w:vAlign w:val="center"/>
          </w:tcPr>
          <w:p w14:paraId="00434712">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 xml:space="preserve">有 </w:t>
            </w:r>
            <w:r>
              <w:rPr>
                <w:rFonts w:ascii="Times New Roman" w:hAnsi="Times New Roman" w:eastAsia="宋体" w:cs="Times New Roman"/>
                <w:bCs/>
                <w:color w:val="auto"/>
                <w:sz w:val="20"/>
                <w:szCs w:val="20"/>
              </w:rPr>
              <w:t xml:space="preserve">GPS </w:t>
            </w:r>
            <w:r>
              <w:rPr>
                <w:rFonts w:hint="eastAsia" w:ascii="Times New Roman" w:hAnsi="Times New Roman" w:eastAsia="宋体" w:cs="Times New Roman"/>
                <w:bCs/>
                <w:color w:val="auto"/>
                <w:sz w:val="20"/>
                <w:szCs w:val="20"/>
              </w:rPr>
              <w:t>装置</w:t>
            </w:r>
          </w:p>
        </w:tc>
        <w:tc>
          <w:tcPr>
            <w:tcW w:w="1434" w:type="pct"/>
            <w:vAlign w:val="center"/>
          </w:tcPr>
          <w:p w14:paraId="3D987BD7">
            <w:pPr>
              <w:adjustRightInd w:val="0"/>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 xml:space="preserve">自有或租赁、行驶速度应低于 </w:t>
            </w:r>
            <w:r>
              <w:rPr>
                <w:rFonts w:ascii="Times New Roman" w:hAnsi="Times New Roman" w:eastAsia="宋体" w:cs="Times New Roman"/>
                <w:bCs/>
                <w:color w:val="auto"/>
                <w:sz w:val="20"/>
                <w:szCs w:val="20"/>
              </w:rPr>
              <w:t xml:space="preserve">30 </w:t>
            </w:r>
            <w:r>
              <w:rPr>
                <w:rFonts w:hint="eastAsia" w:ascii="Times New Roman" w:hAnsi="Times New Roman" w:eastAsia="宋体" w:cs="Times New Roman"/>
                <w:bCs/>
                <w:color w:val="auto"/>
                <w:sz w:val="20"/>
                <w:szCs w:val="20"/>
              </w:rPr>
              <w:t>公里</w:t>
            </w:r>
            <w:r>
              <w:rPr>
                <w:rFonts w:ascii="Times New Roman" w:hAnsi="Times New Roman" w:eastAsia="宋体" w:cs="Times New Roman"/>
                <w:bCs/>
                <w:color w:val="auto"/>
                <w:sz w:val="20"/>
                <w:szCs w:val="20"/>
              </w:rPr>
              <w:t>/</w:t>
            </w:r>
            <w:r>
              <w:rPr>
                <w:rFonts w:hint="eastAsia" w:ascii="Times New Roman" w:hAnsi="Times New Roman" w:eastAsia="宋体" w:cs="Times New Roman"/>
                <w:bCs/>
                <w:color w:val="auto"/>
                <w:sz w:val="20"/>
                <w:szCs w:val="20"/>
              </w:rPr>
              <w:t>小时</w:t>
            </w:r>
          </w:p>
        </w:tc>
      </w:tr>
      <w:tr w14:paraId="7760B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5" w:type="pct"/>
            <w:vAlign w:val="center"/>
          </w:tcPr>
          <w:p w14:paraId="2A270B79">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2</w:t>
            </w:r>
          </w:p>
        </w:tc>
        <w:tc>
          <w:tcPr>
            <w:tcW w:w="1258" w:type="pct"/>
            <w:vAlign w:val="center"/>
          </w:tcPr>
          <w:p w14:paraId="2942FCD2">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吊车</w:t>
            </w:r>
          </w:p>
        </w:tc>
        <w:tc>
          <w:tcPr>
            <w:tcW w:w="488" w:type="pct"/>
            <w:vAlign w:val="center"/>
          </w:tcPr>
          <w:p w14:paraId="087AFD06">
            <w:pPr>
              <w:snapToGrid w:val="0"/>
              <w:spacing w:line="300" w:lineRule="auto"/>
              <w:jc w:val="center"/>
              <w:rPr>
                <w:rFonts w:ascii="Times New Roman" w:hAnsi="Times New Roman" w:eastAsia="宋体" w:cs="Times New Roman"/>
                <w:bCs/>
                <w:color w:val="auto"/>
                <w:sz w:val="20"/>
                <w:szCs w:val="20"/>
              </w:rPr>
            </w:pPr>
            <w:r>
              <w:rPr>
                <w:rFonts w:hint="eastAsia" w:ascii="宋体" w:hAnsi="宋体" w:eastAsia="宋体" w:cs="Times New Roman"/>
                <w:bCs/>
                <w:color w:val="auto"/>
                <w:sz w:val="20"/>
                <w:szCs w:val="20"/>
              </w:rPr>
              <w:t>辆</w:t>
            </w:r>
          </w:p>
        </w:tc>
        <w:tc>
          <w:tcPr>
            <w:tcW w:w="397" w:type="pct"/>
            <w:vAlign w:val="center"/>
          </w:tcPr>
          <w:p w14:paraId="637406F7">
            <w:pPr>
              <w:snapToGrid w:val="0"/>
              <w:spacing w:line="24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1</w:t>
            </w:r>
          </w:p>
        </w:tc>
        <w:tc>
          <w:tcPr>
            <w:tcW w:w="948" w:type="pct"/>
            <w:vAlign w:val="center"/>
          </w:tcPr>
          <w:p w14:paraId="311F73AE">
            <w:pPr>
              <w:snapToGrid w:val="0"/>
              <w:spacing w:line="300" w:lineRule="auto"/>
              <w:jc w:val="center"/>
              <w:rPr>
                <w:rFonts w:ascii="Times New Roman" w:hAnsi="Times New Roman" w:eastAsia="宋体" w:cs="Times New Roman"/>
                <w:bCs/>
                <w:color w:val="auto"/>
                <w:sz w:val="20"/>
                <w:szCs w:val="20"/>
              </w:rPr>
            </w:pPr>
          </w:p>
        </w:tc>
        <w:tc>
          <w:tcPr>
            <w:tcW w:w="1434" w:type="pct"/>
            <w:vAlign w:val="center"/>
          </w:tcPr>
          <w:p w14:paraId="46BD7A24">
            <w:pPr>
              <w:snapToGrid w:val="0"/>
              <w:spacing w:line="300" w:lineRule="auto"/>
              <w:jc w:val="center"/>
              <w:rPr>
                <w:rFonts w:ascii="Times New Roman" w:hAnsi="Times New Roman" w:eastAsia="宋体" w:cs="Times New Roman"/>
                <w:bCs/>
                <w:color w:val="auto"/>
                <w:sz w:val="20"/>
                <w:szCs w:val="20"/>
              </w:rPr>
            </w:pPr>
            <w:bookmarkStart w:id="23" w:name="OLE_LINK6"/>
            <w:r>
              <w:rPr>
                <w:rFonts w:hint="eastAsia" w:ascii="Times New Roman" w:hAnsi="Times New Roman" w:eastAsia="宋体" w:cs="Times New Roman"/>
                <w:bCs/>
                <w:color w:val="auto"/>
                <w:sz w:val="20"/>
                <w:szCs w:val="20"/>
              </w:rPr>
              <w:t>自有或租赁</w:t>
            </w:r>
            <w:bookmarkEnd w:id="23"/>
          </w:p>
        </w:tc>
      </w:tr>
      <w:tr w14:paraId="6514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5" w:type="pct"/>
            <w:vAlign w:val="center"/>
          </w:tcPr>
          <w:p w14:paraId="751D63B6">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3</w:t>
            </w:r>
          </w:p>
        </w:tc>
        <w:tc>
          <w:tcPr>
            <w:tcW w:w="1258" w:type="pct"/>
            <w:vAlign w:val="center"/>
          </w:tcPr>
          <w:p w14:paraId="79E410AD">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发电机（</w:t>
            </w:r>
            <w:r>
              <w:rPr>
                <w:rFonts w:ascii="Times New Roman" w:hAnsi="Times New Roman" w:eastAsia="宋体" w:cs="Times New Roman"/>
                <w:bCs/>
                <w:color w:val="auto"/>
                <w:sz w:val="20"/>
                <w:szCs w:val="20"/>
              </w:rPr>
              <w:t>5kW</w:t>
            </w:r>
            <w:r>
              <w:rPr>
                <w:rFonts w:hint="eastAsia" w:ascii="Times New Roman" w:hAnsi="Times New Roman" w:eastAsia="宋体" w:cs="Times New Roman"/>
                <w:bCs/>
                <w:color w:val="auto"/>
                <w:sz w:val="20"/>
                <w:szCs w:val="20"/>
              </w:rPr>
              <w:t>）</w:t>
            </w:r>
          </w:p>
        </w:tc>
        <w:tc>
          <w:tcPr>
            <w:tcW w:w="488" w:type="pct"/>
            <w:vAlign w:val="center"/>
          </w:tcPr>
          <w:p w14:paraId="0C4E3817">
            <w:pPr>
              <w:snapToGrid w:val="0"/>
              <w:spacing w:line="300" w:lineRule="auto"/>
              <w:jc w:val="center"/>
              <w:rPr>
                <w:rFonts w:ascii="Times New Roman" w:hAnsi="Times New Roman" w:eastAsia="宋体" w:cs="Times New Roman"/>
                <w:bCs/>
                <w:color w:val="auto"/>
                <w:sz w:val="20"/>
                <w:szCs w:val="20"/>
              </w:rPr>
            </w:pPr>
            <w:r>
              <w:rPr>
                <w:rFonts w:hint="eastAsia" w:ascii="宋体" w:hAnsi="宋体" w:eastAsia="宋体" w:cs="Times New Roman"/>
                <w:bCs/>
                <w:color w:val="auto"/>
                <w:sz w:val="20"/>
                <w:szCs w:val="20"/>
              </w:rPr>
              <w:t>台</w:t>
            </w:r>
          </w:p>
        </w:tc>
        <w:tc>
          <w:tcPr>
            <w:tcW w:w="397" w:type="pct"/>
            <w:vAlign w:val="center"/>
          </w:tcPr>
          <w:p w14:paraId="3961EFEF">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1</w:t>
            </w:r>
          </w:p>
        </w:tc>
        <w:tc>
          <w:tcPr>
            <w:tcW w:w="948" w:type="pct"/>
            <w:vAlign w:val="center"/>
          </w:tcPr>
          <w:p w14:paraId="52F89D61">
            <w:pPr>
              <w:snapToGrid w:val="0"/>
              <w:spacing w:line="300" w:lineRule="auto"/>
              <w:jc w:val="center"/>
              <w:rPr>
                <w:rFonts w:ascii="Times New Roman" w:hAnsi="Times New Roman" w:eastAsia="宋体" w:cs="Times New Roman"/>
                <w:bCs/>
                <w:color w:val="auto"/>
                <w:sz w:val="20"/>
                <w:szCs w:val="20"/>
              </w:rPr>
            </w:pPr>
          </w:p>
        </w:tc>
        <w:tc>
          <w:tcPr>
            <w:tcW w:w="1434" w:type="pct"/>
            <w:vAlign w:val="center"/>
          </w:tcPr>
          <w:p w14:paraId="1AE5AF91">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自有或租赁</w:t>
            </w:r>
          </w:p>
        </w:tc>
      </w:tr>
      <w:tr w14:paraId="31759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5" w:type="pct"/>
            <w:vAlign w:val="center"/>
          </w:tcPr>
          <w:p w14:paraId="400681FC">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4</w:t>
            </w:r>
          </w:p>
        </w:tc>
        <w:tc>
          <w:tcPr>
            <w:tcW w:w="1258" w:type="pct"/>
            <w:vAlign w:val="center"/>
          </w:tcPr>
          <w:p w14:paraId="0E843031">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发电机（1</w:t>
            </w:r>
            <w:r>
              <w:rPr>
                <w:rFonts w:ascii="Times New Roman" w:hAnsi="Times New Roman" w:eastAsia="宋体" w:cs="Times New Roman"/>
                <w:bCs/>
                <w:color w:val="auto"/>
                <w:sz w:val="20"/>
                <w:szCs w:val="20"/>
              </w:rPr>
              <w:t>5kW</w:t>
            </w:r>
            <w:r>
              <w:rPr>
                <w:rFonts w:hint="eastAsia" w:ascii="Times New Roman" w:hAnsi="Times New Roman" w:eastAsia="宋体" w:cs="Times New Roman"/>
                <w:bCs/>
                <w:color w:val="auto"/>
                <w:sz w:val="20"/>
                <w:szCs w:val="20"/>
              </w:rPr>
              <w:t>）</w:t>
            </w:r>
          </w:p>
        </w:tc>
        <w:tc>
          <w:tcPr>
            <w:tcW w:w="488" w:type="pct"/>
            <w:vAlign w:val="center"/>
          </w:tcPr>
          <w:p w14:paraId="4477B2D3">
            <w:pPr>
              <w:snapToGrid w:val="0"/>
              <w:spacing w:line="300" w:lineRule="auto"/>
              <w:jc w:val="center"/>
              <w:rPr>
                <w:rFonts w:ascii="Times New Roman" w:hAnsi="Times New Roman" w:eastAsia="宋体" w:cs="Times New Roman"/>
                <w:bCs/>
                <w:color w:val="auto"/>
                <w:sz w:val="20"/>
                <w:szCs w:val="20"/>
              </w:rPr>
            </w:pPr>
            <w:r>
              <w:rPr>
                <w:rFonts w:hint="eastAsia" w:ascii="宋体" w:hAnsi="宋体" w:eastAsia="宋体" w:cs="Times New Roman"/>
                <w:bCs/>
                <w:color w:val="auto"/>
                <w:sz w:val="20"/>
                <w:szCs w:val="20"/>
              </w:rPr>
              <w:t>台</w:t>
            </w:r>
          </w:p>
        </w:tc>
        <w:tc>
          <w:tcPr>
            <w:tcW w:w="397" w:type="pct"/>
            <w:vAlign w:val="center"/>
          </w:tcPr>
          <w:p w14:paraId="0A3B1E30">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1</w:t>
            </w:r>
          </w:p>
        </w:tc>
        <w:tc>
          <w:tcPr>
            <w:tcW w:w="948" w:type="pct"/>
            <w:vAlign w:val="center"/>
          </w:tcPr>
          <w:p w14:paraId="7BDD7B2A">
            <w:pPr>
              <w:snapToGrid w:val="0"/>
              <w:spacing w:line="300" w:lineRule="auto"/>
              <w:jc w:val="center"/>
              <w:rPr>
                <w:rFonts w:ascii="Times New Roman" w:hAnsi="Times New Roman" w:eastAsia="宋体" w:cs="Times New Roman"/>
                <w:bCs/>
                <w:color w:val="auto"/>
                <w:sz w:val="20"/>
                <w:szCs w:val="20"/>
              </w:rPr>
            </w:pPr>
          </w:p>
        </w:tc>
        <w:tc>
          <w:tcPr>
            <w:tcW w:w="1434" w:type="pct"/>
            <w:vAlign w:val="center"/>
          </w:tcPr>
          <w:p w14:paraId="1DBDCCB0">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自有或租赁</w:t>
            </w:r>
          </w:p>
        </w:tc>
      </w:tr>
      <w:tr w14:paraId="6449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5" w:type="pct"/>
            <w:vAlign w:val="center"/>
          </w:tcPr>
          <w:p w14:paraId="734981C7">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5</w:t>
            </w:r>
          </w:p>
        </w:tc>
        <w:tc>
          <w:tcPr>
            <w:tcW w:w="1258" w:type="pct"/>
            <w:vAlign w:val="center"/>
          </w:tcPr>
          <w:p w14:paraId="0A2006A3">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排水泵</w:t>
            </w:r>
          </w:p>
        </w:tc>
        <w:tc>
          <w:tcPr>
            <w:tcW w:w="488" w:type="pct"/>
            <w:vAlign w:val="center"/>
          </w:tcPr>
          <w:p w14:paraId="55039376">
            <w:pPr>
              <w:snapToGrid w:val="0"/>
              <w:spacing w:line="300" w:lineRule="auto"/>
              <w:jc w:val="center"/>
              <w:rPr>
                <w:rFonts w:ascii="Times New Roman" w:hAnsi="Times New Roman" w:eastAsia="宋体" w:cs="Times New Roman"/>
                <w:bCs/>
                <w:color w:val="auto"/>
                <w:sz w:val="20"/>
                <w:szCs w:val="20"/>
              </w:rPr>
            </w:pPr>
            <w:r>
              <w:rPr>
                <w:rFonts w:hint="eastAsia" w:ascii="宋体" w:hAnsi="宋体" w:eastAsia="宋体" w:cs="Times New Roman"/>
                <w:bCs/>
                <w:color w:val="auto"/>
                <w:sz w:val="20"/>
                <w:szCs w:val="20"/>
              </w:rPr>
              <w:t>台</w:t>
            </w:r>
          </w:p>
        </w:tc>
        <w:tc>
          <w:tcPr>
            <w:tcW w:w="397" w:type="pct"/>
            <w:vAlign w:val="center"/>
          </w:tcPr>
          <w:p w14:paraId="09F3BE58">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1</w:t>
            </w:r>
          </w:p>
        </w:tc>
        <w:tc>
          <w:tcPr>
            <w:tcW w:w="948" w:type="pct"/>
            <w:vAlign w:val="center"/>
          </w:tcPr>
          <w:p w14:paraId="15358B2F">
            <w:pPr>
              <w:snapToGrid w:val="0"/>
              <w:spacing w:line="300" w:lineRule="auto"/>
              <w:jc w:val="center"/>
              <w:rPr>
                <w:rFonts w:ascii="Times New Roman" w:hAnsi="Times New Roman" w:eastAsia="宋体" w:cs="Times New Roman"/>
                <w:bCs/>
                <w:color w:val="auto"/>
                <w:sz w:val="20"/>
                <w:szCs w:val="20"/>
              </w:rPr>
            </w:pPr>
          </w:p>
        </w:tc>
        <w:tc>
          <w:tcPr>
            <w:tcW w:w="1434" w:type="pct"/>
            <w:vAlign w:val="center"/>
          </w:tcPr>
          <w:p w14:paraId="3207A317">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自有或租赁</w:t>
            </w:r>
          </w:p>
        </w:tc>
      </w:tr>
      <w:tr w14:paraId="4ECA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5" w:type="pct"/>
            <w:vAlign w:val="center"/>
          </w:tcPr>
          <w:p w14:paraId="1349EC44">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6</w:t>
            </w:r>
          </w:p>
        </w:tc>
        <w:tc>
          <w:tcPr>
            <w:tcW w:w="1258" w:type="pct"/>
            <w:vAlign w:val="center"/>
          </w:tcPr>
          <w:p w14:paraId="7DE43955">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登高作业车或登 高设备</w:t>
            </w:r>
          </w:p>
        </w:tc>
        <w:tc>
          <w:tcPr>
            <w:tcW w:w="488" w:type="pct"/>
            <w:vAlign w:val="center"/>
          </w:tcPr>
          <w:p w14:paraId="2A62C707">
            <w:pPr>
              <w:snapToGrid w:val="0"/>
              <w:spacing w:line="300" w:lineRule="auto"/>
              <w:jc w:val="center"/>
              <w:rPr>
                <w:rFonts w:ascii="Times New Roman" w:hAnsi="Times New Roman" w:eastAsia="宋体" w:cs="Times New Roman"/>
                <w:bCs/>
                <w:color w:val="auto"/>
                <w:sz w:val="20"/>
                <w:szCs w:val="20"/>
              </w:rPr>
            </w:pPr>
            <w:r>
              <w:rPr>
                <w:rFonts w:hint="eastAsia" w:ascii="宋体" w:hAnsi="宋体" w:eastAsia="宋体" w:cs="Times New Roman"/>
                <w:bCs/>
                <w:color w:val="auto"/>
                <w:sz w:val="20"/>
                <w:szCs w:val="20"/>
              </w:rPr>
              <w:t>辆</w:t>
            </w:r>
          </w:p>
        </w:tc>
        <w:tc>
          <w:tcPr>
            <w:tcW w:w="397" w:type="pct"/>
            <w:vAlign w:val="center"/>
          </w:tcPr>
          <w:p w14:paraId="2B303F0D">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1</w:t>
            </w:r>
          </w:p>
        </w:tc>
        <w:tc>
          <w:tcPr>
            <w:tcW w:w="948" w:type="pct"/>
            <w:vAlign w:val="center"/>
          </w:tcPr>
          <w:p w14:paraId="34EEE824">
            <w:pPr>
              <w:snapToGrid w:val="0"/>
              <w:spacing w:line="300" w:lineRule="auto"/>
              <w:jc w:val="center"/>
              <w:rPr>
                <w:rFonts w:ascii="Times New Roman" w:hAnsi="Times New Roman" w:eastAsia="宋体" w:cs="Times New Roman"/>
                <w:bCs/>
                <w:color w:val="auto"/>
                <w:sz w:val="20"/>
                <w:szCs w:val="20"/>
              </w:rPr>
            </w:pPr>
          </w:p>
        </w:tc>
        <w:tc>
          <w:tcPr>
            <w:tcW w:w="1434" w:type="pct"/>
            <w:vAlign w:val="center"/>
          </w:tcPr>
          <w:p w14:paraId="39AC9043">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自有或租赁</w:t>
            </w:r>
          </w:p>
        </w:tc>
      </w:tr>
      <w:tr w14:paraId="4850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75" w:type="pct"/>
            <w:vAlign w:val="center"/>
          </w:tcPr>
          <w:p w14:paraId="60D07446">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7</w:t>
            </w:r>
          </w:p>
        </w:tc>
        <w:tc>
          <w:tcPr>
            <w:tcW w:w="1258" w:type="pct"/>
            <w:vAlign w:val="center"/>
          </w:tcPr>
          <w:p w14:paraId="046F7FDB">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应急设备与物资</w:t>
            </w:r>
          </w:p>
        </w:tc>
        <w:tc>
          <w:tcPr>
            <w:tcW w:w="488" w:type="pct"/>
            <w:vAlign w:val="center"/>
          </w:tcPr>
          <w:p w14:paraId="23B89931">
            <w:pPr>
              <w:snapToGrid w:val="0"/>
              <w:spacing w:line="300" w:lineRule="auto"/>
              <w:rPr>
                <w:rFonts w:ascii="Times New Roman" w:hAnsi="Times New Roman" w:eastAsia="宋体" w:cs="Times New Roman"/>
                <w:bCs/>
                <w:color w:val="auto"/>
                <w:sz w:val="20"/>
                <w:szCs w:val="20"/>
              </w:rPr>
            </w:pPr>
          </w:p>
        </w:tc>
        <w:tc>
          <w:tcPr>
            <w:tcW w:w="397" w:type="pct"/>
            <w:vAlign w:val="center"/>
          </w:tcPr>
          <w:p w14:paraId="309B442E">
            <w:pPr>
              <w:snapToGrid w:val="0"/>
              <w:spacing w:line="300" w:lineRule="auto"/>
              <w:jc w:val="center"/>
              <w:rPr>
                <w:rFonts w:ascii="Times New Roman" w:hAnsi="Times New Roman" w:eastAsia="宋体" w:cs="Times New Roman"/>
                <w:bCs/>
                <w:color w:val="auto"/>
                <w:sz w:val="20"/>
                <w:szCs w:val="20"/>
              </w:rPr>
            </w:pPr>
          </w:p>
        </w:tc>
        <w:tc>
          <w:tcPr>
            <w:tcW w:w="948" w:type="pct"/>
            <w:vAlign w:val="center"/>
          </w:tcPr>
          <w:p w14:paraId="47D33F76">
            <w:pPr>
              <w:snapToGrid w:val="0"/>
              <w:spacing w:line="300" w:lineRule="auto"/>
              <w:jc w:val="center"/>
              <w:rPr>
                <w:rFonts w:ascii="Times New Roman" w:hAnsi="Times New Roman" w:eastAsia="宋体" w:cs="Times New Roman"/>
                <w:bCs/>
                <w:color w:val="auto"/>
                <w:sz w:val="20"/>
                <w:szCs w:val="20"/>
              </w:rPr>
            </w:pPr>
          </w:p>
        </w:tc>
        <w:tc>
          <w:tcPr>
            <w:tcW w:w="1434" w:type="pct"/>
            <w:vAlign w:val="center"/>
          </w:tcPr>
          <w:p w14:paraId="45942348">
            <w:pPr>
              <w:snapToGrid w:val="0"/>
              <w:spacing w:line="300" w:lineRule="auto"/>
              <w:jc w:val="center"/>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企业自报</w:t>
            </w:r>
          </w:p>
        </w:tc>
      </w:tr>
      <w:tr w14:paraId="5959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6"/>
            <w:vAlign w:val="center"/>
          </w:tcPr>
          <w:p w14:paraId="025A040A">
            <w:pPr>
              <w:snapToGrid w:val="0"/>
              <w:spacing w:line="300" w:lineRule="auto"/>
              <w:jc w:val="left"/>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备注：（</w:t>
            </w:r>
            <w:r>
              <w:rPr>
                <w:rFonts w:ascii="Times New Roman" w:hAnsi="Times New Roman" w:eastAsia="宋体" w:cs="Times New Roman"/>
                <w:bCs/>
                <w:color w:val="auto"/>
                <w:sz w:val="20"/>
                <w:szCs w:val="20"/>
              </w:rPr>
              <w:t>1</w:t>
            </w:r>
            <w:r>
              <w:rPr>
                <w:rFonts w:hint="eastAsia" w:ascii="Times New Roman" w:hAnsi="Times New Roman" w:eastAsia="宋体" w:cs="Times New Roman"/>
                <w:bCs/>
                <w:color w:val="auto"/>
                <w:sz w:val="20"/>
                <w:szCs w:val="20"/>
              </w:rPr>
              <w:t>）上述设备中车辆的尾气排放标准必须符合国家和上海市的有关标准。严禁使用黄标车车辆。</w:t>
            </w:r>
            <w:r>
              <w:rPr>
                <w:rFonts w:ascii="Times New Roman" w:hAnsi="Times New Roman" w:eastAsia="宋体" w:cs="Times New Roman"/>
                <w:bCs/>
                <w:color w:val="auto"/>
                <w:sz w:val="20"/>
                <w:szCs w:val="20"/>
              </w:rPr>
              <w:t xml:space="preserve"> </w:t>
            </w:r>
          </w:p>
          <w:p w14:paraId="7057781D">
            <w:pPr>
              <w:snapToGrid w:val="0"/>
              <w:spacing w:line="300" w:lineRule="auto"/>
              <w:ind w:firstLine="600" w:firstLineChars="300"/>
              <w:jc w:val="left"/>
              <w:rPr>
                <w:rFonts w:ascii="Times New Roman" w:hAnsi="Times New Roman" w:eastAsia="宋体" w:cs="Times New Roman"/>
                <w:bCs/>
                <w:color w:val="auto"/>
                <w:sz w:val="20"/>
                <w:szCs w:val="20"/>
              </w:rPr>
            </w:pPr>
            <w:r>
              <w:rPr>
                <w:rFonts w:hint="eastAsia" w:ascii="Times New Roman" w:hAnsi="Times New Roman" w:eastAsia="宋体" w:cs="Times New Roman"/>
                <w:bCs/>
                <w:color w:val="auto"/>
                <w:sz w:val="20"/>
                <w:szCs w:val="20"/>
              </w:rPr>
              <w:t>（</w:t>
            </w:r>
            <w:r>
              <w:rPr>
                <w:rFonts w:ascii="Times New Roman" w:hAnsi="Times New Roman" w:eastAsia="宋体" w:cs="Times New Roman"/>
                <w:bCs/>
                <w:color w:val="auto"/>
                <w:sz w:val="20"/>
                <w:szCs w:val="20"/>
              </w:rPr>
              <w:t>2</w:t>
            </w:r>
            <w:r>
              <w:rPr>
                <w:rFonts w:hint="eastAsia" w:ascii="Times New Roman" w:hAnsi="Times New Roman" w:eastAsia="宋体" w:cs="Times New Roman"/>
                <w:bCs/>
                <w:color w:val="auto"/>
                <w:sz w:val="20"/>
                <w:szCs w:val="20"/>
              </w:rPr>
              <w:t>）上表中的机械，供应商作出承诺，成交后一个月内提供以上自有或租赁机械 提供相关证明（如购买发票、租赁合同等原件及复印件），否则采购人有权不签订合同。</w:t>
            </w:r>
          </w:p>
        </w:tc>
      </w:tr>
    </w:tbl>
    <w:p w14:paraId="1D23A024">
      <w:pPr>
        <w:spacing w:line="300" w:lineRule="auto"/>
        <w:ind w:firstLine="424" w:firstLineChars="192"/>
        <w:outlineLvl w:val="2"/>
        <w:rPr>
          <w:rFonts w:ascii="Times New Roman" w:hAnsi="Times New Roman" w:eastAsia="宋体" w:cs="Times New Roman"/>
          <w:b/>
          <w:color w:val="auto"/>
          <w:sz w:val="22"/>
          <w:szCs w:val="22"/>
        </w:rPr>
      </w:pPr>
      <w:bookmarkStart w:id="24" w:name="_Toc14608"/>
      <w:bookmarkStart w:id="25" w:name="_Toc497211605"/>
      <w:r>
        <w:rPr>
          <w:rFonts w:hint="eastAsia" w:ascii="Times New Roman" w:hAnsi="Times New Roman" w:eastAsia="宋体" w:cs="Times New Roman"/>
          <w:b/>
          <w:color w:val="auto"/>
          <w:sz w:val="22"/>
          <w:szCs w:val="22"/>
        </w:rPr>
        <w:t>8</w:t>
      </w:r>
      <w:r>
        <w:rPr>
          <w:rFonts w:ascii="Times New Roman" w:hAnsi="Times New Roman" w:eastAsia="宋体" w:cs="Times New Roman"/>
          <w:b/>
          <w:color w:val="auto"/>
          <w:sz w:val="22"/>
          <w:szCs w:val="22"/>
        </w:rPr>
        <w:t>安全文明作业要求与应急处置要求</w:t>
      </w:r>
      <w:bookmarkEnd w:id="24"/>
      <w:bookmarkEnd w:id="25"/>
    </w:p>
    <w:p w14:paraId="271D0CAE">
      <w:pPr>
        <w:widowControl w:val="0"/>
        <w:suppressAutoHyphens/>
        <w:spacing w:line="300" w:lineRule="auto"/>
        <w:ind w:firstLine="422" w:firstLineChars="192"/>
        <w:jc w:val="both"/>
        <w:rPr>
          <w:rFonts w:ascii="Times New Roman" w:hAnsi="Times New Roman" w:eastAsia="宋体" w:cs="Times New Roman"/>
          <w:color w:val="auto"/>
          <w:kern w:val="1"/>
          <w:sz w:val="22"/>
          <w:szCs w:val="20"/>
          <w:lang w:val="en-US" w:eastAsia="zh-CN" w:bidi="ar-SA"/>
        </w:rPr>
      </w:pPr>
      <w:r>
        <w:rPr>
          <w:rFonts w:hint="eastAsia" w:ascii="Times New Roman" w:hAnsi="Times New Roman" w:eastAsia="宋体" w:cs="Times New Roman"/>
          <w:color w:val="auto"/>
          <w:kern w:val="1"/>
          <w:sz w:val="22"/>
          <w:szCs w:val="20"/>
          <w:lang w:val="en-US" w:eastAsia="zh-CN" w:bidi="ar-SA"/>
        </w:rPr>
        <w:t>8</w:t>
      </w:r>
      <w:r>
        <w:rPr>
          <w:rFonts w:ascii="Times New Roman" w:hAnsi="Times New Roman" w:eastAsia="宋体" w:cs="Times New Roman"/>
          <w:color w:val="auto"/>
          <w:kern w:val="1"/>
          <w:sz w:val="22"/>
          <w:szCs w:val="20"/>
          <w:lang w:val="en-US" w:eastAsia="zh-CN" w:bidi="ar-SA"/>
        </w:rPr>
        <w:t>.1 安全文明作业要求</w:t>
      </w:r>
    </w:p>
    <w:p w14:paraId="42ED8829">
      <w:pPr>
        <w:widowControl w:val="0"/>
        <w:suppressAutoHyphens/>
        <w:spacing w:line="300" w:lineRule="auto"/>
        <w:ind w:firstLine="422" w:firstLineChars="192"/>
        <w:jc w:val="both"/>
        <w:rPr>
          <w:rFonts w:ascii="Times New Roman" w:hAnsi="Times New Roman" w:eastAsia="宋体" w:cs="Times New Roman"/>
          <w:bCs/>
          <w:color w:val="auto"/>
          <w:kern w:val="1"/>
          <w:sz w:val="22"/>
          <w:szCs w:val="20"/>
          <w:lang w:val="en-US" w:eastAsia="zh-CN" w:bidi="ar-SA"/>
        </w:rPr>
      </w:pPr>
      <w:r>
        <w:rPr>
          <w:rFonts w:hint="eastAsia" w:ascii="Times New Roman" w:hAnsi="Times New Roman" w:eastAsia="宋体" w:cs="Times New Roman"/>
          <w:bCs/>
          <w:color w:val="auto"/>
          <w:kern w:val="1"/>
          <w:sz w:val="22"/>
          <w:szCs w:val="20"/>
          <w:lang w:val="en-US" w:eastAsia="zh-CN" w:bidi="ar-SA"/>
        </w:rPr>
        <w:t>8</w:t>
      </w:r>
      <w:r>
        <w:rPr>
          <w:rFonts w:ascii="Times New Roman" w:hAnsi="Times New Roman" w:eastAsia="宋体" w:cs="Times New Roman"/>
          <w:bCs/>
          <w:color w:val="auto"/>
          <w:kern w:val="1"/>
          <w:sz w:val="22"/>
          <w:szCs w:val="20"/>
          <w:lang w:val="en-US" w:eastAsia="zh-CN" w:bidi="ar-SA"/>
        </w:rPr>
        <w:t xml:space="preserve">.1.1 </w:t>
      </w:r>
      <w:r>
        <w:rPr>
          <w:rFonts w:hint="eastAsia" w:ascii="Times New Roman" w:hAnsi="Times New Roman" w:eastAsia="宋体" w:cs="Times New Roman"/>
          <w:bCs/>
          <w:color w:val="auto"/>
          <w:kern w:val="1"/>
          <w:sz w:val="22"/>
          <w:szCs w:val="20"/>
          <w:lang w:val="en-US" w:eastAsia="zh-CN" w:bidi="ar-SA"/>
        </w:rPr>
        <w:t>供应商</w:t>
      </w:r>
      <w:r>
        <w:rPr>
          <w:rFonts w:ascii="Times New Roman" w:hAnsi="Times New Roman" w:eastAsia="宋体" w:cs="Times New Roman"/>
          <w:bCs/>
          <w:color w:val="auto"/>
          <w:kern w:val="1"/>
          <w:sz w:val="22"/>
          <w:szCs w:val="20"/>
          <w:lang w:val="en-US" w:eastAsia="zh-CN" w:bidi="ar-SA"/>
        </w:rPr>
        <w:t>及其劳务分包商应具备上海市或有关行业管理部门规定的在本市进行相关服务所需的资质（包括国家和本市各类专业工种持证上岗要求）、资格和一切手续（如有的话），由此引起的所有有关事宜及费用由</w:t>
      </w:r>
      <w:r>
        <w:rPr>
          <w:rFonts w:hint="eastAsia" w:ascii="Times New Roman" w:hAnsi="Times New Roman" w:eastAsia="宋体" w:cs="Times New Roman"/>
          <w:bCs/>
          <w:color w:val="auto"/>
          <w:kern w:val="1"/>
          <w:sz w:val="22"/>
          <w:szCs w:val="20"/>
          <w:lang w:val="en-US" w:eastAsia="zh-CN" w:bidi="ar-SA"/>
        </w:rPr>
        <w:t>供应商</w:t>
      </w:r>
      <w:r>
        <w:rPr>
          <w:rFonts w:ascii="Times New Roman" w:hAnsi="Times New Roman" w:eastAsia="宋体" w:cs="Times New Roman"/>
          <w:bCs/>
          <w:color w:val="auto"/>
          <w:kern w:val="1"/>
          <w:sz w:val="22"/>
          <w:szCs w:val="20"/>
          <w:lang w:val="en-US" w:eastAsia="zh-CN" w:bidi="ar-SA"/>
        </w:rPr>
        <w:t>自行负责。</w:t>
      </w:r>
    </w:p>
    <w:p w14:paraId="560DB450">
      <w:pPr>
        <w:widowControl w:val="0"/>
        <w:suppressAutoHyphens/>
        <w:spacing w:line="300" w:lineRule="auto"/>
        <w:ind w:firstLine="422" w:firstLineChars="192"/>
        <w:jc w:val="both"/>
        <w:rPr>
          <w:rFonts w:ascii="Times New Roman" w:hAnsi="Times New Roman" w:eastAsia="宋体" w:cs="Times New Roman"/>
          <w:bCs/>
          <w:color w:val="auto"/>
          <w:kern w:val="1"/>
          <w:sz w:val="22"/>
          <w:szCs w:val="20"/>
          <w:lang w:val="en-US" w:eastAsia="zh-CN" w:bidi="ar-SA"/>
        </w:rPr>
      </w:pPr>
      <w:r>
        <w:rPr>
          <w:rFonts w:hint="eastAsia" w:ascii="Times New Roman" w:hAnsi="Times New Roman" w:eastAsia="宋体" w:cs="Times New Roman"/>
          <w:bCs/>
          <w:color w:val="auto"/>
          <w:kern w:val="1"/>
          <w:sz w:val="22"/>
          <w:szCs w:val="20"/>
          <w:lang w:val="en-US" w:eastAsia="zh-CN" w:bidi="ar-SA"/>
        </w:rPr>
        <w:t>8</w:t>
      </w:r>
      <w:r>
        <w:rPr>
          <w:rFonts w:ascii="Times New Roman" w:hAnsi="Times New Roman" w:eastAsia="宋体" w:cs="Times New Roman"/>
          <w:bCs/>
          <w:color w:val="auto"/>
          <w:kern w:val="1"/>
          <w:sz w:val="22"/>
          <w:szCs w:val="20"/>
          <w:lang w:val="en-US" w:eastAsia="zh-CN" w:bidi="ar-SA"/>
        </w:rPr>
        <w:t>.1.2 在提供服务期间为确保服务区域及周围环境的整洁和不影响其他活动正常进行，</w:t>
      </w:r>
      <w:r>
        <w:rPr>
          <w:rFonts w:hint="eastAsia" w:ascii="Times New Roman" w:hAnsi="Times New Roman" w:eastAsia="宋体" w:cs="Times New Roman"/>
          <w:bCs/>
          <w:color w:val="auto"/>
          <w:kern w:val="1"/>
          <w:sz w:val="22"/>
          <w:szCs w:val="20"/>
          <w:lang w:val="en-US" w:eastAsia="zh-CN" w:bidi="ar-SA"/>
        </w:rPr>
        <w:t>供应商</w:t>
      </w:r>
      <w:r>
        <w:rPr>
          <w:rFonts w:ascii="Times New Roman" w:hAnsi="Times New Roman" w:eastAsia="宋体" w:cs="Times New Roman"/>
          <w:bCs/>
          <w:color w:val="auto"/>
          <w:kern w:val="1"/>
          <w:sz w:val="22"/>
          <w:szCs w:val="20"/>
          <w:lang w:val="en-US" w:eastAsia="zh-CN" w:bidi="ar-SA"/>
        </w:rPr>
        <w:t>应严格执行国家与上海市有关安全文明施工管理的法律、法规和政策，积极主动加强和落实安全文明施工及环境保护等有关管理工作，并按规定承担相应的费用。若违反规定而造成的一切损失和责任由</w:t>
      </w:r>
      <w:r>
        <w:rPr>
          <w:rFonts w:hint="eastAsia" w:ascii="Times New Roman" w:hAnsi="Times New Roman" w:eastAsia="宋体" w:cs="Times New Roman"/>
          <w:bCs/>
          <w:color w:val="auto"/>
          <w:kern w:val="1"/>
          <w:sz w:val="22"/>
          <w:szCs w:val="20"/>
          <w:lang w:val="en-US" w:eastAsia="zh-CN" w:bidi="ar-SA"/>
        </w:rPr>
        <w:t>成交供应商</w:t>
      </w:r>
      <w:r>
        <w:rPr>
          <w:rFonts w:ascii="Times New Roman" w:hAnsi="Times New Roman" w:eastAsia="宋体" w:cs="Times New Roman"/>
          <w:bCs/>
          <w:color w:val="auto"/>
          <w:kern w:val="1"/>
          <w:sz w:val="22"/>
          <w:szCs w:val="20"/>
          <w:lang w:val="en-US" w:eastAsia="zh-CN" w:bidi="ar-SA"/>
        </w:rPr>
        <w:t>承担。</w:t>
      </w:r>
    </w:p>
    <w:p w14:paraId="7FF28EFE">
      <w:pPr>
        <w:widowControl w:val="0"/>
        <w:suppressAutoHyphens/>
        <w:spacing w:line="300" w:lineRule="auto"/>
        <w:ind w:firstLine="422" w:firstLineChars="192"/>
        <w:jc w:val="both"/>
        <w:rPr>
          <w:rFonts w:ascii="Times New Roman" w:hAnsi="Times New Roman" w:eastAsia="宋体" w:cs="Times New Roman"/>
          <w:bCs/>
          <w:color w:val="auto"/>
          <w:kern w:val="1"/>
          <w:sz w:val="22"/>
          <w:szCs w:val="20"/>
          <w:lang w:val="en-US" w:eastAsia="zh-CN" w:bidi="ar-SA"/>
        </w:rPr>
      </w:pPr>
      <w:r>
        <w:rPr>
          <w:rFonts w:hint="eastAsia" w:ascii="Times New Roman" w:hAnsi="Times New Roman" w:eastAsia="宋体" w:cs="Times New Roman"/>
          <w:bCs/>
          <w:color w:val="auto"/>
          <w:kern w:val="1"/>
          <w:sz w:val="22"/>
          <w:szCs w:val="20"/>
          <w:lang w:val="en-US" w:eastAsia="zh-CN" w:bidi="ar-SA"/>
        </w:rPr>
        <w:t>8</w:t>
      </w:r>
      <w:r>
        <w:rPr>
          <w:rFonts w:ascii="Times New Roman" w:hAnsi="Times New Roman" w:eastAsia="宋体" w:cs="Times New Roman"/>
          <w:bCs/>
          <w:color w:val="auto"/>
          <w:kern w:val="1"/>
          <w:sz w:val="22"/>
          <w:szCs w:val="20"/>
          <w:lang w:val="en-US" w:eastAsia="zh-CN" w:bidi="ar-SA"/>
        </w:rPr>
        <w:t xml:space="preserve">.1.3 </w:t>
      </w:r>
      <w:r>
        <w:rPr>
          <w:rFonts w:hint="eastAsia" w:ascii="Times New Roman" w:hAnsi="Times New Roman" w:eastAsia="宋体" w:cs="Times New Roman"/>
          <w:bCs/>
          <w:color w:val="auto"/>
          <w:kern w:val="1"/>
          <w:sz w:val="22"/>
          <w:szCs w:val="20"/>
          <w:lang w:val="en-US" w:eastAsia="zh-CN" w:bidi="ar-SA"/>
        </w:rPr>
        <w:t>成交供应商</w:t>
      </w:r>
      <w:r>
        <w:rPr>
          <w:rFonts w:ascii="Times New Roman" w:hAnsi="Times New Roman" w:eastAsia="宋体" w:cs="Times New Roman"/>
          <w:bCs/>
          <w:color w:val="auto"/>
          <w:kern w:val="1"/>
          <w:sz w:val="22"/>
          <w:szCs w:val="20"/>
          <w:lang w:val="en-US" w:eastAsia="zh-CN" w:bidi="ar-SA"/>
        </w:rPr>
        <w:t>在项目实施期间，必须遵守国家与上海市各项有关安全作业规章、规范与制度，建立动用明火申请批准制度，安全用电等制度，确保杜绝各类事故的发生。</w:t>
      </w:r>
    </w:p>
    <w:p w14:paraId="48429D70">
      <w:pPr>
        <w:widowControl w:val="0"/>
        <w:suppressAutoHyphens/>
        <w:spacing w:line="300" w:lineRule="auto"/>
        <w:ind w:firstLine="422" w:firstLineChars="192"/>
        <w:jc w:val="both"/>
        <w:rPr>
          <w:rFonts w:ascii="Times New Roman" w:hAnsi="Times New Roman" w:eastAsia="宋体" w:cs="Times New Roman"/>
          <w:bCs/>
          <w:color w:val="auto"/>
          <w:kern w:val="1"/>
          <w:sz w:val="22"/>
          <w:szCs w:val="20"/>
          <w:lang w:val="en-US" w:eastAsia="zh-CN" w:bidi="ar-SA"/>
        </w:rPr>
      </w:pPr>
      <w:r>
        <w:rPr>
          <w:rFonts w:hint="eastAsia" w:ascii="Times New Roman" w:hAnsi="Times New Roman" w:eastAsia="宋体" w:cs="Times New Roman"/>
          <w:bCs/>
          <w:color w:val="auto"/>
          <w:kern w:val="1"/>
          <w:sz w:val="22"/>
          <w:szCs w:val="20"/>
          <w:lang w:val="en-US" w:eastAsia="zh-CN" w:bidi="ar-SA"/>
        </w:rPr>
        <w:t>8</w:t>
      </w:r>
      <w:r>
        <w:rPr>
          <w:rFonts w:ascii="Times New Roman" w:hAnsi="Times New Roman" w:eastAsia="宋体" w:cs="Times New Roman"/>
          <w:bCs/>
          <w:color w:val="auto"/>
          <w:kern w:val="1"/>
          <w:sz w:val="22"/>
          <w:szCs w:val="20"/>
          <w:lang w:val="en-US" w:eastAsia="zh-CN" w:bidi="ar-SA"/>
        </w:rPr>
        <w:t xml:space="preserve">.1.4 </w:t>
      </w:r>
      <w:r>
        <w:rPr>
          <w:rFonts w:ascii="Times New Roman" w:hAnsi="Times New Roman" w:eastAsia="宋体" w:cs="Times New Roman"/>
          <w:color w:val="auto"/>
          <w:kern w:val="1"/>
          <w:sz w:val="22"/>
          <w:szCs w:val="20"/>
          <w:lang w:val="en-US" w:eastAsia="zh-CN" w:bidi="ar-SA"/>
        </w:rPr>
        <w:t>建立健全安全生产工作责任体系和组织管理网络，建立安全生产监管制度，配备专职安全监管人员，对施工作业安全进行现场监督；按照“横向到边，纵向到底”责任制要求将安全责任分解，</w:t>
      </w:r>
      <w:r>
        <w:rPr>
          <w:rFonts w:hint="eastAsia" w:ascii="Times New Roman" w:hAnsi="Times New Roman" w:eastAsia="宋体" w:cs="Times New Roman"/>
          <w:color w:val="auto"/>
          <w:kern w:val="1"/>
          <w:sz w:val="22"/>
          <w:szCs w:val="20"/>
          <w:lang w:val="en-US" w:eastAsia="zh-CN" w:bidi="ar-SA"/>
        </w:rPr>
        <w:t>成交供应商</w:t>
      </w:r>
      <w:r>
        <w:rPr>
          <w:rFonts w:ascii="Times New Roman" w:hAnsi="Times New Roman" w:eastAsia="宋体" w:cs="Times New Roman"/>
          <w:color w:val="auto"/>
          <w:kern w:val="1"/>
          <w:sz w:val="22"/>
          <w:szCs w:val="20"/>
          <w:lang w:val="en-US" w:eastAsia="zh-CN" w:bidi="ar-SA"/>
        </w:rPr>
        <w:t>法定代表人与项目部、项目部与下属各责任部门必须签订安全协议书；定期召开安全生产工作会议；组织开展安全生产检查。</w:t>
      </w:r>
    </w:p>
    <w:p w14:paraId="5E2D6FDF">
      <w:pPr>
        <w:widowControl w:val="0"/>
        <w:suppressAutoHyphens/>
        <w:spacing w:line="300" w:lineRule="auto"/>
        <w:ind w:firstLine="422" w:firstLineChars="192"/>
        <w:jc w:val="both"/>
        <w:rPr>
          <w:rFonts w:ascii="Times New Roman" w:hAnsi="Times New Roman" w:eastAsia="宋体" w:cs="Times New Roman"/>
          <w:bCs/>
          <w:color w:val="auto"/>
          <w:kern w:val="1"/>
          <w:sz w:val="22"/>
          <w:szCs w:val="20"/>
          <w:lang w:val="en-US" w:eastAsia="zh-CN" w:bidi="ar-SA"/>
        </w:rPr>
      </w:pPr>
      <w:r>
        <w:rPr>
          <w:rFonts w:hint="eastAsia" w:ascii="Times New Roman" w:hAnsi="Times New Roman" w:eastAsia="宋体" w:cs="Times New Roman"/>
          <w:bCs/>
          <w:color w:val="auto"/>
          <w:kern w:val="1"/>
          <w:sz w:val="22"/>
          <w:szCs w:val="20"/>
          <w:lang w:val="en-US" w:eastAsia="zh-CN" w:bidi="ar-SA"/>
        </w:rPr>
        <w:t>8</w:t>
      </w:r>
      <w:r>
        <w:rPr>
          <w:rFonts w:ascii="Times New Roman" w:hAnsi="Times New Roman" w:eastAsia="宋体" w:cs="Times New Roman"/>
          <w:bCs/>
          <w:color w:val="auto"/>
          <w:kern w:val="1"/>
          <w:sz w:val="22"/>
          <w:szCs w:val="20"/>
          <w:lang w:val="en-US" w:eastAsia="zh-CN" w:bidi="ar-SA"/>
        </w:rPr>
        <w:t>.1.5 各</w:t>
      </w:r>
      <w:r>
        <w:rPr>
          <w:rFonts w:hint="eastAsia" w:ascii="Times New Roman" w:hAnsi="Times New Roman" w:eastAsia="宋体" w:cs="Times New Roman"/>
          <w:bCs/>
          <w:color w:val="auto"/>
          <w:kern w:val="1"/>
          <w:sz w:val="22"/>
          <w:szCs w:val="20"/>
          <w:lang w:val="en-US" w:eastAsia="zh-CN" w:bidi="ar-SA"/>
        </w:rPr>
        <w:t>供应商</w:t>
      </w:r>
      <w:r>
        <w:rPr>
          <w:rFonts w:ascii="Times New Roman" w:hAnsi="Times New Roman" w:eastAsia="宋体" w:cs="Times New Roman"/>
          <w:bCs/>
          <w:color w:val="auto"/>
          <w:kern w:val="1"/>
          <w:sz w:val="22"/>
          <w:szCs w:val="20"/>
          <w:lang w:val="en-US" w:eastAsia="zh-CN" w:bidi="ar-SA"/>
        </w:rPr>
        <w:t>在</w:t>
      </w:r>
      <w:r>
        <w:rPr>
          <w:rFonts w:hint="eastAsia" w:ascii="Times New Roman" w:hAnsi="Times New Roman" w:eastAsia="宋体" w:cs="Times New Roman"/>
          <w:bCs/>
          <w:color w:val="auto"/>
          <w:kern w:val="1"/>
          <w:sz w:val="22"/>
          <w:szCs w:val="20"/>
          <w:lang w:val="en-US" w:eastAsia="zh-CN" w:bidi="ar-SA"/>
        </w:rPr>
        <w:t>响应</w:t>
      </w:r>
      <w:r>
        <w:rPr>
          <w:rFonts w:ascii="Times New Roman" w:hAnsi="Times New Roman" w:eastAsia="宋体" w:cs="Times New Roman"/>
          <w:bCs/>
          <w:color w:val="auto"/>
          <w:kern w:val="1"/>
          <w:sz w:val="22"/>
          <w:szCs w:val="20"/>
          <w:lang w:val="en-US" w:eastAsia="zh-CN" w:bidi="ar-SA"/>
        </w:rPr>
        <w:t>文件中要结合本项目的特点和采购人上述的具体要求制定相应的安全文明施工措施，同时应适当考虑购买自己员工和第三方责任保险，并在报价措施费中列支必须的费用清单。</w:t>
      </w:r>
    </w:p>
    <w:p w14:paraId="4008D55D">
      <w:pPr>
        <w:widowControl w:val="0"/>
        <w:suppressAutoHyphens/>
        <w:spacing w:line="300" w:lineRule="auto"/>
        <w:ind w:firstLine="422" w:firstLineChars="192"/>
        <w:jc w:val="both"/>
        <w:rPr>
          <w:rFonts w:ascii="Times New Roman" w:hAnsi="Times New Roman" w:eastAsia="宋体" w:cs="Times New Roman"/>
          <w:color w:val="auto"/>
          <w:kern w:val="1"/>
          <w:sz w:val="22"/>
          <w:szCs w:val="20"/>
          <w:lang w:val="en-US" w:eastAsia="zh-CN" w:bidi="ar-SA"/>
        </w:rPr>
      </w:pPr>
      <w:r>
        <w:rPr>
          <w:rFonts w:hint="eastAsia" w:ascii="Times New Roman" w:hAnsi="Times New Roman" w:eastAsia="宋体" w:cs="Times New Roman"/>
          <w:color w:val="auto"/>
          <w:kern w:val="1"/>
          <w:sz w:val="22"/>
          <w:szCs w:val="20"/>
          <w:lang w:val="en-US" w:eastAsia="zh-CN" w:bidi="ar-SA"/>
        </w:rPr>
        <w:t>8</w:t>
      </w:r>
      <w:r>
        <w:rPr>
          <w:rFonts w:ascii="Times New Roman" w:hAnsi="Times New Roman" w:eastAsia="宋体" w:cs="Times New Roman"/>
          <w:color w:val="auto"/>
          <w:kern w:val="1"/>
          <w:sz w:val="22"/>
          <w:szCs w:val="20"/>
          <w:lang w:val="en-US" w:eastAsia="zh-CN" w:bidi="ar-SA"/>
        </w:rPr>
        <w:t>.2 应急处置要求</w:t>
      </w:r>
    </w:p>
    <w:p w14:paraId="7DC0379A">
      <w:pPr>
        <w:widowControl w:val="0"/>
        <w:suppressAutoHyphens/>
        <w:spacing w:line="300" w:lineRule="auto"/>
        <w:ind w:firstLine="422" w:firstLineChars="192"/>
        <w:jc w:val="both"/>
        <w:rPr>
          <w:rFonts w:ascii="Times New Roman" w:hAnsi="Times New Roman" w:eastAsia="宋体" w:cs="Times New Roman"/>
          <w:color w:val="auto"/>
          <w:kern w:val="1"/>
          <w:sz w:val="22"/>
          <w:szCs w:val="20"/>
          <w:lang w:val="en-US" w:eastAsia="zh-CN" w:bidi="ar-SA"/>
        </w:rPr>
      </w:pPr>
      <w:r>
        <w:rPr>
          <w:rFonts w:hint="eastAsia" w:ascii="Times New Roman" w:hAnsi="Times New Roman" w:eastAsia="宋体" w:cs="Times New Roman"/>
          <w:color w:val="auto"/>
          <w:kern w:val="1"/>
          <w:sz w:val="22"/>
          <w:szCs w:val="20"/>
          <w:lang w:val="en-US" w:eastAsia="zh-CN" w:bidi="ar-SA"/>
        </w:rPr>
        <w:t>8</w:t>
      </w:r>
      <w:r>
        <w:rPr>
          <w:rFonts w:ascii="Times New Roman" w:hAnsi="Times New Roman" w:eastAsia="宋体" w:cs="Times New Roman"/>
          <w:color w:val="auto"/>
          <w:kern w:val="1"/>
          <w:sz w:val="22"/>
          <w:szCs w:val="20"/>
          <w:lang w:val="en-US" w:eastAsia="zh-CN" w:bidi="ar-SA"/>
        </w:rPr>
        <w:t xml:space="preserve">.2.1 </w:t>
      </w:r>
      <w:r>
        <w:rPr>
          <w:rFonts w:hint="eastAsia" w:ascii="Times New Roman" w:hAnsi="Times New Roman" w:eastAsia="宋体" w:cs="Times New Roman"/>
          <w:color w:val="auto"/>
          <w:kern w:val="1"/>
          <w:sz w:val="22"/>
          <w:szCs w:val="20"/>
          <w:lang w:val="en-US" w:eastAsia="zh-CN" w:bidi="ar-SA"/>
        </w:rPr>
        <w:t>成交供应商</w:t>
      </w:r>
      <w:r>
        <w:rPr>
          <w:rFonts w:ascii="Times New Roman" w:hAnsi="Times New Roman" w:eastAsia="宋体" w:cs="Times New Roman"/>
          <w:color w:val="auto"/>
          <w:kern w:val="1"/>
          <w:sz w:val="22"/>
          <w:szCs w:val="20"/>
          <w:lang w:val="en-US" w:eastAsia="zh-CN" w:bidi="ar-SA"/>
        </w:rPr>
        <w:t>须建立突发事件应急处置方案，应急预案应包括组织领导体系、预警和预防机制、应急响应工程措施、临时交通组织方案、保障措施（包括应急人员、物资、机械设备、资金等）等内容。</w:t>
      </w:r>
    </w:p>
    <w:p w14:paraId="3EC8553E">
      <w:pPr>
        <w:widowControl w:val="0"/>
        <w:suppressAutoHyphens/>
        <w:spacing w:line="300" w:lineRule="auto"/>
        <w:ind w:firstLine="422" w:firstLineChars="192"/>
        <w:jc w:val="both"/>
        <w:rPr>
          <w:rFonts w:ascii="Times New Roman" w:hAnsi="Times New Roman" w:eastAsia="宋体" w:cs="Times New Roman"/>
          <w:color w:val="auto"/>
          <w:kern w:val="1"/>
          <w:sz w:val="22"/>
          <w:szCs w:val="20"/>
          <w:lang w:val="en-US" w:eastAsia="zh-CN" w:bidi="ar-SA"/>
        </w:rPr>
      </w:pPr>
      <w:r>
        <w:rPr>
          <w:rFonts w:hint="eastAsia" w:ascii="Times New Roman" w:hAnsi="Times New Roman" w:eastAsia="宋体" w:cs="Times New Roman"/>
          <w:color w:val="auto"/>
          <w:kern w:val="1"/>
          <w:sz w:val="22"/>
          <w:szCs w:val="20"/>
          <w:lang w:val="en-US" w:eastAsia="zh-CN" w:bidi="ar-SA"/>
        </w:rPr>
        <w:t>8</w:t>
      </w:r>
      <w:r>
        <w:rPr>
          <w:rFonts w:ascii="Times New Roman" w:hAnsi="Times New Roman" w:eastAsia="宋体" w:cs="Times New Roman"/>
          <w:color w:val="auto"/>
          <w:kern w:val="1"/>
          <w:sz w:val="22"/>
          <w:szCs w:val="20"/>
          <w:lang w:val="en-US" w:eastAsia="zh-CN" w:bidi="ar-SA"/>
        </w:rPr>
        <w:t>.2.2 建立应急指挥领导小组，负责应急救援总体指挥，并落实各部门职责和相关措施。</w:t>
      </w:r>
    </w:p>
    <w:p w14:paraId="1DC22751">
      <w:pPr>
        <w:widowControl w:val="0"/>
        <w:suppressAutoHyphens/>
        <w:spacing w:line="300" w:lineRule="auto"/>
        <w:ind w:firstLine="422" w:firstLineChars="192"/>
        <w:jc w:val="both"/>
        <w:rPr>
          <w:rFonts w:ascii="Times New Roman" w:hAnsi="Times New Roman" w:eastAsia="宋体" w:cs="Times New Roman"/>
          <w:color w:val="auto"/>
          <w:kern w:val="1"/>
          <w:sz w:val="22"/>
          <w:szCs w:val="20"/>
          <w:lang w:val="en-US" w:eastAsia="zh-CN" w:bidi="ar-SA"/>
        </w:rPr>
      </w:pPr>
      <w:r>
        <w:rPr>
          <w:rFonts w:hint="eastAsia" w:ascii="Times New Roman" w:hAnsi="Times New Roman" w:eastAsia="宋体" w:cs="Times New Roman"/>
          <w:color w:val="auto"/>
          <w:kern w:val="1"/>
          <w:sz w:val="22"/>
          <w:szCs w:val="20"/>
          <w:lang w:val="en-US" w:eastAsia="zh-CN" w:bidi="ar-SA"/>
        </w:rPr>
        <w:t>8</w:t>
      </w:r>
      <w:r>
        <w:rPr>
          <w:rFonts w:ascii="Times New Roman" w:hAnsi="Times New Roman" w:eastAsia="宋体" w:cs="Times New Roman"/>
          <w:color w:val="auto"/>
          <w:kern w:val="1"/>
          <w:sz w:val="22"/>
          <w:szCs w:val="20"/>
          <w:lang w:val="en-US" w:eastAsia="zh-CN" w:bidi="ar-SA"/>
        </w:rPr>
        <w:t>.2.3 与气象、交警、消防、医疗等部门建立联动机制，如过程中发生重特大安全事故，</w:t>
      </w:r>
      <w:r>
        <w:rPr>
          <w:rFonts w:hint="eastAsia" w:ascii="Times New Roman" w:hAnsi="Times New Roman" w:eastAsia="宋体" w:cs="Times New Roman"/>
          <w:color w:val="auto"/>
          <w:kern w:val="1"/>
          <w:sz w:val="22"/>
          <w:szCs w:val="20"/>
          <w:lang w:val="en-US" w:eastAsia="zh-CN" w:bidi="ar-SA"/>
        </w:rPr>
        <w:t>成交供应商</w:t>
      </w:r>
      <w:r>
        <w:rPr>
          <w:rFonts w:ascii="Times New Roman" w:hAnsi="Times New Roman" w:eastAsia="宋体" w:cs="Times New Roman"/>
          <w:color w:val="auto"/>
          <w:kern w:val="1"/>
          <w:sz w:val="22"/>
          <w:szCs w:val="20"/>
          <w:lang w:val="en-US" w:eastAsia="zh-CN" w:bidi="ar-SA"/>
        </w:rPr>
        <w:t>应快速、及时赶到现场，实施紧急处置，并协同有关单位和部门做好善后处理和稳定工作。</w:t>
      </w:r>
    </w:p>
    <w:p w14:paraId="1AC5F08F">
      <w:pPr>
        <w:widowControl w:val="0"/>
        <w:suppressAutoHyphens/>
        <w:spacing w:line="300" w:lineRule="auto"/>
        <w:ind w:firstLine="422" w:firstLineChars="192"/>
        <w:jc w:val="both"/>
        <w:rPr>
          <w:rFonts w:ascii="Times New Roman" w:hAnsi="Times New Roman" w:eastAsia="宋体" w:cs="Times New Roman"/>
          <w:color w:val="auto"/>
          <w:kern w:val="1"/>
          <w:sz w:val="22"/>
          <w:szCs w:val="20"/>
          <w:lang w:val="en-US" w:eastAsia="zh-CN" w:bidi="ar-SA"/>
        </w:rPr>
      </w:pPr>
      <w:r>
        <w:rPr>
          <w:rFonts w:hint="eastAsia" w:ascii="Times New Roman" w:hAnsi="Times New Roman" w:eastAsia="宋体" w:cs="Times New Roman"/>
          <w:color w:val="auto"/>
          <w:kern w:val="1"/>
          <w:sz w:val="22"/>
          <w:szCs w:val="20"/>
          <w:lang w:val="en-US" w:eastAsia="zh-CN" w:bidi="ar-SA"/>
        </w:rPr>
        <w:t>8</w:t>
      </w:r>
      <w:r>
        <w:rPr>
          <w:rFonts w:ascii="Times New Roman" w:hAnsi="Times New Roman" w:eastAsia="宋体" w:cs="Times New Roman"/>
          <w:color w:val="auto"/>
          <w:kern w:val="1"/>
          <w:sz w:val="22"/>
          <w:szCs w:val="20"/>
          <w:lang w:val="en-US" w:eastAsia="zh-CN" w:bidi="ar-SA"/>
        </w:rPr>
        <w:t>.2.4 组建一支具有综合救援能力的应急救援队伍，一旦紧急情况发生，能在最短时间内到达现场进行应急处置。</w:t>
      </w:r>
    </w:p>
    <w:p w14:paraId="798BC656">
      <w:pPr>
        <w:widowControl w:val="0"/>
        <w:suppressAutoHyphens/>
        <w:spacing w:line="300" w:lineRule="auto"/>
        <w:ind w:firstLine="422" w:firstLineChars="192"/>
        <w:jc w:val="both"/>
        <w:rPr>
          <w:rFonts w:ascii="Times New Roman" w:hAnsi="Times New Roman" w:eastAsia="宋体" w:cs="Times New Roman"/>
          <w:color w:val="auto"/>
          <w:kern w:val="1"/>
          <w:sz w:val="22"/>
          <w:szCs w:val="20"/>
          <w:lang w:val="en-US" w:eastAsia="zh-CN" w:bidi="ar-SA"/>
        </w:rPr>
      </w:pPr>
      <w:r>
        <w:rPr>
          <w:rFonts w:hint="eastAsia" w:ascii="Times New Roman" w:hAnsi="Times New Roman" w:eastAsia="宋体" w:cs="Times New Roman"/>
          <w:color w:val="auto"/>
          <w:kern w:val="1"/>
          <w:sz w:val="22"/>
          <w:szCs w:val="20"/>
          <w:lang w:val="en-US" w:eastAsia="zh-CN" w:bidi="ar-SA"/>
        </w:rPr>
        <w:t>8</w:t>
      </w:r>
      <w:r>
        <w:rPr>
          <w:rFonts w:ascii="Times New Roman" w:hAnsi="Times New Roman" w:eastAsia="宋体" w:cs="Times New Roman"/>
          <w:color w:val="auto"/>
          <w:kern w:val="1"/>
          <w:sz w:val="22"/>
          <w:szCs w:val="20"/>
          <w:lang w:val="en-US" w:eastAsia="zh-CN" w:bidi="ar-SA"/>
        </w:rPr>
        <w:t>.2.5 定期检查应急救援物资与机具，确保物资储备数量充足、机具设备完好可用。</w:t>
      </w:r>
    </w:p>
    <w:p w14:paraId="3FA804E7">
      <w:pPr>
        <w:widowControl w:val="0"/>
        <w:suppressAutoHyphens/>
        <w:spacing w:line="300" w:lineRule="auto"/>
        <w:ind w:firstLine="422" w:firstLineChars="192"/>
        <w:jc w:val="both"/>
        <w:rPr>
          <w:rFonts w:ascii="Times New Roman" w:hAnsi="Times New Roman" w:eastAsia="宋体" w:cs="Times New Roman"/>
          <w:color w:val="auto"/>
          <w:kern w:val="1"/>
          <w:sz w:val="22"/>
          <w:szCs w:val="20"/>
          <w:lang w:val="en-US" w:eastAsia="zh-CN" w:bidi="ar-SA"/>
        </w:rPr>
      </w:pPr>
      <w:r>
        <w:rPr>
          <w:rFonts w:hint="eastAsia" w:ascii="Times New Roman" w:hAnsi="Times New Roman" w:eastAsia="宋体" w:cs="Times New Roman"/>
          <w:color w:val="auto"/>
          <w:kern w:val="1"/>
          <w:sz w:val="22"/>
          <w:szCs w:val="20"/>
          <w:lang w:val="en-US" w:eastAsia="zh-CN" w:bidi="ar-SA"/>
        </w:rPr>
        <w:t>8</w:t>
      </w:r>
      <w:r>
        <w:rPr>
          <w:rFonts w:ascii="Times New Roman" w:hAnsi="Times New Roman" w:eastAsia="宋体" w:cs="Times New Roman"/>
          <w:color w:val="auto"/>
          <w:kern w:val="1"/>
          <w:sz w:val="22"/>
          <w:szCs w:val="20"/>
          <w:lang w:val="en-US" w:eastAsia="zh-CN" w:bidi="ar-SA"/>
        </w:rPr>
        <w:t>.2.6 定期或不定期开展多方式多类别的应急演练，提高应急队伍的响应速度、救援水平和协同能力，并根据演练过程总结和结果评估，完善应急预案。</w:t>
      </w:r>
    </w:p>
    <w:p w14:paraId="654C7E1E">
      <w:pPr>
        <w:widowControl w:val="0"/>
        <w:suppressAutoHyphens/>
        <w:spacing w:line="300" w:lineRule="auto"/>
        <w:ind w:firstLine="422" w:firstLineChars="192"/>
        <w:jc w:val="both"/>
        <w:rPr>
          <w:rFonts w:ascii="Times New Roman" w:hAnsi="Times New Roman" w:eastAsia="宋体" w:cs="Times New Roman"/>
          <w:color w:val="auto"/>
          <w:kern w:val="1"/>
          <w:sz w:val="22"/>
          <w:szCs w:val="20"/>
          <w:lang w:val="en-US" w:eastAsia="zh-CN" w:bidi="ar-SA"/>
        </w:rPr>
      </w:pPr>
      <w:r>
        <w:rPr>
          <w:rFonts w:hint="eastAsia" w:ascii="Times New Roman" w:hAnsi="Times New Roman" w:eastAsia="宋体" w:cs="Times New Roman"/>
          <w:color w:val="auto"/>
          <w:kern w:val="1"/>
          <w:sz w:val="22"/>
          <w:szCs w:val="20"/>
          <w:lang w:val="en-US" w:eastAsia="zh-CN" w:bidi="ar-SA"/>
        </w:rPr>
        <w:t>8</w:t>
      </w:r>
      <w:r>
        <w:rPr>
          <w:rFonts w:ascii="Times New Roman" w:hAnsi="Times New Roman" w:eastAsia="宋体" w:cs="Times New Roman"/>
          <w:color w:val="auto"/>
          <w:kern w:val="1"/>
          <w:sz w:val="22"/>
          <w:szCs w:val="20"/>
          <w:lang w:val="en-US" w:eastAsia="zh-CN" w:bidi="ar-SA"/>
        </w:rPr>
        <w:t>.2.7 建立应急值守制度，安排专职人员，监测、收集各类信息；一旦发现突发性的紧急事件，在启动应急响应的同时，必须及时将情况上报</w:t>
      </w:r>
      <w:r>
        <w:rPr>
          <w:rFonts w:hint="eastAsia" w:ascii="Times New Roman" w:hAnsi="Times New Roman" w:eastAsia="宋体" w:cs="Times New Roman"/>
          <w:color w:val="auto"/>
          <w:kern w:val="1"/>
          <w:sz w:val="22"/>
          <w:szCs w:val="20"/>
          <w:lang w:val="en-US" w:eastAsia="zh-CN" w:bidi="ar-SA"/>
        </w:rPr>
        <w:t>采购人</w:t>
      </w:r>
      <w:r>
        <w:rPr>
          <w:rFonts w:ascii="Times New Roman" w:hAnsi="Times New Roman" w:eastAsia="宋体" w:cs="Times New Roman"/>
          <w:color w:val="auto"/>
          <w:kern w:val="1"/>
          <w:sz w:val="22"/>
          <w:szCs w:val="20"/>
          <w:lang w:val="en-US" w:eastAsia="zh-CN" w:bidi="ar-SA"/>
        </w:rPr>
        <w:t>，上报的应急信息必须实事求是，不得瞒报、谎报和拖延不报，上报形式可用电话口头初报，随后再书面报告。</w:t>
      </w:r>
    </w:p>
    <w:p w14:paraId="178C3759">
      <w:pPr>
        <w:spacing w:line="300" w:lineRule="auto"/>
        <w:ind w:firstLine="424" w:firstLineChars="192"/>
        <w:outlineLvl w:val="2"/>
        <w:rPr>
          <w:rFonts w:ascii="Times New Roman" w:hAnsi="Times New Roman" w:eastAsia="宋体" w:cs="Times New Roman"/>
          <w:b/>
          <w:color w:val="auto"/>
          <w:sz w:val="22"/>
          <w:szCs w:val="22"/>
        </w:rPr>
      </w:pPr>
      <w:bookmarkStart w:id="26" w:name="_Toc497211606"/>
      <w:bookmarkStart w:id="27" w:name="_Toc20587"/>
      <w:r>
        <w:rPr>
          <w:rFonts w:hint="eastAsia" w:ascii="Times New Roman" w:hAnsi="Times New Roman" w:eastAsia="宋体" w:cs="Times New Roman"/>
          <w:b/>
          <w:color w:val="auto"/>
          <w:sz w:val="22"/>
          <w:szCs w:val="22"/>
        </w:rPr>
        <w:t>9</w:t>
      </w:r>
      <w:r>
        <w:rPr>
          <w:rFonts w:ascii="Times New Roman" w:hAnsi="Times New Roman" w:eastAsia="宋体" w:cs="Times New Roman"/>
          <w:b/>
          <w:color w:val="auto"/>
          <w:sz w:val="22"/>
          <w:szCs w:val="22"/>
        </w:rPr>
        <w:t>管理、考核要求</w:t>
      </w:r>
      <w:bookmarkEnd w:id="26"/>
      <w:bookmarkEnd w:id="27"/>
    </w:p>
    <w:p w14:paraId="500E8FE0">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9</w:t>
      </w:r>
      <w:r>
        <w:rPr>
          <w:rFonts w:ascii="Times New Roman" w:hAnsi="Times New Roman" w:eastAsia="宋体" w:cs="Times New Roman"/>
          <w:color w:val="auto"/>
          <w:sz w:val="22"/>
          <w:szCs w:val="22"/>
        </w:rPr>
        <w:t>.1 项目管理要求</w:t>
      </w:r>
    </w:p>
    <w:p w14:paraId="5C01496A">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9</w:t>
      </w:r>
      <w:r>
        <w:rPr>
          <w:rFonts w:ascii="Times New Roman" w:hAnsi="Times New Roman" w:eastAsia="宋体" w:cs="Times New Roman"/>
          <w:color w:val="auto"/>
          <w:sz w:val="22"/>
          <w:szCs w:val="22"/>
        </w:rPr>
        <w:t xml:space="preserve">.1.1 </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在</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阶段应根据本项目具体情况、采购人需求和国家、本市有关规定与标准制定管理方案，在</w:t>
      </w:r>
      <w:r>
        <w:rPr>
          <w:rFonts w:hint="eastAsia" w:ascii="Times New Roman" w:hAnsi="Times New Roman" w:eastAsia="宋体" w:cs="Times New Roman"/>
          <w:color w:val="auto"/>
          <w:sz w:val="22"/>
          <w:szCs w:val="22"/>
        </w:rPr>
        <w:t>成交</w:t>
      </w:r>
      <w:r>
        <w:rPr>
          <w:rFonts w:ascii="Times New Roman" w:hAnsi="Times New Roman" w:eastAsia="宋体" w:cs="Times New Roman"/>
          <w:color w:val="auto"/>
          <w:sz w:val="22"/>
          <w:szCs w:val="22"/>
        </w:rPr>
        <w:t>后据此进行细化，经采购人确认后按照确认的管理方案和管理计划组织管理，接受采购人代表对管理质量的检查、监督和考核。未经采购人事前书面许可，</w:t>
      </w:r>
      <w:r>
        <w:rPr>
          <w:rFonts w:hint="eastAsia" w:ascii="Times New Roman" w:hAnsi="Times New Roman" w:eastAsia="宋体" w:cs="Times New Roman"/>
          <w:color w:val="auto"/>
          <w:sz w:val="22"/>
          <w:szCs w:val="22"/>
        </w:rPr>
        <w:t>成交供应商</w:t>
      </w:r>
      <w:r>
        <w:rPr>
          <w:rFonts w:ascii="Times New Roman" w:hAnsi="Times New Roman" w:eastAsia="宋体" w:cs="Times New Roman"/>
          <w:color w:val="auto"/>
          <w:sz w:val="22"/>
          <w:szCs w:val="22"/>
        </w:rPr>
        <w:t>不得自行调整管理方案或更改管理措施。</w:t>
      </w:r>
    </w:p>
    <w:p w14:paraId="05F42317">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9</w:t>
      </w:r>
      <w:r>
        <w:rPr>
          <w:rFonts w:ascii="Times New Roman" w:hAnsi="Times New Roman" w:eastAsia="宋体" w:cs="Times New Roman"/>
          <w:color w:val="auto"/>
          <w:sz w:val="22"/>
          <w:szCs w:val="22"/>
        </w:rPr>
        <w:t>.1.2 根据实际需要或其他原因，采购人认为确有必要调整管理方案并以书面形式要求</w:t>
      </w:r>
      <w:r>
        <w:rPr>
          <w:rFonts w:hint="eastAsia" w:ascii="Times New Roman" w:hAnsi="Times New Roman" w:eastAsia="宋体" w:cs="Times New Roman"/>
          <w:color w:val="auto"/>
          <w:sz w:val="22"/>
          <w:szCs w:val="22"/>
        </w:rPr>
        <w:t>成交供应商</w:t>
      </w:r>
      <w:r>
        <w:rPr>
          <w:rFonts w:ascii="Times New Roman" w:hAnsi="Times New Roman" w:eastAsia="宋体" w:cs="Times New Roman"/>
          <w:color w:val="auto"/>
          <w:sz w:val="22"/>
          <w:szCs w:val="22"/>
        </w:rPr>
        <w:t>管理人员调整管理时间或更改管理措施时，</w:t>
      </w:r>
      <w:r>
        <w:rPr>
          <w:rFonts w:hint="eastAsia" w:ascii="Times New Roman" w:hAnsi="Times New Roman" w:eastAsia="宋体" w:cs="Times New Roman"/>
          <w:color w:val="auto"/>
          <w:sz w:val="22"/>
          <w:szCs w:val="22"/>
        </w:rPr>
        <w:t>成交供应商</w:t>
      </w:r>
      <w:r>
        <w:rPr>
          <w:rFonts w:ascii="Times New Roman" w:hAnsi="Times New Roman" w:eastAsia="宋体" w:cs="Times New Roman"/>
          <w:color w:val="auto"/>
          <w:sz w:val="22"/>
          <w:szCs w:val="22"/>
        </w:rPr>
        <w:t>应遵从采购人要求，但如该项调整导致的费用增加，</w:t>
      </w:r>
      <w:r>
        <w:rPr>
          <w:rFonts w:hint="eastAsia" w:ascii="Times New Roman" w:hAnsi="Times New Roman" w:eastAsia="宋体" w:cs="Times New Roman"/>
          <w:color w:val="auto"/>
          <w:sz w:val="22"/>
          <w:szCs w:val="22"/>
        </w:rPr>
        <w:t>成交供应商</w:t>
      </w:r>
      <w:r>
        <w:rPr>
          <w:rFonts w:ascii="Times New Roman" w:hAnsi="Times New Roman" w:eastAsia="宋体" w:cs="Times New Roman"/>
          <w:color w:val="auto"/>
          <w:sz w:val="22"/>
          <w:szCs w:val="22"/>
        </w:rPr>
        <w:t>需提出增加费用预算和依据，经由采购人确认后由采购人承担。</w:t>
      </w:r>
    </w:p>
    <w:p w14:paraId="53299CBB">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9</w:t>
      </w:r>
      <w:r>
        <w:rPr>
          <w:rFonts w:ascii="Times New Roman" w:hAnsi="Times New Roman" w:eastAsia="宋体" w:cs="Times New Roman"/>
          <w:color w:val="auto"/>
          <w:sz w:val="22"/>
          <w:szCs w:val="22"/>
        </w:rPr>
        <w:t xml:space="preserve">.1.3 </w:t>
      </w:r>
      <w:r>
        <w:rPr>
          <w:rFonts w:hint="eastAsia" w:ascii="Times New Roman" w:hAnsi="Times New Roman" w:eastAsia="宋体" w:cs="Times New Roman"/>
          <w:color w:val="auto"/>
          <w:sz w:val="22"/>
          <w:szCs w:val="22"/>
        </w:rPr>
        <w:t>成交供应商</w:t>
      </w:r>
      <w:r>
        <w:rPr>
          <w:rFonts w:ascii="Times New Roman" w:hAnsi="Times New Roman" w:eastAsia="宋体" w:cs="Times New Roman"/>
          <w:color w:val="auto"/>
          <w:sz w:val="22"/>
          <w:szCs w:val="22"/>
        </w:rPr>
        <w:t>在</w:t>
      </w:r>
      <w:r>
        <w:rPr>
          <w:rFonts w:hint="eastAsia" w:ascii="Times New Roman" w:hAnsi="Times New Roman" w:eastAsia="宋体" w:cs="Times New Roman"/>
          <w:color w:val="auto"/>
          <w:sz w:val="22"/>
          <w:szCs w:val="22"/>
        </w:rPr>
        <w:t>响应文件中</w:t>
      </w:r>
      <w:r>
        <w:rPr>
          <w:rFonts w:ascii="Times New Roman" w:hAnsi="Times New Roman" w:eastAsia="宋体" w:cs="Times New Roman"/>
          <w:color w:val="auto"/>
          <w:sz w:val="22"/>
          <w:szCs w:val="22"/>
        </w:rPr>
        <w:t>承诺并经采购人认定的项目负责人及专业技术、管理人员应是本单位职工，且为该项目现场的实际操作者，并应常驻项目现场。未经采购人同意，</w:t>
      </w:r>
      <w:r>
        <w:rPr>
          <w:rFonts w:hint="eastAsia" w:ascii="Times New Roman" w:hAnsi="Times New Roman" w:eastAsia="宋体" w:cs="Times New Roman"/>
          <w:color w:val="auto"/>
          <w:sz w:val="22"/>
          <w:szCs w:val="22"/>
        </w:rPr>
        <w:t>成交供应商</w:t>
      </w:r>
      <w:r>
        <w:rPr>
          <w:rFonts w:ascii="Times New Roman" w:hAnsi="Times New Roman" w:eastAsia="宋体" w:cs="Times New Roman"/>
          <w:color w:val="auto"/>
          <w:sz w:val="22"/>
          <w:szCs w:val="22"/>
        </w:rPr>
        <w:t>不得调换或撤离上述人员，如采购人认为有必要，可要求</w:t>
      </w:r>
      <w:r>
        <w:rPr>
          <w:rFonts w:hint="eastAsia" w:ascii="Times New Roman" w:hAnsi="Times New Roman" w:eastAsia="宋体" w:cs="Times New Roman"/>
          <w:color w:val="auto"/>
          <w:sz w:val="22"/>
          <w:szCs w:val="22"/>
        </w:rPr>
        <w:t>成交供应商</w:t>
      </w:r>
      <w:r>
        <w:rPr>
          <w:rFonts w:ascii="Times New Roman" w:hAnsi="Times New Roman" w:eastAsia="宋体" w:cs="Times New Roman"/>
          <w:color w:val="auto"/>
          <w:sz w:val="22"/>
          <w:szCs w:val="22"/>
        </w:rPr>
        <w:t>对上述人员中的部分人员作出更好的调整。</w:t>
      </w:r>
    </w:p>
    <w:p w14:paraId="24072685">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9</w:t>
      </w:r>
      <w:r>
        <w:rPr>
          <w:rFonts w:ascii="Times New Roman" w:hAnsi="Times New Roman" w:eastAsia="宋体" w:cs="Times New Roman"/>
          <w:color w:val="auto"/>
          <w:sz w:val="22"/>
          <w:szCs w:val="22"/>
        </w:rPr>
        <w:t xml:space="preserve">.1.4 </w:t>
      </w:r>
      <w:r>
        <w:rPr>
          <w:rFonts w:hint="eastAsia" w:ascii="Times New Roman" w:hAnsi="Times New Roman" w:eastAsia="宋体" w:cs="Times New Roman"/>
          <w:color w:val="auto"/>
          <w:sz w:val="22"/>
          <w:szCs w:val="22"/>
        </w:rPr>
        <w:t>成交供应商</w:t>
      </w:r>
      <w:r>
        <w:rPr>
          <w:rFonts w:ascii="Times New Roman" w:hAnsi="Times New Roman" w:eastAsia="宋体" w:cs="Times New Roman"/>
          <w:color w:val="auto"/>
          <w:sz w:val="22"/>
          <w:szCs w:val="22"/>
        </w:rPr>
        <w:t>需建立职工（含劳务工等各种类型用工）花名册等档案资料，与职工签订劳动合同，为其办理国家规定的相关保险，并按规定标准安排专业健康体检和配备劳动防护用品。</w:t>
      </w:r>
    </w:p>
    <w:p w14:paraId="565A8475">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9</w:t>
      </w:r>
      <w:r>
        <w:rPr>
          <w:rFonts w:ascii="Times New Roman" w:hAnsi="Times New Roman" w:eastAsia="宋体" w:cs="Times New Roman"/>
          <w:color w:val="auto"/>
          <w:sz w:val="22"/>
          <w:szCs w:val="22"/>
        </w:rPr>
        <w:t>.1.5 本项目所用材料、制品、设备等均需符合相关技术规程、规范要求。</w:t>
      </w:r>
    </w:p>
    <w:p w14:paraId="1A6C4B4B">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9</w:t>
      </w:r>
      <w:r>
        <w:rPr>
          <w:rFonts w:ascii="Times New Roman" w:hAnsi="Times New Roman" w:eastAsia="宋体" w:cs="Times New Roman"/>
          <w:color w:val="auto"/>
          <w:sz w:val="22"/>
          <w:szCs w:val="22"/>
        </w:rPr>
        <w:t>.1.6 本项目所用的材料、制品、设备等，供货单位送达施工现场后，由</w:t>
      </w:r>
      <w:r>
        <w:rPr>
          <w:rFonts w:hint="eastAsia" w:ascii="Times New Roman" w:hAnsi="Times New Roman" w:eastAsia="宋体" w:cs="Times New Roman"/>
          <w:color w:val="auto"/>
          <w:sz w:val="22"/>
          <w:szCs w:val="22"/>
        </w:rPr>
        <w:t>成交供应商</w:t>
      </w:r>
      <w:r>
        <w:rPr>
          <w:rFonts w:ascii="Times New Roman" w:hAnsi="Times New Roman" w:eastAsia="宋体" w:cs="Times New Roman"/>
          <w:color w:val="auto"/>
          <w:sz w:val="22"/>
          <w:szCs w:val="22"/>
        </w:rPr>
        <w:t>负责办理验收交割手续，并负责日常保管工作。</w:t>
      </w:r>
    </w:p>
    <w:p w14:paraId="74370916">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9</w:t>
      </w:r>
      <w:r>
        <w:rPr>
          <w:rFonts w:ascii="Times New Roman" w:hAnsi="Times New Roman" w:eastAsia="宋体" w:cs="Times New Roman"/>
          <w:color w:val="auto"/>
          <w:sz w:val="22"/>
          <w:szCs w:val="22"/>
        </w:rPr>
        <w:t>.2 项目考核办法</w:t>
      </w:r>
    </w:p>
    <w:p w14:paraId="53ED4759">
      <w:pPr>
        <w:adjustRightInd w:val="0"/>
        <w:snapToGrid w:val="0"/>
        <w:spacing w:line="300" w:lineRule="auto"/>
        <w:jc w:val="center"/>
        <w:rPr>
          <w:rFonts w:ascii="宋体" w:hAnsi="宋体" w:eastAsia="宋体" w:cs="Times New Roman"/>
          <w:color w:val="auto"/>
          <w:sz w:val="28"/>
          <w:szCs w:val="28"/>
        </w:rPr>
      </w:pPr>
      <w:r>
        <w:rPr>
          <w:rFonts w:hint="eastAsia" w:ascii="宋体" w:hAnsi="宋体" w:eastAsia="宋体" w:cs="Times New Roman"/>
          <w:color w:val="auto"/>
          <w:sz w:val="28"/>
          <w:szCs w:val="28"/>
        </w:rPr>
        <w:t>浦东新区张江镇路灯养护管理检查考核办法</w:t>
      </w:r>
    </w:p>
    <w:p w14:paraId="177C5973">
      <w:pPr>
        <w:adjustRightInd w:val="0"/>
        <w:snapToGrid w:val="0"/>
        <w:spacing w:line="300" w:lineRule="auto"/>
        <w:ind w:firstLine="442" w:firstLineChars="200"/>
        <w:rPr>
          <w:rFonts w:ascii="宋体" w:hAnsi="宋体" w:eastAsia="宋体" w:cs="Times New Roman"/>
          <w:b/>
          <w:color w:val="auto"/>
          <w:sz w:val="22"/>
          <w:szCs w:val="22"/>
        </w:rPr>
      </w:pPr>
    </w:p>
    <w:p w14:paraId="3F8DE90F">
      <w:pPr>
        <w:adjustRightInd w:val="0"/>
        <w:snapToGrid w:val="0"/>
        <w:spacing w:line="300" w:lineRule="auto"/>
        <w:ind w:firstLine="442" w:firstLineChars="200"/>
        <w:rPr>
          <w:rFonts w:ascii="宋体" w:hAnsi="宋体" w:eastAsia="宋体" w:cs="Times New Roman"/>
          <w:b/>
          <w:color w:val="auto"/>
          <w:sz w:val="22"/>
          <w:szCs w:val="22"/>
        </w:rPr>
      </w:pPr>
      <w:r>
        <w:rPr>
          <w:rFonts w:hint="eastAsia" w:ascii="宋体" w:hAnsi="宋体" w:eastAsia="宋体" w:cs="Times New Roman"/>
          <w:b/>
          <w:color w:val="auto"/>
          <w:sz w:val="22"/>
          <w:szCs w:val="22"/>
        </w:rPr>
        <w:t>第一条  目的依据</w:t>
      </w:r>
    </w:p>
    <w:p w14:paraId="2EAC4009">
      <w:pPr>
        <w:adjustRightInd w:val="0"/>
        <w:snapToGrid w:val="0"/>
        <w:spacing w:line="300" w:lineRule="auto"/>
        <w:ind w:firstLine="570"/>
        <w:rPr>
          <w:rFonts w:ascii="宋体" w:hAnsi="宋体" w:eastAsia="宋体" w:cs="Times New Roman"/>
          <w:color w:val="auto"/>
          <w:sz w:val="22"/>
          <w:szCs w:val="22"/>
        </w:rPr>
      </w:pPr>
      <w:r>
        <w:rPr>
          <w:rFonts w:hint="eastAsia" w:ascii="宋体" w:hAnsi="宋体" w:eastAsia="宋体" w:cs="Times New Roman"/>
          <w:color w:val="auto"/>
          <w:sz w:val="22"/>
          <w:szCs w:val="22"/>
        </w:rPr>
        <w:t>为加强张江镇路灯养护管理工作，为使张江镇镇各片区路灯管理规范化，标准化，制度化，进一步提高路灯维修管理水平，结合路灯工作实际，制定本办法。</w:t>
      </w:r>
    </w:p>
    <w:p w14:paraId="166B60F3">
      <w:pPr>
        <w:adjustRightInd w:val="0"/>
        <w:snapToGrid w:val="0"/>
        <w:spacing w:line="300" w:lineRule="auto"/>
        <w:ind w:firstLine="442" w:firstLineChars="200"/>
        <w:rPr>
          <w:rFonts w:ascii="宋体" w:hAnsi="宋体" w:eastAsia="宋体" w:cs="Times New Roman"/>
          <w:color w:val="auto"/>
          <w:sz w:val="22"/>
          <w:szCs w:val="22"/>
        </w:rPr>
      </w:pPr>
      <w:r>
        <w:rPr>
          <w:rFonts w:hint="eastAsia" w:ascii="宋体" w:hAnsi="宋体" w:eastAsia="宋体" w:cs="Times New Roman"/>
          <w:b/>
          <w:color w:val="auto"/>
          <w:sz w:val="22"/>
          <w:szCs w:val="22"/>
        </w:rPr>
        <w:t>第二条  考核范围</w:t>
      </w:r>
    </w:p>
    <w:p w14:paraId="46F5E647">
      <w:pPr>
        <w:adjustRightInd w:val="0"/>
        <w:snapToGrid w:val="0"/>
        <w:spacing w:line="300" w:lineRule="auto"/>
        <w:ind w:firstLine="440" w:firstLineChars="200"/>
        <w:rPr>
          <w:rFonts w:ascii="宋体" w:hAnsi="宋体" w:eastAsia="宋体" w:cs="Times New Roman"/>
          <w:color w:val="auto"/>
          <w:sz w:val="22"/>
          <w:szCs w:val="22"/>
        </w:rPr>
      </w:pPr>
      <w:r>
        <w:rPr>
          <w:rFonts w:hint="eastAsia" w:ascii="宋体" w:hAnsi="宋体" w:eastAsia="宋体" w:cs="Times New Roman"/>
          <w:color w:val="auto"/>
          <w:sz w:val="22"/>
          <w:szCs w:val="22"/>
        </w:rPr>
        <w:t>本办法适用于已纳入张江镇镇各片区路灯及相关附属设施。</w:t>
      </w:r>
    </w:p>
    <w:p w14:paraId="50C51A3F">
      <w:pPr>
        <w:adjustRightInd w:val="0"/>
        <w:snapToGrid w:val="0"/>
        <w:spacing w:line="300" w:lineRule="auto"/>
        <w:ind w:firstLine="442" w:firstLineChars="200"/>
        <w:rPr>
          <w:rFonts w:ascii="宋体" w:hAnsi="宋体" w:eastAsia="宋体" w:cs="Times New Roman"/>
          <w:b/>
          <w:color w:val="auto"/>
          <w:sz w:val="22"/>
          <w:szCs w:val="22"/>
        </w:rPr>
      </w:pPr>
      <w:r>
        <w:rPr>
          <w:rFonts w:hint="eastAsia" w:ascii="宋体" w:hAnsi="宋体" w:eastAsia="宋体" w:cs="Times New Roman"/>
          <w:b/>
          <w:color w:val="auto"/>
          <w:sz w:val="22"/>
          <w:szCs w:val="22"/>
        </w:rPr>
        <w:t>第三条  组织体系</w:t>
      </w:r>
    </w:p>
    <w:p w14:paraId="6F5B3A9B">
      <w:pPr>
        <w:adjustRightInd w:val="0"/>
        <w:snapToGrid w:val="0"/>
        <w:spacing w:line="300" w:lineRule="auto"/>
        <w:ind w:firstLine="440" w:firstLineChars="200"/>
        <w:rPr>
          <w:rFonts w:ascii="宋体" w:hAnsi="宋体" w:eastAsia="宋体" w:cs="Times New Roman"/>
          <w:color w:val="auto"/>
          <w:sz w:val="22"/>
          <w:szCs w:val="22"/>
        </w:rPr>
      </w:pPr>
      <w:r>
        <w:rPr>
          <w:rFonts w:hint="eastAsia" w:ascii="宋体" w:hAnsi="宋体" w:eastAsia="宋体" w:cs="Times New Roman"/>
          <w:color w:val="auto"/>
          <w:sz w:val="22"/>
          <w:szCs w:val="22"/>
        </w:rPr>
        <w:t>根据浦东新区张江镇镇府机关职责分工，规建办是路灯管理养护工作的主管部门，全面负责检查考核工作。</w:t>
      </w:r>
    </w:p>
    <w:p w14:paraId="07989A33">
      <w:pPr>
        <w:adjustRightInd w:val="0"/>
        <w:snapToGrid w:val="0"/>
        <w:spacing w:line="300" w:lineRule="auto"/>
        <w:ind w:firstLine="442" w:firstLineChars="200"/>
        <w:rPr>
          <w:rFonts w:ascii="宋体" w:hAnsi="宋体" w:eastAsia="宋体" w:cs="Times New Roman"/>
          <w:b/>
          <w:color w:val="auto"/>
          <w:sz w:val="22"/>
          <w:szCs w:val="22"/>
        </w:rPr>
      </w:pPr>
      <w:r>
        <w:rPr>
          <w:rFonts w:hint="eastAsia" w:ascii="宋体" w:hAnsi="宋体" w:eastAsia="宋体" w:cs="Times New Roman"/>
          <w:b/>
          <w:color w:val="auto"/>
          <w:sz w:val="22"/>
          <w:szCs w:val="22"/>
        </w:rPr>
        <w:t>第四条 考核形式</w:t>
      </w:r>
    </w:p>
    <w:p w14:paraId="24B47334">
      <w:pPr>
        <w:adjustRightInd w:val="0"/>
        <w:snapToGrid w:val="0"/>
        <w:spacing w:line="300" w:lineRule="auto"/>
        <w:ind w:firstLine="570"/>
        <w:rPr>
          <w:rFonts w:hint="eastAsia" w:ascii="宋体" w:hAnsi="宋体" w:eastAsia="宋体" w:cs="Times New Roman"/>
          <w:color w:val="auto"/>
          <w:sz w:val="22"/>
          <w:szCs w:val="22"/>
        </w:rPr>
      </w:pPr>
      <w:r>
        <w:rPr>
          <w:rFonts w:hint="eastAsia" w:ascii="宋体" w:hAnsi="宋体" w:eastAsia="宋体" w:cs="Times New Roman"/>
          <w:color w:val="auto"/>
          <w:sz w:val="22"/>
          <w:szCs w:val="22"/>
        </w:rPr>
        <w:t>对养护企业检查考核。镇规建办在镇政府的领导下，每季度对养护企业开展检查。重点检查养护企业履职情况，属于常规性的检查考核手段。实行百分制考核， 考核分四个等级。90分以上（含90分）为优，80—90分（含80分）为良，70—80（含70分）为合格，70分以下为不合格。</w:t>
      </w:r>
    </w:p>
    <w:p w14:paraId="0B5072F4">
      <w:pPr>
        <w:adjustRightInd w:val="0"/>
        <w:snapToGrid w:val="0"/>
        <w:spacing w:line="300" w:lineRule="auto"/>
        <w:ind w:firstLine="570"/>
        <w:rPr>
          <w:rFonts w:hint="eastAsia" w:ascii="宋体" w:hAnsi="宋体" w:eastAsia="宋体" w:cs="Times New Roman"/>
          <w:color w:val="auto"/>
          <w:sz w:val="22"/>
          <w:szCs w:val="22"/>
          <w:highlight w:val="none"/>
        </w:rPr>
      </w:pPr>
      <w:r>
        <w:rPr>
          <w:rFonts w:hint="eastAsia" w:ascii="宋体" w:hAnsi="宋体" w:eastAsia="宋体" w:cs="宋体"/>
          <w:color w:val="auto"/>
          <w:kern w:val="0"/>
          <w:sz w:val="22"/>
          <w:szCs w:val="22"/>
          <w:highlight w:val="none"/>
        </w:rPr>
        <w:t>奖惩措施：考核等级结果是“优”、“良”、“合格”的，支付</w:t>
      </w:r>
      <w:r>
        <w:rPr>
          <w:rFonts w:hint="eastAsia" w:ascii="宋体" w:hAnsi="宋体" w:eastAsia="宋体" w:cs="宋体"/>
          <w:color w:val="auto"/>
          <w:kern w:val="0"/>
          <w:sz w:val="22"/>
          <w:szCs w:val="22"/>
          <w:highlight w:val="none"/>
          <w:lang w:eastAsia="zh-CN"/>
        </w:rPr>
        <w:t>日常养护</w:t>
      </w:r>
      <w:r>
        <w:rPr>
          <w:rFonts w:hint="eastAsia" w:ascii="宋体" w:hAnsi="宋体" w:eastAsia="宋体" w:cs="宋体"/>
          <w:color w:val="auto"/>
          <w:kern w:val="0"/>
          <w:sz w:val="22"/>
          <w:szCs w:val="22"/>
          <w:highlight w:val="none"/>
        </w:rPr>
        <w:t>费用的</w:t>
      </w:r>
      <w:r>
        <w:rPr>
          <w:rFonts w:ascii="宋体" w:hAnsi="宋体" w:eastAsia="宋体" w:cs="宋体"/>
          <w:color w:val="auto"/>
          <w:kern w:val="0"/>
          <w:sz w:val="22"/>
          <w:szCs w:val="22"/>
          <w:highlight w:val="none"/>
        </w:rPr>
        <w:t>100%</w:t>
      </w:r>
      <w:r>
        <w:rPr>
          <w:rFonts w:hint="eastAsia" w:ascii="宋体" w:hAnsi="宋体" w:eastAsia="宋体" w:cs="宋体"/>
          <w:color w:val="auto"/>
          <w:kern w:val="0"/>
          <w:sz w:val="22"/>
          <w:szCs w:val="22"/>
          <w:highlight w:val="none"/>
        </w:rPr>
        <w:t>；连续三次考核等级结果是“不合格”的，支付</w:t>
      </w:r>
      <w:r>
        <w:rPr>
          <w:rFonts w:hint="eastAsia" w:ascii="宋体" w:hAnsi="宋体" w:eastAsia="宋体" w:cs="宋体"/>
          <w:color w:val="auto"/>
          <w:kern w:val="0"/>
          <w:sz w:val="22"/>
          <w:szCs w:val="22"/>
          <w:highlight w:val="none"/>
          <w:lang w:eastAsia="zh-CN"/>
        </w:rPr>
        <w:t>日常养护</w:t>
      </w:r>
      <w:r>
        <w:rPr>
          <w:rFonts w:hint="eastAsia" w:ascii="宋体" w:hAnsi="宋体" w:eastAsia="宋体" w:cs="宋体"/>
          <w:color w:val="auto"/>
          <w:kern w:val="0"/>
          <w:sz w:val="22"/>
          <w:szCs w:val="22"/>
          <w:highlight w:val="none"/>
        </w:rPr>
        <w:t>费用的</w:t>
      </w:r>
      <w:r>
        <w:rPr>
          <w:rFonts w:hint="eastAsia" w:ascii="宋体" w:hAnsi="宋体" w:eastAsia="宋体" w:cs="宋体"/>
          <w:color w:val="auto"/>
          <w:kern w:val="0"/>
          <w:sz w:val="22"/>
          <w:szCs w:val="22"/>
          <w:highlight w:val="none"/>
          <w:lang w:val="en-US" w:eastAsia="zh-CN"/>
        </w:rPr>
        <w:t>80</w:t>
      </w:r>
      <w:r>
        <w:rPr>
          <w:rFonts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rPr>
        <w:t>。</w:t>
      </w:r>
    </w:p>
    <w:p w14:paraId="2C982D15">
      <w:pPr>
        <w:adjustRightInd w:val="0"/>
        <w:snapToGrid w:val="0"/>
        <w:spacing w:line="300" w:lineRule="auto"/>
        <w:ind w:firstLine="570"/>
        <w:rPr>
          <w:rFonts w:ascii="宋体" w:hAnsi="宋体" w:eastAsia="宋体" w:cs="Times New Roman"/>
          <w:b/>
          <w:color w:val="auto"/>
          <w:sz w:val="22"/>
          <w:szCs w:val="22"/>
        </w:rPr>
      </w:pPr>
      <w:r>
        <w:rPr>
          <w:rFonts w:hint="eastAsia" w:ascii="宋体" w:hAnsi="宋体" w:eastAsia="宋体" w:cs="Times New Roman"/>
          <w:b/>
          <w:color w:val="auto"/>
          <w:sz w:val="22"/>
          <w:szCs w:val="22"/>
        </w:rPr>
        <w:t>第五条  检查考核内容</w:t>
      </w:r>
    </w:p>
    <w:p w14:paraId="20D8211B">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对镇级层面进行检查考核。对管养工作进行系统的检查考核，以管理规范和养护实绩为检查重点，突出计划的科学性、管理的规范性、监督有效性和养护实效性等。具体内容为：</w:t>
      </w:r>
    </w:p>
    <w:p w14:paraId="45950BD5">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1、定期性巡查检修的考核内容</w:t>
      </w:r>
    </w:p>
    <w:p w14:paraId="47C4942A">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定期性巡查检修是根据维修路灯经验和实际，各路段范围，结合设施量，光源类别，灯型等多种因素决定，巡查检修周期规定如下：</w:t>
      </w:r>
    </w:p>
    <w:p w14:paraId="3E0AAC8F">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 xml:space="preserve"> （1）主干道路灯每周至少7次；</w:t>
      </w:r>
    </w:p>
    <w:p w14:paraId="30E5C750">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 xml:space="preserve"> （2）20米以上高杆灯每周至少7次；</w:t>
      </w:r>
    </w:p>
    <w:p w14:paraId="03D28AC5">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 xml:space="preserve"> （3）监控的路灯不间断巡查。</w:t>
      </w:r>
    </w:p>
    <w:p w14:paraId="5D7C5B5F">
      <w:pPr>
        <w:spacing w:line="300" w:lineRule="auto"/>
        <w:ind w:firstLine="532" w:firstLineChars="24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（4）对有配电间区域，除日常外观巡视外还需每月打开配电间巡视以防止虫害、漏水等造成的线路故障。</w:t>
      </w:r>
    </w:p>
    <w:p w14:paraId="5FD66D66">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定期性巡查检修是在每日进行，每晚亮灯开始，因四季天黑天亮差别大，具体开关灯时间由维修负责人根据季节的变化而定。</w:t>
      </w:r>
    </w:p>
    <w:p w14:paraId="0DCD98B4">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2、特殊性巡查检修的考核内容</w:t>
      </w:r>
    </w:p>
    <w:p w14:paraId="5FC5DE1D">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如遇台风等自然性灾害天气，对主干道等重要部位要在符合安全的情况下加大巡查频率，每天原则上不少于2次。</w:t>
      </w:r>
    </w:p>
    <w:p w14:paraId="6905D0B5">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3、路灯及相关附属设施整洁、清洁度的考核内容</w:t>
      </w:r>
    </w:p>
    <w:p w14:paraId="7B094C47">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养护单位应通过定期性巡查，确保路灯及相关附属设施的整洁、清洁度。</w:t>
      </w:r>
    </w:p>
    <w:p w14:paraId="02144CD8">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4、路灯亮灯率的考核内容</w:t>
      </w:r>
    </w:p>
    <w:p w14:paraId="4EBA9133">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养护单位应通过定期性巡查及特殊性巡查检修，确保路灯的亮灯率不低于99%。</w:t>
      </w:r>
    </w:p>
    <w:p w14:paraId="628BEA3E">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5、路灯及相关附属设施完好率的考核内容</w:t>
      </w:r>
    </w:p>
    <w:p w14:paraId="49A42006">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养护单位应通过定期性巡查及特殊性巡查检修，确保路灯及相关附属设施的完好率不低于95%。</w:t>
      </w:r>
    </w:p>
    <w:p w14:paraId="293CE58D">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6、路灯修复时间的考核内容</w:t>
      </w:r>
    </w:p>
    <w:p w14:paraId="12DA5488">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（1）灯具四件头（灯泡、镇流器、触发器、电容）故障1个工作日修复；</w:t>
      </w:r>
    </w:p>
    <w:p w14:paraId="35BDDE6E">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（2）常规线路路障2个工作日修复；</w:t>
      </w:r>
    </w:p>
    <w:p w14:paraId="0CFD8AC6">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（3）遇有线路设施被盗或自然灾害损坏，根据实际情况12小时内修复；</w:t>
      </w:r>
    </w:p>
    <w:p w14:paraId="76CE9D38">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（4）重大节日、政治活动，立即组织修复；</w:t>
      </w:r>
    </w:p>
    <w:p w14:paraId="3D1921BB">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（5）对危及人身、交通安全的路灯设施，一经发现，立即组织处理，尽快修复。</w:t>
      </w:r>
    </w:p>
    <w:p w14:paraId="5DC0D53F">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7、养护工作其他的考核内容</w:t>
      </w:r>
    </w:p>
    <w:p w14:paraId="043F7C75">
      <w:pPr>
        <w:spacing w:line="300" w:lineRule="auto"/>
        <w:ind w:firstLine="422" w:firstLineChars="192"/>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包括养护单位诚信缺失、人员设备配备、养护失责、媒体曝光、投诉、上级行政机构监督、政风行风、重大伤亡事故与防汛防台应急处置等方面综合评定考核。</w:t>
      </w:r>
    </w:p>
    <w:p w14:paraId="06F649A4">
      <w:pPr>
        <w:adjustRightInd w:val="0"/>
        <w:snapToGrid w:val="0"/>
        <w:spacing w:line="300" w:lineRule="auto"/>
        <w:ind w:firstLine="442" w:firstLineChars="200"/>
        <w:rPr>
          <w:rFonts w:ascii="宋体" w:hAnsi="宋体" w:eastAsia="宋体" w:cs="Times New Roman"/>
          <w:b/>
          <w:color w:val="auto"/>
          <w:sz w:val="22"/>
          <w:szCs w:val="22"/>
        </w:rPr>
      </w:pPr>
      <w:r>
        <w:rPr>
          <w:rFonts w:hint="eastAsia" w:ascii="宋体" w:hAnsi="宋体" w:eastAsia="宋体" w:cs="Times New Roman"/>
          <w:b/>
          <w:color w:val="auto"/>
          <w:sz w:val="22"/>
          <w:szCs w:val="22"/>
        </w:rPr>
        <w:t>第六条  检查考核结果使用</w:t>
      </w:r>
    </w:p>
    <w:p w14:paraId="6ED2B791">
      <w:pPr>
        <w:adjustRightInd w:val="0"/>
        <w:snapToGrid w:val="0"/>
        <w:spacing w:line="300" w:lineRule="auto"/>
        <w:ind w:firstLine="570"/>
        <w:rPr>
          <w:rFonts w:ascii="宋体" w:hAnsi="宋体" w:eastAsia="宋体" w:cs="Times New Roman"/>
          <w:color w:val="auto"/>
          <w:sz w:val="22"/>
          <w:szCs w:val="22"/>
        </w:rPr>
      </w:pPr>
      <w:r>
        <w:rPr>
          <w:rFonts w:hint="eastAsia" w:ascii="宋体" w:hAnsi="宋体" w:eastAsia="宋体" w:cs="Times New Roman"/>
          <w:color w:val="auto"/>
          <w:sz w:val="22"/>
          <w:szCs w:val="22"/>
        </w:rPr>
        <w:t>养护单位经检查考核合格，全额发放养护经费。对检查考核优等者，给予表扬，优先推荐参与优秀、先进等评比。</w:t>
      </w:r>
    </w:p>
    <w:p w14:paraId="1DB24D79">
      <w:pPr>
        <w:adjustRightInd w:val="0"/>
        <w:snapToGrid w:val="0"/>
        <w:spacing w:line="300" w:lineRule="auto"/>
        <w:ind w:firstLine="570"/>
        <w:rPr>
          <w:rFonts w:ascii="宋体" w:hAnsi="宋体" w:eastAsia="宋体" w:cs="Times New Roman"/>
          <w:color w:val="auto"/>
          <w:sz w:val="22"/>
          <w:szCs w:val="22"/>
        </w:rPr>
      </w:pPr>
      <w:r>
        <w:rPr>
          <w:rFonts w:hint="eastAsia" w:ascii="宋体" w:hAnsi="宋体" w:eastAsia="宋体" w:cs="Times New Roman"/>
          <w:color w:val="auto"/>
          <w:sz w:val="22"/>
          <w:szCs w:val="22"/>
        </w:rPr>
        <w:t>扣款机制。养护考核不合格的企业，扣除养护经费（即合同价扣除电费后的5%）。</w:t>
      </w:r>
    </w:p>
    <w:p w14:paraId="70C486A3">
      <w:pPr>
        <w:adjustRightInd w:val="0"/>
        <w:snapToGrid w:val="0"/>
        <w:spacing w:line="300" w:lineRule="auto"/>
        <w:ind w:firstLine="442" w:firstLineChars="200"/>
        <w:rPr>
          <w:rFonts w:ascii="宋体" w:hAnsi="宋体" w:eastAsia="宋体" w:cs="Times New Roman"/>
          <w:color w:val="auto"/>
          <w:sz w:val="22"/>
          <w:szCs w:val="22"/>
        </w:rPr>
      </w:pPr>
      <w:r>
        <w:rPr>
          <w:rFonts w:hint="eastAsia" w:ascii="宋体" w:hAnsi="宋体" w:eastAsia="宋体" w:cs="Times New Roman"/>
          <w:b/>
          <w:color w:val="auto"/>
          <w:sz w:val="22"/>
          <w:szCs w:val="22"/>
        </w:rPr>
        <w:t>第七条  通报反馈</w:t>
      </w:r>
    </w:p>
    <w:p w14:paraId="7F8E2654">
      <w:pPr>
        <w:adjustRightInd w:val="0"/>
        <w:snapToGrid w:val="0"/>
        <w:spacing w:line="300" w:lineRule="auto"/>
        <w:ind w:firstLine="440" w:firstLineChars="200"/>
        <w:rPr>
          <w:rFonts w:ascii="宋体" w:hAnsi="宋体" w:eastAsia="宋体" w:cs="Times New Roman"/>
          <w:color w:val="auto"/>
          <w:sz w:val="22"/>
          <w:szCs w:val="22"/>
        </w:rPr>
      </w:pPr>
      <w:r>
        <w:rPr>
          <w:rFonts w:hint="eastAsia" w:ascii="宋体" w:hAnsi="宋体" w:eastAsia="宋体" w:cs="Times New Roman"/>
          <w:color w:val="auto"/>
          <w:sz w:val="22"/>
          <w:szCs w:val="22"/>
        </w:rPr>
        <w:t>反馈考核中存在问题，督促在规定时间里予以整改，并组织人员对整改情况予以复核。</w:t>
      </w:r>
    </w:p>
    <w:p w14:paraId="7FC7CACE">
      <w:pPr>
        <w:adjustRightInd w:val="0"/>
        <w:snapToGrid w:val="0"/>
        <w:spacing w:line="300" w:lineRule="auto"/>
        <w:ind w:firstLine="555"/>
        <w:rPr>
          <w:rFonts w:ascii="宋体" w:hAnsi="宋体" w:eastAsia="宋体" w:cs="Times New Roman"/>
          <w:color w:val="auto"/>
          <w:sz w:val="22"/>
          <w:szCs w:val="22"/>
        </w:rPr>
      </w:pPr>
      <w:r>
        <w:rPr>
          <w:rFonts w:hint="eastAsia" w:ascii="宋体" w:hAnsi="宋体" w:eastAsia="宋体" w:cs="Times New Roman"/>
          <w:color w:val="auto"/>
          <w:sz w:val="22"/>
          <w:szCs w:val="22"/>
        </w:rPr>
        <w:t>检查考核应有书面记录，作为内业资料予以保存。</w:t>
      </w:r>
    </w:p>
    <w:p w14:paraId="66B54241">
      <w:pPr>
        <w:adjustRightInd w:val="0"/>
        <w:snapToGrid w:val="0"/>
        <w:spacing w:line="300" w:lineRule="auto"/>
        <w:ind w:firstLine="442" w:firstLineChars="200"/>
        <w:rPr>
          <w:rFonts w:ascii="宋体" w:hAnsi="宋体" w:eastAsia="宋体" w:cs="Times New Roman"/>
          <w:b/>
          <w:color w:val="auto"/>
          <w:sz w:val="22"/>
          <w:szCs w:val="22"/>
        </w:rPr>
      </w:pPr>
      <w:r>
        <w:rPr>
          <w:rFonts w:hint="eastAsia" w:ascii="宋体" w:hAnsi="宋体" w:eastAsia="宋体" w:cs="Times New Roman"/>
          <w:b/>
          <w:color w:val="auto"/>
          <w:sz w:val="22"/>
          <w:szCs w:val="22"/>
        </w:rPr>
        <w:t>第九条  解释部门</w:t>
      </w:r>
    </w:p>
    <w:p w14:paraId="7189177A">
      <w:pPr>
        <w:adjustRightInd w:val="0"/>
        <w:snapToGrid w:val="0"/>
        <w:spacing w:line="300" w:lineRule="auto"/>
        <w:ind w:firstLine="440" w:firstLineChars="200"/>
        <w:rPr>
          <w:rFonts w:ascii="宋体" w:hAnsi="宋体" w:eastAsia="宋体" w:cs="Times New Roman"/>
          <w:color w:val="auto"/>
          <w:sz w:val="22"/>
          <w:szCs w:val="22"/>
        </w:rPr>
      </w:pPr>
      <w:r>
        <w:rPr>
          <w:rFonts w:hint="eastAsia" w:ascii="宋体" w:hAnsi="宋体" w:eastAsia="宋体" w:cs="Times New Roman"/>
          <w:color w:val="auto"/>
          <w:sz w:val="22"/>
          <w:szCs w:val="22"/>
        </w:rPr>
        <w:t>本办法由浦东新区张江镇人民政府规建办负责解释。</w:t>
      </w:r>
    </w:p>
    <w:p w14:paraId="167977EF">
      <w:pPr>
        <w:adjustRightInd w:val="0"/>
        <w:snapToGrid w:val="0"/>
        <w:spacing w:line="300" w:lineRule="auto"/>
        <w:ind w:firstLine="442" w:firstLineChars="200"/>
        <w:rPr>
          <w:rFonts w:ascii="宋体" w:hAnsi="宋体" w:eastAsia="宋体" w:cs="Times New Roman"/>
          <w:b/>
          <w:color w:val="auto"/>
          <w:sz w:val="22"/>
          <w:szCs w:val="22"/>
        </w:rPr>
      </w:pPr>
      <w:r>
        <w:rPr>
          <w:rFonts w:hint="eastAsia" w:ascii="宋体" w:hAnsi="宋体" w:eastAsia="宋体" w:cs="Times New Roman"/>
          <w:b/>
          <w:color w:val="auto"/>
          <w:sz w:val="22"/>
          <w:szCs w:val="22"/>
        </w:rPr>
        <w:t>第十条  实施日期</w:t>
      </w:r>
    </w:p>
    <w:p w14:paraId="5CA9BF7F">
      <w:pPr>
        <w:adjustRightInd w:val="0"/>
        <w:snapToGrid w:val="0"/>
        <w:spacing w:line="300" w:lineRule="auto"/>
        <w:ind w:firstLine="435"/>
        <w:rPr>
          <w:rFonts w:ascii="宋体" w:hAnsi="宋体" w:eastAsia="宋体" w:cs="Times New Roman"/>
          <w:color w:val="auto"/>
          <w:sz w:val="22"/>
          <w:szCs w:val="22"/>
        </w:rPr>
      </w:pPr>
      <w:r>
        <w:rPr>
          <w:rFonts w:hint="eastAsia" w:ascii="宋体" w:hAnsi="宋体" w:eastAsia="宋体" w:cs="Times New Roman"/>
          <w:color w:val="auto"/>
          <w:sz w:val="22"/>
          <w:szCs w:val="22"/>
        </w:rPr>
        <w:t>本办法自发布之日起实施。</w:t>
      </w:r>
    </w:p>
    <w:p w14:paraId="5C14309D">
      <w:pPr>
        <w:spacing w:line="300" w:lineRule="auto"/>
        <w:jc w:val="center"/>
        <w:rPr>
          <w:rFonts w:ascii="Times New Roman" w:hAnsi="Times New Roman" w:eastAsia="宋体" w:cs="Times New Roman"/>
          <w:b/>
          <w:color w:val="auto"/>
          <w:sz w:val="24"/>
          <w:szCs w:val="24"/>
        </w:rPr>
      </w:pPr>
      <w:r>
        <w:rPr>
          <w:rFonts w:hint="eastAsia" w:ascii="Times New Roman" w:hAnsi="Times New Roman" w:eastAsia="宋体" w:cs="Times New Roman"/>
          <w:b/>
          <w:color w:val="auto"/>
          <w:sz w:val="24"/>
          <w:szCs w:val="24"/>
        </w:rPr>
        <w:t>张江镇镇管路灯养护情况考核表</w:t>
      </w:r>
    </w:p>
    <w:tbl>
      <w:tblPr>
        <w:tblStyle w:val="3"/>
        <w:tblW w:w="98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130"/>
        <w:gridCol w:w="4957"/>
        <w:gridCol w:w="964"/>
        <w:gridCol w:w="964"/>
        <w:gridCol w:w="964"/>
      </w:tblGrid>
      <w:tr w14:paraId="7479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Align w:val="center"/>
          </w:tcPr>
          <w:p w14:paraId="08D2BC4E">
            <w:pPr>
              <w:spacing w:line="300" w:lineRule="auto"/>
              <w:jc w:val="center"/>
              <w:rPr>
                <w:rFonts w:ascii="Times New Roman" w:hAnsi="Times New Roman" w:eastAsia="Times New Roman" w:cs="Times New Roman"/>
                <w:b/>
                <w:color w:val="auto"/>
                <w:kern w:val="0"/>
                <w:sz w:val="22"/>
                <w:szCs w:val="22"/>
              </w:rPr>
            </w:pPr>
            <w:r>
              <w:rPr>
                <w:rFonts w:hint="eastAsia" w:ascii="Times New Roman" w:hAnsi="Times New Roman" w:eastAsia="Times New Roman" w:cs="Times New Roman"/>
                <w:b/>
                <w:color w:val="auto"/>
                <w:kern w:val="0"/>
                <w:sz w:val="22"/>
                <w:szCs w:val="22"/>
              </w:rPr>
              <w:t>序号</w:t>
            </w:r>
          </w:p>
        </w:tc>
        <w:tc>
          <w:tcPr>
            <w:tcW w:w="1130" w:type="dxa"/>
            <w:vAlign w:val="center"/>
          </w:tcPr>
          <w:p w14:paraId="576AB814">
            <w:pPr>
              <w:spacing w:line="300" w:lineRule="auto"/>
              <w:jc w:val="center"/>
              <w:rPr>
                <w:rFonts w:ascii="Times New Roman" w:hAnsi="Times New Roman" w:eastAsia="Times New Roman" w:cs="Times New Roman"/>
                <w:b/>
                <w:color w:val="auto"/>
                <w:kern w:val="0"/>
                <w:sz w:val="22"/>
                <w:szCs w:val="22"/>
              </w:rPr>
            </w:pPr>
            <w:r>
              <w:rPr>
                <w:rFonts w:hint="eastAsia" w:ascii="Times New Roman" w:hAnsi="Times New Roman" w:eastAsia="Times New Roman" w:cs="Times New Roman"/>
                <w:b/>
                <w:color w:val="auto"/>
                <w:kern w:val="0"/>
                <w:sz w:val="22"/>
                <w:szCs w:val="22"/>
              </w:rPr>
              <w:t>项目</w:t>
            </w:r>
          </w:p>
        </w:tc>
        <w:tc>
          <w:tcPr>
            <w:tcW w:w="4957" w:type="dxa"/>
            <w:vAlign w:val="center"/>
          </w:tcPr>
          <w:p w14:paraId="043C63AE">
            <w:pPr>
              <w:spacing w:line="300" w:lineRule="auto"/>
              <w:jc w:val="center"/>
              <w:rPr>
                <w:rFonts w:ascii="Times New Roman" w:hAnsi="Times New Roman" w:eastAsia="Times New Roman" w:cs="Times New Roman"/>
                <w:b/>
                <w:color w:val="auto"/>
                <w:kern w:val="0"/>
                <w:sz w:val="22"/>
                <w:szCs w:val="22"/>
              </w:rPr>
            </w:pPr>
            <w:r>
              <w:rPr>
                <w:rFonts w:hint="eastAsia" w:ascii="Times New Roman" w:hAnsi="Times New Roman" w:eastAsia="Times New Roman" w:cs="Times New Roman"/>
                <w:b/>
                <w:color w:val="auto"/>
                <w:kern w:val="0"/>
                <w:sz w:val="22"/>
                <w:szCs w:val="22"/>
              </w:rPr>
              <w:t>评分标准</w:t>
            </w:r>
          </w:p>
        </w:tc>
        <w:tc>
          <w:tcPr>
            <w:tcW w:w="964" w:type="dxa"/>
            <w:vAlign w:val="center"/>
          </w:tcPr>
          <w:p w14:paraId="77FD6FBC">
            <w:pPr>
              <w:spacing w:line="300" w:lineRule="auto"/>
              <w:jc w:val="center"/>
              <w:rPr>
                <w:rFonts w:ascii="Times New Roman" w:hAnsi="Times New Roman" w:eastAsia="Times New Roman" w:cs="Times New Roman"/>
                <w:b/>
                <w:color w:val="auto"/>
                <w:kern w:val="0"/>
                <w:sz w:val="22"/>
                <w:szCs w:val="22"/>
              </w:rPr>
            </w:pPr>
            <w:r>
              <w:rPr>
                <w:rFonts w:hint="eastAsia" w:ascii="Times New Roman" w:hAnsi="Times New Roman" w:eastAsia="Times New Roman" w:cs="Times New Roman"/>
                <w:b/>
                <w:color w:val="auto"/>
                <w:kern w:val="0"/>
                <w:sz w:val="22"/>
                <w:szCs w:val="22"/>
              </w:rPr>
              <w:t>标准分</w:t>
            </w:r>
          </w:p>
        </w:tc>
        <w:tc>
          <w:tcPr>
            <w:tcW w:w="964" w:type="dxa"/>
            <w:vAlign w:val="center"/>
          </w:tcPr>
          <w:p w14:paraId="0E20EC50">
            <w:pPr>
              <w:spacing w:line="300" w:lineRule="auto"/>
              <w:jc w:val="center"/>
              <w:rPr>
                <w:rFonts w:ascii="Times New Roman" w:hAnsi="Times New Roman" w:eastAsia="Times New Roman" w:cs="Times New Roman"/>
                <w:b/>
                <w:color w:val="auto"/>
                <w:kern w:val="0"/>
                <w:sz w:val="22"/>
                <w:szCs w:val="22"/>
              </w:rPr>
            </w:pPr>
            <w:r>
              <w:rPr>
                <w:rFonts w:hint="eastAsia" w:ascii="Times New Roman" w:hAnsi="Times New Roman" w:eastAsia="Times New Roman" w:cs="Times New Roman"/>
                <w:b/>
                <w:color w:val="auto"/>
                <w:kern w:val="0"/>
                <w:sz w:val="22"/>
                <w:szCs w:val="22"/>
              </w:rPr>
              <w:t>自评分</w:t>
            </w:r>
          </w:p>
        </w:tc>
        <w:tc>
          <w:tcPr>
            <w:tcW w:w="964" w:type="dxa"/>
            <w:vAlign w:val="center"/>
          </w:tcPr>
          <w:p w14:paraId="7C838611">
            <w:pPr>
              <w:spacing w:line="300" w:lineRule="auto"/>
              <w:jc w:val="center"/>
              <w:rPr>
                <w:rFonts w:ascii="Times New Roman" w:hAnsi="Times New Roman" w:eastAsia="Times New Roman" w:cs="Times New Roman"/>
                <w:b/>
                <w:color w:val="auto"/>
                <w:kern w:val="0"/>
                <w:sz w:val="22"/>
                <w:szCs w:val="22"/>
              </w:rPr>
            </w:pPr>
            <w:r>
              <w:rPr>
                <w:rFonts w:hint="eastAsia" w:ascii="Times New Roman" w:hAnsi="Times New Roman" w:eastAsia="Times New Roman" w:cs="Times New Roman"/>
                <w:b/>
                <w:color w:val="auto"/>
                <w:kern w:val="0"/>
                <w:sz w:val="22"/>
                <w:szCs w:val="22"/>
              </w:rPr>
              <w:t>考核分</w:t>
            </w:r>
          </w:p>
        </w:tc>
      </w:tr>
      <w:tr w14:paraId="5377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Align w:val="center"/>
          </w:tcPr>
          <w:p w14:paraId="2F9D188B">
            <w:pPr>
              <w:spacing w:line="300" w:lineRule="auto"/>
              <w:jc w:val="center"/>
              <w:rPr>
                <w:rFonts w:ascii="Times New Roman" w:hAnsi="Times New Roman" w:eastAsia="Times New Roman" w:cs="Times New Roman"/>
                <w:b/>
                <w:color w:val="auto"/>
                <w:kern w:val="0"/>
                <w:sz w:val="22"/>
                <w:szCs w:val="22"/>
              </w:rPr>
            </w:pPr>
            <w:r>
              <w:rPr>
                <w:rFonts w:hint="eastAsia" w:ascii="Times New Roman" w:hAnsi="Times New Roman" w:eastAsia="Times New Roman" w:cs="Times New Roman"/>
                <w:b/>
                <w:color w:val="auto"/>
                <w:kern w:val="0"/>
                <w:sz w:val="22"/>
                <w:szCs w:val="22"/>
              </w:rPr>
              <w:t>一</w:t>
            </w:r>
          </w:p>
        </w:tc>
        <w:tc>
          <w:tcPr>
            <w:tcW w:w="1130" w:type="dxa"/>
            <w:vAlign w:val="center"/>
          </w:tcPr>
          <w:p w14:paraId="44BB5E7F">
            <w:pPr>
              <w:spacing w:line="300" w:lineRule="auto"/>
              <w:jc w:val="center"/>
              <w:rPr>
                <w:rFonts w:ascii="Times New Roman" w:hAnsi="Times New Roman" w:eastAsia="Times New Roman" w:cs="Times New Roman"/>
                <w:b/>
                <w:color w:val="auto"/>
                <w:kern w:val="0"/>
                <w:sz w:val="22"/>
                <w:szCs w:val="22"/>
              </w:rPr>
            </w:pPr>
          </w:p>
        </w:tc>
        <w:tc>
          <w:tcPr>
            <w:tcW w:w="4957" w:type="dxa"/>
            <w:vAlign w:val="center"/>
          </w:tcPr>
          <w:p w14:paraId="0D3891D6">
            <w:pPr>
              <w:spacing w:line="300" w:lineRule="auto"/>
              <w:jc w:val="center"/>
              <w:rPr>
                <w:rFonts w:ascii="Times New Roman" w:hAnsi="Times New Roman" w:eastAsia="Times New Roman" w:cs="Times New Roman"/>
                <w:b/>
                <w:color w:val="auto"/>
                <w:kern w:val="0"/>
                <w:sz w:val="22"/>
                <w:szCs w:val="22"/>
              </w:rPr>
            </w:pPr>
            <w:r>
              <w:rPr>
                <w:rFonts w:hint="eastAsia" w:ascii="Times New Roman" w:hAnsi="Times New Roman" w:eastAsia="Times New Roman" w:cs="Times New Roman"/>
                <w:b/>
                <w:color w:val="auto"/>
                <w:kern w:val="0"/>
                <w:sz w:val="22"/>
                <w:szCs w:val="22"/>
              </w:rPr>
              <w:t>养护工作综合分</w:t>
            </w:r>
          </w:p>
        </w:tc>
        <w:tc>
          <w:tcPr>
            <w:tcW w:w="964" w:type="dxa"/>
            <w:vAlign w:val="center"/>
          </w:tcPr>
          <w:p w14:paraId="007ED904">
            <w:pPr>
              <w:spacing w:line="300" w:lineRule="auto"/>
              <w:jc w:val="center"/>
              <w:rPr>
                <w:rFonts w:ascii="Times New Roman" w:hAnsi="Times New Roman" w:eastAsia="Times New Roman" w:cs="Times New Roman"/>
                <w:b/>
                <w:color w:val="auto"/>
                <w:kern w:val="0"/>
                <w:sz w:val="22"/>
                <w:szCs w:val="22"/>
              </w:rPr>
            </w:pPr>
            <w:r>
              <w:rPr>
                <w:rFonts w:hint="eastAsia" w:ascii="Times New Roman" w:hAnsi="Times New Roman" w:eastAsia="Times New Roman" w:cs="Times New Roman"/>
                <w:b/>
                <w:color w:val="auto"/>
                <w:kern w:val="0"/>
                <w:sz w:val="22"/>
                <w:szCs w:val="22"/>
              </w:rPr>
              <w:t>100</w:t>
            </w:r>
          </w:p>
        </w:tc>
        <w:tc>
          <w:tcPr>
            <w:tcW w:w="964" w:type="dxa"/>
            <w:vAlign w:val="center"/>
          </w:tcPr>
          <w:p w14:paraId="37184FC1">
            <w:pPr>
              <w:spacing w:line="300" w:lineRule="auto"/>
              <w:jc w:val="center"/>
              <w:rPr>
                <w:rFonts w:ascii="Times New Roman" w:hAnsi="Times New Roman" w:eastAsia="Times New Roman" w:cs="Times New Roman"/>
                <w:color w:val="auto"/>
                <w:kern w:val="0"/>
                <w:sz w:val="22"/>
                <w:szCs w:val="22"/>
              </w:rPr>
            </w:pPr>
          </w:p>
        </w:tc>
        <w:tc>
          <w:tcPr>
            <w:tcW w:w="964" w:type="dxa"/>
            <w:vAlign w:val="center"/>
          </w:tcPr>
          <w:p w14:paraId="731F65FB">
            <w:pPr>
              <w:spacing w:line="300" w:lineRule="auto"/>
              <w:jc w:val="center"/>
              <w:rPr>
                <w:rFonts w:ascii="Times New Roman" w:hAnsi="Times New Roman" w:eastAsia="Times New Roman" w:cs="Times New Roman"/>
                <w:color w:val="auto"/>
                <w:kern w:val="0"/>
                <w:sz w:val="22"/>
                <w:szCs w:val="22"/>
              </w:rPr>
            </w:pPr>
          </w:p>
        </w:tc>
      </w:tr>
      <w:tr w14:paraId="61B4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Align w:val="center"/>
          </w:tcPr>
          <w:p w14:paraId="1B95FD36">
            <w:pPr>
              <w:spacing w:line="30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1</w:t>
            </w:r>
          </w:p>
        </w:tc>
        <w:tc>
          <w:tcPr>
            <w:tcW w:w="1130" w:type="dxa"/>
            <w:vAlign w:val="center"/>
          </w:tcPr>
          <w:p w14:paraId="51AA3C90">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定期性巡查检修</w:t>
            </w:r>
          </w:p>
        </w:tc>
        <w:tc>
          <w:tcPr>
            <w:tcW w:w="4957" w:type="dxa"/>
            <w:vAlign w:val="center"/>
          </w:tcPr>
          <w:p w14:paraId="6EFC3F56">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定期性巡查周期少于考核办法相关规定次数的，每发现一次扣1分</w:t>
            </w:r>
          </w:p>
        </w:tc>
        <w:tc>
          <w:tcPr>
            <w:tcW w:w="964" w:type="dxa"/>
            <w:vAlign w:val="center"/>
          </w:tcPr>
          <w:p w14:paraId="3362A10E">
            <w:pPr>
              <w:spacing w:line="30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20</w:t>
            </w:r>
          </w:p>
        </w:tc>
        <w:tc>
          <w:tcPr>
            <w:tcW w:w="964" w:type="dxa"/>
            <w:vAlign w:val="center"/>
          </w:tcPr>
          <w:p w14:paraId="0BFB32A5">
            <w:pPr>
              <w:spacing w:line="300" w:lineRule="auto"/>
              <w:jc w:val="center"/>
              <w:rPr>
                <w:rFonts w:ascii="Times New Roman" w:hAnsi="Times New Roman" w:eastAsia="Times New Roman" w:cs="Times New Roman"/>
                <w:color w:val="auto"/>
                <w:kern w:val="0"/>
                <w:sz w:val="22"/>
                <w:szCs w:val="22"/>
              </w:rPr>
            </w:pPr>
          </w:p>
        </w:tc>
        <w:tc>
          <w:tcPr>
            <w:tcW w:w="964" w:type="dxa"/>
            <w:vAlign w:val="center"/>
          </w:tcPr>
          <w:p w14:paraId="0A8F2278">
            <w:pPr>
              <w:spacing w:line="300" w:lineRule="auto"/>
              <w:jc w:val="center"/>
              <w:rPr>
                <w:rFonts w:ascii="Times New Roman" w:hAnsi="Times New Roman" w:eastAsia="Times New Roman" w:cs="Times New Roman"/>
                <w:color w:val="auto"/>
                <w:kern w:val="0"/>
                <w:sz w:val="22"/>
                <w:szCs w:val="22"/>
              </w:rPr>
            </w:pPr>
          </w:p>
        </w:tc>
      </w:tr>
      <w:tr w14:paraId="60E3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Align w:val="center"/>
          </w:tcPr>
          <w:p w14:paraId="336D3438">
            <w:pPr>
              <w:spacing w:line="30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2</w:t>
            </w:r>
          </w:p>
        </w:tc>
        <w:tc>
          <w:tcPr>
            <w:tcW w:w="1130" w:type="dxa"/>
            <w:vAlign w:val="center"/>
          </w:tcPr>
          <w:p w14:paraId="3C2993B2">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特殊性巡查检修</w:t>
            </w:r>
          </w:p>
        </w:tc>
        <w:tc>
          <w:tcPr>
            <w:tcW w:w="4957" w:type="dxa"/>
            <w:vAlign w:val="center"/>
          </w:tcPr>
          <w:p w14:paraId="2B8827BB">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特殊性巡查检修周期少于考核办法相关规定次数的，每发现一次扣2分</w:t>
            </w:r>
          </w:p>
        </w:tc>
        <w:tc>
          <w:tcPr>
            <w:tcW w:w="964" w:type="dxa"/>
            <w:vAlign w:val="center"/>
          </w:tcPr>
          <w:p w14:paraId="6EB05839">
            <w:pPr>
              <w:spacing w:line="30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20</w:t>
            </w:r>
          </w:p>
        </w:tc>
        <w:tc>
          <w:tcPr>
            <w:tcW w:w="964" w:type="dxa"/>
            <w:vAlign w:val="center"/>
          </w:tcPr>
          <w:p w14:paraId="1B0A7F2D">
            <w:pPr>
              <w:spacing w:line="300" w:lineRule="auto"/>
              <w:jc w:val="center"/>
              <w:rPr>
                <w:rFonts w:ascii="Times New Roman" w:hAnsi="Times New Roman" w:eastAsia="Times New Roman" w:cs="Times New Roman"/>
                <w:color w:val="auto"/>
                <w:kern w:val="0"/>
                <w:sz w:val="22"/>
                <w:szCs w:val="22"/>
              </w:rPr>
            </w:pPr>
          </w:p>
        </w:tc>
        <w:tc>
          <w:tcPr>
            <w:tcW w:w="964" w:type="dxa"/>
            <w:vAlign w:val="center"/>
          </w:tcPr>
          <w:p w14:paraId="2531EFAB">
            <w:pPr>
              <w:spacing w:line="300" w:lineRule="auto"/>
              <w:jc w:val="center"/>
              <w:rPr>
                <w:rFonts w:ascii="Times New Roman" w:hAnsi="Times New Roman" w:eastAsia="Times New Roman" w:cs="Times New Roman"/>
                <w:color w:val="auto"/>
                <w:kern w:val="0"/>
                <w:sz w:val="22"/>
                <w:szCs w:val="22"/>
              </w:rPr>
            </w:pPr>
          </w:p>
        </w:tc>
      </w:tr>
      <w:tr w14:paraId="09A72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Align w:val="center"/>
          </w:tcPr>
          <w:p w14:paraId="2BFFFCE3">
            <w:pPr>
              <w:spacing w:line="30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3</w:t>
            </w:r>
          </w:p>
        </w:tc>
        <w:tc>
          <w:tcPr>
            <w:tcW w:w="1130" w:type="dxa"/>
            <w:vAlign w:val="center"/>
          </w:tcPr>
          <w:p w14:paraId="0F57F3F4">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整洁、清洁度</w:t>
            </w:r>
          </w:p>
        </w:tc>
        <w:tc>
          <w:tcPr>
            <w:tcW w:w="4957" w:type="dxa"/>
            <w:vAlign w:val="center"/>
          </w:tcPr>
          <w:p w14:paraId="79DE1EEC">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路灯及相关附属有污垢、黑色广告等影响整洁度、清洁度情况的，每发现一次扣1分</w:t>
            </w:r>
          </w:p>
        </w:tc>
        <w:tc>
          <w:tcPr>
            <w:tcW w:w="964" w:type="dxa"/>
            <w:vAlign w:val="center"/>
          </w:tcPr>
          <w:p w14:paraId="3D59705B">
            <w:pPr>
              <w:spacing w:line="30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10</w:t>
            </w:r>
          </w:p>
        </w:tc>
        <w:tc>
          <w:tcPr>
            <w:tcW w:w="964" w:type="dxa"/>
            <w:vAlign w:val="center"/>
          </w:tcPr>
          <w:p w14:paraId="5E9154C5">
            <w:pPr>
              <w:spacing w:line="300" w:lineRule="auto"/>
              <w:jc w:val="center"/>
              <w:rPr>
                <w:rFonts w:ascii="Times New Roman" w:hAnsi="Times New Roman" w:eastAsia="Times New Roman" w:cs="Times New Roman"/>
                <w:color w:val="auto"/>
                <w:kern w:val="0"/>
                <w:sz w:val="22"/>
                <w:szCs w:val="22"/>
              </w:rPr>
            </w:pPr>
          </w:p>
        </w:tc>
        <w:tc>
          <w:tcPr>
            <w:tcW w:w="964" w:type="dxa"/>
            <w:vAlign w:val="center"/>
          </w:tcPr>
          <w:p w14:paraId="3B3361F0">
            <w:pPr>
              <w:spacing w:line="300" w:lineRule="auto"/>
              <w:jc w:val="center"/>
              <w:rPr>
                <w:rFonts w:ascii="Times New Roman" w:hAnsi="Times New Roman" w:eastAsia="Times New Roman" w:cs="Times New Roman"/>
                <w:color w:val="auto"/>
                <w:kern w:val="0"/>
                <w:sz w:val="22"/>
                <w:szCs w:val="22"/>
              </w:rPr>
            </w:pPr>
          </w:p>
        </w:tc>
      </w:tr>
      <w:tr w14:paraId="6074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Align w:val="center"/>
          </w:tcPr>
          <w:p w14:paraId="4262553C">
            <w:pPr>
              <w:spacing w:line="30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4</w:t>
            </w:r>
          </w:p>
        </w:tc>
        <w:tc>
          <w:tcPr>
            <w:tcW w:w="1130" w:type="dxa"/>
            <w:vAlign w:val="center"/>
          </w:tcPr>
          <w:p w14:paraId="161F23F4">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亮灯率</w:t>
            </w:r>
          </w:p>
        </w:tc>
        <w:tc>
          <w:tcPr>
            <w:tcW w:w="4957" w:type="dxa"/>
            <w:vAlign w:val="center"/>
          </w:tcPr>
          <w:p w14:paraId="3AAF79FA">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亮灯率不低于99%，否则每发现一次扣2分</w:t>
            </w:r>
          </w:p>
        </w:tc>
        <w:tc>
          <w:tcPr>
            <w:tcW w:w="964" w:type="dxa"/>
            <w:vAlign w:val="center"/>
          </w:tcPr>
          <w:p w14:paraId="26E1F643">
            <w:pPr>
              <w:spacing w:line="30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10</w:t>
            </w:r>
          </w:p>
        </w:tc>
        <w:tc>
          <w:tcPr>
            <w:tcW w:w="964" w:type="dxa"/>
            <w:vAlign w:val="center"/>
          </w:tcPr>
          <w:p w14:paraId="65F5C2A8">
            <w:pPr>
              <w:spacing w:line="300" w:lineRule="auto"/>
              <w:jc w:val="center"/>
              <w:rPr>
                <w:rFonts w:ascii="Times New Roman" w:hAnsi="Times New Roman" w:eastAsia="Times New Roman" w:cs="Times New Roman"/>
                <w:color w:val="auto"/>
                <w:kern w:val="0"/>
                <w:sz w:val="22"/>
                <w:szCs w:val="22"/>
              </w:rPr>
            </w:pPr>
          </w:p>
        </w:tc>
        <w:tc>
          <w:tcPr>
            <w:tcW w:w="964" w:type="dxa"/>
            <w:vAlign w:val="center"/>
          </w:tcPr>
          <w:p w14:paraId="23DDDFEE">
            <w:pPr>
              <w:spacing w:line="300" w:lineRule="auto"/>
              <w:jc w:val="center"/>
              <w:rPr>
                <w:rFonts w:ascii="Times New Roman" w:hAnsi="Times New Roman" w:eastAsia="Times New Roman" w:cs="Times New Roman"/>
                <w:color w:val="auto"/>
                <w:kern w:val="0"/>
                <w:sz w:val="22"/>
                <w:szCs w:val="22"/>
              </w:rPr>
            </w:pPr>
          </w:p>
        </w:tc>
      </w:tr>
      <w:tr w14:paraId="3357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Align w:val="center"/>
          </w:tcPr>
          <w:p w14:paraId="4FF7F6CD">
            <w:pPr>
              <w:spacing w:line="300" w:lineRule="auto"/>
              <w:jc w:val="center"/>
              <w:rPr>
                <w:rFonts w:ascii="Times New Roman" w:hAnsi="Times New Roman" w:eastAsia="Times New Roman" w:cs="Times New Roman"/>
                <w:color w:val="auto"/>
                <w:kern w:val="0"/>
                <w:sz w:val="22"/>
                <w:szCs w:val="20"/>
              </w:rPr>
            </w:pPr>
            <w:r>
              <w:rPr>
                <w:rFonts w:hint="eastAsia" w:ascii="Times New Roman" w:hAnsi="Times New Roman" w:eastAsia="Times New Roman" w:cs="Times New Roman"/>
                <w:color w:val="auto"/>
                <w:kern w:val="0"/>
                <w:sz w:val="22"/>
                <w:szCs w:val="20"/>
              </w:rPr>
              <w:t>5</w:t>
            </w:r>
          </w:p>
        </w:tc>
        <w:tc>
          <w:tcPr>
            <w:tcW w:w="1130" w:type="dxa"/>
            <w:vAlign w:val="center"/>
          </w:tcPr>
          <w:p w14:paraId="40E6ED92">
            <w:pPr>
              <w:spacing w:line="240" w:lineRule="auto"/>
              <w:jc w:val="center"/>
              <w:rPr>
                <w:rFonts w:ascii="Times New Roman" w:hAnsi="Times New Roman" w:eastAsia="Times New Roman" w:cs="Times New Roman"/>
                <w:color w:val="auto"/>
                <w:kern w:val="0"/>
                <w:sz w:val="22"/>
                <w:szCs w:val="20"/>
              </w:rPr>
            </w:pPr>
            <w:r>
              <w:rPr>
                <w:rFonts w:hint="eastAsia" w:ascii="Times New Roman" w:hAnsi="Times New Roman" w:eastAsia="Times New Roman" w:cs="Times New Roman"/>
                <w:color w:val="auto"/>
                <w:kern w:val="0"/>
                <w:sz w:val="22"/>
                <w:szCs w:val="20"/>
              </w:rPr>
              <w:t>设施完好率</w:t>
            </w:r>
          </w:p>
        </w:tc>
        <w:tc>
          <w:tcPr>
            <w:tcW w:w="4957" w:type="dxa"/>
            <w:vAlign w:val="center"/>
          </w:tcPr>
          <w:p w14:paraId="38FB182E">
            <w:pPr>
              <w:spacing w:line="240" w:lineRule="auto"/>
              <w:jc w:val="center"/>
              <w:rPr>
                <w:rFonts w:ascii="Times New Roman" w:hAnsi="Times New Roman" w:eastAsia="Times New Roman" w:cs="Times New Roman"/>
                <w:color w:val="auto"/>
                <w:kern w:val="0"/>
                <w:sz w:val="22"/>
                <w:szCs w:val="20"/>
              </w:rPr>
            </w:pPr>
            <w:r>
              <w:rPr>
                <w:rFonts w:hint="eastAsia" w:ascii="Times New Roman" w:hAnsi="Times New Roman" w:eastAsia="Times New Roman" w:cs="Times New Roman"/>
                <w:color w:val="auto"/>
                <w:kern w:val="0"/>
                <w:sz w:val="22"/>
                <w:szCs w:val="20"/>
              </w:rPr>
              <w:t>设施完好率不低于95%</w:t>
            </w:r>
            <w:r>
              <w:rPr>
                <w:rFonts w:hint="eastAsia" w:ascii="Times New Roman" w:hAnsi="Times New Roman" w:eastAsia="Times New Roman" w:cs="Times New Roman"/>
                <w:color w:val="auto"/>
                <w:kern w:val="0"/>
                <w:sz w:val="22"/>
                <w:szCs w:val="22"/>
              </w:rPr>
              <w:t>，否则每发现一次扣2分</w:t>
            </w:r>
          </w:p>
        </w:tc>
        <w:tc>
          <w:tcPr>
            <w:tcW w:w="964" w:type="dxa"/>
            <w:vAlign w:val="center"/>
          </w:tcPr>
          <w:p w14:paraId="5FFC2487">
            <w:pPr>
              <w:spacing w:line="300" w:lineRule="auto"/>
              <w:jc w:val="center"/>
              <w:rPr>
                <w:rFonts w:ascii="Times New Roman" w:hAnsi="Times New Roman" w:eastAsia="Times New Roman" w:cs="Times New Roman"/>
                <w:color w:val="auto"/>
                <w:kern w:val="0"/>
                <w:sz w:val="22"/>
                <w:szCs w:val="20"/>
              </w:rPr>
            </w:pPr>
            <w:r>
              <w:rPr>
                <w:rFonts w:hint="eastAsia" w:ascii="Times New Roman" w:hAnsi="Times New Roman" w:eastAsia="Times New Roman" w:cs="Times New Roman"/>
                <w:color w:val="auto"/>
                <w:kern w:val="0"/>
                <w:sz w:val="22"/>
                <w:szCs w:val="20"/>
              </w:rPr>
              <w:t>10</w:t>
            </w:r>
          </w:p>
        </w:tc>
        <w:tc>
          <w:tcPr>
            <w:tcW w:w="964" w:type="dxa"/>
            <w:vAlign w:val="center"/>
          </w:tcPr>
          <w:p w14:paraId="0C3056C6">
            <w:pPr>
              <w:spacing w:line="300" w:lineRule="auto"/>
              <w:jc w:val="center"/>
              <w:rPr>
                <w:rFonts w:ascii="Times New Roman" w:hAnsi="Times New Roman" w:eastAsia="Times New Roman" w:cs="Times New Roman"/>
                <w:color w:val="auto"/>
                <w:kern w:val="0"/>
                <w:sz w:val="22"/>
                <w:szCs w:val="20"/>
              </w:rPr>
            </w:pPr>
          </w:p>
        </w:tc>
        <w:tc>
          <w:tcPr>
            <w:tcW w:w="964" w:type="dxa"/>
            <w:vAlign w:val="center"/>
          </w:tcPr>
          <w:p w14:paraId="7C75C649">
            <w:pPr>
              <w:spacing w:line="300" w:lineRule="auto"/>
              <w:jc w:val="center"/>
              <w:rPr>
                <w:rFonts w:ascii="Times New Roman" w:hAnsi="Times New Roman" w:eastAsia="Times New Roman" w:cs="Times New Roman"/>
                <w:color w:val="auto"/>
                <w:kern w:val="0"/>
                <w:sz w:val="22"/>
                <w:szCs w:val="20"/>
              </w:rPr>
            </w:pPr>
          </w:p>
        </w:tc>
      </w:tr>
      <w:tr w14:paraId="7FE10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Align w:val="center"/>
          </w:tcPr>
          <w:p w14:paraId="491CEB6C">
            <w:pPr>
              <w:spacing w:line="30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6</w:t>
            </w:r>
          </w:p>
        </w:tc>
        <w:tc>
          <w:tcPr>
            <w:tcW w:w="1130" w:type="dxa"/>
            <w:vAlign w:val="center"/>
          </w:tcPr>
          <w:p w14:paraId="469C5ADC">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修复时间</w:t>
            </w:r>
          </w:p>
        </w:tc>
        <w:tc>
          <w:tcPr>
            <w:tcW w:w="4957" w:type="dxa"/>
            <w:vAlign w:val="center"/>
          </w:tcPr>
          <w:p w14:paraId="5A5C9426">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修复时间大于考核办法相关规定时间的，每发现一次扣2分</w:t>
            </w:r>
          </w:p>
        </w:tc>
        <w:tc>
          <w:tcPr>
            <w:tcW w:w="964" w:type="dxa"/>
            <w:vAlign w:val="center"/>
          </w:tcPr>
          <w:p w14:paraId="11E30A1A">
            <w:pPr>
              <w:spacing w:line="30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10</w:t>
            </w:r>
          </w:p>
        </w:tc>
        <w:tc>
          <w:tcPr>
            <w:tcW w:w="964" w:type="dxa"/>
            <w:vAlign w:val="center"/>
          </w:tcPr>
          <w:p w14:paraId="11FFAB75">
            <w:pPr>
              <w:spacing w:line="300" w:lineRule="auto"/>
              <w:jc w:val="center"/>
              <w:rPr>
                <w:rFonts w:ascii="Times New Roman" w:hAnsi="Times New Roman" w:eastAsia="Times New Roman" w:cs="Times New Roman"/>
                <w:color w:val="auto"/>
                <w:kern w:val="0"/>
                <w:sz w:val="22"/>
                <w:szCs w:val="22"/>
              </w:rPr>
            </w:pPr>
          </w:p>
        </w:tc>
        <w:tc>
          <w:tcPr>
            <w:tcW w:w="964" w:type="dxa"/>
            <w:vAlign w:val="center"/>
          </w:tcPr>
          <w:p w14:paraId="30BB04A1">
            <w:pPr>
              <w:spacing w:line="300" w:lineRule="auto"/>
              <w:jc w:val="center"/>
              <w:rPr>
                <w:rFonts w:ascii="Times New Roman" w:hAnsi="Times New Roman" w:eastAsia="Times New Roman" w:cs="Times New Roman"/>
                <w:color w:val="auto"/>
                <w:kern w:val="0"/>
                <w:sz w:val="22"/>
                <w:szCs w:val="22"/>
              </w:rPr>
            </w:pPr>
          </w:p>
        </w:tc>
      </w:tr>
      <w:tr w14:paraId="5F022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Align w:val="center"/>
          </w:tcPr>
          <w:p w14:paraId="261159DD">
            <w:pPr>
              <w:spacing w:line="30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7</w:t>
            </w:r>
          </w:p>
        </w:tc>
        <w:tc>
          <w:tcPr>
            <w:tcW w:w="1130" w:type="dxa"/>
            <w:vAlign w:val="center"/>
          </w:tcPr>
          <w:p w14:paraId="444D3826">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及时修复率</w:t>
            </w:r>
          </w:p>
        </w:tc>
        <w:tc>
          <w:tcPr>
            <w:tcW w:w="4957" w:type="dxa"/>
            <w:vAlign w:val="center"/>
          </w:tcPr>
          <w:p w14:paraId="4AEDFB1E">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及时修复率100%</w:t>
            </w:r>
            <w:bookmarkStart w:id="28" w:name="OLE_LINK7"/>
            <w:r>
              <w:rPr>
                <w:rFonts w:hint="eastAsia" w:ascii="Times New Roman" w:hAnsi="Times New Roman" w:eastAsia="Times New Roman" w:cs="Times New Roman"/>
                <w:color w:val="auto"/>
                <w:kern w:val="0"/>
                <w:sz w:val="22"/>
                <w:szCs w:val="22"/>
              </w:rPr>
              <w:t>，否则每发现一次扣2分</w:t>
            </w:r>
            <w:bookmarkEnd w:id="28"/>
          </w:p>
        </w:tc>
        <w:tc>
          <w:tcPr>
            <w:tcW w:w="964" w:type="dxa"/>
            <w:vAlign w:val="center"/>
          </w:tcPr>
          <w:p w14:paraId="24104DAB">
            <w:pPr>
              <w:spacing w:line="30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10</w:t>
            </w:r>
          </w:p>
        </w:tc>
        <w:tc>
          <w:tcPr>
            <w:tcW w:w="964" w:type="dxa"/>
            <w:vAlign w:val="center"/>
          </w:tcPr>
          <w:p w14:paraId="44763BEC">
            <w:pPr>
              <w:spacing w:line="300" w:lineRule="auto"/>
              <w:jc w:val="center"/>
              <w:rPr>
                <w:rFonts w:ascii="Times New Roman" w:hAnsi="Times New Roman" w:eastAsia="Times New Roman" w:cs="Times New Roman"/>
                <w:color w:val="auto"/>
                <w:kern w:val="0"/>
                <w:sz w:val="22"/>
                <w:szCs w:val="22"/>
              </w:rPr>
            </w:pPr>
          </w:p>
        </w:tc>
        <w:tc>
          <w:tcPr>
            <w:tcW w:w="964" w:type="dxa"/>
            <w:vAlign w:val="center"/>
          </w:tcPr>
          <w:p w14:paraId="04F6A6BE">
            <w:pPr>
              <w:spacing w:line="300" w:lineRule="auto"/>
              <w:jc w:val="center"/>
              <w:rPr>
                <w:rFonts w:ascii="Times New Roman" w:hAnsi="Times New Roman" w:eastAsia="Times New Roman" w:cs="Times New Roman"/>
                <w:color w:val="auto"/>
                <w:kern w:val="0"/>
                <w:sz w:val="22"/>
                <w:szCs w:val="22"/>
              </w:rPr>
            </w:pPr>
          </w:p>
        </w:tc>
      </w:tr>
      <w:tr w14:paraId="1563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Align w:val="center"/>
          </w:tcPr>
          <w:p w14:paraId="3C9B777E">
            <w:pPr>
              <w:spacing w:line="300" w:lineRule="auto"/>
              <w:jc w:val="center"/>
              <w:rPr>
                <w:rFonts w:ascii="Times New Roman" w:hAnsi="Times New Roman" w:eastAsia="Times New Roman" w:cs="Times New Roman"/>
                <w:color w:val="auto"/>
                <w:kern w:val="0"/>
                <w:sz w:val="22"/>
                <w:szCs w:val="20"/>
              </w:rPr>
            </w:pPr>
            <w:r>
              <w:rPr>
                <w:rFonts w:hint="eastAsia" w:ascii="Times New Roman" w:hAnsi="Times New Roman" w:eastAsia="Times New Roman" w:cs="Times New Roman"/>
                <w:color w:val="auto"/>
                <w:kern w:val="0"/>
                <w:sz w:val="22"/>
                <w:szCs w:val="20"/>
              </w:rPr>
              <w:t>8</w:t>
            </w:r>
          </w:p>
        </w:tc>
        <w:tc>
          <w:tcPr>
            <w:tcW w:w="1130" w:type="dxa"/>
            <w:vAlign w:val="center"/>
          </w:tcPr>
          <w:p w14:paraId="43CFF400">
            <w:pPr>
              <w:spacing w:line="240" w:lineRule="auto"/>
              <w:jc w:val="center"/>
              <w:rPr>
                <w:rFonts w:ascii="Times New Roman" w:hAnsi="Times New Roman" w:eastAsia="Times New Roman" w:cs="Times New Roman"/>
                <w:color w:val="auto"/>
                <w:kern w:val="0"/>
                <w:sz w:val="22"/>
                <w:szCs w:val="20"/>
              </w:rPr>
            </w:pPr>
            <w:r>
              <w:rPr>
                <w:rFonts w:hint="eastAsia" w:ascii="Times New Roman" w:hAnsi="Times New Roman" w:eastAsia="Times New Roman" w:cs="Times New Roman"/>
                <w:color w:val="auto"/>
                <w:kern w:val="0"/>
                <w:sz w:val="22"/>
                <w:szCs w:val="20"/>
              </w:rPr>
              <w:t>反复报修率</w:t>
            </w:r>
          </w:p>
        </w:tc>
        <w:tc>
          <w:tcPr>
            <w:tcW w:w="4957" w:type="dxa"/>
            <w:vAlign w:val="center"/>
          </w:tcPr>
          <w:p w14:paraId="0A29C0FA">
            <w:pPr>
              <w:spacing w:line="240" w:lineRule="auto"/>
              <w:jc w:val="center"/>
              <w:rPr>
                <w:rFonts w:ascii="Times New Roman" w:hAnsi="Times New Roman" w:eastAsia="Times New Roman" w:cs="Times New Roman"/>
                <w:color w:val="auto"/>
                <w:kern w:val="0"/>
                <w:sz w:val="22"/>
                <w:szCs w:val="20"/>
              </w:rPr>
            </w:pPr>
            <w:r>
              <w:rPr>
                <w:rFonts w:hint="eastAsia" w:ascii="Times New Roman" w:hAnsi="Times New Roman" w:eastAsia="Times New Roman" w:cs="Times New Roman"/>
                <w:color w:val="auto"/>
                <w:kern w:val="0"/>
                <w:sz w:val="22"/>
                <w:szCs w:val="20"/>
              </w:rPr>
              <w:t>反复报修率不超过1%</w:t>
            </w:r>
            <w:r>
              <w:rPr>
                <w:rFonts w:hint="eastAsia" w:ascii="Times New Roman" w:hAnsi="Times New Roman" w:eastAsia="Times New Roman" w:cs="Times New Roman"/>
                <w:color w:val="auto"/>
                <w:kern w:val="0"/>
                <w:sz w:val="22"/>
                <w:szCs w:val="22"/>
              </w:rPr>
              <w:t>，否则每超1%扣2分</w:t>
            </w:r>
          </w:p>
        </w:tc>
        <w:tc>
          <w:tcPr>
            <w:tcW w:w="964" w:type="dxa"/>
            <w:vAlign w:val="center"/>
          </w:tcPr>
          <w:p w14:paraId="2CFF453C">
            <w:pPr>
              <w:spacing w:line="300" w:lineRule="auto"/>
              <w:jc w:val="center"/>
              <w:rPr>
                <w:rFonts w:ascii="Times New Roman" w:hAnsi="Times New Roman" w:eastAsia="Times New Roman" w:cs="Times New Roman"/>
                <w:color w:val="auto"/>
                <w:kern w:val="0"/>
                <w:sz w:val="22"/>
                <w:szCs w:val="20"/>
              </w:rPr>
            </w:pPr>
            <w:r>
              <w:rPr>
                <w:rFonts w:hint="eastAsia" w:ascii="Times New Roman" w:hAnsi="Times New Roman" w:eastAsia="Times New Roman" w:cs="Times New Roman"/>
                <w:color w:val="auto"/>
                <w:kern w:val="0"/>
                <w:sz w:val="22"/>
                <w:szCs w:val="20"/>
              </w:rPr>
              <w:t>10</w:t>
            </w:r>
          </w:p>
        </w:tc>
        <w:tc>
          <w:tcPr>
            <w:tcW w:w="964" w:type="dxa"/>
            <w:vAlign w:val="center"/>
          </w:tcPr>
          <w:p w14:paraId="0F2BEAFE">
            <w:pPr>
              <w:spacing w:line="300" w:lineRule="auto"/>
              <w:jc w:val="center"/>
              <w:rPr>
                <w:rFonts w:ascii="Times New Roman" w:hAnsi="Times New Roman" w:eastAsia="Times New Roman" w:cs="Times New Roman"/>
                <w:color w:val="auto"/>
                <w:kern w:val="0"/>
                <w:sz w:val="22"/>
                <w:szCs w:val="20"/>
              </w:rPr>
            </w:pPr>
          </w:p>
        </w:tc>
        <w:tc>
          <w:tcPr>
            <w:tcW w:w="964" w:type="dxa"/>
            <w:vAlign w:val="center"/>
          </w:tcPr>
          <w:p w14:paraId="65FDC611">
            <w:pPr>
              <w:spacing w:line="300" w:lineRule="auto"/>
              <w:jc w:val="center"/>
              <w:rPr>
                <w:rFonts w:ascii="Times New Roman" w:hAnsi="Times New Roman" w:eastAsia="Times New Roman" w:cs="Times New Roman"/>
                <w:color w:val="auto"/>
                <w:kern w:val="0"/>
                <w:sz w:val="22"/>
                <w:szCs w:val="20"/>
              </w:rPr>
            </w:pPr>
          </w:p>
        </w:tc>
      </w:tr>
      <w:tr w14:paraId="0ED3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Merge w:val="restart"/>
            <w:vAlign w:val="center"/>
          </w:tcPr>
          <w:p w14:paraId="0B1A4C4C">
            <w:pPr>
              <w:spacing w:line="300" w:lineRule="auto"/>
              <w:jc w:val="center"/>
              <w:rPr>
                <w:rFonts w:ascii="Times New Roman" w:hAnsi="Times New Roman" w:eastAsia="Times New Roman" w:cs="Times New Roman"/>
                <w:b/>
                <w:color w:val="auto"/>
                <w:kern w:val="0"/>
                <w:sz w:val="22"/>
                <w:szCs w:val="22"/>
              </w:rPr>
            </w:pPr>
            <w:r>
              <w:rPr>
                <w:rFonts w:hint="eastAsia" w:ascii="Times New Roman" w:hAnsi="Times New Roman" w:eastAsia="Times New Roman" w:cs="Times New Roman"/>
                <w:b/>
                <w:color w:val="auto"/>
                <w:kern w:val="0"/>
                <w:sz w:val="22"/>
                <w:szCs w:val="22"/>
              </w:rPr>
              <w:t>二</w:t>
            </w:r>
          </w:p>
        </w:tc>
        <w:tc>
          <w:tcPr>
            <w:tcW w:w="1130" w:type="dxa"/>
            <w:vAlign w:val="center"/>
          </w:tcPr>
          <w:p w14:paraId="696186B5">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诚信缺失</w:t>
            </w:r>
          </w:p>
        </w:tc>
        <w:tc>
          <w:tcPr>
            <w:tcW w:w="4957" w:type="dxa"/>
            <w:vAlign w:val="center"/>
          </w:tcPr>
          <w:p w14:paraId="33A30897">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转包或主体项目擅自分包的，一票否决，视情做出退处理</w:t>
            </w:r>
          </w:p>
        </w:tc>
        <w:tc>
          <w:tcPr>
            <w:tcW w:w="964" w:type="dxa"/>
            <w:vAlign w:val="center"/>
          </w:tcPr>
          <w:p w14:paraId="2B8D1B6F">
            <w:pPr>
              <w:spacing w:line="300" w:lineRule="auto"/>
              <w:jc w:val="center"/>
              <w:rPr>
                <w:rFonts w:ascii="Times New Roman" w:hAnsi="Times New Roman" w:eastAsia="Times New Roman" w:cs="Times New Roman"/>
                <w:color w:val="auto"/>
                <w:kern w:val="0"/>
                <w:sz w:val="22"/>
                <w:szCs w:val="22"/>
              </w:rPr>
            </w:pPr>
          </w:p>
        </w:tc>
        <w:tc>
          <w:tcPr>
            <w:tcW w:w="964" w:type="dxa"/>
            <w:vMerge w:val="restart"/>
            <w:vAlign w:val="center"/>
          </w:tcPr>
          <w:p w14:paraId="409B09C4">
            <w:pPr>
              <w:spacing w:line="30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本栏无标准分，若发生，倒扣分</w:t>
            </w:r>
          </w:p>
        </w:tc>
        <w:tc>
          <w:tcPr>
            <w:tcW w:w="964" w:type="dxa"/>
            <w:vAlign w:val="center"/>
          </w:tcPr>
          <w:p w14:paraId="5811DECA">
            <w:pPr>
              <w:spacing w:line="300" w:lineRule="auto"/>
              <w:jc w:val="center"/>
              <w:rPr>
                <w:rFonts w:ascii="Times New Roman" w:hAnsi="Times New Roman" w:eastAsia="Times New Roman" w:cs="Times New Roman"/>
                <w:color w:val="auto"/>
                <w:kern w:val="0"/>
                <w:sz w:val="22"/>
                <w:szCs w:val="22"/>
              </w:rPr>
            </w:pPr>
          </w:p>
        </w:tc>
      </w:tr>
      <w:tr w14:paraId="196C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Merge w:val="continue"/>
            <w:vAlign w:val="center"/>
          </w:tcPr>
          <w:p w14:paraId="6B21FE99">
            <w:pPr>
              <w:spacing w:line="300" w:lineRule="auto"/>
              <w:jc w:val="center"/>
              <w:rPr>
                <w:rFonts w:ascii="Times New Roman" w:hAnsi="Times New Roman" w:eastAsia="Times New Roman" w:cs="Times New Roman"/>
                <w:color w:val="auto"/>
                <w:kern w:val="0"/>
                <w:sz w:val="22"/>
                <w:szCs w:val="22"/>
              </w:rPr>
            </w:pPr>
          </w:p>
        </w:tc>
        <w:tc>
          <w:tcPr>
            <w:tcW w:w="1130" w:type="dxa"/>
            <w:vAlign w:val="center"/>
          </w:tcPr>
          <w:p w14:paraId="452C98B5">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人员设备配备</w:t>
            </w:r>
          </w:p>
        </w:tc>
        <w:tc>
          <w:tcPr>
            <w:tcW w:w="4957" w:type="dxa"/>
            <w:vAlign w:val="center"/>
          </w:tcPr>
          <w:p w14:paraId="4F1FD7C9">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未按照磋商要求、响应承诺和管理方要求配备管理人员和技术人员，每次扣10分</w:t>
            </w:r>
          </w:p>
        </w:tc>
        <w:tc>
          <w:tcPr>
            <w:tcW w:w="964" w:type="dxa"/>
            <w:vAlign w:val="center"/>
          </w:tcPr>
          <w:p w14:paraId="7A5F3867">
            <w:pPr>
              <w:spacing w:line="300" w:lineRule="auto"/>
              <w:jc w:val="center"/>
              <w:rPr>
                <w:rFonts w:ascii="Times New Roman" w:hAnsi="Times New Roman" w:eastAsia="Times New Roman" w:cs="Times New Roman"/>
                <w:color w:val="auto"/>
                <w:kern w:val="0"/>
                <w:sz w:val="22"/>
                <w:szCs w:val="22"/>
              </w:rPr>
            </w:pPr>
          </w:p>
        </w:tc>
        <w:tc>
          <w:tcPr>
            <w:tcW w:w="964" w:type="dxa"/>
            <w:vMerge w:val="continue"/>
            <w:vAlign w:val="center"/>
          </w:tcPr>
          <w:p w14:paraId="5C2DF08D">
            <w:pPr>
              <w:spacing w:line="300" w:lineRule="auto"/>
              <w:jc w:val="center"/>
              <w:rPr>
                <w:rFonts w:ascii="Times New Roman" w:hAnsi="Times New Roman" w:eastAsia="Times New Roman" w:cs="Times New Roman"/>
                <w:color w:val="auto"/>
                <w:kern w:val="0"/>
                <w:sz w:val="22"/>
                <w:szCs w:val="22"/>
              </w:rPr>
            </w:pPr>
          </w:p>
        </w:tc>
        <w:tc>
          <w:tcPr>
            <w:tcW w:w="964" w:type="dxa"/>
            <w:vAlign w:val="center"/>
          </w:tcPr>
          <w:p w14:paraId="1E264A48">
            <w:pPr>
              <w:spacing w:line="300" w:lineRule="auto"/>
              <w:jc w:val="center"/>
              <w:rPr>
                <w:rFonts w:ascii="Times New Roman" w:hAnsi="Times New Roman" w:eastAsia="Times New Roman" w:cs="Times New Roman"/>
                <w:color w:val="auto"/>
                <w:kern w:val="0"/>
                <w:sz w:val="22"/>
                <w:szCs w:val="22"/>
              </w:rPr>
            </w:pPr>
          </w:p>
        </w:tc>
      </w:tr>
      <w:tr w14:paraId="1084A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Merge w:val="continue"/>
            <w:vAlign w:val="center"/>
          </w:tcPr>
          <w:p w14:paraId="63AB135F">
            <w:pPr>
              <w:spacing w:line="300" w:lineRule="auto"/>
              <w:jc w:val="center"/>
              <w:rPr>
                <w:rFonts w:ascii="Times New Roman" w:hAnsi="Times New Roman" w:eastAsia="Times New Roman" w:cs="Times New Roman"/>
                <w:color w:val="auto"/>
                <w:kern w:val="0"/>
                <w:sz w:val="22"/>
                <w:szCs w:val="22"/>
              </w:rPr>
            </w:pPr>
          </w:p>
        </w:tc>
        <w:tc>
          <w:tcPr>
            <w:tcW w:w="1130" w:type="dxa"/>
            <w:vAlign w:val="center"/>
          </w:tcPr>
          <w:p w14:paraId="21440AAC">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养护失责</w:t>
            </w:r>
          </w:p>
        </w:tc>
        <w:tc>
          <w:tcPr>
            <w:tcW w:w="4957" w:type="dxa"/>
            <w:vAlign w:val="center"/>
          </w:tcPr>
          <w:p w14:paraId="0BD26A8B">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因养护不善，造成第三方损失的，由养护企业承担相应的民事责任，并追究管养责任，视情扣10-20分</w:t>
            </w:r>
          </w:p>
        </w:tc>
        <w:tc>
          <w:tcPr>
            <w:tcW w:w="964" w:type="dxa"/>
            <w:vAlign w:val="center"/>
          </w:tcPr>
          <w:p w14:paraId="3E9AAF66">
            <w:pPr>
              <w:spacing w:line="300" w:lineRule="auto"/>
              <w:jc w:val="center"/>
              <w:rPr>
                <w:rFonts w:ascii="Times New Roman" w:hAnsi="Times New Roman" w:eastAsia="Times New Roman" w:cs="Times New Roman"/>
                <w:color w:val="auto"/>
                <w:kern w:val="0"/>
                <w:sz w:val="22"/>
                <w:szCs w:val="22"/>
              </w:rPr>
            </w:pPr>
          </w:p>
        </w:tc>
        <w:tc>
          <w:tcPr>
            <w:tcW w:w="964" w:type="dxa"/>
            <w:vMerge w:val="continue"/>
            <w:vAlign w:val="center"/>
          </w:tcPr>
          <w:p w14:paraId="21782C0F">
            <w:pPr>
              <w:spacing w:line="300" w:lineRule="auto"/>
              <w:jc w:val="center"/>
              <w:rPr>
                <w:rFonts w:ascii="Times New Roman" w:hAnsi="Times New Roman" w:eastAsia="Times New Roman" w:cs="Times New Roman"/>
                <w:color w:val="auto"/>
                <w:kern w:val="0"/>
                <w:sz w:val="22"/>
                <w:szCs w:val="22"/>
              </w:rPr>
            </w:pPr>
          </w:p>
        </w:tc>
        <w:tc>
          <w:tcPr>
            <w:tcW w:w="964" w:type="dxa"/>
            <w:vAlign w:val="center"/>
          </w:tcPr>
          <w:p w14:paraId="0E94A52F">
            <w:pPr>
              <w:spacing w:line="300" w:lineRule="auto"/>
              <w:jc w:val="center"/>
              <w:rPr>
                <w:rFonts w:ascii="Times New Roman" w:hAnsi="Times New Roman" w:eastAsia="Times New Roman" w:cs="Times New Roman"/>
                <w:color w:val="auto"/>
                <w:kern w:val="0"/>
                <w:sz w:val="22"/>
                <w:szCs w:val="22"/>
              </w:rPr>
            </w:pPr>
          </w:p>
        </w:tc>
      </w:tr>
      <w:tr w14:paraId="7878A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Merge w:val="continue"/>
            <w:vAlign w:val="center"/>
          </w:tcPr>
          <w:p w14:paraId="11149101">
            <w:pPr>
              <w:spacing w:line="300" w:lineRule="auto"/>
              <w:jc w:val="center"/>
              <w:rPr>
                <w:rFonts w:ascii="Times New Roman" w:hAnsi="Times New Roman" w:eastAsia="Times New Roman" w:cs="Times New Roman"/>
                <w:color w:val="auto"/>
                <w:kern w:val="0"/>
                <w:sz w:val="22"/>
                <w:szCs w:val="22"/>
              </w:rPr>
            </w:pPr>
          </w:p>
        </w:tc>
        <w:tc>
          <w:tcPr>
            <w:tcW w:w="1130" w:type="dxa"/>
            <w:vAlign w:val="center"/>
          </w:tcPr>
          <w:p w14:paraId="48266E28">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媒体曝光、投诉</w:t>
            </w:r>
          </w:p>
        </w:tc>
        <w:tc>
          <w:tcPr>
            <w:tcW w:w="4957" w:type="dxa"/>
            <w:vAlign w:val="center"/>
          </w:tcPr>
          <w:p w14:paraId="212EB187">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被媒体公开曝光一次，扣10-20分，重复批评扣20分</w:t>
            </w:r>
          </w:p>
        </w:tc>
        <w:tc>
          <w:tcPr>
            <w:tcW w:w="964" w:type="dxa"/>
            <w:vAlign w:val="center"/>
          </w:tcPr>
          <w:p w14:paraId="4A3ED187">
            <w:pPr>
              <w:spacing w:line="300" w:lineRule="auto"/>
              <w:jc w:val="center"/>
              <w:rPr>
                <w:rFonts w:ascii="Times New Roman" w:hAnsi="Times New Roman" w:eastAsia="Times New Roman" w:cs="Times New Roman"/>
                <w:color w:val="auto"/>
                <w:kern w:val="0"/>
                <w:sz w:val="22"/>
                <w:szCs w:val="22"/>
              </w:rPr>
            </w:pPr>
          </w:p>
        </w:tc>
        <w:tc>
          <w:tcPr>
            <w:tcW w:w="964" w:type="dxa"/>
            <w:vMerge w:val="continue"/>
            <w:vAlign w:val="center"/>
          </w:tcPr>
          <w:p w14:paraId="73C911DF">
            <w:pPr>
              <w:spacing w:line="300" w:lineRule="auto"/>
              <w:jc w:val="center"/>
              <w:rPr>
                <w:rFonts w:ascii="Times New Roman" w:hAnsi="Times New Roman" w:eastAsia="Times New Roman" w:cs="Times New Roman"/>
                <w:color w:val="auto"/>
                <w:kern w:val="0"/>
                <w:sz w:val="22"/>
                <w:szCs w:val="22"/>
              </w:rPr>
            </w:pPr>
          </w:p>
        </w:tc>
        <w:tc>
          <w:tcPr>
            <w:tcW w:w="964" w:type="dxa"/>
            <w:vAlign w:val="center"/>
          </w:tcPr>
          <w:p w14:paraId="60C8CA21">
            <w:pPr>
              <w:spacing w:line="300" w:lineRule="auto"/>
              <w:jc w:val="center"/>
              <w:rPr>
                <w:rFonts w:ascii="Times New Roman" w:hAnsi="Times New Roman" w:eastAsia="Times New Roman" w:cs="Times New Roman"/>
                <w:color w:val="auto"/>
                <w:kern w:val="0"/>
                <w:sz w:val="22"/>
                <w:szCs w:val="22"/>
              </w:rPr>
            </w:pPr>
          </w:p>
        </w:tc>
      </w:tr>
      <w:tr w14:paraId="42C7A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Merge w:val="continue"/>
            <w:vAlign w:val="center"/>
          </w:tcPr>
          <w:p w14:paraId="3A21C479">
            <w:pPr>
              <w:spacing w:line="300" w:lineRule="auto"/>
              <w:jc w:val="center"/>
              <w:rPr>
                <w:rFonts w:ascii="Times New Roman" w:hAnsi="Times New Roman" w:eastAsia="Times New Roman" w:cs="Times New Roman"/>
                <w:color w:val="auto"/>
                <w:kern w:val="0"/>
                <w:sz w:val="22"/>
                <w:szCs w:val="22"/>
              </w:rPr>
            </w:pPr>
          </w:p>
        </w:tc>
        <w:tc>
          <w:tcPr>
            <w:tcW w:w="1130" w:type="dxa"/>
            <w:vAlign w:val="center"/>
          </w:tcPr>
          <w:p w14:paraId="457AEF0F">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上级行政机构监督</w:t>
            </w:r>
          </w:p>
        </w:tc>
        <w:tc>
          <w:tcPr>
            <w:tcW w:w="4957" w:type="dxa"/>
            <w:vAlign w:val="center"/>
          </w:tcPr>
          <w:p w14:paraId="25288D59">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被公开批评，有责一次扣10分，重复批评扣20分</w:t>
            </w:r>
          </w:p>
        </w:tc>
        <w:tc>
          <w:tcPr>
            <w:tcW w:w="964" w:type="dxa"/>
            <w:vAlign w:val="center"/>
          </w:tcPr>
          <w:p w14:paraId="79D6DB3B">
            <w:pPr>
              <w:spacing w:line="300" w:lineRule="auto"/>
              <w:jc w:val="center"/>
              <w:rPr>
                <w:rFonts w:ascii="Times New Roman" w:hAnsi="Times New Roman" w:eastAsia="Times New Roman" w:cs="Times New Roman"/>
                <w:color w:val="auto"/>
                <w:kern w:val="0"/>
                <w:sz w:val="22"/>
                <w:szCs w:val="22"/>
              </w:rPr>
            </w:pPr>
          </w:p>
        </w:tc>
        <w:tc>
          <w:tcPr>
            <w:tcW w:w="964" w:type="dxa"/>
            <w:vMerge w:val="continue"/>
            <w:vAlign w:val="center"/>
          </w:tcPr>
          <w:p w14:paraId="08C9C84A">
            <w:pPr>
              <w:spacing w:line="300" w:lineRule="auto"/>
              <w:jc w:val="center"/>
              <w:rPr>
                <w:rFonts w:ascii="Times New Roman" w:hAnsi="Times New Roman" w:eastAsia="Times New Roman" w:cs="Times New Roman"/>
                <w:color w:val="auto"/>
                <w:kern w:val="0"/>
                <w:sz w:val="22"/>
                <w:szCs w:val="22"/>
              </w:rPr>
            </w:pPr>
          </w:p>
        </w:tc>
        <w:tc>
          <w:tcPr>
            <w:tcW w:w="964" w:type="dxa"/>
            <w:vAlign w:val="center"/>
          </w:tcPr>
          <w:p w14:paraId="27FC248E">
            <w:pPr>
              <w:spacing w:line="300" w:lineRule="auto"/>
              <w:jc w:val="center"/>
              <w:rPr>
                <w:rFonts w:ascii="Times New Roman" w:hAnsi="Times New Roman" w:eastAsia="Times New Roman" w:cs="Times New Roman"/>
                <w:color w:val="auto"/>
                <w:kern w:val="0"/>
                <w:sz w:val="22"/>
                <w:szCs w:val="22"/>
              </w:rPr>
            </w:pPr>
          </w:p>
        </w:tc>
      </w:tr>
      <w:tr w14:paraId="5895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Merge w:val="continue"/>
            <w:vAlign w:val="center"/>
          </w:tcPr>
          <w:p w14:paraId="5988A3B8">
            <w:pPr>
              <w:spacing w:line="300" w:lineRule="auto"/>
              <w:jc w:val="center"/>
              <w:rPr>
                <w:rFonts w:ascii="Times New Roman" w:hAnsi="Times New Roman" w:eastAsia="Times New Roman" w:cs="Times New Roman"/>
                <w:color w:val="auto"/>
                <w:kern w:val="0"/>
                <w:sz w:val="22"/>
                <w:szCs w:val="22"/>
              </w:rPr>
            </w:pPr>
          </w:p>
        </w:tc>
        <w:tc>
          <w:tcPr>
            <w:tcW w:w="1130" w:type="dxa"/>
            <w:vAlign w:val="center"/>
          </w:tcPr>
          <w:p w14:paraId="7F28FB94">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政风行风</w:t>
            </w:r>
          </w:p>
        </w:tc>
        <w:tc>
          <w:tcPr>
            <w:tcW w:w="4957" w:type="dxa"/>
            <w:vAlign w:val="center"/>
          </w:tcPr>
          <w:p w14:paraId="3A4C1070">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政风行风测评中有责扣分，扣10-20分</w:t>
            </w:r>
          </w:p>
        </w:tc>
        <w:tc>
          <w:tcPr>
            <w:tcW w:w="964" w:type="dxa"/>
            <w:vAlign w:val="center"/>
          </w:tcPr>
          <w:p w14:paraId="047E9E0A">
            <w:pPr>
              <w:spacing w:line="300" w:lineRule="auto"/>
              <w:jc w:val="center"/>
              <w:rPr>
                <w:rFonts w:ascii="Times New Roman" w:hAnsi="Times New Roman" w:eastAsia="Times New Roman" w:cs="Times New Roman"/>
                <w:color w:val="auto"/>
                <w:kern w:val="0"/>
                <w:sz w:val="22"/>
                <w:szCs w:val="22"/>
              </w:rPr>
            </w:pPr>
          </w:p>
        </w:tc>
        <w:tc>
          <w:tcPr>
            <w:tcW w:w="964" w:type="dxa"/>
            <w:vMerge w:val="continue"/>
            <w:vAlign w:val="center"/>
          </w:tcPr>
          <w:p w14:paraId="59CD201B">
            <w:pPr>
              <w:spacing w:line="300" w:lineRule="auto"/>
              <w:jc w:val="center"/>
              <w:rPr>
                <w:rFonts w:ascii="Times New Roman" w:hAnsi="Times New Roman" w:eastAsia="Times New Roman" w:cs="Times New Roman"/>
                <w:color w:val="auto"/>
                <w:kern w:val="0"/>
                <w:sz w:val="22"/>
                <w:szCs w:val="22"/>
              </w:rPr>
            </w:pPr>
          </w:p>
        </w:tc>
        <w:tc>
          <w:tcPr>
            <w:tcW w:w="964" w:type="dxa"/>
            <w:vAlign w:val="center"/>
          </w:tcPr>
          <w:p w14:paraId="60A1AB6D">
            <w:pPr>
              <w:spacing w:line="300" w:lineRule="auto"/>
              <w:jc w:val="center"/>
              <w:rPr>
                <w:rFonts w:ascii="Times New Roman" w:hAnsi="Times New Roman" w:eastAsia="Times New Roman" w:cs="Times New Roman"/>
                <w:color w:val="auto"/>
                <w:kern w:val="0"/>
                <w:sz w:val="22"/>
                <w:szCs w:val="22"/>
              </w:rPr>
            </w:pPr>
          </w:p>
        </w:tc>
      </w:tr>
      <w:tr w14:paraId="285D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Merge w:val="continue"/>
            <w:vAlign w:val="center"/>
          </w:tcPr>
          <w:p w14:paraId="7DC5BFBC">
            <w:pPr>
              <w:spacing w:line="300" w:lineRule="auto"/>
              <w:jc w:val="center"/>
              <w:rPr>
                <w:rFonts w:ascii="Times New Roman" w:hAnsi="Times New Roman" w:eastAsia="Times New Roman" w:cs="Times New Roman"/>
                <w:color w:val="auto"/>
                <w:kern w:val="0"/>
                <w:sz w:val="22"/>
                <w:szCs w:val="22"/>
              </w:rPr>
            </w:pPr>
          </w:p>
        </w:tc>
        <w:tc>
          <w:tcPr>
            <w:tcW w:w="1130" w:type="dxa"/>
            <w:vAlign w:val="center"/>
          </w:tcPr>
          <w:p w14:paraId="30CDCDDE">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重大伤亡事故</w:t>
            </w:r>
          </w:p>
        </w:tc>
        <w:tc>
          <w:tcPr>
            <w:tcW w:w="4957" w:type="dxa"/>
            <w:vAlign w:val="center"/>
          </w:tcPr>
          <w:p w14:paraId="25F755BB">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全责一次扣20分；半责一次扣10分；次责一次扣5分</w:t>
            </w:r>
          </w:p>
        </w:tc>
        <w:tc>
          <w:tcPr>
            <w:tcW w:w="964" w:type="dxa"/>
            <w:vAlign w:val="center"/>
          </w:tcPr>
          <w:p w14:paraId="2A918E20">
            <w:pPr>
              <w:spacing w:line="300" w:lineRule="auto"/>
              <w:jc w:val="center"/>
              <w:rPr>
                <w:rFonts w:ascii="Times New Roman" w:hAnsi="Times New Roman" w:eastAsia="Times New Roman" w:cs="Times New Roman"/>
                <w:color w:val="auto"/>
                <w:kern w:val="0"/>
                <w:sz w:val="22"/>
                <w:szCs w:val="22"/>
              </w:rPr>
            </w:pPr>
          </w:p>
        </w:tc>
        <w:tc>
          <w:tcPr>
            <w:tcW w:w="964" w:type="dxa"/>
            <w:vMerge w:val="continue"/>
            <w:vAlign w:val="center"/>
          </w:tcPr>
          <w:p w14:paraId="40FFB5FE">
            <w:pPr>
              <w:spacing w:line="300" w:lineRule="auto"/>
              <w:jc w:val="center"/>
              <w:rPr>
                <w:rFonts w:ascii="Times New Roman" w:hAnsi="Times New Roman" w:eastAsia="Times New Roman" w:cs="Times New Roman"/>
                <w:color w:val="auto"/>
                <w:kern w:val="0"/>
                <w:sz w:val="22"/>
                <w:szCs w:val="22"/>
              </w:rPr>
            </w:pPr>
          </w:p>
        </w:tc>
        <w:tc>
          <w:tcPr>
            <w:tcW w:w="964" w:type="dxa"/>
            <w:vAlign w:val="center"/>
          </w:tcPr>
          <w:p w14:paraId="44082BBA">
            <w:pPr>
              <w:spacing w:line="300" w:lineRule="auto"/>
              <w:jc w:val="center"/>
              <w:rPr>
                <w:rFonts w:ascii="Times New Roman" w:hAnsi="Times New Roman" w:eastAsia="Times New Roman" w:cs="Times New Roman"/>
                <w:color w:val="auto"/>
                <w:kern w:val="0"/>
                <w:sz w:val="22"/>
                <w:szCs w:val="22"/>
              </w:rPr>
            </w:pPr>
          </w:p>
        </w:tc>
      </w:tr>
      <w:tr w14:paraId="0B46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Merge w:val="continue"/>
            <w:vAlign w:val="center"/>
          </w:tcPr>
          <w:p w14:paraId="3E0ECEA8">
            <w:pPr>
              <w:spacing w:line="300" w:lineRule="auto"/>
              <w:jc w:val="center"/>
              <w:rPr>
                <w:rFonts w:ascii="Times New Roman" w:hAnsi="Times New Roman" w:eastAsia="Times New Roman" w:cs="Times New Roman"/>
                <w:color w:val="auto"/>
                <w:kern w:val="0"/>
                <w:sz w:val="22"/>
                <w:szCs w:val="22"/>
              </w:rPr>
            </w:pPr>
          </w:p>
        </w:tc>
        <w:tc>
          <w:tcPr>
            <w:tcW w:w="1130" w:type="dxa"/>
            <w:vAlign w:val="center"/>
          </w:tcPr>
          <w:p w14:paraId="76CC7D30">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应急处置</w:t>
            </w:r>
          </w:p>
        </w:tc>
        <w:tc>
          <w:tcPr>
            <w:tcW w:w="4957" w:type="dxa"/>
            <w:vAlign w:val="center"/>
          </w:tcPr>
          <w:p w14:paraId="5557C459">
            <w:pPr>
              <w:spacing w:line="240" w:lineRule="auto"/>
              <w:jc w:val="center"/>
              <w:rPr>
                <w:rFonts w:ascii="Times New Roman" w:hAnsi="Times New Roman" w:eastAsia="Times New Roman" w:cs="Times New Roman"/>
                <w:color w:val="auto"/>
                <w:kern w:val="0"/>
                <w:sz w:val="22"/>
                <w:szCs w:val="22"/>
              </w:rPr>
            </w:pPr>
            <w:r>
              <w:rPr>
                <w:rFonts w:hint="eastAsia" w:ascii="Times New Roman" w:hAnsi="Times New Roman" w:eastAsia="Times New Roman" w:cs="Times New Roman"/>
                <w:color w:val="auto"/>
                <w:kern w:val="0"/>
                <w:sz w:val="22"/>
                <w:szCs w:val="22"/>
              </w:rPr>
              <w:t>因抗灾不力或应急处置不力的，造成严重后果的扣20分</w:t>
            </w:r>
          </w:p>
        </w:tc>
        <w:tc>
          <w:tcPr>
            <w:tcW w:w="964" w:type="dxa"/>
            <w:vAlign w:val="center"/>
          </w:tcPr>
          <w:p w14:paraId="1B8794AE">
            <w:pPr>
              <w:spacing w:line="300" w:lineRule="auto"/>
              <w:jc w:val="center"/>
              <w:rPr>
                <w:rFonts w:ascii="Times New Roman" w:hAnsi="Times New Roman" w:eastAsia="Times New Roman" w:cs="Times New Roman"/>
                <w:color w:val="auto"/>
                <w:kern w:val="0"/>
                <w:sz w:val="22"/>
                <w:szCs w:val="22"/>
              </w:rPr>
            </w:pPr>
          </w:p>
        </w:tc>
        <w:tc>
          <w:tcPr>
            <w:tcW w:w="964" w:type="dxa"/>
            <w:vMerge w:val="continue"/>
            <w:vAlign w:val="center"/>
          </w:tcPr>
          <w:p w14:paraId="4C595AA0">
            <w:pPr>
              <w:spacing w:line="300" w:lineRule="auto"/>
              <w:jc w:val="center"/>
              <w:rPr>
                <w:rFonts w:ascii="Times New Roman" w:hAnsi="Times New Roman" w:eastAsia="Times New Roman" w:cs="Times New Roman"/>
                <w:color w:val="auto"/>
                <w:kern w:val="0"/>
                <w:sz w:val="22"/>
                <w:szCs w:val="22"/>
              </w:rPr>
            </w:pPr>
          </w:p>
        </w:tc>
        <w:tc>
          <w:tcPr>
            <w:tcW w:w="964" w:type="dxa"/>
            <w:vAlign w:val="center"/>
          </w:tcPr>
          <w:p w14:paraId="59F9EFEE">
            <w:pPr>
              <w:spacing w:line="300" w:lineRule="auto"/>
              <w:jc w:val="center"/>
              <w:rPr>
                <w:rFonts w:ascii="Times New Roman" w:hAnsi="Times New Roman" w:eastAsia="Times New Roman" w:cs="Times New Roman"/>
                <w:color w:val="auto"/>
                <w:kern w:val="0"/>
                <w:sz w:val="22"/>
                <w:szCs w:val="22"/>
              </w:rPr>
            </w:pPr>
          </w:p>
        </w:tc>
      </w:tr>
      <w:tr w14:paraId="69A9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0" w:type="dxa"/>
            <w:vAlign w:val="center"/>
          </w:tcPr>
          <w:p w14:paraId="39FC8700">
            <w:pPr>
              <w:spacing w:line="300" w:lineRule="auto"/>
              <w:jc w:val="center"/>
              <w:rPr>
                <w:rFonts w:ascii="Times New Roman" w:hAnsi="Times New Roman" w:eastAsia="Times New Roman" w:cs="Times New Roman"/>
                <w:b/>
                <w:color w:val="auto"/>
                <w:kern w:val="0"/>
                <w:sz w:val="22"/>
                <w:szCs w:val="22"/>
              </w:rPr>
            </w:pPr>
            <w:r>
              <w:rPr>
                <w:rFonts w:hint="eastAsia" w:ascii="Times New Roman" w:hAnsi="Times New Roman" w:eastAsia="Times New Roman" w:cs="Times New Roman"/>
                <w:b/>
                <w:color w:val="auto"/>
                <w:kern w:val="0"/>
                <w:sz w:val="22"/>
                <w:szCs w:val="22"/>
              </w:rPr>
              <w:t>三</w:t>
            </w:r>
          </w:p>
        </w:tc>
        <w:tc>
          <w:tcPr>
            <w:tcW w:w="1130" w:type="dxa"/>
            <w:vAlign w:val="center"/>
          </w:tcPr>
          <w:p w14:paraId="5EF18CC0">
            <w:pPr>
              <w:spacing w:line="300" w:lineRule="auto"/>
              <w:jc w:val="center"/>
              <w:rPr>
                <w:rFonts w:ascii="Times New Roman" w:hAnsi="Times New Roman" w:eastAsia="Times New Roman" w:cs="Times New Roman"/>
                <w:b/>
                <w:color w:val="auto"/>
                <w:kern w:val="0"/>
                <w:sz w:val="22"/>
                <w:szCs w:val="22"/>
              </w:rPr>
            </w:pPr>
            <w:r>
              <w:rPr>
                <w:rFonts w:hint="eastAsia" w:ascii="Times New Roman" w:hAnsi="Times New Roman" w:eastAsia="Times New Roman" w:cs="Times New Roman"/>
                <w:b/>
                <w:color w:val="auto"/>
                <w:kern w:val="0"/>
                <w:sz w:val="22"/>
                <w:szCs w:val="22"/>
              </w:rPr>
              <w:t>合计</w:t>
            </w:r>
          </w:p>
        </w:tc>
        <w:tc>
          <w:tcPr>
            <w:tcW w:w="4957" w:type="dxa"/>
            <w:vAlign w:val="center"/>
          </w:tcPr>
          <w:p w14:paraId="500CD648">
            <w:pPr>
              <w:spacing w:line="300" w:lineRule="auto"/>
              <w:jc w:val="center"/>
              <w:rPr>
                <w:rFonts w:ascii="Times New Roman" w:hAnsi="Times New Roman" w:eastAsia="Times New Roman" w:cs="Times New Roman"/>
                <w:b/>
                <w:color w:val="auto"/>
                <w:kern w:val="0"/>
                <w:sz w:val="22"/>
                <w:szCs w:val="22"/>
              </w:rPr>
            </w:pPr>
            <w:r>
              <w:rPr>
                <w:rFonts w:hint="eastAsia" w:ascii="Times New Roman" w:hAnsi="Times New Roman" w:eastAsia="Times New Roman" w:cs="Times New Roman"/>
                <w:b/>
                <w:color w:val="auto"/>
                <w:kern w:val="0"/>
                <w:sz w:val="22"/>
                <w:szCs w:val="22"/>
              </w:rPr>
              <w:t>（一）+（二）</w:t>
            </w:r>
          </w:p>
        </w:tc>
        <w:tc>
          <w:tcPr>
            <w:tcW w:w="964" w:type="dxa"/>
            <w:vAlign w:val="center"/>
          </w:tcPr>
          <w:p w14:paraId="7A795B64">
            <w:pPr>
              <w:spacing w:line="300" w:lineRule="auto"/>
              <w:jc w:val="center"/>
              <w:rPr>
                <w:rFonts w:ascii="Times New Roman" w:hAnsi="Times New Roman" w:eastAsia="Times New Roman" w:cs="Times New Roman"/>
                <w:b/>
                <w:color w:val="auto"/>
                <w:kern w:val="0"/>
                <w:sz w:val="22"/>
                <w:szCs w:val="22"/>
              </w:rPr>
            </w:pPr>
            <w:r>
              <w:rPr>
                <w:rFonts w:hint="eastAsia" w:ascii="Times New Roman" w:hAnsi="Times New Roman" w:eastAsia="Times New Roman" w:cs="Times New Roman"/>
                <w:b/>
                <w:color w:val="auto"/>
                <w:kern w:val="0"/>
                <w:sz w:val="22"/>
                <w:szCs w:val="22"/>
              </w:rPr>
              <w:t>100</w:t>
            </w:r>
          </w:p>
        </w:tc>
        <w:tc>
          <w:tcPr>
            <w:tcW w:w="964" w:type="dxa"/>
            <w:vAlign w:val="center"/>
          </w:tcPr>
          <w:p w14:paraId="2809AA38">
            <w:pPr>
              <w:spacing w:line="300" w:lineRule="auto"/>
              <w:jc w:val="center"/>
              <w:rPr>
                <w:rFonts w:ascii="Times New Roman" w:hAnsi="Times New Roman" w:eastAsia="Times New Roman" w:cs="Times New Roman"/>
                <w:color w:val="auto"/>
                <w:kern w:val="0"/>
                <w:sz w:val="22"/>
                <w:szCs w:val="22"/>
              </w:rPr>
            </w:pPr>
          </w:p>
        </w:tc>
        <w:tc>
          <w:tcPr>
            <w:tcW w:w="964" w:type="dxa"/>
            <w:vAlign w:val="center"/>
          </w:tcPr>
          <w:p w14:paraId="677EFE36">
            <w:pPr>
              <w:spacing w:line="300" w:lineRule="auto"/>
              <w:jc w:val="center"/>
              <w:rPr>
                <w:rFonts w:ascii="Times New Roman" w:hAnsi="Times New Roman" w:eastAsia="Times New Roman" w:cs="Times New Roman"/>
                <w:color w:val="auto"/>
                <w:kern w:val="0"/>
                <w:sz w:val="22"/>
                <w:szCs w:val="22"/>
              </w:rPr>
            </w:pPr>
          </w:p>
        </w:tc>
      </w:tr>
    </w:tbl>
    <w:p w14:paraId="3F2BA93C">
      <w:pPr>
        <w:spacing w:line="300" w:lineRule="auto"/>
        <w:ind w:firstLine="424" w:firstLineChars="192"/>
        <w:outlineLvl w:val="2"/>
        <w:rPr>
          <w:rFonts w:ascii="Times New Roman" w:hAnsi="Times New Roman" w:eastAsia="宋体" w:cs="Times New Roman"/>
          <w:b/>
          <w:color w:val="auto"/>
          <w:sz w:val="22"/>
          <w:szCs w:val="22"/>
        </w:rPr>
      </w:pPr>
      <w:bookmarkStart w:id="29" w:name="_Toc12215"/>
      <w:bookmarkStart w:id="30" w:name="_Toc497211607"/>
      <w:r>
        <w:rPr>
          <w:rFonts w:ascii="Times New Roman" w:hAnsi="Times New Roman" w:eastAsia="宋体" w:cs="Times New Roman"/>
          <w:b/>
          <w:color w:val="auto"/>
          <w:sz w:val="22"/>
          <w:szCs w:val="22"/>
        </w:rPr>
        <w:t>1</w:t>
      </w:r>
      <w:r>
        <w:rPr>
          <w:rFonts w:hint="eastAsia" w:ascii="Times New Roman" w:hAnsi="Times New Roman" w:eastAsia="宋体" w:cs="Times New Roman"/>
          <w:b/>
          <w:color w:val="auto"/>
          <w:sz w:val="22"/>
          <w:szCs w:val="22"/>
        </w:rPr>
        <w:t>0</w:t>
      </w:r>
      <w:r>
        <w:rPr>
          <w:rFonts w:ascii="Times New Roman" w:hAnsi="Times New Roman" w:eastAsia="宋体" w:cs="Times New Roman"/>
          <w:b/>
          <w:color w:val="auto"/>
          <w:sz w:val="22"/>
          <w:szCs w:val="22"/>
        </w:rPr>
        <w:t>保密要求</w:t>
      </w:r>
      <w:bookmarkEnd w:id="29"/>
      <w:bookmarkEnd w:id="30"/>
    </w:p>
    <w:p w14:paraId="577D0112">
      <w:pPr>
        <w:spacing w:line="300" w:lineRule="auto"/>
        <w:ind w:firstLine="422" w:firstLineChars="192"/>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0</w:t>
      </w:r>
      <w:r>
        <w:rPr>
          <w:rFonts w:ascii="Times New Roman" w:hAnsi="Times New Roman" w:eastAsia="宋体" w:cs="Times New Roman"/>
          <w:color w:val="auto"/>
          <w:sz w:val="22"/>
          <w:szCs w:val="22"/>
        </w:rPr>
        <w:t xml:space="preserve">.1 </w:t>
      </w:r>
      <w:r>
        <w:rPr>
          <w:rFonts w:hint="eastAsia" w:ascii="Times New Roman" w:hAnsi="Times New Roman" w:eastAsia="宋体" w:cs="Times New Roman"/>
          <w:color w:val="auto"/>
          <w:sz w:val="22"/>
          <w:szCs w:val="22"/>
        </w:rPr>
        <w:t>成交供应商</w:t>
      </w:r>
      <w:r>
        <w:rPr>
          <w:rFonts w:ascii="Times New Roman" w:hAnsi="Times New Roman" w:eastAsia="宋体" w:cs="Times New Roman"/>
          <w:color w:val="auto"/>
          <w:sz w:val="22"/>
          <w:szCs w:val="22"/>
        </w:rPr>
        <w:t>应遵守合同文件约定内容的保密要求。如果采购人提供的内容属于保密的，应签订保密协议，且双方均有保密义务。</w:t>
      </w:r>
      <w:r>
        <w:rPr>
          <w:rFonts w:hint="eastAsia" w:ascii="Times New Roman" w:hAnsi="Times New Roman" w:eastAsia="宋体" w:cs="Times New Roman"/>
          <w:color w:val="auto"/>
          <w:sz w:val="22"/>
          <w:szCs w:val="22"/>
        </w:rPr>
        <w:t>成交供应商</w:t>
      </w:r>
      <w:r>
        <w:rPr>
          <w:rFonts w:ascii="Times New Roman" w:hAnsi="Times New Roman" w:eastAsia="宋体" w:cs="Times New Roman"/>
          <w:color w:val="auto"/>
          <w:sz w:val="22"/>
          <w:szCs w:val="22"/>
        </w:rPr>
        <w:t>不得利用工作之便外泄资料或做其他用途，否则</w:t>
      </w:r>
      <w:r>
        <w:rPr>
          <w:rFonts w:hint="eastAsia" w:ascii="Times New Roman" w:hAnsi="Times New Roman" w:eastAsia="宋体" w:cs="Times New Roman"/>
          <w:color w:val="auto"/>
          <w:sz w:val="22"/>
          <w:szCs w:val="22"/>
        </w:rPr>
        <w:t>成交供应商</w:t>
      </w:r>
      <w:r>
        <w:rPr>
          <w:rFonts w:ascii="Times New Roman" w:hAnsi="Times New Roman" w:eastAsia="宋体" w:cs="Times New Roman"/>
          <w:color w:val="auto"/>
          <w:sz w:val="22"/>
          <w:szCs w:val="22"/>
        </w:rPr>
        <w:t>需承担由此引起的法律责任和赔偿采购人的经济损失。本款规定的效力及于</w:t>
      </w:r>
      <w:r>
        <w:rPr>
          <w:rFonts w:hint="eastAsia" w:ascii="Times New Roman" w:hAnsi="Times New Roman" w:eastAsia="宋体" w:cs="Times New Roman"/>
          <w:color w:val="auto"/>
          <w:sz w:val="22"/>
          <w:szCs w:val="22"/>
        </w:rPr>
        <w:t>成交供应商</w:t>
      </w:r>
      <w:r>
        <w:rPr>
          <w:rFonts w:ascii="Times New Roman" w:hAnsi="Times New Roman" w:eastAsia="宋体" w:cs="Times New Roman"/>
          <w:color w:val="auto"/>
          <w:sz w:val="22"/>
          <w:szCs w:val="22"/>
        </w:rPr>
        <w:t>及</w:t>
      </w:r>
      <w:r>
        <w:rPr>
          <w:rFonts w:hint="eastAsia" w:ascii="Times New Roman" w:hAnsi="Times New Roman" w:eastAsia="宋体" w:cs="Times New Roman"/>
          <w:color w:val="auto"/>
          <w:sz w:val="22"/>
          <w:szCs w:val="22"/>
        </w:rPr>
        <w:t>成交供应商</w:t>
      </w:r>
      <w:r>
        <w:rPr>
          <w:rFonts w:ascii="Times New Roman" w:hAnsi="Times New Roman" w:eastAsia="宋体" w:cs="Times New Roman"/>
          <w:color w:val="auto"/>
          <w:sz w:val="22"/>
          <w:szCs w:val="22"/>
        </w:rPr>
        <w:t>的所有雇用人员。</w:t>
      </w:r>
    </w:p>
    <w:p w14:paraId="5562130D">
      <w:pPr>
        <w:spacing w:line="300" w:lineRule="auto"/>
        <w:rPr>
          <w:rFonts w:ascii="Times New Roman" w:hAnsi="Times New Roman" w:eastAsia="宋体" w:cs="Times New Roman"/>
          <w:color w:val="auto"/>
          <w:sz w:val="20"/>
          <w:szCs w:val="20"/>
        </w:rPr>
      </w:pPr>
    </w:p>
    <w:p w14:paraId="421C3098">
      <w:pPr>
        <w:adjustRightInd w:val="0"/>
        <w:snapToGrid w:val="0"/>
        <w:spacing w:line="300" w:lineRule="auto"/>
        <w:jc w:val="center"/>
        <w:outlineLvl w:val="1"/>
        <w:rPr>
          <w:rFonts w:ascii="Times New Roman" w:hAnsi="Times New Roman" w:eastAsia="黑体" w:cs="Times New Roman"/>
          <w:color w:val="auto"/>
          <w:sz w:val="30"/>
          <w:szCs w:val="30"/>
        </w:rPr>
      </w:pPr>
      <w:bookmarkStart w:id="31" w:name="_Toc14575"/>
      <w:bookmarkStart w:id="32" w:name="_Toc497211608"/>
      <w:r>
        <w:rPr>
          <w:rFonts w:ascii="Times New Roman" w:hAnsi="Times New Roman" w:eastAsia="黑体" w:cs="Times New Roman"/>
          <w:color w:val="auto"/>
          <w:sz w:val="30"/>
          <w:szCs w:val="30"/>
        </w:rPr>
        <w:t>四、报价须知</w:t>
      </w:r>
      <w:bookmarkEnd w:id="31"/>
      <w:bookmarkEnd w:id="32"/>
    </w:p>
    <w:p w14:paraId="32B8BC37">
      <w:pPr>
        <w:adjustRightInd w:val="0"/>
        <w:snapToGrid w:val="0"/>
        <w:spacing w:line="300" w:lineRule="auto"/>
        <w:ind w:firstLine="442" w:firstLineChars="200"/>
        <w:jc w:val="left"/>
        <w:outlineLvl w:val="2"/>
        <w:rPr>
          <w:rFonts w:ascii="Times New Roman" w:hAnsi="Times New Roman" w:eastAsia="宋体" w:cs="Times New Roman"/>
          <w:b/>
          <w:color w:val="auto"/>
          <w:sz w:val="22"/>
          <w:szCs w:val="22"/>
        </w:rPr>
      </w:pPr>
      <w:bookmarkStart w:id="33" w:name="_Toc8803"/>
      <w:bookmarkStart w:id="34" w:name="_Toc490037251"/>
      <w:bookmarkStart w:id="35" w:name="_Toc497747038"/>
      <w:bookmarkStart w:id="36" w:name="_Toc497211611"/>
      <w:r>
        <w:rPr>
          <w:rFonts w:ascii="Times New Roman" w:hAnsi="Times New Roman" w:eastAsia="宋体" w:cs="Times New Roman"/>
          <w:b/>
          <w:color w:val="auto"/>
          <w:sz w:val="22"/>
          <w:szCs w:val="22"/>
        </w:rPr>
        <w:t>1</w:t>
      </w:r>
      <w:r>
        <w:rPr>
          <w:rFonts w:hint="eastAsia" w:ascii="Times New Roman" w:hAnsi="Times New Roman" w:eastAsia="宋体" w:cs="Times New Roman"/>
          <w:b/>
          <w:color w:val="auto"/>
          <w:sz w:val="22"/>
          <w:szCs w:val="22"/>
        </w:rPr>
        <w:t>1磋商</w:t>
      </w:r>
      <w:r>
        <w:rPr>
          <w:rFonts w:ascii="Times New Roman" w:hAnsi="Times New Roman" w:eastAsia="宋体" w:cs="Times New Roman"/>
          <w:b/>
          <w:color w:val="auto"/>
          <w:sz w:val="22"/>
          <w:szCs w:val="22"/>
        </w:rPr>
        <w:t>报价依据</w:t>
      </w:r>
      <w:bookmarkEnd w:id="33"/>
      <w:bookmarkEnd w:id="34"/>
      <w:bookmarkEnd w:id="35"/>
    </w:p>
    <w:p w14:paraId="22C30791">
      <w:pPr>
        <w:adjustRightInd w:val="0"/>
        <w:snapToGrid w:val="0"/>
        <w:spacing w:line="300" w:lineRule="auto"/>
        <w:ind w:firstLine="440" w:firstLineChars="200"/>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1</w:t>
      </w:r>
      <w:r>
        <w:rPr>
          <w:rFonts w:ascii="Times New Roman" w:hAnsi="Times New Roman" w:eastAsia="宋体" w:cs="Times New Roman"/>
          <w:color w:val="auto"/>
          <w:sz w:val="22"/>
          <w:szCs w:val="22"/>
        </w:rPr>
        <w:t xml:space="preserve">.1 </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报价计算依据包括本项目的</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文件（包括提供的附件）、</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文件答疑或修改的补充文书、</w:t>
      </w:r>
      <w:r>
        <w:rPr>
          <w:rFonts w:hint="eastAsia" w:ascii="Times New Roman" w:hAnsi="Times New Roman" w:eastAsia="宋体" w:cs="Times New Roman"/>
          <w:color w:val="auto"/>
          <w:sz w:val="22"/>
          <w:szCs w:val="22"/>
        </w:rPr>
        <w:t>磋商过程中实质性变动的内容、服务内容一览表（</w:t>
      </w:r>
      <w:r>
        <w:rPr>
          <w:rFonts w:ascii="Times New Roman" w:hAnsi="Times New Roman" w:eastAsia="宋体" w:cs="Times New Roman"/>
          <w:color w:val="auto"/>
          <w:sz w:val="22"/>
          <w:szCs w:val="22"/>
        </w:rPr>
        <w:t>工作量清单</w:t>
      </w:r>
      <w:r>
        <w:rPr>
          <w:rFonts w:hint="eastAsia" w:ascii="Times New Roman" w:hAnsi="Times New Roman" w:eastAsia="宋体" w:cs="Times New Roman"/>
          <w:color w:val="auto"/>
          <w:sz w:val="22"/>
          <w:szCs w:val="22"/>
        </w:rPr>
        <w:t>）</w:t>
      </w:r>
      <w:r>
        <w:rPr>
          <w:rFonts w:ascii="Times New Roman" w:hAnsi="Times New Roman" w:eastAsia="宋体" w:cs="Times New Roman"/>
          <w:color w:val="auto"/>
          <w:sz w:val="22"/>
          <w:szCs w:val="22"/>
        </w:rPr>
        <w:t>、项目现场条件等。</w:t>
      </w:r>
    </w:p>
    <w:p w14:paraId="794A847E">
      <w:pPr>
        <w:adjustRightInd w:val="0"/>
        <w:snapToGrid w:val="0"/>
        <w:spacing w:line="300" w:lineRule="auto"/>
        <w:ind w:firstLine="440" w:firstLineChars="200"/>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1</w:t>
      </w:r>
      <w:r>
        <w:rPr>
          <w:rFonts w:ascii="Times New Roman" w:hAnsi="Times New Roman" w:eastAsia="宋体" w:cs="Times New Roman"/>
          <w:color w:val="auto"/>
          <w:sz w:val="22"/>
          <w:szCs w:val="22"/>
        </w:rPr>
        <w:t>.2</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文件明确的</w:t>
      </w:r>
      <w:r>
        <w:rPr>
          <w:rFonts w:hint="eastAsia" w:ascii="Times New Roman" w:hAnsi="Times New Roman" w:eastAsia="宋体" w:cs="Times New Roman"/>
          <w:color w:val="auto"/>
          <w:sz w:val="22"/>
          <w:szCs w:val="22"/>
        </w:rPr>
        <w:t>项目</w:t>
      </w:r>
      <w:r>
        <w:rPr>
          <w:rFonts w:ascii="Times New Roman" w:hAnsi="Times New Roman" w:eastAsia="宋体" w:cs="Times New Roman"/>
          <w:color w:val="auto"/>
          <w:sz w:val="22"/>
          <w:szCs w:val="22"/>
        </w:rPr>
        <w:t>范围、</w:t>
      </w:r>
      <w:r>
        <w:rPr>
          <w:rFonts w:hint="eastAsia" w:ascii="Times New Roman" w:hAnsi="Times New Roman" w:eastAsia="宋体" w:cs="Times New Roman"/>
          <w:color w:val="auto"/>
          <w:sz w:val="22"/>
          <w:szCs w:val="22"/>
        </w:rPr>
        <w:t>实施</w:t>
      </w:r>
      <w:r>
        <w:rPr>
          <w:rFonts w:ascii="Times New Roman" w:hAnsi="Times New Roman" w:eastAsia="宋体" w:cs="Times New Roman"/>
          <w:color w:val="auto"/>
          <w:sz w:val="22"/>
          <w:szCs w:val="22"/>
        </w:rPr>
        <w:t>内容、</w:t>
      </w:r>
      <w:r>
        <w:rPr>
          <w:rFonts w:hint="eastAsia" w:ascii="Times New Roman" w:hAnsi="Times New Roman" w:eastAsia="宋体" w:cs="Times New Roman"/>
          <w:color w:val="auto"/>
          <w:sz w:val="22"/>
          <w:szCs w:val="22"/>
        </w:rPr>
        <w:t>实施</w:t>
      </w:r>
      <w:r>
        <w:rPr>
          <w:rFonts w:ascii="Times New Roman" w:hAnsi="Times New Roman" w:eastAsia="宋体" w:cs="Times New Roman"/>
          <w:color w:val="auto"/>
          <w:sz w:val="22"/>
          <w:szCs w:val="22"/>
        </w:rPr>
        <w:t>期限、质量要求、</w:t>
      </w:r>
      <w:r>
        <w:rPr>
          <w:rFonts w:hint="eastAsia" w:ascii="Times New Roman" w:hAnsi="Times New Roman" w:eastAsia="宋体" w:cs="Times New Roman"/>
          <w:color w:val="auto"/>
          <w:sz w:val="22"/>
          <w:szCs w:val="22"/>
        </w:rPr>
        <w:t>售后服务（如果有）、</w:t>
      </w:r>
      <w:r>
        <w:rPr>
          <w:rFonts w:ascii="Times New Roman" w:hAnsi="Times New Roman" w:eastAsia="宋体" w:cs="Times New Roman"/>
          <w:color w:val="auto"/>
          <w:sz w:val="22"/>
          <w:szCs w:val="22"/>
        </w:rPr>
        <w:t>管理要求与标准及考核要求等。</w:t>
      </w:r>
    </w:p>
    <w:p w14:paraId="34899570">
      <w:pPr>
        <w:adjustRightInd w:val="0"/>
        <w:snapToGrid w:val="0"/>
        <w:spacing w:line="300" w:lineRule="auto"/>
        <w:ind w:firstLine="440" w:firstLineChars="200"/>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1</w:t>
      </w:r>
      <w:r>
        <w:rPr>
          <w:rFonts w:ascii="Times New Roman" w:hAnsi="Times New Roman" w:eastAsia="宋体" w:cs="Times New Roman"/>
          <w:color w:val="auto"/>
          <w:sz w:val="22"/>
          <w:szCs w:val="22"/>
        </w:rPr>
        <w:t>.3</w:t>
      </w:r>
      <w:r>
        <w:rPr>
          <w:rFonts w:hint="eastAsia" w:ascii="Times New Roman" w:hAnsi="Times New Roman" w:eastAsia="宋体" w:cs="Times New Roman"/>
          <w:color w:val="auto"/>
          <w:sz w:val="22"/>
          <w:szCs w:val="22"/>
        </w:rPr>
        <w:t>服务内容一览表（</w:t>
      </w:r>
      <w:r>
        <w:rPr>
          <w:rFonts w:ascii="Times New Roman" w:hAnsi="Times New Roman" w:eastAsia="宋体" w:cs="Times New Roman"/>
          <w:color w:val="auto"/>
          <w:sz w:val="22"/>
          <w:szCs w:val="22"/>
        </w:rPr>
        <w:t>工作量清单</w:t>
      </w:r>
      <w:r>
        <w:rPr>
          <w:rFonts w:hint="eastAsia" w:ascii="Times New Roman" w:hAnsi="Times New Roman" w:eastAsia="宋体" w:cs="Times New Roman"/>
          <w:color w:val="auto"/>
          <w:sz w:val="22"/>
          <w:szCs w:val="22"/>
        </w:rPr>
        <w:t>）</w:t>
      </w:r>
      <w:r>
        <w:rPr>
          <w:rFonts w:ascii="Times New Roman" w:hAnsi="Times New Roman" w:eastAsia="宋体" w:cs="Times New Roman"/>
          <w:color w:val="auto"/>
          <w:sz w:val="22"/>
          <w:szCs w:val="22"/>
        </w:rPr>
        <w:t>说明</w:t>
      </w:r>
    </w:p>
    <w:p w14:paraId="59D5910D">
      <w:pPr>
        <w:adjustRightInd w:val="0"/>
        <w:snapToGrid w:val="0"/>
        <w:spacing w:line="300" w:lineRule="auto"/>
        <w:ind w:firstLine="440" w:firstLineChars="200"/>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1</w:t>
      </w:r>
      <w:r>
        <w:rPr>
          <w:rFonts w:ascii="Times New Roman" w:hAnsi="Times New Roman" w:eastAsia="宋体" w:cs="Times New Roman"/>
          <w:color w:val="auto"/>
          <w:sz w:val="22"/>
          <w:szCs w:val="22"/>
        </w:rPr>
        <w:t>.3.1</w:t>
      </w:r>
      <w:r>
        <w:rPr>
          <w:rFonts w:hint="eastAsia" w:ascii="Times New Roman" w:hAnsi="Times New Roman" w:eastAsia="宋体" w:cs="Times New Roman"/>
          <w:color w:val="auto"/>
          <w:sz w:val="22"/>
          <w:szCs w:val="22"/>
        </w:rPr>
        <w:t>服务内容一览表（</w:t>
      </w:r>
      <w:r>
        <w:rPr>
          <w:rFonts w:ascii="Times New Roman" w:hAnsi="Times New Roman" w:eastAsia="宋体" w:cs="Times New Roman"/>
          <w:color w:val="auto"/>
          <w:sz w:val="22"/>
          <w:szCs w:val="22"/>
        </w:rPr>
        <w:t>工作量清单</w:t>
      </w:r>
      <w:r>
        <w:rPr>
          <w:rFonts w:hint="eastAsia" w:ascii="Times New Roman" w:hAnsi="Times New Roman" w:eastAsia="宋体" w:cs="Times New Roman"/>
          <w:color w:val="auto"/>
          <w:sz w:val="22"/>
          <w:szCs w:val="22"/>
        </w:rPr>
        <w:t>）</w:t>
      </w:r>
      <w:r>
        <w:rPr>
          <w:rFonts w:ascii="Times New Roman" w:hAnsi="Times New Roman" w:eastAsia="宋体" w:cs="Times New Roman"/>
          <w:color w:val="auto"/>
          <w:sz w:val="22"/>
          <w:szCs w:val="22"/>
        </w:rPr>
        <w:t>应与</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须知、合同条件、项目质量标准和要求等文件结合起来理解或解释。</w:t>
      </w:r>
    </w:p>
    <w:p w14:paraId="7221F8B2">
      <w:pPr>
        <w:adjustRightInd w:val="0"/>
        <w:snapToGrid w:val="0"/>
        <w:spacing w:line="300" w:lineRule="auto"/>
        <w:ind w:firstLine="440" w:firstLineChars="200"/>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1</w:t>
      </w:r>
      <w:r>
        <w:rPr>
          <w:rFonts w:ascii="Times New Roman" w:hAnsi="Times New Roman" w:eastAsia="宋体" w:cs="Times New Roman"/>
          <w:color w:val="auto"/>
          <w:sz w:val="22"/>
          <w:szCs w:val="22"/>
        </w:rPr>
        <w:t>.3.2采购人提供的</w:t>
      </w:r>
      <w:r>
        <w:rPr>
          <w:rFonts w:hint="eastAsia" w:ascii="Times New Roman" w:hAnsi="Times New Roman" w:eastAsia="宋体" w:cs="Times New Roman"/>
          <w:color w:val="auto"/>
          <w:sz w:val="22"/>
          <w:szCs w:val="22"/>
        </w:rPr>
        <w:t>服务内容一览表（</w:t>
      </w:r>
      <w:r>
        <w:rPr>
          <w:rFonts w:ascii="Times New Roman" w:hAnsi="Times New Roman" w:eastAsia="宋体" w:cs="Times New Roman"/>
          <w:color w:val="auto"/>
          <w:sz w:val="22"/>
          <w:szCs w:val="22"/>
        </w:rPr>
        <w:t>工作量清单</w:t>
      </w:r>
      <w:r>
        <w:rPr>
          <w:rFonts w:hint="eastAsia" w:ascii="Times New Roman" w:hAnsi="Times New Roman" w:eastAsia="宋体" w:cs="Times New Roman"/>
          <w:color w:val="auto"/>
          <w:sz w:val="22"/>
          <w:szCs w:val="22"/>
        </w:rPr>
        <w:t>）</w:t>
      </w:r>
      <w:r>
        <w:rPr>
          <w:rFonts w:ascii="Times New Roman" w:hAnsi="Times New Roman" w:eastAsia="宋体" w:cs="Times New Roman"/>
          <w:color w:val="auto"/>
          <w:sz w:val="22"/>
          <w:szCs w:val="22"/>
        </w:rPr>
        <w:t>是依照采购需求测算出的主要工作内容，允许</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对</w:t>
      </w:r>
      <w:r>
        <w:rPr>
          <w:rFonts w:hint="eastAsia" w:ascii="Times New Roman" w:hAnsi="Times New Roman" w:eastAsia="宋体" w:cs="Times New Roman"/>
          <w:color w:val="auto"/>
          <w:sz w:val="22"/>
          <w:szCs w:val="22"/>
        </w:rPr>
        <w:t>服务内容一览表（</w:t>
      </w:r>
      <w:r>
        <w:rPr>
          <w:rFonts w:ascii="Times New Roman" w:hAnsi="Times New Roman" w:eastAsia="宋体" w:cs="Times New Roman"/>
          <w:color w:val="auto"/>
          <w:sz w:val="22"/>
          <w:szCs w:val="22"/>
        </w:rPr>
        <w:t>工作量清单</w:t>
      </w:r>
      <w:r>
        <w:rPr>
          <w:rFonts w:hint="eastAsia" w:ascii="Times New Roman" w:hAnsi="Times New Roman" w:eastAsia="宋体" w:cs="Times New Roman"/>
          <w:color w:val="auto"/>
          <w:sz w:val="22"/>
          <w:szCs w:val="22"/>
        </w:rPr>
        <w:t>）</w:t>
      </w:r>
      <w:r>
        <w:rPr>
          <w:rFonts w:ascii="Times New Roman" w:hAnsi="Times New Roman" w:eastAsia="宋体" w:cs="Times New Roman"/>
          <w:color w:val="auto"/>
          <w:sz w:val="22"/>
          <w:szCs w:val="22"/>
        </w:rPr>
        <w:t>内非核心工作内容进行优化设计，并依照优化后的方案进行报价。各</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应认真了解</w:t>
      </w:r>
      <w:r>
        <w:rPr>
          <w:rFonts w:hint="eastAsia" w:ascii="Times New Roman" w:hAnsi="Times New Roman" w:eastAsia="宋体" w:cs="Times New Roman"/>
          <w:color w:val="auto"/>
          <w:sz w:val="22"/>
          <w:szCs w:val="22"/>
        </w:rPr>
        <w:t>采购</w:t>
      </w:r>
      <w:r>
        <w:rPr>
          <w:rFonts w:ascii="Times New Roman" w:hAnsi="Times New Roman" w:eastAsia="宋体" w:cs="Times New Roman"/>
          <w:color w:val="auto"/>
          <w:sz w:val="22"/>
          <w:szCs w:val="22"/>
        </w:rPr>
        <w:t>需求，如发现核心工作内容和实际采购需求不一致时，应立即以书面形式通知采购人核查，除非采购人以答疑文件</w:t>
      </w:r>
      <w:r>
        <w:rPr>
          <w:rFonts w:hint="eastAsia" w:ascii="Times New Roman" w:hAnsi="Times New Roman" w:eastAsia="宋体" w:cs="Times New Roman"/>
          <w:color w:val="auto"/>
          <w:sz w:val="22"/>
          <w:szCs w:val="22"/>
        </w:rPr>
        <w:t>、</w:t>
      </w:r>
      <w:r>
        <w:rPr>
          <w:rFonts w:ascii="Times New Roman" w:hAnsi="Times New Roman" w:eastAsia="宋体" w:cs="Times New Roman"/>
          <w:color w:val="auto"/>
          <w:sz w:val="22"/>
          <w:szCs w:val="22"/>
        </w:rPr>
        <w:t>补充文件</w:t>
      </w:r>
      <w:r>
        <w:rPr>
          <w:rFonts w:hint="eastAsia" w:ascii="Times New Roman" w:hAnsi="Times New Roman" w:eastAsia="宋体" w:cs="Times New Roman"/>
          <w:color w:val="auto"/>
          <w:sz w:val="22"/>
          <w:szCs w:val="22"/>
        </w:rPr>
        <w:t>或磋商过程中实质性内容对磋商文件</w:t>
      </w:r>
      <w:r>
        <w:rPr>
          <w:rFonts w:ascii="Times New Roman" w:hAnsi="Times New Roman" w:eastAsia="宋体" w:cs="Times New Roman"/>
          <w:color w:val="auto"/>
          <w:sz w:val="22"/>
          <w:szCs w:val="22"/>
        </w:rPr>
        <w:t>予以更正</w:t>
      </w:r>
      <w:r>
        <w:rPr>
          <w:rFonts w:hint="eastAsia" w:ascii="Times New Roman" w:hAnsi="Times New Roman" w:eastAsia="宋体" w:cs="Times New Roman"/>
          <w:color w:val="auto"/>
          <w:sz w:val="22"/>
          <w:szCs w:val="22"/>
        </w:rPr>
        <w:t>，</w:t>
      </w:r>
      <w:r>
        <w:rPr>
          <w:rFonts w:ascii="Times New Roman" w:hAnsi="Times New Roman" w:eastAsia="宋体" w:cs="Times New Roman"/>
          <w:color w:val="auto"/>
          <w:sz w:val="22"/>
          <w:szCs w:val="22"/>
        </w:rPr>
        <w:t>否则，应以</w:t>
      </w:r>
      <w:r>
        <w:rPr>
          <w:rFonts w:hint="eastAsia" w:ascii="Times New Roman" w:hAnsi="Times New Roman" w:eastAsia="宋体" w:cs="Times New Roman"/>
          <w:color w:val="auto"/>
          <w:sz w:val="22"/>
          <w:szCs w:val="22"/>
        </w:rPr>
        <w:t>服务内容一览表（</w:t>
      </w:r>
      <w:r>
        <w:rPr>
          <w:rFonts w:ascii="Times New Roman" w:hAnsi="Times New Roman" w:eastAsia="宋体" w:cs="Times New Roman"/>
          <w:color w:val="auto"/>
          <w:sz w:val="22"/>
          <w:szCs w:val="22"/>
        </w:rPr>
        <w:t>工作量清单</w:t>
      </w:r>
      <w:r>
        <w:rPr>
          <w:rFonts w:hint="eastAsia" w:ascii="Times New Roman" w:hAnsi="Times New Roman" w:eastAsia="宋体" w:cs="Times New Roman"/>
          <w:color w:val="auto"/>
          <w:sz w:val="22"/>
          <w:szCs w:val="22"/>
        </w:rPr>
        <w:t>）</w:t>
      </w:r>
      <w:r>
        <w:rPr>
          <w:rFonts w:ascii="Times New Roman" w:hAnsi="Times New Roman" w:eastAsia="宋体" w:cs="Times New Roman"/>
          <w:color w:val="auto"/>
          <w:sz w:val="22"/>
          <w:szCs w:val="22"/>
        </w:rPr>
        <w:t>为准。</w:t>
      </w:r>
    </w:p>
    <w:p w14:paraId="09D4E182">
      <w:pPr>
        <w:adjustRightInd w:val="0"/>
        <w:snapToGrid w:val="0"/>
        <w:spacing w:line="300" w:lineRule="auto"/>
        <w:ind w:firstLine="440" w:firstLineChars="200"/>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1</w:t>
      </w:r>
      <w:r>
        <w:rPr>
          <w:rFonts w:ascii="Times New Roman" w:hAnsi="Times New Roman" w:eastAsia="宋体" w:cs="Times New Roman"/>
          <w:color w:val="auto"/>
          <w:sz w:val="22"/>
          <w:szCs w:val="22"/>
        </w:rPr>
        <w:t>.</w:t>
      </w:r>
      <w:r>
        <w:rPr>
          <w:rFonts w:hint="eastAsia" w:ascii="Times New Roman" w:hAnsi="Times New Roman" w:eastAsia="宋体" w:cs="Times New Roman"/>
          <w:color w:val="auto"/>
          <w:sz w:val="22"/>
          <w:szCs w:val="22"/>
        </w:rPr>
        <w:t>4</w:t>
      </w:r>
      <w:r>
        <w:rPr>
          <w:rFonts w:ascii="Times New Roman" w:hAnsi="Times New Roman" w:eastAsia="宋体" w:cs="Times New Roman"/>
          <w:color w:val="auto"/>
          <w:sz w:val="22"/>
          <w:szCs w:val="22"/>
        </w:rPr>
        <w:t>岗位设置说明</w:t>
      </w:r>
    </w:p>
    <w:p w14:paraId="31B8038F">
      <w:pPr>
        <w:adjustRightInd w:val="0"/>
        <w:snapToGrid w:val="0"/>
        <w:spacing w:line="300" w:lineRule="auto"/>
        <w:ind w:firstLine="440" w:firstLineChars="200"/>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1</w:t>
      </w:r>
      <w:r>
        <w:rPr>
          <w:rFonts w:ascii="Times New Roman" w:hAnsi="Times New Roman" w:eastAsia="宋体" w:cs="Times New Roman"/>
          <w:color w:val="auto"/>
          <w:sz w:val="22"/>
          <w:szCs w:val="22"/>
        </w:rPr>
        <w:t>.</w:t>
      </w:r>
      <w:r>
        <w:rPr>
          <w:rFonts w:hint="eastAsia" w:ascii="Times New Roman" w:hAnsi="Times New Roman" w:eastAsia="宋体" w:cs="Times New Roman"/>
          <w:color w:val="auto"/>
          <w:sz w:val="22"/>
          <w:szCs w:val="22"/>
        </w:rPr>
        <w:t>4</w:t>
      </w:r>
      <w:r>
        <w:rPr>
          <w:rFonts w:ascii="Times New Roman" w:hAnsi="Times New Roman" w:eastAsia="宋体" w:cs="Times New Roman"/>
          <w:color w:val="auto"/>
          <w:sz w:val="22"/>
          <w:szCs w:val="22"/>
        </w:rPr>
        <w:t>.1 岗位设置应与</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须知、合同条件、项目质量标准和要求等文件结合起来理解或解释。</w:t>
      </w:r>
    </w:p>
    <w:p w14:paraId="27B827EE">
      <w:pPr>
        <w:adjustRightInd w:val="0"/>
        <w:snapToGrid w:val="0"/>
        <w:spacing w:line="300" w:lineRule="auto"/>
        <w:ind w:firstLine="440" w:firstLineChars="200"/>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1</w:t>
      </w:r>
      <w:r>
        <w:rPr>
          <w:rFonts w:ascii="Times New Roman" w:hAnsi="Times New Roman" w:eastAsia="宋体" w:cs="Times New Roman"/>
          <w:color w:val="auto"/>
          <w:sz w:val="22"/>
          <w:szCs w:val="22"/>
        </w:rPr>
        <w:t>.</w:t>
      </w:r>
      <w:r>
        <w:rPr>
          <w:rFonts w:hint="eastAsia" w:ascii="Times New Roman" w:hAnsi="Times New Roman" w:eastAsia="宋体" w:cs="Times New Roman"/>
          <w:color w:val="auto"/>
          <w:sz w:val="22"/>
          <w:szCs w:val="22"/>
        </w:rPr>
        <w:t>4</w:t>
      </w:r>
      <w:r>
        <w:rPr>
          <w:rFonts w:ascii="Times New Roman" w:hAnsi="Times New Roman" w:eastAsia="宋体" w:cs="Times New Roman"/>
          <w:color w:val="auto"/>
          <w:sz w:val="22"/>
          <w:szCs w:val="22"/>
        </w:rPr>
        <w:t>.2 采购人提供的</w:t>
      </w:r>
      <w:r>
        <w:rPr>
          <w:rFonts w:ascii="Times New Roman" w:hAnsi="Times New Roman" w:eastAsia="宋体" w:cs="Times New Roman"/>
          <w:b/>
          <w:color w:val="auto"/>
          <w:kern w:val="0"/>
          <w:sz w:val="22"/>
          <w:szCs w:val="22"/>
          <w:u w:val="single"/>
        </w:rPr>
        <w:t>岗位设置</w:t>
      </w:r>
      <w:r>
        <w:rPr>
          <w:rFonts w:ascii="Times New Roman" w:hAnsi="Times New Roman" w:eastAsia="宋体" w:cs="Times New Roman"/>
          <w:color w:val="auto"/>
          <w:sz w:val="22"/>
          <w:szCs w:val="22"/>
        </w:rPr>
        <w:t>是依照采购需求测算出的</w:t>
      </w:r>
      <w:r>
        <w:rPr>
          <w:rFonts w:ascii="Times New Roman" w:hAnsi="Times New Roman" w:eastAsia="宋体" w:cs="Times New Roman"/>
          <w:b/>
          <w:color w:val="auto"/>
          <w:kern w:val="0"/>
          <w:sz w:val="22"/>
          <w:szCs w:val="22"/>
          <w:u w:val="single"/>
        </w:rPr>
        <w:t>各岗位最低配置要求</w:t>
      </w:r>
      <w:r>
        <w:rPr>
          <w:rFonts w:ascii="Times New Roman" w:hAnsi="Times New Roman" w:eastAsia="宋体" w:cs="Times New Roman"/>
          <w:color w:val="auto"/>
          <w:sz w:val="22"/>
          <w:szCs w:val="22"/>
        </w:rPr>
        <w:t>，与最终的实际履约可能存在小的出入，各</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应自行认真踏勘现场，了解</w:t>
      </w:r>
      <w:r>
        <w:rPr>
          <w:rFonts w:hint="eastAsia" w:ascii="Times New Roman" w:hAnsi="Times New Roman" w:eastAsia="宋体" w:cs="Times New Roman"/>
          <w:color w:val="auto"/>
          <w:sz w:val="22"/>
          <w:szCs w:val="22"/>
        </w:rPr>
        <w:t>采购</w:t>
      </w:r>
      <w:r>
        <w:rPr>
          <w:rFonts w:ascii="Times New Roman" w:hAnsi="Times New Roman" w:eastAsia="宋体" w:cs="Times New Roman"/>
          <w:color w:val="auto"/>
          <w:sz w:val="22"/>
          <w:szCs w:val="22"/>
        </w:rPr>
        <w:t>需求。</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如发现</w:t>
      </w:r>
      <w:r>
        <w:rPr>
          <w:rFonts w:ascii="Times New Roman" w:hAnsi="Times New Roman" w:eastAsia="宋体" w:cs="Times New Roman"/>
          <w:b/>
          <w:color w:val="auto"/>
          <w:kern w:val="0"/>
          <w:sz w:val="22"/>
          <w:szCs w:val="22"/>
          <w:u w:val="single"/>
        </w:rPr>
        <w:t>该表</w:t>
      </w:r>
      <w:r>
        <w:rPr>
          <w:rFonts w:ascii="Times New Roman" w:hAnsi="Times New Roman" w:eastAsia="宋体" w:cs="Times New Roman"/>
          <w:color w:val="auto"/>
          <w:sz w:val="22"/>
          <w:szCs w:val="22"/>
        </w:rPr>
        <w:t>和实际工作内容不一致时，应立即以书面形式通知采购人核查，除非采购人以答疑文件</w:t>
      </w:r>
      <w:r>
        <w:rPr>
          <w:rFonts w:hint="eastAsia" w:ascii="Times New Roman" w:hAnsi="Times New Roman" w:eastAsia="宋体" w:cs="Times New Roman"/>
          <w:color w:val="auto"/>
          <w:sz w:val="22"/>
          <w:szCs w:val="22"/>
        </w:rPr>
        <w:t>、</w:t>
      </w:r>
      <w:r>
        <w:rPr>
          <w:rFonts w:ascii="Times New Roman" w:hAnsi="Times New Roman" w:eastAsia="宋体" w:cs="Times New Roman"/>
          <w:color w:val="auto"/>
          <w:sz w:val="22"/>
          <w:szCs w:val="22"/>
        </w:rPr>
        <w:t>补充文件</w:t>
      </w:r>
      <w:r>
        <w:rPr>
          <w:rFonts w:hint="eastAsia" w:ascii="Times New Roman" w:hAnsi="Times New Roman" w:eastAsia="宋体" w:cs="Times New Roman"/>
          <w:color w:val="auto"/>
          <w:sz w:val="22"/>
          <w:szCs w:val="22"/>
        </w:rPr>
        <w:t>或磋商过程中实质性内容对磋商文件</w:t>
      </w:r>
      <w:r>
        <w:rPr>
          <w:rFonts w:ascii="Times New Roman" w:hAnsi="Times New Roman" w:eastAsia="宋体" w:cs="Times New Roman"/>
          <w:color w:val="auto"/>
          <w:sz w:val="22"/>
          <w:szCs w:val="22"/>
        </w:rPr>
        <w:t>予以更正，否则，</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不得</w:t>
      </w:r>
      <w:r>
        <w:rPr>
          <w:rFonts w:ascii="Times New Roman" w:hAnsi="Times New Roman" w:eastAsia="宋体" w:cs="Times New Roman"/>
          <w:b/>
          <w:color w:val="auto"/>
          <w:kern w:val="0"/>
          <w:sz w:val="22"/>
          <w:szCs w:val="22"/>
          <w:u w:val="single"/>
        </w:rPr>
        <w:t>对岗位设置中的岗位类别和数量进行缩减</w:t>
      </w:r>
      <w:r>
        <w:rPr>
          <w:rFonts w:ascii="Times New Roman" w:hAnsi="Times New Roman" w:eastAsia="宋体" w:cs="Times New Roman"/>
          <w:color w:val="auto"/>
          <w:sz w:val="22"/>
          <w:szCs w:val="22"/>
        </w:rPr>
        <w:t>。</w:t>
      </w:r>
    </w:p>
    <w:p w14:paraId="5E5D2EBE">
      <w:pPr>
        <w:adjustRightInd w:val="0"/>
        <w:snapToGrid w:val="0"/>
        <w:spacing w:line="300" w:lineRule="auto"/>
        <w:ind w:firstLine="442" w:firstLineChars="200"/>
        <w:jc w:val="left"/>
        <w:outlineLvl w:val="2"/>
        <w:rPr>
          <w:rFonts w:ascii="Times New Roman" w:hAnsi="Times New Roman" w:eastAsia="宋体" w:cs="Times New Roman"/>
          <w:b/>
          <w:color w:val="auto"/>
          <w:sz w:val="22"/>
          <w:szCs w:val="22"/>
        </w:rPr>
      </w:pPr>
      <w:bookmarkStart w:id="37" w:name="_Toc490037252"/>
      <w:bookmarkStart w:id="38" w:name="_Toc497747039"/>
      <w:bookmarkStart w:id="39" w:name="_Toc10080"/>
      <w:r>
        <w:rPr>
          <w:rFonts w:ascii="Times New Roman" w:hAnsi="Times New Roman" w:eastAsia="宋体" w:cs="Times New Roman"/>
          <w:b/>
          <w:color w:val="auto"/>
          <w:sz w:val="22"/>
          <w:szCs w:val="22"/>
        </w:rPr>
        <w:t>1</w:t>
      </w:r>
      <w:bookmarkEnd w:id="37"/>
      <w:bookmarkStart w:id="40" w:name="_Toc490037253"/>
      <w:r>
        <w:rPr>
          <w:rFonts w:hint="eastAsia" w:ascii="Times New Roman" w:hAnsi="Times New Roman" w:eastAsia="宋体" w:cs="Times New Roman"/>
          <w:b/>
          <w:color w:val="auto"/>
          <w:sz w:val="22"/>
          <w:szCs w:val="22"/>
        </w:rPr>
        <w:t>2磋商</w:t>
      </w:r>
      <w:r>
        <w:rPr>
          <w:rFonts w:ascii="Times New Roman" w:hAnsi="Times New Roman" w:eastAsia="宋体" w:cs="Times New Roman"/>
          <w:b/>
          <w:color w:val="auto"/>
          <w:sz w:val="22"/>
          <w:szCs w:val="22"/>
        </w:rPr>
        <w:t>报价</w:t>
      </w:r>
      <w:bookmarkEnd w:id="40"/>
      <w:r>
        <w:rPr>
          <w:rFonts w:ascii="Times New Roman" w:hAnsi="Times New Roman" w:eastAsia="宋体" w:cs="Times New Roman"/>
          <w:b/>
          <w:color w:val="auto"/>
          <w:sz w:val="22"/>
          <w:szCs w:val="22"/>
        </w:rPr>
        <w:t>内容</w:t>
      </w:r>
      <w:bookmarkEnd w:id="38"/>
      <w:bookmarkEnd w:id="39"/>
    </w:p>
    <w:p w14:paraId="5B275F1B">
      <w:pPr>
        <w:adjustRightInd w:val="0"/>
        <w:snapToGrid w:val="0"/>
        <w:spacing w:line="300" w:lineRule="auto"/>
        <w:ind w:firstLine="440" w:firstLineChars="200"/>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2</w:t>
      </w:r>
      <w:r>
        <w:rPr>
          <w:rFonts w:ascii="Times New Roman" w:hAnsi="Times New Roman" w:eastAsia="宋体" w:cs="Times New Roman"/>
          <w:color w:val="auto"/>
          <w:sz w:val="22"/>
          <w:szCs w:val="22"/>
        </w:rPr>
        <w:t>.1 本项目报价为全费用报价，是履行合同的最终价格，除</w:t>
      </w:r>
      <w:r>
        <w:rPr>
          <w:rFonts w:hint="eastAsia" w:ascii="Times New Roman" w:hAnsi="Times New Roman" w:eastAsia="宋体" w:cs="Times New Roman"/>
          <w:color w:val="auto"/>
          <w:sz w:val="22"/>
          <w:szCs w:val="22"/>
        </w:rPr>
        <w:t>采购</w:t>
      </w:r>
      <w:r>
        <w:rPr>
          <w:rFonts w:ascii="Times New Roman" w:hAnsi="Times New Roman" w:eastAsia="宋体" w:cs="Times New Roman"/>
          <w:color w:val="auto"/>
          <w:sz w:val="22"/>
          <w:szCs w:val="22"/>
        </w:rPr>
        <w:t>需求中另有说明外，</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报价（即</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总价）应包括</w:t>
      </w:r>
      <w:r>
        <w:rPr>
          <w:rFonts w:hint="eastAsia" w:ascii="Times New Roman" w:hAnsi="Times New Roman" w:eastAsia="宋体" w:cs="Times New Roman"/>
          <w:color w:val="auto"/>
          <w:sz w:val="22"/>
          <w:szCs w:val="22"/>
          <w:u w:val="single"/>
        </w:rPr>
        <w:t>材料、设备、机具费、人工费、企业管理费及利润、安全防护文明施工措施费、施工措施费、防汛防台（含抢险物资）费、应急物资费用、增值税、电费（含增值税）、其他费等</w:t>
      </w:r>
      <w:r>
        <w:rPr>
          <w:rFonts w:ascii="Times New Roman" w:hAnsi="Times New Roman" w:eastAsia="宋体" w:cs="Times New Roman"/>
          <w:color w:val="auto"/>
          <w:sz w:val="22"/>
          <w:szCs w:val="22"/>
        </w:rPr>
        <w:t>这一系列过程中所包含的所有费用。</w:t>
      </w:r>
    </w:p>
    <w:p w14:paraId="331314A8">
      <w:pPr>
        <w:adjustRightInd w:val="0"/>
        <w:snapToGrid w:val="0"/>
        <w:spacing w:line="300" w:lineRule="auto"/>
        <w:ind w:firstLine="440" w:firstLineChars="200"/>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2</w:t>
      </w:r>
      <w:r>
        <w:rPr>
          <w:rFonts w:ascii="Times New Roman" w:hAnsi="Times New Roman" w:eastAsia="宋体" w:cs="Times New Roman"/>
          <w:color w:val="auto"/>
          <w:sz w:val="22"/>
          <w:szCs w:val="22"/>
        </w:rPr>
        <w:t xml:space="preserve">.2 </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报价中</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应考虑本项目可能存在的风险因素。</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报价应将所有工作内容考虑在内，如有漏项或缺项，均属于</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的风险</w:t>
      </w:r>
      <w:r>
        <w:rPr>
          <w:rFonts w:hint="eastAsia" w:ascii="Times New Roman" w:hAnsi="Times New Roman" w:eastAsia="宋体" w:cs="Times New Roman"/>
          <w:color w:val="auto"/>
          <w:sz w:val="22"/>
          <w:szCs w:val="22"/>
        </w:rPr>
        <w:t>，其费用视作已分配在磋商报价明细表内单价或总价之中</w:t>
      </w:r>
      <w:r>
        <w:rPr>
          <w:rFonts w:ascii="Times New Roman" w:hAnsi="Times New Roman" w:eastAsia="宋体" w:cs="Times New Roman"/>
          <w:color w:val="auto"/>
          <w:sz w:val="22"/>
          <w:szCs w:val="22"/>
        </w:rPr>
        <w:t>。</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应逐项计算并填写单价、合计价和总价。</w:t>
      </w:r>
    </w:p>
    <w:p w14:paraId="2AF79827">
      <w:pPr>
        <w:adjustRightInd w:val="0"/>
        <w:snapToGrid w:val="0"/>
        <w:spacing w:line="300" w:lineRule="auto"/>
        <w:ind w:firstLine="440" w:firstLineChars="200"/>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2</w:t>
      </w:r>
      <w:r>
        <w:rPr>
          <w:rFonts w:ascii="Times New Roman" w:hAnsi="Times New Roman" w:eastAsia="宋体" w:cs="Times New Roman"/>
          <w:color w:val="auto"/>
          <w:sz w:val="22"/>
          <w:szCs w:val="22"/>
        </w:rPr>
        <w:t>.3在项目实施期内，对于除不可抗力因素之外，人工价格上涨以及可能存在的其它任何风险因素，</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应自行考虑，在合同履约期内中标价不作调整。</w:t>
      </w:r>
    </w:p>
    <w:p w14:paraId="4F6A0248">
      <w:pPr>
        <w:adjustRightInd w:val="0"/>
        <w:snapToGrid w:val="0"/>
        <w:spacing w:line="300" w:lineRule="auto"/>
        <w:ind w:firstLine="440" w:firstLineChars="200"/>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2</w:t>
      </w:r>
      <w:r>
        <w:rPr>
          <w:rFonts w:ascii="Times New Roman" w:hAnsi="Times New Roman" w:eastAsia="宋体" w:cs="Times New Roman"/>
          <w:color w:val="auto"/>
          <w:sz w:val="22"/>
          <w:szCs w:val="22"/>
        </w:rPr>
        <w:t xml:space="preserve">.4 </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按照</w:t>
      </w:r>
      <w:r>
        <w:rPr>
          <w:rFonts w:hint="eastAsia" w:ascii="Times New Roman" w:hAnsi="Times New Roman" w:eastAsia="宋体" w:cs="Times New Roman"/>
          <w:color w:val="auto"/>
          <w:sz w:val="22"/>
          <w:szCs w:val="22"/>
        </w:rPr>
        <w:t>响应</w:t>
      </w:r>
      <w:r>
        <w:rPr>
          <w:rFonts w:ascii="Times New Roman" w:hAnsi="Times New Roman" w:eastAsia="宋体" w:cs="Times New Roman"/>
          <w:color w:val="auto"/>
          <w:sz w:val="22"/>
          <w:szCs w:val="22"/>
        </w:rPr>
        <w:t>文件格式中所附的表式完整地填写《</w:t>
      </w:r>
      <w:r>
        <w:rPr>
          <w:rFonts w:hint="eastAsia" w:ascii="Times New Roman" w:hAnsi="Times New Roman" w:eastAsia="宋体" w:cs="Times New Roman"/>
          <w:color w:val="auto"/>
          <w:sz w:val="22"/>
          <w:szCs w:val="22"/>
        </w:rPr>
        <w:t>磋商报价</w:t>
      </w:r>
      <w:r>
        <w:rPr>
          <w:rFonts w:ascii="Times New Roman" w:hAnsi="Times New Roman" w:eastAsia="宋体" w:cs="Times New Roman"/>
          <w:color w:val="auto"/>
          <w:sz w:val="22"/>
          <w:szCs w:val="22"/>
        </w:rPr>
        <w:t>一览表》及各类</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报价明细表，说明其拟提供服务的内容、数量、价格、时间、价格构成等。</w:t>
      </w:r>
    </w:p>
    <w:p w14:paraId="0D168138">
      <w:pPr>
        <w:adjustRightInd w:val="0"/>
        <w:snapToGrid w:val="0"/>
        <w:spacing w:line="300" w:lineRule="auto"/>
        <w:ind w:firstLine="440" w:firstLineChars="200"/>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2</w:t>
      </w:r>
      <w:r>
        <w:rPr>
          <w:rFonts w:ascii="Times New Roman" w:hAnsi="Times New Roman" w:eastAsia="宋体" w:cs="Times New Roman"/>
          <w:color w:val="auto"/>
          <w:sz w:val="22"/>
          <w:szCs w:val="22"/>
        </w:rPr>
        <w:t>.5</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按照</w:t>
      </w:r>
      <w:r>
        <w:rPr>
          <w:rFonts w:hint="eastAsia" w:ascii="Times New Roman" w:hAnsi="Times New Roman" w:eastAsia="宋体" w:cs="Times New Roman"/>
          <w:color w:val="auto"/>
          <w:sz w:val="22"/>
          <w:szCs w:val="22"/>
        </w:rPr>
        <w:t>响应文件格式</w:t>
      </w:r>
      <w:r>
        <w:rPr>
          <w:rFonts w:ascii="Times New Roman" w:hAnsi="Times New Roman" w:eastAsia="宋体" w:cs="Times New Roman"/>
          <w:color w:val="auto"/>
          <w:sz w:val="22"/>
          <w:szCs w:val="22"/>
        </w:rPr>
        <w:t>中所附的表式完整地填写</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一览表及各类</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报价明细表，说明其拟提供服务的内容、数量、价格构成等。</w:t>
      </w:r>
    </w:p>
    <w:p w14:paraId="4DF3038B">
      <w:pPr>
        <w:adjustRightInd w:val="0"/>
        <w:snapToGrid w:val="0"/>
        <w:spacing w:line="300" w:lineRule="auto"/>
        <w:ind w:firstLine="440" w:firstLineChars="200"/>
        <w:jc w:val="left"/>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只需在《</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一览表》中报出对应服务期限的</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价格即可。</w:t>
      </w:r>
    </w:p>
    <w:p w14:paraId="09B41959">
      <w:pPr>
        <w:adjustRightInd w:val="0"/>
        <w:snapToGrid w:val="0"/>
        <w:spacing w:line="300" w:lineRule="auto"/>
        <w:ind w:firstLine="442" w:firstLineChars="200"/>
        <w:outlineLvl w:val="2"/>
        <w:rPr>
          <w:rFonts w:ascii="Times New Roman" w:hAnsi="Times New Roman" w:eastAsia="宋体" w:cs="Times New Roman"/>
          <w:b/>
          <w:color w:val="auto"/>
          <w:sz w:val="22"/>
          <w:szCs w:val="22"/>
        </w:rPr>
      </w:pPr>
      <w:bookmarkStart w:id="41" w:name="_Toc8778"/>
      <w:r>
        <w:rPr>
          <w:rFonts w:ascii="Times New Roman" w:hAnsi="Times New Roman" w:eastAsia="宋体" w:cs="Times New Roman"/>
          <w:b/>
          <w:color w:val="auto"/>
          <w:sz w:val="22"/>
          <w:szCs w:val="22"/>
        </w:rPr>
        <w:t>1</w:t>
      </w:r>
      <w:r>
        <w:rPr>
          <w:rFonts w:hint="eastAsia" w:ascii="Times New Roman" w:hAnsi="Times New Roman" w:eastAsia="宋体" w:cs="Times New Roman"/>
          <w:b/>
          <w:color w:val="auto"/>
          <w:sz w:val="22"/>
          <w:szCs w:val="22"/>
        </w:rPr>
        <w:t>3磋商</w:t>
      </w:r>
      <w:r>
        <w:rPr>
          <w:rFonts w:ascii="Times New Roman" w:hAnsi="Times New Roman" w:eastAsia="宋体" w:cs="Times New Roman"/>
          <w:b/>
          <w:color w:val="auto"/>
          <w:sz w:val="22"/>
          <w:szCs w:val="22"/>
        </w:rPr>
        <w:t>报价控制性条款</w:t>
      </w:r>
      <w:bookmarkEnd w:id="36"/>
      <w:bookmarkEnd w:id="41"/>
    </w:p>
    <w:p w14:paraId="58359B47">
      <w:pPr>
        <w:adjustRightInd w:val="0"/>
        <w:snapToGrid w:val="0"/>
        <w:spacing w:line="300" w:lineRule="auto"/>
        <w:ind w:firstLine="422" w:firstLineChars="192"/>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3</w:t>
      </w:r>
      <w:r>
        <w:rPr>
          <w:rFonts w:ascii="Times New Roman" w:hAnsi="Times New Roman" w:eastAsia="宋体" w:cs="Times New Roman"/>
          <w:color w:val="auto"/>
          <w:sz w:val="22"/>
          <w:szCs w:val="22"/>
        </w:rPr>
        <w:t xml:space="preserve">.1 </w:t>
      </w:r>
      <w:r>
        <w:rPr>
          <w:rFonts w:hint="eastAsia" w:ascii="Times New Roman" w:hAnsi="Times New Roman" w:eastAsia="宋体" w:cs="Times New Roman"/>
          <w:color w:val="auto"/>
          <w:sz w:val="22"/>
          <w:szCs w:val="22"/>
        </w:rPr>
        <w:t>磋商最后</w:t>
      </w:r>
      <w:r>
        <w:rPr>
          <w:rFonts w:ascii="Times New Roman" w:hAnsi="Times New Roman" w:eastAsia="宋体" w:cs="Times New Roman"/>
          <w:color w:val="auto"/>
          <w:sz w:val="22"/>
          <w:szCs w:val="22"/>
        </w:rPr>
        <w:t>报价不得超过公布的预算金额</w:t>
      </w:r>
      <w:r>
        <w:rPr>
          <w:rFonts w:hint="eastAsia" w:ascii="Times New Roman" w:hAnsi="Times New Roman" w:eastAsia="宋体" w:cs="Times New Roman"/>
          <w:color w:val="auto"/>
          <w:sz w:val="22"/>
          <w:szCs w:val="22"/>
        </w:rPr>
        <w:t>或最高限价</w:t>
      </w:r>
      <w:r>
        <w:rPr>
          <w:rFonts w:ascii="Times New Roman" w:hAnsi="Times New Roman" w:eastAsia="宋体" w:cs="Times New Roman"/>
          <w:color w:val="auto"/>
          <w:sz w:val="22"/>
          <w:szCs w:val="22"/>
        </w:rPr>
        <w:t>，其中各年度或各分项报价（如有要求）均不得超过对应的预算金额</w:t>
      </w:r>
      <w:r>
        <w:rPr>
          <w:rFonts w:hint="eastAsia" w:ascii="Times New Roman" w:hAnsi="Times New Roman" w:eastAsia="宋体" w:cs="Times New Roman"/>
          <w:color w:val="auto"/>
          <w:sz w:val="22"/>
          <w:szCs w:val="22"/>
        </w:rPr>
        <w:t>或最高限价</w:t>
      </w:r>
      <w:r>
        <w:rPr>
          <w:rFonts w:ascii="Times New Roman" w:hAnsi="Times New Roman" w:eastAsia="宋体" w:cs="Times New Roman"/>
          <w:color w:val="auto"/>
          <w:sz w:val="22"/>
          <w:szCs w:val="22"/>
        </w:rPr>
        <w:t>。</w:t>
      </w:r>
    </w:p>
    <w:p w14:paraId="1BF9CA76">
      <w:pPr>
        <w:adjustRightInd w:val="0"/>
        <w:snapToGrid w:val="0"/>
        <w:spacing w:line="300" w:lineRule="auto"/>
        <w:ind w:firstLine="422" w:firstLineChars="192"/>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3</w:t>
      </w:r>
      <w:r>
        <w:rPr>
          <w:rFonts w:ascii="Times New Roman" w:hAnsi="Times New Roman" w:eastAsia="宋体" w:cs="Times New Roman"/>
          <w:color w:val="auto"/>
          <w:sz w:val="22"/>
          <w:szCs w:val="22"/>
        </w:rPr>
        <w:t>.2 本项目只允许有一个报价，任何有选择的报价将不予接受。</w:t>
      </w:r>
    </w:p>
    <w:p w14:paraId="3F063BFF">
      <w:pPr>
        <w:adjustRightInd w:val="0"/>
        <w:snapToGrid w:val="0"/>
        <w:spacing w:line="300" w:lineRule="auto"/>
        <w:ind w:firstLine="422" w:firstLineChars="192"/>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3</w:t>
      </w:r>
      <w:r>
        <w:rPr>
          <w:rFonts w:ascii="Times New Roman" w:hAnsi="Times New Roman" w:eastAsia="宋体" w:cs="Times New Roman"/>
          <w:color w:val="auto"/>
          <w:sz w:val="22"/>
          <w:szCs w:val="22"/>
        </w:rPr>
        <w:t xml:space="preserve">.3 </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6ECEE73B">
      <w:pPr>
        <w:adjustRightInd w:val="0"/>
        <w:snapToGrid w:val="0"/>
        <w:spacing w:line="300" w:lineRule="auto"/>
        <w:ind w:firstLine="424" w:firstLineChars="192"/>
        <w:jc w:val="left"/>
        <w:rPr>
          <w:rFonts w:ascii="Times New Roman" w:hAnsi="Times New Roman" w:eastAsia="宋体" w:cs="Times New Roman"/>
          <w:color w:val="auto"/>
          <w:sz w:val="22"/>
          <w:szCs w:val="22"/>
        </w:rPr>
      </w:pPr>
      <w:r>
        <w:rPr>
          <w:rFonts w:ascii="Times New Roman" w:hAnsi="宋体" w:eastAsia="宋体" w:cs="Times New Roman"/>
          <w:b/>
          <w:bCs/>
          <w:color w:val="auto"/>
          <w:kern w:val="0"/>
          <w:sz w:val="22"/>
          <w:szCs w:val="22"/>
        </w:rPr>
        <w:t>★</w:t>
      </w: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3</w:t>
      </w:r>
      <w:r>
        <w:rPr>
          <w:rFonts w:ascii="Times New Roman" w:hAnsi="Times New Roman" w:eastAsia="宋体" w:cs="Times New Roman"/>
          <w:color w:val="auto"/>
          <w:sz w:val="22"/>
          <w:szCs w:val="22"/>
        </w:rPr>
        <w:t>.4 经</w:t>
      </w:r>
      <w:r>
        <w:rPr>
          <w:rFonts w:hint="eastAsia" w:ascii="Times New Roman" w:hAnsi="Times New Roman" w:eastAsia="宋体" w:cs="Times New Roman"/>
          <w:color w:val="auto"/>
          <w:sz w:val="22"/>
          <w:szCs w:val="22"/>
        </w:rPr>
        <w:t>磋商小组</w:t>
      </w:r>
      <w:r>
        <w:rPr>
          <w:rFonts w:ascii="Times New Roman" w:hAnsi="Times New Roman" w:eastAsia="宋体" w:cs="Times New Roman"/>
          <w:color w:val="auto"/>
          <w:sz w:val="22"/>
          <w:szCs w:val="22"/>
        </w:rPr>
        <w:t>审定，</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报价存在下列情形之一的，该</w:t>
      </w:r>
      <w:r>
        <w:rPr>
          <w:rFonts w:hint="eastAsia" w:ascii="Times New Roman" w:hAnsi="Times New Roman" w:eastAsia="宋体" w:cs="Times New Roman"/>
          <w:color w:val="auto"/>
          <w:sz w:val="22"/>
          <w:szCs w:val="22"/>
        </w:rPr>
        <w:t>响应</w:t>
      </w:r>
      <w:r>
        <w:rPr>
          <w:rFonts w:ascii="Times New Roman" w:hAnsi="Times New Roman" w:eastAsia="宋体" w:cs="Times New Roman"/>
          <w:color w:val="auto"/>
          <w:sz w:val="22"/>
          <w:szCs w:val="22"/>
        </w:rPr>
        <w:t>文件作无效处理：</w:t>
      </w:r>
    </w:p>
    <w:p w14:paraId="772C58C9">
      <w:pPr>
        <w:adjustRightInd w:val="0"/>
        <w:snapToGrid w:val="0"/>
        <w:spacing w:line="300" w:lineRule="auto"/>
        <w:ind w:firstLine="422" w:firstLineChars="192"/>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3</w:t>
      </w:r>
      <w:r>
        <w:rPr>
          <w:rFonts w:ascii="Times New Roman" w:hAnsi="Times New Roman" w:eastAsia="宋体" w:cs="Times New Roman"/>
          <w:color w:val="auto"/>
          <w:sz w:val="22"/>
          <w:szCs w:val="22"/>
        </w:rPr>
        <w:t xml:space="preserve">.4.1 </w:t>
      </w:r>
      <w:r>
        <w:rPr>
          <w:rFonts w:hint="eastAsia" w:ascii="Times New Roman" w:hAnsi="Times New Roman" w:eastAsia="宋体" w:cs="Times New Roman"/>
          <w:color w:val="auto"/>
          <w:sz w:val="22"/>
          <w:szCs w:val="22"/>
        </w:rPr>
        <w:t>磋商最后</w:t>
      </w:r>
      <w:r>
        <w:rPr>
          <w:rFonts w:ascii="Times New Roman" w:hAnsi="Times New Roman" w:eastAsia="宋体" w:cs="Times New Roman"/>
          <w:color w:val="auto"/>
          <w:sz w:val="22"/>
          <w:szCs w:val="22"/>
        </w:rPr>
        <w:t>报价和技术方案明显不相符的；</w:t>
      </w:r>
    </w:p>
    <w:p w14:paraId="06607BEB">
      <w:pPr>
        <w:adjustRightInd w:val="0"/>
        <w:snapToGrid w:val="0"/>
        <w:spacing w:line="300" w:lineRule="auto"/>
        <w:ind w:firstLine="422" w:firstLineChars="192"/>
        <w:jc w:val="left"/>
        <w:rPr>
          <w:rFonts w:ascii="Times New Roman" w:hAnsi="Times New Roman" w:eastAsia="宋体" w:cs="Times New Roman"/>
          <w:color w:val="auto"/>
          <w:sz w:val="22"/>
          <w:szCs w:val="22"/>
        </w:rPr>
      </w:pPr>
      <w:r>
        <w:rPr>
          <w:rFonts w:ascii="Times New Roman" w:hAnsi="Times New Roman" w:eastAsia="宋体" w:cs="Times New Roman"/>
          <w:color w:val="auto"/>
          <w:sz w:val="22"/>
          <w:szCs w:val="22"/>
        </w:rPr>
        <w:t>1</w:t>
      </w:r>
      <w:r>
        <w:rPr>
          <w:rFonts w:hint="eastAsia" w:ascii="Times New Roman" w:hAnsi="Times New Roman" w:eastAsia="宋体" w:cs="Times New Roman"/>
          <w:color w:val="auto"/>
          <w:sz w:val="22"/>
          <w:szCs w:val="22"/>
        </w:rPr>
        <w:t>3</w:t>
      </w:r>
      <w:r>
        <w:rPr>
          <w:rFonts w:ascii="Times New Roman" w:hAnsi="Times New Roman" w:eastAsia="宋体" w:cs="Times New Roman"/>
          <w:color w:val="auto"/>
          <w:sz w:val="22"/>
          <w:szCs w:val="22"/>
        </w:rPr>
        <w:t xml:space="preserve">.4.2 </w:t>
      </w:r>
      <w:r>
        <w:rPr>
          <w:rFonts w:hint="eastAsia" w:ascii="Times New Roman" w:hAnsi="Times New Roman" w:eastAsia="宋体" w:cs="Times New Roman"/>
          <w:color w:val="auto"/>
          <w:sz w:val="22"/>
          <w:szCs w:val="22"/>
        </w:rPr>
        <w:t>磋商最后</w:t>
      </w:r>
      <w:r>
        <w:rPr>
          <w:rFonts w:ascii="Times New Roman" w:hAnsi="Times New Roman" w:eastAsia="宋体" w:cs="Times New Roman"/>
          <w:color w:val="auto"/>
          <w:sz w:val="22"/>
          <w:szCs w:val="22"/>
        </w:rPr>
        <w:t>报价</w:t>
      </w:r>
      <w:r>
        <w:rPr>
          <w:rFonts w:hint="eastAsia" w:ascii="Times New Roman" w:hAnsi="Times New Roman" w:eastAsia="宋体" w:cs="Times New Roman"/>
          <w:color w:val="auto"/>
          <w:sz w:val="22"/>
          <w:szCs w:val="22"/>
        </w:rPr>
        <w:t>中</w:t>
      </w:r>
      <w:r>
        <w:rPr>
          <w:rFonts w:ascii="Times New Roman" w:hAnsi="Times New Roman" w:eastAsia="宋体" w:cs="Times New Roman"/>
          <w:color w:val="auto"/>
          <w:sz w:val="22"/>
          <w:szCs w:val="22"/>
        </w:rPr>
        <w:t>缩减</w:t>
      </w:r>
      <w:r>
        <w:rPr>
          <w:rFonts w:hint="eastAsia" w:ascii="Times New Roman" w:hAnsi="Times New Roman" w:eastAsia="宋体" w:cs="Times New Roman"/>
          <w:color w:val="auto"/>
          <w:sz w:val="22"/>
          <w:szCs w:val="22"/>
        </w:rPr>
        <w:t>磋商小组最终确定的</w:t>
      </w:r>
      <w:r>
        <w:rPr>
          <w:rFonts w:ascii="Times New Roman" w:hAnsi="Times New Roman" w:eastAsia="宋体" w:cs="Times New Roman"/>
          <w:color w:val="auto"/>
          <w:sz w:val="22"/>
          <w:szCs w:val="22"/>
        </w:rPr>
        <w:t>服务内容的</w:t>
      </w:r>
      <w:r>
        <w:rPr>
          <w:rFonts w:hint="eastAsia" w:ascii="Times New Roman" w:hAnsi="Times New Roman" w:eastAsia="宋体" w:cs="Times New Roman"/>
          <w:color w:val="auto"/>
          <w:sz w:val="22"/>
          <w:szCs w:val="22"/>
        </w:rPr>
        <w:t>。</w:t>
      </w:r>
    </w:p>
    <w:p w14:paraId="449A405D">
      <w:pPr>
        <w:adjustRightInd w:val="0"/>
        <w:snapToGrid w:val="0"/>
        <w:spacing w:line="300" w:lineRule="auto"/>
        <w:ind w:firstLine="422" w:firstLineChars="192"/>
        <w:jc w:val="left"/>
        <w:rPr>
          <w:rFonts w:ascii="Times New Roman" w:hAnsi="Times New Roman" w:eastAsia="宋体" w:cs="Times New Roman"/>
          <w:color w:val="auto"/>
          <w:sz w:val="22"/>
          <w:szCs w:val="22"/>
        </w:rPr>
      </w:pPr>
    </w:p>
    <w:p w14:paraId="1E0C110F">
      <w:pPr>
        <w:adjustRightInd w:val="0"/>
        <w:snapToGrid w:val="0"/>
        <w:spacing w:line="300" w:lineRule="auto"/>
        <w:jc w:val="center"/>
        <w:outlineLvl w:val="1"/>
        <w:rPr>
          <w:rFonts w:ascii="Times New Roman" w:hAnsi="Times New Roman" w:eastAsia="黑体" w:cs="Times New Roman"/>
          <w:color w:val="auto"/>
          <w:sz w:val="30"/>
          <w:szCs w:val="30"/>
        </w:rPr>
      </w:pPr>
      <w:bookmarkStart w:id="42" w:name="_Toc486947670"/>
      <w:bookmarkStart w:id="43" w:name="_Toc497211613"/>
      <w:bookmarkStart w:id="44" w:name="_Toc27164"/>
      <w:bookmarkStart w:id="45" w:name="_Toc481849902"/>
      <w:bookmarkStart w:id="46" w:name="_Toc486604818"/>
      <w:r>
        <w:rPr>
          <w:rFonts w:ascii="Times New Roman" w:hAnsi="Times New Roman" w:eastAsia="黑体" w:cs="Times New Roman"/>
          <w:color w:val="auto"/>
          <w:sz w:val="30"/>
          <w:szCs w:val="30"/>
        </w:rPr>
        <w:t>五、政府采购政策</w:t>
      </w:r>
      <w:bookmarkEnd w:id="42"/>
      <w:bookmarkEnd w:id="43"/>
      <w:bookmarkEnd w:id="44"/>
    </w:p>
    <w:p w14:paraId="58528FAC">
      <w:pPr>
        <w:adjustRightInd w:val="0"/>
        <w:snapToGrid w:val="0"/>
        <w:spacing w:line="300" w:lineRule="auto"/>
        <w:ind w:firstLine="442" w:firstLineChars="200"/>
        <w:rPr>
          <w:rFonts w:ascii="Times New Roman" w:hAnsi="Times New Roman" w:eastAsia="宋体" w:cs="Times New Roman"/>
          <w:b/>
          <w:color w:val="auto"/>
          <w:sz w:val="22"/>
          <w:szCs w:val="22"/>
          <w:u w:val="wavyHeavy"/>
        </w:rPr>
      </w:pPr>
    </w:p>
    <w:bookmarkEnd w:id="45"/>
    <w:bookmarkEnd w:id="46"/>
    <w:p w14:paraId="70D4ED94">
      <w:pPr>
        <w:adjustRightInd w:val="0"/>
        <w:snapToGrid w:val="0"/>
        <w:spacing w:line="300" w:lineRule="auto"/>
        <w:ind w:firstLine="442" w:firstLineChars="200"/>
        <w:outlineLvl w:val="2"/>
        <w:rPr>
          <w:rFonts w:ascii="Times New Roman" w:hAnsi="Times New Roman" w:eastAsia="宋体" w:cs="Times New Roman"/>
          <w:b/>
          <w:color w:val="auto"/>
          <w:sz w:val="22"/>
          <w:szCs w:val="22"/>
        </w:rPr>
      </w:pPr>
      <w:bookmarkStart w:id="47" w:name="_Toc481849905"/>
      <w:bookmarkStart w:id="48" w:name="_Toc3750"/>
      <w:bookmarkStart w:id="49" w:name="_Toc24401"/>
      <w:bookmarkStart w:id="50" w:name="_Toc1996366"/>
      <w:bookmarkStart w:id="51" w:name="_Toc486604821"/>
      <w:bookmarkStart w:id="52" w:name="_Toc9829"/>
      <w:bookmarkStart w:id="53" w:name="_Toc486604822"/>
      <w:bookmarkStart w:id="54" w:name="_Toc25173"/>
      <w:bookmarkStart w:id="55" w:name="_Toc9591"/>
      <w:bookmarkStart w:id="56" w:name="_Toc481849906"/>
      <w:r>
        <w:rPr>
          <w:rFonts w:hint="eastAsia" w:ascii="Times New Roman" w:hAnsi="Times New Roman" w:eastAsia="宋体" w:cs="Times New Roman"/>
          <w:b/>
          <w:color w:val="auto"/>
          <w:sz w:val="22"/>
          <w:szCs w:val="22"/>
        </w:rPr>
        <w:t>14</w:t>
      </w:r>
      <w:r>
        <w:rPr>
          <w:rFonts w:ascii="Times New Roman" w:hAnsi="Times New Roman" w:eastAsia="宋体" w:cs="Times New Roman"/>
          <w:b/>
          <w:color w:val="auto"/>
          <w:sz w:val="22"/>
          <w:szCs w:val="22"/>
        </w:rPr>
        <w:t>促进中小企业发展</w:t>
      </w:r>
      <w:bookmarkEnd w:id="47"/>
      <w:bookmarkEnd w:id="48"/>
      <w:bookmarkEnd w:id="49"/>
      <w:bookmarkEnd w:id="50"/>
      <w:bookmarkEnd w:id="51"/>
      <w:bookmarkEnd w:id="52"/>
    </w:p>
    <w:p w14:paraId="7C7FA67F">
      <w:pPr>
        <w:tabs>
          <w:tab w:val="left" w:pos="3060"/>
        </w:tabs>
        <w:adjustRightInd w:val="0"/>
        <w:snapToGrid w:val="0"/>
        <w:spacing w:line="300" w:lineRule="auto"/>
        <w:ind w:firstLine="440" w:firstLineChars="200"/>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14</w:t>
      </w:r>
      <w:r>
        <w:rPr>
          <w:rFonts w:ascii="Times New Roman" w:hAnsi="Times New Roman" w:eastAsia="宋体" w:cs="Times New Roman"/>
          <w:bCs/>
          <w:color w:val="auto"/>
          <w:sz w:val="22"/>
          <w:szCs w:val="22"/>
        </w:rPr>
        <w:t>.1</w:t>
      </w:r>
      <w:r>
        <w:rPr>
          <w:rFonts w:ascii="Times New Roman" w:hAnsi="Times New Roman" w:eastAsia="宋体" w:cs="Times New Roman"/>
          <w:color w:val="auto"/>
          <w:sz w:val="22"/>
          <w:szCs w:val="22"/>
        </w:rPr>
        <w:t>中小企业</w:t>
      </w:r>
      <w:r>
        <w:rPr>
          <w:rFonts w:hint="eastAsia" w:ascii="Times New Roman" w:hAnsi="Times New Roman" w:eastAsia="宋体" w:cs="Times New Roman"/>
          <w:color w:val="auto"/>
          <w:sz w:val="22"/>
          <w:szCs w:val="22"/>
        </w:rPr>
        <w:t>（含中型、小型、微型企业，下同）</w:t>
      </w:r>
      <w:r>
        <w:rPr>
          <w:rFonts w:ascii="Times New Roman" w:hAnsi="Times New Roman" w:eastAsia="宋体" w:cs="Times New Roman"/>
          <w:color w:val="auto"/>
          <w:sz w:val="22"/>
          <w:szCs w:val="22"/>
        </w:rPr>
        <w:t>的划定按照《中小企业划型标准规定》（工信部联企业〔2011〕300号）执行，参加</w:t>
      </w:r>
      <w:r>
        <w:rPr>
          <w:rFonts w:hint="eastAsia" w:ascii="Times New Roman" w:hAnsi="Times New Roman" w:eastAsia="宋体" w:cs="Times New Roman"/>
          <w:color w:val="auto"/>
          <w:sz w:val="22"/>
          <w:szCs w:val="22"/>
        </w:rPr>
        <w:t>磋商</w:t>
      </w:r>
      <w:r>
        <w:rPr>
          <w:rFonts w:ascii="Times New Roman" w:hAnsi="Times New Roman" w:eastAsia="宋体" w:cs="Times New Roman"/>
          <w:color w:val="auto"/>
          <w:sz w:val="22"/>
          <w:szCs w:val="22"/>
        </w:rPr>
        <w:t>的中小企业应当提供《中小企业声明函》（具体格式见“</w:t>
      </w:r>
      <w:r>
        <w:rPr>
          <w:rFonts w:hint="eastAsia" w:ascii="Times New Roman" w:hAnsi="Times New Roman" w:eastAsia="宋体" w:cs="Times New Roman"/>
          <w:color w:val="auto"/>
          <w:sz w:val="22"/>
          <w:szCs w:val="22"/>
        </w:rPr>
        <w:t>响应文件格式</w:t>
      </w:r>
      <w:r>
        <w:rPr>
          <w:rFonts w:ascii="Times New Roman" w:hAnsi="Times New Roman" w:eastAsia="宋体" w:cs="Times New Roman"/>
          <w:color w:val="auto"/>
          <w:sz w:val="22"/>
          <w:szCs w:val="22"/>
        </w:rPr>
        <w:t>”），反之，视作非中、小微企业，不具备</w:t>
      </w:r>
      <w:r>
        <w:rPr>
          <w:rFonts w:hint="eastAsia" w:ascii="Times New Roman" w:hAnsi="Times New Roman" w:eastAsia="宋体" w:cs="Times New Roman"/>
          <w:color w:val="auto"/>
          <w:sz w:val="22"/>
          <w:szCs w:val="22"/>
        </w:rPr>
        <w:t>参与磋商</w:t>
      </w:r>
      <w:r>
        <w:rPr>
          <w:rFonts w:ascii="Times New Roman" w:hAnsi="Times New Roman" w:eastAsia="宋体" w:cs="Times New Roman"/>
          <w:color w:val="auto"/>
          <w:sz w:val="22"/>
          <w:szCs w:val="22"/>
        </w:rPr>
        <w:t>资格。</w:t>
      </w:r>
      <w:r>
        <w:rPr>
          <w:rFonts w:hint="eastAsia" w:ascii="Times New Roman" w:hAnsi="Times New Roman" w:eastAsia="宋体" w:cs="Times New Roman"/>
          <w:color w:val="auto"/>
          <w:sz w:val="22"/>
          <w:szCs w:val="22"/>
        </w:rPr>
        <w:t>如项目允许联合体参与竞争的，则联合体中各方均应为中小企业，并按本款要求提供《中小企业声明函》。</w:t>
      </w:r>
    </w:p>
    <w:p w14:paraId="4A649A8A">
      <w:pPr>
        <w:adjustRightInd w:val="0"/>
        <w:snapToGrid w:val="0"/>
        <w:spacing w:line="300" w:lineRule="auto"/>
        <w:ind w:firstLine="440" w:firstLineChars="200"/>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14.</w:t>
      </w:r>
      <w:r>
        <w:rPr>
          <w:rFonts w:ascii="Times New Roman" w:hAnsi="Times New Roman" w:eastAsia="宋体" w:cs="Times New Roman"/>
          <w:color w:val="auto"/>
          <w:sz w:val="22"/>
          <w:szCs w:val="22"/>
        </w:rPr>
        <w:t>2 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ascii="Times New Roman" w:hAnsi="Times New Roman" w:eastAsia="宋体" w:cs="Times New Roman"/>
          <w:color w:val="auto"/>
          <w:sz w:val="22"/>
          <w:szCs w:val="22"/>
        </w:rPr>
        <w:t>管理</w:t>
      </w:r>
      <w:r>
        <w:rPr>
          <w:rFonts w:ascii="Times New Roman" w:hAnsi="Times New Roman" w:eastAsia="宋体" w:cs="Times New Roman"/>
          <w:color w:val="auto"/>
          <w:sz w:val="22"/>
          <w:szCs w:val="22"/>
        </w:rPr>
        <w:t>办法》。</w:t>
      </w:r>
    </w:p>
    <w:p w14:paraId="6EF61AED">
      <w:pPr>
        <w:adjustRightInd w:val="0"/>
        <w:snapToGrid w:val="0"/>
        <w:spacing w:line="300" w:lineRule="auto"/>
        <w:ind w:firstLine="440" w:firstLineChars="200"/>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14</w:t>
      </w:r>
      <w:r>
        <w:rPr>
          <w:rFonts w:ascii="Times New Roman" w:hAnsi="Times New Roman" w:eastAsia="宋体" w:cs="Times New Roman"/>
          <w:color w:val="auto"/>
          <w:sz w:val="22"/>
          <w:szCs w:val="22"/>
        </w:rPr>
        <w:t xml:space="preserve">.3 </w:t>
      </w:r>
      <w:r>
        <w:rPr>
          <w:rFonts w:hint="eastAsia" w:ascii="Times New Roman" w:hAnsi="Times New Roman" w:eastAsia="宋体" w:cs="Times New Roman"/>
          <w:color w:val="auto"/>
          <w:sz w:val="22"/>
          <w:szCs w:val="22"/>
        </w:rPr>
        <w:t>如项目允许联合体参与竞争的，组成联合体的中型企业和其他自然人、法人或者其他组织，与小型、微型企业之间不得存在投资关系。</w:t>
      </w:r>
    </w:p>
    <w:p w14:paraId="4E3184E5">
      <w:pPr>
        <w:adjustRightInd w:val="0"/>
        <w:snapToGrid w:val="0"/>
        <w:spacing w:line="300" w:lineRule="auto"/>
        <w:ind w:firstLine="440" w:firstLineChars="200"/>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14</w:t>
      </w:r>
      <w:r>
        <w:rPr>
          <w:rFonts w:ascii="Times New Roman" w:hAnsi="Times New Roman" w:eastAsia="宋体" w:cs="Times New Roman"/>
          <w:color w:val="auto"/>
          <w:sz w:val="22"/>
          <w:szCs w:val="22"/>
        </w:rPr>
        <w:t>.</w:t>
      </w:r>
      <w:r>
        <w:rPr>
          <w:rFonts w:hint="eastAsia" w:ascii="Times New Roman" w:hAnsi="Times New Roman" w:eastAsia="宋体" w:cs="Times New Roman"/>
          <w:color w:val="auto"/>
          <w:sz w:val="22"/>
          <w:szCs w:val="22"/>
        </w:rPr>
        <w:t>4供应商</w:t>
      </w:r>
      <w:r>
        <w:rPr>
          <w:rFonts w:ascii="Times New Roman" w:hAnsi="Times New Roman" w:eastAsia="宋体" w:cs="Times New Roman"/>
          <w:color w:val="auto"/>
          <w:sz w:val="22"/>
          <w:szCs w:val="22"/>
        </w:rPr>
        <w:t>如提供虚假材料以谋取成交的，按照《政府采购法》有关条款处理，并记入</w:t>
      </w:r>
      <w:r>
        <w:rPr>
          <w:rFonts w:hint="eastAsia" w:ascii="Times New Roman" w:hAnsi="Times New Roman" w:eastAsia="宋体" w:cs="Times New Roman"/>
          <w:color w:val="auto"/>
          <w:sz w:val="22"/>
          <w:szCs w:val="22"/>
        </w:rPr>
        <w:t>供应商</w:t>
      </w:r>
      <w:r>
        <w:rPr>
          <w:rFonts w:ascii="Times New Roman" w:hAnsi="Times New Roman" w:eastAsia="宋体" w:cs="Times New Roman"/>
          <w:color w:val="auto"/>
          <w:sz w:val="22"/>
          <w:szCs w:val="22"/>
        </w:rPr>
        <w:t>诚信档案。</w:t>
      </w:r>
    </w:p>
    <w:bookmarkEnd w:id="53"/>
    <w:bookmarkEnd w:id="54"/>
    <w:bookmarkEnd w:id="55"/>
    <w:bookmarkEnd w:id="56"/>
    <w:p w14:paraId="1C2A0E1D">
      <w:pPr>
        <w:adjustRightInd w:val="0"/>
        <w:snapToGrid w:val="0"/>
        <w:spacing w:line="300" w:lineRule="auto"/>
        <w:ind w:firstLine="442" w:firstLineChars="200"/>
        <w:outlineLvl w:val="2"/>
        <w:rPr>
          <w:rFonts w:ascii="Times New Roman" w:hAnsi="Times New Roman" w:eastAsia="宋体" w:cs="Times New Roman"/>
          <w:b/>
          <w:color w:val="auto"/>
          <w:sz w:val="22"/>
          <w:szCs w:val="22"/>
        </w:rPr>
      </w:pPr>
      <w:bookmarkStart w:id="57" w:name="_Toc477267172"/>
      <w:bookmarkStart w:id="58" w:name="_Toc27932"/>
      <w:bookmarkStart w:id="59" w:name="_Toc19705"/>
      <w:bookmarkStart w:id="60" w:name="_Toc486604823"/>
      <w:bookmarkStart w:id="61" w:name="_Toc15871"/>
      <w:r>
        <w:rPr>
          <w:rFonts w:hint="eastAsia" w:ascii="Times New Roman" w:hAnsi="Times New Roman" w:eastAsia="宋体" w:cs="Times New Roman"/>
          <w:b/>
          <w:color w:val="auto"/>
          <w:sz w:val="22"/>
          <w:szCs w:val="22"/>
        </w:rPr>
        <w:t>15</w:t>
      </w:r>
      <w:bookmarkEnd w:id="57"/>
      <w:bookmarkEnd w:id="58"/>
      <w:bookmarkEnd w:id="59"/>
      <w:bookmarkEnd w:id="60"/>
      <w:bookmarkStart w:id="62" w:name="_Toc25538"/>
      <w:bookmarkStart w:id="63" w:name="_Toc29310"/>
      <w:r>
        <w:rPr>
          <w:rFonts w:ascii="Times New Roman" w:hAnsi="Times New Roman" w:eastAsia="宋体" w:cs="Times New Roman"/>
          <w:b/>
          <w:color w:val="auto"/>
          <w:sz w:val="22"/>
          <w:szCs w:val="22"/>
        </w:rPr>
        <w:t>促进残疾人就业</w:t>
      </w:r>
      <w:bookmarkEnd w:id="61"/>
      <w:bookmarkEnd w:id="62"/>
      <w:bookmarkEnd w:id="63"/>
    </w:p>
    <w:p w14:paraId="47A7CFE8">
      <w:pPr>
        <w:adjustRightInd w:val="0"/>
        <w:snapToGrid w:val="0"/>
        <w:spacing w:line="300" w:lineRule="auto"/>
        <w:ind w:firstLine="440" w:firstLineChars="200"/>
        <w:rPr>
          <w:rFonts w:ascii="Times New Roman" w:hAnsi="Times New Roman" w:eastAsia="宋体" w:cs="Times New Roman"/>
          <w:color w:val="auto"/>
          <w:sz w:val="22"/>
          <w:szCs w:val="22"/>
        </w:rPr>
      </w:pPr>
      <w:r>
        <w:rPr>
          <w:rFonts w:hint="eastAsia" w:ascii="Times New Roman" w:hAnsi="Times New Roman" w:eastAsia="宋体" w:cs="Times New Roman"/>
          <w:color w:val="auto"/>
          <w:sz w:val="22"/>
          <w:szCs w:val="22"/>
        </w:rPr>
        <w:t>15</w:t>
      </w:r>
      <w:r>
        <w:rPr>
          <w:rFonts w:ascii="Times New Roman" w:hAnsi="Times New Roman" w:eastAsia="宋体" w:cs="Times New Roman"/>
          <w:color w:val="auto"/>
          <w:sz w:val="22"/>
          <w:szCs w:val="22"/>
        </w:rPr>
        <w:t xml:space="preserve">.1 </w:t>
      </w:r>
      <w:bookmarkStart w:id="64" w:name="sendNo"/>
      <w:r>
        <w:rPr>
          <w:rFonts w:ascii="Times New Roman" w:hAnsi="Times New Roman" w:eastAsia="宋体" w:cs="Times New Roman"/>
          <w:color w:val="auto"/>
          <w:sz w:val="22"/>
          <w:szCs w:val="22"/>
        </w:rPr>
        <w:t>符合财库</w:t>
      </w:r>
      <w:bookmarkEnd w:id="64"/>
      <w:r>
        <w:rPr>
          <w:rFonts w:ascii="Times New Roman" w:hAnsi="Times New Roman" w:eastAsia="宋体" w:cs="Times New Roman"/>
          <w:color w:val="auto"/>
          <w:sz w:val="22"/>
          <w:szCs w:val="22"/>
        </w:rPr>
        <w:t>〔2017〕141号文中所示条件的残疾人福利性单位视同小型、微型企业，享受促进中小企业发展的政府采购政策。残疾人福利性单位属于小型、微型企业的，不重复享受政策。</w:t>
      </w:r>
    </w:p>
    <w:p w14:paraId="70B89417">
      <w:r>
        <w:rPr>
          <w:rFonts w:hint="eastAsia" w:ascii="Times New Roman" w:hAnsi="Times New Roman" w:eastAsia="宋体" w:cs="Times New Roman"/>
          <w:color w:val="auto"/>
          <w:sz w:val="22"/>
          <w:szCs w:val="22"/>
        </w:rPr>
        <w:t>15</w:t>
      </w:r>
      <w:r>
        <w:rPr>
          <w:rFonts w:ascii="Times New Roman" w:hAnsi="Times New Roman" w:eastAsia="宋体" w:cs="Times New Roman"/>
          <w:color w:val="auto"/>
          <w:sz w:val="22"/>
          <w:szCs w:val="22"/>
        </w:rPr>
        <w:t>.2 残疾人福利性单位在参加政府采购活动时，应当按财库〔2017〕141号规定的《残疾人福利性单位声明函》（具体格式详见“</w:t>
      </w:r>
      <w:r>
        <w:rPr>
          <w:rFonts w:hint="eastAsia" w:ascii="Times New Roman" w:hAnsi="Times New Roman" w:eastAsia="宋体" w:cs="Times New Roman"/>
          <w:color w:val="auto"/>
          <w:sz w:val="22"/>
          <w:szCs w:val="22"/>
        </w:rPr>
        <w:t>响应文件格式</w:t>
      </w:r>
      <w:r>
        <w:rPr>
          <w:rFonts w:ascii="Times New Roman" w:hAnsi="Times New Roman" w:eastAsia="宋体" w:cs="Times New Roman"/>
          <w:color w:val="auto"/>
          <w:sz w:val="22"/>
          <w:szCs w:val="22"/>
        </w:rPr>
        <w:t>”），并对声明的真实性负责。</w:t>
      </w:r>
      <w:bookmarkEnd w:id="2"/>
      <w:bookmarkStart w:id="65" w:name="_GoBack"/>
      <w:bookmarkEnd w:id="6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7614CC"/>
    <w:rsid w:val="62761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qFormat/>
    <w:uiPriority w:val="5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2026-08-18T02:14:00Z</dcterms:created>
  <dc:creator>陈芊伊</dc:creator>
  <cp:lastModifiedBy>陈芊伊</cp:lastModifiedBy>
  <dcterms:modified xsi:type="dcterms:W3CDTF">2026-08-18T02:15:21Z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214DCEC2F7C64A179D653AB54D4F027D_11</vt:lpwstr>
  </property>
  <property fmtid="{D5CDD505-2E9C-101B-9397-08002B2CF9AE}" pid="4" name="KSOTemplateDocerSaveRecord">
    <vt:lpwstr>eyJoZGlkIjoiYWQ2OWM2NDM4YWRhYjg0MmIzMDMzZWMzYWEwNzU4MzAiLCJ1c2VySWQiOiIyMDMwMTYzNjUifQ==</vt:lpwstr>
  </property>
</Properties>
</file>