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9A275">
      <w:pPr>
        <w:spacing w:line="500" w:lineRule="exact"/>
        <w:jc w:val="center"/>
        <w:rPr>
          <w:rFonts w:hint="eastAsia" w:ascii="仿宋" w:hAnsi="仿宋" w:eastAsia="仿宋" w:cs="仿宋"/>
          <w:b/>
          <w:bCs/>
          <w:sz w:val="40"/>
          <w:szCs w:val="40"/>
        </w:rPr>
      </w:pPr>
      <w:bookmarkStart w:id="0" w:name="_Toc428807683"/>
      <w:r>
        <w:rPr>
          <w:rFonts w:hint="eastAsia" w:ascii="仿宋" w:hAnsi="仿宋" w:eastAsia="仿宋" w:cs="仿宋"/>
          <w:b/>
          <w:bCs/>
          <w:sz w:val="40"/>
          <w:szCs w:val="40"/>
          <w:lang w:val="en-US" w:eastAsia="zh-CN"/>
        </w:rPr>
        <w:t>2026年</w:t>
      </w:r>
      <w:r>
        <w:rPr>
          <w:rFonts w:hint="eastAsia" w:ascii="仿宋" w:hAnsi="仿宋" w:eastAsia="仿宋" w:cs="仿宋"/>
          <w:b/>
          <w:bCs/>
          <w:sz w:val="40"/>
          <w:szCs w:val="40"/>
        </w:rPr>
        <w:t>崧泽广场、夏阳湖一体化养护保洁项目</w:t>
      </w:r>
    </w:p>
    <w:p w14:paraId="436E3470">
      <w:pPr>
        <w:spacing w:line="500" w:lineRule="exact"/>
        <w:jc w:val="center"/>
        <w:rPr>
          <w:rFonts w:hint="eastAsia" w:ascii="仿宋" w:hAnsi="仿宋" w:eastAsia="仿宋" w:cs="仿宋"/>
          <w:b/>
          <w:bCs/>
          <w:sz w:val="40"/>
          <w:szCs w:val="40"/>
        </w:rPr>
      </w:pPr>
      <w:r>
        <w:rPr>
          <w:rFonts w:hint="eastAsia" w:ascii="仿宋" w:hAnsi="仿宋" w:eastAsia="仿宋" w:cs="仿宋"/>
          <w:b/>
          <w:bCs/>
          <w:sz w:val="40"/>
          <w:szCs w:val="40"/>
        </w:rPr>
        <w:t>招标需求</w:t>
      </w:r>
      <w:bookmarkEnd w:id="0"/>
    </w:p>
    <w:p w14:paraId="19503173">
      <w:pPr>
        <w:spacing w:line="560" w:lineRule="exact"/>
        <w:rPr>
          <w:rFonts w:hint="eastAsia" w:ascii="宋体" w:hAnsi="宋体"/>
          <w:b/>
          <w:szCs w:val="21"/>
        </w:rPr>
      </w:pPr>
    </w:p>
    <w:p w14:paraId="397457F3">
      <w:pPr>
        <w:spacing w:line="500" w:lineRule="exact"/>
        <w:ind w:firstLine="420" w:firstLineChars="200"/>
        <w:rPr>
          <w:rFonts w:ascii="宋体" w:hAnsi="宋体" w:cs="仿宋"/>
          <w:szCs w:val="21"/>
        </w:rPr>
      </w:pPr>
      <w:r>
        <w:rPr>
          <w:rFonts w:hint="eastAsia" w:ascii="宋体" w:hAnsi="宋体" w:cs="仿宋"/>
          <w:szCs w:val="21"/>
        </w:rPr>
        <w:t>为进一步提升夏阳街道内的崧泽广场、夏阳湖区域道路保洁、绿化养护、水域保洁质量，全面提升管理作业实效，实现“更干净、更整洁、更美观”目标，按照区委、政府工作部署，拟在崧泽广场、夏阳湖区域继续实施一体化养护保洁，具体需求如下：</w:t>
      </w:r>
    </w:p>
    <w:p w14:paraId="31957E6C">
      <w:pPr>
        <w:spacing w:line="500" w:lineRule="exact"/>
        <w:ind w:firstLine="422" w:firstLineChars="200"/>
        <w:rPr>
          <w:rFonts w:hint="eastAsia" w:ascii="宋体" w:hAnsi="宋体" w:eastAsia="宋体" w:cs="仿宋"/>
          <w:b/>
          <w:bCs/>
          <w:szCs w:val="21"/>
          <w:lang w:val="en-US" w:eastAsia="zh-CN"/>
        </w:rPr>
      </w:pPr>
      <w:r>
        <w:rPr>
          <w:rFonts w:hint="eastAsia" w:ascii="宋体" w:hAnsi="宋体" w:cs="仿宋"/>
          <w:b/>
          <w:bCs/>
          <w:szCs w:val="21"/>
        </w:rPr>
        <w:t>一、招标金额：4</w:t>
      </w:r>
      <w:r>
        <w:rPr>
          <w:rFonts w:hint="eastAsia" w:ascii="宋体" w:hAnsi="宋体" w:cs="仿宋"/>
          <w:b/>
          <w:bCs/>
          <w:szCs w:val="21"/>
          <w:lang w:val="en-US" w:eastAsia="zh-CN"/>
        </w:rPr>
        <w:t>54.56</w:t>
      </w:r>
      <w:r>
        <w:rPr>
          <w:rFonts w:hint="eastAsia" w:ascii="宋体" w:hAnsi="宋体" w:cs="仿宋"/>
          <w:b/>
          <w:bCs/>
          <w:szCs w:val="21"/>
        </w:rPr>
        <w:t>万元</w:t>
      </w:r>
      <w:r>
        <w:rPr>
          <w:rFonts w:hint="eastAsia" w:ascii="宋体" w:hAnsi="宋体" w:cs="仿宋"/>
          <w:b/>
          <w:bCs/>
          <w:szCs w:val="21"/>
          <w:lang w:val="en-US" w:eastAsia="zh-CN"/>
        </w:rPr>
        <w:t>,其中（道路保洁限价153.37万元、环卫设施保洁限价83.63万元、水域保洁限价15.6万元、绿化养护限价101.79万元、设施维护</w:t>
      </w:r>
      <w:bookmarkStart w:id="1" w:name="_GoBack"/>
      <w:bookmarkEnd w:id="1"/>
      <w:r>
        <w:rPr>
          <w:rFonts w:hint="eastAsia" w:ascii="宋体" w:hAnsi="宋体" w:cs="仿宋"/>
          <w:b/>
          <w:bCs/>
          <w:szCs w:val="21"/>
          <w:lang w:val="en-US" w:eastAsia="zh-CN"/>
        </w:rPr>
        <w:t>限价100.17万元）</w:t>
      </w:r>
    </w:p>
    <w:p w14:paraId="12E65181">
      <w:pPr>
        <w:spacing w:line="500" w:lineRule="exact"/>
        <w:ind w:firstLine="422" w:firstLineChars="200"/>
        <w:rPr>
          <w:rFonts w:hint="eastAsia" w:ascii="宋体" w:hAnsi="宋体" w:cs="仿宋"/>
          <w:b/>
          <w:bCs/>
          <w:szCs w:val="21"/>
        </w:rPr>
      </w:pPr>
      <w:r>
        <w:rPr>
          <w:rFonts w:hint="eastAsia" w:ascii="宋体" w:hAnsi="宋体" w:cs="仿宋"/>
          <w:b/>
          <w:bCs/>
          <w:szCs w:val="21"/>
        </w:rPr>
        <w:t>二、服务范围</w:t>
      </w:r>
    </w:p>
    <w:p w14:paraId="5EEB0357">
      <w:pPr>
        <w:spacing w:line="500" w:lineRule="exact"/>
        <w:ind w:firstLine="420" w:firstLineChars="200"/>
        <w:rPr>
          <w:rFonts w:hint="eastAsia" w:ascii="宋体" w:hAnsi="宋体" w:cs="仿宋"/>
          <w:szCs w:val="21"/>
        </w:rPr>
      </w:pPr>
      <w:r>
        <w:rPr>
          <w:rFonts w:hint="eastAsia" w:ascii="宋体" w:hAnsi="宋体" w:cs="仿宋"/>
          <w:szCs w:val="21"/>
        </w:rPr>
        <w:t xml:space="preserve">对夏阳街道内的崧泽广场、夏阳湖地区进行道路保洁、设施保洁、水域保洁及绿化养护（含绿化内各类设施维护）等，其中：道路保洁面积为27431.29平方米、河道保洁面积为64433.35平方米、公厕保洁2座（1座一类，1座二类）、果壳箱6个、绿化养护面积为90188.73平方米以及绿化内各类设施维护工作。 </w:t>
      </w:r>
    </w:p>
    <w:p w14:paraId="688B1855">
      <w:pPr>
        <w:spacing w:line="500" w:lineRule="exact"/>
        <w:ind w:firstLine="422" w:firstLineChars="200"/>
        <w:rPr>
          <w:rFonts w:hint="eastAsia" w:ascii="宋体" w:hAnsi="宋体" w:cs="仿宋"/>
          <w:szCs w:val="21"/>
        </w:rPr>
      </w:pPr>
      <w:r>
        <w:rPr>
          <w:rFonts w:hint="eastAsia" w:ascii="宋体" w:hAnsi="宋体" w:cs="仿宋"/>
          <w:b/>
          <w:bCs/>
          <w:szCs w:val="21"/>
        </w:rPr>
        <w:t>三、服务内容</w:t>
      </w:r>
    </w:p>
    <w:p w14:paraId="4958B63C">
      <w:pPr>
        <w:pStyle w:val="11"/>
        <w:numPr>
          <w:ilvl w:val="0"/>
          <w:numId w:val="2"/>
        </w:numPr>
        <w:spacing w:line="560" w:lineRule="exact"/>
        <w:ind w:left="0" w:firstLine="420" w:firstLineChars="0"/>
        <w:rPr>
          <w:rFonts w:ascii="宋体" w:hAnsi="宋体"/>
          <w:szCs w:val="21"/>
        </w:rPr>
      </w:pPr>
      <w:r>
        <w:rPr>
          <w:rFonts w:hint="eastAsia" w:ascii="宋体" w:hAnsi="宋体"/>
          <w:szCs w:val="21"/>
        </w:rPr>
        <w:t>道路及广场保洁：按照一类作业标准，对崧泽广场、夏阳湖区域内道路及广场实施机械和人工清扫保洁作业，并对沿线废物箱进行垃圾清理及箱体保洁。</w:t>
      </w:r>
    </w:p>
    <w:p w14:paraId="61DFBF8C">
      <w:pPr>
        <w:pStyle w:val="11"/>
        <w:numPr>
          <w:ilvl w:val="0"/>
          <w:numId w:val="2"/>
        </w:numPr>
        <w:spacing w:line="560" w:lineRule="exact"/>
        <w:ind w:left="0" w:firstLine="420" w:firstLineChars="0"/>
        <w:rPr>
          <w:rFonts w:hint="eastAsia" w:ascii="宋体" w:hAnsi="宋体"/>
          <w:color w:val="auto"/>
          <w:szCs w:val="21"/>
        </w:rPr>
      </w:pPr>
      <w:r>
        <w:rPr>
          <w:rFonts w:hint="eastAsia" w:ascii="宋体" w:hAnsi="宋体"/>
          <w:szCs w:val="21"/>
        </w:rPr>
        <w:t>绿化养护：实行一级</w:t>
      </w:r>
      <w:r>
        <w:rPr>
          <w:rFonts w:hint="eastAsia" w:ascii="宋体" w:hAnsi="宋体"/>
          <w:color w:val="auto"/>
          <w:szCs w:val="21"/>
        </w:rPr>
        <w:t>绿地及公园养护，</w:t>
      </w:r>
      <w:r>
        <w:rPr>
          <w:rFonts w:hint="eastAsia" w:asciiTheme="minorEastAsia" w:hAnsiTheme="minorEastAsia" w:eastAsiaTheme="minorEastAsia"/>
          <w:color w:val="auto"/>
          <w:szCs w:val="21"/>
        </w:rPr>
        <w:t>按照</w:t>
      </w:r>
      <w:r>
        <w:rPr>
          <w:rFonts w:hint="eastAsia" w:asciiTheme="minorEastAsia" w:hAnsiTheme="minorEastAsia" w:eastAsiaTheme="minorEastAsia"/>
          <w:color w:val="auto"/>
          <w:kern w:val="0"/>
          <w:szCs w:val="21"/>
        </w:rPr>
        <w:t>《园林绿化植物栽植技术规程》DG/TJ 08-18-2011(2019)、</w:t>
      </w:r>
      <w:r>
        <w:rPr>
          <w:rFonts w:hint="eastAsia" w:asciiTheme="minorEastAsia" w:hAnsiTheme="minorEastAsia" w:eastAsiaTheme="minorEastAsia"/>
          <w:color w:val="auto"/>
          <w:szCs w:val="21"/>
        </w:rPr>
        <w:t>《园林绿化养护标准》（DG/TJ08-19-2023）、</w:t>
      </w:r>
      <w:r>
        <w:rPr>
          <w:rFonts w:hint="eastAsia" w:asciiTheme="minorEastAsia" w:hAnsiTheme="minorEastAsia" w:eastAsiaTheme="minorEastAsia"/>
          <w:color w:val="auto"/>
          <w:kern w:val="0"/>
          <w:szCs w:val="21"/>
        </w:rPr>
        <w:t>《绿化植物保护技术规程》DG/TJ 08-35-2014、《园林绿化栽植土质量标准》DG/TJ 08-231-2021、《园林绿化草坪建植和养护技术规程》DG/TJ 08-67-2015(2023)</w:t>
      </w:r>
      <w:r>
        <w:rPr>
          <w:rFonts w:hint="eastAsia" w:asciiTheme="minorEastAsia" w:hAnsiTheme="minorEastAsia" w:eastAsiaTheme="minorEastAsia"/>
          <w:color w:val="auto"/>
          <w:szCs w:val="21"/>
        </w:rPr>
        <w:t>等标准</w:t>
      </w:r>
      <w:r>
        <w:rPr>
          <w:rFonts w:hint="eastAsia" w:ascii="宋体" w:hAnsi="宋体"/>
          <w:color w:val="auto"/>
          <w:szCs w:val="21"/>
        </w:rPr>
        <w:t>，对公共绿地和行道树实施管养并配备养护人员，配备满足需要的修剪工具、深根施肥机、打洞机等养护作业机具。</w:t>
      </w:r>
    </w:p>
    <w:p w14:paraId="4FB25508">
      <w:pPr>
        <w:pStyle w:val="11"/>
        <w:numPr>
          <w:ilvl w:val="0"/>
          <w:numId w:val="2"/>
        </w:numPr>
        <w:spacing w:line="560" w:lineRule="exact"/>
        <w:ind w:left="0" w:firstLine="420" w:firstLineChars="0"/>
        <w:rPr>
          <w:rFonts w:ascii="宋体" w:hAnsi="宋体"/>
          <w:color w:val="auto"/>
          <w:szCs w:val="21"/>
        </w:rPr>
      </w:pPr>
      <w:r>
        <w:rPr>
          <w:rFonts w:hint="eastAsia" w:ascii="宋体" w:hAnsi="宋体"/>
          <w:color w:val="auto"/>
          <w:szCs w:val="21"/>
        </w:rPr>
        <w:t>水域保洁：按照本市水域保洁作业相关标准进行保洁。</w:t>
      </w:r>
    </w:p>
    <w:p w14:paraId="10AF5542">
      <w:pPr>
        <w:pStyle w:val="11"/>
        <w:numPr>
          <w:ilvl w:val="0"/>
          <w:numId w:val="2"/>
        </w:numPr>
        <w:spacing w:line="560" w:lineRule="exact"/>
        <w:ind w:left="0" w:firstLine="420" w:firstLineChars="0"/>
        <w:rPr>
          <w:rFonts w:hint="eastAsia" w:ascii="宋体" w:hAnsi="宋体"/>
          <w:color w:val="auto"/>
          <w:szCs w:val="21"/>
        </w:rPr>
      </w:pPr>
      <w:r>
        <w:rPr>
          <w:rFonts w:hint="eastAsia" w:asciiTheme="minorEastAsia" w:hAnsiTheme="minorEastAsia" w:eastAsiaTheme="minorEastAsia"/>
          <w:color w:val="auto"/>
          <w:kern w:val="0"/>
          <w:szCs w:val="21"/>
        </w:rPr>
        <w:t>设</w:t>
      </w:r>
      <w:r>
        <w:rPr>
          <w:rFonts w:hint="eastAsia" w:ascii="宋体" w:hAnsi="宋体"/>
          <w:color w:val="auto"/>
          <w:szCs w:val="21"/>
        </w:rPr>
        <w:t>施维护：按照上海市绿化和市容管理局关于下发《上海市城市公园实施分类分级管理指导意见》的通知沪绿容【2019】156号文相关标准，对园区内景观步道、景观小品及相关的建（构）筑物、水电等设施进行日常维护、保养，对于不能满足安全、市容要求的设施进行维修或整治。</w:t>
      </w:r>
    </w:p>
    <w:p w14:paraId="5DF1B040">
      <w:pPr>
        <w:pStyle w:val="11"/>
        <w:numPr>
          <w:ilvl w:val="0"/>
          <w:numId w:val="2"/>
        </w:numPr>
        <w:spacing w:line="560" w:lineRule="exact"/>
        <w:ind w:left="0" w:firstLine="420" w:firstLineChars="0"/>
        <w:rPr>
          <w:rFonts w:ascii="宋体" w:hAnsi="宋体"/>
          <w:szCs w:val="21"/>
        </w:rPr>
      </w:pPr>
      <w:r>
        <w:rPr>
          <w:rFonts w:hint="eastAsia" w:ascii="宋体" w:hAnsi="宋体"/>
          <w:color w:val="auto"/>
          <w:szCs w:val="21"/>
        </w:rPr>
        <w:t>垃圾清运：道路保洁、废物箱清理、水域保洁以及绿化修剪</w:t>
      </w:r>
      <w:r>
        <w:rPr>
          <w:rFonts w:hint="eastAsia" w:ascii="宋体" w:hAnsi="宋体"/>
          <w:szCs w:val="21"/>
        </w:rPr>
        <w:t>等产生的各类废弃物清运工作。养护作业产生的垃圾集中堆放不过夜，做到“日产日清”。核心区域绿化内白色垃圾20分钟内清除，其它绿化内白色垃圾30分钟内清除。按照本市垃圾分类清运相关规定，落实环卫专用车辆对区域内产生的干垃圾、湿垃圾、有害垃圾等实施分类清运；严格落实日产日清及规范作业要求，确保区域内环境整洁，无垃圾积存现象。</w:t>
      </w:r>
    </w:p>
    <w:p w14:paraId="1D11B1E7">
      <w:pPr>
        <w:pStyle w:val="11"/>
        <w:numPr>
          <w:ilvl w:val="0"/>
          <w:numId w:val="2"/>
        </w:numPr>
        <w:spacing w:line="560" w:lineRule="exact"/>
        <w:ind w:left="0" w:firstLine="420" w:firstLineChars="0"/>
        <w:rPr>
          <w:rFonts w:ascii="宋体" w:hAnsi="宋体"/>
          <w:szCs w:val="21"/>
        </w:rPr>
      </w:pPr>
      <w:r>
        <w:rPr>
          <w:rFonts w:hint="eastAsia" w:ascii="宋体" w:hAnsi="宋体"/>
          <w:szCs w:val="21"/>
        </w:rPr>
        <w:t>公厕保洁：</w:t>
      </w:r>
      <w:r>
        <w:rPr>
          <w:rFonts w:hint="eastAsia" w:ascii="宋体" w:hAnsi="宋体"/>
          <w:color w:val="auto"/>
          <w:szCs w:val="21"/>
        </w:rPr>
        <w:t>夏阳湖保洁等级一类公厕1座，开放时间为5:30-22:00（夏秋），6:00-21:30（春冬），崧泽广场保洁等级二类公厕1座，开放时间为5:30-22:00（夏秋），6:00-21:30（春冬）。</w:t>
      </w:r>
      <w:r>
        <w:rPr>
          <w:rFonts w:hint="eastAsia" w:ascii="宋体" w:hAnsi="宋体"/>
          <w:szCs w:val="21"/>
        </w:rPr>
        <w:t>公厕按照本市《公共厕所保洁质量和服务要求》（DB31/T525-2011），对应公厕等级实施管理保洁。公厕外墙周围5米范围内应保持整洁，无“六乱”现象，无各类污迹，公厕标志牌、标识牌等规范设置。公厕落实专人管理，厕内环境整洁、无异味，各类设施完好、无积污、积尘等现象，便民利民措施落实到位。</w:t>
      </w:r>
    </w:p>
    <w:p w14:paraId="20FD0064">
      <w:pPr>
        <w:pStyle w:val="11"/>
        <w:numPr>
          <w:ilvl w:val="0"/>
          <w:numId w:val="2"/>
        </w:numPr>
        <w:spacing w:line="560" w:lineRule="exact"/>
        <w:ind w:left="0" w:firstLine="420" w:firstLineChars="0"/>
        <w:rPr>
          <w:rFonts w:ascii="仿宋" w:hAnsi="仿宋" w:eastAsia="仿宋"/>
          <w:sz w:val="32"/>
          <w:szCs w:val="32"/>
        </w:rPr>
      </w:pPr>
      <w:r>
        <w:rPr>
          <w:rFonts w:ascii="宋体" w:hAnsi="宋体"/>
          <w:szCs w:val="21"/>
        </w:rPr>
        <w:t>须符合招标需求并符合</w:t>
      </w:r>
      <w:r>
        <w:rPr>
          <w:rFonts w:hint="eastAsia" w:ascii="宋体" w:hAnsi="宋体"/>
          <w:szCs w:val="21"/>
        </w:rPr>
        <w:t>《青浦区环卫作业市场化指导意见（试行）的通知》（青浦绿容{</w:t>
      </w:r>
      <w:r>
        <w:rPr>
          <w:rFonts w:ascii="宋体" w:hAnsi="宋体"/>
          <w:szCs w:val="21"/>
        </w:rPr>
        <w:t>2017</w:t>
      </w:r>
      <w:r>
        <w:rPr>
          <w:rFonts w:hint="eastAsia" w:ascii="宋体" w:hAnsi="宋体"/>
          <w:szCs w:val="21"/>
        </w:rPr>
        <w:t>}</w:t>
      </w:r>
      <w:r>
        <w:rPr>
          <w:rFonts w:ascii="宋体" w:hAnsi="宋体"/>
          <w:szCs w:val="21"/>
        </w:rPr>
        <w:t>68号</w:t>
      </w:r>
      <w:r>
        <w:rPr>
          <w:rFonts w:hint="eastAsia" w:ascii="宋体" w:hAnsi="宋体"/>
          <w:szCs w:val="21"/>
        </w:rPr>
        <w:t>）等规定的人员、装备要求：</w:t>
      </w:r>
    </w:p>
    <w:p w14:paraId="29989EB8">
      <w:pPr>
        <w:pStyle w:val="11"/>
        <w:numPr>
          <w:ilvl w:val="0"/>
          <w:numId w:val="0"/>
        </w:numPr>
        <w:spacing w:line="560" w:lineRule="exact"/>
        <w:ind w:firstLine="420" w:firstLineChars="200"/>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rPr>
        <w:t>企业自有车辆配置数为路面清扫车不少于</w:t>
      </w:r>
      <w:r>
        <w:rPr>
          <w:rFonts w:hint="eastAsia" w:ascii="宋体" w:hAnsi="宋体"/>
          <w:color w:val="auto"/>
          <w:szCs w:val="21"/>
          <w:lang w:val="en-US" w:eastAsia="zh-CN"/>
        </w:rPr>
        <w:t>4</w:t>
      </w:r>
      <w:r>
        <w:rPr>
          <w:rFonts w:hint="eastAsia" w:ascii="宋体" w:hAnsi="宋体"/>
          <w:color w:val="auto"/>
          <w:szCs w:val="21"/>
        </w:rPr>
        <w:t>辆（吨位不小于3吨）、冲洗车不少于</w:t>
      </w:r>
      <w:r>
        <w:rPr>
          <w:rFonts w:hint="eastAsia" w:ascii="宋体" w:hAnsi="宋体"/>
          <w:color w:val="auto"/>
          <w:szCs w:val="21"/>
          <w:lang w:val="en-US" w:eastAsia="zh-CN"/>
        </w:rPr>
        <w:t>2</w:t>
      </w:r>
      <w:r>
        <w:rPr>
          <w:rFonts w:hint="eastAsia" w:ascii="宋体" w:hAnsi="宋体"/>
          <w:color w:val="auto"/>
          <w:szCs w:val="21"/>
        </w:rPr>
        <w:t>辆(吨位不小于</w:t>
      </w:r>
      <w:r>
        <w:rPr>
          <w:rFonts w:hint="eastAsia" w:ascii="宋体" w:hAnsi="宋体"/>
          <w:color w:val="auto"/>
          <w:szCs w:val="21"/>
          <w:lang w:val="en-US" w:eastAsia="zh-CN"/>
        </w:rPr>
        <w:t>5</w:t>
      </w:r>
      <w:r>
        <w:rPr>
          <w:rFonts w:hint="eastAsia" w:ascii="宋体" w:hAnsi="宋体"/>
          <w:color w:val="auto"/>
          <w:szCs w:val="21"/>
        </w:rPr>
        <w:t>吨）、道班冲洗车不少于</w:t>
      </w:r>
      <w:r>
        <w:rPr>
          <w:rFonts w:hint="eastAsia" w:ascii="宋体" w:hAnsi="宋体"/>
          <w:color w:val="auto"/>
          <w:szCs w:val="21"/>
          <w:lang w:val="en-US" w:eastAsia="zh-CN"/>
        </w:rPr>
        <w:t>10</w:t>
      </w:r>
      <w:r>
        <w:rPr>
          <w:rFonts w:hint="eastAsia" w:ascii="宋体" w:hAnsi="宋体"/>
          <w:color w:val="auto"/>
          <w:szCs w:val="21"/>
        </w:rPr>
        <w:t>辆（吨位不小于</w:t>
      </w:r>
      <w:r>
        <w:rPr>
          <w:rFonts w:hint="eastAsia" w:ascii="宋体" w:hAnsi="宋体"/>
          <w:color w:val="auto"/>
          <w:szCs w:val="21"/>
          <w:lang w:val="en-US" w:eastAsia="zh-CN"/>
        </w:rPr>
        <w:t>1</w:t>
      </w:r>
      <w:r>
        <w:rPr>
          <w:rFonts w:hint="eastAsia" w:ascii="宋体" w:hAnsi="宋体"/>
          <w:color w:val="auto"/>
          <w:szCs w:val="21"/>
        </w:rPr>
        <w:t>吨），上述三类车型中自有新能源车辆不少于2辆，巡回保洁车（三轮电动车）不少于</w:t>
      </w:r>
      <w:r>
        <w:rPr>
          <w:rFonts w:hint="eastAsia" w:ascii="宋体" w:hAnsi="宋体"/>
          <w:color w:val="auto"/>
          <w:szCs w:val="21"/>
          <w:lang w:val="en-US" w:eastAsia="zh-CN"/>
        </w:rPr>
        <w:t>20</w:t>
      </w:r>
      <w:r>
        <w:rPr>
          <w:rFonts w:hint="eastAsia" w:ascii="宋体" w:hAnsi="宋体"/>
          <w:color w:val="auto"/>
          <w:szCs w:val="21"/>
        </w:rPr>
        <w:t>辆。</w:t>
      </w:r>
    </w:p>
    <w:p w14:paraId="6D573CA5">
      <w:pPr>
        <w:pStyle w:val="11"/>
        <w:numPr>
          <w:ilvl w:val="0"/>
          <w:numId w:val="0"/>
        </w:numPr>
        <w:spacing w:line="560" w:lineRule="exact"/>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企业自有河道保洁船不少于1艘（提供所有权证书），驾驶员具有船舶驾驶证书。</w:t>
      </w:r>
    </w:p>
    <w:p w14:paraId="3C5256E8">
      <w:pPr>
        <w:pStyle w:val="11"/>
        <w:numPr>
          <w:ilvl w:val="0"/>
          <w:numId w:val="2"/>
        </w:numPr>
        <w:spacing w:line="560" w:lineRule="exact"/>
        <w:ind w:left="0" w:firstLine="420" w:firstLineChars="0"/>
        <w:rPr>
          <w:rFonts w:ascii="宋体" w:hAnsi="宋体"/>
          <w:szCs w:val="21"/>
        </w:rPr>
      </w:pPr>
      <w:r>
        <w:rPr>
          <w:rFonts w:hint="eastAsia" w:ascii="宋体" w:hAnsi="宋体"/>
          <w:szCs w:val="21"/>
        </w:rPr>
        <w:t>自愿接受管理部门日常监督，区域内发生重大应急保障工作必须无条件服从建设单位，保洁质量与作业经费实行考核挂钩，确保作业保洁达到标准要求。</w:t>
      </w:r>
    </w:p>
    <w:p w14:paraId="60484991">
      <w:pPr>
        <w:spacing w:line="560" w:lineRule="exact"/>
        <w:ind w:firstLine="420" w:firstLineChars="200"/>
        <w:rPr>
          <w:rFonts w:hint="eastAsia" w:ascii="宋体" w:hAnsi="宋体"/>
          <w:szCs w:val="21"/>
        </w:rPr>
      </w:pPr>
      <w:r>
        <w:rPr>
          <w:rFonts w:hint="eastAsia" w:ascii="宋体" w:hAnsi="宋体"/>
          <w:szCs w:val="21"/>
        </w:rPr>
        <w:t>★投标人需承诺在中标后持服务合同和相关材料向绿化市容行政管理部门取得（生活垃圾清扫陆域范围、水域范围）经营性服务许可证书。</w:t>
      </w:r>
    </w:p>
    <w:p w14:paraId="4446304F">
      <w:pPr>
        <w:widowControl/>
        <w:spacing w:line="560" w:lineRule="exact"/>
        <w:ind w:firstLine="422" w:firstLineChars="200"/>
        <w:jc w:val="left"/>
        <w:rPr>
          <w:rFonts w:hint="eastAsia" w:ascii="宋体" w:hAnsi="宋体"/>
          <w:b/>
          <w:kern w:val="0"/>
          <w:szCs w:val="21"/>
        </w:rPr>
      </w:pPr>
      <w:r>
        <w:rPr>
          <w:rFonts w:hint="eastAsia" w:ascii="宋体" w:hAnsi="宋体"/>
          <w:b/>
          <w:kern w:val="0"/>
          <w:szCs w:val="21"/>
        </w:rPr>
        <w:t>四、人员配置要求</w:t>
      </w:r>
    </w:p>
    <w:p w14:paraId="12B82A10">
      <w:pPr>
        <w:spacing w:line="500" w:lineRule="exact"/>
        <w:ind w:firstLine="420" w:firstLineChars="200"/>
        <w:rPr>
          <w:rFonts w:ascii="宋体" w:hAnsi="宋体" w:cs="仿宋"/>
          <w:szCs w:val="21"/>
        </w:rPr>
      </w:pPr>
      <w:r>
        <w:rPr>
          <w:rFonts w:hint="eastAsia" w:ascii="宋体" w:hAnsi="宋体" w:cs="仿宋"/>
          <w:szCs w:val="21"/>
        </w:rPr>
        <w:t>凡中标企业应按作业任务量所需合理配置一线作业人员；项目负责人综合能力强、管理经验丰富、重要岗位人员持证上岗。</w:t>
      </w:r>
    </w:p>
    <w:p w14:paraId="03B26DE9">
      <w:pPr>
        <w:widowControl/>
        <w:spacing w:line="560" w:lineRule="exact"/>
        <w:ind w:firstLine="422" w:firstLineChars="200"/>
        <w:jc w:val="left"/>
        <w:rPr>
          <w:rFonts w:hint="eastAsia" w:ascii="宋体" w:hAnsi="宋体"/>
          <w:b/>
          <w:kern w:val="0"/>
          <w:szCs w:val="21"/>
        </w:rPr>
      </w:pPr>
      <w:r>
        <w:rPr>
          <w:rFonts w:hint="eastAsia" w:ascii="宋体" w:hAnsi="宋体"/>
          <w:b/>
          <w:kern w:val="0"/>
          <w:szCs w:val="21"/>
        </w:rPr>
        <w:t>五、作业标准</w:t>
      </w:r>
    </w:p>
    <w:p w14:paraId="1D744A60">
      <w:pPr>
        <w:widowControl/>
        <w:spacing w:line="360" w:lineRule="auto"/>
        <w:ind w:firstLine="420" w:firstLineChars="200"/>
        <w:jc w:val="left"/>
        <w:rPr>
          <w:rFonts w:ascii="宋体" w:hAnsi="宋体"/>
          <w:bCs/>
          <w:kern w:val="0"/>
          <w:szCs w:val="21"/>
        </w:rPr>
      </w:pPr>
      <w:r>
        <w:rPr>
          <w:rFonts w:hint="eastAsia" w:ascii="宋体" w:hAnsi="宋体"/>
          <w:bCs/>
          <w:kern w:val="0"/>
          <w:szCs w:val="21"/>
        </w:rPr>
        <w:t>（一）道路保洁</w:t>
      </w:r>
    </w:p>
    <w:p w14:paraId="5340F4B1">
      <w:pPr>
        <w:widowControl/>
        <w:spacing w:line="360" w:lineRule="auto"/>
        <w:ind w:firstLine="420" w:firstLineChars="200"/>
        <w:jc w:val="left"/>
        <w:rPr>
          <w:rFonts w:ascii="宋体" w:hAnsi="宋体"/>
          <w:bCs/>
          <w:kern w:val="0"/>
          <w:szCs w:val="21"/>
        </w:rPr>
      </w:pPr>
      <w:r>
        <w:rPr>
          <w:rFonts w:hint="eastAsia" w:ascii="宋体" w:hAnsi="宋体"/>
          <w:bCs/>
          <w:kern w:val="0"/>
          <w:szCs w:val="21"/>
        </w:rPr>
        <w:t>1、参照《上海市道路和公共广场及附属公共设施保洁质量和服务要求》（DB31/T524-2011），对区域道路按照“六清”、“四无”、“二洁”、“一通”要求实施全方位保洁（六清即：路面清、人行道清、沟底清、墙脚清、树根清、隔离障清；四无即：无小堆垃圾、无废弃砖石、无积存污水、无漏扫；二洁即：车辆、工具完好整洁，废物箱内外整洁；一通即：窨井沟眼通）。</w:t>
      </w:r>
    </w:p>
    <w:p w14:paraId="0D26CB70">
      <w:pPr>
        <w:widowControl/>
        <w:spacing w:line="360" w:lineRule="auto"/>
        <w:ind w:firstLine="420" w:firstLineChars="200"/>
        <w:jc w:val="left"/>
        <w:rPr>
          <w:rFonts w:ascii="宋体" w:hAnsi="宋体"/>
          <w:bCs/>
          <w:kern w:val="0"/>
          <w:szCs w:val="21"/>
        </w:rPr>
      </w:pPr>
      <w:r>
        <w:rPr>
          <w:rFonts w:hint="eastAsia" w:ascii="宋体" w:hAnsi="宋体"/>
          <w:bCs/>
          <w:kern w:val="0"/>
          <w:szCs w:val="21"/>
        </w:rPr>
        <w:t>2、一类道路每天保洁作业时间不少于18小时，机械化清扫、冲洗覆盖率100%，路面、非机动车道、人行道机械清扫每天不少4次、路面冲洗不少于4次；二类道路每天保洁时间不少于16小时，机械化清扫、冲洗覆盖率100%，路面、非机动车道、人行道机械清扫每天不少3次、路面冲洗不少于3次；三类道路每天保洁作业时间不少于12小时，机械化清扫、冲洗覆盖率100%，路面、非机动车道、人行道机械清扫每天不少2次、路面冲洗不少于2次；一、二、三类道路均视情况增加作业频次。　　</w:t>
      </w:r>
    </w:p>
    <w:p w14:paraId="4250D57F">
      <w:pPr>
        <w:widowControl/>
        <w:spacing w:line="360" w:lineRule="auto"/>
        <w:ind w:firstLine="420" w:firstLineChars="200"/>
        <w:jc w:val="left"/>
        <w:rPr>
          <w:rFonts w:ascii="宋体" w:hAnsi="宋体"/>
          <w:bCs/>
          <w:kern w:val="0"/>
          <w:szCs w:val="21"/>
        </w:rPr>
      </w:pPr>
      <w:r>
        <w:rPr>
          <w:rFonts w:hint="eastAsia" w:ascii="宋体" w:hAnsi="宋体"/>
          <w:bCs/>
          <w:kern w:val="0"/>
          <w:szCs w:val="21"/>
        </w:rPr>
        <w:t>3、道路巡回保洁机械化作业全覆盖，一类道路地面散在性垃圾落地20分钟内清除；二类道路30分钟内清除；三类道路45分钟内清除。</w:t>
      </w:r>
    </w:p>
    <w:p w14:paraId="5B0E646E">
      <w:pPr>
        <w:widowControl/>
        <w:spacing w:line="360" w:lineRule="auto"/>
        <w:ind w:firstLine="420" w:firstLineChars="200"/>
        <w:jc w:val="left"/>
        <w:rPr>
          <w:rFonts w:ascii="宋体" w:hAnsi="宋体"/>
          <w:bCs/>
          <w:kern w:val="0"/>
          <w:szCs w:val="21"/>
        </w:rPr>
      </w:pPr>
      <w:r>
        <w:rPr>
          <w:rFonts w:hint="eastAsia" w:ascii="宋体" w:hAnsi="宋体"/>
          <w:bCs/>
          <w:kern w:val="0"/>
          <w:szCs w:val="21"/>
        </w:rPr>
        <w:t>4、道路废物箱内垃圾存放容器实行套袋管理，干垃圾、可回收物应做到分类收集，确保箱体无满溢现象。一类道路废物箱箱体实行每天清洗保洁；二类道路废物箱每周清洗保洁不少于2次、三类道路每周清洗保洁1次；</w:t>
      </w:r>
    </w:p>
    <w:p w14:paraId="7887937C">
      <w:pPr>
        <w:widowControl/>
        <w:spacing w:line="360" w:lineRule="auto"/>
        <w:ind w:firstLine="420" w:firstLineChars="200"/>
        <w:jc w:val="left"/>
        <w:rPr>
          <w:rFonts w:ascii="宋体" w:hAnsi="宋体"/>
          <w:bCs/>
          <w:kern w:val="0"/>
          <w:szCs w:val="21"/>
        </w:rPr>
      </w:pPr>
      <w:r>
        <w:rPr>
          <w:rFonts w:hint="eastAsia" w:ascii="宋体" w:hAnsi="宋体"/>
          <w:bCs/>
          <w:kern w:val="0"/>
          <w:szCs w:val="21"/>
        </w:rPr>
        <w:t>5、一类道路及两侧产生的装潢垃圾、大件垃圾、偷乱倒垃圾等成堆暴露垃圾2小时内清除；二类道路4小时内清除；三类道路8小时内清除。</w:t>
      </w:r>
    </w:p>
    <w:p w14:paraId="1A32621A">
      <w:pPr>
        <w:widowControl/>
        <w:spacing w:line="360" w:lineRule="auto"/>
        <w:ind w:firstLine="420" w:firstLineChars="200"/>
        <w:jc w:val="left"/>
        <w:rPr>
          <w:rFonts w:ascii="宋体" w:hAnsi="宋体"/>
          <w:bCs/>
          <w:kern w:val="0"/>
          <w:szCs w:val="21"/>
        </w:rPr>
      </w:pPr>
      <w:r>
        <w:rPr>
          <w:rFonts w:hint="eastAsia" w:ascii="宋体" w:hAnsi="宋体"/>
          <w:bCs/>
          <w:kern w:val="0"/>
          <w:szCs w:val="21"/>
        </w:rPr>
        <w:t>（二）绿化养护</w:t>
      </w:r>
    </w:p>
    <w:p w14:paraId="22BF6449">
      <w:pPr>
        <w:widowControl/>
        <w:spacing w:line="360" w:lineRule="auto"/>
        <w:ind w:firstLine="420" w:firstLineChars="200"/>
        <w:jc w:val="left"/>
        <w:rPr>
          <w:rFonts w:ascii="宋体" w:hAnsi="宋体"/>
          <w:bCs/>
          <w:color w:val="auto"/>
          <w:kern w:val="0"/>
          <w:szCs w:val="21"/>
        </w:rPr>
      </w:pPr>
      <w:r>
        <w:rPr>
          <w:rFonts w:hint="eastAsia" w:ascii="宋体" w:hAnsi="宋体"/>
          <w:bCs/>
          <w:color w:val="auto"/>
          <w:kern w:val="0"/>
          <w:szCs w:val="21"/>
        </w:rPr>
        <w:t>1、</w:t>
      </w:r>
      <w:r>
        <w:rPr>
          <w:rFonts w:hint="eastAsia" w:asciiTheme="minorEastAsia" w:hAnsiTheme="minorEastAsia" w:eastAsiaTheme="minorEastAsia"/>
          <w:color w:val="auto"/>
          <w:szCs w:val="21"/>
        </w:rPr>
        <w:t>按照</w:t>
      </w:r>
      <w:r>
        <w:rPr>
          <w:rFonts w:hint="eastAsia" w:asciiTheme="minorEastAsia" w:hAnsiTheme="minorEastAsia" w:eastAsiaTheme="minorEastAsia"/>
          <w:color w:val="auto"/>
          <w:kern w:val="0"/>
          <w:szCs w:val="21"/>
        </w:rPr>
        <w:t>《园林绿化植物栽植技术规程》DG/TJ 08-18-2011(2019)、</w:t>
      </w:r>
      <w:r>
        <w:rPr>
          <w:rFonts w:hint="eastAsia" w:asciiTheme="minorEastAsia" w:hAnsiTheme="minorEastAsia" w:eastAsiaTheme="minorEastAsia"/>
          <w:color w:val="auto"/>
          <w:szCs w:val="21"/>
        </w:rPr>
        <w:t>《园林绿化养护标准》（DG/TJ08-19-2023）、</w:t>
      </w:r>
      <w:r>
        <w:rPr>
          <w:rFonts w:hint="eastAsia" w:asciiTheme="minorEastAsia" w:hAnsiTheme="minorEastAsia" w:eastAsiaTheme="minorEastAsia"/>
          <w:color w:val="auto"/>
          <w:kern w:val="0"/>
          <w:szCs w:val="21"/>
        </w:rPr>
        <w:t>《绿化植物保护技术规程》DG/TJ 08-35-2014、《园林绿化栽植土质量标准》DG/TJ 08-231-2021、《园林绿化草坪建植和养护技术规程》DG/TJ 08-67-2015(2023)</w:t>
      </w:r>
      <w:r>
        <w:rPr>
          <w:rFonts w:hint="eastAsia" w:asciiTheme="minorEastAsia" w:hAnsiTheme="minorEastAsia" w:eastAsiaTheme="minorEastAsia"/>
          <w:color w:val="auto"/>
          <w:szCs w:val="21"/>
        </w:rPr>
        <w:t>等标准，</w:t>
      </w:r>
      <w:r>
        <w:rPr>
          <w:rFonts w:hint="eastAsia" w:ascii="宋体" w:hAnsi="宋体"/>
          <w:bCs/>
          <w:color w:val="auto"/>
          <w:kern w:val="0"/>
          <w:szCs w:val="21"/>
        </w:rPr>
        <w:t>对公共绿地和行道树实施管养。</w:t>
      </w:r>
    </w:p>
    <w:p w14:paraId="399C1C60">
      <w:pPr>
        <w:widowControl/>
        <w:spacing w:line="360" w:lineRule="auto"/>
        <w:ind w:firstLine="420" w:firstLineChars="200"/>
        <w:jc w:val="left"/>
        <w:rPr>
          <w:rFonts w:ascii="宋体" w:hAnsi="宋体"/>
          <w:bCs/>
          <w:kern w:val="0"/>
          <w:szCs w:val="21"/>
        </w:rPr>
      </w:pPr>
      <w:r>
        <w:rPr>
          <w:rFonts w:hint="eastAsia" w:ascii="宋体" w:hAnsi="宋体"/>
          <w:bCs/>
          <w:kern w:val="0"/>
          <w:szCs w:val="21"/>
        </w:rPr>
        <w:t>2、植物长势良好、无死株（濒死株）、无病虫害、无明显杂草、无石砾、无白色垃圾和陈旧性垃圾、无影响绿化景观的其他附属物（无乱晾晒、乱悬挂、乱绑扎、乱设置、乱张贴以及已损坏的树木支撑物、绑扎物等），</w:t>
      </w:r>
    </w:p>
    <w:p w14:paraId="546DA608">
      <w:pPr>
        <w:widowControl/>
        <w:spacing w:line="360" w:lineRule="auto"/>
        <w:ind w:firstLine="420" w:firstLineChars="200"/>
        <w:jc w:val="left"/>
        <w:rPr>
          <w:rFonts w:ascii="宋体" w:hAnsi="宋体"/>
          <w:bCs/>
          <w:kern w:val="0"/>
          <w:szCs w:val="21"/>
        </w:rPr>
      </w:pPr>
      <w:r>
        <w:rPr>
          <w:rFonts w:hint="eastAsia" w:ascii="宋体" w:hAnsi="宋体"/>
          <w:bCs/>
          <w:kern w:val="0"/>
          <w:szCs w:val="21"/>
        </w:rPr>
        <w:t>3、养护作业产生的垃圾集中堆放不过夜，做到“日产日清”。核心区域绿化内白色垃圾20分钟内清除，其它绿化内白色垃圾30分钟内清除。</w:t>
      </w:r>
    </w:p>
    <w:p w14:paraId="277268C2">
      <w:pPr>
        <w:widowControl/>
        <w:spacing w:line="360" w:lineRule="auto"/>
        <w:ind w:firstLine="420" w:firstLineChars="200"/>
        <w:jc w:val="left"/>
        <w:rPr>
          <w:rFonts w:ascii="宋体" w:hAnsi="宋体"/>
          <w:bCs/>
          <w:color w:val="auto"/>
          <w:kern w:val="0"/>
          <w:szCs w:val="21"/>
        </w:rPr>
      </w:pPr>
      <w:r>
        <w:rPr>
          <w:rFonts w:hint="eastAsia" w:ascii="宋体" w:hAnsi="宋体"/>
          <w:bCs/>
          <w:color w:val="auto"/>
          <w:kern w:val="0"/>
          <w:szCs w:val="21"/>
        </w:rPr>
        <w:t>4、按照</w:t>
      </w:r>
      <w:r>
        <w:rPr>
          <w:rFonts w:hint="eastAsia" w:ascii="宋体" w:hAnsi="宋体"/>
          <w:color w:val="auto"/>
          <w:szCs w:val="21"/>
        </w:rPr>
        <w:t>一级绿地及公园养护标准配备养护人员</w:t>
      </w:r>
      <w:r>
        <w:rPr>
          <w:rFonts w:hint="eastAsia" w:ascii="宋体" w:hAnsi="宋体"/>
          <w:bCs/>
          <w:color w:val="auto"/>
          <w:kern w:val="0"/>
          <w:szCs w:val="21"/>
        </w:rPr>
        <w:t>配备养护人员，配备满足需要的修剪工具、深根施肥机、打洞机等养护作业机具。</w:t>
      </w:r>
    </w:p>
    <w:p w14:paraId="4E0365C3">
      <w:pPr>
        <w:widowControl/>
        <w:spacing w:line="360" w:lineRule="auto"/>
        <w:ind w:firstLine="420" w:firstLineChars="200"/>
        <w:jc w:val="left"/>
        <w:rPr>
          <w:rFonts w:ascii="宋体" w:hAnsi="宋体"/>
          <w:bCs/>
          <w:kern w:val="0"/>
          <w:szCs w:val="21"/>
        </w:rPr>
      </w:pPr>
      <w:r>
        <w:rPr>
          <w:rFonts w:hint="eastAsia" w:ascii="宋体" w:hAnsi="宋体"/>
          <w:bCs/>
          <w:kern w:val="0"/>
          <w:szCs w:val="21"/>
        </w:rPr>
        <w:t>（三）水域保洁</w:t>
      </w:r>
    </w:p>
    <w:p w14:paraId="404B5A20">
      <w:pPr>
        <w:widowControl/>
        <w:spacing w:line="360" w:lineRule="auto"/>
        <w:ind w:firstLine="420" w:firstLineChars="200"/>
        <w:jc w:val="left"/>
        <w:rPr>
          <w:rFonts w:ascii="宋体" w:hAnsi="宋体"/>
          <w:bCs/>
          <w:kern w:val="0"/>
          <w:szCs w:val="21"/>
        </w:rPr>
      </w:pPr>
      <w:r>
        <w:rPr>
          <w:rFonts w:hint="eastAsia" w:ascii="宋体" w:hAnsi="宋体"/>
          <w:bCs/>
          <w:kern w:val="0"/>
          <w:szCs w:val="21"/>
        </w:rPr>
        <w:t>1、按照水域保洁作业“六不、五要、七无、七净”要求实施保洁，即“六不”：普遍保洁不留有死角，不往下游水域驱放漂浮垃圾（含水生植物），河道不向岸坡堆放保洁垃圾，陆域不向河道内赶扫垃圾，保洁垃圾（含水生植物）不乱倒、不焚烧垃圾。“五要”：要按规定时间保洁工作，要在作业时着装整洁，要文明服务，要及时规范处理保洁垃圾，要注意安全。“七无”：水面无漂浮物聚集、水体无废气沉船和枯树烂枝、无人畜粪便排放水体、无沿岸垃圾倾倒水体、无泥浆建筑垃圾偷倒水体、沿岸无乱凉晒乱吊挂、河岸景观休闲区和城市雕塑无乱写乱画。“七净”：水面净、坡岸净、绿化带净、跨河设施净、观瞻设施净、水域范围建构筑物净、观景休闲区域地面净。</w:t>
      </w:r>
    </w:p>
    <w:p w14:paraId="4E71FF6E">
      <w:pPr>
        <w:widowControl/>
        <w:spacing w:line="360" w:lineRule="auto"/>
        <w:ind w:firstLine="420" w:firstLineChars="200"/>
        <w:jc w:val="left"/>
        <w:rPr>
          <w:rFonts w:ascii="宋体" w:hAnsi="宋体"/>
          <w:bCs/>
          <w:kern w:val="0"/>
          <w:szCs w:val="21"/>
        </w:rPr>
      </w:pPr>
      <w:r>
        <w:rPr>
          <w:rFonts w:hint="eastAsia" w:ascii="宋体" w:hAnsi="宋体"/>
          <w:bCs/>
          <w:kern w:val="0"/>
          <w:szCs w:val="21"/>
        </w:rPr>
        <w:t>2、水域实行定人定段管理保洁，河面及河岸清理保洁每天不少于1次。</w:t>
      </w:r>
    </w:p>
    <w:p w14:paraId="53B964A1">
      <w:pPr>
        <w:widowControl/>
        <w:spacing w:line="360" w:lineRule="auto"/>
        <w:ind w:firstLine="420" w:firstLineChars="200"/>
        <w:jc w:val="left"/>
        <w:rPr>
          <w:rFonts w:ascii="宋体" w:hAnsi="宋体"/>
          <w:bCs/>
          <w:kern w:val="0"/>
          <w:szCs w:val="21"/>
        </w:rPr>
      </w:pPr>
      <w:r>
        <w:rPr>
          <w:rFonts w:hint="eastAsia" w:ascii="宋体" w:hAnsi="宋体"/>
          <w:bCs/>
          <w:kern w:val="0"/>
          <w:szCs w:val="21"/>
        </w:rPr>
        <w:t>（四）垃圾清运</w:t>
      </w:r>
    </w:p>
    <w:p w14:paraId="613A515C">
      <w:pPr>
        <w:widowControl/>
        <w:spacing w:line="360" w:lineRule="auto"/>
        <w:ind w:firstLine="420" w:firstLineChars="200"/>
        <w:jc w:val="left"/>
        <w:rPr>
          <w:rFonts w:ascii="宋体" w:hAnsi="宋体"/>
          <w:bCs/>
          <w:kern w:val="0"/>
          <w:szCs w:val="21"/>
        </w:rPr>
      </w:pPr>
      <w:r>
        <w:rPr>
          <w:rFonts w:hint="eastAsia" w:ascii="宋体" w:hAnsi="宋体"/>
          <w:bCs/>
          <w:kern w:val="0"/>
          <w:szCs w:val="21"/>
        </w:rPr>
        <w:t>按照垃圾分类要求做好区域公共部位生活垃圾、暴露垃圾、绿化枯枝、水域垃圾等各类垃圾清理，严格落实日产日清及规范作业要求，确保区域内环境整洁，无垃圾积存现象。</w:t>
      </w:r>
    </w:p>
    <w:p w14:paraId="2DC52267">
      <w:pPr>
        <w:widowControl/>
        <w:spacing w:line="360" w:lineRule="auto"/>
        <w:ind w:firstLine="420" w:firstLineChars="200"/>
        <w:jc w:val="left"/>
        <w:rPr>
          <w:rFonts w:ascii="宋体" w:hAnsi="宋体"/>
          <w:bCs/>
          <w:kern w:val="0"/>
          <w:szCs w:val="21"/>
        </w:rPr>
      </w:pPr>
      <w:r>
        <w:rPr>
          <w:rFonts w:hint="eastAsia" w:ascii="宋体" w:hAnsi="宋体"/>
          <w:bCs/>
          <w:kern w:val="0"/>
          <w:szCs w:val="21"/>
        </w:rPr>
        <w:t>（五）公厕管理保洁</w:t>
      </w:r>
    </w:p>
    <w:p w14:paraId="26290E37">
      <w:pPr>
        <w:widowControl/>
        <w:spacing w:line="360" w:lineRule="auto"/>
        <w:ind w:firstLine="420" w:firstLineChars="200"/>
        <w:jc w:val="left"/>
        <w:rPr>
          <w:rFonts w:ascii="宋体" w:hAnsi="宋体"/>
          <w:bCs/>
          <w:kern w:val="0"/>
          <w:szCs w:val="21"/>
        </w:rPr>
      </w:pPr>
      <w:r>
        <w:rPr>
          <w:rFonts w:hint="eastAsia" w:ascii="宋体" w:hAnsi="宋体"/>
          <w:bCs/>
          <w:kern w:val="0"/>
          <w:szCs w:val="21"/>
        </w:rPr>
        <w:t>1、公厕外墙周围5米范围内应保持整洁，无“六乱”现象，无各类污迹，公厕标志牌、标识牌等规范设置。</w:t>
      </w:r>
    </w:p>
    <w:p w14:paraId="63E55126">
      <w:pPr>
        <w:widowControl/>
        <w:spacing w:line="360" w:lineRule="auto"/>
        <w:ind w:firstLine="420" w:firstLineChars="200"/>
        <w:jc w:val="left"/>
        <w:rPr>
          <w:rFonts w:ascii="宋体" w:hAnsi="宋体"/>
          <w:bCs/>
          <w:kern w:val="0"/>
          <w:szCs w:val="21"/>
        </w:rPr>
      </w:pPr>
      <w:r>
        <w:rPr>
          <w:rFonts w:hint="eastAsia" w:ascii="宋体" w:hAnsi="宋体"/>
          <w:bCs/>
          <w:kern w:val="0"/>
          <w:szCs w:val="21"/>
        </w:rPr>
        <w:t>2、公厕落实专人管理，厕内环境整洁、无异味，各类设施完好、无积污、积尘等现象，便民利民措施落实到位。</w:t>
      </w:r>
    </w:p>
    <w:p w14:paraId="65F52BC4">
      <w:pPr>
        <w:widowControl/>
        <w:spacing w:line="500" w:lineRule="exact"/>
        <w:ind w:firstLine="420" w:firstLineChars="200"/>
        <w:jc w:val="left"/>
        <w:rPr>
          <w:rFonts w:hint="eastAsia" w:ascii="宋体" w:hAnsi="宋体"/>
          <w:bCs/>
          <w:kern w:val="0"/>
          <w:szCs w:val="21"/>
        </w:rPr>
      </w:pPr>
      <w:r>
        <w:rPr>
          <w:rFonts w:hint="eastAsia" w:ascii="宋体" w:hAnsi="宋体"/>
          <w:bCs/>
          <w:kern w:val="0"/>
          <w:szCs w:val="21"/>
        </w:rPr>
        <w:t>3、公厕实行免费开放，开放时间不少于12小时，并视季节变化以及公厕实际使用需求调整或延长开放时间。</w:t>
      </w:r>
    </w:p>
    <w:p w14:paraId="15E37B1F">
      <w:pPr>
        <w:widowControl/>
        <w:shd w:val="clear" w:color="auto"/>
        <w:spacing w:line="500" w:lineRule="exact"/>
        <w:ind w:firstLine="422" w:firstLineChars="200"/>
        <w:jc w:val="left"/>
        <w:rPr>
          <w:rFonts w:ascii="宋体" w:hAnsi="宋体" w:cs="仿宋"/>
          <w:bCs/>
          <w:kern w:val="0"/>
          <w:szCs w:val="21"/>
        </w:rPr>
      </w:pPr>
      <w:r>
        <w:rPr>
          <w:rFonts w:hint="eastAsia" w:ascii="宋体" w:hAnsi="宋体"/>
          <w:b/>
          <w:kern w:val="0"/>
          <w:szCs w:val="21"/>
        </w:rPr>
        <w:t>六、其他要求</w:t>
      </w:r>
    </w:p>
    <w:p w14:paraId="0FAC2089">
      <w:pPr>
        <w:widowControl/>
        <w:spacing w:line="500" w:lineRule="exact"/>
        <w:ind w:firstLine="447" w:firstLineChars="213"/>
        <w:jc w:val="left"/>
        <w:rPr>
          <w:rFonts w:ascii="宋体" w:hAnsi="宋体" w:cs="仿宋"/>
          <w:kern w:val="0"/>
          <w:szCs w:val="21"/>
        </w:rPr>
      </w:pPr>
      <w:r>
        <w:rPr>
          <w:rFonts w:hint="eastAsia" w:ascii="宋体" w:hAnsi="宋体" w:cs="仿宋"/>
          <w:kern w:val="0"/>
          <w:szCs w:val="21"/>
        </w:rPr>
        <w:t>1、</w:t>
      </w:r>
      <w:r>
        <w:rPr>
          <w:rFonts w:hint="eastAsia" w:ascii="宋体" w:hAnsi="宋体" w:cs="仿宋"/>
          <w:kern w:val="0"/>
          <w:szCs w:val="21"/>
        </w:rPr>
        <w:tab/>
      </w:r>
      <w:r>
        <w:rPr>
          <w:rFonts w:hint="eastAsia" w:ascii="宋体" w:hAnsi="宋体" w:cs="仿宋"/>
          <w:kern w:val="0"/>
          <w:szCs w:val="21"/>
        </w:rPr>
        <w:t>★投标人需承诺在中标后持服务合同和相关材料向绿化市容行政管理部门取得（承诺函格式自拟）：1）上海市各区绿化和市容管理局颁发的生活垃圾清扫（陆域范围）经营性服务许可证书；2）上海市各区绿化和市容管理局颁发的生活垃圾清扫（水域范围）经营性服务许可证书；</w:t>
      </w:r>
    </w:p>
    <w:p w14:paraId="71C009D2">
      <w:pPr>
        <w:widowControl/>
        <w:spacing w:line="500" w:lineRule="exact"/>
        <w:ind w:firstLine="447" w:firstLineChars="213"/>
        <w:jc w:val="left"/>
        <w:rPr>
          <w:rFonts w:ascii="宋体" w:hAnsi="宋体" w:cs="仿宋"/>
          <w:color w:val="auto"/>
          <w:kern w:val="0"/>
          <w:szCs w:val="21"/>
        </w:rPr>
      </w:pPr>
      <w:r>
        <w:rPr>
          <w:rFonts w:ascii="宋体" w:hAnsi="宋体" w:cs="仿宋"/>
          <w:color w:val="auto"/>
          <w:kern w:val="0"/>
          <w:szCs w:val="21"/>
        </w:rPr>
        <w:t>2</w:t>
      </w:r>
      <w:r>
        <w:rPr>
          <w:rFonts w:hint="eastAsia" w:ascii="宋体" w:hAnsi="宋体" w:cs="仿宋"/>
          <w:color w:val="auto"/>
          <w:kern w:val="0"/>
          <w:szCs w:val="21"/>
        </w:rPr>
        <w:t>、</w:t>
      </w:r>
      <w:r>
        <w:rPr>
          <w:rFonts w:hint="eastAsia" w:ascii="宋体" w:hAnsi="宋体"/>
          <w:color w:val="auto"/>
          <w:szCs w:val="21"/>
        </w:rPr>
        <w:t>绿化养护管理人员配备不得少于4人，其中项目负责人（园林专业中级或其以上职称）1人</w:t>
      </w:r>
      <w:r>
        <w:rPr>
          <w:rFonts w:hint="eastAsia" w:ascii="宋体" w:hAnsi="宋体" w:cs="宋体"/>
          <w:color w:val="auto"/>
          <w:kern w:val="0"/>
          <w:szCs w:val="21"/>
        </w:rPr>
        <w:t>（需提供开标日前六个月内任意一个月投标单位为其缴纳社保证明）</w:t>
      </w:r>
      <w:r>
        <w:rPr>
          <w:rFonts w:hint="eastAsia" w:ascii="宋体" w:hAnsi="宋体"/>
          <w:color w:val="auto"/>
          <w:szCs w:val="21"/>
        </w:rPr>
        <w:t>、安全员1人、质量员1人、材料员(取样员)1人。</w:t>
      </w:r>
      <w:r>
        <w:rPr>
          <w:rFonts w:hint="eastAsia" w:ascii="宋体" w:hAnsi="宋体" w:cs="宋体"/>
          <w:color w:val="auto"/>
          <w:kern w:val="0"/>
          <w:szCs w:val="21"/>
        </w:rPr>
        <w:t>（提供开标日前六个月内任意一个月投标单位为其缴纳社保证明）</w:t>
      </w:r>
      <w:r>
        <w:rPr>
          <w:rFonts w:hint="eastAsia" w:ascii="宋体" w:hAnsi="宋体"/>
          <w:color w:val="auto"/>
          <w:szCs w:val="21"/>
        </w:rPr>
        <w:t>。</w:t>
      </w:r>
    </w:p>
    <w:p w14:paraId="4C6DCFE0">
      <w:pPr>
        <w:widowControl/>
        <w:spacing w:line="500" w:lineRule="exact"/>
        <w:ind w:firstLine="447" w:firstLineChars="213"/>
        <w:jc w:val="left"/>
        <w:rPr>
          <w:rFonts w:ascii="宋体" w:hAnsi="宋体" w:cs="仿宋"/>
          <w:kern w:val="0"/>
          <w:szCs w:val="21"/>
        </w:rPr>
      </w:pPr>
      <w:r>
        <w:rPr>
          <w:rFonts w:hint="eastAsia" w:ascii="宋体" w:hAnsi="宋体" w:cs="仿宋"/>
          <w:kern w:val="0"/>
          <w:szCs w:val="21"/>
        </w:rPr>
        <w:t>3、企业自有车辆配置数为路面清扫车不少于</w:t>
      </w:r>
      <w:r>
        <w:rPr>
          <w:rFonts w:ascii="宋体" w:hAnsi="宋体" w:cs="仿宋"/>
          <w:kern w:val="0"/>
          <w:szCs w:val="21"/>
        </w:rPr>
        <w:t>4</w:t>
      </w:r>
      <w:r>
        <w:rPr>
          <w:rFonts w:hint="eastAsia" w:ascii="宋体" w:hAnsi="宋体" w:cs="仿宋"/>
          <w:kern w:val="0"/>
          <w:szCs w:val="21"/>
        </w:rPr>
        <w:t>辆（吨位不小于3吨）、冲洗车不少于</w:t>
      </w:r>
      <w:r>
        <w:rPr>
          <w:rFonts w:hint="eastAsia" w:ascii="宋体" w:hAnsi="宋体" w:cs="仿宋"/>
          <w:kern w:val="0"/>
          <w:szCs w:val="21"/>
          <w:lang w:val="en-US" w:eastAsia="zh-CN"/>
        </w:rPr>
        <w:t>2</w:t>
      </w:r>
      <w:r>
        <w:rPr>
          <w:rFonts w:hint="eastAsia" w:ascii="宋体" w:hAnsi="宋体" w:cs="仿宋"/>
          <w:kern w:val="0"/>
          <w:szCs w:val="21"/>
        </w:rPr>
        <w:t>辆(吨位不小于</w:t>
      </w:r>
      <w:r>
        <w:rPr>
          <w:rFonts w:ascii="宋体" w:hAnsi="宋体" w:cs="仿宋"/>
          <w:kern w:val="0"/>
          <w:szCs w:val="21"/>
        </w:rPr>
        <w:t>5</w:t>
      </w:r>
      <w:r>
        <w:rPr>
          <w:rFonts w:hint="eastAsia" w:ascii="宋体" w:hAnsi="宋体" w:cs="仿宋"/>
          <w:kern w:val="0"/>
          <w:szCs w:val="21"/>
        </w:rPr>
        <w:t>吨）、道班冲洗车不少于</w:t>
      </w:r>
      <w:r>
        <w:rPr>
          <w:rFonts w:hint="eastAsia" w:ascii="宋体" w:hAnsi="宋体" w:cs="仿宋"/>
          <w:kern w:val="0"/>
          <w:szCs w:val="21"/>
          <w:lang w:val="en-US" w:eastAsia="zh-CN"/>
        </w:rPr>
        <w:t>10</w:t>
      </w:r>
      <w:r>
        <w:rPr>
          <w:rFonts w:hint="eastAsia" w:ascii="宋体" w:hAnsi="宋体" w:cs="仿宋"/>
          <w:kern w:val="0"/>
          <w:szCs w:val="21"/>
        </w:rPr>
        <w:t>辆</w:t>
      </w:r>
      <w:r>
        <w:rPr>
          <w:rFonts w:hint="eastAsia" w:ascii="宋体" w:hAnsi="宋体" w:cs="仿宋"/>
          <w:kern w:val="0"/>
          <w:szCs w:val="21"/>
          <w:lang w:eastAsia="zh-CN"/>
        </w:rPr>
        <w:t>，</w:t>
      </w:r>
      <w:r>
        <w:rPr>
          <w:rFonts w:hint="eastAsia" w:ascii="宋体" w:hAnsi="宋体"/>
          <w:color w:val="auto"/>
          <w:szCs w:val="21"/>
        </w:rPr>
        <w:t>上述三类车型中自有新能源车辆不少于2辆，</w:t>
      </w:r>
      <w:r>
        <w:rPr>
          <w:rFonts w:hint="eastAsia" w:ascii="宋体" w:hAnsi="宋体" w:cs="仿宋"/>
          <w:kern w:val="0"/>
          <w:szCs w:val="21"/>
        </w:rPr>
        <w:t>巡回保洁车（三轮电动车）不少于</w:t>
      </w:r>
      <w:r>
        <w:rPr>
          <w:rFonts w:hint="eastAsia" w:ascii="宋体" w:hAnsi="宋体" w:cs="仿宋"/>
          <w:kern w:val="0"/>
          <w:szCs w:val="21"/>
          <w:lang w:val="en-US" w:eastAsia="zh-CN"/>
        </w:rPr>
        <w:t>20</w:t>
      </w:r>
      <w:r>
        <w:rPr>
          <w:rFonts w:hint="eastAsia" w:ascii="宋体" w:hAnsi="宋体" w:cs="仿宋"/>
          <w:kern w:val="0"/>
          <w:szCs w:val="21"/>
        </w:rPr>
        <w:t>辆，绿化养护卡车不少于</w:t>
      </w:r>
      <w:r>
        <w:rPr>
          <w:rFonts w:ascii="宋体" w:hAnsi="宋体" w:cs="仿宋"/>
          <w:kern w:val="0"/>
          <w:szCs w:val="21"/>
        </w:rPr>
        <w:t>2</w:t>
      </w:r>
      <w:r>
        <w:rPr>
          <w:rFonts w:hint="eastAsia" w:ascii="宋体" w:hAnsi="宋体" w:cs="仿宋"/>
          <w:kern w:val="0"/>
          <w:szCs w:val="21"/>
        </w:rPr>
        <w:t>辆，绿化养护修剪登高车1辆，河道保洁船不少于1艘；（提供所有</w:t>
      </w:r>
      <w:r>
        <w:rPr>
          <w:rFonts w:ascii="宋体" w:hAnsi="宋体" w:cs="仿宋"/>
          <w:kern w:val="0"/>
          <w:szCs w:val="21"/>
        </w:rPr>
        <w:t>权证</w:t>
      </w:r>
      <w:r>
        <w:rPr>
          <w:rFonts w:hint="eastAsia" w:ascii="宋体" w:hAnsi="宋体" w:cs="仿宋"/>
          <w:kern w:val="0"/>
          <w:szCs w:val="21"/>
        </w:rPr>
        <w:t>书及行驶证、三轮电动车需提供合同及发票）。</w:t>
      </w:r>
    </w:p>
    <w:p w14:paraId="34298C43">
      <w:pPr>
        <w:widowControl/>
        <w:spacing w:line="500" w:lineRule="exact"/>
        <w:ind w:firstLine="447" w:firstLineChars="213"/>
        <w:jc w:val="left"/>
        <w:rPr>
          <w:rFonts w:ascii="宋体" w:hAnsi="宋体" w:cs="仿宋"/>
          <w:kern w:val="0"/>
          <w:szCs w:val="21"/>
        </w:rPr>
      </w:pPr>
      <w:r>
        <w:rPr>
          <w:rFonts w:ascii="宋体" w:hAnsi="宋体" w:cs="仿宋"/>
          <w:kern w:val="0"/>
          <w:szCs w:val="21"/>
        </w:rPr>
        <w:t>4</w:t>
      </w:r>
      <w:r>
        <w:rPr>
          <w:rFonts w:hint="eastAsia" w:ascii="宋体" w:hAnsi="宋体" w:cs="仿宋"/>
          <w:kern w:val="0"/>
          <w:szCs w:val="21"/>
        </w:rPr>
        <w:t>、 本项目接受联合体投标；参与联合投标的企业不得超过3家；</w:t>
      </w:r>
    </w:p>
    <w:p w14:paraId="2A8CDC3C">
      <w:pPr>
        <w:widowControl/>
        <w:spacing w:line="500" w:lineRule="exact"/>
        <w:ind w:firstLine="422" w:firstLineChars="200"/>
        <w:jc w:val="left"/>
        <w:rPr>
          <w:rFonts w:hint="eastAsia" w:ascii="宋体" w:hAnsi="宋体" w:cs="仿宋"/>
          <w:kern w:val="0"/>
          <w:szCs w:val="21"/>
        </w:rPr>
      </w:pPr>
      <w:r>
        <w:rPr>
          <w:rFonts w:hint="eastAsia" w:ascii="宋体" w:hAnsi="宋体" w:cs="仿宋"/>
          <w:b/>
          <w:bCs/>
          <w:kern w:val="0"/>
          <w:szCs w:val="21"/>
        </w:rPr>
        <w:t>七、服务期限</w:t>
      </w:r>
      <w:r>
        <w:rPr>
          <w:rFonts w:hint="eastAsia" w:ascii="宋体" w:hAnsi="宋体" w:cs="仿宋"/>
          <w:kern w:val="0"/>
          <w:szCs w:val="21"/>
        </w:rPr>
        <w:t>：自本项目签订合同之日起一年。</w:t>
      </w:r>
    </w:p>
    <w:p w14:paraId="06EB49F0">
      <w:pPr>
        <w:widowControl/>
        <w:spacing w:line="500" w:lineRule="exact"/>
        <w:ind w:firstLine="422" w:firstLineChars="200"/>
        <w:jc w:val="left"/>
        <w:rPr>
          <w:rFonts w:ascii="宋体" w:hAnsi="宋体" w:cs="仿宋"/>
          <w:b/>
          <w:kern w:val="0"/>
          <w:szCs w:val="21"/>
        </w:rPr>
      </w:pPr>
      <w:r>
        <w:rPr>
          <w:rFonts w:hint="eastAsia" w:ascii="宋体" w:hAnsi="宋体" w:cs="仿宋"/>
          <w:b/>
          <w:kern w:val="0"/>
          <w:szCs w:val="21"/>
        </w:rPr>
        <w:t>八、作业明细表</w:t>
      </w:r>
    </w:p>
    <w:p w14:paraId="7F81497D">
      <w:pPr>
        <w:jc w:val="center"/>
        <w:rPr>
          <w:rFonts w:ascii="宋体" w:hAnsi="宋体"/>
          <w:b/>
          <w:sz w:val="32"/>
          <w:szCs w:val="32"/>
        </w:rPr>
      </w:pPr>
      <w:r>
        <w:rPr>
          <w:rFonts w:hint="eastAsia" w:ascii="宋体" w:hAnsi="宋体"/>
          <w:b/>
          <w:sz w:val="32"/>
          <w:szCs w:val="32"/>
        </w:rPr>
        <w:t>崧泽广场、夏阳湖一体化养护保洁明细表</w:t>
      </w:r>
    </w:p>
    <w:tbl>
      <w:tblPr>
        <w:tblStyle w:val="6"/>
        <w:tblW w:w="8531" w:type="dxa"/>
        <w:tblInd w:w="-10" w:type="dxa"/>
        <w:tblLayout w:type="autofit"/>
        <w:tblCellMar>
          <w:top w:w="0" w:type="dxa"/>
          <w:left w:w="108" w:type="dxa"/>
          <w:bottom w:w="0" w:type="dxa"/>
          <w:right w:w="108" w:type="dxa"/>
        </w:tblCellMar>
      </w:tblPr>
      <w:tblGrid>
        <w:gridCol w:w="875"/>
        <w:gridCol w:w="1454"/>
        <w:gridCol w:w="1125"/>
        <w:gridCol w:w="1860"/>
        <w:gridCol w:w="1163"/>
        <w:gridCol w:w="2054"/>
      </w:tblGrid>
      <w:tr w14:paraId="7A5FB60F">
        <w:tblPrEx>
          <w:tblCellMar>
            <w:top w:w="0" w:type="dxa"/>
            <w:left w:w="108" w:type="dxa"/>
            <w:bottom w:w="0" w:type="dxa"/>
            <w:right w:w="108" w:type="dxa"/>
          </w:tblCellMar>
        </w:tblPrEx>
        <w:trPr>
          <w:trHeight w:val="624" w:hRule="atLeast"/>
        </w:trPr>
        <w:tc>
          <w:tcPr>
            <w:tcW w:w="875" w:type="dxa"/>
            <w:tcBorders>
              <w:top w:val="single" w:color="000000" w:sz="8" w:space="0"/>
              <w:left w:val="single" w:color="000000" w:sz="8" w:space="0"/>
              <w:bottom w:val="single" w:color="000000" w:sz="8" w:space="0"/>
              <w:right w:val="single" w:color="000000" w:sz="8" w:space="0"/>
            </w:tcBorders>
            <w:vAlign w:val="center"/>
          </w:tcPr>
          <w:p w14:paraId="2598479A">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579" w:type="dxa"/>
            <w:gridSpan w:val="2"/>
            <w:tcBorders>
              <w:top w:val="single" w:color="000000" w:sz="8" w:space="0"/>
              <w:left w:val="nil"/>
              <w:bottom w:val="single" w:color="000000" w:sz="8" w:space="0"/>
              <w:right w:val="single" w:color="000000" w:sz="8" w:space="0"/>
            </w:tcBorders>
            <w:vAlign w:val="center"/>
          </w:tcPr>
          <w:p w14:paraId="2D0FDF77">
            <w:pPr>
              <w:widowControl/>
              <w:jc w:val="center"/>
              <w:rPr>
                <w:rFonts w:ascii="宋体" w:hAnsi="宋体" w:cs="宋体"/>
                <w:color w:val="000000"/>
                <w:kern w:val="0"/>
                <w:szCs w:val="21"/>
              </w:rPr>
            </w:pPr>
            <w:r>
              <w:rPr>
                <w:rFonts w:hint="eastAsia" w:ascii="宋体" w:hAnsi="宋体" w:cs="宋体"/>
                <w:color w:val="000000"/>
                <w:kern w:val="0"/>
                <w:szCs w:val="21"/>
              </w:rPr>
              <w:t>工作内容</w:t>
            </w:r>
          </w:p>
        </w:tc>
        <w:tc>
          <w:tcPr>
            <w:tcW w:w="1860" w:type="dxa"/>
            <w:tcBorders>
              <w:top w:val="single" w:color="000000" w:sz="8" w:space="0"/>
              <w:left w:val="nil"/>
              <w:bottom w:val="single" w:color="000000" w:sz="8" w:space="0"/>
              <w:right w:val="single" w:color="000000" w:sz="8" w:space="0"/>
            </w:tcBorders>
            <w:vAlign w:val="center"/>
          </w:tcPr>
          <w:p w14:paraId="0A7DDDCD">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1163" w:type="dxa"/>
            <w:tcBorders>
              <w:top w:val="single" w:color="000000" w:sz="8" w:space="0"/>
              <w:left w:val="nil"/>
              <w:bottom w:val="single" w:color="000000" w:sz="8" w:space="0"/>
              <w:right w:val="single" w:color="000000" w:sz="8" w:space="0"/>
            </w:tcBorders>
            <w:vAlign w:val="center"/>
          </w:tcPr>
          <w:p w14:paraId="41DC4B98">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2054" w:type="dxa"/>
            <w:tcBorders>
              <w:top w:val="single" w:color="000000" w:sz="8" w:space="0"/>
              <w:left w:val="nil"/>
              <w:bottom w:val="single" w:color="000000" w:sz="8" w:space="0"/>
              <w:right w:val="single" w:color="000000" w:sz="8" w:space="0"/>
            </w:tcBorders>
            <w:vAlign w:val="center"/>
          </w:tcPr>
          <w:p w14:paraId="6C5C8D5A">
            <w:pPr>
              <w:widowControl/>
              <w:jc w:val="center"/>
              <w:rPr>
                <w:rFonts w:hint="eastAsia" w:ascii="宋体" w:hAnsi="宋体" w:cs="宋体"/>
                <w:color w:val="000000"/>
                <w:kern w:val="0"/>
                <w:szCs w:val="21"/>
              </w:rPr>
            </w:pPr>
            <w:r>
              <w:rPr>
                <w:rFonts w:hint="eastAsia" w:ascii="宋体" w:hAnsi="宋体" w:cs="宋体"/>
                <w:color w:val="000000"/>
                <w:kern w:val="0"/>
                <w:szCs w:val="21"/>
              </w:rPr>
              <w:t>备注</w:t>
            </w:r>
          </w:p>
        </w:tc>
      </w:tr>
      <w:tr w14:paraId="3B953E7F">
        <w:tblPrEx>
          <w:tblCellMar>
            <w:top w:w="0" w:type="dxa"/>
            <w:left w:w="108" w:type="dxa"/>
            <w:bottom w:w="0" w:type="dxa"/>
            <w:right w:w="108" w:type="dxa"/>
          </w:tblCellMar>
        </w:tblPrEx>
        <w:trPr>
          <w:trHeight w:val="624" w:hRule="atLeast"/>
        </w:trPr>
        <w:tc>
          <w:tcPr>
            <w:tcW w:w="8531" w:type="dxa"/>
            <w:gridSpan w:val="6"/>
            <w:tcBorders>
              <w:top w:val="single" w:color="000000" w:sz="8" w:space="0"/>
              <w:left w:val="single" w:color="000000" w:sz="8" w:space="0"/>
              <w:bottom w:val="single" w:color="000000" w:sz="8" w:space="0"/>
              <w:right w:val="single" w:color="000000" w:sz="8" w:space="0"/>
            </w:tcBorders>
            <w:vAlign w:val="center"/>
          </w:tcPr>
          <w:p w14:paraId="1CCCC827">
            <w:pPr>
              <w:widowControl/>
              <w:jc w:val="center"/>
              <w:rPr>
                <w:rFonts w:hint="eastAsia" w:ascii="宋体" w:hAnsi="宋体" w:cs="宋体"/>
                <w:color w:val="000000"/>
                <w:kern w:val="0"/>
                <w:szCs w:val="21"/>
              </w:rPr>
            </w:pPr>
            <w:r>
              <w:rPr>
                <w:rFonts w:hint="eastAsia" w:ascii="宋体" w:hAnsi="宋体" w:cs="宋体"/>
                <w:color w:val="000000"/>
                <w:kern w:val="0"/>
                <w:szCs w:val="21"/>
              </w:rPr>
              <w:t>环卫保洁</w:t>
            </w:r>
          </w:p>
        </w:tc>
      </w:tr>
      <w:tr w14:paraId="2FE5B836">
        <w:tblPrEx>
          <w:tblCellMar>
            <w:top w:w="0" w:type="dxa"/>
            <w:left w:w="108" w:type="dxa"/>
            <w:bottom w:w="0" w:type="dxa"/>
            <w:right w:w="108" w:type="dxa"/>
          </w:tblCellMar>
        </w:tblPrEx>
        <w:trPr>
          <w:trHeight w:val="624" w:hRule="atLeast"/>
        </w:trPr>
        <w:tc>
          <w:tcPr>
            <w:tcW w:w="875" w:type="dxa"/>
            <w:tcBorders>
              <w:top w:val="nil"/>
              <w:left w:val="single" w:color="000000" w:sz="8" w:space="0"/>
              <w:bottom w:val="single" w:color="000000" w:sz="8" w:space="0"/>
              <w:right w:val="single" w:color="000000" w:sz="8" w:space="0"/>
            </w:tcBorders>
            <w:vAlign w:val="center"/>
          </w:tcPr>
          <w:p w14:paraId="7094A26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579" w:type="dxa"/>
            <w:gridSpan w:val="2"/>
            <w:tcBorders>
              <w:top w:val="nil"/>
              <w:left w:val="nil"/>
              <w:bottom w:val="single" w:color="000000" w:sz="8" w:space="0"/>
              <w:right w:val="single" w:color="000000" w:sz="8" w:space="0"/>
            </w:tcBorders>
            <w:vAlign w:val="center"/>
          </w:tcPr>
          <w:p w14:paraId="40387C1C">
            <w:pPr>
              <w:widowControl/>
              <w:jc w:val="center"/>
              <w:rPr>
                <w:rFonts w:hint="eastAsia" w:ascii="宋体" w:hAnsi="宋体" w:cs="宋体"/>
                <w:color w:val="000000"/>
                <w:kern w:val="0"/>
                <w:szCs w:val="21"/>
              </w:rPr>
            </w:pPr>
            <w:r>
              <w:rPr>
                <w:rFonts w:hint="eastAsia" w:ascii="宋体" w:hAnsi="宋体" w:cs="宋体"/>
                <w:color w:val="000000"/>
                <w:kern w:val="0"/>
                <w:szCs w:val="21"/>
              </w:rPr>
              <w:t>道路及广场保洁</w:t>
            </w:r>
          </w:p>
          <w:p w14:paraId="046B80FA">
            <w:pPr>
              <w:widowControl/>
              <w:jc w:val="center"/>
              <w:rPr>
                <w:rFonts w:hint="eastAsia" w:ascii="宋体" w:hAnsi="宋体" w:cs="宋体"/>
                <w:color w:val="000000"/>
                <w:kern w:val="0"/>
                <w:szCs w:val="21"/>
              </w:rPr>
            </w:pPr>
            <w:r>
              <w:rPr>
                <w:rFonts w:hint="eastAsia" w:ascii="宋体" w:hAnsi="宋体" w:cs="宋体"/>
                <w:color w:val="000000"/>
                <w:kern w:val="0"/>
                <w:szCs w:val="21"/>
              </w:rPr>
              <w:t>（含绿化挡土墙保洁）</w:t>
            </w:r>
          </w:p>
        </w:tc>
        <w:tc>
          <w:tcPr>
            <w:tcW w:w="1860" w:type="dxa"/>
            <w:tcBorders>
              <w:top w:val="nil"/>
              <w:left w:val="nil"/>
              <w:bottom w:val="single" w:color="000000" w:sz="8" w:space="0"/>
              <w:right w:val="single" w:color="000000" w:sz="8" w:space="0"/>
            </w:tcBorders>
            <w:vAlign w:val="center"/>
          </w:tcPr>
          <w:p w14:paraId="280B4923">
            <w:pPr>
              <w:widowControl/>
              <w:jc w:val="center"/>
              <w:rPr>
                <w:rFonts w:ascii="宋体" w:hAnsi="宋体" w:cs="宋体"/>
                <w:color w:val="000000"/>
                <w:kern w:val="0"/>
                <w:szCs w:val="21"/>
                <w:highlight w:val="green"/>
              </w:rPr>
            </w:pPr>
            <w:r>
              <w:rPr>
                <w:color w:val="000000"/>
                <w:kern w:val="0"/>
                <w:sz w:val="24"/>
              </w:rPr>
              <w:t>27431.29</w:t>
            </w:r>
          </w:p>
        </w:tc>
        <w:tc>
          <w:tcPr>
            <w:tcW w:w="1163" w:type="dxa"/>
            <w:tcBorders>
              <w:top w:val="nil"/>
              <w:left w:val="nil"/>
              <w:bottom w:val="single" w:color="000000" w:sz="8" w:space="0"/>
              <w:right w:val="single" w:color="000000" w:sz="8" w:space="0"/>
            </w:tcBorders>
            <w:vAlign w:val="center"/>
          </w:tcPr>
          <w:p w14:paraId="13FBF32E">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2054" w:type="dxa"/>
            <w:tcBorders>
              <w:top w:val="nil"/>
              <w:left w:val="nil"/>
              <w:bottom w:val="single" w:color="000000" w:sz="8" w:space="0"/>
              <w:right w:val="single" w:color="000000" w:sz="8" w:space="0"/>
            </w:tcBorders>
            <w:vAlign w:val="center"/>
          </w:tcPr>
          <w:p w14:paraId="18D4DBE3">
            <w:pPr>
              <w:widowControl/>
              <w:jc w:val="center"/>
              <w:rPr>
                <w:rFonts w:hint="eastAsia" w:ascii="宋体" w:hAnsi="宋体" w:cs="宋体"/>
                <w:color w:val="000000"/>
                <w:kern w:val="0"/>
                <w:szCs w:val="21"/>
              </w:rPr>
            </w:pPr>
            <w:r>
              <w:rPr>
                <w:rFonts w:hint="eastAsia" w:ascii="宋体" w:hAnsi="宋体" w:cs="宋体"/>
                <w:color w:val="000000"/>
                <w:kern w:val="0"/>
                <w:szCs w:val="21"/>
              </w:rPr>
              <w:t>崧泽广场</w:t>
            </w:r>
          </w:p>
        </w:tc>
      </w:tr>
      <w:tr w14:paraId="7531E3BD">
        <w:tblPrEx>
          <w:tblCellMar>
            <w:top w:w="0" w:type="dxa"/>
            <w:left w:w="108" w:type="dxa"/>
            <w:bottom w:w="0" w:type="dxa"/>
            <w:right w:w="108" w:type="dxa"/>
          </w:tblCellMar>
        </w:tblPrEx>
        <w:trPr>
          <w:trHeight w:val="624" w:hRule="atLeast"/>
        </w:trPr>
        <w:tc>
          <w:tcPr>
            <w:tcW w:w="875" w:type="dxa"/>
            <w:vMerge w:val="restart"/>
            <w:tcBorders>
              <w:top w:val="nil"/>
              <w:left w:val="single" w:color="000000" w:sz="8" w:space="0"/>
              <w:right w:val="single" w:color="000000" w:sz="8" w:space="0"/>
            </w:tcBorders>
            <w:vAlign w:val="center"/>
          </w:tcPr>
          <w:p w14:paraId="742DAE89">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1454" w:type="dxa"/>
            <w:vMerge w:val="restart"/>
            <w:tcBorders>
              <w:top w:val="nil"/>
              <w:left w:val="nil"/>
              <w:right w:val="single" w:color="auto" w:sz="4" w:space="0"/>
            </w:tcBorders>
            <w:vAlign w:val="center"/>
          </w:tcPr>
          <w:p w14:paraId="7C917FC4">
            <w:pPr>
              <w:widowControl/>
              <w:jc w:val="center"/>
              <w:rPr>
                <w:rFonts w:ascii="宋体" w:hAnsi="宋体" w:cs="宋体"/>
                <w:color w:val="000000"/>
                <w:kern w:val="0"/>
                <w:szCs w:val="21"/>
              </w:rPr>
            </w:pPr>
            <w:r>
              <w:rPr>
                <w:rFonts w:hint="eastAsia" w:ascii="宋体" w:hAnsi="宋体" w:cs="宋体"/>
                <w:color w:val="000000"/>
                <w:kern w:val="0"/>
                <w:szCs w:val="21"/>
              </w:rPr>
              <w:t>公厕保洁</w:t>
            </w:r>
          </w:p>
        </w:tc>
        <w:tc>
          <w:tcPr>
            <w:tcW w:w="1125" w:type="dxa"/>
            <w:tcBorders>
              <w:top w:val="single" w:color="auto" w:sz="4" w:space="0"/>
              <w:left w:val="single" w:color="auto" w:sz="4" w:space="0"/>
              <w:bottom w:val="single" w:color="auto" w:sz="4" w:space="0"/>
              <w:right w:val="single" w:color="auto" w:sz="4" w:space="0"/>
            </w:tcBorders>
            <w:vAlign w:val="center"/>
          </w:tcPr>
          <w:p w14:paraId="3BC8B6B7">
            <w:pPr>
              <w:widowControl/>
              <w:jc w:val="center"/>
              <w:rPr>
                <w:rFonts w:hint="eastAsia" w:ascii="宋体" w:hAnsi="宋体" w:cs="宋体"/>
                <w:color w:val="000000"/>
                <w:kern w:val="0"/>
                <w:szCs w:val="21"/>
              </w:rPr>
            </w:pPr>
            <w:r>
              <w:rPr>
                <w:rFonts w:hint="eastAsia" w:ascii="宋体" w:hAnsi="宋体" w:cs="宋体"/>
                <w:color w:val="000000"/>
                <w:kern w:val="0"/>
                <w:szCs w:val="21"/>
              </w:rPr>
              <w:t>一类</w:t>
            </w:r>
          </w:p>
        </w:tc>
        <w:tc>
          <w:tcPr>
            <w:tcW w:w="1860" w:type="dxa"/>
            <w:tcBorders>
              <w:top w:val="nil"/>
              <w:left w:val="single" w:color="auto" w:sz="4" w:space="0"/>
              <w:bottom w:val="single" w:color="000000" w:sz="8" w:space="0"/>
              <w:right w:val="single" w:color="000000" w:sz="8" w:space="0"/>
            </w:tcBorders>
            <w:vAlign w:val="center"/>
          </w:tcPr>
          <w:p w14:paraId="2B3F3F11">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163" w:type="dxa"/>
            <w:tcBorders>
              <w:top w:val="nil"/>
              <w:left w:val="nil"/>
              <w:bottom w:val="single" w:color="000000" w:sz="8" w:space="0"/>
              <w:right w:val="single" w:color="000000" w:sz="8" w:space="0"/>
            </w:tcBorders>
            <w:vAlign w:val="center"/>
          </w:tcPr>
          <w:p w14:paraId="5DD4C95A">
            <w:pPr>
              <w:widowControl/>
              <w:jc w:val="center"/>
              <w:rPr>
                <w:rFonts w:ascii="宋体" w:hAnsi="宋体" w:cs="宋体"/>
                <w:color w:val="000000"/>
                <w:kern w:val="0"/>
                <w:szCs w:val="21"/>
              </w:rPr>
            </w:pPr>
            <w:r>
              <w:rPr>
                <w:rFonts w:hint="eastAsia" w:ascii="宋体" w:hAnsi="宋体" w:cs="宋体"/>
                <w:color w:val="000000"/>
                <w:kern w:val="0"/>
                <w:szCs w:val="21"/>
              </w:rPr>
              <w:t>座</w:t>
            </w:r>
          </w:p>
        </w:tc>
        <w:tc>
          <w:tcPr>
            <w:tcW w:w="2054" w:type="dxa"/>
            <w:tcBorders>
              <w:top w:val="nil"/>
              <w:left w:val="nil"/>
              <w:bottom w:val="single" w:color="000000" w:sz="8" w:space="0"/>
              <w:right w:val="single" w:color="000000" w:sz="8" w:space="0"/>
            </w:tcBorders>
            <w:vAlign w:val="center"/>
          </w:tcPr>
          <w:p w14:paraId="601BC8E9">
            <w:pPr>
              <w:widowControl/>
              <w:jc w:val="center"/>
              <w:rPr>
                <w:rFonts w:hint="eastAsia" w:ascii="宋体" w:hAnsi="宋体" w:cs="宋体"/>
                <w:color w:val="000000"/>
                <w:kern w:val="0"/>
                <w:szCs w:val="21"/>
              </w:rPr>
            </w:pPr>
            <w:r>
              <w:rPr>
                <w:rFonts w:hint="eastAsia" w:ascii="宋体" w:hAnsi="宋体" w:cs="宋体"/>
                <w:color w:val="000000"/>
                <w:kern w:val="0"/>
                <w:szCs w:val="21"/>
              </w:rPr>
              <w:t>夏阳湖</w:t>
            </w:r>
          </w:p>
        </w:tc>
      </w:tr>
      <w:tr w14:paraId="4114B34E">
        <w:tblPrEx>
          <w:tblCellMar>
            <w:top w:w="0" w:type="dxa"/>
            <w:left w:w="108" w:type="dxa"/>
            <w:bottom w:w="0" w:type="dxa"/>
            <w:right w:w="108" w:type="dxa"/>
          </w:tblCellMar>
        </w:tblPrEx>
        <w:trPr>
          <w:trHeight w:val="624" w:hRule="atLeast"/>
        </w:trPr>
        <w:tc>
          <w:tcPr>
            <w:tcW w:w="875" w:type="dxa"/>
            <w:vMerge w:val="continue"/>
            <w:tcBorders>
              <w:left w:val="single" w:color="000000" w:sz="8" w:space="0"/>
              <w:bottom w:val="single" w:color="000000" w:sz="8" w:space="0"/>
              <w:right w:val="single" w:color="000000" w:sz="8" w:space="0"/>
            </w:tcBorders>
            <w:vAlign w:val="center"/>
          </w:tcPr>
          <w:p w14:paraId="57584ECF">
            <w:pPr>
              <w:widowControl/>
              <w:jc w:val="center"/>
              <w:rPr>
                <w:szCs w:val="21"/>
              </w:rPr>
            </w:pPr>
          </w:p>
        </w:tc>
        <w:tc>
          <w:tcPr>
            <w:tcW w:w="1454" w:type="dxa"/>
            <w:vMerge w:val="continue"/>
            <w:tcBorders>
              <w:left w:val="nil"/>
              <w:bottom w:val="single" w:color="000000" w:sz="8" w:space="0"/>
              <w:right w:val="single" w:color="auto" w:sz="4" w:space="0"/>
            </w:tcBorders>
            <w:vAlign w:val="center"/>
          </w:tcPr>
          <w:p w14:paraId="5B757561">
            <w:pPr>
              <w:widowControl/>
              <w:jc w:val="center"/>
              <w:rPr>
                <w:rFonts w:hint="eastAsia" w:ascii="宋体" w:hAnsi="宋体" w:cs="宋体"/>
                <w:color w:val="000000"/>
                <w:kern w:val="0"/>
                <w:szCs w:val="21"/>
              </w:rPr>
            </w:pPr>
          </w:p>
        </w:tc>
        <w:tc>
          <w:tcPr>
            <w:tcW w:w="1125" w:type="dxa"/>
            <w:tcBorders>
              <w:top w:val="single" w:color="auto" w:sz="4" w:space="0"/>
              <w:left w:val="single" w:color="auto" w:sz="4" w:space="0"/>
              <w:bottom w:val="single" w:color="auto" w:sz="4" w:space="0"/>
              <w:right w:val="single" w:color="auto" w:sz="4" w:space="0"/>
            </w:tcBorders>
            <w:vAlign w:val="center"/>
          </w:tcPr>
          <w:p w14:paraId="7F55E3AD">
            <w:pPr>
              <w:widowControl/>
              <w:jc w:val="center"/>
              <w:rPr>
                <w:rFonts w:hint="eastAsia" w:ascii="宋体" w:hAnsi="宋体" w:cs="宋体"/>
                <w:color w:val="000000"/>
                <w:kern w:val="0"/>
                <w:szCs w:val="21"/>
              </w:rPr>
            </w:pPr>
            <w:r>
              <w:rPr>
                <w:rFonts w:hint="eastAsia" w:ascii="宋体" w:hAnsi="宋体" w:cs="宋体"/>
                <w:color w:val="000000"/>
                <w:kern w:val="0"/>
                <w:szCs w:val="21"/>
              </w:rPr>
              <w:t>二类</w:t>
            </w:r>
          </w:p>
        </w:tc>
        <w:tc>
          <w:tcPr>
            <w:tcW w:w="1860" w:type="dxa"/>
            <w:tcBorders>
              <w:top w:val="nil"/>
              <w:left w:val="single" w:color="auto" w:sz="4" w:space="0"/>
              <w:bottom w:val="single" w:color="000000" w:sz="8" w:space="0"/>
              <w:right w:val="single" w:color="000000" w:sz="8" w:space="0"/>
            </w:tcBorders>
            <w:vAlign w:val="center"/>
          </w:tcPr>
          <w:p w14:paraId="1C07CF5A">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163" w:type="dxa"/>
            <w:tcBorders>
              <w:top w:val="nil"/>
              <w:left w:val="nil"/>
              <w:bottom w:val="single" w:color="000000" w:sz="8" w:space="0"/>
              <w:right w:val="single" w:color="000000" w:sz="8" w:space="0"/>
            </w:tcBorders>
            <w:vAlign w:val="center"/>
          </w:tcPr>
          <w:p w14:paraId="226DFF37">
            <w:pPr>
              <w:widowControl/>
              <w:jc w:val="center"/>
              <w:rPr>
                <w:rFonts w:hint="eastAsia" w:ascii="宋体" w:hAnsi="宋体" w:cs="宋体"/>
                <w:color w:val="000000"/>
                <w:kern w:val="0"/>
                <w:szCs w:val="21"/>
              </w:rPr>
            </w:pPr>
            <w:r>
              <w:rPr>
                <w:rFonts w:hint="eastAsia" w:ascii="宋体" w:hAnsi="宋体" w:cs="宋体"/>
                <w:color w:val="000000"/>
                <w:kern w:val="0"/>
                <w:szCs w:val="21"/>
              </w:rPr>
              <w:t>座</w:t>
            </w:r>
          </w:p>
        </w:tc>
        <w:tc>
          <w:tcPr>
            <w:tcW w:w="2054" w:type="dxa"/>
            <w:tcBorders>
              <w:top w:val="nil"/>
              <w:left w:val="nil"/>
              <w:bottom w:val="single" w:color="000000" w:sz="8" w:space="0"/>
              <w:right w:val="single" w:color="000000" w:sz="8" w:space="0"/>
            </w:tcBorders>
            <w:vAlign w:val="center"/>
          </w:tcPr>
          <w:p w14:paraId="193B4857">
            <w:pPr>
              <w:widowControl/>
              <w:jc w:val="center"/>
              <w:rPr>
                <w:rFonts w:hint="eastAsia" w:ascii="宋体" w:hAnsi="宋体" w:cs="宋体"/>
                <w:color w:val="000000"/>
                <w:kern w:val="0"/>
                <w:szCs w:val="21"/>
              </w:rPr>
            </w:pPr>
            <w:r>
              <w:rPr>
                <w:rFonts w:hint="eastAsia" w:ascii="宋体" w:hAnsi="宋体" w:cs="宋体"/>
                <w:color w:val="000000"/>
                <w:kern w:val="0"/>
                <w:szCs w:val="21"/>
              </w:rPr>
              <w:t>崧泽广场</w:t>
            </w:r>
          </w:p>
        </w:tc>
      </w:tr>
      <w:tr w14:paraId="2F24AA34">
        <w:tblPrEx>
          <w:tblCellMar>
            <w:top w:w="0" w:type="dxa"/>
            <w:left w:w="108" w:type="dxa"/>
            <w:bottom w:w="0" w:type="dxa"/>
            <w:right w:w="108" w:type="dxa"/>
          </w:tblCellMar>
        </w:tblPrEx>
        <w:trPr>
          <w:trHeight w:val="624" w:hRule="atLeast"/>
        </w:trPr>
        <w:tc>
          <w:tcPr>
            <w:tcW w:w="875" w:type="dxa"/>
            <w:tcBorders>
              <w:top w:val="nil"/>
              <w:left w:val="single" w:color="000000" w:sz="8" w:space="0"/>
              <w:bottom w:val="single" w:color="000000" w:sz="8" w:space="0"/>
              <w:right w:val="single" w:color="000000" w:sz="8" w:space="0"/>
            </w:tcBorders>
            <w:vAlign w:val="center"/>
          </w:tcPr>
          <w:p w14:paraId="6F695EDA">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c>
          <w:tcPr>
            <w:tcW w:w="2579" w:type="dxa"/>
            <w:gridSpan w:val="2"/>
            <w:tcBorders>
              <w:top w:val="nil"/>
              <w:left w:val="nil"/>
              <w:bottom w:val="single" w:color="000000" w:sz="8" w:space="0"/>
              <w:right w:val="single" w:color="000000" w:sz="8" w:space="0"/>
            </w:tcBorders>
            <w:vAlign w:val="center"/>
          </w:tcPr>
          <w:p w14:paraId="43B52FEA">
            <w:pPr>
              <w:widowControl/>
              <w:jc w:val="center"/>
              <w:rPr>
                <w:rFonts w:hint="eastAsia" w:ascii="宋体" w:hAnsi="宋体" w:cs="宋体"/>
                <w:color w:val="000000"/>
                <w:kern w:val="0"/>
                <w:szCs w:val="21"/>
              </w:rPr>
            </w:pPr>
            <w:r>
              <w:rPr>
                <w:rFonts w:hint="eastAsia" w:ascii="宋体" w:hAnsi="宋体" w:cs="宋体"/>
                <w:color w:val="000000"/>
                <w:kern w:val="0"/>
                <w:szCs w:val="21"/>
              </w:rPr>
              <w:t>果壳箱保洁</w:t>
            </w:r>
          </w:p>
        </w:tc>
        <w:tc>
          <w:tcPr>
            <w:tcW w:w="1860" w:type="dxa"/>
            <w:tcBorders>
              <w:top w:val="nil"/>
              <w:left w:val="nil"/>
              <w:bottom w:val="single" w:color="000000" w:sz="8" w:space="0"/>
              <w:right w:val="single" w:color="000000" w:sz="8" w:space="0"/>
            </w:tcBorders>
            <w:vAlign w:val="center"/>
          </w:tcPr>
          <w:p w14:paraId="3D3742F0">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163" w:type="dxa"/>
            <w:tcBorders>
              <w:top w:val="nil"/>
              <w:left w:val="nil"/>
              <w:bottom w:val="single" w:color="000000" w:sz="8" w:space="0"/>
              <w:right w:val="single" w:color="000000" w:sz="8" w:space="0"/>
            </w:tcBorders>
            <w:vAlign w:val="center"/>
          </w:tcPr>
          <w:p w14:paraId="021A25BF">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2054" w:type="dxa"/>
            <w:tcBorders>
              <w:top w:val="nil"/>
              <w:left w:val="nil"/>
              <w:bottom w:val="single" w:color="000000" w:sz="8" w:space="0"/>
              <w:right w:val="single" w:color="000000" w:sz="8" w:space="0"/>
            </w:tcBorders>
            <w:vAlign w:val="center"/>
          </w:tcPr>
          <w:p w14:paraId="29038939">
            <w:pPr>
              <w:widowControl/>
              <w:jc w:val="center"/>
              <w:rPr>
                <w:rFonts w:hint="eastAsia" w:ascii="宋体" w:hAnsi="宋体" w:cs="宋体"/>
                <w:color w:val="000000"/>
                <w:kern w:val="0"/>
                <w:szCs w:val="21"/>
              </w:rPr>
            </w:pPr>
            <w:r>
              <w:rPr>
                <w:rFonts w:hint="eastAsia" w:ascii="宋体" w:hAnsi="宋体" w:cs="宋体"/>
                <w:color w:val="000000"/>
                <w:kern w:val="0"/>
                <w:szCs w:val="21"/>
              </w:rPr>
              <w:t>崧泽广场</w:t>
            </w:r>
          </w:p>
        </w:tc>
      </w:tr>
      <w:tr w14:paraId="36F8959F">
        <w:tblPrEx>
          <w:tblCellMar>
            <w:top w:w="0" w:type="dxa"/>
            <w:left w:w="108" w:type="dxa"/>
            <w:bottom w:w="0" w:type="dxa"/>
            <w:right w:w="108" w:type="dxa"/>
          </w:tblCellMar>
        </w:tblPrEx>
        <w:trPr>
          <w:trHeight w:val="624" w:hRule="atLeast"/>
        </w:trPr>
        <w:tc>
          <w:tcPr>
            <w:tcW w:w="8531" w:type="dxa"/>
            <w:gridSpan w:val="6"/>
            <w:tcBorders>
              <w:top w:val="nil"/>
              <w:left w:val="single" w:color="000000" w:sz="8" w:space="0"/>
              <w:bottom w:val="single" w:color="000000" w:sz="8" w:space="0"/>
              <w:right w:val="single" w:color="000000" w:sz="8" w:space="0"/>
            </w:tcBorders>
            <w:vAlign w:val="center"/>
          </w:tcPr>
          <w:p w14:paraId="061569C6">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水域保洁</w:t>
            </w:r>
          </w:p>
        </w:tc>
      </w:tr>
      <w:tr w14:paraId="54A746E1">
        <w:tblPrEx>
          <w:tblCellMar>
            <w:top w:w="0" w:type="dxa"/>
            <w:left w:w="108" w:type="dxa"/>
            <w:bottom w:w="0" w:type="dxa"/>
            <w:right w:w="108" w:type="dxa"/>
          </w:tblCellMar>
        </w:tblPrEx>
        <w:trPr>
          <w:trHeight w:val="624" w:hRule="atLeast"/>
        </w:trPr>
        <w:tc>
          <w:tcPr>
            <w:tcW w:w="875" w:type="dxa"/>
            <w:tcBorders>
              <w:top w:val="nil"/>
              <w:left w:val="single" w:color="000000" w:sz="8" w:space="0"/>
              <w:bottom w:val="single" w:color="000000" w:sz="8" w:space="0"/>
              <w:right w:val="single" w:color="000000" w:sz="8" w:space="0"/>
            </w:tcBorders>
            <w:shd w:val="clear" w:color="auto" w:fill="auto"/>
            <w:vAlign w:val="center"/>
          </w:tcPr>
          <w:p w14:paraId="17D8EC45">
            <w:pPr>
              <w:widowControl/>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4</w:t>
            </w:r>
          </w:p>
        </w:tc>
        <w:tc>
          <w:tcPr>
            <w:tcW w:w="2579" w:type="dxa"/>
            <w:gridSpan w:val="2"/>
            <w:tcBorders>
              <w:top w:val="nil"/>
              <w:left w:val="nil"/>
              <w:bottom w:val="single" w:color="000000" w:sz="8" w:space="0"/>
              <w:right w:val="single" w:color="000000" w:sz="8" w:space="0"/>
            </w:tcBorders>
            <w:shd w:val="clear" w:color="auto" w:fill="auto"/>
            <w:vAlign w:val="center"/>
          </w:tcPr>
          <w:p w14:paraId="5F906A88">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水域保洁</w:t>
            </w:r>
          </w:p>
        </w:tc>
        <w:tc>
          <w:tcPr>
            <w:tcW w:w="1860" w:type="dxa"/>
            <w:tcBorders>
              <w:top w:val="nil"/>
              <w:left w:val="nil"/>
              <w:bottom w:val="single" w:color="000000" w:sz="8" w:space="0"/>
              <w:right w:val="single" w:color="000000" w:sz="8" w:space="0"/>
            </w:tcBorders>
            <w:shd w:val="clear" w:color="auto" w:fill="auto"/>
            <w:vAlign w:val="center"/>
          </w:tcPr>
          <w:p w14:paraId="42C3DE4E">
            <w:pPr>
              <w:widowControl/>
              <w:jc w:val="center"/>
              <w:rPr>
                <w:rFonts w:hint="eastAsia" w:ascii="宋体" w:hAnsi="宋体" w:eastAsia="宋体" w:cs="宋体"/>
                <w:color w:val="000000"/>
                <w:kern w:val="0"/>
                <w:sz w:val="21"/>
                <w:szCs w:val="21"/>
                <w:lang w:val="en-US" w:eastAsia="zh-CN" w:bidi="ar-SA"/>
              </w:rPr>
            </w:pPr>
            <w:r>
              <w:rPr>
                <w:color w:val="000000"/>
                <w:kern w:val="0"/>
                <w:sz w:val="24"/>
              </w:rPr>
              <w:t>64433.35</w:t>
            </w:r>
          </w:p>
        </w:tc>
        <w:tc>
          <w:tcPr>
            <w:tcW w:w="1163" w:type="dxa"/>
            <w:tcBorders>
              <w:top w:val="nil"/>
              <w:left w:val="nil"/>
              <w:bottom w:val="single" w:color="000000" w:sz="8" w:space="0"/>
              <w:right w:val="single" w:color="000000" w:sz="8" w:space="0"/>
            </w:tcBorders>
            <w:shd w:val="clear" w:color="auto" w:fill="auto"/>
            <w:vAlign w:val="center"/>
          </w:tcPr>
          <w:p w14:paraId="5161F0DD">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w:t>
            </w:r>
          </w:p>
        </w:tc>
        <w:tc>
          <w:tcPr>
            <w:tcW w:w="2054" w:type="dxa"/>
            <w:tcBorders>
              <w:top w:val="nil"/>
              <w:left w:val="nil"/>
              <w:bottom w:val="single" w:color="000000" w:sz="8" w:space="0"/>
              <w:right w:val="single" w:color="000000" w:sz="8" w:space="0"/>
            </w:tcBorders>
            <w:shd w:val="clear" w:color="auto" w:fill="auto"/>
            <w:vAlign w:val="center"/>
          </w:tcPr>
          <w:p w14:paraId="3F91A6EF">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夏阳湖</w:t>
            </w:r>
          </w:p>
        </w:tc>
      </w:tr>
      <w:tr w14:paraId="1E21E582">
        <w:tblPrEx>
          <w:tblCellMar>
            <w:top w:w="0" w:type="dxa"/>
            <w:left w:w="108" w:type="dxa"/>
            <w:bottom w:w="0" w:type="dxa"/>
            <w:right w:w="108" w:type="dxa"/>
          </w:tblCellMar>
        </w:tblPrEx>
        <w:trPr>
          <w:trHeight w:val="624" w:hRule="atLeast"/>
        </w:trPr>
        <w:tc>
          <w:tcPr>
            <w:tcW w:w="8531" w:type="dxa"/>
            <w:gridSpan w:val="6"/>
            <w:tcBorders>
              <w:top w:val="nil"/>
              <w:left w:val="single" w:color="000000" w:sz="8" w:space="0"/>
              <w:bottom w:val="single" w:color="000000" w:sz="8" w:space="0"/>
              <w:right w:val="single" w:color="000000" w:sz="8" w:space="0"/>
            </w:tcBorders>
            <w:vAlign w:val="center"/>
          </w:tcPr>
          <w:p w14:paraId="01B2054B">
            <w:pPr>
              <w:widowControl/>
              <w:jc w:val="center"/>
              <w:rPr>
                <w:rFonts w:hint="eastAsia" w:ascii="宋体" w:hAnsi="宋体" w:cs="宋体"/>
                <w:color w:val="000000"/>
                <w:kern w:val="0"/>
                <w:szCs w:val="21"/>
              </w:rPr>
            </w:pPr>
            <w:r>
              <w:rPr>
                <w:rFonts w:hint="eastAsia" w:ascii="宋体" w:hAnsi="宋体" w:cs="宋体"/>
                <w:color w:val="000000"/>
                <w:kern w:val="0"/>
                <w:szCs w:val="21"/>
              </w:rPr>
              <w:t>绿化养护及设施维护</w:t>
            </w:r>
          </w:p>
        </w:tc>
      </w:tr>
      <w:tr w14:paraId="525B6879">
        <w:tblPrEx>
          <w:tblCellMar>
            <w:top w:w="0" w:type="dxa"/>
            <w:left w:w="108" w:type="dxa"/>
            <w:bottom w:w="0" w:type="dxa"/>
            <w:right w:w="108" w:type="dxa"/>
          </w:tblCellMar>
        </w:tblPrEx>
        <w:trPr>
          <w:trHeight w:val="624" w:hRule="atLeast"/>
        </w:trPr>
        <w:tc>
          <w:tcPr>
            <w:tcW w:w="875" w:type="dxa"/>
            <w:tcBorders>
              <w:top w:val="single" w:color="auto" w:sz="4" w:space="0"/>
              <w:left w:val="single" w:color="auto" w:sz="4" w:space="0"/>
              <w:bottom w:val="single" w:color="auto" w:sz="4" w:space="0"/>
              <w:right w:val="single" w:color="auto" w:sz="4" w:space="0"/>
            </w:tcBorders>
            <w:vAlign w:val="center"/>
          </w:tcPr>
          <w:p w14:paraId="4D60EBE6">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579" w:type="dxa"/>
            <w:gridSpan w:val="2"/>
            <w:tcBorders>
              <w:top w:val="single" w:color="auto" w:sz="4" w:space="0"/>
              <w:left w:val="single" w:color="auto" w:sz="4" w:space="0"/>
              <w:bottom w:val="single" w:color="auto" w:sz="4" w:space="0"/>
              <w:right w:val="single" w:color="auto" w:sz="4" w:space="0"/>
            </w:tcBorders>
            <w:vAlign w:val="center"/>
          </w:tcPr>
          <w:p w14:paraId="50760FA0">
            <w:pPr>
              <w:widowControl/>
              <w:jc w:val="center"/>
              <w:rPr>
                <w:rFonts w:ascii="宋体" w:hAnsi="宋体" w:cs="宋体"/>
                <w:color w:val="000000"/>
                <w:kern w:val="0"/>
                <w:szCs w:val="21"/>
              </w:rPr>
            </w:pPr>
            <w:r>
              <w:rPr>
                <w:rFonts w:hint="eastAsia" w:ascii="宋体" w:hAnsi="宋体" w:cs="宋体"/>
                <w:color w:val="000000"/>
                <w:kern w:val="0"/>
                <w:szCs w:val="21"/>
              </w:rPr>
              <w:t>绿化养护</w:t>
            </w:r>
          </w:p>
        </w:tc>
        <w:tc>
          <w:tcPr>
            <w:tcW w:w="1860" w:type="dxa"/>
            <w:tcBorders>
              <w:top w:val="nil"/>
              <w:left w:val="single" w:color="auto" w:sz="4" w:space="0"/>
              <w:bottom w:val="single" w:color="000000" w:sz="8" w:space="0"/>
              <w:right w:val="single" w:color="000000" w:sz="8" w:space="0"/>
            </w:tcBorders>
            <w:vAlign w:val="center"/>
          </w:tcPr>
          <w:p w14:paraId="1A6B2021">
            <w:pPr>
              <w:widowControl/>
              <w:jc w:val="center"/>
              <w:textAlignment w:val="center"/>
              <w:rPr>
                <w:rFonts w:hint="eastAsia" w:ascii="宋体" w:hAnsi="宋体" w:cs="宋体"/>
                <w:color w:val="000000"/>
                <w:szCs w:val="21"/>
                <w:highlight w:val="green"/>
              </w:rPr>
            </w:pPr>
            <w:r>
              <w:rPr>
                <w:color w:val="000000"/>
                <w:kern w:val="0"/>
                <w:sz w:val="24"/>
              </w:rPr>
              <w:t>90188.73</w:t>
            </w:r>
          </w:p>
        </w:tc>
        <w:tc>
          <w:tcPr>
            <w:tcW w:w="1163" w:type="dxa"/>
            <w:tcBorders>
              <w:top w:val="nil"/>
              <w:left w:val="nil"/>
              <w:bottom w:val="single" w:color="000000" w:sz="8" w:space="0"/>
              <w:right w:val="single" w:color="000000" w:sz="8" w:space="0"/>
            </w:tcBorders>
            <w:vAlign w:val="center"/>
          </w:tcPr>
          <w:p w14:paraId="26B72617">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2054" w:type="dxa"/>
            <w:tcBorders>
              <w:top w:val="nil"/>
              <w:left w:val="nil"/>
              <w:bottom w:val="single" w:color="000000" w:sz="8" w:space="0"/>
              <w:right w:val="single" w:color="000000" w:sz="8" w:space="0"/>
            </w:tcBorders>
            <w:vAlign w:val="center"/>
          </w:tcPr>
          <w:p w14:paraId="0632D628">
            <w:pPr>
              <w:widowControl/>
              <w:jc w:val="center"/>
              <w:rPr>
                <w:rFonts w:hint="eastAsia" w:ascii="宋体" w:hAnsi="宋体" w:cs="宋体"/>
                <w:color w:val="000000"/>
                <w:kern w:val="0"/>
                <w:szCs w:val="21"/>
              </w:rPr>
            </w:pPr>
            <w:r>
              <w:rPr>
                <w:rFonts w:hint="eastAsia" w:ascii="宋体" w:hAnsi="宋体" w:cs="宋体"/>
                <w:color w:val="000000"/>
                <w:kern w:val="0"/>
                <w:szCs w:val="21"/>
              </w:rPr>
              <w:t>崧泽广场、夏阳湖</w:t>
            </w:r>
          </w:p>
        </w:tc>
      </w:tr>
      <w:tr w14:paraId="6FFB10AF">
        <w:tblPrEx>
          <w:tblCellMar>
            <w:top w:w="0" w:type="dxa"/>
            <w:left w:w="108" w:type="dxa"/>
            <w:bottom w:w="0" w:type="dxa"/>
            <w:right w:w="108" w:type="dxa"/>
          </w:tblCellMar>
        </w:tblPrEx>
        <w:trPr>
          <w:trHeight w:val="624" w:hRule="atLeast"/>
        </w:trPr>
        <w:tc>
          <w:tcPr>
            <w:tcW w:w="875" w:type="dxa"/>
            <w:tcBorders>
              <w:top w:val="single" w:color="auto" w:sz="4" w:space="0"/>
              <w:left w:val="single" w:color="auto" w:sz="4" w:space="0"/>
              <w:bottom w:val="single" w:color="auto" w:sz="4" w:space="0"/>
              <w:right w:val="single" w:color="auto" w:sz="4" w:space="0"/>
            </w:tcBorders>
            <w:vAlign w:val="center"/>
          </w:tcPr>
          <w:p w14:paraId="2E97BD08">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579" w:type="dxa"/>
            <w:gridSpan w:val="2"/>
            <w:tcBorders>
              <w:top w:val="single" w:color="auto" w:sz="4" w:space="0"/>
              <w:left w:val="single" w:color="auto" w:sz="4" w:space="0"/>
              <w:bottom w:val="single" w:color="auto" w:sz="4" w:space="0"/>
              <w:right w:val="single" w:color="auto" w:sz="4" w:space="0"/>
            </w:tcBorders>
            <w:vAlign w:val="center"/>
          </w:tcPr>
          <w:p w14:paraId="46AD3495">
            <w:pPr>
              <w:widowControl/>
              <w:jc w:val="center"/>
              <w:rPr>
                <w:rFonts w:ascii="宋体" w:hAnsi="宋体" w:cs="宋体"/>
                <w:color w:val="000000"/>
                <w:kern w:val="0"/>
                <w:szCs w:val="21"/>
              </w:rPr>
            </w:pPr>
            <w:r>
              <w:rPr>
                <w:rFonts w:hint="eastAsia" w:ascii="宋体" w:hAnsi="宋体" w:cs="宋体"/>
                <w:color w:val="000000"/>
                <w:kern w:val="0"/>
                <w:szCs w:val="21"/>
              </w:rPr>
              <w:t>设施维护</w:t>
            </w:r>
          </w:p>
        </w:tc>
        <w:tc>
          <w:tcPr>
            <w:tcW w:w="1860" w:type="dxa"/>
            <w:tcBorders>
              <w:top w:val="nil"/>
              <w:left w:val="single" w:color="auto" w:sz="4" w:space="0"/>
              <w:bottom w:val="single" w:color="000000" w:sz="8" w:space="0"/>
              <w:right w:val="single" w:color="000000" w:sz="8" w:space="0"/>
            </w:tcBorders>
            <w:vAlign w:val="center"/>
          </w:tcPr>
          <w:p w14:paraId="1D7E4EA5">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63" w:type="dxa"/>
            <w:tcBorders>
              <w:top w:val="nil"/>
              <w:left w:val="nil"/>
              <w:bottom w:val="single" w:color="000000" w:sz="8" w:space="0"/>
              <w:right w:val="single" w:color="000000" w:sz="8" w:space="0"/>
            </w:tcBorders>
            <w:vAlign w:val="center"/>
          </w:tcPr>
          <w:p w14:paraId="18938CA2">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2054" w:type="dxa"/>
            <w:tcBorders>
              <w:top w:val="nil"/>
              <w:left w:val="nil"/>
              <w:bottom w:val="single" w:color="000000" w:sz="8" w:space="0"/>
              <w:right w:val="single" w:color="000000" w:sz="8" w:space="0"/>
            </w:tcBorders>
            <w:vAlign w:val="center"/>
          </w:tcPr>
          <w:p w14:paraId="095905B4">
            <w:pPr>
              <w:widowControl/>
              <w:jc w:val="center"/>
              <w:rPr>
                <w:rFonts w:hint="eastAsia" w:ascii="宋体" w:hAnsi="宋体" w:cs="宋体"/>
                <w:color w:val="000000"/>
                <w:kern w:val="0"/>
                <w:szCs w:val="21"/>
              </w:rPr>
            </w:pPr>
            <w:r>
              <w:rPr>
                <w:rFonts w:hint="eastAsia" w:ascii="宋体" w:hAnsi="宋体" w:cs="宋体"/>
                <w:color w:val="000000"/>
                <w:kern w:val="0"/>
                <w:szCs w:val="21"/>
              </w:rPr>
              <w:t>崧泽广场、夏阳湖</w:t>
            </w:r>
          </w:p>
        </w:tc>
      </w:tr>
    </w:tbl>
    <w:p w14:paraId="43C4A02A">
      <w:pPr>
        <w:pStyle w:val="12"/>
        <w:spacing w:before="62"/>
        <w:jc w:val="both"/>
      </w:pPr>
    </w:p>
    <w:p w14:paraId="04B6C964">
      <w:pPr>
        <w:pStyle w:val="12"/>
        <w:spacing w:before="62"/>
      </w:pPr>
      <w:r>
        <w:rPr>
          <w:rFonts w:hint="eastAsia" w:ascii="黑体" w:hAnsi="黑体" w:eastAsia="黑体" w:cs="宋体"/>
          <w:bCs/>
          <w:kern w:val="0"/>
          <w:sz w:val="32"/>
          <w:szCs w:val="32"/>
        </w:rPr>
        <w:t>崧泽广场设施维护明细表</w:t>
      </w:r>
    </w:p>
    <w:tbl>
      <w:tblPr>
        <w:tblStyle w:val="6"/>
        <w:tblW w:w="7859" w:type="dxa"/>
        <w:jc w:val="center"/>
        <w:tblLayout w:type="fixed"/>
        <w:tblCellMar>
          <w:top w:w="0" w:type="dxa"/>
          <w:left w:w="108" w:type="dxa"/>
          <w:bottom w:w="0" w:type="dxa"/>
          <w:right w:w="108" w:type="dxa"/>
        </w:tblCellMar>
      </w:tblPr>
      <w:tblGrid>
        <w:gridCol w:w="1083"/>
        <w:gridCol w:w="3193"/>
        <w:gridCol w:w="2227"/>
        <w:gridCol w:w="1356"/>
      </w:tblGrid>
      <w:tr w14:paraId="144A341D">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6131D9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序号</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731B485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名称</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5D516E8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数量</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34D51F3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单位</w:t>
            </w:r>
          </w:p>
        </w:tc>
      </w:tr>
      <w:tr w14:paraId="194DE6E4">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CC7CFA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278EC7A5">
            <w:pPr>
              <w:widowControl/>
              <w:jc w:val="left"/>
              <w:textAlignment w:val="center"/>
              <w:rPr>
                <w:rFonts w:hint="eastAsia" w:ascii="宋体" w:hAnsi="宋体" w:cs="宋体"/>
                <w:color w:val="000000"/>
                <w:szCs w:val="21"/>
              </w:rPr>
            </w:pPr>
            <w:r>
              <w:rPr>
                <w:rStyle w:val="16"/>
                <w:rFonts w:hint="default"/>
                <w:sz w:val="21"/>
                <w:szCs w:val="21"/>
              </w:rPr>
              <w:t>地面</w:t>
            </w:r>
            <w:r>
              <w:rPr>
                <w:rStyle w:val="17"/>
                <w:rFonts w:hint="default"/>
                <w:sz w:val="21"/>
                <w:szCs w:val="21"/>
              </w:rPr>
              <w:t>(地砖)</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776C193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23057.79</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3D59D9E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52CFC8E8">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04F574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1A98AFD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地面(花式)</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0B76189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571.22</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34EA5C8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555E9074">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F8C6A5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4FC6275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地面(混凝土)</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166D93A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255.84</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3C096B6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63ECD4FC">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EFE77B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73FE972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地面(汀步)</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700A2DA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171.02</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60B24B4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1B3EC38B">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D86A12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0E8B8152">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景观池</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0720B0D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2057.9</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1AB5D08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72DB015E">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EA9B77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193" w:type="dxa"/>
            <w:tcBorders>
              <w:top w:val="single" w:color="000000" w:sz="4" w:space="0"/>
              <w:left w:val="single" w:color="000000" w:sz="4" w:space="0"/>
              <w:bottom w:val="single" w:color="000000" w:sz="4" w:space="0"/>
              <w:right w:val="single" w:color="000000" w:sz="4" w:space="0"/>
            </w:tcBorders>
            <w:vAlign w:val="center"/>
          </w:tcPr>
          <w:p w14:paraId="25EA059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景观休息廊</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16C985D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419.8</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1A43AE9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0720A362">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268DF2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w:t>
            </w:r>
          </w:p>
        </w:tc>
        <w:tc>
          <w:tcPr>
            <w:tcW w:w="3193" w:type="dxa"/>
            <w:tcBorders>
              <w:top w:val="single" w:color="000000" w:sz="4" w:space="0"/>
              <w:left w:val="single" w:color="000000" w:sz="4" w:space="0"/>
              <w:bottom w:val="single" w:color="000000" w:sz="4" w:space="0"/>
              <w:right w:val="single" w:color="000000" w:sz="4" w:space="0"/>
            </w:tcBorders>
            <w:vAlign w:val="center"/>
          </w:tcPr>
          <w:p w14:paraId="2F42764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花坛（绿化挡土墙）</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45B3CAB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3375.42</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3C0CC51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5DEE2918">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263545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w:t>
            </w:r>
          </w:p>
        </w:tc>
        <w:tc>
          <w:tcPr>
            <w:tcW w:w="3193" w:type="dxa"/>
            <w:tcBorders>
              <w:top w:val="single" w:color="000000" w:sz="4" w:space="0"/>
              <w:left w:val="single" w:color="000000" w:sz="4" w:space="0"/>
              <w:bottom w:val="single" w:color="000000" w:sz="4" w:space="0"/>
              <w:right w:val="single" w:color="000000" w:sz="4" w:space="0"/>
            </w:tcBorders>
            <w:vAlign w:val="center"/>
          </w:tcPr>
          <w:p w14:paraId="1FDF003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花坛（博物馆水池挡土墙）</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6D94DE9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317.55</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696960B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2AAADD62">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A33AA4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9</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3E65E4A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休息椅</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715908B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14.4</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134B9C8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29C20F97">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79DB0D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5472228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公示牌（清洁）</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1C3EA41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59532DC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项</w:t>
            </w:r>
          </w:p>
        </w:tc>
      </w:tr>
      <w:tr w14:paraId="3F139994">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EDAB76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11</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2112D282">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装饰球</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7C8059B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19.4</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62E2D7C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23C92A33">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8AD1DA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12</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53634C0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浮雕</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58E22EE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684.9</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31F6C37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12067CF1">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03FFF7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13</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0DE8789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水篦子</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77FB191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197</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20B3B48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454B3A42">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487D83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14</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4F7B552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房屋内设备</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4DAC546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38.4</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209291B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60183909">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46B94F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7C01F7D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音响</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6B1EABD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4.8</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54B63E4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345D776E">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CDBBDC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16</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16FCA530">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显示屏</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72E2868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112</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4BDA73D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r w14:paraId="234F77E2">
        <w:tblPrEx>
          <w:tblCellMar>
            <w:top w:w="0" w:type="dxa"/>
            <w:left w:w="108" w:type="dxa"/>
            <w:bottom w:w="0" w:type="dxa"/>
            <w:right w:w="108" w:type="dxa"/>
          </w:tblCellMar>
        </w:tblPrEx>
        <w:trPr>
          <w:trHeight w:val="327"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9C5E46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17</w:t>
            </w:r>
          </w:p>
        </w:tc>
        <w:tc>
          <w:tcPr>
            <w:tcW w:w="3193" w:type="dxa"/>
            <w:tcBorders>
              <w:top w:val="single" w:color="000000" w:sz="4" w:space="0"/>
              <w:left w:val="single" w:color="000000" w:sz="4" w:space="0"/>
              <w:bottom w:val="single" w:color="000000" w:sz="4" w:space="0"/>
              <w:right w:val="single" w:color="000000" w:sz="4" w:space="0"/>
            </w:tcBorders>
            <w:noWrap/>
            <w:vAlign w:val="center"/>
          </w:tcPr>
          <w:p w14:paraId="1117D80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柱体</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3FC92A1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28AD242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m2</w:t>
            </w:r>
          </w:p>
        </w:tc>
      </w:tr>
    </w:tbl>
    <w:p w14:paraId="6F4A99CF">
      <w:pPr>
        <w:spacing w:line="560" w:lineRule="exact"/>
        <w:jc w:val="center"/>
        <w:rPr>
          <w:rFonts w:hint="eastAsia" w:ascii="宋体" w:hAnsi="宋体"/>
          <w:szCs w:val="21"/>
        </w:rPr>
      </w:pPr>
      <w:r>
        <w:rPr>
          <w:rFonts w:hint="eastAsia" w:ascii="黑体" w:hAnsi="黑体" w:eastAsia="黑体" w:cs="宋体"/>
          <w:bCs/>
          <w:kern w:val="0"/>
          <w:sz w:val="32"/>
          <w:szCs w:val="32"/>
        </w:rPr>
        <w:t>夏阳湖设施维护明细表</w:t>
      </w:r>
    </w:p>
    <w:tbl>
      <w:tblPr>
        <w:tblStyle w:val="6"/>
        <w:tblW w:w="7918" w:type="dxa"/>
        <w:jc w:val="center"/>
        <w:tblLayout w:type="fixed"/>
        <w:tblCellMar>
          <w:top w:w="0" w:type="dxa"/>
          <w:left w:w="108" w:type="dxa"/>
          <w:bottom w:w="0" w:type="dxa"/>
          <w:right w:w="108" w:type="dxa"/>
        </w:tblCellMar>
      </w:tblPr>
      <w:tblGrid>
        <w:gridCol w:w="1083"/>
        <w:gridCol w:w="3222"/>
        <w:gridCol w:w="2215"/>
        <w:gridCol w:w="1398"/>
      </w:tblGrid>
      <w:tr w14:paraId="7194C6AD">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700F1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序号</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0616D8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名称</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0D8B95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数量</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182A4E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单位</w:t>
            </w:r>
          </w:p>
        </w:tc>
      </w:tr>
      <w:tr w14:paraId="17F6A0E6">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F2352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547009B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地面(地砖）</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7F26BD46">
            <w:pPr>
              <w:widowControl/>
              <w:jc w:val="center"/>
              <w:textAlignment w:val="center"/>
              <w:rPr>
                <w:rFonts w:hint="eastAsia" w:ascii="宋体" w:hAnsi="宋体" w:cs="宋体"/>
                <w:sz w:val="22"/>
                <w:szCs w:val="22"/>
              </w:rPr>
            </w:pPr>
            <w:r>
              <w:rPr>
                <w:rFonts w:hint="eastAsia" w:ascii="宋体" w:hAnsi="宋体" w:cs="宋体"/>
                <w:kern w:val="0"/>
                <w:sz w:val="22"/>
                <w:szCs w:val="22"/>
              </w:rPr>
              <w:t>4648.3</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49483A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m2</w:t>
            </w:r>
          </w:p>
        </w:tc>
      </w:tr>
      <w:tr w14:paraId="76D3E283">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276EB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3EAECC1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地面(木栈道)</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16EC8523">
            <w:pPr>
              <w:widowControl/>
              <w:jc w:val="center"/>
              <w:textAlignment w:val="center"/>
              <w:rPr>
                <w:rFonts w:hint="eastAsia" w:ascii="宋体" w:hAnsi="宋体" w:cs="宋体"/>
                <w:sz w:val="22"/>
                <w:szCs w:val="22"/>
              </w:rPr>
            </w:pPr>
            <w:r>
              <w:rPr>
                <w:rFonts w:hint="eastAsia" w:ascii="宋体" w:hAnsi="宋体" w:cs="宋体"/>
                <w:kern w:val="0"/>
                <w:sz w:val="22"/>
                <w:szCs w:val="22"/>
              </w:rPr>
              <w:t>830.7</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372BE1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m2</w:t>
            </w:r>
          </w:p>
        </w:tc>
      </w:tr>
      <w:tr w14:paraId="15414C15">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A4249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29380ED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地面(沥青)</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38AF5274">
            <w:pPr>
              <w:widowControl/>
              <w:jc w:val="center"/>
              <w:textAlignment w:val="center"/>
              <w:rPr>
                <w:rFonts w:hint="eastAsia" w:ascii="宋体" w:hAnsi="宋体" w:cs="宋体"/>
                <w:sz w:val="22"/>
                <w:szCs w:val="22"/>
              </w:rPr>
            </w:pPr>
            <w:r>
              <w:rPr>
                <w:rFonts w:hint="eastAsia" w:ascii="宋体" w:hAnsi="宋体" w:cs="宋体"/>
                <w:kern w:val="0"/>
                <w:sz w:val="22"/>
                <w:szCs w:val="22"/>
              </w:rPr>
              <w:t>1365.6</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0D887F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m2</w:t>
            </w:r>
          </w:p>
        </w:tc>
      </w:tr>
      <w:tr w14:paraId="17CF3B8B">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73A1C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5D7387E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地面(塑胶)</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4E624C1A">
            <w:pPr>
              <w:widowControl/>
              <w:jc w:val="center"/>
              <w:textAlignment w:val="center"/>
              <w:rPr>
                <w:rFonts w:hint="eastAsia" w:ascii="宋体" w:hAnsi="宋体" w:cs="宋体"/>
                <w:sz w:val="22"/>
                <w:szCs w:val="22"/>
              </w:rPr>
            </w:pPr>
            <w:r>
              <w:rPr>
                <w:rFonts w:hint="eastAsia" w:ascii="宋体" w:hAnsi="宋体" w:cs="宋体"/>
                <w:kern w:val="0"/>
                <w:sz w:val="22"/>
                <w:szCs w:val="22"/>
              </w:rPr>
              <w:t>3356.2</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299143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m2</w:t>
            </w:r>
          </w:p>
        </w:tc>
      </w:tr>
      <w:tr w14:paraId="266DC4F7">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94107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4A84AC6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景观池</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39844248">
            <w:pPr>
              <w:widowControl/>
              <w:jc w:val="center"/>
              <w:textAlignment w:val="center"/>
              <w:rPr>
                <w:rFonts w:hint="eastAsia" w:ascii="宋体" w:hAnsi="宋体" w:cs="宋体"/>
                <w:sz w:val="22"/>
                <w:szCs w:val="22"/>
              </w:rPr>
            </w:pPr>
            <w:r>
              <w:rPr>
                <w:rFonts w:hint="eastAsia" w:ascii="宋体" w:hAnsi="宋体" w:cs="宋体"/>
                <w:kern w:val="0"/>
                <w:sz w:val="22"/>
                <w:szCs w:val="22"/>
              </w:rPr>
              <w:t>879.9</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09CAEB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m2</w:t>
            </w:r>
          </w:p>
        </w:tc>
      </w:tr>
      <w:tr w14:paraId="196A788F">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E66FE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33A53CF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栅栏</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2B322F69">
            <w:pPr>
              <w:widowControl/>
              <w:jc w:val="center"/>
              <w:textAlignment w:val="center"/>
              <w:rPr>
                <w:rFonts w:hint="eastAsia" w:ascii="宋体" w:hAnsi="宋体" w:cs="宋体"/>
                <w:sz w:val="22"/>
                <w:szCs w:val="22"/>
              </w:rPr>
            </w:pPr>
            <w:r>
              <w:rPr>
                <w:rFonts w:hint="eastAsia" w:ascii="宋体" w:hAnsi="宋体" w:cs="宋体"/>
                <w:kern w:val="0"/>
                <w:sz w:val="22"/>
                <w:szCs w:val="22"/>
              </w:rPr>
              <w:t>214</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52FBA0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m2</w:t>
            </w:r>
          </w:p>
        </w:tc>
      </w:tr>
      <w:tr w14:paraId="665D250A">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329FD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4DC4030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花坛（绿化挡土墙）</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21DC0B1C">
            <w:pPr>
              <w:widowControl/>
              <w:jc w:val="center"/>
              <w:textAlignment w:val="center"/>
              <w:rPr>
                <w:rFonts w:hint="eastAsia" w:ascii="宋体" w:hAnsi="宋体" w:cs="宋体"/>
                <w:sz w:val="22"/>
                <w:szCs w:val="22"/>
              </w:rPr>
            </w:pPr>
            <w:r>
              <w:rPr>
                <w:rFonts w:hint="eastAsia" w:ascii="宋体" w:hAnsi="宋体" w:cs="宋体"/>
                <w:kern w:val="0"/>
                <w:sz w:val="22"/>
                <w:szCs w:val="22"/>
              </w:rPr>
              <w:t>1206.73</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61A5CF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m2</w:t>
            </w:r>
          </w:p>
        </w:tc>
      </w:tr>
      <w:tr w14:paraId="238C8F71">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4BFA8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2A33017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景观休息廊</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583593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499.9</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7C0716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m2</w:t>
            </w:r>
          </w:p>
        </w:tc>
      </w:tr>
      <w:tr w14:paraId="60F1C26E">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32954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43F2DE5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休息椅</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573994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92.4</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368A28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m2</w:t>
            </w:r>
          </w:p>
        </w:tc>
      </w:tr>
      <w:tr w14:paraId="5CEF518F">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95AE5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7CEFC16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镀锌栅</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26F937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25</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03341F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m2</w:t>
            </w:r>
          </w:p>
        </w:tc>
      </w:tr>
      <w:tr w14:paraId="75A4C85E">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455BD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5FD5C71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警示桩</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4D75D3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303686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m2</w:t>
            </w:r>
          </w:p>
        </w:tc>
      </w:tr>
      <w:tr w14:paraId="58BC3B2E">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98155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0F2EB1D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公示牌（清洁）</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146829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2D703C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项</w:t>
            </w:r>
          </w:p>
        </w:tc>
      </w:tr>
      <w:tr w14:paraId="0033C722">
        <w:tblPrEx>
          <w:tblCellMar>
            <w:top w:w="0" w:type="dxa"/>
            <w:left w:w="108" w:type="dxa"/>
            <w:bottom w:w="0" w:type="dxa"/>
            <w:right w:w="108" w:type="dxa"/>
          </w:tblCellMar>
        </w:tblPrEx>
        <w:trPr>
          <w:trHeight w:val="270" w:hRule="atLeast"/>
          <w:jc w:val="center"/>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76C5D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w:t>
            </w:r>
          </w:p>
        </w:tc>
        <w:tc>
          <w:tcPr>
            <w:tcW w:w="3222" w:type="dxa"/>
            <w:tcBorders>
              <w:top w:val="single" w:color="000000" w:sz="4" w:space="0"/>
              <w:left w:val="single" w:color="000000" w:sz="4" w:space="0"/>
              <w:bottom w:val="single" w:color="000000" w:sz="4" w:space="0"/>
              <w:right w:val="single" w:color="000000" w:sz="4" w:space="0"/>
            </w:tcBorders>
            <w:noWrap/>
            <w:vAlign w:val="center"/>
          </w:tcPr>
          <w:p w14:paraId="2D46D73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球体</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64F943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03B0EA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m2</w:t>
            </w:r>
          </w:p>
        </w:tc>
      </w:tr>
    </w:tbl>
    <w:p w14:paraId="04D4C621">
      <w:pPr>
        <w:pStyle w:val="11"/>
        <w:spacing w:line="560" w:lineRule="exact"/>
        <w:ind w:firstLine="0" w:firstLineChars="0"/>
        <w:rPr>
          <w:rFonts w:ascii="宋体" w:hAnsi="宋体"/>
          <w:szCs w:val="21"/>
        </w:rPr>
      </w:pPr>
    </w:p>
    <w:p w14:paraId="5BA5122E">
      <w:pPr>
        <w:widowControl/>
        <w:spacing w:line="500" w:lineRule="exact"/>
        <w:ind w:firstLine="422" w:firstLineChars="200"/>
        <w:jc w:val="left"/>
        <w:rPr>
          <w:rFonts w:ascii="宋体" w:hAnsi="宋体" w:cs="仿宋"/>
          <w:b/>
          <w:kern w:val="0"/>
          <w:szCs w:val="21"/>
        </w:rPr>
      </w:pPr>
      <w:r>
        <w:rPr>
          <w:rFonts w:hint="eastAsia" w:ascii="宋体" w:hAnsi="宋体" w:cs="仿宋"/>
          <w:b/>
          <w:kern w:val="0"/>
          <w:szCs w:val="21"/>
        </w:rPr>
        <w:t>九、付款方式</w:t>
      </w:r>
    </w:p>
    <w:p w14:paraId="08B8B1CC">
      <w:pPr>
        <w:widowControl/>
        <w:spacing w:line="500" w:lineRule="exact"/>
        <w:ind w:firstLine="420" w:firstLineChars="200"/>
        <w:jc w:val="left"/>
        <w:rPr>
          <w:rFonts w:ascii="宋体" w:hAnsi="宋体" w:cs="仿宋"/>
          <w:bCs/>
          <w:szCs w:val="21"/>
        </w:rPr>
      </w:pPr>
      <w:r>
        <w:rPr>
          <w:rFonts w:hint="eastAsia" w:ascii="宋体" w:hAnsi="宋体" w:cs="仿宋"/>
          <w:bCs/>
          <w:szCs w:val="21"/>
        </w:rPr>
        <w:t>1、该项目根据考核方案，实行每月考核，季度支付。其中道路、公厕、果壳箱、河道等保洁的考核由区市容环境中心牵头实施，支付金额与考核结果挂钩进行结算。绿化养护经费由区绿化所根据实际工作量及考核结果确认作业经费后由本项目进行支出支付。</w:t>
      </w:r>
    </w:p>
    <w:p w14:paraId="0F49C969">
      <w:pPr>
        <w:spacing w:line="360" w:lineRule="auto"/>
        <w:ind w:firstLine="420" w:firstLineChars="200"/>
        <w:rPr>
          <w:rFonts w:hint="eastAsia" w:ascii="宋体" w:hAnsi="宋体" w:cs="仿宋"/>
          <w:bCs/>
          <w:szCs w:val="21"/>
        </w:rPr>
      </w:pPr>
      <w:r>
        <w:rPr>
          <w:rFonts w:hint="eastAsia" w:ascii="宋体" w:hAnsi="宋体" w:cs="仿宋"/>
          <w:szCs w:val="21"/>
        </w:rPr>
        <w:t>2、</w:t>
      </w:r>
      <w:r>
        <w:rPr>
          <w:rFonts w:hint="eastAsia" w:ascii="宋体" w:hAnsi="宋体" w:cs="仿宋"/>
          <w:color w:val="auto"/>
          <w:szCs w:val="21"/>
        </w:rPr>
        <w:t>各考核项目实行单项每月检查考核，并按照道路保洁、设施保洁、河道保洁、绿化养护考核实得分与该单项考核项目</w:t>
      </w:r>
      <w:r>
        <w:rPr>
          <w:rFonts w:hint="eastAsia" w:ascii="宋体" w:hAnsi="宋体" w:cs="仿宋"/>
          <w:color w:val="auto"/>
          <w:szCs w:val="21"/>
          <w:lang w:eastAsia="zh-CN"/>
        </w:rPr>
        <w:t>每月</w:t>
      </w:r>
      <w:r>
        <w:rPr>
          <w:rFonts w:hint="eastAsia" w:ascii="宋体" w:hAnsi="宋体" w:cs="仿宋"/>
          <w:color w:val="auto"/>
          <w:szCs w:val="21"/>
        </w:rPr>
        <w:t>养护保洁经费进行挂钩。</w:t>
      </w:r>
      <w:r>
        <w:rPr>
          <w:rFonts w:hint="eastAsia" w:ascii="宋体" w:hAnsi="宋体" w:cs="仿宋"/>
          <w:szCs w:val="21"/>
        </w:rPr>
        <w:t>道路保洁、设施保洁、河道保洁</w:t>
      </w:r>
      <w:r>
        <w:rPr>
          <w:rFonts w:hint="eastAsia" w:ascii="宋体" w:hAnsi="宋体" w:cs="仿宋"/>
          <w:kern w:val="0"/>
          <w:szCs w:val="21"/>
        </w:rPr>
        <w:t>原则上按考核成绩90分以上，支付季度全额费用；按考核得分大于85分小于90分，每低于1分，扣除该项目季度经费的1%；按考核得分大于80分小于85分，每低于1分，扣除该项目季度经费的2%；按考核得分80分以下的，每低于1分，扣除该项目季度经费的3%；</w:t>
      </w:r>
      <w:r>
        <w:rPr>
          <w:rFonts w:hint="eastAsia" w:ascii="宋体" w:hAnsi="宋体" w:cs="仿宋"/>
          <w:color w:val="auto"/>
          <w:kern w:val="0"/>
          <w:szCs w:val="21"/>
        </w:rPr>
        <w:t>考核分低于80以下发生一次，除扣除相应作业经费以外，并约谈企业负责人；二次，将企业列入清退名单范围，并发出书面警告通知；三次将直接终止服务协议，取消环卫作业许可。</w:t>
      </w:r>
      <w:r>
        <w:rPr>
          <w:rFonts w:hint="eastAsia" w:ascii="宋体" w:hAnsi="宋体"/>
          <w:bCs/>
          <w:kern w:val="0"/>
          <w:szCs w:val="21"/>
        </w:rPr>
        <w:t>绿化养护</w:t>
      </w:r>
      <w:r>
        <w:rPr>
          <w:rFonts w:hint="eastAsia" w:ascii="宋体" w:hAnsi="宋体"/>
          <w:bCs/>
          <w:szCs w:val="21"/>
        </w:rPr>
        <w:t>中一级绿地养护考核分90分（含90分）作为养护费发放基准分，二级绿地养护考核分80分（含80分）作为养护费发放基准分，三级绿地养护考核分70分（含70分）作为养护费发放基准分；当次考核分低于基准分5分以内的（包括5分），每下降1分，养护费核扣0.5%；当次考核分低于基准分5分以下的，每下降1分，养护费下降1%，以此类推。</w:t>
      </w:r>
    </w:p>
    <w:p w14:paraId="7D8885A5">
      <w:pPr>
        <w:spacing w:line="500" w:lineRule="exact"/>
        <w:ind w:firstLine="420" w:firstLineChars="200"/>
        <w:rPr>
          <w:rFonts w:ascii="宋体" w:hAnsi="宋体" w:cs="仿宋"/>
          <w:szCs w:val="21"/>
        </w:rPr>
      </w:pPr>
      <w:r>
        <w:rPr>
          <w:rFonts w:hint="eastAsia" w:ascii="宋体" w:hAnsi="宋体" w:cs="仿宋"/>
          <w:szCs w:val="21"/>
        </w:rPr>
        <w:t>3、</w:t>
      </w:r>
      <w:r>
        <w:rPr>
          <w:rFonts w:hint="eastAsia" w:ascii="宋体" w:hAnsi="宋体"/>
          <w:szCs w:val="21"/>
        </w:rPr>
        <w:t>该项目采用联合投标方式，按照招标文件规定，涉及环卫作业、绿化养护、河道保洁作业产生经费可根据季度考核结果，支付给联合投标牵头单位一家。</w:t>
      </w:r>
      <w:r>
        <w:rPr>
          <w:rFonts w:hint="eastAsia" w:ascii="宋体" w:hAnsi="宋体" w:cs="仿宋"/>
          <w:szCs w:val="21"/>
        </w:rPr>
        <w:t>。</w:t>
      </w:r>
    </w:p>
    <w:p w14:paraId="7E2666AD">
      <w:pPr>
        <w:spacing w:line="500" w:lineRule="exact"/>
        <w:ind w:firstLine="420" w:firstLineChars="200"/>
        <w:rPr>
          <w:rFonts w:hint="eastAsia" w:ascii="宋体" w:hAnsi="宋体"/>
          <w:szCs w:val="21"/>
        </w:rPr>
      </w:pPr>
      <w:r>
        <w:rPr>
          <w:rFonts w:hint="eastAsia" w:ascii="宋体" w:hAnsi="宋体"/>
          <w:szCs w:val="21"/>
        </w:rPr>
        <w:t>4、本项目未明确中标企业，正式签订服务协议前，涉及道路保洁、绿化养护、河道保洁等作业经费仍参照原预算安排资金和标准按实结算。</w:t>
      </w:r>
    </w:p>
    <w:p w14:paraId="27355B42">
      <w:pPr>
        <w:widowControl/>
        <w:spacing w:line="500" w:lineRule="exact"/>
        <w:ind w:left="640"/>
        <w:jc w:val="left"/>
        <w:rPr>
          <w:rFonts w:ascii="宋体" w:hAnsi="宋体" w:cs="仿宋"/>
          <w:b/>
          <w:kern w:val="0"/>
          <w:szCs w:val="21"/>
        </w:rPr>
      </w:pPr>
      <w:r>
        <w:rPr>
          <w:rFonts w:hint="eastAsia" w:ascii="宋体" w:hAnsi="宋体" w:cs="仿宋"/>
          <w:b/>
          <w:kern w:val="0"/>
          <w:szCs w:val="21"/>
        </w:rPr>
        <w:t>十、考核办法</w:t>
      </w:r>
    </w:p>
    <w:p w14:paraId="448E76C2">
      <w:pPr>
        <w:pStyle w:val="11"/>
        <w:spacing w:line="560" w:lineRule="exact"/>
        <w:rPr>
          <w:rFonts w:hint="eastAsia" w:ascii="宋体" w:hAnsi="宋体" w:cs="仿宋"/>
          <w:szCs w:val="21"/>
        </w:rPr>
      </w:pPr>
      <w:r>
        <w:rPr>
          <w:rFonts w:hint="eastAsia" w:ascii="宋体" w:hAnsi="宋体" w:cs="仿宋"/>
          <w:szCs w:val="21"/>
        </w:rPr>
        <w:t>为切实提升崧泽广场、夏阳湖一体化养护保洁水平，确保日常管理作业达到规范标准和要求。一体化养护保洁将实行每月考核。具体考核方案由区绿化市容局另行制订，并会同相关部门、街道共同实施。</w:t>
      </w:r>
    </w:p>
    <w:p w14:paraId="031E8072">
      <w:pPr>
        <w:widowControl/>
        <w:spacing w:line="500" w:lineRule="exact"/>
        <w:ind w:left="640"/>
        <w:jc w:val="left"/>
        <w:rPr>
          <w:rFonts w:hint="eastAsia" w:ascii="宋体" w:hAnsi="宋体" w:cs="仿宋"/>
          <w:b/>
          <w:kern w:val="0"/>
          <w:szCs w:val="21"/>
        </w:rPr>
      </w:pPr>
      <w:r>
        <w:rPr>
          <w:rFonts w:hint="eastAsia" w:ascii="宋体" w:hAnsi="宋体" w:cs="仿宋"/>
          <w:b/>
          <w:kern w:val="0"/>
          <w:szCs w:val="21"/>
        </w:rPr>
        <w:t>十一、绿化养护责任规定</w:t>
      </w:r>
    </w:p>
    <w:p w14:paraId="7C36F94B">
      <w:pPr>
        <w:spacing w:line="360" w:lineRule="auto"/>
        <w:ind w:firstLine="420" w:firstLineChars="200"/>
        <w:rPr>
          <w:rFonts w:ascii="宋体" w:hAnsi="宋体"/>
          <w:bCs/>
          <w:color w:val="auto"/>
          <w:szCs w:val="21"/>
        </w:rPr>
      </w:pPr>
      <w:r>
        <w:rPr>
          <w:rFonts w:hint="eastAsia" w:ascii="宋体" w:hAnsi="宋体"/>
          <w:bCs/>
          <w:color w:val="auto"/>
          <w:szCs w:val="21"/>
        </w:rPr>
        <w:t>1、因养护公司自行巡查不到位，未及时发现、制止绿地范围内乱开挖等毁绿现象，未及时上报的，由养护公司自行修复；修复不到位的，由管理部门开具“整改通知单”限期整改，并处以2000—20000元处罚；无理由拒绝整改或无原因整改不力的，管理部门有权安排第三方代为进行整改，相应费用由养护责任单位承担，并将限制其参与青浦城区绿化养护管理；</w:t>
      </w:r>
    </w:p>
    <w:p w14:paraId="74A15A9F">
      <w:pPr>
        <w:spacing w:line="360" w:lineRule="auto"/>
        <w:ind w:firstLine="420" w:firstLineChars="200"/>
        <w:rPr>
          <w:rFonts w:ascii="宋体" w:hAnsi="宋体"/>
          <w:bCs/>
          <w:color w:val="auto"/>
          <w:szCs w:val="21"/>
        </w:rPr>
      </w:pPr>
      <w:r>
        <w:rPr>
          <w:rFonts w:hint="eastAsia" w:ascii="宋体" w:hAnsi="宋体"/>
          <w:bCs/>
          <w:color w:val="auto"/>
          <w:szCs w:val="21"/>
        </w:rPr>
        <w:t>2、养护公司未经管理部门批准，擅自同意并参与公园绿地范围内开挖等事件的，管理部门有权追究养护公司责任，并终止养护合同、限制其参与青浦城区绿化养护管理；</w:t>
      </w:r>
    </w:p>
    <w:p w14:paraId="7255A5EA">
      <w:pPr>
        <w:spacing w:line="360" w:lineRule="auto"/>
        <w:ind w:firstLine="420" w:firstLineChars="200"/>
        <w:rPr>
          <w:rFonts w:ascii="宋体" w:hAnsi="宋体"/>
          <w:bCs/>
          <w:color w:val="auto"/>
          <w:szCs w:val="21"/>
        </w:rPr>
      </w:pPr>
      <w:r>
        <w:rPr>
          <w:rFonts w:hint="eastAsia" w:ascii="宋体" w:hAnsi="宋体"/>
          <w:bCs/>
          <w:color w:val="auto"/>
          <w:szCs w:val="21"/>
        </w:rPr>
        <w:t>3、加强劳动保护，养护公司应配备职工识别服，作业时着装统一，应采取相应安全防护措施，确保良好的作业条件,养护作业中被发现安全文明措施不到位的，每项、每次处以200-2000元处罚；</w:t>
      </w:r>
    </w:p>
    <w:p w14:paraId="11B2B696">
      <w:pPr>
        <w:spacing w:line="360" w:lineRule="auto"/>
        <w:ind w:firstLine="420" w:firstLineChars="200"/>
        <w:rPr>
          <w:rFonts w:ascii="宋体" w:hAnsi="宋体"/>
          <w:bCs/>
          <w:color w:val="auto"/>
          <w:szCs w:val="21"/>
        </w:rPr>
      </w:pPr>
      <w:r>
        <w:rPr>
          <w:rFonts w:hint="eastAsia" w:ascii="宋体" w:hAnsi="宋体"/>
          <w:bCs/>
          <w:color w:val="auto"/>
          <w:szCs w:val="21"/>
        </w:rPr>
        <w:t>4、因养护作业不当，发生安全事故的，由养护公司承担相应责任，并负责消除影响；若发生亡人事故的，实行“一票否决”制，管理部门有权单方面终止养护合同，依法追究养护公司的经济、法律责任，并限制其参与青浦城区绿化养护管理；</w:t>
      </w:r>
    </w:p>
    <w:p w14:paraId="699D54B1">
      <w:pPr>
        <w:spacing w:line="360" w:lineRule="auto"/>
        <w:ind w:firstLine="420" w:firstLineChars="200"/>
        <w:rPr>
          <w:rFonts w:ascii="宋体" w:hAnsi="宋体"/>
          <w:bCs/>
          <w:color w:val="auto"/>
          <w:szCs w:val="21"/>
        </w:rPr>
      </w:pPr>
      <w:r>
        <w:rPr>
          <w:rFonts w:hint="eastAsia" w:ascii="宋体" w:hAnsi="宋体"/>
          <w:bCs/>
          <w:color w:val="auto"/>
          <w:szCs w:val="21"/>
        </w:rPr>
        <w:t>5、对于养护公司养护范围内发生网格化案件、市民投诉及相关部门要求的，由相关管理部门、科室根据责任关系布置到相关养护公司，养护公司须按要求按时落实到位；对处置不力的，由管理部门开具“整改通知单”限期整改，并处以2000—20000元处罚；无理由拒绝整改或无原因整改不力的，管理部门有权安排第三方代为进行整改，相应费用由责任单位承担，并将限制其参与青浦城区绿化养护管理；</w:t>
      </w:r>
    </w:p>
    <w:p w14:paraId="689DE0E3">
      <w:pPr>
        <w:spacing w:line="360" w:lineRule="auto"/>
        <w:ind w:firstLine="420" w:firstLineChars="200"/>
        <w:rPr>
          <w:rFonts w:ascii="宋体" w:hAnsi="宋体"/>
          <w:bCs/>
          <w:color w:val="auto"/>
          <w:szCs w:val="21"/>
        </w:rPr>
      </w:pPr>
      <w:r>
        <w:rPr>
          <w:rFonts w:hint="eastAsia" w:ascii="宋体" w:hAnsi="宋体"/>
          <w:bCs/>
          <w:color w:val="auto"/>
          <w:szCs w:val="21"/>
        </w:rPr>
        <w:t>6、在灾害性天气或突发事件中，养护公司不按管理部门要求做好相应准备，不及时响应到岗到位，或处置不力，造成重大不良影响的，给予2000—20000元处罚，并将限制其参与青浦城区绿化养护项目投标；</w:t>
      </w:r>
    </w:p>
    <w:p w14:paraId="7D95704A">
      <w:pPr>
        <w:spacing w:line="360" w:lineRule="auto"/>
        <w:ind w:firstLine="420" w:firstLineChars="200"/>
        <w:rPr>
          <w:rFonts w:ascii="宋体" w:hAnsi="宋体"/>
          <w:bCs/>
          <w:color w:val="auto"/>
          <w:szCs w:val="21"/>
        </w:rPr>
      </w:pPr>
      <w:r>
        <w:rPr>
          <w:rFonts w:hint="eastAsia" w:ascii="宋体" w:hAnsi="宋体"/>
          <w:bCs/>
          <w:color w:val="auto"/>
          <w:szCs w:val="21"/>
        </w:rPr>
        <w:t>7、按养护合同切实加强养护，提升管养水平，确保养护作业符合技术规范、标准要求，相应养护内容若在各类专业考核中考评分为最后1名的标段，给予扣除相应部分的养护费；</w:t>
      </w:r>
    </w:p>
    <w:p w14:paraId="1D02EDDA">
      <w:pPr>
        <w:spacing w:line="360" w:lineRule="auto"/>
        <w:ind w:firstLine="420" w:firstLineChars="200"/>
        <w:rPr>
          <w:rFonts w:ascii="宋体" w:hAnsi="宋体"/>
          <w:bCs/>
          <w:color w:val="auto"/>
          <w:szCs w:val="21"/>
        </w:rPr>
      </w:pPr>
      <w:r>
        <w:rPr>
          <w:rFonts w:hint="eastAsia" w:ascii="宋体" w:hAnsi="宋体"/>
          <w:bCs/>
          <w:color w:val="auto"/>
          <w:szCs w:val="21"/>
        </w:rPr>
        <w:t>全年每季度考核平均分数低于标准分数的，实行“一票否决”，将限制相应养护公司参与青浦城区绿化养护管理；</w:t>
      </w:r>
    </w:p>
    <w:p w14:paraId="4166EDAA">
      <w:pPr>
        <w:numPr>
          <w:ilvl w:val="0"/>
          <w:numId w:val="0"/>
        </w:numPr>
        <w:spacing w:line="360" w:lineRule="auto"/>
        <w:ind w:leftChars="0" w:firstLine="420" w:firstLineChars="200"/>
        <w:rPr>
          <w:rFonts w:hint="eastAsia" w:ascii="宋体" w:hAnsi="宋体"/>
          <w:bCs/>
          <w:color w:val="auto"/>
          <w:szCs w:val="21"/>
        </w:rPr>
      </w:pPr>
      <w:r>
        <w:rPr>
          <w:rFonts w:hint="eastAsia" w:ascii="宋体" w:hAnsi="宋体"/>
          <w:bCs/>
          <w:color w:val="auto"/>
          <w:szCs w:val="21"/>
          <w:lang w:val="en-US" w:eastAsia="zh-CN"/>
        </w:rPr>
        <w:t>8、</w:t>
      </w:r>
      <w:r>
        <w:rPr>
          <w:rFonts w:hint="eastAsia" w:ascii="宋体" w:hAnsi="宋体"/>
          <w:bCs/>
          <w:color w:val="auto"/>
          <w:szCs w:val="21"/>
        </w:rPr>
        <w:t>因养护作业不当、不力、不及时，被市民投诉、被媒体曝光，或在相关区级以上检查中被点名存在问题，或被上级领导和部门点名批评的，经核实后，每次（处）给予扣罚养护费2000—20000元；整改不力的，由管理部门委托第三方代为整改，相应费用由养护责任公司承担，并将限制其参与青浦城区绿化养护管理。</w:t>
      </w:r>
    </w:p>
    <w:tbl>
      <w:tblPr>
        <w:tblStyle w:val="6"/>
        <w:tblpPr w:leftFromText="180" w:rightFromText="180" w:vertAnchor="page" w:horzAnchor="margin" w:tblpXSpec="center" w:tblpY="11026"/>
        <w:tblW w:w="9879" w:type="dxa"/>
        <w:tblInd w:w="0" w:type="dxa"/>
        <w:tblLayout w:type="fixed"/>
        <w:tblCellMar>
          <w:top w:w="0" w:type="dxa"/>
          <w:left w:w="108" w:type="dxa"/>
          <w:bottom w:w="0" w:type="dxa"/>
          <w:right w:w="108" w:type="dxa"/>
        </w:tblCellMar>
      </w:tblPr>
      <w:tblGrid>
        <w:gridCol w:w="817"/>
        <w:gridCol w:w="709"/>
        <w:gridCol w:w="1003"/>
        <w:gridCol w:w="270"/>
        <w:gridCol w:w="877"/>
        <w:gridCol w:w="1515"/>
        <w:gridCol w:w="1320"/>
        <w:gridCol w:w="998"/>
        <w:gridCol w:w="1275"/>
        <w:gridCol w:w="1095"/>
      </w:tblGrid>
      <w:tr w14:paraId="0D9A2C30">
        <w:tblPrEx>
          <w:tblCellMar>
            <w:top w:w="0" w:type="dxa"/>
            <w:left w:w="108" w:type="dxa"/>
            <w:bottom w:w="0" w:type="dxa"/>
            <w:right w:w="108" w:type="dxa"/>
          </w:tblCellMar>
        </w:tblPrEx>
        <w:trPr>
          <w:trHeight w:val="340" w:hRule="atLeast"/>
        </w:trPr>
        <w:tc>
          <w:tcPr>
            <w:tcW w:w="9879" w:type="dxa"/>
            <w:gridSpan w:val="10"/>
            <w:noWrap/>
            <w:vAlign w:val="center"/>
          </w:tcPr>
          <w:p w14:paraId="225B8DB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青浦城区绿化养护考核情况汇总（   年度第   季度）</w:t>
            </w:r>
          </w:p>
        </w:tc>
      </w:tr>
      <w:tr w14:paraId="4EDFAF73">
        <w:tblPrEx>
          <w:tblCellMar>
            <w:top w:w="0" w:type="dxa"/>
            <w:left w:w="108" w:type="dxa"/>
            <w:bottom w:w="0" w:type="dxa"/>
            <w:right w:w="108" w:type="dxa"/>
          </w:tblCellMar>
        </w:tblPrEx>
        <w:trPr>
          <w:trHeight w:val="340" w:hRule="atLeast"/>
        </w:trPr>
        <w:tc>
          <w:tcPr>
            <w:tcW w:w="817" w:type="dxa"/>
            <w:noWrap/>
            <w:vAlign w:val="center"/>
          </w:tcPr>
          <w:p w14:paraId="751EF0AF">
            <w:pPr>
              <w:widowControl/>
              <w:spacing w:line="360" w:lineRule="auto"/>
              <w:jc w:val="center"/>
              <w:rPr>
                <w:rFonts w:ascii="宋体" w:hAnsi="宋体" w:cs="宋体"/>
                <w:color w:val="auto"/>
                <w:kern w:val="0"/>
                <w:szCs w:val="21"/>
              </w:rPr>
            </w:pPr>
          </w:p>
        </w:tc>
        <w:tc>
          <w:tcPr>
            <w:tcW w:w="709" w:type="dxa"/>
            <w:noWrap/>
            <w:vAlign w:val="center"/>
          </w:tcPr>
          <w:p w14:paraId="7103AA3C">
            <w:pPr>
              <w:widowControl/>
              <w:spacing w:line="360" w:lineRule="auto"/>
              <w:jc w:val="center"/>
              <w:rPr>
                <w:rFonts w:ascii="宋体" w:hAnsi="宋体"/>
                <w:color w:val="auto"/>
                <w:kern w:val="0"/>
                <w:szCs w:val="21"/>
              </w:rPr>
            </w:pPr>
          </w:p>
        </w:tc>
        <w:tc>
          <w:tcPr>
            <w:tcW w:w="1003" w:type="dxa"/>
            <w:noWrap/>
            <w:vAlign w:val="center"/>
          </w:tcPr>
          <w:p w14:paraId="4094FF03">
            <w:pPr>
              <w:widowControl/>
              <w:spacing w:line="360" w:lineRule="auto"/>
              <w:jc w:val="center"/>
              <w:rPr>
                <w:rFonts w:ascii="宋体" w:hAnsi="宋体"/>
                <w:color w:val="auto"/>
                <w:kern w:val="0"/>
                <w:szCs w:val="21"/>
              </w:rPr>
            </w:pPr>
          </w:p>
        </w:tc>
        <w:tc>
          <w:tcPr>
            <w:tcW w:w="270" w:type="dxa"/>
            <w:noWrap/>
            <w:vAlign w:val="center"/>
          </w:tcPr>
          <w:p w14:paraId="560B3A8F">
            <w:pPr>
              <w:widowControl/>
              <w:spacing w:line="360" w:lineRule="auto"/>
              <w:jc w:val="center"/>
              <w:rPr>
                <w:rFonts w:ascii="宋体" w:hAnsi="宋体"/>
                <w:color w:val="auto"/>
                <w:kern w:val="0"/>
                <w:szCs w:val="21"/>
              </w:rPr>
            </w:pPr>
          </w:p>
        </w:tc>
        <w:tc>
          <w:tcPr>
            <w:tcW w:w="877" w:type="dxa"/>
            <w:noWrap/>
            <w:vAlign w:val="center"/>
          </w:tcPr>
          <w:p w14:paraId="0C3E85E3">
            <w:pPr>
              <w:widowControl/>
              <w:spacing w:line="360" w:lineRule="auto"/>
              <w:jc w:val="center"/>
              <w:rPr>
                <w:rFonts w:ascii="宋体" w:hAnsi="宋体"/>
                <w:color w:val="auto"/>
                <w:kern w:val="0"/>
                <w:szCs w:val="21"/>
              </w:rPr>
            </w:pPr>
          </w:p>
        </w:tc>
        <w:tc>
          <w:tcPr>
            <w:tcW w:w="1515" w:type="dxa"/>
            <w:noWrap/>
            <w:vAlign w:val="center"/>
          </w:tcPr>
          <w:p w14:paraId="55F0C49F">
            <w:pPr>
              <w:widowControl/>
              <w:spacing w:line="360" w:lineRule="auto"/>
              <w:jc w:val="center"/>
              <w:rPr>
                <w:rFonts w:ascii="宋体" w:hAnsi="宋体"/>
                <w:color w:val="auto"/>
                <w:kern w:val="0"/>
                <w:szCs w:val="21"/>
              </w:rPr>
            </w:pPr>
          </w:p>
        </w:tc>
        <w:tc>
          <w:tcPr>
            <w:tcW w:w="1320" w:type="dxa"/>
            <w:noWrap/>
            <w:vAlign w:val="center"/>
          </w:tcPr>
          <w:p w14:paraId="357E82B8">
            <w:pPr>
              <w:widowControl/>
              <w:spacing w:line="360" w:lineRule="auto"/>
              <w:jc w:val="center"/>
              <w:rPr>
                <w:rFonts w:ascii="宋体" w:hAnsi="宋体"/>
                <w:color w:val="auto"/>
                <w:kern w:val="0"/>
                <w:szCs w:val="21"/>
              </w:rPr>
            </w:pPr>
          </w:p>
        </w:tc>
        <w:tc>
          <w:tcPr>
            <w:tcW w:w="998" w:type="dxa"/>
            <w:noWrap/>
            <w:vAlign w:val="center"/>
          </w:tcPr>
          <w:p w14:paraId="4B378741">
            <w:pPr>
              <w:widowControl/>
              <w:spacing w:line="360" w:lineRule="auto"/>
              <w:jc w:val="center"/>
              <w:rPr>
                <w:rFonts w:ascii="宋体" w:hAnsi="宋体"/>
                <w:color w:val="auto"/>
                <w:kern w:val="0"/>
                <w:szCs w:val="21"/>
              </w:rPr>
            </w:pPr>
          </w:p>
        </w:tc>
        <w:tc>
          <w:tcPr>
            <w:tcW w:w="1275" w:type="dxa"/>
            <w:tcBorders>
              <w:bottom w:val="single" w:color="auto" w:sz="4" w:space="0"/>
            </w:tcBorders>
            <w:noWrap/>
            <w:vAlign w:val="center"/>
          </w:tcPr>
          <w:p w14:paraId="1D4DCF53">
            <w:pPr>
              <w:widowControl/>
              <w:spacing w:line="360" w:lineRule="auto"/>
              <w:rPr>
                <w:rFonts w:ascii="宋体" w:hAnsi="宋体"/>
                <w:color w:val="auto"/>
                <w:kern w:val="0"/>
                <w:szCs w:val="21"/>
              </w:rPr>
            </w:pPr>
          </w:p>
        </w:tc>
        <w:tc>
          <w:tcPr>
            <w:tcW w:w="1095" w:type="dxa"/>
            <w:tcBorders>
              <w:bottom w:val="single" w:color="auto" w:sz="4" w:space="0"/>
            </w:tcBorders>
            <w:noWrap/>
            <w:vAlign w:val="center"/>
          </w:tcPr>
          <w:p w14:paraId="58017E1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单位：元</w:t>
            </w:r>
          </w:p>
        </w:tc>
      </w:tr>
      <w:tr w14:paraId="1B6774F2">
        <w:tblPrEx>
          <w:tblCellMar>
            <w:top w:w="0" w:type="dxa"/>
            <w:left w:w="108" w:type="dxa"/>
            <w:bottom w:w="0" w:type="dxa"/>
            <w:right w:w="108" w:type="dxa"/>
          </w:tblCellMar>
        </w:tblPrEx>
        <w:trPr>
          <w:trHeight w:val="402" w:hRule="atLeast"/>
        </w:trPr>
        <w:tc>
          <w:tcPr>
            <w:tcW w:w="817" w:type="dxa"/>
            <w:vMerge w:val="restart"/>
            <w:tcBorders>
              <w:top w:val="single" w:color="auto" w:sz="4" w:space="0"/>
              <w:left w:val="single" w:color="auto" w:sz="4" w:space="0"/>
              <w:bottom w:val="single" w:color="auto" w:sz="4" w:space="0"/>
              <w:right w:val="single" w:color="auto" w:sz="4" w:space="0"/>
            </w:tcBorders>
            <w:noWrap/>
            <w:vAlign w:val="center"/>
          </w:tcPr>
          <w:p w14:paraId="1F91F72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标段</w:t>
            </w:r>
          </w:p>
        </w:tc>
        <w:tc>
          <w:tcPr>
            <w:tcW w:w="709" w:type="dxa"/>
            <w:vMerge w:val="restart"/>
            <w:tcBorders>
              <w:top w:val="single" w:color="auto" w:sz="4" w:space="0"/>
              <w:left w:val="single" w:color="auto" w:sz="4" w:space="0"/>
              <w:bottom w:val="single" w:color="auto" w:sz="4" w:space="0"/>
              <w:right w:val="single" w:color="auto" w:sz="4" w:space="0"/>
            </w:tcBorders>
            <w:noWrap/>
            <w:vAlign w:val="center"/>
          </w:tcPr>
          <w:p w14:paraId="21B18BF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等级</w:t>
            </w:r>
          </w:p>
        </w:tc>
        <w:tc>
          <w:tcPr>
            <w:tcW w:w="1003" w:type="dxa"/>
            <w:vMerge w:val="restart"/>
            <w:tcBorders>
              <w:top w:val="single" w:color="auto" w:sz="4" w:space="0"/>
              <w:left w:val="single" w:color="auto" w:sz="4" w:space="0"/>
              <w:bottom w:val="single" w:color="auto" w:sz="4" w:space="0"/>
              <w:right w:val="single" w:color="auto" w:sz="4" w:space="0"/>
            </w:tcBorders>
            <w:noWrap/>
            <w:vAlign w:val="center"/>
          </w:tcPr>
          <w:p w14:paraId="6640099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投标价（半年）</w:t>
            </w:r>
          </w:p>
        </w:tc>
        <w:tc>
          <w:tcPr>
            <w:tcW w:w="4980" w:type="dxa"/>
            <w:gridSpan w:val="5"/>
            <w:tcBorders>
              <w:top w:val="single" w:color="auto" w:sz="4" w:space="0"/>
              <w:left w:val="nil"/>
              <w:bottom w:val="single" w:color="auto" w:sz="4" w:space="0"/>
              <w:right w:val="single" w:color="auto" w:sz="4" w:space="0"/>
            </w:tcBorders>
            <w:noWrap/>
            <w:vAlign w:val="center"/>
          </w:tcPr>
          <w:p w14:paraId="19890BF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考核得分情况</w:t>
            </w:r>
          </w:p>
        </w:tc>
        <w:tc>
          <w:tcPr>
            <w:tcW w:w="1275" w:type="dxa"/>
            <w:vMerge w:val="restart"/>
            <w:tcBorders>
              <w:top w:val="single" w:color="auto" w:sz="4" w:space="0"/>
              <w:left w:val="single" w:color="auto" w:sz="4" w:space="0"/>
              <w:bottom w:val="single" w:color="auto" w:sz="4" w:space="0"/>
              <w:right w:val="single" w:color="auto" w:sz="4" w:space="0"/>
            </w:tcBorders>
            <w:noWrap/>
            <w:vAlign w:val="center"/>
          </w:tcPr>
          <w:p w14:paraId="32C3FA9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核减资金</w:t>
            </w:r>
          </w:p>
        </w:tc>
        <w:tc>
          <w:tcPr>
            <w:tcW w:w="1095" w:type="dxa"/>
            <w:vMerge w:val="restart"/>
            <w:tcBorders>
              <w:top w:val="single" w:color="auto" w:sz="4" w:space="0"/>
              <w:left w:val="single" w:color="auto" w:sz="4" w:space="0"/>
              <w:bottom w:val="single" w:color="auto" w:sz="4" w:space="0"/>
              <w:right w:val="single" w:color="auto" w:sz="4" w:space="0"/>
            </w:tcBorders>
            <w:noWrap/>
            <w:vAlign w:val="center"/>
          </w:tcPr>
          <w:p w14:paraId="4BF143A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备注</w:t>
            </w:r>
          </w:p>
        </w:tc>
      </w:tr>
      <w:tr w14:paraId="09F10A26">
        <w:tblPrEx>
          <w:tblCellMar>
            <w:top w:w="0" w:type="dxa"/>
            <w:left w:w="108" w:type="dxa"/>
            <w:bottom w:w="0" w:type="dxa"/>
            <w:right w:w="108" w:type="dxa"/>
          </w:tblCellMar>
        </w:tblPrEx>
        <w:trPr>
          <w:trHeight w:val="600"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2B02E96">
            <w:pPr>
              <w:widowControl/>
              <w:spacing w:line="360" w:lineRule="auto"/>
              <w:jc w:val="left"/>
              <w:rPr>
                <w:rFonts w:ascii="宋体" w:hAnsi="宋体" w:cs="宋体"/>
                <w:color w:val="auto"/>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8161F1D">
            <w:pPr>
              <w:widowControl/>
              <w:spacing w:line="360" w:lineRule="auto"/>
              <w:jc w:val="left"/>
              <w:rPr>
                <w:rFonts w:ascii="宋体" w:hAnsi="宋体" w:cs="宋体"/>
                <w:color w:val="auto"/>
                <w:kern w:val="0"/>
                <w:szCs w:val="21"/>
              </w:rPr>
            </w:pPr>
          </w:p>
        </w:tc>
        <w:tc>
          <w:tcPr>
            <w:tcW w:w="1003" w:type="dxa"/>
            <w:vMerge w:val="continue"/>
            <w:tcBorders>
              <w:top w:val="single" w:color="auto" w:sz="4" w:space="0"/>
              <w:left w:val="single" w:color="auto" w:sz="4" w:space="0"/>
              <w:bottom w:val="single" w:color="auto" w:sz="4" w:space="0"/>
              <w:right w:val="single" w:color="auto" w:sz="4" w:space="0"/>
            </w:tcBorders>
            <w:vAlign w:val="center"/>
          </w:tcPr>
          <w:p w14:paraId="2EBD9AA3">
            <w:pPr>
              <w:widowControl/>
              <w:spacing w:line="360" w:lineRule="auto"/>
              <w:jc w:val="left"/>
              <w:rPr>
                <w:rFonts w:ascii="宋体" w:hAnsi="宋体" w:cs="宋体"/>
                <w:color w:val="auto"/>
                <w:kern w:val="0"/>
                <w:szCs w:val="21"/>
              </w:rPr>
            </w:pPr>
          </w:p>
        </w:tc>
        <w:tc>
          <w:tcPr>
            <w:tcW w:w="1147" w:type="dxa"/>
            <w:gridSpan w:val="2"/>
            <w:tcBorders>
              <w:top w:val="nil"/>
              <w:left w:val="nil"/>
              <w:bottom w:val="single" w:color="auto" w:sz="4" w:space="0"/>
              <w:right w:val="single" w:color="auto" w:sz="4" w:space="0"/>
            </w:tcBorders>
            <w:noWrap/>
            <w:vAlign w:val="center"/>
          </w:tcPr>
          <w:p w14:paraId="4993C7F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所</w:t>
            </w:r>
          </w:p>
        </w:tc>
        <w:tc>
          <w:tcPr>
            <w:tcW w:w="1515" w:type="dxa"/>
            <w:tcBorders>
              <w:top w:val="nil"/>
              <w:left w:val="nil"/>
              <w:bottom w:val="single" w:color="auto" w:sz="4" w:space="0"/>
              <w:right w:val="single" w:color="auto" w:sz="4" w:space="0"/>
            </w:tcBorders>
            <w:noWrap/>
            <w:vAlign w:val="center"/>
          </w:tcPr>
          <w:p w14:paraId="216C7A0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第三方</w:t>
            </w:r>
          </w:p>
        </w:tc>
        <w:tc>
          <w:tcPr>
            <w:tcW w:w="1320" w:type="dxa"/>
            <w:tcBorders>
              <w:top w:val="nil"/>
              <w:left w:val="nil"/>
              <w:bottom w:val="single" w:color="auto" w:sz="4" w:space="0"/>
              <w:right w:val="single" w:color="auto" w:sz="4" w:space="0"/>
            </w:tcBorders>
            <w:noWrap/>
            <w:vAlign w:val="center"/>
          </w:tcPr>
          <w:p w14:paraId="0A12516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整改扣分</w:t>
            </w:r>
          </w:p>
        </w:tc>
        <w:tc>
          <w:tcPr>
            <w:tcW w:w="998" w:type="dxa"/>
            <w:tcBorders>
              <w:top w:val="nil"/>
              <w:left w:val="nil"/>
              <w:bottom w:val="single" w:color="auto" w:sz="4" w:space="0"/>
              <w:right w:val="single" w:color="auto" w:sz="4" w:space="0"/>
            </w:tcBorders>
            <w:noWrap/>
            <w:vAlign w:val="center"/>
          </w:tcPr>
          <w:p w14:paraId="53465D1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实得分</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6194D15">
            <w:pPr>
              <w:widowControl/>
              <w:spacing w:line="360" w:lineRule="auto"/>
              <w:jc w:val="left"/>
              <w:rPr>
                <w:rFonts w:ascii="宋体" w:hAnsi="宋体" w:cs="宋体"/>
                <w:color w:val="auto"/>
                <w:kern w:val="0"/>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63B25003">
            <w:pPr>
              <w:widowControl/>
              <w:spacing w:line="360" w:lineRule="auto"/>
              <w:jc w:val="left"/>
              <w:rPr>
                <w:rFonts w:ascii="宋体" w:hAnsi="宋体" w:cs="宋体"/>
                <w:color w:val="auto"/>
                <w:kern w:val="0"/>
                <w:szCs w:val="21"/>
              </w:rPr>
            </w:pPr>
          </w:p>
        </w:tc>
      </w:tr>
      <w:tr w14:paraId="0AA30136">
        <w:tblPrEx>
          <w:tblCellMar>
            <w:top w:w="0" w:type="dxa"/>
            <w:left w:w="108" w:type="dxa"/>
            <w:bottom w:w="0" w:type="dxa"/>
            <w:right w:w="108" w:type="dxa"/>
          </w:tblCellMar>
        </w:tblPrEx>
        <w:trPr>
          <w:trHeight w:val="751" w:hRule="atLeast"/>
        </w:trPr>
        <w:tc>
          <w:tcPr>
            <w:tcW w:w="1526" w:type="dxa"/>
            <w:gridSpan w:val="2"/>
            <w:tcBorders>
              <w:top w:val="single" w:color="auto" w:sz="4" w:space="0"/>
              <w:left w:val="single" w:color="auto" w:sz="4" w:space="0"/>
              <w:bottom w:val="single" w:color="auto" w:sz="4" w:space="0"/>
              <w:right w:val="single" w:color="000000" w:sz="4" w:space="0"/>
            </w:tcBorders>
            <w:noWrap/>
            <w:vAlign w:val="center"/>
          </w:tcPr>
          <w:p w14:paraId="33629F22">
            <w:pPr>
              <w:widowControl/>
              <w:spacing w:line="360" w:lineRule="auto"/>
              <w:jc w:val="center"/>
              <w:rPr>
                <w:rFonts w:ascii="宋体" w:hAnsi="宋体" w:cs="宋体"/>
                <w:color w:val="auto"/>
                <w:kern w:val="0"/>
                <w:szCs w:val="21"/>
              </w:rPr>
            </w:pPr>
          </w:p>
        </w:tc>
        <w:tc>
          <w:tcPr>
            <w:tcW w:w="1003" w:type="dxa"/>
            <w:tcBorders>
              <w:top w:val="nil"/>
              <w:left w:val="nil"/>
              <w:bottom w:val="single" w:color="auto" w:sz="4" w:space="0"/>
              <w:right w:val="single" w:color="auto" w:sz="4" w:space="0"/>
            </w:tcBorders>
            <w:noWrap/>
            <w:vAlign w:val="center"/>
          </w:tcPr>
          <w:p w14:paraId="0F71F335">
            <w:pPr>
              <w:widowControl/>
              <w:spacing w:line="360" w:lineRule="auto"/>
              <w:jc w:val="center"/>
              <w:rPr>
                <w:rFonts w:ascii="宋体" w:hAnsi="宋体" w:cs="宋体"/>
                <w:color w:val="auto"/>
                <w:kern w:val="0"/>
                <w:szCs w:val="21"/>
              </w:rPr>
            </w:pPr>
          </w:p>
        </w:tc>
        <w:tc>
          <w:tcPr>
            <w:tcW w:w="1147" w:type="dxa"/>
            <w:gridSpan w:val="2"/>
            <w:tcBorders>
              <w:top w:val="nil"/>
              <w:left w:val="nil"/>
              <w:bottom w:val="single" w:color="auto" w:sz="4" w:space="0"/>
              <w:right w:val="single" w:color="auto" w:sz="4" w:space="0"/>
            </w:tcBorders>
            <w:noWrap/>
            <w:vAlign w:val="center"/>
          </w:tcPr>
          <w:p w14:paraId="07A9F1FA">
            <w:pPr>
              <w:widowControl/>
              <w:spacing w:line="360" w:lineRule="auto"/>
              <w:jc w:val="center"/>
              <w:rPr>
                <w:rFonts w:ascii="宋体" w:hAnsi="宋体" w:cs="宋体"/>
                <w:color w:val="auto"/>
                <w:kern w:val="0"/>
                <w:szCs w:val="21"/>
              </w:rPr>
            </w:pPr>
          </w:p>
        </w:tc>
        <w:tc>
          <w:tcPr>
            <w:tcW w:w="1515" w:type="dxa"/>
            <w:tcBorders>
              <w:top w:val="nil"/>
              <w:left w:val="nil"/>
              <w:bottom w:val="single" w:color="auto" w:sz="4" w:space="0"/>
              <w:right w:val="single" w:color="auto" w:sz="4" w:space="0"/>
            </w:tcBorders>
            <w:noWrap/>
            <w:vAlign w:val="center"/>
          </w:tcPr>
          <w:p w14:paraId="130B8ED1">
            <w:pPr>
              <w:widowControl/>
              <w:spacing w:line="360" w:lineRule="auto"/>
              <w:jc w:val="center"/>
              <w:rPr>
                <w:rFonts w:ascii="宋体" w:hAnsi="宋体" w:cs="宋体"/>
                <w:color w:val="auto"/>
                <w:kern w:val="0"/>
                <w:szCs w:val="21"/>
              </w:rPr>
            </w:pPr>
          </w:p>
        </w:tc>
        <w:tc>
          <w:tcPr>
            <w:tcW w:w="1320" w:type="dxa"/>
            <w:tcBorders>
              <w:top w:val="nil"/>
              <w:left w:val="nil"/>
              <w:bottom w:val="single" w:color="auto" w:sz="4" w:space="0"/>
              <w:right w:val="single" w:color="auto" w:sz="4" w:space="0"/>
            </w:tcBorders>
            <w:noWrap/>
            <w:vAlign w:val="center"/>
          </w:tcPr>
          <w:p w14:paraId="5244D582">
            <w:pPr>
              <w:widowControl/>
              <w:spacing w:line="360" w:lineRule="auto"/>
              <w:jc w:val="center"/>
              <w:rPr>
                <w:rFonts w:ascii="宋体" w:hAnsi="宋体" w:cs="宋体"/>
                <w:color w:val="auto"/>
                <w:kern w:val="0"/>
                <w:szCs w:val="21"/>
              </w:rPr>
            </w:pPr>
          </w:p>
        </w:tc>
        <w:tc>
          <w:tcPr>
            <w:tcW w:w="998" w:type="dxa"/>
            <w:tcBorders>
              <w:top w:val="nil"/>
              <w:left w:val="nil"/>
              <w:bottom w:val="single" w:color="auto" w:sz="4" w:space="0"/>
              <w:right w:val="single" w:color="auto" w:sz="4" w:space="0"/>
            </w:tcBorders>
            <w:noWrap/>
            <w:vAlign w:val="center"/>
          </w:tcPr>
          <w:p w14:paraId="59CD9527">
            <w:pPr>
              <w:widowControl/>
              <w:spacing w:line="360" w:lineRule="auto"/>
              <w:jc w:val="center"/>
              <w:rPr>
                <w:rFonts w:ascii="宋体" w:hAnsi="宋体" w:cs="宋体"/>
                <w:color w:val="auto"/>
                <w:kern w:val="0"/>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F43CE44">
            <w:pPr>
              <w:widowControl/>
              <w:spacing w:line="360" w:lineRule="auto"/>
              <w:jc w:val="center"/>
              <w:rPr>
                <w:rFonts w:ascii="宋体" w:hAnsi="宋体" w:cs="宋体"/>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2D0FC4E">
            <w:pPr>
              <w:widowControl/>
              <w:spacing w:line="360" w:lineRule="auto"/>
              <w:jc w:val="center"/>
              <w:rPr>
                <w:rFonts w:ascii="宋体" w:hAnsi="宋体" w:cs="宋体"/>
                <w:color w:val="auto"/>
                <w:kern w:val="0"/>
                <w:szCs w:val="21"/>
              </w:rPr>
            </w:pPr>
          </w:p>
        </w:tc>
      </w:tr>
    </w:tbl>
    <w:p w14:paraId="42543A5E">
      <w:pPr>
        <w:spacing w:line="360" w:lineRule="auto"/>
        <w:rPr>
          <w:rFonts w:hint="eastAsia" w:ascii="宋体" w:hAnsi="宋体"/>
          <w:bCs/>
          <w:color w:val="auto"/>
          <w:szCs w:val="21"/>
        </w:rPr>
      </w:pPr>
    </w:p>
    <w:p w14:paraId="682DCEC1">
      <w:pPr>
        <w:widowControl/>
        <w:spacing w:line="500" w:lineRule="exact"/>
        <w:ind w:left="640"/>
        <w:jc w:val="left"/>
        <w:rPr>
          <w:rFonts w:ascii="宋体" w:hAnsi="宋体" w:cs="仿宋"/>
          <w:b/>
          <w:color w:val="auto"/>
          <w:kern w:val="0"/>
          <w:szCs w:val="21"/>
        </w:rPr>
      </w:pPr>
      <w:r>
        <w:rPr>
          <w:rFonts w:hint="eastAsia" w:ascii="宋体" w:hAnsi="宋体" w:cs="仿宋"/>
          <w:b/>
          <w:color w:val="auto"/>
          <w:kern w:val="0"/>
          <w:szCs w:val="21"/>
        </w:rPr>
        <w:t>十二、其它</w:t>
      </w:r>
    </w:p>
    <w:p w14:paraId="189BA4EC">
      <w:pPr>
        <w:spacing w:line="500" w:lineRule="exact"/>
        <w:ind w:firstLine="640"/>
        <w:rPr>
          <w:rFonts w:ascii="宋体" w:hAnsi="宋体" w:cs="仿宋"/>
          <w:szCs w:val="21"/>
        </w:rPr>
      </w:pPr>
      <w:r>
        <w:rPr>
          <w:rFonts w:hint="eastAsia" w:ascii="宋体" w:hAnsi="宋体" w:cs="仿宋"/>
          <w:szCs w:val="21"/>
        </w:rPr>
        <w:t>1、凡中标企业应与属地街镇签订诚信承诺书，自愿接受管理部门日常监督，保洁质量与作业经费实行考核挂钩，确保作业保洁达到标准要求。</w:t>
      </w:r>
    </w:p>
    <w:p w14:paraId="4DDDCE20">
      <w:pPr>
        <w:spacing w:line="500" w:lineRule="exact"/>
        <w:ind w:firstLine="640"/>
        <w:rPr>
          <w:rFonts w:ascii="宋体" w:hAnsi="宋体"/>
          <w:kern w:val="0"/>
          <w:szCs w:val="21"/>
        </w:rPr>
      </w:pPr>
      <w:r>
        <w:rPr>
          <w:rFonts w:hint="eastAsia" w:ascii="宋体" w:hAnsi="宋体" w:cs="仿宋"/>
          <w:szCs w:val="21"/>
        </w:rPr>
        <w:t>2、中标企业签订协议前，应提供岗位“五定”人员安排表。</w:t>
      </w:r>
    </w:p>
    <w:p w14:paraId="3D7F5DA0">
      <w:pPr>
        <w:spacing w:line="500" w:lineRule="exact"/>
        <w:ind w:firstLine="640"/>
        <w:rPr>
          <w:rFonts w:ascii="宋体" w:hAnsi="宋体" w:cs="仿宋"/>
          <w:szCs w:val="21"/>
        </w:rPr>
      </w:pPr>
      <w:r>
        <w:rPr>
          <w:rFonts w:hint="eastAsia" w:ascii="宋体" w:hAnsi="宋体" w:cs="仿宋"/>
          <w:szCs w:val="21"/>
        </w:rPr>
        <w:t>3、凡中标企业应为一线工作人员购买人身意外保险，切实保障企业员工生命、财产安全。</w:t>
      </w:r>
    </w:p>
    <w:p w14:paraId="51539935">
      <w:pPr>
        <w:spacing w:line="500" w:lineRule="exact"/>
        <w:ind w:firstLine="640"/>
        <w:rPr>
          <w:rFonts w:ascii="宋体" w:hAnsi="宋体" w:cs="仿宋"/>
          <w:szCs w:val="21"/>
        </w:rPr>
      </w:pPr>
      <w:r>
        <w:rPr>
          <w:rFonts w:hint="eastAsia" w:ascii="宋体" w:hAnsi="宋体" w:cs="仿宋"/>
          <w:szCs w:val="21"/>
        </w:rPr>
        <w:t>4、凡中标企业应建立应急处置队伍，制定应急处置方案，全力保障可能出现的应急突发事件。</w:t>
      </w:r>
    </w:p>
    <w:p w14:paraId="395E6842">
      <w:pPr>
        <w:spacing w:line="500" w:lineRule="exact"/>
        <w:ind w:firstLine="640"/>
        <w:rPr>
          <w:rFonts w:ascii="宋体" w:hAnsi="宋体" w:cs="仿宋"/>
          <w:szCs w:val="21"/>
        </w:rPr>
      </w:pPr>
    </w:p>
    <w:p w14:paraId="54876F26">
      <w:pPr>
        <w:spacing w:line="500" w:lineRule="exact"/>
        <w:ind w:firstLine="640"/>
        <w:rPr>
          <w:rFonts w:ascii="宋体" w:hAnsi="宋体" w:cs="仿宋"/>
          <w:szCs w:val="21"/>
        </w:rPr>
      </w:pPr>
      <w:r>
        <w:rPr>
          <w:rFonts w:hint="eastAsia" w:ascii="宋体" w:hAnsi="宋体" w:cs="仿宋"/>
          <w:szCs w:val="21"/>
        </w:rPr>
        <w:t>附件1：道路保洁考核评价细则</w:t>
      </w:r>
    </w:p>
    <w:p w14:paraId="3C46E0D0">
      <w:pPr>
        <w:spacing w:line="500" w:lineRule="exact"/>
        <w:ind w:firstLine="640"/>
        <w:rPr>
          <w:rFonts w:ascii="宋体" w:hAnsi="宋体" w:cs="仿宋"/>
          <w:szCs w:val="21"/>
        </w:rPr>
      </w:pPr>
      <w:r>
        <w:rPr>
          <w:rFonts w:hint="eastAsia" w:ascii="宋体" w:hAnsi="宋体" w:cs="仿宋"/>
          <w:szCs w:val="21"/>
        </w:rPr>
        <w:t>附件2：设施保洁考核评价细则（公厕、果壳箱）</w:t>
      </w:r>
    </w:p>
    <w:p w14:paraId="5042D66B">
      <w:pPr>
        <w:spacing w:line="500" w:lineRule="exact"/>
        <w:ind w:firstLine="640"/>
        <w:rPr>
          <w:rFonts w:ascii="宋体" w:hAnsi="宋体" w:cs="仿宋"/>
          <w:szCs w:val="21"/>
        </w:rPr>
      </w:pPr>
      <w:r>
        <w:rPr>
          <w:rFonts w:hint="eastAsia" w:ascii="宋体" w:hAnsi="宋体" w:cs="仿宋"/>
          <w:szCs w:val="21"/>
        </w:rPr>
        <w:t>附件3：水域保洁考核评价细则</w:t>
      </w:r>
    </w:p>
    <w:p w14:paraId="2639DDC8">
      <w:pPr>
        <w:pStyle w:val="11"/>
        <w:spacing w:line="560" w:lineRule="exact"/>
        <w:ind w:firstLine="630" w:firstLineChars="300"/>
        <w:rPr>
          <w:rFonts w:hint="eastAsia" w:ascii="宋体" w:hAnsi="宋体" w:cs="仿宋"/>
          <w:color w:val="auto"/>
          <w:szCs w:val="21"/>
        </w:rPr>
      </w:pPr>
      <w:r>
        <w:rPr>
          <w:rFonts w:hint="eastAsia" w:ascii="宋体" w:hAnsi="宋体" w:cs="仿宋"/>
          <w:color w:val="auto"/>
          <w:szCs w:val="21"/>
        </w:rPr>
        <w:t>附件4：青浦城区绿地养护作业考核评分表</w:t>
      </w:r>
    </w:p>
    <w:p w14:paraId="23D561B4">
      <w:pPr>
        <w:pStyle w:val="11"/>
        <w:spacing w:line="560" w:lineRule="exact"/>
        <w:rPr>
          <w:rFonts w:hint="eastAsia" w:ascii="宋体" w:hAnsi="宋体" w:cs="仿宋"/>
          <w:szCs w:val="21"/>
        </w:rPr>
      </w:pPr>
    </w:p>
    <w:p w14:paraId="317ECCC9">
      <w:pPr>
        <w:pStyle w:val="11"/>
        <w:spacing w:line="560" w:lineRule="exact"/>
        <w:rPr>
          <w:rFonts w:hint="eastAsia" w:ascii="宋体" w:hAnsi="宋体" w:cs="仿宋"/>
          <w:szCs w:val="21"/>
        </w:rPr>
      </w:pPr>
    </w:p>
    <w:p w14:paraId="33FDB78D">
      <w:pPr>
        <w:pStyle w:val="11"/>
        <w:spacing w:line="560" w:lineRule="exact"/>
        <w:rPr>
          <w:rFonts w:hint="eastAsia" w:ascii="宋体" w:hAnsi="宋体" w:cs="仿宋"/>
          <w:szCs w:val="21"/>
        </w:rPr>
      </w:pPr>
    </w:p>
    <w:p w14:paraId="673561AC">
      <w:pPr>
        <w:pStyle w:val="11"/>
        <w:spacing w:line="560" w:lineRule="exact"/>
        <w:rPr>
          <w:rFonts w:hint="eastAsia" w:ascii="宋体" w:hAnsi="宋体" w:cs="仿宋"/>
          <w:szCs w:val="21"/>
        </w:rPr>
      </w:pPr>
    </w:p>
    <w:p w14:paraId="474D3CCB">
      <w:pPr>
        <w:pStyle w:val="11"/>
        <w:spacing w:line="560" w:lineRule="exact"/>
        <w:rPr>
          <w:rFonts w:hint="eastAsia" w:ascii="宋体" w:hAnsi="宋体" w:cs="仿宋"/>
          <w:szCs w:val="21"/>
        </w:rPr>
      </w:pPr>
    </w:p>
    <w:p w14:paraId="63E97B1C">
      <w:pPr>
        <w:pStyle w:val="11"/>
        <w:spacing w:line="560" w:lineRule="exact"/>
        <w:rPr>
          <w:rFonts w:hint="eastAsia" w:ascii="宋体" w:hAnsi="宋体" w:cs="仿宋"/>
          <w:szCs w:val="21"/>
        </w:rPr>
      </w:pPr>
    </w:p>
    <w:p w14:paraId="584B3183">
      <w:pPr>
        <w:pStyle w:val="11"/>
        <w:spacing w:line="560" w:lineRule="exact"/>
        <w:rPr>
          <w:rFonts w:hint="eastAsia" w:ascii="宋体" w:hAnsi="宋体" w:cs="仿宋"/>
          <w:szCs w:val="21"/>
        </w:rPr>
      </w:pPr>
    </w:p>
    <w:p w14:paraId="08D3967B">
      <w:pPr>
        <w:pStyle w:val="11"/>
        <w:spacing w:line="560" w:lineRule="exact"/>
        <w:rPr>
          <w:rFonts w:hint="eastAsia" w:ascii="宋体" w:hAnsi="宋体" w:cs="仿宋"/>
          <w:szCs w:val="21"/>
        </w:rPr>
      </w:pPr>
    </w:p>
    <w:p w14:paraId="1970A774">
      <w:pPr>
        <w:pStyle w:val="11"/>
        <w:spacing w:line="560" w:lineRule="exact"/>
        <w:rPr>
          <w:rFonts w:hint="eastAsia" w:ascii="宋体" w:hAnsi="宋体" w:cs="仿宋"/>
          <w:szCs w:val="21"/>
        </w:rPr>
      </w:pPr>
    </w:p>
    <w:p w14:paraId="3EA4BB22">
      <w:pPr>
        <w:pStyle w:val="11"/>
        <w:spacing w:line="560" w:lineRule="exact"/>
        <w:rPr>
          <w:rFonts w:hint="eastAsia" w:ascii="宋体" w:hAnsi="宋体" w:cs="仿宋"/>
          <w:szCs w:val="21"/>
        </w:rPr>
      </w:pPr>
    </w:p>
    <w:p w14:paraId="0F81B6CE">
      <w:pPr>
        <w:pStyle w:val="11"/>
        <w:spacing w:line="560" w:lineRule="exact"/>
        <w:rPr>
          <w:rFonts w:hint="eastAsia" w:ascii="宋体" w:hAnsi="宋体" w:cs="仿宋"/>
          <w:szCs w:val="21"/>
        </w:rPr>
      </w:pPr>
    </w:p>
    <w:p w14:paraId="3A0119D9">
      <w:pPr>
        <w:pStyle w:val="11"/>
        <w:spacing w:line="560" w:lineRule="exact"/>
        <w:rPr>
          <w:rFonts w:hint="eastAsia" w:ascii="宋体" w:hAnsi="宋体" w:cs="仿宋"/>
          <w:szCs w:val="21"/>
        </w:rPr>
      </w:pPr>
    </w:p>
    <w:p w14:paraId="40FC7D87">
      <w:pPr>
        <w:pStyle w:val="11"/>
        <w:spacing w:line="560" w:lineRule="exact"/>
        <w:rPr>
          <w:rFonts w:hint="eastAsia" w:ascii="宋体" w:hAnsi="宋体" w:cs="仿宋"/>
          <w:szCs w:val="21"/>
        </w:rPr>
      </w:pPr>
    </w:p>
    <w:p w14:paraId="57F1B236">
      <w:pPr>
        <w:pStyle w:val="11"/>
        <w:spacing w:line="560" w:lineRule="exact"/>
        <w:rPr>
          <w:rFonts w:hint="eastAsia" w:ascii="宋体" w:hAnsi="宋体" w:cs="仿宋"/>
          <w:szCs w:val="21"/>
        </w:rPr>
      </w:pPr>
    </w:p>
    <w:p w14:paraId="22A85B10">
      <w:pPr>
        <w:pStyle w:val="11"/>
        <w:spacing w:line="560" w:lineRule="exact"/>
        <w:rPr>
          <w:rFonts w:hint="eastAsia" w:ascii="宋体" w:hAnsi="宋体" w:cs="仿宋"/>
          <w:szCs w:val="21"/>
        </w:rPr>
      </w:pPr>
    </w:p>
    <w:p w14:paraId="4CE2C31A">
      <w:pPr>
        <w:pStyle w:val="11"/>
        <w:spacing w:line="560" w:lineRule="exact"/>
        <w:rPr>
          <w:rFonts w:hint="eastAsia" w:ascii="宋体" w:hAnsi="宋体" w:cs="仿宋"/>
          <w:szCs w:val="21"/>
        </w:rPr>
        <w:sectPr>
          <w:pgSz w:w="11906" w:h="16838"/>
          <w:pgMar w:top="1440" w:right="1800" w:bottom="1440" w:left="1800" w:header="851" w:footer="992" w:gutter="0"/>
          <w:cols w:space="720" w:num="1"/>
          <w:docGrid w:type="lines" w:linePitch="312" w:charSpace="0"/>
        </w:sectPr>
      </w:pPr>
    </w:p>
    <w:tbl>
      <w:tblPr>
        <w:tblStyle w:val="6"/>
        <w:tblW w:w="13700" w:type="dxa"/>
        <w:tblInd w:w="93" w:type="dxa"/>
        <w:tblLayout w:type="fixed"/>
        <w:tblCellMar>
          <w:top w:w="0" w:type="dxa"/>
          <w:left w:w="108" w:type="dxa"/>
          <w:bottom w:w="0" w:type="dxa"/>
          <w:right w:w="108" w:type="dxa"/>
        </w:tblCellMar>
      </w:tblPr>
      <w:tblGrid>
        <w:gridCol w:w="908"/>
        <w:gridCol w:w="5238"/>
        <w:gridCol w:w="1286"/>
        <w:gridCol w:w="3325"/>
        <w:gridCol w:w="1357"/>
        <w:gridCol w:w="1586"/>
      </w:tblGrid>
      <w:tr w14:paraId="2821F581">
        <w:tblPrEx>
          <w:tblCellMar>
            <w:top w:w="0" w:type="dxa"/>
            <w:left w:w="108" w:type="dxa"/>
            <w:bottom w:w="0" w:type="dxa"/>
            <w:right w:w="108" w:type="dxa"/>
          </w:tblCellMar>
        </w:tblPrEx>
        <w:trPr>
          <w:trHeight w:val="285" w:hRule="atLeast"/>
        </w:trPr>
        <w:tc>
          <w:tcPr>
            <w:tcW w:w="13700" w:type="dxa"/>
            <w:gridSpan w:val="6"/>
            <w:tcBorders>
              <w:top w:val="nil"/>
              <w:left w:val="nil"/>
              <w:bottom w:val="nil"/>
              <w:right w:val="nil"/>
            </w:tcBorders>
            <w:noWrap/>
            <w:vAlign w:val="center"/>
          </w:tcPr>
          <w:p w14:paraId="71C9709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附件1：</w:t>
            </w:r>
          </w:p>
        </w:tc>
      </w:tr>
      <w:tr w14:paraId="54056997">
        <w:tblPrEx>
          <w:tblCellMar>
            <w:top w:w="0" w:type="dxa"/>
            <w:left w:w="108" w:type="dxa"/>
            <w:bottom w:w="0" w:type="dxa"/>
            <w:right w:w="108" w:type="dxa"/>
          </w:tblCellMar>
        </w:tblPrEx>
        <w:trPr>
          <w:trHeight w:val="660" w:hRule="atLeast"/>
        </w:trPr>
        <w:tc>
          <w:tcPr>
            <w:tcW w:w="13700" w:type="dxa"/>
            <w:gridSpan w:val="6"/>
            <w:tcBorders>
              <w:top w:val="nil"/>
              <w:left w:val="nil"/>
              <w:bottom w:val="nil"/>
              <w:right w:val="nil"/>
            </w:tcBorders>
            <w:vAlign w:val="center"/>
          </w:tcPr>
          <w:p w14:paraId="358DFF9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道路保洁考核评价细则</w:t>
            </w:r>
          </w:p>
        </w:tc>
      </w:tr>
      <w:tr w14:paraId="6544D8AD">
        <w:tblPrEx>
          <w:tblCellMar>
            <w:top w:w="0" w:type="dxa"/>
            <w:left w:w="108" w:type="dxa"/>
            <w:bottom w:w="0" w:type="dxa"/>
            <w:right w:w="108" w:type="dxa"/>
          </w:tblCellMar>
        </w:tblPrEx>
        <w:trPr>
          <w:trHeight w:val="585"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2BD6DB3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序号</w:t>
            </w:r>
          </w:p>
        </w:tc>
        <w:tc>
          <w:tcPr>
            <w:tcW w:w="4593" w:type="dxa"/>
            <w:tcBorders>
              <w:top w:val="single" w:color="000000" w:sz="4" w:space="0"/>
              <w:left w:val="single" w:color="000000" w:sz="4" w:space="0"/>
              <w:bottom w:val="single" w:color="000000" w:sz="4" w:space="0"/>
              <w:right w:val="single" w:color="000000" w:sz="4" w:space="0"/>
            </w:tcBorders>
            <w:noWrap/>
            <w:vAlign w:val="center"/>
          </w:tcPr>
          <w:p w14:paraId="07E4D2C6">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考核内容</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397397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分值</w:t>
            </w:r>
          </w:p>
        </w:tc>
        <w:tc>
          <w:tcPr>
            <w:tcW w:w="3194" w:type="dxa"/>
            <w:tcBorders>
              <w:top w:val="single" w:color="000000" w:sz="4" w:space="0"/>
              <w:left w:val="single" w:color="000000" w:sz="4" w:space="0"/>
              <w:bottom w:val="single" w:color="000000" w:sz="4" w:space="0"/>
              <w:right w:val="single" w:color="000000" w:sz="4" w:space="0"/>
            </w:tcBorders>
            <w:noWrap/>
            <w:vAlign w:val="center"/>
          </w:tcPr>
          <w:p w14:paraId="3ECF38C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rPr>
              <w:t>扣分细则</w:t>
            </w: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4C507DA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得分</w:t>
            </w:r>
          </w:p>
        </w:tc>
        <w:tc>
          <w:tcPr>
            <w:tcW w:w="1609" w:type="dxa"/>
            <w:tcBorders>
              <w:top w:val="single" w:color="000000" w:sz="4" w:space="0"/>
              <w:left w:val="single" w:color="000000" w:sz="4" w:space="0"/>
              <w:bottom w:val="single" w:color="000000" w:sz="4" w:space="0"/>
              <w:right w:val="single" w:color="000000" w:sz="4" w:space="0"/>
            </w:tcBorders>
            <w:noWrap/>
            <w:vAlign w:val="center"/>
          </w:tcPr>
          <w:p w14:paraId="15F1B35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考核单位</w:t>
            </w:r>
          </w:p>
        </w:tc>
      </w:tr>
      <w:tr w14:paraId="1F57CD73">
        <w:tblPrEx>
          <w:tblCellMar>
            <w:top w:w="0" w:type="dxa"/>
            <w:left w:w="108" w:type="dxa"/>
            <w:bottom w:w="0" w:type="dxa"/>
            <w:right w:w="108" w:type="dxa"/>
          </w:tblCellMar>
        </w:tblPrEx>
        <w:trPr>
          <w:trHeight w:val="50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5433B81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5321" w:type="dxa"/>
            <w:tcBorders>
              <w:top w:val="single" w:color="000000" w:sz="4" w:space="0"/>
              <w:left w:val="single" w:color="000000" w:sz="4" w:space="0"/>
              <w:bottom w:val="single" w:color="000000" w:sz="4" w:space="0"/>
              <w:right w:val="single" w:color="000000" w:sz="4" w:space="0"/>
            </w:tcBorders>
            <w:vAlign w:val="center"/>
          </w:tcPr>
          <w:p w14:paraId="31E3617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六清：路面清、人行道清、沟底清、墙脚清、树根清、隔离障清。</w:t>
            </w:r>
          </w:p>
        </w:tc>
        <w:tc>
          <w:tcPr>
            <w:tcW w:w="1174" w:type="dxa"/>
            <w:tcBorders>
              <w:top w:val="single" w:color="000000" w:sz="4" w:space="0"/>
              <w:left w:val="single" w:color="000000" w:sz="4" w:space="0"/>
              <w:bottom w:val="single" w:color="000000" w:sz="4" w:space="0"/>
              <w:right w:val="single" w:color="000000" w:sz="4" w:space="0"/>
            </w:tcBorders>
            <w:vAlign w:val="center"/>
          </w:tcPr>
          <w:p w14:paraId="168FA44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3377" w:type="dxa"/>
            <w:tcBorders>
              <w:top w:val="single" w:color="000000" w:sz="4" w:space="0"/>
              <w:left w:val="single" w:color="000000" w:sz="4" w:space="0"/>
              <w:bottom w:val="single" w:color="000000" w:sz="4" w:space="0"/>
              <w:right w:val="single" w:color="000000" w:sz="4" w:space="0"/>
            </w:tcBorders>
            <w:vAlign w:val="center"/>
          </w:tcPr>
          <w:p w14:paraId="29E08CF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每发现一处问题视情况扣0.5分。</w:t>
            </w:r>
          </w:p>
        </w:tc>
        <w:tc>
          <w:tcPr>
            <w:tcW w:w="1273" w:type="dxa"/>
            <w:tcBorders>
              <w:top w:val="single" w:color="000000" w:sz="4" w:space="0"/>
              <w:left w:val="single" w:color="000000" w:sz="4" w:space="0"/>
              <w:bottom w:val="single" w:color="000000" w:sz="4" w:space="0"/>
              <w:right w:val="single" w:color="000000" w:sz="4" w:space="0"/>
            </w:tcBorders>
            <w:vAlign w:val="center"/>
          </w:tcPr>
          <w:p w14:paraId="12CCD1B9">
            <w:pPr>
              <w:jc w:val="center"/>
              <w:rPr>
                <w:rFonts w:hint="eastAsia" w:ascii="宋体" w:hAnsi="宋体" w:cs="宋体"/>
                <w:color w:val="000000"/>
                <w:szCs w:val="21"/>
              </w:rPr>
            </w:pPr>
          </w:p>
        </w:tc>
        <w:tc>
          <w:tcPr>
            <w:tcW w:w="1609" w:type="dxa"/>
            <w:vMerge w:val="restart"/>
            <w:tcBorders>
              <w:top w:val="single" w:color="000000" w:sz="4" w:space="0"/>
              <w:left w:val="single" w:color="000000" w:sz="4" w:space="0"/>
              <w:bottom w:val="single" w:color="000000" w:sz="4" w:space="0"/>
              <w:right w:val="single" w:color="000000" w:sz="4" w:space="0"/>
            </w:tcBorders>
            <w:vAlign w:val="center"/>
          </w:tcPr>
          <w:p w14:paraId="41FD169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区市容环境管理中心、街道办事处及第三方</w:t>
            </w:r>
          </w:p>
        </w:tc>
      </w:tr>
      <w:tr w14:paraId="5E0E5204">
        <w:tblPrEx>
          <w:tblCellMar>
            <w:top w:w="0" w:type="dxa"/>
            <w:left w:w="108" w:type="dxa"/>
            <w:bottom w:w="0" w:type="dxa"/>
            <w:right w:w="108" w:type="dxa"/>
          </w:tblCellMar>
        </w:tblPrEx>
        <w:trPr>
          <w:trHeight w:val="50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4264E58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5321" w:type="dxa"/>
            <w:tcBorders>
              <w:top w:val="single" w:color="000000" w:sz="4" w:space="0"/>
              <w:left w:val="single" w:color="000000" w:sz="4" w:space="0"/>
              <w:bottom w:val="single" w:color="000000" w:sz="4" w:space="0"/>
              <w:right w:val="single" w:color="000000" w:sz="4" w:space="0"/>
            </w:tcBorders>
            <w:vAlign w:val="center"/>
          </w:tcPr>
          <w:p w14:paraId="171DA175">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四无：无小堆垃圾、无废弃砖石、无积存污水、无漏扫；</w:t>
            </w:r>
          </w:p>
        </w:tc>
        <w:tc>
          <w:tcPr>
            <w:tcW w:w="1174" w:type="dxa"/>
            <w:tcBorders>
              <w:top w:val="single" w:color="000000" w:sz="4" w:space="0"/>
              <w:left w:val="single" w:color="000000" w:sz="4" w:space="0"/>
              <w:bottom w:val="single" w:color="000000" w:sz="4" w:space="0"/>
              <w:right w:val="single" w:color="000000" w:sz="4" w:space="0"/>
            </w:tcBorders>
            <w:vAlign w:val="center"/>
          </w:tcPr>
          <w:p w14:paraId="06CA150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3377" w:type="dxa"/>
            <w:tcBorders>
              <w:top w:val="single" w:color="000000" w:sz="4" w:space="0"/>
              <w:left w:val="single" w:color="000000" w:sz="4" w:space="0"/>
              <w:bottom w:val="single" w:color="000000" w:sz="4" w:space="0"/>
              <w:right w:val="single" w:color="000000" w:sz="4" w:space="0"/>
            </w:tcBorders>
            <w:vAlign w:val="center"/>
          </w:tcPr>
          <w:p w14:paraId="479D2D1F">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每发现一处问题视情况扣0.5分。</w:t>
            </w:r>
          </w:p>
        </w:tc>
        <w:tc>
          <w:tcPr>
            <w:tcW w:w="1273" w:type="dxa"/>
            <w:tcBorders>
              <w:top w:val="single" w:color="000000" w:sz="4" w:space="0"/>
              <w:left w:val="single" w:color="000000" w:sz="4" w:space="0"/>
              <w:bottom w:val="single" w:color="000000" w:sz="4" w:space="0"/>
              <w:right w:val="single" w:color="000000" w:sz="4" w:space="0"/>
            </w:tcBorders>
            <w:vAlign w:val="center"/>
          </w:tcPr>
          <w:p w14:paraId="575B0A81">
            <w:pPr>
              <w:jc w:val="center"/>
              <w:rPr>
                <w:rFonts w:hint="eastAsia" w:ascii="宋体" w:hAnsi="宋体" w:cs="宋体"/>
                <w:color w:val="000000"/>
                <w:szCs w:val="21"/>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14:paraId="4AA4F875">
            <w:pPr>
              <w:jc w:val="center"/>
              <w:rPr>
                <w:rFonts w:hint="eastAsia" w:ascii="宋体" w:hAnsi="宋体" w:cs="宋体"/>
                <w:color w:val="000000"/>
                <w:szCs w:val="21"/>
              </w:rPr>
            </w:pPr>
          </w:p>
        </w:tc>
      </w:tr>
      <w:tr w14:paraId="697A6A35">
        <w:tblPrEx>
          <w:tblCellMar>
            <w:top w:w="0" w:type="dxa"/>
            <w:left w:w="108" w:type="dxa"/>
            <w:bottom w:w="0" w:type="dxa"/>
            <w:right w:w="108" w:type="dxa"/>
          </w:tblCellMar>
        </w:tblPrEx>
        <w:trPr>
          <w:trHeight w:val="50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76A6BA7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5321" w:type="dxa"/>
            <w:tcBorders>
              <w:top w:val="single" w:color="000000" w:sz="4" w:space="0"/>
              <w:left w:val="single" w:color="000000" w:sz="4" w:space="0"/>
              <w:bottom w:val="single" w:color="000000" w:sz="4" w:space="0"/>
              <w:right w:val="single" w:color="000000" w:sz="4" w:space="0"/>
            </w:tcBorders>
            <w:vAlign w:val="center"/>
          </w:tcPr>
          <w:p w14:paraId="711B1631">
            <w:pPr>
              <w:widowControl/>
              <w:jc w:val="left"/>
              <w:textAlignment w:val="center"/>
              <w:rPr>
                <w:rFonts w:hint="eastAsia" w:ascii="宋体" w:hAnsi="宋体" w:cs="宋体"/>
                <w:color w:val="000000"/>
                <w:szCs w:val="21"/>
              </w:rPr>
            </w:pPr>
            <w:r>
              <w:rPr>
                <w:rFonts w:hint="eastAsia" w:ascii="宋体" w:hAnsi="宋体" w:cs="宋体"/>
                <w:color w:val="000000"/>
                <w:kern w:val="0"/>
                <w:szCs w:val="21"/>
              </w:rPr>
              <w:t>二洁：车辆、工具完好整洁，废物箱内外整洁；</w:t>
            </w:r>
          </w:p>
        </w:tc>
        <w:tc>
          <w:tcPr>
            <w:tcW w:w="1174" w:type="dxa"/>
            <w:tcBorders>
              <w:top w:val="single" w:color="000000" w:sz="4" w:space="0"/>
              <w:left w:val="single" w:color="000000" w:sz="4" w:space="0"/>
              <w:bottom w:val="single" w:color="000000" w:sz="4" w:space="0"/>
              <w:right w:val="single" w:color="000000" w:sz="4" w:space="0"/>
            </w:tcBorders>
            <w:vAlign w:val="center"/>
          </w:tcPr>
          <w:p w14:paraId="13C66AB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3377" w:type="dxa"/>
            <w:tcBorders>
              <w:top w:val="single" w:color="000000" w:sz="4" w:space="0"/>
              <w:left w:val="single" w:color="000000" w:sz="4" w:space="0"/>
              <w:bottom w:val="single" w:color="000000" w:sz="4" w:space="0"/>
              <w:right w:val="single" w:color="000000" w:sz="4" w:space="0"/>
            </w:tcBorders>
            <w:vAlign w:val="center"/>
          </w:tcPr>
          <w:p w14:paraId="5DB8DA1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每发现一处问题视情况扣0.5分。</w:t>
            </w:r>
          </w:p>
        </w:tc>
        <w:tc>
          <w:tcPr>
            <w:tcW w:w="1273" w:type="dxa"/>
            <w:tcBorders>
              <w:top w:val="single" w:color="000000" w:sz="4" w:space="0"/>
              <w:left w:val="single" w:color="000000" w:sz="4" w:space="0"/>
              <w:bottom w:val="single" w:color="000000" w:sz="4" w:space="0"/>
              <w:right w:val="single" w:color="000000" w:sz="4" w:space="0"/>
            </w:tcBorders>
            <w:vAlign w:val="center"/>
          </w:tcPr>
          <w:p w14:paraId="44E071F5">
            <w:pPr>
              <w:jc w:val="center"/>
              <w:rPr>
                <w:rFonts w:hint="eastAsia" w:ascii="宋体" w:hAnsi="宋体" w:cs="宋体"/>
                <w:color w:val="000000"/>
                <w:szCs w:val="21"/>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14:paraId="59630EF2">
            <w:pPr>
              <w:jc w:val="center"/>
              <w:rPr>
                <w:rFonts w:hint="eastAsia" w:ascii="宋体" w:hAnsi="宋体" w:cs="宋体"/>
                <w:color w:val="000000"/>
                <w:szCs w:val="21"/>
              </w:rPr>
            </w:pPr>
          </w:p>
        </w:tc>
      </w:tr>
      <w:tr w14:paraId="59250A9E">
        <w:tblPrEx>
          <w:tblCellMar>
            <w:top w:w="0" w:type="dxa"/>
            <w:left w:w="108" w:type="dxa"/>
            <w:bottom w:w="0" w:type="dxa"/>
            <w:right w:w="108" w:type="dxa"/>
          </w:tblCellMar>
        </w:tblPrEx>
        <w:trPr>
          <w:trHeight w:val="50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251DAB2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w:t>
            </w:r>
          </w:p>
        </w:tc>
        <w:tc>
          <w:tcPr>
            <w:tcW w:w="5321" w:type="dxa"/>
            <w:tcBorders>
              <w:top w:val="single" w:color="000000" w:sz="4" w:space="0"/>
              <w:left w:val="single" w:color="000000" w:sz="4" w:space="0"/>
              <w:bottom w:val="single" w:color="000000" w:sz="4" w:space="0"/>
              <w:right w:val="single" w:color="000000" w:sz="4" w:space="0"/>
            </w:tcBorders>
            <w:vAlign w:val="center"/>
          </w:tcPr>
          <w:p w14:paraId="1509F62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一通：窨井沟眼通。</w:t>
            </w:r>
          </w:p>
        </w:tc>
        <w:tc>
          <w:tcPr>
            <w:tcW w:w="1174" w:type="dxa"/>
            <w:tcBorders>
              <w:top w:val="single" w:color="000000" w:sz="4" w:space="0"/>
              <w:left w:val="single" w:color="000000" w:sz="4" w:space="0"/>
              <w:bottom w:val="single" w:color="000000" w:sz="4" w:space="0"/>
              <w:right w:val="single" w:color="000000" w:sz="4" w:space="0"/>
            </w:tcBorders>
            <w:vAlign w:val="center"/>
          </w:tcPr>
          <w:p w14:paraId="20107FC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w:t>
            </w:r>
          </w:p>
        </w:tc>
        <w:tc>
          <w:tcPr>
            <w:tcW w:w="3377" w:type="dxa"/>
            <w:tcBorders>
              <w:top w:val="single" w:color="000000" w:sz="4" w:space="0"/>
              <w:left w:val="single" w:color="000000" w:sz="4" w:space="0"/>
              <w:bottom w:val="single" w:color="000000" w:sz="4" w:space="0"/>
              <w:right w:val="single" w:color="000000" w:sz="4" w:space="0"/>
            </w:tcBorders>
            <w:vAlign w:val="center"/>
          </w:tcPr>
          <w:p w14:paraId="3FB802B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每发现一处问题视情况扣0.5分。</w:t>
            </w:r>
          </w:p>
        </w:tc>
        <w:tc>
          <w:tcPr>
            <w:tcW w:w="1273" w:type="dxa"/>
            <w:tcBorders>
              <w:top w:val="single" w:color="000000" w:sz="4" w:space="0"/>
              <w:left w:val="single" w:color="000000" w:sz="4" w:space="0"/>
              <w:bottom w:val="single" w:color="000000" w:sz="4" w:space="0"/>
              <w:right w:val="single" w:color="000000" w:sz="4" w:space="0"/>
            </w:tcBorders>
            <w:vAlign w:val="center"/>
          </w:tcPr>
          <w:p w14:paraId="6BE67950">
            <w:pPr>
              <w:jc w:val="center"/>
              <w:rPr>
                <w:rFonts w:hint="eastAsia" w:ascii="宋体" w:hAnsi="宋体" w:cs="宋体"/>
                <w:color w:val="000000"/>
                <w:szCs w:val="21"/>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14:paraId="0779D62D">
            <w:pPr>
              <w:jc w:val="center"/>
              <w:rPr>
                <w:rFonts w:hint="eastAsia" w:ascii="宋体" w:hAnsi="宋体" w:cs="宋体"/>
                <w:color w:val="000000"/>
                <w:szCs w:val="21"/>
              </w:rPr>
            </w:pPr>
          </w:p>
        </w:tc>
      </w:tr>
      <w:tr w14:paraId="5CD2DB3E">
        <w:tblPrEx>
          <w:tblCellMar>
            <w:top w:w="0" w:type="dxa"/>
            <w:left w:w="108" w:type="dxa"/>
            <w:bottom w:w="0" w:type="dxa"/>
            <w:right w:w="108" w:type="dxa"/>
          </w:tblCellMar>
        </w:tblPrEx>
        <w:trPr>
          <w:trHeight w:val="142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29A2DFA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5321" w:type="dxa"/>
            <w:tcBorders>
              <w:top w:val="single" w:color="000000" w:sz="4" w:space="0"/>
              <w:left w:val="single" w:color="000000" w:sz="4" w:space="0"/>
              <w:bottom w:val="single" w:color="000000" w:sz="4" w:space="0"/>
              <w:right w:val="single" w:color="000000" w:sz="4" w:space="0"/>
            </w:tcBorders>
            <w:vAlign w:val="center"/>
          </w:tcPr>
          <w:p w14:paraId="437AD39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道路每天保洁作业时间不少于道路保洁等级所规定的的时间（一类道路不少于18小时、二类道路不少于16小时、三类道路不少于12小时），机械化清扫、冲洗覆盖率100%，路面、非机动车道、人行道机械清扫和路面冲洗不少于道路保洁等级规定的次数（一类道路不少于4次、二类道路不少于3次、三类道路不少于2次），并视情况增加作业频次。</w:t>
            </w:r>
          </w:p>
        </w:tc>
        <w:tc>
          <w:tcPr>
            <w:tcW w:w="1174" w:type="dxa"/>
            <w:tcBorders>
              <w:top w:val="single" w:color="000000" w:sz="4" w:space="0"/>
              <w:left w:val="single" w:color="000000" w:sz="4" w:space="0"/>
              <w:bottom w:val="single" w:color="000000" w:sz="4" w:space="0"/>
              <w:right w:val="single" w:color="000000" w:sz="4" w:space="0"/>
            </w:tcBorders>
            <w:vAlign w:val="center"/>
          </w:tcPr>
          <w:p w14:paraId="50BE808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3377" w:type="dxa"/>
            <w:tcBorders>
              <w:top w:val="single" w:color="000000" w:sz="4" w:space="0"/>
              <w:left w:val="single" w:color="000000" w:sz="4" w:space="0"/>
              <w:bottom w:val="single" w:color="000000" w:sz="4" w:space="0"/>
              <w:right w:val="single" w:color="000000" w:sz="4" w:space="0"/>
            </w:tcBorders>
            <w:vAlign w:val="center"/>
          </w:tcPr>
          <w:p w14:paraId="1004052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每发现一次问题视情况扣0.5分。</w:t>
            </w:r>
          </w:p>
        </w:tc>
        <w:tc>
          <w:tcPr>
            <w:tcW w:w="1273" w:type="dxa"/>
            <w:tcBorders>
              <w:top w:val="single" w:color="000000" w:sz="4" w:space="0"/>
              <w:left w:val="single" w:color="000000" w:sz="4" w:space="0"/>
              <w:bottom w:val="single" w:color="000000" w:sz="4" w:space="0"/>
              <w:right w:val="single" w:color="000000" w:sz="4" w:space="0"/>
            </w:tcBorders>
            <w:vAlign w:val="center"/>
          </w:tcPr>
          <w:p w14:paraId="1C185E58">
            <w:pPr>
              <w:jc w:val="center"/>
              <w:rPr>
                <w:rFonts w:hint="eastAsia" w:ascii="宋体" w:hAnsi="宋体" w:cs="宋体"/>
                <w:color w:val="000000"/>
                <w:szCs w:val="21"/>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14:paraId="26318FA1">
            <w:pPr>
              <w:jc w:val="center"/>
              <w:rPr>
                <w:rFonts w:hint="eastAsia" w:ascii="宋体" w:hAnsi="宋体" w:cs="宋体"/>
                <w:color w:val="000000"/>
                <w:szCs w:val="21"/>
              </w:rPr>
            </w:pPr>
          </w:p>
        </w:tc>
      </w:tr>
      <w:tr w14:paraId="621A9A22">
        <w:tblPrEx>
          <w:tblCellMar>
            <w:top w:w="0" w:type="dxa"/>
            <w:left w:w="108" w:type="dxa"/>
            <w:bottom w:w="0" w:type="dxa"/>
            <w:right w:w="108" w:type="dxa"/>
          </w:tblCellMar>
        </w:tblPrEx>
        <w:trPr>
          <w:trHeight w:val="8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270F4AC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5321" w:type="dxa"/>
            <w:tcBorders>
              <w:top w:val="single" w:color="000000" w:sz="4" w:space="0"/>
              <w:left w:val="single" w:color="000000" w:sz="4" w:space="0"/>
              <w:bottom w:val="single" w:color="000000" w:sz="4" w:space="0"/>
              <w:right w:val="single" w:color="000000" w:sz="4" w:space="0"/>
            </w:tcBorders>
            <w:vAlign w:val="center"/>
          </w:tcPr>
          <w:p w14:paraId="2C3FF04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道路巡回保洁全覆盖，地面散在性垃圾落地后应及时清除：一类道路20分钟内清除、二类道路30分钟内清除、三类道路45分钟内清除。</w:t>
            </w:r>
          </w:p>
        </w:tc>
        <w:tc>
          <w:tcPr>
            <w:tcW w:w="1174" w:type="dxa"/>
            <w:tcBorders>
              <w:top w:val="single" w:color="000000" w:sz="4" w:space="0"/>
              <w:left w:val="single" w:color="000000" w:sz="4" w:space="0"/>
              <w:bottom w:val="single" w:color="000000" w:sz="4" w:space="0"/>
              <w:right w:val="single" w:color="000000" w:sz="4" w:space="0"/>
            </w:tcBorders>
            <w:vAlign w:val="center"/>
          </w:tcPr>
          <w:p w14:paraId="66A7B2D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3377" w:type="dxa"/>
            <w:tcBorders>
              <w:top w:val="single" w:color="000000" w:sz="4" w:space="0"/>
              <w:left w:val="single" w:color="000000" w:sz="4" w:space="0"/>
              <w:bottom w:val="single" w:color="000000" w:sz="4" w:space="0"/>
              <w:right w:val="single" w:color="000000" w:sz="4" w:space="0"/>
            </w:tcBorders>
            <w:vAlign w:val="center"/>
          </w:tcPr>
          <w:p w14:paraId="648272D5">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每发现一处问题视情况扣0.5分。</w:t>
            </w:r>
          </w:p>
        </w:tc>
        <w:tc>
          <w:tcPr>
            <w:tcW w:w="1273" w:type="dxa"/>
            <w:tcBorders>
              <w:top w:val="single" w:color="000000" w:sz="4" w:space="0"/>
              <w:left w:val="single" w:color="000000" w:sz="4" w:space="0"/>
              <w:bottom w:val="single" w:color="000000" w:sz="4" w:space="0"/>
              <w:right w:val="single" w:color="000000" w:sz="4" w:space="0"/>
            </w:tcBorders>
            <w:vAlign w:val="center"/>
          </w:tcPr>
          <w:p w14:paraId="4303A934">
            <w:pPr>
              <w:jc w:val="center"/>
              <w:rPr>
                <w:rFonts w:hint="eastAsia" w:ascii="宋体" w:hAnsi="宋体" w:cs="宋体"/>
                <w:color w:val="000000"/>
                <w:szCs w:val="21"/>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14:paraId="722B92B5">
            <w:pPr>
              <w:jc w:val="center"/>
              <w:rPr>
                <w:rFonts w:hint="eastAsia" w:ascii="宋体" w:hAnsi="宋体" w:cs="宋体"/>
                <w:color w:val="000000"/>
                <w:szCs w:val="21"/>
              </w:rPr>
            </w:pPr>
          </w:p>
        </w:tc>
      </w:tr>
      <w:tr w14:paraId="0EEFCDC1">
        <w:tblPrEx>
          <w:tblCellMar>
            <w:top w:w="0" w:type="dxa"/>
            <w:left w:w="108" w:type="dxa"/>
            <w:bottom w:w="0" w:type="dxa"/>
            <w:right w:w="108" w:type="dxa"/>
          </w:tblCellMar>
        </w:tblPrEx>
        <w:trPr>
          <w:trHeight w:val="78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3BE2E71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w:t>
            </w:r>
          </w:p>
        </w:tc>
        <w:tc>
          <w:tcPr>
            <w:tcW w:w="5321" w:type="dxa"/>
            <w:tcBorders>
              <w:top w:val="single" w:color="000000" w:sz="4" w:space="0"/>
              <w:left w:val="single" w:color="000000" w:sz="4" w:space="0"/>
              <w:bottom w:val="single" w:color="000000" w:sz="4" w:space="0"/>
              <w:right w:val="single" w:color="000000" w:sz="4" w:space="0"/>
            </w:tcBorders>
            <w:vAlign w:val="center"/>
          </w:tcPr>
          <w:p w14:paraId="0ECF4C7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装潢垃圾、大件垃圾等成堆暴露垃圾应及时清理：一类道路2小时内清除、二类道路4小时内清除、三类道路8小时内清除。</w:t>
            </w:r>
          </w:p>
        </w:tc>
        <w:tc>
          <w:tcPr>
            <w:tcW w:w="1174" w:type="dxa"/>
            <w:tcBorders>
              <w:top w:val="single" w:color="000000" w:sz="4" w:space="0"/>
              <w:left w:val="single" w:color="000000" w:sz="4" w:space="0"/>
              <w:bottom w:val="single" w:color="000000" w:sz="4" w:space="0"/>
              <w:right w:val="single" w:color="000000" w:sz="4" w:space="0"/>
            </w:tcBorders>
            <w:vAlign w:val="center"/>
          </w:tcPr>
          <w:p w14:paraId="70A8ADF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3377" w:type="dxa"/>
            <w:tcBorders>
              <w:top w:val="single" w:color="000000" w:sz="4" w:space="0"/>
              <w:left w:val="single" w:color="000000" w:sz="4" w:space="0"/>
              <w:bottom w:val="single" w:color="000000" w:sz="4" w:space="0"/>
              <w:right w:val="single" w:color="000000" w:sz="4" w:space="0"/>
            </w:tcBorders>
            <w:vAlign w:val="center"/>
          </w:tcPr>
          <w:p w14:paraId="5263651A">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每发现一处问题视情况扣0.5分。</w:t>
            </w:r>
          </w:p>
        </w:tc>
        <w:tc>
          <w:tcPr>
            <w:tcW w:w="1273" w:type="dxa"/>
            <w:tcBorders>
              <w:top w:val="single" w:color="000000" w:sz="4" w:space="0"/>
              <w:left w:val="single" w:color="000000" w:sz="4" w:space="0"/>
              <w:bottom w:val="single" w:color="000000" w:sz="4" w:space="0"/>
              <w:right w:val="single" w:color="000000" w:sz="4" w:space="0"/>
            </w:tcBorders>
            <w:vAlign w:val="center"/>
          </w:tcPr>
          <w:p w14:paraId="570A8320">
            <w:pPr>
              <w:jc w:val="center"/>
              <w:rPr>
                <w:rFonts w:hint="eastAsia" w:ascii="宋体" w:hAnsi="宋体" w:cs="宋体"/>
                <w:color w:val="000000"/>
                <w:szCs w:val="21"/>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14:paraId="17E13E68">
            <w:pPr>
              <w:jc w:val="center"/>
              <w:rPr>
                <w:rFonts w:hint="eastAsia" w:ascii="宋体" w:hAnsi="宋体" w:cs="宋体"/>
                <w:color w:val="000000"/>
                <w:szCs w:val="21"/>
              </w:rPr>
            </w:pPr>
          </w:p>
        </w:tc>
      </w:tr>
      <w:tr w14:paraId="6F227E47">
        <w:tblPrEx>
          <w:tblCellMar>
            <w:top w:w="0" w:type="dxa"/>
            <w:left w:w="108" w:type="dxa"/>
            <w:bottom w:w="0" w:type="dxa"/>
            <w:right w:w="108" w:type="dxa"/>
          </w:tblCellMar>
        </w:tblPrEx>
        <w:trPr>
          <w:trHeight w:val="50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10797EA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w:t>
            </w:r>
          </w:p>
        </w:tc>
        <w:tc>
          <w:tcPr>
            <w:tcW w:w="5321" w:type="dxa"/>
            <w:tcBorders>
              <w:top w:val="single" w:color="000000" w:sz="4" w:space="0"/>
              <w:left w:val="single" w:color="000000" w:sz="4" w:space="0"/>
              <w:bottom w:val="single" w:color="000000" w:sz="4" w:space="0"/>
              <w:right w:val="single" w:color="000000" w:sz="4" w:space="0"/>
            </w:tcBorders>
            <w:vAlign w:val="center"/>
          </w:tcPr>
          <w:p w14:paraId="584EB40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完善“五定”作业标准，建立并完善工作台账</w:t>
            </w:r>
          </w:p>
        </w:tc>
        <w:tc>
          <w:tcPr>
            <w:tcW w:w="1174" w:type="dxa"/>
            <w:tcBorders>
              <w:top w:val="single" w:color="000000" w:sz="4" w:space="0"/>
              <w:left w:val="single" w:color="000000" w:sz="4" w:space="0"/>
              <w:bottom w:val="single" w:color="000000" w:sz="4" w:space="0"/>
              <w:right w:val="single" w:color="000000" w:sz="4" w:space="0"/>
            </w:tcBorders>
            <w:vAlign w:val="center"/>
          </w:tcPr>
          <w:p w14:paraId="6FB0ABE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w:t>
            </w:r>
          </w:p>
        </w:tc>
        <w:tc>
          <w:tcPr>
            <w:tcW w:w="3377" w:type="dxa"/>
            <w:tcBorders>
              <w:top w:val="single" w:color="000000" w:sz="4" w:space="0"/>
              <w:left w:val="single" w:color="000000" w:sz="4" w:space="0"/>
              <w:bottom w:val="single" w:color="000000" w:sz="4" w:space="0"/>
              <w:right w:val="single" w:color="000000" w:sz="4" w:space="0"/>
            </w:tcBorders>
            <w:vAlign w:val="center"/>
          </w:tcPr>
          <w:p w14:paraId="0AEBC230">
            <w:pPr>
              <w:widowControl/>
              <w:jc w:val="left"/>
              <w:textAlignment w:val="center"/>
              <w:rPr>
                <w:rFonts w:hint="eastAsia" w:ascii="宋体" w:hAnsi="宋体" w:cs="宋体"/>
                <w:color w:val="000000"/>
                <w:szCs w:val="21"/>
              </w:rPr>
            </w:pPr>
            <w:r>
              <w:rPr>
                <w:rFonts w:hint="eastAsia" w:ascii="宋体" w:hAnsi="宋体" w:cs="宋体"/>
                <w:color w:val="000000"/>
                <w:kern w:val="0"/>
                <w:szCs w:val="21"/>
              </w:rPr>
              <w:t>缺失一类视情况扣2分</w:t>
            </w:r>
          </w:p>
        </w:tc>
        <w:tc>
          <w:tcPr>
            <w:tcW w:w="1273" w:type="dxa"/>
            <w:tcBorders>
              <w:top w:val="single" w:color="000000" w:sz="4" w:space="0"/>
              <w:left w:val="single" w:color="000000" w:sz="4" w:space="0"/>
              <w:bottom w:val="single" w:color="000000" w:sz="4" w:space="0"/>
              <w:right w:val="single" w:color="000000" w:sz="4" w:space="0"/>
            </w:tcBorders>
            <w:vAlign w:val="center"/>
          </w:tcPr>
          <w:p w14:paraId="1D4BBC48">
            <w:pPr>
              <w:jc w:val="center"/>
              <w:rPr>
                <w:rFonts w:hint="eastAsia" w:ascii="宋体" w:hAnsi="宋体" w:cs="宋体"/>
                <w:color w:val="000000"/>
                <w:szCs w:val="21"/>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14:paraId="780E7C1E">
            <w:pPr>
              <w:jc w:val="center"/>
              <w:rPr>
                <w:rFonts w:hint="eastAsia" w:ascii="宋体" w:hAnsi="宋体" w:cs="宋体"/>
                <w:color w:val="000000"/>
                <w:szCs w:val="21"/>
              </w:rPr>
            </w:pPr>
          </w:p>
        </w:tc>
      </w:tr>
      <w:tr w14:paraId="1EC245BD">
        <w:tblPrEx>
          <w:tblCellMar>
            <w:top w:w="0" w:type="dxa"/>
            <w:left w:w="108" w:type="dxa"/>
            <w:bottom w:w="0" w:type="dxa"/>
            <w:right w:w="108" w:type="dxa"/>
          </w:tblCellMar>
        </w:tblPrEx>
        <w:trPr>
          <w:trHeight w:val="50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49F07D9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9</w:t>
            </w:r>
          </w:p>
        </w:tc>
        <w:tc>
          <w:tcPr>
            <w:tcW w:w="5321" w:type="dxa"/>
            <w:tcBorders>
              <w:top w:val="single" w:color="000000" w:sz="4" w:space="0"/>
              <w:left w:val="single" w:color="000000" w:sz="4" w:space="0"/>
              <w:bottom w:val="single" w:color="000000" w:sz="4" w:space="0"/>
              <w:right w:val="single" w:color="000000" w:sz="4" w:space="0"/>
            </w:tcBorders>
            <w:vAlign w:val="center"/>
          </w:tcPr>
          <w:p w14:paraId="7F24E315">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建立投诉响应机制，及时处理投诉事件</w:t>
            </w:r>
          </w:p>
        </w:tc>
        <w:tc>
          <w:tcPr>
            <w:tcW w:w="1174" w:type="dxa"/>
            <w:tcBorders>
              <w:top w:val="single" w:color="000000" w:sz="4" w:space="0"/>
              <w:left w:val="single" w:color="000000" w:sz="4" w:space="0"/>
              <w:bottom w:val="single" w:color="000000" w:sz="4" w:space="0"/>
              <w:right w:val="single" w:color="000000" w:sz="4" w:space="0"/>
            </w:tcBorders>
            <w:vAlign w:val="center"/>
          </w:tcPr>
          <w:p w14:paraId="4C1BDA3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3377" w:type="dxa"/>
            <w:tcBorders>
              <w:top w:val="single" w:color="000000" w:sz="4" w:space="0"/>
              <w:left w:val="single" w:color="000000" w:sz="4" w:space="0"/>
              <w:bottom w:val="single" w:color="000000" w:sz="4" w:space="0"/>
              <w:right w:val="single" w:color="000000" w:sz="4" w:space="0"/>
            </w:tcBorders>
            <w:vAlign w:val="center"/>
          </w:tcPr>
          <w:p w14:paraId="0E080BBF">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未及时处理一起视情况扣0.5分</w:t>
            </w:r>
          </w:p>
        </w:tc>
        <w:tc>
          <w:tcPr>
            <w:tcW w:w="1273" w:type="dxa"/>
            <w:tcBorders>
              <w:top w:val="single" w:color="000000" w:sz="4" w:space="0"/>
              <w:left w:val="single" w:color="000000" w:sz="4" w:space="0"/>
              <w:bottom w:val="single" w:color="000000" w:sz="4" w:space="0"/>
              <w:right w:val="single" w:color="000000" w:sz="4" w:space="0"/>
            </w:tcBorders>
            <w:vAlign w:val="center"/>
          </w:tcPr>
          <w:p w14:paraId="104F38D0">
            <w:pPr>
              <w:jc w:val="center"/>
              <w:rPr>
                <w:rFonts w:hint="eastAsia" w:ascii="宋体" w:hAnsi="宋体" w:cs="宋体"/>
                <w:color w:val="000000"/>
                <w:szCs w:val="21"/>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14:paraId="531B864B">
            <w:pPr>
              <w:jc w:val="center"/>
              <w:rPr>
                <w:rFonts w:hint="eastAsia" w:ascii="宋体" w:hAnsi="宋体" w:cs="宋体"/>
                <w:color w:val="000000"/>
                <w:szCs w:val="21"/>
              </w:rPr>
            </w:pPr>
          </w:p>
        </w:tc>
      </w:tr>
      <w:tr w14:paraId="00F9759C">
        <w:tblPrEx>
          <w:tblCellMar>
            <w:top w:w="0" w:type="dxa"/>
            <w:left w:w="108" w:type="dxa"/>
            <w:bottom w:w="0" w:type="dxa"/>
            <w:right w:w="108" w:type="dxa"/>
          </w:tblCellMar>
        </w:tblPrEx>
        <w:trPr>
          <w:trHeight w:val="60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23DE796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5321" w:type="dxa"/>
            <w:tcBorders>
              <w:top w:val="single" w:color="000000" w:sz="4" w:space="0"/>
              <w:left w:val="single" w:color="000000" w:sz="4" w:space="0"/>
              <w:bottom w:val="single" w:color="000000" w:sz="4" w:space="0"/>
              <w:right w:val="single" w:color="000000" w:sz="4" w:space="0"/>
            </w:tcBorders>
            <w:vAlign w:val="center"/>
          </w:tcPr>
          <w:p w14:paraId="4E23952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积极响应并认真完成上级领导、有关部门交办的各项工作任务,按照通知要求，按时参加各类工作会议</w:t>
            </w:r>
          </w:p>
        </w:tc>
        <w:tc>
          <w:tcPr>
            <w:tcW w:w="1174" w:type="dxa"/>
            <w:tcBorders>
              <w:top w:val="single" w:color="000000" w:sz="4" w:space="0"/>
              <w:left w:val="single" w:color="000000" w:sz="4" w:space="0"/>
              <w:bottom w:val="single" w:color="000000" w:sz="4" w:space="0"/>
              <w:right w:val="single" w:color="000000" w:sz="4" w:space="0"/>
            </w:tcBorders>
            <w:vAlign w:val="center"/>
          </w:tcPr>
          <w:p w14:paraId="6B3C4B4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w:t>
            </w:r>
          </w:p>
        </w:tc>
        <w:tc>
          <w:tcPr>
            <w:tcW w:w="3377" w:type="dxa"/>
            <w:tcBorders>
              <w:top w:val="single" w:color="000000" w:sz="4" w:space="0"/>
              <w:left w:val="single" w:color="000000" w:sz="4" w:space="0"/>
              <w:bottom w:val="single" w:color="000000" w:sz="4" w:space="0"/>
              <w:right w:val="single" w:color="000000" w:sz="4" w:space="0"/>
            </w:tcBorders>
            <w:vAlign w:val="center"/>
          </w:tcPr>
          <w:p w14:paraId="58D9A478">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分值由考核单位综合评定</w:t>
            </w:r>
          </w:p>
        </w:tc>
        <w:tc>
          <w:tcPr>
            <w:tcW w:w="1273" w:type="dxa"/>
            <w:tcBorders>
              <w:top w:val="single" w:color="000000" w:sz="4" w:space="0"/>
              <w:left w:val="single" w:color="000000" w:sz="4" w:space="0"/>
              <w:bottom w:val="single" w:color="000000" w:sz="4" w:space="0"/>
              <w:right w:val="single" w:color="000000" w:sz="4" w:space="0"/>
            </w:tcBorders>
            <w:vAlign w:val="center"/>
          </w:tcPr>
          <w:p w14:paraId="5FB7E5C7">
            <w:pPr>
              <w:jc w:val="center"/>
              <w:rPr>
                <w:rFonts w:hint="eastAsia" w:ascii="宋体" w:hAnsi="宋体" w:cs="宋体"/>
                <w:color w:val="000000"/>
                <w:szCs w:val="21"/>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14:paraId="4B3637EF">
            <w:pPr>
              <w:jc w:val="center"/>
              <w:rPr>
                <w:rFonts w:hint="eastAsia" w:ascii="宋体" w:hAnsi="宋体" w:cs="宋体"/>
                <w:color w:val="000000"/>
                <w:szCs w:val="21"/>
              </w:rPr>
            </w:pPr>
          </w:p>
        </w:tc>
      </w:tr>
      <w:tr w14:paraId="5BD8CCB7">
        <w:tblPrEx>
          <w:tblCellMar>
            <w:top w:w="0" w:type="dxa"/>
            <w:left w:w="108" w:type="dxa"/>
            <w:bottom w:w="0" w:type="dxa"/>
            <w:right w:w="108" w:type="dxa"/>
          </w:tblCellMar>
        </w:tblPrEx>
        <w:trPr>
          <w:trHeight w:val="5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32497C57">
            <w:pPr>
              <w:jc w:val="center"/>
              <w:rPr>
                <w:rFonts w:hint="eastAsia" w:ascii="宋体" w:hAnsi="宋体" w:cs="宋体"/>
                <w:color w:val="000000"/>
                <w:szCs w:val="21"/>
              </w:rPr>
            </w:pPr>
          </w:p>
        </w:tc>
        <w:tc>
          <w:tcPr>
            <w:tcW w:w="5321" w:type="dxa"/>
            <w:tcBorders>
              <w:top w:val="single" w:color="000000" w:sz="4" w:space="0"/>
              <w:left w:val="single" w:color="000000" w:sz="4" w:space="0"/>
              <w:bottom w:val="single" w:color="000000" w:sz="4" w:space="0"/>
              <w:right w:val="single" w:color="000000" w:sz="4" w:space="0"/>
            </w:tcBorders>
            <w:vAlign w:val="center"/>
          </w:tcPr>
          <w:p w14:paraId="3F224CA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合  计</w:t>
            </w:r>
          </w:p>
        </w:tc>
        <w:tc>
          <w:tcPr>
            <w:tcW w:w="1174" w:type="dxa"/>
            <w:tcBorders>
              <w:top w:val="single" w:color="000000" w:sz="4" w:space="0"/>
              <w:left w:val="single" w:color="000000" w:sz="4" w:space="0"/>
              <w:bottom w:val="single" w:color="000000" w:sz="4" w:space="0"/>
              <w:right w:val="single" w:color="000000" w:sz="4" w:space="0"/>
            </w:tcBorders>
            <w:vAlign w:val="center"/>
          </w:tcPr>
          <w:p w14:paraId="4C0CF5A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100</w:t>
            </w:r>
          </w:p>
        </w:tc>
        <w:tc>
          <w:tcPr>
            <w:tcW w:w="3377" w:type="dxa"/>
            <w:tcBorders>
              <w:top w:val="single" w:color="000000" w:sz="4" w:space="0"/>
              <w:left w:val="single" w:color="000000" w:sz="4" w:space="0"/>
              <w:bottom w:val="single" w:color="000000" w:sz="4" w:space="0"/>
              <w:right w:val="single" w:color="000000" w:sz="4" w:space="0"/>
            </w:tcBorders>
            <w:vAlign w:val="center"/>
          </w:tcPr>
          <w:p w14:paraId="05D64F39">
            <w:pPr>
              <w:jc w:val="left"/>
              <w:rPr>
                <w:rFonts w:hint="eastAsia" w:ascii="宋体" w:hAnsi="宋体" w:cs="宋体"/>
                <w:color w:val="000000"/>
                <w:szCs w:val="21"/>
              </w:rPr>
            </w:pPr>
          </w:p>
        </w:tc>
        <w:tc>
          <w:tcPr>
            <w:tcW w:w="1273" w:type="dxa"/>
            <w:tcBorders>
              <w:top w:val="single" w:color="000000" w:sz="4" w:space="0"/>
              <w:left w:val="single" w:color="000000" w:sz="4" w:space="0"/>
              <w:bottom w:val="single" w:color="000000" w:sz="4" w:space="0"/>
              <w:right w:val="single" w:color="000000" w:sz="4" w:space="0"/>
            </w:tcBorders>
            <w:vAlign w:val="center"/>
          </w:tcPr>
          <w:p w14:paraId="2FF14255">
            <w:pPr>
              <w:rPr>
                <w:rFonts w:hint="eastAsia" w:ascii="宋体" w:hAnsi="宋体" w:cs="宋体"/>
                <w:color w:val="000000"/>
                <w:szCs w:val="21"/>
              </w:rPr>
            </w:pPr>
          </w:p>
        </w:tc>
        <w:tc>
          <w:tcPr>
            <w:tcW w:w="1609" w:type="dxa"/>
            <w:tcBorders>
              <w:top w:val="single" w:color="000000" w:sz="4" w:space="0"/>
              <w:left w:val="single" w:color="000000" w:sz="4" w:space="0"/>
              <w:bottom w:val="single" w:color="000000" w:sz="4" w:space="0"/>
              <w:right w:val="single" w:color="000000" w:sz="4" w:space="0"/>
            </w:tcBorders>
            <w:vAlign w:val="center"/>
          </w:tcPr>
          <w:p w14:paraId="3F618216">
            <w:pPr>
              <w:jc w:val="center"/>
              <w:rPr>
                <w:rFonts w:hint="eastAsia" w:ascii="宋体" w:hAnsi="宋体" w:cs="宋体"/>
                <w:color w:val="000000"/>
                <w:szCs w:val="21"/>
              </w:rPr>
            </w:pPr>
          </w:p>
        </w:tc>
      </w:tr>
    </w:tbl>
    <w:p w14:paraId="17B238AD">
      <w:pPr>
        <w:pStyle w:val="11"/>
        <w:spacing w:line="560" w:lineRule="exact"/>
        <w:rPr>
          <w:rFonts w:hint="eastAsia" w:ascii="宋体" w:hAnsi="宋体" w:cs="仿宋"/>
          <w:szCs w:val="21"/>
        </w:rPr>
      </w:pPr>
    </w:p>
    <w:p w14:paraId="0E91DFE5">
      <w:pPr>
        <w:pStyle w:val="11"/>
        <w:spacing w:line="560" w:lineRule="exact"/>
        <w:rPr>
          <w:rFonts w:hint="eastAsia" w:ascii="宋体" w:hAnsi="宋体" w:cs="仿宋"/>
          <w:szCs w:val="21"/>
        </w:rPr>
      </w:pPr>
    </w:p>
    <w:p w14:paraId="660D1BBD">
      <w:pPr>
        <w:pStyle w:val="11"/>
        <w:spacing w:line="560" w:lineRule="exact"/>
        <w:rPr>
          <w:rFonts w:hint="eastAsia" w:ascii="宋体" w:hAnsi="宋体" w:cs="仿宋"/>
          <w:szCs w:val="21"/>
        </w:rPr>
      </w:pPr>
    </w:p>
    <w:p w14:paraId="4532A21B">
      <w:pPr>
        <w:pStyle w:val="11"/>
        <w:spacing w:line="560" w:lineRule="exact"/>
        <w:rPr>
          <w:rFonts w:hint="eastAsia" w:ascii="宋体" w:hAnsi="宋体" w:cs="仿宋"/>
          <w:szCs w:val="21"/>
        </w:rPr>
      </w:pPr>
    </w:p>
    <w:p w14:paraId="2A820350">
      <w:pPr>
        <w:pStyle w:val="11"/>
        <w:spacing w:line="560" w:lineRule="exact"/>
        <w:rPr>
          <w:rFonts w:hint="eastAsia" w:ascii="宋体" w:hAnsi="宋体" w:cs="仿宋"/>
          <w:szCs w:val="21"/>
        </w:rPr>
      </w:pPr>
    </w:p>
    <w:p w14:paraId="3515F8B3">
      <w:pPr>
        <w:pStyle w:val="11"/>
        <w:spacing w:line="560" w:lineRule="exact"/>
        <w:rPr>
          <w:rFonts w:hint="eastAsia" w:ascii="宋体" w:hAnsi="宋体" w:cs="仿宋"/>
          <w:szCs w:val="21"/>
        </w:rPr>
      </w:pPr>
    </w:p>
    <w:p w14:paraId="3E258B7E">
      <w:pPr>
        <w:pStyle w:val="11"/>
        <w:spacing w:line="560" w:lineRule="exact"/>
        <w:rPr>
          <w:rFonts w:hint="eastAsia" w:ascii="宋体" w:hAnsi="宋体" w:cs="仿宋"/>
          <w:szCs w:val="21"/>
        </w:rPr>
      </w:pPr>
    </w:p>
    <w:p w14:paraId="7EC1515C">
      <w:pPr>
        <w:pStyle w:val="11"/>
        <w:spacing w:line="560" w:lineRule="exact"/>
        <w:rPr>
          <w:rFonts w:hint="eastAsia" w:ascii="宋体" w:hAnsi="宋体" w:cs="仿宋"/>
          <w:szCs w:val="21"/>
        </w:rPr>
      </w:pPr>
    </w:p>
    <w:p w14:paraId="031FBA3C">
      <w:pPr>
        <w:pStyle w:val="11"/>
        <w:spacing w:line="560" w:lineRule="exact"/>
        <w:ind w:firstLine="0" w:firstLineChars="0"/>
        <w:rPr>
          <w:rFonts w:hint="eastAsia" w:ascii="宋体" w:hAnsi="宋体" w:cs="仿宋"/>
          <w:szCs w:val="21"/>
        </w:rPr>
      </w:pPr>
    </w:p>
    <w:p w14:paraId="1BFA8C48">
      <w:pPr>
        <w:pStyle w:val="11"/>
        <w:spacing w:line="560" w:lineRule="exact"/>
        <w:ind w:firstLine="0" w:firstLineChars="0"/>
        <w:rPr>
          <w:rFonts w:hint="eastAsia" w:ascii="宋体" w:hAnsi="宋体" w:cs="仿宋"/>
          <w:szCs w:val="21"/>
        </w:rPr>
      </w:pPr>
    </w:p>
    <w:p w14:paraId="3E40D73F">
      <w:pPr>
        <w:pStyle w:val="11"/>
        <w:spacing w:line="560" w:lineRule="exact"/>
        <w:ind w:firstLine="0" w:firstLineChars="0"/>
        <w:rPr>
          <w:rFonts w:hint="eastAsia" w:ascii="宋体" w:hAnsi="宋体" w:cs="仿宋"/>
          <w:szCs w:val="21"/>
        </w:rPr>
      </w:pPr>
    </w:p>
    <w:tbl>
      <w:tblPr>
        <w:tblStyle w:val="6"/>
        <w:tblW w:w="13832" w:type="dxa"/>
        <w:jc w:val="center"/>
        <w:tblLayout w:type="fixed"/>
        <w:tblCellMar>
          <w:top w:w="0" w:type="dxa"/>
          <w:left w:w="108" w:type="dxa"/>
          <w:bottom w:w="0" w:type="dxa"/>
          <w:right w:w="108" w:type="dxa"/>
        </w:tblCellMar>
      </w:tblPr>
      <w:tblGrid>
        <w:gridCol w:w="638"/>
        <w:gridCol w:w="1440"/>
        <w:gridCol w:w="5842"/>
        <w:gridCol w:w="812"/>
        <w:gridCol w:w="3060"/>
        <w:gridCol w:w="825"/>
        <w:gridCol w:w="1215"/>
      </w:tblGrid>
      <w:tr w14:paraId="4EFBFEF4">
        <w:tblPrEx>
          <w:tblCellMar>
            <w:top w:w="0" w:type="dxa"/>
            <w:left w:w="108" w:type="dxa"/>
            <w:bottom w:w="0" w:type="dxa"/>
            <w:right w:w="108" w:type="dxa"/>
          </w:tblCellMar>
        </w:tblPrEx>
        <w:trPr>
          <w:trHeight w:val="285" w:hRule="atLeast"/>
          <w:jc w:val="center"/>
        </w:trPr>
        <w:tc>
          <w:tcPr>
            <w:tcW w:w="13832" w:type="dxa"/>
            <w:gridSpan w:val="7"/>
            <w:tcBorders>
              <w:top w:val="nil"/>
              <w:left w:val="nil"/>
              <w:bottom w:val="nil"/>
              <w:right w:val="nil"/>
            </w:tcBorders>
            <w:noWrap/>
            <w:vAlign w:val="center"/>
          </w:tcPr>
          <w:p w14:paraId="7BA1AD50">
            <w:pPr>
              <w:widowControl/>
              <w:jc w:val="left"/>
              <w:textAlignment w:val="center"/>
              <w:rPr>
                <w:rFonts w:hint="eastAsia" w:ascii="宋体" w:hAnsi="宋体" w:cs="宋体"/>
                <w:color w:val="000000"/>
                <w:szCs w:val="21"/>
              </w:rPr>
            </w:pPr>
            <w:r>
              <w:rPr>
                <w:rFonts w:hint="eastAsia" w:ascii="宋体" w:hAnsi="宋体" w:cs="宋体"/>
                <w:color w:val="000000"/>
                <w:kern w:val="0"/>
                <w:szCs w:val="21"/>
              </w:rPr>
              <w:t>附件2：</w:t>
            </w:r>
          </w:p>
        </w:tc>
      </w:tr>
      <w:tr w14:paraId="440BEF17">
        <w:tblPrEx>
          <w:tblCellMar>
            <w:top w:w="0" w:type="dxa"/>
            <w:left w:w="108" w:type="dxa"/>
            <w:bottom w:w="0" w:type="dxa"/>
            <w:right w:w="108" w:type="dxa"/>
          </w:tblCellMar>
        </w:tblPrEx>
        <w:trPr>
          <w:trHeight w:val="660" w:hRule="atLeast"/>
          <w:jc w:val="center"/>
        </w:trPr>
        <w:tc>
          <w:tcPr>
            <w:tcW w:w="13832" w:type="dxa"/>
            <w:gridSpan w:val="7"/>
            <w:tcBorders>
              <w:top w:val="nil"/>
              <w:left w:val="nil"/>
              <w:bottom w:val="nil"/>
              <w:right w:val="nil"/>
            </w:tcBorders>
            <w:vAlign w:val="center"/>
          </w:tcPr>
          <w:p w14:paraId="202D758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设施保洁考核评价细则（公厕、果壳箱）</w:t>
            </w:r>
          </w:p>
        </w:tc>
      </w:tr>
      <w:tr w14:paraId="1AC603CD">
        <w:tblPrEx>
          <w:tblCellMar>
            <w:top w:w="0" w:type="dxa"/>
            <w:left w:w="108" w:type="dxa"/>
            <w:bottom w:w="0" w:type="dxa"/>
            <w:right w:w="108" w:type="dxa"/>
          </w:tblCellMar>
        </w:tblPrEx>
        <w:trPr>
          <w:trHeight w:val="4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5AE1D1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序号</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7E5490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考核项目</w:t>
            </w:r>
          </w:p>
        </w:tc>
        <w:tc>
          <w:tcPr>
            <w:tcW w:w="5842" w:type="dxa"/>
            <w:tcBorders>
              <w:top w:val="single" w:color="000000" w:sz="4" w:space="0"/>
              <w:left w:val="single" w:color="000000" w:sz="4" w:space="0"/>
              <w:bottom w:val="single" w:color="000000" w:sz="4" w:space="0"/>
              <w:right w:val="single" w:color="000000" w:sz="4" w:space="0"/>
            </w:tcBorders>
            <w:noWrap/>
            <w:vAlign w:val="center"/>
          </w:tcPr>
          <w:p w14:paraId="39E682D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考核内容</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0E3ACB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分值</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7D7478C4">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rPr>
              <w:t>扣分细则</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7B4CFA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得分</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10813C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考核单位</w:t>
            </w:r>
          </w:p>
        </w:tc>
      </w:tr>
      <w:tr w14:paraId="16A8F275">
        <w:tblPrEx>
          <w:tblCellMar>
            <w:top w:w="0" w:type="dxa"/>
            <w:left w:w="108" w:type="dxa"/>
            <w:bottom w:w="0" w:type="dxa"/>
            <w:right w:w="108" w:type="dxa"/>
          </w:tblCellMar>
        </w:tblPrEx>
        <w:trPr>
          <w:trHeight w:val="138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B0C76D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14:paraId="03E619D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公厕管理</w:t>
            </w:r>
            <w:r>
              <w:rPr>
                <w:rFonts w:hint="eastAsia" w:ascii="宋体" w:hAnsi="宋体" w:cs="宋体"/>
                <w:color w:val="000000"/>
                <w:kern w:val="0"/>
                <w:szCs w:val="21"/>
              </w:rPr>
              <w:br w:type="textWrapping"/>
            </w:r>
            <w:r>
              <w:rPr>
                <w:rFonts w:hint="eastAsia" w:ascii="宋体" w:hAnsi="宋体" w:cs="宋体"/>
                <w:color w:val="000000"/>
                <w:kern w:val="0"/>
                <w:szCs w:val="21"/>
              </w:rPr>
              <w:t>（57分）</w:t>
            </w:r>
          </w:p>
        </w:tc>
        <w:tc>
          <w:tcPr>
            <w:tcW w:w="5842" w:type="dxa"/>
            <w:tcBorders>
              <w:top w:val="single" w:color="000000" w:sz="4" w:space="0"/>
              <w:left w:val="single" w:color="000000" w:sz="4" w:space="0"/>
              <w:bottom w:val="single" w:color="000000" w:sz="4" w:space="0"/>
              <w:right w:val="single" w:color="000000" w:sz="4" w:space="0"/>
            </w:tcBorders>
            <w:vAlign w:val="center"/>
          </w:tcPr>
          <w:p w14:paraId="451FA70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规范落实公共厕所门前市容环境卫生责任制要求，责任范围具体为公厕外墙立面往外延伸至5米。责任制范围内应保持环境整洁，要求立面无乱张贴、乱涂写、乱刻画、乱吊挂、乱堆放现象，地面无垃圾、粪便、污水、无污迹、无渣土，无蚊蝇孳生地。</w:t>
            </w:r>
          </w:p>
        </w:tc>
        <w:tc>
          <w:tcPr>
            <w:tcW w:w="812" w:type="dxa"/>
            <w:tcBorders>
              <w:top w:val="single" w:color="000000" w:sz="4" w:space="0"/>
              <w:left w:val="single" w:color="000000" w:sz="4" w:space="0"/>
              <w:bottom w:val="single" w:color="000000" w:sz="4" w:space="0"/>
              <w:right w:val="single" w:color="000000" w:sz="4" w:space="0"/>
            </w:tcBorders>
            <w:vAlign w:val="center"/>
          </w:tcPr>
          <w:p w14:paraId="2F377A5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4BDD7C5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6F49DE39">
            <w:pPr>
              <w:jc w:val="center"/>
              <w:rPr>
                <w:rFonts w:hint="eastAsia" w:ascii="宋体" w:hAnsi="宋体" w:cs="宋体"/>
                <w:color w:val="000000"/>
                <w:szCs w:val="21"/>
              </w:rPr>
            </w:pPr>
          </w:p>
        </w:tc>
        <w:tc>
          <w:tcPr>
            <w:tcW w:w="1215" w:type="dxa"/>
            <w:vMerge w:val="restart"/>
            <w:tcBorders>
              <w:top w:val="single" w:color="000000" w:sz="4" w:space="0"/>
              <w:left w:val="single" w:color="000000" w:sz="4" w:space="0"/>
              <w:bottom w:val="single" w:color="000000" w:sz="4" w:space="0"/>
              <w:right w:val="single" w:color="000000" w:sz="4" w:space="0"/>
            </w:tcBorders>
            <w:vAlign w:val="center"/>
          </w:tcPr>
          <w:p w14:paraId="197EEE7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区市容环境管理中心、街道办事处及第三方</w:t>
            </w:r>
          </w:p>
        </w:tc>
      </w:tr>
      <w:tr w14:paraId="24765CF4">
        <w:tblPrEx>
          <w:tblCellMar>
            <w:top w:w="0" w:type="dxa"/>
            <w:left w:w="108" w:type="dxa"/>
            <w:bottom w:w="0" w:type="dxa"/>
            <w:right w:w="108" w:type="dxa"/>
          </w:tblCellMar>
        </w:tblPrEx>
        <w:trPr>
          <w:trHeight w:val="58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A5AFB3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0889631A">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624D21B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公厕外部坡道、台阶、无障碍通道、护栏、扶手等设施完好，无明显积尘、积污现象。</w:t>
            </w:r>
          </w:p>
        </w:tc>
        <w:tc>
          <w:tcPr>
            <w:tcW w:w="812" w:type="dxa"/>
            <w:tcBorders>
              <w:top w:val="single" w:color="000000" w:sz="4" w:space="0"/>
              <w:left w:val="single" w:color="000000" w:sz="4" w:space="0"/>
              <w:bottom w:val="single" w:color="000000" w:sz="4" w:space="0"/>
              <w:right w:val="single" w:color="000000" w:sz="4" w:space="0"/>
            </w:tcBorders>
            <w:vAlign w:val="center"/>
          </w:tcPr>
          <w:p w14:paraId="61909A0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70F644D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762AA69B">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047F46FC">
            <w:pPr>
              <w:jc w:val="center"/>
              <w:rPr>
                <w:rFonts w:hint="eastAsia" w:ascii="宋体" w:hAnsi="宋体" w:cs="宋体"/>
                <w:color w:val="000000"/>
                <w:szCs w:val="21"/>
              </w:rPr>
            </w:pPr>
          </w:p>
        </w:tc>
      </w:tr>
      <w:tr w14:paraId="77259ECC">
        <w:tblPrEx>
          <w:tblCellMar>
            <w:top w:w="0" w:type="dxa"/>
            <w:left w:w="108" w:type="dxa"/>
            <w:bottom w:w="0" w:type="dxa"/>
            <w:right w:w="108" w:type="dxa"/>
          </w:tblCellMar>
        </w:tblPrEx>
        <w:trPr>
          <w:trHeight w:val="915"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30921B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35592636">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3893979C">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公厕大门内外、墙面及把手等设施清洁，无印记、湿迹、无锈蚀、无尘土、杂物；厕所玻璃窗干净、明亮，窗台、窗框、排风机等无灰尘、无蛛网、无乱涂、无破损。</w:t>
            </w:r>
          </w:p>
        </w:tc>
        <w:tc>
          <w:tcPr>
            <w:tcW w:w="812" w:type="dxa"/>
            <w:tcBorders>
              <w:top w:val="single" w:color="000000" w:sz="4" w:space="0"/>
              <w:left w:val="single" w:color="000000" w:sz="4" w:space="0"/>
              <w:bottom w:val="single" w:color="000000" w:sz="4" w:space="0"/>
              <w:right w:val="single" w:color="000000" w:sz="4" w:space="0"/>
            </w:tcBorders>
            <w:vAlign w:val="center"/>
          </w:tcPr>
          <w:p w14:paraId="3343899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75E2866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38C83271">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4A7A6082">
            <w:pPr>
              <w:jc w:val="center"/>
              <w:rPr>
                <w:rFonts w:hint="eastAsia" w:ascii="宋体" w:hAnsi="宋体" w:cs="宋体"/>
                <w:color w:val="000000"/>
                <w:szCs w:val="21"/>
              </w:rPr>
            </w:pPr>
          </w:p>
        </w:tc>
      </w:tr>
      <w:tr w14:paraId="68E7732C">
        <w:tblPrEx>
          <w:tblCellMar>
            <w:top w:w="0" w:type="dxa"/>
            <w:left w:w="108" w:type="dxa"/>
            <w:bottom w:w="0" w:type="dxa"/>
            <w:right w:w="108" w:type="dxa"/>
          </w:tblCellMar>
        </w:tblPrEx>
        <w:trPr>
          <w:trHeight w:val="675"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53AF7E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609B55A4">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6F3283FC">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蹲便、坐便厕位外侧无水锈、粪便、污物，器内无积粪、污垢，洁净见底，保持管道畅通。</w:t>
            </w:r>
          </w:p>
        </w:tc>
        <w:tc>
          <w:tcPr>
            <w:tcW w:w="812" w:type="dxa"/>
            <w:tcBorders>
              <w:top w:val="single" w:color="000000" w:sz="4" w:space="0"/>
              <w:left w:val="single" w:color="000000" w:sz="4" w:space="0"/>
              <w:bottom w:val="single" w:color="000000" w:sz="4" w:space="0"/>
              <w:right w:val="single" w:color="000000" w:sz="4" w:space="0"/>
            </w:tcBorders>
            <w:vAlign w:val="center"/>
          </w:tcPr>
          <w:p w14:paraId="34F9344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4798754A">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300239BF">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5AA3777A">
            <w:pPr>
              <w:jc w:val="center"/>
              <w:rPr>
                <w:rFonts w:hint="eastAsia" w:ascii="宋体" w:hAnsi="宋体" w:cs="宋体"/>
                <w:color w:val="000000"/>
                <w:szCs w:val="21"/>
              </w:rPr>
            </w:pPr>
          </w:p>
        </w:tc>
      </w:tr>
      <w:tr w14:paraId="332EA604">
        <w:tblPrEx>
          <w:tblCellMar>
            <w:top w:w="0" w:type="dxa"/>
            <w:left w:w="108" w:type="dxa"/>
            <w:bottom w:w="0" w:type="dxa"/>
            <w:right w:w="108" w:type="dxa"/>
          </w:tblCellMar>
        </w:tblPrEx>
        <w:trPr>
          <w:trHeight w:val="66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6277D9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67C45FCC">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1CE940A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小便槽（斗、池）应无水锈、尿垢、污物，基本无臭；沟眼、管道应保持畅通。</w:t>
            </w:r>
          </w:p>
        </w:tc>
        <w:tc>
          <w:tcPr>
            <w:tcW w:w="812" w:type="dxa"/>
            <w:tcBorders>
              <w:top w:val="single" w:color="000000" w:sz="4" w:space="0"/>
              <w:left w:val="single" w:color="000000" w:sz="4" w:space="0"/>
              <w:bottom w:val="single" w:color="000000" w:sz="4" w:space="0"/>
              <w:right w:val="single" w:color="000000" w:sz="4" w:space="0"/>
            </w:tcBorders>
            <w:vAlign w:val="center"/>
          </w:tcPr>
          <w:p w14:paraId="297ACD8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0953E8D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3402E577">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08FB083E">
            <w:pPr>
              <w:jc w:val="center"/>
              <w:rPr>
                <w:rFonts w:hint="eastAsia" w:ascii="宋体" w:hAnsi="宋体" w:cs="宋体"/>
                <w:color w:val="000000"/>
                <w:szCs w:val="21"/>
              </w:rPr>
            </w:pPr>
          </w:p>
        </w:tc>
      </w:tr>
      <w:tr w14:paraId="03E4C044">
        <w:tblPrEx>
          <w:tblCellMar>
            <w:top w:w="0" w:type="dxa"/>
            <w:left w:w="108" w:type="dxa"/>
            <w:bottom w:w="0" w:type="dxa"/>
            <w:right w:w="108" w:type="dxa"/>
          </w:tblCellMar>
        </w:tblPrEx>
        <w:trPr>
          <w:trHeight w:val="945"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DBD36A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0CCA7757">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4BFAD56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厕位扶手应安全、卫生、无污迹、无水渍；厕位分隔板应光洁，无积灰、污迹、蛛网，无乱涂写；无障碍设施清洁、完好，无污迹，无锈迹。</w:t>
            </w:r>
          </w:p>
        </w:tc>
        <w:tc>
          <w:tcPr>
            <w:tcW w:w="812" w:type="dxa"/>
            <w:tcBorders>
              <w:top w:val="single" w:color="000000" w:sz="4" w:space="0"/>
              <w:left w:val="single" w:color="000000" w:sz="4" w:space="0"/>
              <w:bottom w:val="single" w:color="000000" w:sz="4" w:space="0"/>
              <w:right w:val="single" w:color="000000" w:sz="4" w:space="0"/>
            </w:tcBorders>
            <w:vAlign w:val="center"/>
          </w:tcPr>
          <w:p w14:paraId="3771754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6693680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4FB7BEE3">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56D8B89C">
            <w:pPr>
              <w:jc w:val="center"/>
              <w:rPr>
                <w:rFonts w:hint="eastAsia" w:ascii="宋体" w:hAnsi="宋体" w:cs="宋体"/>
                <w:color w:val="000000"/>
                <w:szCs w:val="21"/>
              </w:rPr>
            </w:pPr>
          </w:p>
        </w:tc>
      </w:tr>
      <w:tr w14:paraId="56087F54">
        <w:tblPrEx>
          <w:tblCellMar>
            <w:top w:w="0" w:type="dxa"/>
            <w:left w:w="108" w:type="dxa"/>
            <w:bottom w:w="0" w:type="dxa"/>
            <w:right w:w="108" w:type="dxa"/>
          </w:tblCellMar>
        </w:tblPrEx>
        <w:trPr>
          <w:trHeight w:val="69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0D2A01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422C882D">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397B8FA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厕内照明、电扇、空调、通风等设备应无污迹、无尘土，无明显手印迹、湿迹</w:t>
            </w:r>
          </w:p>
        </w:tc>
        <w:tc>
          <w:tcPr>
            <w:tcW w:w="812" w:type="dxa"/>
            <w:tcBorders>
              <w:top w:val="single" w:color="000000" w:sz="4" w:space="0"/>
              <w:left w:val="single" w:color="000000" w:sz="4" w:space="0"/>
              <w:bottom w:val="single" w:color="000000" w:sz="4" w:space="0"/>
              <w:right w:val="single" w:color="000000" w:sz="4" w:space="0"/>
            </w:tcBorders>
            <w:vAlign w:val="center"/>
          </w:tcPr>
          <w:p w14:paraId="7D4EF90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46263801">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723C0561">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4B1BF692">
            <w:pPr>
              <w:jc w:val="center"/>
              <w:rPr>
                <w:rFonts w:hint="eastAsia" w:ascii="宋体" w:hAnsi="宋体" w:cs="宋体"/>
                <w:color w:val="000000"/>
                <w:szCs w:val="21"/>
              </w:rPr>
            </w:pPr>
          </w:p>
        </w:tc>
      </w:tr>
      <w:tr w14:paraId="3E730394">
        <w:tblPrEx>
          <w:tblCellMar>
            <w:top w:w="0" w:type="dxa"/>
            <w:left w:w="108" w:type="dxa"/>
            <w:bottom w:w="0" w:type="dxa"/>
            <w:right w:w="108" w:type="dxa"/>
          </w:tblCellMar>
        </w:tblPrEx>
        <w:trPr>
          <w:trHeight w:val="735"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26DBA5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1182BE32">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40DC9DF5">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洗手台、面镜、水龙头、皂液器、干手器等设施完备，表面光洁、无污垢、无积水、无毛发、无涂画痕迹。</w:t>
            </w:r>
          </w:p>
        </w:tc>
        <w:tc>
          <w:tcPr>
            <w:tcW w:w="812" w:type="dxa"/>
            <w:tcBorders>
              <w:top w:val="single" w:color="000000" w:sz="4" w:space="0"/>
              <w:left w:val="single" w:color="000000" w:sz="4" w:space="0"/>
              <w:bottom w:val="single" w:color="000000" w:sz="4" w:space="0"/>
              <w:right w:val="single" w:color="000000" w:sz="4" w:space="0"/>
            </w:tcBorders>
            <w:vAlign w:val="center"/>
          </w:tcPr>
          <w:p w14:paraId="27F5994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0F7EF31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5FFB0F64">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2C58832B">
            <w:pPr>
              <w:jc w:val="center"/>
              <w:rPr>
                <w:rFonts w:hint="eastAsia" w:ascii="宋体" w:hAnsi="宋体" w:cs="宋体"/>
                <w:color w:val="000000"/>
                <w:szCs w:val="21"/>
              </w:rPr>
            </w:pPr>
          </w:p>
        </w:tc>
      </w:tr>
      <w:tr w14:paraId="11E0FF56">
        <w:tblPrEx>
          <w:tblCellMar>
            <w:top w:w="0" w:type="dxa"/>
            <w:left w:w="108" w:type="dxa"/>
            <w:bottom w:w="0" w:type="dxa"/>
            <w:right w:w="108" w:type="dxa"/>
          </w:tblCellMar>
        </w:tblPrEx>
        <w:trPr>
          <w:trHeight w:val="69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A83DC7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39EB0070">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631278E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一类公厕纸篓内废弃物不得超过纸篓容积的1/2，二、三类公厕内纸篓内废弃不得满溢。</w:t>
            </w:r>
          </w:p>
        </w:tc>
        <w:tc>
          <w:tcPr>
            <w:tcW w:w="812" w:type="dxa"/>
            <w:tcBorders>
              <w:top w:val="single" w:color="000000" w:sz="4" w:space="0"/>
              <w:left w:val="single" w:color="000000" w:sz="4" w:space="0"/>
              <w:bottom w:val="single" w:color="000000" w:sz="4" w:space="0"/>
              <w:right w:val="single" w:color="000000" w:sz="4" w:space="0"/>
            </w:tcBorders>
            <w:vAlign w:val="center"/>
          </w:tcPr>
          <w:p w14:paraId="3ED54C2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1E6F4DD8">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7F2FA0DD">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216BF507">
            <w:pPr>
              <w:jc w:val="center"/>
              <w:rPr>
                <w:rFonts w:hint="eastAsia" w:ascii="宋体" w:hAnsi="宋体" w:cs="宋体"/>
                <w:color w:val="000000"/>
                <w:szCs w:val="21"/>
              </w:rPr>
            </w:pPr>
          </w:p>
        </w:tc>
      </w:tr>
      <w:tr w14:paraId="7CCA450B">
        <w:tblPrEx>
          <w:tblCellMar>
            <w:top w:w="0" w:type="dxa"/>
            <w:left w:w="108" w:type="dxa"/>
            <w:bottom w:w="0" w:type="dxa"/>
            <w:right w:w="108" w:type="dxa"/>
          </w:tblCellMar>
        </w:tblPrEx>
        <w:trPr>
          <w:trHeight w:val="1215"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6BB237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69536472">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3FEF035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公厕实行免费开放，人流密集区、一类公厕开放时间要求不少于16小时，重要时段应24小时开放；二类公厕开放时间不少于12小时，并视季节变化以及公厕实际使用需求调整或延长开放时间。</w:t>
            </w:r>
          </w:p>
        </w:tc>
        <w:tc>
          <w:tcPr>
            <w:tcW w:w="812" w:type="dxa"/>
            <w:tcBorders>
              <w:top w:val="single" w:color="000000" w:sz="4" w:space="0"/>
              <w:left w:val="single" w:color="000000" w:sz="4" w:space="0"/>
              <w:bottom w:val="single" w:color="000000" w:sz="4" w:space="0"/>
              <w:right w:val="single" w:color="000000" w:sz="4" w:space="0"/>
            </w:tcBorders>
            <w:vAlign w:val="center"/>
          </w:tcPr>
          <w:p w14:paraId="7400402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3060" w:type="dxa"/>
            <w:tcBorders>
              <w:top w:val="single" w:color="000000" w:sz="4" w:space="0"/>
              <w:left w:val="single" w:color="000000" w:sz="4" w:space="0"/>
              <w:bottom w:val="single" w:color="000000" w:sz="4" w:space="0"/>
              <w:right w:val="single" w:color="000000" w:sz="4" w:space="0"/>
            </w:tcBorders>
            <w:vAlign w:val="center"/>
          </w:tcPr>
          <w:p w14:paraId="10E8ED1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6F648CD1">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5F5CAEE9">
            <w:pPr>
              <w:jc w:val="center"/>
              <w:rPr>
                <w:rFonts w:hint="eastAsia" w:ascii="宋体" w:hAnsi="宋体" w:cs="宋体"/>
                <w:color w:val="000000"/>
                <w:szCs w:val="21"/>
              </w:rPr>
            </w:pPr>
          </w:p>
        </w:tc>
      </w:tr>
      <w:tr w14:paraId="1C66B6AB">
        <w:tblPrEx>
          <w:tblCellMar>
            <w:top w:w="0" w:type="dxa"/>
            <w:left w:w="108" w:type="dxa"/>
            <w:bottom w:w="0" w:type="dxa"/>
            <w:right w:w="108" w:type="dxa"/>
          </w:tblCellMar>
        </w:tblPrEx>
        <w:trPr>
          <w:trHeight w:val="45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839870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11</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14:paraId="2B88397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果壳箱保洁（23分）</w:t>
            </w:r>
          </w:p>
        </w:tc>
        <w:tc>
          <w:tcPr>
            <w:tcW w:w="5842" w:type="dxa"/>
            <w:tcBorders>
              <w:top w:val="single" w:color="000000" w:sz="4" w:space="0"/>
              <w:left w:val="single" w:color="000000" w:sz="4" w:space="0"/>
              <w:bottom w:val="single" w:color="000000" w:sz="4" w:space="0"/>
              <w:right w:val="single" w:color="000000" w:sz="4" w:space="0"/>
            </w:tcBorders>
            <w:vAlign w:val="center"/>
          </w:tcPr>
          <w:p w14:paraId="4C5DCA71">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干垃圾、可回收物分类收运。</w:t>
            </w:r>
          </w:p>
        </w:tc>
        <w:tc>
          <w:tcPr>
            <w:tcW w:w="812" w:type="dxa"/>
            <w:tcBorders>
              <w:top w:val="single" w:color="000000" w:sz="4" w:space="0"/>
              <w:left w:val="single" w:color="000000" w:sz="4" w:space="0"/>
              <w:bottom w:val="single" w:color="000000" w:sz="4" w:space="0"/>
              <w:right w:val="single" w:color="000000" w:sz="4" w:space="0"/>
            </w:tcBorders>
            <w:vAlign w:val="center"/>
          </w:tcPr>
          <w:p w14:paraId="0CE185C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7B49833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每发现一次不分类收运，扣2分。</w:t>
            </w:r>
          </w:p>
        </w:tc>
        <w:tc>
          <w:tcPr>
            <w:tcW w:w="825" w:type="dxa"/>
            <w:tcBorders>
              <w:top w:val="single" w:color="000000" w:sz="4" w:space="0"/>
              <w:left w:val="single" w:color="000000" w:sz="4" w:space="0"/>
              <w:bottom w:val="single" w:color="000000" w:sz="4" w:space="0"/>
              <w:right w:val="single" w:color="000000" w:sz="4" w:space="0"/>
            </w:tcBorders>
            <w:vAlign w:val="center"/>
          </w:tcPr>
          <w:p w14:paraId="5CB276D9">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1A222EA5">
            <w:pPr>
              <w:jc w:val="center"/>
              <w:rPr>
                <w:rFonts w:hint="eastAsia" w:ascii="宋体" w:hAnsi="宋体" w:cs="宋体"/>
                <w:color w:val="000000"/>
                <w:szCs w:val="21"/>
              </w:rPr>
            </w:pPr>
          </w:p>
        </w:tc>
      </w:tr>
      <w:tr w14:paraId="45B20386">
        <w:tblPrEx>
          <w:tblCellMar>
            <w:top w:w="0" w:type="dxa"/>
            <w:left w:w="108" w:type="dxa"/>
            <w:bottom w:w="0" w:type="dxa"/>
            <w:right w:w="108" w:type="dxa"/>
          </w:tblCellMar>
        </w:tblPrEx>
        <w:trPr>
          <w:trHeight w:val="120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5763D3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4E90B2B9">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4098340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废物箱全部实行套袋管理，箱体垃圾及时清空无满溢，一类道路应每天对箱体进行保洁，二类道路每周对箱体保洁不少于2次，三类道路每周对箱体进行保洁1次。</w:t>
            </w:r>
          </w:p>
        </w:tc>
        <w:tc>
          <w:tcPr>
            <w:tcW w:w="812" w:type="dxa"/>
            <w:tcBorders>
              <w:top w:val="single" w:color="000000" w:sz="4" w:space="0"/>
              <w:left w:val="single" w:color="000000" w:sz="4" w:space="0"/>
              <w:bottom w:val="single" w:color="000000" w:sz="4" w:space="0"/>
              <w:right w:val="single" w:color="000000" w:sz="4" w:space="0"/>
            </w:tcBorders>
            <w:vAlign w:val="center"/>
          </w:tcPr>
          <w:p w14:paraId="0A4BFBD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7B3AB0F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废物箱未实行套袋管理的，扣6分。废物箱满溢的，每发现一次扣1分。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07E5DCBE">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56DBAB1F">
            <w:pPr>
              <w:jc w:val="center"/>
              <w:rPr>
                <w:rFonts w:hint="eastAsia" w:ascii="宋体" w:hAnsi="宋体" w:cs="宋体"/>
                <w:color w:val="000000"/>
                <w:szCs w:val="21"/>
              </w:rPr>
            </w:pPr>
          </w:p>
        </w:tc>
      </w:tr>
      <w:tr w14:paraId="598BADB7">
        <w:tblPrEx>
          <w:tblCellMar>
            <w:top w:w="0" w:type="dxa"/>
            <w:left w:w="108" w:type="dxa"/>
            <w:bottom w:w="0" w:type="dxa"/>
            <w:right w:w="108" w:type="dxa"/>
          </w:tblCellMar>
        </w:tblPrEx>
        <w:trPr>
          <w:trHeight w:val="705"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4AC592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745CD3B6">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69ED761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按照规范要求张贴分类标识，标识准确、清晰，无缺漏、损坏现象。</w:t>
            </w:r>
          </w:p>
        </w:tc>
        <w:tc>
          <w:tcPr>
            <w:tcW w:w="812" w:type="dxa"/>
            <w:tcBorders>
              <w:top w:val="single" w:color="000000" w:sz="4" w:space="0"/>
              <w:left w:val="single" w:color="000000" w:sz="4" w:space="0"/>
              <w:bottom w:val="single" w:color="000000" w:sz="4" w:space="0"/>
              <w:right w:val="single" w:color="000000" w:sz="4" w:space="0"/>
            </w:tcBorders>
            <w:vAlign w:val="center"/>
          </w:tcPr>
          <w:p w14:paraId="386CBD9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3060" w:type="dxa"/>
            <w:tcBorders>
              <w:top w:val="single" w:color="000000" w:sz="4" w:space="0"/>
              <w:left w:val="single" w:color="000000" w:sz="4" w:space="0"/>
              <w:bottom w:val="single" w:color="000000" w:sz="4" w:space="0"/>
              <w:right w:val="single" w:color="000000" w:sz="4" w:space="0"/>
            </w:tcBorders>
            <w:vAlign w:val="center"/>
          </w:tcPr>
          <w:p w14:paraId="5770243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49041BB4">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21105A9D">
            <w:pPr>
              <w:jc w:val="center"/>
              <w:rPr>
                <w:rFonts w:hint="eastAsia" w:ascii="宋体" w:hAnsi="宋体" w:cs="宋体"/>
                <w:color w:val="000000"/>
                <w:szCs w:val="21"/>
              </w:rPr>
            </w:pPr>
          </w:p>
        </w:tc>
      </w:tr>
      <w:tr w14:paraId="58255685">
        <w:tblPrEx>
          <w:tblCellMar>
            <w:top w:w="0" w:type="dxa"/>
            <w:left w:w="108" w:type="dxa"/>
            <w:bottom w:w="0" w:type="dxa"/>
            <w:right w:w="108" w:type="dxa"/>
          </w:tblCellMar>
        </w:tblPrEx>
        <w:trPr>
          <w:trHeight w:val="36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BF448E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44659838">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7726B6E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箱体日常清洗保洁到位，无明显污渍，设施完好损坏。</w:t>
            </w:r>
          </w:p>
        </w:tc>
        <w:tc>
          <w:tcPr>
            <w:tcW w:w="812" w:type="dxa"/>
            <w:tcBorders>
              <w:top w:val="single" w:color="000000" w:sz="4" w:space="0"/>
              <w:left w:val="single" w:color="000000" w:sz="4" w:space="0"/>
              <w:bottom w:val="single" w:color="000000" w:sz="4" w:space="0"/>
              <w:right w:val="single" w:color="000000" w:sz="4" w:space="0"/>
            </w:tcBorders>
            <w:vAlign w:val="center"/>
          </w:tcPr>
          <w:p w14:paraId="4F90C2C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76058F9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每发现一处问题视情况扣1分。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5E83AC16">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526404A4">
            <w:pPr>
              <w:jc w:val="center"/>
              <w:rPr>
                <w:rFonts w:hint="eastAsia" w:ascii="宋体" w:hAnsi="宋体" w:cs="宋体"/>
                <w:color w:val="000000"/>
                <w:szCs w:val="21"/>
              </w:rPr>
            </w:pPr>
          </w:p>
        </w:tc>
      </w:tr>
      <w:tr w14:paraId="37A9FF69">
        <w:tblPrEx>
          <w:tblCellMar>
            <w:top w:w="0" w:type="dxa"/>
            <w:left w:w="108" w:type="dxa"/>
            <w:bottom w:w="0" w:type="dxa"/>
            <w:right w:w="108" w:type="dxa"/>
          </w:tblCellMar>
        </w:tblPrEx>
        <w:trPr>
          <w:trHeight w:val="36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0708BF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440" w:type="dxa"/>
            <w:vMerge w:val="restart"/>
            <w:tcBorders>
              <w:top w:val="nil"/>
              <w:left w:val="single" w:color="000000" w:sz="4" w:space="0"/>
              <w:bottom w:val="nil"/>
              <w:right w:val="single" w:color="000000" w:sz="4" w:space="0"/>
            </w:tcBorders>
            <w:vAlign w:val="center"/>
          </w:tcPr>
          <w:p w14:paraId="6D52528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响应机制</w:t>
            </w:r>
            <w:r>
              <w:rPr>
                <w:rFonts w:hint="eastAsia" w:ascii="宋体" w:hAnsi="宋体" w:cs="宋体"/>
                <w:color w:val="000000"/>
                <w:kern w:val="0"/>
                <w:szCs w:val="21"/>
              </w:rPr>
              <w:br w:type="textWrapping"/>
            </w:r>
            <w:r>
              <w:rPr>
                <w:rFonts w:hint="eastAsia" w:ascii="宋体" w:hAnsi="宋体" w:cs="宋体"/>
                <w:color w:val="000000"/>
                <w:kern w:val="0"/>
                <w:szCs w:val="21"/>
              </w:rPr>
              <w:t>（20分）</w:t>
            </w:r>
          </w:p>
        </w:tc>
        <w:tc>
          <w:tcPr>
            <w:tcW w:w="5842" w:type="dxa"/>
            <w:tcBorders>
              <w:top w:val="single" w:color="000000" w:sz="4" w:space="0"/>
              <w:left w:val="single" w:color="000000" w:sz="4" w:space="0"/>
              <w:bottom w:val="single" w:color="000000" w:sz="4" w:space="0"/>
              <w:right w:val="single" w:color="000000" w:sz="4" w:space="0"/>
            </w:tcBorders>
            <w:vAlign w:val="center"/>
          </w:tcPr>
          <w:p w14:paraId="29624F9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建立投诉响应机制，及时处理投诉事件</w:t>
            </w:r>
          </w:p>
        </w:tc>
        <w:tc>
          <w:tcPr>
            <w:tcW w:w="812" w:type="dxa"/>
            <w:tcBorders>
              <w:top w:val="single" w:color="000000" w:sz="4" w:space="0"/>
              <w:left w:val="single" w:color="000000" w:sz="4" w:space="0"/>
              <w:bottom w:val="single" w:color="000000" w:sz="4" w:space="0"/>
              <w:right w:val="single" w:color="000000" w:sz="4" w:space="0"/>
            </w:tcBorders>
            <w:vAlign w:val="center"/>
          </w:tcPr>
          <w:p w14:paraId="1A27DE8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3060" w:type="dxa"/>
            <w:tcBorders>
              <w:top w:val="single" w:color="000000" w:sz="4" w:space="0"/>
              <w:left w:val="single" w:color="000000" w:sz="4" w:space="0"/>
              <w:bottom w:val="single" w:color="000000" w:sz="4" w:space="0"/>
              <w:right w:val="single" w:color="000000" w:sz="4" w:space="0"/>
            </w:tcBorders>
            <w:vAlign w:val="center"/>
          </w:tcPr>
          <w:p w14:paraId="206545B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未及时处理一起投诉扣1分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764D53DB">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1912AC8B">
            <w:pPr>
              <w:jc w:val="center"/>
              <w:rPr>
                <w:rFonts w:hint="eastAsia" w:ascii="宋体" w:hAnsi="宋体" w:cs="宋体"/>
                <w:color w:val="000000"/>
                <w:szCs w:val="21"/>
              </w:rPr>
            </w:pPr>
          </w:p>
        </w:tc>
      </w:tr>
      <w:tr w14:paraId="6A9F1191">
        <w:tblPrEx>
          <w:tblCellMar>
            <w:top w:w="0" w:type="dxa"/>
            <w:left w:w="108" w:type="dxa"/>
            <w:bottom w:w="0" w:type="dxa"/>
            <w:right w:w="108" w:type="dxa"/>
          </w:tblCellMar>
        </w:tblPrEx>
        <w:trPr>
          <w:trHeight w:val="60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BAD1E8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16</w:t>
            </w:r>
          </w:p>
        </w:tc>
        <w:tc>
          <w:tcPr>
            <w:tcW w:w="1440" w:type="dxa"/>
            <w:vMerge w:val="continue"/>
            <w:tcBorders>
              <w:top w:val="nil"/>
              <w:left w:val="single" w:color="000000" w:sz="4" w:space="0"/>
              <w:bottom w:val="nil"/>
              <w:right w:val="single" w:color="000000" w:sz="4" w:space="0"/>
            </w:tcBorders>
            <w:vAlign w:val="center"/>
          </w:tcPr>
          <w:p w14:paraId="19189152">
            <w:pPr>
              <w:jc w:val="center"/>
              <w:rPr>
                <w:rFonts w:hint="eastAsia" w:ascii="宋体" w:hAnsi="宋体" w:cs="宋体"/>
                <w:color w:val="000000"/>
                <w:szCs w:val="21"/>
              </w:rPr>
            </w:pPr>
          </w:p>
        </w:tc>
        <w:tc>
          <w:tcPr>
            <w:tcW w:w="5842" w:type="dxa"/>
            <w:tcBorders>
              <w:top w:val="single" w:color="000000" w:sz="4" w:space="0"/>
              <w:left w:val="single" w:color="000000" w:sz="4" w:space="0"/>
              <w:bottom w:val="single" w:color="000000" w:sz="4" w:space="0"/>
              <w:right w:val="single" w:color="000000" w:sz="4" w:space="0"/>
            </w:tcBorders>
            <w:vAlign w:val="center"/>
          </w:tcPr>
          <w:p w14:paraId="1DF66DA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积极响应并认真完成上级领导、有关部门交办的各项工作任务,按照通知要求，按时参加各类工作会议</w:t>
            </w:r>
          </w:p>
        </w:tc>
        <w:tc>
          <w:tcPr>
            <w:tcW w:w="812" w:type="dxa"/>
            <w:tcBorders>
              <w:top w:val="single" w:color="000000" w:sz="4" w:space="0"/>
              <w:left w:val="single" w:color="000000" w:sz="4" w:space="0"/>
              <w:bottom w:val="single" w:color="000000" w:sz="4" w:space="0"/>
              <w:right w:val="single" w:color="000000" w:sz="4" w:space="0"/>
            </w:tcBorders>
            <w:vAlign w:val="center"/>
          </w:tcPr>
          <w:p w14:paraId="15726AE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3060" w:type="dxa"/>
            <w:tcBorders>
              <w:top w:val="single" w:color="000000" w:sz="4" w:space="0"/>
              <w:left w:val="single" w:color="000000" w:sz="4" w:space="0"/>
              <w:bottom w:val="single" w:color="000000" w:sz="4" w:space="0"/>
              <w:right w:val="single" w:color="000000" w:sz="4" w:space="0"/>
            </w:tcBorders>
            <w:vAlign w:val="center"/>
          </w:tcPr>
          <w:p w14:paraId="489049C5">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分值由考核单位综合评定</w:t>
            </w:r>
          </w:p>
        </w:tc>
        <w:tc>
          <w:tcPr>
            <w:tcW w:w="825" w:type="dxa"/>
            <w:tcBorders>
              <w:top w:val="single" w:color="000000" w:sz="4" w:space="0"/>
              <w:left w:val="single" w:color="000000" w:sz="4" w:space="0"/>
              <w:bottom w:val="single" w:color="000000" w:sz="4" w:space="0"/>
              <w:right w:val="single" w:color="000000" w:sz="4" w:space="0"/>
            </w:tcBorders>
            <w:vAlign w:val="center"/>
          </w:tcPr>
          <w:p w14:paraId="42BB730A">
            <w:pPr>
              <w:jc w:val="center"/>
              <w:rPr>
                <w:rFonts w:hint="eastAsia" w:ascii="宋体" w:hAnsi="宋体" w:cs="宋体"/>
                <w:color w:val="000000"/>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4A7CA774">
            <w:pPr>
              <w:jc w:val="center"/>
              <w:rPr>
                <w:rFonts w:hint="eastAsia" w:ascii="宋体" w:hAnsi="宋体" w:cs="宋体"/>
                <w:color w:val="000000"/>
                <w:szCs w:val="21"/>
              </w:rPr>
            </w:pPr>
          </w:p>
        </w:tc>
      </w:tr>
      <w:tr w14:paraId="78DF5623">
        <w:tblPrEx>
          <w:tblCellMar>
            <w:top w:w="0" w:type="dxa"/>
            <w:left w:w="108" w:type="dxa"/>
            <w:bottom w:w="0" w:type="dxa"/>
            <w:right w:w="108" w:type="dxa"/>
          </w:tblCellMar>
        </w:tblPrEx>
        <w:trPr>
          <w:trHeight w:val="36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F4A6FA9">
            <w:pPr>
              <w:rPr>
                <w:rFonts w:hint="eastAsia" w:ascii="宋体" w:hAnsi="宋体" w:cs="宋体"/>
                <w:color w:val="000000"/>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213C1CD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合计</w:t>
            </w:r>
          </w:p>
        </w:tc>
        <w:tc>
          <w:tcPr>
            <w:tcW w:w="5842" w:type="dxa"/>
            <w:tcBorders>
              <w:top w:val="single" w:color="000000" w:sz="4" w:space="0"/>
              <w:left w:val="single" w:color="000000" w:sz="4" w:space="0"/>
              <w:bottom w:val="single" w:color="000000" w:sz="4" w:space="0"/>
              <w:right w:val="single" w:color="000000" w:sz="4" w:space="0"/>
            </w:tcBorders>
            <w:vAlign w:val="center"/>
          </w:tcPr>
          <w:p w14:paraId="089596E8">
            <w:pPr>
              <w:rPr>
                <w:rFonts w:hint="eastAsia" w:ascii="宋体" w:hAnsi="宋体" w:cs="宋体"/>
                <w:color w:val="000000"/>
                <w:szCs w:val="21"/>
              </w:rPr>
            </w:pPr>
          </w:p>
        </w:tc>
        <w:tc>
          <w:tcPr>
            <w:tcW w:w="812" w:type="dxa"/>
            <w:tcBorders>
              <w:top w:val="single" w:color="000000" w:sz="4" w:space="0"/>
              <w:left w:val="single" w:color="000000" w:sz="4" w:space="0"/>
              <w:bottom w:val="single" w:color="000000" w:sz="4" w:space="0"/>
              <w:right w:val="single" w:color="000000" w:sz="4" w:space="0"/>
            </w:tcBorders>
            <w:vAlign w:val="center"/>
          </w:tcPr>
          <w:p w14:paraId="7A717C8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100</w:t>
            </w:r>
          </w:p>
        </w:tc>
        <w:tc>
          <w:tcPr>
            <w:tcW w:w="3060" w:type="dxa"/>
            <w:tcBorders>
              <w:top w:val="single" w:color="000000" w:sz="4" w:space="0"/>
              <w:left w:val="single" w:color="000000" w:sz="4" w:space="0"/>
              <w:bottom w:val="single" w:color="000000" w:sz="4" w:space="0"/>
              <w:right w:val="single" w:color="000000" w:sz="4" w:space="0"/>
            </w:tcBorders>
            <w:vAlign w:val="center"/>
          </w:tcPr>
          <w:p w14:paraId="328C33C3">
            <w:pPr>
              <w:jc w:val="left"/>
              <w:rPr>
                <w:rFonts w:hint="eastAsia" w:ascii="宋体" w:hAnsi="宋体" w:cs="宋体"/>
                <w:color w:val="000000"/>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46479A8D">
            <w:pPr>
              <w:rPr>
                <w:rFonts w:hint="eastAsia" w:ascii="宋体" w:hAnsi="宋体" w:cs="宋体"/>
                <w:color w:val="000000"/>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265E3238">
            <w:pPr>
              <w:jc w:val="center"/>
              <w:rPr>
                <w:rFonts w:hint="eastAsia" w:ascii="宋体" w:hAnsi="宋体" w:cs="宋体"/>
                <w:color w:val="000000"/>
                <w:szCs w:val="21"/>
              </w:rPr>
            </w:pPr>
          </w:p>
        </w:tc>
      </w:tr>
    </w:tbl>
    <w:p w14:paraId="032D292A">
      <w:pPr>
        <w:pStyle w:val="11"/>
        <w:spacing w:line="560" w:lineRule="exact"/>
        <w:rPr>
          <w:rFonts w:hint="eastAsia" w:ascii="宋体" w:hAnsi="宋体" w:cs="宋体"/>
          <w:szCs w:val="21"/>
        </w:rPr>
      </w:pPr>
    </w:p>
    <w:p w14:paraId="5317771E">
      <w:pPr>
        <w:pStyle w:val="11"/>
        <w:spacing w:line="560" w:lineRule="exact"/>
        <w:rPr>
          <w:rFonts w:hint="eastAsia" w:ascii="宋体" w:hAnsi="宋体" w:cs="仿宋"/>
          <w:szCs w:val="21"/>
        </w:rPr>
      </w:pPr>
    </w:p>
    <w:tbl>
      <w:tblPr>
        <w:tblStyle w:val="6"/>
        <w:tblW w:w="14254" w:type="dxa"/>
        <w:jc w:val="center"/>
        <w:tblLayout w:type="fixed"/>
        <w:tblCellMar>
          <w:top w:w="0" w:type="dxa"/>
          <w:left w:w="108" w:type="dxa"/>
          <w:bottom w:w="0" w:type="dxa"/>
          <w:right w:w="108" w:type="dxa"/>
        </w:tblCellMar>
      </w:tblPr>
      <w:tblGrid>
        <w:gridCol w:w="664"/>
        <w:gridCol w:w="5417"/>
        <w:gridCol w:w="885"/>
        <w:gridCol w:w="5145"/>
        <w:gridCol w:w="840"/>
        <w:gridCol w:w="1303"/>
      </w:tblGrid>
      <w:tr w14:paraId="1EB53A32">
        <w:tblPrEx>
          <w:tblCellMar>
            <w:top w:w="0" w:type="dxa"/>
            <w:left w:w="108" w:type="dxa"/>
            <w:bottom w:w="0" w:type="dxa"/>
            <w:right w:w="108" w:type="dxa"/>
          </w:tblCellMar>
        </w:tblPrEx>
        <w:trPr>
          <w:trHeight w:val="285" w:hRule="atLeast"/>
          <w:jc w:val="center"/>
        </w:trPr>
        <w:tc>
          <w:tcPr>
            <w:tcW w:w="14254" w:type="dxa"/>
            <w:gridSpan w:val="6"/>
            <w:tcBorders>
              <w:top w:val="nil"/>
              <w:left w:val="nil"/>
              <w:bottom w:val="nil"/>
              <w:right w:val="nil"/>
            </w:tcBorders>
            <w:vAlign w:val="center"/>
          </w:tcPr>
          <w:p w14:paraId="51AC4020">
            <w:pPr>
              <w:widowControl/>
              <w:jc w:val="left"/>
              <w:textAlignment w:val="center"/>
              <w:rPr>
                <w:rFonts w:hint="eastAsia" w:ascii="宋体" w:hAnsi="宋体" w:cs="宋体"/>
                <w:color w:val="000000"/>
                <w:szCs w:val="21"/>
              </w:rPr>
            </w:pPr>
            <w:r>
              <w:rPr>
                <w:rFonts w:hint="eastAsia" w:ascii="宋体" w:hAnsi="宋体" w:cs="宋体"/>
                <w:color w:val="000000"/>
                <w:kern w:val="0"/>
                <w:szCs w:val="21"/>
              </w:rPr>
              <w:t>附件3：</w:t>
            </w:r>
          </w:p>
        </w:tc>
      </w:tr>
      <w:tr w14:paraId="659DA646">
        <w:tblPrEx>
          <w:tblCellMar>
            <w:top w:w="0" w:type="dxa"/>
            <w:left w:w="108" w:type="dxa"/>
            <w:bottom w:w="0" w:type="dxa"/>
            <w:right w:w="108" w:type="dxa"/>
          </w:tblCellMar>
        </w:tblPrEx>
        <w:trPr>
          <w:trHeight w:val="660" w:hRule="atLeast"/>
          <w:jc w:val="center"/>
        </w:trPr>
        <w:tc>
          <w:tcPr>
            <w:tcW w:w="14254" w:type="dxa"/>
            <w:gridSpan w:val="6"/>
            <w:tcBorders>
              <w:top w:val="nil"/>
              <w:left w:val="nil"/>
              <w:bottom w:val="single" w:color="000000" w:sz="4" w:space="0"/>
              <w:right w:val="nil"/>
            </w:tcBorders>
            <w:vAlign w:val="center"/>
          </w:tcPr>
          <w:p w14:paraId="6F89920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水域保洁考核评价细则</w:t>
            </w:r>
          </w:p>
        </w:tc>
      </w:tr>
      <w:tr w14:paraId="60A2A99A">
        <w:tblPrEx>
          <w:tblCellMar>
            <w:top w:w="0" w:type="dxa"/>
            <w:left w:w="108" w:type="dxa"/>
            <w:bottom w:w="0" w:type="dxa"/>
            <w:right w:w="108" w:type="dxa"/>
          </w:tblCellMar>
        </w:tblPrEx>
        <w:trPr>
          <w:trHeight w:val="60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793319D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序号</w:t>
            </w:r>
          </w:p>
        </w:tc>
        <w:tc>
          <w:tcPr>
            <w:tcW w:w="5417" w:type="dxa"/>
            <w:tcBorders>
              <w:top w:val="single" w:color="000000" w:sz="4" w:space="0"/>
              <w:left w:val="single" w:color="000000" w:sz="4" w:space="0"/>
              <w:bottom w:val="single" w:color="000000" w:sz="4" w:space="0"/>
              <w:right w:val="single" w:color="000000" w:sz="4" w:space="0"/>
            </w:tcBorders>
            <w:noWrap/>
            <w:vAlign w:val="center"/>
          </w:tcPr>
          <w:p w14:paraId="6F8A401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考核内容</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19DAC9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分值</w:t>
            </w:r>
          </w:p>
        </w:tc>
        <w:tc>
          <w:tcPr>
            <w:tcW w:w="5145" w:type="dxa"/>
            <w:tcBorders>
              <w:top w:val="single" w:color="000000" w:sz="4" w:space="0"/>
              <w:left w:val="single" w:color="000000" w:sz="4" w:space="0"/>
              <w:bottom w:val="single" w:color="000000" w:sz="4" w:space="0"/>
              <w:right w:val="single" w:color="000000" w:sz="4" w:space="0"/>
            </w:tcBorders>
            <w:noWrap/>
            <w:vAlign w:val="center"/>
          </w:tcPr>
          <w:p w14:paraId="21097FC0">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rPr>
              <w:t>扣分细则</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220845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得分</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76B238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考核单位</w:t>
            </w:r>
          </w:p>
        </w:tc>
      </w:tr>
      <w:tr w14:paraId="697FFDB1">
        <w:tblPrEx>
          <w:tblCellMar>
            <w:top w:w="0" w:type="dxa"/>
            <w:left w:w="108" w:type="dxa"/>
            <w:bottom w:w="0" w:type="dxa"/>
            <w:right w:w="108" w:type="dxa"/>
          </w:tblCellMar>
        </w:tblPrEx>
        <w:trPr>
          <w:trHeight w:val="60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344400B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5417" w:type="dxa"/>
            <w:tcBorders>
              <w:top w:val="single" w:color="000000" w:sz="4" w:space="0"/>
              <w:left w:val="single" w:color="000000" w:sz="4" w:space="0"/>
              <w:bottom w:val="single" w:color="000000" w:sz="4" w:space="0"/>
              <w:right w:val="single" w:color="000000" w:sz="4" w:space="0"/>
            </w:tcBorders>
            <w:vAlign w:val="center"/>
          </w:tcPr>
          <w:p w14:paraId="6F0F054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按照规范要求安排养护队伍人员、作业区域、作业频次等</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CE45E0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5145" w:type="dxa"/>
            <w:tcBorders>
              <w:top w:val="single" w:color="000000" w:sz="4" w:space="0"/>
              <w:left w:val="single" w:color="000000" w:sz="4" w:space="0"/>
              <w:bottom w:val="single" w:color="000000" w:sz="4" w:space="0"/>
              <w:right w:val="single" w:color="000000" w:sz="4" w:space="0"/>
            </w:tcBorders>
            <w:vAlign w:val="center"/>
          </w:tcPr>
          <w:p w14:paraId="40C48D4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未按要求安排人员及作业频次的，每发现一次扣1分。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7F2FAA0">
            <w:pPr>
              <w:jc w:val="center"/>
              <w:rPr>
                <w:rFonts w:hint="eastAsia" w:ascii="宋体" w:hAnsi="宋体" w:cs="宋体"/>
                <w:color w:val="000000"/>
                <w:szCs w:val="21"/>
              </w:rPr>
            </w:pPr>
          </w:p>
        </w:tc>
        <w:tc>
          <w:tcPr>
            <w:tcW w:w="1303" w:type="dxa"/>
            <w:vMerge w:val="restart"/>
            <w:tcBorders>
              <w:top w:val="single" w:color="000000" w:sz="4" w:space="0"/>
              <w:left w:val="single" w:color="000000" w:sz="4" w:space="0"/>
              <w:bottom w:val="nil"/>
              <w:right w:val="single" w:color="000000" w:sz="4" w:space="0"/>
            </w:tcBorders>
            <w:vAlign w:val="center"/>
          </w:tcPr>
          <w:p w14:paraId="5B41C72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区市容环境管理中心、街道办事处及第三方</w:t>
            </w:r>
          </w:p>
        </w:tc>
      </w:tr>
      <w:tr w14:paraId="67821458">
        <w:tblPrEx>
          <w:tblCellMar>
            <w:top w:w="0" w:type="dxa"/>
            <w:left w:w="108" w:type="dxa"/>
            <w:bottom w:w="0" w:type="dxa"/>
            <w:right w:w="108" w:type="dxa"/>
          </w:tblCellMar>
        </w:tblPrEx>
        <w:trPr>
          <w:trHeight w:val="57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6E88A23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5417" w:type="dxa"/>
            <w:tcBorders>
              <w:top w:val="single" w:color="000000" w:sz="4" w:space="0"/>
              <w:left w:val="single" w:color="000000" w:sz="4" w:space="0"/>
              <w:bottom w:val="single" w:color="000000" w:sz="4" w:space="0"/>
              <w:right w:val="single" w:color="000000" w:sz="4" w:space="0"/>
            </w:tcBorders>
            <w:vAlign w:val="center"/>
          </w:tcPr>
          <w:p w14:paraId="1A34A70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按照规范要求配备自动打捞船、保洁船、运输船等保洁设备</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EC0EBE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5145" w:type="dxa"/>
            <w:tcBorders>
              <w:top w:val="single" w:color="000000" w:sz="4" w:space="0"/>
              <w:left w:val="single" w:color="000000" w:sz="4" w:space="0"/>
              <w:bottom w:val="single" w:color="000000" w:sz="4" w:space="0"/>
              <w:right w:val="single" w:color="000000" w:sz="4" w:space="0"/>
            </w:tcBorders>
            <w:vAlign w:val="center"/>
          </w:tcPr>
          <w:p w14:paraId="558F312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未按要求配置作业设施的，每发现一次扣1分。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1FC9DDD">
            <w:pPr>
              <w:jc w:val="center"/>
              <w:rPr>
                <w:rFonts w:hint="eastAsia" w:ascii="宋体" w:hAnsi="宋体" w:cs="宋体"/>
                <w:color w:val="000000"/>
                <w:szCs w:val="21"/>
              </w:rPr>
            </w:pPr>
          </w:p>
        </w:tc>
        <w:tc>
          <w:tcPr>
            <w:tcW w:w="1303" w:type="dxa"/>
            <w:vMerge w:val="continue"/>
            <w:tcBorders>
              <w:top w:val="single" w:color="000000" w:sz="4" w:space="0"/>
              <w:left w:val="single" w:color="000000" w:sz="4" w:space="0"/>
              <w:bottom w:val="nil"/>
              <w:right w:val="single" w:color="000000" w:sz="4" w:space="0"/>
            </w:tcBorders>
            <w:vAlign w:val="center"/>
          </w:tcPr>
          <w:p w14:paraId="3938ACEF">
            <w:pPr>
              <w:jc w:val="center"/>
              <w:rPr>
                <w:rFonts w:hint="eastAsia" w:ascii="宋体" w:hAnsi="宋体" w:cs="宋体"/>
                <w:color w:val="000000"/>
                <w:szCs w:val="21"/>
              </w:rPr>
            </w:pPr>
          </w:p>
        </w:tc>
      </w:tr>
      <w:tr w14:paraId="5EA86D97">
        <w:tblPrEx>
          <w:tblCellMar>
            <w:top w:w="0" w:type="dxa"/>
            <w:left w:w="108" w:type="dxa"/>
            <w:bottom w:w="0" w:type="dxa"/>
            <w:right w:w="108" w:type="dxa"/>
          </w:tblCellMar>
        </w:tblPrEx>
        <w:trPr>
          <w:trHeight w:val="72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00E9B1B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5417" w:type="dxa"/>
            <w:tcBorders>
              <w:top w:val="single" w:color="000000" w:sz="4" w:space="0"/>
              <w:left w:val="single" w:color="000000" w:sz="4" w:space="0"/>
              <w:bottom w:val="single" w:color="000000" w:sz="4" w:space="0"/>
              <w:right w:val="single" w:color="000000" w:sz="4" w:space="0"/>
            </w:tcBorders>
            <w:vAlign w:val="center"/>
          </w:tcPr>
          <w:p w14:paraId="0D13402F">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水域保洁每天完成一次，要按规定时间保洁工作，要在作业时着装整洁，要文明服务，要注意安全。</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7509C3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5145" w:type="dxa"/>
            <w:tcBorders>
              <w:top w:val="single" w:color="000000" w:sz="4" w:space="0"/>
              <w:left w:val="single" w:color="000000" w:sz="4" w:space="0"/>
              <w:bottom w:val="single" w:color="000000" w:sz="4" w:space="0"/>
              <w:right w:val="single" w:color="000000" w:sz="4" w:space="0"/>
            </w:tcBorders>
            <w:vAlign w:val="center"/>
          </w:tcPr>
          <w:p w14:paraId="122A3DCC">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每发现1次不到位视情况扣0.5分。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50A360">
            <w:pPr>
              <w:jc w:val="center"/>
              <w:rPr>
                <w:rFonts w:hint="eastAsia" w:ascii="宋体" w:hAnsi="宋体" w:cs="宋体"/>
                <w:color w:val="000000"/>
                <w:szCs w:val="21"/>
              </w:rPr>
            </w:pPr>
          </w:p>
        </w:tc>
        <w:tc>
          <w:tcPr>
            <w:tcW w:w="1303" w:type="dxa"/>
            <w:vMerge w:val="continue"/>
            <w:tcBorders>
              <w:top w:val="single" w:color="000000" w:sz="4" w:space="0"/>
              <w:left w:val="single" w:color="000000" w:sz="4" w:space="0"/>
              <w:bottom w:val="nil"/>
              <w:right w:val="single" w:color="000000" w:sz="4" w:space="0"/>
            </w:tcBorders>
            <w:vAlign w:val="center"/>
          </w:tcPr>
          <w:p w14:paraId="725D6048">
            <w:pPr>
              <w:jc w:val="center"/>
              <w:rPr>
                <w:rFonts w:hint="eastAsia" w:ascii="宋体" w:hAnsi="宋体" w:cs="宋体"/>
                <w:color w:val="000000"/>
                <w:szCs w:val="21"/>
              </w:rPr>
            </w:pPr>
          </w:p>
        </w:tc>
      </w:tr>
      <w:tr w14:paraId="34D9947F">
        <w:tblPrEx>
          <w:tblCellMar>
            <w:top w:w="0" w:type="dxa"/>
            <w:left w:w="108" w:type="dxa"/>
            <w:bottom w:w="0" w:type="dxa"/>
            <w:right w:w="108" w:type="dxa"/>
          </w:tblCellMar>
        </w:tblPrEx>
        <w:trPr>
          <w:trHeight w:val="72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5BEBE0D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w:t>
            </w:r>
          </w:p>
        </w:tc>
        <w:tc>
          <w:tcPr>
            <w:tcW w:w="5417" w:type="dxa"/>
            <w:tcBorders>
              <w:top w:val="single" w:color="000000" w:sz="4" w:space="0"/>
              <w:left w:val="single" w:color="000000" w:sz="4" w:space="0"/>
              <w:bottom w:val="single" w:color="000000" w:sz="4" w:space="0"/>
              <w:right w:val="single" w:color="000000" w:sz="4" w:space="0"/>
            </w:tcBorders>
            <w:vAlign w:val="center"/>
          </w:tcPr>
          <w:p w14:paraId="5B042ED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自动打捞船、保洁船、运输船要做到专船专用，不得违规离开规定保洁区域</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961D33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12</w:t>
            </w:r>
          </w:p>
        </w:tc>
        <w:tc>
          <w:tcPr>
            <w:tcW w:w="5145" w:type="dxa"/>
            <w:tcBorders>
              <w:top w:val="single" w:color="000000" w:sz="4" w:space="0"/>
              <w:left w:val="single" w:color="000000" w:sz="4" w:space="0"/>
              <w:bottom w:val="single" w:color="000000" w:sz="4" w:space="0"/>
              <w:right w:val="single" w:color="000000" w:sz="4" w:space="0"/>
            </w:tcBorders>
            <w:vAlign w:val="center"/>
          </w:tcPr>
          <w:p w14:paraId="22276C58">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发现违规离开规定区域的，每条船只每次视情况扣1分，扣完为止。</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FF384F7">
            <w:pPr>
              <w:jc w:val="center"/>
              <w:rPr>
                <w:rFonts w:hint="eastAsia" w:ascii="宋体" w:hAnsi="宋体" w:cs="宋体"/>
                <w:color w:val="000000"/>
                <w:szCs w:val="21"/>
              </w:rPr>
            </w:pPr>
          </w:p>
        </w:tc>
        <w:tc>
          <w:tcPr>
            <w:tcW w:w="1303" w:type="dxa"/>
            <w:vMerge w:val="continue"/>
            <w:tcBorders>
              <w:top w:val="single" w:color="000000" w:sz="4" w:space="0"/>
              <w:left w:val="single" w:color="000000" w:sz="4" w:space="0"/>
              <w:bottom w:val="nil"/>
              <w:right w:val="single" w:color="000000" w:sz="4" w:space="0"/>
            </w:tcBorders>
            <w:vAlign w:val="center"/>
          </w:tcPr>
          <w:p w14:paraId="3722EF22">
            <w:pPr>
              <w:jc w:val="center"/>
              <w:rPr>
                <w:rFonts w:hint="eastAsia" w:ascii="宋体" w:hAnsi="宋体" w:cs="宋体"/>
                <w:color w:val="000000"/>
                <w:szCs w:val="21"/>
              </w:rPr>
            </w:pPr>
          </w:p>
        </w:tc>
      </w:tr>
      <w:tr w14:paraId="2B3656CF">
        <w:tblPrEx>
          <w:tblCellMar>
            <w:top w:w="0" w:type="dxa"/>
            <w:left w:w="108" w:type="dxa"/>
            <w:bottom w:w="0" w:type="dxa"/>
            <w:right w:w="108" w:type="dxa"/>
          </w:tblCellMar>
        </w:tblPrEx>
        <w:trPr>
          <w:trHeight w:val="555"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631EEFF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5417" w:type="dxa"/>
            <w:tcBorders>
              <w:top w:val="single" w:color="000000" w:sz="4" w:space="0"/>
              <w:left w:val="single" w:color="000000" w:sz="4" w:space="0"/>
              <w:bottom w:val="single" w:color="000000" w:sz="4" w:space="0"/>
              <w:right w:val="single" w:color="000000" w:sz="4" w:space="0"/>
            </w:tcBorders>
            <w:vAlign w:val="center"/>
          </w:tcPr>
          <w:p w14:paraId="37FF80B1">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区级行业督查</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A3C574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22</w:t>
            </w:r>
          </w:p>
        </w:tc>
        <w:tc>
          <w:tcPr>
            <w:tcW w:w="5145" w:type="dxa"/>
            <w:tcBorders>
              <w:top w:val="single" w:color="000000" w:sz="4" w:space="0"/>
              <w:left w:val="single" w:color="000000" w:sz="4" w:space="0"/>
              <w:bottom w:val="single" w:color="000000" w:sz="4" w:space="0"/>
              <w:right w:val="single" w:color="000000" w:sz="4" w:space="0"/>
            </w:tcBorders>
            <w:vAlign w:val="center"/>
          </w:tcPr>
          <w:p w14:paraId="17FC2E8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按区级行业督查检查，视检查情况综合评定。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2293802">
            <w:pPr>
              <w:jc w:val="center"/>
              <w:rPr>
                <w:rFonts w:hint="eastAsia" w:ascii="宋体" w:hAnsi="宋体" w:cs="宋体"/>
                <w:color w:val="000000"/>
                <w:szCs w:val="21"/>
              </w:rPr>
            </w:pPr>
          </w:p>
        </w:tc>
        <w:tc>
          <w:tcPr>
            <w:tcW w:w="1303" w:type="dxa"/>
            <w:vMerge w:val="continue"/>
            <w:tcBorders>
              <w:top w:val="single" w:color="000000" w:sz="4" w:space="0"/>
              <w:left w:val="single" w:color="000000" w:sz="4" w:space="0"/>
              <w:bottom w:val="nil"/>
              <w:right w:val="single" w:color="000000" w:sz="4" w:space="0"/>
            </w:tcBorders>
            <w:vAlign w:val="center"/>
          </w:tcPr>
          <w:p w14:paraId="4394883D">
            <w:pPr>
              <w:jc w:val="center"/>
              <w:rPr>
                <w:rFonts w:hint="eastAsia" w:ascii="宋体" w:hAnsi="宋体" w:cs="宋体"/>
                <w:color w:val="000000"/>
                <w:szCs w:val="21"/>
              </w:rPr>
            </w:pPr>
          </w:p>
        </w:tc>
      </w:tr>
      <w:tr w14:paraId="5E360CEF">
        <w:tblPrEx>
          <w:tblCellMar>
            <w:top w:w="0" w:type="dxa"/>
            <w:left w:w="108" w:type="dxa"/>
            <w:bottom w:w="0" w:type="dxa"/>
            <w:right w:w="108" w:type="dxa"/>
          </w:tblCellMar>
        </w:tblPrEx>
        <w:trPr>
          <w:trHeight w:val="525"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5C59229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5417" w:type="dxa"/>
            <w:tcBorders>
              <w:top w:val="single" w:color="000000" w:sz="4" w:space="0"/>
              <w:left w:val="single" w:color="000000" w:sz="4" w:space="0"/>
              <w:bottom w:val="single" w:color="000000" w:sz="4" w:space="0"/>
              <w:right w:val="single" w:color="000000" w:sz="4" w:space="0"/>
            </w:tcBorders>
            <w:vAlign w:val="center"/>
          </w:tcPr>
          <w:p w14:paraId="44B5168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完善设备、人员等作业配置，建立并完善工作台账。</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1F46EA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5145" w:type="dxa"/>
            <w:tcBorders>
              <w:top w:val="single" w:color="000000" w:sz="4" w:space="0"/>
              <w:left w:val="single" w:color="000000" w:sz="4" w:space="0"/>
              <w:bottom w:val="single" w:color="000000" w:sz="4" w:space="0"/>
              <w:right w:val="single" w:color="000000" w:sz="4" w:space="0"/>
            </w:tcBorders>
            <w:vAlign w:val="center"/>
          </w:tcPr>
          <w:p w14:paraId="5E55649F">
            <w:pPr>
              <w:widowControl/>
              <w:jc w:val="left"/>
              <w:textAlignment w:val="center"/>
              <w:rPr>
                <w:rFonts w:hint="eastAsia" w:ascii="宋体" w:hAnsi="宋体" w:cs="宋体"/>
                <w:color w:val="000000"/>
                <w:szCs w:val="21"/>
              </w:rPr>
            </w:pPr>
            <w:r>
              <w:rPr>
                <w:rFonts w:hint="eastAsia" w:ascii="宋体" w:hAnsi="宋体" w:cs="宋体"/>
                <w:color w:val="000000"/>
                <w:kern w:val="0"/>
                <w:szCs w:val="21"/>
              </w:rPr>
              <w:t>缺失一类视情况扣2分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83CF445">
            <w:pPr>
              <w:jc w:val="center"/>
              <w:rPr>
                <w:rFonts w:hint="eastAsia" w:ascii="宋体" w:hAnsi="宋体" w:cs="宋体"/>
                <w:color w:val="000000"/>
                <w:szCs w:val="21"/>
              </w:rPr>
            </w:pPr>
          </w:p>
        </w:tc>
        <w:tc>
          <w:tcPr>
            <w:tcW w:w="1303" w:type="dxa"/>
            <w:vMerge w:val="continue"/>
            <w:tcBorders>
              <w:top w:val="single" w:color="000000" w:sz="4" w:space="0"/>
              <w:left w:val="single" w:color="000000" w:sz="4" w:space="0"/>
              <w:bottom w:val="nil"/>
              <w:right w:val="single" w:color="000000" w:sz="4" w:space="0"/>
            </w:tcBorders>
            <w:vAlign w:val="center"/>
          </w:tcPr>
          <w:p w14:paraId="23A36F90">
            <w:pPr>
              <w:jc w:val="center"/>
              <w:rPr>
                <w:rFonts w:hint="eastAsia" w:ascii="宋体" w:hAnsi="宋体" w:cs="宋体"/>
                <w:color w:val="000000"/>
                <w:szCs w:val="21"/>
              </w:rPr>
            </w:pPr>
          </w:p>
        </w:tc>
      </w:tr>
      <w:tr w14:paraId="29A9FC79">
        <w:tblPrEx>
          <w:tblCellMar>
            <w:top w:w="0" w:type="dxa"/>
            <w:left w:w="108" w:type="dxa"/>
            <w:bottom w:w="0" w:type="dxa"/>
            <w:right w:w="108" w:type="dxa"/>
          </w:tblCellMar>
        </w:tblPrEx>
        <w:trPr>
          <w:trHeight w:val="60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2399DCA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w:t>
            </w:r>
          </w:p>
        </w:tc>
        <w:tc>
          <w:tcPr>
            <w:tcW w:w="5417" w:type="dxa"/>
            <w:tcBorders>
              <w:top w:val="single" w:color="000000" w:sz="4" w:space="0"/>
              <w:left w:val="single" w:color="000000" w:sz="4" w:space="0"/>
              <w:bottom w:val="single" w:color="000000" w:sz="4" w:space="0"/>
              <w:right w:val="single" w:color="000000" w:sz="4" w:space="0"/>
            </w:tcBorders>
            <w:vAlign w:val="center"/>
          </w:tcPr>
          <w:p w14:paraId="5607D33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及时规范处理打捞起来的生活垃圾及水生植物等垃圾，规范进入末端处置，不得含水处置。</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833236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12</w:t>
            </w:r>
          </w:p>
        </w:tc>
        <w:tc>
          <w:tcPr>
            <w:tcW w:w="5145" w:type="dxa"/>
            <w:tcBorders>
              <w:top w:val="single" w:color="000000" w:sz="4" w:space="0"/>
              <w:left w:val="single" w:color="000000" w:sz="4" w:space="0"/>
              <w:bottom w:val="single" w:color="000000" w:sz="4" w:space="0"/>
              <w:right w:val="single" w:color="000000" w:sz="4" w:space="0"/>
            </w:tcBorders>
            <w:vAlign w:val="center"/>
          </w:tcPr>
          <w:p w14:paraId="7A4F5B9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每发现一次扣2分。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D75A9D2">
            <w:pPr>
              <w:jc w:val="center"/>
              <w:rPr>
                <w:rFonts w:hint="eastAsia" w:ascii="宋体" w:hAnsi="宋体" w:cs="宋体"/>
                <w:color w:val="000000"/>
                <w:szCs w:val="21"/>
              </w:rPr>
            </w:pPr>
          </w:p>
        </w:tc>
        <w:tc>
          <w:tcPr>
            <w:tcW w:w="1303" w:type="dxa"/>
            <w:vMerge w:val="continue"/>
            <w:tcBorders>
              <w:top w:val="single" w:color="000000" w:sz="4" w:space="0"/>
              <w:left w:val="single" w:color="000000" w:sz="4" w:space="0"/>
              <w:bottom w:val="nil"/>
              <w:right w:val="single" w:color="000000" w:sz="4" w:space="0"/>
            </w:tcBorders>
            <w:vAlign w:val="center"/>
          </w:tcPr>
          <w:p w14:paraId="492AEEE4">
            <w:pPr>
              <w:jc w:val="center"/>
              <w:rPr>
                <w:rFonts w:hint="eastAsia" w:ascii="宋体" w:hAnsi="宋体" w:cs="宋体"/>
                <w:color w:val="000000"/>
                <w:szCs w:val="21"/>
              </w:rPr>
            </w:pPr>
          </w:p>
        </w:tc>
      </w:tr>
      <w:tr w14:paraId="7527C6BB">
        <w:tblPrEx>
          <w:tblCellMar>
            <w:top w:w="0" w:type="dxa"/>
            <w:left w:w="108" w:type="dxa"/>
            <w:bottom w:w="0" w:type="dxa"/>
            <w:right w:w="108" w:type="dxa"/>
          </w:tblCellMar>
        </w:tblPrEx>
        <w:trPr>
          <w:trHeight w:val="72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372879F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w:t>
            </w:r>
          </w:p>
        </w:tc>
        <w:tc>
          <w:tcPr>
            <w:tcW w:w="5417" w:type="dxa"/>
            <w:tcBorders>
              <w:top w:val="single" w:color="000000" w:sz="4" w:space="0"/>
              <w:left w:val="single" w:color="000000" w:sz="4" w:space="0"/>
              <w:bottom w:val="single" w:color="000000" w:sz="4" w:space="0"/>
              <w:right w:val="single" w:color="000000" w:sz="4" w:space="0"/>
            </w:tcBorders>
            <w:vAlign w:val="center"/>
          </w:tcPr>
          <w:p w14:paraId="23B31F7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建立投诉响应机制，及时处理投诉事件</w:t>
            </w:r>
          </w:p>
        </w:tc>
        <w:tc>
          <w:tcPr>
            <w:tcW w:w="885" w:type="dxa"/>
            <w:tcBorders>
              <w:top w:val="single" w:color="000000" w:sz="4" w:space="0"/>
              <w:left w:val="single" w:color="000000" w:sz="4" w:space="0"/>
              <w:bottom w:val="single" w:color="000000" w:sz="4" w:space="0"/>
              <w:right w:val="single" w:color="000000" w:sz="4" w:space="0"/>
            </w:tcBorders>
            <w:vAlign w:val="center"/>
          </w:tcPr>
          <w:p w14:paraId="458C1FA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5145" w:type="dxa"/>
            <w:tcBorders>
              <w:top w:val="single" w:color="000000" w:sz="4" w:space="0"/>
              <w:left w:val="single" w:color="000000" w:sz="4" w:space="0"/>
              <w:bottom w:val="single" w:color="000000" w:sz="4" w:space="0"/>
              <w:right w:val="single" w:color="000000" w:sz="4" w:space="0"/>
            </w:tcBorders>
            <w:vAlign w:val="center"/>
          </w:tcPr>
          <w:p w14:paraId="6BC2C44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未及时处理一起视情况扣0.5分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932D6D6">
            <w:pPr>
              <w:jc w:val="center"/>
              <w:rPr>
                <w:rFonts w:hint="eastAsia" w:ascii="宋体" w:hAnsi="宋体" w:cs="宋体"/>
                <w:color w:val="000000"/>
                <w:szCs w:val="21"/>
              </w:rPr>
            </w:pPr>
          </w:p>
        </w:tc>
        <w:tc>
          <w:tcPr>
            <w:tcW w:w="1303" w:type="dxa"/>
            <w:vMerge w:val="continue"/>
            <w:tcBorders>
              <w:top w:val="single" w:color="000000" w:sz="4" w:space="0"/>
              <w:left w:val="single" w:color="000000" w:sz="4" w:space="0"/>
              <w:bottom w:val="nil"/>
              <w:right w:val="single" w:color="000000" w:sz="4" w:space="0"/>
            </w:tcBorders>
            <w:vAlign w:val="center"/>
          </w:tcPr>
          <w:p w14:paraId="51B1FFDF">
            <w:pPr>
              <w:jc w:val="center"/>
              <w:rPr>
                <w:rFonts w:hint="eastAsia" w:ascii="宋体" w:hAnsi="宋体" w:cs="宋体"/>
                <w:color w:val="000000"/>
                <w:szCs w:val="21"/>
              </w:rPr>
            </w:pPr>
          </w:p>
        </w:tc>
      </w:tr>
      <w:tr w14:paraId="453039A6">
        <w:tblPrEx>
          <w:tblCellMar>
            <w:top w:w="0" w:type="dxa"/>
            <w:left w:w="108" w:type="dxa"/>
            <w:bottom w:w="0" w:type="dxa"/>
            <w:right w:w="108" w:type="dxa"/>
          </w:tblCellMar>
        </w:tblPrEx>
        <w:trPr>
          <w:trHeight w:val="72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57CFABB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9</w:t>
            </w:r>
          </w:p>
        </w:tc>
        <w:tc>
          <w:tcPr>
            <w:tcW w:w="5417" w:type="dxa"/>
            <w:tcBorders>
              <w:top w:val="single" w:color="000000" w:sz="4" w:space="0"/>
              <w:left w:val="single" w:color="000000" w:sz="4" w:space="0"/>
              <w:bottom w:val="single" w:color="000000" w:sz="4" w:space="0"/>
              <w:right w:val="single" w:color="000000" w:sz="4" w:space="0"/>
            </w:tcBorders>
            <w:vAlign w:val="center"/>
          </w:tcPr>
          <w:p w14:paraId="2635D6D1">
            <w:pPr>
              <w:widowControl/>
              <w:jc w:val="left"/>
              <w:textAlignment w:val="center"/>
              <w:rPr>
                <w:rFonts w:hint="eastAsia" w:ascii="宋体" w:hAnsi="宋体" w:cs="宋体"/>
                <w:color w:val="000000"/>
                <w:szCs w:val="21"/>
              </w:rPr>
            </w:pPr>
            <w:r>
              <w:rPr>
                <w:rFonts w:hint="eastAsia" w:ascii="宋体" w:hAnsi="宋体" w:cs="宋体"/>
                <w:color w:val="000000"/>
                <w:kern w:val="0"/>
                <w:szCs w:val="21"/>
              </w:rPr>
              <w:t>积极响应并认真完成上级领导、有关部门交办的各项工作任务；按照通知要求，按时参加各类工作会议</w:t>
            </w:r>
          </w:p>
        </w:tc>
        <w:tc>
          <w:tcPr>
            <w:tcW w:w="885" w:type="dxa"/>
            <w:tcBorders>
              <w:top w:val="single" w:color="000000" w:sz="4" w:space="0"/>
              <w:left w:val="single" w:color="000000" w:sz="4" w:space="0"/>
              <w:bottom w:val="single" w:color="000000" w:sz="4" w:space="0"/>
              <w:right w:val="single" w:color="000000" w:sz="4" w:space="0"/>
            </w:tcBorders>
            <w:vAlign w:val="center"/>
          </w:tcPr>
          <w:p w14:paraId="61009C8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w:t>
            </w:r>
          </w:p>
        </w:tc>
        <w:tc>
          <w:tcPr>
            <w:tcW w:w="5145" w:type="dxa"/>
            <w:tcBorders>
              <w:top w:val="single" w:color="000000" w:sz="4" w:space="0"/>
              <w:left w:val="single" w:color="000000" w:sz="4" w:space="0"/>
              <w:bottom w:val="single" w:color="000000" w:sz="4" w:space="0"/>
              <w:right w:val="single" w:color="000000" w:sz="4" w:space="0"/>
            </w:tcBorders>
            <w:vAlign w:val="center"/>
          </w:tcPr>
          <w:p w14:paraId="3A9F1668">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分值由考核单位综合评定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0AEDD27">
            <w:pPr>
              <w:jc w:val="center"/>
              <w:rPr>
                <w:rFonts w:hint="eastAsia" w:ascii="宋体" w:hAnsi="宋体" w:cs="宋体"/>
                <w:color w:val="000000"/>
                <w:szCs w:val="21"/>
              </w:rPr>
            </w:pPr>
          </w:p>
        </w:tc>
        <w:tc>
          <w:tcPr>
            <w:tcW w:w="1303" w:type="dxa"/>
            <w:vMerge w:val="continue"/>
            <w:tcBorders>
              <w:top w:val="single" w:color="000000" w:sz="4" w:space="0"/>
              <w:left w:val="single" w:color="000000" w:sz="4" w:space="0"/>
              <w:bottom w:val="nil"/>
              <w:right w:val="single" w:color="000000" w:sz="4" w:space="0"/>
            </w:tcBorders>
            <w:vAlign w:val="center"/>
          </w:tcPr>
          <w:p w14:paraId="05E575B5">
            <w:pPr>
              <w:jc w:val="center"/>
              <w:rPr>
                <w:rFonts w:hint="eastAsia" w:ascii="宋体" w:hAnsi="宋体" w:cs="宋体"/>
                <w:color w:val="000000"/>
                <w:szCs w:val="21"/>
              </w:rPr>
            </w:pPr>
          </w:p>
        </w:tc>
      </w:tr>
      <w:tr w14:paraId="20B6184E">
        <w:tblPrEx>
          <w:tblCellMar>
            <w:top w:w="0" w:type="dxa"/>
            <w:left w:w="108" w:type="dxa"/>
            <w:bottom w:w="0" w:type="dxa"/>
            <w:right w:w="108" w:type="dxa"/>
          </w:tblCellMar>
        </w:tblPrEx>
        <w:trPr>
          <w:trHeight w:val="720"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6D9A50D">
            <w:pPr>
              <w:rPr>
                <w:rFonts w:hint="eastAsia" w:ascii="宋体" w:hAnsi="宋体" w:cs="宋体"/>
                <w:color w:val="000000"/>
                <w:szCs w:val="21"/>
              </w:rPr>
            </w:pPr>
          </w:p>
        </w:tc>
        <w:tc>
          <w:tcPr>
            <w:tcW w:w="5417" w:type="dxa"/>
            <w:tcBorders>
              <w:top w:val="single" w:color="000000" w:sz="4" w:space="0"/>
              <w:left w:val="nil"/>
              <w:bottom w:val="single" w:color="000000" w:sz="4" w:space="0"/>
              <w:right w:val="single" w:color="000000" w:sz="4" w:space="0"/>
            </w:tcBorders>
            <w:vAlign w:val="center"/>
          </w:tcPr>
          <w:p w14:paraId="5301465C">
            <w:pPr>
              <w:jc w:val="center"/>
              <w:rPr>
                <w:rFonts w:hint="eastAsia" w:ascii="宋体" w:hAnsi="宋体" w:cs="宋体"/>
                <w:color w:val="000000"/>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656DF2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100</w:t>
            </w:r>
          </w:p>
        </w:tc>
        <w:tc>
          <w:tcPr>
            <w:tcW w:w="5145" w:type="dxa"/>
            <w:tcBorders>
              <w:top w:val="single" w:color="000000" w:sz="4" w:space="0"/>
              <w:left w:val="single" w:color="000000" w:sz="4" w:space="0"/>
              <w:bottom w:val="single" w:color="000000" w:sz="4" w:space="0"/>
              <w:right w:val="single" w:color="000000" w:sz="4" w:space="0"/>
            </w:tcBorders>
            <w:vAlign w:val="center"/>
          </w:tcPr>
          <w:p w14:paraId="423CA95A">
            <w:pPr>
              <w:jc w:val="left"/>
              <w:rPr>
                <w:rFonts w:hint="eastAsia" w:ascii="宋体" w:hAnsi="宋体" w:cs="宋体"/>
                <w:color w:val="000000"/>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8792CDC">
            <w:pPr>
              <w:jc w:val="center"/>
              <w:rPr>
                <w:rFonts w:hint="eastAsia" w:ascii="宋体" w:hAnsi="宋体" w:cs="宋体"/>
                <w:color w:val="000000"/>
                <w:szCs w:val="21"/>
              </w:rPr>
            </w:pP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C74BDCE">
            <w:pPr>
              <w:jc w:val="center"/>
              <w:rPr>
                <w:rFonts w:hint="eastAsia" w:ascii="宋体" w:hAnsi="宋体" w:cs="宋体"/>
                <w:color w:val="000000"/>
                <w:szCs w:val="21"/>
              </w:rPr>
            </w:pPr>
          </w:p>
        </w:tc>
      </w:tr>
    </w:tbl>
    <w:p w14:paraId="3DA8E1AB">
      <w:pPr>
        <w:pStyle w:val="11"/>
        <w:spacing w:line="560" w:lineRule="exact"/>
        <w:rPr>
          <w:rFonts w:hint="eastAsia" w:ascii="宋体" w:hAnsi="宋体" w:cs="仿宋"/>
          <w:color w:val="auto"/>
          <w:szCs w:val="21"/>
          <w:lang w:eastAsia="zh-CN"/>
        </w:rPr>
        <w:sectPr>
          <w:pgSz w:w="16838" w:h="11906" w:orient="landscape"/>
          <w:pgMar w:top="1803" w:right="1440" w:bottom="1803" w:left="1440" w:header="851" w:footer="992" w:gutter="0"/>
          <w:cols w:space="720" w:num="1"/>
          <w:docGrid w:type="lines" w:linePitch="319" w:charSpace="0"/>
        </w:sectPr>
      </w:pPr>
    </w:p>
    <w:p w14:paraId="2F9E98DB">
      <w:pPr>
        <w:pStyle w:val="11"/>
        <w:spacing w:line="560" w:lineRule="exact"/>
        <w:rPr>
          <w:rFonts w:hint="default" w:ascii="宋体" w:hAnsi="宋体" w:eastAsia="宋体" w:cs="仿宋"/>
          <w:color w:val="auto"/>
          <w:szCs w:val="21"/>
          <w:lang w:val="en-US" w:eastAsia="zh-CN"/>
        </w:rPr>
      </w:pPr>
      <w:r>
        <w:rPr>
          <w:rFonts w:hint="eastAsia" w:ascii="宋体" w:hAnsi="宋体" w:cs="仿宋"/>
          <w:color w:val="auto"/>
          <w:szCs w:val="21"/>
          <w:lang w:eastAsia="zh-CN"/>
        </w:rPr>
        <w:t>附件</w:t>
      </w:r>
      <w:r>
        <w:rPr>
          <w:rFonts w:hint="eastAsia" w:ascii="宋体" w:hAnsi="宋体" w:cs="仿宋"/>
          <w:color w:val="auto"/>
          <w:szCs w:val="21"/>
          <w:lang w:val="en-US" w:eastAsia="zh-CN"/>
        </w:rPr>
        <w:t>4：</w:t>
      </w:r>
    </w:p>
    <w:p w14:paraId="1B610368">
      <w:pPr>
        <w:spacing w:line="360" w:lineRule="exact"/>
        <w:jc w:val="center"/>
        <w:rPr>
          <w:rFonts w:hint="eastAsia" w:ascii="宋体" w:hAnsi="宋体"/>
          <w:b/>
          <w:color w:val="auto"/>
          <w:sz w:val="32"/>
          <w:szCs w:val="32"/>
        </w:rPr>
      </w:pPr>
      <w:r>
        <w:rPr>
          <w:rFonts w:hint="eastAsia" w:ascii="宋体" w:hAnsi="宋体"/>
          <w:b/>
          <w:color w:val="auto"/>
          <w:sz w:val="32"/>
          <w:szCs w:val="32"/>
        </w:rPr>
        <w:t>青浦城区绿地养护作业考核评分表</w:t>
      </w:r>
    </w:p>
    <w:p w14:paraId="39551CD8">
      <w:pPr>
        <w:spacing w:line="360" w:lineRule="exact"/>
        <w:jc w:val="center"/>
        <w:rPr>
          <w:rFonts w:hint="eastAsia" w:ascii="宋体"/>
          <w:color w:val="auto"/>
          <w:sz w:val="32"/>
          <w:szCs w:val="32"/>
        </w:rPr>
      </w:pPr>
    </w:p>
    <w:p w14:paraId="0BEEB1B9">
      <w:pPr>
        <w:rPr>
          <w:rFonts w:ascii="宋体" w:hAnsi="宋体"/>
          <w:color w:val="auto"/>
          <w:sz w:val="24"/>
        </w:rPr>
      </w:pPr>
      <w:r>
        <w:rPr>
          <w:rFonts w:hint="eastAsia" w:ascii="宋体" w:hAnsi="宋体"/>
          <w:color w:val="auto"/>
          <w:sz w:val="24"/>
        </w:rPr>
        <w:t xml:space="preserve">绿地名称：                                      绿地等级： </w:t>
      </w:r>
    </w:p>
    <w:p w14:paraId="7B8F0829">
      <w:pPr>
        <w:rPr>
          <w:rFonts w:ascii="宋体" w:hAnsi="宋体"/>
          <w:color w:val="auto"/>
          <w:sz w:val="24"/>
        </w:rPr>
      </w:pPr>
      <w:r>
        <w:rPr>
          <w:rFonts w:hint="eastAsia" w:ascii="宋体" w:hAnsi="宋体"/>
          <w:color w:val="auto"/>
          <w:sz w:val="24"/>
        </w:rPr>
        <w:t>考核单位：                                      考核日期:</w:t>
      </w:r>
      <w:r>
        <w:rPr>
          <w:rFonts w:ascii="宋体" w:hAnsi="宋体"/>
          <w:color w:val="auto"/>
          <w:sz w:val="24"/>
        </w:rPr>
        <w:t xml:space="preserve"> </w:t>
      </w:r>
    </w:p>
    <w:tbl>
      <w:tblPr>
        <w:tblStyle w:val="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72"/>
        <w:gridCol w:w="855"/>
        <w:gridCol w:w="2694"/>
        <w:gridCol w:w="708"/>
        <w:gridCol w:w="709"/>
        <w:gridCol w:w="1985"/>
      </w:tblGrid>
      <w:tr w14:paraId="5EDD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08" w:type="dxa"/>
            <w:vAlign w:val="center"/>
          </w:tcPr>
          <w:p w14:paraId="6096E923">
            <w:pPr>
              <w:rPr>
                <w:rFonts w:ascii="宋体"/>
                <w:b/>
                <w:color w:val="auto"/>
                <w:sz w:val="24"/>
              </w:rPr>
            </w:pPr>
            <w:r>
              <w:rPr>
                <w:rFonts w:hint="eastAsia" w:ascii="宋体" w:hAnsi="宋体"/>
                <w:b/>
                <w:color w:val="auto"/>
                <w:sz w:val="24"/>
              </w:rPr>
              <w:t>序号</w:t>
            </w:r>
          </w:p>
        </w:tc>
        <w:tc>
          <w:tcPr>
            <w:tcW w:w="2127" w:type="dxa"/>
            <w:gridSpan w:val="2"/>
            <w:vAlign w:val="center"/>
          </w:tcPr>
          <w:p w14:paraId="4EC239B7">
            <w:pPr>
              <w:jc w:val="center"/>
              <w:rPr>
                <w:rFonts w:ascii="宋体"/>
                <w:b/>
                <w:color w:val="auto"/>
                <w:sz w:val="24"/>
              </w:rPr>
            </w:pPr>
            <w:r>
              <w:rPr>
                <w:rFonts w:hint="eastAsia" w:ascii="宋体" w:hAnsi="宋体"/>
                <w:b/>
                <w:color w:val="auto"/>
                <w:sz w:val="24"/>
              </w:rPr>
              <w:t>考核项目</w:t>
            </w:r>
          </w:p>
        </w:tc>
        <w:tc>
          <w:tcPr>
            <w:tcW w:w="2694" w:type="dxa"/>
            <w:vAlign w:val="center"/>
          </w:tcPr>
          <w:p w14:paraId="1DD67438">
            <w:pPr>
              <w:jc w:val="center"/>
              <w:rPr>
                <w:rFonts w:ascii="宋体"/>
                <w:b/>
                <w:color w:val="auto"/>
                <w:sz w:val="24"/>
              </w:rPr>
            </w:pPr>
            <w:r>
              <w:rPr>
                <w:rFonts w:hint="eastAsia" w:ascii="宋体" w:hAnsi="宋体"/>
                <w:b/>
                <w:color w:val="auto"/>
                <w:sz w:val="24"/>
              </w:rPr>
              <w:t>考核内容</w:t>
            </w:r>
          </w:p>
        </w:tc>
        <w:tc>
          <w:tcPr>
            <w:tcW w:w="708" w:type="dxa"/>
            <w:vAlign w:val="center"/>
          </w:tcPr>
          <w:p w14:paraId="11C2BD54">
            <w:pPr>
              <w:jc w:val="center"/>
              <w:rPr>
                <w:rFonts w:ascii="宋体"/>
                <w:b/>
                <w:color w:val="auto"/>
                <w:sz w:val="24"/>
              </w:rPr>
            </w:pPr>
            <w:r>
              <w:rPr>
                <w:rFonts w:hint="eastAsia" w:ascii="宋体" w:hAnsi="宋体"/>
                <w:b/>
                <w:color w:val="auto"/>
                <w:sz w:val="24"/>
              </w:rPr>
              <w:t>考核</w:t>
            </w:r>
          </w:p>
          <w:p w14:paraId="766645D1">
            <w:pPr>
              <w:jc w:val="center"/>
              <w:rPr>
                <w:rFonts w:ascii="宋体"/>
                <w:b/>
                <w:color w:val="auto"/>
                <w:sz w:val="24"/>
              </w:rPr>
            </w:pPr>
            <w:r>
              <w:rPr>
                <w:rFonts w:hint="eastAsia" w:ascii="宋体" w:hAnsi="宋体"/>
                <w:b/>
                <w:color w:val="auto"/>
                <w:sz w:val="24"/>
              </w:rPr>
              <w:t>分值</w:t>
            </w:r>
          </w:p>
        </w:tc>
        <w:tc>
          <w:tcPr>
            <w:tcW w:w="709" w:type="dxa"/>
            <w:vAlign w:val="center"/>
          </w:tcPr>
          <w:p w14:paraId="4E4B6CB9">
            <w:pPr>
              <w:jc w:val="center"/>
              <w:rPr>
                <w:rFonts w:ascii="宋体"/>
                <w:b/>
                <w:color w:val="auto"/>
                <w:sz w:val="24"/>
              </w:rPr>
            </w:pPr>
            <w:r>
              <w:rPr>
                <w:rFonts w:hint="eastAsia" w:ascii="宋体" w:hAnsi="宋体"/>
                <w:b/>
                <w:color w:val="auto"/>
                <w:sz w:val="24"/>
              </w:rPr>
              <w:t>扣分</w:t>
            </w:r>
          </w:p>
        </w:tc>
        <w:tc>
          <w:tcPr>
            <w:tcW w:w="1985" w:type="dxa"/>
            <w:vAlign w:val="center"/>
          </w:tcPr>
          <w:p w14:paraId="3117F7AE">
            <w:pPr>
              <w:jc w:val="center"/>
              <w:rPr>
                <w:rFonts w:ascii="宋体"/>
                <w:b/>
                <w:color w:val="auto"/>
                <w:sz w:val="24"/>
              </w:rPr>
            </w:pPr>
            <w:r>
              <w:rPr>
                <w:rFonts w:hint="eastAsia" w:ascii="宋体" w:hAnsi="宋体"/>
                <w:b/>
                <w:color w:val="auto"/>
                <w:sz w:val="24"/>
              </w:rPr>
              <w:t>存在问题</w:t>
            </w:r>
          </w:p>
        </w:tc>
      </w:tr>
      <w:tr w14:paraId="5257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708" w:type="dxa"/>
            <w:vAlign w:val="center"/>
          </w:tcPr>
          <w:p w14:paraId="1C3534D2">
            <w:pPr>
              <w:ind w:firstLine="236" w:firstLineChars="98"/>
              <w:rPr>
                <w:rFonts w:ascii="宋体"/>
                <w:b/>
                <w:color w:val="auto"/>
                <w:sz w:val="24"/>
              </w:rPr>
            </w:pPr>
            <w:r>
              <w:rPr>
                <w:rFonts w:ascii="宋体" w:hAnsi="宋体"/>
                <w:b/>
                <w:color w:val="auto"/>
                <w:sz w:val="24"/>
              </w:rPr>
              <w:t>1</w:t>
            </w:r>
          </w:p>
        </w:tc>
        <w:tc>
          <w:tcPr>
            <w:tcW w:w="2127" w:type="dxa"/>
            <w:gridSpan w:val="2"/>
            <w:vAlign w:val="center"/>
          </w:tcPr>
          <w:p w14:paraId="62B1816A">
            <w:pPr>
              <w:rPr>
                <w:rFonts w:ascii="宋体"/>
                <w:color w:val="auto"/>
                <w:sz w:val="24"/>
              </w:rPr>
            </w:pPr>
            <w:r>
              <w:rPr>
                <w:rFonts w:hint="eastAsia" w:ascii="宋体" w:hAnsi="宋体"/>
                <w:color w:val="auto"/>
                <w:sz w:val="24"/>
              </w:rPr>
              <w:t>绿地景观（15分）</w:t>
            </w:r>
          </w:p>
        </w:tc>
        <w:tc>
          <w:tcPr>
            <w:tcW w:w="2694" w:type="dxa"/>
            <w:vAlign w:val="center"/>
          </w:tcPr>
          <w:p w14:paraId="03132FA2">
            <w:pPr>
              <w:rPr>
                <w:rFonts w:ascii="宋体" w:hAnsi="宋体"/>
                <w:color w:val="auto"/>
                <w:sz w:val="24"/>
              </w:rPr>
            </w:pPr>
            <w:r>
              <w:rPr>
                <w:rFonts w:hint="eastAsia" w:ascii="宋体" w:hAnsi="宋体"/>
                <w:color w:val="auto"/>
                <w:sz w:val="24"/>
              </w:rPr>
              <w:t>绿地保存率</w:t>
            </w:r>
            <w:r>
              <w:rPr>
                <w:rFonts w:ascii="宋体" w:hAnsi="宋体"/>
                <w:color w:val="auto"/>
                <w:sz w:val="24"/>
              </w:rPr>
              <w:t>100%</w:t>
            </w:r>
            <w:r>
              <w:rPr>
                <w:rFonts w:hint="eastAsia" w:ascii="宋体" w:hAnsi="宋体"/>
                <w:color w:val="auto"/>
                <w:sz w:val="24"/>
              </w:rPr>
              <w:t>，绿地景观面貌整体良好</w:t>
            </w:r>
            <w:r>
              <w:rPr>
                <w:rFonts w:ascii="宋体"/>
                <w:color w:val="auto"/>
                <w:sz w:val="24"/>
              </w:rPr>
              <w:t>,</w:t>
            </w:r>
            <w:r>
              <w:rPr>
                <w:rFonts w:hint="eastAsia" w:ascii="宋体" w:hAnsi="宋体"/>
                <w:color w:val="auto"/>
                <w:sz w:val="24"/>
              </w:rPr>
              <w:t>调整及时有计划，无违规操作</w:t>
            </w:r>
            <w:r>
              <w:rPr>
                <w:rFonts w:ascii="宋体"/>
                <w:color w:val="auto"/>
                <w:sz w:val="24"/>
              </w:rPr>
              <w:t>,</w:t>
            </w:r>
            <w:r>
              <w:rPr>
                <w:rFonts w:hint="eastAsia" w:ascii="宋体"/>
                <w:color w:val="auto"/>
                <w:sz w:val="24"/>
              </w:rPr>
              <w:t>无</w:t>
            </w:r>
            <w:r>
              <w:rPr>
                <w:rFonts w:hint="eastAsia" w:ascii="宋体" w:hAnsi="宋体"/>
                <w:color w:val="auto"/>
                <w:sz w:val="24"/>
              </w:rPr>
              <w:t>侵占绿地、毁绿现象。</w:t>
            </w:r>
          </w:p>
        </w:tc>
        <w:tc>
          <w:tcPr>
            <w:tcW w:w="708" w:type="dxa"/>
            <w:vAlign w:val="center"/>
          </w:tcPr>
          <w:p w14:paraId="17572800">
            <w:pPr>
              <w:jc w:val="center"/>
              <w:rPr>
                <w:rFonts w:ascii="宋体"/>
                <w:color w:val="auto"/>
                <w:sz w:val="24"/>
              </w:rPr>
            </w:pPr>
            <w:r>
              <w:rPr>
                <w:rFonts w:hint="eastAsia" w:ascii="宋体" w:hAnsi="宋体"/>
                <w:color w:val="auto"/>
                <w:sz w:val="24"/>
              </w:rPr>
              <w:t>1</w:t>
            </w:r>
            <w:r>
              <w:rPr>
                <w:rFonts w:ascii="宋体" w:hAnsi="宋体"/>
                <w:color w:val="auto"/>
                <w:sz w:val="24"/>
              </w:rPr>
              <w:t>5</w:t>
            </w:r>
          </w:p>
        </w:tc>
        <w:tc>
          <w:tcPr>
            <w:tcW w:w="709" w:type="dxa"/>
            <w:vAlign w:val="center"/>
          </w:tcPr>
          <w:p w14:paraId="1BE5BAC8">
            <w:pPr>
              <w:jc w:val="center"/>
              <w:rPr>
                <w:rFonts w:ascii="宋体"/>
                <w:color w:val="auto"/>
                <w:sz w:val="24"/>
              </w:rPr>
            </w:pPr>
          </w:p>
        </w:tc>
        <w:tc>
          <w:tcPr>
            <w:tcW w:w="1985" w:type="dxa"/>
            <w:vMerge w:val="restart"/>
            <w:vAlign w:val="center"/>
          </w:tcPr>
          <w:p w14:paraId="035BE76B">
            <w:pPr>
              <w:pStyle w:val="18"/>
              <w:widowControl/>
              <w:ind w:firstLine="0" w:firstLineChars="0"/>
              <w:jc w:val="left"/>
              <w:rPr>
                <w:rFonts w:ascii="宋体" w:hAnsi="宋体"/>
                <w:color w:val="auto"/>
                <w:sz w:val="24"/>
              </w:rPr>
            </w:pPr>
          </w:p>
        </w:tc>
      </w:tr>
      <w:tr w14:paraId="3B41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8" w:type="dxa"/>
            <w:vMerge w:val="restart"/>
            <w:vAlign w:val="center"/>
          </w:tcPr>
          <w:p w14:paraId="2B5B6C0E">
            <w:pPr>
              <w:jc w:val="center"/>
              <w:rPr>
                <w:rFonts w:ascii="宋体"/>
                <w:b/>
                <w:color w:val="auto"/>
                <w:sz w:val="24"/>
              </w:rPr>
            </w:pPr>
            <w:r>
              <w:rPr>
                <w:rFonts w:ascii="宋体" w:hAnsi="宋体"/>
                <w:b/>
                <w:color w:val="auto"/>
                <w:sz w:val="24"/>
              </w:rPr>
              <w:t>2</w:t>
            </w:r>
          </w:p>
        </w:tc>
        <w:tc>
          <w:tcPr>
            <w:tcW w:w="1272" w:type="dxa"/>
            <w:vMerge w:val="restart"/>
            <w:vAlign w:val="center"/>
          </w:tcPr>
          <w:p w14:paraId="2963312A">
            <w:pPr>
              <w:rPr>
                <w:rFonts w:hint="eastAsia" w:ascii="宋体" w:hAnsi="宋体"/>
                <w:color w:val="auto"/>
                <w:sz w:val="24"/>
              </w:rPr>
            </w:pPr>
            <w:r>
              <w:rPr>
                <w:rFonts w:hint="eastAsia" w:ascii="宋体" w:hAnsi="宋体"/>
                <w:color w:val="auto"/>
                <w:sz w:val="24"/>
              </w:rPr>
              <w:t>植物生长</w:t>
            </w:r>
          </w:p>
          <w:p w14:paraId="51647015">
            <w:pPr>
              <w:rPr>
                <w:rFonts w:ascii="宋体"/>
                <w:color w:val="auto"/>
                <w:sz w:val="24"/>
              </w:rPr>
            </w:pPr>
            <w:r>
              <w:rPr>
                <w:rFonts w:hint="eastAsia" w:ascii="宋体" w:hAnsi="宋体"/>
                <w:color w:val="auto"/>
                <w:sz w:val="24"/>
              </w:rPr>
              <w:t>（20分）</w:t>
            </w:r>
          </w:p>
        </w:tc>
        <w:tc>
          <w:tcPr>
            <w:tcW w:w="855" w:type="dxa"/>
            <w:vAlign w:val="center"/>
          </w:tcPr>
          <w:p w14:paraId="2A5ABCD7">
            <w:pPr>
              <w:rPr>
                <w:rFonts w:ascii="宋体"/>
                <w:color w:val="auto"/>
                <w:sz w:val="24"/>
              </w:rPr>
            </w:pPr>
            <w:r>
              <w:rPr>
                <w:rFonts w:hint="eastAsia" w:ascii="宋体" w:hAnsi="宋体"/>
                <w:color w:val="auto"/>
                <w:sz w:val="24"/>
              </w:rPr>
              <w:t>乔木</w:t>
            </w:r>
          </w:p>
        </w:tc>
        <w:tc>
          <w:tcPr>
            <w:tcW w:w="2694" w:type="dxa"/>
            <w:vAlign w:val="center"/>
          </w:tcPr>
          <w:p w14:paraId="5FD7B6E3">
            <w:pPr>
              <w:rPr>
                <w:rFonts w:ascii="宋体"/>
                <w:color w:val="auto"/>
                <w:sz w:val="24"/>
              </w:rPr>
            </w:pPr>
            <w:r>
              <w:rPr>
                <w:rFonts w:hint="eastAsia" w:ascii="宋体" w:hAnsi="宋体"/>
                <w:color w:val="auto"/>
                <w:sz w:val="24"/>
              </w:rPr>
              <w:t>无死株（濒死株），无倾斜，树冠饱满，长势好。</w:t>
            </w:r>
          </w:p>
        </w:tc>
        <w:tc>
          <w:tcPr>
            <w:tcW w:w="708" w:type="dxa"/>
            <w:vAlign w:val="center"/>
          </w:tcPr>
          <w:p w14:paraId="23DB1E56">
            <w:pPr>
              <w:jc w:val="center"/>
              <w:rPr>
                <w:rFonts w:ascii="宋体"/>
                <w:color w:val="auto"/>
                <w:sz w:val="24"/>
              </w:rPr>
            </w:pPr>
            <w:r>
              <w:rPr>
                <w:rFonts w:hint="eastAsia" w:ascii="宋体"/>
                <w:color w:val="auto"/>
                <w:sz w:val="24"/>
              </w:rPr>
              <w:t>10</w:t>
            </w:r>
          </w:p>
        </w:tc>
        <w:tc>
          <w:tcPr>
            <w:tcW w:w="709" w:type="dxa"/>
            <w:vAlign w:val="center"/>
          </w:tcPr>
          <w:p w14:paraId="6267E0EC">
            <w:pPr>
              <w:jc w:val="center"/>
              <w:rPr>
                <w:rFonts w:ascii="宋体"/>
                <w:color w:val="auto"/>
                <w:sz w:val="24"/>
              </w:rPr>
            </w:pPr>
          </w:p>
        </w:tc>
        <w:tc>
          <w:tcPr>
            <w:tcW w:w="1985" w:type="dxa"/>
            <w:vMerge w:val="continue"/>
            <w:vAlign w:val="center"/>
          </w:tcPr>
          <w:p w14:paraId="6FCEC08F">
            <w:pPr>
              <w:widowControl/>
              <w:jc w:val="left"/>
              <w:rPr>
                <w:rFonts w:ascii="宋体"/>
                <w:color w:val="auto"/>
                <w:sz w:val="24"/>
              </w:rPr>
            </w:pPr>
          </w:p>
        </w:tc>
      </w:tr>
      <w:tr w14:paraId="3F7B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8" w:type="dxa"/>
            <w:vMerge w:val="continue"/>
            <w:vAlign w:val="center"/>
          </w:tcPr>
          <w:p w14:paraId="00B1FC97">
            <w:pPr>
              <w:widowControl/>
              <w:jc w:val="left"/>
              <w:rPr>
                <w:rFonts w:ascii="宋体"/>
                <w:b/>
                <w:color w:val="auto"/>
                <w:sz w:val="24"/>
              </w:rPr>
            </w:pPr>
          </w:p>
        </w:tc>
        <w:tc>
          <w:tcPr>
            <w:tcW w:w="1272" w:type="dxa"/>
            <w:vMerge w:val="continue"/>
            <w:vAlign w:val="center"/>
          </w:tcPr>
          <w:p w14:paraId="01C42AC1">
            <w:pPr>
              <w:widowControl/>
              <w:rPr>
                <w:rFonts w:ascii="宋体"/>
                <w:color w:val="auto"/>
                <w:sz w:val="24"/>
              </w:rPr>
            </w:pPr>
          </w:p>
        </w:tc>
        <w:tc>
          <w:tcPr>
            <w:tcW w:w="855" w:type="dxa"/>
            <w:vAlign w:val="center"/>
          </w:tcPr>
          <w:p w14:paraId="0994E65A">
            <w:pPr>
              <w:rPr>
                <w:rFonts w:ascii="宋体"/>
                <w:color w:val="auto"/>
                <w:sz w:val="24"/>
              </w:rPr>
            </w:pPr>
            <w:r>
              <w:rPr>
                <w:rFonts w:hint="eastAsia" w:ascii="宋体" w:hAnsi="宋体"/>
                <w:color w:val="auto"/>
                <w:sz w:val="24"/>
              </w:rPr>
              <w:t>灌木</w:t>
            </w:r>
          </w:p>
        </w:tc>
        <w:tc>
          <w:tcPr>
            <w:tcW w:w="2694" w:type="dxa"/>
            <w:vAlign w:val="center"/>
          </w:tcPr>
          <w:p w14:paraId="2C50CB43">
            <w:pPr>
              <w:rPr>
                <w:rFonts w:ascii="宋体"/>
                <w:color w:val="auto"/>
                <w:sz w:val="24"/>
              </w:rPr>
            </w:pPr>
            <w:r>
              <w:rPr>
                <w:rFonts w:hint="eastAsia" w:ascii="宋体" w:hAnsi="宋体"/>
                <w:color w:val="auto"/>
                <w:sz w:val="24"/>
              </w:rPr>
              <w:t>无死株（濒死株），树冠饱满，适季开花，长势好。</w:t>
            </w:r>
          </w:p>
        </w:tc>
        <w:tc>
          <w:tcPr>
            <w:tcW w:w="708" w:type="dxa"/>
            <w:vAlign w:val="center"/>
          </w:tcPr>
          <w:p w14:paraId="19A69828">
            <w:pPr>
              <w:jc w:val="center"/>
              <w:rPr>
                <w:rFonts w:ascii="宋体"/>
                <w:color w:val="auto"/>
                <w:sz w:val="24"/>
              </w:rPr>
            </w:pPr>
            <w:r>
              <w:rPr>
                <w:rFonts w:hint="eastAsia" w:ascii="宋体" w:hAnsi="宋体"/>
                <w:color w:val="auto"/>
                <w:sz w:val="24"/>
              </w:rPr>
              <w:t>5</w:t>
            </w:r>
          </w:p>
        </w:tc>
        <w:tc>
          <w:tcPr>
            <w:tcW w:w="709" w:type="dxa"/>
            <w:vAlign w:val="center"/>
          </w:tcPr>
          <w:p w14:paraId="685BCD07">
            <w:pPr>
              <w:jc w:val="center"/>
              <w:rPr>
                <w:rFonts w:ascii="宋体"/>
                <w:color w:val="auto"/>
                <w:sz w:val="24"/>
              </w:rPr>
            </w:pPr>
          </w:p>
        </w:tc>
        <w:tc>
          <w:tcPr>
            <w:tcW w:w="1985" w:type="dxa"/>
            <w:vMerge w:val="continue"/>
            <w:vAlign w:val="center"/>
          </w:tcPr>
          <w:p w14:paraId="723AE6E0">
            <w:pPr>
              <w:widowControl/>
              <w:jc w:val="left"/>
              <w:rPr>
                <w:rFonts w:ascii="宋体"/>
                <w:color w:val="auto"/>
                <w:sz w:val="24"/>
              </w:rPr>
            </w:pPr>
          </w:p>
        </w:tc>
      </w:tr>
      <w:tr w14:paraId="0A0A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08" w:type="dxa"/>
            <w:vMerge w:val="continue"/>
            <w:vAlign w:val="center"/>
          </w:tcPr>
          <w:p w14:paraId="66CC936F">
            <w:pPr>
              <w:widowControl/>
              <w:jc w:val="left"/>
              <w:rPr>
                <w:rFonts w:ascii="宋体"/>
                <w:b/>
                <w:color w:val="auto"/>
                <w:sz w:val="24"/>
              </w:rPr>
            </w:pPr>
          </w:p>
        </w:tc>
        <w:tc>
          <w:tcPr>
            <w:tcW w:w="1272" w:type="dxa"/>
            <w:vMerge w:val="continue"/>
            <w:vAlign w:val="center"/>
          </w:tcPr>
          <w:p w14:paraId="13F3FBD3">
            <w:pPr>
              <w:widowControl/>
              <w:rPr>
                <w:rFonts w:ascii="宋体"/>
                <w:color w:val="auto"/>
                <w:sz w:val="24"/>
              </w:rPr>
            </w:pPr>
          </w:p>
        </w:tc>
        <w:tc>
          <w:tcPr>
            <w:tcW w:w="855" w:type="dxa"/>
            <w:vAlign w:val="center"/>
          </w:tcPr>
          <w:p w14:paraId="5F63BE66">
            <w:pPr>
              <w:rPr>
                <w:rFonts w:ascii="宋体"/>
                <w:color w:val="auto"/>
                <w:sz w:val="24"/>
              </w:rPr>
            </w:pPr>
            <w:r>
              <w:rPr>
                <w:rFonts w:hint="eastAsia" w:ascii="宋体" w:hAnsi="宋体"/>
                <w:color w:val="auto"/>
                <w:sz w:val="24"/>
              </w:rPr>
              <w:t>地被、草坪</w:t>
            </w:r>
          </w:p>
        </w:tc>
        <w:tc>
          <w:tcPr>
            <w:tcW w:w="2694" w:type="dxa"/>
            <w:vAlign w:val="center"/>
          </w:tcPr>
          <w:p w14:paraId="5EF94C7C">
            <w:pPr>
              <w:rPr>
                <w:rFonts w:ascii="宋体"/>
                <w:color w:val="auto"/>
                <w:sz w:val="24"/>
              </w:rPr>
            </w:pPr>
            <w:r>
              <w:rPr>
                <w:rFonts w:hint="eastAsia" w:ascii="宋体" w:hAnsi="宋体"/>
                <w:color w:val="auto"/>
                <w:sz w:val="24"/>
              </w:rPr>
              <w:t>适地生长，长势良好，无明显空秃。</w:t>
            </w:r>
          </w:p>
        </w:tc>
        <w:tc>
          <w:tcPr>
            <w:tcW w:w="708" w:type="dxa"/>
            <w:vAlign w:val="center"/>
          </w:tcPr>
          <w:p w14:paraId="401B630B">
            <w:pPr>
              <w:jc w:val="center"/>
              <w:rPr>
                <w:rFonts w:ascii="宋体"/>
                <w:color w:val="auto"/>
                <w:sz w:val="24"/>
              </w:rPr>
            </w:pPr>
            <w:r>
              <w:rPr>
                <w:rFonts w:hint="eastAsia" w:ascii="宋体" w:hAnsi="宋体"/>
                <w:color w:val="auto"/>
                <w:sz w:val="24"/>
              </w:rPr>
              <w:t>5</w:t>
            </w:r>
          </w:p>
        </w:tc>
        <w:tc>
          <w:tcPr>
            <w:tcW w:w="709" w:type="dxa"/>
            <w:vAlign w:val="center"/>
          </w:tcPr>
          <w:p w14:paraId="19C5A547">
            <w:pPr>
              <w:jc w:val="center"/>
              <w:rPr>
                <w:rFonts w:ascii="宋体"/>
                <w:color w:val="auto"/>
                <w:sz w:val="24"/>
              </w:rPr>
            </w:pPr>
          </w:p>
        </w:tc>
        <w:tc>
          <w:tcPr>
            <w:tcW w:w="1985" w:type="dxa"/>
            <w:vMerge w:val="continue"/>
            <w:vAlign w:val="center"/>
          </w:tcPr>
          <w:p w14:paraId="1925CCE2">
            <w:pPr>
              <w:widowControl/>
              <w:jc w:val="left"/>
              <w:rPr>
                <w:rFonts w:ascii="宋体"/>
                <w:color w:val="auto"/>
                <w:sz w:val="24"/>
              </w:rPr>
            </w:pPr>
          </w:p>
        </w:tc>
      </w:tr>
      <w:tr w14:paraId="2C2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8" w:type="dxa"/>
            <w:vAlign w:val="center"/>
          </w:tcPr>
          <w:p w14:paraId="248B34C3">
            <w:pPr>
              <w:jc w:val="center"/>
              <w:rPr>
                <w:rFonts w:ascii="宋体"/>
                <w:color w:val="auto"/>
                <w:sz w:val="24"/>
              </w:rPr>
            </w:pPr>
            <w:r>
              <w:rPr>
                <w:rFonts w:ascii="宋体" w:hAnsi="宋体"/>
                <w:color w:val="auto"/>
                <w:sz w:val="24"/>
              </w:rPr>
              <w:t>3</w:t>
            </w:r>
          </w:p>
        </w:tc>
        <w:tc>
          <w:tcPr>
            <w:tcW w:w="2127" w:type="dxa"/>
            <w:gridSpan w:val="2"/>
            <w:vAlign w:val="center"/>
          </w:tcPr>
          <w:p w14:paraId="7F408A5D">
            <w:pPr>
              <w:rPr>
                <w:rFonts w:ascii="宋体"/>
                <w:color w:val="auto"/>
                <w:sz w:val="24"/>
              </w:rPr>
            </w:pPr>
            <w:r>
              <w:rPr>
                <w:rFonts w:hint="eastAsia" w:ascii="宋体" w:hAnsi="宋体"/>
                <w:color w:val="auto"/>
                <w:sz w:val="24"/>
              </w:rPr>
              <w:t>有害生物（10分）</w:t>
            </w:r>
          </w:p>
        </w:tc>
        <w:tc>
          <w:tcPr>
            <w:tcW w:w="2694" w:type="dxa"/>
            <w:vAlign w:val="center"/>
          </w:tcPr>
          <w:p w14:paraId="6ACA16A4">
            <w:pPr>
              <w:rPr>
                <w:rFonts w:ascii="宋体"/>
                <w:color w:val="auto"/>
                <w:sz w:val="24"/>
              </w:rPr>
            </w:pPr>
            <w:r>
              <w:rPr>
                <w:rFonts w:hint="eastAsia" w:ascii="宋体" w:hAnsi="宋体"/>
                <w:color w:val="auto"/>
                <w:sz w:val="24"/>
              </w:rPr>
              <w:t>无明显病虫害、杂草。</w:t>
            </w:r>
          </w:p>
        </w:tc>
        <w:tc>
          <w:tcPr>
            <w:tcW w:w="708" w:type="dxa"/>
            <w:vAlign w:val="center"/>
          </w:tcPr>
          <w:p w14:paraId="56670951">
            <w:pPr>
              <w:jc w:val="center"/>
              <w:rPr>
                <w:rFonts w:ascii="宋体"/>
                <w:color w:val="auto"/>
                <w:sz w:val="24"/>
              </w:rPr>
            </w:pPr>
            <w:r>
              <w:rPr>
                <w:rFonts w:hint="eastAsia" w:ascii="宋体" w:hAnsi="宋体"/>
                <w:color w:val="auto"/>
                <w:sz w:val="24"/>
              </w:rPr>
              <w:t>10</w:t>
            </w:r>
          </w:p>
        </w:tc>
        <w:tc>
          <w:tcPr>
            <w:tcW w:w="709" w:type="dxa"/>
            <w:vAlign w:val="center"/>
          </w:tcPr>
          <w:p w14:paraId="13F23455">
            <w:pPr>
              <w:jc w:val="center"/>
              <w:rPr>
                <w:rFonts w:ascii="宋体"/>
                <w:color w:val="auto"/>
                <w:sz w:val="24"/>
              </w:rPr>
            </w:pPr>
          </w:p>
        </w:tc>
        <w:tc>
          <w:tcPr>
            <w:tcW w:w="1985" w:type="dxa"/>
            <w:vMerge w:val="continue"/>
            <w:vAlign w:val="center"/>
          </w:tcPr>
          <w:p w14:paraId="5A47589F">
            <w:pPr>
              <w:widowControl/>
              <w:jc w:val="left"/>
              <w:rPr>
                <w:rFonts w:ascii="宋体"/>
                <w:color w:val="auto"/>
                <w:sz w:val="24"/>
              </w:rPr>
            </w:pPr>
          </w:p>
        </w:tc>
      </w:tr>
      <w:tr w14:paraId="6F0C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08" w:type="dxa"/>
            <w:vAlign w:val="center"/>
          </w:tcPr>
          <w:p w14:paraId="5521FE85">
            <w:pPr>
              <w:jc w:val="center"/>
              <w:rPr>
                <w:rFonts w:hint="eastAsia" w:ascii="宋体" w:hAnsi="宋体"/>
                <w:color w:val="auto"/>
                <w:sz w:val="24"/>
              </w:rPr>
            </w:pPr>
            <w:r>
              <w:rPr>
                <w:rFonts w:hint="eastAsia" w:ascii="宋体" w:hAnsi="宋体"/>
                <w:color w:val="auto"/>
                <w:sz w:val="24"/>
              </w:rPr>
              <w:t>4</w:t>
            </w:r>
          </w:p>
        </w:tc>
        <w:tc>
          <w:tcPr>
            <w:tcW w:w="2127" w:type="dxa"/>
            <w:gridSpan w:val="2"/>
            <w:vAlign w:val="center"/>
          </w:tcPr>
          <w:p w14:paraId="00191CC2">
            <w:pPr>
              <w:rPr>
                <w:rFonts w:hint="eastAsia" w:ascii="宋体" w:hAnsi="宋体"/>
                <w:color w:val="auto"/>
                <w:sz w:val="24"/>
              </w:rPr>
            </w:pPr>
            <w:r>
              <w:rPr>
                <w:rFonts w:hint="eastAsia" w:ascii="宋体" w:hAnsi="宋体"/>
                <w:color w:val="auto"/>
                <w:sz w:val="24"/>
              </w:rPr>
              <w:t>花坛花境（5分）</w:t>
            </w:r>
          </w:p>
        </w:tc>
        <w:tc>
          <w:tcPr>
            <w:tcW w:w="2694" w:type="dxa"/>
            <w:vAlign w:val="center"/>
          </w:tcPr>
          <w:p w14:paraId="4A5CDE25">
            <w:pPr>
              <w:rPr>
                <w:rFonts w:hint="eastAsia" w:ascii="宋体" w:hAnsi="宋体"/>
                <w:color w:val="auto"/>
                <w:sz w:val="24"/>
              </w:rPr>
            </w:pPr>
            <w:r>
              <w:rPr>
                <w:rFonts w:hint="eastAsia" w:ascii="宋体" w:hAnsi="宋体"/>
                <w:color w:val="auto"/>
                <w:sz w:val="24"/>
              </w:rPr>
              <w:t>地形饱满，栽植规范，花境层次错落有致，花坛花期一致、株型整齐。</w:t>
            </w:r>
          </w:p>
        </w:tc>
        <w:tc>
          <w:tcPr>
            <w:tcW w:w="708" w:type="dxa"/>
            <w:vAlign w:val="center"/>
          </w:tcPr>
          <w:p w14:paraId="78F15560">
            <w:pPr>
              <w:jc w:val="center"/>
              <w:rPr>
                <w:rFonts w:ascii="宋体" w:hAnsi="宋体"/>
                <w:color w:val="auto"/>
                <w:sz w:val="24"/>
              </w:rPr>
            </w:pPr>
            <w:r>
              <w:rPr>
                <w:rFonts w:hint="eastAsia" w:ascii="宋体" w:hAnsi="宋体"/>
                <w:color w:val="auto"/>
                <w:sz w:val="24"/>
              </w:rPr>
              <w:t>5</w:t>
            </w:r>
          </w:p>
        </w:tc>
        <w:tc>
          <w:tcPr>
            <w:tcW w:w="709" w:type="dxa"/>
            <w:vAlign w:val="center"/>
          </w:tcPr>
          <w:p w14:paraId="618C027C">
            <w:pPr>
              <w:ind w:firstLine="240" w:firstLineChars="100"/>
              <w:rPr>
                <w:rFonts w:ascii="宋体"/>
                <w:color w:val="auto"/>
                <w:sz w:val="24"/>
              </w:rPr>
            </w:pPr>
          </w:p>
        </w:tc>
        <w:tc>
          <w:tcPr>
            <w:tcW w:w="1985" w:type="dxa"/>
            <w:vMerge w:val="continue"/>
            <w:vAlign w:val="center"/>
          </w:tcPr>
          <w:p w14:paraId="69B97F48">
            <w:pPr>
              <w:widowControl/>
              <w:jc w:val="left"/>
              <w:rPr>
                <w:rFonts w:ascii="宋体"/>
                <w:color w:val="auto"/>
                <w:sz w:val="24"/>
              </w:rPr>
            </w:pPr>
          </w:p>
        </w:tc>
      </w:tr>
      <w:tr w14:paraId="312F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08" w:type="dxa"/>
            <w:vMerge w:val="restart"/>
            <w:vAlign w:val="center"/>
          </w:tcPr>
          <w:p w14:paraId="3F4D6F1A">
            <w:pPr>
              <w:jc w:val="center"/>
              <w:rPr>
                <w:rFonts w:ascii="宋体"/>
                <w:color w:val="auto"/>
                <w:sz w:val="24"/>
              </w:rPr>
            </w:pPr>
            <w:r>
              <w:rPr>
                <w:rFonts w:hint="eastAsia" w:ascii="宋体" w:hAnsi="宋体"/>
                <w:color w:val="auto"/>
                <w:sz w:val="24"/>
              </w:rPr>
              <w:t>5</w:t>
            </w:r>
          </w:p>
        </w:tc>
        <w:tc>
          <w:tcPr>
            <w:tcW w:w="2127" w:type="dxa"/>
            <w:gridSpan w:val="2"/>
            <w:vMerge w:val="restart"/>
            <w:vAlign w:val="center"/>
          </w:tcPr>
          <w:p w14:paraId="3C490AB7">
            <w:pPr>
              <w:rPr>
                <w:rFonts w:ascii="宋体"/>
                <w:color w:val="auto"/>
                <w:sz w:val="24"/>
              </w:rPr>
            </w:pPr>
            <w:r>
              <w:rPr>
                <w:rFonts w:hint="eastAsia" w:ascii="宋体" w:hAnsi="宋体"/>
                <w:color w:val="auto"/>
                <w:sz w:val="24"/>
              </w:rPr>
              <w:t>土壤覆盖（10分）</w:t>
            </w:r>
          </w:p>
        </w:tc>
        <w:tc>
          <w:tcPr>
            <w:tcW w:w="2694" w:type="dxa"/>
            <w:vAlign w:val="center"/>
          </w:tcPr>
          <w:p w14:paraId="4636FEA0">
            <w:pPr>
              <w:rPr>
                <w:rFonts w:ascii="宋体"/>
                <w:color w:val="auto"/>
                <w:sz w:val="24"/>
              </w:rPr>
            </w:pPr>
            <w:r>
              <w:rPr>
                <w:rFonts w:hint="eastAsia" w:ascii="宋体" w:hAnsi="宋体"/>
                <w:color w:val="auto"/>
                <w:sz w:val="24"/>
              </w:rPr>
              <w:t>土壤无板结，无明显石砾，施肥有计划。</w:t>
            </w:r>
          </w:p>
        </w:tc>
        <w:tc>
          <w:tcPr>
            <w:tcW w:w="708" w:type="dxa"/>
            <w:vAlign w:val="center"/>
          </w:tcPr>
          <w:p w14:paraId="2EEDC04E">
            <w:pPr>
              <w:jc w:val="center"/>
              <w:rPr>
                <w:rFonts w:ascii="宋体"/>
                <w:color w:val="auto"/>
                <w:sz w:val="24"/>
              </w:rPr>
            </w:pPr>
            <w:r>
              <w:rPr>
                <w:rFonts w:ascii="宋体" w:hAnsi="宋体"/>
                <w:color w:val="auto"/>
                <w:sz w:val="24"/>
              </w:rPr>
              <w:t>5</w:t>
            </w:r>
          </w:p>
        </w:tc>
        <w:tc>
          <w:tcPr>
            <w:tcW w:w="709" w:type="dxa"/>
            <w:vAlign w:val="center"/>
          </w:tcPr>
          <w:p w14:paraId="716A67E6">
            <w:pPr>
              <w:ind w:firstLine="240" w:firstLineChars="100"/>
              <w:rPr>
                <w:rFonts w:ascii="宋体"/>
                <w:color w:val="auto"/>
                <w:sz w:val="24"/>
              </w:rPr>
            </w:pPr>
          </w:p>
        </w:tc>
        <w:tc>
          <w:tcPr>
            <w:tcW w:w="1985" w:type="dxa"/>
            <w:vMerge w:val="continue"/>
            <w:vAlign w:val="center"/>
          </w:tcPr>
          <w:p w14:paraId="7E96B6AD">
            <w:pPr>
              <w:widowControl/>
              <w:jc w:val="left"/>
              <w:rPr>
                <w:rFonts w:ascii="宋体"/>
                <w:color w:val="auto"/>
                <w:sz w:val="24"/>
              </w:rPr>
            </w:pPr>
          </w:p>
        </w:tc>
      </w:tr>
      <w:tr w14:paraId="2818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8" w:type="dxa"/>
            <w:vMerge w:val="continue"/>
            <w:vAlign w:val="center"/>
          </w:tcPr>
          <w:p w14:paraId="4BE5CF03">
            <w:pPr>
              <w:widowControl/>
              <w:jc w:val="left"/>
              <w:rPr>
                <w:rFonts w:ascii="宋体"/>
                <w:color w:val="auto"/>
                <w:sz w:val="24"/>
              </w:rPr>
            </w:pPr>
          </w:p>
        </w:tc>
        <w:tc>
          <w:tcPr>
            <w:tcW w:w="2127" w:type="dxa"/>
            <w:gridSpan w:val="2"/>
            <w:vMerge w:val="continue"/>
            <w:vAlign w:val="center"/>
          </w:tcPr>
          <w:p w14:paraId="3CDA4F08">
            <w:pPr>
              <w:widowControl/>
              <w:rPr>
                <w:rFonts w:ascii="宋体"/>
                <w:color w:val="auto"/>
                <w:sz w:val="24"/>
              </w:rPr>
            </w:pPr>
          </w:p>
        </w:tc>
        <w:tc>
          <w:tcPr>
            <w:tcW w:w="2694" w:type="dxa"/>
            <w:vAlign w:val="center"/>
          </w:tcPr>
          <w:p w14:paraId="413A8B06">
            <w:pPr>
              <w:rPr>
                <w:rFonts w:ascii="宋体"/>
                <w:color w:val="auto"/>
                <w:sz w:val="24"/>
              </w:rPr>
            </w:pPr>
            <w:r>
              <w:rPr>
                <w:rFonts w:hint="eastAsia" w:ascii="宋体" w:hAnsi="宋体"/>
                <w:color w:val="auto"/>
                <w:sz w:val="24"/>
              </w:rPr>
              <w:t>无黄土裸露。</w:t>
            </w:r>
          </w:p>
        </w:tc>
        <w:tc>
          <w:tcPr>
            <w:tcW w:w="708" w:type="dxa"/>
            <w:vAlign w:val="center"/>
          </w:tcPr>
          <w:p w14:paraId="62732E6D">
            <w:pPr>
              <w:jc w:val="center"/>
              <w:rPr>
                <w:rFonts w:ascii="宋体"/>
                <w:color w:val="auto"/>
                <w:sz w:val="24"/>
              </w:rPr>
            </w:pPr>
            <w:r>
              <w:rPr>
                <w:rFonts w:ascii="宋体" w:hAnsi="宋体"/>
                <w:color w:val="auto"/>
                <w:sz w:val="24"/>
              </w:rPr>
              <w:t>5</w:t>
            </w:r>
          </w:p>
        </w:tc>
        <w:tc>
          <w:tcPr>
            <w:tcW w:w="709" w:type="dxa"/>
            <w:vAlign w:val="center"/>
          </w:tcPr>
          <w:p w14:paraId="02A1D276">
            <w:pPr>
              <w:jc w:val="center"/>
              <w:rPr>
                <w:rFonts w:ascii="宋体"/>
                <w:color w:val="auto"/>
                <w:sz w:val="24"/>
              </w:rPr>
            </w:pPr>
          </w:p>
        </w:tc>
        <w:tc>
          <w:tcPr>
            <w:tcW w:w="1985" w:type="dxa"/>
            <w:vMerge w:val="continue"/>
            <w:vAlign w:val="center"/>
          </w:tcPr>
          <w:p w14:paraId="5AC10A83">
            <w:pPr>
              <w:widowControl/>
              <w:jc w:val="left"/>
              <w:rPr>
                <w:rFonts w:ascii="宋体"/>
                <w:color w:val="auto"/>
                <w:sz w:val="24"/>
              </w:rPr>
            </w:pPr>
          </w:p>
        </w:tc>
      </w:tr>
      <w:tr w14:paraId="2B27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08" w:type="dxa"/>
            <w:vAlign w:val="center"/>
          </w:tcPr>
          <w:p w14:paraId="20B32C71">
            <w:pPr>
              <w:jc w:val="center"/>
              <w:rPr>
                <w:rFonts w:ascii="宋体"/>
                <w:color w:val="auto"/>
                <w:sz w:val="24"/>
              </w:rPr>
            </w:pPr>
            <w:r>
              <w:rPr>
                <w:rFonts w:hint="eastAsia" w:ascii="宋体" w:hAnsi="宋体"/>
                <w:color w:val="auto"/>
                <w:sz w:val="24"/>
              </w:rPr>
              <w:t>6</w:t>
            </w:r>
          </w:p>
        </w:tc>
        <w:tc>
          <w:tcPr>
            <w:tcW w:w="2127" w:type="dxa"/>
            <w:gridSpan w:val="2"/>
            <w:vAlign w:val="center"/>
          </w:tcPr>
          <w:p w14:paraId="76E0AF27">
            <w:pPr>
              <w:rPr>
                <w:rFonts w:ascii="宋体"/>
                <w:color w:val="auto"/>
                <w:sz w:val="24"/>
              </w:rPr>
            </w:pPr>
            <w:r>
              <w:rPr>
                <w:rFonts w:hint="eastAsia" w:ascii="宋体" w:hAnsi="宋体"/>
                <w:color w:val="auto"/>
                <w:sz w:val="24"/>
              </w:rPr>
              <w:t>基础设施（5分）</w:t>
            </w:r>
          </w:p>
        </w:tc>
        <w:tc>
          <w:tcPr>
            <w:tcW w:w="2694" w:type="dxa"/>
            <w:vAlign w:val="center"/>
          </w:tcPr>
          <w:p w14:paraId="7A8C6D10">
            <w:pPr>
              <w:rPr>
                <w:rFonts w:ascii="宋体"/>
                <w:color w:val="auto"/>
                <w:sz w:val="24"/>
              </w:rPr>
            </w:pPr>
            <w:r>
              <w:rPr>
                <w:rFonts w:hint="eastAsia" w:ascii="宋体" w:hAnsi="宋体"/>
                <w:color w:val="auto"/>
                <w:sz w:val="24"/>
              </w:rPr>
              <w:t>设施设置协调，维护完好无缺失。</w:t>
            </w:r>
          </w:p>
        </w:tc>
        <w:tc>
          <w:tcPr>
            <w:tcW w:w="708" w:type="dxa"/>
            <w:vAlign w:val="center"/>
          </w:tcPr>
          <w:p w14:paraId="1E0ACFC6">
            <w:pPr>
              <w:jc w:val="center"/>
              <w:rPr>
                <w:rFonts w:ascii="宋体"/>
                <w:color w:val="auto"/>
                <w:sz w:val="24"/>
              </w:rPr>
            </w:pPr>
            <w:r>
              <w:rPr>
                <w:rFonts w:ascii="宋体" w:hAnsi="宋体"/>
                <w:color w:val="auto"/>
                <w:sz w:val="24"/>
              </w:rPr>
              <w:t>5</w:t>
            </w:r>
          </w:p>
        </w:tc>
        <w:tc>
          <w:tcPr>
            <w:tcW w:w="709" w:type="dxa"/>
            <w:vAlign w:val="center"/>
          </w:tcPr>
          <w:p w14:paraId="5A775ADC">
            <w:pPr>
              <w:jc w:val="center"/>
              <w:rPr>
                <w:rFonts w:ascii="宋体"/>
                <w:color w:val="auto"/>
                <w:sz w:val="24"/>
              </w:rPr>
            </w:pPr>
          </w:p>
        </w:tc>
        <w:tc>
          <w:tcPr>
            <w:tcW w:w="1985" w:type="dxa"/>
            <w:vMerge w:val="continue"/>
            <w:vAlign w:val="center"/>
          </w:tcPr>
          <w:p w14:paraId="0E80BC78">
            <w:pPr>
              <w:widowControl/>
              <w:jc w:val="left"/>
              <w:rPr>
                <w:rFonts w:ascii="宋体"/>
                <w:color w:val="auto"/>
                <w:sz w:val="24"/>
              </w:rPr>
            </w:pPr>
          </w:p>
        </w:tc>
      </w:tr>
      <w:tr w14:paraId="12A9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8" w:type="dxa"/>
            <w:vMerge w:val="restart"/>
            <w:vAlign w:val="center"/>
          </w:tcPr>
          <w:p w14:paraId="3CE65405">
            <w:pPr>
              <w:jc w:val="center"/>
              <w:rPr>
                <w:rFonts w:ascii="宋体"/>
                <w:color w:val="auto"/>
                <w:sz w:val="24"/>
              </w:rPr>
            </w:pPr>
            <w:r>
              <w:rPr>
                <w:rFonts w:hint="eastAsia" w:ascii="宋体" w:hAnsi="宋体"/>
                <w:color w:val="auto"/>
                <w:sz w:val="24"/>
              </w:rPr>
              <w:t>7</w:t>
            </w:r>
          </w:p>
        </w:tc>
        <w:tc>
          <w:tcPr>
            <w:tcW w:w="2127" w:type="dxa"/>
            <w:gridSpan w:val="2"/>
            <w:vMerge w:val="restart"/>
            <w:vAlign w:val="center"/>
          </w:tcPr>
          <w:p w14:paraId="518511F0">
            <w:pPr>
              <w:rPr>
                <w:rFonts w:ascii="宋体"/>
                <w:color w:val="auto"/>
                <w:sz w:val="24"/>
              </w:rPr>
            </w:pPr>
            <w:r>
              <w:rPr>
                <w:rFonts w:hint="eastAsia" w:ascii="宋体" w:hAnsi="宋体"/>
                <w:color w:val="auto"/>
                <w:sz w:val="24"/>
              </w:rPr>
              <w:t>作业规范（15分）</w:t>
            </w:r>
          </w:p>
        </w:tc>
        <w:tc>
          <w:tcPr>
            <w:tcW w:w="2694" w:type="dxa"/>
            <w:vAlign w:val="center"/>
          </w:tcPr>
          <w:p w14:paraId="5888C0D2">
            <w:pPr>
              <w:rPr>
                <w:rFonts w:ascii="宋体"/>
                <w:color w:val="auto"/>
                <w:sz w:val="24"/>
              </w:rPr>
            </w:pPr>
            <w:r>
              <w:rPr>
                <w:rFonts w:hint="eastAsia" w:ascii="宋体" w:hAnsi="宋体"/>
                <w:color w:val="auto"/>
                <w:sz w:val="24"/>
              </w:rPr>
              <w:t>绿化种植、施工规范</w:t>
            </w:r>
          </w:p>
        </w:tc>
        <w:tc>
          <w:tcPr>
            <w:tcW w:w="708" w:type="dxa"/>
            <w:vAlign w:val="center"/>
          </w:tcPr>
          <w:p w14:paraId="513C7A6A">
            <w:pPr>
              <w:jc w:val="center"/>
              <w:rPr>
                <w:rFonts w:ascii="宋体"/>
                <w:color w:val="auto"/>
                <w:sz w:val="24"/>
              </w:rPr>
            </w:pPr>
            <w:r>
              <w:rPr>
                <w:rFonts w:ascii="宋体" w:hAnsi="宋体"/>
                <w:color w:val="auto"/>
                <w:sz w:val="24"/>
              </w:rPr>
              <w:t>5</w:t>
            </w:r>
          </w:p>
        </w:tc>
        <w:tc>
          <w:tcPr>
            <w:tcW w:w="709" w:type="dxa"/>
            <w:vAlign w:val="center"/>
          </w:tcPr>
          <w:p w14:paraId="7CD8115B">
            <w:pPr>
              <w:jc w:val="center"/>
              <w:rPr>
                <w:rFonts w:ascii="宋体"/>
                <w:color w:val="auto"/>
                <w:sz w:val="24"/>
              </w:rPr>
            </w:pPr>
          </w:p>
        </w:tc>
        <w:tc>
          <w:tcPr>
            <w:tcW w:w="1985" w:type="dxa"/>
            <w:vMerge w:val="continue"/>
            <w:vAlign w:val="center"/>
          </w:tcPr>
          <w:p w14:paraId="169E774C">
            <w:pPr>
              <w:widowControl/>
              <w:jc w:val="left"/>
              <w:rPr>
                <w:rFonts w:ascii="宋体"/>
                <w:color w:val="auto"/>
                <w:sz w:val="24"/>
              </w:rPr>
            </w:pPr>
          </w:p>
        </w:tc>
      </w:tr>
      <w:tr w14:paraId="07BB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08" w:type="dxa"/>
            <w:vMerge w:val="continue"/>
            <w:vAlign w:val="center"/>
          </w:tcPr>
          <w:p w14:paraId="4D7DA6D3">
            <w:pPr>
              <w:widowControl/>
              <w:jc w:val="left"/>
              <w:rPr>
                <w:rFonts w:ascii="宋体"/>
                <w:color w:val="auto"/>
                <w:sz w:val="24"/>
              </w:rPr>
            </w:pPr>
          </w:p>
        </w:tc>
        <w:tc>
          <w:tcPr>
            <w:tcW w:w="2127" w:type="dxa"/>
            <w:gridSpan w:val="2"/>
            <w:vMerge w:val="continue"/>
            <w:vAlign w:val="center"/>
          </w:tcPr>
          <w:p w14:paraId="2207012F">
            <w:pPr>
              <w:widowControl/>
              <w:rPr>
                <w:rFonts w:ascii="宋体"/>
                <w:color w:val="auto"/>
                <w:sz w:val="24"/>
              </w:rPr>
            </w:pPr>
          </w:p>
        </w:tc>
        <w:tc>
          <w:tcPr>
            <w:tcW w:w="2694" w:type="dxa"/>
            <w:vAlign w:val="center"/>
          </w:tcPr>
          <w:p w14:paraId="1AD28A26">
            <w:pPr>
              <w:rPr>
                <w:rFonts w:ascii="宋体"/>
                <w:color w:val="auto"/>
                <w:sz w:val="24"/>
              </w:rPr>
            </w:pPr>
            <w:r>
              <w:rPr>
                <w:rFonts w:hint="eastAsia" w:ascii="宋体" w:hAnsi="宋体"/>
                <w:color w:val="auto"/>
                <w:sz w:val="24"/>
              </w:rPr>
              <w:t>植物修剪适季</w:t>
            </w:r>
          </w:p>
          <w:p w14:paraId="25FD5F5C">
            <w:pPr>
              <w:rPr>
                <w:rFonts w:ascii="宋体"/>
                <w:color w:val="auto"/>
                <w:sz w:val="24"/>
              </w:rPr>
            </w:pPr>
            <w:r>
              <w:rPr>
                <w:rFonts w:hint="eastAsia" w:ascii="宋体" w:hAnsi="宋体"/>
                <w:color w:val="auto"/>
                <w:sz w:val="24"/>
              </w:rPr>
              <w:t>适树技术规范</w:t>
            </w:r>
          </w:p>
        </w:tc>
        <w:tc>
          <w:tcPr>
            <w:tcW w:w="708" w:type="dxa"/>
            <w:vAlign w:val="center"/>
          </w:tcPr>
          <w:p w14:paraId="0B372EA0">
            <w:pPr>
              <w:jc w:val="center"/>
              <w:rPr>
                <w:rFonts w:ascii="宋体"/>
                <w:color w:val="auto"/>
                <w:sz w:val="24"/>
              </w:rPr>
            </w:pPr>
            <w:r>
              <w:rPr>
                <w:rFonts w:ascii="宋体" w:hAnsi="宋体"/>
                <w:color w:val="auto"/>
                <w:sz w:val="24"/>
              </w:rPr>
              <w:t>5</w:t>
            </w:r>
          </w:p>
        </w:tc>
        <w:tc>
          <w:tcPr>
            <w:tcW w:w="709" w:type="dxa"/>
            <w:vAlign w:val="center"/>
          </w:tcPr>
          <w:p w14:paraId="2671DD30">
            <w:pPr>
              <w:jc w:val="center"/>
              <w:rPr>
                <w:rFonts w:ascii="宋体"/>
                <w:color w:val="auto"/>
                <w:sz w:val="24"/>
              </w:rPr>
            </w:pPr>
          </w:p>
        </w:tc>
        <w:tc>
          <w:tcPr>
            <w:tcW w:w="1985" w:type="dxa"/>
            <w:vMerge w:val="continue"/>
            <w:vAlign w:val="center"/>
          </w:tcPr>
          <w:p w14:paraId="48A9FEB5">
            <w:pPr>
              <w:widowControl/>
              <w:jc w:val="left"/>
              <w:rPr>
                <w:rFonts w:ascii="宋体"/>
                <w:color w:val="auto"/>
                <w:sz w:val="24"/>
              </w:rPr>
            </w:pPr>
          </w:p>
        </w:tc>
      </w:tr>
      <w:tr w14:paraId="0D12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8" w:type="dxa"/>
            <w:vMerge w:val="continue"/>
            <w:vAlign w:val="center"/>
          </w:tcPr>
          <w:p w14:paraId="506D4ED1">
            <w:pPr>
              <w:widowControl/>
              <w:jc w:val="left"/>
              <w:rPr>
                <w:rFonts w:ascii="宋体"/>
                <w:color w:val="auto"/>
                <w:sz w:val="24"/>
              </w:rPr>
            </w:pPr>
          </w:p>
        </w:tc>
        <w:tc>
          <w:tcPr>
            <w:tcW w:w="2127" w:type="dxa"/>
            <w:gridSpan w:val="2"/>
            <w:vMerge w:val="continue"/>
            <w:vAlign w:val="center"/>
          </w:tcPr>
          <w:p w14:paraId="23880B26">
            <w:pPr>
              <w:widowControl/>
              <w:rPr>
                <w:rFonts w:ascii="宋体"/>
                <w:color w:val="auto"/>
                <w:sz w:val="24"/>
              </w:rPr>
            </w:pPr>
          </w:p>
        </w:tc>
        <w:tc>
          <w:tcPr>
            <w:tcW w:w="2694" w:type="dxa"/>
            <w:vAlign w:val="center"/>
          </w:tcPr>
          <w:p w14:paraId="08E84964">
            <w:pPr>
              <w:rPr>
                <w:rFonts w:ascii="宋体"/>
                <w:color w:val="auto"/>
                <w:sz w:val="24"/>
              </w:rPr>
            </w:pPr>
            <w:r>
              <w:rPr>
                <w:rFonts w:hint="eastAsia" w:ascii="宋体" w:hAnsi="宋体"/>
                <w:color w:val="auto"/>
                <w:sz w:val="24"/>
              </w:rPr>
              <w:t>养护作业操作规范</w:t>
            </w:r>
          </w:p>
        </w:tc>
        <w:tc>
          <w:tcPr>
            <w:tcW w:w="708" w:type="dxa"/>
            <w:vAlign w:val="center"/>
          </w:tcPr>
          <w:p w14:paraId="15159AF0">
            <w:pPr>
              <w:jc w:val="center"/>
              <w:rPr>
                <w:rFonts w:ascii="宋体"/>
                <w:color w:val="auto"/>
                <w:sz w:val="24"/>
              </w:rPr>
            </w:pPr>
            <w:r>
              <w:rPr>
                <w:rFonts w:hint="eastAsia" w:ascii="宋体" w:hAnsi="宋体"/>
                <w:color w:val="auto"/>
                <w:sz w:val="24"/>
              </w:rPr>
              <w:t>5</w:t>
            </w:r>
          </w:p>
        </w:tc>
        <w:tc>
          <w:tcPr>
            <w:tcW w:w="709" w:type="dxa"/>
            <w:vAlign w:val="center"/>
          </w:tcPr>
          <w:p w14:paraId="403ED683">
            <w:pPr>
              <w:jc w:val="center"/>
              <w:rPr>
                <w:rFonts w:ascii="宋体"/>
                <w:color w:val="auto"/>
                <w:sz w:val="24"/>
              </w:rPr>
            </w:pPr>
          </w:p>
        </w:tc>
        <w:tc>
          <w:tcPr>
            <w:tcW w:w="1985" w:type="dxa"/>
            <w:vMerge w:val="continue"/>
            <w:vAlign w:val="center"/>
          </w:tcPr>
          <w:p w14:paraId="2EB1025B">
            <w:pPr>
              <w:widowControl/>
              <w:jc w:val="left"/>
              <w:rPr>
                <w:rFonts w:ascii="宋体"/>
                <w:color w:val="auto"/>
                <w:sz w:val="24"/>
              </w:rPr>
            </w:pPr>
          </w:p>
        </w:tc>
      </w:tr>
      <w:tr w14:paraId="66F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08" w:type="dxa"/>
            <w:vAlign w:val="center"/>
          </w:tcPr>
          <w:p w14:paraId="790C3706">
            <w:pPr>
              <w:jc w:val="center"/>
              <w:rPr>
                <w:rFonts w:ascii="宋体"/>
                <w:color w:val="auto"/>
                <w:sz w:val="24"/>
              </w:rPr>
            </w:pPr>
            <w:r>
              <w:rPr>
                <w:rFonts w:hint="eastAsia" w:ascii="宋体" w:hAnsi="宋体"/>
                <w:color w:val="auto"/>
                <w:sz w:val="24"/>
              </w:rPr>
              <w:t>8</w:t>
            </w:r>
          </w:p>
        </w:tc>
        <w:tc>
          <w:tcPr>
            <w:tcW w:w="2127" w:type="dxa"/>
            <w:gridSpan w:val="2"/>
            <w:vAlign w:val="center"/>
          </w:tcPr>
          <w:p w14:paraId="69F1E8AC">
            <w:pPr>
              <w:rPr>
                <w:rFonts w:hint="eastAsia" w:ascii="宋体" w:hAnsi="宋体"/>
                <w:color w:val="auto"/>
                <w:sz w:val="24"/>
              </w:rPr>
            </w:pPr>
            <w:r>
              <w:rPr>
                <w:rFonts w:hint="eastAsia" w:ascii="宋体" w:hAnsi="宋体"/>
                <w:color w:val="auto"/>
                <w:sz w:val="24"/>
              </w:rPr>
              <w:t>保洁及其它</w:t>
            </w:r>
          </w:p>
          <w:p w14:paraId="2308423D">
            <w:pPr>
              <w:rPr>
                <w:rFonts w:ascii="宋体" w:hAnsi="宋体"/>
                <w:color w:val="auto"/>
                <w:sz w:val="24"/>
              </w:rPr>
            </w:pPr>
            <w:r>
              <w:rPr>
                <w:rFonts w:hint="eastAsia" w:ascii="宋体" w:hAnsi="宋体"/>
                <w:color w:val="auto"/>
                <w:sz w:val="24"/>
              </w:rPr>
              <w:t>（20分）</w:t>
            </w:r>
          </w:p>
        </w:tc>
        <w:tc>
          <w:tcPr>
            <w:tcW w:w="2694" w:type="dxa"/>
            <w:vAlign w:val="center"/>
          </w:tcPr>
          <w:p w14:paraId="6C6B53FC">
            <w:pPr>
              <w:rPr>
                <w:rFonts w:ascii="宋体"/>
                <w:color w:val="auto"/>
                <w:sz w:val="24"/>
              </w:rPr>
            </w:pPr>
            <w:r>
              <w:rPr>
                <w:rFonts w:hint="eastAsia" w:ascii="宋体" w:hAnsi="宋体"/>
                <w:color w:val="auto"/>
                <w:sz w:val="24"/>
              </w:rPr>
              <w:t>无垃圾，叶面无明显积尘，水体无漂浮物</w:t>
            </w:r>
            <w:r>
              <w:rPr>
                <w:rFonts w:hint="eastAsia" w:ascii="宋体"/>
                <w:color w:val="auto"/>
                <w:sz w:val="24"/>
              </w:rPr>
              <w:t>，</w:t>
            </w:r>
            <w:r>
              <w:rPr>
                <w:rFonts w:hint="eastAsia" w:ascii="宋体" w:hAnsi="宋体"/>
                <w:color w:val="auto"/>
                <w:sz w:val="24"/>
              </w:rPr>
              <w:t>无积水，绿地、道路排水通畅。</w:t>
            </w:r>
          </w:p>
        </w:tc>
        <w:tc>
          <w:tcPr>
            <w:tcW w:w="708" w:type="dxa"/>
            <w:vAlign w:val="center"/>
          </w:tcPr>
          <w:p w14:paraId="05158BF5">
            <w:pPr>
              <w:jc w:val="center"/>
              <w:rPr>
                <w:rFonts w:ascii="宋体"/>
                <w:color w:val="auto"/>
                <w:sz w:val="24"/>
              </w:rPr>
            </w:pPr>
            <w:r>
              <w:rPr>
                <w:rFonts w:hint="eastAsia" w:ascii="宋体" w:hAnsi="宋体"/>
                <w:color w:val="auto"/>
                <w:sz w:val="24"/>
              </w:rPr>
              <w:t>20</w:t>
            </w:r>
          </w:p>
        </w:tc>
        <w:tc>
          <w:tcPr>
            <w:tcW w:w="709" w:type="dxa"/>
            <w:vAlign w:val="center"/>
          </w:tcPr>
          <w:p w14:paraId="555E5EF7">
            <w:pPr>
              <w:jc w:val="center"/>
              <w:rPr>
                <w:rFonts w:ascii="宋体"/>
                <w:color w:val="auto"/>
                <w:sz w:val="24"/>
              </w:rPr>
            </w:pPr>
          </w:p>
        </w:tc>
        <w:tc>
          <w:tcPr>
            <w:tcW w:w="1985" w:type="dxa"/>
            <w:vMerge w:val="continue"/>
            <w:vAlign w:val="center"/>
          </w:tcPr>
          <w:p w14:paraId="1C13771D">
            <w:pPr>
              <w:widowControl/>
              <w:jc w:val="left"/>
              <w:rPr>
                <w:rFonts w:ascii="宋体"/>
                <w:color w:val="auto"/>
                <w:sz w:val="24"/>
              </w:rPr>
            </w:pPr>
          </w:p>
        </w:tc>
      </w:tr>
      <w:tr w14:paraId="65E0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1" w:type="dxa"/>
            <w:gridSpan w:val="7"/>
            <w:vAlign w:val="center"/>
          </w:tcPr>
          <w:p w14:paraId="74737FF4">
            <w:pPr>
              <w:rPr>
                <w:rFonts w:ascii="宋体"/>
                <w:color w:val="auto"/>
                <w:sz w:val="24"/>
              </w:rPr>
            </w:pPr>
            <w:r>
              <w:rPr>
                <w:rFonts w:hint="eastAsia" w:ascii="宋体" w:hAnsi="宋体"/>
                <w:b/>
                <w:color w:val="auto"/>
                <w:sz w:val="24"/>
              </w:rPr>
              <w:t>总分：</w:t>
            </w:r>
            <w:r>
              <w:rPr>
                <w:rFonts w:ascii="宋体" w:hAnsi="宋体"/>
                <w:b/>
                <w:color w:val="auto"/>
                <w:sz w:val="24"/>
              </w:rPr>
              <w:t>100</w:t>
            </w:r>
            <w:r>
              <w:rPr>
                <w:rFonts w:hint="eastAsia" w:ascii="宋体" w:hAnsi="宋体"/>
                <w:b/>
                <w:color w:val="auto"/>
                <w:sz w:val="24"/>
              </w:rPr>
              <w:t>分                           扣分：    分</w:t>
            </w:r>
          </w:p>
        </w:tc>
      </w:tr>
      <w:tr w14:paraId="4132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931" w:type="dxa"/>
            <w:gridSpan w:val="7"/>
            <w:vAlign w:val="center"/>
          </w:tcPr>
          <w:p w14:paraId="49430575">
            <w:pPr>
              <w:rPr>
                <w:rFonts w:ascii="宋体"/>
                <w:color w:val="auto"/>
                <w:sz w:val="24"/>
              </w:rPr>
            </w:pPr>
            <w:r>
              <w:rPr>
                <w:rFonts w:hint="eastAsia" w:ascii="宋体" w:hAnsi="宋体"/>
                <w:b/>
                <w:color w:val="auto"/>
                <w:sz w:val="24"/>
              </w:rPr>
              <w:t>实际总得分：    分</w:t>
            </w:r>
          </w:p>
        </w:tc>
      </w:tr>
    </w:tbl>
    <w:p w14:paraId="33F84685">
      <w:pPr>
        <w:spacing w:line="360" w:lineRule="auto"/>
        <w:rPr>
          <w:rFonts w:ascii="宋体" w:hAnsi="宋体"/>
          <w:bCs/>
          <w:szCs w:val="21"/>
        </w:rPr>
      </w:pPr>
      <w:r>
        <w:rPr>
          <w:rFonts w:hint="eastAsia" w:ascii="宋体" w:hAnsi="宋体"/>
          <w:bCs/>
          <w:szCs w:val="21"/>
          <w:lang w:eastAsia="zh-CN"/>
        </w:rPr>
        <w:t>绿化</w:t>
      </w:r>
      <w:r>
        <w:rPr>
          <w:rFonts w:hint="eastAsia" w:ascii="宋体" w:hAnsi="宋体"/>
          <w:bCs/>
          <w:szCs w:val="21"/>
        </w:rPr>
        <w:t>养护考核评分标准</w:t>
      </w:r>
    </w:p>
    <w:p w14:paraId="6A20536B">
      <w:pPr>
        <w:spacing w:line="360" w:lineRule="auto"/>
        <w:rPr>
          <w:rFonts w:ascii="宋体" w:hAnsi="宋体"/>
          <w:bCs/>
          <w:szCs w:val="21"/>
        </w:rPr>
      </w:pPr>
      <w:r>
        <w:rPr>
          <w:rFonts w:hint="eastAsia" w:ascii="宋体" w:hAnsi="宋体"/>
          <w:bCs/>
          <w:szCs w:val="21"/>
        </w:rPr>
        <w:t>（一）绿地</w:t>
      </w:r>
    </w:p>
    <w:p w14:paraId="1FDEF7E8">
      <w:pPr>
        <w:spacing w:line="360" w:lineRule="auto"/>
        <w:rPr>
          <w:rFonts w:ascii="宋体" w:hAnsi="宋体"/>
          <w:bCs/>
          <w:szCs w:val="21"/>
        </w:rPr>
      </w:pPr>
      <w:r>
        <w:rPr>
          <w:rFonts w:hint="eastAsia" w:ascii="宋体" w:hAnsi="宋体"/>
          <w:bCs/>
          <w:szCs w:val="21"/>
        </w:rPr>
        <w:t>1、考核内容</w:t>
      </w:r>
    </w:p>
    <w:p w14:paraId="56C1ED03">
      <w:pPr>
        <w:spacing w:line="360" w:lineRule="auto"/>
        <w:rPr>
          <w:rFonts w:ascii="宋体" w:hAnsi="宋体"/>
          <w:bCs/>
          <w:szCs w:val="21"/>
        </w:rPr>
      </w:pPr>
      <w:r>
        <w:rPr>
          <w:rFonts w:hint="eastAsia" w:ascii="宋体" w:hAnsi="宋体"/>
          <w:bCs/>
          <w:szCs w:val="21"/>
        </w:rPr>
        <w:t>共涉及“养护作业”和“养护管理”两方面考核。“养护作业”考核绿地景观、植物生长、有害生物、花坛花境、绿化土壤、基础设施、作业规范、保洁及其它八项内容。“养护管理”考核管理制度、人员配备、设施设备、档案资料和各类工作布置落实情况等。</w:t>
      </w:r>
    </w:p>
    <w:p w14:paraId="74990DFA">
      <w:pPr>
        <w:spacing w:line="360" w:lineRule="auto"/>
        <w:rPr>
          <w:rFonts w:ascii="宋体" w:hAnsi="宋体"/>
          <w:bCs/>
          <w:szCs w:val="21"/>
        </w:rPr>
      </w:pPr>
      <w:r>
        <w:rPr>
          <w:rFonts w:hint="eastAsia" w:ascii="宋体" w:hAnsi="宋体"/>
          <w:bCs/>
          <w:szCs w:val="21"/>
        </w:rPr>
        <w:t>2、考核标准</w:t>
      </w:r>
    </w:p>
    <w:p w14:paraId="5D30412D">
      <w:pPr>
        <w:spacing w:line="360" w:lineRule="auto"/>
        <w:rPr>
          <w:rFonts w:ascii="宋体" w:hAnsi="宋体"/>
          <w:bCs/>
          <w:szCs w:val="21"/>
        </w:rPr>
      </w:pPr>
      <w:r>
        <w:rPr>
          <w:rFonts w:hint="eastAsia" w:ascii="宋体" w:hAnsi="宋体"/>
          <w:bCs/>
          <w:szCs w:val="21"/>
        </w:rPr>
        <w:t>①养护作业</w:t>
      </w:r>
    </w:p>
    <w:p w14:paraId="4E004664">
      <w:pPr>
        <w:spacing w:line="360" w:lineRule="auto"/>
        <w:rPr>
          <w:rFonts w:ascii="宋体" w:hAnsi="宋体"/>
          <w:bCs/>
          <w:szCs w:val="21"/>
        </w:rPr>
      </w:pPr>
      <w:r>
        <w:rPr>
          <w:rFonts w:hint="eastAsia" w:ascii="宋体" w:hAnsi="宋体"/>
          <w:bCs/>
          <w:szCs w:val="21"/>
        </w:rPr>
        <w:t>（1）绿地景观（15分）。主要检查绿地保存率，绿地景观面貌整体情况，调整及时性、计划性，有无违规操作情况，有无侵占绿地和毁绿现象。</w:t>
      </w:r>
    </w:p>
    <w:p w14:paraId="21EE03F4">
      <w:pPr>
        <w:spacing w:line="360" w:lineRule="auto"/>
        <w:rPr>
          <w:rFonts w:ascii="宋体" w:hAnsi="宋体"/>
          <w:bCs/>
          <w:szCs w:val="21"/>
        </w:rPr>
      </w:pPr>
      <w:r>
        <w:rPr>
          <w:rFonts w:hint="eastAsia" w:ascii="宋体" w:hAnsi="宋体"/>
          <w:bCs/>
          <w:szCs w:val="21"/>
        </w:rPr>
        <w:t>（2）植物生长（20分）。主要检查绿地内的乔灌木、绿篱、球类、地被、草坪是否生长健壮，青枝绿叶，无死树、无缺株、无枯黄现象；地被植物是否长势良好，无杂草、无明显残叶枯花，草坪平坦整齐，生长良好。</w:t>
      </w:r>
    </w:p>
    <w:p w14:paraId="4BC4E467">
      <w:pPr>
        <w:spacing w:line="360" w:lineRule="auto"/>
        <w:rPr>
          <w:rFonts w:ascii="宋体" w:hAnsi="宋体"/>
          <w:bCs/>
          <w:szCs w:val="21"/>
        </w:rPr>
      </w:pPr>
      <w:r>
        <w:rPr>
          <w:rFonts w:hint="eastAsia" w:ascii="宋体" w:hAnsi="宋体"/>
          <w:bCs/>
          <w:szCs w:val="21"/>
        </w:rPr>
        <w:t>（3）有害生物（10分）。主要检查绿地内的植物有无明显病虫害、有无大型攀援性杂草等。</w:t>
      </w:r>
    </w:p>
    <w:p w14:paraId="4EE964E1">
      <w:pPr>
        <w:spacing w:line="360" w:lineRule="auto"/>
        <w:rPr>
          <w:rFonts w:ascii="宋体" w:hAnsi="宋体"/>
          <w:bCs/>
          <w:szCs w:val="21"/>
        </w:rPr>
      </w:pPr>
      <w:r>
        <w:rPr>
          <w:rFonts w:hint="eastAsia" w:ascii="宋体" w:hAnsi="宋体"/>
          <w:bCs/>
          <w:szCs w:val="21"/>
        </w:rPr>
        <w:t>（4）花坛花境（5分）。主要检查绿地中花境、花坛花卉布置中地形处理、栽植规范、布局层次、花期一致性和株型等。</w:t>
      </w:r>
    </w:p>
    <w:p w14:paraId="297C42CD">
      <w:pPr>
        <w:spacing w:line="360" w:lineRule="auto"/>
        <w:rPr>
          <w:rFonts w:ascii="宋体" w:hAnsi="宋体"/>
          <w:bCs/>
          <w:szCs w:val="21"/>
        </w:rPr>
      </w:pPr>
      <w:r>
        <w:rPr>
          <w:rFonts w:hint="eastAsia" w:ascii="宋体" w:hAnsi="宋体"/>
          <w:bCs/>
          <w:szCs w:val="21"/>
        </w:rPr>
        <w:t>（5）绿化土壤（10分）。主要检查绿化土壤是否板结、有无明显石砾等。</w:t>
      </w:r>
    </w:p>
    <w:p w14:paraId="1369E70B">
      <w:pPr>
        <w:spacing w:line="360" w:lineRule="auto"/>
        <w:rPr>
          <w:rFonts w:ascii="宋体" w:hAnsi="宋体"/>
          <w:bCs/>
          <w:szCs w:val="21"/>
        </w:rPr>
      </w:pPr>
      <w:r>
        <w:rPr>
          <w:rFonts w:hint="eastAsia" w:ascii="宋体" w:hAnsi="宋体"/>
          <w:bCs/>
          <w:szCs w:val="21"/>
        </w:rPr>
        <w:t>（6）基础设施（5分）。主要检查绿地内的园路、栏杆等基础设施是否基本完好，无安全隐患、无缺失等。</w:t>
      </w:r>
    </w:p>
    <w:p w14:paraId="0E50F12B">
      <w:pPr>
        <w:spacing w:line="360" w:lineRule="auto"/>
        <w:rPr>
          <w:rFonts w:ascii="宋体" w:hAnsi="宋体"/>
          <w:bCs/>
          <w:szCs w:val="21"/>
        </w:rPr>
      </w:pPr>
      <w:r>
        <w:rPr>
          <w:rFonts w:hint="eastAsia" w:ascii="宋体" w:hAnsi="宋体"/>
          <w:bCs/>
          <w:szCs w:val="21"/>
        </w:rPr>
        <w:t>（7）作业规范（15分）。主要检查养护单位绿化种植、植物修剪、养护作业等是否规范。</w:t>
      </w:r>
    </w:p>
    <w:p w14:paraId="6CFB7771">
      <w:pPr>
        <w:spacing w:line="360" w:lineRule="auto"/>
        <w:rPr>
          <w:rFonts w:ascii="宋体" w:hAnsi="宋体"/>
          <w:bCs/>
          <w:szCs w:val="21"/>
        </w:rPr>
      </w:pPr>
      <w:r>
        <w:rPr>
          <w:rFonts w:hint="eastAsia" w:ascii="宋体" w:hAnsi="宋体"/>
          <w:bCs/>
          <w:szCs w:val="21"/>
        </w:rPr>
        <w:t>（8）保洁及其它（20分）。主要检查绿地保洁，要求无明显纸屑、果壳、杂物等陈旧性垃圾，绿地内基本无积水。</w:t>
      </w:r>
    </w:p>
    <w:p w14:paraId="7176851C">
      <w:pPr>
        <w:spacing w:line="360" w:lineRule="auto"/>
        <w:rPr>
          <w:rFonts w:ascii="宋体" w:hAnsi="宋体"/>
          <w:bCs/>
          <w:szCs w:val="21"/>
        </w:rPr>
      </w:pPr>
      <w:r>
        <w:rPr>
          <w:rFonts w:hint="eastAsia" w:ascii="宋体" w:hAnsi="宋体"/>
          <w:bCs/>
          <w:szCs w:val="21"/>
        </w:rPr>
        <w:t>②养护管理</w:t>
      </w:r>
    </w:p>
    <w:p w14:paraId="71B44229">
      <w:pPr>
        <w:spacing w:line="360" w:lineRule="auto"/>
        <w:rPr>
          <w:rFonts w:ascii="宋体" w:hAnsi="宋体"/>
          <w:bCs/>
          <w:szCs w:val="21"/>
        </w:rPr>
      </w:pPr>
      <w:r>
        <w:rPr>
          <w:rFonts w:hint="eastAsia" w:ascii="宋体" w:hAnsi="宋体"/>
          <w:bCs/>
          <w:szCs w:val="21"/>
        </w:rPr>
        <w:t>主要针对《青浦城区绿化养护作业台账资料要求》中明确的各类内业资料编制、整理、上报的及时性、完整性、合理性、以及管理部门布置的各项工作落实情况等。不符合要求的，在业务考核总分基础上核扣1—5分。</w:t>
      </w:r>
    </w:p>
    <w:p w14:paraId="41645EA8">
      <w:pPr>
        <w:spacing w:line="360" w:lineRule="auto"/>
        <w:rPr>
          <w:rFonts w:ascii="宋体" w:hAnsi="宋体"/>
          <w:bCs/>
          <w:szCs w:val="21"/>
        </w:rPr>
      </w:pPr>
      <w:r>
        <w:rPr>
          <w:rFonts w:hint="eastAsia" w:ascii="宋体" w:hAnsi="宋体"/>
          <w:bCs/>
          <w:szCs w:val="21"/>
          <w:lang w:val="en-US" w:eastAsia="zh-CN"/>
        </w:rPr>
        <w:t>3、</w:t>
      </w:r>
      <w:r>
        <w:rPr>
          <w:rFonts w:hint="eastAsia" w:ascii="宋体" w:hAnsi="宋体"/>
          <w:bCs/>
          <w:szCs w:val="21"/>
        </w:rPr>
        <w:t>绿化养护责任规定</w:t>
      </w:r>
    </w:p>
    <w:p w14:paraId="2F4B1555">
      <w:pPr>
        <w:spacing w:line="360" w:lineRule="auto"/>
        <w:ind w:firstLine="420" w:firstLineChars="200"/>
        <w:rPr>
          <w:rFonts w:ascii="宋体" w:hAnsi="宋体"/>
          <w:bCs/>
          <w:color w:val="auto"/>
          <w:szCs w:val="21"/>
        </w:rPr>
      </w:pPr>
      <w:r>
        <w:rPr>
          <w:rFonts w:hint="eastAsia" w:ascii="宋体" w:hAnsi="宋体"/>
          <w:bCs/>
          <w:color w:val="auto"/>
          <w:szCs w:val="21"/>
        </w:rPr>
        <w:t>1、因养护公司自行巡查不到位，未及时发现、制止公园绿地范围内乱开挖等毁绿现象，未及时上报的，由养护公司自行修复；修复不到位的，由管理部门开具“整改通知单”限期整改，并处以2000—20000元处罚；无理由拒绝整改或无原因整改不力的，管理部门有权安排第三方代为进行整改，相应费用由养护责任单位承担，并将限制其参与青浦城区绿化养护管理；</w:t>
      </w:r>
    </w:p>
    <w:p w14:paraId="714E5CD4">
      <w:pPr>
        <w:spacing w:line="360" w:lineRule="auto"/>
        <w:ind w:firstLine="420" w:firstLineChars="200"/>
        <w:rPr>
          <w:rFonts w:ascii="宋体" w:hAnsi="宋体"/>
          <w:bCs/>
          <w:color w:val="auto"/>
          <w:szCs w:val="21"/>
        </w:rPr>
      </w:pPr>
      <w:r>
        <w:rPr>
          <w:rFonts w:hint="eastAsia" w:ascii="宋体" w:hAnsi="宋体"/>
          <w:bCs/>
          <w:color w:val="auto"/>
          <w:szCs w:val="21"/>
        </w:rPr>
        <w:t>2、养护公司未经管理部门批准，擅自同意并参与公园绿地范围内开挖等事件的，管理部门有权追究养护公司责任，并终止养护合同、限制其参与青浦城区绿化养护管理；</w:t>
      </w:r>
    </w:p>
    <w:p w14:paraId="79C4C2EB">
      <w:pPr>
        <w:spacing w:line="360" w:lineRule="auto"/>
        <w:ind w:firstLine="420" w:firstLineChars="200"/>
        <w:rPr>
          <w:rFonts w:ascii="宋体" w:hAnsi="宋体"/>
          <w:bCs/>
          <w:color w:val="auto"/>
          <w:szCs w:val="21"/>
        </w:rPr>
      </w:pPr>
      <w:r>
        <w:rPr>
          <w:rFonts w:hint="eastAsia" w:ascii="宋体" w:hAnsi="宋体"/>
          <w:bCs/>
          <w:color w:val="auto"/>
          <w:szCs w:val="21"/>
        </w:rPr>
        <w:t>3、加强劳动保护，养护公司应配备职工识别服，作业时着装统一，应采取相应安全防护措施，确保良好的作业条件,养护作业中被发现安全文明措施不到位的，每项、每次处以200-2000元处罚；</w:t>
      </w:r>
    </w:p>
    <w:p w14:paraId="43722A88">
      <w:pPr>
        <w:spacing w:line="360" w:lineRule="auto"/>
        <w:ind w:firstLine="420" w:firstLineChars="200"/>
        <w:rPr>
          <w:rFonts w:ascii="宋体" w:hAnsi="宋体"/>
          <w:bCs/>
          <w:color w:val="auto"/>
          <w:szCs w:val="21"/>
        </w:rPr>
      </w:pPr>
      <w:r>
        <w:rPr>
          <w:rFonts w:hint="eastAsia" w:ascii="宋体" w:hAnsi="宋体"/>
          <w:bCs/>
          <w:color w:val="auto"/>
          <w:szCs w:val="21"/>
        </w:rPr>
        <w:t>4、因养护作业不当，发生安全事故的，由养护公司承担相应责任，并负责消除影响；若发生亡人事故的，实行“一票否决”制，管理部门有权单方面终止养护合同，依法追究养护公司的经济、法律责任，并限制其参与青浦城区绿化养护管理；</w:t>
      </w:r>
    </w:p>
    <w:p w14:paraId="3EABAFDA">
      <w:pPr>
        <w:spacing w:line="360" w:lineRule="auto"/>
        <w:ind w:firstLine="420" w:firstLineChars="200"/>
        <w:rPr>
          <w:rFonts w:ascii="宋体" w:hAnsi="宋体"/>
          <w:bCs/>
          <w:color w:val="auto"/>
          <w:szCs w:val="21"/>
        </w:rPr>
      </w:pPr>
      <w:r>
        <w:rPr>
          <w:rFonts w:hint="eastAsia" w:ascii="宋体" w:hAnsi="宋体"/>
          <w:bCs/>
          <w:color w:val="auto"/>
          <w:szCs w:val="21"/>
        </w:rPr>
        <w:t>5、对于养护公司养护范围内发生网格化案件、市民投诉及相关部门要求的，由相关管理部门、科室根据责任关系布置到相关养护公司，养护公司须按要求按时落实到位；对处置不力的，由管理部门开具“整改通知单”限期整改，并处以2000—20000元处罚；无理由拒绝整改或无原因整改不力的，管理部门有权安排第三方代为进行整改，相应费用由责任单位承担，并将限制其参与青浦城区绿化养护管理；</w:t>
      </w:r>
    </w:p>
    <w:p w14:paraId="05FA7F03">
      <w:pPr>
        <w:spacing w:line="360" w:lineRule="auto"/>
        <w:ind w:firstLine="420" w:firstLineChars="200"/>
        <w:rPr>
          <w:rFonts w:ascii="宋体" w:hAnsi="宋体"/>
          <w:bCs/>
          <w:color w:val="auto"/>
          <w:szCs w:val="21"/>
        </w:rPr>
      </w:pPr>
      <w:r>
        <w:rPr>
          <w:rFonts w:hint="eastAsia" w:ascii="宋体" w:hAnsi="宋体"/>
          <w:bCs/>
          <w:color w:val="auto"/>
          <w:szCs w:val="21"/>
        </w:rPr>
        <w:t>6、在灾害性天气或突发事件中，养护公司不按管理部门要求做好相应准备，不及时响应到岗到位，或处置不力，造成重大不良影响的，给予2000—20000元处罚，并将限制其参与青浦城区绿化养护项目投标；</w:t>
      </w:r>
    </w:p>
    <w:p w14:paraId="26CF31E1">
      <w:pPr>
        <w:spacing w:line="360" w:lineRule="auto"/>
        <w:ind w:firstLine="420" w:firstLineChars="200"/>
        <w:rPr>
          <w:rFonts w:ascii="宋体" w:hAnsi="宋体"/>
          <w:bCs/>
          <w:color w:val="auto"/>
          <w:szCs w:val="21"/>
        </w:rPr>
      </w:pPr>
      <w:r>
        <w:rPr>
          <w:rFonts w:hint="eastAsia" w:ascii="宋体" w:hAnsi="宋体"/>
          <w:bCs/>
          <w:color w:val="auto"/>
          <w:szCs w:val="21"/>
        </w:rPr>
        <w:t>7、按养护合同切实加强养护，提升管养水平，确保养护作业符合技术规范、标准要求，相应养护内容若在各类专业考核中考评分为最后1名的标段，给予扣除相应部分的养护费；</w:t>
      </w:r>
    </w:p>
    <w:p w14:paraId="2035C0EA">
      <w:pPr>
        <w:spacing w:line="360" w:lineRule="auto"/>
        <w:ind w:firstLine="420" w:firstLineChars="200"/>
        <w:rPr>
          <w:rFonts w:hint="eastAsia" w:ascii="宋体" w:hAnsi="宋体"/>
          <w:bCs/>
          <w:color w:val="auto"/>
          <w:szCs w:val="21"/>
        </w:rPr>
      </w:pPr>
      <w:r>
        <w:rPr>
          <w:rFonts w:hint="eastAsia" w:ascii="宋体" w:hAnsi="宋体"/>
          <w:bCs/>
          <w:color w:val="auto"/>
          <w:szCs w:val="21"/>
        </w:rPr>
        <w:t>全年每季度考核平均分数低于标准分数的，实行“一票否决”，将限制相应养护公司参与青浦城区绿化养护管理；</w:t>
      </w:r>
    </w:p>
    <w:p w14:paraId="4816D989">
      <w:pPr>
        <w:spacing w:line="360" w:lineRule="auto"/>
        <w:ind w:firstLine="420" w:firstLineChars="200"/>
        <w:rPr>
          <w:rFonts w:hint="eastAsia" w:ascii="宋体" w:hAnsi="宋体"/>
          <w:bCs/>
          <w:color w:val="auto"/>
          <w:szCs w:val="21"/>
        </w:rPr>
      </w:pPr>
      <w:r>
        <w:rPr>
          <w:rFonts w:hint="eastAsia" w:ascii="宋体" w:hAnsi="宋体"/>
          <w:bCs/>
          <w:color w:val="auto"/>
          <w:szCs w:val="21"/>
        </w:rPr>
        <w:t>8、因养护作业不当、不力、不及时，被市民投诉、被媒体曝光，或在相关区级以上检查中被点名存在问题，或被上级领导和部门点名批评的，经核实后，每次（处）给予扣罚养护费2000—20000元；整改不力的，由管理部门委托第三方代为整改，相应费用由养护责任公司承担，并将限制其参与青浦城区绿化养护管理。</w:t>
      </w:r>
    </w:p>
    <w:p w14:paraId="636D635E">
      <w:pPr>
        <w:rPr>
          <w:color w:val="auto"/>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B4ADA"/>
    <w:multiLevelType w:val="multilevel"/>
    <w:tmpl w:val="30AB4ADA"/>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9"/>
      <w:lvlText w:val="%3."/>
      <w:lvlJc w:val="right"/>
      <w:pPr>
        <w:tabs>
          <w:tab w:val="left" w:pos="1260"/>
        </w:tabs>
        <w:ind w:left="1260" w:hanging="420"/>
      </w:pPr>
    </w:lvl>
    <w:lvl w:ilvl="3" w:tentative="0">
      <w:start w:val="1"/>
      <w:numFmt w:val="decimal"/>
      <w:pStyle w:val="2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E137B18"/>
    <w:multiLevelType w:val="multilevel"/>
    <w:tmpl w:val="7E137B18"/>
    <w:lvl w:ilvl="0" w:tentative="0">
      <w:start w:val="1"/>
      <w:numFmt w:val="decimal"/>
      <w:lvlText w:val="%1、"/>
      <w:lvlJc w:val="left"/>
      <w:pPr>
        <w:ind w:left="420" w:hanging="420"/>
      </w:pPr>
      <w:rPr>
        <w:rFonts w:hint="eastAsia"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MyOWIzMjY2YjcyNmM1NWQ1Zjc4NTljMjdlMjY1ZTIifQ=="/>
  </w:docVars>
  <w:rsids>
    <w:rsidRoot w:val="4BBD20AE"/>
    <w:rsid w:val="00595EE6"/>
    <w:rsid w:val="00726D28"/>
    <w:rsid w:val="007A460C"/>
    <w:rsid w:val="00960851"/>
    <w:rsid w:val="00B00C61"/>
    <w:rsid w:val="00C25BDB"/>
    <w:rsid w:val="00C7478F"/>
    <w:rsid w:val="00E50C4A"/>
    <w:rsid w:val="00F63628"/>
    <w:rsid w:val="02955E4D"/>
    <w:rsid w:val="033110BB"/>
    <w:rsid w:val="0E2350DD"/>
    <w:rsid w:val="1DE105D6"/>
    <w:rsid w:val="1EFD65EF"/>
    <w:rsid w:val="2B161BD2"/>
    <w:rsid w:val="3152520E"/>
    <w:rsid w:val="3BE65FC1"/>
    <w:rsid w:val="40764D88"/>
    <w:rsid w:val="463C5F2E"/>
    <w:rsid w:val="48855566"/>
    <w:rsid w:val="4B03138A"/>
    <w:rsid w:val="4BBD20AE"/>
    <w:rsid w:val="4CA566E2"/>
    <w:rsid w:val="4CE74858"/>
    <w:rsid w:val="585D4315"/>
    <w:rsid w:val="63850AEE"/>
    <w:rsid w:val="744C5B7C"/>
    <w:rsid w:val="FEF65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20" w:lineRule="atLeast"/>
    </w:pPr>
    <w:rPr>
      <w:rFonts w:eastAsia="隶书"/>
      <w:b/>
      <w:kern w:val="0"/>
      <w:sz w:val="44"/>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spacing w:before="240" w:after="60"/>
      <w:jc w:val="center"/>
      <w:outlineLvl w:val="0"/>
    </w:pPr>
    <w:rPr>
      <w:rFonts w:ascii="Cambria" w:hAnsi="Cambria"/>
      <w:b/>
      <w:bCs/>
      <w:sz w:val="32"/>
      <w:szCs w:val="32"/>
    </w:rPr>
  </w:style>
  <w:style w:type="character" w:customStyle="1" w:styleId="8">
    <w:name w:val="页脚 Char"/>
    <w:basedOn w:val="7"/>
    <w:link w:val="3"/>
    <w:qFormat/>
    <w:uiPriority w:val="0"/>
    <w:rPr>
      <w:rFonts w:ascii="Times New Roman" w:hAnsi="Times New Roman"/>
      <w:kern w:val="2"/>
      <w:sz w:val="18"/>
      <w:szCs w:val="18"/>
    </w:rPr>
  </w:style>
  <w:style w:type="character" w:customStyle="1" w:styleId="9">
    <w:name w:val="页眉 Char"/>
    <w:basedOn w:val="7"/>
    <w:link w:val="4"/>
    <w:qFormat/>
    <w:uiPriority w:val="0"/>
    <w:rPr>
      <w:rFonts w:ascii="Times New Roman" w:hAnsi="Times New Roman"/>
      <w:kern w:val="2"/>
      <w:sz w:val="18"/>
      <w:szCs w:val="18"/>
    </w:rPr>
  </w:style>
  <w:style w:type="paragraph" w:customStyle="1" w:styleId="10">
    <w:name w:val="表格文字"/>
    <w:next w:val="2"/>
    <w:qFormat/>
    <w:uiPriority w:val="0"/>
    <w:pPr>
      <w:widowControl w:val="0"/>
      <w:adjustRightInd w:val="0"/>
      <w:spacing w:line="420" w:lineRule="atLeast"/>
      <w:textAlignment w:val="baseline"/>
    </w:pPr>
    <w:rPr>
      <w:rFonts w:ascii="Times New Roman" w:hAnsi="Times New Roman" w:eastAsia="宋体" w:cs="Times New Roman"/>
      <w:sz w:val="21"/>
      <w:lang w:val="en-US" w:eastAsia="zh-CN" w:bidi="ar-SA"/>
    </w:rPr>
  </w:style>
  <w:style w:type="paragraph" w:styleId="11">
    <w:name w:val="List Paragraph"/>
    <w:basedOn w:val="1"/>
    <w:qFormat/>
    <w:uiPriority w:val="99"/>
    <w:pPr>
      <w:ind w:firstLine="420" w:firstLineChars="200"/>
    </w:pPr>
    <w:rPr>
      <w:rFonts w:ascii="Calibri" w:hAnsi="Calibri"/>
      <w:szCs w:val="22"/>
    </w:rPr>
  </w:style>
  <w:style w:type="paragraph" w:customStyle="1" w:styleId="12">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character" w:customStyle="1" w:styleId="13">
    <w:name w:val="font41"/>
    <w:basedOn w:val="7"/>
    <w:qFormat/>
    <w:uiPriority w:val="0"/>
    <w:rPr>
      <w:rFonts w:ascii="仿宋_GB2312" w:eastAsia="仿宋_GB2312" w:cs="仿宋_GB2312"/>
      <w:b/>
      <w:bCs/>
      <w:color w:val="000000"/>
      <w:sz w:val="24"/>
      <w:szCs w:val="24"/>
      <w:u w:val="none"/>
    </w:rPr>
  </w:style>
  <w:style w:type="character" w:customStyle="1" w:styleId="14">
    <w:name w:val="font51"/>
    <w:basedOn w:val="7"/>
    <w:qFormat/>
    <w:uiPriority w:val="0"/>
    <w:rPr>
      <w:rFonts w:hint="eastAsia" w:ascii="仿宋_GB2312" w:eastAsia="仿宋_GB2312" w:cs="仿宋_GB2312"/>
      <w:color w:val="000000"/>
      <w:sz w:val="24"/>
      <w:szCs w:val="24"/>
      <w:u w:val="none"/>
    </w:rPr>
  </w:style>
  <w:style w:type="character" w:customStyle="1" w:styleId="15">
    <w:name w:val="font61"/>
    <w:basedOn w:val="7"/>
    <w:qFormat/>
    <w:uiPriority w:val="0"/>
    <w:rPr>
      <w:rFonts w:hint="eastAsia" w:ascii="宋体" w:hAnsi="宋体" w:eastAsia="宋体" w:cs="宋体"/>
      <w:color w:val="000000"/>
      <w:sz w:val="24"/>
      <w:szCs w:val="24"/>
      <w:u w:val="none"/>
    </w:rPr>
  </w:style>
  <w:style w:type="character" w:customStyle="1" w:styleId="16">
    <w:name w:val="font21"/>
    <w:basedOn w:val="7"/>
    <w:qFormat/>
    <w:uiPriority w:val="0"/>
    <w:rPr>
      <w:rFonts w:hint="eastAsia" w:ascii="宋体" w:hAnsi="宋体" w:eastAsia="宋体" w:cs="宋体"/>
      <w:color w:val="000000"/>
      <w:sz w:val="22"/>
      <w:szCs w:val="22"/>
      <w:u w:val="none"/>
    </w:rPr>
  </w:style>
  <w:style w:type="character" w:customStyle="1" w:styleId="17">
    <w:name w:val="font31"/>
    <w:basedOn w:val="7"/>
    <w:qFormat/>
    <w:uiPriority w:val="0"/>
    <w:rPr>
      <w:rFonts w:hint="eastAsia" w:ascii="宋体" w:hAnsi="宋体" w:eastAsia="宋体" w:cs="宋体"/>
      <w:color w:val="000000"/>
      <w:sz w:val="22"/>
      <w:szCs w:val="22"/>
      <w:u w:val="none"/>
    </w:rPr>
  </w:style>
  <w:style w:type="paragraph" w:customStyle="1" w:styleId="18">
    <w:name w:val="列出段落1"/>
    <w:basedOn w:val="1"/>
    <w:qFormat/>
    <w:uiPriority w:val="34"/>
    <w:pPr>
      <w:ind w:firstLine="420" w:firstLineChars="200"/>
    </w:pPr>
  </w:style>
  <w:style w:type="paragraph" w:customStyle="1" w:styleId="19">
    <w:name w:val="一级条标题"/>
    <w:basedOn w:val="1"/>
    <w:next w:val="1"/>
    <w:qFormat/>
    <w:uiPriority w:val="0"/>
    <w:pPr>
      <w:widowControl/>
      <w:numPr>
        <w:ilvl w:val="2"/>
        <w:numId w:val="1"/>
      </w:numPr>
      <w:outlineLvl w:val="2"/>
    </w:pPr>
    <w:rPr>
      <w:rFonts w:ascii="黑体" w:eastAsia="黑体"/>
      <w:kern w:val="0"/>
      <w:sz w:val="24"/>
      <w:szCs w:val="20"/>
    </w:rPr>
  </w:style>
  <w:style w:type="paragraph" w:customStyle="1" w:styleId="20">
    <w:name w:val="二级条标题"/>
    <w:basedOn w:val="19"/>
    <w:next w:val="1"/>
    <w:qFormat/>
    <w:uiPriority w:val="0"/>
    <w:pPr>
      <w:numPr>
        <w:ilvl w:val="3"/>
      </w:numPr>
      <w:tabs>
        <w:tab w:val="left" w:pos="1290"/>
      </w:tabs>
      <w:ind w:left="1290" w:hanging="720"/>
      <w:outlineLvl w:val="3"/>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8120</Words>
  <Characters>8690</Characters>
  <Lines>83</Lines>
  <Paragraphs>23</Paragraphs>
  <TotalTime>86</TotalTime>
  <ScaleCrop>false</ScaleCrop>
  <LinksUpToDate>false</LinksUpToDate>
  <CharactersWithSpaces>8711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2024-10-28T15:16:00Z</dcterms:created>
  <dc:creator>黄拾叁</dc:creator>
  <cp:lastModifiedBy>王佳佳</cp:lastModifiedBy>
  <dcterms:modified xsi:type="dcterms:W3CDTF">2026-01-06T08:21:28Z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DBF2FAEBC3874FDA9568A9A424B28D81_13</vt:lpwstr>
  </property>
  <property fmtid="{D5CDD505-2E9C-101B-9397-08002B2CF9AE}" pid="4" name="KSOTemplateDocerSaveRecord">
    <vt:lpwstr>eyJoZGlkIjoiNWU2ZjM1NWFlNjJhYmQwOTA3MjY4M2NmYWJjZmJiOGIiLCJ1c2VySWQiOiI0NjAwODg4OTAifQ==</vt:lpwstr>
  </property>
</Properties>
</file>