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F3C43">
      <w:pPr>
        <w:keepNext w:val="0"/>
        <w:keepLines w:val="0"/>
        <w:pageBreakBefore w:val="0"/>
        <w:widowControl/>
        <w:kinsoku/>
        <w:wordWrap/>
        <w:overflowPunct/>
        <w:topLinePunct w:val="0"/>
        <w:autoSpaceDE/>
        <w:autoSpaceDN/>
        <w:bidi w:val="0"/>
        <w:adjustRightInd/>
        <w:snapToGrid/>
        <w:spacing w:after="499" w:line="260" w:lineRule="auto"/>
        <w:ind w:left="0" w:firstLine="0" w:firstLineChars="0"/>
        <w:jc w:val="center"/>
        <w:textAlignment w:val="auto"/>
        <w:rPr>
          <w:rFonts w:hint="eastAsia" w:ascii="黑体" w:hAnsi="黑体" w:eastAsia="黑体" w:cs="黑体"/>
          <w:color w:val="000000"/>
          <w:sz w:val="48"/>
          <w:szCs w:val="22"/>
          <w:lang w:val="en-US" w:eastAsia="zh-CN"/>
          <w14:ligatures w14:val="standardContextual"/>
        </w:rPr>
      </w:pPr>
      <w:r>
        <w:rPr>
          <w:rFonts w:hint="eastAsia" w:ascii="黑体" w:hAnsi="黑体" w:eastAsia="黑体" w:cs="黑体"/>
          <w:color w:val="000000"/>
          <w:sz w:val="48"/>
          <w:szCs w:val="22"/>
          <w:lang w:val="en-US" w:eastAsia="zh-CN"/>
          <w14:ligatures w14:val="standardContextual"/>
        </w:rPr>
        <w:t>青浦消防救援支队灭火救援三年行动装备项目采购需求</w:t>
      </w:r>
    </w:p>
    <w:p w14:paraId="2EE097BE">
      <w:pPr>
        <w:pStyle w:val="2"/>
        <w:bidi w:val="0"/>
        <w:spacing w:before="0" w:after="220" w:line="360" w:lineRule="auto"/>
        <w:ind w:left="0" w:firstLine="0" w:firstLineChars="0"/>
        <w:rPr>
          <w:rFonts w:hint="eastAsia" w:ascii="宋体" w:hAnsi="宋体" w:eastAsia="宋体" w:cs="宋体"/>
          <w:b w:val="0"/>
          <w:bCs w:val="0"/>
          <w:color w:val="000000"/>
          <w:kern w:val="2"/>
          <w:sz w:val="21"/>
          <w:szCs w:val="21"/>
          <w:highlight w:val="none"/>
          <w:lang w:val="en-US" w:eastAsia="zh-CN" w:bidi="ar-SA"/>
          <w14:ligatures w14:val="none"/>
        </w:rPr>
      </w:pPr>
      <w:r>
        <w:rPr>
          <w:rFonts w:hint="eastAsia" w:ascii="Times New Roman" w:hAnsi="Times New Roman" w:eastAsia="方正黑体_GBK" w:cs="方正黑体_GBK"/>
          <w:b w:val="0"/>
          <w:bCs w:val="0"/>
          <w:color w:val="000000"/>
          <w:kern w:val="2"/>
          <w:sz w:val="32"/>
          <w:szCs w:val="32"/>
          <w:lang w:val="en-US" w:eastAsia="zh-CN" w:bidi="ar-SA"/>
          <w14:ligatures w14:val="none"/>
        </w:rPr>
        <w:t>一、</w:t>
      </w:r>
      <w:r>
        <w:rPr>
          <w:rFonts w:hint="eastAsia" w:ascii="宋体" w:hAnsi="宋体" w:eastAsia="宋体" w:cs="宋体"/>
          <w:b w:val="0"/>
          <w:bCs w:val="0"/>
          <w:color w:val="000000"/>
          <w:kern w:val="2"/>
          <w:sz w:val="21"/>
          <w:szCs w:val="21"/>
          <w:highlight w:val="none"/>
          <w:lang w:val="en-US" w:eastAsia="zh-CN" w:bidi="ar-SA"/>
          <w14:ligatures w14:val="none"/>
        </w:rPr>
        <w:t>项目概况</w:t>
      </w:r>
    </w:p>
    <w:p w14:paraId="11699F9B">
      <w:pPr>
        <w:pStyle w:val="3"/>
        <w:bidi w:val="0"/>
        <w:spacing w:before="50" w:beforeLines="50" w:after="0" w:line="360" w:lineRule="auto"/>
        <w:ind w:left="0" w:firstLine="0" w:firstLineChars="0"/>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（一）项目背景</w:t>
      </w:r>
    </w:p>
    <w:p w14:paraId="0AA9382D">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青浦区作为长三角生态绿色一体化发展示范区重要组成部分，承担国际进口博览会、五大新城建设等重大战略保障任务，辖区高层、地下空间、大型综合体、新能源车辆、水域灾害等风险交织叠加，灭火救援任务日趋复杂严峻。为落实《青浦支队2025-2027 年消防装备需求库建设评估论证报告》及三年采购计划，补齐侦检搜救、受限空间转运、高危场景处置等关键装备短板，提升队伍在浓烟、黑暗、狭窄空间等复杂环境下的侦察搜救、物资转运、险情处置能力，保障指战员作战安全与救援效能，特组织本次装备采购。</w:t>
      </w:r>
    </w:p>
    <w:p w14:paraId="36CA199B">
      <w:pPr>
        <w:pStyle w:val="2"/>
        <w:numPr>
          <w:ilvl w:val="0"/>
          <w:numId w:val="0"/>
        </w:numPr>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（二）建设目标</w:t>
      </w:r>
    </w:p>
    <w:p w14:paraId="6AE20E68">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1.配齐单兵热成像仪：满足火灾侦察、人员搜救、高温监测、定位导航等实战需求，提升浓烟黑暗环境下精准搜救与安全防护能力。</w:t>
      </w:r>
    </w:p>
    <w:p w14:paraId="244B1D68">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2.配备多功能升降式搬运机器人：解决狭窄空间及事故现场车辆、障碍物转移与物资转运难题，降低指战员现场作业风险。</w:t>
      </w:r>
    </w:p>
    <w:p w14:paraId="062ADB2A">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3.装备性能要求：需符合国家及行业标准，适配青浦区城乡结合、水域广布、厂库房密集、轨交与地下空间发达的救援特点，支撑高层建筑、大型综合体、轨交地下、新能源火灾、水域内涝等典型灾害高效处置。</w:t>
      </w:r>
    </w:p>
    <w:p w14:paraId="174D4CDD">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4.总体提升：完善装备配备结构，推进装备统型，提升救援专业化、智能化、安全化水平，助力青浦区消防救援能力高质量发展。</w:t>
      </w:r>
    </w:p>
    <w:p w14:paraId="27F824C8">
      <w:pPr>
        <w:pStyle w:val="2"/>
        <w:numPr>
          <w:ilvl w:val="0"/>
          <w:numId w:val="0"/>
        </w:numPr>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（三）建设原则</w:t>
      </w:r>
    </w:p>
    <w:p w14:paraId="14FED3CF">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1.实战导向：紧贴灭火救援一线需求，优先配备高可靠、易操作、耐恶劣环境的核心作战装备。</w:t>
      </w:r>
    </w:p>
    <w:p w14:paraId="62938624">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2.标准合规：严格遵循国家、行业及消防装备标准，确保检测、认证、质量全流程合规。</w:t>
      </w:r>
    </w:p>
    <w:p w14:paraId="30B25D9A">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3.安全可靠：突出高温、防水、抗冲击、长续航等防护与耐用性能，适配高危救援场景。</w:t>
      </w:r>
    </w:p>
    <w:p w14:paraId="0E9638CB">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4.统型高效：统一接口、操作步骤与维保体系，降低训练、使用和管理成本。</w:t>
      </w:r>
    </w:p>
    <w:p w14:paraId="2725AECF">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14:ligatures w14:val="standardContextual"/>
        </w:rPr>
        <w:t>5.按需配置：结合青浦辖区灾害特点与队站布局，精准匹配数量与性能，避免冗余。</w:t>
      </w:r>
    </w:p>
    <w:p w14:paraId="157F36E9">
      <w:pPr>
        <w:pStyle w:val="2"/>
        <w:numPr>
          <w:ilvl w:val="0"/>
          <w:numId w:val="0"/>
        </w:numPr>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（四）项目建设依据</w:t>
      </w:r>
    </w:p>
    <w:p w14:paraId="083B63CF">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1.《城市消防站建设标准》</w:t>
      </w:r>
    </w:p>
    <w:p w14:paraId="0CAAE290">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2.XF/T 635-2023《消防用红外热像仪》</w:t>
      </w:r>
    </w:p>
    <w:p w14:paraId="4031A6C1">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3.上海市消防救援总队关于装备建设、需求编报相关文件要求</w:t>
      </w:r>
    </w:p>
    <w:p w14:paraId="34C9F759">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4.政府采购相关法律法规及青浦区财政、采购管理规定</w:t>
      </w:r>
    </w:p>
    <w:p w14:paraId="7D274AD4">
      <w:pPr>
        <w:pStyle w:val="2"/>
        <w:bidi w:val="0"/>
        <w:spacing w:before="0" w:after="220" w:line="360" w:lineRule="auto"/>
        <w:ind w:left="0" w:firstLine="0" w:firstLineChars="0"/>
        <w:rPr>
          <w:rFonts w:hint="eastAsia" w:ascii="宋体" w:hAnsi="宋体" w:eastAsia="宋体" w:cs="宋体"/>
          <w:b w:val="0"/>
          <w:bCs w:val="0"/>
          <w:color w:val="000000"/>
          <w:kern w:val="2"/>
          <w:sz w:val="21"/>
          <w:szCs w:val="21"/>
          <w:highlight w:val="none"/>
          <w:lang w:val="en-US" w:eastAsia="zh-CN" w:bidi="ar-SA"/>
          <w14:ligatures w14:val="none"/>
        </w:rPr>
      </w:pPr>
      <w:r>
        <w:rPr>
          <w:rFonts w:hint="eastAsia" w:ascii="宋体" w:hAnsi="宋体" w:eastAsia="宋体" w:cs="宋体"/>
          <w:b w:val="0"/>
          <w:bCs w:val="0"/>
          <w:color w:val="000000"/>
          <w:kern w:val="2"/>
          <w:sz w:val="21"/>
          <w:szCs w:val="21"/>
          <w:highlight w:val="none"/>
          <w:lang w:val="en-US" w:eastAsia="zh-CN" w:bidi="ar-SA"/>
          <w14:ligatures w14:val="none"/>
        </w:rPr>
        <w:t>二、主要建设需求</w:t>
      </w:r>
    </w:p>
    <w:p w14:paraId="6D6A79C6">
      <w:pPr>
        <w:pStyle w:val="2"/>
        <w:numPr>
          <w:ilvl w:val="0"/>
          <w:numId w:val="0"/>
        </w:numPr>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（一）建设内容</w:t>
      </w:r>
    </w:p>
    <w:p w14:paraId="330CC6F7">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本次采购聚焦侦检搜救与应急转运核心能力，采购两类关键装备：</w:t>
      </w:r>
    </w:p>
    <w:p w14:paraId="2A03C66A">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手持式单兵热成像仪：用于黑暗、浓烟环境火情侦察、被困人员搜寻、温度监测、定位导航。</w:t>
      </w:r>
    </w:p>
    <w:p w14:paraId="63F7080A">
      <w:pPr>
        <w:keepNext w:val="0"/>
        <w:keepLines w:val="0"/>
        <w:pageBreakBefore w:val="0"/>
        <w:widowControl/>
        <w:kinsoku/>
        <w:wordWrap/>
        <w:overflowPunct/>
        <w:topLinePunct w:val="0"/>
        <w:autoSpaceDE/>
        <w:autoSpaceDN/>
        <w:bidi w:val="0"/>
        <w:adjustRightInd/>
        <w:snapToGrid/>
        <w:spacing w:line="300" w:lineRule="auto"/>
        <w:ind w:left="0" w:firstLine="960"/>
        <w:jc w:val="both"/>
        <w:textAlignment w:val="auto"/>
        <w:rPr>
          <w:rFonts w:hint="eastAsia" w:ascii="宋体" w:hAnsi="宋体" w:eastAsia="宋体" w:cs="宋体"/>
          <w:color w:val="000000"/>
          <w:sz w:val="21"/>
          <w:szCs w:val="21"/>
          <w:highlight w:val="none"/>
          <w:lang w:val="en-US" w:eastAsia="zh-CN"/>
          <w14:ligatures w14:val="standardContextual"/>
        </w:rPr>
      </w:pPr>
      <w:r>
        <w:rPr>
          <w:rFonts w:hint="eastAsia" w:ascii="宋体" w:hAnsi="宋体" w:eastAsia="宋体" w:cs="宋体"/>
          <w:color w:val="000000"/>
          <w:sz w:val="21"/>
          <w:szCs w:val="21"/>
          <w:highlight w:val="none"/>
          <w:lang w:val="en-US" w:eastAsia="zh-CN"/>
          <w14:ligatures w14:val="standardContextual"/>
        </w:rPr>
        <w:t>多功能升降式搬运机器人：用于狭窄空间、危险环境下车辆 / 障碍物转移、物资搬运、事故现场清障。</w:t>
      </w:r>
    </w:p>
    <w:p w14:paraId="3BB06F8E">
      <w:pPr>
        <w:pStyle w:val="2"/>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1.本项目预算金额为110万元，超过最高限价金额的（包括包件限价金额的）报价不予接受，分包如下：</w:t>
      </w:r>
    </w:p>
    <w:p w14:paraId="13BD522B">
      <w:pPr>
        <w:spacing w:line="360" w:lineRule="auto"/>
        <w:rPr>
          <w:rFonts w:hint="eastAsia" w:ascii="宋体" w:hAnsi="宋体" w:eastAsia="宋体" w:cs="宋体"/>
          <w:sz w:val="21"/>
          <w:szCs w:val="21"/>
          <w:highlight w:val="none"/>
        </w:rPr>
      </w:pPr>
      <w:r>
        <w:rPr>
          <w:rFonts w:hint="eastAsia" w:ascii="宋体" w:hAnsi="宋体" w:eastAsia="宋体" w:cs="宋体"/>
          <w:b w:val="0"/>
          <w:bCs w:val="0"/>
          <w:color w:val="000000"/>
          <w:kern w:val="2"/>
          <w:sz w:val="21"/>
          <w:szCs w:val="21"/>
          <w:highlight w:val="none"/>
          <w:lang w:val="en-US" w:eastAsia="zh-CN" w:bidi="ar-SA"/>
          <w14:ligatures w14:val="standardContextual"/>
        </w:rPr>
        <w:t>手持式单兵热成像仪为包件1：限价为50万元；多功能升降式搬运机器人为包件2：限价60万元。本项目分2个包件，</w:t>
      </w:r>
      <w:r>
        <w:rPr>
          <w:rFonts w:hint="eastAsia" w:ascii="宋体" w:hAnsi="宋体" w:eastAsia="宋体" w:cs="宋体"/>
          <w:sz w:val="21"/>
          <w:szCs w:val="21"/>
          <w:highlight w:val="none"/>
        </w:rPr>
        <w:t>1.为增加本项目各包件参与投标的竞争力，同时考虑到各包件都能顺利开展招标工作，本次采购项目鼓励供应商对所有包件都进行响应。</w:t>
      </w:r>
    </w:p>
    <w:p w14:paraId="2B3875F3">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2.评标委员会根据各供应商最终得分，由高到低，确定供应商最终排名，排名第一的供应商为该包件的中标候选人。</w:t>
      </w:r>
    </w:p>
    <w:p w14:paraId="4FA14786">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3.如果供应商最终得分相同，则按报价由低到高确定排名顺序，如果报价仍相同，则由评标委员会按照少数服从多数原则投票表决。</w:t>
      </w:r>
    </w:p>
    <w:p w14:paraId="5D3133A7">
      <w:pPr>
        <w:spacing w:line="360" w:lineRule="auto"/>
        <w:ind w:firstLine="420" w:firstLineChars="200"/>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本项目为兼投兼中，</w:t>
      </w:r>
      <w:r>
        <w:rPr>
          <w:rFonts w:hint="eastAsia" w:ascii="宋体" w:hAnsi="宋体" w:eastAsia="宋体" w:cs="宋体"/>
          <w:sz w:val="21"/>
          <w:szCs w:val="21"/>
          <w:highlight w:val="none"/>
        </w:rPr>
        <w:t>同一供应商</w:t>
      </w:r>
      <w:r>
        <w:rPr>
          <w:rFonts w:hint="eastAsia" w:ascii="宋体" w:hAnsi="宋体" w:eastAsia="宋体" w:cs="宋体"/>
          <w:sz w:val="21"/>
          <w:szCs w:val="21"/>
          <w:highlight w:val="none"/>
          <w:lang w:eastAsia="zh-CN"/>
        </w:rPr>
        <w:t>可以</w:t>
      </w:r>
      <w:r>
        <w:rPr>
          <w:rFonts w:hint="eastAsia" w:ascii="宋体" w:hAnsi="宋体" w:eastAsia="宋体" w:cs="宋体"/>
          <w:sz w:val="21"/>
          <w:szCs w:val="21"/>
          <w:highlight w:val="none"/>
        </w:rPr>
        <w:t>兼中两个包件。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1706"/>
      </w:tblGrid>
      <w:tr w14:paraId="445B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6BD6854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包件号</w:t>
            </w:r>
          </w:p>
        </w:tc>
        <w:tc>
          <w:tcPr>
            <w:tcW w:w="1705" w:type="dxa"/>
            <w:vAlign w:val="center"/>
          </w:tcPr>
          <w:p w14:paraId="3CD684A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名称</w:t>
            </w:r>
          </w:p>
        </w:tc>
        <w:tc>
          <w:tcPr>
            <w:tcW w:w="1706" w:type="dxa"/>
            <w:vAlign w:val="center"/>
          </w:tcPr>
          <w:p w14:paraId="3327A5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单位</w:t>
            </w:r>
          </w:p>
        </w:tc>
        <w:tc>
          <w:tcPr>
            <w:tcW w:w="1706" w:type="dxa"/>
            <w:vAlign w:val="center"/>
          </w:tcPr>
          <w:p w14:paraId="6F082F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数量</w:t>
            </w:r>
          </w:p>
        </w:tc>
        <w:tc>
          <w:tcPr>
            <w:tcW w:w="1706" w:type="dxa"/>
            <w:vAlign w:val="center"/>
          </w:tcPr>
          <w:p w14:paraId="3EB6311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限价（万元）</w:t>
            </w:r>
          </w:p>
        </w:tc>
      </w:tr>
      <w:tr w14:paraId="64FA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074935F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1</w:t>
            </w:r>
          </w:p>
        </w:tc>
        <w:tc>
          <w:tcPr>
            <w:tcW w:w="1705" w:type="dxa"/>
            <w:vAlign w:val="center"/>
          </w:tcPr>
          <w:p w14:paraId="45407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手持式单兵热成像仪</w:t>
            </w:r>
          </w:p>
        </w:tc>
        <w:tc>
          <w:tcPr>
            <w:tcW w:w="1706" w:type="dxa"/>
            <w:vAlign w:val="center"/>
          </w:tcPr>
          <w:p w14:paraId="5341DA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台</w:t>
            </w:r>
          </w:p>
        </w:tc>
        <w:tc>
          <w:tcPr>
            <w:tcW w:w="1706" w:type="dxa"/>
            <w:vAlign w:val="center"/>
          </w:tcPr>
          <w:p w14:paraId="7B2DFE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10</w:t>
            </w:r>
          </w:p>
        </w:tc>
        <w:tc>
          <w:tcPr>
            <w:tcW w:w="1706" w:type="dxa"/>
            <w:vAlign w:val="center"/>
          </w:tcPr>
          <w:p w14:paraId="60360C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50</w:t>
            </w:r>
          </w:p>
        </w:tc>
      </w:tr>
      <w:tr w14:paraId="4A9B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14:paraId="552D469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2</w:t>
            </w:r>
          </w:p>
        </w:tc>
        <w:tc>
          <w:tcPr>
            <w:tcW w:w="1705" w:type="dxa"/>
            <w:vAlign w:val="center"/>
          </w:tcPr>
          <w:p w14:paraId="05B1A46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多功能升降式搬运机器人</w:t>
            </w:r>
          </w:p>
        </w:tc>
        <w:tc>
          <w:tcPr>
            <w:tcW w:w="1706" w:type="dxa"/>
            <w:vAlign w:val="center"/>
          </w:tcPr>
          <w:p w14:paraId="35174F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套</w:t>
            </w:r>
          </w:p>
        </w:tc>
        <w:tc>
          <w:tcPr>
            <w:tcW w:w="1706" w:type="dxa"/>
            <w:vAlign w:val="center"/>
          </w:tcPr>
          <w:p w14:paraId="2829F2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4</w:t>
            </w:r>
          </w:p>
        </w:tc>
        <w:tc>
          <w:tcPr>
            <w:tcW w:w="1706" w:type="dxa"/>
            <w:vAlign w:val="center"/>
          </w:tcPr>
          <w:p w14:paraId="64699B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pPr>
            <w:r>
              <w:rPr>
                <w:rFonts w:hint="eastAsia" w:ascii="宋体" w:hAnsi="宋体" w:eastAsia="宋体" w:cs="宋体"/>
                <w:b w:val="0"/>
                <w:bCs w:val="0"/>
                <w:color w:val="000000"/>
                <w:kern w:val="2"/>
                <w:sz w:val="21"/>
                <w:szCs w:val="21"/>
                <w:highlight w:val="none"/>
                <w:vertAlign w:val="baseline"/>
                <w:lang w:val="en-US" w:eastAsia="zh-CN" w:bidi="ar-SA"/>
                <w14:ligatures w14:val="standardContextual"/>
              </w:rPr>
              <w:t>60</w:t>
            </w:r>
          </w:p>
        </w:tc>
      </w:tr>
    </w:tbl>
    <w:p w14:paraId="6CBDDCB2">
      <w:pPr>
        <w:pStyle w:val="2"/>
        <w:keepNext/>
        <w:keepLines/>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2.设备技术参数要求</w:t>
      </w:r>
    </w:p>
    <w:tbl>
      <w:tblPr>
        <w:tblStyle w:val="1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39"/>
        <w:gridCol w:w="6237"/>
      </w:tblGrid>
      <w:tr w14:paraId="33F4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797" w:type="dxa"/>
            <w:shd w:val="clear" w:color="auto" w:fill="auto"/>
            <w:noWrap/>
            <w:vAlign w:val="center"/>
          </w:tcPr>
          <w:p w14:paraId="66495595">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039" w:type="dxa"/>
            <w:shd w:val="clear" w:color="auto" w:fill="auto"/>
            <w:noWrap/>
            <w:vAlign w:val="center"/>
          </w:tcPr>
          <w:p w14:paraId="22859832">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名称</w:t>
            </w:r>
          </w:p>
        </w:tc>
        <w:tc>
          <w:tcPr>
            <w:tcW w:w="6237" w:type="dxa"/>
            <w:shd w:val="clear" w:color="auto" w:fill="auto"/>
            <w:noWrap/>
            <w:vAlign w:val="bottom"/>
          </w:tcPr>
          <w:p w14:paraId="5C69E744">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技术参数要求</w:t>
            </w:r>
          </w:p>
        </w:tc>
      </w:tr>
      <w:tr w14:paraId="558E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797" w:type="dxa"/>
            <w:shd w:val="clear" w:color="auto" w:fill="auto"/>
            <w:noWrap/>
            <w:vAlign w:val="center"/>
          </w:tcPr>
          <w:p w14:paraId="2E23D7D8">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39" w:type="dxa"/>
            <w:shd w:val="clear" w:color="auto" w:fill="auto"/>
            <w:noWrap/>
            <w:vAlign w:val="center"/>
          </w:tcPr>
          <w:p w14:paraId="71B8C99E">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手持式单兵热成像仪</w:t>
            </w:r>
          </w:p>
        </w:tc>
        <w:tc>
          <w:tcPr>
            <w:tcW w:w="6237" w:type="dxa"/>
            <w:shd w:val="clear" w:color="auto" w:fill="auto"/>
            <w:vAlign w:val="bottom"/>
          </w:tcPr>
          <w:p w14:paraId="723E7CB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用途：主要用于指战员在黑暗、浓烟环境下侦察火情、寻找被困人员等。基本性能需求如下 :</w:t>
            </w:r>
          </w:p>
          <w:p w14:paraId="08C08F2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★1、提供所投产品完整有效的</w:t>
            </w:r>
            <w:r>
              <w:rPr>
                <w:rFonts w:hint="eastAsia" w:ascii="宋体" w:hAnsi="宋体" w:cs="宋体"/>
                <w:kern w:val="0"/>
                <w:sz w:val="21"/>
                <w:szCs w:val="21"/>
              </w:rPr>
              <w:t>具有 CMA 或 CNAS 标识的第三方检测机构出具的检测报告</w:t>
            </w:r>
            <w:r>
              <w:rPr>
                <w:rFonts w:hint="eastAsia" w:ascii="宋体" w:hAnsi="宋体" w:eastAsia="宋体" w:cs="宋体"/>
                <w:color w:val="auto"/>
                <w:kern w:val="0"/>
                <w:sz w:val="21"/>
                <w:szCs w:val="21"/>
                <w:highlight w:val="none"/>
              </w:rPr>
              <w:t>，检验结果和结论都应符XF/T635-2023《消防用红外热像仪》的标准要求。</w:t>
            </w:r>
          </w:p>
          <w:p w14:paraId="0263CE3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▲2、用于火场搜救和火源搜索，便于消防员在浓烟中看清周围环境状况。质量（含电池质量）：≤700g（含电池质量），单块电池连续工作时间：≥2h，采用可更换式充电电池。测温范围不低于：-20~1500ºC ，并具有温度变化指针显示功能。</w:t>
            </w:r>
          </w:p>
          <w:p w14:paraId="2F9BA18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▲3、测温精度≤±2℃（≤100℃时），或测温精度≤测量值的±2%（＞100℃时）。防护等级≥IP67。</w:t>
            </w:r>
          </w:p>
          <w:p w14:paraId="20D99E4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4、屏幕：≥3.5英寸彩色液晶，</w:t>
            </w:r>
            <w:r>
              <w:rPr>
                <w:rFonts w:hint="eastAsia" w:ascii="宋体" w:hAnsi="宋体" w:eastAsia="宋体" w:cs="宋体"/>
                <w:color w:val="auto"/>
                <w:kern w:val="0"/>
                <w:sz w:val="21"/>
                <w:szCs w:val="21"/>
                <w:highlight w:val="none"/>
                <w:lang w:eastAsia="zh-CN"/>
              </w:rPr>
              <w:t>像素</w:t>
            </w:r>
            <w:r>
              <w:rPr>
                <w:rFonts w:hint="eastAsia" w:ascii="宋体" w:hAnsi="宋体" w:eastAsia="宋体" w:cs="宋体"/>
                <w:color w:val="auto"/>
                <w:kern w:val="0"/>
                <w:sz w:val="21"/>
                <w:szCs w:val="21"/>
                <w:highlight w:val="none"/>
              </w:rPr>
              <w:t>分辨率≥640x480。色彩模式：具有白热、黑热、伪彩色（如火场、人员搜救、预估、检测、失踪人员、火情等）3种显示模式；同时需要在屏幕上以中文字幕显示。具有中心点测温及冷热点追踪功能，便于火场种快速定位及冷热追踪。</w:t>
            </w:r>
          </w:p>
          <w:p w14:paraId="0EE0D8D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▲5、探测器：采用非晶硅材料，</w:t>
            </w:r>
            <w:r>
              <w:rPr>
                <w:rFonts w:hint="eastAsia" w:ascii="宋体" w:hAnsi="宋体" w:eastAsia="宋体" w:cs="宋体"/>
                <w:color w:val="auto"/>
                <w:kern w:val="0"/>
                <w:sz w:val="21"/>
                <w:szCs w:val="21"/>
                <w:highlight w:val="none"/>
                <w:lang w:eastAsia="zh-CN"/>
              </w:rPr>
              <w:t>像素</w:t>
            </w:r>
            <w:r>
              <w:rPr>
                <w:rFonts w:hint="eastAsia" w:ascii="宋体" w:hAnsi="宋体" w:eastAsia="宋体" w:cs="宋体"/>
                <w:color w:val="auto"/>
                <w:kern w:val="0"/>
                <w:sz w:val="21"/>
                <w:szCs w:val="21"/>
                <w:highlight w:val="none"/>
              </w:rPr>
              <w:t>分辨率≥384 x 288；噪声等效温差（热敏性）：环境温度在23ºC±5ºC，焦距50mm，F数为1时，NETD≤50mK。</w:t>
            </w:r>
          </w:p>
          <w:p w14:paraId="0B3ABE7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6、满足2m跌落试验, 在120ºC环境下工作不少于10min，在260ºC环境下工作不少于5 min。</w:t>
            </w:r>
          </w:p>
          <w:p w14:paraId="60DCF8A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7、具有拍照和摄像功能，内置≥64GB内存容量。应具备不低于2~4倍变焦功能</w:t>
            </w:r>
            <w:r>
              <w:rPr>
                <w:rFonts w:hint="eastAsia" w:ascii="宋体" w:hAnsi="宋体" w:eastAsia="宋体" w:cs="宋体"/>
                <w:color w:val="auto"/>
                <w:kern w:val="0"/>
                <w:sz w:val="21"/>
                <w:szCs w:val="21"/>
                <w:highlight w:val="none"/>
                <w:lang w:eastAsia="zh-CN"/>
              </w:rPr>
              <w:t>，广角镜头角度不低于</w:t>
            </w:r>
            <w:r>
              <w:rPr>
                <w:rFonts w:hint="eastAsia" w:ascii="宋体" w:hAnsi="宋体" w:eastAsia="宋体" w:cs="宋体"/>
                <w:color w:val="auto"/>
                <w:kern w:val="0"/>
                <w:sz w:val="21"/>
                <w:szCs w:val="21"/>
                <w:highlight w:val="none"/>
                <w:lang w:val="en-US" w:eastAsia="zh-CN"/>
              </w:rPr>
              <w:t>120度。</w:t>
            </w:r>
          </w:p>
          <w:p w14:paraId="092C614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8、配置可伸缩挂钩，可以挂在肩带上。</w:t>
            </w:r>
          </w:p>
          <w:p w14:paraId="3B00605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个</w:t>
            </w:r>
            <w:r>
              <w:rPr>
                <w:rFonts w:hint="eastAsia" w:ascii="宋体" w:hAnsi="宋体" w:eastAsia="宋体" w:cs="宋体"/>
                <w:color w:val="auto"/>
                <w:kern w:val="0"/>
                <w:sz w:val="21"/>
                <w:szCs w:val="21"/>
                <w:highlight w:val="none"/>
              </w:rPr>
              <w:t>应提供的备件：</w:t>
            </w:r>
            <w:r>
              <w:rPr>
                <w:rFonts w:hint="eastAsia" w:ascii="宋体" w:hAnsi="宋体" w:eastAsia="宋体" w:cs="宋体"/>
                <w:color w:val="auto"/>
                <w:kern w:val="0"/>
                <w:sz w:val="21"/>
                <w:szCs w:val="21"/>
                <w:highlight w:val="none"/>
                <w:lang w:val="en-US" w:eastAsia="zh-CN"/>
              </w:rPr>
              <w:t>电池2块、包括1主1备用电池；2个充电器（线）；</w:t>
            </w:r>
            <w:r>
              <w:rPr>
                <w:rFonts w:hint="eastAsia" w:ascii="宋体" w:hAnsi="宋体" w:eastAsia="宋体" w:cs="宋体"/>
                <w:color w:val="auto"/>
                <w:kern w:val="0"/>
                <w:sz w:val="21"/>
                <w:szCs w:val="21"/>
                <w:highlight w:val="none"/>
              </w:rPr>
              <w:t>伸缩挂钩</w:t>
            </w:r>
            <w:r>
              <w:rPr>
                <w:rFonts w:hint="eastAsia" w:ascii="宋体" w:hAnsi="宋体" w:eastAsia="宋体" w:cs="宋体"/>
                <w:color w:val="auto"/>
                <w:kern w:val="0"/>
                <w:sz w:val="21"/>
                <w:szCs w:val="21"/>
                <w:highlight w:val="none"/>
                <w:lang w:val="en-US" w:eastAsia="zh-CN"/>
              </w:rPr>
              <w:t>、挂包各2个。</w:t>
            </w:r>
          </w:p>
          <w:p w14:paraId="20B85EF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10、重量：不超过1.5kg, 尺寸：长22cm*宽10cm高*10cm范围之内。</w:t>
            </w:r>
          </w:p>
          <w:p w14:paraId="7163B16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注：提供该产品的检测报告，至少体现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的相关参数。投标时</w:t>
            </w:r>
            <w:r>
              <w:rPr>
                <w:rFonts w:hint="eastAsia" w:ascii="宋体" w:hAnsi="宋体" w:eastAsia="宋体" w:cs="宋体"/>
                <w:color w:val="auto"/>
                <w:kern w:val="0"/>
                <w:sz w:val="21"/>
                <w:szCs w:val="21"/>
                <w:highlight w:val="none"/>
              </w:rPr>
              <w:t>需提供样品。</w:t>
            </w:r>
          </w:p>
        </w:tc>
      </w:tr>
      <w:tr w14:paraId="30EB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97" w:type="dxa"/>
            <w:shd w:val="clear" w:color="auto" w:fill="auto"/>
            <w:noWrap/>
            <w:vAlign w:val="center"/>
          </w:tcPr>
          <w:p w14:paraId="724556D6">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039" w:type="dxa"/>
            <w:shd w:val="clear" w:color="auto" w:fill="auto"/>
            <w:noWrap/>
            <w:vAlign w:val="center"/>
          </w:tcPr>
          <w:p w14:paraId="5AFBEB44">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多功能升降式搬运机器人</w:t>
            </w:r>
          </w:p>
        </w:tc>
        <w:tc>
          <w:tcPr>
            <w:tcW w:w="6237" w:type="dxa"/>
            <w:shd w:val="clear" w:color="auto" w:fill="auto"/>
            <w:vAlign w:val="bottom"/>
          </w:tcPr>
          <w:p w14:paraId="2916EFB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用途：主要用于狭窄空间和危险环境下，转移车辆、阻碍物等作业。基本性能需求如下：</w:t>
            </w:r>
          </w:p>
          <w:p w14:paraId="4DCED86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▲1、机体可升降，升降高度≥120mm，可进行360度旋转。</w:t>
            </w:r>
          </w:p>
          <w:p w14:paraId="6FA21F4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▲2、额定承重≥2.5t。</w:t>
            </w:r>
          </w:p>
          <w:p w14:paraId="0231263D">
            <w:pPr>
              <w:keepNext w:val="0"/>
              <w:keepLines w:val="0"/>
              <w:pageBreakBefore w:val="0"/>
              <w:widowControl/>
              <w:kinsoku/>
              <w:wordWrap/>
              <w:overflowPunct/>
              <w:topLinePunct w:val="0"/>
              <w:autoSpaceDE/>
              <w:autoSpaceDN/>
              <w:bidi w:val="0"/>
              <w:adjustRightInd w:val="0"/>
              <w:snapToGrid w:val="0"/>
              <w:spacing w:line="240" w:lineRule="auto"/>
              <w:ind w:left="418" w:leftChars="174"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▲3、采用履带式行进方式，</w:t>
            </w:r>
            <w:r>
              <w:rPr>
                <w:rFonts w:hint="eastAsia" w:ascii="宋体" w:hAnsi="宋体" w:eastAsia="宋体" w:cs="宋体"/>
                <w:color w:val="auto"/>
                <w:kern w:val="0"/>
                <w:sz w:val="21"/>
                <w:szCs w:val="21"/>
                <w:highlight w:val="none"/>
              </w:rPr>
              <w:t>爬坡能力≥</w:t>
            </w:r>
            <w:r>
              <w:rPr>
                <w:rFonts w:hint="eastAsia" w:ascii="宋体" w:hAnsi="宋体" w:eastAsia="宋体" w:cs="宋体"/>
                <w:color w:val="auto"/>
                <w:kern w:val="0"/>
                <w:sz w:val="21"/>
                <w:szCs w:val="21"/>
                <w:highlight w:val="none"/>
                <w:lang w:val="en-US" w:eastAsia="zh-CN"/>
              </w:rPr>
              <w:t>50度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4、可进行远程操控，遥控距离≥80m。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5、电池种类：锂电池。</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6、载重续航使用距离，不小于2500米，连续工作时间不小于10h。</w:t>
            </w:r>
          </w:p>
          <w:p w14:paraId="771A496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★7、提供所投产品完整有效的</w:t>
            </w:r>
            <w:r>
              <w:rPr>
                <w:rFonts w:hint="eastAsia" w:ascii="宋体" w:hAnsi="宋体" w:cs="宋体"/>
                <w:kern w:val="0"/>
                <w:sz w:val="21"/>
                <w:szCs w:val="21"/>
              </w:rPr>
              <w:t>具有 CMA 或 CNAS 标识的第三方检测机构出具的检测报告</w:t>
            </w:r>
            <w:r>
              <w:rPr>
                <w:rFonts w:hint="eastAsia" w:ascii="宋体" w:hAnsi="宋体" w:eastAsia="宋体" w:cs="宋体"/>
                <w:color w:val="auto"/>
                <w:kern w:val="0"/>
                <w:sz w:val="21"/>
                <w:szCs w:val="21"/>
                <w:highlight w:val="none"/>
              </w:rPr>
              <w:t>。</w:t>
            </w:r>
          </w:p>
          <w:p w14:paraId="3D92074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个</w:t>
            </w:r>
            <w:r>
              <w:rPr>
                <w:rFonts w:hint="eastAsia" w:ascii="宋体" w:hAnsi="宋体" w:eastAsia="宋体" w:cs="宋体"/>
                <w:color w:val="auto"/>
                <w:kern w:val="0"/>
                <w:sz w:val="21"/>
                <w:szCs w:val="21"/>
                <w:highlight w:val="none"/>
              </w:rPr>
              <w:t>应提供的备件：</w:t>
            </w:r>
            <w:r>
              <w:rPr>
                <w:rFonts w:hint="eastAsia" w:ascii="宋体" w:hAnsi="宋体" w:eastAsia="宋体" w:cs="宋体"/>
                <w:color w:val="auto"/>
                <w:kern w:val="0"/>
                <w:sz w:val="21"/>
                <w:szCs w:val="21"/>
                <w:highlight w:val="none"/>
                <w:lang w:val="en-US" w:eastAsia="zh-CN"/>
              </w:rPr>
              <w:t>锂电池一主一备；充电器一主一备；多配一副履带；遥控器防水罩两个。</w:t>
            </w:r>
          </w:p>
          <w:p w14:paraId="174DAB7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注：提供该产品的检测报告，至少体现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的相关参数。投标时</w:t>
            </w:r>
            <w:r>
              <w:rPr>
                <w:rFonts w:hint="eastAsia" w:ascii="宋体" w:hAnsi="宋体" w:eastAsia="宋体" w:cs="宋体"/>
                <w:color w:val="auto"/>
                <w:kern w:val="0"/>
                <w:sz w:val="21"/>
                <w:szCs w:val="21"/>
                <w:highlight w:val="none"/>
              </w:rPr>
              <w:t>需提供样品。</w:t>
            </w:r>
          </w:p>
        </w:tc>
      </w:tr>
    </w:tbl>
    <w:p w14:paraId="46BB347C">
      <w:pPr>
        <w:widowControl/>
        <w:spacing w:line="240" w:lineRule="auto"/>
        <w:ind w:firstLine="0" w:firstLineChars="0"/>
        <w:jc w:val="left"/>
        <w:rPr>
          <w:rFonts w:hint="eastAsia" w:ascii="宋体" w:hAnsi="宋体" w:eastAsia="宋体" w:cs="宋体"/>
          <w:b/>
          <w:color w:val="auto"/>
          <w:kern w:val="0"/>
          <w:sz w:val="21"/>
          <w:szCs w:val="21"/>
          <w:highlight w:val="none"/>
        </w:rPr>
      </w:pPr>
    </w:p>
    <w:p w14:paraId="2040A026">
      <w:pPr>
        <w:pStyle w:val="8"/>
        <w:adjustRightInd w:val="0"/>
        <w:snapToGrid w:val="0"/>
        <w:spacing w:after="156" w:afterLines="50" w:line="360" w:lineRule="auto"/>
        <w:ind w:firstLine="413" w:firstLineChars="196"/>
        <w:outlineLvl w:val="0"/>
        <w:rPr>
          <w:rFonts w:hint="eastAsia" w:ascii="Times New Roman" w:hAnsi="Times New Roman" w:eastAsia="宋体" w:cs="Times New Roman"/>
          <w:b/>
          <w:bCs w:val="0"/>
          <w:color w:val="FF0000"/>
          <w:kern w:val="2"/>
          <w:sz w:val="21"/>
          <w:szCs w:val="21"/>
          <w:lang w:val="en-US" w:eastAsia="zh-CN" w:bidi="ar-SA"/>
        </w:rPr>
      </w:pPr>
      <w:r>
        <w:rPr>
          <w:rFonts w:hint="eastAsia" w:hAnsi="宋体"/>
          <w:b/>
          <w:bCs w:val="0"/>
          <w:color w:val="FF0000"/>
          <w:sz w:val="21"/>
          <w:szCs w:val="21"/>
          <w:lang w:eastAsia="zh-CN"/>
        </w:rPr>
        <w:t>（二）</w:t>
      </w:r>
      <w:r>
        <w:rPr>
          <w:rFonts w:hint="eastAsia" w:hAnsi="宋体"/>
          <w:b/>
          <w:bCs w:val="0"/>
          <w:color w:val="FF0000"/>
          <w:sz w:val="21"/>
          <w:szCs w:val="21"/>
        </w:rPr>
        <w:t>、投标实样要求</w:t>
      </w:r>
    </w:p>
    <w:p w14:paraId="2A2FB79A">
      <w:pPr>
        <w:adjustRightInd w:val="0"/>
        <w:snapToGrid w:val="0"/>
        <w:spacing w:line="360" w:lineRule="auto"/>
        <w:ind w:firstLine="422" w:firstLineChars="200"/>
        <w:rPr>
          <w:rFonts w:hint="eastAsia" w:ascii="Times New Roman" w:hAnsi="Times New Roman" w:eastAsia="宋体" w:cs="Times New Roman"/>
          <w:b/>
          <w:bCs w:val="0"/>
          <w:color w:val="FF0000"/>
          <w:sz w:val="21"/>
          <w:szCs w:val="21"/>
        </w:rPr>
      </w:pPr>
      <w:r>
        <w:rPr>
          <w:rFonts w:hint="eastAsia" w:ascii="Times New Roman" w:hAnsi="Times New Roman" w:eastAsia="宋体" w:cs="Times New Roman"/>
          <w:b/>
          <w:bCs w:val="0"/>
          <w:color w:val="FF0000"/>
          <w:kern w:val="2"/>
          <w:sz w:val="21"/>
          <w:szCs w:val="21"/>
          <w:lang w:val="en-US" w:eastAsia="zh-CN" w:bidi="ar-SA"/>
        </w:rPr>
        <w:t>1、投标实样送达地点：</w:t>
      </w:r>
      <w:r>
        <w:rPr>
          <w:rFonts w:hint="eastAsia" w:cs="Times New Roman"/>
          <w:b/>
          <w:bCs w:val="0"/>
          <w:color w:val="FF0000"/>
          <w:kern w:val="2"/>
          <w:sz w:val="21"/>
          <w:szCs w:val="21"/>
          <w:lang w:val="en-US" w:eastAsia="zh-CN" w:bidi="ar-SA"/>
        </w:rPr>
        <w:t>青浦区胜利路1828号</w:t>
      </w:r>
      <w:r>
        <w:rPr>
          <w:rFonts w:hint="eastAsia" w:ascii="Times New Roman" w:hAnsi="Times New Roman" w:eastAsia="宋体" w:cs="Times New Roman"/>
          <w:b/>
          <w:bCs w:val="0"/>
          <w:color w:val="FF0000"/>
          <w:kern w:val="2"/>
          <w:sz w:val="21"/>
          <w:szCs w:val="21"/>
          <w:lang w:val="en-US" w:eastAsia="zh-CN" w:bidi="ar-SA"/>
        </w:rPr>
        <w:t>。</w:t>
      </w:r>
      <w:r>
        <w:rPr>
          <w:rFonts w:hint="eastAsia" w:ascii="Times New Roman" w:hAnsi="Times New Roman" w:eastAsia="宋体" w:cs="Times New Roman"/>
          <w:b/>
          <w:bCs w:val="0"/>
          <w:color w:val="FF0000"/>
          <w:sz w:val="21"/>
          <w:szCs w:val="21"/>
        </w:rPr>
        <w:t>联系人：</w:t>
      </w:r>
      <w:r>
        <w:rPr>
          <w:rFonts w:hint="eastAsia" w:cs="Times New Roman"/>
          <w:b/>
          <w:bCs w:val="0"/>
          <w:color w:val="FF0000"/>
          <w:sz w:val="21"/>
          <w:szCs w:val="21"/>
          <w:lang w:val="en-US" w:eastAsia="zh-CN"/>
        </w:rPr>
        <w:t>李祯诚</w:t>
      </w:r>
      <w:r>
        <w:rPr>
          <w:rFonts w:hint="eastAsia" w:ascii="Times New Roman" w:hAnsi="Times New Roman" w:eastAsia="宋体" w:cs="Times New Roman"/>
          <w:b/>
          <w:bCs w:val="0"/>
          <w:color w:val="FF0000"/>
          <w:sz w:val="21"/>
          <w:szCs w:val="21"/>
        </w:rPr>
        <w:t>；联系电话：</w:t>
      </w:r>
      <w:r>
        <w:rPr>
          <w:rFonts w:hint="eastAsia" w:cs="Times New Roman"/>
          <w:b/>
          <w:bCs w:val="0"/>
          <w:color w:val="FF0000"/>
          <w:sz w:val="21"/>
          <w:szCs w:val="21"/>
          <w:lang w:val="en-US" w:eastAsia="zh-CN"/>
        </w:rPr>
        <w:t>18017151627、18016347653</w:t>
      </w:r>
      <w:r>
        <w:rPr>
          <w:rFonts w:hint="eastAsia" w:ascii="Times New Roman" w:hAnsi="Times New Roman" w:eastAsia="宋体" w:cs="Times New Roman"/>
          <w:b/>
          <w:bCs w:val="0"/>
          <w:color w:val="FF0000"/>
          <w:sz w:val="21"/>
          <w:szCs w:val="21"/>
        </w:rPr>
        <w:t>。</w:t>
      </w:r>
    </w:p>
    <w:p w14:paraId="3089A4F8">
      <w:pPr>
        <w:adjustRightInd w:val="0"/>
        <w:snapToGrid w:val="0"/>
        <w:spacing w:line="360" w:lineRule="auto"/>
        <w:ind w:firstLine="422" w:firstLineChars="200"/>
        <w:rPr>
          <w:b/>
          <w:bCs w:val="0"/>
          <w:color w:val="FF0000"/>
          <w:sz w:val="21"/>
          <w:szCs w:val="21"/>
        </w:rPr>
      </w:pPr>
      <w:r>
        <w:rPr>
          <w:rFonts w:hint="eastAsia"/>
          <w:b/>
          <w:bCs w:val="0"/>
          <w:color w:val="FF0000"/>
          <w:sz w:val="21"/>
          <w:szCs w:val="21"/>
        </w:rPr>
        <w:t>2、演示</w:t>
      </w:r>
      <w:r>
        <w:rPr>
          <w:b/>
          <w:bCs w:val="0"/>
          <w:color w:val="FF0000"/>
          <w:sz w:val="21"/>
          <w:szCs w:val="21"/>
        </w:rPr>
        <w:t>设备清单</w:t>
      </w:r>
      <w:r>
        <w:rPr>
          <w:rFonts w:hint="eastAsia" w:ascii="Times New Roman" w:hAnsi="Times New Roman" w:eastAsia="宋体" w:cs="Times New Roman"/>
          <w:b/>
          <w:bCs w:val="0"/>
          <w:color w:val="FF0000"/>
          <w:sz w:val="21"/>
          <w:szCs w:val="21"/>
        </w:rPr>
        <w:t>（包含硬件设备）</w:t>
      </w:r>
    </w:p>
    <w:tbl>
      <w:tblPr>
        <w:tblStyle w:val="14"/>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767"/>
        <w:gridCol w:w="1769"/>
        <w:gridCol w:w="1948"/>
      </w:tblGrid>
      <w:tr w14:paraId="3BC2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798" w:type="dxa"/>
            <w:noWrap/>
            <w:vAlign w:val="center"/>
          </w:tcPr>
          <w:p w14:paraId="52454773">
            <w:pPr>
              <w:widowControl/>
              <w:spacing w:line="288" w:lineRule="auto"/>
              <w:jc w:val="left"/>
              <w:rPr>
                <w:rFonts w:hint="eastAsia" w:ascii="宋体" w:hAnsi="宋体" w:eastAsia="宋体" w:cs="Times New Roman"/>
                <w:b/>
                <w:bCs w:val="0"/>
                <w:color w:val="FF0000"/>
                <w:kern w:val="2"/>
                <w:sz w:val="21"/>
                <w:szCs w:val="21"/>
                <w:lang w:val="en-US" w:eastAsia="zh-CN" w:bidi="ar-SA"/>
              </w:rPr>
            </w:pPr>
            <w:r>
              <w:rPr>
                <w:rFonts w:hint="eastAsia" w:ascii="宋体" w:hAnsi="宋体" w:eastAsia="宋体" w:cs="Times New Roman"/>
                <w:b/>
                <w:bCs w:val="0"/>
                <w:color w:val="FF0000"/>
                <w:kern w:val="2"/>
                <w:sz w:val="21"/>
                <w:szCs w:val="21"/>
                <w:lang w:val="en-US" w:eastAsia="zh-CN" w:bidi="ar-SA"/>
              </w:rPr>
              <w:t>序号</w:t>
            </w:r>
          </w:p>
        </w:tc>
        <w:tc>
          <w:tcPr>
            <w:tcW w:w="3767" w:type="dxa"/>
            <w:noWrap/>
            <w:vAlign w:val="center"/>
          </w:tcPr>
          <w:p w14:paraId="11181875">
            <w:pPr>
              <w:widowControl/>
              <w:spacing w:line="288" w:lineRule="auto"/>
              <w:jc w:val="left"/>
              <w:rPr>
                <w:rFonts w:hint="eastAsia" w:ascii="宋体" w:hAnsi="宋体" w:eastAsia="宋体" w:cs="Times New Roman"/>
                <w:b/>
                <w:bCs w:val="0"/>
                <w:color w:val="FF0000"/>
                <w:kern w:val="2"/>
                <w:sz w:val="21"/>
                <w:szCs w:val="21"/>
                <w:lang w:val="en-US" w:eastAsia="zh-CN" w:bidi="ar-SA"/>
              </w:rPr>
            </w:pPr>
            <w:r>
              <w:rPr>
                <w:rFonts w:hint="eastAsia" w:ascii="宋体" w:hAnsi="宋体" w:eastAsia="宋体" w:cs="Times New Roman"/>
                <w:b/>
                <w:bCs w:val="0"/>
                <w:color w:val="FF0000"/>
                <w:kern w:val="2"/>
                <w:sz w:val="21"/>
                <w:szCs w:val="21"/>
                <w:lang w:val="en-US" w:eastAsia="zh-CN" w:bidi="ar-SA"/>
              </w:rPr>
              <w:t>产品</w:t>
            </w:r>
          </w:p>
        </w:tc>
        <w:tc>
          <w:tcPr>
            <w:tcW w:w="1769" w:type="dxa"/>
            <w:noWrap/>
            <w:vAlign w:val="center"/>
          </w:tcPr>
          <w:p w14:paraId="6C24E59A">
            <w:pPr>
              <w:widowControl/>
              <w:spacing w:line="288" w:lineRule="auto"/>
              <w:jc w:val="left"/>
              <w:rPr>
                <w:rFonts w:hint="eastAsia" w:ascii="宋体" w:hAnsi="宋体" w:eastAsia="宋体" w:cs="Times New Roman"/>
                <w:b/>
                <w:bCs w:val="0"/>
                <w:color w:val="FF0000"/>
                <w:kern w:val="2"/>
                <w:sz w:val="21"/>
                <w:szCs w:val="21"/>
                <w:lang w:val="en-US" w:eastAsia="zh-CN" w:bidi="ar-SA"/>
              </w:rPr>
            </w:pPr>
            <w:r>
              <w:rPr>
                <w:rFonts w:hint="eastAsia" w:ascii="宋体" w:hAnsi="宋体" w:eastAsia="宋体" w:cs="Times New Roman"/>
                <w:b/>
                <w:bCs w:val="0"/>
                <w:color w:val="FF0000"/>
                <w:kern w:val="2"/>
                <w:sz w:val="21"/>
                <w:szCs w:val="21"/>
                <w:lang w:val="en-US" w:eastAsia="zh-CN" w:bidi="ar-SA"/>
              </w:rPr>
              <w:t>数量</w:t>
            </w:r>
          </w:p>
        </w:tc>
        <w:tc>
          <w:tcPr>
            <w:tcW w:w="1948" w:type="dxa"/>
            <w:noWrap/>
            <w:vAlign w:val="center"/>
          </w:tcPr>
          <w:p w14:paraId="003A282F">
            <w:pPr>
              <w:widowControl/>
              <w:spacing w:line="288" w:lineRule="auto"/>
              <w:jc w:val="center"/>
              <w:rPr>
                <w:rFonts w:hint="eastAsia" w:ascii="宋体" w:hAnsi="宋体" w:eastAsia="宋体" w:cs="Times New Roman"/>
                <w:b/>
                <w:bCs w:val="0"/>
                <w:color w:val="FF0000"/>
                <w:kern w:val="2"/>
                <w:sz w:val="21"/>
                <w:szCs w:val="21"/>
                <w:lang w:val="en-US" w:eastAsia="zh-CN" w:bidi="ar-SA"/>
              </w:rPr>
            </w:pPr>
            <w:r>
              <w:rPr>
                <w:rFonts w:hint="eastAsia" w:ascii="宋体" w:hAnsi="宋体" w:eastAsia="宋体" w:cs="Times New Roman"/>
                <w:b/>
                <w:bCs w:val="0"/>
                <w:color w:val="FF0000"/>
                <w:kern w:val="2"/>
                <w:sz w:val="21"/>
                <w:szCs w:val="21"/>
                <w:lang w:val="en-US" w:eastAsia="zh-CN" w:bidi="ar-SA"/>
              </w:rPr>
              <w:t>单位</w:t>
            </w:r>
          </w:p>
        </w:tc>
      </w:tr>
      <w:tr w14:paraId="79F6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noWrap/>
            <w:vAlign w:val="center"/>
          </w:tcPr>
          <w:p w14:paraId="258F98CF">
            <w:pPr>
              <w:widowControl/>
              <w:spacing w:line="288" w:lineRule="auto"/>
              <w:jc w:val="left"/>
              <w:rPr>
                <w:rFonts w:hint="eastAsia" w:ascii="宋体" w:hAnsi="宋体" w:eastAsia="宋体" w:cs="Times New Roman"/>
                <w:b/>
                <w:bCs w:val="0"/>
                <w:color w:val="FF0000"/>
                <w:kern w:val="2"/>
                <w:sz w:val="21"/>
                <w:szCs w:val="21"/>
                <w:lang w:val="en-US" w:eastAsia="zh-CN" w:bidi="ar-SA"/>
              </w:rPr>
            </w:pPr>
            <w:r>
              <w:rPr>
                <w:rFonts w:hint="eastAsia" w:ascii="宋体" w:hAnsi="宋体" w:eastAsia="宋体" w:cs="Times New Roman"/>
                <w:b/>
                <w:bCs w:val="0"/>
                <w:color w:val="FF0000"/>
                <w:kern w:val="2"/>
                <w:sz w:val="21"/>
                <w:szCs w:val="21"/>
                <w:lang w:val="en-US" w:eastAsia="zh-CN" w:bidi="ar-SA"/>
              </w:rPr>
              <w:t>1</w:t>
            </w:r>
          </w:p>
        </w:tc>
        <w:tc>
          <w:tcPr>
            <w:tcW w:w="3767" w:type="dxa"/>
            <w:noWrap/>
            <w:vAlign w:val="center"/>
          </w:tcPr>
          <w:p w14:paraId="4600468E">
            <w:pPr>
              <w:adjustRightInd w:val="0"/>
              <w:snapToGrid w:val="0"/>
              <w:spacing w:line="360" w:lineRule="auto"/>
              <w:ind w:firstLine="422" w:firstLineChars="200"/>
              <w:rPr>
                <w:rFonts w:hint="eastAsia" w:ascii="Times New Roman" w:hAnsi="Times New Roman" w:eastAsia="宋体" w:cs="Times New Roman"/>
                <w:b/>
                <w:bCs w:val="0"/>
                <w:color w:val="FF0000"/>
                <w:sz w:val="21"/>
                <w:szCs w:val="21"/>
                <w:lang w:val="en-US" w:eastAsia="zh-CN"/>
              </w:rPr>
            </w:pPr>
            <w:r>
              <w:rPr>
                <w:rFonts w:hint="eastAsia" w:ascii="Times New Roman" w:hAnsi="Times New Roman" w:eastAsia="宋体" w:cs="Times New Roman"/>
                <w:b/>
                <w:bCs w:val="0"/>
                <w:color w:val="FF0000"/>
                <w:sz w:val="21"/>
                <w:szCs w:val="21"/>
                <w:lang w:val="en-US" w:eastAsia="zh-CN"/>
              </w:rPr>
              <w:t>手持式单兵热成像仪</w:t>
            </w:r>
          </w:p>
        </w:tc>
        <w:tc>
          <w:tcPr>
            <w:tcW w:w="1769" w:type="dxa"/>
            <w:noWrap/>
            <w:vAlign w:val="center"/>
          </w:tcPr>
          <w:p w14:paraId="656ED292">
            <w:pPr>
              <w:adjustRightInd w:val="0"/>
              <w:snapToGrid w:val="0"/>
              <w:spacing w:line="360" w:lineRule="auto"/>
              <w:ind w:firstLine="422" w:firstLineChars="200"/>
              <w:rPr>
                <w:rFonts w:hint="default" w:ascii="Times New Roman" w:hAnsi="Times New Roman" w:eastAsia="宋体" w:cs="Times New Roman"/>
                <w:b/>
                <w:bCs w:val="0"/>
                <w:color w:val="FF0000"/>
                <w:sz w:val="21"/>
                <w:szCs w:val="21"/>
                <w:lang w:val="en-US" w:eastAsia="zh-CN"/>
              </w:rPr>
            </w:pPr>
            <w:r>
              <w:rPr>
                <w:rFonts w:hint="eastAsia" w:ascii="Times New Roman" w:hAnsi="Times New Roman" w:eastAsia="宋体" w:cs="Times New Roman"/>
                <w:b/>
                <w:bCs w:val="0"/>
                <w:color w:val="FF0000"/>
                <w:sz w:val="21"/>
                <w:szCs w:val="21"/>
                <w:lang w:val="en-US" w:eastAsia="zh-CN"/>
              </w:rPr>
              <w:t>1</w:t>
            </w:r>
          </w:p>
        </w:tc>
        <w:tc>
          <w:tcPr>
            <w:tcW w:w="1948" w:type="dxa"/>
            <w:noWrap/>
            <w:vAlign w:val="center"/>
          </w:tcPr>
          <w:p w14:paraId="3C44947C">
            <w:pPr>
              <w:adjustRightInd w:val="0"/>
              <w:snapToGrid w:val="0"/>
              <w:spacing w:line="360" w:lineRule="auto"/>
              <w:ind w:firstLine="422" w:firstLineChars="200"/>
              <w:rPr>
                <w:rFonts w:hint="eastAsia" w:ascii="Times New Roman" w:hAnsi="Times New Roman" w:eastAsia="宋体" w:cs="Times New Roman"/>
                <w:b/>
                <w:bCs w:val="0"/>
                <w:color w:val="FF0000"/>
                <w:sz w:val="21"/>
                <w:szCs w:val="21"/>
                <w:lang w:val="en-US" w:eastAsia="zh-CN"/>
              </w:rPr>
            </w:pPr>
            <w:r>
              <w:rPr>
                <w:rFonts w:hint="eastAsia" w:ascii="Times New Roman" w:hAnsi="Times New Roman" w:eastAsia="宋体" w:cs="Times New Roman"/>
                <w:b/>
                <w:bCs w:val="0"/>
                <w:color w:val="FF0000"/>
                <w:sz w:val="21"/>
                <w:szCs w:val="21"/>
                <w:lang w:val="en-US" w:eastAsia="zh-CN"/>
              </w:rPr>
              <w:t>台</w:t>
            </w:r>
          </w:p>
        </w:tc>
      </w:tr>
      <w:tr w14:paraId="24B2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8" w:type="dxa"/>
            <w:noWrap/>
            <w:vAlign w:val="center"/>
          </w:tcPr>
          <w:p w14:paraId="1F7B8CF5">
            <w:pPr>
              <w:widowControl/>
              <w:spacing w:line="288" w:lineRule="auto"/>
              <w:jc w:val="left"/>
              <w:rPr>
                <w:rFonts w:hint="eastAsia" w:ascii="宋体" w:hAnsi="宋体" w:eastAsia="宋体" w:cs="Times New Roman"/>
                <w:b/>
                <w:bCs w:val="0"/>
                <w:color w:val="FF0000"/>
                <w:kern w:val="2"/>
                <w:sz w:val="21"/>
                <w:szCs w:val="21"/>
                <w:lang w:val="en-US" w:eastAsia="zh-CN" w:bidi="ar-SA"/>
              </w:rPr>
            </w:pPr>
            <w:r>
              <w:rPr>
                <w:rFonts w:hint="eastAsia" w:ascii="宋体" w:hAnsi="宋体" w:eastAsia="宋体" w:cs="Times New Roman"/>
                <w:b/>
                <w:bCs w:val="0"/>
                <w:color w:val="FF0000"/>
                <w:kern w:val="2"/>
                <w:sz w:val="21"/>
                <w:szCs w:val="21"/>
                <w:lang w:val="en-US" w:eastAsia="zh-CN" w:bidi="ar-SA"/>
              </w:rPr>
              <w:t>2</w:t>
            </w:r>
          </w:p>
        </w:tc>
        <w:tc>
          <w:tcPr>
            <w:tcW w:w="3767" w:type="dxa"/>
            <w:noWrap/>
            <w:vAlign w:val="center"/>
          </w:tcPr>
          <w:p w14:paraId="1F17EBB8">
            <w:pPr>
              <w:adjustRightInd w:val="0"/>
              <w:snapToGrid w:val="0"/>
              <w:spacing w:line="360" w:lineRule="auto"/>
              <w:ind w:firstLine="422" w:firstLineChars="200"/>
              <w:rPr>
                <w:rFonts w:hint="eastAsia" w:ascii="Times New Roman" w:hAnsi="Times New Roman" w:eastAsia="宋体" w:cs="Times New Roman"/>
                <w:b/>
                <w:bCs w:val="0"/>
                <w:color w:val="FF0000"/>
                <w:sz w:val="21"/>
                <w:szCs w:val="21"/>
                <w:lang w:val="en-US" w:eastAsia="zh-CN"/>
              </w:rPr>
            </w:pPr>
            <w:r>
              <w:rPr>
                <w:rFonts w:hint="eastAsia" w:ascii="Times New Roman" w:hAnsi="Times New Roman" w:eastAsia="宋体" w:cs="Times New Roman"/>
                <w:b/>
                <w:bCs w:val="0"/>
                <w:color w:val="FF0000"/>
                <w:sz w:val="21"/>
                <w:szCs w:val="21"/>
              </w:rPr>
              <w:t>多功能升降式搬运机器人</w:t>
            </w:r>
          </w:p>
        </w:tc>
        <w:tc>
          <w:tcPr>
            <w:tcW w:w="1769" w:type="dxa"/>
            <w:noWrap/>
            <w:vAlign w:val="center"/>
          </w:tcPr>
          <w:p w14:paraId="14BA73CF">
            <w:pPr>
              <w:adjustRightInd w:val="0"/>
              <w:snapToGrid w:val="0"/>
              <w:spacing w:line="360" w:lineRule="auto"/>
              <w:ind w:firstLine="422" w:firstLineChars="200"/>
              <w:rPr>
                <w:rFonts w:hint="default" w:ascii="Times New Roman" w:hAnsi="Times New Roman" w:eastAsia="宋体" w:cs="Times New Roman"/>
                <w:b/>
                <w:bCs w:val="0"/>
                <w:color w:val="FF0000"/>
                <w:sz w:val="21"/>
                <w:szCs w:val="21"/>
                <w:lang w:val="en-US" w:eastAsia="zh-CN"/>
              </w:rPr>
            </w:pPr>
            <w:r>
              <w:rPr>
                <w:rFonts w:hint="eastAsia" w:ascii="Times New Roman" w:hAnsi="Times New Roman" w:eastAsia="宋体" w:cs="Times New Roman"/>
                <w:b/>
                <w:bCs w:val="0"/>
                <w:color w:val="FF0000"/>
                <w:sz w:val="21"/>
                <w:szCs w:val="21"/>
                <w:lang w:val="en-US" w:eastAsia="zh-CN"/>
              </w:rPr>
              <w:t>1</w:t>
            </w:r>
          </w:p>
        </w:tc>
        <w:tc>
          <w:tcPr>
            <w:tcW w:w="1948" w:type="dxa"/>
            <w:noWrap/>
            <w:vAlign w:val="center"/>
          </w:tcPr>
          <w:p w14:paraId="16EDFA77">
            <w:pPr>
              <w:adjustRightInd w:val="0"/>
              <w:snapToGrid w:val="0"/>
              <w:spacing w:line="360" w:lineRule="auto"/>
              <w:ind w:firstLine="422" w:firstLineChars="200"/>
              <w:rPr>
                <w:rFonts w:hint="eastAsia" w:ascii="Times New Roman" w:hAnsi="Times New Roman" w:eastAsia="宋体" w:cs="Times New Roman"/>
                <w:b/>
                <w:bCs w:val="0"/>
                <w:color w:val="FF0000"/>
                <w:sz w:val="21"/>
                <w:szCs w:val="21"/>
                <w:lang w:val="en-US" w:eastAsia="zh-CN"/>
              </w:rPr>
            </w:pPr>
            <w:r>
              <w:rPr>
                <w:rFonts w:hint="eastAsia" w:ascii="Times New Roman" w:hAnsi="Times New Roman" w:eastAsia="宋体" w:cs="Times New Roman"/>
                <w:b/>
                <w:bCs w:val="0"/>
                <w:color w:val="FF0000"/>
                <w:sz w:val="21"/>
                <w:szCs w:val="21"/>
                <w:lang w:val="en-US" w:eastAsia="zh-CN"/>
              </w:rPr>
              <w:t>套</w:t>
            </w:r>
          </w:p>
        </w:tc>
      </w:tr>
    </w:tbl>
    <w:p w14:paraId="551CB8C3">
      <w:pPr>
        <w:adjustRightInd w:val="0"/>
        <w:snapToGrid w:val="0"/>
        <w:spacing w:line="360" w:lineRule="auto"/>
        <w:ind w:firstLine="422" w:firstLineChars="200"/>
        <w:rPr>
          <w:b/>
          <w:bCs w:val="0"/>
          <w:color w:val="FF0000"/>
          <w:sz w:val="21"/>
          <w:szCs w:val="21"/>
        </w:rPr>
      </w:pPr>
    </w:p>
    <w:p w14:paraId="1F3B3B56">
      <w:pPr>
        <w:adjustRightInd w:val="0"/>
        <w:snapToGrid w:val="0"/>
        <w:spacing w:line="360" w:lineRule="auto"/>
        <w:ind w:firstLine="422" w:firstLineChars="200"/>
        <w:rPr>
          <w:b/>
          <w:bCs w:val="0"/>
          <w:color w:val="FF0000"/>
          <w:sz w:val="21"/>
          <w:szCs w:val="21"/>
        </w:rPr>
      </w:pPr>
      <w:r>
        <w:rPr>
          <w:rFonts w:hint="eastAsia"/>
          <w:b/>
          <w:bCs w:val="0"/>
          <w:color w:val="FF0000"/>
          <w:sz w:val="21"/>
          <w:szCs w:val="21"/>
        </w:rPr>
        <w:t>3、样品要求：</w:t>
      </w:r>
    </w:p>
    <w:p w14:paraId="4FDE216A">
      <w:pPr>
        <w:pStyle w:val="7"/>
        <w:ind w:firstLine="315"/>
        <w:rPr>
          <w:rFonts w:ascii="宋体" w:hAnsi="宋体" w:eastAsia="宋体"/>
          <w:b/>
          <w:bCs w:val="0"/>
          <w:color w:val="FF0000"/>
          <w:kern w:val="2"/>
          <w:sz w:val="21"/>
          <w:szCs w:val="21"/>
        </w:rPr>
      </w:pPr>
      <w:r>
        <w:rPr>
          <w:rFonts w:hint="eastAsia" w:ascii="宋体" w:hAnsi="宋体" w:eastAsia="宋体"/>
          <w:b/>
          <w:bCs w:val="0"/>
          <w:color w:val="FF0000"/>
          <w:kern w:val="2"/>
          <w:sz w:val="21"/>
          <w:szCs w:val="21"/>
        </w:rPr>
        <w:t>（1）投标单位应在投标截止时间前提交与所投标设备规格型号一致的样品和必要配件如网线、插座等；</w:t>
      </w:r>
    </w:p>
    <w:p w14:paraId="7D637949">
      <w:pPr>
        <w:pStyle w:val="7"/>
        <w:ind w:firstLine="315"/>
        <w:rPr>
          <w:rFonts w:ascii="宋体" w:hAnsi="宋体" w:eastAsia="宋体"/>
          <w:b/>
          <w:bCs w:val="0"/>
          <w:color w:val="FF0000"/>
          <w:kern w:val="2"/>
          <w:sz w:val="21"/>
          <w:szCs w:val="21"/>
        </w:rPr>
      </w:pPr>
      <w:r>
        <w:rPr>
          <w:rFonts w:hint="eastAsia" w:ascii="宋体" w:hAnsi="宋体" w:eastAsia="宋体"/>
          <w:b/>
          <w:bCs w:val="0"/>
          <w:color w:val="FF0000"/>
          <w:kern w:val="2"/>
          <w:sz w:val="21"/>
          <w:szCs w:val="21"/>
        </w:rPr>
        <w:t>（2）样品需在明显位置标明设备的名称、品牌及投标单位，以便在开标后能清晰呈现。但在进场前，应使用有效方式遮盖产品上能识别品牌商标的LOGO、字母、图片或文字等；未对样品进行标识或标识不清、样品提供与投标文件不一致等一律按样品提交有误拒收；</w:t>
      </w:r>
    </w:p>
    <w:p w14:paraId="07293C83">
      <w:pPr>
        <w:pStyle w:val="7"/>
        <w:ind w:firstLine="315"/>
        <w:rPr>
          <w:rFonts w:ascii="宋体" w:hAnsi="宋体" w:eastAsia="宋体"/>
          <w:b/>
          <w:bCs w:val="0"/>
          <w:color w:val="FF0000"/>
          <w:kern w:val="2"/>
          <w:sz w:val="21"/>
          <w:szCs w:val="21"/>
        </w:rPr>
      </w:pPr>
      <w:r>
        <w:rPr>
          <w:rFonts w:ascii="宋体" w:hAnsi="宋体" w:eastAsia="宋体"/>
          <w:b/>
          <w:bCs w:val="0"/>
          <w:color w:val="FF0000"/>
          <w:kern w:val="2"/>
          <w:sz w:val="21"/>
          <w:szCs w:val="21"/>
        </w:rPr>
        <w:tab/>
      </w:r>
      <w:r>
        <w:rPr>
          <w:rFonts w:ascii="宋体" w:hAnsi="宋体" w:eastAsia="宋体"/>
          <w:b/>
          <w:bCs w:val="0"/>
          <w:color w:val="FF0000"/>
          <w:kern w:val="2"/>
          <w:sz w:val="21"/>
          <w:szCs w:val="21"/>
        </w:rPr>
        <w:t xml:space="preserve">(3) </w:t>
      </w:r>
      <w:r>
        <w:rPr>
          <w:rFonts w:hint="eastAsia" w:ascii="宋体" w:hAnsi="宋体" w:eastAsia="宋体"/>
          <w:b/>
          <w:bCs w:val="0"/>
          <w:color w:val="FF0000"/>
          <w:kern w:val="2"/>
          <w:sz w:val="21"/>
          <w:szCs w:val="21"/>
        </w:rPr>
        <w:t>搭样全程做好保密工作，搭建完成后将整个样品遮住，不外露。</w:t>
      </w:r>
    </w:p>
    <w:p w14:paraId="71D6A191">
      <w:pPr>
        <w:pStyle w:val="7"/>
        <w:ind w:firstLine="315"/>
        <w:rPr>
          <w:rFonts w:hint="eastAsia" w:ascii="宋体" w:hAnsi="宋体" w:eastAsia="宋体"/>
          <w:b/>
          <w:bCs w:val="0"/>
          <w:color w:val="FF0000"/>
          <w:kern w:val="2"/>
          <w:sz w:val="21"/>
          <w:szCs w:val="21"/>
        </w:rPr>
      </w:pPr>
    </w:p>
    <w:p w14:paraId="3D9F62BC">
      <w:pPr>
        <w:pStyle w:val="6"/>
        <w:rPr>
          <w:rFonts w:hint="eastAsia" w:ascii="宋体" w:hAnsi="宋体" w:cs="宋体"/>
          <w:b/>
          <w:bCs w:val="0"/>
          <w:color w:val="FF0000"/>
          <w:sz w:val="21"/>
          <w:szCs w:val="21"/>
        </w:rPr>
      </w:pPr>
      <w:r>
        <w:rPr>
          <w:rFonts w:hint="eastAsia"/>
          <w:b/>
          <w:bCs w:val="0"/>
          <w:color w:val="FF0000"/>
          <w:sz w:val="21"/>
          <w:szCs w:val="21"/>
        </w:rPr>
        <w:t>4、</w:t>
      </w:r>
      <w:r>
        <w:rPr>
          <w:rFonts w:hint="eastAsia" w:ascii="宋体" w:hAnsi="宋体" w:cs="宋体"/>
          <w:b/>
          <w:bCs w:val="0"/>
          <w:color w:val="FF0000"/>
          <w:sz w:val="21"/>
          <w:szCs w:val="21"/>
        </w:rPr>
        <w:t>送样、封样、调试地点时间</w:t>
      </w:r>
      <w:r>
        <w:rPr>
          <w:rFonts w:hint="eastAsia"/>
          <w:b/>
          <w:bCs w:val="0"/>
          <w:color w:val="FF0000"/>
          <w:sz w:val="21"/>
          <w:szCs w:val="21"/>
        </w:rPr>
        <w:t xml:space="preserve">：所有实样均应注明投标人名称、品牌和产品名称，于 </w:t>
      </w:r>
      <w:r>
        <w:rPr>
          <w:b/>
          <w:bCs w:val="0"/>
          <w:color w:val="FF0000"/>
          <w:sz w:val="21"/>
          <w:szCs w:val="21"/>
        </w:rPr>
        <w:t>202</w:t>
      </w:r>
      <w:r>
        <w:rPr>
          <w:rFonts w:hint="eastAsia"/>
          <w:b/>
          <w:bCs w:val="0"/>
          <w:color w:val="FF0000"/>
          <w:sz w:val="21"/>
          <w:szCs w:val="21"/>
          <w:lang w:val="en-US" w:eastAsia="zh-CN"/>
        </w:rPr>
        <w:t>6</w:t>
      </w:r>
      <w:r>
        <w:rPr>
          <w:rFonts w:hint="eastAsia"/>
          <w:b/>
          <w:bCs w:val="0"/>
          <w:color w:val="FF0000"/>
          <w:sz w:val="21"/>
          <w:szCs w:val="21"/>
        </w:rPr>
        <w:t>年</w:t>
      </w:r>
      <w:r>
        <w:rPr>
          <w:rFonts w:hint="eastAsia"/>
          <w:b/>
          <w:bCs w:val="0"/>
          <w:color w:val="FF0000"/>
          <w:sz w:val="21"/>
          <w:szCs w:val="21"/>
          <w:lang w:val="en-US" w:eastAsia="zh-CN"/>
        </w:rPr>
        <w:t>06</w:t>
      </w:r>
      <w:r>
        <w:rPr>
          <w:rFonts w:hint="eastAsia"/>
          <w:b/>
          <w:bCs w:val="0"/>
          <w:color w:val="FF0000"/>
          <w:sz w:val="21"/>
          <w:szCs w:val="21"/>
        </w:rPr>
        <w:t>月</w:t>
      </w:r>
      <w:r>
        <w:rPr>
          <w:rFonts w:hint="eastAsia"/>
          <w:b/>
          <w:bCs w:val="0"/>
          <w:color w:val="FF0000"/>
          <w:sz w:val="21"/>
          <w:szCs w:val="21"/>
          <w:lang w:val="en-US" w:eastAsia="zh-CN"/>
        </w:rPr>
        <w:t>17</w:t>
      </w:r>
      <w:r>
        <w:rPr>
          <w:rFonts w:hint="eastAsia"/>
          <w:b/>
          <w:bCs w:val="0"/>
          <w:color w:val="FF0000"/>
          <w:sz w:val="21"/>
          <w:szCs w:val="21"/>
        </w:rPr>
        <w:t>日</w:t>
      </w:r>
      <w:r>
        <w:rPr>
          <w:b/>
          <w:bCs w:val="0"/>
          <w:color w:val="FF0000"/>
          <w:sz w:val="21"/>
          <w:szCs w:val="21"/>
        </w:rPr>
        <w:t>0</w:t>
      </w:r>
      <w:r>
        <w:rPr>
          <w:rFonts w:hint="eastAsia"/>
          <w:b/>
          <w:bCs w:val="0"/>
          <w:color w:val="FF0000"/>
          <w:sz w:val="21"/>
          <w:szCs w:val="21"/>
          <w:lang w:val="en-US" w:eastAsia="zh-CN"/>
        </w:rPr>
        <w:t>9</w:t>
      </w:r>
      <w:r>
        <w:rPr>
          <w:rFonts w:hint="eastAsia"/>
          <w:b/>
          <w:bCs w:val="0"/>
          <w:color w:val="FF0000"/>
          <w:sz w:val="21"/>
          <w:szCs w:val="21"/>
        </w:rPr>
        <w:t>:</w:t>
      </w:r>
      <w:r>
        <w:rPr>
          <w:rFonts w:hint="eastAsia"/>
          <w:b/>
          <w:bCs w:val="0"/>
          <w:color w:val="FF0000"/>
          <w:sz w:val="21"/>
          <w:szCs w:val="21"/>
          <w:lang w:val="en-US" w:eastAsia="zh-CN"/>
        </w:rPr>
        <w:t>0</w:t>
      </w:r>
      <w:r>
        <w:rPr>
          <w:b/>
          <w:bCs w:val="0"/>
          <w:color w:val="FF0000"/>
          <w:sz w:val="21"/>
          <w:szCs w:val="21"/>
        </w:rPr>
        <w:t>0</w:t>
      </w:r>
      <w:r>
        <w:rPr>
          <w:rFonts w:hint="eastAsia"/>
          <w:b/>
          <w:bCs w:val="0"/>
          <w:color w:val="FF0000"/>
          <w:sz w:val="21"/>
          <w:szCs w:val="21"/>
        </w:rPr>
        <w:t>至</w:t>
      </w:r>
      <w:r>
        <w:rPr>
          <w:rFonts w:hint="eastAsia" w:ascii="宋体" w:hAnsi="宋体" w:cs="宋体"/>
          <w:b/>
          <w:bCs w:val="0"/>
          <w:color w:val="FF0000"/>
          <w:sz w:val="21"/>
          <w:szCs w:val="21"/>
        </w:rPr>
        <w:t>投标截止时间</w:t>
      </w:r>
      <w:r>
        <w:rPr>
          <w:rFonts w:hint="eastAsia"/>
          <w:b/>
          <w:bCs w:val="0"/>
          <w:color w:val="FF0000"/>
          <w:sz w:val="21"/>
          <w:szCs w:val="21"/>
        </w:rPr>
        <w:t>前送达并自行搭建演示基础环境。</w:t>
      </w:r>
      <w:r>
        <w:rPr>
          <w:rFonts w:hint="eastAsia" w:ascii="宋体" w:hAnsi="宋体" w:cs="宋体"/>
          <w:b/>
          <w:bCs w:val="0"/>
          <w:color w:val="FF0000"/>
          <w:sz w:val="21"/>
          <w:szCs w:val="21"/>
        </w:rPr>
        <w:t>逾期或未送达视为放弃演示环节。演示时间为评标当天，具体时间另行通知。</w:t>
      </w:r>
    </w:p>
    <w:p w14:paraId="12571EA8">
      <w:pPr>
        <w:widowControl/>
        <w:spacing w:line="360" w:lineRule="auto"/>
        <w:ind w:firstLine="420"/>
        <w:rPr>
          <w:rFonts w:hint="eastAsia" w:ascii="宋体" w:hAnsi="宋体" w:eastAsia="宋体" w:cs="宋体"/>
          <w:b/>
          <w:bCs w:val="0"/>
          <w:color w:val="FF0000"/>
          <w:kern w:val="2"/>
          <w:sz w:val="21"/>
          <w:szCs w:val="21"/>
          <w:lang w:val="en-US" w:eastAsia="zh-CN" w:bidi="ar-SA"/>
        </w:rPr>
      </w:pPr>
      <w:r>
        <w:rPr>
          <w:rFonts w:hint="eastAsia" w:ascii="宋体" w:hAnsi="宋体" w:eastAsia="宋体" w:cs="宋体"/>
          <w:b/>
          <w:bCs w:val="0"/>
          <w:color w:val="FF0000"/>
          <w:kern w:val="2"/>
          <w:sz w:val="21"/>
          <w:szCs w:val="21"/>
          <w:lang w:val="en-US" w:eastAsia="zh-CN" w:bidi="ar-SA"/>
        </w:rPr>
        <w:t>5、采购结束后投标实样处置：</w:t>
      </w:r>
    </w:p>
    <w:p w14:paraId="113628F9">
      <w:pPr>
        <w:adjustRightInd w:val="0"/>
        <w:snapToGrid w:val="0"/>
        <w:spacing w:line="360" w:lineRule="auto"/>
        <w:ind w:firstLine="422" w:firstLineChars="200"/>
        <w:rPr>
          <w:rFonts w:hint="eastAsia" w:ascii="宋体" w:hAnsi="宋体" w:eastAsia="宋体" w:cs="宋体"/>
          <w:b/>
          <w:bCs w:val="0"/>
          <w:color w:val="FF0000"/>
          <w:kern w:val="2"/>
          <w:sz w:val="21"/>
          <w:szCs w:val="21"/>
          <w:lang w:val="en-US" w:eastAsia="zh-CN" w:bidi="ar-SA"/>
        </w:rPr>
      </w:pPr>
      <w:r>
        <w:rPr>
          <w:rFonts w:hint="eastAsia" w:ascii="宋体" w:hAnsi="宋体" w:eastAsia="宋体" w:cs="宋体"/>
          <w:b/>
          <w:bCs w:val="0"/>
          <w:color w:val="FF0000"/>
          <w:kern w:val="2"/>
          <w:sz w:val="21"/>
          <w:szCs w:val="21"/>
          <w:lang w:val="en-US" w:eastAsia="zh-CN" w:bidi="ar-SA"/>
        </w:rPr>
        <w:t>（1）最终中标单位的样品将被封存，以供批量验收时比对。</w:t>
      </w:r>
    </w:p>
    <w:p w14:paraId="7EB85D01">
      <w:pPr>
        <w:adjustRightInd w:val="0"/>
        <w:snapToGrid w:val="0"/>
        <w:spacing w:line="360" w:lineRule="auto"/>
        <w:ind w:firstLine="422" w:firstLineChars="200"/>
        <w:rPr>
          <w:rFonts w:hint="eastAsia" w:ascii="宋体" w:hAnsi="宋体" w:eastAsia="宋体" w:cs="宋体"/>
          <w:b/>
          <w:bCs w:val="0"/>
          <w:color w:val="FF0000"/>
          <w:kern w:val="2"/>
          <w:sz w:val="21"/>
          <w:szCs w:val="21"/>
          <w:lang w:val="en-US" w:eastAsia="zh-CN" w:bidi="ar-SA"/>
        </w:rPr>
      </w:pPr>
      <w:r>
        <w:rPr>
          <w:rFonts w:hint="eastAsia" w:ascii="宋体" w:hAnsi="宋体" w:eastAsia="宋体" w:cs="宋体"/>
          <w:b/>
          <w:bCs w:val="0"/>
          <w:color w:val="FF0000"/>
          <w:kern w:val="2"/>
          <w:sz w:val="21"/>
          <w:szCs w:val="21"/>
          <w:lang w:val="en-US" w:eastAsia="zh-CN" w:bidi="ar-SA"/>
        </w:rPr>
        <w:t>（2）未中标实样处置：采购结果公告发布后一个月内未中标人可与采购人联系，约定时间取回投标实样，逾期不领的将由采购人统一处置。如项目发生质疑、投诉，取回投标实样时间将根据具体情况后延。</w:t>
      </w:r>
    </w:p>
    <w:p w14:paraId="407F327A">
      <w:pPr>
        <w:adjustRightInd w:val="0"/>
        <w:snapToGrid w:val="0"/>
        <w:spacing w:line="360" w:lineRule="auto"/>
        <w:ind w:firstLine="422" w:firstLineChars="200"/>
        <w:rPr>
          <w:b/>
          <w:bCs w:val="0"/>
          <w:color w:val="FF0000"/>
          <w:sz w:val="21"/>
          <w:szCs w:val="21"/>
        </w:rPr>
      </w:pPr>
      <w:r>
        <w:rPr>
          <w:rFonts w:hint="eastAsia"/>
          <w:b/>
          <w:bCs w:val="0"/>
          <w:color w:val="FF0000"/>
          <w:sz w:val="21"/>
          <w:szCs w:val="21"/>
        </w:rPr>
        <w:t>6、</w:t>
      </w:r>
      <w:r>
        <w:rPr>
          <w:b/>
          <w:bCs w:val="0"/>
          <w:color w:val="FF0000"/>
          <w:sz w:val="21"/>
          <w:szCs w:val="21"/>
        </w:rPr>
        <w:t>现场演示</w:t>
      </w:r>
      <w:r>
        <w:rPr>
          <w:rFonts w:hint="eastAsia"/>
          <w:b/>
          <w:bCs w:val="0"/>
          <w:color w:val="FF0000"/>
          <w:sz w:val="21"/>
          <w:szCs w:val="21"/>
        </w:rPr>
        <w:t>要求</w:t>
      </w:r>
      <w:r>
        <w:rPr>
          <w:b/>
          <w:bCs w:val="0"/>
          <w:color w:val="FF0000"/>
          <w:sz w:val="21"/>
          <w:szCs w:val="21"/>
        </w:rPr>
        <w:t>：</w:t>
      </w:r>
    </w:p>
    <w:p w14:paraId="1BDF73CE">
      <w:pPr>
        <w:pStyle w:val="7"/>
        <w:spacing w:line="360" w:lineRule="auto"/>
        <w:ind w:firstLine="420"/>
        <w:rPr>
          <w:rFonts w:eastAsia="宋体"/>
          <w:b/>
          <w:bCs w:val="0"/>
          <w:color w:val="FF0000"/>
          <w:kern w:val="2"/>
          <w:sz w:val="21"/>
          <w:szCs w:val="21"/>
        </w:rPr>
      </w:pPr>
      <w:r>
        <w:rPr>
          <w:rFonts w:hint="eastAsia" w:eastAsia="宋体"/>
          <w:b/>
          <w:bCs w:val="0"/>
          <w:color w:val="FF0000"/>
          <w:kern w:val="2"/>
          <w:sz w:val="21"/>
          <w:szCs w:val="21"/>
        </w:rPr>
        <w:t>1、评标演示前，各投标人有1</w:t>
      </w:r>
      <w:r>
        <w:rPr>
          <w:rFonts w:hint="eastAsia" w:eastAsia="宋体"/>
          <w:b/>
          <w:bCs w:val="0"/>
          <w:color w:val="FF0000"/>
          <w:kern w:val="2"/>
          <w:sz w:val="21"/>
          <w:szCs w:val="21"/>
          <w:lang w:val="en-US" w:eastAsia="zh-CN"/>
        </w:rPr>
        <w:t>0</w:t>
      </w:r>
      <w:r>
        <w:rPr>
          <w:rFonts w:hint="eastAsia" w:eastAsia="宋体"/>
          <w:b/>
          <w:bCs w:val="0"/>
          <w:color w:val="FF0000"/>
          <w:kern w:val="2"/>
          <w:sz w:val="21"/>
          <w:szCs w:val="21"/>
        </w:rPr>
        <w:t>分钟的准备时间，所有投标人同时进场，做好相应开机调试，1</w:t>
      </w:r>
      <w:r>
        <w:rPr>
          <w:rFonts w:eastAsia="宋体"/>
          <w:b/>
          <w:bCs w:val="0"/>
          <w:color w:val="FF0000"/>
          <w:kern w:val="2"/>
          <w:sz w:val="21"/>
          <w:szCs w:val="21"/>
        </w:rPr>
        <w:t>0</w:t>
      </w:r>
      <w:r>
        <w:rPr>
          <w:rFonts w:hint="eastAsia" w:eastAsia="宋体"/>
          <w:b/>
          <w:bCs w:val="0"/>
          <w:color w:val="FF0000"/>
          <w:kern w:val="2"/>
          <w:sz w:val="21"/>
          <w:szCs w:val="21"/>
        </w:rPr>
        <w:t>分钟到点后清场封门，等待评审组入场。</w:t>
      </w:r>
    </w:p>
    <w:p w14:paraId="3946A8E1">
      <w:pPr>
        <w:spacing w:before="156" w:beforeLines="50" w:line="360" w:lineRule="auto"/>
        <w:ind w:firstLine="474" w:firstLineChars="225"/>
        <w:rPr>
          <w:b/>
          <w:bCs w:val="0"/>
          <w:color w:val="FF0000"/>
          <w:sz w:val="21"/>
          <w:szCs w:val="21"/>
        </w:rPr>
      </w:pPr>
      <w:r>
        <w:rPr>
          <w:rFonts w:hint="eastAsia"/>
          <w:b/>
          <w:bCs w:val="0"/>
          <w:color w:val="FF0000"/>
          <w:sz w:val="21"/>
          <w:szCs w:val="21"/>
        </w:rPr>
        <w:t>2、正式演示时间为每家</w:t>
      </w:r>
      <w:r>
        <w:rPr>
          <w:b/>
          <w:bCs w:val="0"/>
          <w:color w:val="FF0000"/>
          <w:sz w:val="21"/>
          <w:szCs w:val="21"/>
        </w:rPr>
        <w:t>投标单位1</w:t>
      </w:r>
      <w:r>
        <w:rPr>
          <w:rFonts w:hint="eastAsia"/>
          <w:b/>
          <w:bCs w:val="0"/>
          <w:color w:val="FF0000"/>
          <w:sz w:val="21"/>
          <w:szCs w:val="21"/>
          <w:lang w:val="en-US" w:eastAsia="zh-CN"/>
        </w:rPr>
        <w:t>5</w:t>
      </w:r>
      <w:r>
        <w:rPr>
          <w:rFonts w:hint="eastAsia"/>
          <w:b/>
          <w:bCs w:val="0"/>
          <w:color w:val="FF0000"/>
          <w:sz w:val="21"/>
          <w:szCs w:val="21"/>
        </w:rPr>
        <w:t>分钟演示，按照抽签顺序进场，如在正式评标时因设备故障或调试问题无法演示的，均视为投标人放弃演示环节。</w:t>
      </w:r>
      <w:r>
        <w:rPr>
          <w:b/>
          <w:bCs w:val="0"/>
          <w:color w:val="FF0000"/>
          <w:sz w:val="21"/>
          <w:szCs w:val="21"/>
        </w:rPr>
        <w:t>1</w:t>
      </w:r>
      <w:r>
        <w:rPr>
          <w:rFonts w:hint="eastAsia"/>
          <w:b/>
          <w:bCs w:val="0"/>
          <w:color w:val="FF0000"/>
          <w:sz w:val="21"/>
          <w:szCs w:val="21"/>
          <w:lang w:val="en-US" w:eastAsia="zh-CN"/>
        </w:rPr>
        <w:t>5</w:t>
      </w:r>
      <w:r>
        <w:rPr>
          <w:rFonts w:hint="eastAsia"/>
          <w:b/>
          <w:bCs w:val="0"/>
          <w:color w:val="FF0000"/>
          <w:sz w:val="21"/>
          <w:szCs w:val="21"/>
        </w:rPr>
        <w:t>分钟到点后不允许再有任何操作行为。</w:t>
      </w:r>
    </w:p>
    <w:p w14:paraId="3BD372B8">
      <w:pPr>
        <w:spacing w:before="156" w:beforeLines="50" w:line="360" w:lineRule="auto"/>
        <w:ind w:firstLine="474" w:firstLineChars="225"/>
        <w:rPr>
          <w:b/>
          <w:bCs w:val="0"/>
          <w:color w:val="FF0000"/>
          <w:sz w:val="21"/>
          <w:szCs w:val="21"/>
        </w:rPr>
      </w:pPr>
      <w:r>
        <w:rPr>
          <w:rFonts w:hint="eastAsia"/>
          <w:b/>
          <w:bCs w:val="0"/>
          <w:color w:val="FF0000"/>
          <w:sz w:val="21"/>
          <w:szCs w:val="21"/>
        </w:rPr>
        <w:t>3、开标后不允许更换送样后的任何产品。</w:t>
      </w:r>
    </w:p>
    <w:p w14:paraId="67C25779">
      <w:pPr>
        <w:pStyle w:val="7"/>
        <w:spacing w:line="360" w:lineRule="auto"/>
        <w:ind w:firstLine="420"/>
        <w:rPr>
          <w:rFonts w:eastAsia="宋体"/>
          <w:b/>
          <w:bCs w:val="0"/>
          <w:color w:val="FF0000"/>
          <w:kern w:val="2"/>
          <w:sz w:val="21"/>
          <w:szCs w:val="21"/>
        </w:rPr>
      </w:pPr>
      <w:r>
        <w:rPr>
          <w:rFonts w:hint="eastAsia" w:eastAsia="宋体"/>
          <w:b/>
          <w:bCs w:val="0"/>
          <w:color w:val="FF0000"/>
          <w:kern w:val="2"/>
          <w:sz w:val="21"/>
          <w:szCs w:val="21"/>
        </w:rPr>
        <w:t>4、投标人允许派1</w:t>
      </w:r>
      <w:r>
        <w:rPr>
          <w:rFonts w:eastAsia="宋体"/>
          <w:b/>
          <w:bCs w:val="0"/>
          <w:color w:val="FF0000"/>
          <w:kern w:val="2"/>
          <w:sz w:val="21"/>
          <w:szCs w:val="21"/>
        </w:rPr>
        <w:t>-2</w:t>
      </w:r>
      <w:r>
        <w:rPr>
          <w:rFonts w:hint="eastAsia" w:eastAsia="宋体"/>
          <w:b/>
          <w:bCs w:val="0"/>
          <w:color w:val="FF0000"/>
          <w:kern w:val="2"/>
          <w:sz w:val="21"/>
          <w:szCs w:val="21"/>
        </w:rPr>
        <w:t>名工作人员携带法定代表人授权书进场，超过2名不允许进入演示现场。</w:t>
      </w:r>
    </w:p>
    <w:p w14:paraId="159DE8BD">
      <w:pPr>
        <w:autoSpaceDE w:val="0"/>
        <w:autoSpaceDN w:val="0"/>
        <w:adjustRightInd w:val="0"/>
        <w:ind w:firstLine="420"/>
        <w:rPr>
          <w:b/>
          <w:bCs w:val="0"/>
          <w:color w:val="FF0000"/>
          <w:sz w:val="21"/>
          <w:szCs w:val="21"/>
        </w:rPr>
      </w:pPr>
      <w:r>
        <w:rPr>
          <w:rFonts w:hint="eastAsia"/>
          <w:b/>
          <w:bCs w:val="0"/>
          <w:color w:val="FF0000"/>
          <w:sz w:val="21"/>
          <w:szCs w:val="21"/>
        </w:rPr>
        <w:t>具体</w:t>
      </w:r>
      <w:r>
        <w:rPr>
          <w:b/>
          <w:bCs w:val="0"/>
          <w:color w:val="FF0000"/>
          <w:sz w:val="21"/>
          <w:szCs w:val="21"/>
        </w:rPr>
        <w:t>演示内容如下：</w:t>
      </w:r>
    </w:p>
    <w:p w14:paraId="55090FD1">
      <w:pPr>
        <w:spacing w:line="288" w:lineRule="auto"/>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1、手持式单兵热成像仪</w:t>
      </w:r>
    </w:p>
    <w:p w14:paraId="26080D5E">
      <w:pPr>
        <w:numPr>
          <w:ilvl w:val="0"/>
          <w:numId w:val="0"/>
        </w:numPr>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（1）所递交样品的产品配置包括主机、屏幕、可充电电池（2组）、充电器、挎包对采购要求的满足度进行评审（0-2分）；</w:t>
      </w:r>
    </w:p>
    <w:p w14:paraId="5303DD2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（2）根据样品工艺制作细节，样品工艺组装是否精细，部件之间衔接是否紧密，标志是否准确清晰进行评审（0-2分）；</w:t>
      </w:r>
    </w:p>
    <w:p w14:paraId="2EABDB49">
      <w:pPr>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（3）根据样品的便携性，样品主机外形尺寸、质量（含电池）、单个电池容量是否符合项目要求，携带是否方便、操作是否便利进行评审（0-2分）；</w:t>
      </w:r>
    </w:p>
    <w:p w14:paraId="17783D80">
      <w:pPr>
        <w:spacing w:line="288" w:lineRule="auto"/>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（4）对使用性能或易用性进行测试，样品使用按键、测温等操作部件反馈灵敏准确、界面设计方便操作进行评审（0-2分）；</w:t>
      </w:r>
    </w:p>
    <w:p w14:paraId="78804672">
      <w:pPr>
        <w:spacing w:line="288" w:lineRule="auto"/>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2、多功能升降式搬运机器人</w:t>
      </w:r>
    </w:p>
    <w:p w14:paraId="651B6E3D">
      <w:pPr>
        <w:numPr>
          <w:ilvl w:val="0"/>
          <w:numId w:val="0"/>
        </w:numPr>
        <w:ind w:firstLine="422" w:firstLineChars="200"/>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w:t>
      </w:r>
      <w:r>
        <w:rPr>
          <w:rFonts w:hint="eastAsia" w:eastAsia="宋体" w:cs="Times New Roman"/>
          <w:b/>
          <w:bCs w:val="0"/>
          <w:color w:val="FF0000"/>
          <w:kern w:val="2"/>
          <w:sz w:val="21"/>
          <w:szCs w:val="21"/>
          <w:lang w:val="en-US" w:eastAsia="zh-CN" w:bidi="ar-SA"/>
        </w:rPr>
        <w:t>1</w:t>
      </w:r>
      <w:r>
        <w:rPr>
          <w:rFonts w:hint="eastAsia" w:ascii="Times New Roman" w:hAnsi="Times New Roman" w:eastAsia="宋体" w:cs="Times New Roman"/>
          <w:b/>
          <w:bCs w:val="0"/>
          <w:color w:val="FF0000"/>
          <w:kern w:val="2"/>
          <w:sz w:val="21"/>
          <w:szCs w:val="21"/>
          <w:lang w:val="en-US" w:eastAsia="zh-CN" w:bidi="ar-SA"/>
        </w:rPr>
        <w:t>）所递交样品的产品配置包括产品主体、遥控器、可充电电池（2组）、充电器、履带、遥控器防水罩对采购要求的满足度进行评审（0-2分）；</w:t>
      </w:r>
      <w:bookmarkStart w:id="0" w:name="_GoBack"/>
      <w:bookmarkEnd w:id="0"/>
    </w:p>
    <w:p w14:paraId="4716E42C">
      <w:pPr>
        <w:spacing w:line="288" w:lineRule="auto"/>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w:t>
      </w:r>
      <w:r>
        <w:rPr>
          <w:rFonts w:hint="eastAsia" w:eastAsia="宋体" w:cs="Times New Roman"/>
          <w:b/>
          <w:bCs w:val="0"/>
          <w:color w:val="FF0000"/>
          <w:kern w:val="2"/>
          <w:sz w:val="21"/>
          <w:szCs w:val="21"/>
          <w:lang w:val="en-US" w:eastAsia="zh-CN" w:bidi="ar-SA"/>
        </w:rPr>
        <w:t>2</w:t>
      </w:r>
      <w:r>
        <w:rPr>
          <w:rFonts w:hint="eastAsia" w:ascii="Times New Roman" w:hAnsi="Times New Roman" w:eastAsia="宋体" w:cs="Times New Roman"/>
          <w:b/>
          <w:bCs w:val="0"/>
          <w:color w:val="FF0000"/>
          <w:kern w:val="2"/>
          <w:sz w:val="21"/>
          <w:szCs w:val="21"/>
          <w:lang w:val="en-US" w:eastAsia="zh-CN" w:bidi="ar-SA"/>
        </w:rPr>
        <w:t>）根据样品工艺制作细节，样品工艺组装是否精细，部件之间衔接是否紧密，标志是否准确清晰进行评审（0-2分）；</w:t>
      </w:r>
    </w:p>
    <w:p w14:paraId="622AFA7D">
      <w:pPr>
        <w:spacing w:line="288" w:lineRule="auto"/>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（3）根据样品的便携性，样品主机外形尺寸、质量（含电池）、单个电池容量是否符合项目要求，携带是否方便、操作是否便利进行评审（0-2分）；</w:t>
      </w:r>
    </w:p>
    <w:p w14:paraId="1B18305C">
      <w:pPr>
        <w:spacing w:line="288" w:lineRule="auto"/>
        <w:jc w:val="left"/>
        <w:rPr>
          <w:rFonts w:hint="eastAsia" w:ascii="Times New Roman" w:hAnsi="Times New Roman" w:eastAsia="宋体" w:cs="Times New Roman"/>
          <w:b/>
          <w:bCs w:val="0"/>
          <w:color w:val="FF0000"/>
          <w:kern w:val="2"/>
          <w:sz w:val="21"/>
          <w:szCs w:val="21"/>
          <w:lang w:val="en-US" w:eastAsia="zh-CN" w:bidi="ar-SA"/>
        </w:rPr>
      </w:pPr>
      <w:r>
        <w:rPr>
          <w:rFonts w:hint="eastAsia" w:ascii="Times New Roman" w:hAnsi="Times New Roman" w:eastAsia="宋体" w:cs="Times New Roman"/>
          <w:b/>
          <w:bCs w:val="0"/>
          <w:color w:val="FF0000"/>
          <w:kern w:val="2"/>
          <w:sz w:val="21"/>
          <w:szCs w:val="21"/>
          <w:lang w:val="en-US" w:eastAsia="zh-CN" w:bidi="ar-SA"/>
        </w:rPr>
        <w:t>（</w:t>
      </w:r>
      <w:r>
        <w:rPr>
          <w:rFonts w:hint="eastAsia" w:eastAsia="宋体" w:cs="Times New Roman"/>
          <w:b/>
          <w:bCs w:val="0"/>
          <w:color w:val="FF0000"/>
          <w:kern w:val="2"/>
          <w:sz w:val="21"/>
          <w:szCs w:val="21"/>
          <w:lang w:val="en-US" w:eastAsia="zh-CN" w:bidi="ar-SA"/>
        </w:rPr>
        <w:t>4</w:t>
      </w:r>
      <w:r>
        <w:rPr>
          <w:rFonts w:hint="eastAsia" w:ascii="Times New Roman" w:hAnsi="Times New Roman" w:eastAsia="宋体" w:cs="Times New Roman"/>
          <w:b/>
          <w:bCs w:val="0"/>
          <w:color w:val="FF0000"/>
          <w:kern w:val="2"/>
          <w:sz w:val="21"/>
          <w:szCs w:val="21"/>
          <w:lang w:val="en-US" w:eastAsia="zh-CN" w:bidi="ar-SA"/>
        </w:rPr>
        <w:t>）根据样品的使用性能或易用性，样品的升降高度、载重能力、遥控距离、爬坡能力进行评审（0-2分）；</w:t>
      </w:r>
    </w:p>
    <w:p w14:paraId="5405145A">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cs="宋体"/>
          <w:b w:val="0"/>
          <w:bCs w:val="0"/>
          <w:color w:val="000000"/>
          <w:kern w:val="2"/>
          <w:sz w:val="21"/>
          <w:szCs w:val="21"/>
          <w:highlight w:val="none"/>
          <w:lang w:val="en-US" w:eastAsia="zh-CN" w:bidi="ar-SA"/>
          <w14:ligatures w14:val="standardContextual"/>
        </w:rPr>
        <w:t>（三）</w:t>
      </w:r>
      <w:r>
        <w:rPr>
          <w:rFonts w:hint="eastAsia" w:ascii="宋体" w:hAnsi="宋体" w:eastAsia="宋体" w:cs="宋体"/>
          <w:b w:val="0"/>
          <w:bCs w:val="0"/>
          <w:color w:val="000000"/>
          <w:kern w:val="2"/>
          <w:sz w:val="21"/>
          <w:szCs w:val="21"/>
          <w:highlight w:val="none"/>
          <w:lang w:val="en-US" w:eastAsia="zh-CN" w:bidi="ar-SA"/>
          <w14:ligatures w14:val="standardContextual"/>
        </w:rPr>
        <w:t>交货时间、交货地点</w:t>
      </w:r>
    </w:p>
    <w:p w14:paraId="2A46F09F">
      <w:pPr>
        <w:keepNext w:val="0"/>
        <w:keepLines w:val="0"/>
        <w:pageBreakBefore w:val="0"/>
        <w:widowControl w:val="0"/>
        <w:kinsoku/>
        <w:wordWrap/>
        <w:overflowPunct/>
        <w:topLinePunct w:val="0"/>
        <w:autoSpaceDE/>
        <w:autoSpaceDN/>
        <w:bidi w:val="0"/>
        <w:adjustRightInd/>
        <w:snapToGrid/>
        <w:spacing w:after="120" w:line="400" w:lineRule="exact"/>
        <w:ind w:left="0" w:leftChars="0" w:firstLine="420" w:firstLineChars="200"/>
        <w:jc w:val="both"/>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 xml:space="preserve">1、交货时间：合同签订后180天（自然日）内完成交货。 </w:t>
      </w:r>
    </w:p>
    <w:p w14:paraId="6C375619">
      <w:pPr>
        <w:keepNext w:val="0"/>
        <w:keepLines w:val="0"/>
        <w:pageBreakBefore w:val="0"/>
        <w:widowControl w:val="0"/>
        <w:kinsoku/>
        <w:wordWrap/>
        <w:overflowPunct/>
        <w:topLinePunct w:val="0"/>
        <w:autoSpaceDE/>
        <w:autoSpaceDN/>
        <w:bidi w:val="0"/>
        <w:adjustRightInd/>
        <w:snapToGrid/>
        <w:spacing w:after="120" w:line="400" w:lineRule="exact"/>
        <w:ind w:left="0" w:leftChars="0" w:firstLine="420" w:firstLineChars="200"/>
        <w:jc w:val="both"/>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2、交货地点：采购人指定地点</w:t>
      </w:r>
    </w:p>
    <w:p w14:paraId="372D21AE">
      <w:pPr>
        <w:keepNext w:val="0"/>
        <w:keepLines w:val="0"/>
        <w:pageBreakBefore w:val="0"/>
        <w:widowControl/>
        <w:kinsoku/>
        <w:wordWrap/>
        <w:overflowPunct/>
        <w:topLinePunct w:val="0"/>
        <w:autoSpaceDE/>
        <w:autoSpaceDN/>
        <w:bidi w:val="0"/>
        <w:adjustRightInd/>
        <w:snapToGrid w:val="0"/>
        <w:spacing w:before="340" w:after="100" w:line="240" w:lineRule="auto"/>
        <w:ind w:firstLine="0" w:firstLineChars="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（三）验收要求</w:t>
      </w:r>
    </w:p>
    <w:p w14:paraId="5A2BC53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1.到货验收：设备送达指定地点后，采购方与中标方共同核对设备型号、数量、配置、附件、说明书、检测报告、合格证书等资料，确保与采购需求及投标文件一致。</w:t>
      </w:r>
    </w:p>
    <w:p w14:paraId="362A578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2.现场验收：中标方完成设备安装、调试与操作培训后，按技术参数逐项进行功能测试、性能验证，所有指标须满足本采购文件要求，测试合格方可通过验收。</w:t>
      </w:r>
    </w:p>
    <w:p w14:paraId="1BEE89C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3.资料验收：中标方须提供完整的技术资料、操作手册、维保手册、原厂质保承诺、检测报告等，资料齐全、合规后方可完成最终验收。</w:t>
      </w:r>
    </w:p>
    <w:p w14:paraId="3B325B36">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4.验收不合格处理：若验收不合格，中标方须在7个工作日内免费更换、维修或整改，直至验收合格；逾期未达标，采购方有权解除合同并索赔。</w:t>
      </w:r>
    </w:p>
    <w:p w14:paraId="31C73EE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5.如乙方未按合同规定的时间、数量交货，甲方将从货款（或其它方式）中扣除逾期违约金。逾期违约金按每延误1天，支付涉及具体产品对应合同总金额的千分之一计算,直至乙方全部交货完毕为止。当乙方上述逾期行为达到100天时，甲方有权解除本合同，若在此情况下甲方未解除合同，双方应协商明确整改时限，乙方仍应按照上述约定承担逾期违约金直至乙方按合同约定的数量、质量等完成交货义务。</w:t>
      </w:r>
    </w:p>
    <w:p w14:paraId="450C38A2">
      <w:pPr>
        <w:keepNext w:val="0"/>
        <w:keepLines w:val="0"/>
        <w:pageBreakBefore w:val="0"/>
        <w:widowControl/>
        <w:kinsoku/>
        <w:wordWrap/>
        <w:overflowPunct/>
        <w:topLinePunct w:val="0"/>
        <w:autoSpaceDE/>
        <w:autoSpaceDN/>
        <w:bidi w:val="0"/>
        <w:adjustRightInd/>
        <w:snapToGrid w:val="0"/>
        <w:spacing w:before="340" w:after="100" w:line="240" w:lineRule="auto"/>
        <w:ind w:firstLine="0" w:firstLineChars="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（四）质量保证及售后服务</w:t>
      </w:r>
    </w:p>
    <w:p w14:paraId="74F93E06">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1.质保期：整体设备质保期≥3年，自最终验收合格之日起计算；核心部件质保期按国家及行业标准执行，不低于整体质保要求。</w:t>
      </w:r>
    </w:p>
    <w:p w14:paraId="133DA9D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2.质保服务：质保期内非人为损坏，中标方须免费维修、更换零部件，并承担往返运输、人工等全部费用。</w:t>
      </w:r>
    </w:p>
    <w:p w14:paraId="0542465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3.响应时间：接到故障通知后，2小时内响应，24小时内派员抵达现场处置，一般故障48小时内排除，重大故障提供备用设备保障使用。</w:t>
      </w:r>
    </w:p>
    <w:p w14:paraId="5525075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4.培训服务：中标方须免费提供现场操作、维护保养培训，确保使用人员熟练掌握设备使用、日常检查、简单故障排除技能。</w:t>
      </w:r>
    </w:p>
    <w:p w14:paraId="1A2EAAD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5.维保服务：质保期满后，中标方须提供终身优惠维保，以不高于市场公允价提供配件与服务，并定期回访巡检。</w:t>
      </w:r>
    </w:p>
    <w:p w14:paraId="397E1EAE">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6.质量承诺：设备为全新原厂正品，无翻新、改装、二手产品，符合国家及消防行业标准，若出现质量问题，中标方承担全部责任。</w:t>
      </w:r>
    </w:p>
    <w:p w14:paraId="10BFEEB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（五）其他要求</w:t>
      </w:r>
    </w:p>
    <w:p w14:paraId="1144D35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r>
        <w:rPr>
          <w:rFonts w:hint="eastAsia" w:ascii="宋体" w:hAnsi="宋体" w:eastAsia="宋体" w:cs="宋体"/>
          <w:b w:val="0"/>
          <w:bCs w:val="0"/>
          <w:color w:val="000000"/>
          <w:kern w:val="2"/>
          <w:sz w:val="21"/>
          <w:szCs w:val="21"/>
          <w:highlight w:val="none"/>
          <w:lang w:val="en-US" w:eastAsia="zh-CN" w:bidi="ar-SA"/>
          <w14:ligatures w14:val="standardContextual"/>
        </w:rPr>
        <w:t>根据国家消防救援局发布的新版装备管理系统要求，乙方须在交货前自行登录装备基础信息采集子系统，按照系统内各类交货装备信息维护要求及赋码标准，录入相关装备信息，生成装备的专属二维码和 RFID 码。交货时须将生成的二维码标签和 RFID 码标签制作成标签固定安装在每件(套)装备上，实现单件(套)装备的扫码登记功能。</w:t>
      </w:r>
    </w:p>
    <w:p w14:paraId="728131E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kern w:val="0"/>
          <w:sz w:val="21"/>
          <w:szCs w:val="21"/>
          <w:highlight w:val="none"/>
        </w:rPr>
        <w:t>注: 装备基础信息采集子系统为免费注册应用，系统网http:/xfzb.119.gov.cn。</w:t>
      </w:r>
    </w:p>
    <w:p w14:paraId="3DB3F653">
      <w:pPr>
        <w:pStyle w:val="12"/>
        <w:spacing w:before="0" w:beforeAutospacing="0" w:after="0" w:afterAutospacing="0" w:line="360" w:lineRule="auto"/>
        <w:jc w:val="both"/>
        <w:rPr>
          <w:rFonts w:hint="eastAsia" w:ascii="宋体" w:hAnsi="宋体" w:eastAsia="宋体" w:cs="宋体"/>
          <w:b/>
          <w:bCs/>
          <w:color w:val="auto"/>
          <w:sz w:val="21"/>
          <w:szCs w:val="21"/>
          <w:highlight w:val="none"/>
        </w:rPr>
      </w:pPr>
    </w:p>
    <w:p w14:paraId="28C0D452">
      <w:pPr>
        <w:pStyle w:val="12"/>
        <w:spacing w:before="0" w:beforeAutospacing="0" w:after="0" w:afterAutospacing="0"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备品备件费用等清单（如有，参考格式）</w:t>
      </w:r>
    </w:p>
    <w:p w14:paraId="0CE7D97A">
      <w:pPr>
        <w:pStyle w:val="7"/>
        <w:tabs>
          <w:tab w:val="left" w:pos="2426"/>
          <w:tab w:val="left" w:pos="2740"/>
          <w:tab w:val="left" w:pos="5219"/>
        </w:tabs>
        <w:spacing w:after="0" w:line="360" w:lineRule="auto"/>
        <w:rPr>
          <w:rFonts w:hint="eastAsia" w:ascii="宋体" w:hAnsi="宋体" w:eastAsia="宋体" w:cs="宋体"/>
          <w:sz w:val="21"/>
          <w:szCs w:val="21"/>
          <w:highlight w:val="none"/>
          <w:u w:val="single" w:color="000000"/>
        </w:rPr>
      </w:pPr>
      <w:r>
        <w:rPr>
          <w:rFonts w:hint="eastAsia" w:ascii="宋体" w:hAnsi="宋体" w:eastAsia="宋体" w:cs="宋体"/>
          <w:sz w:val="21"/>
          <w:szCs w:val="21"/>
          <w:highlight w:val="none"/>
          <w:u w:val="single" w:color="000000"/>
        </w:rPr>
        <w:t>（招标人）：</w:t>
      </w:r>
    </w:p>
    <w:p w14:paraId="3A8800C8">
      <w:pPr>
        <w:pStyle w:val="12"/>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若中标，我司承诺质保期后三年内，以报价表中的单价向招标人供应备品备件。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04"/>
        <w:gridCol w:w="1104"/>
        <w:gridCol w:w="1089"/>
        <w:gridCol w:w="753"/>
        <w:gridCol w:w="1118"/>
        <w:gridCol w:w="879"/>
        <w:gridCol w:w="1184"/>
        <w:gridCol w:w="646"/>
      </w:tblGrid>
      <w:tr w14:paraId="2A98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AA59777">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0" w:type="dxa"/>
            <w:vAlign w:val="center"/>
          </w:tcPr>
          <w:p w14:paraId="1BC84579">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装备</w:t>
            </w:r>
          </w:p>
          <w:p w14:paraId="668A4539">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140" w:type="dxa"/>
            <w:vAlign w:val="center"/>
          </w:tcPr>
          <w:p w14:paraId="70056C36">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备品备件名称</w:t>
            </w:r>
          </w:p>
        </w:tc>
        <w:tc>
          <w:tcPr>
            <w:tcW w:w="1102" w:type="dxa"/>
            <w:vAlign w:val="center"/>
          </w:tcPr>
          <w:p w14:paraId="65F3E095">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单价（元）</w:t>
            </w:r>
          </w:p>
        </w:tc>
        <w:tc>
          <w:tcPr>
            <w:tcW w:w="770" w:type="dxa"/>
            <w:vAlign w:val="center"/>
          </w:tcPr>
          <w:p w14:paraId="76C2D39F">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155" w:type="dxa"/>
            <w:vAlign w:val="center"/>
          </w:tcPr>
          <w:p w14:paraId="0A051C56">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制造商名称</w:t>
            </w:r>
          </w:p>
        </w:tc>
        <w:tc>
          <w:tcPr>
            <w:tcW w:w="903" w:type="dxa"/>
            <w:vAlign w:val="center"/>
          </w:tcPr>
          <w:p w14:paraId="1058790F">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202" w:type="dxa"/>
            <w:vAlign w:val="center"/>
          </w:tcPr>
          <w:p w14:paraId="71296070">
            <w:pPr>
              <w:pStyle w:val="12"/>
              <w:spacing w:before="0" w:beforeAutospacing="0" w:after="0" w:afterAutospacing="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维修期人工工时费单价</w:t>
            </w:r>
          </w:p>
          <w:p w14:paraId="0DA72F72">
            <w:pPr>
              <w:pStyle w:val="12"/>
              <w:spacing w:before="0" w:beforeAutospacing="0" w:after="0" w:afterAutospacing="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（元）</w:t>
            </w:r>
          </w:p>
        </w:tc>
        <w:tc>
          <w:tcPr>
            <w:tcW w:w="645" w:type="dxa"/>
            <w:vAlign w:val="center"/>
          </w:tcPr>
          <w:p w14:paraId="6B8DADAF">
            <w:pPr>
              <w:pStyle w:val="12"/>
              <w:spacing w:before="0" w:beforeAutospacing="0" w:after="0" w:afterAutospacing="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273E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3CE9AFBD">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0CD5919A">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26E3BD46">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02" w:type="dxa"/>
          </w:tcPr>
          <w:p w14:paraId="589F2710">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770" w:type="dxa"/>
          </w:tcPr>
          <w:p w14:paraId="3E0AF4B0">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55" w:type="dxa"/>
          </w:tcPr>
          <w:p w14:paraId="268CF9A2">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903" w:type="dxa"/>
          </w:tcPr>
          <w:p w14:paraId="25C6AC94">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202" w:type="dxa"/>
          </w:tcPr>
          <w:p w14:paraId="367B99CC">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645" w:type="dxa"/>
          </w:tcPr>
          <w:p w14:paraId="452E7057">
            <w:pPr>
              <w:pStyle w:val="12"/>
              <w:spacing w:before="0" w:beforeAutospacing="0" w:after="0" w:afterAutospacing="0" w:line="360" w:lineRule="auto"/>
              <w:rPr>
                <w:rFonts w:hint="eastAsia" w:ascii="宋体" w:hAnsi="宋体" w:eastAsia="宋体" w:cs="宋体"/>
                <w:b/>
                <w:bCs/>
                <w:color w:val="auto"/>
                <w:sz w:val="21"/>
                <w:szCs w:val="21"/>
                <w:highlight w:val="none"/>
              </w:rPr>
            </w:pPr>
          </w:p>
        </w:tc>
      </w:tr>
      <w:tr w14:paraId="2579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46F68B47">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2EAF9F0A">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2EA95C46">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02" w:type="dxa"/>
          </w:tcPr>
          <w:p w14:paraId="5BDB0EDF">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770" w:type="dxa"/>
          </w:tcPr>
          <w:p w14:paraId="261E7417">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55" w:type="dxa"/>
          </w:tcPr>
          <w:p w14:paraId="1BDBB189">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903" w:type="dxa"/>
          </w:tcPr>
          <w:p w14:paraId="014284EC">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202" w:type="dxa"/>
          </w:tcPr>
          <w:p w14:paraId="39D701D4">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645" w:type="dxa"/>
          </w:tcPr>
          <w:p w14:paraId="1BA210B8">
            <w:pPr>
              <w:pStyle w:val="12"/>
              <w:spacing w:before="0" w:beforeAutospacing="0" w:after="0" w:afterAutospacing="0" w:line="360" w:lineRule="auto"/>
              <w:rPr>
                <w:rFonts w:hint="eastAsia" w:ascii="宋体" w:hAnsi="宋体" w:eastAsia="宋体" w:cs="宋体"/>
                <w:b/>
                <w:bCs/>
                <w:color w:val="auto"/>
                <w:sz w:val="21"/>
                <w:szCs w:val="21"/>
                <w:highlight w:val="none"/>
              </w:rPr>
            </w:pPr>
          </w:p>
        </w:tc>
      </w:tr>
      <w:tr w14:paraId="3D51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3D6553B5">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4CEBD994">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6880016C">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02" w:type="dxa"/>
          </w:tcPr>
          <w:p w14:paraId="1BD1DC87">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770" w:type="dxa"/>
          </w:tcPr>
          <w:p w14:paraId="6CE8CBAE">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55" w:type="dxa"/>
          </w:tcPr>
          <w:p w14:paraId="09E6B61E">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903" w:type="dxa"/>
          </w:tcPr>
          <w:p w14:paraId="5E0A5329">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202" w:type="dxa"/>
          </w:tcPr>
          <w:p w14:paraId="773DB668">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645" w:type="dxa"/>
          </w:tcPr>
          <w:p w14:paraId="5090EAC4">
            <w:pPr>
              <w:pStyle w:val="12"/>
              <w:spacing w:before="0" w:beforeAutospacing="0" w:after="0" w:afterAutospacing="0" w:line="360" w:lineRule="auto"/>
              <w:rPr>
                <w:rFonts w:hint="eastAsia" w:ascii="宋体" w:hAnsi="宋体" w:eastAsia="宋体" w:cs="宋体"/>
                <w:b/>
                <w:bCs/>
                <w:color w:val="auto"/>
                <w:sz w:val="21"/>
                <w:szCs w:val="21"/>
                <w:highlight w:val="none"/>
              </w:rPr>
            </w:pPr>
          </w:p>
        </w:tc>
      </w:tr>
      <w:tr w14:paraId="2687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2B724DBC">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692333AE">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56A3DC90">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02" w:type="dxa"/>
          </w:tcPr>
          <w:p w14:paraId="39A360F5">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770" w:type="dxa"/>
          </w:tcPr>
          <w:p w14:paraId="32AF2C36">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55" w:type="dxa"/>
          </w:tcPr>
          <w:p w14:paraId="14E00499">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903" w:type="dxa"/>
          </w:tcPr>
          <w:p w14:paraId="42DA3974">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202" w:type="dxa"/>
          </w:tcPr>
          <w:p w14:paraId="6C5FC7A8">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645" w:type="dxa"/>
          </w:tcPr>
          <w:p w14:paraId="0FEB7FBB">
            <w:pPr>
              <w:pStyle w:val="12"/>
              <w:spacing w:before="0" w:beforeAutospacing="0" w:after="0" w:afterAutospacing="0" w:line="360" w:lineRule="auto"/>
              <w:rPr>
                <w:rFonts w:hint="eastAsia" w:ascii="宋体" w:hAnsi="宋体" w:eastAsia="宋体" w:cs="宋体"/>
                <w:b/>
                <w:bCs/>
                <w:color w:val="auto"/>
                <w:sz w:val="21"/>
                <w:szCs w:val="21"/>
                <w:highlight w:val="none"/>
              </w:rPr>
            </w:pPr>
          </w:p>
        </w:tc>
      </w:tr>
      <w:tr w14:paraId="1F3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tcPr>
          <w:p w14:paraId="5719861E">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1BD68DE3">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40" w:type="dxa"/>
          </w:tcPr>
          <w:p w14:paraId="1E429D85">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02" w:type="dxa"/>
          </w:tcPr>
          <w:p w14:paraId="5B0A3D93">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770" w:type="dxa"/>
          </w:tcPr>
          <w:p w14:paraId="6FF5CB78">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155" w:type="dxa"/>
          </w:tcPr>
          <w:p w14:paraId="4D129B22">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903" w:type="dxa"/>
          </w:tcPr>
          <w:p w14:paraId="2D97EA08">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1202" w:type="dxa"/>
          </w:tcPr>
          <w:p w14:paraId="68EE98BA">
            <w:pPr>
              <w:pStyle w:val="12"/>
              <w:spacing w:before="0" w:beforeAutospacing="0" w:after="0" w:afterAutospacing="0" w:line="360" w:lineRule="auto"/>
              <w:rPr>
                <w:rFonts w:hint="eastAsia" w:ascii="宋体" w:hAnsi="宋体" w:eastAsia="宋体" w:cs="宋体"/>
                <w:b/>
                <w:bCs/>
                <w:color w:val="auto"/>
                <w:sz w:val="21"/>
                <w:szCs w:val="21"/>
                <w:highlight w:val="none"/>
              </w:rPr>
            </w:pPr>
          </w:p>
        </w:tc>
        <w:tc>
          <w:tcPr>
            <w:tcW w:w="645" w:type="dxa"/>
          </w:tcPr>
          <w:p w14:paraId="55860A6B">
            <w:pPr>
              <w:pStyle w:val="12"/>
              <w:spacing w:before="0" w:beforeAutospacing="0" w:after="0" w:afterAutospacing="0" w:line="360" w:lineRule="auto"/>
              <w:rPr>
                <w:rFonts w:hint="eastAsia" w:ascii="宋体" w:hAnsi="宋体" w:eastAsia="宋体" w:cs="宋体"/>
                <w:b/>
                <w:bCs/>
                <w:color w:val="auto"/>
                <w:sz w:val="21"/>
                <w:szCs w:val="21"/>
                <w:highlight w:val="none"/>
              </w:rPr>
            </w:pPr>
          </w:p>
        </w:tc>
      </w:tr>
    </w:tbl>
    <w:p w14:paraId="707825D4">
      <w:pPr>
        <w:pStyle w:val="12"/>
        <w:spacing w:before="0" w:beforeAutospacing="0" w:after="0" w:afterAutospacing="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551A72B6">
      <w:pPr>
        <w:pStyle w:val="12"/>
        <w:spacing w:before="0" w:beforeAutospacing="0" w:after="0" w:afterAutospacing="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1.所投产品如有备品备件，投标人还须编制质保期后三年内所涉及的所有备品备件的报价表，并承诺质保期后三年内，以报价表中的单价向招标人供应备品备件。</w:t>
      </w:r>
    </w:p>
    <w:p w14:paraId="1F4BEDC5">
      <w:pPr>
        <w:pStyle w:val="12"/>
        <w:spacing w:before="0" w:beforeAutospacing="0" w:after="0" w:afterAutospacing="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2.本清单至少包括产品单价、品牌、型号、制造商名称、产地等。</w:t>
      </w:r>
    </w:p>
    <w:p w14:paraId="7A4639BE">
      <w:pPr>
        <w:pStyle w:val="12"/>
        <w:spacing w:before="0" w:beforeAutospacing="0" w:after="0" w:afterAutospacing="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3.维修期人工工时费单价。</w:t>
      </w:r>
    </w:p>
    <w:p w14:paraId="744491D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4C0EB15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23F3EFC4">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0D05FC0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6002AF2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18FE1F16">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71919FD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7251B3E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78ECD00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570280D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66D4702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456385F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72B61BC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6158E82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573B3536">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26981C4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62F22F2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0039DDCA">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0DCE5DF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793F7E4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6235BDA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p w14:paraId="116CED1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kern w:val="2"/>
          <w:sz w:val="21"/>
          <w:szCs w:val="21"/>
          <w:highlight w:val="none"/>
          <w:lang w:val="en-US" w:eastAsia="zh-CN" w:bidi="ar-SA"/>
          <w14:ligatures w14:val="standardContextual"/>
        </w:rPr>
      </w:pPr>
    </w:p>
    <w:sectPr>
      <w:headerReference r:id="rId5" w:type="default"/>
      <w:footerReference r:id="rId6" w:type="default"/>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1B4919-5F03-421E-AFDF-B0715EA59C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embedRegular r:id="rId2" w:fontKey="{DCCE4E6B-46E8-475C-87CB-64CADA180B49}"/>
  </w:font>
  <w:font w:name="WPSEMBED2">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5C44683">
        <w:pPr>
          <w:pStyle w:val="10"/>
          <w:ind w:firstLine="360"/>
          <w:jc w:val="center"/>
        </w:pPr>
        <w:r>
          <w:fldChar w:fldCharType="begin"/>
        </w:r>
        <w:r>
          <w:instrText xml:space="preserve">PAGE   \* MERGEFORMAT</w:instrText>
        </w:r>
        <w:r>
          <w:fldChar w:fldCharType="separate"/>
        </w:r>
        <w:r>
          <w:rPr>
            <w:lang w:val="zh-CN"/>
          </w:rPr>
          <w:t>41</w:t>
        </w:r>
        <w:r>
          <w:fldChar w:fldCharType="end"/>
        </w:r>
      </w:p>
    </w:sdtContent>
  </w:sdt>
  <w:p w14:paraId="1FF34881">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43A8">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ZDgzZmNjNmVmYWEyNmIzZjhiZmM2NmMxN2NhNTAifQ=="/>
  </w:docVars>
  <w:rsids>
    <w:rsidRoot w:val="00F57AD2"/>
    <w:rsid w:val="00000156"/>
    <w:rsid w:val="00001867"/>
    <w:rsid w:val="00003C33"/>
    <w:rsid w:val="00003DE2"/>
    <w:rsid w:val="00007BE1"/>
    <w:rsid w:val="00011F6A"/>
    <w:rsid w:val="00015568"/>
    <w:rsid w:val="000207CF"/>
    <w:rsid w:val="00025988"/>
    <w:rsid w:val="00031332"/>
    <w:rsid w:val="0003376D"/>
    <w:rsid w:val="00040D92"/>
    <w:rsid w:val="000428A3"/>
    <w:rsid w:val="0004368F"/>
    <w:rsid w:val="00047C5A"/>
    <w:rsid w:val="00054A3C"/>
    <w:rsid w:val="0006000B"/>
    <w:rsid w:val="0006453C"/>
    <w:rsid w:val="000703A8"/>
    <w:rsid w:val="0007416B"/>
    <w:rsid w:val="00075B42"/>
    <w:rsid w:val="00081C75"/>
    <w:rsid w:val="00082EB4"/>
    <w:rsid w:val="00085E50"/>
    <w:rsid w:val="00086A47"/>
    <w:rsid w:val="000921C3"/>
    <w:rsid w:val="00094199"/>
    <w:rsid w:val="00095192"/>
    <w:rsid w:val="000A0DF9"/>
    <w:rsid w:val="000B1765"/>
    <w:rsid w:val="000B77AB"/>
    <w:rsid w:val="000C55DE"/>
    <w:rsid w:val="000D11D7"/>
    <w:rsid w:val="000D2C04"/>
    <w:rsid w:val="000D66A9"/>
    <w:rsid w:val="000E0364"/>
    <w:rsid w:val="000E15DC"/>
    <w:rsid w:val="000E2365"/>
    <w:rsid w:val="000E2A2C"/>
    <w:rsid w:val="000E2E9A"/>
    <w:rsid w:val="000F16BA"/>
    <w:rsid w:val="000F1F8B"/>
    <w:rsid w:val="000F60B9"/>
    <w:rsid w:val="001009DC"/>
    <w:rsid w:val="00101261"/>
    <w:rsid w:val="00101585"/>
    <w:rsid w:val="00101F69"/>
    <w:rsid w:val="0010436D"/>
    <w:rsid w:val="00107532"/>
    <w:rsid w:val="00110321"/>
    <w:rsid w:val="00114412"/>
    <w:rsid w:val="00114C3F"/>
    <w:rsid w:val="00124CC1"/>
    <w:rsid w:val="00130CFF"/>
    <w:rsid w:val="00130FE8"/>
    <w:rsid w:val="00134D1F"/>
    <w:rsid w:val="00135D83"/>
    <w:rsid w:val="00140F1A"/>
    <w:rsid w:val="00140F58"/>
    <w:rsid w:val="00142214"/>
    <w:rsid w:val="001427C2"/>
    <w:rsid w:val="0014571E"/>
    <w:rsid w:val="00147D69"/>
    <w:rsid w:val="00150B22"/>
    <w:rsid w:val="0015149A"/>
    <w:rsid w:val="0015220E"/>
    <w:rsid w:val="001625C3"/>
    <w:rsid w:val="00181860"/>
    <w:rsid w:val="001827E1"/>
    <w:rsid w:val="00184723"/>
    <w:rsid w:val="001852DD"/>
    <w:rsid w:val="00186F4A"/>
    <w:rsid w:val="00196D8A"/>
    <w:rsid w:val="001A5C84"/>
    <w:rsid w:val="001A68F5"/>
    <w:rsid w:val="001A7FD7"/>
    <w:rsid w:val="001B089C"/>
    <w:rsid w:val="001B2089"/>
    <w:rsid w:val="001B40F5"/>
    <w:rsid w:val="001C0531"/>
    <w:rsid w:val="001C6A30"/>
    <w:rsid w:val="001C7BA9"/>
    <w:rsid w:val="001D16A5"/>
    <w:rsid w:val="001D26CA"/>
    <w:rsid w:val="001D4033"/>
    <w:rsid w:val="001D4107"/>
    <w:rsid w:val="001D41F0"/>
    <w:rsid w:val="001E2356"/>
    <w:rsid w:val="001F0123"/>
    <w:rsid w:val="001F06F8"/>
    <w:rsid w:val="001F07CF"/>
    <w:rsid w:val="001F1C03"/>
    <w:rsid w:val="001F5ACC"/>
    <w:rsid w:val="001F70BC"/>
    <w:rsid w:val="00200294"/>
    <w:rsid w:val="002038D2"/>
    <w:rsid w:val="0020468D"/>
    <w:rsid w:val="00206782"/>
    <w:rsid w:val="00207CDF"/>
    <w:rsid w:val="00210A96"/>
    <w:rsid w:val="00212C10"/>
    <w:rsid w:val="002156B6"/>
    <w:rsid w:val="00220D96"/>
    <w:rsid w:val="0022791E"/>
    <w:rsid w:val="002303C9"/>
    <w:rsid w:val="00231247"/>
    <w:rsid w:val="00232CF5"/>
    <w:rsid w:val="00234461"/>
    <w:rsid w:val="00240AAE"/>
    <w:rsid w:val="00241F50"/>
    <w:rsid w:val="00244AFB"/>
    <w:rsid w:val="00261B07"/>
    <w:rsid w:val="00262A2A"/>
    <w:rsid w:val="0026642C"/>
    <w:rsid w:val="00267761"/>
    <w:rsid w:val="002678A5"/>
    <w:rsid w:val="0028115A"/>
    <w:rsid w:val="002860BE"/>
    <w:rsid w:val="00286F08"/>
    <w:rsid w:val="00290036"/>
    <w:rsid w:val="00296E5F"/>
    <w:rsid w:val="002A1ECA"/>
    <w:rsid w:val="002A3AB6"/>
    <w:rsid w:val="002B239B"/>
    <w:rsid w:val="002B677B"/>
    <w:rsid w:val="002C1337"/>
    <w:rsid w:val="002C41F7"/>
    <w:rsid w:val="002D1260"/>
    <w:rsid w:val="002D22F4"/>
    <w:rsid w:val="002E1AF3"/>
    <w:rsid w:val="002E3BB7"/>
    <w:rsid w:val="002E5896"/>
    <w:rsid w:val="002F1A3D"/>
    <w:rsid w:val="002F2BE3"/>
    <w:rsid w:val="002F55E4"/>
    <w:rsid w:val="002F60FF"/>
    <w:rsid w:val="002F7696"/>
    <w:rsid w:val="002F7B3B"/>
    <w:rsid w:val="0030012A"/>
    <w:rsid w:val="0030434A"/>
    <w:rsid w:val="0030451C"/>
    <w:rsid w:val="0031049A"/>
    <w:rsid w:val="003113E3"/>
    <w:rsid w:val="00315B25"/>
    <w:rsid w:val="00316BD8"/>
    <w:rsid w:val="00322280"/>
    <w:rsid w:val="003229C7"/>
    <w:rsid w:val="00324F35"/>
    <w:rsid w:val="00326671"/>
    <w:rsid w:val="003303DA"/>
    <w:rsid w:val="00332FDE"/>
    <w:rsid w:val="00336C5A"/>
    <w:rsid w:val="003379E5"/>
    <w:rsid w:val="0034300E"/>
    <w:rsid w:val="003524B6"/>
    <w:rsid w:val="00353B02"/>
    <w:rsid w:val="0035535E"/>
    <w:rsid w:val="00356C71"/>
    <w:rsid w:val="00356CBE"/>
    <w:rsid w:val="0035724B"/>
    <w:rsid w:val="00360C8E"/>
    <w:rsid w:val="003610AE"/>
    <w:rsid w:val="00361CF8"/>
    <w:rsid w:val="0036579C"/>
    <w:rsid w:val="00366CF3"/>
    <w:rsid w:val="00371E21"/>
    <w:rsid w:val="00374564"/>
    <w:rsid w:val="00376761"/>
    <w:rsid w:val="00384067"/>
    <w:rsid w:val="0038557A"/>
    <w:rsid w:val="00387A9B"/>
    <w:rsid w:val="00391229"/>
    <w:rsid w:val="00392648"/>
    <w:rsid w:val="00392ABC"/>
    <w:rsid w:val="003969E5"/>
    <w:rsid w:val="003A7589"/>
    <w:rsid w:val="003B01CA"/>
    <w:rsid w:val="003B1301"/>
    <w:rsid w:val="003C26E7"/>
    <w:rsid w:val="003C3C1F"/>
    <w:rsid w:val="003E1F8E"/>
    <w:rsid w:val="003E2A96"/>
    <w:rsid w:val="003E5939"/>
    <w:rsid w:val="003E6409"/>
    <w:rsid w:val="003E65AF"/>
    <w:rsid w:val="003E6739"/>
    <w:rsid w:val="003F009B"/>
    <w:rsid w:val="003F39DC"/>
    <w:rsid w:val="003F47B3"/>
    <w:rsid w:val="003F50C6"/>
    <w:rsid w:val="00403D7E"/>
    <w:rsid w:val="00404CEB"/>
    <w:rsid w:val="00412669"/>
    <w:rsid w:val="00423B11"/>
    <w:rsid w:val="00426109"/>
    <w:rsid w:val="00426A8A"/>
    <w:rsid w:val="0042710A"/>
    <w:rsid w:val="00430230"/>
    <w:rsid w:val="004321F5"/>
    <w:rsid w:val="0043423A"/>
    <w:rsid w:val="004352A1"/>
    <w:rsid w:val="0043788E"/>
    <w:rsid w:val="00437C28"/>
    <w:rsid w:val="004442B9"/>
    <w:rsid w:val="004475EA"/>
    <w:rsid w:val="004553D9"/>
    <w:rsid w:val="004573E2"/>
    <w:rsid w:val="0046052E"/>
    <w:rsid w:val="00461EC3"/>
    <w:rsid w:val="004624F2"/>
    <w:rsid w:val="00463595"/>
    <w:rsid w:val="004638C8"/>
    <w:rsid w:val="004673C6"/>
    <w:rsid w:val="0046797E"/>
    <w:rsid w:val="004736A0"/>
    <w:rsid w:val="004757D6"/>
    <w:rsid w:val="004760E9"/>
    <w:rsid w:val="0047642D"/>
    <w:rsid w:val="00476A86"/>
    <w:rsid w:val="004802E7"/>
    <w:rsid w:val="0048477F"/>
    <w:rsid w:val="004A0A8C"/>
    <w:rsid w:val="004A2683"/>
    <w:rsid w:val="004A36B1"/>
    <w:rsid w:val="004A3A96"/>
    <w:rsid w:val="004A5F4C"/>
    <w:rsid w:val="004B16BD"/>
    <w:rsid w:val="004B2476"/>
    <w:rsid w:val="004B3B3D"/>
    <w:rsid w:val="004B675E"/>
    <w:rsid w:val="004B7EBC"/>
    <w:rsid w:val="004C4AD0"/>
    <w:rsid w:val="004C57C0"/>
    <w:rsid w:val="004C6561"/>
    <w:rsid w:val="004D10E8"/>
    <w:rsid w:val="004D23AA"/>
    <w:rsid w:val="004D3F4B"/>
    <w:rsid w:val="004E0AB3"/>
    <w:rsid w:val="004E1E2F"/>
    <w:rsid w:val="004E3980"/>
    <w:rsid w:val="004E60BD"/>
    <w:rsid w:val="004F0C3C"/>
    <w:rsid w:val="004F0F33"/>
    <w:rsid w:val="004F16A6"/>
    <w:rsid w:val="004F3A74"/>
    <w:rsid w:val="004F53D7"/>
    <w:rsid w:val="004F7A78"/>
    <w:rsid w:val="0050173C"/>
    <w:rsid w:val="005031C3"/>
    <w:rsid w:val="00503E44"/>
    <w:rsid w:val="005064C5"/>
    <w:rsid w:val="005118D0"/>
    <w:rsid w:val="0052109C"/>
    <w:rsid w:val="00521CB8"/>
    <w:rsid w:val="00525B4A"/>
    <w:rsid w:val="00527E4B"/>
    <w:rsid w:val="00545830"/>
    <w:rsid w:val="0054651C"/>
    <w:rsid w:val="00554190"/>
    <w:rsid w:val="0055423B"/>
    <w:rsid w:val="00557D0B"/>
    <w:rsid w:val="00560EE9"/>
    <w:rsid w:val="00561EE5"/>
    <w:rsid w:val="00562C74"/>
    <w:rsid w:val="00564195"/>
    <w:rsid w:val="0057379B"/>
    <w:rsid w:val="00575E50"/>
    <w:rsid w:val="00581950"/>
    <w:rsid w:val="00582A23"/>
    <w:rsid w:val="0058379B"/>
    <w:rsid w:val="005857DF"/>
    <w:rsid w:val="00585829"/>
    <w:rsid w:val="0059392A"/>
    <w:rsid w:val="00594BE8"/>
    <w:rsid w:val="00595270"/>
    <w:rsid w:val="005963BB"/>
    <w:rsid w:val="005A07F9"/>
    <w:rsid w:val="005B0B71"/>
    <w:rsid w:val="005B4954"/>
    <w:rsid w:val="005B5375"/>
    <w:rsid w:val="005B5390"/>
    <w:rsid w:val="005B7FF6"/>
    <w:rsid w:val="005C61C9"/>
    <w:rsid w:val="005C69F4"/>
    <w:rsid w:val="005C6A5E"/>
    <w:rsid w:val="005C6EBA"/>
    <w:rsid w:val="005D13EC"/>
    <w:rsid w:val="005D3ECD"/>
    <w:rsid w:val="005D4864"/>
    <w:rsid w:val="005D7931"/>
    <w:rsid w:val="005E1480"/>
    <w:rsid w:val="005E5FE6"/>
    <w:rsid w:val="005E635D"/>
    <w:rsid w:val="005F3367"/>
    <w:rsid w:val="0060540D"/>
    <w:rsid w:val="006069D1"/>
    <w:rsid w:val="006079DA"/>
    <w:rsid w:val="00610E94"/>
    <w:rsid w:val="00627B47"/>
    <w:rsid w:val="00630182"/>
    <w:rsid w:val="00633F92"/>
    <w:rsid w:val="0063599F"/>
    <w:rsid w:val="006360BF"/>
    <w:rsid w:val="00637E22"/>
    <w:rsid w:val="00645510"/>
    <w:rsid w:val="00646CC0"/>
    <w:rsid w:val="0065064F"/>
    <w:rsid w:val="00651AE9"/>
    <w:rsid w:val="00653AC3"/>
    <w:rsid w:val="00653EBF"/>
    <w:rsid w:val="00656989"/>
    <w:rsid w:val="00664881"/>
    <w:rsid w:val="006669A5"/>
    <w:rsid w:val="00671162"/>
    <w:rsid w:val="00675C25"/>
    <w:rsid w:val="00677ACE"/>
    <w:rsid w:val="00683696"/>
    <w:rsid w:val="00686A04"/>
    <w:rsid w:val="006950C9"/>
    <w:rsid w:val="006A0C04"/>
    <w:rsid w:val="006A25B5"/>
    <w:rsid w:val="006A3A1A"/>
    <w:rsid w:val="006A5625"/>
    <w:rsid w:val="006A6068"/>
    <w:rsid w:val="006A681C"/>
    <w:rsid w:val="006A7ED1"/>
    <w:rsid w:val="006B314E"/>
    <w:rsid w:val="006C5AAE"/>
    <w:rsid w:val="006C6101"/>
    <w:rsid w:val="006D3023"/>
    <w:rsid w:val="006D328C"/>
    <w:rsid w:val="006E6A11"/>
    <w:rsid w:val="006E7484"/>
    <w:rsid w:val="006F0202"/>
    <w:rsid w:val="006F61E0"/>
    <w:rsid w:val="006F7C19"/>
    <w:rsid w:val="007019D0"/>
    <w:rsid w:val="007027F0"/>
    <w:rsid w:val="007042ED"/>
    <w:rsid w:val="00705204"/>
    <w:rsid w:val="00705C8A"/>
    <w:rsid w:val="00706F99"/>
    <w:rsid w:val="00707397"/>
    <w:rsid w:val="00710D54"/>
    <w:rsid w:val="00714D89"/>
    <w:rsid w:val="00714F49"/>
    <w:rsid w:val="0071670B"/>
    <w:rsid w:val="007213E8"/>
    <w:rsid w:val="007241C0"/>
    <w:rsid w:val="00725C17"/>
    <w:rsid w:val="00726DFA"/>
    <w:rsid w:val="00726E42"/>
    <w:rsid w:val="00731F6D"/>
    <w:rsid w:val="0073732C"/>
    <w:rsid w:val="00741DEE"/>
    <w:rsid w:val="00747A66"/>
    <w:rsid w:val="0075341F"/>
    <w:rsid w:val="00753B89"/>
    <w:rsid w:val="00754B33"/>
    <w:rsid w:val="00756941"/>
    <w:rsid w:val="007606D6"/>
    <w:rsid w:val="00763857"/>
    <w:rsid w:val="00763A60"/>
    <w:rsid w:val="0076482E"/>
    <w:rsid w:val="007747EE"/>
    <w:rsid w:val="00776F9C"/>
    <w:rsid w:val="00783D72"/>
    <w:rsid w:val="00787741"/>
    <w:rsid w:val="00790E6A"/>
    <w:rsid w:val="00797B40"/>
    <w:rsid w:val="007A560C"/>
    <w:rsid w:val="007B0DD4"/>
    <w:rsid w:val="007B1E1F"/>
    <w:rsid w:val="007C1B6B"/>
    <w:rsid w:val="007C1FBE"/>
    <w:rsid w:val="007D0710"/>
    <w:rsid w:val="007D1E48"/>
    <w:rsid w:val="007D677A"/>
    <w:rsid w:val="007E6254"/>
    <w:rsid w:val="007F0309"/>
    <w:rsid w:val="007F297E"/>
    <w:rsid w:val="007F32DD"/>
    <w:rsid w:val="007F6602"/>
    <w:rsid w:val="00803905"/>
    <w:rsid w:val="00810F19"/>
    <w:rsid w:val="008129B5"/>
    <w:rsid w:val="00814139"/>
    <w:rsid w:val="00814AFE"/>
    <w:rsid w:val="00816F66"/>
    <w:rsid w:val="008227FA"/>
    <w:rsid w:val="00823D60"/>
    <w:rsid w:val="00831E49"/>
    <w:rsid w:val="00831E6A"/>
    <w:rsid w:val="0083274A"/>
    <w:rsid w:val="0083441D"/>
    <w:rsid w:val="0085292F"/>
    <w:rsid w:val="00854C2C"/>
    <w:rsid w:val="008556F9"/>
    <w:rsid w:val="0085656A"/>
    <w:rsid w:val="0085660F"/>
    <w:rsid w:val="00857436"/>
    <w:rsid w:val="0086258A"/>
    <w:rsid w:val="008714EB"/>
    <w:rsid w:val="00871F05"/>
    <w:rsid w:val="00876048"/>
    <w:rsid w:val="00882638"/>
    <w:rsid w:val="00883245"/>
    <w:rsid w:val="00887719"/>
    <w:rsid w:val="00891137"/>
    <w:rsid w:val="00897BC9"/>
    <w:rsid w:val="008A56C9"/>
    <w:rsid w:val="008A62C9"/>
    <w:rsid w:val="008A65E0"/>
    <w:rsid w:val="008B65E6"/>
    <w:rsid w:val="008B6B8D"/>
    <w:rsid w:val="008C7590"/>
    <w:rsid w:val="008D4E8E"/>
    <w:rsid w:val="008D614A"/>
    <w:rsid w:val="008E094E"/>
    <w:rsid w:val="008E09FF"/>
    <w:rsid w:val="008E0E06"/>
    <w:rsid w:val="008E485C"/>
    <w:rsid w:val="008F1678"/>
    <w:rsid w:val="008F5F44"/>
    <w:rsid w:val="00900252"/>
    <w:rsid w:val="00904FE4"/>
    <w:rsid w:val="00912F64"/>
    <w:rsid w:val="00922CC4"/>
    <w:rsid w:val="00923F8B"/>
    <w:rsid w:val="00925066"/>
    <w:rsid w:val="009257CD"/>
    <w:rsid w:val="009455C0"/>
    <w:rsid w:val="00946E73"/>
    <w:rsid w:val="009536C3"/>
    <w:rsid w:val="009543B7"/>
    <w:rsid w:val="009570D3"/>
    <w:rsid w:val="009649EC"/>
    <w:rsid w:val="00971290"/>
    <w:rsid w:val="00976DA7"/>
    <w:rsid w:val="00980404"/>
    <w:rsid w:val="0098335B"/>
    <w:rsid w:val="00984120"/>
    <w:rsid w:val="00987879"/>
    <w:rsid w:val="00987FB8"/>
    <w:rsid w:val="0099038E"/>
    <w:rsid w:val="009A07C4"/>
    <w:rsid w:val="009A1A9F"/>
    <w:rsid w:val="009A5198"/>
    <w:rsid w:val="009B0D34"/>
    <w:rsid w:val="009B1FA0"/>
    <w:rsid w:val="009B21B3"/>
    <w:rsid w:val="009C75D1"/>
    <w:rsid w:val="009C76FE"/>
    <w:rsid w:val="009C7C72"/>
    <w:rsid w:val="009D0FC2"/>
    <w:rsid w:val="009D1446"/>
    <w:rsid w:val="009D1B3E"/>
    <w:rsid w:val="009D2049"/>
    <w:rsid w:val="009D2C8E"/>
    <w:rsid w:val="009D33E8"/>
    <w:rsid w:val="009D42D3"/>
    <w:rsid w:val="009D48A2"/>
    <w:rsid w:val="009D6849"/>
    <w:rsid w:val="009E7632"/>
    <w:rsid w:val="009F57CD"/>
    <w:rsid w:val="00A02773"/>
    <w:rsid w:val="00A0393D"/>
    <w:rsid w:val="00A11DDB"/>
    <w:rsid w:val="00A11E53"/>
    <w:rsid w:val="00A12DE4"/>
    <w:rsid w:val="00A15712"/>
    <w:rsid w:val="00A20694"/>
    <w:rsid w:val="00A22E47"/>
    <w:rsid w:val="00A26FC5"/>
    <w:rsid w:val="00A375CA"/>
    <w:rsid w:val="00A416BC"/>
    <w:rsid w:val="00A4570A"/>
    <w:rsid w:val="00A46906"/>
    <w:rsid w:val="00A50395"/>
    <w:rsid w:val="00A505D4"/>
    <w:rsid w:val="00A50ED9"/>
    <w:rsid w:val="00A54B80"/>
    <w:rsid w:val="00A56A81"/>
    <w:rsid w:val="00A645BD"/>
    <w:rsid w:val="00A64D9D"/>
    <w:rsid w:val="00A671FB"/>
    <w:rsid w:val="00A7340D"/>
    <w:rsid w:val="00A73D7A"/>
    <w:rsid w:val="00A75A26"/>
    <w:rsid w:val="00A76C7C"/>
    <w:rsid w:val="00A869D6"/>
    <w:rsid w:val="00A87168"/>
    <w:rsid w:val="00A9563E"/>
    <w:rsid w:val="00AA5ABB"/>
    <w:rsid w:val="00AC119D"/>
    <w:rsid w:val="00AC730F"/>
    <w:rsid w:val="00AD1B85"/>
    <w:rsid w:val="00AD40AE"/>
    <w:rsid w:val="00AD4E37"/>
    <w:rsid w:val="00AD5AB7"/>
    <w:rsid w:val="00AE03E5"/>
    <w:rsid w:val="00AE2355"/>
    <w:rsid w:val="00AF0F2A"/>
    <w:rsid w:val="00AF154B"/>
    <w:rsid w:val="00AF15F1"/>
    <w:rsid w:val="00AF197F"/>
    <w:rsid w:val="00AF24C5"/>
    <w:rsid w:val="00AF6BE8"/>
    <w:rsid w:val="00B00E7B"/>
    <w:rsid w:val="00B01362"/>
    <w:rsid w:val="00B05EDA"/>
    <w:rsid w:val="00B11C74"/>
    <w:rsid w:val="00B16454"/>
    <w:rsid w:val="00B1783C"/>
    <w:rsid w:val="00B24A19"/>
    <w:rsid w:val="00B26C3B"/>
    <w:rsid w:val="00B27844"/>
    <w:rsid w:val="00B34373"/>
    <w:rsid w:val="00B349A0"/>
    <w:rsid w:val="00B45CDE"/>
    <w:rsid w:val="00B45E74"/>
    <w:rsid w:val="00B50318"/>
    <w:rsid w:val="00B526D3"/>
    <w:rsid w:val="00B55F3D"/>
    <w:rsid w:val="00B622E5"/>
    <w:rsid w:val="00B62491"/>
    <w:rsid w:val="00B6387B"/>
    <w:rsid w:val="00B643E2"/>
    <w:rsid w:val="00B7149C"/>
    <w:rsid w:val="00B75A9D"/>
    <w:rsid w:val="00B75E95"/>
    <w:rsid w:val="00B87F06"/>
    <w:rsid w:val="00B90E1C"/>
    <w:rsid w:val="00BA1D17"/>
    <w:rsid w:val="00BA2A86"/>
    <w:rsid w:val="00BB4082"/>
    <w:rsid w:val="00BB4A4B"/>
    <w:rsid w:val="00BB696F"/>
    <w:rsid w:val="00BC044A"/>
    <w:rsid w:val="00BC6F64"/>
    <w:rsid w:val="00BC7A7A"/>
    <w:rsid w:val="00BD2D21"/>
    <w:rsid w:val="00BD3181"/>
    <w:rsid w:val="00BD3D1F"/>
    <w:rsid w:val="00BD6749"/>
    <w:rsid w:val="00BD7933"/>
    <w:rsid w:val="00BE201E"/>
    <w:rsid w:val="00BE23EC"/>
    <w:rsid w:val="00BE29BD"/>
    <w:rsid w:val="00BE682A"/>
    <w:rsid w:val="00BF1339"/>
    <w:rsid w:val="00BF4C85"/>
    <w:rsid w:val="00BF7582"/>
    <w:rsid w:val="00BF7DC0"/>
    <w:rsid w:val="00C0200D"/>
    <w:rsid w:val="00C04050"/>
    <w:rsid w:val="00C04E61"/>
    <w:rsid w:val="00C12EF6"/>
    <w:rsid w:val="00C1315C"/>
    <w:rsid w:val="00C179F1"/>
    <w:rsid w:val="00C2062B"/>
    <w:rsid w:val="00C367FB"/>
    <w:rsid w:val="00C413BF"/>
    <w:rsid w:val="00C505D3"/>
    <w:rsid w:val="00C546CD"/>
    <w:rsid w:val="00C54DCB"/>
    <w:rsid w:val="00C5656C"/>
    <w:rsid w:val="00C62EDF"/>
    <w:rsid w:val="00C6435A"/>
    <w:rsid w:val="00C65B15"/>
    <w:rsid w:val="00C6782C"/>
    <w:rsid w:val="00C70732"/>
    <w:rsid w:val="00C74B62"/>
    <w:rsid w:val="00C75012"/>
    <w:rsid w:val="00C81C34"/>
    <w:rsid w:val="00C825D1"/>
    <w:rsid w:val="00C855CE"/>
    <w:rsid w:val="00C85AEB"/>
    <w:rsid w:val="00C932FE"/>
    <w:rsid w:val="00C9669E"/>
    <w:rsid w:val="00CB27C3"/>
    <w:rsid w:val="00CB4173"/>
    <w:rsid w:val="00CB5E4C"/>
    <w:rsid w:val="00CC4326"/>
    <w:rsid w:val="00CD1E36"/>
    <w:rsid w:val="00CD7643"/>
    <w:rsid w:val="00CE03CF"/>
    <w:rsid w:val="00CE3425"/>
    <w:rsid w:val="00CF002A"/>
    <w:rsid w:val="00CF1A74"/>
    <w:rsid w:val="00CF77EF"/>
    <w:rsid w:val="00D00671"/>
    <w:rsid w:val="00D02833"/>
    <w:rsid w:val="00D02C3E"/>
    <w:rsid w:val="00D171B8"/>
    <w:rsid w:val="00D2349E"/>
    <w:rsid w:val="00D269BA"/>
    <w:rsid w:val="00D3052C"/>
    <w:rsid w:val="00D34B6E"/>
    <w:rsid w:val="00D41100"/>
    <w:rsid w:val="00D4135E"/>
    <w:rsid w:val="00D56A4A"/>
    <w:rsid w:val="00D629B3"/>
    <w:rsid w:val="00D630DB"/>
    <w:rsid w:val="00D65003"/>
    <w:rsid w:val="00D71539"/>
    <w:rsid w:val="00D71B52"/>
    <w:rsid w:val="00D72985"/>
    <w:rsid w:val="00D72E0F"/>
    <w:rsid w:val="00D760FD"/>
    <w:rsid w:val="00D779B7"/>
    <w:rsid w:val="00D8326B"/>
    <w:rsid w:val="00D84D66"/>
    <w:rsid w:val="00DA225B"/>
    <w:rsid w:val="00DA2EFE"/>
    <w:rsid w:val="00DA56A2"/>
    <w:rsid w:val="00DA5DC1"/>
    <w:rsid w:val="00DB78EA"/>
    <w:rsid w:val="00DC3C9A"/>
    <w:rsid w:val="00DD0822"/>
    <w:rsid w:val="00DD0A47"/>
    <w:rsid w:val="00DD7D20"/>
    <w:rsid w:val="00DD7FFA"/>
    <w:rsid w:val="00DE0980"/>
    <w:rsid w:val="00DE7512"/>
    <w:rsid w:val="00DF1C78"/>
    <w:rsid w:val="00E02941"/>
    <w:rsid w:val="00E0325F"/>
    <w:rsid w:val="00E1158B"/>
    <w:rsid w:val="00E22C02"/>
    <w:rsid w:val="00E41DF6"/>
    <w:rsid w:val="00E4502F"/>
    <w:rsid w:val="00E56C48"/>
    <w:rsid w:val="00E56E3B"/>
    <w:rsid w:val="00E62768"/>
    <w:rsid w:val="00E758C5"/>
    <w:rsid w:val="00E80FE8"/>
    <w:rsid w:val="00E82AA8"/>
    <w:rsid w:val="00E85ED7"/>
    <w:rsid w:val="00E87264"/>
    <w:rsid w:val="00E87307"/>
    <w:rsid w:val="00E936E2"/>
    <w:rsid w:val="00E93F90"/>
    <w:rsid w:val="00E94B1C"/>
    <w:rsid w:val="00E9564A"/>
    <w:rsid w:val="00EA6012"/>
    <w:rsid w:val="00EA710F"/>
    <w:rsid w:val="00EB7C11"/>
    <w:rsid w:val="00EC07DB"/>
    <w:rsid w:val="00EC3E65"/>
    <w:rsid w:val="00ED4471"/>
    <w:rsid w:val="00EE69AA"/>
    <w:rsid w:val="00EE7B0F"/>
    <w:rsid w:val="00EF1682"/>
    <w:rsid w:val="00EF184B"/>
    <w:rsid w:val="00EF62FF"/>
    <w:rsid w:val="00F01CC1"/>
    <w:rsid w:val="00F026BE"/>
    <w:rsid w:val="00F03635"/>
    <w:rsid w:val="00F045FB"/>
    <w:rsid w:val="00F13ADF"/>
    <w:rsid w:val="00F16121"/>
    <w:rsid w:val="00F1625C"/>
    <w:rsid w:val="00F16E79"/>
    <w:rsid w:val="00F20461"/>
    <w:rsid w:val="00F21686"/>
    <w:rsid w:val="00F21C66"/>
    <w:rsid w:val="00F22161"/>
    <w:rsid w:val="00F3037A"/>
    <w:rsid w:val="00F322A5"/>
    <w:rsid w:val="00F4011B"/>
    <w:rsid w:val="00F402B9"/>
    <w:rsid w:val="00F4609B"/>
    <w:rsid w:val="00F50A95"/>
    <w:rsid w:val="00F52ACB"/>
    <w:rsid w:val="00F57AD2"/>
    <w:rsid w:val="00F6112A"/>
    <w:rsid w:val="00F635A6"/>
    <w:rsid w:val="00F641DE"/>
    <w:rsid w:val="00F67C0E"/>
    <w:rsid w:val="00F851F8"/>
    <w:rsid w:val="00FA10A7"/>
    <w:rsid w:val="00FA1579"/>
    <w:rsid w:val="00FA2E77"/>
    <w:rsid w:val="00FA3704"/>
    <w:rsid w:val="00FA3CC6"/>
    <w:rsid w:val="00FA5CBB"/>
    <w:rsid w:val="00FA703A"/>
    <w:rsid w:val="00FB25C8"/>
    <w:rsid w:val="00FB2664"/>
    <w:rsid w:val="00FB7F0F"/>
    <w:rsid w:val="00FC4F9D"/>
    <w:rsid w:val="00FC5D9B"/>
    <w:rsid w:val="00FD1F73"/>
    <w:rsid w:val="00FD2AFC"/>
    <w:rsid w:val="00FD370A"/>
    <w:rsid w:val="00FD5138"/>
    <w:rsid w:val="00FD7283"/>
    <w:rsid w:val="00FE1F5D"/>
    <w:rsid w:val="00FE6060"/>
    <w:rsid w:val="00FF6281"/>
    <w:rsid w:val="018B017A"/>
    <w:rsid w:val="0BB145BB"/>
    <w:rsid w:val="0C5C7E64"/>
    <w:rsid w:val="0D74403B"/>
    <w:rsid w:val="10782796"/>
    <w:rsid w:val="12056860"/>
    <w:rsid w:val="14321BD6"/>
    <w:rsid w:val="1AB20687"/>
    <w:rsid w:val="1B1A4C2F"/>
    <w:rsid w:val="1DA63635"/>
    <w:rsid w:val="1E311163"/>
    <w:rsid w:val="2403321B"/>
    <w:rsid w:val="24D30242"/>
    <w:rsid w:val="270F241E"/>
    <w:rsid w:val="2C497157"/>
    <w:rsid w:val="2F2B5748"/>
    <w:rsid w:val="2FC2273F"/>
    <w:rsid w:val="33492EE1"/>
    <w:rsid w:val="351C000D"/>
    <w:rsid w:val="35AE0E43"/>
    <w:rsid w:val="364315C9"/>
    <w:rsid w:val="3B1D5BC9"/>
    <w:rsid w:val="3B653D90"/>
    <w:rsid w:val="3C793F97"/>
    <w:rsid w:val="3CE37662"/>
    <w:rsid w:val="3DEF3F27"/>
    <w:rsid w:val="3FB47094"/>
    <w:rsid w:val="41927CDC"/>
    <w:rsid w:val="44E029F9"/>
    <w:rsid w:val="46B66F07"/>
    <w:rsid w:val="49C21E21"/>
    <w:rsid w:val="59036C6A"/>
    <w:rsid w:val="605E50CE"/>
    <w:rsid w:val="60765F74"/>
    <w:rsid w:val="6113646C"/>
    <w:rsid w:val="626533F5"/>
    <w:rsid w:val="63774A16"/>
    <w:rsid w:val="69310652"/>
    <w:rsid w:val="6A801225"/>
    <w:rsid w:val="6B432DAA"/>
    <w:rsid w:val="6D6D6950"/>
    <w:rsid w:val="6E064117"/>
    <w:rsid w:val="71766072"/>
    <w:rsid w:val="72AF5315"/>
    <w:rsid w:val="73FF5F3E"/>
    <w:rsid w:val="7524023C"/>
    <w:rsid w:val="7CF788D0"/>
    <w:rsid w:val="7F364DF4"/>
    <w:rsid w:val="A5ECE61F"/>
    <w:rsid w:val="BFDA7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9"/>
    <w:qFormat/>
    <w:uiPriority w:val="0"/>
    <w:pPr>
      <w:keepNext/>
      <w:keepLines/>
      <w:spacing w:before="340" w:after="100"/>
      <w:ind w:left="425" w:hanging="425" w:firstLineChars="0"/>
      <w:outlineLvl w:val="0"/>
    </w:pPr>
    <w:rPr>
      <w:rFonts w:asciiTheme="minorHAnsi" w:hAnsiTheme="minorHAnsi" w:cstheme="minorBidi"/>
      <w:b/>
      <w:bCs/>
      <w:kern w:val="44"/>
      <w:sz w:val="30"/>
      <w:szCs w:val="44"/>
    </w:rPr>
  </w:style>
  <w:style w:type="paragraph" w:styleId="3">
    <w:name w:val="heading 2"/>
    <w:basedOn w:val="1"/>
    <w:next w:val="1"/>
    <w:link w:val="20"/>
    <w:unhideWhenUsed/>
    <w:qFormat/>
    <w:uiPriority w:val="99"/>
    <w:pPr>
      <w:keepNext/>
      <w:keepLines/>
      <w:spacing w:before="260" w:after="260" w:line="416" w:lineRule="auto"/>
      <w:ind w:firstLine="425" w:firstLineChars="0"/>
      <w:outlineLvl w:val="1"/>
    </w:pPr>
    <w:rPr>
      <w:rFonts w:asciiTheme="majorHAnsi" w:hAnsiTheme="majorHAnsi" w:eastAsiaTheme="majorEastAsia" w:cstheme="majorBidi"/>
      <w:b/>
      <w:bCs/>
      <w:sz w:val="32"/>
      <w:szCs w:val="32"/>
    </w:rPr>
  </w:style>
  <w:style w:type="paragraph" w:styleId="4">
    <w:name w:val="heading 3"/>
    <w:basedOn w:val="1"/>
    <w:next w:val="1"/>
    <w:link w:val="21"/>
    <w:qFormat/>
    <w:uiPriority w:val="99"/>
    <w:pPr>
      <w:keepNext/>
      <w:keepLines/>
      <w:spacing w:before="240" w:after="120"/>
      <w:ind w:firstLine="0" w:firstLineChars="0"/>
      <w:jc w:val="left"/>
      <w:outlineLvl w:val="2"/>
    </w:pPr>
    <w:rPr>
      <w:rFonts w:eastAsia="黑体"/>
      <w:bCs/>
      <w:sz w:val="28"/>
      <w:szCs w:val="28"/>
    </w:rPr>
  </w:style>
  <w:style w:type="paragraph" w:styleId="5">
    <w:name w:val="heading 4"/>
    <w:basedOn w:val="1"/>
    <w:next w:val="1"/>
    <w:link w:val="22"/>
    <w:unhideWhenUsed/>
    <w:qFormat/>
    <w:uiPriority w:val="99"/>
    <w:pPr>
      <w:keepNext/>
      <w:keepLines/>
      <w:spacing w:before="280" w:after="290" w:line="376" w:lineRule="auto"/>
      <w:ind w:firstLine="425" w:firstLineChars="0"/>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szCs w:val="20"/>
    </w:rPr>
  </w:style>
  <w:style w:type="paragraph" w:styleId="7">
    <w:name w:val="Body Text"/>
    <w:basedOn w:val="1"/>
    <w:qFormat/>
    <w:uiPriority w:val="0"/>
    <w:pPr>
      <w:spacing w:after="120"/>
    </w:pPr>
    <w:rPr>
      <w:szCs w:val="20"/>
    </w:rPr>
  </w:style>
  <w:style w:type="paragraph" w:styleId="8">
    <w:name w:val="Plain Text"/>
    <w:basedOn w:val="1"/>
    <w:qFormat/>
    <w:uiPriority w:val="0"/>
    <w:rPr>
      <w:rFonts w:ascii="宋体" w:hAnsi="Courier New"/>
      <w:szCs w:val="20"/>
    </w:rPr>
  </w:style>
  <w:style w:type="paragraph" w:styleId="9">
    <w:name w:val="Balloon Text"/>
    <w:basedOn w:val="1"/>
    <w:link w:val="23"/>
    <w:semiHidden/>
    <w:unhideWhenUsed/>
    <w:qFormat/>
    <w:uiPriority w:val="99"/>
    <w:pPr>
      <w:spacing w:line="240" w:lineRule="auto"/>
    </w:pPr>
    <w:rPr>
      <w:sz w:val="18"/>
      <w:szCs w:val="18"/>
    </w:rPr>
  </w:style>
  <w:style w:type="paragraph" w:styleId="10">
    <w:name w:val="footer"/>
    <w:basedOn w:val="1"/>
    <w:link w:val="42"/>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u w:val="single"/>
    </w:rPr>
  </w:style>
  <w:style w:type="character" w:styleId="18">
    <w:name w:val="Hyperlink"/>
    <w:basedOn w:val="15"/>
    <w:semiHidden/>
    <w:unhideWhenUsed/>
    <w:qFormat/>
    <w:uiPriority w:val="99"/>
    <w:rPr>
      <w:color w:val="0000FF"/>
      <w:u w:val="single"/>
    </w:rPr>
  </w:style>
  <w:style w:type="character" w:customStyle="1" w:styleId="19">
    <w:name w:val="标题 1 Char"/>
    <w:basedOn w:val="15"/>
    <w:link w:val="2"/>
    <w:qFormat/>
    <w:uiPriority w:val="0"/>
    <w:rPr>
      <w:rFonts w:asciiTheme="minorHAnsi" w:hAnsiTheme="minorHAnsi" w:cstheme="minorBidi"/>
      <w:b/>
      <w:bCs/>
      <w:kern w:val="44"/>
      <w:sz w:val="30"/>
      <w:szCs w:val="44"/>
    </w:rPr>
  </w:style>
  <w:style w:type="character" w:customStyle="1" w:styleId="20">
    <w:name w:val="标题 2 Char"/>
    <w:basedOn w:val="15"/>
    <w:link w:val="3"/>
    <w:qFormat/>
    <w:uiPriority w:val="99"/>
    <w:rPr>
      <w:rFonts w:asciiTheme="majorHAnsi" w:hAnsiTheme="majorHAnsi" w:eastAsiaTheme="majorEastAsia" w:cstheme="majorBidi"/>
      <w:b/>
      <w:bCs/>
      <w:sz w:val="32"/>
      <w:szCs w:val="32"/>
    </w:rPr>
  </w:style>
  <w:style w:type="character" w:customStyle="1" w:styleId="21">
    <w:name w:val="标题 3 Char"/>
    <w:basedOn w:val="15"/>
    <w:link w:val="4"/>
    <w:qFormat/>
    <w:uiPriority w:val="99"/>
    <w:rPr>
      <w:rFonts w:ascii="Times New Roman" w:hAnsi="Times New Roman" w:eastAsia="黑体" w:cs="Times New Roman"/>
      <w:bCs/>
      <w:sz w:val="28"/>
      <w:szCs w:val="28"/>
    </w:rPr>
  </w:style>
  <w:style w:type="character" w:customStyle="1" w:styleId="22">
    <w:name w:val="标题 4 Char"/>
    <w:basedOn w:val="15"/>
    <w:link w:val="5"/>
    <w:qFormat/>
    <w:uiPriority w:val="99"/>
    <w:rPr>
      <w:rFonts w:asciiTheme="majorHAnsi" w:hAnsiTheme="majorHAnsi" w:eastAsiaTheme="majorEastAsia" w:cstheme="majorBidi"/>
      <w:b/>
      <w:bCs/>
      <w:sz w:val="28"/>
      <w:szCs w:val="28"/>
    </w:rPr>
  </w:style>
  <w:style w:type="character" w:customStyle="1" w:styleId="23">
    <w:name w:val="批注框文本 Char"/>
    <w:basedOn w:val="15"/>
    <w:link w:val="9"/>
    <w:semiHidden/>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pPr>
  </w:style>
  <w:style w:type="paragraph" w:customStyle="1" w:styleId="25">
    <w:name w:val="*正文"/>
    <w:basedOn w:val="1"/>
    <w:link w:val="26"/>
    <w:qFormat/>
    <w:uiPriority w:val="0"/>
    <w:rPr>
      <w:rFonts w:ascii="宋体" w:hAnsi="宋体" w:cs="仿宋_GB2312"/>
    </w:rPr>
  </w:style>
  <w:style w:type="character" w:customStyle="1" w:styleId="26">
    <w:name w:val="*正文 Char"/>
    <w:link w:val="25"/>
    <w:qFormat/>
    <w:uiPriority w:val="0"/>
    <w:rPr>
      <w:rFonts w:ascii="宋体" w:hAnsi="宋体" w:cs="仿宋_GB2312"/>
      <w:kern w:val="2"/>
      <w:sz w:val="24"/>
      <w:szCs w:val="24"/>
    </w:rPr>
  </w:style>
  <w:style w:type="paragraph" w:customStyle="1" w:styleId="27">
    <w:name w:val="报告正文"/>
    <w:basedOn w:val="1"/>
    <w:qFormat/>
    <w:uiPriority w:val="0"/>
    <w:pPr>
      <w:spacing w:line="540" w:lineRule="exact"/>
      <w:ind w:firstLine="560"/>
    </w:pPr>
    <w:rPr>
      <w:rFonts w:eastAsia="仿宋_GB2312"/>
      <w:sz w:val="28"/>
      <w:szCs w:val="28"/>
    </w:rPr>
  </w:style>
  <w:style w:type="paragraph" w:customStyle="1" w:styleId="28">
    <w:name w:val="正文1"/>
    <w:qFormat/>
    <w:uiPriority w:val="0"/>
    <w:pPr>
      <w:jc w:val="both"/>
    </w:pPr>
    <w:rPr>
      <w:rFonts w:ascii="Calibri" w:hAnsi="Calibri" w:eastAsia="宋体" w:cs="Calibri"/>
      <w:kern w:val="2"/>
      <w:sz w:val="21"/>
      <w:szCs w:val="21"/>
      <w:lang w:val="en-US" w:eastAsia="zh-CN" w:bidi="ar-SA"/>
    </w:rPr>
  </w:style>
  <w:style w:type="character" w:customStyle="1" w:styleId="29">
    <w:name w:val="15"/>
    <w:basedOn w:val="15"/>
    <w:qFormat/>
    <w:uiPriority w:val="0"/>
    <w:rPr>
      <w:rFonts w:hint="eastAsia" w:ascii="宋体" w:hAnsi="宋体" w:eastAsia="宋体"/>
      <w:b/>
      <w:bCs/>
      <w:kern w:val="44"/>
      <w:sz w:val="36"/>
      <w:szCs w:val="36"/>
    </w:rPr>
  </w:style>
  <w:style w:type="paragraph" w:customStyle="1" w:styleId="30">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2">
    <w:name w:val="xl66"/>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character" w:customStyle="1" w:styleId="41">
    <w:name w:val="页眉 Char"/>
    <w:basedOn w:val="15"/>
    <w:link w:val="11"/>
    <w:qFormat/>
    <w:uiPriority w:val="99"/>
    <w:rPr>
      <w:kern w:val="2"/>
      <w:sz w:val="18"/>
      <w:szCs w:val="18"/>
    </w:rPr>
  </w:style>
  <w:style w:type="character" w:customStyle="1" w:styleId="42">
    <w:name w:val="页脚 Char"/>
    <w:basedOn w:val="15"/>
    <w:link w:val="10"/>
    <w:qFormat/>
    <w:uiPriority w:val="99"/>
    <w:rPr>
      <w:kern w:val="2"/>
      <w:sz w:val="18"/>
      <w:szCs w:val="18"/>
    </w:rPr>
  </w:style>
  <w:style w:type="paragraph" w:customStyle="1" w:styleId="4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
    <w:name w:val="xl76"/>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7">
    <w:name w:val="xl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rPr>
  </w:style>
  <w:style w:type="paragraph" w:customStyle="1" w:styleId="48">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0">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1">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2">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5">
    <w:name w:val="xl85"/>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6">
    <w:name w:val="青浦正文"/>
    <w:basedOn w:val="1"/>
    <w:link w:val="57"/>
    <w:qFormat/>
    <w:uiPriority w:val="0"/>
    <w:pPr>
      <w:adjustRightInd w:val="0"/>
      <w:snapToGrid w:val="0"/>
      <w:spacing w:line="560" w:lineRule="exact"/>
      <w:ind w:firstLine="560"/>
    </w:pPr>
    <w:rPr>
      <w:rFonts w:eastAsia="仿宋_GB2312"/>
      <w:sz w:val="28"/>
      <w:szCs w:val="28"/>
    </w:rPr>
  </w:style>
  <w:style w:type="character" w:customStyle="1" w:styleId="57">
    <w:name w:val="青浦正文 字符"/>
    <w:basedOn w:val="15"/>
    <w:link w:val="56"/>
    <w:qFormat/>
    <w:uiPriority w:val="0"/>
    <w:rPr>
      <w:rFonts w:eastAsia="仿宋_GB2312"/>
      <w:kern w:val="2"/>
      <w:sz w:val="28"/>
      <w:szCs w:val="28"/>
    </w:rPr>
  </w:style>
  <w:style w:type="paragraph" w:customStyle="1" w:styleId="58">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59">
    <w:name w:val="_Style 2"/>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4683</Words>
  <Characters>4959</Characters>
  <Lines>231</Lines>
  <Paragraphs>65</Paragraphs>
  <TotalTime>0</TotalTime>
  <ScaleCrop>false</ScaleCrop>
  <LinksUpToDate>false</LinksUpToDate>
  <CharactersWithSpaces>4987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2023-10-24T02:34:00Z</dcterms:created>
  <dc:creator>admin</dc:creator>
  <cp:lastModifiedBy>DZ</cp:lastModifiedBy>
  <cp:lastPrinted>2023-10-24T01:37:00Z</cp:lastPrinted>
  <dcterms:modified xsi:type="dcterms:W3CDTF">2026-05-27T08:45:29Z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CF4225A759B74596BC70CA5316AA4F2E_13</vt:lpwstr>
  </property>
  <property fmtid="{D5CDD505-2E9C-101B-9397-08002B2CF9AE}" pid="4" name="KSOTemplateDocerSaveRecord">
    <vt:lpwstr>eyJoZGlkIjoiOGNiZDU5MmMxMjE4MDlmNTFkZjRjYmM1MDU3ZDY4ZDAiLCJ1c2VySWQiOiIzNDQ3NDg0ODQifQ==</vt:lpwstr>
  </property>
</Properties>
</file>