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309A6">
      <w:pPr>
        <w:spacing w:line="360" w:lineRule="auto"/>
        <w:ind w:firstLine="422" w:firstLineChars="200"/>
        <w:jc w:val="center"/>
        <w:rPr>
          <w:rFonts w:asciiTheme="minorEastAsia" w:hAnsiTheme="minorEastAsia" w:eastAsiaTheme="minorEastAsia"/>
          <w:b/>
          <w:szCs w:val="21"/>
        </w:rPr>
      </w:pPr>
      <w:r>
        <w:rPr>
          <w:rFonts w:hint="eastAsia" w:asciiTheme="minorEastAsia" w:hAnsiTheme="minorEastAsia" w:eastAsiaTheme="minorEastAsia"/>
          <w:b/>
          <w:szCs w:val="21"/>
        </w:rPr>
        <w:t>202</w:t>
      </w:r>
      <w:r>
        <w:rPr>
          <w:rFonts w:hint="eastAsia" w:asciiTheme="minorEastAsia" w:hAnsiTheme="minorEastAsia" w:eastAsiaTheme="minorEastAsia"/>
          <w:b/>
          <w:szCs w:val="21"/>
          <w:lang w:val="en-US" w:eastAsia="zh-CN"/>
        </w:rPr>
        <w:t>6</w:t>
      </w:r>
      <w:r>
        <w:rPr>
          <w:rFonts w:hint="eastAsia" w:asciiTheme="minorEastAsia" w:hAnsiTheme="minorEastAsia" w:eastAsiaTheme="minorEastAsia"/>
          <w:b/>
          <w:szCs w:val="21"/>
        </w:rPr>
        <w:t>年上海市青浦区精神卫生中心物业管理项目需求</w:t>
      </w:r>
    </w:p>
    <w:p w14:paraId="2C598339">
      <w:pPr>
        <w:spacing w:line="360" w:lineRule="auto"/>
        <w:ind w:firstLine="420" w:firstLineChars="200"/>
        <w:jc w:val="center"/>
        <w:rPr>
          <w:rFonts w:asciiTheme="minorEastAsia" w:hAnsiTheme="minorEastAsia" w:eastAsiaTheme="minorEastAsia"/>
          <w:szCs w:val="21"/>
        </w:rPr>
      </w:pPr>
    </w:p>
    <w:p w14:paraId="441EC325">
      <w:pPr>
        <w:spacing w:line="360" w:lineRule="auto"/>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一、基本概况</w:t>
      </w:r>
    </w:p>
    <w:p w14:paraId="442B6567">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（一）项目名称：202</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年上海市青浦区精神卫生中心物业管理项目</w:t>
      </w:r>
    </w:p>
    <w:p w14:paraId="3ED2202E">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（二）项目内容：全年为青浦区精神卫生中心提供院内清洁、运送服务委托管理、部分业务区域医疗秩序维护和业务安全防护、设备管理、洗衣房管理、其他维护养护服务等多个方面。</w:t>
      </w:r>
    </w:p>
    <w:p w14:paraId="429531CE">
      <w:pPr>
        <w:spacing w:line="360" w:lineRule="auto"/>
        <w:ind w:firstLine="420" w:firstLineChars="200"/>
        <w:rPr>
          <w:rFonts w:cs="宋体" w:asciiTheme="minorEastAsia" w:hAnsiTheme="minorEastAsia" w:eastAsiaTheme="minorEastAsia"/>
          <w:szCs w:val="21"/>
          <w:u w:val="single"/>
        </w:rPr>
      </w:pPr>
      <w:r>
        <w:rPr>
          <w:rFonts w:hint="eastAsia" w:cs="宋体" w:asciiTheme="minorEastAsia" w:hAnsiTheme="minorEastAsia" w:eastAsiaTheme="minorEastAsia"/>
          <w:szCs w:val="21"/>
        </w:rPr>
        <w:t>（三）项目地址：青浦区金泽镇练西公路4</w:t>
      </w:r>
      <w:r>
        <w:rPr>
          <w:rFonts w:cs="宋体" w:asciiTheme="minorEastAsia" w:hAnsiTheme="minorEastAsia" w:eastAsiaTheme="minorEastAsia"/>
          <w:szCs w:val="21"/>
        </w:rPr>
        <w:t>865号</w:t>
      </w:r>
      <w:r>
        <w:rPr>
          <w:rFonts w:hint="eastAsia" w:cs="宋体" w:asciiTheme="minorEastAsia" w:hAnsiTheme="minorEastAsia" w:eastAsiaTheme="minorEastAsia"/>
          <w:szCs w:val="21"/>
        </w:rPr>
        <w:t>。</w:t>
      </w:r>
    </w:p>
    <w:p w14:paraId="3192A97A">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（四）项目管理服务建筑情况：</w:t>
      </w:r>
    </w:p>
    <w:p w14:paraId="6E7448D7">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保洁总面积：30000余平方米，其中：室外场地9600平方米，外墙面积23000余平方米。</w:t>
      </w:r>
    </w:p>
    <w:p w14:paraId="313EC4E7">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保洁区域：门急诊大楼、住院楼、行政楼、后勤楼、食堂、公共区域、室外场地及大楼周边等。</w:t>
      </w:r>
    </w:p>
    <w:p w14:paraId="69839731">
      <w:pPr>
        <w:spacing w:line="360" w:lineRule="auto"/>
        <w:ind w:firstLine="420" w:firstLineChars="200"/>
        <w:rPr>
          <w:rFonts w:asciiTheme="minorEastAsia" w:hAnsiTheme="minorEastAsia" w:eastAsiaTheme="minorEastAsia"/>
          <w:b/>
          <w:szCs w:val="21"/>
        </w:rPr>
      </w:pPr>
      <w:r>
        <w:rPr>
          <w:rFonts w:hint="eastAsia" w:cs="宋体" w:asciiTheme="minorEastAsia" w:hAnsiTheme="minorEastAsia" w:eastAsiaTheme="minorEastAsia"/>
          <w:kern w:val="0"/>
          <w:szCs w:val="21"/>
        </w:rPr>
        <w:t> </w:t>
      </w:r>
      <w:r>
        <w:rPr>
          <w:rFonts w:hint="eastAsia" w:asciiTheme="minorEastAsia" w:hAnsiTheme="minorEastAsia" w:eastAsiaTheme="minorEastAsia"/>
          <w:b/>
          <w:szCs w:val="21"/>
        </w:rPr>
        <w:t>二、委托服务的内容与范围：</w:t>
      </w:r>
    </w:p>
    <w:p w14:paraId="15C71901">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（一）保洁委托管理</w:t>
      </w:r>
    </w:p>
    <w:p w14:paraId="627CEEC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开放床位4</w:t>
      </w:r>
      <w:r>
        <w:rPr>
          <w:rFonts w:asciiTheme="minorEastAsia" w:hAnsiTheme="minorEastAsia" w:eastAsiaTheme="minorEastAsia"/>
          <w:szCs w:val="21"/>
        </w:rPr>
        <w:t>00张</w:t>
      </w:r>
      <w:r>
        <w:rPr>
          <w:rFonts w:hint="eastAsia" w:asciiTheme="minorEastAsia" w:hAnsiTheme="minorEastAsia" w:eastAsiaTheme="minorEastAsia"/>
          <w:color w:val="FF0000"/>
          <w:szCs w:val="21"/>
        </w:rPr>
        <w:t>，</w:t>
      </w:r>
      <w:r>
        <w:rPr>
          <w:rFonts w:hint="eastAsia" w:asciiTheme="minorEastAsia" w:hAnsiTheme="minorEastAsia" w:eastAsiaTheme="minorEastAsia"/>
          <w:szCs w:val="21"/>
        </w:rPr>
        <w:t>以上保洁区域内还包含电梯9部、污水处理站1座、高低压配电站各1座、垃圾房一间、水泵房一间、食堂、病人外场活动区等（按实际服务内容配备相应人员和提供相应的服务）。</w:t>
      </w:r>
    </w:p>
    <w:p w14:paraId="05FD2AE8">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保洁服务目标：（1）年度服务工作各项指标甲方满意率百分之95以上；（2）无脏乱现象和卫生死角。</w:t>
      </w:r>
    </w:p>
    <w:p w14:paraId="3781F46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1、日常保洁：</w:t>
      </w:r>
    </w:p>
    <w:p w14:paraId="4333073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（1）保持地面清洁干净无垃圾、无污垢、无痰迹、无纸屑烟蒂、无卫生死角。设备带、窗台、门上沿、病床、电源面板、标识、走廊扶手、床头柜，以及室内家具清洁无污垢，无蜘蛛网和积灰。</w:t>
      </w:r>
    </w:p>
    <w:p w14:paraId="731860C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（2）床单元、便器终末消毒符合要求，厕所及卫生洁具做到无异味、污垢、锈斑、外溢；垃圾分类，日产日清，垃圾桶每天清洗无异味。</w:t>
      </w:r>
    </w:p>
    <w:p w14:paraId="7F7FBDBA">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（3）经常巡视保洁情况，若遇特殊情况，如病人的呕吐物、粪便、血迹等污物及时清理干净，保持地面清洁和光亮。每周二上午主管与总务科负责人进行全院检查，对存在问题要及时落实解决。</w:t>
      </w:r>
    </w:p>
    <w:p w14:paraId="5721B6A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（4）发现便器、水龙头、病床等损坏现象应主动报修。</w:t>
      </w:r>
    </w:p>
    <w:p w14:paraId="01854E7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（5）保洁工作需符合院内感控管理要求。</w:t>
      </w:r>
    </w:p>
    <w:p w14:paraId="06C2265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（6）每月总务测评，总分达90分以上，尽量做到无投诉。</w:t>
      </w:r>
    </w:p>
    <w:p w14:paraId="116AEF0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（7）医疗废物、生活垃圾、废品收运管理服务要求：</w:t>
      </w:r>
    </w:p>
    <w:p w14:paraId="1FF389C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A. 所有人员不得窃取、倒卖医疗废物和未经毁形的药品包装盒及其他废品，一经发现扣罚当月服务费（金额经双方讨论约定）。 中标供应商需安排一名责任心强、有业务知识的主管负责医疗废物、普通废物、生活垃圾及废品回收管理，全程监控专职收运人员对上述废物、垃圾、废品收运、暂存、移交过程，严防医疗废物和未毁形的药品包装盒等在上述工作环节被盗窃。</w:t>
      </w:r>
    </w:p>
    <w:p w14:paraId="7A1149D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B. 并按规定线路送到院内指定地点，发现废物流失、扩散，应按要求采取紧急处理措施。各种记录及 时、完整、准确、不遗漏，资料保存完好(要求提供配套服务规程)。</w:t>
      </w:r>
    </w:p>
    <w:p w14:paraId="145FE6D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C. 垃圾桶每天清洗清洁消毒。垃圾桶内垃圾满/则清倒。表面无污垢、无异味、内胆垃圾胶袋不外露、 摆放位置合理。及时更换已损坏的垃圾桶，并做好台账，每月报送备案。</w:t>
      </w:r>
    </w:p>
    <w:p w14:paraId="232AB60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D. 每次移交垃圾需有中标供应商主管人员在场参加交接，移交后需使用清洁消毒剂清洁消毒场地，包括地面、墙壁、天花板、垃圾车等所有工具，紫外线光管按要求每周擦拭，收运、暂存、移交管理 需符合管理要求。</w:t>
      </w:r>
    </w:p>
    <w:p w14:paraId="1253235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E. 医疗废物收集、运送、移交要严格按照医疗废物管理相关规定执行，因违反规定而造成影响及损失，由中标供应商承担，涉及到违法行为，移交公安机关处理，追究法律责任。 </w:t>
      </w:r>
    </w:p>
    <w:p w14:paraId="4805BA3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F. 至少每季对员工进行垃圾分类培训，所有保洁员熟练掌握生活垃圾分类常识。</w:t>
      </w:r>
    </w:p>
    <w:p w14:paraId="58AD59D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G. 按照政府垃圾分类工作指南和医院生活垃圾分类管理要求摆设垃分类圾桶及其标识、胶袋、分类收 集、分类暂存、移交、交接登记、台账统计等工作，垃圾日产日清，无混收、无混放、无乱放等。</w:t>
      </w:r>
    </w:p>
    <w:p w14:paraId="450BF031">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（二）运送服务委托管理：</w:t>
      </w:r>
    </w:p>
    <w:p w14:paraId="3CA4201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1、医疗辅助运送服务。</w:t>
      </w:r>
    </w:p>
    <w:p w14:paraId="04150D7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2、特殊科室派驻留守人员服务。</w:t>
      </w:r>
    </w:p>
    <w:p w14:paraId="1BA60E0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3、预约循环运送服务。</w:t>
      </w:r>
    </w:p>
    <w:p w14:paraId="334151E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4、应急呼叫突发运送服务。</w:t>
      </w:r>
    </w:p>
    <w:p w14:paraId="000A3B7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5、院部指令性运送工作。</w:t>
      </w:r>
    </w:p>
    <w:p w14:paraId="4BE774E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6、病区饭菜运送服务。</w:t>
      </w:r>
    </w:p>
    <w:p w14:paraId="057C5CB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7、临时搬运：科室搬迁、各部门临时性的物品、一般设施设备的搬运，科室搬运物品一定要做好物品 名称、数量、地点、时间、接收人、完好情况等交接，科室临时搬迁必须提前与科室做好沟通和计划，做好安全措施，确保搬运安全。</w:t>
      </w:r>
    </w:p>
    <w:p w14:paraId="52BA3CA3">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运送服务要求：紧急物件运送必须在10分钟内完成，一般物件1小时内完成；运送病人必须做到服务热情，语言文明，操作规范，确保运送安全；如工作人员运送中野蛮操作而造成意外，甲方追究乙方责任；医疗废弃物必须按国家有关规定处置，如发生流失，消毒不规范、责任由乙方承担（工作人员做好个人防护、及时回收废弃物存放容器、按要求分类放置）；被服运送做到下收下送，认真做好清点、交接工作，确保无误；满意率达百分之90以上，无投诉。</w:t>
      </w:r>
    </w:p>
    <w:p w14:paraId="6D009955">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（三）秩序维护与安全防护需求：</w:t>
      </w:r>
    </w:p>
    <w:p w14:paraId="21CD260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协助业务开展的秩序维护和安全防护，保障患者和医务人员的安全。</w:t>
      </w:r>
    </w:p>
    <w:p w14:paraId="5EB5C120">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（四）设备运行委托管理（含青浦城区门诊、社区药物维持治疗门诊水电维修）</w:t>
      </w:r>
    </w:p>
    <w:p w14:paraId="7B8BA39A">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1、水电工、修理工：保障水、电正常供应，电工兼管高压配电间巡视检查；做好日常维修工作，实行轮班叫班制。机械疏通厕所、下水道服务要求：① 接到科室报障，应及时到现场处理，并将处理情况反馈给科室或主管部门。②无法处理问题要及时报总务科，并向科室解释原因，若医院另请外单位人员来疏通，可以机械疏通的其费用由中标供应商负责。同时要与服务考评挂钩。</w:t>
      </w:r>
    </w:p>
    <w:p w14:paraId="709DB8BA">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2、电梯驾驶员：客梯行驶过程中做到有人驾驶，必须持证上岗。由乙方安排日常工作，并执行甲方规定作息时间；文明服务、文明用语、注意窗口形象。</w:t>
      </w:r>
    </w:p>
    <w:p w14:paraId="5E1F34CF">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（五）洗衣房管理</w:t>
      </w:r>
    </w:p>
    <w:p w14:paraId="2EC6248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确保甲方洗衣房正常运转，保证病人床单元、病衣裤及职工工作服的洗涤、消毒、晾晒；并进行简单缝补、熨烫等。</w:t>
      </w:r>
    </w:p>
    <w:p w14:paraId="498D7E37">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（六）总务仓库管理</w:t>
      </w:r>
    </w:p>
    <w:p w14:paraId="65909B1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负责总务后勤仓库管理包括采购物品的请购、出入库、物品领取、盘点、报表等。</w:t>
      </w:r>
    </w:p>
    <w:p w14:paraId="1CF8A570">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（七）其他维护养护服务</w:t>
      </w:r>
    </w:p>
    <w:p w14:paraId="649076C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1、房屋本体每年检查一次，门窗、玻璃每天巡回检查一次。</w:t>
      </w:r>
    </w:p>
    <w:p w14:paraId="2117663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2、泵房设施设备每天检查二次。</w:t>
      </w:r>
    </w:p>
    <w:p w14:paraId="31CA6098">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3、消防供水等设备每月检查二次。</w:t>
      </w:r>
    </w:p>
    <w:p w14:paraId="29B8DAE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4、中央空调系统每天检查一次、分体式空调每周巡回检查一次。</w:t>
      </w:r>
    </w:p>
    <w:p w14:paraId="1FC11E8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5、高低压配电站每天检查一次。</w:t>
      </w:r>
    </w:p>
    <w:p w14:paraId="33C2F1A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6、电梯每天检查一次。</w:t>
      </w:r>
    </w:p>
    <w:p w14:paraId="0BCFC5C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7、室内外灯具、管道、电器线路、电器设备和卫生间、洗手盆及室内地漏等每天巡查与甲方保修相结合，安排专业人员进行更换或维修。维修、更新物品或材料由甲方负责。</w:t>
      </w:r>
    </w:p>
    <w:p w14:paraId="4EC8E8C7">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三、管理服务总目标</w:t>
      </w:r>
    </w:p>
    <w:p w14:paraId="5EAD0E7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1、物业安全责任事故发生率为0%。</w:t>
      </w:r>
    </w:p>
    <w:p w14:paraId="499BFE8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2、使业主对物业服务满意率达到95%以上（使用单位及上级部门对中标单位进行监督检查使其达到标准合格率）。</w:t>
      </w:r>
    </w:p>
    <w:p w14:paraId="7C807FB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3、中标企业应制定管理目标的测量指标，并根据指标定期测评，定期向招标人提供测评报告。</w:t>
      </w:r>
    </w:p>
    <w:p w14:paraId="2CC076EA">
      <w:pPr>
        <w:spacing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四、人员配置与要求：</w:t>
      </w:r>
    </w:p>
    <w:p w14:paraId="723B716A">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1、人员岗位配置</w:t>
      </w:r>
    </w:p>
    <w:tbl>
      <w:tblPr>
        <w:tblStyle w:val="7"/>
        <w:tblW w:w="6489" w:type="dxa"/>
        <w:tblInd w:w="738" w:type="dxa"/>
        <w:tblLayout w:type="fixed"/>
        <w:tblCellMar>
          <w:top w:w="0" w:type="dxa"/>
          <w:left w:w="108" w:type="dxa"/>
          <w:bottom w:w="0" w:type="dxa"/>
          <w:right w:w="108" w:type="dxa"/>
        </w:tblCellMar>
      </w:tblPr>
      <w:tblGrid>
        <w:gridCol w:w="3087"/>
        <w:gridCol w:w="850"/>
        <w:gridCol w:w="2552"/>
      </w:tblGrid>
      <w:tr w14:paraId="5671464C">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109A4F86">
            <w:pPr>
              <w:spacing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岗位</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333EC9EE">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人数</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6F99F1E8">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备注</w:t>
            </w:r>
          </w:p>
        </w:tc>
      </w:tr>
      <w:tr w14:paraId="1B8F022C">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0289F92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物业经理、</w:t>
            </w:r>
            <w:r>
              <w:rPr>
                <w:rFonts w:asciiTheme="minorEastAsia" w:hAnsiTheme="minorEastAsia" w:eastAsiaTheme="minorEastAsia"/>
                <w:szCs w:val="21"/>
              </w:rPr>
              <w:t>经理助理各一名</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4E513B96">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2</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217A5810">
            <w:pPr>
              <w:spacing w:line="360" w:lineRule="auto"/>
              <w:ind w:firstLine="420" w:firstLineChars="200"/>
              <w:rPr>
                <w:rFonts w:asciiTheme="minorEastAsia" w:hAnsiTheme="minorEastAsia" w:eastAsiaTheme="minorEastAsia"/>
                <w:szCs w:val="21"/>
              </w:rPr>
            </w:pPr>
          </w:p>
        </w:tc>
      </w:tr>
      <w:tr w14:paraId="02AF4B94">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2BC49AF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内勤</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2147235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1187A90F">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含仓库管理</w:t>
            </w:r>
          </w:p>
        </w:tc>
      </w:tr>
      <w:tr w14:paraId="064E5FB1">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5654D2D8">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电梯驾驶员</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3EB217D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4789C44F">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持电梯驾驶证</w:t>
            </w:r>
          </w:p>
        </w:tc>
      </w:tr>
      <w:tr w14:paraId="5108C913">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46EB321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电工、修理工</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2A845AF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6641F02F">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含城区门诊、社区药物维持治疗门诊水电维修；其中</w:t>
            </w:r>
            <w:r>
              <w:rPr>
                <w:rFonts w:hint="eastAsia" w:asciiTheme="minorEastAsia" w:hAnsiTheme="minorEastAsia" w:eastAsiaTheme="minorEastAsia"/>
                <w:szCs w:val="21"/>
              </w:rPr>
              <w:t>2人需</w:t>
            </w:r>
            <w:r>
              <w:rPr>
                <w:rFonts w:asciiTheme="minorEastAsia" w:hAnsiTheme="minorEastAsia" w:eastAsiaTheme="minorEastAsia"/>
                <w:szCs w:val="21"/>
              </w:rPr>
              <w:t>持高压入网证</w:t>
            </w:r>
            <w:r>
              <w:rPr>
                <w:rFonts w:hint="eastAsia" w:asciiTheme="minorEastAsia" w:hAnsiTheme="minorEastAsia" w:eastAsiaTheme="minorEastAsia"/>
                <w:szCs w:val="21"/>
              </w:rPr>
              <w:t>。</w:t>
            </w:r>
          </w:p>
        </w:tc>
      </w:tr>
      <w:tr w14:paraId="646FA94E">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6B1865A8">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病区工勤人员</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4655A51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8</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5EB07B7D">
            <w:pPr>
              <w:spacing w:line="360" w:lineRule="auto"/>
              <w:ind w:firstLine="420" w:firstLineChars="200"/>
              <w:rPr>
                <w:rFonts w:asciiTheme="minorEastAsia" w:hAnsiTheme="minorEastAsia" w:eastAsiaTheme="minorEastAsia"/>
                <w:szCs w:val="21"/>
              </w:rPr>
            </w:pPr>
          </w:p>
        </w:tc>
      </w:tr>
      <w:tr w14:paraId="73EEF713">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067978E8">
            <w:pPr>
              <w:spacing w:line="360" w:lineRule="auto"/>
              <w:ind w:firstLine="420" w:firstLineChars="200"/>
              <w:rPr>
                <w:rFonts w:asciiTheme="minorEastAsia" w:hAnsiTheme="minorEastAsia" w:eastAsiaTheme="minorEastAsia"/>
                <w:szCs w:val="21"/>
              </w:rPr>
            </w:pPr>
            <w:bookmarkStart w:id="0" w:name="_Hlk200524206"/>
            <w:r>
              <w:rPr>
                <w:rFonts w:hint="eastAsia" w:asciiTheme="minorEastAsia" w:hAnsiTheme="minorEastAsia" w:eastAsiaTheme="minorEastAsia"/>
                <w:szCs w:val="21"/>
              </w:rPr>
              <w:t>保洁工（大楼）</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6B231B5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1C4B6EF9">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1-4号楼5人，外场2人</w:t>
            </w:r>
          </w:p>
        </w:tc>
      </w:tr>
      <w:bookmarkEnd w:id="0"/>
      <w:tr w14:paraId="3963EBEF">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1151D69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洗涤工</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1027E42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3F3C5E08">
            <w:pPr>
              <w:spacing w:line="360" w:lineRule="auto"/>
              <w:ind w:firstLine="420" w:firstLineChars="200"/>
              <w:rPr>
                <w:rFonts w:asciiTheme="minorEastAsia" w:hAnsiTheme="minorEastAsia" w:eastAsiaTheme="minorEastAsia"/>
                <w:szCs w:val="21"/>
              </w:rPr>
            </w:pPr>
          </w:p>
        </w:tc>
      </w:tr>
      <w:tr w14:paraId="7B3DBACA">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0EB23B9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康复保洁</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71D6A04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45711DB7">
            <w:pPr>
              <w:spacing w:line="360" w:lineRule="auto"/>
              <w:ind w:firstLine="420" w:firstLineChars="200"/>
              <w:rPr>
                <w:rFonts w:asciiTheme="minorEastAsia" w:hAnsiTheme="minorEastAsia" w:eastAsiaTheme="minorEastAsia"/>
                <w:szCs w:val="21"/>
              </w:rPr>
            </w:pPr>
          </w:p>
        </w:tc>
      </w:tr>
      <w:tr w14:paraId="0F9A1F71">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685F764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西岑门诊秩序维护</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248882B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6134272A">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含门诊保洁</w:t>
            </w:r>
          </w:p>
        </w:tc>
      </w:tr>
      <w:tr w14:paraId="0D636F05">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5BA5900D">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医废处理</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14B4554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4E9551D4">
            <w:pPr>
              <w:spacing w:line="360" w:lineRule="auto"/>
              <w:ind w:firstLine="420" w:firstLineChars="200"/>
              <w:rPr>
                <w:rFonts w:asciiTheme="minorEastAsia" w:hAnsiTheme="minorEastAsia" w:eastAsiaTheme="minorEastAsia"/>
                <w:szCs w:val="21"/>
              </w:rPr>
            </w:pPr>
          </w:p>
        </w:tc>
      </w:tr>
      <w:tr w14:paraId="04FBA59A">
        <w:tblPrEx>
          <w:tblCellMar>
            <w:top w:w="0" w:type="dxa"/>
            <w:left w:w="108" w:type="dxa"/>
            <w:bottom w:w="0" w:type="dxa"/>
            <w:right w:w="108" w:type="dxa"/>
          </w:tblCellMar>
        </w:tblPrEx>
        <w:trPr>
          <w:trHeight w:val="514" w:hRule="atLeast"/>
        </w:trPr>
        <w:tc>
          <w:tcPr>
            <w:tcW w:w="3087" w:type="dxa"/>
            <w:tcBorders>
              <w:top w:val="single" w:color="000000" w:sz="2" w:space="0"/>
              <w:left w:val="single" w:color="000000" w:sz="2" w:space="0"/>
              <w:bottom w:val="single" w:color="000000" w:sz="2" w:space="0"/>
              <w:right w:val="single" w:color="000000" w:sz="2" w:space="0"/>
            </w:tcBorders>
            <w:shd w:val="clear" w:color="000000" w:fill="FFFFFF"/>
          </w:tcPr>
          <w:p w14:paraId="3196F653">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合计</w:t>
            </w:r>
          </w:p>
        </w:tc>
        <w:tc>
          <w:tcPr>
            <w:tcW w:w="850" w:type="dxa"/>
            <w:tcBorders>
              <w:top w:val="single" w:color="000000" w:sz="2" w:space="0"/>
              <w:left w:val="single" w:color="000000" w:sz="2" w:space="0"/>
              <w:bottom w:val="single" w:color="000000" w:sz="2" w:space="0"/>
              <w:right w:val="single" w:color="000000" w:sz="2" w:space="0"/>
            </w:tcBorders>
            <w:shd w:val="clear" w:color="000000" w:fill="FFFFFF"/>
          </w:tcPr>
          <w:p w14:paraId="0E87037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50</w:t>
            </w:r>
          </w:p>
        </w:tc>
        <w:tc>
          <w:tcPr>
            <w:tcW w:w="2552" w:type="dxa"/>
            <w:tcBorders>
              <w:top w:val="single" w:color="000000" w:sz="2" w:space="0"/>
              <w:left w:val="single" w:color="000000" w:sz="2" w:space="0"/>
              <w:bottom w:val="single" w:color="000000" w:sz="2" w:space="0"/>
              <w:right w:val="single" w:color="000000" w:sz="2" w:space="0"/>
            </w:tcBorders>
            <w:shd w:val="clear" w:color="000000" w:fill="FFFFFF"/>
          </w:tcPr>
          <w:p w14:paraId="3F30A31B">
            <w:pPr>
              <w:spacing w:line="360" w:lineRule="auto"/>
              <w:ind w:firstLine="420" w:firstLineChars="200"/>
              <w:rPr>
                <w:rFonts w:asciiTheme="minorEastAsia" w:hAnsiTheme="minorEastAsia" w:eastAsiaTheme="minorEastAsia"/>
                <w:szCs w:val="21"/>
              </w:rPr>
            </w:pPr>
          </w:p>
        </w:tc>
      </w:tr>
    </w:tbl>
    <w:p w14:paraId="1EE8DB04">
      <w:pPr>
        <w:spacing w:line="360" w:lineRule="auto"/>
        <w:ind w:firstLine="420" w:firstLineChars="200"/>
        <w:rPr>
          <w:rFonts w:asciiTheme="minorEastAsia" w:hAnsiTheme="minorEastAsia" w:eastAsiaTheme="minorEastAsia"/>
          <w:szCs w:val="21"/>
        </w:rPr>
      </w:pPr>
    </w:p>
    <w:p w14:paraId="00EBE1F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医院全年开放，公休日、法定节假日保洁人员及专职人员正常上班。</w:t>
      </w:r>
    </w:p>
    <w:p w14:paraId="779A538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★本项目服务人员配置不少于50人，按中心实际服务内容配备人数。</w:t>
      </w:r>
    </w:p>
    <w:p w14:paraId="5360806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2、人员配备标准</w:t>
      </w:r>
    </w:p>
    <w:p w14:paraId="6F2DE6D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1)年龄身体要求：男性、女性均不超过</w:t>
      </w:r>
      <w:r>
        <w:rPr>
          <w:rFonts w:asciiTheme="minorEastAsia" w:hAnsiTheme="minorEastAsia" w:eastAsiaTheme="minorEastAsia"/>
          <w:szCs w:val="21"/>
        </w:rPr>
        <w:t>6</w:t>
      </w:r>
      <w:r>
        <w:rPr>
          <w:rFonts w:hint="eastAsia" w:asciiTheme="minorEastAsia" w:hAnsiTheme="minorEastAsia" w:eastAsiaTheme="minorEastAsia"/>
          <w:szCs w:val="21"/>
        </w:rPr>
        <w:t>5岁；身体无残疾、无传染性疾病。</w:t>
      </w:r>
    </w:p>
    <w:p w14:paraId="437EDC4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学历及工作年限要求：项目经理要求专科及以上文化程度，从事类似本项目物业管理五年及以上管理经验；项目管理人员要求高中及以上文化程度，从事类似本项目物业管理五年及以上管理经验；项目专业技术人员要求高中及以上文化程度，从事类似本项目物业管理三年及以上实操经验；保洁员要求初中及以上文化程度。</w:t>
      </w:r>
    </w:p>
    <w:p w14:paraId="52388AD2">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、其他要求</w:t>
      </w:r>
    </w:p>
    <w:p w14:paraId="78072FE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（1）有岗位证书要求的人员必须持证上岗（维修及其他相应岗位）。</w:t>
      </w:r>
    </w:p>
    <w:p w14:paraId="79D6643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项目管理服务范围涉及关键和重要部门，因此所有参与物业管理工作的人员，必须通过政治审查。不得有来历不明或有社会不良记录、刑事犯罪记录人员参与工作。投标人须对此项要求严格把关，并对可能出现的后果承担责任。</w:t>
      </w:r>
    </w:p>
    <w:p w14:paraId="0640A89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建立专业的物业服务团队，提供24小时服务支持，确保医院各项工作的顺利进行。同时，需对团队进行定期培训，提高服务质量和效率。另外，精卫中心为特殊人群提供医疗服务，中标供应商需为物业团队人员提供工作相关的保险，确保生产安全。</w:t>
      </w:r>
    </w:p>
    <w:p w14:paraId="44F12CF3">
      <w:pPr>
        <w:spacing w:line="360" w:lineRule="auto"/>
        <w:ind w:firstLine="422" w:firstLineChars="200"/>
        <w:jc w:val="left"/>
        <w:rPr>
          <w:rFonts w:cs="宋体" w:asciiTheme="minorEastAsia" w:hAnsiTheme="minorEastAsia" w:eastAsiaTheme="minorEastAsia"/>
          <w:b/>
          <w:kern w:val="0"/>
          <w:szCs w:val="21"/>
          <w:lang w:val="zh-CN"/>
        </w:rPr>
      </w:pPr>
      <w:r>
        <w:rPr>
          <w:rFonts w:hint="eastAsia" w:cs="宋体" w:asciiTheme="minorEastAsia" w:hAnsiTheme="minorEastAsia" w:eastAsiaTheme="minorEastAsia"/>
          <w:b/>
          <w:kern w:val="0"/>
          <w:szCs w:val="21"/>
          <w:lang w:val="zh-CN"/>
        </w:rPr>
        <w:t xml:space="preserve">五、本项目物业管理服务报价包括： </w:t>
      </w:r>
    </w:p>
    <w:p w14:paraId="2CA92BB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1、物业服务人员的人员工资、人员福利、加班费、中夜班费等全部人员费用。</w:t>
      </w:r>
    </w:p>
    <w:p w14:paraId="1C9CD63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2、物业服务的行政办公费用，包括办公材料、公众责任保险、雇主责任保险等。</w:t>
      </w:r>
    </w:p>
    <w:p w14:paraId="075A32D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3、物业服务的各类耗材，如保洁耗材、维修耗材（其中维修耗材为单件200元及以下的材料）等与此项目服务相关的各种耗材。</w:t>
      </w:r>
    </w:p>
    <w:p w14:paraId="6677F46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4、物业管理企业管理费与利润。</w:t>
      </w:r>
    </w:p>
    <w:p w14:paraId="513D5E5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5、国家法定税费。</w:t>
      </w:r>
    </w:p>
    <w:p w14:paraId="6C1D05AD">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 xml:space="preserve"> 、物业管理企业认为与管理服务相关的其他必要费用。</w:t>
      </w:r>
    </w:p>
    <w:p w14:paraId="24509E3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7、因甲方运行需要，乙方提供延伸服务的，具体服务费用由甲乙双方商定。</w:t>
      </w:r>
    </w:p>
    <w:p w14:paraId="37C2E90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8、本招标项目物业服务预算总价为3751096</w:t>
      </w:r>
      <w:r>
        <w:rPr>
          <w:rFonts w:hint="eastAsia" w:asciiTheme="minorEastAsia" w:hAnsiTheme="minorEastAsia" w:eastAsiaTheme="minorEastAsia"/>
          <w:szCs w:val="21"/>
        </w:rPr>
        <w:t>元</w:t>
      </w:r>
      <w:bookmarkStart w:id="3" w:name="_GoBack"/>
      <w:bookmarkEnd w:id="3"/>
      <w:r>
        <w:rPr>
          <w:rFonts w:hint="eastAsia" w:asciiTheme="minorEastAsia" w:hAnsiTheme="minorEastAsia" w:eastAsiaTheme="minorEastAsia"/>
          <w:szCs w:val="21"/>
        </w:rPr>
        <w:t>，超出限价将不被接受。</w:t>
      </w:r>
    </w:p>
    <w:p w14:paraId="7AE2A8F0">
      <w:pPr>
        <w:adjustRightInd w:val="0"/>
        <w:snapToGrid w:val="0"/>
        <w:spacing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六、其他</w:t>
      </w:r>
    </w:p>
    <w:p w14:paraId="2C7D6196">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、投标方一旦中标，投标方在投标书中的所有承诺，招标方有权要求写入物业管理委托合同。</w:t>
      </w:r>
    </w:p>
    <w:p w14:paraId="4C0CAE88">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2、物业服务人员聘用及人员变动，配备人员需报业主方备案。</w:t>
      </w:r>
    </w:p>
    <w:p w14:paraId="6D30FACB">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3、业主对物业服务的服务质量进行监督，对不符合质量标准的管理服务有权建议整改，对不称职人员可以要求物业进行更换。</w:t>
      </w:r>
    </w:p>
    <w:p w14:paraId="215D17F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合同期内如服务供应商员工发生工伤、纠葛、打架斗殴、疾病乃至死亡的一切责任及费用由中标供应商全部负责；中标供应商要处理好内部员工纠纷问题，不得将矛盾激化或将矛盾推向医院而影响医院的正常工作。如发生因中标供应商不及时或无能力处理内部矛盾等管理问题而影响到医院正常工作秩序的，每次扣罚当月服务费（双方讨论约定），问题严重医院有权终止合同，由此所导致的一切后果和损失由中标供应商负责。</w:t>
      </w:r>
    </w:p>
    <w:p w14:paraId="3449058E">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5、不良事件处理：中标供应商须严格按照标准化的操作程序、完善的培训体系和质量控制体系完成本项目，确保质量安全。 因工作人员不按操作规程、工作制度以及质量要求开展工作，引起设备、物品损坏以及人员伤亡等不良事件，由此所产生的后果及经济损失由中标供应商相应的承担。</w:t>
      </w:r>
    </w:p>
    <w:p w14:paraId="2BE2B76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6、物业服务人员必须严格遵守相关保密制度（投标文件中应有保密制度方案）。</w:t>
      </w:r>
    </w:p>
    <w:p w14:paraId="30EC3346">
      <w:pPr>
        <w:spacing w:line="360" w:lineRule="auto"/>
        <w:ind w:left="420" w:leftChars="200"/>
        <w:rPr>
          <w:rFonts w:asciiTheme="minorEastAsia" w:hAnsiTheme="minorEastAsia" w:eastAsiaTheme="minorEastAsia"/>
          <w:color w:val="00B050"/>
          <w:szCs w:val="21"/>
        </w:rPr>
      </w:pPr>
      <w:r>
        <w:rPr>
          <w:rFonts w:hint="eastAsia" w:asciiTheme="minorEastAsia" w:hAnsiTheme="minorEastAsia" w:eastAsiaTheme="minorEastAsia"/>
          <w:szCs w:val="21"/>
        </w:rPr>
        <w:t>7、服务期限：自合同签订起一年</w:t>
      </w:r>
      <w:bookmarkStart w:id="1" w:name="OLE_LINK1"/>
      <w:r>
        <w:rPr>
          <w:rFonts w:hint="eastAsia" w:asciiTheme="minorEastAsia" w:hAnsiTheme="minorEastAsia" w:eastAsiaTheme="minorEastAsia"/>
          <w:color w:val="FF0000"/>
          <w:szCs w:val="21"/>
        </w:rPr>
        <w:t>。</w:t>
      </w:r>
    </w:p>
    <w:bookmarkEnd w:id="1"/>
    <w:p w14:paraId="24A32ED3">
      <w:pPr>
        <w:spacing w:line="360" w:lineRule="auto"/>
        <w:ind w:left="420" w:leftChars="200"/>
        <w:rPr>
          <w:rFonts w:asciiTheme="minorEastAsia" w:hAnsiTheme="minorEastAsia" w:eastAsiaTheme="minorEastAsia"/>
          <w:szCs w:val="21"/>
        </w:rPr>
      </w:pPr>
      <w:r>
        <w:rPr>
          <w:rFonts w:hint="eastAsia" w:asciiTheme="minorEastAsia" w:hAnsiTheme="minorEastAsia" w:eastAsiaTheme="minorEastAsia"/>
          <w:szCs w:val="21"/>
        </w:rPr>
        <w:t>8、服务交接工作的要求：中标供应商需在合同签订后按双方约定进场时间将所有与项目相关的设备工具、物料、人员到位，完成具体实施方案，并与上一期服务公司进行无逢交接，保证正常的服务工作。</w:t>
      </w:r>
    </w:p>
    <w:p w14:paraId="040622BC">
      <w:pPr>
        <w:spacing w:line="500" w:lineRule="exact"/>
        <w:ind w:firstLine="420" w:firstLineChars="200"/>
        <w:rPr>
          <w:rFonts w:ascii="宋体" w:hAnsi="宋体"/>
          <w:szCs w:val="21"/>
        </w:rPr>
      </w:pPr>
      <w:r>
        <w:rPr>
          <w:rFonts w:ascii="宋体" w:hAnsi="宋体"/>
          <w:szCs w:val="21"/>
        </w:rPr>
        <w:t>9</w:t>
      </w:r>
      <w:r>
        <w:rPr>
          <w:rFonts w:hint="eastAsia" w:ascii="宋体" w:hAnsi="宋体"/>
          <w:szCs w:val="21"/>
        </w:rPr>
        <w:t>、本项目合同不得整体转让。合同非主体部分需要分包的，投标人应当在投标文件中说明，投标文件中未说明的，非经采购人书面同意不得分包。</w:t>
      </w:r>
    </w:p>
    <w:p w14:paraId="6997FA38">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10</w:t>
      </w:r>
      <w:r>
        <w:rPr>
          <w:rFonts w:hint="eastAsia" w:asciiTheme="minorEastAsia" w:hAnsiTheme="minorEastAsia" w:eastAsiaTheme="minorEastAsia"/>
          <w:szCs w:val="21"/>
        </w:rPr>
        <w:t>、供应商能力要求</w:t>
      </w:r>
      <w:r>
        <w:rPr>
          <w:rFonts w:asciiTheme="minorEastAsia" w:hAnsiTheme="minorEastAsia" w:eastAsiaTheme="minorEastAsia"/>
          <w:szCs w:val="21"/>
        </w:rPr>
        <w:t>：</w:t>
      </w:r>
      <w:r>
        <w:rPr>
          <w:rFonts w:hint="eastAsia" w:asciiTheme="minorEastAsia" w:hAnsiTheme="minorEastAsia" w:eastAsiaTheme="minorEastAsia"/>
          <w:szCs w:val="21"/>
        </w:rPr>
        <w:t>通过质量管理体系认证、职业健康安全管理体系认证、环境管理体系认证，并在认证有效期内的优先考虑。</w:t>
      </w:r>
    </w:p>
    <w:p w14:paraId="6815BA30">
      <w:pPr>
        <w:adjustRightInd w:val="0"/>
        <w:snapToGrid w:val="0"/>
        <w:spacing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七、考核办法及支付方式</w:t>
      </w:r>
    </w:p>
    <w:p w14:paraId="4C8FACE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1、甲方安排人员组织季度考核（详见下表），</w:t>
      </w:r>
      <w:bookmarkStart w:id="2" w:name="OLE_LINK2"/>
      <w:r>
        <w:rPr>
          <w:rFonts w:hint="eastAsia" w:asciiTheme="minorEastAsia" w:hAnsiTheme="minorEastAsia" w:eastAsiaTheme="minorEastAsia"/>
          <w:szCs w:val="21"/>
        </w:rPr>
        <w:t>每季度考核合格，根据合同全额拨付季度服务费。</w:t>
      </w:r>
    </w:p>
    <w:bookmarkEnd w:id="2"/>
    <w:p w14:paraId="55BCF6A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2、服务期间出现下列情况的，业主方有权单方解除合同，并要求中标方赔偿对应损失的违约金。</w:t>
      </w:r>
    </w:p>
    <w:p w14:paraId="69D160A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（1）服务内容未达到合同及投标文件约定且未能及时整改的；</w:t>
      </w:r>
    </w:p>
    <w:p w14:paraId="6B514B6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（2）连续二次考核均为不合格的；</w:t>
      </w:r>
    </w:p>
    <w:p w14:paraId="4B4487F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（3）发生严重泄密事件的；</w:t>
      </w:r>
    </w:p>
    <w:p w14:paraId="348BC59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（4）发生严重影响、妨碍甲方正常工作秩序或造成甲方巨大经济损失的情况。</w:t>
      </w:r>
    </w:p>
    <w:p w14:paraId="6C658172">
      <w:pPr>
        <w:spacing w:line="360" w:lineRule="auto"/>
        <w:rPr>
          <w:rFonts w:cs="宋体" w:asciiTheme="minorEastAsia" w:hAnsiTheme="minorEastAsia" w:eastAsiaTheme="minorEastAsia"/>
          <w:kern w:val="0"/>
          <w:szCs w:val="21"/>
        </w:rPr>
      </w:pPr>
    </w:p>
    <w:p w14:paraId="11B9E869">
      <w:pPr>
        <w:spacing w:line="360" w:lineRule="auto"/>
        <w:ind w:firstLine="420" w:firstLineChars="200"/>
        <w:rPr>
          <w:rFonts w:asciiTheme="minorEastAsia" w:hAnsiTheme="minorEastAsia" w:eastAsiaTheme="minorEastAsia"/>
          <w:szCs w:val="21"/>
        </w:rPr>
      </w:pPr>
    </w:p>
    <w:tbl>
      <w:tblPr>
        <w:tblStyle w:val="7"/>
        <w:tblpPr w:leftFromText="180" w:rightFromText="180" w:vertAnchor="text" w:horzAnchor="margin" w:tblpY="-8294"/>
        <w:tblOverlap w:val="never"/>
        <w:tblW w:w="7994" w:type="dxa"/>
        <w:tblInd w:w="0" w:type="dxa"/>
        <w:tblLayout w:type="fixed"/>
        <w:tblCellMar>
          <w:top w:w="0" w:type="dxa"/>
          <w:left w:w="108" w:type="dxa"/>
          <w:bottom w:w="0" w:type="dxa"/>
          <w:right w:w="108" w:type="dxa"/>
        </w:tblCellMar>
      </w:tblPr>
      <w:tblGrid>
        <w:gridCol w:w="7304"/>
        <w:gridCol w:w="690"/>
      </w:tblGrid>
      <w:tr w14:paraId="15F97156">
        <w:tblPrEx>
          <w:tblCellMar>
            <w:top w:w="0" w:type="dxa"/>
            <w:left w:w="108" w:type="dxa"/>
            <w:bottom w:w="0" w:type="dxa"/>
            <w:right w:w="108" w:type="dxa"/>
          </w:tblCellMar>
        </w:tblPrEx>
        <w:trPr>
          <w:trHeight w:val="440" w:hRule="atLeast"/>
        </w:trPr>
        <w:tc>
          <w:tcPr>
            <w:tcW w:w="7994" w:type="dxa"/>
            <w:gridSpan w:val="2"/>
            <w:tcBorders>
              <w:top w:val="nil"/>
              <w:left w:val="nil"/>
              <w:bottom w:val="nil"/>
              <w:right w:val="nil"/>
            </w:tcBorders>
            <w:noWrap/>
            <w:vAlign w:val="center"/>
          </w:tcPr>
          <w:p w14:paraId="14796C42">
            <w:pPr>
              <w:spacing w:line="360" w:lineRule="auto"/>
              <w:rPr>
                <w:rFonts w:asciiTheme="minorEastAsia" w:hAnsiTheme="minorEastAsia" w:eastAsiaTheme="minorEastAsia"/>
                <w:szCs w:val="21"/>
              </w:rPr>
            </w:pPr>
          </w:p>
          <w:p w14:paraId="170AB3F2">
            <w:pPr>
              <w:spacing w:line="360" w:lineRule="auto"/>
              <w:jc w:val="center"/>
              <w:rPr>
                <w:rFonts w:asciiTheme="minorEastAsia" w:hAnsiTheme="minorEastAsia" w:eastAsiaTheme="minorEastAsia"/>
                <w:szCs w:val="21"/>
              </w:rPr>
            </w:pPr>
          </w:p>
          <w:p w14:paraId="7F692AD7">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物业服务考核表（    年  月）</w:t>
            </w:r>
          </w:p>
          <w:p w14:paraId="4A553672">
            <w:pPr>
              <w:spacing w:line="360" w:lineRule="auto"/>
              <w:jc w:val="center"/>
              <w:rPr>
                <w:rFonts w:asciiTheme="minorEastAsia" w:hAnsiTheme="minorEastAsia" w:eastAsiaTheme="minorEastAsia"/>
                <w:szCs w:val="21"/>
              </w:rPr>
            </w:pPr>
          </w:p>
          <w:p w14:paraId="28208C39">
            <w:pPr>
              <w:spacing w:line="360" w:lineRule="auto"/>
              <w:ind w:firstLine="1470" w:firstLineChars="700"/>
              <w:rPr>
                <w:rFonts w:asciiTheme="minorEastAsia" w:hAnsiTheme="minorEastAsia" w:eastAsiaTheme="minorEastAsia"/>
                <w:szCs w:val="21"/>
              </w:rPr>
            </w:pPr>
            <w:r>
              <w:rPr>
                <w:rFonts w:hint="eastAsia" w:asciiTheme="minorEastAsia" w:hAnsiTheme="minorEastAsia" w:eastAsiaTheme="minorEastAsia"/>
                <w:szCs w:val="21"/>
              </w:rPr>
              <w:t>服务公司：</w:t>
            </w:r>
          </w:p>
          <w:tbl>
            <w:tblPr>
              <w:tblStyle w:val="7"/>
              <w:tblpPr w:leftFromText="180" w:rightFromText="180" w:vertAnchor="text" w:horzAnchor="page" w:tblpX="-470" w:tblpY="213"/>
              <w:tblOverlap w:val="never"/>
              <w:tblW w:w="7212" w:type="dxa"/>
              <w:tblInd w:w="0" w:type="dxa"/>
              <w:tblLayout w:type="fixed"/>
              <w:tblCellMar>
                <w:top w:w="0" w:type="dxa"/>
                <w:left w:w="108" w:type="dxa"/>
                <w:bottom w:w="0" w:type="dxa"/>
                <w:right w:w="108" w:type="dxa"/>
              </w:tblCellMar>
            </w:tblPr>
            <w:tblGrid>
              <w:gridCol w:w="591"/>
              <w:gridCol w:w="1066"/>
              <w:gridCol w:w="2840"/>
              <w:gridCol w:w="606"/>
              <w:gridCol w:w="426"/>
              <w:gridCol w:w="567"/>
              <w:gridCol w:w="1116"/>
            </w:tblGrid>
            <w:tr w14:paraId="27177C7D">
              <w:tblPrEx>
                <w:tblCellMar>
                  <w:top w:w="0" w:type="dxa"/>
                  <w:left w:w="108" w:type="dxa"/>
                  <w:bottom w:w="0" w:type="dxa"/>
                  <w:right w:w="108" w:type="dxa"/>
                </w:tblCellMar>
              </w:tblPrEx>
              <w:trPr>
                <w:trHeight w:val="618" w:hRule="atLeast"/>
              </w:trPr>
              <w:tc>
                <w:tcPr>
                  <w:tcW w:w="591" w:type="dxa"/>
                  <w:tcBorders>
                    <w:top w:val="single" w:color="auto" w:sz="4" w:space="0"/>
                    <w:left w:val="single" w:color="auto" w:sz="4" w:space="0"/>
                    <w:bottom w:val="single" w:color="auto" w:sz="4" w:space="0"/>
                    <w:right w:val="single" w:color="auto" w:sz="4" w:space="0"/>
                  </w:tcBorders>
                  <w:shd w:val="clear" w:color="auto" w:fill="auto"/>
                  <w:vAlign w:val="center"/>
                </w:tcPr>
                <w:p w14:paraId="7D3D5626">
                  <w:pPr>
                    <w:pStyle w:val="13"/>
                    <w:jc w:val="center"/>
                    <w:rPr>
                      <w:b w:val="0"/>
                      <w:sz w:val="21"/>
                      <w:szCs w:val="21"/>
                    </w:rPr>
                  </w:pPr>
                  <w:r>
                    <w:rPr>
                      <w:rFonts w:hint="eastAsia"/>
                      <w:b w:val="0"/>
                      <w:sz w:val="21"/>
                      <w:szCs w:val="21"/>
                    </w:rPr>
                    <w:t>序号</w:t>
                  </w:r>
                </w:p>
              </w:tc>
              <w:tc>
                <w:tcPr>
                  <w:tcW w:w="1066" w:type="dxa"/>
                  <w:tcBorders>
                    <w:top w:val="single" w:color="auto" w:sz="4" w:space="0"/>
                    <w:left w:val="nil"/>
                    <w:bottom w:val="single" w:color="auto" w:sz="4" w:space="0"/>
                    <w:right w:val="single" w:color="auto" w:sz="4" w:space="0"/>
                  </w:tcBorders>
                  <w:shd w:val="clear" w:color="auto" w:fill="auto"/>
                  <w:vAlign w:val="center"/>
                </w:tcPr>
                <w:p w14:paraId="335A96BA">
                  <w:pPr>
                    <w:pStyle w:val="13"/>
                    <w:rPr>
                      <w:b w:val="0"/>
                      <w:sz w:val="21"/>
                      <w:szCs w:val="21"/>
                    </w:rPr>
                  </w:pPr>
                  <w:r>
                    <w:rPr>
                      <w:rFonts w:hint="eastAsia"/>
                      <w:b w:val="0"/>
                      <w:sz w:val="21"/>
                      <w:szCs w:val="21"/>
                    </w:rPr>
                    <w:t>项目</w:t>
                  </w:r>
                </w:p>
              </w:tc>
              <w:tc>
                <w:tcPr>
                  <w:tcW w:w="2840" w:type="dxa"/>
                  <w:tcBorders>
                    <w:top w:val="single" w:color="auto" w:sz="4" w:space="0"/>
                    <w:left w:val="nil"/>
                    <w:bottom w:val="single" w:color="auto" w:sz="4" w:space="0"/>
                    <w:right w:val="single" w:color="auto" w:sz="4" w:space="0"/>
                  </w:tcBorders>
                  <w:shd w:val="clear" w:color="auto" w:fill="auto"/>
                  <w:vAlign w:val="center"/>
                </w:tcPr>
                <w:p w14:paraId="027D6CF1">
                  <w:pPr>
                    <w:pStyle w:val="13"/>
                    <w:rPr>
                      <w:b w:val="0"/>
                      <w:sz w:val="21"/>
                      <w:szCs w:val="21"/>
                    </w:rPr>
                  </w:pPr>
                  <w:r>
                    <w:rPr>
                      <w:rFonts w:hint="eastAsia"/>
                      <w:b w:val="0"/>
                      <w:sz w:val="21"/>
                      <w:szCs w:val="21"/>
                    </w:rPr>
                    <w:t>考核标准</w:t>
                  </w:r>
                </w:p>
              </w:tc>
              <w:tc>
                <w:tcPr>
                  <w:tcW w:w="606" w:type="dxa"/>
                  <w:tcBorders>
                    <w:top w:val="single" w:color="auto" w:sz="4" w:space="0"/>
                    <w:left w:val="nil"/>
                    <w:bottom w:val="single" w:color="auto" w:sz="4" w:space="0"/>
                    <w:right w:val="single" w:color="auto" w:sz="4" w:space="0"/>
                  </w:tcBorders>
                  <w:shd w:val="clear" w:color="auto" w:fill="auto"/>
                  <w:vAlign w:val="center"/>
                </w:tcPr>
                <w:p w14:paraId="7168D47F">
                  <w:pPr>
                    <w:pStyle w:val="13"/>
                    <w:rPr>
                      <w:b w:val="0"/>
                      <w:sz w:val="21"/>
                      <w:szCs w:val="21"/>
                    </w:rPr>
                  </w:pPr>
                  <w:r>
                    <w:rPr>
                      <w:rFonts w:hint="eastAsia"/>
                      <w:b w:val="0"/>
                      <w:sz w:val="21"/>
                      <w:szCs w:val="21"/>
                    </w:rPr>
                    <w:t>项目分数</w:t>
                  </w:r>
                </w:p>
              </w:tc>
              <w:tc>
                <w:tcPr>
                  <w:tcW w:w="426" w:type="dxa"/>
                  <w:tcBorders>
                    <w:top w:val="single" w:color="auto" w:sz="4" w:space="0"/>
                    <w:left w:val="nil"/>
                    <w:bottom w:val="single" w:color="auto" w:sz="4" w:space="0"/>
                    <w:right w:val="single" w:color="auto" w:sz="4" w:space="0"/>
                  </w:tcBorders>
                  <w:shd w:val="clear" w:color="auto" w:fill="auto"/>
                  <w:vAlign w:val="center"/>
                </w:tcPr>
                <w:p w14:paraId="1F2C9F56">
                  <w:pPr>
                    <w:pStyle w:val="13"/>
                    <w:rPr>
                      <w:b w:val="0"/>
                      <w:sz w:val="21"/>
                      <w:szCs w:val="21"/>
                    </w:rPr>
                  </w:pPr>
                  <w:r>
                    <w:rPr>
                      <w:rFonts w:hint="eastAsia"/>
                      <w:b w:val="0"/>
                      <w:sz w:val="21"/>
                      <w:szCs w:val="21"/>
                    </w:rPr>
                    <w:t>扣分</w:t>
                  </w:r>
                </w:p>
              </w:tc>
              <w:tc>
                <w:tcPr>
                  <w:tcW w:w="567" w:type="dxa"/>
                  <w:tcBorders>
                    <w:top w:val="single" w:color="auto" w:sz="4" w:space="0"/>
                    <w:left w:val="nil"/>
                    <w:bottom w:val="single" w:color="auto" w:sz="4" w:space="0"/>
                    <w:right w:val="single" w:color="auto" w:sz="4" w:space="0"/>
                  </w:tcBorders>
                  <w:shd w:val="clear" w:color="auto" w:fill="auto"/>
                  <w:vAlign w:val="center"/>
                </w:tcPr>
                <w:p w14:paraId="29BF9FE8">
                  <w:pPr>
                    <w:pStyle w:val="13"/>
                    <w:rPr>
                      <w:b w:val="0"/>
                      <w:sz w:val="21"/>
                      <w:szCs w:val="21"/>
                    </w:rPr>
                  </w:pPr>
                  <w:r>
                    <w:rPr>
                      <w:rFonts w:hint="eastAsia"/>
                      <w:b w:val="0"/>
                      <w:sz w:val="21"/>
                      <w:szCs w:val="21"/>
                    </w:rPr>
                    <w:t>扣分原因</w:t>
                  </w:r>
                </w:p>
              </w:tc>
              <w:tc>
                <w:tcPr>
                  <w:tcW w:w="1116" w:type="dxa"/>
                  <w:tcBorders>
                    <w:top w:val="single" w:color="auto" w:sz="4" w:space="0"/>
                    <w:left w:val="nil"/>
                    <w:bottom w:val="single" w:color="auto" w:sz="4" w:space="0"/>
                    <w:right w:val="single" w:color="auto" w:sz="4" w:space="0"/>
                  </w:tcBorders>
                  <w:shd w:val="clear" w:color="auto" w:fill="auto"/>
                  <w:vAlign w:val="center"/>
                </w:tcPr>
                <w:p w14:paraId="1F597625">
                  <w:pPr>
                    <w:pStyle w:val="13"/>
                    <w:rPr>
                      <w:b w:val="0"/>
                      <w:sz w:val="21"/>
                      <w:szCs w:val="21"/>
                    </w:rPr>
                  </w:pPr>
                  <w:r>
                    <w:rPr>
                      <w:rFonts w:hint="eastAsia"/>
                      <w:b w:val="0"/>
                      <w:sz w:val="21"/>
                      <w:szCs w:val="21"/>
                    </w:rPr>
                    <w:t>备注</w:t>
                  </w:r>
                </w:p>
              </w:tc>
            </w:tr>
            <w:tr w14:paraId="4BDCB9C9">
              <w:tblPrEx>
                <w:tblCellMar>
                  <w:top w:w="0" w:type="dxa"/>
                  <w:left w:w="108" w:type="dxa"/>
                  <w:bottom w:w="0" w:type="dxa"/>
                  <w:right w:w="108" w:type="dxa"/>
                </w:tblCellMar>
              </w:tblPrEx>
              <w:trPr>
                <w:trHeight w:val="1022"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2771E68">
                  <w:pPr>
                    <w:pStyle w:val="13"/>
                    <w:jc w:val="center"/>
                    <w:rPr>
                      <w:b w:val="0"/>
                      <w:sz w:val="21"/>
                      <w:szCs w:val="21"/>
                    </w:rPr>
                  </w:pPr>
                  <w:r>
                    <w:rPr>
                      <w:rFonts w:hint="eastAsia"/>
                      <w:b w:val="0"/>
                      <w:sz w:val="21"/>
                      <w:szCs w:val="21"/>
                    </w:rPr>
                    <w:t>1</w:t>
                  </w:r>
                </w:p>
              </w:tc>
              <w:tc>
                <w:tcPr>
                  <w:tcW w:w="1066" w:type="dxa"/>
                  <w:tcBorders>
                    <w:top w:val="nil"/>
                    <w:left w:val="nil"/>
                    <w:bottom w:val="single" w:color="auto" w:sz="4" w:space="0"/>
                    <w:right w:val="single" w:color="auto" w:sz="4" w:space="0"/>
                  </w:tcBorders>
                  <w:shd w:val="clear" w:color="auto" w:fill="auto"/>
                  <w:vAlign w:val="center"/>
                </w:tcPr>
                <w:p w14:paraId="614F76DC">
                  <w:pPr>
                    <w:pStyle w:val="13"/>
                    <w:rPr>
                      <w:b w:val="0"/>
                      <w:sz w:val="21"/>
                      <w:szCs w:val="21"/>
                    </w:rPr>
                  </w:pPr>
                  <w:r>
                    <w:rPr>
                      <w:rFonts w:hint="eastAsia"/>
                      <w:b w:val="0"/>
                      <w:sz w:val="21"/>
                      <w:szCs w:val="21"/>
                    </w:rPr>
                    <w:t>管理制度</w:t>
                  </w:r>
                </w:p>
              </w:tc>
              <w:tc>
                <w:tcPr>
                  <w:tcW w:w="2840" w:type="dxa"/>
                  <w:tcBorders>
                    <w:top w:val="nil"/>
                    <w:left w:val="nil"/>
                    <w:bottom w:val="single" w:color="auto" w:sz="4" w:space="0"/>
                    <w:right w:val="single" w:color="auto" w:sz="4" w:space="0"/>
                  </w:tcBorders>
                  <w:shd w:val="clear" w:color="auto" w:fill="auto"/>
                  <w:vAlign w:val="center"/>
                </w:tcPr>
                <w:p w14:paraId="750109A0">
                  <w:pPr>
                    <w:pStyle w:val="13"/>
                    <w:rPr>
                      <w:b w:val="0"/>
                      <w:sz w:val="21"/>
                      <w:szCs w:val="21"/>
                    </w:rPr>
                  </w:pPr>
                  <w:r>
                    <w:rPr>
                      <w:rFonts w:hint="eastAsia"/>
                      <w:b w:val="0"/>
                      <w:sz w:val="21"/>
                      <w:szCs w:val="21"/>
                    </w:rPr>
                    <w:t>建立及健全各项管理制度、各岗位工作标准，并制定具体的落实措施和考核办法。每季度对相关物业人员进行专业技能培训，每次培训形成书面材料，记录在案。</w:t>
                  </w:r>
                </w:p>
              </w:tc>
              <w:tc>
                <w:tcPr>
                  <w:tcW w:w="606" w:type="dxa"/>
                  <w:tcBorders>
                    <w:top w:val="nil"/>
                    <w:left w:val="nil"/>
                    <w:bottom w:val="single" w:color="auto" w:sz="4" w:space="0"/>
                    <w:right w:val="single" w:color="auto" w:sz="4" w:space="0"/>
                  </w:tcBorders>
                  <w:shd w:val="clear" w:color="auto" w:fill="auto"/>
                  <w:noWrap/>
                  <w:vAlign w:val="center"/>
                </w:tcPr>
                <w:p w14:paraId="5A8BCE54">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32AE4343">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73D00EC6">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6F50799B">
                  <w:pPr>
                    <w:pStyle w:val="13"/>
                    <w:rPr>
                      <w:b w:val="0"/>
                      <w:sz w:val="21"/>
                      <w:szCs w:val="21"/>
                    </w:rPr>
                  </w:pPr>
                  <w:r>
                    <w:rPr>
                      <w:rFonts w:hint="eastAsia"/>
                      <w:b w:val="0"/>
                      <w:sz w:val="21"/>
                      <w:szCs w:val="21"/>
                    </w:rPr>
                    <w:t>　</w:t>
                  </w:r>
                </w:p>
              </w:tc>
            </w:tr>
            <w:tr w14:paraId="3C3C8D63">
              <w:tblPrEx>
                <w:tblCellMar>
                  <w:top w:w="0" w:type="dxa"/>
                  <w:left w:w="108" w:type="dxa"/>
                  <w:bottom w:w="0" w:type="dxa"/>
                  <w:right w:w="108" w:type="dxa"/>
                </w:tblCellMar>
              </w:tblPrEx>
              <w:trPr>
                <w:trHeight w:val="1210"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1C023CA0">
                  <w:pPr>
                    <w:pStyle w:val="13"/>
                    <w:jc w:val="center"/>
                    <w:rPr>
                      <w:b w:val="0"/>
                      <w:sz w:val="21"/>
                      <w:szCs w:val="21"/>
                    </w:rPr>
                  </w:pPr>
                  <w:r>
                    <w:rPr>
                      <w:rFonts w:hint="eastAsia"/>
                      <w:b w:val="0"/>
                      <w:sz w:val="21"/>
                      <w:szCs w:val="21"/>
                    </w:rPr>
                    <w:t>2</w:t>
                  </w:r>
                </w:p>
              </w:tc>
              <w:tc>
                <w:tcPr>
                  <w:tcW w:w="1066" w:type="dxa"/>
                  <w:tcBorders>
                    <w:top w:val="nil"/>
                    <w:left w:val="nil"/>
                    <w:bottom w:val="single" w:color="auto" w:sz="4" w:space="0"/>
                    <w:right w:val="single" w:color="auto" w:sz="4" w:space="0"/>
                  </w:tcBorders>
                  <w:shd w:val="clear" w:color="auto" w:fill="auto"/>
                  <w:vAlign w:val="center"/>
                </w:tcPr>
                <w:p w14:paraId="321B5E94">
                  <w:pPr>
                    <w:pStyle w:val="13"/>
                    <w:rPr>
                      <w:b w:val="0"/>
                      <w:sz w:val="21"/>
                      <w:szCs w:val="21"/>
                    </w:rPr>
                  </w:pPr>
                  <w:r>
                    <w:rPr>
                      <w:rFonts w:hint="eastAsia"/>
                      <w:b w:val="0"/>
                      <w:sz w:val="21"/>
                      <w:szCs w:val="21"/>
                    </w:rPr>
                    <w:t xml:space="preserve">人员考勤记录 </w:t>
                  </w:r>
                </w:p>
              </w:tc>
              <w:tc>
                <w:tcPr>
                  <w:tcW w:w="2840" w:type="dxa"/>
                  <w:tcBorders>
                    <w:top w:val="nil"/>
                    <w:left w:val="nil"/>
                    <w:bottom w:val="single" w:color="auto" w:sz="4" w:space="0"/>
                    <w:right w:val="single" w:color="auto" w:sz="4" w:space="0"/>
                  </w:tcBorders>
                  <w:shd w:val="clear" w:color="auto" w:fill="auto"/>
                  <w:vAlign w:val="center"/>
                </w:tcPr>
                <w:p w14:paraId="0850F99F">
                  <w:pPr>
                    <w:pStyle w:val="13"/>
                    <w:rPr>
                      <w:b w:val="0"/>
                      <w:sz w:val="21"/>
                      <w:szCs w:val="21"/>
                    </w:rPr>
                  </w:pPr>
                  <w:r>
                    <w:rPr>
                      <w:rFonts w:hint="eastAsia"/>
                      <w:b w:val="0"/>
                      <w:sz w:val="21"/>
                      <w:szCs w:val="21"/>
                    </w:rPr>
                    <w:t>按岗位设置制定考勤表，合理调配人员，需准时到岗，无迟到早退或缺勤现象。制定值班制度，值班人员不得擅自脱岗、早退。（迟到、早退扣1分/人/次，缺岗扣5分/人/次）</w:t>
                  </w:r>
                </w:p>
              </w:tc>
              <w:tc>
                <w:tcPr>
                  <w:tcW w:w="606" w:type="dxa"/>
                  <w:tcBorders>
                    <w:top w:val="nil"/>
                    <w:left w:val="nil"/>
                    <w:bottom w:val="single" w:color="auto" w:sz="4" w:space="0"/>
                    <w:right w:val="single" w:color="auto" w:sz="4" w:space="0"/>
                  </w:tcBorders>
                  <w:shd w:val="clear" w:color="auto" w:fill="auto"/>
                  <w:noWrap/>
                  <w:vAlign w:val="center"/>
                </w:tcPr>
                <w:p w14:paraId="6B384183">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2BA62372">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09120FD0">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6784B0F9">
                  <w:pPr>
                    <w:pStyle w:val="13"/>
                    <w:rPr>
                      <w:b w:val="0"/>
                      <w:sz w:val="21"/>
                      <w:szCs w:val="21"/>
                    </w:rPr>
                  </w:pPr>
                  <w:r>
                    <w:rPr>
                      <w:rFonts w:hint="eastAsia"/>
                      <w:b w:val="0"/>
                      <w:sz w:val="21"/>
                      <w:szCs w:val="21"/>
                    </w:rPr>
                    <w:t>　</w:t>
                  </w:r>
                </w:p>
              </w:tc>
            </w:tr>
            <w:tr w14:paraId="08960217">
              <w:tblPrEx>
                <w:tblCellMar>
                  <w:top w:w="0" w:type="dxa"/>
                  <w:left w:w="108" w:type="dxa"/>
                  <w:bottom w:w="0" w:type="dxa"/>
                  <w:right w:w="108" w:type="dxa"/>
                </w:tblCellMar>
              </w:tblPrEx>
              <w:trPr>
                <w:trHeight w:val="77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66F0729A">
                  <w:pPr>
                    <w:pStyle w:val="13"/>
                    <w:jc w:val="center"/>
                    <w:rPr>
                      <w:b w:val="0"/>
                      <w:sz w:val="21"/>
                      <w:szCs w:val="21"/>
                    </w:rPr>
                  </w:pPr>
                  <w:r>
                    <w:rPr>
                      <w:rFonts w:hint="eastAsia"/>
                      <w:b w:val="0"/>
                      <w:sz w:val="21"/>
                      <w:szCs w:val="21"/>
                    </w:rPr>
                    <w:t>3</w:t>
                  </w:r>
                </w:p>
              </w:tc>
              <w:tc>
                <w:tcPr>
                  <w:tcW w:w="1066" w:type="dxa"/>
                  <w:tcBorders>
                    <w:top w:val="nil"/>
                    <w:left w:val="nil"/>
                    <w:bottom w:val="single" w:color="auto" w:sz="4" w:space="0"/>
                    <w:right w:val="single" w:color="auto" w:sz="4" w:space="0"/>
                  </w:tcBorders>
                  <w:shd w:val="clear" w:color="auto" w:fill="auto"/>
                  <w:vAlign w:val="center"/>
                </w:tcPr>
                <w:p w14:paraId="59D0A408">
                  <w:pPr>
                    <w:pStyle w:val="13"/>
                    <w:rPr>
                      <w:b w:val="0"/>
                      <w:sz w:val="21"/>
                      <w:szCs w:val="21"/>
                    </w:rPr>
                  </w:pPr>
                  <w:r>
                    <w:rPr>
                      <w:rFonts w:hint="eastAsia"/>
                      <w:b w:val="0"/>
                      <w:sz w:val="21"/>
                      <w:szCs w:val="21"/>
                    </w:rPr>
                    <w:t xml:space="preserve">仪表仪容、礼仪行为 </w:t>
                  </w:r>
                </w:p>
              </w:tc>
              <w:tc>
                <w:tcPr>
                  <w:tcW w:w="2840" w:type="dxa"/>
                  <w:tcBorders>
                    <w:top w:val="nil"/>
                    <w:left w:val="nil"/>
                    <w:bottom w:val="single" w:color="auto" w:sz="4" w:space="0"/>
                    <w:right w:val="single" w:color="auto" w:sz="4" w:space="0"/>
                  </w:tcBorders>
                  <w:shd w:val="clear" w:color="auto" w:fill="auto"/>
                  <w:vAlign w:val="center"/>
                </w:tcPr>
                <w:p w14:paraId="591ED22A">
                  <w:pPr>
                    <w:pStyle w:val="13"/>
                    <w:rPr>
                      <w:b w:val="0"/>
                      <w:sz w:val="21"/>
                      <w:szCs w:val="21"/>
                    </w:rPr>
                  </w:pPr>
                  <w:r>
                    <w:rPr>
                      <w:rFonts w:hint="eastAsia"/>
                      <w:b w:val="0"/>
                      <w:sz w:val="21"/>
                      <w:szCs w:val="21"/>
                    </w:rPr>
                    <w:t>员工统一着装，佩戴明显标识，严禁粗话、脏话，无肢体冲突。（扣分1分/次/人）</w:t>
                  </w:r>
                </w:p>
              </w:tc>
              <w:tc>
                <w:tcPr>
                  <w:tcW w:w="606" w:type="dxa"/>
                  <w:tcBorders>
                    <w:top w:val="nil"/>
                    <w:left w:val="nil"/>
                    <w:bottom w:val="single" w:color="auto" w:sz="4" w:space="0"/>
                    <w:right w:val="single" w:color="auto" w:sz="4" w:space="0"/>
                  </w:tcBorders>
                  <w:shd w:val="clear" w:color="auto" w:fill="auto"/>
                  <w:noWrap/>
                  <w:vAlign w:val="center"/>
                </w:tcPr>
                <w:p w14:paraId="4556058D">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5306DDD2">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400599D2">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12FA69B2">
                  <w:pPr>
                    <w:pStyle w:val="13"/>
                    <w:rPr>
                      <w:b w:val="0"/>
                      <w:sz w:val="21"/>
                      <w:szCs w:val="21"/>
                    </w:rPr>
                  </w:pPr>
                  <w:r>
                    <w:rPr>
                      <w:rFonts w:hint="eastAsia"/>
                      <w:b w:val="0"/>
                      <w:sz w:val="21"/>
                      <w:szCs w:val="21"/>
                    </w:rPr>
                    <w:t>　</w:t>
                  </w:r>
                </w:p>
              </w:tc>
            </w:tr>
            <w:tr w14:paraId="15D4B1A8">
              <w:tblPrEx>
                <w:tblCellMar>
                  <w:top w:w="0" w:type="dxa"/>
                  <w:left w:w="108" w:type="dxa"/>
                  <w:bottom w:w="0" w:type="dxa"/>
                  <w:right w:w="108" w:type="dxa"/>
                </w:tblCellMar>
              </w:tblPrEx>
              <w:trPr>
                <w:trHeight w:val="51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6EAD6574">
                  <w:pPr>
                    <w:pStyle w:val="13"/>
                    <w:jc w:val="center"/>
                    <w:rPr>
                      <w:b w:val="0"/>
                      <w:sz w:val="21"/>
                      <w:szCs w:val="21"/>
                    </w:rPr>
                  </w:pPr>
                  <w:r>
                    <w:rPr>
                      <w:rFonts w:hint="eastAsia"/>
                      <w:b w:val="0"/>
                      <w:sz w:val="21"/>
                      <w:szCs w:val="21"/>
                    </w:rPr>
                    <w:t>4</w:t>
                  </w:r>
                </w:p>
              </w:tc>
              <w:tc>
                <w:tcPr>
                  <w:tcW w:w="1066" w:type="dxa"/>
                  <w:tcBorders>
                    <w:top w:val="nil"/>
                    <w:left w:val="nil"/>
                    <w:bottom w:val="single" w:color="auto" w:sz="4" w:space="0"/>
                    <w:right w:val="single" w:color="auto" w:sz="4" w:space="0"/>
                  </w:tcBorders>
                  <w:shd w:val="clear" w:color="auto" w:fill="auto"/>
                  <w:vAlign w:val="center"/>
                </w:tcPr>
                <w:p w14:paraId="599165BF">
                  <w:pPr>
                    <w:pStyle w:val="13"/>
                    <w:rPr>
                      <w:b w:val="0"/>
                      <w:sz w:val="21"/>
                      <w:szCs w:val="21"/>
                    </w:rPr>
                  </w:pPr>
                  <w:r>
                    <w:rPr>
                      <w:rFonts w:hint="eastAsia"/>
                      <w:b w:val="0"/>
                      <w:sz w:val="21"/>
                      <w:szCs w:val="21"/>
                    </w:rPr>
                    <w:t xml:space="preserve">岗位环境 </w:t>
                  </w:r>
                </w:p>
              </w:tc>
              <w:tc>
                <w:tcPr>
                  <w:tcW w:w="2840" w:type="dxa"/>
                  <w:tcBorders>
                    <w:top w:val="nil"/>
                    <w:left w:val="nil"/>
                    <w:bottom w:val="single" w:color="auto" w:sz="4" w:space="0"/>
                    <w:right w:val="single" w:color="auto" w:sz="4" w:space="0"/>
                  </w:tcBorders>
                  <w:shd w:val="clear" w:color="auto" w:fill="auto"/>
                  <w:vAlign w:val="center"/>
                </w:tcPr>
                <w:p w14:paraId="6F9EC1EC">
                  <w:pPr>
                    <w:pStyle w:val="13"/>
                    <w:rPr>
                      <w:b w:val="0"/>
                      <w:sz w:val="21"/>
                      <w:szCs w:val="21"/>
                    </w:rPr>
                  </w:pPr>
                  <w:r>
                    <w:rPr>
                      <w:rFonts w:hint="eastAsia"/>
                      <w:b w:val="0"/>
                      <w:sz w:val="21"/>
                      <w:szCs w:val="21"/>
                    </w:rPr>
                    <w:t>工作、休息区域卫生整洁，各类记录表单、保洁工具摆放整齐、无异味。（扣分1分/周）</w:t>
                  </w:r>
                </w:p>
              </w:tc>
              <w:tc>
                <w:tcPr>
                  <w:tcW w:w="606" w:type="dxa"/>
                  <w:tcBorders>
                    <w:top w:val="nil"/>
                    <w:left w:val="nil"/>
                    <w:bottom w:val="single" w:color="auto" w:sz="4" w:space="0"/>
                    <w:right w:val="single" w:color="auto" w:sz="4" w:space="0"/>
                  </w:tcBorders>
                  <w:shd w:val="clear" w:color="auto" w:fill="auto"/>
                  <w:noWrap/>
                  <w:vAlign w:val="center"/>
                </w:tcPr>
                <w:p w14:paraId="6E9F5337">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noWrap/>
                  <w:vAlign w:val="center"/>
                </w:tcPr>
                <w:p w14:paraId="7ABCDA26">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0A35C571">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2AF56238">
                  <w:pPr>
                    <w:pStyle w:val="13"/>
                    <w:rPr>
                      <w:b w:val="0"/>
                      <w:sz w:val="21"/>
                      <w:szCs w:val="21"/>
                    </w:rPr>
                  </w:pPr>
                  <w:r>
                    <w:rPr>
                      <w:rFonts w:hint="eastAsia"/>
                      <w:b w:val="0"/>
                      <w:sz w:val="21"/>
                      <w:szCs w:val="21"/>
                    </w:rPr>
                    <w:t>　</w:t>
                  </w:r>
                </w:p>
              </w:tc>
            </w:tr>
            <w:tr w14:paraId="44982518">
              <w:tblPrEx>
                <w:tblCellMar>
                  <w:top w:w="0" w:type="dxa"/>
                  <w:left w:w="108" w:type="dxa"/>
                  <w:bottom w:w="0" w:type="dxa"/>
                  <w:right w:w="108" w:type="dxa"/>
                </w:tblCellMar>
              </w:tblPrEx>
              <w:trPr>
                <w:trHeight w:val="51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6586F5D0">
                  <w:pPr>
                    <w:pStyle w:val="13"/>
                    <w:jc w:val="center"/>
                    <w:rPr>
                      <w:b w:val="0"/>
                      <w:sz w:val="21"/>
                      <w:szCs w:val="21"/>
                    </w:rPr>
                  </w:pPr>
                  <w:r>
                    <w:rPr>
                      <w:rFonts w:hint="eastAsia"/>
                      <w:b w:val="0"/>
                      <w:sz w:val="21"/>
                      <w:szCs w:val="21"/>
                    </w:rPr>
                    <w:t>5</w:t>
                  </w:r>
                </w:p>
              </w:tc>
              <w:tc>
                <w:tcPr>
                  <w:tcW w:w="1066" w:type="dxa"/>
                  <w:vMerge w:val="restart"/>
                  <w:tcBorders>
                    <w:top w:val="nil"/>
                    <w:left w:val="single" w:color="auto" w:sz="4" w:space="0"/>
                    <w:bottom w:val="single" w:color="auto" w:sz="4" w:space="0"/>
                    <w:right w:val="single" w:color="auto" w:sz="4" w:space="0"/>
                  </w:tcBorders>
                  <w:shd w:val="clear" w:color="auto" w:fill="auto"/>
                  <w:vAlign w:val="center"/>
                </w:tcPr>
                <w:p w14:paraId="0222831F">
                  <w:pPr>
                    <w:pStyle w:val="13"/>
                    <w:rPr>
                      <w:b w:val="0"/>
                      <w:sz w:val="21"/>
                      <w:szCs w:val="21"/>
                    </w:rPr>
                  </w:pPr>
                  <w:r>
                    <w:rPr>
                      <w:rFonts w:hint="eastAsia"/>
                      <w:b w:val="0"/>
                      <w:sz w:val="21"/>
                      <w:szCs w:val="21"/>
                    </w:rPr>
                    <w:t xml:space="preserve">工作纪律 </w:t>
                  </w:r>
                </w:p>
              </w:tc>
              <w:tc>
                <w:tcPr>
                  <w:tcW w:w="2840" w:type="dxa"/>
                  <w:tcBorders>
                    <w:top w:val="nil"/>
                    <w:left w:val="nil"/>
                    <w:bottom w:val="single" w:color="auto" w:sz="4" w:space="0"/>
                    <w:right w:val="single" w:color="auto" w:sz="4" w:space="0"/>
                  </w:tcBorders>
                  <w:shd w:val="clear" w:color="auto" w:fill="auto"/>
                  <w:vAlign w:val="center"/>
                </w:tcPr>
                <w:p w14:paraId="2A1E1BE7">
                  <w:pPr>
                    <w:pStyle w:val="13"/>
                    <w:rPr>
                      <w:b w:val="0"/>
                      <w:sz w:val="21"/>
                      <w:szCs w:val="21"/>
                    </w:rPr>
                  </w:pPr>
                  <w:r>
                    <w:rPr>
                      <w:rFonts w:hint="eastAsia"/>
                      <w:b w:val="0"/>
                      <w:sz w:val="21"/>
                      <w:szCs w:val="21"/>
                    </w:rPr>
                    <w:t>工作期间不得在工作区域内大声喧哗、吵闹，不得做与工作无关的事情。（扣分1分/次/人）</w:t>
                  </w:r>
                </w:p>
              </w:tc>
              <w:tc>
                <w:tcPr>
                  <w:tcW w:w="606" w:type="dxa"/>
                  <w:tcBorders>
                    <w:top w:val="nil"/>
                    <w:left w:val="nil"/>
                    <w:bottom w:val="single" w:color="auto" w:sz="4" w:space="0"/>
                    <w:right w:val="single" w:color="auto" w:sz="4" w:space="0"/>
                  </w:tcBorders>
                  <w:shd w:val="clear" w:color="auto" w:fill="auto"/>
                  <w:noWrap/>
                  <w:vAlign w:val="center"/>
                </w:tcPr>
                <w:p w14:paraId="5DC1CF1F">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50BCBEE1">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61497F81">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376D7641">
                  <w:pPr>
                    <w:pStyle w:val="13"/>
                    <w:rPr>
                      <w:b w:val="0"/>
                      <w:sz w:val="21"/>
                      <w:szCs w:val="21"/>
                    </w:rPr>
                  </w:pPr>
                  <w:r>
                    <w:rPr>
                      <w:rFonts w:hint="eastAsia"/>
                      <w:b w:val="0"/>
                      <w:sz w:val="21"/>
                      <w:szCs w:val="21"/>
                    </w:rPr>
                    <w:t>　</w:t>
                  </w:r>
                </w:p>
              </w:tc>
            </w:tr>
            <w:tr w14:paraId="3E7BC1B7">
              <w:tblPrEx>
                <w:tblCellMar>
                  <w:top w:w="0" w:type="dxa"/>
                  <w:left w:w="108" w:type="dxa"/>
                  <w:bottom w:w="0" w:type="dxa"/>
                  <w:right w:w="108" w:type="dxa"/>
                </w:tblCellMar>
              </w:tblPrEx>
              <w:trPr>
                <w:trHeight w:val="791"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4E1D66DF">
                  <w:pPr>
                    <w:pStyle w:val="13"/>
                    <w:jc w:val="center"/>
                    <w:rPr>
                      <w:b w:val="0"/>
                      <w:sz w:val="21"/>
                      <w:szCs w:val="21"/>
                    </w:rPr>
                  </w:pPr>
                  <w:r>
                    <w:rPr>
                      <w:rFonts w:hint="eastAsia"/>
                      <w:b w:val="0"/>
                      <w:sz w:val="21"/>
                      <w:szCs w:val="21"/>
                    </w:rPr>
                    <w:t>6</w:t>
                  </w:r>
                </w:p>
              </w:tc>
              <w:tc>
                <w:tcPr>
                  <w:tcW w:w="1066" w:type="dxa"/>
                  <w:vMerge w:val="continue"/>
                  <w:tcBorders>
                    <w:top w:val="nil"/>
                    <w:left w:val="single" w:color="auto" w:sz="4" w:space="0"/>
                    <w:bottom w:val="single" w:color="auto" w:sz="4" w:space="0"/>
                    <w:right w:val="single" w:color="auto" w:sz="4" w:space="0"/>
                  </w:tcBorders>
                  <w:vAlign w:val="center"/>
                </w:tcPr>
                <w:p w14:paraId="7F303A39">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1849796E">
                  <w:pPr>
                    <w:pStyle w:val="13"/>
                    <w:rPr>
                      <w:b w:val="0"/>
                      <w:sz w:val="21"/>
                      <w:szCs w:val="21"/>
                    </w:rPr>
                  </w:pPr>
                  <w:r>
                    <w:rPr>
                      <w:rFonts w:hint="eastAsia"/>
                      <w:b w:val="0"/>
                      <w:sz w:val="21"/>
                      <w:szCs w:val="21"/>
                    </w:rPr>
                    <w:t>各岗位队员熟知本岗位职责，不得离岗、脱岗、睡岗、严禁酒后当值。专业技术岗位需持证上岗。（扣分1分/次/人）</w:t>
                  </w:r>
                </w:p>
              </w:tc>
              <w:tc>
                <w:tcPr>
                  <w:tcW w:w="606" w:type="dxa"/>
                  <w:tcBorders>
                    <w:top w:val="nil"/>
                    <w:left w:val="nil"/>
                    <w:bottom w:val="single" w:color="auto" w:sz="4" w:space="0"/>
                    <w:right w:val="single" w:color="auto" w:sz="4" w:space="0"/>
                  </w:tcBorders>
                  <w:shd w:val="clear" w:color="auto" w:fill="auto"/>
                  <w:noWrap/>
                  <w:vAlign w:val="center"/>
                </w:tcPr>
                <w:p w14:paraId="206D2B13">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10C1F4CF">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79956BAF">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0136F7B8">
                  <w:pPr>
                    <w:pStyle w:val="13"/>
                    <w:rPr>
                      <w:b w:val="0"/>
                      <w:sz w:val="21"/>
                      <w:szCs w:val="21"/>
                    </w:rPr>
                  </w:pPr>
                  <w:r>
                    <w:rPr>
                      <w:rFonts w:hint="eastAsia"/>
                      <w:b w:val="0"/>
                      <w:sz w:val="21"/>
                      <w:szCs w:val="21"/>
                    </w:rPr>
                    <w:t>　</w:t>
                  </w:r>
                </w:p>
              </w:tc>
            </w:tr>
            <w:tr w14:paraId="4D867C7F">
              <w:tblPrEx>
                <w:tblCellMar>
                  <w:top w:w="0" w:type="dxa"/>
                  <w:left w:w="108" w:type="dxa"/>
                  <w:bottom w:w="0" w:type="dxa"/>
                  <w:right w:w="108" w:type="dxa"/>
                </w:tblCellMar>
              </w:tblPrEx>
              <w:trPr>
                <w:trHeight w:val="51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D49ED21">
                  <w:pPr>
                    <w:pStyle w:val="13"/>
                    <w:jc w:val="center"/>
                    <w:rPr>
                      <w:b w:val="0"/>
                      <w:sz w:val="21"/>
                      <w:szCs w:val="21"/>
                    </w:rPr>
                  </w:pPr>
                  <w:r>
                    <w:rPr>
                      <w:rFonts w:hint="eastAsia"/>
                      <w:b w:val="0"/>
                      <w:sz w:val="21"/>
                      <w:szCs w:val="21"/>
                    </w:rPr>
                    <w:t>7</w:t>
                  </w:r>
                </w:p>
              </w:tc>
              <w:tc>
                <w:tcPr>
                  <w:tcW w:w="1066" w:type="dxa"/>
                  <w:vMerge w:val="restart"/>
                  <w:tcBorders>
                    <w:top w:val="nil"/>
                    <w:left w:val="single" w:color="auto" w:sz="4" w:space="0"/>
                    <w:bottom w:val="single" w:color="auto" w:sz="4" w:space="0"/>
                    <w:right w:val="single" w:color="auto" w:sz="4" w:space="0"/>
                  </w:tcBorders>
                  <w:shd w:val="clear" w:color="auto" w:fill="auto"/>
                  <w:vAlign w:val="center"/>
                </w:tcPr>
                <w:p w14:paraId="69B28E56">
                  <w:pPr>
                    <w:pStyle w:val="13"/>
                    <w:rPr>
                      <w:b w:val="0"/>
                      <w:sz w:val="21"/>
                      <w:szCs w:val="21"/>
                    </w:rPr>
                  </w:pPr>
                  <w:r>
                    <w:rPr>
                      <w:rFonts w:hint="eastAsia"/>
                      <w:b w:val="0"/>
                      <w:sz w:val="21"/>
                      <w:szCs w:val="21"/>
                    </w:rPr>
                    <w:t>建筑物及各设施设备日常维护、管理</w:t>
                  </w:r>
                </w:p>
              </w:tc>
              <w:tc>
                <w:tcPr>
                  <w:tcW w:w="2840" w:type="dxa"/>
                  <w:tcBorders>
                    <w:top w:val="nil"/>
                    <w:left w:val="nil"/>
                    <w:bottom w:val="single" w:color="auto" w:sz="4" w:space="0"/>
                    <w:right w:val="single" w:color="auto" w:sz="4" w:space="0"/>
                  </w:tcBorders>
                  <w:shd w:val="clear" w:color="auto" w:fill="auto"/>
                  <w:vAlign w:val="center"/>
                </w:tcPr>
                <w:p w14:paraId="4D20BBA2">
                  <w:pPr>
                    <w:pStyle w:val="13"/>
                    <w:rPr>
                      <w:b w:val="0"/>
                      <w:sz w:val="21"/>
                      <w:szCs w:val="21"/>
                    </w:rPr>
                  </w:pPr>
                  <w:r>
                    <w:rPr>
                      <w:rFonts w:hint="eastAsia"/>
                      <w:b w:val="0"/>
                      <w:sz w:val="21"/>
                      <w:szCs w:val="21"/>
                    </w:rPr>
                    <w:t>建立各种巡检、维修等工作日志，详细记录设施设备现状、运行状态，维修情况等。（扣分1分/周）</w:t>
                  </w:r>
                </w:p>
              </w:tc>
              <w:tc>
                <w:tcPr>
                  <w:tcW w:w="606" w:type="dxa"/>
                  <w:tcBorders>
                    <w:top w:val="nil"/>
                    <w:left w:val="nil"/>
                    <w:bottom w:val="single" w:color="auto" w:sz="4" w:space="0"/>
                    <w:right w:val="single" w:color="auto" w:sz="4" w:space="0"/>
                  </w:tcBorders>
                  <w:shd w:val="clear" w:color="auto" w:fill="auto"/>
                  <w:noWrap/>
                  <w:vAlign w:val="center"/>
                </w:tcPr>
                <w:p w14:paraId="1A85C47E">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17C2535D">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2477F3CA">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64E03D9A">
                  <w:pPr>
                    <w:pStyle w:val="13"/>
                    <w:rPr>
                      <w:b w:val="0"/>
                      <w:sz w:val="21"/>
                      <w:szCs w:val="21"/>
                    </w:rPr>
                  </w:pPr>
                  <w:r>
                    <w:rPr>
                      <w:rFonts w:hint="eastAsia"/>
                      <w:b w:val="0"/>
                      <w:sz w:val="21"/>
                      <w:szCs w:val="21"/>
                    </w:rPr>
                    <w:t>　</w:t>
                  </w:r>
                </w:p>
              </w:tc>
            </w:tr>
            <w:tr w14:paraId="45968F70">
              <w:tblPrEx>
                <w:tblCellMar>
                  <w:top w:w="0" w:type="dxa"/>
                  <w:left w:w="108" w:type="dxa"/>
                  <w:bottom w:w="0" w:type="dxa"/>
                  <w:right w:w="108" w:type="dxa"/>
                </w:tblCellMar>
              </w:tblPrEx>
              <w:trPr>
                <w:trHeight w:val="589"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9855315">
                  <w:pPr>
                    <w:pStyle w:val="13"/>
                    <w:jc w:val="center"/>
                    <w:rPr>
                      <w:b w:val="0"/>
                      <w:sz w:val="21"/>
                      <w:szCs w:val="21"/>
                    </w:rPr>
                  </w:pPr>
                  <w:r>
                    <w:rPr>
                      <w:rFonts w:hint="eastAsia"/>
                      <w:b w:val="0"/>
                      <w:sz w:val="21"/>
                      <w:szCs w:val="21"/>
                    </w:rPr>
                    <w:t>8</w:t>
                  </w:r>
                </w:p>
              </w:tc>
              <w:tc>
                <w:tcPr>
                  <w:tcW w:w="1066" w:type="dxa"/>
                  <w:vMerge w:val="continue"/>
                  <w:tcBorders>
                    <w:top w:val="nil"/>
                    <w:left w:val="single" w:color="auto" w:sz="4" w:space="0"/>
                    <w:bottom w:val="single" w:color="auto" w:sz="4" w:space="0"/>
                    <w:right w:val="single" w:color="auto" w:sz="4" w:space="0"/>
                  </w:tcBorders>
                  <w:vAlign w:val="center"/>
                </w:tcPr>
                <w:p w14:paraId="5B35A9B0">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5CAD1CEB">
                  <w:pPr>
                    <w:pStyle w:val="13"/>
                    <w:rPr>
                      <w:b w:val="0"/>
                      <w:sz w:val="21"/>
                      <w:szCs w:val="21"/>
                    </w:rPr>
                  </w:pPr>
                  <w:r>
                    <w:rPr>
                      <w:rFonts w:hint="eastAsia"/>
                      <w:b w:val="0"/>
                      <w:sz w:val="21"/>
                      <w:szCs w:val="21"/>
                    </w:rPr>
                    <w:t>定期与维保单位沟通，确保设备设施正常运转。（扣分1分/次）</w:t>
                  </w:r>
                </w:p>
              </w:tc>
              <w:tc>
                <w:tcPr>
                  <w:tcW w:w="606" w:type="dxa"/>
                  <w:tcBorders>
                    <w:top w:val="nil"/>
                    <w:left w:val="nil"/>
                    <w:bottom w:val="single" w:color="auto" w:sz="4" w:space="0"/>
                    <w:right w:val="single" w:color="auto" w:sz="4" w:space="0"/>
                  </w:tcBorders>
                  <w:shd w:val="clear" w:color="auto" w:fill="auto"/>
                  <w:noWrap/>
                  <w:vAlign w:val="center"/>
                </w:tcPr>
                <w:p w14:paraId="4115A7D9">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vAlign w:val="center"/>
                </w:tcPr>
                <w:p w14:paraId="44111BD8">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69119C79">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1720671E">
                  <w:pPr>
                    <w:pStyle w:val="13"/>
                    <w:rPr>
                      <w:b w:val="0"/>
                      <w:sz w:val="21"/>
                      <w:szCs w:val="21"/>
                    </w:rPr>
                  </w:pPr>
                  <w:r>
                    <w:rPr>
                      <w:rFonts w:hint="eastAsia"/>
                      <w:b w:val="0"/>
                      <w:sz w:val="21"/>
                      <w:szCs w:val="21"/>
                    </w:rPr>
                    <w:t>　</w:t>
                  </w:r>
                </w:p>
              </w:tc>
            </w:tr>
            <w:tr w14:paraId="1FDBB2FB">
              <w:tblPrEx>
                <w:tblCellMar>
                  <w:top w:w="0" w:type="dxa"/>
                  <w:left w:w="108" w:type="dxa"/>
                  <w:bottom w:w="0" w:type="dxa"/>
                  <w:right w:w="108" w:type="dxa"/>
                </w:tblCellMar>
              </w:tblPrEx>
              <w:trPr>
                <w:trHeight w:val="51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30E1FAA3">
                  <w:pPr>
                    <w:pStyle w:val="13"/>
                    <w:jc w:val="center"/>
                    <w:rPr>
                      <w:b w:val="0"/>
                      <w:sz w:val="21"/>
                      <w:szCs w:val="21"/>
                    </w:rPr>
                  </w:pPr>
                  <w:r>
                    <w:rPr>
                      <w:rFonts w:hint="eastAsia"/>
                      <w:b w:val="0"/>
                      <w:sz w:val="21"/>
                      <w:szCs w:val="21"/>
                    </w:rPr>
                    <w:t>9</w:t>
                  </w:r>
                </w:p>
              </w:tc>
              <w:tc>
                <w:tcPr>
                  <w:tcW w:w="1066" w:type="dxa"/>
                  <w:vMerge w:val="continue"/>
                  <w:tcBorders>
                    <w:top w:val="nil"/>
                    <w:left w:val="single" w:color="auto" w:sz="4" w:space="0"/>
                    <w:bottom w:val="single" w:color="auto" w:sz="4" w:space="0"/>
                    <w:right w:val="single" w:color="auto" w:sz="4" w:space="0"/>
                  </w:tcBorders>
                  <w:vAlign w:val="center"/>
                </w:tcPr>
                <w:p w14:paraId="67C4DCB7">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667CF772">
                  <w:pPr>
                    <w:pStyle w:val="13"/>
                    <w:rPr>
                      <w:b w:val="0"/>
                      <w:sz w:val="21"/>
                      <w:szCs w:val="21"/>
                    </w:rPr>
                  </w:pPr>
                  <w:r>
                    <w:rPr>
                      <w:rFonts w:hint="eastAsia"/>
                      <w:b w:val="0"/>
                      <w:sz w:val="21"/>
                      <w:szCs w:val="21"/>
                    </w:rPr>
                    <w:t>如遇紧急维修，如水龙头、阀门等故障，需在60分钟内修复。（扣分1分/次）</w:t>
                  </w:r>
                </w:p>
              </w:tc>
              <w:tc>
                <w:tcPr>
                  <w:tcW w:w="606" w:type="dxa"/>
                  <w:tcBorders>
                    <w:top w:val="nil"/>
                    <w:left w:val="nil"/>
                    <w:bottom w:val="single" w:color="auto" w:sz="4" w:space="0"/>
                    <w:right w:val="single" w:color="auto" w:sz="4" w:space="0"/>
                  </w:tcBorders>
                  <w:shd w:val="clear" w:color="auto" w:fill="auto"/>
                  <w:noWrap/>
                  <w:vAlign w:val="center"/>
                </w:tcPr>
                <w:p w14:paraId="5C1E8681">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vAlign w:val="center"/>
                </w:tcPr>
                <w:p w14:paraId="0E65D550">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0FD46EAC">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0E2F4B3B">
                  <w:pPr>
                    <w:pStyle w:val="13"/>
                    <w:rPr>
                      <w:b w:val="0"/>
                      <w:sz w:val="21"/>
                      <w:szCs w:val="21"/>
                    </w:rPr>
                  </w:pPr>
                  <w:r>
                    <w:rPr>
                      <w:rFonts w:hint="eastAsia"/>
                      <w:b w:val="0"/>
                      <w:sz w:val="21"/>
                      <w:szCs w:val="21"/>
                    </w:rPr>
                    <w:t>　</w:t>
                  </w:r>
                </w:p>
              </w:tc>
            </w:tr>
            <w:tr w14:paraId="0B971F23">
              <w:tblPrEx>
                <w:tblCellMar>
                  <w:top w:w="0" w:type="dxa"/>
                  <w:left w:w="108" w:type="dxa"/>
                  <w:bottom w:w="0" w:type="dxa"/>
                  <w:right w:w="108" w:type="dxa"/>
                </w:tblCellMar>
              </w:tblPrEx>
              <w:trPr>
                <w:trHeight w:val="690"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9AE085B">
                  <w:pPr>
                    <w:pStyle w:val="13"/>
                    <w:jc w:val="center"/>
                    <w:rPr>
                      <w:b w:val="0"/>
                      <w:sz w:val="21"/>
                      <w:szCs w:val="21"/>
                    </w:rPr>
                  </w:pPr>
                  <w:r>
                    <w:rPr>
                      <w:rFonts w:hint="eastAsia"/>
                      <w:b w:val="0"/>
                      <w:sz w:val="21"/>
                      <w:szCs w:val="21"/>
                    </w:rPr>
                    <w:t>10</w:t>
                  </w:r>
                </w:p>
              </w:tc>
              <w:tc>
                <w:tcPr>
                  <w:tcW w:w="1066" w:type="dxa"/>
                  <w:vMerge w:val="restart"/>
                  <w:tcBorders>
                    <w:top w:val="nil"/>
                    <w:left w:val="single" w:color="auto" w:sz="4" w:space="0"/>
                    <w:bottom w:val="single" w:color="auto" w:sz="4" w:space="0"/>
                    <w:right w:val="single" w:color="auto" w:sz="4" w:space="0"/>
                  </w:tcBorders>
                  <w:shd w:val="clear" w:color="auto" w:fill="auto"/>
                  <w:vAlign w:val="center"/>
                </w:tcPr>
                <w:p w14:paraId="2FF4FD4C">
                  <w:pPr>
                    <w:pStyle w:val="13"/>
                    <w:rPr>
                      <w:b w:val="0"/>
                      <w:sz w:val="21"/>
                      <w:szCs w:val="21"/>
                    </w:rPr>
                  </w:pPr>
                  <w:r>
                    <w:rPr>
                      <w:rFonts w:hint="eastAsia"/>
                      <w:b w:val="0"/>
                      <w:sz w:val="21"/>
                      <w:szCs w:val="21"/>
                    </w:rPr>
                    <w:t>公共区域</w:t>
                  </w:r>
                </w:p>
              </w:tc>
              <w:tc>
                <w:tcPr>
                  <w:tcW w:w="2840" w:type="dxa"/>
                  <w:tcBorders>
                    <w:top w:val="nil"/>
                    <w:left w:val="nil"/>
                    <w:bottom w:val="single" w:color="auto" w:sz="4" w:space="0"/>
                    <w:right w:val="single" w:color="auto" w:sz="4" w:space="0"/>
                  </w:tcBorders>
                  <w:shd w:val="clear" w:color="auto" w:fill="auto"/>
                  <w:vAlign w:val="center"/>
                </w:tcPr>
                <w:p w14:paraId="28E6B5FE">
                  <w:pPr>
                    <w:pStyle w:val="13"/>
                    <w:rPr>
                      <w:b w:val="0"/>
                      <w:sz w:val="21"/>
                      <w:szCs w:val="21"/>
                    </w:rPr>
                  </w:pPr>
                  <w:r>
                    <w:rPr>
                      <w:rFonts w:hint="eastAsia"/>
                      <w:b w:val="0"/>
                      <w:sz w:val="21"/>
                      <w:szCs w:val="21"/>
                    </w:rPr>
                    <w:t>地面、地脚线、指示牌、垃圾桶消防设施无污渍、水迹、尘迹、光洁明亮；灯饰、吊顶、送排风口无蛛丝、无污尘。（扣分1分/周）</w:t>
                  </w:r>
                </w:p>
              </w:tc>
              <w:tc>
                <w:tcPr>
                  <w:tcW w:w="606" w:type="dxa"/>
                  <w:tcBorders>
                    <w:top w:val="nil"/>
                    <w:left w:val="nil"/>
                    <w:bottom w:val="single" w:color="auto" w:sz="4" w:space="0"/>
                    <w:right w:val="single" w:color="auto" w:sz="4" w:space="0"/>
                  </w:tcBorders>
                  <w:shd w:val="clear" w:color="auto" w:fill="auto"/>
                  <w:noWrap/>
                  <w:vAlign w:val="center"/>
                </w:tcPr>
                <w:p w14:paraId="7FABCE67">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0797D71F">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3E969EAF">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12A1F4AA">
                  <w:pPr>
                    <w:pStyle w:val="13"/>
                    <w:rPr>
                      <w:b w:val="0"/>
                      <w:sz w:val="21"/>
                      <w:szCs w:val="21"/>
                    </w:rPr>
                  </w:pPr>
                  <w:r>
                    <w:rPr>
                      <w:rFonts w:hint="eastAsia"/>
                      <w:b w:val="0"/>
                      <w:sz w:val="21"/>
                      <w:szCs w:val="21"/>
                    </w:rPr>
                    <w:t>　</w:t>
                  </w:r>
                </w:p>
              </w:tc>
            </w:tr>
            <w:tr w14:paraId="06D9F0CD">
              <w:tblPrEx>
                <w:tblCellMar>
                  <w:top w:w="0" w:type="dxa"/>
                  <w:left w:w="108" w:type="dxa"/>
                  <w:bottom w:w="0" w:type="dxa"/>
                  <w:right w:w="108" w:type="dxa"/>
                </w:tblCellMar>
              </w:tblPrEx>
              <w:trPr>
                <w:trHeight w:val="516"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C58A347">
                  <w:pPr>
                    <w:pStyle w:val="13"/>
                    <w:jc w:val="center"/>
                    <w:rPr>
                      <w:b w:val="0"/>
                      <w:sz w:val="21"/>
                      <w:szCs w:val="21"/>
                    </w:rPr>
                  </w:pPr>
                  <w:r>
                    <w:rPr>
                      <w:rFonts w:hint="eastAsia"/>
                      <w:b w:val="0"/>
                      <w:sz w:val="21"/>
                      <w:szCs w:val="21"/>
                    </w:rPr>
                    <w:t>11</w:t>
                  </w:r>
                </w:p>
              </w:tc>
              <w:tc>
                <w:tcPr>
                  <w:tcW w:w="1066" w:type="dxa"/>
                  <w:vMerge w:val="continue"/>
                  <w:tcBorders>
                    <w:top w:val="nil"/>
                    <w:left w:val="single" w:color="auto" w:sz="4" w:space="0"/>
                    <w:bottom w:val="single" w:color="auto" w:sz="4" w:space="0"/>
                    <w:right w:val="single" w:color="auto" w:sz="4" w:space="0"/>
                  </w:tcBorders>
                  <w:vAlign w:val="center"/>
                </w:tcPr>
                <w:p w14:paraId="1A7A3A14">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45C4EE5C">
                  <w:pPr>
                    <w:pStyle w:val="13"/>
                    <w:rPr>
                      <w:b w:val="0"/>
                      <w:sz w:val="21"/>
                      <w:szCs w:val="21"/>
                    </w:rPr>
                  </w:pPr>
                  <w:r>
                    <w:rPr>
                      <w:rFonts w:hint="eastAsia"/>
                      <w:b w:val="0"/>
                      <w:sz w:val="21"/>
                      <w:szCs w:val="21"/>
                    </w:rPr>
                    <w:t>门窗(玻璃门、框架、窗台、门把手)无手印、无污渍、光洁明亮。（扣分1分/周）</w:t>
                  </w:r>
                </w:p>
              </w:tc>
              <w:tc>
                <w:tcPr>
                  <w:tcW w:w="606" w:type="dxa"/>
                  <w:tcBorders>
                    <w:top w:val="nil"/>
                    <w:left w:val="nil"/>
                    <w:bottom w:val="single" w:color="auto" w:sz="4" w:space="0"/>
                    <w:right w:val="single" w:color="auto" w:sz="4" w:space="0"/>
                  </w:tcBorders>
                  <w:shd w:val="clear" w:color="auto" w:fill="auto"/>
                  <w:noWrap/>
                  <w:vAlign w:val="center"/>
                </w:tcPr>
                <w:p w14:paraId="278ED891">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3AFEDBE4">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03C40EA7">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5F02CA39">
                  <w:pPr>
                    <w:pStyle w:val="13"/>
                    <w:rPr>
                      <w:b w:val="0"/>
                      <w:sz w:val="21"/>
                      <w:szCs w:val="21"/>
                    </w:rPr>
                  </w:pPr>
                  <w:r>
                    <w:rPr>
                      <w:rFonts w:hint="eastAsia"/>
                      <w:b w:val="0"/>
                      <w:sz w:val="21"/>
                      <w:szCs w:val="21"/>
                    </w:rPr>
                    <w:t>　</w:t>
                  </w:r>
                </w:p>
              </w:tc>
            </w:tr>
            <w:tr w14:paraId="7D1C8FD4">
              <w:tblPrEx>
                <w:tblCellMar>
                  <w:top w:w="0" w:type="dxa"/>
                  <w:left w:w="108" w:type="dxa"/>
                  <w:bottom w:w="0" w:type="dxa"/>
                  <w:right w:w="108" w:type="dxa"/>
                </w:tblCellMar>
              </w:tblPrEx>
              <w:trPr>
                <w:trHeight w:val="675"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6FD35F8A">
                  <w:pPr>
                    <w:pStyle w:val="13"/>
                    <w:jc w:val="center"/>
                    <w:rPr>
                      <w:b w:val="0"/>
                      <w:sz w:val="21"/>
                      <w:szCs w:val="21"/>
                    </w:rPr>
                  </w:pPr>
                  <w:r>
                    <w:rPr>
                      <w:rFonts w:hint="eastAsia"/>
                      <w:b w:val="0"/>
                      <w:sz w:val="21"/>
                      <w:szCs w:val="21"/>
                    </w:rPr>
                    <w:t>12</w:t>
                  </w:r>
                </w:p>
              </w:tc>
              <w:tc>
                <w:tcPr>
                  <w:tcW w:w="1066" w:type="dxa"/>
                  <w:vMerge w:val="restart"/>
                  <w:tcBorders>
                    <w:top w:val="nil"/>
                    <w:left w:val="single" w:color="auto" w:sz="4" w:space="0"/>
                    <w:bottom w:val="single" w:color="auto" w:sz="4" w:space="0"/>
                    <w:right w:val="single" w:color="auto" w:sz="4" w:space="0"/>
                  </w:tcBorders>
                  <w:shd w:val="clear" w:color="auto" w:fill="auto"/>
                  <w:vAlign w:val="center"/>
                </w:tcPr>
                <w:p w14:paraId="6528A32B">
                  <w:pPr>
                    <w:pStyle w:val="13"/>
                    <w:rPr>
                      <w:b w:val="0"/>
                      <w:sz w:val="21"/>
                      <w:szCs w:val="21"/>
                    </w:rPr>
                  </w:pPr>
                  <w:r>
                    <w:rPr>
                      <w:rFonts w:hint="eastAsia"/>
                      <w:b w:val="0"/>
                      <w:sz w:val="21"/>
                      <w:szCs w:val="21"/>
                    </w:rPr>
                    <w:t>公共卫生间</w:t>
                  </w:r>
                </w:p>
              </w:tc>
              <w:tc>
                <w:tcPr>
                  <w:tcW w:w="2840" w:type="dxa"/>
                  <w:tcBorders>
                    <w:top w:val="nil"/>
                    <w:left w:val="nil"/>
                    <w:bottom w:val="single" w:color="auto" w:sz="4" w:space="0"/>
                    <w:right w:val="single" w:color="auto" w:sz="4" w:space="0"/>
                  </w:tcBorders>
                  <w:shd w:val="clear" w:color="auto" w:fill="auto"/>
                  <w:vAlign w:val="center"/>
                </w:tcPr>
                <w:p w14:paraId="5BC2133F">
                  <w:pPr>
                    <w:pStyle w:val="13"/>
                    <w:rPr>
                      <w:b w:val="0"/>
                      <w:sz w:val="21"/>
                      <w:szCs w:val="21"/>
                    </w:rPr>
                  </w:pPr>
                  <w:r>
                    <w:rPr>
                      <w:rFonts w:hint="eastAsia"/>
                      <w:b w:val="0"/>
                      <w:sz w:val="21"/>
                      <w:szCs w:val="21"/>
                    </w:rPr>
                    <w:t>蹲厕、小便池洗刷干净、保持无异味、无污渍；镜面保持光亮、无水迹，面盆无水锈；台面无水迹、无皂迹。（扣分2分/周）</w:t>
                  </w:r>
                </w:p>
              </w:tc>
              <w:tc>
                <w:tcPr>
                  <w:tcW w:w="606" w:type="dxa"/>
                  <w:tcBorders>
                    <w:top w:val="nil"/>
                    <w:left w:val="nil"/>
                    <w:bottom w:val="single" w:color="auto" w:sz="4" w:space="0"/>
                    <w:right w:val="single" w:color="auto" w:sz="4" w:space="0"/>
                  </w:tcBorders>
                  <w:shd w:val="clear" w:color="auto" w:fill="auto"/>
                  <w:noWrap/>
                  <w:vAlign w:val="center"/>
                </w:tcPr>
                <w:p w14:paraId="7B928401">
                  <w:pPr>
                    <w:pStyle w:val="13"/>
                    <w:jc w:val="center"/>
                    <w:rPr>
                      <w:b w:val="0"/>
                      <w:sz w:val="21"/>
                      <w:szCs w:val="21"/>
                    </w:rPr>
                  </w:pPr>
                  <w:r>
                    <w:rPr>
                      <w:rFonts w:hint="eastAsia"/>
                      <w:b w:val="0"/>
                      <w:sz w:val="21"/>
                      <w:szCs w:val="21"/>
                    </w:rPr>
                    <w:t>8</w:t>
                  </w:r>
                </w:p>
              </w:tc>
              <w:tc>
                <w:tcPr>
                  <w:tcW w:w="426" w:type="dxa"/>
                  <w:tcBorders>
                    <w:top w:val="nil"/>
                    <w:left w:val="nil"/>
                    <w:bottom w:val="single" w:color="auto" w:sz="4" w:space="0"/>
                    <w:right w:val="single" w:color="auto" w:sz="4" w:space="0"/>
                  </w:tcBorders>
                  <w:shd w:val="clear" w:color="auto" w:fill="auto"/>
                  <w:vAlign w:val="center"/>
                </w:tcPr>
                <w:p w14:paraId="50A26EC2">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4DD84278">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2095DDB8">
                  <w:pPr>
                    <w:pStyle w:val="13"/>
                    <w:rPr>
                      <w:b w:val="0"/>
                      <w:sz w:val="21"/>
                      <w:szCs w:val="21"/>
                    </w:rPr>
                  </w:pPr>
                  <w:r>
                    <w:rPr>
                      <w:rFonts w:hint="eastAsia"/>
                      <w:b w:val="0"/>
                      <w:sz w:val="21"/>
                      <w:szCs w:val="21"/>
                    </w:rPr>
                    <w:t>　</w:t>
                  </w:r>
                </w:p>
              </w:tc>
            </w:tr>
            <w:tr w14:paraId="3C5C7C93">
              <w:tblPrEx>
                <w:tblCellMar>
                  <w:top w:w="0" w:type="dxa"/>
                  <w:left w:w="108" w:type="dxa"/>
                  <w:bottom w:w="0" w:type="dxa"/>
                  <w:right w:w="108" w:type="dxa"/>
                </w:tblCellMar>
              </w:tblPrEx>
              <w:trPr>
                <w:trHeight w:val="531"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7FDF61F7">
                  <w:pPr>
                    <w:pStyle w:val="13"/>
                    <w:jc w:val="center"/>
                    <w:rPr>
                      <w:b w:val="0"/>
                      <w:sz w:val="21"/>
                      <w:szCs w:val="21"/>
                    </w:rPr>
                  </w:pPr>
                  <w:r>
                    <w:rPr>
                      <w:rFonts w:hint="eastAsia"/>
                      <w:b w:val="0"/>
                      <w:sz w:val="21"/>
                      <w:szCs w:val="21"/>
                    </w:rPr>
                    <w:t>13</w:t>
                  </w:r>
                </w:p>
              </w:tc>
              <w:tc>
                <w:tcPr>
                  <w:tcW w:w="1066" w:type="dxa"/>
                  <w:vMerge w:val="continue"/>
                  <w:tcBorders>
                    <w:top w:val="nil"/>
                    <w:left w:val="single" w:color="auto" w:sz="4" w:space="0"/>
                    <w:bottom w:val="single" w:color="auto" w:sz="4" w:space="0"/>
                    <w:right w:val="single" w:color="auto" w:sz="4" w:space="0"/>
                  </w:tcBorders>
                  <w:vAlign w:val="center"/>
                </w:tcPr>
                <w:p w14:paraId="71739BAA">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6DAC32AF">
                  <w:pPr>
                    <w:pStyle w:val="13"/>
                    <w:rPr>
                      <w:b w:val="0"/>
                      <w:sz w:val="21"/>
                      <w:szCs w:val="21"/>
                    </w:rPr>
                  </w:pPr>
                  <w:r>
                    <w:rPr>
                      <w:rFonts w:hint="eastAsia"/>
                      <w:b w:val="0"/>
                      <w:sz w:val="21"/>
                      <w:szCs w:val="21"/>
                    </w:rPr>
                    <w:t>拖把池无杂物、无堵塞；排水无杂物、无堵塞。（扣分1分/周）</w:t>
                  </w:r>
                </w:p>
              </w:tc>
              <w:tc>
                <w:tcPr>
                  <w:tcW w:w="606" w:type="dxa"/>
                  <w:tcBorders>
                    <w:top w:val="nil"/>
                    <w:left w:val="nil"/>
                    <w:bottom w:val="single" w:color="auto" w:sz="4" w:space="0"/>
                    <w:right w:val="single" w:color="auto" w:sz="4" w:space="0"/>
                  </w:tcBorders>
                  <w:shd w:val="clear" w:color="auto" w:fill="auto"/>
                  <w:noWrap/>
                  <w:vAlign w:val="center"/>
                </w:tcPr>
                <w:p w14:paraId="4BC3E649">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1CB181AB">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33BB06D8">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2A2B177A">
                  <w:pPr>
                    <w:pStyle w:val="13"/>
                    <w:rPr>
                      <w:b w:val="0"/>
                      <w:sz w:val="21"/>
                      <w:szCs w:val="21"/>
                    </w:rPr>
                  </w:pPr>
                  <w:r>
                    <w:rPr>
                      <w:rFonts w:hint="eastAsia"/>
                      <w:b w:val="0"/>
                      <w:sz w:val="21"/>
                      <w:szCs w:val="21"/>
                    </w:rPr>
                    <w:t>　</w:t>
                  </w:r>
                </w:p>
              </w:tc>
            </w:tr>
            <w:tr w14:paraId="254DB0D5">
              <w:tblPrEx>
                <w:tblCellMar>
                  <w:top w:w="0" w:type="dxa"/>
                  <w:left w:w="108" w:type="dxa"/>
                  <w:bottom w:w="0" w:type="dxa"/>
                  <w:right w:w="108" w:type="dxa"/>
                </w:tblCellMar>
              </w:tblPrEx>
              <w:trPr>
                <w:trHeight w:val="474"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526866E5">
                  <w:pPr>
                    <w:pStyle w:val="13"/>
                    <w:jc w:val="center"/>
                    <w:rPr>
                      <w:b w:val="0"/>
                      <w:sz w:val="21"/>
                      <w:szCs w:val="21"/>
                    </w:rPr>
                  </w:pPr>
                  <w:r>
                    <w:rPr>
                      <w:rFonts w:hint="eastAsia"/>
                      <w:b w:val="0"/>
                      <w:sz w:val="21"/>
                      <w:szCs w:val="21"/>
                    </w:rPr>
                    <w:t>14</w:t>
                  </w:r>
                </w:p>
              </w:tc>
              <w:tc>
                <w:tcPr>
                  <w:tcW w:w="1066" w:type="dxa"/>
                  <w:vMerge w:val="restart"/>
                  <w:tcBorders>
                    <w:top w:val="nil"/>
                    <w:left w:val="single" w:color="auto" w:sz="4" w:space="0"/>
                    <w:bottom w:val="single" w:color="000000" w:sz="4" w:space="0"/>
                    <w:right w:val="single" w:color="auto" w:sz="4" w:space="0"/>
                  </w:tcBorders>
                  <w:shd w:val="clear" w:color="auto" w:fill="auto"/>
                  <w:vAlign w:val="center"/>
                </w:tcPr>
                <w:p w14:paraId="2D8C985C">
                  <w:pPr>
                    <w:pStyle w:val="13"/>
                    <w:rPr>
                      <w:b w:val="0"/>
                      <w:sz w:val="21"/>
                      <w:szCs w:val="21"/>
                    </w:rPr>
                  </w:pPr>
                  <w:r>
                    <w:rPr>
                      <w:rFonts w:hint="eastAsia"/>
                      <w:b w:val="0"/>
                      <w:sz w:val="21"/>
                      <w:szCs w:val="21"/>
                    </w:rPr>
                    <w:t>道路等露天区域(含:车库、消防通道)</w:t>
                  </w:r>
                </w:p>
              </w:tc>
              <w:tc>
                <w:tcPr>
                  <w:tcW w:w="2840" w:type="dxa"/>
                  <w:tcBorders>
                    <w:top w:val="nil"/>
                    <w:left w:val="nil"/>
                    <w:bottom w:val="single" w:color="auto" w:sz="4" w:space="0"/>
                    <w:right w:val="single" w:color="auto" w:sz="4" w:space="0"/>
                  </w:tcBorders>
                  <w:shd w:val="clear" w:color="auto" w:fill="auto"/>
                  <w:vAlign w:val="center"/>
                </w:tcPr>
                <w:p w14:paraId="7F577F24">
                  <w:pPr>
                    <w:pStyle w:val="13"/>
                    <w:rPr>
                      <w:b w:val="0"/>
                      <w:sz w:val="21"/>
                      <w:szCs w:val="21"/>
                    </w:rPr>
                  </w:pPr>
                  <w:r>
                    <w:rPr>
                      <w:rFonts w:hint="eastAsia"/>
                      <w:b w:val="0"/>
                      <w:sz w:val="21"/>
                      <w:szCs w:val="21"/>
                    </w:rPr>
                    <w:t>道路整洁、无杂物堆积。（扣分1分/周）</w:t>
                  </w:r>
                </w:p>
              </w:tc>
              <w:tc>
                <w:tcPr>
                  <w:tcW w:w="606" w:type="dxa"/>
                  <w:tcBorders>
                    <w:top w:val="nil"/>
                    <w:left w:val="nil"/>
                    <w:bottom w:val="single" w:color="auto" w:sz="4" w:space="0"/>
                    <w:right w:val="single" w:color="auto" w:sz="4" w:space="0"/>
                  </w:tcBorders>
                  <w:shd w:val="clear" w:color="auto" w:fill="auto"/>
                  <w:noWrap/>
                  <w:vAlign w:val="center"/>
                </w:tcPr>
                <w:p w14:paraId="3688AEBB">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1B01F88B">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69524873">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7C3C3ECC">
                  <w:pPr>
                    <w:pStyle w:val="13"/>
                    <w:rPr>
                      <w:b w:val="0"/>
                      <w:sz w:val="21"/>
                      <w:szCs w:val="21"/>
                    </w:rPr>
                  </w:pPr>
                  <w:r>
                    <w:rPr>
                      <w:rFonts w:hint="eastAsia"/>
                      <w:b w:val="0"/>
                      <w:sz w:val="21"/>
                      <w:szCs w:val="21"/>
                    </w:rPr>
                    <w:t>　</w:t>
                  </w:r>
                </w:p>
              </w:tc>
            </w:tr>
            <w:tr w14:paraId="2604F933">
              <w:tblPrEx>
                <w:tblCellMar>
                  <w:top w:w="0" w:type="dxa"/>
                  <w:left w:w="108" w:type="dxa"/>
                  <w:bottom w:w="0" w:type="dxa"/>
                  <w:right w:w="108" w:type="dxa"/>
                </w:tblCellMar>
              </w:tblPrEx>
              <w:trPr>
                <w:trHeight w:val="431"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07463C0C">
                  <w:pPr>
                    <w:pStyle w:val="13"/>
                    <w:jc w:val="center"/>
                    <w:rPr>
                      <w:b w:val="0"/>
                      <w:sz w:val="21"/>
                      <w:szCs w:val="21"/>
                    </w:rPr>
                  </w:pPr>
                  <w:r>
                    <w:rPr>
                      <w:rFonts w:hint="eastAsia"/>
                      <w:b w:val="0"/>
                      <w:sz w:val="21"/>
                      <w:szCs w:val="21"/>
                    </w:rPr>
                    <w:t>15</w:t>
                  </w:r>
                </w:p>
              </w:tc>
              <w:tc>
                <w:tcPr>
                  <w:tcW w:w="1066" w:type="dxa"/>
                  <w:vMerge w:val="continue"/>
                  <w:tcBorders>
                    <w:top w:val="nil"/>
                    <w:left w:val="single" w:color="auto" w:sz="4" w:space="0"/>
                    <w:bottom w:val="single" w:color="000000" w:sz="4" w:space="0"/>
                    <w:right w:val="single" w:color="auto" w:sz="4" w:space="0"/>
                  </w:tcBorders>
                  <w:vAlign w:val="center"/>
                </w:tcPr>
                <w:p w14:paraId="2E9C34EF">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3F2FF709">
                  <w:pPr>
                    <w:pStyle w:val="13"/>
                    <w:rPr>
                      <w:b w:val="0"/>
                      <w:sz w:val="21"/>
                      <w:szCs w:val="21"/>
                    </w:rPr>
                  </w:pPr>
                  <w:r>
                    <w:rPr>
                      <w:rFonts w:hint="eastAsia"/>
                      <w:b w:val="0"/>
                      <w:sz w:val="21"/>
                      <w:szCs w:val="21"/>
                    </w:rPr>
                    <w:t>绿化带无杂物及枯枝叶。（扣分1分/周）</w:t>
                  </w:r>
                </w:p>
              </w:tc>
              <w:tc>
                <w:tcPr>
                  <w:tcW w:w="606" w:type="dxa"/>
                  <w:tcBorders>
                    <w:top w:val="nil"/>
                    <w:left w:val="nil"/>
                    <w:bottom w:val="single" w:color="auto" w:sz="4" w:space="0"/>
                    <w:right w:val="single" w:color="auto" w:sz="4" w:space="0"/>
                  </w:tcBorders>
                  <w:shd w:val="clear" w:color="auto" w:fill="auto"/>
                  <w:noWrap/>
                  <w:vAlign w:val="center"/>
                </w:tcPr>
                <w:p w14:paraId="630C24A1">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vAlign w:val="center"/>
                </w:tcPr>
                <w:p w14:paraId="39934F80">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176ADFED">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0F384E6B">
                  <w:pPr>
                    <w:pStyle w:val="13"/>
                    <w:rPr>
                      <w:b w:val="0"/>
                      <w:sz w:val="21"/>
                      <w:szCs w:val="21"/>
                    </w:rPr>
                  </w:pPr>
                  <w:r>
                    <w:rPr>
                      <w:rFonts w:hint="eastAsia"/>
                      <w:b w:val="0"/>
                      <w:sz w:val="21"/>
                      <w:szCs w:val="21"/>
                    </w:rPr>
                    <w:t>　</w:t>
                  </w:r>
                </w:p>
              </w:tc>
            </w:tr>
            <w:tr w14:paraId="0180E415">
              <w:tblPrEx>
                <w:tblCellMar>
                  <w:top w:w="0" w:type="dxa"/>
                  <w:left w:w="108" w:type="dxa"/>
                  <w:bottom w:w="0" w:type="dxa"/>
                  <w:right w:w="108" w:type="dxa"/>
                </w:tblCellMar>
              </w:tblPrEx>
              <w:trPr>
                <w:trHeight w:val="791"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2BB0E5AE">
                  <w:pPr>
                    <w:pStyle w:val="13"/>
                    <w:jc w:val="center"/>
                    <w:rPr>
                      <w:b w:val="0"/>
                      <w:sz w:val="21"/>
                      <w:szCs w:val="21"/>
                    </w:rPr>
                  </w:pPr>
                  <w:r>
                    <w:rPr>
                      <w:rFonts w:hint="eastAsia"/>
                      <w:b w:val="0"/>
                      <w:sz w:val="21"/>
                      <w:szCs w:val="21"/>
                    </w:rPr>
                    <w:t>16</w:t>
                  </w:r>
                </w:p>
              </w:tc>
              <w:tc>
                <w:tcPr>
                  <w:tcW w:w="1066" w:type="dxa"/>
                  <w:vMerge w:val="restart"/>
                  <w:tcBorders>
                    <w:top w:val="nil"/>
                    <w:left w:val="single" w:color="auto" w:sz="4" w:space="0"/>
                    <w:bottom w:val="single" w:color="000000" w:sz="4" w:space="0"/>
                    <w:right w:val="single" w:color="auto" w:sz="4" w:space="0"/>
                  </w:tcBorders>
                  <w:shd w:val="clear" w:color="auto" w:fill="auto"/>
                  <w:vAlign w:val="center"/>
                </w:tcPr>
                <w:p w14:paraId="0F650BAE">
                  <w:pPr>
                    <w:pStyle w:val="13"/>
                    <w:rPr>
                      <w:b w:val="0"/>
                      <w:sz w:val="21"/>
                      <w:szCs w:val="21"/>
                    </w:rPr>
                  </w:pPr>
                  <w:r>
                    <w:rPr>
                      <w:rFonts w:hint="eastAsia"/>
                      <w:b w:val="0"/>
                      <w:sz w:val="21"/>
                      <w:szCs w:val="21"/>
                    </w:rPr>
                    <w:t>垃圾收集</w:t>
                  </w:r>
                </w:p>
              </w:tc>
              <w:tc>
                <w:tcPr>
                  <w:tcW w:w="2840" w:type="dxa"/>
                  <w:tcBorders>
                    <w:top w:val="nil"/>
                    <w:left w:val="nil"/>
                    <w:bottom w:val="single" w:color="auto" w:sz="4" w:space="0"/>
                    <w:right w:val="single" w:color="auto" w:sz="4" w:space="0"/>
                  </w:tcBorders>
                  <w:shd w:val="clear" w:color="auto" w:fill="auto"/>
                  <w:vAlign w:val="center"/>
                </w:tcPr>
                <w:p w14:paraId="011757CE">
                  <w:pPr>
                    <w:pStyle w:val="13"/>
                    <w:rPr>
                      <w:b w:val="0"/>
                      <w:sz w:val="21"/>
                      <w:szCs w:val="21"/>
                    </w:rPr>
                  </w:pPr>
                  <w:r>
                    <w:rPr>
                      <w:rFonts w:hint="eastAsia"/>
                      <w:b w:val="0"/>
                      <w:sz w:val="21"/>
                      <w:szCs w:val="21"/>
                    </w:rPr>
                    <w:t>按要求进行垃圾分类，垃圾桶存量不超过上缘、垃圾不在桶内过夜，无法装入桶内的物品要及时清理。（扣分2分/周）</w:t>
                  </w:r>
                </w:p>
              </w:tc>
              <w:tc>
                <w:tcPr>
                  <w:tcW w:w="606" w:type="dxa"/>
                  <w:tcBorders>
                    <w:top w:val="nil"/>
                    <w:left w:val="nil"/>
                    <w:bottom w:val="single" w:color="auto" w:sz="4" w:space="0"/>
                    <w:right w:val="single" w:color="auto" w:sz="4" w:space="0"/>
                  </w:tcBorders>
                  <w:shd w:val="clear" w:color="auto" w:fill="auto"/>
                  <w:noWrap/>
                  <w:vAlign w:val="center"/>
                </w:tcPr>
                <w:p w14:paraId="482E229D">
                  <w:pPr>
                    <w:pStyle w:val="13"/>
                    <w:jc w:val="center"/>
                    <w:rPr>
                      <w:b w:val="0"/>
                      <w:sz w:val="21"/>
                      <w:szCs w:val="21"/>
                    </w:rPr>
                  </w:pPr>
                  <w:r>
                    <w:rPr>
                      <w:rFonts w:hint="eastAsia"/>
                      <w:b w:val="0"/>
                      <w:sz w:val="21"/>
                      <w:szCs w:val="21"/>
                    </w:rPr>
                    <w:t>8</w:t>
                  </w:r>
                </w:p>
              </w:tc>
              <w:tc>
                <w:tcPr>
                  <w:tcW w:w="426" w:type="dxa"/>
                  <w:tcBorders>
                    <w:top w:val="nil"/>
                    <w:left w:val="nil"/>
                    <w:bottom w:val="single" w:color="auto" w:sz="4" w:space="0"/>
                    <w:right w:val="single" w:color="auto" w:sz="4" w:space="0"/>
                  </w:tcBorders>
                  <w:shd w:val="clear" w:color="auto" w:fill="auto"/>
                  <w:vAlign w:val="center"/>
                </w:tcPr>
                <w:p w14:paraId="20777381">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4D10E367">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1DFA901C">
                  <w:pPr>
                    <w:pStyle w:val="13"/>
                    <w:rPr>
                      <w:b w:val="0"/>
                      <w:sz w:val="21"/>
                      <w:szCs w:val="21"/>
                    </w:rPr>
                  </w:pPr>
                  <w:r>
                    <w:rPr>
                      <w:rFonts w:hint="eastAsia"/>
                      <w:b w:val="0"/>
                      <w:sz w:val="21"/>
                      <w:szCs w:val="21"/>
                    </w:rPr>
                    <w:t>　</w:t>
                  </w:r>
                </w:p>
              </w:tc>
            </w:tr>
            <w:tr w14:paraId="3407C81A">
              <w:tblPrEx>
                <w:tblCellMar>
                  <w:top w:w="0" w:type="dxa"/>
                  <w:left w:w="108" w:type="dxa"/>
                  <w:bottom w:w="0" w:type="dxa"/>
                  <w:right w:w="108" w:type="dxa"/>
                </w:tblCellMar>
              </w:tblPrEx>
              <w:trPr>
                <w:trHeight w:val="1035"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0EE3F4B0">
                  <w:pPr>
                    <w:pStyle w:val="13"/>
                    <w:jc w:val="center"/>
                    <w:rPr>
                      <w:b w:val="0"/>
                      <w:sz w:val="21"/>
                      <w:szCs w:val="21"/>
                    </w:rPr>
                  </w:pPr>
                  <w:r>
                    <w:rPr>
                      <w:rFonts w:hint="eastAsia"/>
                      <w:b w:val="0"/>
                      <w:sz w:val="21"/>
                      <w:szCs w:val="21"/>
                    </w:rPr>
                    <w:t>17</w:t>
                  </w:r>
                </w:p>
              </w:tc>
              <w:tc>
                <w:tcPr>
                  <w:tcW w:w="1066" w:type="dxa"/>
                  <w:vMerge w:val="continue"/>
                  <w:tcBorders>
                    <w:top w:val="nil"/>
                    <w:left w:val="single" w:color="auto" w:sz="4" w:space="0"/>
                    <w:bottom w:val="single" w:color="000000" w:sz="4" w:space="0"/>
                    <w:right w:val="single" w:color="auto" w:sz="4" w:space="0"/>
                  </w:tcBorders>
                  <w:vAlign w:val="center"/>
                </w:tcPr>
                <w:p w14:paraId="224241ED">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0D72A244">
                  <w:pPr>
                    <w:pStyle w:val="13"/>
                    <w:rPr>
                      <w:b w:val="0"/>
                      <w:sz w:val="21"/>
                      <w:szCs w:val="21"/>
                    </w:rPr>
                  </w:pPr>
                  <w:r>
                    <w:rPr>
                      <w:rFonts w:hint="eastAsia"/>
                      <w:b w:val="0"/>
                      <w:sz w:val="21"/>
                      <w:szCs w:val="21"/>
                    </w:rPr>
                    <w:t>医疗废弃物、废液收集有专人处理；收集时确认封口严密、标识清晰完整；按类别使用专用医疗废物容器、垃圾袋包装，按医院规定的路线、时间，使用密闭运输工具转运到指定的医疗废物暂存点。（扣分2分/周）</w:t>
                  </w:r>
                </w:p>
              </w:tc>
              <w:tc>
                <w:tcPr>
                  <w:tcW w:w="606" w:type="dxa"/>
                  <w:tcBorders>
                    <w:top w:val="nil"/>
                    <w:left w:val="nil"/>
                    <w:bottom w:val="single" w:color="auto" w:sz="4" w:space="0"/>
                    <w:right w:val="single" w:color="auto" w:sz="4" w:space="0"/>
                  </w:tcBorders>
                  <w:shd w:val="clear" w:color="auto" w:fill="auto"/>
                  <w:vAlign w:val="center"/>
                </w:tcPr>
                <w:p w14:paraId="15F4F32F">
                  <w:pPr>
                    <w:pStyle w:val="13"/>
                    <w:jc w:val="center"/>
                    <w:rPr>
                      <w:b w:val="0"/>
                      <w:sz w:val="21"/>
                      <w:szCs w:val="21"/>
                    </w:rPr>
                  </w:pPr>
                  <w:r>
                    <w:rPr>
                      <w:rFonts w:hint="eastAsia"/>
                      <w:b w:val="0"/>
                      <w:sz w:val="21"/>
                      <w:szCs w:val="21"/>
                    </w:rPr>
                    <w:t>8</w:t>
                  </w:r>
                </w:p>
              </w:tc>
              <w:tc>
                <w:tcPr>
                  <w:tcW w:w="426" w:type="dxa"/>
                  <w:tcBorders>
                    <w:top w:val="nil"/>
                    <w:left w:val="nil"/>
                    <w:bottom w:val="single" w:color="auto" w:sz="4" w:space="0"/>
                    <w:right w:val="single" w:color="auto" w:sz="4" w:space="0"/>
                  </w:tcBorders>
                  <w:shd w:val="clear" w:color="auto" w:fill="auto"/>
                  <w:vAlign w:val="center"/>
                </w:tcPr>
                <w:p w14:paraId="610050C1">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vAlign w:val="center"/>
                </w:tcPr>
                <w:p w14:paraId="2B6E595D">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vAlign w:val="center"/>
                </w:tcPr>
                <w:p w14:paraId="0B4CCC71">
                  <w:pPr>
                    <w:pStyle w:val="13"/>
                    <w:rPr>
                      <w:b w:val="0"/>
                      <w:sz w:val="21"/>
                      <w:szCs w:val="21"/>
                    </w:rPr>
                  </w:pPr>
                  <w:r>
                    <w:rPr>
                      <w:rFonts w:hint="eastAsia"/>
                      <w:b w:val="0"/>
                      <w:sz w:val="21"/>
                      <w:szCs w:val="21"/>
                    </w:rPr>
                    <w:t>　</w:t>
                  </w:r>
                </w:p>
              </w:tc>
            </w:tr>
            <w:tr w14:paraId="206A993B">
              <w:tblPrEx>
                <w:tblCellMar>
                  <w:top w:w="0" w:type="dxa"/>
                  <w:left w:w="108" w:type="dxa"/>
                  <w:bottom w:w="0" w:type="dxa"/>
                  <w:right w:w="108" w:type="dxa"/>
                </w:tblCellMar>
              </w:tblPrEx>
              <w:trPr>
                <w:trHeight w:val="1733"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788A6334">
                  <w:pPr>
                    <w:pStyle w:val="13"/>
                    <w:jc w:val="center"/>
                    <w:rPr>
                      <w:b w:val="0"/>
                      <w:sz w:val="21"/>
                      <w:szCs w:val="21"/>
                    </w:rPr>
                  </w:pPr>
                  <w:r>
                    <w:rPr>
                      <w:rFonts w:hint="eastAsia"/>
                      <w:b w:val="0"/>
                      <w:sz w:val="21"/>
                      <w:szCs w:val="21"/>
                    </w:rPr>
                    <w:t>18</w:t>
                  </w:r>
                </w:p>
              </w:tc>
              <w:tc>
                <w:tcPr>
                  <w:tcW w:w="1066" w:type="dxa"/>
                  <w:vMerge w:val="restart"/>
                  <w:tcBorders>
                    <w:top w:val="nil"/>
                    <w:left w:val="single" w:color="auto" w:sz="4" w:space="0"/>
                    <w:bottom w:val="single" w:color="000000" w:sz="4" w:space="0"/>
                    <w:right w:val="single" w:color="auto" w:sz="4" w:space="0"/>
                  </w:tcBorders>
                  <w:shd w:val="clear" w:color="auto" w:fill="auto"/>
                  <w:vAlign w:val="center"/>
                </w:tcPr>
                <w:p w14:paraId="7AA054D4">
                  <w:pPr>
                    <w:pStyle w:val="13"/>
                    <w:rPr>
                      <w:b w:val="0"/>
                      <w:sz w:val="21"/>
                      <w:szCs w:val="21"/>
                    </w:rPr>
                  </w:pPr>
                  <w:r>
                    <w:rPr>
                      <w:rFonts w:hint="eastAsia"/>
                      <w:b w:val="0"/>
                      <w:sz w:val="21"/>
                      <w:szCs w:val="21"/>
                    </w:rPr>
                    <w:t>快速反应</w:t>
                  </w:r>
                </w:p>
              </w:tc>
              <w:tc>
                <w:tcPr>
                  <w:tcW w:w="2840" w:type="dxa"/>
                  <w:tcBorders>
                    <w:top w:val="nil"/>
                    <w:left w:val="nil"/>
                    <w:bottom w:val="single" w:color="auto" w:sz="4" w:space="0"/>
                    <w:right w:val="single" w:color="auto" w:sz="4" w:space="0"/>
                  </w:tcBorders>
                  <w:shd w:val="clear" w:color="auto" w:fill="auto"/>
                  <w:vAlign w:val="center"/>
                </w:tcPr>
                <w:p w14:paraId="0C2DAECC">
                  <w:pPr>
                    <w:pStyle w:val="13"/>
                    <w:rPr>
                      <w:b w:val="0"/>
                      <w:sz w:val="21"/>
                      <w:szCs w:val="21"/>
                    </w:rPr>
                  </w:pPr>
                  <w:r>
                    <w:rPr>
                      <w:rFonts w:hint="eastAsia"/>
                      <w:b w:val="0"/>
                      <w:sz w:val="21"/>
                      <w:szCs w:val="21"/>
                    </w:rPr>
                    <w:t>制定符合现场突发事件应急预案，到岗员工熟悉预案流程。面对突发事件及时到达现场并作出合理处置及报告程序合理。（扣分1分/周）</w:t>
                  </w:r>
                </w:p>
              </w:tc>
              <w:tc>
                <w:tcPr>
                  <w:tcW w:w="606" w:type="dxa"/>
                  <w:tcBorders>
                    <w:top w:val="nil"/>
                    <w:left w:val="nil"/>
                    <w:bottom w:val="single" w:color="auto" w:sz="4" w:space="0"/>
                    <w:right w:val="single" w:color="auto" w:sz="4" w:space="0"/>
                  </w:tcBorders>
                  <w:shd w:val="clear" w:color="auto" w:fill="auto"/>
                  <w:noWrap/>
                  <w:vAlign w:val="center"/>
                </w:tcPr>
                <w:p w14:paraId="77EA1661">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noWrap/>
                  <w:vAlign w:val="center"/>
                </w:tcPr>
                <w:p w14:paraId="1542F7E4">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1AC8471C">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44D665AA">
                  <w:pPr>
                    <w:pStyle w:val="13"/>
                    <w:rPr>
                      <w:b w:val="0"/>
                      <w:sz w:val="21"/>
                      <w:szCs w:val="21"/>
                    </w:rPr>
                  </w:pPr>
                  <w:r>
                    <w:rPr>
                      <w:rFonts w:hint="eastAsia"/>
                      <w:b w:val="0"/>
                      <w:sz w:val="21"/>
                      <w:szCs w:val="21"/>
                    </w:rPr>
                    <w:t>　</w:t>
                  </w:r>
                </w:p>
              </w:tc>
            </w:tr>
            <w:tr w14:paraId="0F9A4C3E">
              <w:tblPrEx>
                <w:tblCellMar>
                  <w:top w:w="0" w:type="dxa"/>
                  <w:left w:w="108" w:type="dxa"/>
                  <w:bottom w:w="0" w:type="dxa"/>
                  <w:right w:w="108" w:type="dxa"/>
                </w:tblCellMar>
              </w:tblPrEx>
              <w:trPr>
                <w:trHeight w:val="849"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43565D0D">
                  <w:pPr>
                    <w:pStyle w:val="13"/>
                    <w:jc w:val="center"/>
                    <w:rPr>
                      <w:b w:val="0"/>
                      <w:sz w:val="21"/>
                      <w:szCs w:val="21"/>
                    </w:rPr>
                  </w:pPr>
                  <w:r>
                    <w:rPr>
                      <w:rFonts w:hint="eastAsia"/>
                      <w:b w:val="0"/>
                      <w:sz w:val="21"/>
                      <w:szCs w:val="21"/>
                    </w:rPr>
                    <w:t>19</w:t>
                  </w:r>
                </w:p>
              </w:tc>
              <w:tc>
                <w:tcPr>
                  <w:tcW w:w="1066" w:type="dxa"/>
                  <w:vMerge w:val="continue"/>
                  <w:tcBorders>
                    <w:top w:val="nil"/>
                    <w:left w:val="single" w:color="auto" w:sz="4" w:space="0"/>
                    <w:bottom w:val="single" w:color="000000" w:sz="4" w:space="0"/>
                    <w:right w:val="single" w:color="auto" w:sz="4" w:space="0"/>
                  </w:tcBorders>
                  <w:vAlign w:val="center"/>
                </w:tcPr>
                <w:p w14:paraId="0C5D3E79">
                  <w:pPr>
                    <w:widowControl/>
                    <w:spacing w:line="360" w:lineRule="auto"/>
                    <w:rPr>
                      <w:rFonts w:asciiTheme="minorEastAsia" w:hAnsiTheme="minorEastAsia" w:eastAsiaTheme="minorEastAsia"/>
                      <w:szCs w:val="21"/>
                    </w:rPr>
                  </w:pPr>
                </w:p>
              </w:tc>
              <w:tc>
                <w:tcPr>
                  <w:tcW w:w="2840" w:type="dxa"/>
                  <w:tcBorders>
                    <w:top w:val="nil"/>
                    <w:left w:val="nil"/>
                    <w:bottom w:val="single" w:color="auto" w:sz="4" w:space="0"/>
                    <w:right w:val="single" w:color="auto" w:sz="4" w:space="0"/>
                  </w:tcBorders>
                  <w:shd w:val="clear" w:color="auto" w:fill="auto"/>
                  <w:vAlign w:val="center"/>
                </w:tcPr>
                <w:p w14:paraId="30F51330">
                  <w:pPr>
                    <w:pStyle w:val="13"/>
                    <w:rPr>
                      <w:b w:val="0"/>
                      <w:sz w:val="21"/>
                      <w:szCs w:val="21"/>
                    </w:rPr>
                  </w:pPr>
                  <w:r>
                    <w:rPr>
                      <w:rFonts w:hint="eastAsia"/>
                      <w:b w:val="0"/>
                      <w:sz w:val="21"/>
                      <w:szCs w:val="21"/>
                    </w:rPr>
                    <w:t>临时性任务能迅速组织人员到场，及时有效完成布置的任务。（扣分1分/周）</w:t>
                  </w:r>
                </w:p>
              </w:tc>
              <w:tc>
                <w:tcPr>
                  <w:tcW w:w="606" w:type="dxa"/>
                  <w:tcBorders>
                    <w:top w:val="nil"/>
                    <w:left w:val="nil"/>
                    <w:bottom w:val="single" w:color="auto" w:sz="4" w:space="0"/>
                    <w:right w:val="single" w:color="auto" w:sz="4" w:space="0"/>
                  </w:tcBorders>
                  <w:shd w:val="clear" w:color="auto" w:fill="auto"/>
                  <w:noWrap/>
                  <w:vAlign w:val="center"/>
                </w:tcPr>
                <w:p w14:paraId="11D1799E">
                  <w:pPr>
                    <w:pStyle w:val="13"/>
                    <w:jc w:val="center"/>
                    <w:rPr>
                      <w:b w:val="0"/>
                      <w:sz w:val="21"/>
                      <w:szCs w:val="21"/>
                    </w:rPr>
                  </w:pPr>
                  <w:r>
                    <w:rPr>
                      <w:rFonts w:hint="eastAsia"/>
                      <w:b w:val="0"/>
                      <w:sz w:val="21"/>
                      <w:szCs w:val="21"/>
                    </w:rPr>
                    <w:t>4</w:t>
                  </w:r>
                </w:p>
              </w:tc>
              <w:tc>
                <w:tcPr>
                  <w:tcW w:w="426" w:type="dxa"/>
                  <w:tcBorders>
                    <w:top w:val="nil"/>
                    <w:left w:val="nil"/>
                    <w:bottom w:val="single" w:color="auto" w:sz="4" w:space="0"/>
                    <w:right w:val="single" w:color="auto" w:sz="4" w:space="0"/>
                  </w:tcBorders>
                  <w:shd w:val="clear" w:color="auto" w:fill="auto"/>
                  <w:noWrap/>
                  <w:vAlign w:val="center"/>
                </w:tcPr>
                <w:p w14:paraId="301044D7">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11DA1323">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0216F672">
                  <w:pPr>
                    <w:pStyle w:val="13"/>
                    <w:rPr>
                      <w:b w:val="0"/>
                      <w:sz w:val="21"/>
                      <w:szCs w:val="21"/>
                    </w:rPr>
                  </w:pPr>
                  <w:r>
                    <w:rPr>
                      <w:rFonts w:hint="eastAsia"/>
                      <w:b w:val="0"/>
                      <w:sz w:val="21"/>
                      <w:szCs w:val="21"/>
                    </w:rPr>
                    <w:t>　</w:t>
                  </w:r>
                </w:p>
              </w:tc>
            </w:tr>
            <w:tr w14:paraId="4E5B1B1F">
              <w:tblPrEx>
                <w:tblCellMar>
                  <w:top w:w="0" w:type="dxa"/>
                  <w:left w:w="108" w:type="dxa"/>
                  <w:bottom w:w="0" w:type="dxa"/>
                  <w:right w:w="108" w:type="dxa"/>
                </w:tblCellMar>
              </w:tblPrEx>
              <w:trPr>
                <w:trHeight w:val="1122" w:hRule="atLeast"/>
              </w:trPr>
              <w:tc>
                <w:tcPr>
                  <w:tcW w:w="591" w:type="dxa"/>
                  <w:tcBorders>
                    <w:top w:val="nil"/>
                    <w:left w:val="single" w:color="auto" w:sz="4" w:space="0"/>
                    <w:bottom w:val="single" w:color="auto" w:sz="4" w:space="0"/>
                    <w:right w:val="single" w:color="auto" w:sz="4" w:space="0"/>
                  </w:tcBorders>
                  <w:shd w:val="clear" w:color="auto" w:fill="auto"/>
                  <w:noWrap/>
                  <w:vAlign w:val="center"/>
                </w:tcPr>
                <w:p w14:paraId="48477A9A">
                  <w:pPr>
                    <w:pStyle w:val="13"/>
                    <w:jc w:val="center"/>
                    <w:rPr>
                      <w:b w:val="0"/>
                      <w:sz w:val="21"/>
                      <w:szCs w:val="21"/>
                    </w:rPr>
                  </w:pPr>
                  <w:r>
                    <w:rPr>
                      <w:rFonts w:hint="eastAsia"/>
                      <w:b w:val="0"/>
                      <w:sz w:val="21"/>
                      <w:szCs w:val="21"/>
                    </w:rPr>
                    <w:t>20</w:t>
                  </w:r>
                </w:p>
              </w:tc>
              <w:tc>
                <w:tcPr>
                  <w:tcW w:w="1066" w:type="dxa"/>
                  <w:tcBorders>
                    <w:top w:val="nil"/>
                    <w:left w:val="nil"/>
                    <w:bottom w:val="single" w:color="auto" w:sz="4" w:space="0"/>
                    <w:right w:val="single" w:color="auto" w:sz="4" w:space="0"/>
                  </w:tcBorders>
                  <w:shd w:val="clear" w:color="auto" w:fill="auto"/>
                  <w:vAlign w:val="center"/>
                </w:tcPr>
                <w:p w14:paraId="3FEF31D3">
                  <w:pPr>
                    <w:pStyle w:val="13"/>
                    <w:rPr>
                      <w:b w:val="0"/>
                      <w:sz w:val="21"/>
                      <w:szCs w:val="21"/>
                    </w:rPr>
                  </w:pPr>
                  <w:r>
                    <w:rPr>
                      <w:rFonts w:hint="eastAsia"/>
                      <w:b w:val="0"/>
                      <w:sz w:val="21"/>
                      <w:szCs w:val="21"/>
                    </w:rPr>
                    <w:t>执行力</w:t>
                  </w:r>
                </w:p>
              </w:tc>
              <w:tc>
                <w:tcPr>
                  <w:tcW w:w="2840" w:type="dxa"/>
                  <w:tcBorders>
                    <w:top w:val="nil"/>
                    <w:left w:val="nil"/>
                    <w:bottom w:val="single" w:color="auto" w:sz="4" w:space="0"/>
                    <w:right w:val="single" w:color="auto" w:sz="4" w:space="0"/>
                  </w:tcBorders>
                  <w:shd w:val="clear" w:color="auto" w:fill="auto"/>
                  <w:vAlign w:val="center"/>
                </w:tcPr>
                <w:p w14:paraId="6FF36A3A">
                  <w:pPr>
                    <w:pStyle w:val="13"/>
                    <w:rPr>
                      <w:b w:val="0"/>
                      <w:sz w:val="21"/>
                      <w:szCs w:val="21"/>
                    </w:rPr>
                  </w:pPr>
                  <w:r>
                    <w:rPr>
                      <w:rFonts w:hint="eastAsia"/>
                      <w:b w:val="0"/>
                      <w:sz w:val="21"/>
                      <w:szCs w:val="21"/>
                    </w:rPr>
                    <w:t>工作中积极主动不计个人得失，发挥主观能动性，高效高质地完成各项工作任务。对于工作中碰到的问题与协同部门进行沟通并及时反馈进展。工作中主动对潜在的问题进行发掘并做出各种预见性方案。</w:t>
                  </w:r>
                </w:p>
              </w:tc>
              <w:tc>
                <w:tcPr>
                  <w:tcW w:w="606" w:type="dxa"/>
                  <w:tcBorders>
                    <w:top w:val="nil"/>
                    <w:left w:val="nil"/>
                    <w:bottom w:val="single" w:color="auto" w:sz="4" w:space="0"/>
                    <w:right w:val="single" w:color="auto" w:sz="4" w:space="0"/>
                  </w:tcBorders>
                  <w:shd w:val="clear" w:color="auto" w:fill="auto"/>
                  <w:noWrap/>
                  <w:vAlign w:val="center"/>
                </w:tcPr>
                <w:p w14:paraId="74781E4F">
                  <w:pPr>
                    <w:pStyle w:val="13"/>
                    <w:jc w:val="center"/>
                    <w:rPr>
                      <w:b w:val="0"/>
                      <w:sz w:val="21"/>
                      <w:szCs w:val="21"/>
                    </w:rPr>
                  </w:pPr>
                  <w:r>
                    <w:rPr>
                      <w:rFonts w:hint="eastAsia"/>
                      <w:b w:val="0"/>
                      <w:sz w:val="21"/>
                      <w:szCs w:val="21"/>
                    </w:rPr>
                    <w:t>5</w:t>
                  </w:r>
                </w:p>
              </w:tc>
              <w:tc>
                <w:tcPr>
                  <w:tcW w:w="426" w:type="dxa"/>
                  <w:tcBorders>
                    <w:top w:val="nil"/>
                    <w:left w:val="nil"/>
                    <w:bottom w:val="single" w:color="auto" w:sz="4" w:space="0"/>
                    <w:right w:val="single" w:color="auto" w:sz="4" w:space="0"/>
                  </w:tcBorders>
                  <w:shd w:val="clear" w:color="auto" w:fill="auto"/>
                  <w:noWrap/>
                  <w:vAlign w:val="center"/>
                </w:tcPr>
                <w:p w14:paraId="1522A348">
                  <w:pPr>
                    <w:pStyle w:val="13"/>
                    <w:rPr>
                      <w:b w:val="0"/>
                      <w:sz w:val="21"/>
                      <w:szCs w:val="21"/>
                    </w:rPr>
                  </w:pPr>
                  <w:r>
                    <w:rPr>
                      <w:rFonts w:hint="eastAsia"/>
                      <w:b w:val="0"/>
                      <w:sz w:val="21"/>
                      <w:szCs w:val="21"/>
                    </w:rPr>
                    <w:t>　</w:t>
                  </w:r>
                </w:p>
              </w:tc>
              <w:tc>
                <w:tcPr>
                  <w:tcW w:w="567" w:type="dxa"/>
                  <w:tcBorders>
                    <w:top w:val="nil"/>
                    <w:left w:val="nil"/>
                    <w:bottom w:val="single" w:color="auto" w:sz="4" w:space="0"/>
                    <w:right w:val="single" w:color="auto" w:sz="4" w:space="0"/>
                  </w:tcBorders>
                  <w:shd w:val="clear" w:color="auto" w:fill="auto"/>
                  <w:noWrap/>
                  <w:vAlign w:val="center"/>
                </w:tcPr>
                <w:p w14:paraId="4DCFF290">
                  <w:pPr>
                    <w:pStyle w:val="13"/>
                    <w:rPr>
                      <w:b w:val="0"/>
                      <w:sz w:val="21"/>
                      <w:szCs w:val="21"/>
                    </w:rPr>
                  </w:pPr>
                  <w:r>
                    <w:rPr>
                      <w:rFonts w:hint="eastAsia"/>
                      <w:b w:val="0"/>
                      <w:sz w:val="21"/>
                      <w:szCs w:val="21"/>
                    </w:rPr>
                    <w:t>　</w:t>
                  </w:r>
                </w:p>
              </w:tc>
              <w:tc>
                <w:tcPr>
                  <w:tcW w:w="1116" w:type="dxa"/>
                  <w:tcBorders>
                    <w:top w:val="nil"/>
                    <w:left w:val="nil"/>
                    <w:bottom w:val="single" w:color="auto" w:sz="4" w:space="0"/>
                    <w:right w:val="single" w:color="auto" w:sz="4" w:space="0"/>
                  </w:tcBorders>
                  <w:shd w:val="clear" w:color="auto" w:fill="auto"/>
                  <w:noWrap/>
                  <w:vAlign w:val="center"/>
                </w:tcPr>
                <w:p w14:paraId="6BED7D8C">
                  <w:pPr>
                    <w:pStyle w:val="13"/>
                    <w:rPr>
                      <w:b w:val="0"/>
                      <w:sz w:val="21"/>
                      <w:szCs w:val="21"/>
                    </w:rPr>
                  </w:pPr>
                  <w:r>
                    <w:rPr>
                      <w:rFonts w:hint="eastAsia"/>
                      <w:b w:val="0"/>
                      <w:sz w:val="21"/>
                      <w:szCs w:val="21"/>
                    </w:rPr>
                    <w:t>　</w:t>
                  </w:r>
                </w:p>
              </w:tc>
            </w:tr>
            <w:tr w14:paraId="61910AB5">
              <w:tblPrEx>
                <w:tblCellMar>
                  <w:top w:w="0" w:type="dxa"/>
                  <w:left w:w="108" w:type="dxa"/>
                  <w:bottom w:w="0" w:type="dxa"/>
                  <w:right w:w="108" w:type="dxa"/>
                </w:tblCellMar>
              </w:tblPrEx>
              <w:trPr>
                <w:trHeight w:val="572" w:hRule="atLeast"/>
              </w:trPr>
              <w:tc>
                <w:tcPr>
                  <w:tcW w:w="591" w:type="dxa"/>
                  <w:tcBorders>
                    <w:top w:val="nil"/>
                    <w:left w:val="nil"/>
                    <w:bottom w:val="nil"/>
                    <w:right w:val="nil"/>
                  </w:tcBorders>
                  <w:shd w:val="clear" w:color="auto" w:fill="auto"/>
                  <w:noWrap/>
                  <w:vAlign w:val="center"/>
                </w:tcPr>
                <w:p w14:paraId="02FF36DD">
                  <w:pPr>
                    <w:pStyle w:val="13"/>
                    <w:jc w:val="center"/>
                    <w:rPr>
                      <w:b w:val="0"/>
                      <w:sz w:val="21"/>
                      <w:szCs w:val="21"/>
                    </w:rPr>
                  </w:pPr>
                </w:p>
              </w:tc>
              <w:tc>
                <w:tcPr>
                  <w:tcW w:w="1066" w:type="dxa"/>
                  <w:tcBorders>
                    <w:top w:val="nil"/>
                    <w:left w:val="nil"/>
                    <w:bottom w:val="nil"/>
                    <w:right w:val="nil"/>
                  </w:tcBorders>
                  <w:shd w:val="clear" w:color="auto" w:fill="auto"/>
                  <w:noWrap/>
                  <w:vAlign w:val="center"/>
                </w:tcPr>
                <w:p w14:paraId="5F679E69">
                  <w:pPr>
                    <w:pStyle w:val="13"/>
                    <w:rPr>
                      <w:b w:val="0"/>
                      <w:sz w:val="21"/>
                      <w:szCs w:val="21"/>
                    </w:rPr>
                  </w:pPr>
                  <w:r>
                    <w:rPr>
                      <w:rFonts w:hint="eastAsia"/>
                      <w:b w:val="0"/>
                      <w:sz w:val="21"/>
                      <w:szCs w:val="21"/>
                    </w:rPr>
                    <w:t>　</w:t>
                  </w:r>
                </w:p>
              </w:tc>
              <w:tc>
                <w:tcPr>
                  <w:tcW w:w="2840" w:type="dxa"/>
                  <w:tcBorders>
                    <w:top w:val="nil"/>
                    <w:left w:val="nil"/>
                    <w:bottom w:val="nil"/>
                    <w:right w:val="nil"/>
                  </w:tcBorders>
                  <w:shd w:val="clear" w:color="auto" w:fill="auto"/>
                  <w:vAlign w:val="center"/>
                </w:tcPr>
                <w:p w14:paraId="3E079ECF">
                  <w:pPr>
                    <w:pStyle w:val="13"/>
                    <w:rPr>
                      <w:b w:val="0"/>
                      <w:sz w:val="21"/>
                      <w:szCs w:val="21"/>
                    </w:rPr>
                  </w:pPr>
                  <w:r>
                    <w:rPr>
                      <w:rFonts w:hint="eastAsia"/>
                      <w:b w:val="0"/>
                      <w:sz w:val="21"/>
                      <w:szCs w:val="21"/>
                    </w:rPr>
                    <w:t xml:space="preserve">总分： </w:t>
                  </w:r>
                </w:p>
              </w:tc>
              <w:tc>
                <w:tcPr>
                  <w:tcW w:w="606" w:type="dxa"/>
                  <w:tcBorders>
                    <w:top w:val="nil"/>
                    <w:left w:val="nil"/>
                    <w:bottom w:val="nil"/>
                    <w:right w:val="nil"/>
                  </w:tcBorders>
                  <w:shd w:val="clear" w:color="auto" w:fill="auto"/>
                  <w:noWrap/>
                  <w:vAlign w:val="center"/>
                </w:tcPr>
                <w:p w14:paraId="00062B6B">
                  <w:pPr>
                    <w:pStyle w:val="13"/>
                    <w:rPr>
                      <w:b w:val="0"/>
                      <w:sz w:val="21"/>
                      <w:szCs w:val="21"/>
                    </w:rPr>
                  </w:pPr>
                  <w:r>
                    <w:rPr>
                      <w:rFonts w:hint="eastAsia"/>
                      <w:b w:val="0"/>
                      <w:sz w:val="21"/>
                      <w:szCs w:val="21"/>
                    </w:rPr>
                    <w:t>　</w:t>
                  </w:r>
                </w:p>
              </w:tc>
              <w:tc>
                <w:tcPr>
                  <w:tcW w:w="426" w:type="dxa"/>
                  <w:tcBorders>
                    <w:top w:val="nil"/>
                    <w:left w:val="nil"/>
                    <w:bottom w:val="nil"/>
                    <w:right w:val="nil"/>
                  </w:tcBorders>
                  <w:shd w:val="clear" w:color="auto" w:fill="auto"/>
                  <w:noWrap/>
                  <w:vAlign w:val="center"/>
                </w:tcPr>
                <w:p w14:paraId="3F9B8089">
                  <w:pPr>
                    <w:pStyle w:val="13"/>
                    <w:rPr>
                      <w:b w:val="0"/>
                      <w:sz w:val="21"/>
                      <w:szCs w:val="21"/>
                    </w:rPr>
                  </w:pPr>
                  <w:r>
                    <w:rPr>
                      <w:rFonts w:hint="eastAsia"/>
                      <w:b w:val="0"/>
                      <w:sz w:val="21"/>
                      <w:szCs w:val="21"/>
                    </w:rPr>
                    <w:t>　</w:t>
                  </w:r>
                </w:p>
              </w:tc>
              <w:tc>
                <w:tcPr>
                  <w:tcW w:w="1683" w:type="dxa"/>
                  <w:gridSpan w:val="2"/>
                  <w:tcBorders>
                    <w:top w:val="nil"/>
                    <w:left w:val="nil"/>
                    <w:bottom w:val="nil"/>
                    <w:right w:val="nil"/>
                  </w:tcBorders>
                  <w:shd w:val="clear" w:color="auto" w:fill="auto"/>
                  <w:noWrap/>
                  <w:vAlign w:val="center"/>
                </w:tcPr>
                <w:p w14:paraId="51076E66">
                  <w:pPr>
                    <w:pStyle w:val="13"/>
                    <w:rPr>
                      <w:b w:val="0"/>
                      <w:sz w:val="21"/>
                      <w:szCs w:val="21"/>
                    </w:rPr>
                  </w:pPr>
                  <w:r>
                    <w:rPr>
                      <w:rFonts w:hint="eastAsia"/>
                      <w:b w:val="0"/>
                      <w:sz w:val="21"/>
                      <w:szCs w:val="21"/>
                    </w:rPr>
                    <w:t>日期：</w:t>
                  </w:r>
                </w:p>
              </w:tc>
            </w:tr>
            <w:tr w14:paraId="52BC9FD2">
              <w:tblPrEx>
                <w:tblCellMar>
                  <w:top w:w="0" w:type="dxa"/>
                  <w:left w:w="108" w:type="dxa"/>
                  <w:bottom w:w="0" w:type="dxa"/>
                  <w:right w:w="108" w:type="dxa"/>
                </w:tblCellMar>
              </w:tblPrEx>
              <w:trPr>
                <w:trHeight w:val="434" w:hRule="atLeast"/>
              </w:trPr>
              <w:tc>
                <w:tcPr>
                  <w:tcW w:w="1657" w:type="dxa"/>
                  <w:gridSpan w:val="2"/>
                  <w:tcBorders>
                    <w:top w:val="nil"/>
                    <w:left w:val="nil"/>
                    <w:bottom w:val="nil"/>
                    <w:right w:val="nil"/>
                  </w:tcBorders>
                  <w:shd w:val="clear" w:color="auto" w:fill="auto"/>
                  <w:noWrap/>
                  <w:vAlign w:val="center"/>
                </w:tcPr>
                <w:p w14:paraId="14E63CA6">
                  <w:pPr>
                    <w:pStyle w:val="13"/>
                    <w:rPr>
                      <w:b w:val="0"/>
                      <w:sz w:val="21"/>
                      <w:szCs w:val="21"/>
                    </w:rPr>
                  </w:pPr>
                  <w:r>
                    <w:rPr>
                      <w:rFonts w:hint="eastAsia"/>
                      <w:b w:val="0"/>
                      <w:sz w:val="21"/>
                      <w:szCs w:val="21"/>
                    </w:rPr>
                    <w:t>考核结果：</w:t>
                  </w:r>
                </w:p>
              </w:tc>
              <w:tc>
                <w:tcPr>
                  <w:tcW w:w="2840" w:type="dxa"/>
                  <w:tcBorders>
                    <w:top w:val="nil"/>
                    <w:left w:val="nil"/>
                    <w:bottom w:val="nil"/>
                    <w:right w:val="nil"/>
                  </w:tcBorders>
                  <w:shd w:val="clear" w:color="auto" w:fill="auto"/>
                  <w:noWrap/>
                  <w:vAlign w:val="center"/>
                </w:tcPr>
                <w:p w14:paraId="3CEC922C">
                  <w:pPr>
                    <w:widowControl/>
                    <w:spacing w:line="360" w:lineRule="auto"/>
                    <w:rPr>
                      <w:rFonts w:asciiTheme="minorEastAsia" w:hAnsiTheme="minorEastAsia" w:eastAsiaTheme="minorEastAsia"/>
                      <w:szCs w:val="21"/>
                    </w:rPr>
                  </w:pPr>
                </w:p>
              </w:tc>
              <w:tc>
                <w:tcPr>
                  <w:tcW w:w="606" w:type="dxa"/>
                  <w:tcBorders>
                    <w:top w:val="nil"/>
                    <w:left w:val="nil"/>
                    <w:bottom w:val="nil"/>
                    <w:right w:val="nil"/>
                  </w:tcBorders>
                  <w:shd w:val="clear" w:color="auto" w:fill="auto"/>
                  <w:noWrap/>
                  <w:vAlign w:val="center"/>
                </w:tcPr>
                <w:p w14:paraId="10A61350">
                  <w:pPr>
                    <w:widowControl/>
                    <w:spacing w:line="360" w:lineRule="auto"/>
                    <w:jc w:val="right"/>
                    <w:rPr>
                      <w:rFonts w:asciiTheme="minorEastAsia" w:hAnsiTheme="minorEastAsia" w:eastAsiaTheme="minorEastAsia"/>
                      <w:szCs w:val="21"/>
                    </w:rPr>
                  </w:pPr>
                </w:p>
              </w:tc>
              <w:tc>
                <w:tcPr>
                  <w:tcW w:w="426" w:type="dxa"/>
                  <w:tcBorders>
                    <w:top w:val="nil"/>
                    <w:left w:val="nil"/>
                    <w:bottom w:val="nil"/>
                    <w:right w:val="nil"/>
                  </w:tcBorders>
                  <w:shd w:val="clear" w:color="auto" w:fill="auto"/>
                  <w:noWrap/>
                  <w:vAlign w:val="center"/>
                </w:tcPr>
                <w:p w14:paraId="52E15CBB">
                  <w:pPr>
                    <w:widowControl/>
                    <w:spacing w:line="360" w:lineRule="auto"/>
                    <w:jc w:val="right"/>
                    <w:rPr>
                      <w:rFonts w:asciiTheme="minorEastAsia" w:hAnsiTheme="minorEastAsia" w:eastAsiaTheme="minorEastAsia"/>
                      <w:szCs w:val="21"/>
                    </w:rPr>
                  </w:pPr>
                </w:p>
              </w:tc>
              <w:tc>
                <w:tcPr>
                  <w:tcW w:w="567" w:type="dxa"/>
                  <w:tcBorders>
                    <w:top w:val="nil"/>
                    <w:left w:val="nil"/>
                    <w:bottom w:val="nil"/>
                    <w:right w:val="nil"/>
                  </w:tcBorders>
                  <w:shd w:val="clear" w:color="auto" w:fill="auto"/>
                  <w:noWrap/>
                  <w:vAlign w:val="center"/>
                </w:tcPr>
                <w:p w14:paraId="70D74500">
                  <w:pPr>
                    <w:widowControl/>
                    <w:spacing w:line="360" w:lineRule="auto"/>
                    <w:jc w:val="right"/>
                    <w:rPr>
                      <w:rFonts w:asciiTheme="minorEastAsia" w:hAnsiTheme="minorEastAsia" w:eastAsiaTheme="minorEastAsia"/>
                      <w:szCs w:val="21"/>
                    </w:rPr>
                  </w:pPr>
                </w:p>
              </w:tc>
              <w:tc>
                <w:tcPr>
                  <w:tcW w:w="1116" w:type="dxa"/>
                  <w:tcBorders>
                    <w:top w:val="nil"/>
                    <w:left w:val="nil"/>
                    <w:bottom w:val="nil"/>
                    <w:right w:val="nil"/>
                  </w:tcBorders>
                  <w:shd w:val="clear" w:color="auto" w:fill="auto"/>
                  <w:noWrap/>
                  <w:vAlign w:val="center"/>
                </w:tcPr>
                <w:p w14:paraId="4765B6AC">
                  <w:pPr>
                    <w:widowControl/>
                    <w:spacing w:line="360" w:lineRule="auto"/>
                    <w:jc w:val="right"/>
                    <w:rPr>
                      <w:rFonts w:asciiTheme="minorEastAsia" w:hAnsiTheme="minorEastAsia" w:eastAsiaTheme="minorEastAsia"/>
                      <w:szCs w:val="21"/>
                    </w:rPr>
                  </w:pPr>
                </w:p>
              </w:tc>
            </w:tr>
            <w:tr w14:paraId="0FE52AF3">
              <w:tblPrEx>
                <w:tblCellMar>
                  <w:top w:w="0" w:type="dxa"/>
                  <w:left w:w="108" w:type="dxa"/>
                  <w:bottom w:w="0" w:type="dxa"/>
                  <w:right w:w="108" w:type="dxa"/>
                </w:tblCellMar>
              </w:tblPrEx>
              <w:trPr>
                <w:trHeight w:val="315" w:hRule="atLeast"/>
              </w:trPr>
              <w:tc>
                <w:tcPr>
                  <w:tcW w:w="4497" w:type="dxa"/>
                  <w:gridSpan w:val="3"/>
                  <w:tcBorders>
                    <w:top w:val="nil"/>
                    <w:left w:val="nil"/>
                    <w:bottom w:val="nil"/>
                    <w:right w:val="nil"/>
                  </w:tcBorders>
                  <w:shd w:val="clear" w:color="auto" w:fill="auto"/>
                  <w:noWrap/>
                  <w:vAlign w:val="center"/>
                </w:tcPr>
                <w:p w14:paraId="269D986B">
                  <w:pPr>
                    <w:widowControl/>
                    <w:spacing w:line="360" w:lineRule="auto"/>
                    <w:ind w:right="840"/>
                    <w:rPr>
                      <w:rFonts w:asciiTheme="minorEastAsia" w:hAnsiTheme="minorEastAsia" w:eastAsiaTheme="minorEastAsia"/>
                      <w:szCs w:val="21"/>
                    </w:rPr>
                  </w:pPr>
                  <w:r>
                    <w:rPr>
                      <w:rFonts w:hint="eastAsia" w:asciiTheme="minorEastAsia" w:hAnsiTheme="minorEastAsia" w:eastAsiaTheme="minorEastAsia"/>
                      <w:szCs w:val="21"/>
                    </w:rPr>
                    <w:t>考核小组签名：</w:t>
                  </w:r>
                </w:p>
              </w:tc>
              <w:tc>
                <w:tcPr>
                  <w:tcW w:w="606" w:type="dxa"/>
                  <w:tcBorders>
                    <w:top w:val="nil"/>
                    <w:left w:val="nil"/>
                    <w:bottom w:val="nil"/>
                    <w:right w:val="nil"/>
                  </w:tcBorders>
                  <w:shd w:val="clear" w:color="auto" w:fill="auto"/>
                  <w:noWrap/>
                  <w:vAlign w:val="center"/>
                </w:tcPr>
                <w:p w14:paraId="19717EB8">
                  <w:pPr>
                    <w:widowControl/>
                    <w:spacing w:line="360" w:lineRule="auto"/>
                    <w:rPr>
                      <w:rFonts w:asciiTheme="minorEastAsia" w:hAnsiTheme="minorEastAsia" w:eastAsiaTheme="minorEastAsia"/>
                      <w:szCs w:val="21"/>
                    </w:rPr>
                  </w:pPr>
                </w:p>
              </w:tc>
              <w:tc>
                <w:tcPr>
                  <w:tcW w:w="426" w:type="dxa"/>
                  <w:tcBorders>
                    <w:top w:val="nil"/>
                    <w:left w:val="nil"/>
                    <w:bottom w:val="nil"/>
                    <w:right w:val="nil"/>
                  </w:tcBorders>
                  <w:shd w:val="clear" w:color="auto" w:fill="auto"/>
                  <w:noWrap/>
                  <w:vAlign w:val="center"/>
                </w:tcPr>
                <w:p w14:paraId="33329946">
                  <w:pPr>
                    <w:widowControl/>
                    <w:spacing w:line="360" w:lineRule="auto"/>
                    <w:rPr>
                      <w:rFonts w:asciiTheme="minorEastAsia" w:hAnsiTheme="minorEastAsia" w:eastAsiaTheme="minorEastAsia"/>
                      <w:szCs w:val="21"/>
                    </w:rPr>
                  </w:pPr>
                </w:p>
              </w:tc>
              <w:tc>
                <w:tcPr>
                  <w:tcW w:w="567" w:type="dxa"/>
                  <w:tcBorders>
                    <w:top w:val="nil"/>
                    <w:left w:val="nil"/>
                    <w:bottom w:val="nil"/>
                    <w:right w:val="nil"/>
                  </w:tcBorders>
                  <w:shd w:val="clear" w:color="auto" w:fill="auto"/>
                  <w:noWrap/>
                  <w:vAlign w:val="center"/>
                </w:tcPr>
                <w:p w14:paraId="7863F115">
                  <w:pPr>
                    <w:widowControl/>
                    <w:spacing w:line="360" w:lineRule="auto"/>
                    <w:rPr>
                      <w:rFonts w:asciiTheme="minorEastAsia" w:hAnsiTheme="minorEastAsia" w:eastAsiaTheme="minorEastAsia"/>
                      <w:szCs w:val="21"/>
                    </w:rPr>
                  </w:pPr>
                </w:p>
              </w:tc>
              <w:tc>
                <w:tcPr>
                  <w:tcW w:w="1116" w:type="dxa"/>
                  <w:tcBorders>
                    <w:top w:val="nil"/>
                    <w:left w:val="nil"/>
                    <w:bottom w:val="nil"/>
                    <w:right w:val="nil"/>
                  </w:tcBorders>
                  <w:shd w:val="clear" w:color="auto" w:fill="auto"/>
                  <w:noWrap/>
                  <w:vAlign w:val="center"/>
                </w:tcPr>
                <w:p w14:paraId="7C99110B">
                  <w:pPr>
                    <w:widowControl/>
                    <w:spacing w:line="360" w:lineRule="auto"/>
                    <w:rPr>
                      <w:rFonts w:asciiTheme="minorEastAsia" w:hAnsiTheme="minorEastAsia" w:eastAsiaTheme="minorEastAsia"/>
                      <w:szCs w:val="21"/>
                    </w:rPr>
                  </w:pPr>
                </w:p>
              </w:tc>
            </w:tr>
            <w:tr w14:paraId="1618975C">
              <w:tblPrEx>
                <w:tblCellMar>
                  <w:top w:w="0" w:type="dxa"/>
                  <w:left w:w="108" w:type="dxa"/>
                  <w:bottom w:w="0" w:type="dxa"/>
                  <w:right w:w="108" w:type="dxa"/>
                </w:tblCellMar>
              </w:tblPrEx>
              <w:trPr>
                <w:trHeight w:val="2130" w:hRule="atLeast"/>
              </w:trPr>
              <w:tc>
                <w:tcPr>
                  <w:tcW w:w="7212" w:type="dxa"/>
                  <w:gridSpan w:val="7"/>
                  <w:tcBorders>
                    <w:top w:val="nil"/>
                    <w:left w:val="nil"/>
                    <w:bottom w:val="nil"/>
                    <w:right w:val="nil"/>
                  </w:tcBorders>
                  <w:shd w:val="clear" w:color="auto" w:fill="auto"/>
                  <w:vAlign w:val="center"/>
                </w:tcPr>
                <w:p w14:paraId="0DD7323E">
                  <w:pPr>
                    <w:pStyle w:val="13"/>
                    <w:rPr>
                      <w:b w:val="0"/>
                      <w:sz w:val="21"/>
                      <w:szCs w:val="21"/>
                    </w:rPr>
                  </w:pPr>
                  <w:r>
                    <w:rPr>
                      <w:rFonts w:hint="eastAsia"/>
                      <w:b w:val="0"/>
                      <w:sz w:val="21"/>
                      <w:szCs w:val="21"/>
                    </w:rPr>
                    <w:t>考核方法:每月考核一次，由医院管理部门和使用科室组成的考核小组进行，考核85分为合格分，每低1分，扣当月度服务费的1%；考核情况反馈给乙方限期整改，若期限内未完成整改，扣当月度服务费的3%； 连续二次考核均为不合格的，可视为医院相关外包服务承接方无力提供满足服务要求，可于次月起提前终止相应外包服务合同。</w:t>
                  </w:r>
                </w:p>
              </w:tc>
            </w:tr>
          </w:tbl>
          <w:p w14:paraId="07E84D8D">
            <w:pPr>
              <w:spacing w:line="360" w:lineRule="auto"/>
              <w:rPr>
                <w:rFonts w:asciiTheme="minorEastAsia" w:hAnsiTheme="minorEastAsia" w:eastAsiaTheme="minorEastAsia"/>
                <w:szCs w:val="21"/>
              </w:rPr>
            </w:pPr>
          </w:p>
          <w:p w14:paraId="5759D68B">
            <w:pPr>
              <w:widowControl/>
              <w:spacing w:line="360" w:lineRule="auto"/>
              <w:textAlignment w:val="center"/>
              <w:rPr>
                <w:rFonts w:cs="宋体" w:asciiTheme="minorEastAsia" w:hAnsiTheme="minorEastAsia" w:eastAsiaTheme="minorEastAsia"/>
                <w:b/>
                <w:bCs/>
                <w:szCs w:val="21"/>
              </w:rPr>
            </w:pPr>
          </w:p>
        </w:tc>
      </w:tr>
      <w:tr w14:paraId="596B66AF">
        <w:tblPrEx>
          <w:tblCellMar>
            <w:top w:w="0" w:type="dxa"/>
            <w:left w:w="108" w:type="dxa"/>
            <w:bottom w:w="0" w:type="dxa"/>
            <w:right w:w="108" w:type="dxa"/>
          </w:tblCellMar>
        </w:tblPrEx>
        <w:trPr>
          <w:gridAfter w:val="1"/>
          <w:wAfter w:w="690" w:type="dxa"/>
          <w:trHeight w:val="562" w:hRule="atLeast"/>
        </w:trPr>
        <w:tc>
          <w:tcPr>
            <w:tcW w:w="7304" w:type="dxa"/>
            <w:tcBorders>
              <w:top w:val="nil"/>
              <w:left w:val="nil"/>
              <w:bottom w:val="nil"/>
              <w:right w:val="nil"/>
            </w:tcBorders>
            <w:noWrap/>
            <w:vAlign w:val="center"/>
          </w:tcPr>
          <w:p w14:paraId="62EC36EE">
            <w:pPr>
              <w:pStyle w:val="6"/>
              <w:spacing w:before="0" w:beforeAutospacing="0" w:after="0" w:afterAutospacing="0" w:line="440" w:lineRule="exact"/>
              <w:rPr>
                <w:rFonts w:asciiTheme="minorEastAsia" w:hAnsiTheme="minorEastAsia" w:eastAsiaTheme="minorEastAsia"/>
                <w:b/>
                <w:bCs/>
                <w:szCs w:val="21"/>
              </w:rPr>
            </w:pPr>
          </w:p>
        </w:tc>
      </w:tr>
    </w:tbl>
    <w:p w14:paraId="29B9108B">
      <w:pPr>
        <w:spacing w:line="360" w:lineRule="auto"/>
        <w:rPr>
          <w:rFonts w:cs="宋体" w:asciiTheme="minorEastAsia" w:hAnsiTheme="minorEastAsia" w:eastAsiaTheme="minorEastAsia"/>
          <w:szCs w:val="21"/>
        </w:rPr>
      </w:pPr>
    </w:p>
    <w:p w14:paraId="175D4739">
      <w:pPr>
        <w:spacing w:line="360" w:lineRule="auto"/>
        <w:rPr>
          <w:rFonts w:cs="宋体" w:asciiTheme="minorEastAsia" w:hAnsiTheme="minorEastAsia" w:eastAsiaTheme="minorEastAsia"/>
          <w:szCs w:val="21"/>
        </w:rPr>
      </w:pPr>
    </w:p>
    <w:p w14:paraId="498A7DFD">
      <w:pPr>
        <w:spacing w:line="360" w:lineRule="auto"/>
        <w:rPr>
          <w:rFonts w:cs="宋体" w:asciiTheme="minorEastAsia" w:hAnsiTheme="minorEastAsia" w:eastAsiaTheme="minorEastAsia"/>
          <w:szCs w:val="21"/>
        </w:rPr>
      </w:pPr>
    </w:p>
    <w:p w14:paraId="4606F526">
      <w:pPr>
        <w:spacing w:line="360" w:lineRule="auto"/>
        <w:rPr>
          <w:rFonts w:cs="宋体" w:asciiTheme="minorEastAsia" w:hAnsiTheme="minorEastAsia" w:eastAsiaTheme="minorEastAsia"/>
          <w:szCs w:val="21"/>
        </w:rPr>
      </w:pPr>
    </w:p>
    <w:p w14:paraId="6279060A">
      <w:pPr>
        <w:spacing w:line="360" w:lineRule="auto"/>
        <w:rPr>
          <w:rFonts w:cs="宋体" w:asciiTheme="minorEastAsia" w:hAnsiTheme="minorEastAsia" w:eastAsiaTheme="minorEastAsia"/>
          <w:szCs w:val="21"/>
        </w:rPr>
      </w:pPr>
    </w:p>
    <w:p w14:paraId="576961A6">
      <w:pPr>
        <w:spacing w:line="360" w:lineRule="auto"/>
        <w:rPr>
          <w:rFonts w:cs="宋体"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38FF"/>
    <w:rsid w:val="00001E73"/>
    <w:rsid w:val="000075ED"/>
    <w:rsid w:val="00042EB5"/>
    <w:rsid w:val="00087C47"/>
    <w:rsid w:val="000B342E"/>
    <w:rsid w:val="00103671"/>
    <w:rsid w:val="00111481"/>
    <w:rsid w:val="00197298"/>
    <w:rsid w:val="001B15EC"/>
    <w:rsid w:val="001C3C88"/>
    <w:rsid w:val="001D4801"/>
    <w:rsid w:val="00213FB9"/>
    <w:rsid w:val="00231968"/>
    <w:rsid w:val="00233D5B"/>
    <w:rsid w:val="002454D5"/>
    <w:rsid w:val="00256233"/>
    <w:rsid w:val="002637F5"/>
    <w:rsid w:val="00294FA8"/>
    <w:rsid w:val="00314257"/>
    <w:rsid w:val="003630BF"/>
    <w:rsid w:val="00375BC3"/>
    <w:rsid w:val="003C0F7A"/>
    <w:rsid w:val="003C6CEE"/>
    <w:rsid w:val="003D699B"/>
    <w:rsid w:val="00440D16"/>
    <w:rsid w:val="00527A66"/>
    <w:rsid w:val="0055386B"/>
    <w:rsid w:val="00574212"/>
    <w:rsid w:val="005756C2"/>
    <w:rsid w:val="0059196C"/>
    <w:rsid w:val="005A5D34"/>
    <w:rsid w:val="005C4A55"/>
    <w:rsid w:val="005D189D"/>
    <w:rsid w:val="005F12A2"/>
    <w:rsid w:val="005F5F0F"/>
    <w:rsid w:val="006138C9"/>
    <w:rsid w:val="006210D2"/>
    <w:rsid w:val="00640FE8"/>
    <w:rsid w:val="006C6BF4"/>
    <w:rsid w:val="006E3DDF"/>
    <w:rsid w:val="006F38FF"/>
    <w:rsid w:val="00765551"/>
    <w:rsid w:val="00791B03"/>
    <w:rsid w:val="007E16AD"/>
    <w:rsid w:val="007F5465"/>
    <w:rsid w:val="00801628"/>
    <w:rsid w:val="00801809"/>
    <w:rsid w:val="00832E4C"/>
    <w:rsid w:val="00832E6E"/>
    <w:rsid w:val="00840250"/>
    <w:rsid w:val="008646CD"/>
    <w:rsid w:val="0086563C"/>
    <w:rsid w:val="008738BE"/>
    <w:rsid w:val="00884114"/>
    <w:rsid w:val="008C677A"/>
    <w:rsid w:val="008D4959"/>
    <w:rsid w:val="008E5167"/>
    <w:rsid w:val="0094259B"/>
    <w:rsid w:val="00957F8E"/>
    <w:rsid w:val="0097105C"/>
    <w:rsid w:val="009B0AFF"/>
    <w:rsid w:val="009D5B50"/>
    <w:rsid w:val="00A02644"/>
    <w:rsid w:val="00A56719"/>
    <w:rsid w:val="00A97F1B"/>
    <w:rsid w:val="00AA2B91"/>
    <w:rsid w:val="00AC6EC5"/>
    <w:rsid w:val="00AD44AA"/>
    <w:rsid w:val="00B27730"/>
    <w:rsid w:val="00B31D1C"/>
    <w:rsid w:val="00B358BF"/>
    <w:rsid w:val="00B95E81"/>
    <w:rsid w:val="00BC528A"/>
    <w:rsid w:val="00BD0170"/>
    <w:rsid w:val="00BE3B5A"/>
    <w:rsid w:val="00C05747"/>
    <w:rsid w:val="00C21D54"/>
    <w:rsid w:val="00C80CD3"/>
    <w:rsid w:val="00CD790D"/>
    <w:rsid w:val="00CE03D4"/>
    <w:rsid w:val="00D07688"/>
    <w:rsid w:val="00D20714"/>
    <w:rsid w:val="00D56ADB"/>
    <w:rsid w:val="00D652F5"/>
    <w:rsid w:val="00D72EAE"/>
    <w:rsid w:val="00D820C4"/>
    <w:rsid w:val="00DA58C1"/>
    <w:rsid w:val="00E93405"/>
    <w:rsid w:val="00EC1C36"/>
    <w:rsid w:val="00EE48E6"/>
    <w:rsid w:val="00EF4CCD"/>
    <w:rsid w:val="00F10F66"/>
    <w:rsid w:val="00F13A92"/>
    <w:rsid w:val="00F17795"/>
    <w:rsid w:val="00F60CAA"/>
    <w:rsid w:val="00F66508"/>
    <w:rsid w:val="00F83BEA"/>
    <w:rsid w:val="2C0C428D"/>
    <w:rsid w:val="729813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link w:val="1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0"/>
    <w:pPr>
      <w:spacing w:after="120"/>
    </w:p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正文文本 Char"/>
    <w:basedOn w:val="8"/>
    <w:semiHidden/>
    <w:qFormat/>
    <w:uiPriority w:val="99"/>
    <w:rPr>
      <w:rFonts w:ascii="Times New Roman" w:hAnsi="Times New Roman" w:eastAsia="宋体" w:cs="Times New Roman"/>
      <w:szCs w:val="24"/>
    </w:rPr>
  </w:style>
  <w:style w:type="character" w:customStyle="1" w:styleId="12">
    <w:name w:val="正文文本 Char1"/>
    <w:link w:val="3"/>
    <w:qFormat/>
    <w:uiPriority w:val="0"/>
    <w:rPr>
      <w:rFonts w:ascii="Times New Roman" w:hAnsi="Times New Roman" w:eastAsia="宋体" w:cs="Times New Roman"/>
      <w:szCs w:val="24"/>
    </w:rPr>
  </w:style>
  <w:style w:type="paragraph" w:customStyle="1" w:styleId="13">
    <w:name w:val="样式1"/>
    <w:basedOn w:val="2"/>
    <w:qFormat/>
    <w:uiPriority w:val="0"/>
    <w:pPr>
      <w:widowControl/>
      <w:adjustRightInd w:val="0"/>
      <w:snapToGrid w:val="0"/>
      <w:spacing w:line="360" w:lineRule="auto"/>
      <w:contextualSpacing/>
      <w:jc w:val="left"/>
      <w:textAlignment w:val="baseline"/>
    </w:pPr>
    <w:rPr>
      <w:rFonts w:cs="宋体" w:asciiTheme="minorEastAsia" w:hAnsiTheme="minorEastAsia" w:eastAsiaTheme="minorEastAsia"/>
      <w:bCs w:val="0"/>
      <w:spacing w:val="10"/>
      <w:kern w:val="0"/>
      <w:szCs w:val="20"/>
    </w:rPr>
  </w:style>
  <w:style w:type="character" w:customStyle="1" w:styleId="14">
    <w:name w:val="标题 6 Char"/>
    <w:basedOn w:val="8"/>
    <w:link w:val="2"/>
    <w:semiHidden/>
    <w:qFormat/>
    <w:uiPriority w:val="9"/>
    <w:rPr>
      <w:rFonts w:asciiTheme="majorHAnsi" w:hAnsiTheme="majorHAnsi" w:eastAsiaTheme="majorEastAsia" w:cstheme="majorBidi"/>
      <w:b/>
      <w:bCs/>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5594</Words>
  <Characters>5663</Characters>
  <Lines>43</Lines>
  <Paragraphs>12</Paragraphs>
  <TotalTime>9</TotalTime>
  <ScaleCrop>false</ScaleCrop>
  <LinksUpToDate>false</LinksUpToDate>
  <CharactersWithSpaces>5757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2026-06-16T02:50:00Z</dcterms:created>
  <dc:creator>Microsoft 帐户</dc:creator>
  <cp:lastModifiedBy>DZ</cp:lastModifiedBy>
  <dcterms:modified xsi:type="dcterms:W3CDTF">2026-07-08T05:53:29Z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eyJoZGlkIjoiOGNiZDU5MmMxMjE4MDlmNTFkZjRjYmM1MDU3ZDY4ZDAiLCJ1c2VySWQiOiIzNDQ3NDg0ODQifQ==</vt:lpwstr>
  </property>
  <property fmtid="{D5CDD505-2E9C-101B-9397-08002B2CF9AE}" pid="3" name="KSOProductBuildVer">
    <vt:lpwstr>2052-12.1.0.26895</vt:lpwstr>
  </property>
  <property fmtid="{D5CDD505-2E9C-101B-9397-08002B2CF9AE}" pid="4" name="ICV">
    <vt:lpwstr>BF4687A853AB4566907C731878EF351D_12</vt:lpwstr>
  </property>
</Properties>
</file>