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9029A">
      <w:pPr>
        <w:ind w:firstLine="0" w:firstLineChars="0"/>
        <w:jc w:val="center"/>
        <w:rPr>
          <w:rFonts w:ascii="黑体" w:hAnsi="黑体" w:eastAsia="黑体"/>
          <w:sz w:val="40"/>
        </w:rPr>
      </w:pPr>
      <w:r>
        <w:rPr>
          <w:rFonts w:hint="eastAsia" w:ascii="黑体" w:hAnsi="黑体" w:eastAsia="黑体"/>
          <w:sz w:val="40"/>
        </w:rPr>
        <w:t>2</w:t>
      </w:r>
      <w:r>
        <w:rPr>
          <w:rFonts w:ascii="黑体" w:hAnsi="黑体" w:eastAsia="黑体"/>
          <w:sz w:val="40"/>
        </w:rPr>
        <w:t>026</w:t>
      </w:r>
      <w:r>
        <w:rPr>
          <w:rFonts w:hint="eastAsia" w:ascii="黑体" w:hAnsi="黑体" w:eastAsia="黑体"/>
          <w:sz w:val="40"/>
        </w:rPr>
        <w:t>年青浦区公共数据运营服务项目</w:t>
      </w:r>
    </w:p>
    <w:p w14:paraId="27C4F2F4">
      <w:pPr>
        <w:ind w:firstLine="0" w:firstLineChars="0"/>
        <w:jc w:val="center"/>
        <w:rPr>
          <w:rFonts w:ascii="黑体" w:hAnsi="黑体" w:eastAsia="黑体"/>
          <w:sz w:val="40"/>
        </w:rPr>
      </w:pPr>
      <w:r>
        <w:rPr>
          <w:rFonts w:hint="eastAsia" w:ascii="黑体" w:hAnsi="黑体" w:eastAsia="黑体"/>
          <w:sz w:val="40"/>
        </w:rPr>
        <w:t>采购需求</w:t>
      </w:r>
    </w:p>
    <w:p w14:paraId="73D360E0">
      <w:pPr>
        <w:ind w:firstLine="480"/>
      </w:pPr>
    </w:p>
    <w:p w14:paraId="4A616EEE">
      <w:pPr>
        <w:pStyle w:val="2"/>
        <w:ind w:firstLine="883"/>
        <w:rPr>
          <w:sz w:val="21"/>
          <w:szCs w:val="21"/>
        </w:rPr>
      </w:pPr>
      <w:r>
        <w:rPr>
          <w:rFonts w:hint="eastAsia"/>
          <w:sz w:val="21"/>
          <w:szCs w:val="21"/>
        </w:rPr>
        <w:t>项目总体要求</w:t>
      </w:r>
    </w:p>
    <w:p w14:paraId="492B558B">
      <w:pPr>
        <w:pStyle w:val="3"/>
        <w:ind w:firstLine="640"/>
        <w:rPr>
          <w:sz w:val="21"/>
          <w:szCs w:val="21"/>
        </w:rPr>
      </w:pPr>
      <w:r>
        <w:rPr>
          <w:rFonts w:hint="eastAsia"/>
          <w:sz w:val="21"/>
          <w:szCs w:val="21"/>
        </w:rPr>
        <w:t>数据运营服务总体要求</w:t>
      </w:r>
    </w:p>
    <w:p w14:paraId="671341CF">
      <w:pPr>
        <w:ind w:firstLine="480"/>
        <w:rPr>
          <w:sz w:val="21"/>
          <w:szCs w:val="21"/>
        </w:rPr>
      </w:pPr>
      <w:r>
        <w:rPr>
          <w:rFonts w:hint="eastAsia"/>
          <w:sz w:val="21"/>
          <w:szCs w:val="21"/>
        </w:rPr>
        <w:t>（</w:t>
      </w:r>
      <w:r>
        <w:rPr>
          <w:sz w:val="21"/>
          <w:szCs w:val="21"/>
        </w:rPr>
        <w:t>1）</w:t>
      </w:r>
      <w:r>
        <w:rPr>
          <w:sz w:val="21"/>
          <w:szCs w:val="21"/>
        </w:rPr>
        <w:tab/>
      </w:r>
      <w:r>
        <w:rPr>
          <w:sz w:val="21"/>
          <w:szCs w:val="21"/>
        </w:rPr>
        <w:t>数据运营服务的过程中涉及的所有数据的拥有权及使用权均属于采购人，未经许可，投标人无权对其进行支配，所有与数据相关设备的维修、报废等处理需经采购人同意，并在监管下进行。若发现投标人未经许可对数据进行支配，采购人将对投标人采取惩罚措施并追究其法律责任。</w:t>
      </w:r>
    </w:p>
    <w:p w14:paraId="0B767462">
      <w:pPr>
        <w:ind w:firstLine="480"/>
        <w:rPr>
          <w:sz w:val="21"/>
          <w:szCs w:val="21"/>
        </w:rPr>
      </w:pPr>
      <w:r>
        <w:rPr>
          <w:rFonts w:hint="eastAsia"/>
          <w:sz w:val="21"/>
          <w:szCs w:val="21"/>
        </w:rPr>
        <w:t>（</w:t>
      </w:r>
      <w:r>
        <w:rPr>
          <w:sz w:val="21"/>
          <w:szCs w:val="21"/>
        </w:rPr>
        <w:t>2）</w:t>
      </w:r>
      <w:r>
        <w:rPr>
          <w:sz w:val="21"/>
          <w:szCs w:val="21"/>
        </w:rPr>
        <w:tab/>
      </w:r>
      <w:r>
        <w:rPr>
          <w:sz w:val="21"/>
          <w:szCs w:val="21"/>
        </w:rPr>
        <w:t>中标人为服务本项目而采购的场地、环境、链路等硬件资源及各类软件资源，构成专门为采购人提供数据运营服务的设施资源，其拥有权属于中标人，使用权属于采购人。</w:t>
      </w:r>
    </w:p>
    <w:p w14:paraId="518CBCD4">
      <w:pPr>
        <w:ind w:firstLine="480"/>
        <w:rPr>
          <w:sz w:val="21"/>
          <w:szCs w:val="21"/>
        </w:rPr>
      </w:pPr>
      <w:r>
        <w:rPr>
          <w:rFonts w:hint="eastAsia"/>
          <w:sz w:val="21"/>
          <w:szCs w:val="21"/>
        </w:rPr>
        <w:t>（</w:t>
      </w:r>
      <w:r>
        <w:rPr>
          <w:sz w:val="21"/>
          <w:szCs w:val="21"/>
        </w:rPr>
        <w:t>3）</w:t>
      </w:r>
      <w:r>
        <w:rPr>
          <w:sz w:val="21"/>
          <w:szCs w:val="21"/>
        </w:rPr>
        <w:tab/>
      </w:r>
      <w:r>
        <w:rPr>
          <w:sz w:val="21"/>
          <w:szCs w:val="21"/>
        </w:rPr>
        <w:t>投标人严格执行国家、地方、行业各项有关本项目业务管理和安全作业的法律、法规和制度，积极主动加强和服务业务及安全等有关的管理工作。投标人因违反规定等原因造成的一切损失和责任由投标人承担。</w:t>
      </w:r>
    </w:p>
    <w:p w14:paraId="3D848B67">
      <w:pPr>
        <w:ind w:firstLine="480"/>
        <w:rPr>
          <w:sz w:val="21"/>
          <w:szCs w:val="21"/>
        </w:rPr>
      </w:pPr>
      <w:r>
        <w:rPr>
          <w:rFonts w:hint="eastAsia"/>
          <w:sz w:val="21"/>
          <w:szCs w:val="21"/>
        </w:rPr>
        <w:t>（</w:t>
      </w:r>
      <w:r>
        <w:rPr>
          <w:sz w:val="21"/>
          <w:szCs w:val="21"/>
        </w:rPr>
        <w:t>4）</w:t>
      </w:r>
      <w:r>
        <w:rPr>
          <w:sz w:val="21"/>
          <w:szCs w:val="21"/>
        </w:rPr>
        <w:tab/>
      </w:r>
      <w:r>
        <w:rPr>
          <w:sz w:val="21"/>
          <w:szCs w:val="21"/>
        </w:rPr>
        <w:t>投标人在中标后履行数据运营服务的过程中，需遵守《上海市数据运营服务管理办法（试行）》、《青浦区公共数据运营服务管理办法（试行）》等的管理要求，若违反文件相关规定，按照合同违约处理。</w:t>
      </w:r>
    </w:p>
    <w:p w14:paraId="352255EA">
      <w:pPr>
        <w:ind w:firstLine="480"/>
        <w:rPr>
          <w:sz w:val="21"/>
          <w:szCs w:val="21"/>
        </w:rPr>
      </w:pPr>
      <w:r>
        <w:rPr>
          <w:rFonts w:hint="eastAsia"/>
          <w:sz w:val="21"/>
          <w:szCs w:val="21"/>
        </w:rPr>
        <w:t>（</w:t>
      </w:r>
      <w:r>
        <w:rPr>
          <w:sz w:val="21"/>
          <w:szCs w:val="21"/>
        </w:rPr>
        <w:t>5）</w:t>
      </w:r>
      <w:r>
        <w:rPr>
          <w:sz w:val="21"/>
          <w:szCs w:val="21"/>
        </w:rPr>
        <w:tab/>
      </w:r>
      <w:r>
        <w:rPr>
          <w:sz w:val="21"/>
          <w:szCs w:val="21"/>
        </w:rPr>
        <w:t>投标人确认的项目运营服务团队人员及数量，与投标文件承诺一致，未经采购人书面批准不得随意调换或撤离，若自行更换或撤离，按照合同违约处理。</w:t>
      </w:r>
    </w:p>
    <w:p w14:paraId="635FCD0B">
      <w:pPr>
        <w:ind w:firstLine="480"/>
        <w:rPr>
          <w:sz w:val="21"/>
          <w:szCs w:val="21"/>
        </w:rPr>
      </w:pPr>
      <w:r>
        <w:rPr>
          <w:rFonts w:hint="eastAsia"/>
          <w:sz w:val="21"/>
          <w:szCs w:val="21"/>
        </w:rPr>
        <w:t>（</w:t>
      </w:r>
      <w:r>
        <w:rPr>
          <w:sz w:val="21"/>
          <w:szCs w:val="21"/>
        </w:rPr>
        <w:t>6）</w:t>
      </w:r>
      <w:r>
        <w:rPr>
          <w:sz w:val="21"/>
          <w:szCs w:val="21"/>
        </w:rPr>
        <w:tab/>
      </w:r>
      <w:r>
        <w:rPr>
          <w:sz w:val="21"/>
          <w:szCs w:val="21"/>
        </w:rPr>
        <w:t>投标人按照采购人提出相关要求提供与数据运营服务相关管理制度，相关内容需得到采购人的认可。</w:t>
      </w:r>
    </w:p>
    <w:p w14:paraId="4B93120C">
      <w:pPr>
        <w:ind w:firstLine="480"/>
        <w:rPr>
          <w:sz w:val="21"/>
          <w:szCs w:val="21"/>
        </w:rPr>
      </w:pPr>
      <w:r>
        <w:rPr>
          <w:rFonts w:hint="eastAsia"/>
          <w:sz w:val="21"/>
          <w:szCs w:val="21"/>
        </w:rPr>
        <w:t>（</w:t>
      </w:r>
      <w:r>
        <w:rPr>
          <w:sz w:val="21"/>
          <w:szCs w:val="21"/>
        </w:rPr>
        <w:t>7）</w:t>
      </w:r>
      <w:r>
        <w:rPr>
          <w:sz w:val="21"/>
          <w:szCs w:val="21"/>
        </w:rPr>
        <w:tab/>
      </w:r>
      <w:r>
        <w:rPr>
          <w:sz w:val="21"/>
          <w:szCs w:val="21"/>
        </w:rPr>
        <w:t>投标人保证本项目所涉及的软件授权足量合规，满足知识产权方面的有关规定和要求。</w:t>
      </w:r>
    </w:p>
    <w:p w14:paraId="159356AC">
      <w:pPr>
        <w:pStyle w:val="3"/>
        <w:ind w:firstLine="640"/>
        <w:rPr>
          <w:sz w:val="21"/>
          <w:szCs w:val="21"/>
        </w:rPr>
      </w:pPr>
      <w:r>
        <w:rPr>
          <w:rFonts w:hint="eastAsia"/>
          <w:sz w:val="21"/>
          <w:szCs w:val="21"/>
        </w:rPr>
        <w:t>项目考核要求及扣款说明</w:t>
      </w:r>
    </w:p>
    <w:p w14:paraId="68E9E31B">
      <w:pPr>
        <w:ind w:firstLine="480"/>
        <w:rPr>
          <w:sz w:val="21"/>
          <w:szCs w:val="21"/>
        </w:rPr>
      </w:pPr>
      <w:r>
        <w:rPr>
          <w:rFonts w:hint="eastAsia"/>
          <w:sz w:val="21"/>
          <w:szCs w:val="21"/>
        </w:rPr>
        <w:t>采购人会同投标人明确考核实施细则和评分要素，并在补充协议中予以明确，考核内容包含但不限于质量考评、安全考评、资金保障考评、制度保障考评和后勤保障考评等。考核总体得分</w:t>
      </w:r>
      <w:r>
        <w:rPr>
          <w:sz w:val="21"/>
          <w:szCs w:val="21"/>
        </w:rPr>
        <w:t>=服务质量评分*55%(暂定)+服务使用满意率评分*45%。</w:t>
      </w:r>
    </w:p>
    <w:p w14:paraId="56C9C07A">
      <w:pPr>
        <w:pStyle w:val="33"/>
        <w:rPr>
          <w:sz w:val="21"/>
          <w:szCs w:val="21"/>
        </w:rPr>
      </w:pPr>
      <w:r>
        <w:rPr>
          <w:rFonts w:hint="eastAsia"/>
          <w:sz w:val="21"/>
          <w:szCs w:val="21"/>
        </w:rPr>
        <w:t>数据运营服务考核扣款比例</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056"/>
      </w:tblGrid>
      <w:tr w14:paraId="25D4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47" w:type="pct"/>
            <w:vAlign w:val="center"/>
          </w:tcPr>
          <w:p w14:paraId="4338781E">
            <w:pPr>
              <w:widowControl/>
              <w:ind w:firstLine="0" w:firstLineChars="0"/>
              <w:jc w:val="center"/>
              <w:rPr>
                <w:b/>
                <w:color w:val="000000"/>
                <w:sz w:val="21"/>
                <w:szCs w:val="21"/>
                <w:lang w:eastAsia="en-US" w:bidi="en-US"/>
              </w:rPr>
            </w:pPr>
            <w:r>
              <w:rPr>
                <w:b/>
                <w:color w:val="000000"/>
                <w:sz w:val="21"/>
                <w:szCs w:val="21"/>
                <w:lang w:bidi="en-US"/>
              </w:rPr>
              <w:t>总体得分</w:t>
            </w:r>
          </w:p>
        </w:tc>
        <w:tc>
          <w:tcPr>
            <w:tcW w:w="3553" w:type="pct"/>
            <w:vAlign w:val="center"/>
          </w:tcPr>
          <w:p w14:paraId="0BEDADAC">
            <w:pPr>
              <w:widowControl/>
              <w:ind w:firstLine="0" w:firstLineChars="0"/>
              <w:jc w:val="center"/>
              <w:rPr>
                <w:b/>
                <w:color w:val="000000"/>
                <w:sz w:val="21"/>
                <w:szCs w:val="21"/>
                <w:lang w:eastAsia="en-US" w:bidi="en-US"/>
              </w:rPr>
            </w:pPr>
            <w:r>
              <w:rPr>
                <w:rFonts w:hint="eastAsia"/>
                <w:b/>
                <w:color w:val="000000"/>
                <w:sz w:val="21"/>
                <w:szCs w:val="21"/>
                <w:lang w:bidi="en-US"/>
              </w:rPr>
              <w:t>扣款</w:t>
            </w:r>
            <w:r>
              <w:rPr>
                <w:b/>
                <w:color w:val="000000"/>
                <w:sz w:val="21"/>
                <w:szCs w:val="21"/>
                <w:lang w:eastAsia="en-US" w:bidi="en-US"/>
              </w:rPr>
              <w:t>说明</w:t>
            </w:r>
          </w:p>
        </w:tc>
      </w:tr>
      <w:tr w14:paraId="2923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47" w:type="pct"/>
            <w:vAlign w:val="center"/>
          </w:tcPr>
          <w:p w14:paraId="2B0C726F">
            <w:pPr>
              <w:widowControl/>
              <w:ind w:firstLine="0" w:firstLineChars="0"/>
              <w:jc w:val="left"/>
              <w:rPr>
                <w:color w:val="000000"/>
                <w:sz w:val="21"/>
                <w:szCs w:val="21"/>
                <w:lang w:bidi="en-US"/>
              </w:rPr>
            </w:pPr>
            <w:r>
              <w:rPr>
                <w:color w:val="000000"/>
                <w:sz w:val="21"/>
                <w:szCs w:val="21"/>
              </w:rPr>
              <w:t>&lt;60分</w:t>
            </w:r>
          </w:p>
        </w:tc>
        <w:tc>
          <w:tcPr>
            <w:tcW w:w="3553" w:type="pct"/>
            <w:vAlign w:val="center"/>
          </w:tcPr>
          <w:p w14:paraId="08B61EA7">
            <w:pPr>
              <w:widowControl/>
              <w:ind w:firstLine="0" w:firstLineChars="0"/>
              <w:rPr>
                <w:color w:val="000000"/>
                <w:sz w:val="21"/>
                <w:szCs w:val="21"/>
                <w:lang w:bidi="en-US"/>
              </w:rPr>
            </w:pPr>
            <w:r>
              <w:rPr>
                <w:color w:val="000000"/>
                <w:sz w:val="21"/>
                <w:szCs w:val="21"/>
              </w:rPr>
              <w:t>向中标人扣除考核期内有效的所有服务</w:t>
            </w:r>
            <w:r>
              <w:rPr>
                <w:rFonts w:hint="eastAsia"/>
                <w:color w:val="000000"/>
                <w:sz w:val="21"/>
                <w:szCs w:val="21"/>
              </w:rPr>
              <w:t>费</w:t>
            </w:r>
            <w:r>
              <w:rPr>
                <w:color w:val="000000"/>
                <w:sz w:val="21"/>
                <w:szCs w:val="21"/>
              </w:rPr>
              <w:t>总额的15%</w:t>
            </w:r>
          </w:p>
        </w:tc>
      </w:tr>
      <w:tr w14:paraId="5E6A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47" w:type="pct"/>
            <w:vAlign w:val="center"/>
          </w:tcPr>
          <w:p w14:paraId="3B69D279">
            <w:pPr>
              <w:widowControl/>
              <w:ind w:firstLine="0" w:firstLineChars="0"/>
              <w:jc w:val="left"/>
              <w:rPr>
                <w:color w:val="000000"/>
                <w:sz w:val="21"/>
                <w:szCs w:val="21"/>
                <w:lang w:bidi="en-US"/>
              </w:rPr>
            </w:pPr>
            <w:r>
              <w:rPr>
                <w:color w:val="000000"/>
                <w:sz w:val="21"/>
                <w:szCs w:val="21"/>
              </w:rPr>
              <w:t>≥60分，&lt;80分</w:t>
            </w:r>
          </w:p>
        </w:tc>
        <w:tc>
          <w:tcPr>
            <w:tcW w:w="3553" w:type="pct"/>
            <w:vAlign w:val="center"/>
          </w:tcPr>
          <w:p w14:paraId="27AF78CA">
            <w:pPr>
              <w:widowControl/>
              <w:ind w:firstLine="0" w:firstLineChars="0"/>
              <w:jc w:val="left"/>
              <w:rPr>
                <w:color w:val="000000"/>
                <w:sz w:val="21"/>
                <w:szCs w:val="21"/>
                <w:lang w:bidi="en-US"/>
              </w:rPr>
            </w:pPr>
            <w:r>
              <w:rPr>
                <w:color w:val="000000"/>
                <w:sz w:val="21"/>
                <w:szCs w:val="21"/>
              </w:rPr>
              <w:t>向中标人扣除考核期内有效的所有服务</w:t>
            </w:r>
            <w:r>
              <w:rPr>
                <w:rFonts w:hint="eastAsia"/>
                <w:color w:val="000000"/>
                <w:sz w:val="21"/>
                <w:szCs w:val="21"/>
              </w:rPr>
              <w:t>费</w:t>
            </w:r>
            <w:r>
              <w:rPr>
                <w:color w:val="000000"/>
                <w:sz w:val="21"/>
                <w:szCs w:val="21"/>
              </w:rPr>
              <w:t>总额的10%</w:t>
            </w:r>
          </w:p>
        </w:tc>
      </w:tr>
      <w:tr w14:paraId="2AAC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47" w:type="pct"/>
            <w:vAlign w:val="center"/>
          </w:tcPr>
          <w:p w14:paraId="4785BA8A">
            <w:pPr>
              <w:widowControl/>
              <w:ind w:firstLine="0" w:firstLineChars="0"/>
              <w:jc w:val="left"/>
              <w:rPr>
                <w:color w:val="000000"/>
                <w:sz w:val="21"/>
                <w:szCs w:val="21"/>
                <w:lang w:bidi="en-US"/>
              </w:rPr>
            </w:pPr>
            <w:r>
              <w:rPr>
                <w:color w:val="000000"/>
                <w:sz w:val="21"/>
                <w:szCs w:val="21"/>
              </w:rPr>
              <w:t>≥</w:t>
            </w:r>
            <w:r>
              <w:rPr>
                <w:color w:val="000000"/>
                <w:sz w:val="21"/>
                <w:szCs w:val="21"/>
                <w:lang w:bidi="en-US"/>
              </w:rPr>
              <w:t>80分，</w:t>
            </w:r>
            <w:r>
              <w:rPr>
                <w:color w:val="000000"/>
                <w:sz w:val="21"/>
                <w:szCs w:val="21"/>
              </w:rPr>
              <w:t>&lt;90分</w:t>
            </w:r>
          </w:p>
        </w:tc>
        <w:tc>
          <w:tcPr>
            <w:tcW w:w="3553" w:type="pct"/>
            <w:vAlign w:val="center"/>
          </w:tcPr>
          <w:p w14:paraId="1ADBFDD1">
            <w:pPr>
              <w:widowControl/>
              <w:ind w:firstLine="0" w:firstLineChars="0"/>
              <w:jc w:val="left"/>
              <w:rPr>
                <w:color w:val="000000"/>
                <w:sz w:val="21"/>
                <w:szCs w:val="21"/>
                <w:lang w:bidi="en-US"/>
              </w:rPr>
            </w:pPr>
            <w:r>
              <w:rPr>
                <w:color w:val="000000"/>
                <w:sz w:val="21"/>
                <w:szCs w:val="21"/>
              </w:rPr>
              <w:t>向中标人扣除考核期内有效的所有服务</w:t>
            </w:r>
            <w:r>
              <w:rPr>
                <w:rFonts w:hint="eastAsia"/>
                <w:color w:val="000000"/>
                <w:sz w:val="21"/>
                <w:szCs w:val="21"/>
              </w:rPr>
              <w:t>费</w:t>
            </w:r>
            <w:r>
              <w:rPr>
                <w:color w:val="000000"/>
                <w:sz w:val="21"/>
                <w:szCs w:val="21"/>
              </w:rPr>
              <w:t>总额的5%</w:t>
            </w:r>
          </w:p>
        </w:tc>
      </w:tr>
    </w:tbl>
    <w:p w14:paraId="47A9807C">
      <w:pPr>
        <w:ind w:firstLine="480"/>
        <w:rPr>
          <w:sz w:val="21"/>
          <w:szCs w:val="21"/>
        </w:rPr>
      </w:pPr>
      <w:r>
        <w:rPr>
          <w:rFonts w:hint="eastAsia"/>
          <w:sz w:val="21"/>
          <w:szCs w:val="21"/>
        </w:rPr>
        <w:t>投标人履行数据运营服务过程中出现重大事故时，根据严重程度，采购人将依据问题严重程度对投标人给予扣款、中止合同或将该投标人报财政部门备案。</w:t>
      </w:r>
    </w:p>
    <w:p w14:paraId="019A5F7D">
      <w:pPr>
        <w:pStyle w:val="33"/>
        <w:rPr>
          <w:sz w:val="21"/>
          <w:szCs w:val="21"/>
        </w:rPr>
      </w:pPr>
      <w:r>
        <w:rPr>
          <w:rFonts w:hint="eastAsia"/>
          <w:sz w:val="21"/>
          <w:szCs w:val="21"/>
        </w:rPr>
        <w:t>数据运营服务重大事故责罚</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53"/>
        <w:gridCol w:w="2841"/>
      </w:tblGrid>
      <w:tr w14:paraId="3155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A3335BC">
            <w:pPr>
              <w:widowControl/>
              <w:ind w:firstLine="0" w:firstLineChars="0"/>
              <w:jc w:val="center"/>
              <w:rPr>
                <w:b/>
                <w:color w:val="000000"/>
                <w:sz w:val="21"/>
                <w:szCs w:val="21"/>
                <w:lang w:bidi="en-US"/>
              </w:rPr>
            </w:pPr>
            <w:r>
              <w:rPr>
                <w:rFonts w:hint="eastAsia"/>
                <w:b/>
                <w:color w:val="000000"/>
                <w:sz w:val="21"/>
                <w:szCs w:val="21"/>
                <w:lang w:bidi="en-US"/>
              </w:rPr>
              <w:t>序号</w:t>
            </w:r>
          </w:p>
        </w:tc>
        <w:tc>
          <w:tcPr>
            <w:tcW w:w="4853" w:type="dxa"/>
          </w:tcPr>
          <w:p w14:paraId="254F3F14">
            <w:pPr>
              <w:widowControl/>
              <w:ind w:firstLine="0" w:firstLineChars="0"/>
              <w:jc w:val="center"/>
              <w:rPr>
                <w:b/>
                <w:color w:val="000000"/>
                <w:sz w:val="21"/>
                <w:szCs w:val="21"/>
                <w:lang w:bidi="en-US"/>
              </w:rPr>
            </w:pPr>
            <w:r>
              <w:rPr>
                <w:rFonts w:hint="eastAsia"/>
                <w:b/>
                <w:color w:val="000000"/>
                <w:sz w:val="21"/>
                <w:szCs w:val="21"/>
                <w:lang w:bidi="en-US"/>
              </w:rPr>
              <w:t>问题描述</w:t>
            </w:r>
          </w:p>
        </w:tc>
        <w:tc>
          <w:tcPr>
            <w:tcW w:w="2841" w:type="dxa"/>
          </w:tcPr>
          <w:p w14:paraId="1FA7585A">
            <w:pPr>
              <w:widowControl/>
              <w:ind w:firstLine="0" w:firstLineChars="0"/>
              <w:jc w:val="center"/>
              <w:rPr>
                <w:b/>
                <w:color w:val="000000"/>
                <w:sz w:val="21"/>
                <w:szCs w:val="21"/>
                <w:lang w:bidi="en-US"/>
              </w:rPr>
            </w:pPr>
            <w:r>
              <w:rPr>
                <w:rFonts w:hint="eastAsia"/>
                <w:b/>
                <w:color w:val="000000"/>
                <w:sz w:val="21"/>
                <w:szCs w:val="21"/>
                <w:lang w:bidi="en-US"/>
              </w:rPr>
              <w:t>扣款金额</w:t>
            </w:r>
          </w:p>
        </w:tc>
      </w:tr>
      <w:tr w14:paraId="336E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C6D251A">
            <w:pPr>
              <w:ind w:firstLine="0" w:firstLineChars="0"/>
              <w:jc w:val="center"/>
              <w:rPr>
                <w:color w:val="000000"/>
                <w:sz w:val="21"/>
                <w:szCs w:val="21"/>
              </w:rPr>
            </w:pPr>
            <w:r>
              <w:rPr>
                <w:color w:val="000000"/>
                <w:sz w:val="21"/>
                <w:szCs w:val="21"/>
              </w:rPr>
              <w:t>1</w:t>
            </w:r>
          </w:p>
        </w:tc>
        <w:tc>
          <w:tcPr>
            <w:tcW w:w="4853" w:type="dxa"/>
            <w:vAlign w:val="center"/>
          </w:tcPr>
          <w:p w14:paraId="3437CBF3">
            <w:pPr>
              <w:ind w:firstLine="0" w:firstLineChars="0"/>
              <w:jc w:val="left"/>
              <w:rPr>
                <w:color w:val="000000"/>
                <w:sz w:val="21"/>
                <w:szCs w:val="21"/>
              </w:rPr>
            </w:pPr>
            <w:r>
              <w:rPr>
                <w:rFonts w:hint="eastAsia"/>
                <w:color w:val="000000"/>
                <w:sz w:val="21"/>
                <w:szCs w:val="21"/>
              </w:rPr>
              <w:t>因数据运营人为失误导致数据服务中断</w:t>
            </w:r>
          </w:p>
        </w:tc>
        <w:tc>
          <w:tcPr>
            <w:tcW w:w="2841" w:type="dxa"/>
            <w:vAlign w:val="center"/>
          </w:tcPr>
          <w:p w14:paraId="1E1EDE2F">
            <w:pPr>
              <w:ind w:firstLine="0" w:firstLineChars="0"/>
              <w:jc w:val="center"/>
              <w:rPr>
                <w:color w:val="000000"/>
                <w:sz w:val="21"/>
                <w:szCs w:val="21"/>
              </w:rPr>
            </w:pPr>
            <w:r>
              <w:rPr>
                <w:color w:val="000000"/>
                <w:sz w:val="21"/>
                <w:szCs w:val="21"/>
              </w:rPr>
              <w:t>5</w:t>
            </w:r>
            <w:r>
              <w:rPr>
                <w:rFonts w:hint="eastAsia"/>
                <w:color w:val="000000"/>
                <w:sz w:val="21"/>
                <w:szCs w:val="21"/>
              </w:rPr>
              <w:t>万元</w:t>
            </w:r>
          </w:p>
        </w:tc>
      </w:tr>
      <w:tr w14:paraId="2653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9732026">
            <w:pPr>
              <w:ind w:firstLine="0" w:firstLineChars="0"/>
              <w:jc w:val="center"/>
              <w:rPr>
                <w:color w:val="000000"/>
                <w:sz w:val="21"/>
                <w:szCs w:val="21"/>
              </w:rPr>
            </w:pPr>
            <w:r>
              <w:rPr>
                <w:color w:val="000000"/>
                <w:sz w:val="21"/>
                <w:szCs w:val="21"/>
              </w:rPr>
              <w:t>2</w:t>
            </w:r>
          </w:p>
        </w:tc>
        <w:tc>
          <w:tcPr>
            <w:tcW w:w="4853" w:type="dxa"/>
            <w:vAlign w:val="center"/>
          </w:tcPr>
          <w:p w14:paraId="11343D6D">
            <w:pPr>
              <w:ind w:firstLine="0" w:firstLineChars="0"/>
              <w:jc w:val="left"/>
              <w:rPr>
                <w:color w:val="000000"/>
                <w:sz w:val="21"/>
                <w:szCs w:val="21"/>
              </w:rPr>
            </w:pPr>
            <w:r>
              <w:rPr>
                <w:rFonts w:hint="eastAsia"/>
                <w:color w:val="000000"/>
                <w:sz w:val="21"/>
                <w:szCs w:val="21"/>
              </w:rPr>
              <w:t>依据本招标要求未能履行具体条款</w:t>
            </w:r>
          </w:p>
        </w:tc>
        <w:tc>
          <w:tcPr>
            <w:tcW w:w="2841" w:type="dxa"/>
            <w:vAlign w:val="center"/>
          </w:tcPr>
          <w:p w14:paraId="00F2035C">
            <w:pPr>
              <w:ind w:firstLine="0" w:firstLineChars="0"/>
              <w:jc w:val="center"/>
              <w:rPr>
                <w:color w:val="000000"/>
                <w:sz w:val="21"/>
                <w:szCs w:val="21"/>
              </w:rPr>
            </w:pPr>
            <w:r>
              <w:rPr>
                <w:color w:val="000000"/>
                <w:sz w:val="21"/>
                <w:szCs w:val="21"/>
              </w:rPr>
              <w:t>10</w:t>
            </w:r>
            <w:r>
              <w:rPr>
                <w:rFonts w:hint="eastAsia"/>
                <w:color w:val="000000"/>
                <w:sz w:val="21"/>
                <w:szCs w:val="21"/>
              </w:rPr>
              <w:t>万元</w:t>
            </w:r>
          </w:p>
        </w:tc>
      </w:tr>
      <w:tr w14:paraId="02E8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106EA5D">
            <w:pPr>
              <w:ind w:firstLine="0" w:firstLineChars="0"/>
              <w:jc w:val="center"/>
              <w:rPr>
                <w:color w:val="000000"/>
                <w:sz w:val="21"/>
                <w:szCs w:val="21"/>
              </w:rPr>
            </w:pPr>
            <w:r>
              <w:rPr>
                <w:color w:val="000000"/>
                <w:sz w:val="21"/>
                <w:szCs w:val="21"/>
              </w:rPr>
              <w:t>3</w:t>
            </w:r>
          </w:p>
        </w:tc>
        <w:tc>
          <w:tcPr>
            <w:tcW w:w="4853" w:type="dxa"/>
            <w:vAlign w:val="center"/>
          </w:tcPr>
          <w:p w14:paraId="13722E56">
            <w:pPr>
              <w:ind w:firstLine="0" w:firstLineChars="0"/>
              <w:jc w:val="left"/>
              <w:rPr>
                <w:color w:val="000000"/>
                <w:sz w:val="21"/>
                <w:szCs w:val="21"/>
              </w:rPr>
            </w:pPr>
            <w:r>
              <w:rPr>
                <w:rFonts w:hint="eastAsia"/>
                <w:color w:val="000000"/>
                <w:sz w:val="21"/>
                <w:szCs w:val="21"/>
              </w:rPr>
              <w:t>因数据运营的责任事故导致数据服务中断</w:t>
            </w:r>
          </w:p>
        </w:tc>
        <w:tc>
          <w:tcPr>
            <w:tcW w:w="2841" w:type="dxa"/>
            <w:vAlign w:val="center"/>
          </w:tcPr>
          <w:p w14:paraId="55800F78">
            <w:pPr>
              <w:ind w:firstLine="0" w:firstLineChars="0"/>
              <w:jc w:val="center"/>
              <w:rPr>
                <w:color w:val="000000"/>
                <w:sz w:val="21"/>
                <w:szCs w:val="21"/>
              </w:rPr>
            </w:pPr>
            <w:r>
              <w:rPr>
                <w:color w:val="000000"/>
                <w:sz w:val="21"/>
                <w:szCs w:val="21"/>
              </w:rPr>
              <w:t>10</w:t>
            </w:r>
            <w:r>
              <w:rPr>
                <w:rFonts w:hint="eastAsia"/>
                <w:color w:val="000000"/>
                <w:sz w:val="21"/>
                <w:szCs w:val="21"/>
              </w:rPr>
              <w:t>万元</w:t>
            </w:r>
          </w:p>
        </w:tc>
      </w:tr>
      <w:tr w14:paraId="405F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ADC8194">
            <w:pPr>
              <w:ind w:firstLine="0" w:firstLineChars="0"/>
              <w:jc w:val="center"/>
              <w:rPr>
                <w:color w:val="000000"/>
                <w:sz w:val="21"/>
                <w:szCs w:val="21"/>
              </w:rPr>
            </w:pPr>
            <w:r>
              <w:rPr>
                <w:color w:val="000000"/>
                <w:sz w:val="21"/>
                <w:szCs w:val="21"/>
              </w:rPr>
              <w:t>4</w:t>
            </w:r>
          </w:p>
        </w:tc>
        <w:tc>
          <w:tcPr>
            <w:tcW w:w="4853" w:type="dxa"/>
            <w:vAlign w:val="center"/>
          </w:tcPr>
          <w:p w14:paraId="3797B81A">
            <w:pPr>
              <w:ind w:firstLine="0" w:firstLineChars="0"/>
              <w:jc w:val="left"/>
              <w:rPr>
                <w:color w:val="000000"/>
                <w:sz w:val="21"/>
                <w:szCs w:val="21"/>
              </w:rPr>
            </w:pPr>
            <w:r>
              <w:rPr>
                <w:rFonts w:hint="eastAsia"/>
                <w:color w:val="000000"/>
                <w:sz w:val="21"/>
                <w:szCs w:val="21"/>
              </w:rPr>
              <w:t>因数据运营的责任事故导致数据丢失</w:t>
            </w:r>
          </w:p>
        </w:tc>
        <w:tc>
          <w:tcPr>
            <w:tcW w:w="2841" w:type="dxa"/>
            <w:vAlign w:val="center"/>
          </w:tcPr>
          <w:p w14:paraId="0AF1B900">
            <w:pPr>
              <w:ind w:firstLine="0" w:firstLineChars="0"/>
              <w:jc w:val="center"/>
              <w:rPr>
                <w:color w:val="000000"/>
                <w:sz w:val="21"/>
                <w:szCs w:val="21"/>
              </w:rPr>
            </w:pPr>
            <w:r>
              <w:rPr>
                <w:color w:val="000000"/>
                <w:sz w:val="21"/>
                <w:szCs w:val="21"/>
              </w:rPr>
              <w:t>20</w:t>
            </w:r>
            <w:r>
              <w:rPr>
                <w:rFonts w:hint="eastAsia"/>
                <w:color w:val="000000"/>
                <w:sz w:val="21"/>
                <w:szCs w:val="21"/>
              </w:rPr>
              <w:t>万元</w:t>
            </w:r>
          </w:p>
        </w:tc>
      </w:tr>
      <w:tr w14:paraId="4D08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FA7E49E">
            <w:pPr>
              <w:ind w:firstLine="0" w:firstLineChars="0"/>
              <w:jc w:val="center"/>
              <w:rPr>
                <w:color w:val="000000"/>
                <w:sz w:val="21"/>
                <w:szCs w:val="21"/>
              </w:rPr>
            </w:pPr>
            <w:r>
              <w:rPr>
                <w:color w:val="000000"/>
                <w:sz w:val="21"/>
                <w:szCs w:val="21"/>
              </w:rPr>
              <w:t>5</w:t>
            </w:r>
          </w:p>
        </w:tc>
        <w:tc>
          <w:tcPr>
            <w:tcW w:w="4853" w:type="dxa"/>
            <w:vAlign w:val="center"/>
          </w:tcPr>
          <w:p w14:paraId="4CDAD83A">
            <w:pPr>
              <w:ind w:firstLine="0" w:firstLineChars="0"/>
              <w:jc w:val="left"/>
              <w:rPr>
                <w:color w:val="000000"/>
                <w:sz w:val="21"/>
                <w:szCs w:val="21"/>
              </w:rPr>
            </w:pPr>
            <w:r>
              <w:rPr>
                <w:rFonts w:hint="eastAsia"/>
                <w:color w:val="000000"/>
                <w:sz w:val="21"/>
                <w:szCs w:val="21"/>
              </w:rPr>
              <w:t>因数据运营的责任事故导致数据泄露</w:t>
            </w:r>
          </w:p>
        </w:tc>
        <w:tc>
          <w:tcPr>
            <w:tcW w:w="2841" w:type="dxa"/>
            <w:vAlign w:val="center"/>
          </w:tcPr>
          <w:p w14:paraId="403AA6F8">
            <w:pPr>
              <w:ind w:firstLine="0" w:firstLineChars="0"/>
              <w:jc w:val="center"/>
              <w:rPr>
                <w:color w:val="000000"/>
                <w:sz w:val="21"/>
                <w:szCs w:val="21"/>
              </w:rPr>
            </w:pPr>
            <w:r>
              <w:rPr>
                <w:color w:val="000000"/>
                <w:sz w:val="21"/>
                <w:szCs w:val="21"/>
              </w:rPr>
              <w:t>20</w:t>
            </w:r>
            <w:r>
              <w:rPr>
                <w:rFonts w:hint="eastAsia"/>
                <w:color w:val="000000"/>
                <w:sz w:val="21"/>
                <w:szCs w:val="21"/>
              </w:rPr>
              <w:t>万元</w:t>
            </w:r>
          </w:p>
        </w:tc>
      </w:tr>
      <w:tr w14:paraId="0CD0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A9BAC36">
            <w:pPr>
              <w:ind w:firstLine="0" w:firstLineChars="0"/>
              <w:jc w:val="center"/>
              <w:rPr>
                <w:color w:val="000000"/>
                <w:sz w:val="21"/>
                <w:szCs w:val="21"/>
              </w:rPr>
            </w:pPr>
            <w:r>
              <w:rPr>
                <w:color w:val="000000"/>
                <w:sz w:val="21"/>
                <w:szCs w:val="21"/>
              </w:rPr>
              <w:t>6</w:t>
            </w:r>
          </w:p>
        </w:tc>
        <w:tc>
          <w:tcPr>
            <w:tcW w:w="4853" w:type="dxa"/>
            <w:vAlign w:val="center"/>
          </w:tcPr>
          <w:p w14:paraId="337091DB">
            <w:pPr>
              <w:ind w:firstLine="0" w:firstLineChars="0"/>
              <w:jc w:val="left"/>
              <w:rPr>
                <w:color w:val="000000"/>
                <w:sz w:val="21"/>
                <w:szCs w:val="21"/>
              </w:rPr>
            </w:pPr>
            <w:r>
              <w:rPr>
                <w:rFonts w:hint="eastAsia"/>
                <w:color w:val="000000"/>
                <w:sz w:val="21"/>
                <w:szCs w:val="21"/>
              </w:rPr>
              <w:t>因数据运营重大责任事故导致数据无法使用</w:t>
            </w:r>
          </w:p>
        </w:tc>
        <w:tc>
          <w:tcPr>
            <w:tcW w:w="2841" w:type="dxa"/>
            <w:vAlign w:val="center"/>
          </w:tcPr>
          <w:p w14:paraId="5842C307">
            <w:pPr>
              <w:ind w:firstLine="0" w:firstLineChars="0"/>
              <w:jc w:val="center"/>
              <w:rPr>
                <w:color w:val="000000"/>
                <w:sz w:val="21"/>
                <w:szCs w:val="21"/>
              </w:rPr>
            </w:pPr>
            <w:r>
              <w:rPr>
                <w:color w:val="000000"/>
                <w:sz w:val="21"/>
                <w:szCs w:val="21"/>
              </w:rPr>
              <w:t>50</w:t>
            </w:r>
            <w:r>
              <w:rPr>
                <w:rFonts w:hint="eastAsia"/>
                <w:color w:val="000000"/>
                <w:sz w:val="21"/>
                <w:szCs w:val="21"/>
              </w:rPr>
              <w:t>万元</w:t>
            </w:r>
          </w:p>
        </w:tc>
      </w:tr>
    </w:tbl>
    <w:p w14:paraId="7FE5DCB4">
      <w:pPr>
        <w:ind w:firstLine="422"/>
        <w:rPr>
          <w:b/>
          <w:color w:val="000000"/>
          <w:sz w:val="21"/>
          <w:szCs w:val="21"/>
        </w:rPr>
      </w:pPr>
      <w:r>
        <w:rPr>
          <w:rFonts w:hint="eastAsia"/>
          <w:b/>
          <w:bCs/>
          <w:sz w:val="21"/>
          <w:szCs w:val="21"/>
        </w:rPr>
        <w:t>★</w:t>
      </w:r>
      <w:r>
        <w:rPr>
          <w:rFonts w:hint="eastAsia"/>
          <w:b/>
          <w:color w:val="000000"/>
          <w:kern w:val="0"/>
          <w:sz w:val="21"/>
          <w:szCs w:val="21"/>
        </w:rPr>
        <w:t>投标人应响应本项要求并提供无条件响应承诺。</w:t>
      </w:r>
    </w:p>
    <w:p w14:paraId="3EA7D175">
      <w:pPr>
        <w:pStyle w:val="3"/>
        <w:ind w:firstLine="640"/>
        <w:rPr>
          <w:sz w:val="21"/>
          <w:szCs w:val="21"/>
        </w:rPr>
      </w:pPr>
      <w:bookmarkStart w:id="0" w:name="_Toc34292039"/>
      <w:bookmarkStart w:id="1" w:name="_Toc19802434"/>
      <w:r>
        <w:rPr>
          <w:rFonts w:hint="eastAsia"/>
          <w:sz w:val="21"/>
          <w:szCs w:val="21"/>
        </w:rPr>
        <w:t>项目退出机制要求</w:t>
      </w:r>
      <w:bookmarkEnd w:id="0"/>
      <w:bookmarkEnd w:id="1"/>
    </w:p>
    <w:p w14:paraId="4BD88CC4">
      <w:pPr>
        <w:ind w:firstLine="480"/>
        <w:rPr>
          <w:sz w:val="21"/>
          <w:szCs w:val="21"/>
        </w:rPr>
      </w:pPr>
      <w:r>
        <w:rPr>
          <w:rFonts w:hint="eastAsia"/>
          <w:sz w:val="21"/>
          <w:szCs w:val="21"/>
        </w:rPr>
        <w:t>发生以下情况，启动退出机制：</w:t>
      </w:r>
    </w:p>
    <w:p w14:paraId="5205C43F">
      <w:pPr>
        <w:ind w:firstLine="480"/>
        <w:rPr>
          <w:sz w:val="21"/>
          <w:szCs w:val="21"/>
        </w:rPr>
      </w:pPr>
      <w:r>
        <w:rPr>
          <w:rFonts w:hint="eastAsia"/>
          <w:sz w:val="21"/>
          <w:szCs w:val="21"/>
        </w:rPr>
        <w:t>（</w:t>
      </w:r>
      <w:r>
        <w:rPr>
          <w:sz w:val="21"/>
          <w:szCs w:val="21"/>
        </w:rPr>
        <w:t>1）</w:t>
      </w:r>
      <w:r>
        <w:rPr>
          <w:sz w:val="21"/>
          <w:szCs w:val="21"/>
        </w:rPr>
        <w:tab/>
      </w:r>
      <w:r>
        <w:rPr>
          <w:rFonts w:hint="eastAsia"/>
          <w:sz w:val="21"/>
          <w:szCs w:val="21"/>
        </w:rPr>
        <w:t>服务期内，如中标方提出退出要求，需至少提前6个月向招标方提出退出申请，经批准后需提供6个月的延续服务。</w:t>
      </w:r>
    </w:p>
    <w:p w14:paraId="4D85AAEA">
      <w:pPr>
        <w:ind w:firstLine="480"/>
        <w:rPr>
          <w:sz w:val="21"/>
          <w:szCs w:val="21"/>
        </w:rPr>
      </w:pPr>
      <w:r>
        <w:rPr>
          <w:rFonts w:hint="eastAsia"/>
          <w:sz w:val="21"/>
          <w:szCs w:val="21"/>
        </w:rPr>
        <w:t>（</w:t>
      </w:r>
      <w:r>
        <w:rPr>
          <w:sz w:val="21"/>
          <w:szCs w:val="21"/>
        </w:rPr>
        <w:t>2）</w:t>
      </w:r>
      <w:r>
        <w:rPr>
          <w:sz w:val="21"/>
          <w:szCs w:val="21"/>
        </w:rPr>
        <w:tab/>
      </w:r>
      <w:r>
        <w:rPr>
          <w:rFonts w:hint="eastAsia"/>
          <w:sz w:val="21"/>
          <w:szCs w:val="21"/>
        </w:rPr>
        <w:t>服务期满后，若双方不再续约，中标方无条件免费配合各方完成服务交接工作，服务交接期一般延续6个月。</w:t>
      </w:r>
    </w:p>
    <w:p w14:paraId="0A08503F">
      <w:pPr>
        <w:ind w:firstLine="480"/>
        <w:rPr>
          <w:sz w:val="21"/>
          <w:szCs w:val="21"/>
        </w:rPr>
      </w:pPr>
      <w:r>
        <w:rPr>
          <w:rFonts w:hint="eastAsia"/>
          <w:sz w:val="21"/>
          <w:szCs w:val="21"/>
        </w:rPr>
        <w:t>（</w:t>
      </w:r>
      <w:r>
        <w:rPr>
          <w:sz w:val="21"/>
          <w:szCs w:val="21"/>
        </w:rPr>
        <w:t>3）</w:t>
      </w:r>
      <w:r>
        <w:rPr>
          <w:sz w:val="21"/>
          <w:szCs w:val="21"/>
        </w:rPr>
        <w:tab/>
      </w:r>
      <w:r>
        <w:rPr>
          <w:rFonts w:hint="eastAsia"/>
          <w:sz w:val="21"/>
          <w:szCs w:val="21"/>
        </w:rPr>
        <w:t>服务期内，若由于中标方服务能力不能满足约定要求，例如：考核分数</w:t>
      </w:r>
      <w:r>
        <w:rPr>
          <w:sz w:val="21"/>
          <w:szCs w:val="21"/>
        </w:rPr>
        <w:t>&lt;60</w:t>
      </w:r>
      <w:r>
        <w:rPr>
          <w:rFonts w:hint="eastAsia"/>
          <w:sz w:val="21"/>
          <w:szCs w:val="21"/>
        </w:rPr>
        <w:t>分</w:t>
      </w:r>
      <w:r>
        <w:rPr>
          <w:sz w:val="21"/>
          <w:szCs w:val="21"/>
        </w:rPr>
        <w:t>，</w:t>
      </w:r>
      <w:r>
        <w:rPr>
          <w:rFonts w:hint="eastAsia"/>
          <w:sz w:val="21"/>
          <w:szCs w:val="21"/>
        </w:rPr>
        <w:t>招标方</w:t>
      </w:r>
      <w:r>
        <w:rPr>
          <w:sz w:val="21"/>
          <w:szCs w:val="21"/>
        </w:rPr>
        <w:t>有权终止合同</w:t>
      </w:r>
      <w:r>
        <w:rPr>
          <w:rFonts w:hint="eastAsia"/>
          <w:sz w:val="21"/>
          <w:szCs w:val="21"/>
        </w:rPr>
        <w:t>，责令其退出，并由中标方向招标方支付赔偿费用，相关赔偿费用双方另行协商。</w:t>
      </w:r>
    </w:p>
    <w:p w14:paraId="56A196CE">
      <w:pPr>
        <w:ind w:firstLine="480"/>
        <w:rPr>
          <w:sz w:val="21"/>
          <w:szCs w:val="21"/>
        </w:rPr>
      </w:pPr>
      <w:r>
        <w:rPr>
          <w:rFonts w:hint="eastAsia"/>
          <w:sz w:val="21"/>
          <w:szCs w:val="21"/>
        </w:rPr>
        <w:t>退出机制启动后，中标方无条件协助招标方完成大数据运营相关系统的迁移和退出。从系统迁移出的数据，包括但不限于招标方移交给中标方的数据和资料，数据运营系统运行期间产生、收集的数据以及相关文档资料等。中标方不得自行保留数据运营期间产生、收集的数据及相关文档资料，并不能以商业市场的技术手段恢复相关数据和文档资料。</w:t>
      </w:r>
    </w:p>
    <w:p w14:paraId="587E7344">
      <w:pPr>
        <w:pStyle w:val="2"/>
        <w:rPr>
          <w:sz w:val="21"/>
          <w:szCs w:val="21"/>
        </w:rPr>
      </w:pPr>
      <w:r>
        <w:rPr>
          <w:rFonts w:hint="eastAsia"/>
          <w:sz w:val="21"/>
          <w:szCs w:val="21"/>
        </w:rPr>
        <w:t>项目概述</w:t>
      </w:r>
    </w:p>
    <w:p w14:paraId="31D79364">
      <w:pPr>
        <w:pStyle w:val="3"/>
        <w:ind w:firstLine="640"/>
        <w:rPr>
          <w:sz w:val="21"/>
          <w:szCs w:val="21"/>
        </w:rPr>
      </w:pPr>
      <w:r>
        <w:rPr>
          <w:rFonts w:hint="eastAsia"/>
          <w:sz w:val="21"/>
          <w:szCs w:val="21"/>
        </w:rPr>
        <w:t>项目背景</w:t>
      </w:r>
    </w:p>
    <w:p w14:paraId="1D5F2A24">
      <w:pPr>
        <w:ind w:firstLine="480"/>
        <w:rPr>
          <w:sz w:val="21"/>
          <w:szCs w:val="21"/>
        </w:rPr>
      </w:pPr>
      <w:r>
        <w:rPr>
          <w:rFonts w:hint="eastAsia"/>
          <w:sz w:val="21"/>
          <w:szCs w:val="21"/>
        </w:rPr>
        <w:t>随着“数据二十条”的发布及国家数据局的成立，我国数据要素市场培育进入快车道。</w:t>
      </w:r>
      <w:r>
        <w:rPr>
          <w:sz w:val="21"/>
          <w:szCs w:val="21"/>
        </w:rPr>
        <w:t>2025</w:t>
      </w:r>
      <w:r>
        <w:rPr>
          <w:rFonts w:hint="eastAsia"/>
          <w:sz w:val="21"/>
          <w:szCs w:val="21"/>
        </w:rPr>
        <w:t>年《政务数据共享条例》的正式施行，标志着政务数据从“部门私有”向“社会共享”的制度性突破。条例明确政务数据共享的“无条件共享、有条件共享、不予共享”分类标准，并要求政务数据目录动态更新，为数据跨部门流通提供了法律保障。</w:t>
      </w:r>
    </w:p>
    <w:p w14:paraId="7AAD4736">
      <w:pPr>
        <w:ind w:firstLine="480"/>
        <w:rPr>
          <w:sz w:val="21"/>
          <w:szCs w:val="21"/>
        </w:rPr>
      </w:pPr>
      <w:r>
        <w:rPr>
          <w:rFonts w:hint="eastAsia"/>
          <w:sz w:val="21"/>
          <w:szCs w:val="21"/>
        </w:rPr>
        <w:t>为落实市政府《上海市公共数据库和一网通办管理办法》（沪府令9号）及市委办公厅、市政府办公厅《上海市加快推进数据治理促进公共数据应用实施方案》（沪委办〔2019〕8号）等相关文件要求，更好地应对青浦区公共数据全生命周期管理工作中遇到的挑战，构建公共数据服务的生态系统，促进城市核心数据枢纽的建设。</w:t>
      </w:r>
    </w:p>
    <w:p w14:paraId="6F14ADFA">
      <w:pPr>
        <w:ind w:firstLine="480"/>
        <w:rPr>
          <w:sz w:val="21"/>
          <w:szCs w:val="21"/>
        </w:rPr>
      </w:pPr>
      <w:r>
        <w:rPr>
          <w:rFonts w:hint="eastAsia"/>
          <w:sz w:val="21"/>
          <w:szCs w:val="21"/>
        </w:rPr>
        <w:t>为深入贯彻党的十九大关于建设人民满意的服务型政府的要求，坚持以人民为中心的发展思想，适应政府管理和服务现代化发展需要，深化改革，进一步优化营商环境，提升群众和企业获得感，2018年4月12日上海市市委办公厅、市政府办公厅颁布“上海市全面推进‘一网通办’加快建设智慧政府工作方案”，明确提出“以电子政务云为基础，以跨部门、跨层级应用为抓手，统筹构建‘云数联动’的数据共享交换平台，实现重要信息系统通过统一平台进行数据共享交换，打通各部门信息系统、打破‘数据孤岛’”，要求“建设统一的数据共享交换平台”，建成对接国家平台，覆盖全市、统筹利用、统一接入的数据共享交换平台，形成数据存储、交换、共享、使用、开放的核心枢纽，以推动人口、法人、空间、电子证照等基础数据库与重点数据的接入，推动跨地区、跨层级、跨部门数据共享交换和应用。</w:t>
      </w:r>
    </w:p>
    <w:p w14:paraId="0F40E5F4">
      <w:pPr>
        <w:ind w:firstLine="480"/>
        <w:rPr>
          <w:sz w:val="21"/>
          <w:szCs w:val="21"/>
        </w:rPr>
      </w:pPr>
      <w:r>
        <w:rPr>
          <w:rFonts w:hint="eastAsia"/>
          <w:sz w:val="21"/>
          <w:szCs w:val="21"/>
        </w:rPr>
        <w:t>青浦区大数据资源平台分别在2019年、2020年、2024年分三期建设并升级，对全区的公共数据采集、归集、共享等进行基础框架设计以及平台功能的建设实现。建设了数据资源平台、公共数据治理的基础功能及框架，初步建成青浦区大数据资源平台，承接市大数据资源平台的落地数据资源，归集区内各单位公共数据资源，按需实现共享交换，构建了集青浦区公共数据汇聚、整合、共享、应用、评价、展示六位于一体的大数据资源体系。从基础上推动了各单位对公共数据治理及数据共享交换的理解和应用，提高各单位对公共数据治理的感知和业务、技术水平。为推动全区公共数据资产化，进一步促进各单位数据共享使用，提高大数据资源平台的能效，增加大数据资源平台在全区的数据规模提供基础支撑与平台助力。</w:t>
      </w:r>
    </w:p>
    <w:p w14:paraId="78E49F72">
      <w:pPr>
        <w:ind w:firstLine="480"/>
        <w:rPr>
          <w:sz w:val="21"/>
          <w:szCs w:val="21"/>
        </w:rPr>
      </w:pPr>
      <w:r>
        <w:rPr>
          <w:rFonts w:hint="eastAsia"/>
          <w:sz w:val="21"/>
          <w:szCs w:val="21"/>
        </w:rPr>
        <w:t>为强化大数据平台的数据承载能力，以及业务数据的深化加工和应用，采购专业数据运行治理服务，提供全区大数据资源的深化应用和共享协作。</w:t>
      </w:r>
    </w:p>
    <w:p w14:paraId="67BC7336">
      <w:pPr>
        <w:ind w:firstLine="480"/>
        <w:rPr>
          <w:sz w:val="21"/>
          <w:szCs w:val="21"/>
        </w:rPr>
      </w:pPr>
      <w:r>
        <w:rPr>
          <w:rFonts w:hint="eastAsia"/>
          <w:sz w:val="21"/>
          <w:szCs w:val="21"/>
        </w:rPr>
        <w:t>国家数据局印发《2025年数字社会发展工作要点》以及《2025年数字社会领域标志性任务清单》。工作要点聚焦提质增效数字公共服务、智享美好数字生活、推进精准数字社会治理3个方面，以及上海市政府发布《立足数字经济新赛道推动数据要素产业创新发展行动方案（2023-2025年）》（沪府办发〔2023〕14号），针对区大数据资源的运营服务工作需要不断优化数据采集和核验机制、推动公共数据“应归尽归”，加强平台数据安全管理能力和数据共享交换能力。</w:t>
      </w:r>
    </w:p>
    <w:p w14:paraId="23E34808">
      <w:pPr>
        <w:ind w:firstLine="480"/>
        <w:rPr>
          <w:sz w:val="21"/>
          <w:szCs w:val="21"/>
        </w:rPr>
      </w:pPr>
      <w:r>
        <w:rPr>
          <w:rFonts w:hint="eastAsia"/>
          <w:sz w:val="21"/>
          <w:szCs w:val="21"/>
        </w:rPr>
        <w:t>青浦区大数据资源平台，依托区电子政务外网和电子政务云搭建，提供了数据资源库、数据共享交换、大数据基础支撑、数据治理、统一数据门户等子系统和管理功能，可为全区政务数据资源的归集、加工、梳理、应用、共享提供统一高效的支撑。</w:t>
      </w:r>
    </w:p>
    <w:p w14:paraId="559AE7A4">
      <w:pPr>
        <w:ind w:firstLine="480"/>
        <w:rPr>
          <w:sz w:val="21"/>
          <w:szCs w:val="21"/>
        </w:rPr>
      </w:pPr>
      <w:r>
        <w:rPr>
          <w:rFonts w:hint="eastAsia"/>
          <w:sz w:val="21"/>
          <w:szCs w:val="21"/>
        </w:rPr>
        <w:t>本项目</w:t>
      </w:r>
      <w:r>
        <w:rPr>
          <w:sz w:val="21"/>
          <w:szCs w:val="21"/>
        </w:rPr>
        <w:t>通过购买服务的形式，完善青浦区数据资源体系，推动公共数据开发利用，更好赋能青浦城市现代化治理，助力城市数字转型。以青浦区大数据资源平台现有架构和应用功能为基础，结合全市的数据发展管理要求，围绕数据基础服务类、应用服务类、创新服务类等三方面，持续开展数据汇聚、质量和安全管理的运营工作，并面向“人、事、地、物、情”形成业务分析综合运营主题内容，实现数据的统一采集、统一汇聚、统一加工、统一管理，构建青浦区核心数据枢纽和城市公共数字底座。</w:t>
      </w:r>
    </w:p>
    <w:p w14:paraId="34F12DD2">
      <w:pPr>
        <w:pStyle w:val="3"/>
        <w:ind w:firstLine="640"/>
        <w:rPr>
          <w:sz w:val="21"/>
          <w:szCs w:val="21"/>
        </w:rPr>
      </w:pPr>
      <w:r>
        <w:rPr>
          <w:rFonts w:hint="eastAsia"/>
          <w:sz w:val="21"/>
          <w:szCs w:val="21"/>
        </w:rPr>
        <w:t>平台现状</w:t>
      </w:r>
    </w:p>
    <w:p w14:paraId="1188732D">
      <w:pPr>
        <w:ind w:firstLine="480"/>
        <w:rPr>
          <w:sz w:val="21"/>
          <w:szCs w:val="21"/>
        </w:rPr>
      </w:pPr>
      <w:r>
        <w:rPr>
          <w:rFonts w:hint="eastAsia"/>
          <w:sz w:val="21"/>
          <w:szCs w:val="21"/>
        </w:rPr>
        <w:t>本次项目的运营服务依托区大数据平台进行实施，应用平台的相关模块完成数据运营治理，平台现状如下：</w:t>
      </w:r>
    </w:p>
    <w:p w14:paraId="4836B7BD">
      <w:pPr>
        <w:pStyle w:val="4"/>
        <w:ind w:firstLine="643"/>
        <w:rPr>
          <w:sz w:val="21"/>
          <w:szCs w:val="21"/>
        </w:rPr>
      </w:pPr>
      <w:r>
        <w:rPr>
          <w:rFonts w:hint="eastAsia"/>
          <w:sz w:val="21"/>
          <w:szCs w:val="21"/>
        </w:rPr>
        <w:t>平台总体架构情况</w:t>
      </w:r>
    </w:p>
    <w:p w14:paraId="4619D607">
      <w:pPr>
        <w:ind w:firstLine="480"/>
        <w:rPr>
          <w:sz w:val="21"/>
          <w:szCs w:val="21"/>
        </w:rPr>
      </w:pPr>
      <w:r>
        <w:rPr>
          <w:rFonts w:hint="eastAsia"/>
          <w:sz w:val="21"/>
          <w:szCs w:val="21"/>
        </w:rPr>
        <w:t>经过三期的建设区大数据平台建设了数据资源库、数据共享交换子平台、大数据基础支撑平台、数据治理子平台、统一数据管理门户等模块。</w:t>
      </w:r>
    </w:p>
    <w:p w14:paraId="41B4A7CB">
      <w:pPr>
        <w:ind w:firstLine="0" w:firstLineChars="0"/>
        <w:jc w:val="center"/>
        <w:rPr>
          <w:color w:val="000000"/>
          <w:sz w:val="21"/>
          <w:szCs w:val="21"/>
        </w:rPr>
      </w:pPr>
      <w:r>
        <w:rPr>
          <w:sz w:val="21"/>
          <w:szCs w:val="21"/>
        </w:rPr>
        <w:drawing>
          <wp:inline distT="0" distB="0" distL="0" distR="0">
            <wp:extent cx="5303520" cy="3562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03520" cy="3562350"/>
                    </a:xfrm>
                    <a:prstGeom prst="rect">
                      <a:avLst/>
                    </a:prstGeom>
                    <a:noFill/>
                    <a:ln>
                      <a:noFill/>
                    </a:ln>
                  </pic:spPr>
                </pic:pic>
              </a:graphicData>
            </a:graphic>
          </wp:inline>
        </w:drawing>
      </w:r>
    </w:p>
    <w:p w14:paraId="38974119">
      <w:pPr>
        <w:pStyle w:val="4"/>
        <w:ind w:firstLine="643"/>
        <w:rPr>
          <w:sz w:val="21"/>
          <w:szCs w:val="21"/>
        </w:rPr>
      </w:pPr>
      <w:r>
        <w:rPr>
          <w:rFonts w:hint="eastAsia"/>
          <w:sz w:val="21"/>
          <w:szCs w:val="21"/>
        </w:rPr>
        <w:t>平台网络架构</w:t>
      </w:r>
    </w:p>
    <w:p w14:paraId="423B9E89">
      <w:pPr>
        <w:ind w:firstLine="0" w:firstLineChars="0"/>
        <w:jc w:val="center"/>
        <w:rPr>
          <w:sz w:val="21"/>
          <w:szCs w:val="21"/>
        </w:rPr>
      </w:pPr>
      <w:r>
        <w:rPr>
          <w:sz w:val="21"/>
          <w:szCs w:val="21"/>
        </w:rPr>
        <w:drawing>
          <wp:inline distT="0" distB="0" distL="0" distR="0">
            <wp:extent cx="5271770" cy="4047490"/>
            <wp:effectExtent l="0" t="0" r="5080" b="0"/>
            <wp:docPr id="1" name="图片 1" descr="C:\Users\WANGMI~1\AppData\Local\Temp\Rar$DRa17120.45993\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NGMI~1\AppData\Local\Temp\Rar$DRa17120.45993\图片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1770" cy="4047490"/>
                    </a:xfrm>
                    <a:prstGeom prst="rect">
                      <a:avLst/>
                    </a:prstGeom>
                    <a:noFill/>
                    <a:ln>
                      <a:noFill/>
                    </a:ln>
                  </pic:spPr>
                </pic:pic>
              </a:graphicData>
            </a:graphic>
          </wp:inline>
        </w:drawing>
      </w:r>
    </w:p>
    <w:p w14:paraId="016B4452">
      <w:pPr>
        <w:pStyle w:val="33"/>
        <w:rPr>
          <w:sz w:val="21"/>
          <w:szCs w:val="21"/>
        </w:rPr>
      </w:pPr>
      <w:r>
        <w:rPr>
          <w:rFonts w:hint="eastAsia"/>
          <w:sz w:val="21"/>
          <w:szCs w:val="21"/>
        </w:rPr>
        <w:t>平台网络拓扑图</w:t>
      </w:r>
    </w:p>
    <w:p w14:paraId="7182329C">
      <w:pPr>
        <w:ind w:firstLine="480"/>
        <w:rPr>
          <w:sz w:val="21"/>
          <w:szCs w:val="21"/>
        </w:rPr>
      </w:pPr>
      <w:r>
        <w:rPr>
          <w:rFonts w:hint="eastAsia"/>
          <w:sz w:val="21"/>
          <w:szCs w:val="21"/>
        </w:rPr>
        <w:t>当前青浦区大数据资源平台以区政务云作为主要部署环境，结合本区委办前置机、互联网区域前置机、市大数据前置机等设备和网络，形成政务外网的大数据资源平台部署环境和架构。</w:t>
      </w:r>
    </w:p>
    <w:p w14:paraId="4754F09B">
      <w:pPr>
        <w:pStyle w:val="4"/>
        <w:ind w:firstLine="643"/>
        <w:rPr>
          <w:sz w:val="21"/>
          <w:szCs w:val="21"/>
        </w:rPr>
      </w:pPr>
      <w:r>
        <w:rPr>
          <w:rFonts w:hint="eastAsia"/>
          <w:sz w:val="21"/>
          <w:szCs w:val="21"/>
        </w:rPr>
        <w:t>平台部署环境说明</w:t>
      </w:r>
    </w:p>
    <w:p w14:paraId="533A98DD">
      <w:pPr>
        <w:ind w:firstLine="480"/>
        <w:rPr>
          <w:sz w:val="21"/>
          <w:szCs w:val="21"/>
        </w:rPr>
      </w:pPr>
      <w:r>
        <w:rPr>
          <w:rFonts w:hint="eastAsia"/>
          <w:sz w:val="21"/>
          <w:szCs w:val="21"/>
        </w:rPr>
        <w:t>当前平台主要部署在区政务云的虚拟化服务器环境中，主要使用的软件环境包括：</w:t>
      </w:r>
    </w:p>
    <w:p w14:paraId="6C9CF046">
      <w:pPr>
        <w:ind w:firstLine="480"/>
        <w:rPr>
          <w:sz w:val="21"/>
          <w:szCs w:val="21"/>
        </w:rPr>
      </w:pPr>
      <w:r>
        <w:rPr>
          <w:rFonts w:hint="eastAsia"/>
          <w:sz w:val="21"/>
          <w:szCs w:val="21"/>
        </w:rPr>
        <w:t>操作系统：银河麒麟、</w:t>
      </w:r>
      <w:r>
        <w:rPr>
          <w:sz w:val="21"/>
          <w:szCs w:val="21"/>
        </w:rPr>
        <w:t>centos</w:t>
      </w:r>
      <w:r>
        <w:rPr>
          <w:rFonts w:hint="eastAsia"/>
          <w:sz w:val="21"/>
          <w:szCs w:val="21"/>
        </w:rPr>
        <w:t>；</w:t>
      </w:r>
    </w:p>
    <w:p w14:paraId="21306401">
      <w:pPr>
        <w:ind w:firstLine="480"/>
        <w:rPr>
          <w:sz w:val="21"/>
          <w:szCs w:val="21"/>
        </w:rPr>
      </w:pPr>
      <w:r>
        <w:rPr>
          <w:rFonts w:hint="eastAsia"/>
          <w:sz w:val="21"/>
          <w:szCs w:val="21"/>
        </w:rPr>
        <w:t>中间件：东方通TongWeb、R</w:t>
      </w:r>
      <w:r>
        <w:rPr>
          <w:sz w:val="21"/>
          <w:szCs w:val="21"/>
        </w:rPr>
        <w:t>edis</w:t>
      </w:r>
      <w:r>
        <w:rPr>
          <w:rFonts w:hint="eastAsia"/>
          <w:sz w:val="21"/>
          <w:szCs w:val="21"/>
        </w:rPr>
        <w:t>、N</w:t>
      </w:r>
      <w:r>
        <w:rPr>
          <w:sz w:val="21"/>
          <w:szCs w:val="21"/>
        </w:rPr>
        <w:t>ginx</w:t>
      </w:r>
      <w:r>
        <w:rPr>
          <w:rFonts w:hint="eastAsia"/>
          <w:sz w:val="21"/>
          <w:szCs w:val="21"/>
        </w:rPr>
        <w:t>；</w:t>
      </w:r>
    </w:p>
    <w:p w14:paraId="13FC9FC8">
      <w:pPr>
        <w:ind w:firstLine="480"/>
        <w:rPr>
          <w:sz w:val="21"/>
          <w:szCs w:val="21"/>
        </w:rPr>
      </w:pPr>
      <w:r>
        <w:rPr>
          <w:rFonts w:hint="eastAsia"/>
          <w:sz w:val="21"/>
          <w:szCs w:val="21"/>
        </w:rPr>
        <w:t>数据库：华为高斯</w:t>
      </w:r>
      <w:r>
        <w:rPr>
          <w:sz w:val="21"/>
          <w:szCs w:val="21"/>
        </w:rPr>
        <w:t>DB</w:t>
      </w:r>
      <w:r>
        <w:rPr>
          <w:rFonts w:hint="eastAsia"/>
          <w:sz w:val="21"/>
          <w:szCs w:val="21"/>
        </w:rPr>
        <w:t>数据库、华为</w:t>
      </w:r>
      <w:r>
        <w:rPr>
          <w:sz w:val="21"/>
          <w:szCs w:val="21"/>
        </w:rPr>
        <w:t>HDFS</w:t>
      </w:r>
      <w:r>
        <w:rPr>
          <w:rFonts w:hint="eastAsia"/>
          <w:sz w:val="21"/>
          <w:szCs w:val="21"/>
        </w:rPr>
        <w:t>数据湖、M</w:t>
      </w:r>
      <w:r>
        <w:rPr>
          <w:sz w:val="21"/>
          <w:szCs w:val="21"/>
        </w:rPr>
        <w:t>y</w:t>
      </w:r>
      <w:r>
        <w:rPr>
          <w:rFonts w:hint="eastAsia"/>
          <w:sz w:val="21"/>
          <w:szCs w:val="21"/>
        </w:rPr>
        <w:t>SQL</w:t>
      </w:r>
      <w:r>
        <w:rPr>
          <w:sz w:val="21"/>
          <w:szCs w:val="21"/>
        </w:rPr>
        <w:t>、达梦</w:t>
      </w:r>
      <w:r>
        <w:rPr>
          <w:rFonts w:hint="eastAsia"/>
          <w:sz w:val="21"/>
          <w:szCs w:val="21"/>
        </w:rPr>
        <w:t>数据库。</w:t>
      </w:r>
    </w:p>
    <w:p w14:paraId="132C2682">
      <w:pPr>
        <w:pStyle w:val="4"/>
        <w:ind w:firstLine="643"/>
        <w:rPr>
          <w:sz w:val="21"/>
          <w:szCs w:val="21"/>
        </w:rPr>
      </w:pPr>
      <w:r>
        <w:rPr>
          <w:rFonts w:hint="eastAsia"/>
          <w:sz w:val="21"/>
          <w:szCs w:val="21"/>
        </w:rPr>
        <w:t>平台搭建和产品应用情况</w:t>
      </w:r>
    </w:p>
    <w:p w14:paraId="61BB7CFD">
      <w:pPr>
        <w:ind w:firstLine="480"/>
        <w:rPr>
          <w:sz w:val="21"/>
          <w:szCs w:val="21"/>
        </w:rPr>
      </w:pPr>
      <w:r>
        <w:rPr>
          <w:rFonts w:hint="eastAsia"/>
          <w:sz w:val="21"/>
          <w:szCs w:val="21"/>
        </w:rPr>
        <w:t>平台主体采用华为、普元等厂商的大数据产品进行搭建，主要技术路线为JAVA，要求本次项目在现有产品架构维持不变的前提下提供数据运营服务，具体产品应用搭建情况如下：</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8"/>
        <w:gridCol w:w="3716"/>
        <w:gridCol w:w="3472"/>
      </w:tblGrid>
      <w:tr w14:paraId="05593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vAlign w:val="center"/>
          </w:tcPr>
          <w:p w14:paraId="32CB9434">
            <w:pPr>
              <w:widowControl/>
              <w:ind w:firstLine="0" w:firstLineChars="0"/>
              <w:jc w:val="center"/>
              <w:rPr>
                <w:b/>
                <w:color w:val="000000"/>
                <w:sz w:val="21"/>
                <w:szCs w:val="21"/>
              </w:rPr>
            </w:pPr>
            <w:r>
              <w:rPr>
                <w:rFonts w:hint="eastAsia"/>
                <w:b/>
                <w:color w:val="000000"/>
                <w:sz w:val="21"/>
                <w:szCs w:val="21"/>
              </w:rPr>
              <w:t>序号</w:t>
            </w:r>
          </w:p>
        </w:tc>
        <w:tc>
          <w:tcPr>
            <w:tcW w:w="3716" w:type="dxa"/>
            <w:vAlign w:val="center"/>
          </w:tcPr>
          <w:p w14:paraId="5C91F639">
            <w:pPr>
              <w:widowControl/>
              <w:ind w:firstLine="0" w:firstLineChars="0"/>
              <w:jc w:val="center"/>
              <w:rPr>
                <w:b/>
                <w:color w:val="000000"/>
                <w:sz w:val="21"/>
                <w:szCs w:val="21"/>
              </w:rPr>
            </w:pPr>
            <w:r>
              <w:rPr>
                <w:rFonts w:hint="eastAsia"/>
                <w:b/>
                <w:color w:val="000000"/>
                <w:sz w:val="21"/>
                <w:szCs w:val="21"/>
              </w:rPr>
              <w:t>平台应用产品</w:t>
            </w:r>
          </w:p>
        </w:tc>
        <w:tc>
          <w:tcPr>
            <w:tcW w:w="3472" w:type="dxa"/>
            <w:vAlign w:val="center"/>
          </w:tcPr>
          <w:p w14:paraId="6EE4D57F">
            <w:pPr>
              <w:widowControl/>
              <w:ind w:firstLine="0" w:firstLineChars="0"/>
              <w:jc w:val="center"/>
              <w:rPr>
                <w:b/>
                <w:color w:val="000000"/>
                <w:sz w:val="21"/>
                <w:szCs w:val="21"/>
              </w:rPr>
            </w:pPr>
            <w:r>
              <w:rPr>
                <w:rFonts w:hint="eastAsia"/>
                <w:b/>
                <w:color w:val="000000"/>
                <w:sz w:val="21"/>
                <w:szCs w:val="21"/>
              </w:rPr>
              <w:t>功能应用</w:t>
            </w:r>
          </w:p>
        </w:tc>
      </w:tr>
      <w:tr w14:paraId="4A6E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vAlign w:val="center"/>
          </w:tcPr>
          <w:p w14:paraId="259FD72F">
            <w:pPr>
              <w:widowControl/>
              <w:numPr>
                <w:ilvl w:val="0"/>
                <w:numId w:val="2"/>
              </w:numPr>
              <w:ind w:firstLine="0" w:firstLineChars="0"/>
              <w:jc w:val="center"/>
              <w:rPr>
                <w:color w:val="000000"/>
                <w:sz w:val="21"/>
                <w:szCs w:val="21"/>
              </w:rPr>
            </w:pPr>
          </w:p>
        </w:tc>
        <w:tc>
          <w:tcPr>
            <w:tcW w:w="3716" w:type="dxa"/>
            <w:vAlign w:val="center"/>
          </w:tcPr>
          <w:p w14:paraId="0B439B06">
            <w:pPr>
              <w:widowControl/>
              <w:ind w:firstLine="0" w:firstLineChars="0"/>
              <w:rPr>
                <w:color w:val="000000"/>
                <w:sz w:val="21"/>
                <w:szCs w:val="21"/>
              </w:rPr>
            </w:pPr>
            <w:r>
              <w:rPr>
                <w:rFonts w:hint="eastAsia"/>
                <w:sz w:val="21"/>
                <w:szCs w:val="21"/>
              </w:rPr>
              <w:t>华为FusionInsight</w:t>
            </w:r>
          </w:p>
        </w:tc>
        <w:tc>
          <w:tcPr>
            <w:tcW w:w="3472" w:type="dxa"/>
            <w:vAlign w:val="center"/>
          </w:tcPr>
          <w:p w14:paraId="67D6A3B2">
            <w:pPr>
              <w:widowControl/>
              <w:ind w:firstLine="0" w:firstLineChars="0"/>
              <w:rPr>
                <w:color w:val="000000"/>
                <w:sz w:val="21"/>
                <w:szCs w:val="21"/>
              </w:rPr>
            </w:pPr>
            <w:r>
              <w:rPr>
                <w:rFonts w:hint="eastAsia"/>
                <w:color w:val="000000"/>
                <w:sz w:val="21"/>
                <w:szCs w:val="21"/>
              </w:rPr>
              <w:t>大数据平台</w:t>
            </w:r>
          </w:p>
        </w:tc>
      </w:tr>
      <w:tr w14:paraId="0E30A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vAlign w:val="center"/>
          </w:tcPr>
          <w:p w14:paraId="4B3D2903">
            <w:pPr>
              <w:widowControl/>
              <w:numPr>
                <w:ilvl w:val="0"/>
                <w:numId w:val="2"/>
              </w:numPr>
              <w:ind w:firstLine="0" w:firstLineChars="0"/>
              <w:jc w:val="center"/>
              <w:rPr>
                <w:color w:val="000000"/>
                <w:sz w:val="21"/>
                <w:szCs w:val="21"/>
              </w:rPr>
            </w:pPr>
          </w:p>
        </w:tc>
        <w:tc>
          <w:tcPr>
            <w:tcW w:w="3716" w:type="dxa"/>
            <w:vAlign w:val="center"/>
          </w:tcPr>
          <w:p w14:paraId="41C318A1">
            <w:pPr>
              <w:widowControl/>
              <w:ind w:firstLine="0" w:firstLineChars="0"/>
              <w:rPr>
                <w:sz w:val="21"/>
                <w:szCs w:val="21"/>
              </w:rPr>
            </w:pPr>
            <w:r>
              <w:rPr>
                <w:rFonts w:hint="eastAsia"/>
                <w:sz w:val="21"/>
                <w:szCs w:val="21"/>
              </w:rPr>
              <w:t>华为</w:t>
            </w:r>
            <w:r>
              <w:rPr>
                <w:sz w:val="21"/>
                <w:szCs w:val="21"/>
              </w:rPr>
              <w:t>GaussDB</w:t>
            </w:r>
          </w:p>
        </w:tc>
        <w:tc>
          <w:tcPr>
            <w:tcW w:w="3472" w:type="dxa"/>
            <w:vAlign w:val="center"/>
          </w:tcPr>
          <w:p w14:paraId="7E235A71">
            <w:pPr>
              <w:widowControl/>
              <w:ind w:firstLine="0" w:firstLineChars="0"/>
              <w:rPr>
                <w:color w:val="000000"/>
                <w:sz w:val="21"/>
                <w:szCs w:val="21"/>
              </w:rPr>
            </w:pPr>
            <w:r>
              <w:rPr>
                <w:rFonts w:hint="eastAsia"/>
                <w:color w:val="000000"/>
                <w:sz w:val="21"/>
                <w:szCs w:val="21"/>
              </w:rPr>
              <w:t>数据库产品</w:t>
            </w:r>
          </w:p>
        </w:tc>
      </w:tr>
      <w:tr w14:paraId="2787E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vAlign w:val="center"/>
          </w:tcPr>
          <w:p w14:paraId="7CEDAF13">
            <w:pPr>
              <w:widowControl/>
              <w:numPr>
                <w:ilvl w:val="0"/>
                <w:numId w:val="2"/>
              </w:numPr>
              <w:ind w:firstLine="0" w:firstLineChars="0"/>
              <w:jc w:val="center"/>
              <w:rPr>
                <w:color w:val="000000"/>
                <w:sz w:val="21"/>
                <w:szCs w:val="21"/>
              </w:rPr>
            </w:pPr>
          </w:p>
        </w:tc>
        <w:tc>
          <w:tcPr>
            <w:tcW w:w="3716" w:type="dxa"/>
            <w:vAlign w:val="center"/>
          </w:tcPr>
          <w:p w14:paraId="555516DA">
            <w:pPr>
              <w:widowControl/>
              <w:ind w:firstLine="0" w:firstLineChars="0"/>
              <w:rPr>
                <w:sz w:val="21"/>
                <w:szCs w:val="21"/>
              </w:rPr>
            </w:pPr>
            <w:r>
              <w:rPr>
                <w:rFonts w:hint="eastAsia"/>
                <w:sz w:val="21"/>
                <w:szCs w:val="21"/>
              </w:rPr>
              <w:t>普元-数据集成系统</w:t>
            </w:r>
          </w:p>
        </w:tc>
        <w:tc>
          <w:tcPr>
            <w:tcW w:w="3472" w:type="dxa"/>
            <w:vAlign w:val="center"/>
          </w:tcPr>
          <w:p w14:paraId="6C589734">
            <w:pPr>
              <w:widowControl/>
              <w:ind w:firstLine="0" w:firstLineChars="0"/>
              <w:rPr>
                <w:sz w:val="21"/>
                <w:szCs w:val="21"/>
              </w:rPr>
            </w:pPr>
            <w:r>
              <w:rPr>
                <w:rFonts w:hint="eastAsia"/>
                <w:sz w:val="21"/>
                <w:szCs w:val="21"/>
              </w:rPr>
              <w:t>数据集成软件</w:t>
            </w:r>
          </w:p>
        </w:tc>
      </w:tr>
      <w:tr w14:paraId="09136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vAlign w:val="center"/>
          </w:tcPr>
          <w:p w14:paraId="1056502E">
            <w:pPr>
              <w:widowControl/>
              <w:numPr>
                <w:ilvl w:val="0"/>
                <w:numId w:val="2"/>
              </w:numPr>
              <w:ind w:firstLine="0" w:firstLineChars="0"/>
              <w:jc w:val="center"/>
              <w:rPr>
                <w:color w:val="000000"/>
                <w:sz w:val="21"/>
                <w:szCs w:val="21"/>
              </w:rPr>
            </w:pPr>
          </w:p>
        </w:tc>
        <w:tc>
          <w:tcPr>
            <w:tcW w:w="3716" w:type="dxa"/>
            <w:vAlign w:val="center"/>
          </w:tcPr>
          <w:p w14:paraId="5A88515C">
            <w:pPr>
              <w:widowControl/>
              <w:ind w:firstLine="0" w:firstLineChars="0"/>
              <w:rPr>
                <w:sz w:val="21"/>
                <w:szCs w:val="21"/>
              </w:rPr>
            </w:pPr>
            <w:bookmarkStart w:id="2" w:name="OLE_LINK237"/>
            <w:bookmarkStart w:id="3" w:name="OLE_LINK236"/>
            <w:bookmarkStart w:id="4" w:name="OLE_LINK235"/>
            <w:r>
              <w:rPr>
                <w:rFonts w:hint="eastAsia"/>
                <w:sz w:val="21"/>
                <w:szCs w:val="21"/>
              </w:rPr>
              <w:t>普元-</w:t>
            </w:r>
            <w:bookmarkEnd w:id="2"/>
            <w:bookmarkEnd w:id="3"/>
            <w:bookmarkEnd w:id="4"/>
            <w:r>
              <w:rPr>
                <w:rFonts w:hint="eastAsia"/>
                <w:sz w:val="21"/>
                <w:szCs w:val="21"/>
              </w:rPr>
              <w:t>元数据</w:t>
            </w:r>
            <w:r>
              <w:rPr>
                <w:sz w:val="21"/>
                <w:szCs w:val="21"/>
              </w:rPr>
              <w:t>管理平台</w:t>
            </w:r>
          </w:p>
        </w:tc>
        <w:tc>
          <w:tcPr>
            <w:tcW w:w="3472" w:type="dxa"/>
            <w:vAlign w:val="center"/>
          </w:tcPr>
          <w:p w14:paraId="5E533666">
            <w:pPr>
              <w:widowControl/>
              <w:ind w:firstLine="0" w:firstLineChars="0"/>
              <w:rPr>
                <w:sz w:val="21"/>
                <w:szCs w:val="21"/>
              </w:rPr>
            </w:pPr>
            <w:r>
              <w:rPr>
                <w:rFonts w:hint="eastAsia"/>
                <w:sz w:val="21"/>
                <w:szCs w:val="21"/>
              </w:rPr>
              <w:t>元数据</w:t>
            </w:r>
            <w:r>
              <w:rPr>
                <w:sz w:val="21"/>
                <w:szCs w:val="21"/>
              </w:rPr>
              <w:t>管理</w:t>
            </w:r>
          </w:p>
        </w:tc>
      </w:tr>
      <w:tr w14:paraId="6AFE6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vAlign w:val="center"/>
          </w:tcPr>
          <w:p w14:paraId="6CC94FA6">
            <w:pPr>
              <w:widowControl/>
              <w:numPr>
                <w:ilvl w:val="0"/>
                <w:numId w:val="2"/>
              </w:numPr>
              <w:ind w:firstLine="0" w:firstLineChars="0"/>
              <w:jc w:val="center"/>
              <w:rPr>
                <w:color w:val="000000"/>
                <w:sz w:val="21"/>
                <w:szCs w:val="21"/>
              </w:rPr>
            </w:pPr>
          </w:p>
        </w:tc>
        <w:tc>
          <w:tcPr>
            <w:tcW w:w="3716" w:type="dxa"/>
            <w:vAlign w:val="center"/>
          </w:tcPr>
          <w:p w14:paraId="2F07D95C">
            <w:pPr>
              <w:widowControl/>
              <w:ind w:firstLine="0" w:firstLineChars="0"/>
              <w:rPr>
                <w:sz w:val="21"/>
                <w:szCs w:val="21"/>
              </w:rPr>
            </w:pPr>
            <w:r>
              <w:rPr>
                <w:rFonts w:hint="eastAsia"/>
                <w:sz w:val="21"/>
                <w:szCs w:val="21"/>
              </w:rPr>
              <w:t>普元-</w:t>
            </w:r>
            <w:r>
              <w:rPr>
                <w:sz w:val="21"/>
                <w:szCs w:val="21"/>
              </w:rPr>
              <w:t>数据</w:t>
            </w:r>
            <w:r>
              <w:rPr>
                <w:rFonts w:hint="eastAsia"/>
                <w:sz w:val="21"/>
                <w:szCs w:val="21"/>
              </w:rPr>
              <w:t>标准管理系统</w:t>
            </w:r>
          </w:p>
        </w:tc>
        <w:tc>
          <w:tcPr>
            <w:tcW w:w="3472" w:type="dxa"/>
            <w:vAlign w:val="center"/>
          </w:tcPr>
          <w:p w14:paraId="32192884">
            <w:pPr>
              <w:widowControl/>
              <w:ind w:firstLine="0" w:firstLineChars="0"/>
              <w:rPr>
                <w:sz w:val="21"/>
                <w:szCs w:val="21"/>
              </w:rPr>
            </w:pPr>
            <w:r>
              <w:rPr>
                <w:sz w:val="21"/>
                <w:szCs w:val="21"/>
              </w:rPr>
              <w:t>数据</w:t>
            </w:r>
            <w:r>
              <w:rPr>
                <w:rFonts w:hint="eastAsia"/>
                <w:sz w:val="21"/>
                <w:szCs w:val="21"/>
              </w:rPr>
              <w:t>标准管理</w:t>
            </w:r>
          </w:p>
        </w:tc>
      </w:tr>
      <w:tr w14:paraId="16D8D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vAlign w:val="center"/>
          </w:tcPr>
          <w:p w14:paraId="35182470">
            <w:pPr>
              <w:widowControl/>
              <w:numPr>
                <w:ilvl w:val="0"/>
                <w:numId w:val="2"/>
              </w:numPr>
              <w:ind w:firstLine="0" w:firstLineChars="0"/>
              <w:jc w:val="center"/>
              <w:rPr>
                <w:color w:val="000000"/>
                <w:sz w:val="21"/>
                <w:szCs w:val="21"/>
              </w:rPr>
            </w:pPr>
          </w:p>
        </w:tc>
        <w:tc>
          <w:tcPr>
            <w:tcW w:w="3716" w:type="dxa"/>
            <w:vAlign w:val="center"/>
          </w:tcPr>
          <w:p w14:paraId="272D83FA">
            <w:pPr>
              <w:widowControl/>
              <w:ind w:firstLine="0" w:firstLineChars="0"/>
              <w:rPr>
                <w:sz w:val="21"/>
                <w:szCs w:val="21"/>
              </w:rPr>
            </w:pPr>
            <w:r>
              <w:rPr>
                <w:rFonts w:hint="eastAsia"/>
                <w:sz w:val="21"/>
                <w:szCs w:val="21"/>
              </w:rPr>
              <w:t>普元-</w:t>
            </w:r>
            <w:r>
              <w:rPr>
                <w:sz w:val="21"/>
                <w:szCs w:val="21"/>
              </w:rPr>
              <w:t>数据质量</w:t>
            </w:r>
            <w:r>
              <w:rPr>
                <w:rFonts w:hint="eastAsia"/>
                <w:sz w:val="21"/>
                <w:szCs w:val="21"/>
              </w:rPr>
              <w:t>系统</w:t>
            </w:r>
          </w:p>
        </w:tc>
        <w:tc>
          <w:tcPr>
            <w:tcW w:w="3472" w:type="dxa"/>
            <w:vAlign w:val="center"/>
          </w:tcPr>
          <w:p w14:paraId="798D2661">
            <w:pPr>
              <w:widowControl/>
              <w:ind w:firstLine="0" w:firstLineChars="0"/>
              <w:rPr>
                <w:sz w:val="21"/>
                <w:szCs w:val="21"/>
              </w:rPr>
            </w:pPr>
            <w:r>
              <w:rPr>
                <w:sz w:val="21"/>
                <w:szCs w:val="21"/>
              </w:rPr>
              <w:t>数据质量</w:t>
            </w:r>
            <w:r>
              <w:rPr>
                <w:rFonts w:hint="eastAsia"/>
                <w:sz w:val="21"/>
                <w:szCs w:val="21"/>
              </w:rPr>
              <w:t>管理</w:t>
            </w:r>
          </w:p>
        </w:tc>
      </w:tr>
      <w:tr w14:paraId="57B2B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vAlign w:val="center"/>
          </w:tcPr>
          <w:p w14:paraId="73B4BE5E">
            <w:pPr>
              <w:widowControl/>
              <w:numPr>
                <w:ilvl w:val="0"/>
                <w:numId w:val="2"/>
              </w:numPr>
              <w:ind w:firstLine="0" w:firstLineChars="0"/>
              <w:jc w:val="center"/>
              <w:rPr>
                <w:color w:val="000000"/>
                <w:sz w:val="21"/>
                <w:szCs w:val="21"/>
              </w:rPr>
            </w:pPr>
          </w:p>
        </w:tc>
        <w:tc>
          <w:tcPr>
            <w:tcW w:w="3716" w:type="dxa"/>
            <w:vAlign w:val="center"/>
          </w:tcPr>
          <w:p w14:paraId="317751DB">
            <w:pPr>
              <w:widowControl/>
              <w:ind w:firstLine="0" w:firstLineChars="0"/>
              <w:rPr>
                <w:sz w:val="21"/>
                <w:szCs w:val="21"/>
              </w:rPr>
            </w:pPr>
            <w:r>
              <w:rPr>
                <w:rFonts w:hint="eastAsia"/>
                <w:sz w:val="21"/>
                <w:szCs w:val="21"/>
              </w:rPr>
              <w:t>普元-政务信息资源目录管理系统</w:t>
            </w:r>
          </w:p>
        </w:tc>
        <w:tc>
          <w:tcPr>
            <w:tcW w:w="3472" w:type="dxa"/>
            <w:vAlign w:val="center"/>
          </w:tcPr>
          <w:p w14:paraId="1BA69FA3">
            <w:pPr>
              <w:widowControl/>
              <w:ind w:firstLine="0" w:firstLineChars="0"/>
              <w:rPr>
                <w:sz w:val="21"/>
                <w:szCs w:val="21"/>
              </w:rPr>
            </w:pPr>
            <w:r>
              <w:rPr>
                <w:rFonts w:hint="eastAsia"/>
                <w:sz w:val="21"/>
                <w:szCs w:val="21"/>
              </w:rPr>
              <w:t>政务信息资源目录管理</w:t>
            </w:r>
          </w:p>
        </w:tc>
      </w:tr>
    </w:tbl>
    <w:p w14:paraId="74B9CBA0">
      <w:pPr>
        <w:widowControl/>
        <w:tabs>
          <w:tab w:val="left" w:pos="1134"/>
        </w:tabs>
        <w:ind w:firstLine="420"/>
        <w:jc w:val="left"/>
        <w:rPr>
          <w:color w:val="000000"/>
          <w:sz w:val="21"/>
          <w:szCs w:val="21"/>
        </w:rPr>
      </w:pPr>
    </w:p>
    <w:p w14:paraId="0A1A06FE">
      <w:pPr>
        <w:pStyle w:val="4"/>
        <w:ind w:firstLine="643"/>
        <w:rPr>
          <w:sz w:val="21"/>
          <w:szCs w:val="21"/>
        </w:rPr>
      </w:pPr>
      <w:r>
        <w:rPr>
          <w:rFonts w:hint="eastAsia"/>
          <w:sz w:val="21"/>
          <w:szCs w:val="21"/>
        </w:rPr>
        <w:t>平台主要模块</w:t>
      </w:r>
    </w:p>
    <w:p w14:paraId="5330D471">
      <w:pPr>
        <w:pStyle w:val="11"/>
        <w:numPr>
          <w:ilvl w:val="0"/>
          <w:numId w:val="3"/>
        </w:numPr>
        <w:ind w:firstLineChars="0"/>
        <w:rPr>
          <w:sz w:val="21"/>
          <w:szCs w:val="21"/>
        </w:rPr>
      </w:pPr>
      <w:r>
        <w:rPr>
          <w:rFonts w:hint="eastAsia"/>
          <w:sz w:val="21"/>
          <w:szCs w:val="21"/>
        </w:rPr>
        <w:t>区级大数据基础支撑子平台</w:t>
      </w:r>
    </w:p>
    <w:p w14:paraId="5462EE4F">
      <w:pPr>
        <w:pStyle w:val="11"/>
        <w:ind w:firstLine="480"/>
        <w:rPr>
          <w:sz w:val="21"/>
          <w:szCs w:val="21"/>
        </w:rPr>
      </w:pPr>
      <w:r>
        <w:rPr>
          <w:rFonts w:hint="eastAsia"/>
          <w:sz w:val="21"/>
          <w:szCs w:val="21"/>
        </w:rPr>
        <w:t>本项子系统以</w:t>
      </w:r>
      <w:r>
        <w:rPr>
          <w:sz w:val="21"/>
          <w:szCs w:val="21"/>
        </w:rPr>
        <w:t>hadoop架构为基础，构建大数据基础支撑，为全区各类公共数据提供安全可靠的异构存储环境，有效实现结构化、半结构化、非结构化数据的存储与处理。基础平台中包含了大数据基础分析组件和数据仓库组件，包括了：分布式文件管理系统、分布式调度框架、实时数据湖存储、分布式执行引擎、内存数据库等。</w:t>
      </w:r>
    </w:p>
    <w:p w14:paraId="003DB23A">
      <w:pPr>
        <w:pStyle w:val="11"/>
        <w:numPr>
          <w:ilvl w:val="0"/>
          <w:numId w:val="3"/>
        </w:numPr>
        <w:ind w:firstLineChars="0"/>
        <w:rPr>
          <w:sz w:val="21"/>
          <w:szCs w:val="21"/>
        </w:rPr>
      </w:pPr>
      <w:r>
        <w:rPr>
          <w:rFonts w:hint="eastAsia"/>
          <w:sz w:val="21"/>
          <w:szCs w:val="21"/>
        </w:rPr>
        <w:t>区级数据共享交换子平台</w:t>
      </w:r>
    </w:p>
    <w:p w14:paraId="093BE467">
      <w:pPr>
        <w:pStyle w:val="11"/>
        <w:ind w:firstLine="480"/>
        <w:rPr>
          <w:sz w:val="21"/>
          <w:szCs w:val="21"/>
        </w:rPr>
      </w:pPr>
      <w:r>
        <w:rPr>
          <w:rFonts w:hint="eastAsia"/>
          <w:sz w:val="21"/>
          <w:szCs w:val="21"/>
        </w:rPr>
        <w:t>本项子系统提供数据对接交换、数据存储、数据共享的区级数据共享交换子平台，建立区公共数据交换、共享的核心枢纽，并与上海市大数据资源平台对接，打通市、区两级级联共享通道，实现跨层级、跨部门的双向信息传递互通，主要包含了：数据交换中心、数据共享开放中心、流式实时处理、以及与基础支撑</w:t>
      </w:r>
      <w:r>
        <w:rPr>
          <w:sz w:val="21"/>
          <w:szCs w:val="21"/>
        </w:rPr>
        <w:t>/资产/治理等多个子系统的对接与协作。</w:t>
      </w:r>
    </w:p>
    <w:p w14:paraId="50D2F89D">
      <w:pPr>
        <w:pStyle w:val="11"/>
        <w:numPr>
          <w:ilvl w:val="0"/>
          <w:numId w:val="3"/>
        </w:numPr>
        <w:ind w:firstLineChars="0"/>
        <w:rPr>
          <w:sz w:val="21"/>
          <w:szCs w:val="21"/>
        </w:rPr>
      </w:pPr>
      <w:r>
        <w:rPr>
          <w:rFonts w:hint="eastAsia"/>
          <w:sz w:val="21"/>
          <w:szCs w:val="21"/>
        </w:rPr>
        <w:t>区级数据治理子平台</w:t>
      </w:r>
    </w:p>
    <w:p w14:paraId="2BF8E429">
      <w:pPr>
        <w:pStyle w:val="11"/>
        <w:ind w:firstLine="480"/>
        <w:rPr>
          <w:sz w:val="21"/>
          <w:szCs w:val="21"/>
        </w:rPr>
      </w:pPr>
      <w:r>
        <w:rPr>
          <w:rFonts w:hint="eastAsia"/>
          <w:sz w:val="21"/>
          <w:szCs w:val="21"/>
        </w:rPr>
        <w:t>本项子系统实现对数据运营治理管理、主（专）题库治理应用管理等功能。数据运营治理管理提供数据清洗、维度治理、多维可视、模型建设、知识图谱等治理管理功能。主（专）题库治理应用提供了面向自然人、法人、空间地理等多种业务专题数据的治理管理和场景应用。</w:t>
      </w:r>
    </w:p>
    <w:p w14:paraId="0ABA4788">
      <w:pPr>
        <w:pStyle w:val="11"/>
        <w:numPr>
          <w:ilvl w:val="0"/>
          <w:numId w:val="3"/>
        </w:numPr>
        <w:ind w:firstLineChars="0"/>
        <w:rPr>
          <w:sz w:val="21"/>
          <w:szCs w:val="21"/>
        </w:rPr>
      </w:pPr>
      <w:r>
        <w:rPr>
          <w:rFonts w:hint="eastAsia"/>
          <w:sz w:val="21"/>
          <w:szCs w:val="21"/>
        </w:rPr>
        <w:t>区级数据资产管理子系统</w:t>
      </w:r>
    </w:p>
    <w:p w14:paraId="18AE4691">
      <w:pPr>
        <w:pStyle w:val="11"/>
        <w:ind w:firstLine="480"/>
        <w:rPr>
          <w:sz w:val="21"/>
          <w:szCs w:val="21"/>
        </w:rPr>
      </w:pPr>
      <w:r>
        <w:rPr>
          <w:rFonts w:hint="eastAsia"/>
          <w:sz w:val="21"/>
          <w:szCs w:val="21"/>
        </w:rPr>
        <w:t>数据资产模块提供了数据资产管理、资产视图、资产流程、资产安全、以及数据目录上链等管理内容。</w:t>
      </w:r>
    </w:p>
    <w:p w14:paraId="148F5CC6">
      <w:pPr>
        <w:pStyle w:val="11"/>
        <w:numPr>
          <w:ilvl w:val="0"/>
          <w:numId w:val="3"/>
        </w:numPr>
        <w:ind w:firstLineChars="0"/>
        <w:rPr>
          <w:sz w:val="21"/>
          <w:szCs w:val="21"/>
        </w:rPr>
      </w:pPr>
      <w:r>
        <w:rPr>
          <w:rFonts w:hint="eastAsia"/>
          <w:sz w:val="21"/>
          <w:szCs w:val="21"/>
        </w:rPr>
        <w:t>统一数据门户子系统</w:t>
      </w:r>
    </w:p>
    <w:p w14:paraId="735B5D03">
      <w:pPr>
        <w:pStyle w:val="11"/>
        <w:ind w:firstLine="480"/>
        <w:rPr>
          <w:sz w:val="21"/>
          <w:szCs w:val="21"/>
        </w:rPr>
      </w:pPr>
      <w:r>
        <w:rPr>
          <w:rFonts w:hint="eastAsia"/>
          <w:sz w:val="21"/>
          <w:szCs w:val="21"/>
        </w:rPr>
        <w:t>门户子系统集成整合平台各个子系统，建立了统一账号、统一组织架构、统一角色权限、统一信息展示、统一成果展示、统一运营等等方面管理，全面打造面向全区数据治理的一体化统一集成门户。</w:t>
      </w:r>
    </w:p>
    <w:p w14:paraId="4947F87C">
      <w:pPr>
        <w:pStyle w:val="11"/>
        <w:numPr>
          <w:ilvl w:val="0"/>
          <w:numId w:val="3"/>
        </w:numPr>
        <w:ind w:firstLineChars="0"/>
        <w:rPr>
          <w:sz w:val="21"/>
          <w:szCs w:val="21"/>
        </w:rPr>
      </w:pPr>
      <w:r>
        <w:rPr>
          <w:rFonts w:hint="eastAsia"/>
          <w:sz w:val="21"/>
          <w:szCs w:val="21"/>
        </w:rPr>
        <w:t>区级运营管理子平台</w:t>
      </w:r>
    </w:p>
    <w:p w14:paraId="68755AC2">
      <w:pPr>
        <w:pStyle w:val="11"/>
        <w:ind w:firstLine="480"/>
        <w:rPr>
          <w:sz w:val="21"/>
          <w:szCs w:val="21"/>
        </w:rPr>
      </w:pPr>
      <w:r>
        <w:rPr>
          <w:rFonts w:hint="eastAsia"/>
          <w:sz w:val="21"/>
          <w:szCs w:val="21"/>
        </w:rPr>
        <w:t>本项子系统构建大数据日常运营工作的标准化在线管理模块，实现对运营过程的标准化闭环管理，便于对运营全过程的跟踪管控。</w:t>
      </w:r>
    </w:p>
    <w:p w14:paraId="43633CE5">
      <w:pPr>
        <w:pStyle w:val="3"/>
        <w:ind w:firstLine="640"/>
        <w:rPr>
          <w:sz w:val="21"/>
          <w:szCs w:val="21"/>
        </w:rPr>
      </w:pPr>
      <w:r>
        <w:rPr>
          <w:rFonts w:hint="eastAsia"/>
          <w:sz w:val="21"/>
          <w:szCs w:val="21"/>
        </w:rPr>
        <w:t>运营服务总体目标</w:t>
      </w:r>
    </w:p>
    <w:p w14:paraId="12931642">
      <w:pPr>
        <w:ind w:firstLine="480"/>
        <w:rPr>
          <w:sz w:val="21"/>
          <w:szCs w:val="21"/>
        </w:rPr>
      </w:pPr>
      <w:r>
        <w:rPr>
          <w:rFonts w:hint="eastAsia"/>
          <w:sz w:val="21"/>
          <w:szCs w:val="21"/>
        </w:rPr>
        <w:t>本次项目的数据运营服务工作，即是以区大数据资源平台为基础，又是为区大数据平台服务能力的提升和完善提供支撑。以区大数据资源平台现有架构和应用功能为基础，结合市大数据中心的数据发展重点计划，持续运营市/区数据的编目和汇聚，实现数据的统一采集、统一加工、统一汇聚、统一管理，形成符合我区特点的大数据平台数据治理管理和服务工作，面向“人、事、地、情、组织”形成业务分析综合运营主题内容，支撑各类大数据资源的归集、治理和管理质量，为全区大数据共享协作提供支持。</w:t>
      </w:r>
    </w:p>
    <w:p w14:paraId="39872D75">
      <w:pPr>
        <w:ind w:firstLine="480"/>
        <w:rPr>
          <w:sz w:val="21"/>
          <w:szCs w:val="21"/>
        </w:rPr>
      </w:pPr>
    </w:p>
    <w:p w14:paraId="614588DB">
      <w:pPr>
        <w:ind w:firstLine="420"/>
        <w:rPr>
          <w:color w:val="000000"/>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tbl>
      <w:tblPr>
        <w:tblStyle w:val="18"/>
        <w:tblW w:w="52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501"/>
        <w:gridCol w:w="932"/>
        <w:gridCol w:w="911"/>
        <w:gridCol w:w="3782"/>
        <w:gridCol w:w="2131"/>
        <w:gridCol w:w="747"/>
        <w:gridCol w:w="702"/>
        <w:gridCol w:w="1967"/>
        <w:gridCol w:w="2729"/>
      </w:tblGrid>
      <w:tr w14:paraId="3DEC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60" w:type="pct"/>
            <w:vMerge w:val="restart"/>
            <w:vAlign w:val="center"/>
          </w:tcPr>
          <w:p w14:paraId="37F100A4">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序号</w:t>
            </w:r>
          </w:p>
        </w:tc>
        <w:tc>
          <w:tcPr>
            <w:tcW w:w="787" w:type="pct"/>
            <w:gridSpan w:val="3"/>
            <w:vAlign w:val="center"/>
          </w:tcPr>
          <w:p w14:paraId="5C0ADA12">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运营服务项</w:t>
            </w:r>
          </w:p>
        </w:tc>
        <w:tc>
          <w:tcPr>
            <w:tcW w:w="1271" w:type="pct"/>
            <w:vMerge w:val="restart"/>
            <w:vAlign w:val="center"/>
          </w:tcPr>
          <w:p w14:paraId="343323AF">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服务定义说明</w:t>
            </w:r>
          </w:p>
        </w:tc>
        <w:tc>
          <w:tcPr>
            <w:tcW w:w="716" w:type="pct"/>
            <w:vMerge w:val="restart"/>
            <w:vAlign w:val="center"/>
          </w:tcPr>
          <w:p w14:paraId="39D71DFC">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工作量计量方式</w:t>
            </w:r>
          </w:p>
        </w:tc>
        <w:tc>
          <w:tcPr>
            <w:tcW w:w="251" w:type="pct"/>
            <w:vMerge w:val="restart"/>
            <w:vAlign w:val="center"/>
          </w:tcPr>
          <w:p w14:paraId="1D4C142A">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计费单位</w:t>
            </w:r>
          </w:p>
        </w:tc>
        <w:tc>
          <w:tcPr>
            <w:tcW w:w="236" w:type="pct"/>
            <w:vMerge w:val="restart"/>
            <w:vAlign w:val="center"/>
          </w:tcPr>
          <w:p w14:paraId="602F710F">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单项最高限价（元）</w:t>
            </w:r>
          </w:p>
        </w:tc>
        <w:tc>
          <w:tcPr>
            <w:tcW w:w="661" w:type="pct"/>
            <w:vMerge w:val="restart"/>
            <w:vAlign w:val="center"/>
          </w:tcPr>
          <w:p w14:paraId="546ABC24">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难度系数</w:t>
            </w:r>
          </w:p>
        </w:tc>
        <w:tc>
          <w:tcPr>
            <w:tcW w:w="917" w:type="pct"/>
            <w:vMerge w:val="restart"/>
            <w:vAlign w:val="center"/>
          </w:tcPr>
          <w:p w14:paraId="1B1886A3">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阶梯式计算和总价限价</w:t>
            </w:r>
          </w:p>
        </w:tc>
      </w:tr>
      <w:tr w14:paraId="7DC2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60" w:type="pct"/>
            <w:vMerge w:val="continue"/>
            <w:vAlign w:val="center"/>
          </w:tcPr>
          <w:p w14:paraId="49B21F04">
            <w:pPr>
              <w:widowControl/>
              <w:overflowPunct w:val="0"/>
              <w:adjustRightInd w:val="0"/>
              <w:snapToGrid w:val="0"/>
              <w:spacing w:line="240" w:lineRule="exact"/>
              <w:ind w:firstLine="0" w:firstLineChars="0"/>
              <w:jc w:val="center"/>
              <w:rPr>
                <w:rFonts w:cs="仿宋_GB2312"/>
                <w:kern w:val="0"/>
                <w:sz w:val="21"/>
                <w:szCs w:val="21"/>
              </w:rPr>
            </w:pPr>
          </w:p>
        </w:tc>
        <w:tc>
          <w:tcPr>
            <w:tcW w:w="168" w:type="pct"/>
            <w:vAlign w:val="center"/>
          </w:tcPr>
          <w:p w14:paraId="5CA03971">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服务大类</w:t>
            </w:r>
          </w:p>
        </w:tc>
        <w:tc>
          <w:tcPr>
            <w:tcW w:w="619" w:type="pct"/>
            <w:gridSpan w:val="2"/>
            <w:vAlign w:val="center"/>
          </w:tcPr>
          <w:p w14:paraId="783FE2F8">
            <w:pPr>
              <w:widowControl/>
              <w:overflowPunct w:val="0"/>
              <w:adjustRightInd w:val="0"/>
              <w:snapToGrid w:val="0"/>
              <w:spacing w:line="240" w:lineRule="exact"/>
              <w:ind w:firstLine="0" w:firstLineChars="0"/>
              <w:jc w:val="center"/>
              <w:rPr>
                <w:rFonts w:cs="仿宋_GB2312"/>
                <w:kern w:val="0"/>
                <w:sz w:val="21"/>
                <w:szCs w:val="21"/>
              </w:rPr>
            </w:pPr>
            <w:r>
              <w:rPr>
                <w:rFonts w:hint="eastAsia" w:ascii="Times New Roman" w:hAnsi="Times New Roman" w:cs="仿宋_GB2312"/>
                <w:kern w:val="0"/>
                <w:sz w:val="21"/>
                <w:szCs w:val="21"/>
              </w:rPr>
              <w:t>服务子类</w:t>
            </w:r>
          </w:p>
        </w:tc>
        <w:tc>
          <w:tcPr>
            <w:tcW w:w="1271" w:type="pct"/>
            <w:vMerge w:val="continue"/>
            <w:vAlign w:val="center"/>
          </w:tcPr>
          <w:p w14:paraId="67E3CD12">
            <w:pPr>
              <w:widowControl/>
              <w:overflowPunct w:val="0"/>
              <w:adjustRightInd w:val="0"/>
              <w:snapToGrid w:val="0"/>
              <w:spacing w:line="240" w:lineRule="exact"/>
              <w:ind w:firstLine="0" w:firstLineChars="0"/>
              <w:jc w:val="center"/>
              <w:rPr>
                <w:rFonts w:cs="仿宋_GB2312"/>
                <w:kern w:val="0"/>
                <w:sz w:val="21"/>
                <w:szCs w:val="21"/>
              </w:rPr>
            </w:pPr>
          </w:p>
        </w:tc>
        <w:tc>
          <w:tcPr>
            <w:tcW w:w="716" w:type="pct"/>
            <w:vMerge w:val="continue"/>
            <w:vAlign w:val="center"/>
          </w:tcPr>
          <w:p w14:paraId="48DF5AC9">
            <w:pPr>
              <w:widowControl/>
              <w:overflowPunct w:val="0"/>
              <w:adjustRightInd w:val="0"/>
              <w:snapToGrid w:val="0"/>
              <w:spacing w:line="240" w:lineRule="exact"/>
              <w:ind w:firstLine="0" w:firstLineChars="0"/>
              <w:jc w:val="center"/>
              <w:rPr>
                <w:rFonts w:cs="仿宋_GB2312"/>
                <w:kern w:val="0"/>
                <w:sz w:val="21"/>
                <w:szCs w:val="21"/>
              </w:rPr>
            </w:pPr>
          </w:p>
        </w:tc>
        <w:tc>
          <w:tcPr>
            <w:tcW w:w="251" w:type="pct"/>
            <w:vMerge w:val="continue"/>
            <w:vAlign w:val="center"/>
          </w:tcPr>
          <w:p w14:paraId="5FED74F0">
            <w:pPr>
              <w:widowControl/>
              <w:overflowPunct w:val="0"/>
              <w:adjustRightInd w:val="0"/>
              <w:snapToGrid w:val="0"/>
              <w:spacing w:line="240" w:lineRule="exact"/>
              <w:ind w:firstLine="0" w:firstLineChars="0"/>
              <w:jc w:val="center"/>
              <w:rPr>
                <w:rFonts w:cs="仿宋_GB2312"/>
                <w:kern w:val="0"/>
                <w:sz w:val="21"/>
                <w:szCs w:val="21"/>
              </w:rPr>
            </w:pPr>
          </w:p>
        </w:tc>
        <w:tc>
          <w:tcPr>
            <w:tcW w:w="236" w:type="pct"/>
            <w:vMerge w:val="continue"/>
            <w:vAlign w:val="center"/>
          </w:tcPr>
          <w:p w14:paraId="7EF6977E">
            <w:pPr>
              <w:widowControl/>
              <w:overflowPunct w:val="0"/>
              <w:adjustRightInd w:val="0"/>
              <w:snapToGrid w:val="0"/>
              <w:spacing w:line="240" w:lineRule="exact"/>
              <w:ind w:firstLine="0" w:firstLineChars="0"/>
              <w:jc w:val="center"/>
              <w:rPr>
                <w:rFonts w:cs="仿宋_GB2312"/>
                <w:kern w:val="0"/>
                <w:sz w:val="21"/>
                <w:szCs w:val="21"/>
              </w:rPr>
            </w:pPr>
          </w:p>
        </w:tc>
        <w:tc>
          <w:tcPr>
            <w:tcW w:w="661" w:type="pct"/>
            <w:vMerge w:val="continue"/>
            <w:vAlign w:val="center"/>
          </w:tcPr>
          <w:p w14:paraId="717C3026">
            <w:pPr>
              <w:widowControl/>
              <w:overflowPunct w:val="0"/>
              <w:adjustRightInd w:val="0"/>
              <w:snapToGrid w:val="0"/>
              <w:spacing w:line="240" w:lineRule="exact"/>
              <w:ind w:firstLine="0" w:firstLineChars="0"/>
              <w:jc w:val="center"/>
              <w:rPr>
                <w:rFonts w:cs="仿宋_GB2312"/>
                <w:kern w:val="0"/>
                <w:sz w:val="21"/>
                <w:szCs w:val="21"/>
              </w:rPr>
            </w:pPr>
          </w:p>
        </w:tc>
        <w:tc>
          <w:tcPr>
            <w:tcW w:w="917" w:type="pct"/>
            <w:vMerge w:val="continue"/>
            <w:vAlign w:val="center"/>
          </w:tcPr>
          <w:p w14:paraId="2834744E">
            <w:pPr>
              <w:widowControl/>
              <w:overflowPunct w:val="0"/>
              <w:adjustRightInd w:val="0"/>
              <w:snapToGrid w:val="0"/>
              <w:spacing w:line="240" w:lineRule="exact"/>
              <w:ind w:firstLine="0" w:firstLineChars="0"/>
              <w:jc w:val="center"/>
              <w:rPr>
                <w:rFonts w:cs="仿宋_GB2312"/>
                <w:kern w:val="0"/>
                <w:sz w:val="21"/>
                <w:szCs w:val="21"/>
              </w:rPr>
            </w:pPr>
          </w:p>
        </w:tc>
      </w:tr>
      <w:tr w14:paraId="6152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095E15A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1</w:t>
            </w:r>
          </w:p>
        </w:tc>
        <w:tc>
          <w:tcPr>
            <w:tcW w:w="168" w:type="pct"/>
            <w:vMerge w:val="restart"/>
            <w:vAlign w:val="center"/>
          </w:tcPr>
          <w:p w14:paraId="067E444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基础服务类</w:t>
            </w:r>
          </w:p>
        </w:tc>
        <w:tc>
          <w:tcPr>
            <w:tcW w:w="313" w:type="pct"/>
            <w:vMerge w:val="restart"/>
            <w:vAlign w:val="center"/>
          </w:tcPr>
          <w:p w14:paraId="73C2198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数据采集接入</w:t>
            </w:r>
          </w:p>
        </w:tc>
        <w:tc>
          <w:tcPr>
            <w:tcW w:w="304" w:type="pct"/>
            <w:vAlign w:val="center"/>
          </w:tcPr>
          <w:p w14:paraId="640C06E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采集接入（库表）</w:t>
            </w:r>
          </w:p>
        </w:tc>
        <w:tc>
          <w:tcPr>
            <w:tcW w:w="1270" w:type="pct"/>
            <w:vAlign w:val="center"/>
          </w:tcPr>
          <w:p w14:paraId="1B1664C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本项目录用于数据编目和数据接入二项工作。</w:t>
            </w:r>
            <w:r>
              <w:rPr>
                <w:rFonts w:ascii="Times New Roman" w:hAnsi="Times New Roman" w:cs="Times New Roman"/>
                <w:kern w:val="0"/>
                <w:sz w:val="21"/>
                <w:szCs w:val="21"/>
              </w:rPr>
              <w:br w:type="textWrapping"/>
            </w:r>
            <w:r>
              <w:rPr>
                <w:rFonts w:ascii="Times New Roman" w:hAnsi="Times New Roman" w:cs="Times New Roman"/>
                <w:kern w:val="0"/>
                <w:sz w:val="21"/>
                <w:szCs w:val="21"/>
              </w:rPr>
              <w:t>数据编目：首先要对需要采集接入的数据进行业务理解和数据理解，然后再按照编目规范标准在编目系统中进行编目；</w:t>
            </w:r>
            <w:r>
              <w:rPr>
                <w:rFonts w:ascii="Times New Roman" w:hAnsi="Times New Roman" w:cs="Times New Roman"/>
                <w:kern w:val="0"/>
                <w:sz w:val="21"/>
                <w:szCs w:val="21"/>
              </w:rPr>
              <w:br w:type="textWrapping"/>
            </w:r>
            <w:r>
              <w:rPr>
                <w:rFonts w:ascii="Times New Roman" w:hAnsi="Times New Roman" w:cs="Times New Roman"/>
                <w:kern w:val="0"/>
                <w:sz w:val="21"/>
                <w:szCs w:val="21"/>
              </w:rPr>
              <w:t>数据接入：包括协议适配、数据清洗等一系列服务，将数据汇集到大数据平台。</w:t>
            </w:r>
          </w:p>
        </w:tc>
        <w:tc>
          <w:tcPr>
            <w:tcW w:w="715" w:type="pct"/>
            <w:vAlign w:val="center"/>
          </w:tcPr>
          <w:p w14:paraId="24AFA99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按照工作范围内，新增采集接入数据的条数计量</w:t>
            </w:r>
          </w:p>
        </w:tc>
        <w:tc>
          <w:tcPr>
            <w:tcW w:w="251" w:type="pct"/>
            <w:vAlign w:val="center"/>
          </w:tcPr>
          <w:p w14:paraId="6516C9A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万条</w:t>
            </w:r>
          </w:p>
        </w:tc>
        <w:tc>
          <w:tcPr>
            <w:tcW w:w="236" w:type="pct"/>
            <w:vAlign w:val="center"/>
          </w:tcPr>
          <w:p w14:paraId="2D63299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120</w:t>
            </w:r>
          </w:p>
        </w:tc>
        <w:tc>
          <w:tcPr>
            <w:tcW w:w="660" w:type="pct"/>
            <w:vMerge w:val="restart"/>
            <w:vAlign w:val="center"/>
          </w:tcPr>
          <w:p w14:paraId="3FDA52E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按数据采集接入的复杂度和工作类型，新接入的数据按1计算难度；保鲜类数据接入按</w:t>
            </w:r>
            <w:r>
              <w:rPr>
                <w:rFonts w:ascii="Times New Roman" w:hAnsi="Times New Roman" w:cs="Times New Roman"/>
                <w:sz w:val="21"/>
                <w:szCs w:val="21"/>
              </w:rPr>
              <w:t>0.1</w:t>
            </w:r>
            <w:r>
              <w:rPr>
                <w:rFonts w:ascii="Times New Roman" w:hAnsi="Times New Roman" w:cs="Times New Roman"/>
                <w:kern w:val="0"/>
                <w:sz w:val="21"/>
                <w:szCs w:val="21"/>
              </w:rPr>
              <w:t>计算难度。</w:t>
            </w:r>
          </w:p>
        </w:tc>
        <w:tc>
          <w:tcPr>
            <w:tcW w:w="916" w:type="pct"/>
            <w:vAlign w:val="center"/>
          </w:tcPr>
          <w:p w14:paraId="6542C19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1</w:t>
            </w:r>
            <w:r>
              <w:rPr>
                <w:rFonts w:ascii="Times New Roman" w:hAnsi="Times New Roman" w:cs="Times New Roman"/>
                <w:kern w:val="0"/>
                <w:sz w:val="21"/>
                <w:szCs w:val="21"/>
              </w:rPr>
              <w:t>、本项施行阶梯单价模式结算，具体如下：</w:t>
            </w:r>
            <w:r>
              <w:rPr>
                <w:rFonts w:ascii="Times New Roman" w:hAnsi="Times New Roman" w:cs="Times New Roman"/>
                <w:kern w:val="0"/>
                <w:sz w:val="21"/>
                <w:szCs w:val="21"/>
              </w:rPr>
              <w:br w:type="textWrapping"/>
            </w:r>
            <w:r>
              <w:rPr>
                <w:rFonts w:ascii="Times New Roman" w:hAnsi="Times New Roman" w:cs="Times New Roman"/>
                <w:sz w:val="21"/>
                <w:szCs w:val="21"/>
              </w:rPr>
              <w:t>0</w:t>
            </w:r>
            <w:r>
              <w:rPr>
                <w:rFonts w:ascii="Times New Roman" w:hAnsi="Times New Roman" w:cs="Times New Roman"/>
                <w:kern w:val="0"/>
                <w:sz w:val="21"/>
                <w:szCs w:val="21"/>
              </w:rPr>
              <w:t>-</w:t>
            </w:r>
            <w:r>
              <w:rPr>
                <w:rFonts w:ascii="Times New Roman" w:hAnsi="Times New Roman" w:cs="Times New Roman"/>
                <w:sz w:val="21"/>
                <w:szCs w:val="21"/>
              </w:rPr>
              <w:t>50</w:t>
            </w:r>
            <w:r>
              <w:rPr>
                <w:rFonts w:ascii="Times New Roman" w:hAnsi="Times New Roman" w:cs="Times New Roman"/>
                <w:kern w:val="0"/>
                <w:sz w:val="21"/>
                <w:szCs w:val="21"/>
              </w:rPr>
              <w:t>万条：原始单价计算；</w:t>
            </w:r>
            <w:r>
              <w:rPr>
                <w:rFonts w:ascii="Times New Roman" w:hAnsi="Times New Roman" w:cs="Times New Roman"/>
                <w:kern w:val="0"/>
                <w:sz w:val="21"/>
                <w:szCs w:val="21"/>
              </w:rPr>
              <w:br w:type="textWrapping"/>
            </w:r>
            <w:r>
              <w:rPr>
                <w:rFonts w:ascii="Times New Roman" w:hAnsi="Times New Roman" w:cs="Times New Roman"/>
                <w:sz w:val="21"/>
                <w:szCs w:val="21"/>
              </w:rPr>
              <w:t>50</w:t>
            </w:r>
            <w:r>
              <w:rPr>
                <w:rFonts w:ascii="Times New Roman" w:hAnsi="Times New Roman" w:cs="Times New Roman"/>
                <w:kern w:val="0"/>
                <w:sz w:val="21"/>
                <w:szCs w:val="21"/>
              </w:rPr>
              <w:t>万-150万条：原始单价*80%；</w:t>
            </w:r>
            <w:r>
              <w:rPr>
                <w:rFonts w:ascii="Times New Roman" w:hAnsi="Times New Roman" w:cs="Times New Roman"/>
                <w:kern w:val="0"/>
                <w:sz w:val="21"/>
                <w:szCs w:val="21"/>
              </w:rPr>
              <w:br w:type="textWrapping"/>
            </w:r>
            <w:r>
              <w:rPr>
                <w:rFonts w:ascii="Times New Roman" w:hAnsi="Times New Roman" w:cs="Times New Roman"/>
                <w:kern w:val="0"/>
                <w:sz w:val="21"/>
                <w:szCs w:val="21"/>
              </w:rPr>
              <w:t>150万条以上：原始单价*60%</w:t>
            </w:r>
            <w:r>
              <w:rPr>
                <w:rFonts w:ascii="Times New Roman" w:hAnsi="Times New Roman" w:cs="Times New Roman"/>
                <w:kern w:val="0"/>
                <w:sz w:val="21"/>
                <w:szCs w:val="21"/>
              </w:rPr>
              <w:br w:type="textWrapping"/>
            </w:r>
            <w:r>
              <w:rPr>
                <w:rFonts w:ascii="Times New Roman" w:hAnsi="Times New Roman" w:cs="Times New Roman"/>
                <w:kern w:val="0"/>
                <w:sz w:val="21"/>
                <w:szCs w:val="21"/>
              </w:rPr>
              <w:t>2、工单限价</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工单最高限价：30000元</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工单最低限价：1000元</w:t>
            </w:r>
          </w:p>
        </w:tc>
      </w:tr>
      <w:tr w14:paraId="748D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100782A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2</w:t>
            </w:r>
          </w:p>
        </w:tc>
        <w:tc>
          <w:tcPr>
            <w:tcW w:w="168" w:type="pct"/>
            <w:vMerge w:val="continue"/>
            <w:vAlign w:val="center"/>
          </w:tcPr>
          <w:p w14:paraId="4452E242">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00764132">
            <w:pPr>
              <w:widowControl/>
              <w:overflowPunct w:val="0"/>
              <w:adjustRightInd w:val="0"/>
              <w:snapToGrid w:val="0"/>
              <w:spacing w:line="240" w:lineRule="exact"/>
              <w:ind w:firstLine="0" w:firstLineChars="0"/>
              <w:jc w:val="center"/>
              <w:rPr>
                <w:kern w:val="0"/>
                <w:sz w:val="21"/>
                <w:szCs w:val="21"/>
              </w:rPr>
            </w:pPr>
          </w:p>
        </w:tc>
        <w:tc>
          <w:tcPr>
            <w:tcW w:w="304" w:type="pct"/>
            <w:vAlign w:val="center"/>
          </w:tcPr>
          <w:p w14:paraId="0F08175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影像数据采集</w:t>
            </w:r>
          </w:p>
        </w:tc>
        <w:tc>
          <w:tcPr>
            <w:tcW w:w="1270" w:type="pct"/>
            <w:vAlign w:val="center"/>
          </w:tcPr>
          <w:p w14:paraId="19A24F7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涉及影像数据采集按幅计量，单价为</w:t>
            </w:r>
            <w:r>
              <w:rPr>
                <w:rFonts w:ascii="Times New Roman" w:hAnsi="Times New Roman" w:cs="Times New Roman"/>
                <w:sz w:val="21"/>
                <w:szCs w:val="21"/>
              </w:rPr>
              <w:t>90</w:t>
            </w:r>
            <w:r>
              <w:rPr>
                <w:rFonts w:ascii="Times New Roman" w:hAnsi="Times New Roman" w:cs="Times New Roman"/>
                <w:kern w:val="0"/>
                <w:sz w:val="21"/>
                <w:szCs w:val="21"/>
              </w:rPr>
              <w:t>元/幅。一幅影像通常是指在特定的时间、地点，由特定的采集设备获取的一个独立的图像区域，面积和分辨率相关。</w:t>
            </w:r>
          </w:p>
        </w:tc>
        <w:tc>
          <w:tcPr>
            <w:tcW w:w="715" w:type="pct"/>
            <w:vAlign w:val="center"/>
          </w:tcPr>
          <w:p w14:paraId="510BEBD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按照工作范围内，影像数据采集按一个独立区域的面积和分辨率算作幅为数量计量</w:t>
            </w:r>
          </w:p>
        </w:tc>
        <w:tc>
          <w:tcPr>
            <w:tcW w:w="251" w:type="pct"/>
            <w:vAlign w:val="center"/>
          </w:tcPr>
          <w:p w14:paraId="145BB2C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幅</w:t>
            </w:r>
          </w:p>
        </w:tc>
        <w:tc>
          <w:tcPr>
            <w:tcW w:w="236" w:type="pct"/>
            <w:vAlign w:val="center"/>
          </w:tcPr>
          <w:p w14:paraId="53F4F64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90</w:t>
            </w:r>
          </w:p>
        </w:tc>
        <w:tc>
          <w:tcPr>
            <w:tcW w:w="660" w:type="pct"/>
            <w:vMerge w:val="continue"/>
            <w:vAlign w:val="center"/>
          </w:tcPr>
          <w:p w14:paraId="459CC459">
            <w:pPr>
              <w:widowControl/>
              <w:overflowPunct w:val="0"/>
              <w:adjustRightInd w:val="0"/>
              <w:snapToGrid w:val="0"/>
              <w:spacing w:line="240" w:lineRule="exact"/>
              <w:ind w:firstLine="0" w:firstLineChars="0"/>
              <w:jc w:val="center"/>
              <w:rPr>
                <w:kern w:val="0"/>
                <w:sz w:val="21"/>
                <w:szCs w:val="21"/>
              </w:rPr>
            </w:pPr>
          </w:p>
        </w:tc>
        <w:tc>
          <w:tcPr>
            <w:tcW w:w="916" w:type="pct"/>
            <w:vAlign w:val="center"/>
          </w:tcPr>
          <w:p w14:paraId="56F0D0E6">
            <w:pPr>
              <w:widowControl/>
              <w:overflowPunct w:val="0"/>
              <w:adjustRightInd w:val="0"/>
              <w:snapToGrid w:val="0"/>
              <w:spacing w:line="240" w:lineRule="exact"/>
              <w:ind w:firstLine="0" w:firstLineChars="0"/>
              <w:jc w:val="center"/>
              <w:rPr>
                <w:kern w:val="0"/>
                <w:sz w:val="21"/>
                <w:szCs w:val="21"/>
              </w:rPr>
            </w:pPr>
          </w:p>
        </w:tc>
      </w:tr>
      <w:tr w14:paraId="018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131666D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3</w:t>
            </w:r>
          </w:p>
        </w:tc>
        <w:tc>
          <w:tcPr>
            <w:tcW w:w="168" w:type="pct"/>
            <w:vMerge w:val="continue"/>
            <w:vAlign w:val="center"/>
          </w:tcPr>
          <w:p w14:paraId="6ADEC708">
            <w:pPr>
              <w:widowControl/>
              <w:overflowPunct w:val="0"/>
              <w:adjustRightInd w:val="0"/>
              <w:snapToGrid w:val="0"/>
              <w:spacing w:line="240" w:lineRule="exact"/>
              <w:ind w:firstLine="0" w:firstLineChars="0"/>
              <w:jc w:val="center"/>
              <w:rPr>
                <w:kern w:val="0"/>
                <w:sz w:val="21"/>
                <w:szCs w:val="21"/>
              </w:rPr>
            </w:pPr>
          </w:p>
        </w:tc>
        <w:tc>
          <w:tcPr>
            <w:tcW w:w="313" w:type="pct"/>
            <w:vMerge w:val="restart"/>
            <w:vAlign w:val="center"/>
          </w:tcPr>
          <w:p w14:paraId="783037B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数据抽取</w:t>
            </w:r>
          </w:p>
        </w:tc>
        <w:tc>
          <w:tcPr>
            <w:tcW w:w="304" w:type="pct"/>
            <w:vAlign w:val="center"/>
          </w:tcPr>
          <w:p w14:paraId="5D78C9B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实时数据/流式数据/批数据抽取</w:t>
            </w:r>
          </w:p>
        </w:tc>
        <w:tc>
          <w:tcPr>
            <w:tcW w:w="1270" w:type="pct"/>
            <w:vAlign w:val="center"/>
          </w:tcPr>
          <w:p w14:paraId="50FF74E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本项目录用于实现各信息系统大批量数据准确地汇聚到数据湖，并对问题抽取任务进行处置调整。该项工作的进行按照应用需求进行集中统一管理，并根据抽取数据对象的不同数据属性、不同业务领域抽从源数据库批量取数据到指定目标库中。</w:t>
            </w:r>
          </w:p>
        </w:tc>
        <w:tc>
          <w:tcPr>
            <w:tcW w:w="715" w:type="pct"/>
            <w:vAlign w:val="center"/>
          </w:tcPr>
          <w:p w14:paraId="393F9FF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按照工作范围内，新增批数据抽取的数据表数作为计量基数</w:t>
            </w:r>
          </w:p>
        </w:tc>
        <w:tc>
          <w:tcPr>
            <w:tcW w:w="251" w:type="pct"/>
            <w:vAlign w:val="center"/>
          </w:tcPr>
          <w:p w14:paraId="69DA046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张</w:t>
            </w:r>
          </w:p>
        </w:tc>
        <w:tc>
          <w:tcPr>
            <w:tcW w:w="236" w:type="pct"/>
            <w:vAlign w:val="center"/>
          </w:tcPr>
          <w:p w14:paraId="2A6F3D4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564</w:t>
            </w:r>
          </w:p>
        </w:tc>
        <w:tc>
          <w:tcPr>
            <w:tcW w:w="660" w:type="pct"/>
            <w:vAlign w:val="center"/>
          </w:tcPr>
          <w:p w14:paraId="2793387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按抽取目标表的复杂度，设置难度系N，（N=</w:t>
            </w:r>
            <w:r>
              <w:rPr>
                <w:rFonts w:ascii="Times New Roman" w:hAnsi="Times New Roman" w:cs="Times New Roman"/>
                <w:sz w:val="21"/>
                <w:szCs w:val="21"/>
              </w:rPr>
              <w:t>0.5</w:t>
            </w:r>
            <w:r>
              <w:rPr>
                <w:rFonts w:ascii="Times New Roman" w:hAnsi="Times New Roman" w:cs="Times New Roman"/>
                <w:kern w:val="0"/>
                <w:sz w:val="21"/>
                <w:szCs w:val="21"/>
              </w:rPr>
              <w:t>-</w:t>
            </w:r>
            <w:r>
              <w:rPr>
                <w:rFonts w:ascii="Times New Roman" w:hAnsi="Times New Roman" w:cs="Times New Roman"/>
                <w:sz w:val="21"/>
                <w:szCs w:val="21"/>
              </w:rPr>
              <w:t>1</w:t>
            </w:r>
            <w:r>
              <w:rPr>
                <w:rFonts w:ascii="Times New Roman" w:hAnsi="Times New Roman" w:cs="Times New Roman"/>
                <w:kern w:val="0"/>
                <w:sz w:val="21"/>
                <w:szCs w:val="21"/>
              </w:rPr>
              <w:t>)。</w:t>
            </w:r>
          </w:p>
        </w:tc>
        <w:tc>
          <w:tcPr>
            <w:tcW w:w="916" w:type="pct"/>
            <w:vAlign w:val="center"/>
          </w:tcPr>
          <w:p w14:paraId="54D8785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1</w:t>
            </w:r>
            <w:r>
              <w:rPr>
                <w:rFonts w:ascii="Times New Roman" w:hAnsi="Times New Roman" w:cs="Times New Roman"/>
                <w:kern w:val="0"/>
                <w:sz w:val="21"/>
                <w:szCs w:val="21"/>
              </w:rPr>
              <w:t>、本项施行阶梯单价模式结算，具体如下：</w:t>
            </w:r>
            <w:r>
              <w:rPr>
                <w:rFonts w:ascii="Times New Roman" w:hAnsi="Times New Roman" w:cs="Times New Roman"/>
                <w:kern w:val="0"/>
                <w:sz w:val="21"/>
                <w:szCs w:val="21"/>
              </w:rPr>
              <w:br w:type="textWrapping"/>
            </w:r>
            <w:r>
              <w:rPr>
                <w:rFonts w:ascii="Times New Roman" w:hAnsi="Times New Roman" w:cs="Times New Roman"/>
                <w:sz w:val="21"/>
                <w:szCs w:val="21"/>
              </w:rPr>
              <w:t>0</w:t>
            </w:r>
            <w:r>
              <w:rPr>
                <w:rFonts w:ascii="Times New Roman" w:hAnsi="Times New Roman" w:cs="Times New Roman"/>
                <w:kern w:val="0"/>
                <w:sz w:val="21"/>
                <w:szCs w:val="21"/>
              </w:rPr>
              <w:t>-</w:t>
            </w:r>
            <w:r>
              <w:rPr>
                <w:rFonts w:ascii="Times New Roman" w:hAnsi="Times New Roman" w:cs="Times New Roman"/>
                <w:sz w:val="21"/>
                <w:szCs w:val="21"/>
              </w:rPr>
              <w:t>50</w:t>
            </w:r>
            <w:r>
              <w:rPr>
                <w:rFonts w:ascii="Times New Roman" w:hAnsi="Times New Roman" w:cs="Times New Roman"/>
                <w:kern w:val="0"/>
                <w:sz w:val="21"/>
                <w:szCs w:val="21"/>
              </w:rPr>
              <w:t>万条：原始单价计算；</w:t>
            </w:r>
            <w:r>
              <w:rPr>
                <w:rFonts w:ascii="Times New Roman" w:hAnsi="Times New Roman" w:cs="Times New Roman"/>
                <w:kern w:val="0"/>
                <w:sz w:val="21"/>
                <w:szCs w:val="21"/>
              </w:rPr>
              <w:br w:type="textWrapping"/>
            </w:r>
            <w:r>
              <w:rPr>
                <w:rFonts w:ascii="Times New Roman" w:hAnsi="Times New Roman" w:cs="Times New Roman"/>
                <w:sz w:val="21"/>
                <w:szCs w:val="21"/>
              </w:rPr>
              <w:t>50</w:t>
            </w:r>
            <w:r>
              <w:rPr>
                <w:rFonts w:ascii="Times New Roman" w:hAnsi="Times New Roman" w:cs="Times New Roman"/>
                <w:kern w:val="0"/>
                <w:sz w:val="21"/>
                <w:szCs w:val="21"/>
              </w:rPr>
              <w:t>万-150万条：原始单价*80%；</w:t>
            </w:r>
            <w:r>
              <w:rPr>
                <w:rFonts w:ascii="Times New Roman" w:hAnsi="Times New Roman" w:cs="Times New Roman"/>
                <w:kern w:val="0"/>
                <w:sz w:val="21"/>
                <w:szCs w:val="21"/>
              </w:rPr>
              <w:br w:type="textWrapping"/>
            </w:r>
            <w:r>
              <w:rPr>
                <w:rFonts w:ascii="Times New Roman" w:hAnsi="Times New Roman" w:cs="Times New Roman"/>
                <w:kern w:val="0"/>
                <w:sz w:val="21"/>
                <w:szCs w:val="21"/>
              </w:rPr>
              <w:t>150万条以上：原始单价*60%</w:t>
            </w:r>
          </w:p>
        </w:tc>
      </w:tr>
      <w:tr w14:paraId="4F2E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319D66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4</w:t>
            </w:r>
          </w:p>
        </w:tc>
        <w:tc>
          <w:tcPr>
            <w:tcW w:w="168" w:type="pct"/>
            <w:vMerge w:val="continue"/>
            <w:vAlign w:val="center"/>
          </w:tcPr>
          <w:p w14:paraId="1C5472CB">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3C448E80">
            <w:pPr>
              <w:widowControl/>
              <w:overflowPunct w:val="0"/>
              <w:adjustRightInd w:val="0"/>
              <w:snapToGrid w:val="0"/>
              <w:spacing w:line="240" w:lineRule="exact"/>
              <w:ind w:firstLine="0" w:firstLineChars="0"/>
              <w:jc w:val="center"/>
              <w:rPr>
                <w:kern w:val="0"/>
                <w:sz w:val="21"/>
                <w:szCs w:val="21"/>
              </w:rPr>
            </w:pPr>
          </w:p>
        </w:tc>
        <w:tc>
          <w:tcPr>
            <w:tcW w:w="304" w:type="pct"/>
            <w:vAlign w:val="center"/>
          </w:tcPr>
          <w:p w14:paraId="4034CEB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空间数据抽取</w:t>
            </w:r>
          </w:p>
        </w:tc>
        <w:tc>
          <w:tcPr>
            <w:tcW w:w="1270" w:type="pct"/>
            <w:vAlign w:val="center"/>
          </w:tcPr>
          <w:p w14:paraId="10D78CE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本项目录用于新增空间数据的抽取。</w:t>
            </w:r>
            <w:r>
              <w:rPr>
                <w:rFonts w:ascii="Times New Roman" w:hAnsi="Times New Roman" w:cs="Times New Roman"/>
                <w:kern w:val="0"/>
                <w:sz w:val="21"/>
                <w:szCs w:val="21"/>
              </w:rPr>
              <w:br w:type="textWrapping"/>
            </w:r>
            <w:r>
              <w:rPr>
                <w:rFonts w:ascii="Times New Roman" w:hAnsi="Times New Roman" w:cs="Times New Roman"/>
                <w:kern w:val="0"/>
                <w:sz w:val="21"/>
                <w:szCs w:val="21"/>
              </w:rPr>
              <w:t>实施日常数据抽取任务维护，保障空间数据及时准确地汇聚，并对问题抽取任务进行处置调整。该项工作的进行按照应用需求进行集中统一管理，并根据抽取数据对象的不同数据属性、不同业务领域从源数据库抽取数据到指定目标库中，并完成数据清洗加工等工作。</w:t>
            </w:r>
          </w:p>
        </w:tc>
        <w:tc>
          <w:tcPr>
            <w:tcW w:w="715" w:type="pct"/>
            <w:vAlign w:val="center"/>
          </w:tcPr>
          <w:p w14:paraId="2CD6416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按照工作范围内，新增空间数据的坐标点数计量</w:t>
            </w:r>
          </w:p>
        </w:tc>
        <w:tc>
          <w:tcPr>
            <w:tcW w:w="251" w:type="pct"/>
            <w:vAlign w:val="center"/>
          </w:tcPr>
          <w:p w14:paraId="5830E9C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万坐标点</w:t>
            </w:r>
          </w:p>
        </w:tc>
        <w:tc>
          <w:tcPr>
            <w:tcW w:w="236" w:type="pct"/>
            <w:vAlign w:val="center"/>
          </w:tcPr>
          <w:p w14:paraId="6B1A1DB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47</w:t>
            </w:r>
          </w:p>
        </w:tc>
        <w:tc>
          <w:tcPr>
            <w:tcW w:w="660" w:type="pct"/>
            <w:vAlign w:val="center"/>
          </w:tcPr>
          <w:p w14:paraId="5B2ED74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1</w:t>
            </w:r>
          </w:p>
        </w:tc>
        <w:tc>
          <w:tcPr>
            <w:tcW w:w="916" w:type="pct"/>
            <w:vAlign w:val="center"/>
          </w:tcPr>
          <w:p w14:paraId="3F96B31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1、本项施行阶梯单价模式结算，具体如下：</w:t>
            </w:r>
            <w:r>
              <w:rPr>
                <w:rFonts w:ascii="Times New Roman" w:hAnsi="Times New Roman" w:cs="Times New Roman"/>
                <w:kern w:val="0"/>
                <w:sz w:val="21"/>
                <w:szCs w:val="21"/>
              </w:rPr>
              <w:br w:type="textWrapping"/>
            </w:r>
            <w:r>
              <w:rPr>
                <w:rFonts w:ascii="Times New Roman" w:hAnsi="Times New Roman" w:cs="Times New Roman"/>
                <w:sz w:val="21"/>
                <w:szCs w:val="21"/>
              </w:rPr>
              <w:t>0</w:t>
            </w:r>
            <w:r>
              <w:rPr>
                <w:rFonts w:ascii="Times New Roman" w:hAnsi="Times New Roman" w:cs="Times New Roman"/>
                <w:kern w:val="0"/>
                <w:sz w:val="21"/>
                <w:szCs w:val="21"/>
              </w:rPr>
              <w:t>-</w:t>
            </w:r>
            <w:r>
              <w:rPr>
                <w:rFonts w:ascii="Times New Roman" w:hAnsi="Times New Roman" w:cs="Times New Roman"/>
                <w:sz w:val="21"/>
                <w:szCs w:val="21"/>
              </w:rPr>
              <w:t>1000</w:t>
            </w:r>
            <w:r>
              <w:rPr>
                <w:rFonts w:ascii="Times New Roman" w:hAnsi="Times New Roman" w:cs="Times New Roman"/>
                <w:kern w:val="0"/>
                <w:sz w:val="21"/>
                <w:szCs w:val="21"/>
              </w:rPr>
              <w:t>万坐标点：原始单价计算；</w:t>
            </w:r>
            <w:r>
              <w:rPr>
                <w:rFonts w:ascii="Times New Roman" w:hAnsi="Times New Roman" w:cs="Times New Roman"/>
                <w:kern w:val="0"/>
                <w:sz w:val="21"/>
                <w:szCs w:val="21"/>
              </w:rPr>
              <w:br w:type="textWrapping"/>
            </w:r>
            <w:r>
              <w:rPr>
                <w:rFonts w:ascii="Times New Roman" w:hAnsi="Times New Roman" w:cs="Times New Roman"/>
                <w:kern w:val="0"/>
                <w:sz w:val="21"/>
                <w:szCs w:val="21"/>
              </w:rPr>
              <w:t>1000万-1亿坐标点：原始单价*80%；</w:t>
            </w:r>
            <w:r>
              <w:rPr>
                <w:rFonts w:ascii="Times New Roman" w:hAnsi="Times New Roman" w:cs="Times New Roman"/>
                <w:kern w:val="0"/>
                <w:sz w:val="21"/>
                <w:szCs w:val="21"/>
              </w:rPr>
              <w:br w:type="textWrapping"/>
            </w:r>
            <w:r>
              <w:rPr>
                <w:rFonts w:ascii="Times New Roman" w:hAnsi="Times New Roman" w:cs="Times New Roman"/>
                <w:kern w:val="0"/>
                <w:sz w:val="21"/>
                <w:szCs w:val="21"/>
              </w:rPr>
              <w:t>1亿坐标点以上：原始单价*60%</w:t>
            </w:r>
            <w:r>
              <w:rPr>
                <w:rFonts w:ascii="Times New Roman" w:hAnsi="Times New Roman" w:cs="Times New Roman"/>
                <w:kern w:val="0"/>
                <w:sz w:val="21"/>
                <w:szCs w:val="21"/>
              </w:rPr>
              <w:br w:type="textWrapping"/>
            </w:r>
            <w:r>
              <w:rPr>
                <w:rFonts w:ascii="Times New Roman" w:hAnsi="Times New Roman" w:cs="Times New Roman"/>
                <w:kern w:val="0"/>
                <w:sz w:val="21"/>
                <w:szCs w:val="21"/>
              </w:rPr>
              <w:t>2、工单限价</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工单最高限价：30000元</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工单最低限价：1000元</w:t>
            </w:r>
          </w:p>
        </w:tc>
      </w:tr>
      <w:tr w14:paraId="5C73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065F144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5</w:t>
            </w:r>
          </w:p>
        </w:tc>
        <w:tc>
          <w:tcPr>
            <w:tcW w:w="168" w:type="pct"/>
            <w:vMerge w:val="continue"/>
            <w:vAlign w:val="center"/>
          </w:tcPr>
          <w:p w14:paraId="389AFA8A">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12F2331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数据标签</w:t>
            </w:r>
          </w:p>
        </w:tc>
        <w:tc>
          <w:tcPr>
            <w:tcW w:w="1270" w:type="pct"/>
            <w:vAlign w:val="center"/>
          </w:tcPr>
          <w:p w14:paraId="6B74ED7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本项目录为面向编目目录和已归集资源的标注工作。根据数据内容分级分类标准、数据标识的需求场景、需要标识的数据业务分类、需要标识的数据安全分类、需标注的数据范围，实施对结构化数据、文本数据、音频数据、视频数据、流媒体等格式进行内容释义，对数据内容进行分级分类管理，以挖掘数据资产价值，提升数据资产复用性和数据管理精细化程度。包括以数据分析、数据分级分类为目标的各类数据标注工作。</w:t>
            </w:r>
          </w:p>
        </w:tc>
        <w:tc>
          <w:tcPr>
            <w:tcW w:w="715" w:type="pct"/>
            <w:vAlign w:val="center"/>
          </w:tcPr>
          <w:p w14:paraId="60047CC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按照工作范围内，新增数据标签并对具体数据库表进行标注工作，按数据标签的设定个数计量</w:t>
            </w:r>
          </w:p>
        </w:tc>
        <w:tc>
          <w:tcPr>
            <w:tcW w:w="251" w:type="pct"/>
            <w:vAlign w:val="center"/>
          </w:tcPr>
          <w:p w14:paraId="3E7EEB3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个标签</w:t>
            </w:r>
          </w:p>
        </w:tc>
        <w:tc>
          <w:tcPr>
            <w:tcW w:w="236" w:type="pct"/>
            <w:vAlign w:val="center"/>
          </w:tcPr>
          <w:p w14:paraId="2B48510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300</w:t>
            </w:r>
          </w:p>
        </w:tc>
        <w:tc>
          <w:tcPr>
            <w:tcW w:w="660" w:type="pct"/>
            <w:vAlign w:val="center"/>
          </w:tcPr>
          <w:p w14:paraId="2246336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1</w:t>
            </w:r>
          </w:p>
        </w:tc>
        <w:tc>
          <w:tcPr>
            <w:tcW w:w="916" w:type="pct"/>
            <w:vAlign w:val="center"/>
          </w:tcPr>
          <w:p w14:paraId="247B236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sz w:val="21"/>
                <w:szCs w:val="21"/>
              </w:rPr>
              <w:t>1</w:t>
            </w:r>
            <w:r>
              <w:rPr>
                <w:rFonts w:ascii="Times New Roman" w:hAnsi="Times New Roman" w:cs="Times New Roman"/>
                <w:kern w:val="0"/>
                <w:sz w:val="21"/>
                <w:szCs w:val="21"/>
              </w:rPr>
              <w:t>、本项施行阶梯单价模式结算，具体如下：</w:t>
            </w:r>
            <w:r>
              <w:rPr>
                <w:rFonts w:ascii="Times New Roman" w:hAnsi="Times New Roman" w:cs="Times New Roman"/>
                <w:kern w:val="0"/>
                <w:sz w:val="21"/>
                <w:szCs w:val="21"/>
              </w:rPr>
              <w:br w:type="textWrapping"/>
            </w:r>
            <w:r>
              <w:rPr>
                <w:rFonts w:ascii="Times New Roman" w:hAnsi="Times New Roman" w:cs="Times New Roman"/>
                <w:sz w:val="21"/>
                <w:szCs w:val="21"/>
              </w:rPr>
              <w:t>0</w:t>
            </w:r>
            <w:r>
              <w:rPr>
                <w:rFonts w:ascii="Times New Roman" w:hAnsi="Times New Roman" w:cs="Times New Roman"/>
                <w:kern w:val="0"/>
                <w:sz w:val="21"/>
                <w:szCs w:val="21"/>
              </w:rPr>
              <w:t>-</w:t>
            </w:r>
            <w:r>
              <w:rPr>
                <w:rFonts w:ascii="Times New Roman" w:hAnsi="Times New Roman" w:cs="Times New Roman"/>
                <w:sz w:val="21"/>
                <w:szCs w:val="21"/>
              </w:rPr>
              <w:t>100</w:t>
            </w:r>
            <w:r>
              <w:rPr>
                <w:rFonts w:ascii="Times New Roman" w:hAnsi="Times New Roman" w:cs="Times New Roman"/>
                <w:kern w:val="0"/>
                <w:sz w:val="21"/>
                <w:szCs w:val="21"/>
              </w:rPr>
              <w:t>个标签：原始单价计算；</w:t>
            </w:r>
            <w:r>
              <w:rPr>
                <w:rFonts w:ascii="Times New Roman" w:hAnsi="Times New Roman" w:cs="Times New Roman"/>
                <w:kern w:val="0"/>
                <w:sz w:val="21"/>
                <w:szCs w:val="21"/>
              </w:rPr>
              <w:br w:type="textWrapping"/>
            </w:r>
            <w:r>
              <w:rPr>
                <w:rFonts w:ascii="Times New Roman" w:hAnsi="Times New Roman" w:cs="Times New Roman"/>
                <w:sz w:val="21"/>
                <w:szCs w:val="21"/>
              </w:rPr>
              <w:t>100</w:t>
            </w:r>
            <w:r>
              <w:rPr>
                <w:rFonts w:ascii="Times New Roman" w:hAnsi="Times New Roman" w:cs="Times New Roman"/>
                <w:kern w:val="0"/>
                <w:sz w:val="21"/>
                <w:szCs w:val="21"/>
              </w:rPr>
              <w:t>-</w:t>
            </w:r>
            <w:r>
              <w:rPr>
                <w:rFonts w:ascii="Times New Roman" w:hAnsi="Times New Roman" w:cs="Times New Roman"/>
                <w:sz w:val="21"/>
                <w:szCs w:val="21"/>
              </w:rPr>
              <w:t>300</w:t>
            </w:r>
            <w:r>
              <w:rPr>
                <w:rFonts w:ascii="Times New Roman" w:hAnsi="Times New Roman" w:cs="Times New Roman"/>
                <w:kern w:val="0"/>
                <w:sz w:val="21"/>
                <w:szCs w:val="21"/>
              </w:rPr>
              <w:t>个标签：原始单价*80%；</w:t>
            </w:r>
            <w:r>
              <w:rPr>
                <w:rFonts w:ascii="Times New Roman" w:hAnsi="Times New Roman" w:cs="Times New Roman"/>
                <w:kern w:val="0"/>
                <w:sz w:val="21"/>
                <w:szCs w:val="21"/>
              </w:rPr>
              <w:br w:type="textWrapping"/>
            </w:r>
            <w:r>
              <w:rPr>
                <w:rFonts w:ascii="Times New Roman" w:hAnsi="Times New Roman" w:cs="Times New Roman"/>
                <w:kern w:val="0"/>
                <w:sz w:val="21"/>
                <w:szCs w:val="21"/>
              </w:rPr>
              <w:t>300个标签以上：原始单价*60%</w:t>
            </w:r>
            <w:r>
              <w:rPr>
                <w:rFonts w:ascii="Times New Roman" w:hAnsi="Times New Roman" w:cs="Times New Roman"/>
                <w:kern w:val="0"/>
                <w:sz w:val="21"/>
                <w:szCs w:val="21"/>
              </w:rPr>
              <w:br w:type="textWrapping"/>
            </w:r>
            <w:r>
              <w:rPr>
                <w:rFonts w:ascii="Times New Roman" w:hAnsi="Times New Roman" w:cs="Times New Roman"/>
                <w:kern w:val="0"/>
                <w:sz w:val="21"/>
                <w:szCs w:val="21"/>
              </w:rPr>
              <w:t>2、工单限价</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工单最高限价：50000元</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工单最低限价：1000元</w:t>
            </w:r>
          </w:p>
        </w:tc>
      </w:tr>
      <w:tr w14:paraId="51E1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0DE8974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6</w:t>
            </w:r>
          </w:p>
        </w:tc>
        <w:tc>
          <w:tcPr>
            <w:tcW w:w="168" w:type="pct"/>
            <w:vMerge w:val="continue"/>
            <w:vAlign w:val="center"/>
          </w:tcPr>
          <w:p w14:paraId="3637561D">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5D63111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时空数据转换与处理</w:t>
            </w:r>
          </w:p>
        </w:tc>
        <w:tc>
          <w:tcPr>
            <w:tcW w:w="1270" w:type="pct"/>
            <w:vAlign w:val="center"/>
          </w:tcPr>
          <w:p w14:paraId="039780C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根据时空数据的坐标转换、格式转换等需求，对时空数据的坐标、格式进行转换服务工作，为业务需求提供专业化的时空数据需求。</w:t>
            </w:r>
          </w:p>
        </w:tc>
        <w:tc>
          <w:tcPr>
            <w:tcW w:w="715" w:type="pct"/>
            <w:vAlign w:val="center"/>
          </w:tcPr>
          <w:p w14:paraId="5070450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按照工作范围内，对坐标转换、格式转换的时空数据加工按万点计量，单价为200元/万点</w:t>
            </w:r>
          </w:p>
        </w:tc>
        <w:tc>
          <w:tcPr>
            <w:tcW w:w="251" w:type="pct"/>
            <w:vAlign w:val="center"/>
          </w:tcPr>
          <w:p w14:paraId="1396366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万坐标点</w:t>
            </w:r>
          </w:p>
        </w:tc>
        <w:tc>
          <w:tcPr>
            <w:tcW w:w="236" w:type="pct"/>
            <w:vAlign w:val="center"/>
          </w:tcPr>
          <w:p w14:paraId="356E767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200</w:t>
            </w:r>
          </w:p>
        </w:tc>
        <w:tc>
          <w:tcPr>
            <w:tcW w:w="660" w:type="pct"/>
            <w:vAlign w:val="center"/>
          </w:tcPr>
          <w:p w14:paraId="073ABFD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7DF1240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1、本项施行阶梯单价模式结算，具体如下：</w:t>
            </w:r>
            <w:r>
              <w:rPr>
                <w:rFonts w:ascii="Times New Roman" w:hAnsi="Times New Roman" w:cs="Times New Roman"/>
                <w:kern w:val="0"/>
                <w:sz w:val="21"/>
                <w:szCs w:val="21"/>
              </w:rPr>
              <w:br w:type="textWrapping"/>
            </w:r>
            <w:r>
              <w:rPr>
                <w:rFonts w:ascii="Times New Roman" w:hAnsi="Times New Roman" w:cs="Times New Roman"/>
                <w:kern w:val="0"/>
                <w:sz w:val="21"/>
                <w:szCs w:val="21"/>
              </w:rPr>
              <w:t>0-50万坐标点：原始单价计算；</w:t>
            </w:r>
            <w:r>
              <w:rPr>
                <w:rFonts w:ascii="Times New Roman" w:hAnsi="Times New Roman" w:cs="Times New Roman"/>
                <w:kern w:val="0"/>
                <w:sz w:val="21"/>
                <w:szCs w:val="21"/>
              </w:rPr>
              <w:br w:type="textWrapping"/>
            </w:r>
            <w:r>
              <w:rPr>
                <w:rFonts w:ascii="Times New Roman" w:hAnsi="Times New Roman" w:cs="Times New Roman"/>
                <w:kern w:val="0"/>
                <w:sz w:val="21"/>
                <w:szCs w:val="21"/>
              </w:rPr>
              <w:t>50万-100万坐标点：原始单价*80%；</w:t>
            </w:r>
            <w:r>
              <w:rPr>
                <w:rFonts w:ascii="Times New Roman" w:hAnsi="Times New Roman" w:cs="Times New Roman"/>
                <w:kern w:val="0"/>
                <w:sz w:val="21"/>
                <w:szCs w:val="21"/>
              </w:rPr>
              <w:br w:type="textWrapping"/>
            </w:r>
            <w:r>
              <w:rPr>
                <w:rFonts w:ascii="Times New Roman" w:hAnsi="Times New Roman" w:cs="Times New Roman"/>
                <w:kern w:val="0"/>
                <w:sz w:val="21"/>
                <w:szCs w:val="21"/>
              </w:rPr>
              <w:t>100万坐标点以上：原始单价*60%</w:t>
            </w:r>
            <w:r>
              <w:rPr>
                <w:rFonts w:ascii="Times New Roman" w:hAnsi="Times New Roman" w:cs="Times New Roman"/>
                <w:kern w:val="0"/>
                <w:sz w:val="21"/>
                <w:szCs w:val="21"/>
              </w:rPr>
              <w:br w:type="textWrapping"/>
            </w:r>
            <w:r>
              <w:rPr>
                <w:rFonts w:ascii="Times New Roman" w:hAnsi="Times New Roman" w:cs="Times New Roman"/>
                <w:kern w:val="0"/>
                <w:sz w:val="21"/>
                <w:szCs w:val="21"/>
              </w:rPr>
              <w:t>2、工单限价</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工单最高限价：30000元</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工单最低限价：1000元</w:t>
            </w:r>
          </w:p>
        </w:tc>
      </w:tr>
      <w:tr w14:paraId="5BDC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5CB5EC4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7</w:t>
            </w:r>
          </w:p>
        </w:tc>
        <w:tc>
          <w:tcPr>
            <w:tcW w:w="168" w:type="pct"/>
            <w:vMerge w:val="continue"/>
            <w:vAlign w:val="center"/>
          </w:tcPr>
          <w:p w14:paraId="362DE16C">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562B761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城市三维模型更新</w:t>
            </w:r>
          </w:p>
        </w:tc>
        <w:tc>
          <w:tcPr>
            <w:tcW w:w="1270" w:type="pct"/>
            <w:vAlign w:val="center"/>
          </w:tcPr>
          <w:p w14:paraId="6CE8874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对城市三维模型数据提供更新服务，包括：资料准备，纹理映射编辑，市政设施部件模型采集，数据检查，成果输出</w:t>
            </w:r>
          </w:p>
        </w:tc>
        <w:tc>
          <w:tcPr>
            <w:tcW w:w="715" w:type="pct"/>
            <w:vAlign w:val="center"/>
          </w:tcPr>
          <w:p w14:paraId="5726F10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按照工作范围内，三维模型更新数据的面积范围来计量</w:t>
            </w:r>
          </w:p>
        </w:tc>
        <w:tc>
          <w:tcPr>
            <w:tcW w:w="251" w:type="pct"/>
            <w:vAlign w:val="center"/>
          </w:tcPr>
          <w:p w14:paraId="43AE4ED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平方千米</w:t>
            </w:r>
          </w:p>
        </w:tc>
        <w:tc>
          <w:tcPr>
            <w:tcW w:w="236" w:type="pct"/>
            <w:vAlign w:val="center"/>
          </w:tcPr>
          <w:p w14:paraId="2F44C87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26000</w:t>
            </w:r>
          </w:p>
        </w:tc>
        <w:tc>
          <w:tcPr>
            <w:tcW w:w="660" w:type="pct"/>
            <w:vAlign w:val="center"/>
          </w:tcPr>
          <w:p w14:paraId="3B2DAD4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26778C51">
            <w:pPr>
              <w:widowControl/>
              <w:overflowPunct w:val="0"/>
              <w:adjustRightInd w:val="0"/>
              <w:snapToGrid w:val="0"/>
              <w:spacing w:line="240" w:lineRule="exact"/>
              <w:ind w:firstLine="0" w:firstLineChars="0"/>
              <w:jc w:val="center"/>
              <w:rPr>
                <w:kern w:val="0"/>
                <w:sz w:val="21"/>
                <w:szCs w:val="21"/>
                <w:highlight w:val="yellow"/>
              </w:rPr>
            </w:pPr>
          </w:p>
        </w:tc>
      </w:tr>
      <w:tr w14:paraId="52C2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02D1DA6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8</w:t>
            </w:r>
          </w:p>
        </w:tc>
        <w:tc>
          <w:tcPr>
            <w:tcW w:w="168" w:type="pct"/>
            <w:vMerge w:val="continue"/>
            <w:vAlign w:val="center"/>
          </w:tcPr>
          <w:p w14:paraId="2F599683">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1308AE4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三维模型数据处理</w:t>
            </w:r>
          </w:p>
        </w:tc>
        <w:tc>
          <w:tcPr>
            <w:tcW w:w="1270" w:type="pct"/>
            <w:vAlign w:val="center"/>
          </w:tcPr>
          <w:p w14:paraId="031CEAE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对三维模型中的数据提供处理服务，包括：三维数据格式转换、三维数据轻量化处理、三维数据切片、3dtiles服务发布</w:t>
            </w:r>
          </w:p>
        </w:tc>
        <w:tc>
          <w:tcPr>
            <w:tcW w:w="715" w:type="pct"/>
            <w:vAlign w:val="center"/>
          </w:tcPr>
          <w:p w14:paraId="14FCEA2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按照工作范围内，三维模型数据处理的面积范围来计量</w:t>
            </w:r>
          </w:p>
        </w:tc>
        <w:tc>
          <w:tcPr>
            <w:tcW w:w="251" w:type="pct"/>
            <w:vAlign w:val="center"/>
          </w:tcPr>
          <w:p w14:paraId="59C40D0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平方千米</w:t>
            </w:r>
          </w:p>
        </w:tc>
        <w:tc>
          <w:tcPr>
            <w:tcW w:w="236" w:type="pct"/>
            <w:vAlign w:val="center"/>
          </w:tcPr>
          <w:p w14:paraId="1EE3022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800</w:t>
            </w:r>
          </w:p>
        </w:tc>
        <w:tc>
          <w:tcPr>
            <w:tcW w:w="660" w:type="pct"/>
            <w:vAlign w:val="center"/>
          </w:tcPr>
          <w:p w14:paraId="23D6436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70A075A8">
            <w:pPr>
              <w:widowControl/>
              <w:overflowPunct w:val="0"/>
              <w:adjustRightInd w:val="0"/>
              <w:snapToGrid w:val="0"/>
              <w:spacing w:line="240" w:lineRule="exact"/>
              <w:ind w:firstLine="0" w:firstLineChars="0"/>
              <w:jc w:val="center"/>
              <w:rPr>
                <w:kern w:val="0"/>
                <w:sz w:val="21"/>
                <w:szCs w:val="21"/>
                <w:highlight w:val="yellow"/>
              </w:rPr>
            </w:pPr>
          </w:p>
        </w:tc>
      </w:tr>
      <w:tr w14:paraId="1A24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174AAB3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9</w:t>
            </w:r>
          </w:p>
        </w:tc>
        <w:tc>
          <w:tcPr>
            <w:tcW w:w="168" w:type="pct"/>
            <w:vMerge w:val="continue"/>
            <w:vAlign w:val="center"/>
          </w:tcPr>
          <w:p w14:paraId="63F7B54E">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440295E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对于历史数据的归档及销毁</w:t>
            </w:r>
          </w:p>
        </w:tc>
        <w:tc>
          <w:tcPr>
            <w:tcW w:w="1270" w:type="pct"/>
            <w:vAlign w:val="center"/>
          </w:tcPr>
          <w:p w14:paraId="40E3F68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针对数据运营服务的要求，开展日常数据归档、恢复、销毁等工作的服务。该服务需要做到针对不同数据使用场景下的各类数据按需、配置化、全覆盖的服务要求，同时需要支撑该服务的可逆性和可视化需求。</w:t>
            </w:r>
          </w:p>
        </w:tc>
        <w:tc>
          <w:tcPr>
            <w:tcW w:w="715" w:type="pct"/>
            <w:vAlign w:val="center"/>
          </w:tcPr>
          <w:p w14:paraId="3ACB760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按照归档销毁的数据库表张数计量</w:t>
            </w:r>
          </w:p>
        </w:tc>
        <w:tc>
          <w:tcPr>
            <w:tcW w:w="251" w:type="pct"/>
            <w:vAlign w:val="center"/>
          </w:tcPr>
          <w:p w14:paraId="7827A4A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张</w:t>
            </w:r>
          </w:p>
        </w:tc>
        <w:tc>
          <w:tcPr>
            <w:tcW w:w="236" w:type="pct"/>
            <w:vAlign w:val="center"/>
          </w:tcPr>
          <w:p w14:paraId="28827AE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550</w:t>
            </w:r>
          </w:p>
        </w:tc>
        <w:tc>
          <w:tcPr>
            <w:tcW w:w="660" w:type="pct"/>
            <w:vAlign w:val="center"/>
          </w:tcPr>
          <w:p w14:paraId="6DC1D05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5B2267D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1、本项施行阶梯单价模式结算，具体如下：</w:t>
            </w:r>
          </w:p>
          <w:p w14:paraId="4DDCA82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0-100张：原始单价计算；</w:t>
            </w:r>
          </w:p>
          <w:p w14:paraId="29CCF02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100张-300张：原始单价*80%；</w:t>
            </w:r>
          </w:p>
          <w:p w14:paraId="1E69BFD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300张以上：原始单价*60%</w:t>
            </w:r>
          </w:p>
          <w:p w14:paraId="75DF557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2、工单限价</w:t>
            </w:r>
          </w:p>
          <w:p w14:paraId="423396C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工单最高限价：3000元</w:t>
            </w:r>
          </w:p>
          <w:p w14:paraId="3C46254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工单最低限价：200元</w:t>
            </w:r>
          </w:p>
        </w:tc>
      </w:tr>
      <w:tr w14:paraId="19CA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40179C7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10</w:t>
            </w:r>
          </w:p>
        </w:tc>
        <w:tc>
          <w:tcPr>
            <w:tcW w:w="168" w:type="pct"/>
            <w:vMerge w:val="continue"/>
            <w:vAlign w:val="center"/>
          </w:tcPr>
          <w:p w14:paraId="0349B906">
            <w:pPr>
              <w:widowControl/>
              <w:overflowPunct w:val="0"/>
              <w:adjustRightInd w:val="0"/>
              <w:snapToGrid w:val="0"/>
              <w:spacing w:line="240" w:lineRule="exact"/>
              <w:ind w:firstLine="0" w:firstLineChars="0"/>
              <w:jc w:val="center"/>
              <w:rPr>
                <w:kern w:val="0"/>
                <w:sz w:val="21"/>
                <w:szCs w:val="21"/>
              </w:rPr>
            </w:pPr>
          </w:p>
        </w:tc>
        <w:tc>
          <w:tcPr>
            <w:tcW w:w="313" w:type="pct"/>
            <w:vMerge w:val="restart"/>
            <w:vAlign w:val="center"/>
          </w:tcPr>
          <w:p w14:paraId="1E0BF657">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数据质量检查/异常处置</w:t>
            </w:r>
          </w:p>
        </w:tc>
        <w:tc>
          <w:tcPr>
            <w:tcW w:w="304" w:type="pct"/>
            <w:vMerge w:val="restart"/>
            <w:vAlign w:val="center"/>
          </w:tcPr>
          <w:p w14:paraId="25CFAA7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结构化数据（表）的归集端质量检查服务</w:t>
            </w:r>
          </w:p>
        </w:tc>
        <w:tc>
          <w:tcPr>
            <w:tcW w:w="1270" w:type="pct"/>
            <w:vMerge w:val="restart"/>
            <w:vAlign w:val="center"/>
          </w:tcPr>
          <w:p w14:paraId="75ABBFE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本项目录用于对委办前置机数据以及采集入湖数据、清洗完成的数据进行数据质量检查工作，质量检测规则以基础、通用规则为主。</w:t>
            </w:r>
          </w:p>
        </w:tc>
        <w:tc>
          <w:tcPr>
            <w:tcW w:w="715" w:type="pct"/>
            <w:vAlign w:val="center"/>
          </w:tcPr>
          <w:p w14:paraId="2677B72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按照数据抽取模式，实时数据、流式数据的质量检查服务以数据的条数计量</w:t>
            </w:r>
          </w:p>
        </w:tc>
        <w:tc>
          <w:tcPr>
            <w:tcW w:w="251" w:type="pct"/>
            <w:vAlign w:val="center"/>
          </w:tcPr>
          <w:p w14:paraId="1B83E4B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万条</w:t>
            </w:r>
          </w:p>
        </w:tc>
        <w:tc>
          <w:tcPr>
            <w:tcW w:w="236" w:type="pct"/>
            <w:vAlign w:val="center"/>
          </w:tcPr>
          <w:p w14:paraId="64791B9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50</w:t>
            </w:r>
          </w:p>
        </w:tc>
        <w:tc>
          <w:tcPr>
            <w:tcW w:w="660" w:type="pct"/>
            <w:vAlign w:val="center"/>
          </w:tcPr>
          <w:p w14:paraId="20A4C9F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按目标表的复杂度，设置难度N，（N=1-1.5)。</w:t>
            </w:r>
          </w:p>
        </w:tc>
        <w:tc>
          <w:tcPr>
            <w:tcW w:w="916" w:type="pct"/>
            <w:vAlign w:val="center"/>
          </w:tcPr>
          <w:p w14:paraId="2CB6B98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1、本项施行阶梯单价模式结算，具体如下：</w:t>
            </w:r>
            <w:r>
              <w:rPr>
                <w:rFonts w:ascii="Times New Roman" w:hAnsi="Times New Roman" w:cs="Times New Roman"/>
                <w:kern w:val="0"/>
                <w:sz w:val="21"/>
                <w:szCs w:val="21"/>
              </w:rPr>
              <w:br w:type="textWrapping"/>
            </w:r>
            <w:r>
              <w:rPr>
                <w:rFonts w:ascii="Times New Roman" w:hAnsi="Times New Roman" w:cs="Times New Roman"/>
                <w:kern w:val="0"/>
                <w:sz w:val="21"/>
                <w:szCs w:val="21"/>
              </w:rPr>
              <w:t>0-100万条/张：原始单价计算；</w:t>
            </w:r>
            <w:r>
              <w:rPr>
                <w:rFonts w:ascii="Times New Roman" w:hAnsi="Times New Roman" w:cs="Times New Roman"/>
                <w:kern w:val="0"/>
                <w:sz w:val="21"/>
                <w:szCs w:val="21"/>
              </w:rPr>
              <w:br w:type="textWrapping"/>
            </w:r>
            <w:r>
              <w:rPr>
                <w:rFonts w:ascii="Times New Roman" w:hAnsi="Times New Roman" w:cs="Times New Roman"/>
                <w:kern w:val="0"/>
                <w:sz w:val="21"/>
                <w:szCs w:val="21"/>
              </w:rPr>
              <w:t>100万-300万条/张：原始单价*80%；</w:t>
            </w:r>
            <w:r>
              <w:rPr>
                <w:rFonts w:ascii="Times New Roman" w:hAnsi="Times New Roman" w:cs="Times New Roman"/>
                <w:kern w:val="0"/>
                <w:sz w:val="21"/>
                <w:szCs w:val="21"/>
              </w:rPr>
              <w:br w:type="textWrapping"/>
            </w:r>
            <w:r>
              <w:rPr>
                <w:rFonts w:ascii="Times New Roman" w:hAnsi="Times New Roman" w:cs="Times New Roman"/>
                <w:kern w:val="0"/>
                <w:sz w:val="21"/>
                <w:szCs w:val="21"/>
              </w:rPr>
              <w:t>300万条/张以上：原始单价*60%</w:t>
            </w:r>
            <w:r>
              <w:rPr>
                <w:rFonts w:ascii="Times New Roman" w:hAnsi="Times New Roman" w:cs="Times New Roman"/>
                <w:kern w:val="0"/>
                <w:sz w:val="21"/>
                <w:szCs w:val="21"/>
              </w:rPr>
              <w:br w:type="textWrapping"/>
            </w:r>
            <w:r>
              <w:rPr>
                <w:rFonts w:ascii="Times New Roman" w:hAnsi="Times New Roman" w:cs="Times New Roman"/>
                <w:kern w:val="0"/>
                <w:sz w:val="21"/>
                <w:szCs w:val="21"/>
              </w:rPr>
              <w:t>2、工单限价</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工单最高限价：30000元</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工单最低限价：1000元</w:t>
            </w:r>
          </w:p>
        </w:tc>
      </w:tr>
      <w:tr w14:paraId="2E7F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3C11579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11</w:t>
            </w:r>
          </w:p>
        </w:tc>
        <w:tc>
          <w:tcPr>
            <w:tcW w:w="168" w:type="pct"/>
            <w:vMerge w:val="continue"/>
            <w:vAlign w:val="center"/>
          </w:tcPr>
          <w:p w14:paraId="2D4F7EF3">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6B26BE27">
            <w:pPr>
              <w:widowControl/>
              <w:overflowPunct w:val="0"/>
              <w:adjustRightInd w:val="0"/>
              <w:snapToGrid w:val="0"/>
              <w:spacing w:line="240" w:lineRule="exact"/>
              <w:ind w:firstLine="0" w:firstLineChars="0"/>
              <w:jc w:val="center"/>
              <w:rPr>
                <w:kern w:val="0"/>
                <w:sz w:val="21"/>
                <w:szCs w:val="21"/>
              </w:rPr>
            </w:pPr>
          </w:p>
        </w:tc>
        <w:tc>
          <w:tcPr>
            <w:tcW w:w="304" w:type="pct"/>
            <w:vMerge w:val="continue"/>
            <w:vAlign w:val="center"/>
          </w:tcPr>
          <w:p w14:paraId="5D6E968E">
            <w:pPr>
              <w:widowControl/>
              <w:overflowPunct w:val="0"/>
              <w:adjustRightInd w:val="0"/>
              <w:snapToGrid w:val="0"/>
              <w:spacing w:line="240" w:lineRule="exact"/>
              <w:ind w:firstLine="0" w:firstLineChars="0"/>
              <w:jc w:val="center"/>
              <w:rPr>
                <w:kern w:val="0"/>
                <w:sz w:val="21"/>
                <w:szCs w:val="21"/>
              </w:rPr>
            </w:pPr>
          </w:p>
        </w:tc>
        <w:tc>
          <w:tcPr>
            <w:tcW w:w="1270" w:type="pct"/>
            <w:vMerge w:val="continue"/>
            <w:vAlign w:val="center"/>
          </w:tcPr>
          <w:p w14:paraId="44A05DCF">
            <w:pPr>
              <w:widowControl/>
              <w:overflowPunct w:val="0"/>
              <w:adjustRightInd w:val="0"/>
              <w:snapToGrid w:val="0"/>
              <w:spacing w:line="240" w:lineRule="exact"/>
              <w:ind w:firstLine="0" w:firstLineChars="0"/>
              <w:jc w:val="center"/>
              <w:rPr>
                <w:kern w:val="0"/>
                <w:sz w:val="21"/>
                <w:szCs w:val="21"/>
              </w:rPr>
            </w:pPr>
          </w:p>
        </w:tc>
        <w:tc>
          <w:tcPr>
            <w:tcW w:w="715" w:type="pct"/>
            <w:vAlign w:val="center"/>
          </w:tcPr>
          <w:p w14:paraId="3911BC0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批数据的质量检查服务以数据表的张数计量</w:t>
            </w:r>
          </w:p>
        </w:tc>
        <w:tc>
          <w:tcPr>
            <w:tcW w:w="251" w:type="pct"/>
            <w:vAlign w:val="center"/>
          </w:tcPr>
          <w:p w14:paraId="37D8B1D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张</w:t>
            </w:r>
          </w:p>
        </w:tc>
        <w:tc>
          <w:tcPr>
            <w:tcW w:w="236" w:type="pct"/>
            <w:vAlign w:val="center"/>
          </w:tcPr>
          <w:p w14:paraId="281160C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60</w:t>
            </w:r>
          </w:p>
        </w:tc>
        <w:tc>
          <w:tcPr>
            <w:tcW w:w="660" w:type="pct"/>
            <w:vAlign w:val="center"/>
          </w:tcPr>
          <w:p w14:paraId="0DB150B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按目标表的复杂度，设置难度N，（N=1-1.5)。</w:t>
            </w:r>
          </w:p>
        </w:tc>
        <w:tc>
          <w:tcPr>
            <w:tcW w:w="916" w:type="pct"/>
            <w:vAlign w:val="center"/>
          </w:tcPr>
          <w:p w14:paraId="011BBA26">
            <w:pPr>
              <w:widowControl/>
              <w:overflowPunct w:val="0"/>
              <w:adjustRightInd w:val="0"/>
              <w:snapToGrid w:val="0"/>
              <w:spacing w:line="240" w:lineRule="exact"/>
              <w:ind w:firstLine="0" w:firstLineChars="0"/>
              <w:jc w:val="center"/>
              <w:rPr>
                <w:kern w:val="0"/>
                <w:sz w:val="21"/>
                <w:szCs w:val="21"/>
              </w:rPr>
            </w:pPr>
          </w:p>
        </w:tc>
      </w:tr>
      <w:tr w14:paraId="17A4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0721892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12</w:t>
            </w:r>
          </w:p>
        </w:tc>
        <w:tc>
          <w:tcPr>
            <w:tcW w:w="168" w:type="pct"/>
            <w:vMerge w:val="continue"/>
            <w:vAlign w:val="center"/>
          </w:tcPr>
          <w:p w14:paraId="7388048B">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7CF77C9B">
            <w:pPr>
              <w:widowControl/>
              <w:overflowPunct w:val="0"/>
              <w:adjustRightInd w:val="0"/>
              <w:snapToGrid w:val="0"/>
              <w:spacing w:line="240" w:lineRule="exact"/>
              <w:ind w:firstLine="0" w:firstLineChars="0"/>
              <w:jc w:val="center"/>
              <w:rPr>
                <w:kern w:val="0"/>
                <w:sz w:val="21"/>
                <w:szCs w:val="21"/>
              </w:rPr>
            </w:pPr>
          </w:p>
        </w:tc>
        <w:tc>
          <w:tcPr>
            <w:tcW w:w="304" w:type="pct"/>
            <w:vMerge w:val="restart"/>
            <w:vAlign w:val="center"/>
          </w:tcPr>
          <w:p w14:paraId="623EDFF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结构化数据（表）的应用端质量检查服务</w:t>
            </w:r>
          </w:p>
        </w:tc>
        <w:tc>
          <w:tcPr>
            <w:tcW w:w="1270" w:type="pct"/>
            <w:vMerge w:val="restart"/>
            <w:vAlign w:val="center"/>
          </w:tcPr>
          <w:p w14:paraId="0B0794E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该目录用于对经过融合治理的数据进行数据质量检查，以及对于检查出的问题数据进行调整处理的工作，质量检查规则以平衡性、面向业务为主。</w:t>
            </w:r>
          </w:p>
        </w:tc>
        <w:tc>
          <w:tcPr>
            <w:tcW w:w="715" w:type="pct"/>
            <w:vAlign w:val="center"/>
          </w:tcPr>
          <w:p w14:paraId="20C46C6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按照工作范围内，在数据湖治理并产生数据服务阶段，对新增数据量进行质量检查。实时数据、流式数据的质量检查服务以数据的条数计量</w:t>
            </w:r>
          </w:p>
        </w:tc>
        <w:tc>
          <w:tcPr>
            <w:tcW w:w="251" w:type="pct"/>
            <w:vAlign w:val="center"/>
          </w:tcPr>
          <w:p w14:paraId="0F6A815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万条</w:t>
            </w:r>
          </w:p>
        </w:tc>
        <w:tc>
          <w:tcPr>
            <w:tcW w:w="236" w:type="pct"/>
            <w:vAlign w:val="center"/>
          </w:tcPr>
          <w:p w14:paraId="02CE695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40</w:t>
            </w:r>
          </w:p>
        </w:tc>
        <w:tc>
          <w:tcPr>
            <w:tcW w:w="660" w:type="pct"/>
            <w:vAlign w:val="center"/>
          </w:tcPr>
          <w:p w14:paraId="087BF5C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按目标表的复杂度，设置难度N，（N=1-1.5)。</w:t>
            </w:r>
          </w:p>
        </w:tc>
        <w:tc>
          <w:tcPr>
            <w:tcW w:w="916" w:type="pct"/>
            <w:vAlign w:val="center"/>
          </w:tcPr>
          <w:p w14:paraId="2BA0AF1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1、本项施行阶梯单价模式结算，具体如下：</w:t>
            </w:r>
            <w:r>
              <w:rPr>
                <w:rFonts w:ascii="Times New Roman" w:hAnsi="Times New Roman" w:cs="Times New Roman"/>
                <w:kern w:val="0"/>
                <w:sz w:val="21"/>
                <w:szCs w:val="21"/>
              </w:rPr>
              <w:br w:type="textWrapping"/>
            </w:r>
            <w:r>
              <w:rPr>
                <w:rFonts w:ascii="Times New Roman" w:hAnsi="Times New Roman" w:cs="Times New Roman"/>
                <w:kern w:val="0"/>
                <w:sz w:val="21"/>
                <w:szCs w:val="21"/>
              </w:rPr>
              <w:t>0-100万条/张：原始单价计算；</w:t>
            </w:r>
            <w:r>
              <w:rPr>
                <w:rFonts w:ascii="Times New Roman" w:hAnsi="Times New Roman" w:cs="Times New Roman"/>
                <w:kern w:val="0"/>
                <w:sz w:val="21"/>
                <w:szCs w:val="21"/>
              </w:rPr>
              <w:br w:type="textWrapping"/>
            </w:r>
            <w:r>
              <w:rPr>
                <w:rFonts w:ascii="Times New Roman" w:hAnsi="Times New Roman" w:cs="Times New Roman"/>
                <w:kern w:val="0"/>
                <w:sz w:val="21"/>
                <w:szCs w:val="21"/>
              </w:rPr>
              <w:t>100万-300万条/张：原始单价*80%；</w:t>
            </w:r>
            <w:r>
              <w:rPr>
                <w:rFonts w:ascii="Times New Roman" w:hAnsi="Times New Roman" w:cs="Times New Roman"/>
                <w:kern w:val="0"/>
                <w:sz w:val="21"/>
                <w:szCs w:val="21"/>
              </w:rPr>
              <w:br w:type="textWrapping"/>
            </w:r>
            <w:r>
              <w:rPr>
                <w:rFonts w:ascii="Times New Roman" w:hAnsi="Times New Roman" w:cs="Times New Roman"/>
                <w:kern w:val="0"/>
                <w:sz w:val="21"/>
                <w:szCs w:val="21"/>
              </w:rPr>
              <w:t>300万条/张以上：原始单价*60%</w:t>
            </w:r>
            <w:r>
              <w:rPr>
                <w:rFonts w:ascii="Times New Roman" w:hAnsi="Times New Roman" w:cs="Times New Roman"/>
                <w:kern w:val="0"/>
                <w:sz w:val="21"/>
                <w:szCs w:val="21"/>
              </w:rPr>
              <w:br w:type="textWrapping"/>
            </w:r>
            <w:r>
              <w:rPr>
                <w:rFonts w:ascii="Times New Roman" w:hAnsi="Times New Roman" w:cs="Times New Roman"/>
                <w:kern w:val="0"/>
                <w:sz w:val="21"/>
                <w:szCs w:val="21"/>
              </w:rPr>
              <w:t>2、工单限价</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工单最高限价：30000元</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工单最低限价：1000元</w:t>
            </w:r>
          </w:p>
        </w:tc>
      </w:tr>
      <w:tr w14:paraId="4AF2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629710A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13</w:t>
            </w:r>
          </w:p>
        </w:tc>
        <w:tc>
          <w:tcPr>
            <w:tcW w:w="168" w:type="pct"/>
            <w:vMerge w:val="continue"/>
            <w:vAlign w:val="center"/>
          </w:tcPr>
          <w:p w14:paraId="035DA615">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1332C283">
            <w:pPr>
              <w:widowControl/>
              <w:overflowPunct w:val="0"/>
              <w:adjustRightInd w:val="0"/>
              <w:snapToGrid w:val="0"/>
              <w:spacing w:line="240" w:lineRule="exact"/>
              <w:ind w:firstLine="0" w:firstLineChars="0"/>
              <w:jc w:val="center"/>
              <w:rPr>
                <w:kern w:val="0"/>
                <w:sz w:val="21"/>
                <w:szCs w:val="21"/>
              </w:rPr>
            </w:pPr>
          </w:p>
        </w:tc>
        <w:tc>
          <w:tcPr>
            <w:tcW w:w="304" w:type="pct"/>
            <w:vMerge w:val="continue"/>
            <w:vAlign w:val="center"/>
          </w:tcPr>
          <w:p w14:paraId="0A46E15F">
            <w:pPr>
              <w:widowControl/>
              <w:overflowPunct w:val="0"/>
              <w:adjustRightInd w:val="0"/>
              <w:snapToGrid w:val="0"/>
              <w:spacing w:line="240" w:lineRule="exact"/>
              <w:ind w:firstLine="0" w:firstLineChars="0"/>
              <w:jc w:val="center"/>
              <w:rPr>
                <w:kern w:val="0"/>
                <w:sz w:val="21"/>
                <w:szCs w:val="21"/>
              </w:rPr>
            </w:pPr>
          </w:p>
        </w:tc>
        <w:tc>
          <w:tcPr>
            <w:tcW w:w="1270" w:type="pct"/>
            <w:vMerge w:val="continue"/>
            <w:vAlign w:val="center"/>
          </w:tcPr>
          <w:p w14:paraId="6A9DBAEE">
            <w:pPr>
              <w:widowControl/>
              <w:overflowPunct w:val="0"/>
              <w:adjustRightInd w:val="0"/>
              <w:snapToGrid w:val="0"/>
              <w:spacing w:line="240" w:lineRule="exact"/>
              <w:ind w:firstLine="0" w:firstLineChars="0"/>
              <w:jc w:val="center"/>
              <w:rPr>
                <w:kern w:val="0"/>
                <w:sz w:val="21"/>
                <w:szCs w:val="21"/>
              </w:rPr>
            </w:pPr>
          </w:p>
        </w:tc>
        <w:tc>
          <w:tcPr>
            <w:tcW w:w="715" w:type="pct"/>
            <w:vAlign w:val="center"/>
          </w:tcPr>
          <w:p w14:paraId="65B9ACC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批数据的质量检查服务以数据表的张数计量</w:t>
            </w:r>
          </w:p>
        </w:tc>
        <w:tc>
          <w:tcPr>
            <w:tcW w:w="251" w:type="pct"/>
            <w:vAlign w:val="center"/>
          </w:tcPr>
          <w:p w14:paraId="5B181F1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张</w:t>
            </w:r>
          </w:p>
        </w:tc>
        <w:tc>
          <w:tcPr>
            <w:tcW w:w="236" w:type="pct"/>
            <w:vAlign w:val="center"/>
          </w:tcPr>
          <w:p w14:paraId="1FB21EA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50</w:t>
            </w:r>
          </w:p>
        </w:tc>
        <w:tc>
          <w:tcPr>
            <w:tcW w:w="660" w:type="pct"/>
            <w:vAlign w:val="center"/>
          </w:tcPr>
          <w:p w14:paraId="62D3FA3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按目标表的复杂度，设置难度N，（N=1-1.5)。</w:t>
            </w:r>
          </w:p>
        </w:tc>
        <w:tc>
          <w:tcPr>
            <w:tcW w:w="916" w:type="pct"/>
            <w:vAlign w:val="center"/>
          </w:tcPr>
          <w:p w14:paraId="567C6451">
            <w:pPr>
              <w:widowControl/>
              <w:overflowPunct w:val="0"/>
              <w:adjustRightInd w:val="0"/>
              <w:snapToGrid w:val="0"/>
              <w:spacing w:line="240" w:lineRule="exact"/>
              <w:ind w:firstLine="0" w:firstLineChars="0"/>
              <w:jc w:val="center"/>
              <w:rPr>
                <w:kern w:val="0"/>
                <w:sz w:val="21"/>
                <w:szCs w:val="21"/>
              </w:rPr>
            </w:pPr>
          </w:p>
        </w:tc>
      </w:tr>
      <w:tr w14:paraId="183E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6778AAE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14</w:t>
            </w:r>
          </w:p>
        </w:tc>
        <w:tc>
          <w:tcPr>
            <w:tcW w:w="168" w:type="pct"/>
            <w:vMerge w:val="continue"/>
            <w:vAlign w:val="center"/>
          </w:tcPr>
          <w:p w14:paraId="254E1059">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6323E37A">
            <w:pPr>
              <w:widowControl/>
              <w:overflowPunct w:val="0"/>
              <w:adjustRightInd w:val="0"/>
              <w:snapToGrid w:val="0"/>
              <w:spacing w:line="240" w:lineRule="exact"/>
              <w:ind w:firstLine="0" w:firstLineChars="0"/>
              <w:jc w:val="center"/>
              <w:rPr>
                <w:kern w:val="0"/>
                <w:sz w:val="21"/>
                <w:szCs w:val="21"/>
              </w:rPr>
            </w:pPr>
          </w:p>
        </w:tc>
        <w:tc>
          <w:tcPr>
            <w:tcW w:w="304" w:type="pct"/>
            <w:vAlign w:val="center"/>
          </w:tcPr>
          <w:p w14:paraId="4171812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非结构化文件的质量检查</w:t>
            </w:r>
          </w:p>
        </w:tc>
        <w:tc>
          <w:tcPr>
            <w:tcW w:w="1270" w:type="pct"/>
            <w:vAlign w:val="center"/>
          </w:tcPr>
          <w:p w14:paraId="1B5B0EC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该目录用于针对共享、开放的非结构化数据，定期开展非结构化数据的检查工作，分别从以下方面进行相关检查工作，并处置异常数据文件，最终完成文件的更新替换，形成工作闭环。</w:t>
            </w:r>
            <w:r>
              <w:rPr>
                <w:rFonts w:ascii="Times New Roman" w:hAnsi="Times New Roman" w:cs="Times New Roman"/>
                <w:kern w:val="0"/>
                <w:sz w:val="21"/>
                <w:szCs w:val="21"/>
              </w:rPr>
              <w:br w:type="textWrapping"/>
            </w:r>
            <w:r>
              <w:rPr>
                <w:rFonts w:ascii="Times New Roman" w:hAnsi="Times New Roman" w:cs="Times New Roman"/>
                <w:kern w:val="0"/>
                <w:sz w:val="21"/>
                <w:szCs w:val="21"/>
              </w:rPr>
              <w:t>1、文件可下载性检查</w:t>
            </w:r>
            <w:r>
              <w:rPr>
                <w:rFonts w:ascii="Times New Roman" w:hAnsi="Times New Roman" w:cs="Times New Roman"/>
                <w:kern w:val="0"/>
                <w:sz w:val="21"/>
                <w:szCs w:val="21"/>
              </w:rPr>
              <w:br w:type="textWrapping"/>
            </w:r>
            <w:r>
              <w:rPr>
                <w:rFonts w:ascii="Times New Roman" w:hAnsi="Times New Roman" w:cs="Times New Roman"/>
                <w:kern w:val="0"/>
                <w:sz w:val="21"/>
                <w:szCs w:val="21"/>
              </w:rPr>
              <w:t>2、文件内容的查看</w:t>
            </w:r>
            <w:r>
              <w:rPr>
                <w:rFonts w:ascii="Times New Roman" w:hAnsi="Times New Roman" w:cs="Times New Roman"/>
                <w:kern w:val="0"/>
                <w:sz w:val="21"/>
                <w:szCs w:val="21"/>
              </w:rPr>
              <w:br w:type="textWrapping"/>
            </w:r>
            <w:r>
              <w:rPr>
                <w:rFonts w:ascii="Times New Roman" w:hAnsi="Times New Roman" w:cs="Times New Roman"/>
                <w:kern w:val="0"/>
                <w:sz w:val="21"/>
                <w:szCs w:val="21"/>
              </w:rPr>
              <w:t>3、文件与编目的关联性检查</w:t>
            </w:r>
          </w:p>
        </w:tc>
        <w:tc>
          <w:tcPr>
            <w:tcW w:w="715" w:type="pct"/>
            <w:vAlign w:val="center"/>
          </w:tcPr>
          <w:p w14:paraId="033D890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涉及共享、开放场景下，按新增质量检查的数据文件个数计量</w:t>
            </w:r>
          </w:p>
        </w:tc>
        <w:tc>
          <w:tcPr>
            <w:tcW w:w="251" w:type="pct"/>
            <w:vAlign w:val="center"/>
          </w:tcPr>
          <w:p w14:paraId="14DEAD8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万个</w:t>
            </w:r>
          </w:p>
        </w:tc>
        <w:tc>
          <w:tcPr>
            <w:tcW w:w="236" w:type="pct"/>
            <w:vAlign w:val="center"/>
          </w:tcPr>
          <w:p w14:paraId="5D43FAE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5</w:t>
            </w:r>
          </w:p>
        </w:tc>
        <w:tc>
          <w:tcPr>
            <w:tcW w:w="660" w:type="pct"/>
            <w:vAlign w:val="center"/>
          </w:tcPr>
          <w:p w14:paraId="2C5B801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6C4F9228">
            <w:pPr>
              <w:widowControl/>
              <w:overflowPunct w:val="0"/>
              <w:adjustRightInd w:val="0"/>
              <w:snapToGrid w:val="0"/>
              <w:spacing w:line="240" w:lineRule="exact"/>
              <w:ind w:firstLine="0" w:firstLineChars="0"/>
              <w:jc w:val="center"/>
              <w:rPr>
                <w:kern w:val="0"/>
                <w:sz w:val="21"/>
                <w:szCs w:val="21"/>
              </w:rPr>
            </w:pPr>
          </w:p>
        </w:tc>
      </w:tr>
      <w:tr w14:paraId="26CD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766A1E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15</w:t>
            </w:r>
          </w:p>
        </w:tc>
        <w:tc>
          <w:tcPr>
            <w:tcW w:w="168" w:type="pct"/>
            <w:vMerge w:val="continue"/>
            <w:vAlign w:val="center"/>
          </w:tcPr>
          <w:p w14:paraId="5CF5F606">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5BFC582A">
            <w:pPr>
              <w:widowControl/>
              <w:overflowPunct w:val="0"/>
              <w:adjustRightInd w:val="0"/>
              <w:snapToGrid w:val="0"/>
              <w:spacing w:line="240" w:lineRule="exact"/>
              <w:ind w:firstLine="0" w:firstLineChars="0"/>
              <w:jc w:val="center"/>
              <w:rPr>
                <w:kern w:val="0"/>
                <w:sz w:val="21"/>
                <w:szCs w:val="21"/>
              </w:rPr>
            </w:pPr>
          </w:p>
        </w:tc>
        <w:tc>
          <w:tcPr>
            <w:tcW w:w="304" w:type="pct"/>
            <w:vMerge w:val="restart"/>
            <w:vAlign w:val="center"/>
          </w:tcPr>
          <w:p w14:paraId="0B8190F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空间地理数据核实服务</w:t>
            </w:r>
          </w:p>
        </w:tc>
        <w:tc>
          <w:tcPr>
            <w:tcW w:w="1270" w:type="pct"/>
            <w:vMerge w:val="restart"/>
            <w:vAlign w:val="center"/>
          </w:tcPr>
          <w:p w14:paraId="57ABE48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对于空间地理类新增数据的核实，相关工作主要体现在核实数据的真实有效性方面，进行信息的确认，包括地名地址信息、门牌信息、坐标信息等，核实确认后，将相关信息更正在综合库、基础库库、专题库中。</w:t>
            </w:r>
          </w:p>
        </w:tc>
        <w:tc>
          <w:tcPr>
            <w:tcW w:w="715" w:type="pct"/>
            <w:vAlign w:val="center"/>
          </w:tcPr>
          <w:p w14:paraId="08AE44E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按照工作范围内，新增空间地理类数据抽取的内业质量检查，按照核实空间数据的坐标点数计量</w:t>
            </w:r>
          </w:p>
        </w:tc>
        <w:tc>
          <w:tcPr>
            <w:tcW w:w="251" w:type="pct"/>
            <w:vAlign w:val="center"/>
          </w:tcPr>
          <w:p w14:paraId="2A66E74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万坐标点</w:t>
            </w:r>
          </w:p>
        </w:tc>
        <w:tc>
          <w:tcPr>
            <w:tcW w:w="236" w:type="pct"/>
            <w:vAlign w:val="center"/>
          </w:tcPr>
          <w:p w14:paraId="62AA5A3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8000</w:t>
            </w:r>
          </w:p>
        </w:tc>
        <w:tc>
          <w:tcPr>
            <w:tcW w:w="660" w:type="pct"/>
            <w:vAlign w:val="center"/>
          </w:tcPr>
          <w:p w14:paraId="459E06F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2D16906E">
            <w:pPr>
              <w:widowControl/>
              <w:overflowPunct w:val="0"/>
              <w:adjustRightInd w:val="0"/>
              <w:snapToGrid w:val="0"/>
              <w:spacing w:line="240" w:lineRule="exact"/>
              <w:ind w:firstLine="0" w:firstLineChars="0"/>
              <w:jc w:val="center"/>
              <w:rPr>
                <w:kern w:val="0"/>
                <w:sz w:val="21"/>
                <w:szCs w:val="21"/>
              </w:rPr>
            </w:pPr>
          </w:p>
        </w:tc>
      </w:tr>
      <w:tr w14:paraId="1368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1DCC347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16</w:t>
            </w:r>
          </w:p>
        </w:tc>
        <w:tc>
          <w:tcPr>
            <w:tcW w:w="168" w:type="pct"/>
            <w:vMerge w:val="continue"/>
            <w:vAlign w:val="center"/>
          </w:tcPr>
          <w:p w14:paraId="208F7DD7">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26D5225E">
            <w:pPr>
              <w:widowControl/>
              <w:overflowPunct w:val="0"/>
              <w:adjustRightInd w:val="0"/>
              <w:snapToGrid w:val="0"/>
              <w:spacing w:line="240" w:lineRule="exact"/>
              <w:ind w:firstLine="0" w:firstLineChars="0"/>
              <w:jc w:val="center"/>
              <w:rPr>
                <w:kern w:val="0"/>
                <w:sz w:val="21"/>
                <w:szCs w:val="21"/>
              </w:rPr>
            </w:pPr>
          </w:p>
        </w:tc>
        <w:tc>
          <w:tcPr>
            <w:tcW w:w="304" w:type="pct"/>
            <w:vMerge w:val="continue"/>
            <w:vAlign w:val="center"/>
          </w:tcPr>
          <w:p w14:paraId="159CFE5B">
            <w:pPr>
              <w:widowControl/>
              <w:overflowPunct w:val="0"/>
              <w:adjustRightInd w:val="0"/>
              <w:snapToGrid w:val="0"/>
              <w:spacing w:line="240" w:lineRule="exact"/>
              <w:ind w:firstLine="0" w:firstLineChars="0"/>
              <w:jc w:val="center"/>
              <w:rPr>
                <w:kern w:val="0"/>
                <w:sz w:val="21"/>
                <w:szCs w:val="21"/>
              </w:rPr>
            </w:pPr>
          </w:p>
        </w:tc>
        <w:tc>
          <w:tcPr>
            <w:tcW w:w="1270" w:type="pct"/>
            <w:vMerge w:val="continue"/>
            <w:vAlign w:val="center"/>
          </w:tcPr>
          <w:p w14:paraId="62BC5F3F">
            <w:pPr>
              <w:widowControl/>
              <w:overflowPunct w:val="0"/>
              <w:adjustRightInd w:val="0"/>
              <w:snapToGrid w:val="0"/>
              <w:spacing w:line="240" w:lineRule="exact"/>
              <w:ind w:firstLine="0" w:firstLineChars="0"/>
              <w:jc w:val="center"/>
              <w:rPr>
                <w:kern w:val="0"/>
                <w:sz w:val="21"/>
                <w:szCs w:val="21"/>
              </w:rPr>
            </w:pPr>
          </w:p>
        </w:tc>
        <w:tc>
          <w:tcPr>
            <w:tcW w:w="715" w:type="pct"/>
            <w:vAlign w:val="center"/>
          </w:tcPr>
          <w:p w14:paraId="44578E3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按照工作范围内，新增空间地理类数据抽取的外业质量检查，按照核实空间数据的坐标点数计量</w:t>
            </w:r>
          </w:p>
        </w:tc>
        <w:tc>
          <w:tcPr>
            <w:tcW w:w="251" w:type="pct"/>
            <w:vAlign w:val="center"/>
          </w:tcPr>
          <w:p w14:paraId="77FF1B6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万坐标点</w:t>
            </w:r>
          </w:p>
        </w:tc>
        <w:tc>
          <w:tcPr>
            <w:tcW w:w="236" w:type="pct"/>
            <w:vAlign w:val="center"/>
          </w:tcPr>
          <w:p w14:paraId="6B3260F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15000</w:t>
            </w:r>
          </w:p>
        </w:tc>
        <w:tc>
          <w:tcPr>
            <w:tcW w:w="660" w:type="pct"/>
            <w:vAlign w:val="center"/>
          </w:tcPr>
          <w:p w14:paraId="03EB87B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1512D68E">
            <w:pPr>
              <w:widowControl/>
              <w:overflowPunct w:val="0"/>
              <w:adjustRightInd w:val="0"/>
              <w:snapToGrid w:val="0"/>
              <w:spacing w:line="240" w:lineRule="exact"/>
              <w:ind w:firstLine="0" w:firstLineChars="0"/>
              <w:jc w:val="center"/>
              <w:rPr>
                <w:kern w:val="0"/>
                <w:sz w:val="21"/>
                <w:szCs w:val="21"/>
              </w:rPr>
            </w:pPr>
          </w:p>
        </w:tc>
      </w:tr>
      <w:tr w14:paraId="1DB8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EF3D61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17</w:t>
            </w:r>
          </w:p>
        </w:tc>
        <w:tc>
          <w:tcPr>
            <w:tcW w:w="168" w:type="pct"/>
            <w:vMerge w:val="continue"/>
            <w:vAlign w:val="center"/>
          </w:tcPr>
          <w:p w14:paraId="6111EB78">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61F69A54">
            <w:pPr>
              <w:widowControl/>
              <w:overflowPunct w:val="0"/>
              <w:adjustRightInd w:val="0"/>
              <w:snapToGrid w:val="0"/>
              <w:spacing w:line="240" w:lineRule="exact"/>
              <w:ind w:firstLine="0" w:firstLineChars="0"/>
              <w:jc w:val="center"/>
              <w:rPr>
                <w:kern w:val="0"/>
                <w:sz w:val="21"/>
                <w:szCs w:val="21"/>
              </w:rPr>
            </w:pPr>
          </w:p>
        </w:tc>
        <w:tc>
          <w:tcPr>
            <w:tcW w:w="304" w:type="pct"/>
            <w:vAlign w:val="center"/>
          </w:tcPr>
          <w:p w14:paraId="52E4F28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数据资产目录质量检查服务</w:t>
            </w:r>
          </w:p>
        </w:tc>
        <w:tc>
          <w:tcPr>
            <w:tcW w:w="1270" w:type="pct"/>
            <w:vAlign w:val="center"/>
          </w:tcPr>
          <w:p w14:paraId="30D9FB4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该目录用于对委办数据编目的内容、编目的字段信息等方面的完整性、有效性等进行质量检查，并就问题编目与委办进行对接，促进问题调整修改，提升编目相关内容的质量，便于后续数据目录的使用。</w:t>
            </w:r>
          </w:p>
        </w:tc>
        <w:tc>
          <w:tcPr>
            <w:tcW w:w="715" w:type="pct"/>
            <w:vAlign w:val="center"/>
          </w:tcPr>
          <w:p w14:paraId="0AF001C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按照工作范围内，对新增数据资源目录的质量检查工作，按新增数据资源目录个数计量</w:t>
            </w:r>
          </w:p>
        </w:tc>
        <w:tc>
          <w:tcPr>
            <w:tcW w:w="251" w:type="pct"/>
            <w:vAlign w:val="center"/>
          </w:tcPr>
          <w:p w14:paraId="180B61D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w:t>
            </w:r>
          </w:p>
        </w:tc>
        <w:tc>
          <w:tcPr>
            <w:tcW w:w="236" w:type="pct"/>
            <w:vAlign w:val="center"/>
          </w:tcPr>
          <w:p w14:paraId="0F450AF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90</w:t>
            </w:r>
          </w:p>
        </w:tc>
        <w:tc>
          <w:tcPr>
            <w:tcW w:w="660" w:type="pct"/>
            <w:vAlign w:val="center"/>
          </w:tcPr>
          <w:p w14:paraId="63EECCF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430CA046">
            <w:pPr>
              <w:widowControl/>
              <w:overflowPunct w:val="0"/>
              <w:adjustRightInd w:val="0"/>
              <w:snapToGrid w:val="0"/>
              <w:spacing w:line="240" w:lineRule="exact"/>
              <w:ind w:firstLine="0" w:firstLineChars="0"/>
              <w:jc w:val="center"/>
              <w:rPr>
                <w:kern w:val="0"/>
                <w:sz w:val="21"/>
                <w:szCs w:val="21"/>
              </w:rPr>
            </w:pPr>
          </w:p>
        </w:tc>
      </w:tr>
      <w:tr w14:paraId="53C8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7B9BB31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18</w:t>
            </w:r>
          </w:p>
        </w:tc>
        <w:tc>
          <w:tcPr>
            <w:tcW w:w="168" w:type="pct"/>
            <w:vMerge w:val="continue"/>
            <w:vAlign w:val="center"/>
          </w:tcPr>
          <w:p w14:paraId="1D6FD75B">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4730C423">
            <w:pPr>
              <w:widowControl/>
              <w:overflowPunct w:val="0"/>
              <w:adjustRightInd w:val="0"/>
              <w:snapToGrid w:val="0"/>
              <w:spacing w:line="240" w:lineRule="exact"/>
              <w:ind w:firstLine="0" w:firstLineChars="0"/>
              <w:jc w:val="center"/>
              <w:rPr>
                <w:kern w:val="0"/>
                <w:sz w:val="21"/>
                <w:szCs w:val="21"/>
              </w:rPr>
            </w:pPr>
          </w:p>
        </w:tc>
        <w:tc>
          <w:tcPr>
            <w:tcW w:w="304" w:type="pct"/>
            <w:vMerge w:val="restart"/>
            <w:vAlign w:val="center"/>
          </w:tcPr>
          <w:p w14:paraId="76A16D4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数据质量规则设计与修正服务</w:t>
            </w:r>
          </w:p>
        </w:tc>
        <w:tc>
          <w:tcPr>
            <w:tcW w:w="1270" w:type="pct"/>
            <w:vAlign w:val="center"/>
          </w:tcPr>
          <w:p w14:paraId="26E090A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若为新设计的数据质量检查规则，可附加设计费用</w:t>
            </w:r>
          </w:p>
        </w:tc>
        <w:tc>
          <w:tcPr>
            <w:tcW w:w="715" w:type="pct"/>
            <w:vAlign w:val="center"/>
          </w:tcPr>
          <w:p w14:paraId="0210BCD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按规则个数计量</w:t>
            </w:r>
          </w:p>
        </w:tc>
        <w:tc>
          <w:tcPr>
            <w:tcW w:w="251" w:type="pct"/>
            <w:vAlign w:val="center"/>
          </w:tcPr>
          <w:p w14:paraId="7229532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w:t>
            </w:r>
          </w:p>
        </w:tc>
        <w:tc>
          <w:tcPr>
            <w:tcW w:w="236" w:type="pct"/>
            <w:vAlign w:val="center"/>
          </w:tcPr>
          <w:p w14:paraId="6C63E26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50</w:t>
            </w:r>
          </w:p>
        </w:tc>
        <w:tc>
          <w:tcPr>
            <w:tcW w:w="660" w:type="pct"/>
            <w:vAlign w:val="center"/>
          </w:tcPr>
          <w:p w14:paraId="69C4B5A4">
            <w:pPr>
              <w:widowControl/>
              <w:overflowPunct w:val="0"/>
              <w:adjustRightInd w:val="0"/>
              <w:snapToGrid w:val="0"/>
              <w:spacing w:line="240" w:lineRule="exact"/>
              <w:ind w:firstLine="0" w:firstLineChars="0"/>
              <w:jc w:val="center"/>
              <w:rPr>
                <w:kern w:val="0"/>
                <w:sz w:val="21"/>
                <w:szCs w:val="21"/>
              </w:rPr>
            </w:pPr>
          </w:p>
        </w:tc>
        <w:tc>
          <w:tcPr>
            <w:tcW w:w="916" w:type="pct"/>
            <w:vAlign w:val="center"/>
          </w:tcPr>
          <w:p w14:paraId="4CC629D1">
            <w:pPr>
              <w:widowControl/>
              <w:overflowPunct w:val="0"/>
              <w:adjustRightInd w:val="0"/>
              <w:snapToGrid w:val="0"/>
              <w:spacing w:line="240" w:lineRule="exact"/>
              <w:ind w:firstLine="0" w:firstLineChars="0"/>
              <w:jc w:val="center"/>
              <w:rPr>
                <w:kern w:val="0"/>
                <w:sz w:val="21"/>
                <w:szCs w:val="21"/>
              </w:rPr>
            </w:pPr>
          </w:p>
        </w:tc>
      </w:tr>
      <w:tr w14:paraId="63C5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7F9A23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19</w:t>
            </w:r>
          </w:p>
        </w:tc>
        <w:tc>
          <w:tcPr>
            <w:tcW w:w="168" w:type="pct"/>
            <w:vMerge w:val="continue"/>
            <w:vAlign w:val="center"/>
          </w:tcPr>
          <w:p w14:paraId="11898EBD">
            <w:pPr>
              <w:widowControl/>
              <w:overflowPunct w:val="0"/>
              <w:adjustRightInd w:val="0"/>
              <w:snapToGrid w:val="0"/>
              <w:spacing w:line="240" w:lineRule="exact"/>
              <w:ind w:firstLine="0" w:firstLineChars="0"/>
              <w:jc w:val="center"/>
              <w:rPr>
                <w:kern w:val="0"/>
                <w:sz w:val="21"/>
                <w:szCs w:val="21"/>
              </w:rPr>
            </w:pPr>
          </w:p>
        </w:tc>
        <w:tc>
          <w:tcPr>
            <w:tcW w:w="313" w:type="pct"/>
            <w:vMerge w:val="continue"/>
            <w:vAlign w:val="center"/>
          </w:tcPr>
          <w:p w14:paraId="72C734DC">
            <w:pPr>
              <w:widowControl/>
              <w:overflowPunct w:val="0"/>
              <w:adjustRightInd w:val="0"/>
              <w:snapToGrid w:val="0"/>
              <w:spacing w:line="240" w:lineRule="exact"/>
              <w:ind w:firstLine="0" w:firstLineChars="0"/>
              <w:jc w:val="center"/>
              <w:rPr>
                <w:kern w:val="0"/>
                <w:sz w:val="21"/>
                <w:szCs w:val="21"/>
              </w:rPr>
            </w:pPr>
          </w:p>
        </w:tc>
        <w:tc>
          <w:tcPr>
            <w:tcW w:w="304" w:type="pct"/>
            <w:vMerge w:val="continue"/>
            <w:vAlign w:val="center"/>
          </w:tcPr>
          <w:p w14:paraId="052F7B34">
            <w:pPr>
              <w:widowControl/>
              <w:overflowPunct w:val="0"/>
              <w:adjustRightInd w:val="0"/>
              <w:snapToGrid w:val="0"/>
              <w:spacing w:line="240" w:lineRule="exact"/>
              <w:ind w:firstLine="0" w:firstLineChars="0"/>
              <w:jc w:val="center"/>
              <w:rPr>
                <w:kern w:val="0"/>
                <w:sz w:val="21"/>
                <w:szCs w:val="21"/>
              </w:rPr>
            </w:pPr>
          </w:p>
        </w:tc>
        <w:tc>
          <w:tcPr>
            <w:tcW w:w="1270" w:type="pct"/>
            <w:vAlign w:val="center"/>
          </w:tcPr>
          <w:p w14:paraId="75D2A80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按规则个数计量基于新设计的数据质量规则检查出的问题数据进行修正处理，可附加修正费用</w:t>
            </w:r>
          </w:p>
        </w:tc>
        <w:tc>
          <w:tcPr>
            <w:tcW w:w="715" w:type="pct"/>
            <w:vAlign w:val="center"/>
          </w:tcPr>
          <w:p w14:paraId="7515D54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按修正处理的数据条数计量</w:t>
            </w:r>
          </w:p>
        </w:tc>
        <w:tc>
          <w:tcPr>
            <w:tcW w:w="251" w:type="pct"/>
            <w:vAlign w:val="center"/>
          </w:tcPr>
          <w:p w14:paraId="6EC4AE6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条</w:t>
            </w:r>
          </w:p>
        </w:tc>
        <w:tc>
          <w:tcPr>
            <w:tcW w:w="236" w:type="pct"/>
            <w:vAlign w:val="center"/>
          </w:tcPr>
          <w:p w14:paraId="7869F65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50</w:t>
            </w:r>
          </w:p>
        </w:tc>
        <w:tc>
          <w:tcPr>
            <w:tcW w:w="660" w:type="pct"/>
            <w:vAlign w:val="center"/>
          </w:tcPr>
          <w:p w14:paraId="323FF5D0">
            <w:pPr>
              <w:widowControl/>
              <w:overflowPunct w:val="0"/>
              <w:adjustRightInd w:val="0"/>
              <w:snapToGrid w:val="0"/>
              <w:spacing w:line="240" w:lineRule="exact"/>
              <w:ind w:firstLine="0" w:firstLineChars="0"/>
              <w:jc w:val="center"/>
              <w:rPr>
                <w:kern w:val="0"/>
                <w:sz w:val="21"/>
                <w:szCs w:val="21"/>
              </w:rPr>
            </w:pPr>
          </w:p>
        </w:tc>
        <w:tc>
          <w:tcPr>
            <w:tcW w:w="916" w:type="pct"/>
            <w:vAlign w:val="center"/>
          </w:tcPr>
          <w:p w14:paraId="08CF95EC">
            <w:pPr>
              <w:widowControl/>
              <w:overflowPunct w:val="0"/>
              <w:adjustRightInd w:val="0"/>
              <w:snapToGrid w:val="0"/>
              <w:spacing w:line="240" w:lineRule="exact"/>
              <w:ind w:firstLine="0" w:firstLineChars="0"/>
              <w:jc w:val="center"/>
              <w:rPr>
                <w:kern w:val="0"/>
                <w:sz w:val="21"/>
                <w:szCs w:val="21"/>
              </w:rPr>
            </w:pPr>
          </w:p>
        </w:tc>
      </w:tr>
      <w:tr w14:paraId="4A8D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070B0B6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20</w:t>
            </w:r>
          </w:p>
        </w:tc>
        <w:tc>
          <w:tcPr>
            <w:tcW w:w="168" w:type="pct"/>
            <w:vMerge w:val="continue"/>
            <w:vAlign w:val="center"/>
          </w:tcPr>
          <w:p w14:paraId="3BE3366C">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2EEBAA2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数据共享/开放/授权订阅服务</w:t>
            </w:r>
          </w:p>
        </w:tc>
        <w:tc>
          <w:tcPr>
            <w:tcW w:w="1270" w:type="pct"/>
            <w:vAlign w:val="center"/>
          </w:tcPr>
          <w:p w14:paraId="1B57808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数据共享、开放工作中所提供的一组完整服务接口，原则上服务主要针对数据集对外提供一组多种类型的接口服务，并根据不同用户角色的需求开展满足不同SLA的数据共享需求；当前提供的一组多种类型接口服务包括但不限于样例数据接口、Json、Xml。</w:t>
            </w:r>
          </w:p>
        </w:tc>
        <w:tc>
          <w:tcPr>
            <w:tcW w:w="715" w:type="pct"/>
            <w:vAlign w:val="center"/>
          </w:tcPr>
          <w:p w14:paraId="3076760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按照数据共享、开放工作中所提供的一组完整服务接口计量</w:t>
            </w:r>
          </w:p>
        </w:tc>
        <w:tc>
          <w:tcPr>
            <w:tcW w:w="251" w:type="pct"/>
            <w:vAlign w:val="center"/>
          </w:tcPr>
          <w:p w14:paraId="59376FB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组</w:t>
            </w:r>
          </w:p>
        </w:tc>
        <w:tc>
          <w:tcPr>
            <w:tcW w:w="236" w:type="pct"/>
            <w:vAlign w:val="center"/>
          </w:tcPr>
          <w:p w14:paraId="577BE6F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1000</w:t>
            </w:r>
          </w:p>
        </w:tc>
        <w:tc>
          <w:tcPr>
            <w:tcW w:w="660" w:type="pct"/>
            <w:vAlign w:val="center"/>
          </w:tcPr>
          <w:p w14:paraId="700FE84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按公共数据开放工作运营和政务数据应用于共享运营的复杂度和工作类型，新的开放运营工作按1计算难度；</w:t>
            </w:r>
          </w:p>
          <w:p w14:paraId="54D1747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既有保鲜类开放运营工作接入按0.2计算难度。</w:t>
            </w:r>
          </w:p>
        </w:tc>
        <w:tc>
          <w:tcPr>
            <w:tcW w:w="916" w:type="pct"/>
            <w:vAlign w:val="center"/>
          </w:tcPr>
          <w:p w14:paraId="3A6494B4">
            <w:pPr>
              <w:widowControl/>
              <w:overflowPunct w:val="0"/>
              <w:adjustRightInd w:val="0"/>
              <w:snapToGrid w:val="0"/>
              <w:spacing w:line="240" w:lineRule="exact"/>
              <w:ind w:firstLine="0" w:firstLineChars="0"/>
              <w:jc w:val="center"/>
              <w:rPr>
                <w:kern w:val="0"/>
                <w:sz w:val="21"/>
                <w:szCs w:val="21"/>
              </w:rPr>
            </w:pPr>
          </w:p>
        </w:tc>
      </w:tr>
      <w:tr w14:paraId="344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C98A35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21</w:t>
            </w:r>
          </w:p>
        </w:tc>
        <w:tc>
          <w:tcPr>
            <w:tcW w:w="168" w:type="pct"/>
            <w:vMerge w:val="continue"/>
            <w:vAlign w:val="center"/>
          </w:tcPr>
          <w:p w14:paraId="2B5AC27A">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000A677C">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数据统计分析及报表服务</w:t>
            </w:r>
          </w:p>
        </w:tc>
        <w:tc>
          <w:tcPr>
            <w:tcW w:w="1270" w:type="pct"/>
            <w:vAlign w:val="center"/>
          </w:tcPr>
          <w:p w14:paraId="148EDA0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数据治理共享、开放需求下的数据统计分析及报表服务，按需对各类数据进行统计分析，包括但不限于数据比对、分类筛选汇总、描述性统计、时间序列分析、多元统计分析等工作。同一个统计任务的数据修正及补充不再另外收费。在单个专项任务中对于融合加工的程序个数进行控制，每个库中的数据融合加工程序个数最多记录20个（包括20）；低于20个融合加工程序数，则按实结算。</w:t>
            </w:r>
          </w:p>
        </w:tc>
        <w:tc>
          <w:tcPr>
            <w:tcW w:w="715" w:type="pct"/>
            <w:vAlign w:val="center"/>
          </w:tcPr>
          <w:p w14:paraId="354182C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按照工作范围内，按需对各类需求进行数据统计分析及报表服务，按次数计量。按照工作难度，设置难度系数N。</w:t>
            </w:r>
          </w:p>
        </w:tc>
        <w:tc>
          <w:tcPr>
            <w:tcW w:w="251" w:type="pct"/>
            <w:vAlign w:val="center"/>
          </w:tcPr>
          <w:p w14:paraId="73228637">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元/次</w:t>
            </w:r>
          </w:p>
        </w:tc>
        <w:tc>
          <w:tcPr>
            <w:tcW w:w="236" w:type="pct"/>
            <w:vAlign w:val="center"/>
          </w:tcPr>
          <w:p w14:paraId="1F051EB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4000</w:t>
            </w:r>
          </w:p>
        </w:tc>
        <w:tc>
          <w:tcPr>
            <w:tcW w:w="660" w:type="pct"/>
            <w:vAlign w:val="center"/>
          </w:tcPr>
          <w:p w14:paraId="56C1D86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按照工作难度，乘以难度系数（1-3）</w:t>
            </w:r>
            <w:r>
              <w:rPr>
                <w:rFonts w:ascii="Times New Roman" w:hAnsi="Times New Roman" w:cs="Times New Roman"/>
                <w:kern w:val="0"/>
                <w:sz w:val="21"/>
                <w:szCs w:val="21"/>
              </w:rPr>
              <w:br w:type="textWrapping"/>
            </w:r>
            <w:r>
              <w:rPr>
                <w:rFonts w:ascii="Times New Roman" w:hAnsi="Times New Roman" w:cs="Times New Roman"/>
                <w:kern w:val="0"/>
                <w:sz w:val="21"/>
                <w:szCs w:val="21"/>
              </w:rPr>
              <w:t>对于仅涉及单领域数据的，难度系数取1；</w:t>
            </w:r>
            <w:r>
              <w:rPr>
                <w:rFonts w:ascii="Times New Roman" w:hAnsi="Times New Roman" w:cs="Times New Roman"/>
                <w:kern w:val="0"/>
                <w:sz w:val="21"/>
                <w:szCs w:val="21"/>
              </w:rPr>
              <w:br w:type="textWrapping"/>
            </w:r>
            <w:r>
              <w:rPr>
                <w:rFonts w:ascii="Times New Roman" w:hAnsi="Times New Roman" w:cs="Times New Roman"/>
                <w:kern w:val="0"/>
                <w:sz w:val="21"/>
                <w:szCs w:val="21"/>
              </w:rPr>
              <w:t>每增加一个领域，难度系数增加1；</w:t>
            </w:r>
            <w:r>
              <w:rPr>
                <w:rFonts w:ascii="Times New Roman" w:hAnsi="Times New Roman" w:cs="Times New Roman"/>
                <w:kern w:val="0"/>
                <w:sz w:val="21"/>
                <w:szCs w:val="21"/>
              </w:rPr>
              <w:br w:type="textWrapping"/>
            </w:r>
            <w:r>
              <w:rPr>
                <w:rFonts w:ascii="Times New Roman" w:hAnsi="Times New Roman" w:cs="Times New Roman"/>
                <w:kern w:val="0"/>
                <w:sz w:val="21"/>
                <w:szCs w:val="21"/>
              </w:rPr>
              <w:t>难度系数最高不超过3。</w:t>
            </w:r>
          </w:p>
        </w:tc>
        <w:tc>
          <w:tcPr>
            <w:tcW w:w="916" w:type="pct"/>
            <w:vAlign w:val="center"/>
          </w:tcPr>
          <w:p w14:paraId="506952F8">
            <w:pPr>
              <w:widowControl/>
              <w:overflowPunct w:val="0"/>
              <w:adjustRightInd w:val="0"/>
              <w:snapToGrid w:val="0"/>
              <w:spacing w:line="240" w:lineRule="exact"/>
              <w:ind w:firstLine="0" w:firstLineChars="0"/>
              <w:jc w:val="center"/>
              <w:rPr>
                <w:kern w:val="0"/>
                <w:sz w:val="21"/>
                <w:szCs w:val="21"/>
              </w:rPr>
            </w:pPr>
          </w:p>
        </w:tc>
      </w:tr>
      <w:tr w14:paraId="00CA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3A78AD7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22</w:t>
            </w:r>
          </w:p>
        </w:tc>
        <w:tc>
          <w:tcPr>
            <w:tcW w:w="168" w:type="pct"/>
            <w:vMerge w:val="continue"/>
            <w:vAlign w:val="center"/>
          </w:tcPr>
          <w:p w14:paraId="5E688E00">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1EA1BF1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数据挖掘建模服务</w:t>
            </w:r>
          </w:p>
        </w:tc>
        <w:tc>
          <w:tcPr>
            <w:tcW w:w="1270" w:type="pct"/>
            <w:vAlign w:val="center"/>
          </w:tcPr>
          <w:p w14:paraId="7D160C9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基于数据挖掘、人工智能等算法开展的数据分析建模服务，应用于业务问题发现、数据规律研究和风险预警提示等工作。适用于综合性强、业务领域广、难度较高的数据分析场景，并以书面或其他形式报送各级领导。</w:t>
            </w:r>
          </w:p>
        </w:tc>
        <w:tc>
          <w:tcPr>
            <w:tcW w:w="715" w:type="pct"/>
            <w:vAlign w:val="center"/>
          </w:tcPr>
          <w:p w14:paraId="5286DD2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按照工作范围内，按涉及的大数据挖掘模型个数计量。</w:t>
            </w:r>
          </w:p>
        </w:tc>
        <w:tc>
          <w:tcPr>
            <w:tcW w:w="251" w:type="pct"/>
            <w:vAlign w:val="center"/>
          </w:tcPr>
          <w:p w14:paraId="1BEBB81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w:t>
            </w:r>
          </w:p>
        </w:tc>
        <w:tc>
          <w:tcPr>
            <w:tcW w:w="236" w:type="pct"/>
            <w:vAlign w:val="center"/>
          </w:tcPr>
          <w:p w14:paraId="497D0B4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92000</w:t>
            </w:r>
          </w:p>
        </w:tc>
        <w:tc>
          <w:tcPr>
            <w:tcW w:w="660" w:type="pct"/>
            <w:vAlign w:val="center"/>
          </w:tcPr>
          <w:p w14:paraId="74160D8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按照建模复杂度、涉及数据领域的数量等因素，设置难度系N（N=0.1-2)。</w:t>
            </w:r>
          </w:p>
        </w:tc>
        <w:tc>
          <w:tcPr>
            <w:tcW w:w="916" w:type="pct"/>
            <w:vAlign w:val="center"/>
          </w:tcPr>
          <w:p w14:paraId="7486B6CE">
            <w:pPr>
              <w:widowControl/>
              <w:overflowPunct w:val="0"/>
              <w:adjustRightInd w:val="0"/>
              <w:snapToGrid w:val="0"/>
              <w:spacing w:line="240" w:lineRule="exact"/>
              <w:ind w:firstLine="0" w:firstLineChars="0"/>
              <w:jc w:val="center"/>
              <w:rPr>
                <w:kern w:val="0"/>
                <w:sz w:val="21"/>
                <w:szCs w:val="21"/>
              </w:rPr>
            </w:pPr>
          </w:p>
        </w:tc>
      </w:tr>
      <w:tr w14:paraId="3B1D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4E506ED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23</w:t>
            </w:r>
          </w:p>
        </w:tc>
        <w:tc>
          <w:tcPr>
            <w:tcW w:w="168" w:type="pct"/>
            <w:vMerge w:val="continue"/>
            <w:vAlign w:val="center"/>
          </w:tcPr>
          <w:p w14:paraId="63DB146D">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1CC0F76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数据分类分级检查</w:t>
            </w:r>
          </w:p>
        </w:tc>
        <w:tc>
          <w:tcPr>
            <w:tcW w:w="1270" w:type="pct"/>
            <w:vAlign w:val="center"/>
          </w:tcPr>
          <w:p w14:paraId="5C4D891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结合数据分级分类的管理要求，以及分级分类标准、技术指南等规范，制定数据分级分类检查方案，并对各类型数据进行分类分级检查，提升数据安全的管理能力和管理水平，便于规避数据运营过程中的数据安全风险。</w:t>
            </w:r>
          </w:p>
        </w:tc>
        <w:tc>
          <w:tcPr>
            <w:tcW w:w="715" w:type="pct"/>
            <w:vAlign w:val="center"/>
          </w:tcPr>
          <w:p w14:paraId="4FDEB93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工作范围内，按数据分级分类的检查数据表数计量。</w:t>
            </w:r>
          </w:p>
        </w:tc>
        <w:tc>
          <w:tcPr>
            <w:tcW w:w="251" w:type="pct"/>
            <w:vAlign w:val="center"/>
          </w:tcPr>
          <w:p w14:paraId="0BB6184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张</w:t>
            </w:r>
          </w:p>
        </w:tc>
        <w:tc>
          <w:tcPr>
            <w:tcW w:w="236" w:type="pct"/>
            <w:vAlign w:val="center"/>
          </w:tcPr>
          <w:p w14:paraId="5DF925B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1500</w:t>
            </w:r>
          </w:p>
        </w:tc>
        <w:tc>
          <w:tcPr>
            <w:tcW w:w="660" w:type="pct"/>
            <w:vAlign w:val="center"/>
          </w:tcPr>
          <w:p w14:paraId="395019CF">
            <w:pPr>
              <w:widowControl/>
              <w:overflowPunct w:val="0"/>
              <w:adjustRightInd w:val="0"/>
              <w:snapToGrid w:val="0"/>
              <w:spacing w:line="240" w:lineRule="exact"/>
              <w:ind w:firstLine="0" w:firstLineChars="0"/>
              <w:jc w:val="center"/>
              <w:rPr>
                <w:kern w:val="0"/>
                <w:sz w:val="21"/>
                <w:szCs w:val="21"/>
              </w:rPr>
            </w:pPr>
          </w:p>
        </w:tc>
        <w:tc>
          <w:tcPr>
            <w:tcW w:w="916" w:type="pct"/>
            <w:vAlign w:val="center"/>
          </w:tcPr>
          <w:p w14:paraId="180BBAAB">
            <w:pPr>
              <w:widowControl/>
              <w:overflowPunct w:val="0"/>
              <w:adjustRightInd w:val="0"/>
              <w:snapToGrid w:val="0"/>
              <w:spacing w:line="240" w:lineRule="exact"/>
              <w:ind w:firstLine="0" w:firstLineChars="0"/>
              <w:jc w:val="center"/>
              <w:rPr>
                <w:kern w:val="0"/>
                <w:sz w:val="21"/>
                <w:szCs w:val="21"/>
              </w:rPr>
            </w:pPr>
          </w:p>
        </w:tc>
      </w:tr>
      <w:tr w14:paraId="34DD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AB6455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24</w:t>
            </w:r>
          </w:p>
        </w:tc>
        <w:tc>
          <w:tcPr>
            <w:tcW w:w="168" w:type="pct"/>
            <w:vMerge w:val="continue"/>
            <w:vAlign w:val="center"/>
          </w:tcPr>
          <w:p w14:paraId="33066AC3">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65D8A91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数据加密、脱敏等控制</w:t>
            </w:r>
          </w:p>
        </w:tc>
        <w:tc>
          <w:tcPr>
            <w:tcW w:w="1270" w:type="pct"/>
            <w:vAlign w:val="center"/>
          </w:tcPr>
          <w:p w14:paraId="428F840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针对数据汇集、数据构建、数据开发、数据开放、数据共享、后台运维等数据流转场景，提升数据防护能力的建设，在满足业务需求正常开展的前提下，最大限度的对敏感数据进行保护，防止敏感数据泄露事件的发生，通过数据安全控制服务进行持续保障数据安全控制相应的应用系统安全、稳定运行。数据治理运营过程中，针对数据安全进行的如加密、脱敏等控制工作。</w:t>
            </w:r>
          </w:p>
        </w:tc>
        <w:tc>
          <w:tcPr>
            <w:tcW w:w="715" w:type="pct"/>
            <w:vAlign w:val="center"/>
          </w:tcPr>
          <w:p w14:paraId="13B858A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按照数据加密、脱敏等控制数据条数计量</w:t>
            </w:r>
          </w:p>
        </w:tc>
        <w:tc>
          <w:tcPr>
            <w:tcW w:w="251" w:type="pct"/>
            <w:vAlign w:val="center"/>
          </w:tcPr>
          <w:p w14:paraId="47AE7EE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万条</w:t>
            </w:r>
          </w:p>
        </w:tc>
        <w:tc>
          <w:tcPr>
            <w:tcW w:w="236" w:type="pct"/>
            <w:vAlign w:val="center"/>
          </w:tcPr>
          <w:p w14:paraId="2E806EA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5</w:t>
            </w:r>
          </w:p>
        </w:tc>
        <w:tc>
          <w:tcPr>
            <w:tcW w:w="660" w:type="pct"/>
            <w:vAlign w:val="center"/>
          </w:tcPr>
          <w:p w14:paraId="46F1E977">
            <w:pPr>
              <w:widowControl/>
              <w:overflowPunct w:val="0"/>
              <w:adjustRightInd w:val="0"/>
              <w:snapToGrid w:val="0"/>
              <w:spacing w:line="240" w:lineRule="exact"/>
              <w:ind w:firstLine="0" w:firstLineChars="0"/>
              <w:jc w:val="center"/>
              <w:rPr>
                <w:kern w:val="0"/>
                <w:sz w:val="21"/>
                <w:szCs w:val="21"/>
              </w:rPr>
            </w:pPr>
          </w:p>
        </w:tc>
        <w:tc>
          <w:tcPr>
            <w:tcW w:w="916" w:type="pct"/>
            <w:vAlign w:val="center"/>
          </w:tcPr>
          <w:p w14:paraId="2520219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1、本项施行阶梯单价模式结算，具体如下：</w:t>
            </w:r>
            <w:r>
              <w:rPr>
                <w:rFonts w:ascii="Times New Roman" w:hAnsi="Times New Roman" w:cs="Times New Roman"/>
                <w:kern w:val="0"/>
                <w:sz w:val="21"/>
                <w:szCs w:val="21"/>
              </w:rPr>
              <w:br w:type="textWrapping"/>
            </w:r>
            <w:r>
              <w:rPr>
                <w:rFonts w:ascii="Times New Roman" w:hAnsi="Times New Roman" w:cs="Times New Roman"/>
                <w:kern w:val="0"/>
                <w:sz w:val="21"/>
                <w:szCs w:val="21"/>
              </w:rPr>
              <w:t>0-100万条：原始单价计算；</w:t>
            </w:r>
            <w:r>
              <w:rPr>
                <w:rFonts w:ascii="Times New Roman" w:hAnsi="Times New Roman" w:cs="Times New Roman"/>
                <w:kern w:val="0"/>
                <w:sz w:val="21"/>
                <w:szCs w:val="21"/>
              </w:rPr>
              <w:br w:type="textWrapping"/>
            </w:r>
            <w:r>
              <w:rPr>
                <w:rFonts w:ascii="Times New Roman" w:hAnsi="Times New Roman" w:cs="Times New Roman"/>
                <w:kern w:val="0"/>
                <w:sz w:val="21"/>
                <w:szCs w:val="21"/>
              </w:rPr>
              <w:t>100万-300万条：原始单价*80%；</w:t>
            </w:r>
            <w:r>
              <w:rPr>
                <w:rFonts w:ascii="Times New Roman" w:hAnsi="Times New Roman" w:cs="Times New Roman"/>
                <w:kern w:val="0"/>
                <w:sz w:val="21"/>
                <w:szCs w:val="21"/>
              </w:rPr>
              <w:br w:type="textWrapping"/>
            </w:r>
            <w:r>
              <w:rPr>
                <w:rFonts w:ascii="Times New Roman" w:hAnsi="Times New Roman" w:cs="Times New Roman"/>
                <w:kern w:val="0"/>
                <w:sz w:val="21"/>
                <w:szCs w:val="21"/>
              </w:rPr>
              <w:t>300万条以上：原始单价*60%</w:t>
            </w:r>
            <w:r>
              <w:rPr>
                <w:rFonts w:ascii="Times New Roman" w:hAnsi="Times New Roman" w:cs="Times New Roman"/>
                <w:kern w:val="0"/>
                <w:sz w:val="21"/>
                <w:szCs w:val="21"/>
              </w:rPr>
              <w:br w:type="textWrapping"/>
            </w:r>
            <w:r>
              <w:rPr>
                <w:rFonts w:ascii="Times New Roman" w:hAnsi="Times New Roman" w:cs="Times New Roman"/>
                <w:kern w:val="0"/>
                <w:sz w:val="21"/>
                <w:szCs w:val="21"/>
              </w:rPr>
              <w:t>2、工单限价</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工单最高限价：50000元</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工单最低限价：1000元</w:t>
            </w:r>
          </w:p>
        </w:tc>
      </w:tr>
      <w:tr w14:paraId="03B4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0C88794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25</w:t>
            </w:r>
          </w:p>
        </w:tc>
        <w:tc>
          <w:tcPr>
            <w:tcW w:w="168" w:type="pct"/>
            <w:vMerge w:val="continue"/>
            <w:vAlign w:val="center"/>
          </w:tcPr>
          <w:p w14:paraId="4609B482">
            <w:pPr>
              <w:widowControl/>
              <w:overflowPunct w:val="0"/>
              <w:adjustRightInd w:val="0"/>
              <w:snapToGrid w:val="0"/>
              <w:spacing w:line="240" w:lineRule="exact"/>
              <w:ind w:firstLine="0" w:firstLineChars="0"/>
              <w:jc w:val="center"/>
              <w:rPr>
                <w:kern w:val="0"/>
                <w:sz w:val="21"/>
                <w:szCs w:val="21"/>
              </w:rPr>
            </w:pPr>
          </w:p>
        </w:tc>
        <w:tc>
          <w:tcPr>
            <w:tcW w:w="618" w:type="pct"/>
            <w:gridSpan w:val="2"/>
            <w:vAlign w:val="center"/>
          </w:tcPr>
          <w:p w14:paraId="4762D55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作业调度</w:t>
            </w:r>
          </w:p>
        </w:tc>
        <w:tc>
          <w:tcPr>
            <w:tcW w:w="1270" w:type="pct"/>
            <w:vAlign w:val="center"/>
          </w:tcPr>
          <w:p w14:paraId="2376ACF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本项目录面向日常数据加工、数据开放、数据分发等作业的调度管理。</w:t>
            </w:r>
            <w:r>
              <w:rPr>
                <w:rFonts w:ascii="Times New Roman" w:hAnsi="Times New Roman" w:cs="Times New Roman"/>
                <w:kern w:val="0"/>
                <w:sz w:val="21"/>
                <w:szCs w:val="21"/>
              </w:rPr>
              <w:br w:type="textWrapping"/>
            </w:r>
            <w:r>
              <w:rPr>
                <w:rFonts w:ascii="Times New Roman" w:hAnsi="Times New Roman" w:cs="Times New Roman"/>
                <w:kern w:val="0"/>
                <w:sz w:val="21"/>
                <w:szCs w:val="21"/>
              </w:rPr>
              <w:t>监控服务作业状态与情况，对中断、失败、卡死、执行时间过长的作业进行问题分析、定位、处理和记录，并通过事后的分析，明确问题缘由，及时修复，新增作业任务的调度全过程开发工作。</w:t>
            </w:r>
          </w:p>
        </w:tc>
        <w:tc>
          <w:tcPr>
            <w:tcW w:w="715" w:type="pct"/>
            <w:vAlign w:val="center"/>
          </w:tcPr>
          <w:p w14:paraId="30801BC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按照工作范围内，新增作业调度的任务数计量</w:t>
            </w:r>
          </w:p>
        </w:tc>
        <w:tc>
          <w:tcPr>
            <w:tcW w:w="251" w:type="pct"/>
            <w:vAlign w:val="center"/>
          </w:tcPr>
          <w:p w14:paraId="00E18AB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w:t>
            </w:r>
          </w:p>
        </w:tc>
        <w:tc>
          <w:tcPr>
            <w:tcW w:w="236" w:type="pct"/>
            <w:vAlign w:val="center"/>
          </w:tcPr>
          <w:p w14:paraId="122CF9E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45</w:t>
            </w:r>
          </w:p>
        </w:tc>
        <w:tc>
          <w:tcPr>
            <w:tcW w:w="660" w:type="pct"/>
            <w:vAlign w:val="center"/>
          </w:tcPr>
          <w:p w14:paraId="673A87B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1232733E">
            <w:pPr>
              <w:widowControl/>
              <w:overflowPunct w:val="0"/>
              <w:adjustRightInd w:val="0"/>
              <w:snapToGrid w:val="0"/>
              <w:spacing w:line="240" w:lineRule="exact"/>
              <w:ind w:firstLine="0" w:firstLineChars="0"/>
              <w:jc w:val="center"/>
              <w:rPr>
                <w:kern w:val="0"/>
                <w:sz w:val="21"/>
                <w:szCs w:val="21"/>
              </w:rPr>
            </w:pPr>
          </w:p>
        </w:tc>
      </w:tr>
      <w:tr w14:paraId="1E29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59DDB35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26</w:t>
            </w:r>
          </w:p>
        </w:tc>
        <w:tc>
          <w:tcPr>
            <w:tcW w:w="168" w:type="pct"/>
            <w:vMerge w:val="restart"/>
            <w:vAlign w:val="center"/>
          </w:tcPr>
          <w:p w14:paraId="693BB45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应用服</w:t>
            </w:r>
            <w:r>
              <w:rPr>
                <w:rFonts w:hint="eastAsia" w:ascii="Times New Roman" w:hAnsi="Times New Roman" w:cs="Times New Roman"/>
                <w:kern w:val="0"/>
                <w:sz w:val="21"/>
                <w:szCs w:val="21"/>
              </w:rPr>
              <w:t>务</w:t>
            </w:r>
            <w:r>
              <w:rPr>
                <w:rFonts w:ascii="Times New Roman" w:hAnsi="Times New Roman" w:cs="Times New Roman"/>
                <w:kern w:val="0"/>
                <w:sz w:val="21"/>
                <w:szCs w:val="21"/>
              </w:rPr>
              <w:t>类</w:t>
            </w:r>
          </w:p>
        </w:tc>
        <w:tc>
          <w:tcPr>
            <w:tcW w:w="618" w:type="pct"/>
            <w:gridSpan w:val="2"/>
            <w:vAlign w:val="center"/>
          </w:tcPr>
          <w:p w14:paraId="501FAA8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数据共享/开放运营接入服务</w:t>
            </w:r>
          </w:p>
        </w:tc>
        <w:tc>
          <w:tcPr>
            <w:tcW w:w="1270" w:type="pct"/>
            <w:vAlign w:val="center"/>
          </w:tcPr>
          <w:p w14:paraId="345A594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工作范围内，基于数据共享、数据开放、数据授权、一张图运营服务对接的各类需求对接、梳理、需求分析，相关工作整体年度计费</w:t>
            </w:r>
          </w:p>
        </w:tc>
        <w:tc>
          <w:tcPr>
            <w:tcW w:w="715" w:type="pct"/>
            <w:vAlign w:val="center"/>
          </w:tcPr>
          <w:p w14:paraId="1DD5B9F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按照相关工作整体年度计费8万</w:t>
            </w:r>
          </w:p>
        </w:tc>
        <w:tc>
          <w:tcPr>
            <w:tcW w:w="251" w:type="pct"/>
            <w:vAlign w:val="center"/>
          </w:tcPr>
          <w:p w14:paraId="19AF629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年</w:t>
            </w:r>
          </w:p>
        </w:tc>
        <w:tc>
          <w:tcPr>
            <w:tcW w:w="236" w:type="pct"/>
            <w:vAlign w:val="center"/>
          </w:tcPr>
          <w:p w14:paraId="709B9AB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80000</w:t>
            </w:r>
          </w:p>
        </w:tc>
        <w:tc>
          <w:tcPr>
            <w:tcW w:w="660" w:type="pct"/>
            <w:vAlign w:val="center"/>
          </w:tcPr>
          <w:p w14:paraId="3488B54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w:t>
            </w:r>
          </w:p>
        </w:tc>
        <w:tc>
          <w:tcPr>
            <w:tcW w:w="916" w:type="pct"/>
            <w:vAlign w:val="center"/>
          </w:tcPr>
          <w:p w14:paraId="0839488A">
            <w:pPr>
              <w:widowControl/>
              <w:overflowPunct w:val="0"/>
              <w:adjustRightInd w:val="0"/>
              <w:snapToGrid w:val="0"/>
              <w:spacing w:line="240" w:lineRule="exact"/>
              <w:ind w:firstLine="0" w:firstLineChars="0"/>
              <w:jc w:val="center"/>
              <w:rPr>
                <w:kern w:val="0"/>
                <w:sz w:val="21"/>
                <w:szCs w:val="21"/>
              </w:rPr>
            </w:pPr>
          </w:p>
        </w:tc>
      </w:tr>
      <w:tr w14:paraId="0E3B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C01F89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27</w:t>
            </w:r>
          </w:p>
        </w:tc>
        <w:tc>
          <w:tcPr>
            <w:tcW w:w="168" w:type="pct"/>
            <w:vMerge w:val="continue"/>
            <w:vAlign w:val="center"/>
          </w:tcPr>
          <w:p w14:paraId="69821811">
            <w:pPr>
              <w:widowControl/>
              <w:overflowPunct w:val="0"/>
              <w:adjustRightInd w:val="0"/>
              <w:snapToGrid w:val="0"/>
              <w:spacing w:line="240" w:lineRule="exact"/>
              <w:ind w:firstLine="0" w:firstLineChars="0"/>
              <w:jc w:val="center"/>
              <w:rPr>
                <w:kern w:val="0"/>
                <w:sz w:val="21"/>
                <w:szCs w:val="21"/>
              </w:rPr>
            </w:pPr>
          </w:p>
        </w:tc>
        <w:tc>
          <w:tcPr>
            <w:tcW w:w="619" w:type="pct"/>
            <w:gridSpan w:val="2"/>
            <w:vAlign w:val="center"/>
          </w:tcPr>
          <w:p w14:paraId="3C5EA3D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公共数据上链服务</w:t>
            </w:r>
          </w:p>
        </w:tc>
        <w:tc>
          <w:tcPr>
            <w:tcW w:w="1271" w:type="pct"/>
            <w:vAlign w:val="center"/>
          </w:tcPr>
          <w:p w14:paraId="1678E68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在支撑各单位公共数据上链过程中，对于职责目录、系统目录、数据目录三目录编制的完成情况，以及三目录挂载关联情况进行逐一审核；按照新一年度的重点工作任务，制定工作方案并开展数据标准的上链、应用场景上链的逐一审核，并在过程中对各单位开展相关工作进行技术支撑。</w:t>
            </w:r>
            <w:r>
              <w:rPr>
                <w:rFonts w:ascii="Times New Roman" w:hAnsi="Times New Roman" w:cs="Times New Roman"/>
                <w:kern w:val="0"/>
                <w:sz w:val="21"/>
                <w:szCs w:val="21"/>
              </w:rPr>
              <w:br w:type="textWrapping"/>
            </w:r>
            <w:r>
              <w:rPr>
                <w:rFonts w:ascii="Times New Roman" w:hAnsi="Times New Roman" w:cs="Times New Roman"/>
                <w:kern w:val="0"/>
                <w:sz w:val="21"/>
                <w:szCs w:val="21"/>
              </w:rPr>
              <w:t>使用该目录时，不可使用数据质量检查、数据质量规则设计及异常处置服务目录。</w:t>
            </w:r>
          </w:p>
        </w:tc>
        <w:tc>
          <w:tcPr>
            <w:tcW w:w="716" w:type="pct"/>
            <w:vAlign w:val="center"/>
          </w:tcPr>
          <w:p w14:paraId="37F7728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工作范围内，按照公共数据上链服务单位的个数计量。</w:t>
            </w:r>
          </w:p>
        </w:tc>
        <w:tc>
          <w:tcPr>
            <w:tcW w:w="251" w:type="pct"/>
            <w:vAlign w:val="center"/>
          </w:tcPr>
          <w:p w14:paraId="00C05D1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w:t>
            </w:r>
          </w:p>
        </w:tc>
        <w:tc>
          <w:tcPr>
            <w:tcW w:w="236" w:type="pct"/>
            <w:vAlign w:val="center"/>
          </w:tcPr>
          <w:p w14:paraId="1FF50DA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50000</w:t>
            </w:r>
          </w:p>
        </w:tc>
        <w:tc>
          <w:tcPr>
            <w:tcW w:w="661" w:type="pct"/>
            <w:vAlign w:val="center"/>
          </w:tcPr>
          <w:p w14:paraId="526BC61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按公共数据上链的复杂度和工作类型，新上链的业务内容按1计算难度；</w:t>
            </w:r>
          </w:p>
          <w:p w14:paraId="7A3BF17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保鲜类上链运营工作接入按0.2计算难度。</w:t>
            </w:r>
          </w:p>
        </w:tc>
        <w:tc>
          <w:tcPr>
            <w:tcW w:w="917" w:type="pct"/>
            <w:vAlign w:val="center"/>
          </w:tcPr>
          <w:p w14:paraId="456F8D27">
            <w:pPr>
              <w:widowControl/>
              <w:overflowPunct w:val="0"/>
              <w:adjustRightInd w:val="0"/>
              <w:snapToGrid w:val="0"/>
              <w:spacing w:line="240" w:lineRule="exact"/>
              <w:ind w:firstLine="0" w:firstLineChars="0"/>
              <w:jc w:val="center"/>
              <w:rPr>
                <w:kern w:val="0"/>
                <w:sz w:val="21"/>
                <w:szCs w:val="21"/>
              </w:rPr>
            </w:pPr>
          </w:p>
        </w:tc>
      </w:tr>
      <w:tr w14:paraId="7F37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36B0277">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28</w:t>
            </w:r>
          </w:p>
        </w:tc>
        <w:tc>
          <w:tcPr>
            <w:tcW w:w="168" w:type="pct"/>
            <w:vMerge w:val="continue"/>
            <w:vAlign w:val="center"/>
          </w:tcPr>
          <w:p w14:paraId="79EFAE0C">
            <w:pPr>
              <w:widowControl/>
              <w:overflowPunct w:val="0"/>
              <w:adjustRightInd w:val="0"/>
              <w:snapToGrid w:val="0"/>
              <w:spacing w:line="240" w:lineRule="exact"/>
              <w:ind w:firstLine="0" w:firstLineChars="0"/>
              <w:jc w:val="center"/>
              <w:rPr>
                <w:kern w:val="0"/>
                <w:sz w:val="21"/>
                <w:szCs w:val="21"/>
              </w:rPr>
            </w:pPr>
          </w:p>
        </w:tc>
        <w:tc>
          <w:tcPr>
            <w:tcW w:w="619" w:type="pct"/>
            <w:gridSpan w:val="2"/>
            <w:vAlign w:val="center"/>
          </w:tcPr>
          <w:p w14:paraId="7A603F5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主（专）题数据库建设服务</w:t>
            </w:r>
          </w:p>
        </w:tc>
        <w:tc>
          <w:tcPr>
            <w:tcW w:w="1271" w:type="pct"/>
            <w:vAlign w:val="center"/>
          </w:tcPr>
          <w:p w14:paraId="24854C49">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根据数据库建设需求，对主题库建设，按照某一主题或业务领域，将相关的基础数据进行收集、整理、归类和存储的过程，以形成专业的知识库。主要包括主题的选择、数据的收集、整理和存储，其主要目的是为用户提供特定主题下的专业知识和研究素材。对专题库建设，根据特定专题或业务需求，对基础数据进行二次加工和整合形成的数据库，以满足特定专题分析的需求，包括对专题需求分析、数据收集、清洗、治理、质量控制和更新维护等工作。</w:t>
            </w:r>
          </w:p>
        </w:tc>
        <w:tc>
          <w:tcPr>
            <w:tcW w:w="716" w:type="pct"/>
            <w:vAlign w:val="center"/>
          </w:tcPr>
          <w:p w14:paraId="7E22D6A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工作范围内，按建设主（专）题库的个数计量。使用该目录时，不可使用数据采集接入、数据抽取服务、数据标签、时空数据转换与处理、数据质量检查/异常处置、数据共享/开放/授权订阅服务、数据统计分析及报表服务、数据挖掘建模服务、对于历史数据的归档及销毁服务目录。</w:t>
            </w:r>
          </w:p>
        </w:tc>
        <w:tc>
          <w:tcPr>
            <w:tcW w:w="251" w:type="pct"/>
            <w:vAlign w:val="center"/>
          </w:tcPr>
          <w:p w14:paraId="020BFC3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w:t>
            </w:r>
          </w:p>
        </w:tc>
        <w:tc>
          <w:tcPr>
            <w:tcW w:w="236" w:type="pct"/>
            <w:vAlign w:val="center"/>
          </w:tcPr>
          <w:p w14:paraId="7BDDD54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250000</w:t>
            </w:r>
          </w:p>
        </w:tc>
        <w:tc>
          <w:tcPr>
            <w:tcW w:w="661" w:type="pct"/>
            <w:vAlign w:val="center"/>
          </w:tcPr>
          <w:p w14:paraId="330B0BD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按照业务目标的复杂度、涉及数据领域的数量、采集数据量等因素，设置难度系数N（N=0.1-2)。</w:t>
            </w:r>
          </w:p>
        </w:tc>
        <w:tc>
          <w:tcPr>
            <w:tcW w:w="917" w:type="pct"/>
            <w:vAlign w:val="center"/>
          </w:tcPr>
          <w:p w14:paraId="1EC91CCD">
            <w:pPr>
              <w:widowControl/>
              <w:overflowPunct w:val="0"/>
              <w:adjustRightInd w:val="0"/>
              <w:snapToGrid w:val="0"/>
              <w:spacing w:line="240" w:lineRule="exact"/>
              <w:ind w:firstLine="0" w:firstLineChars="0"/>
              <w:jc w:val="center"/>
              <w:rPr>
                <w:kern w:val="0"/>
                <w:sz w:val="21"/>
                <w:szCs w:val="21"/>
              </w:rPr>
            </w:pPr>
          </w:p>
        </w:tc>
      </w:tr>
      <w:tr w14:paraId="039C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3B70DA66">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29</w:t>
            </w:r>
          </w:p>
        </w:tc>
        <w:tc>
          <w:tcPr>
            <w:tcW w:w="168" w:type="pct"/>
            <w:vMerge w:val="continue"/>
            <w:vAlign w:val="center"/>
          </w:tcPr>
          <w:p w14:paraId="14A9FCDF">
            <w:pPr>
              <w:widowControl/>
              <w:overflowPunct w:val="0"/>
              <w:adjustRightInd w:val="0"/>
              <w:snapToGrid w:val="0"/>
              <w:spacing w:line="240" w:lineRule="exact"/>
              <w:ind w:firstLine="0" w:firstLineChars="0"/>
              <w:jc w:val="center"/>
              <w:rPr>
                <w:kern w:val="0"/>
                <w:sz w:val="21"/>
                <w:szCs w:val="21"/>
              </w:rPr>
            </w:pPr>
          </w:p>
        </w:tc>
        <w:tc>
          <w:tcPr>
            <w:tcW w:w="619" w:type="pct"/>
            <w:gridSpan w:val="2"/>
            <w:vAlign w:val="center"/>
          </w:tcPr>
          <w:p w14:paraId="0DAF8A1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可视化展现服务</w:t>
            </w:r>
          </w:p>
        </w:tc>
        <w:tc>
          <w:tcPr>
            <w:tcW w:w="1271" w:type="pct"/>
            <w:vAlign w:val="center"/>
          </w:tcPr>
          <w:p w14:paraId="407170C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针对数据开展可视化工作，通过系统设计与实施实现将大数据中心在公共数据治理及应用方面的建设情况及成果借助图形化手段更加直观、清晰、全面的展现出来。为大数据中心在公共数据治理及应用建设决策上提供支撑及辅助判断，对公共数据治理及应用建设过程起到业务监控、风险预警的作用。</w:t>
            </w:r>
          </w:p>
        </w:tc>
        <w:tc>
          <w:tcPr>
            <w:tcW w:w="716" w:type="pct"/>
            <w:vAlign w:val="center"/>
          </w:tcPr>
          <w:p w14:paraId="7AFA9E4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按大屏展现的主题域个数或中屏（小屏）模块数计量，可视化大屏服务，以主题域个数为计费单元</w:t>
            </w:r>
          </w:p>
        </w:tc>
        <w:tc>
          <w:tcPr>
            <w:tcW w:w="251" w:type="pct"/>
            <w:vAlign w:val="center"/>
          </w:tcPr>
          <w:p w14:paraId="48750477">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主题域</w:t>
            </w:r>
          </w:p>
        </w:tc>
        <w:tc>
          <w:tcPr>
            <w:tcW w:w="236" w:type="pct"/>
            <w:vAlign w:val="center"/>
          </w:tcPr>
          <w:p w14:paraId="461F201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92500</w:t>
            </w:r>
          </w:p>
        </w:tc>
        <w:tc>
          <w:tcPr>
            <w:tcW w:w="661" w:type="pct"/>
            <w:vAlign w:val="center"/>
          </w:tcPr>
          <w:p w14:paraId="552D34B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按照可视化大屏个数为基数，增加中屏及小屏（含H5页面）同等情况下工作量分别按系数（0.1-0.2）折算</w:t>
            </w:r>
          </w:p>
        </w:tc>
        <w:tc>
          <w:tcPr>
            <w:tcW w:w="917" w:type="pct"/>
            <w:vAlign w:val="center"/>
          </w:tcPr>
          <w:p w14:paraId="261DE158">
            <w:pPr>
              <w:widowControl/>
              <w:overflowPunct w:val="0"/>
              <w:adjustRightInd w:val="0"/>
              <w:snapToGrid w:val="0"/>
              <w:spacing w:line="240" w:lineRule="exact"/>
              <w:ind w:firstLine="0" w:firstLineChars="0"/>
              <w:jc w:val="center"/>
              <w:rPr>
                <w:kern w:val="0"/>
                <w:sz w:val="21"/>
                <w:szCs w:val="21"/>
              </w:rPr>
            </w:pPr>
          </w:p>
        </w:tc>
      </w:tr>
      <w:tr w14:paraId="7B8B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368EC70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30</w:t>
            </w:r>
          </w:p>
        </w:tc>
        <w:tc>
          <w:tcPr>
            <w:tcW w:w="168" w:type="pct"/>
            <w:vMerge w:val="continue"/>
            <w:vAlign w:val="center"/>
          </w:tcPr>
          <w:p w14:paraId="0322070E">
            <w:pPr>
              <w:widowControl/>
              <w:overflowPunct w:val="0"/>
              <w:adjustRightInd w:val="0"/>
              <w:snapToGrid w:val="0"/>
              <w:spacing w:line="240" w:lineRule="exact"/>
              <w:ind w:firstLine="0" w:firstLineChars="0"/>
              <w:jc w:val="center"/>
              <w:rPr>
                <w:kern w:val="0"/>
                <w:sz w:val="21"/>
                <w:szCs w:val="21"/>
              </w:rPr>
            </w:pPr>
          </w:p>
        </w:tc>
        <w:tc>
          <w:tcPr>
            <w:tcW w:w="619" w:type="pct"/>
            <w:gridSpan w:val="2"/>
            <w:vAlign w:val="center"/>
          </w:tcPr>
          <w:p w14:paraId="2BECDA3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公共数据社会化应用服务</w:t>
            </w:r>
          </w:p>
        </w:tc>
        <w:tc>
          <w:tcPr>
            <w:tcW w:w="1271" w:type="pct"/>
            <w:vAlign w:val="center"/>
          </w:tcPr>
          <w:p w14:paraId="443749C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在推进公共数据社会化应用过程中，围绕公共数据社会化应用场景的咨询管理、场景评估、数据支撑、产品或服务发布评估，其中场景规划评估包括社会伦理风险、技术安全风险、法律合规风险等评估，满足“一场景一授权”工作要求，对社会化应用场景中每个数据服务和产品的每次发布，进行发布前审核工作，包括但不限于以数据分级分类标准为依据，确保服务实现与方案涉及的一致性、与场景规划符合度。同时落实推进社会化应用场景的主体、场景内容、服务调用日志、授权凭证等管理要素上链等工作。</w:t>
            </w:r>
          </w:p>
        </w:tc>
        <w:tc>
          <w:tcPr>
            <w:tcW w:w="716" w:type="pct"/>
            <w:vAlign w:val="center"/>
          </w:tcPr>
          <w:p w14:paraId="464BA7B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工作范围内，按照公共数据社会化应用的场景个数计量。按工作的复杂度，设置难度系数N。使用该目录时，不可使用数据采集接入、数据统计分析及报表服务、数据分类分级检查目录。</w:t>
            </w:r>
          </w:p>
        </w:tc>
        <w:tc>
          <w:tcPr>
            <w:tcW w:w="251" w:type="pct"/>
            <w:vAlign w:val="center"/>
          </w:tcPr>
          <w:p w14:paraId="7D4EFD8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w:t>
            </w:r>
          </w:p>
        </w:tc>
        <w:tc>
          <w:tcPr>
            <w:tcW w:w="236" w:type="pct"/>
            <w:vAlign w:val="center"/>
          </w:tcPr>
          <w:p w14:paraId="3BD8E1B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100000</w:t>
            </w:r>
          </w:p>
        </w:tc>
        <w:tc>
          <w:tcPr>
            <w:tcW w:w="661" w:type="pct"/>
            <w:vAlign w:val="center"/>
          </w:tcPr>
          <w:p w14:paraId="18EE572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按工作的复杂度，取难度系数N（N=0.5-2.5）</w:t>
            </w:r>
            <w:r>
              <w:rPr>
                <w:rFonts w:ascii="Times New Roman" w:hAnsi="Times New Roman" w:cs="Times New Roman"/>
                <w:kern w:val="0"/>
                <w:sz w:val="21"/>
                <w:szCs w:val="21"/>
              </w:rPr>
              <w:br w:type="textWrapping"/>
            </w:r>
          </w:p>
        </w:tc>
        <w:tc>
          <w:tcPr>
            <w:tcW w:w="917" w:type="pct"/>
            <w:vAlign w:val="center"/>
          </w:tcPr>
          <w:p w14:paraId="1ACC4375">
            <w:pPr>
              <w:widowControl/>
              <w:overflowPunct w:val="0"/>
              <w:adjustRightInd w:val="0"/>
              <w:snapToGrid w:val="0"/>
              <w:spacing w:line="240" w:lineRule="exact"/>
              <w:ind w:firstLine="0" w:firstLineChars="0"/>
              <w:jc w:val="center"/>
              <w:rPr>
                <w:kern w:val="0"/>
                <w:sz w:val="21"/>
                <w:szCs w:val="21"/>
              </w:rPr>
            </w:pPr>
          </w:p>
        </w:tc>
      </w:tr>
      <w:tr w14:paraId="07E3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5CAD04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31</w:t>
            </w:r>
          </w:p>
        </w:tc>
        <w:tc>
          <w:tcPr>
            <w:tcW w:w="168" w:type="pct"/>
            <w:vMerge w:val="continue"/>
            <w:vAlign w:val="center"/>
          </w:tcPr>
          <w:p w14:paraId="6B18BA7F">
            <w:pPr>
              <w:widowControl/>
              <w:overflowPunct w:val="0"/>
              <w:adjustRightInd w:val="0"/>
              <w:snapToGrid w:val="0"/>
              <w:spacing w:line="240" w:lineRule="exact"/>
              <w:ind w:firstLine="0" w:firstLineChars="0"/>
              <w:jc w:val="center"/>
              <w:rPr>
                <w:kern w:val="0"/>
                <w:sz w:val="21"/>
                <w:szCs w:val="21"/>
              </w:rPr>
            </w:pPr>
          </w:p>
        </w:tc>
        <w:tc>
          <w:tcPr>
            <w:tcW w:w="619" w:type="pct"/>
            <w:gridSpan w:val="2"/>
            <w:vAlign w:val="center"/>
          </w:tcPr>
          <w:p w14:paraId="0D5ED1E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数据共享/开放授权运营服务</w:t>
            </w:r>
          </w:p>
        </w:tc>
        <w:tc>
          <w:tcPr>
            <w:tcW w:w="1271" w:type="pct"/>
            <w:vAlign w:val="center"/>
          </w:tcPr>
          <w:p w14:paraId="0DD89BD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在数据共享开放和数据授权运营服务过程中，依托数据异议核实等工作机制进行的数据质量问题的跟踪 、解答和处理。</w:t>
            </w:r>
          </w:p>
        </w:tc>
        <w:tc>
          <w:tcPr>
            <w:tcW w:w="716" w:type="pct"/>
            <w:vAlign w:val="center"/>
          </w:tcPr>
          <w:p w14:paraId="04E6D23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在数据共享开放和数据授权运营服务过程中，依托数据异议核实等工作机制进行的数据质量问题的跟踪、解答和处理，相关工作整体年度计费</w:t>
            </w:r>
          </w:p>
        </w:tc>
        <w:tc>
          <w:tcPr>
            <w:tcW w:w="251" w:type="pct"/>
            <w:vAlign w:val="center"/>
          </w:tcPr>
          <w:p w14:paraId="2994B51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年</w:t>
            </w:r>
          </w:p>
        </w:tc>
        <w:tc>
          <w:tcPr>
            <w:tcW w:w="236" w:type="pct"/>
            <w:vAlign w:val="center"/>
          </w:tcPr>
          <w:p w14:paraId="0582CA4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1000000</w:t>
            </w:r>
          </w:p>
        </w:tc>
        <w:tc>
          <w:tcPr>
            <w:tcW w:w="661" w:type="pct"/>
            <w:vAlign w:val="center"/>
          </w:tcPr>
          <w:p w14:paraId="043BDF17">
            <w:pPr>
              <w:widowControl/>
              <w:overflowPunct w:val="0"/>
              <w:adjustRightInd w:val="0"/>
              <w:snapToGrid w:val="0"/>
              <w:spacing w:line="240" w:lineRule="exact"/>
              <w:ind w:firstLine="0" w:firstLineChars="0"/>
              <w:jc w:val="center"/>
              <w:rPr>
                <w:kern w:val="0"/>
                <w:sz w:val="21"/>
                <w:szCs w:val="21"/>
                <w:highlight w:val="yellow"/>
              </w:rPr>
            </w:pPr>
          </w:p>
        </w:tc>
        <w:tc>
          <w:tcPr>
            <w:tcW w:w="917" w:type="pct"/>
            <w:vAlign w:val="center"/>
          </w:tcPr>
          <w:p w14:paraId="7F8E7093">
            <w:pPr>
              <w:widowControl/>
              <w:overflowPunct w:val="0"/>
              <w:adjustRightInd w:val="0"/>
              <w:snapToGrid w:val="0"/>
              <w:spacing w:line="240" w:lineRule="exact"/>
              <w:ind w:firstLine="0" w:firstLineChars="0"/>
              <w:jc w:val="center"/>
              <w:rPr>
                <w:kern w:val="0"/>
                <w:sz w:val="21"/>
                <w:szCs w:val="21"/>
              </w:rPr>
            </w:pPr>
          </w:p>
        </w:tc>
      </w:tr>
      <w:tr w14:paraId="1A9D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2AEA2F4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32</w:t>
            </w:r>
          </w:p>
        </w:tc>
        <w:tc>
          <w:tcPr>
            <w:tcW w:w="168" w:type="pct"/>
            <w:vMerge w:val="continue"/>
            <w:vAlign w:val="center"/>
          </w:tcPr>
          <w:p w14:paraId="69E514C0">
            <w:pPr>
              <w:widowControl/>
              <w:overflowPunct w:val="0"/>
              <w:adjustRightInd w:val="0"/>
              <w:snapToGrid w:val="0"/>
              <w:spacing w:line="240" w:lineRule="exact"/>
              <w:ind w:firstLine="0" w:firstLineChars="0"/>
              <w:jc w:val="center"/>
              <w:rPr>
                <w:kern w:val="0"/>
                <w:sz w:val="21"/>
                <w:szCs w:val="21"/>
              </w:rPr>
            </w:pPr>
          </w:p>
        </w:tc>
        <w:tc>
          <w:tcPr>
            <w:tcW w:w="619" w:type="pct"/>
            <w:gridSpan w:val="2"/>
            <w:vAlign w:val="center"/>
          </w:tcPr>
          <w:p w14:paraId="7829066D">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数据安全评估、审核服务</w:t>
            </w:r>
          </w:p>
        </w:tc>
        <w:tc>
          <w:tcPr>
            <w:tcW w:w="1271" w:type="pct"/>
            <w:vAlign w:val="center"/>
          </w:tcPr>
          <w:p w14:paraId="6AE866D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该目录用于对数据资源平台数据定期开展存储分布、应用场景和安全策略评估，深入分析数据资源数据存储过程安全风险，对所发现问题闭环管理，并构建数据安全数据评估服务技术合规评测体系。在数据治理数运营过程中，针对数据安全审核开展的工作。</w:t>
            </w:r>
          </w:p>
        </w:tc>
        <w:tc>
          <w:tcPr>
            <w:tcW w:w="716" w:type="pct"/>
            <w:vAlign w:val="center"/>
          </w:tcPr>
          <w:p w14:paraId="11870377">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按运营项目合同年内开展数据安全评估、审核服务工作的数据条数计量</w:t>
            </w:r>
          </w:p>
        </w:tc>
        <w:tc>
          <w:tcPr>
            <w:tcW w:w="251" w:type="pct"/>
            <w:vAlign w:val="center"/>
          </w:tcPr>
          <w:p w14:paraId="3330A2D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万条</w:t>
            </w:r>
          </w:p>
        </w:tc>
        <w:tc>
          <w:tcPr>
            <w:tcW w:w="236" w:type="pct"/>
            <w:vAlign w:val="center"/>
          </w:tcPr>
          <w:p w14:paraId="12964E25">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22</w:t>
            </w:r>
          </w:p>
        </w:tc>
        <w:tc>
          <w:tcPr>
            <w:tcW w:w="661" w:type="pct"/>
            <w:vAlign w:val="center"/>
          </w:tcPr>
          <w:p w14:paraId="75A91FED">
            <w:pPr>
              <w:widowControl/>
              <w:overflowPunct w:val="0"/>
              <w:adjustRightInd w:val="0"/>
              <w:snapToGrid w:val="0"/>
              <w:spacing w:line="240" w:lineRule="exact"/>
              <w:ind w:firstLine="0" w:firstLineChars="0"/>
              <w:jc w:val="center"/>
              <w:rPr>
                <w:kern w:val="0"/>
                <w:sz w:val="21"/>
                <w:szCs w:val="21"/>
              </w:rPr>
            </w:pPr>
          </w:p>
        </w:tc>
        <w:tc>
          <w:tcPr>
            <w:tcW w:w="917" w:type="pct"/>
            <w:vAlign w:val="center"/>
          </w:tcPr>
          <w:p w14:paraId="5DD3B1BB">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1、本项施行阶梯单价模式结算，具体如下：</w:t>
            </w:r>
            <w:r>
              <w:rPr>
                <w:rFonts w:ascii="Times New Roman" w:hAnsi="Times New Roman" w:cs="Times New Roman"/>
                <w:kern w:val="0"/>
                <w:sz w:val="21"/>
                <w:szCs w:val="21"/>
              </w:rPr>
              <w:br w:type="textWrapping"/>
            </w:r>
            <w:r>
              <w:rPr>
                <w:rFonts w:ascii="Times New Roman" w:hAnsi="Times New Roman" w:cs="Times New Roman"/>
                <w:kern w:val="0"/>
                <w:sz w:val="21"/>
                <w:szCs w:val="21"/>
              </w:rPr>
              <w:t>0-500万条：原始单价计算；</w:t>
            </w:r>
            <w:r>
              <w:rPr>
                <w:rFonts w:ascii="Times New Roman" w:hAnsi="Times New Roman" w:cs="Times New Roman"/>
                <w:kern w:val="0"/>
                <w:sz w:val="21"/>
                <w:szCs w:val="21"/>
              </w:rPr>
              <w:br w:type="textWrapping"/>
            </w:r>
            <w:r>
              <w:rPr>
                <w:rFonts w:ascii="Times New Roman" w:hAnsi="Times New Roman" w:cs="Times New Roman"/>
                <w:kern w:val="0"/>
                <w:sz w:val="21"/>
                <w:szCs w:val="21"/>
              </w:rPr>
              <w:t>500万-1亿条：原始单价*80%；</w:t>
            </w:r>
            <w:r>
              <w:rPr>
                <w:rFonts w:ascii="Times New Roman" w:hAnsi="Times New Roman" w:cs="Times New Roman"/>
                <w:kern w:val="0"/>
                <w:sz w:val="21"/>
                <w:szCs w:val="21"/>
              </w:rPr>
              <w:br w:type="textWrapping"/>
            </w:r>
            <w:r>
              <w:rPr>
                <w:rFonts w:ascii="Times New Roman" w:hAnsi="Times New Roman" w:cs="Times New Roman"/>
                <w:kern w:val="0"/>
                <w:sz w:val="21"/>
                <w:szCs w:val="21"/>
              </w:rPr>
              <w:t>1亿条以上：原始单价*60%</w:t>
            </w:r>
            <w:r>
              <w:rPr>
                <w:rFonts w:ascii="Times New Roman" w:hAnsi="Times New Roman" w:cs="Times New Roman"/>
                <w:kern w:val="0"/>
                <w:sz w:val="21"/>
                <w:szCs w:val="21"/>
              </w:rPr>
              <w:br w:type="textWrapping"/>
            </w:r>
            <w:r>
              <w:rPr>
                <w:rFonts w:ascii="Times New Roman" w:hAnsi="Times New Roman" w:cs="Times New Roman"/>
                <w:kern w:val="0"/>
                <w:sz w:val="21"/>
                <w:szCs w:val="21"/>
              </w:rPr>
              <w:t>2、工单限价</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工单最高限价：150000元</w:t>
            </w:r>
            <w:r>
              <w:rPr>
                <w:rFonts w:ascii="Times New Roman" w:hAnsi="Times New Roman" w:cs="Times New Roman"/>
                <w:kern w:val="0"/>
                <w:sz w:val="21"/>
                <w:szCs w:val="21"/>
              </w:rPr>
              <w:br w:type="textWrapping"/>
            </w:r>
            <w:r>
              <w:rPr>
                <w:rFonts w:ascii="Times New Roman" w:hAnsi="Times New Roman" w:cs="Times New Roman"/>
                <w:kern w:val="0"/>
                <w:sz w:val="21"/>
                <w:szCs w:val="21"/>
              </w:rPr>
              <w:t>工单最低限价：1000元</w:t>
            </w:r>
          </w:p>
        </w:tc>
      </w:tr>
      <w:tr w14:paraId="5D8B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78444DF8">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33</w:t>
            </w:r>
          </w:p>
        </w:tc>
        <w:tc>
          <w:tcPr>
            <w:tcW w:w="168" w:type="pct"/>
            <w:vMerge w:val="restart"/>
            <w:vAlign w:val="center"/>
          </w:tcPr>
          <w:p w14:paraId="17A9B669">
            <w:pPr>
              <w:widowControl/>
              <w:overflowPunct w:val="0"/>
              <w:adjustRightInd w:val="0"/>
              <w:snapToGrid w:val="0"/>
              <w:spacing w:line="240" w:lineRule="exact"/>
              <w:ind w:firstLine="0" w:firstLineChars="0"/>
              <w:jc w:val="center"/>
              <w:rPr>
                <w:kern w:val="0"/>
                <w:sz w:val="21"/>
                <w:szCs w:val="21"/>
              </w:rPr>
            </w:pPr>
            <w:r>
              <w:rPr>
                <w:rFonts w:hint="eastAsia"/>
                <w:kern w:val="0"/>
                <w:sz w:val="21"/>
                <w:szCs w:val="21"/>
              </w:rPr>
              <w:t>创新服务类</w:t>
            </w:r>
          </w:p>
        </w:tc>
        <w:tc>
          <w:tcPr>
            <w:tcW w:w="619" w:type="pct"/>
            <w:gridSpan w:val="2"/>
            <w:vMerge w:val="restart"/>
            <w:vAlign w:val="center"/>
          </w:tcPr>
          <w:p w14:paraId="1EC8AC14">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lang w:bidi="ar"/>
              </w:rPr>
              <w:t>能力迭代服务</w:t>
            </w:r>
          </w:p>
        </w:tc>
        <w:tc>
          <w:tcPr>
            <w:tcW w:w="1271" w:type="pct"/>
            <w:vMerge w:val="restart"/>
            <w:vAlign w:val="center"/>
          </w:tcPr>
          <w:p w14:paraId="4D678A21">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根据中心业务开展、稳定运行和安全管理的需要，结合《信息安全等级保护管理办法》、《关键信息基础设施安全保护条例》等法律法规、技术标准和相关主管单位的要求，以保障数据运营工作安全有序稳定运行为服务目标，对所涉及的平台能力和应用功能进行迭代优化，或开展大模型加工，以达到相关业务和安全管理要求</w:t>
            </w:r>
            <w:r>
              <w:rPr>
                <w:rFonts w:ascii="Times New Roman" w:hAnsi="Times New Roman" w:cs="Times New Roman"/>
                <w:kern w:val="0"/>
                <w:sz w:val="21"/>
                <w:szCs w:val="21"/>
                <w:lang w:bidi="ar"/>
              </w:rPr>
              <w:t>。</w:t>
            </w:r>
          </w:p>
        </w:tc>
        <w:tc>
          <w:tcPr>
            <w:tcW w:w="716" w:type="pct"/>
            <w:vAlign w:val="center"/>
          </w:tcPr>
          <w:p w14:paraId="75B4EFEF">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工作范围内，按照最终实现的功能规模进行计算，功能规模是指功能建设需求中涉及外部输入数、外部查询数、外部输岀数和内部逻辑文件数、外部接口文件数，按能力实现的复杂程度进行加权求和后进行计算。功能规模计量方法参考《SJ/T11619-2016软件工程功能规模测量NESMA方法》。</w:t>
            </w:r>
          </w:p>
        </w:tc>
        <w:tc>
          <w:tcPr>
            <w:tcW w:w="251" w:type="pct"/>
            <w:vAlign w:val="center"/>
          </w:tcPr>
          <w:p w14:paraId="05A6CBC7">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个功能点</w:t>
            </w:r>
          </w:p>
        </w:tc>
        <w:tc>
          <w:tcPr>
            <w:tcW w:w="236" w:type="pct"/>
            <w:vAlign w:val="center"/>
          </w:tcPr>
          <w:p w14:paraId="5A6A935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3500</w:t>
            </w:r>
          </w:p>
        </w:tc>
        <w:tc>
          <w:tcPr>
            <w:tcW w:w="661" w:type="pct"/>
            <w:vMerge w:val="restart"/>
            <w:vAlign w:val="center"/>
          </w:tcPr>
          <w:p w14:paraId="1EAB81F3">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针对普通功能迭代，按照功能的复杂程度，取难度系数N（N=0.5-2）。</w:t>
            </w:r>
            <w:r>
              <w:rPr>
                <w:rFonts w:ascii="Times New Roman" w:hAnsi="Times New Roman" w:cs="Times New Roman"/>
                <w:kern w:val="0"/>
                <w:sz w:val="21"/>
                <w:szCs w:val="21"/>
              </w:rPr>
              <w:br w:type="textWrapping"/>
            </w:r>
            <w:r>
              <w:rPr>
                <w:rFonts w:ascii="Times New Roman" w:hAnsi="Times New Roman" w:cs="Times New Roman"/>
                <w:kern w:val="0"/>
                <w:sz w:val="21"/>
                <w:szCs w:val="21"/>
              </w:rPr>
              <w:t>针对大模型数据集的数据加工，按复杂度取难度系数N(N=1-3)，对数据集进行简单加工（清洗、提取、分片、分词、格式转换）、简单图像数据标注（矩形框标注、多边形标注等），N=1；对数据集含有复杂加工（向量嵌入等）、图像的复杂标注（像素级标注等）、模型的精调时，N=2或3。</w:t>
            </w:r>
          </w:p>
        </w:tc>
        <w:tc>
          <w:tcPr>
            <w:tcW w:w="917" w:type="pct"/>
            <w:vAlign w:val="center"/>
          </w:tcPr>
          <w:p w14:paraId="3E598FDC">
            <w:pPr>
              <w:widowControl/>
              <w:overflowPunct w:val="0"/>
              <w:adjustRightInd w:val="0"/>
              <w:snapToGrid w:val="0"/>
              <w:spacing w:line="240" w:lineRule="exact"/>
              <w:ind w:firstLine="0" w:firstLineChars="0"/>
              <w:jc w:val="center"/>
              <w:rPr>
                <w:kern w:val="0"/>
                <w:sz w:val="21"/>
                <w:szCs w:val="21"/>
              </w:rPr>
            </w:pPr>
          </w:p>
        </w:tc>
      </w:tr>
      <w:tr w14:paraId="1D11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60" w:type="pct"/>
            <w:vAlign w:val="center"/>
          </w:tcPr>
          <w:p w14:paraId="487E93F0">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34</w:t>
            </w:r>
          </w:p>
        </w:tc>
        <w:tc>
          <w:tcPr>
            <w:tcW w:w="168" w:type="pct"/>
            <w:vMerge w:val="continue"/>
            <w:vAlign w:val="center"/>
          </w:tcPr>
          <w:p w14:paraId="07BAE771">
            <w:pPr>
              <w:widowControl/>
              <w:overflowPunct w:val="0"/>
              <w:adjustRightInd w:val="0"/>
              <w:snapToGrid w:val="0"/>
              <w:spacing w:line="240" w:lineRule="exact"/>
              <w:ind w:firstLine="0" w:firstLineChars="0"/>
              <w:jc w:val="center"/>
              <w:rPr>
                <w:kern w:val="0"/>
                <w:sz w:val="21"/>
                <w:szCs w:val="21"/>
              </w:rPr>
            </w:pPr>
          </w:p>
        </w:tc>
        <w:tc>
          <w:tcPr>
            <w:tcW w:w="619" w:type="pct"/>
            <w:gridSpan w:val="2"/>
            <w:vMerge w:val="continue"/>
            <w:vAlign w:val="center"/>
          </w:tcPr>
          <w:p w14:paraId="31B9D733">
            <w:pPr>
              <w:widowControl/>
              <w:overflowPunct w:val="0"/>
              <w:adjustRightInd w:val="0"/>
              <w:snapToGrid w:val="0"/>
              <w:spacing w:line="240" w:lineRule="exact"/>
              <w:ind w:firstLine="0" w:firstLineChars="0"/>
              <w:jc w:val="center"/>
              <w:rPr>
                <w:kern w:val="0"/>
                <w:sz w:val="21"/>
                <w:szCs w:val="21"/>
              </w:rPr>
            </w:pPr>
          </w:p>
        </w:tc>
        <w:tc>
          <w:tcPr>
            <w:tcW w:w="1271" w:type="pct"/>
            <w:vMerge w:val="continue"/>
            <w:vAlign w:val="center"/>
          </w:tcPr>
          <w:p w14:paraId="79585394">
            <w:pPr>
              <w:widowControl/>
              <w:overflowPunct w:val="0"/>
              <w:adjustRightInd w:val="0"/>
              <w:snapToGrid w:val="0"/>
              <w:spacing w:line="240" w:lineRule="exact"/>
              <w:ind w:firstLine="0" w:firstLineChars="0"/>
              <w:jc w:val="center"/>
              <w:rPr>
                <w:kern w:val="0"/>
                <w:sz w:val="21"/>
                <w:szCs w:val="21"/>
              </w:rPr>
            </w:pPr>
          </w:p>
        </w:tc>
        <w:tc>
          <w:tcPr>
            <w:tcW w:w="716" w:type="pct"/>
            <w:vAlign w:val="center"/>
          </w:tcPr>
          <w:p w14:paraId="2403F632">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工作范围内，按照大模型在垂直领域的应用场景个数进行计量。</w:t>
            </w:r>
          </w:p>
        </w:tc>
        <w:tc>
          <w:tcPr>
            <w:tcW w:w="251" w:type="pct"/>
            <w:vAlign w:val="center"/>
          </w:tcPr>
          <w:p w14:paraId="60A5264A">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个大模型加工</w:t>
            </w:r>
          </w:p>
        </w:tc>
        <w:tc>
          <w:tcPr>
            <w:tcW w:w="236" w:type="pct"/>
            <w:vAlign w:val="center"/>
          </w:tcPr>
          <w:p w14:paraId="4C1C704E">
            <w:pPr>
              <w:widowControl/>
              <w:overflowPunct w:val="0"/>
              <w:adjustRightInd w:val="0"/>
              <w:snapToGrid w:val="0"/>
              <w:spacing w:line="240" w:lineRule="exact"/>
              <w:ind w:firstLine="0" w:firstLineChars="0"/>
              <w:jc w:val="center"/>
              <w:rPr>
                <w:kern w:val="0"/>
                <w:sz w:val="21"/>
                <w:szCs w:val="21"/>
              </w:rPr>
            </w:pPr>
            <w:r>
              <w:rPr>
                <w:rFonts w:ascii="Times New Roman" w:hAnsi="Times New Roman" w:cs="Times New Roman"/>
                <w:kern w:val="0"/>
                <w:sz w:val="21"/>
                <w:szCs w:val="21"/>
              </w:rPr>
              <w:t>100000</w:t>
            </w:r>
          </w:p>
        </w:tc>
        <w:tc>
          <w:tcPr>
            <w:tcW w:w="661" w:type="pct"/>
            <w:vMerge w:val="continue"/>
            <w:vAlign w:val="center"/>
          </w:tcPr>
          <w:p w14:paraId="79F7E6ED">
            <w:pPr>
              <w:widowControl/>
              <w:overflowPunct w:val="0"/>
              <w:adjustRightInd w:val="0"/>
              <w:snapToGrid w:val="0"/>
              <w:spacing w:line="240" w:lineRule="exact"/>
              <w:ind w:firstLine="0" w:firstLineChars="0"/>
              <w:jc w:val="center"/>
              <w:rPr>
                <w:kern w:val="0"/>
                <w:sz w:val="21"/>
                <w:szCs w:val="21"/>
              </w:rPr>
            </w:pPr>
          </w:p>
        </w:tc>
        <w:tc>
          <w:tcPr>
            <w:tcW w:w="917" w:type="pct"/>
            <w:vAlign w:val="center"/>
          </w:tcPr>
          <w:p w14:paraId="22C8BCB7">
            <w:pPr>
              <w:widowControl/>
              <w:overflowPunct w:val="0"/>
              <w:adjustRightInd w:val="0"/>
              <w:snapToGrid w:val="0"/>
              <w:spacing w:line="240" w:lineRule="exact"/>
              <w:ind w:firstLine="0" w:firstLineChars="0"/>
              <w:jc w:val="center"/>
              <w:rPr>
                <w:kern w:val="0"/>
                <w:sz w:val="21"/>
                <w:szCs w:val="21"/>
              </w:rPr>
            </w:pPr>
          </w:p>
        </w:tc>
      </w:tr>
    </w:tbl>
    <w:p w14:paraId="52BE0866">
      <w:pPr>
        <w:ind w:firstLine="420"/>
        <w:rPr>
          <w:sz w:val="21"/>
          <w:szCs w:val="21"/>
        </w:rPr>
        <w:sectPr>
          <w:pgSz w:w="16838" w:h="11906" w:orient="landscape"/>
          <w:pgMar w:top="1800" w:right="1440" w:bottom="1800" w:left="1440" w:header="851" w:footer="992" w:gutter="0"/>
          <w:cols w:space="425" w:num="1"/>
          <w:docGrid w:type="lines" w:linePitch="326" w:charSpace="0"/>
        </w:sectPr>
      </w:pPr>
    </w:p>
    <w:p w14:paraId="3C282F35">
      <w:pPr>
        <w:ind w:firstLine="420"/>
        <w:rPr>
          <w:sz w:val="21"/>
          <w:szCs w:val="21"/>
        </w:rPr>
      </w:pPr>
    </w:p>
    <w:p w14:paraId="6031AB29">
      <w:pPr>
        <w:pStyle w:val="3"/>
        <w:ind w:firstLine="640"/>
        <w:rPr>
          <w:sz w:val="21"/>
          <w:szCs w:val="21"/>
        </w:rPr>
      </w:pPr>
      <w:r>
        <w:rPr>
          <w:rFonts w:hint="eastAsia"/>
          <w:sz w:val="21"/>
          <w:szCs w:val="21"/>
        </w:rPr>
        <w:t>项目招标范围</w:t>
      </w:r>
    </w:p>
    <w:p w14:paraId="3558688E">
      <w:pPr>
        <w:ind w:firstLine="480"/>
        <w:rPr>
          <w:sz w:val="21"/>
          <w:szCs w:val="21"/>
        </w:rPr>
      </w:pPr>
      <w:bookmarkStart w:id="5" w:name="_Hlk85199653"/>
      <w:r>
        <w:rPr>
          <w:rFonts w:hint="eastAsia"/>
          <w:sz w:val="21"/>
          <w:szCs w:val="21"/>
        </w:rPr>
        <w:t>投标人中标后需</w:t>
      </w:r>
      <w:bookmarkEnd w:id="5"/>
      <w:r>
        <w:rPr>
          <w:rFonts w:hint="eastAsia"/>
          <w:sz w:val="21"/>
          <w:szCs w:val="21"/>
        </w:rPr>
        <w:t>自合同签订之日起，提供为期</w:t>
      </w:r>
      <w:r>
        <w:rPr>
          <w:sz w:val="21"/>
          <w:szCs w:val="21"/>
        </w:rPr>
        <w:t>12</w:t>
      </w:r>
      <w:r>
        <w:rPr>
          <w:rFonts w:hint="eastAsia"/>
          <w:sz w:val="21"/>
          <w:szCs w:val="21"/>
        </w:rPr>
        <w:t>个自然月的数据运营服务。具体包括以下范围：</w:t>
      </w:r>
    </w:p>
    <w:p w14:paraId="164A3EFA">
      <w:pPr>
        <w:ind w:firstLine="480"/>
        <w:rPr>
          <w:sz w:val="21"/>
          <w:szCs w:val="21"/>
        </w:rPr>
      </w:pPr>
      <w:r>
        <w:rPr>
          <w:rFonts w:hint="eastAsia"/>
          <w:sz w:val="21"/>
          <w:szCs w:val="21"/>
        </w:rPr>
        <w:t>（一）基础服务类</w:t>
      </w:r>
    </w:p>
    <w:p w14:paraId="41136729">
      <w:pPr>
        <w:ind w:firstLine="480"/>
        <w:rPr>
          <w:color w:val="000000"/>
          <w:sz w:val="21"/>
          <w:szCs w:val="21"/>
        </w:rPr>
      </w:pPr>
      <w:r>
        <w:rPr>
          <w:rFonts w:hint="eastAsia"/>
          <w:color w:val="000000"/>
          <w:sz w:val="21"/>
          <w:szCs w:val="21"/>
        </w:rPr>
        <w:t>以数据的生命周期管理为基础，针对数据管理服务工序类服务，主要以数据和系统为对象进行服务计量。数据采集接入、数据抽取、数据标签、时空数据转换与处理、城市三维模型更新、三维模型数据处理、对于历史数据的归档及销毁、数据质量检查/异常处置、数据共享/开放/授权订阅服务、数据统计分析及报表服务、数据挖掘建模、数据分类分级检查、数据加密/脱敏等控制、作业调度。</w:t>
      </w:r>
    </w:p>
    <w:p w14:paraId="251F4165">
      <w:pPr>
        <w:ind w:firstLine="480"/>
        <w:rPr>
          <w:sz w:val="21"/>
          <w:szCs w:val="21"/>
        </w:rPr>
      </w:pPr>
      <w:r>
        <w:rPr>
          <w:rFonts w:hint="eastAsia"/>
          <w:sz w:val="21"/>
          <w:szCs w:val="21"/>
        </w:rPr>
        <w:t>（二）应用服务类</w:t>
      </w:r>
    </w:p>
    <w:p w14:paraId="0E07CC36">
      <w:pPr>
        <w:ind w:firstLine="480"/>
        <w:rPr>
          <w:sz w:val="21"/>
          <w:szCs w:val="21"/>
        </w:rPr>
      </w:pPr>
      <w:r>
        <w:rPr>
          <w:rFonts w:hint="eastAsia"/>
          <w:sz w:val="21"/>
          <w:szCs w:val="21"/>
        </w:rPr>
        <w:t>以重点数据工作为基础，一揽子承接需求对接、数据治理、质量检查、数据安全等工作，以整体投入进行服务计量。包括数据共享/开放运营接入服务、公共数据上链服务、主（专）题数据库建设、可视化展现服务、公共数据社会化应用服务、数据共享/开放授权运营服务、数据安全评估/审核服务。</w:t>
      </w:r>
    </w:p>
    <w:p w14:paraId="00942F93">
      <w:pPr>
        <w:ind w:firstLine="480"/>
        <w:rPr>
          <w:sz w:val="21"/>
          <w:szCs w:val="21"/>
        </w:rPr>
      </w:pPr>
      <w:r>
        <w:rPr>
          <w:rFonts w:hint="eastAsia"/>
          <w:sz w:val="21"/>
          <w:szCs w:val="21"/>
        </w:rPr>
        <w:t>（三）创新服务类</w:t>
      </w:r>
    </w:p>
    <w:p w14:paraId="222C8C13">
      <w:pPr>
        <w:ind w:firstLine="480"/>
        <w:rPr>
          <w:sz w:val="21"/>
          <w:szCs w:val="21"/>
        </w:rPr>
      </w:pPr>
      <w:r>
        <w:rPr>
          <w:rFonts w:hint="eastAsia"/>
          <w:sz w:val="21"/>
          <w:szCs w:val="21"/>
        </w:rPr>
        <w:t>围绕新技术试点应用和能力迭代升级，支撑新技术在数据工作中的创新应用。针对大数据资源平台应用场景建设和数据创新实验室工作，按照最终实现的功能规模进行计算，功能规模是指功能建设需求中涉及外部输入数、外部查询数、外部输岀数和内部逻辑文件数、外部接口文件数，按能力实现的复杂程度进行加权求和后进行计算。</w:t>
      </w:r>
    </w:p>
    <w:p w14:paraId="34879849">
      <w:pPr>
        <w:pStyle w:val="3"/>
        <w:ind w:firstLine="640"/>
        <w:rPr>
          <w:sz w:val="21"/>
          <w:szCs w:val="21"/>
        </w:rPr>
      </w:pPr>
      <w:r>
        <w:rPr>
          <w:rFonts w:hint="eastAsia"/>
          <w:sz w:val="21"/>
          <w:szCs w:val="21"/>
        </w:rPr>
        <w:t>服务期限和地点</w:t>
      </w:r>
    </w:p>
    <w:p w14:paraId="1B709C3D">
      <w:pPr>
        <w:ind w:firstLine="480"/>
        <w:rPr>
          <w:sz w:val="21"/>
          <w:szCs w:val="21"/>
        </w:rPr>
      </w:pPr>
      <w:r>
        <w:rPr>
          <w:rFonts w:hint="eastAsia"/>
          <w:sz w:val="21"/>
          <w:szCs w:val="21"/>
        </w:rPr>
        <w:t>服务期限：12个自然月</w:t>
      </w:r>
    </w:p>
    <w:p w14:paraId="66F85BCA">
      <w:pPr>
        <w:ind w:firstLine="480"/>
        <w:rPr>
          <w:sz w:val="21"/>
          <w:szCs w:val="21"/>
        </w:rPr>
      </w:pPr>
      <w:r>
        <w:rPr>
          <w:rFonts w:hint="eastAsia"/>
          <w:sz w:val="21"/>
          <w:szCs w:val="21"/>
        </w:rPr>
        <w:t>服务地点：青浦区政务服务中心</w:t>
      </w:r>
    </w:p>
    <w:p w14:paraId="5C3ECC8B">
      <w:pPr>
        <w:pStyle w:val="2"/>
        <w:rPr>
          <w:sz w:val="21"/>
          <w:szCs w:val="21"/>
        </w:rPr>
      </w:pPr>
      <w:r>
        <w:rPr>
          <w:rFonts w:hint="eastAsia"/>
          <w:sz w:val="21"/>
          <w:szCs w:val="21"/>
        </w:rPr>
        <w:t>项目技术需求</w:t>
      </w:r>
    </w:p>
    <w:p w14:paraId="0932375E">
      <w:pPr>
        <w:pStyle w:val="3"/>
        <w:ind w:firstLine="640"/>
        <w:rPr>
          <w:sz w:val="21"/>
          <w:szCs w:val="21"/>
        </w:rPr>
      </w:pPr>
      <w:r>
        <w:rPr>
          <w:rFonts w:hint="eastAsia"/>
          <w:sz w:val="21"/>
          <w:szCs w:val="21"/>
        </w:rPr>
        <w:t>运营服务项的具体要求</w:t>
      </w:r>
    </w:p>
    <w:p w14:paraId="7EDC8121">
      <w:pPr>
        <w:ind w:firstLine="480"/>
        <w:rPr>
          <w:sz w:val="21"/>
          <w:szCs w:val="21"/>
        </w:rPr>
      </w:pPr>
      <w:r>
        <w:rPr>
          <w:rFonts w:hint="eastAsia"/>
          <w:sz w:val="21"/>
          <w:szCs w:val="21"/>
        </w:rPr>
        <w:t>以下为各服务目录及交付物的具体要求，服务规范将根据项目实际情况定期进行更新，倘若存在冲突，则参照最新版本的服务规范予以实施。运营项工作的难度系数整体参考市相关目录。</w:t>
      </w:r>
    </w:p>
    <w:p w14:paraId="52926EC6">
      <w:pPr>
        <w:ind w:firstLine="480"/>
        <w:rPr>
          <w:sz w:val="21"/>
          <w:szCs w:val="21"/>
        </w:rPr>
      </w:pPr>
    </w:p>
    <w:p w14:paraId="788C70AF">
      <w:pPr>
        <w:pStyle w:val="4"/>
        <w:ind w:firstLine="643"/>
        <w:rPr>
          <w:sz w:val="21"/>
          <w:szCs w:val="21"/>
        </w:rPr>
      </w:pPr>
      <w:bookmarkStart w:id="6" w:name="_Toc28436"/>
      <w:bookmarkStart w:id="7" w:name="_Toc34292047"/>
      <w:r>
        <w:rPr>
          <w:rFonts w:hint="eastAsia"/>
          <w:sz w:val="21"/>
          <w:szCs w:val="21"/>
        </w:rPr>
        <w:t>基础服务类运营项服务</w:t>
      </w:r>
      <w:r>
        <w:rPr>
          <w:sz w:val="21"/>
          <w:szCs w:val="21"/>
        </w:rPr>
        <w:t>要求</w:t>
      </w:r>
      <w:bookmarkEnd w:id="6"/>
      <w:bookmarkEnd w:id="7"/>
    </w:p>
    <w:p w14:paraId="48705F51">
      <w:pPr>
        <w:ind w:firstLine="480"/>
        <w:rPr>
          <w:sz w:val="21"/>
          <w:szCs w:val="21"/>
        </w:rPr>
      </w:pPr>
      <w:r>
        <w:rPr>
          <w:rFonts w:hint="eastAsia"/>
          <w:sz w:val="21"/>
          <w:szCs w:val="21"/>
        </w:rPr>
        <w:t>本项服务工作主要负责对区大数据平台中各类基础库、主题库、专题库的数据资源治理工作。主要涉及了数据采集接入、数据抽取服务、数据标签、时空数据转换与处理、城市三维模型更新、三维模型数据处理、对于历史数据的归档及销毁、数据质量检查/异常处置、数据共享/开放/授权订阅服务、数据统计分析及报表服务、数据挖掘建模、数据分类分级检查、数据加密/脱敏等控制、作业调度等治理服务项（基础服务类运营涉及外部数据来源的，由招标方负责协调落实）</w:t>
      </w:r>
      <w:r>
        <w:rPr>
          <w:sz w:val="21"/>
          <w:szCs w:val="21"/>
        </w:rPr>
        <w:t>。主要</w:t>
      </w:r>
      <w:r>
        <w:rPr>
          <w:rFonts w:hint="eastAsia"/>
          <w:sz w:val="21"/>
          <w:szCs w:val="21"/>
        </w:rPr>
        <w:t>治理要求</w:t>
      </w:r>
      <w:r>
        <w:rPr>
          <w:sz w:val="21"/>
          <w:szCs w:val="21"/>
        </w:rPr>
        <w:t>如下：</w:t>
      </w:r>
    </w:p>
    <w:p w14:paraId="44C0584E">
      <w:pPr>
        <w:pStyle w:val="5"/>
        <w:ind w:firstLine="560"/>
        <w:rPr>
          <w:sz w:val="21"/>
          <w:szCs w:val="21"/>
        </w:rPr>
      </w:pPr>
      <w:r>
        <w:rPr>
          <w:sz w:val="21"/>
          <w:szCs w:val="21"/>
        </w:rPr>
        <w:t>数据采集接入</w:t>
      </w:r>
    </w:p>
    <w:p w14:paraId="66080056">
      <w:pPr>
        <w:ind w:firstLine="480"/>
        <w:rPr>
          <w:sz w:val="21"/>
          <w:szCs w:val="21"/>
        </w:rPr>
      </w:pPr>
      <w:r>
        <w:rPr>
          <w:rFonts w:hint="eastAsia"/>
          <w:sz w:val="21"/>
          <w:szCs w:val="21"/>
        </w:rPr>
        <w:t>数据采集接入是指为了保障区大数据平台（如一网通办、一网统管、人口专题库等）数据正常接入的运营服务工作，保障接入数据的</w:t>
      </w:r>
      <w:r>
        <w:rPr>
          <w:sz w:val="21"/>
          <w:szCs w:val="21"/>
        </w:rPr>
        <w:t>实时性、</w:t>
      </w:r>
      <w:r>
        <w:rPr>
          <w:rFonts w:hint="eastAsia"/>
          <w:sz w:val="21"/>
          <w:szCs w:val="21"/>
        </w:rPr>
        <w:t>有效性和完整性，需要分别面向库表数据采集和影像数据采集二个类别提供接入服务。数据采集接入工作分为数据编目和数据接入两部分。数据编目首先要对需要采集接入的数据进行业务理解和数据理解，然后再按照编目规范标准在编目系统中进行编目。数据接入工作包括了协议适配、接口开发、数据清洗、资源挂载等一系列将数据通过E</w:t>
      </w:r>
      <w:r>
        <w:rPr>
          <w:sz w:val="21"/>
          <w:szCs w:val="21"/>
        </w:rPr>
        <w:t>TL</w:t>
      </w:r>
      <w:r>
        <w:rPr>
          <w:rFonts w:hint="eastAsia"/>
          <w:sz w:val="21"/>
          <w:szCs w:val="21"/>
        </w:rPr>
        <w:t>汇集到大数据中心平台的过程。</w:t>
      </w:r>
    </w:p>
    <w:p w14:paraId="323FD029">
      <w:pPr>
        <w:ind w:firstLine="480"/>
        <w:rPr>
          <w:sz w:val="21"/>
          <w:szCs w:val="21"/>
        </w:rPr>
      </w:pPr>
      <w:r>
        <w:rPr>
          <w:rFonts w:hint="eastAsia"/>
          <w:sz w:val="21"/>
          <w:szCs w:val="21"/>
        </w:rPr>
        <w:t>在提供数据采集接入服务（库表数据采集）时，需按所接入数据的复杂度和工作类型，区分新接入数据和保鲜类数据的接入难度，取0.</w:t>
      </w:r>
      <w:r>
        <w:rPr>
          <w:sz w:val="21"/>
          <w:szCs w:val="21"/>
        </w:rPr>
        <w:t>1</w:t>
      </w:r>
      <w:r>
        <w:rPr>
          <w:rFonts w:hint="eastAsia"/>
          <w:sz w:val="21"/>
          <w:szCs w:val="21"/>
        </w:rPr>
        <w:t>和</w:t>
      </w:r>
      <w:r>
        <w:rPr>
          <w:sz w:val="21"/>
          <w:szCs w:val="21"/>
        </w:rPr>
        <w:t>1</w:t>
      </w:r>
      <w:r>
        <w:rPr>
          <w:rFonts w:hint="eastAsia"/>
          <w:sz w:val="21"/>
          <w:szCs w:val="21"/>
        </w:rPr>
        <w:t>的难度计算服务工作量；在估算运营服务单的总量时，需按照所接入数据的总量施行阶梯式计算，以0-</w:t>
      </w:r>
      <w:r>
        <w:rPr>
          <w:sz w:val="21"/>
          <w:szCs w:val="21"/>
        </w:rPr>
        <w:t>50</w:t>
      </w:r>
      <w:r>
        <w:rPr>
          <w:rFonts w:hint="eastAsia"/>
          <w:sz w:val="21"/>
          <w:szCs w:val="21"/>
        </w:rPr>
        <w:t>万条、5</w:t>
      </w:r>
      <w:r>
        <w:rPr>
          <w:sz w:val="21"/>
          <w:szCs w:val="21"/>
        </w:rPr>
        <w:t>0</w:t>
      </w:r>
      <w:r>
        <w:rPr>
          <w:rFonts w:hint="eastAsia"/>
          <w:sz w:val="21"/>
          <w:szCs w:val="21"/>
        </w:rPr>
        <w:t>-</w:t>
      </w:r>
      <w:r>
        <w:rPr>
          <w:sz w:val="21"/>
          <w:szCs w:val="21"/>
        </w:rPr>
        <w:t>150</w:t>
      </w:r>
      <w:r>
        <w:rPr>
          <w:rFonts w:hint="eastAsia"/>
          <w:sz w:val="21"/>
          <w:szCs w:val="21"/>
        </w:rPr>
        <w:t>万条、1</w:t>
      </w:r>
      <w:r>
        <w:rPr>
          <w:sz w:val="21"/>
          <w:szCs w:val="21"/>
        </w:rPr>
        <w:t>50</w:t>
      </w:r>
      <w:r>
        <w:rPr>
          <w:rFonts w:hint="eastAsia"/>
          <w:sz w:val="21"/>
          <w:szCs w:val="21"/>
        </w:rPr>
        <w:t>万条以上三档计算，并限定工单最高价服务价格。</w:t>
      </w:r>
    </w:p>
    <w:p w14:paraId="7F456A78">
      <w:pPr>
        <w:ind w:firstLine="480"/>
        <w:rPr>
          <w:sz w:val="21"/>
          <w:szCs w:val="21"/>
        </w:rPr>
      </w:pPr>
      <w:r>
        <w:rPr>
          <w:rFonts w:hint="eastAsia"/>
          <w:sz w:val="21"/>
          <w:szCs w:val="21"/>
        </w:rPr>
        <w:t>根据数据运营重点工作要求，输出物及标准包括但不限于：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14:paraId="3DCB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518" w:type="dxa"/>
          </w:tcPr>
          <w:p w14:paraId="5CAC6CB8">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w:t>
            </w:r>
          </w:p>
        </w:tc>
        <w:tc>
          <w:tcPr>
            <w:tcW w:w="6004" w:type="dxa"/>
          </w:tcPr>
          <w:p w14:paraId="7DBA3B4F">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输出物标准</w:t>
            </w:r>
          </w:p>
        </w:tc>
      </w:tr>
      <w:tr w14:paraId="11D9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779B598">
            <w:pPr>
              <w:pStyle w:val="39"/>
              <w:ind w:firstLine="0" w:firstLineChars="0"/>
              <w:rPr>
                <w:rFonts w:ascii="宋体" w:hAnsi="宋体"/>
                <w:sz w:val="21"/>
                <w:szCs w:val="21"/>
              </w:rPr>
            </w:pPr>
            <w:r>
              <w:rPr>
                <w:rFonts w:hint="eastAsia" w:ascii="宋体" w:hAnsi="宋体"/>
                <w:sz w:val="21"/>
                <w:szCs w:val="21"/>
              </w:rPr>
              <w:t>数据运营服务需求单</w:t>
            </w:r>
          </w:p>
        </w:tc>
        <w:tc>
          <w:tcPr>
            <w:tcW w:w="6004" w:type="dxa"/>
            <w:vAlign w:val="center"/>
          </w:tcPr>
          <w:p w14:paraId="5BEA6829">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009E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E2D0308">
            <w:pPr>
              <w:pStyle w:val="38"/>
              <w:ind w:firstLine="0" w:firstLineChars="0"/>
              <w:rPr>
                <w:rFonts w:ascii="宋体" w:hAnsi="宋体"/>
                <w:sz w:val="21"/>
                <w:szCs w:val="21"/>
              </w:rPr>
            </w:pPr>
            <w:r>
              <w:rPr>
                <w:rFonts w:hint="eastAsia" w:ascii="宋体" w:hAnsi="宋体"/>
                <w:sz w:val="21"/>
                <w:szCs w:val="21"/>
              </w:rPr>
              <w:t>数据资源目录</w:t>
            </w:r>
          </w:p>
        </w:tc>
        <w:tc>
          <w:tcPr>
            <w:tcW w:w="6004" w:type="dxa"/>
          </w:tcPr>
          <w:p w14:paraId="64285013">
            <w:pPr>
              <w:pStyle w:val="38"/>
              <w:ind w:firstLine="0" w:firstLineChars="0"/>
              <w:rPr>
                <w:rFonts w:ascii="宋体" w:hAnsi="宋体"/>
                <w:sz w:val="21"/>
                <w:szCs w:val="21"/>
              </w:rPr>
            </w:pPr>
            <w:r>
              <w:rPr>
                <w:rFonts w:hint="eastAsia" w:ascii="宋体" w:hAnsi="宋体"/>
                <w:sz w:val="21"/>
                <w:szCs w:val="21"/>
              </w:rPr>
              <w:t>目录符合编目规范、数据采集标准、符合系统的数据质量检查规则、符合系统校验规则；业务需求方审核通过并提供运营服务完工验收单。</w:t>
            </w:r>
          </w:p>
        </w:tc>
      </w:tr>
      <w:tr w14:paraId="3A93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90AECAA">
            <w:pPr>
              <w:pStyle w:val="38"/>
              <w:ind w:firstLine="0" w:firstLineChars="0"/>
              <w:rPr>
                <w:rFonts w:ascii="宋体" w:hAnsi="宋体"/>
                <w:sz w:val="21"/>
                <w:szCs w:val="21"/>
              </w:rPr>
            </w:pPr>
            <w:r>
              <w:rPr>
                <w:rFonts w:hint="eastAsia" w:ascii="宋体" w:hAnsi="宋体"/>
                <w:sz w:val="21"/>
                <w:szCs w:val="21"/>
              </w:rPr>
              <w:t>数据资源编目变更记录（如有）</w:t>
            </w:r>
          </w:p>
        </w:tc>
        <w:tc>
          <w:tcPr>
            <w:tcW w:w="6004" w:type="dxa"/>
          </w:tcPr>
          <w:p w14:paraId="1C4792BE">
            <w:pPr>
              <w:pStyle w:val="38"/>
              <w:ind w:firstLine="0" w:firstLineChars="0"/>
              <w:rPr>
                <w:rFonts w:ascii="宋体" w:hAnsi="宋体"/>
                <w:sz w:val="21"/>
                <w:szCs w:val="21"/>
              </w:rPr>
            </w:pPr>
            <w:r>
              <w:rPr>
                <w:rFonts w:hint="eastAsia" w:ascii="宋体" w:hAnsi="宋体"/>
                <w:sz w:val="21"/>
                <w:szCs w:val="21"/>
              </w:rPr>
              <w:t>附相关记录材料。</w:t>
            </w:r>
          </w:p>
        </w:tc>
      </w:tr>
      <w:tr w14:paraId="0E02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8" w:type="dxa"/>
          </w:tcPr>
          <w:p w14:paraId="704FA0B6">
            <w:pPr>
              <w:pStyle w:val="38"/>
              <w:ind w:firstLine="0" w:firstLineChars="0"/>
              <w:rPr>
                <w:rFonts w:ascii="宋体" w:hAnsi="宋体"/>
                <w:sz w:val="21"/>
                <w:szCs w:val="21"/>
              </w:rPr>
            </w:pPr>
            <w:r>
              <w:rPr>
                <w:rFonts w:hint="eastAsia" w:ascii="宋体" w:hAnsi="宋体"/>
                <w:sz w:val="21"/>
                <w:szCs w:val="21"/>
              </w:rPr>
              <w:t>采集数据日志</w:t>
            </w:r>
          </w:p>
        </w:tc>
        <w:tc>
          <w:tcPr>
            <w:tcW w:w="6004" w:type="dxa"/>
          </w:tcPr>
          <w:p w14:paraId="6F03E130">
            <w:pPr>
              <w:pStyle w:val="38"/>
              <w:ind w:firstLine="0" w:firstLineChars="0"/>
              <w:rPr>
                <w:rFonts w:ascii="宋体" w:hAnsi="宋体"/>
                <w:sz w:val="21"/>
                <w:szCs w:val="21"/>
              </w:rPr>
            </w:pPr>
            <w:r>
              <w:rPr>
                <w:rFonts w:hint="eastAsia" w:ascii="宋体" w:hAnsi="宋体"/>
                <w:sz w:val="21"/>
                <w:szCs w:val="21"/>
              </w:rPr>
              <w:t>日志包含但不限于以下字段：库表位置、运行状态、实际数量等。</w:t>
            </w:r>
          </w:p>
        </w:tc>
      </w:tr>
      <w:tr w14:paraId="234B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8" w:type="dxa"/>
          </w:tcPr>
          <w:p w14:paraId="702B9AF9">
            <w:pPr>
              <w:pStyle w:val="38"/>
              <w:ind w:firstLine="0" w:firstLineChars="0"/>
              <w:rPr>
                <w:rFonts w:ascii="宋体" w:hAnsi="宋体"/>
                <w:sz w:val="21"/>
                <w:szCs w:val="21"/>
              </w:rPr>
            </w:pPr>
            <w:r>
              <w:rPr>
                <w:rFonts w:hint="eastAsia" w:ascii="宋体" w:hAnsi="宋体"/>
                <w:sz w:val="21"/>
                <w:szCs w:val="21"/>
              </w:rPr>
              <w:t>数据采集清单</w:t>
            </w:r>
          </w:p>
        </w:tc>
        <w:tc>
          <w:tcPr>
            <w:tcW w:w="6004" w:type="dxa"/>
          </w:tcPr>
          <w:p w14:paraId="3A0765A8">
            <w:pPr>
              <w:pStyle w:val="38"/>
              <w:ind w:firstLine="0" w:firstLineChars="0"/>
              <w:rPr>
                <w:rFonts w:ascii="宋体" w:hAnsi="宋体"/>
                <w:sz w:val="21"/>
                <w:szCs w:val="21"/>
              </w:rPr>
            </w:pPr>
            <w:r>
              <w:rPr>
                <w:rFonts w:hint="eastAsia" w:ascii="宋体" w:hAnsi="宋体"/>
                <w:sz w:val="21"/>
                <w:szCs w:val="21"/>
              </w:rPr>
              <w:t>采集清单包括但不限于以下字段：数据源信息、数据库类型、采集频率、库名、表名等</w:t>
            </w:r>
          </w:p>
          <w:p w14:paraId="032E79A9">
            <w:pPr>
              <w:pStyle w:val="38"/>
              <w:ind w:firstLine="0" w:firstLineChars="0"/>
              <w:rPr>
                <w:rFonts w:ascii="宋体" w:hAnsi="宋体"/>
                <w:sz w:val="21"/>
                <w:szCs w:val="21"/>
              </w:rPr>
            </w:pPr>
            <w:r>
              <w:rPr>
                <w:rFonts w:hint="eastAsia" w:ascii="宋体" w:hAnsi="宋体"/>
                <w:sz w:val="21"/>
                <w:szCs w:val="21"/>
              </w:rPr>
              <w:t>影像数据采集清单包括但不限于以下字段：影像数据采集时间、分辨率、范围等字段</w:t>
            </w:r>
          </w:p>
        </w:tc>
      </w:tr>
      <w:tr w14:paraId="01DA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8" w:type="dxa"/>
          </w:tcPr>
          <w:p w14:paraId="35AB192F">
            <w:pPr>
              <w:pStyle w:val="38"/>
              <w:ind w:firstLine="0" w:firstLineChars="0"/>
              <w:rPr>
                <w:rFonts w:ascii="宋体" w:hAnsi="宋体"/>
                <w:sz w:val="21"/>
                <w:szCs w:val="21"/>
              </w:rPr>
            </w:pPr>
            <w:r>
              <w:rPr>
                <w:rFonts w:hint="eastAsia" w:ascii="宋体" w:hAnsi="宋体"/>
                <w:sz w:val="21"/>
                <w:szCs w:val="21"/>
              </w:rPr>
              <w:t>测试报告（如有）</w:t>
            </w:r>
          </w:p>
        </w:tc>
        <w:tc>
          <w:tcPr>
            <w:tcW w:w="6004" w:type="dxa"/>
          </w:tcPr>
          <w:p w14:paraId="567613EE">
            <w:pPr>
              <w:pStyle w:val="38"/>
              <w:ind w:firstLine="0" w:firstLineChars="0"/>
              <w:rPr>
                <w:rFonts w:ascii="宋体" w:hAnsi="宋体"/>
                <w:sz w:val="21"/>
                <w:szCs w:val="21"/>
              </w:rPr>
            </w:pPr>
            <w:r>
              <w:rPr>
                <w:rFonts w:hint="eastAsia" w:ascii="宋体" w:hAnsi="宋体"/>
                <w:sz w:val="21"/>
                <w:szCs w:val="21"/>
              </w:rPr>
              <w:t>测试目的、测试环境、测试方法、影像数据质量检查报告等</w:t>
            </w:r>
          </w:p>
        </w:tc>
      </w:tr>
    </w:tbl>
    <w:p w14:paraId="2354F8C5">
      <w:pPr>
        <w:pStyle w:val="38"/>
        <w:ind w:firstLine="420"/>
        <w:rPr>
          <w:rFonts w:ascii="宋体" w:hAnsi="宋体"/>
          <w:sz w:val="21"/>
          <w:szCs w:val="21"/>
        </w:rPr>
      </w:pPr>
    </w:p>
    <w:p w14:paraId="693400A4">
      <w:pPr>
        <w:pStyle w:val="5"/>
        <w:ind w:firstLine="560"/>
        <w:rPr>
          <w:sz w:val="21"/>
          <w:szCs w:val="21"/>
        </w:rPr>
      </w:pPr>
      <w:r>
        <w:rPr>
          <w:sz w:val="21"/>
          <w:szCs w:val="21"/>
        </w:rPr>
        <w:t>数据抽取</w:t>
      </w:r>
      <w:r>
        <w:rPr>
          <w:rFonts w:hint="eastAsia"/>
          <w:sz w:val="21"/>
          <w:szCs w:val="21"/>
        </w:rPr>
        <w:t>服务</w:t>
      </w:r>
    </w:p>
    <w:p w14:paraId="210B5342">
      <w:pPr>
        <w:ind w:firstLine="480"/>
        <w:rPr>
          <w:sz w:val="21"/>
          <w:szCs w:val="21"/>
        </w:rPr>
      </w:pPr>
      <w:r>
        <w:rPr>
          <w:rFonts w:hint="eastAsia"/>
          <w:sz w:val="21"/>
          <w:szCs w:val="21"/>
        </w:rPr>
        <w:t>数据抽取是指日常数据抽取任务维护，保障各信息系统数据及时准确地汇聚，对于有问题的抽取任务进行处置调整。该项工作包含了：实时数据/流式数据抽取、空间数据抽取、批数据抽取等工作，需按照数据抽取工作和应用需求进行集中统一管理，并根据抽取数据对象的不同数据属性、不同业务领域、不同授权场景抽从源数据库取数据到指定目标库中，并完成数据清洗加工等工作。</w:t>
      </w:r>
    </w:p>
    <w:p w14:paraId="1C6BA4F8">
      <w:pPr>
        <w:ind w:firstLine="480"/>
        <w:rPr>
          <w:sz w:val="21"/>
          <w:szCs w:val="21"/>
        </w:rPr>
      </w:pPr>
      <w:r>
        <w:rPr>
          <w:rFonts w:hint="eastAsia"/>
          <w:sz w:val="21"/>
          <w:szCs w:val="21"/>
        </w:rPr>
        <w:t>数据抽取任务定时运行，保障数据准确无误地抽取并保存，能够为后续数据应用分析、主题库建设和数据共享环节提供数据支撑。</w:t>
      </w:r>
    </w:p>
    <w:p w14:paraId="1F53A4C7">
      <w:pPr>
        <w:pStyle w:val="38"/>
        <w:numPr>
          <w:ilvl w:val="0"/>
          <w:numId w:val="4"/>
        </w:numPr>
        <w:ind w:firstLineChars="0"/>
        <w:rPr>
          <w:rFonts w:ascii="宋体" w:hAnsi="宋体"/>
          <w:sz w:val="21"/>
          <w:szCs w:val="21"/>
        </w:rPr>
      </w:pPr>
      <w:r>
        <w:rPr>
          <w:rFonts w:hint="eastAsia" w:ascii="宋体" w:hAnsi="宋体"/>
          <w:sz w:val="21"/>
          <w:szCs w:val="21"/>
        </w:rPr>
        <w:t>实时数据/流式数据抽取</w:t>
      </w:r>
    </w:p>
    <w:p w14:paraId="78CBCCC5">
      <w:pPr>
        <w:ind w:firstLine="480"/>
        <w:rPr>
          <w:sz w:val="21"/>
          <w:szCs w:val="21"/>
        </w:rPr>
      </w:pPr>
      <w:r>
        <w:rPr>
          <w:rFonts w:hint="eastAsia"/>
          <w:sz w:val="21"/>
          <w:szCs w:val="21"/>
        </w:rPr>
        <w:t>在实时数据/流式数据抽取服务估算运营服务单的总量时，需按所抽取数据目标表的复杂度，取0.</w:t>
      </w:r>
      <w:r>
        <w:rPr>
          <w:sz w:val="21"/>
          <w:szCs w:val="21"/>
        </w:rPr>
        <w:t>5</w:t>
      </w:r>
      <w:r>
        <w:rPr>
          <w:rFonts w:hint="eastAsia"/>
          <w:sz w:val="21"/>
          <w:szCs w:val="21"/>
        </w:rPr>
        <w:t>-</w:t>
      </w:r>
      <w:r>
        <w:rPr>
          <w:sz w:val="21"/>
          <w:szCs w:val="21"/>
        </w:rPr>
        <w:t>1</w:t>
      </w:r>
      <w:r>
        <w:rPr>
          <w:rFonts w:hint="eastAsia"/>
          <w:sz w:val="21"/>
          <w:szCs w:val="21"/>
        </w:rPr>
        <w:t>的难度计算服务工作量；需按照所接入数据的总量施行阶梯式计算，以0-</w:t>
      </w:r>
      <w:r>
        <w:rPr>
          <w:sz w:val="21"/>
          <w:szCs w:val="21"/>
        </w:rPr>
        <w:t>50</w:t>
      </w:r>
      <w:r>
        <w:rPr>
          <w:rFonts w:hint="eastAsia"/>
          <w:sz w:val="21"/>
          <w:szCs w:val="21"/>
        </w:rPr>
        <w:t>万条、</w:t>
      </w:r>
      <w:r>
        <w:rPr>
          <w:sz w:val="21"/>
          <w:szCs w:val="21"/>
        </w:rPr>
        <w:t>50</w:t>
      </w:r>
      <w:r>
        <w:rPr>
          <w:rFonts w:hint="eastAsia"/>
          <w:sz w:val="21"/>
          <w:szCs w:val="21"/>
        </w:rPr>
        <w:t>-</w:t>
      </w:r>
      <w:r>
        <w:rPr>
          <w:sz w:val="21"/>
          <w:szCs w:val="21"/>
        </w:rPr>
        <w:t>150</w:t>
      </w:r>
      <w:r>
        <w:rPr>
          <w:rFonts w:hint="eastAsia"/>
          <w:sz w:val="21"/>
          <w:szCs w:val="21"/>
        </w:rPr>
        <w:t>万条、1</w:t>
      </w:r>
      <w:r>
        <w:rPr>
          <w:sz w:val="21"/>
          <w:szCs w:val="21"/>
        </w:rPr>
        <w:t>50</w:t>
      </w:r>
      <w:r>
        <w:rPr>
          <w:rFonts w:hint="eastAsia"/>
          <w:sz w:val="21"/>
          <w:szCs w:val="21"/>
        </w:rPr>
        <w:t>万条以上三档计算，并限定工单最高价服务价格。</w:t>
      </w:r>
    </w:p>
    <w:p w14:paraId="4ED533AC">
      <w:pPr>
        <w:pStyle w:val="38"/>
        <w:numPr>
          <w:ilvl w:val="0"/>
          <w:numId w:val="4"/>
        </w:numPr>
        <w:ind w:firstLineChars="0"/>
        <w:rPr>
          <w:rFonts w:ascii="宋体" w:hAnsi="宋体"/>
          <w:sz w:val="21"/>
          <w:szCs w:val="21"/>
        </w:rPr>
      </w:pPr>
      <w:r>
        <w:rPr>
          <w:rFonts w:hint="eastAsia" w:ascii="宋体" w:hAnsi="宋体"/>
          <w:sz w:val="21"/>
          <w:szCs w:val="21"/>
        </w:rPr>
        <w:t>空间数据抽取</w:t>
      </w:r>
    </w:p>
    <w:p w14:paraId="34A88ACF">
      <w:pPr>
        <w:ind w:firstLine="480"/>
        <w:rPr>
          <w:sz w:val="21"/>
          <w:szCs w:val="21"/>
        </w:rPr>
      </w:pPr>
      <w:r>
        <w:rPr>
          <w:rFonts w:hint="eastAsia"/>
          <w:sz w:val="21"/>
          <w:szCs w:val="21"/>
        </w:rPr>
        <w:t>在空间数据抽取服务估算运营服务单的总量时，需按照所接入数据的总量施行阶梯式计算，以0-</w:t>
      </w:r>
      <w:r>
        <w:rPr>
          <w:sz w:val="21"/>
          <w:szCs w:val="21"/>
        </w:rPr>
        <w:t>1000</w:t>
      </w:r>
      <w:r>
        <w:rPr>
          <w:rFonts w:hint="eastAsia"/>
          <w:sz w:val="21"/>
          <w:szCs w:val="21"/>
        </w:rPr>
        <w:t>万坐标点、</w:t>
      </w:r>
      <w:r>
        <w:rPr>
          <w:sz w:val="21"/>
          <w:szCs w:val="21"/>
        </w:rPr>
        <w:t>1000</w:t>
      </w:r>
      <w:r>
        <w:rPr>
          <w:rFonts w:hint="eastAsia"/>
          <w:sz w:val="21"/>
          <w:szCs w:val="21"/>
        </w:rPr>
        <w:t>-</w:t>
      </w:r>
      <w:r>
        <w:rPr>
          <w:sz w:val="21"/>
          <w:szCs w:val="21"/>
        </w:rPr>
        <w:t>10000</w:t>
      </w:r>
      <w:r>
        <w:rPr>
          <w:rFonts w:hint="eastAsia"/>
          <w:sz w:val="21"/>
          <w:szCs w:val="21"/>
        </w:rPr>
        <w:t>万坐标点、1</w:t>
      </w:r>
      <w:r>
        <w:rPr>
          <w:sz w:val="21"/>
          <w:szCs w:val="21"/>
        </w:rPr>
        <w:t>0000</w:t>
      </w:r>
      <w:r>
        <w:rPr>
          <w:rFonts w:hint="eastAsia"/>
          <w:sz w:val="21"/>
          <w:szCs w:val="21"/>
        </w:rPr>
        <w:t>万坐标点以上三档计算，并限定工单最高价服务价格。</w:t>
      </w:r>
    </w:p>
    <w:p w14:paraId="5CCF6722">
      <w:pPr>
        <w:pStyle w:val="38"/>
        <w:numPr>
          <w:ilvl w:val="0"/>
          <w:numId w:val="4"/>
        </w:numPr>
        <w:ind w:firstLineChars="0"/>
        <w:rPr>
          <w:rFonts w:ascii="宋体" w:hAnsi="宋体"/>
          <w:sz w:val="21"/>
          <w:szCs w:val="21"/>
        </w:rPr>
      </w:pPr>
      <w:r>
        <w:rPr>
          <w:rFonts w:hint="eastAsia" w:ascii="宋体" w:hAnsi="宋体"/>
          <w:sz w:val="21"/>
          <w:szCs w:val="21"/>
        </w:rPr>
        <w:t>批数据抽取</w:t>
      </w:r>
    </w:p>
    <w:p w14:paraId="711168DB">
      <w:pPr>
        <w:ind w:firstLine="480"/>
        <w:rPr>
          <w:sz w:val="21"/>
          <w:szCs w:val="21"/>
        </w:rPr>
      </w:pPr>
      <w:r>
        <w:rPr>
          <w:rFonts w:hint="eastAsia"/>
          <w:sz w:val="21"/>
          <w:szCs w:val="21"/>
        </w:rPr>
        <w:t>在提供批数据抽取服务时，需按所抽取数据目标表的复杂度，取0.</w:t>
      </w:r>
      <w:r>
        <w:rPr>
          <w:sz w:val="21"/>
          <w:szCs w:val="21"/>
        </w:rPr>
        <w:t>5</w:t>
      </w:r>
      <w:r>
        <w:rPr>
          <w:rFonts w:hint="eastAsia"/>
          <w:sz w:val="21"/>
          <w:szCs w:val="21"/>
        </w:rPr>
        <w:t>-</w:t>
      </w:r>
      <w:r>
        <w:rPr>
          <w:sz w:val="21"/>
          <w:szCs w:val="21"/>
        </w:rPr>
        <w:t>1</w:t>
      </w:r>
      <w:r>
        <w:rPr>
          <w:rFonts w:hint="eastAsia"/>
          <w:sz w:val="21"/>
          <w:szCs w:val="21"/>
        </w:rPr>
        <w:t>的难度计算服务工作量；在批数据抽取服务估算运营服务单的总量时，需按照所接入数据的总量施行阶梯式计算，以0-</w:t>
      </w:r>
      <w:r>
        <w:rPr>
          <w:sz w:val="21"/>
          <w:szCs w:val="21"/>
        </w:rPr>
        <w:t>50</w:t>
      </w:r>
      <w:r>
        <w:rPr>
          <w:rFonts w:hint="eastAsia"/>
          <w:sz w:val="21"/>
          <w:szCs w:val="21"/>
        </w:rPr>
        <w:t>万条、</w:t>
      </w:r>
      <w:r>
        <w:rPr>
          <w:sz w:val="21"/>
          <w:szCs w:val="21"/>
        </w:rPr>
        <w:t>50</w:t>
      </w:r>
      <w:r>
        <w:rPr>
          <w:rFonts w:hint="eastAsia"/>
          <w:sz w:val="21"/>
          <w:szCs w:val="21"/>
        </w:rPr>
        <w:t>-</w:t>
      </w:r>
      <w:r>
        <w:rPr>
          <w:sz w:val="21"/>
          <w:szCs w:val="21"/>
        </w:rPr>
        <w:t>150</w:t>
      </w:r>
      <w:r>
        <w:rPr>
          <w:rFonts w:hint="eastAsia"/>
          <w:sz w:val="21"/>
          <w:szCs w:val="21"/>
        </w:rPr>
        <w:t>万条、1</w:t>
      </w:r>
      <w:r>
        <w:rPr>
          <w:sz w:val="21"/>
          <w:szCs w:val="21"/>
        </w:rPr>
        <w:t>50</w:t>
      </w:r>
      <w:r>
        <w:rPr>
          <w:rFonts w:hint="eastAsia"/>
          <w:sz w:val="21"/>
          <w:szCs w:val="21"/>
        </w:rPr>
        <w:t>万条以上三档计算，并限定工单最高价服务价格。</w:t>
      </w:r>
    </w:p>
    <w:p w14:paraId="68CBC070">
      <w:pPr>
        <w:ind w:firstLine="480"/>
        <w:rPr>
          <w:sz w:val="21"/>
          <w:szCs w:val="21"/>
        </w:rPr>
      </w:pPr>
      <w:r>
        <w:rPr>
          <w:rFonts w:hint="eastAsia"/>
          <w:sz w:val="21"/>
          <w:szCs w:val="21"/>
        </w:rPr>
        <w:t>根据数据运营重点工作要求，输出物及标准包括但不限于：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5781"/>
      </w:tblGrid>
      <w:tr w14:paraId="4691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7" w:type="dxa"/>
            <w:vAlign w:val="center"/>
          </w:tcPr>
          <w:p w14:paraId="19F9A9FD">
            <w:pPr>
              <w:ind w:firstLine="422"/>
              <w:jc w:val="center"/>
              <w:rPr>
                <w:b/>
                <w:bCs/>
                <w:sz w:val="21"/>
                <w:szCs w:val="21"/>
              </w:rPr>
            </w:pPr>
            <w:r>
              <w:rPr>
                <w:rFonts w:hint="eastAsia"/>
                <w:b/>
                <w:bCs/>
                <w:sz w:val="21"/>
                <w:szCs w:val="21"/>
              </w:rPr>
              <w:t>输出物</w:t>
            </w:r>
          </w:p>
        </w:tc>
        <w:tc>
          <w:tcPr>
            <w:tcW w:w="5781" w:type="dxa"/>
            <w:vAlign w:val="center"/>
          </w:tcPr>
          <w:p w14:paraId="28625A24">
            <w:pPr>
              <w:ind w:firstLine="422"/>
              <w:jc w:val="center"/>
              <w:rPr>
                <w:b/>
                <w:bCs/>
                <w:sz w:val="21"/>
                <w:szCs w:val="21"/>
              </w:rPr>
            </w:pPr>
            <w:r>
              <w:rPr>
                <w:rFonts w:hint="eastAsia"/>
                <w:b/>
                <w:bCs/>
                <w:sz w:val="21"/>
                <w:szCs w:val="21"/>
              </w:rPr>
              <w:t>输出物标准</w:t>
            </w:r>
          </w:p>
        </w:tc>
      </w:tr>
      <w:tr w14:paraId="1A40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14:paraId="4BB0B0C3">
            <w:pPr>
              <w:pStyle w:val="39"/>
              <w:ind w:firstLine="0" w:firstLineChars="0"/>
              <w:rPr>
                <w:rFonts w:ascii="宋体" w:hAnsi="宋体"/>
                <w:sz w:val="21"/>
                <w:szCs w:val="21"/>
              </w:rPr>
            </w:pPr>
            <w:r>
              <w:rPr>
                <w:rFonts w:hint="eastAsia" w:ascii="宋体" w:hAnsi="宋体"/>
                <w:sz w:val="21"/>
                <w:szCs w:val="21"/>
              </w:rPr>
              <w:t>数据运营服务需求单</w:t>
            </w:r>
          </w:p>
        </w:tc>
        <w:tc>
          <w:tcPr>
            <w:tcW w:w="5781" w:type="dxa"/>
            <w:vAlign w:val="center"/>
          </w:tcPr>
          <w:p w14:paraId="1EB7DC74">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1D11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14:paraId="1133EBAD">
            <w:pPr>
              <w:pStyle w:val="38"/>
              <w:ind w:firstLine="0" w:firstLineChars="0"/>
              <w:rPr>
                <w:rFonts w:ascii="宋体" w:hAnsi="宋体"/>
                <w:sz w:val="21"/>
                <w:szCs w:val="21"/>
              </w:rPr>
            </w:pPr>
            <w:r>
              <w:rPr>
                <w:rFonts w:hint="eastAsia" w:ascii="宋体" w:hAnsi="宋体"/>
                <w:sz w:val="21"/>
                <w:szCs w:val="21"/>
              </w:rPr>
              <w:t>抽取流程设计</w:t>
            </w:r>
          </w:p>
        </w:tc>
        <w:tc>
          <w:tcPr>
            <w:tcW w:w="5781" w:type="dxa"/>
          </w:tcPr>
          <w:p w14:paraId="17050699">
            <w:pPr>
              <w:pStyle w:val="38"/>
              <w:ind w:firstLine="0" w:firstLineChars="0"/>
              <w:rPr>
                <w:rFonts w:ascii="宋体" w:hAnsi="宋体"/>
                <w:sz w:val="21"/>
                <w:szCs w:val="21"/>
              </w:rPr>
            </w:pPr>
            <w:r>
              <w:rPr>
                <w:rFonts w:hint="eastAsia" w:ascii="宋体" w:hAnsi="宋体"/>
                <w:sz w:val="21"/>
                <w:szCs w:val="21"/>
              </w:rPr>
              <w:t>符合数据运营工作实际需求，符合数据抽取相关规范，业务需求方审核通过并提供运营服务完工验收单。</w:t>
            </w:r>
          </w:p>
        </w:tc>
      </w:tr>
      <w:tr w14:paraId="7703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14:paraId="16085A54">
            <w:pPr>
              <w:pStyle w:val="38"/>
              <w:ind w:firstLine="0" w:firstLineChars="0"/>
              <w:rPr>
                <w:rFonts w:ascii="宋体" w:hAnsi="宋体"/>
                <w:sz w:val="21"/>
                <w:szCs w:val="21"/>
              </w:rPr>
            </w:pPr>
            <w:r>
              <w:rPr>
                <w:rFonts w:hint="eastAsia" w:ascii="宋体" w:hAnsi="宋体"/>
                <w:sz w:val="21"/>
                <w:szCs w:val="21"/>
              </w:rPr>
              <w:t>抽取流程变更记录</w:t>
            </w:r>
          </w:p>
        </w:tc>
        <w:tc>
          <w:tcPr>
            <w:tcW w:w="5781" w:type="dxa"/>
          </w:tcPr>
          <w:p w14:paraId="686FD729">
            <w:pPr>
              <w:pStyle w:val="38"/>
              <w:ind w:firstLine="0" w:firstLineChars="0"/>
              <w:rPr>
                <w:rFonts w:ascii="宋体" w:hAnsi="宋体"/>
                <w:sz w:val="21"/>
                <w:szCs w:val="21"/>
              </w:rPr>
            </w:pPr>
            <w:r>
              <w:rPr>
                <w:rFonts w:hint="eastAsia" w:ascii="宋体" w:hAnsi="宋体"/>
                <w:sz w:val="21"/>
                <w:szCs w:val="21"/>
              </w:rPr>
              <w:t>附相关记录材料。</w:t>
            </w:r>
          </w:p>
        </w:tc>
      </w:tr>
      <w:tr w14:paraId="7C92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14:paraId="37F24192">
            <w:pPr>
              <w:pStyle w:val="38"/>
              <w:ind w:firstLine="0" w:firstLineChars="0"/>
              <w:rPr>
                <w:rFonts w:ascii="宋体" w:hAnsi="宋体"/>
                <w:sz w:val="21"/>
                <w:szCs w:val="21"/>
              </w:rPr>
            </w:pPr>
            <w:r>
              <w:rPr>
                <w:rFonts w:hint="eastAsia" w:ascii="宋体" w:hAnsi="宋体"/>
                <w:sz w:val="21"/>
                <w:szCs w:val="21"/>
              </w:rPr>
              <w:t>优化分析报告（如有）</w:t>
            </w:r>
          </w:p>
        </w:tc>
        <w:tc>
          <w:tcPr>
            <w:tcW w:w="5781" w:type="dxa"/>
          </w:tcPr>
          <w:p w14:paraId="082667A5">
            <w:pPr>
              <w:pStyle w:val="38"/>
              <w:ind w:firstLine="0" w:firstLineChars="0"/>
              <w:rPr>
                <w:rFonts w:ascii="宋体" w:hAnsi="宋体"/>
                <w:sz w:val="21"/>
                <w:szCs w:val="21"/>
              </w:rPr>
            </w:pPr>
            <w:r>
              <w:rPr>
                <w:rFonts w:hint="eastAsia" w:ascii="宋体" w:hAnsi="宋体"/>
                <w:sz w:val="21"/>
                <w:szCs w:val="21"/>
              </w:rPr>
              <w:t>符合优化分析报告模板，附相关记录材料。</w:t>
            </w:r>
          </w:p>
        </w:tc>
      </w:tr>
      <w:tr w14:paraId="4F6E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14:paraId="7E2EDC3B">
            <w:pPr>
              <w:pStyle w:val="38"/>
              <w:ind w:firstLine="0" w:firstLineChars="0"/>
              <w:rPr>
                <w:rFonts w:ascii="宋体" w:hAnsi="宋体"/>
                <w:sz w:val="21"/>
                <w:szCs w:val="21"/>
              </w:rPr>
            </w:pPr>
            <w:r>
              <w:rPr>
                <w:rFonts w:hint="eastAsia" w:ascii="宋体" w:hAnsi="宋体"/>
                <w:sz w:val="21"/>
                <w:szCs w:val="21"/>
              </w:rPr>
              <w:t>抽取数据日志</w:t>
            </w:r>
          </w:p>
        </w:tc>
        <w:tc>
          <w:tcPr>
            <w:tcW w:w="5781" w:type="dxa"/>
          </w:tcPr>
          <w:p w14:paraId="3561A342">
            <w:pPr>
              <w:pStyle w:val="38"/>
              <w:ind w:firstLine="0" w:firstLineChars="0"/>
              <w:rPr>
                <w:rFonts w:ascii="宋体" w:hAnsi="宋体"/>
                <w:sz w:val="21"/>
                <w:szCs w:val="21"/>
              </w:rPr>
            </w:pPr>
            <w:r>
              <w:rPr>
                <w:rFonts w:hint="eastAsia" w:ascii="宋体" w:hAnsi="宋体"/>
                <w:sz w:val="21"/>
                <w:szCs w:val="21"/>
              </w:rPr>
              <w:t>日志包含但不限于以下信息：库表位置、运行状态、实际数量等。</w:t>
            </w:r>
          </w:p>
        </w:tc>
      </w:tr>
      <w:tr w14:paraId="3FA2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14:paraId="628B3684">
            <w:pPr>
              <w:pStyle w:val="38"/>
              <w:ind w:firstLine="0" w:firstLineChars="0"/>
              <w:rPr>
                <w:rFonts w:ascii="宋体" w:hAnsi="宋体"/>
                <w:sz w:val="21"/>
                <w:szCs w:val="21"/>
              </w:rPr>
            </w:pPr>
            <w:r>
              <w:rPr>
                <w:rFonts w:hint="eastAsia" w:ascii="宋体" w:hAnsi="宋体"/>
                <w:sz w:val="21"/>
                <w:szCs w:val="21"/>
              </w:rPr>
              <w:t>月总结报告</w:t>
            </w:r>
          </w:p>
        </w:tc>
        <w:tc>
          <w:tcPr>
            <w:tcW w:w="5781" w:type="dxa"/>
          </w:tcPr>
          <w:p w14:paraId="218617CE">
            <w:pPr>
              <w:pStyle w:val="38"/>
              <w:ind w:firstLine="0" w:firstLineChars="0"/>
              <w:rPr>
                <w:rFonts w:ascii="宋体" w:hAnsi="宋体"/>
                <w:sz w:val="21"/>
                <w:szCs w:val="21"/>
              </w:rPr>
            </w:pPr>
            <w:r>
              <w:rPr>
                <w:rFonts w:hint="eastAsia" w:ascii="宋体" w:hAnsi="宋体"/>
                <w:sz w:val="21"/>
                <w:szCs w:val="21"/>
              </w:rPr>
              <w:t>月汇总报告内容至少包含下述绩效指标：</w:t>
            </w:r>
          </w:p>
          <w:p w14:paraId="057DBD74">
            <w:pPr>
              <w:ind w:firstLine="420"/>
              <w:rPr>
                <w:sz w:val="21"/>
                <w:szCs w:val="21"/>
              </w:rPr>
            </w:pPr>
            <w:r>
              <w:rPr>
                <w:rFonts w:hint="eastAsia"/>
                <w:sz w:val="21"/>
                <w:szCs w:val="21"/>
              </w:rPr>
              <w:t>业务描述、数据源信息、数据准确性、数据完整性、数据一致性、数据安全性、异常分析等内容</w:t>
            </w:r>
          </w:p>
        </w:tc>
      </w:tr>
      <w:tr w14:paraId="76C1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14:paraId="27183158">
            <w:pPr>
              <w:pStyle w:val="38"/>
              <w:ind w:firstLine="0" w:firstLineChars="0"/>
              <w:rPr>
                <w:rFonts w:ascii="宋体" w:hAnsi="宋体"/>
                <w:sz w:val="21"/>
                <w:szCs w:val="21"/>
              </w:rPr>
            </w:pPr>
            <w:r>
              <w:rPr>
                <w:rFonts w:hint="eastAsia" w:ascii="宋体" w:hAnsi="宋体"/>
                <w:sz w:val="21"/>
                <w:szCs w:val="21"/>
              </w:rPr>
              <w:t>数据抽取清单</w:t>
            </w:r>
          </w:p>
        </w:tc>
        <w:tc>
          <w:tcPr>
            <w:tcW w:w="5781" w:type="dxa"/>
          </w:tcPr>
          <w:p w14:paraId="3728CCB8">
            <w:pPr>
              <w:pStyle w:val="38"/>
              <w:ind w:firstLine="0" w:firstLineChars="0"/>
              <w:rPr>
                <w:rFonts w:ascii="宋体" w:hAnsi="宋体"/>
                <w:sz w:val="21"/>
                <w:szCs w:val="21"/>
              </w:rPr>
            </w:pPr>
            <w:r>
              <w:rPr>
                <w:rFonts w:hint="eastAsia" w:ascii="宋体" w:hAnsi="宋体"/>
                <w:sz w:val="21"/>
                <w:szCs w:val="21"/>
              </w:rPr>
              <w:t>抽取清单包括但不限于以下字段：数据源信息、数据库类型、采集频率、库名、表名等</w:t>
            </w:r>
          </w:p>
        </w:tc>
      </w:tr>
    </w:tbl>
    <w:p w14:paraId="1EE42381">
      <w:pPr>
        <w:tabs>
          <w:tab w:val="left" w:pos="1134"/>
        </w:tabs>
        <w:ind w:firstLine="420"/>
        <w:rPr>
          <w:sz w:val="21"/>
          <w:szCs w:val="21"/>
        </w:rPr>
      </w:pPr>
    </w:p>
    <w:p w14:paraId="4AE2BB90">
      <w:pPr>
        <w:pStyle w:val="5"/>
        <w:ind w:firstLine="560"/>
        <w:rPr>
          <w:sz w:val="21"/>
          <w:szCs w:val="21"/>
        </w:rPr>
      </w:pPr>
      <w:r>
        <w:rPr>
          <w:sz w:val="21"/>
          <w:szCs w:val="21"/>
        </w:rPr>
        <w:t>数据</w:t>
      </w:r>
      <w:r>
        <w:rPr>
          <w:rFonts w:hint="eastAsia"/>
          <w:sz w:val="21"/>
          <w:szCs w:val="21"/>
        </w:rPr>
        <w:t>标签</w:t>
      </w:r>
      <w:r>
        <w:rPr>
          <w:sz w:val="21"/>
          <w:szCs w:val="21"/>
        </w:rPr>
        <w:t>服务</w:t>
      </w:r>
    </w:p>
    <w:p w14:paraId="6C6B4D42">
      <w:pPr>
        <w:ind w:firstLine="480"/>
        <w:rPr>
          <w:sz w:val="21"/>
          <w:szCs w:val="21"/>
        </w:rPr>
      </w:pPr>
      <w:r>
        <w:rPr>
          <w:rFonts w:hint="eastAsia"/>
          <w:sz w:val="21"/>
          <w:szCs w:val="21"/>
        </w:rPr>
        <w:t>数据标签服务面向结构化数据、文本数据、音频数据、视频数据、流媒体等格式数据进行内容释义。根据</w:t>
      </w:r>
      <w:r>
        <w:rPr>
          <w:sz w:val="21"/>
          <w:szCs w:val="21"/>
        </w:rPr>
        <w:t>已定义</w:t>
      </w:r>
      <w:r>
        <w:rPr>
          <w:rFonts w:hint="eastAsia"/>
          <w:sz w:val="21"/>
          <w:szCs w:val="21"/>
        </w:rPr>
        <w:t>内容分级分类标准、数据标识的需求场景、需要标识的数据业务分类、需要标识的数据安全分类、需标注的数据范围，对数据内容进行分类分级管理，以挖掘数据资产价值，提升数据资产复用性和数据管理精细化程度。</w:t>
      </w:r>
    </w:p>
    <w:p w14:paraId="795E9D9D">
      <w:pPr>
        <w:ind w:firstLine="480"/>
        <w:rPr>
          <w:sz w:val="21"/>
          <w:szCs w:val="21"/>
        </w:rPr>
      </w:pPr>
      <w:r>
        <w:rPr>
          <w:rFonts w:hint="eastAsia"/>
          <w:sz w:val="21"/>
          <w:szCs w:val="21"/>
        </w:rPr>
        <w:t>在估算数据标签服务运营服务单的总量时，需按照所运营服务数据标签的设定数量施行阶梯式计算，以0-</w:t>
      </w:r>
      <w:r>
        <w:rPr>
          <w:sz w:val="21"/>
          <w:szCs w:val="21"/>
        </w:rPr>
        <w:t>100</w:t>
      </w:r>
      <w:r>
        <w:rPr>
          <w:rFonts w:hint="eastAsia"/>
          <w:sz w:val="21"/>
          <w:szCs w:val="21"/>
        </w:rPr>
        <w:t>个标签、</w:t>
      </w:r>
      <w:r>
        <w:rPr>
          <w:sz w:val="21"/>
          <w:szCs w:val="21"/>
        </w:rPr>
        <w:t>100</w:t>
      </w:r>
      <w:r>
        <w:rPr>
          <w:rFonts w:hint="eastAsia"/>
          <w:sz w:val="21"/>
          <w:szCs w:val="21"/>
        </w:rPr>
        <w:t>-</w:t>
      </w:r>
      <w:r>
        <w:rPr>
          <w:sz w:val="21"/>
          <w:szCs w:val="21"/>
        </w:rPr>
        <w:t>300</w:t>
      </w:r>
      <w:r>
        <w:rPr>
          <w:rFonts w:hint="eastAsia"/>
          <w:sz w:val="21"/>
          <w:szCs w:val="21"/>
        </w:rPr>
        <w:t>个标签、3</w:t>
      </w:r>
      <w:r>
        <w:rPr>
          <w:sz w:val="21"/>
          <w:szCs w:val="21"/>
        </w:rPr>
        <w:t>00</w:t>
      </w:r>
      <w:r>
        <w:rPr>
          <w:rFonts w:hint="eastAsia"/>
          <w:sz w:val="21"/>
          <w:szCs w:val="21"/>
        </w:rPr>
        <w:t>个标签以上三档计算，并限定工单最高价服务价格。</w:t>
      </w:r>
    </w:p>
    <w:p w14:paraId="662FD010">
      <w:pPr>
        <w:ind w:firstLine="480"/>
        <w:rPr>
          <w:sz w:val="21"/>
          <w:szCs w:val="21"/>
        </w:rPr>
      </w:pPr>
      <w:r>
        <w:rPr>
          <w:rFonts w:hint="eastAsia"/>
          <w:sz w:val="21"/>
          <w:szCs w:val="21"/>
        </w:rPr>
        <w:t>根据数据运营重点工作要求，输出物及标准包括但不限于：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3900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496C3B7">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w:t>
            </w:r>
          </w:p>
        </w:tc>
        <w:tc>
          <w:tcPr>
            <w:tcW w:w="5466" w:type="dxa"/>
          </w:tcPr>
          <w:p w14:paraId="66BF2B4B">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输出物标准</w:t>
            </w:r>
          </w:p>
        </w:tc>
      </w:tr>
      <w:tr w14:paraId="5FE9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0D4FA9E6">
            <w:pPr>
              <w:pStyle w:val="39"/>
              <w:ind w:firstLine="0" w:firstLineChars="0"/>
              <w:rPr>
                <w:rFonts w:ascii="宋体" w:hAnsi="宋体"/>
                <w:sz w:val="21"/>
                <w:szCs w:val="21"/>
              </w:rPr>
            </w:pPr>
            <w:r>
              <w:rPr>
                <w:rFonts w:hint="eastAsia" w:ascii="宋体" w:hAnsi="宋体"/>
                <w:sz w:val="21"/>
                <w:szCs w:val="21"/>
              </w:rPr>
              <w:t>数据运营服务需求单</w:t>
            </w:r>
          </w:p>
        </w:tc>
        <w:tc>
          <w:tcPr>
            <w:tcW w:w="5466" w:type="dxa"/>
            <w:vAlign w:val="center"/>
          </w:tcPr>
          <w:p w14:paraId="6A4ABF85">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331F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A7465E7">
            <w:pPr>
              <w:pStyle w:val="39"/>
              <w:ind w:firstLine="0" w:firstLineChars="0"/>
              <w:jc w:val="left"/>
              <w:rPr>
                <w:rFonts w:ascii="宋体" w:hAnsi="宋体"/>
                <w:sz w:val="21"/>
                <w:szCs w:val="21"/>
              </w:rPr>
            </w:pPr>
            <w:r>
              <w:rPr>
                <w:rFonts w:hint="eastAsia" w:ascii="宋体" w:hAnsi="宋体"/>
                <w:sz w:val="21"/>
                <w:szCs w:val="21"/>
              </w:rPr>
              <w:t>数据标签规则</w:t>
            </w:r>
          </w:p>
        </w:tc>
        <w:tc>
          <w:tcPr>
            <w:tcW w:w="5466" w:type="dxa"/>
          </w:tcPr>
          <w:p w14:paraId="3BF1F460">
            <w:pPr>
              <w:pStyle w:val="39"/>
              <w:ind w:firstLine="0" w:firstLineChars="0"/>
              <w:rPr>
                <w:rFonts w:ascii="宋体" w:hAnsi="宋体"/>
                <w:sz w:val="21"/>
                <w:szCs w:val="21"/>
              </w:rPr>
            </w:pPr>
            <w:r>
              <w:rPr>
                <w:rFonts w:hint="eastAsia" w:ascii="宋体" w:hAnsi="宋体"/>
                <w:sz w:val="21"/>
                <w:szCs w:val="21"/>
              </w:rPr>
              <w:t>规则符合数据分级以及相关重点工作的要求。</w:t>
            </w:r>
          </w:p>
        </w:tc>
      </w:tr>
      <w:tr w14:paraId="0E75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DFA9241">
            <w:pPr>
              <w:pStyle w:val="39"/>
              <w:ind w:firstLine="0" w:firstLineChars="0"/>
              <w:jc w:val="left"/>
              <w:rPr>
                <w:rFonts w:ascii="宋体" w:hAnsi="宋体"/>
                <w:sz w:val="21"/>
                <w:szCs w:val="21"/>
              </w:rPr>
            </w:pPr>
            <w:r>
              <w:rPr>
                <w:rFonts w:hint="eastAsia" w:ascii="宋体" w:hAnsi="宋体"/>
                <w:sz w:val="21"/>
                <w:szCs w:val="21"/>
              </w:rPr>
              <w:t>数据标签日志/记录</w:t>
            </w:r>
          </w:p>
        </w:tc>
        <w:tc>
          <w:tcPr>
            <w:tcW w:w="5466" w:type="dxa"/>
          </w:tcPr>
          <w:p w14:paraId="11D9BAE2">
            <w:pPr>
              <w:pStyle w:val="39"/>
              <w:ind w:firstLine="0" w:firstLineChars="0"/>
              <w:jc w:val="left"/>
              <w:rPr>
                <w:rFonts w:ascii="宋体" w:hAnsi="宋体"/>
                <w:sz w:val="21"/>
                <w:szCs w:val="21"/>
              </w:rPr>
            </w:pPr>
            <w:r>
              <w:rPr>
                <w:rFonts w:hint="eastAsia" w:ascii="宋体" w:hAnsi="宋体"/>
                <w:sz w:val="21"/>
                <w:szCs w:val="21"/>
              </w:rPr>
              <w:t>日志包含但不限于以下字段，含标签内容、数量等。</w:t>
            </w:r>
          </w:p>
        </w:tc>
      </w:tr>
      <w:tr w14:paraId="33C6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07C32A6">
            <w:pPr>
              <w:pStyle w:val="39"/>
              <w:ind w:firstLine="0" w:firstLineChars="0"/>
              <w:jc w:val="left"/>
              <w:rPr>
                <w:rFonts w:ascii="宋体" w:hAnsi="宋体"/>
                <w:sz w:val="21"/>
                <w:szCs w:val="21"/>
              </w:rPr>
            </w:pPr>
            <w:r>
              <w:rPr>
                <w:rFonts w:hint="eastAsia" w:ascii="宋体" w:hAnsi="宋体"/>
                <w:sz w:val="21"/>
                <w:szCs w:val="21"/>
              </w:rPr>
              <w:t>数据标签测试方案（如有）</w:t>
            </w:r>
          </w:p>
        </w:tc>
        <w:tc>
          <w:tcPr>
            <w:tcW w:w="5466" w:type="dxa"/>
          </w:tcPr>
          <w:p w14:paraId="489EC2B1">
            <w:pPr>
              <w:pStyle w:val="39"/>
              <w:ind w:firstLine="0" w:firstLineChars="0"/>
              <w:jc w:val="left"/>
              <w:rPr>
                <w:rFonts w:ascii="宋体" w:hAnsi="宋体"/>
                <w:sz w:val="21"/>
                <w:szCs w:val="21"/>
              </w:rPr>
            </w:pPr>
            <w:r>
              <w:rPr>
                <w:rFonts w:hint="eastAsia" w:ascii="宋体" w:hAnsi="宋体"/>
                <w:sz w:val="21"/>
                <w:szCs w:val="21"/>
              </w:rPr>
              <w:t>涵盖测试手段、测试数据、测试策略、测试通过准则等内容</w:t>
            </w:r>
          </w:p>
        </w:tc>
      </w:tr>
      <w:tr w14:paraId="4FBF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8398E34">
            <w:pPr>
              <w:pStyle w:val="39"/>
              <w:ind w:firstLine="0" w:firstLineChars="0"/>
              <w:jc w:val="left"/>
              <w:rPr>
                <w:rFonts w:ascii="宋体" w:hAnsi="宋体"/>
                <w:sz w:val="21"/>
                <w:szCs w:val="21"/>
              </w:rPr>
            </w:pPr>
            <w:r>
              <w:rPr>
                <w:rFonts w:hint="eastAsia" w:ascii="宋体" w:hAnsi="宋体"/>
                <w:sz w:val="21"/>
                <w:szCs w:val="21"/>
              </w:rPr>
              <w:t>数据标签测试记录（如有）</w:t>
            </w:r>
          </w:p>
        </w:tc>
        <w:tc>
          <w:tcPr>
            <w:tcW w:w="5466" w:type="dxa"/>
          </w:tcPr>
          <w:p w14:paraId="23D93B42">
            <w:pPr>
              <w:pStyle w:val="39"/>
              <w:ind w:firstLine="0" w:firstLineChars="0"/>
              <w:jc w:val="left"/>
              <w:rPr>
                <w:rFonts w:ascii="宋体" w:hAnsi="宋体"/>
                <w:sz w:val="21"/>
                <w:szCs w:val="21"/>
              </w:rPr>
            </w:pPr>
            <w:r>
              <w:rPr>
                <w:rFonts w:hint="eastAsia" w:ascii="宋体" w:hAnsi="宋体"/>
                <w:sz w:val="21"/>
                <w:szCs w:val="21"/>
              </w:rPr>
              <w:t>涵盖测试目的、测试人员、测试范围、测试环境、测试方法、测试案列等内容</w:t>
            </w:r>
          </w:p>
        </w:tc>
      </w:tr>
      <w:tr w14:paraId="73C2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932202D">
            <w:pPr>
              <w:pStyle w:val="39"/>
              <w:ind w:firstLine="0" w:firstLineChars="0"/>
              <w:jc w:val="left"/>
              <w:rPr>
                <w:rFonts w:ascii="宋体" w:hAnsi="宋体"/>
                <w:sz w:val="21"/>
                <w:szCs w:val="21"/>
              </w:rPr>
            </w:pPr>
            <w:r>
              <w:rPr>
                <w:rFonts w:hint="eastAsia" w:ascii="宋体" w:hAnsi="宋体"/>
                <w:sz w:val="21"/>
                <w:szCs w:val="21"/>
              </w:rPr>
              <w:t>数据标准测试报告（如有）</w:t>
            </w:r>
          </w:p>
        </w:tc>
        <w:tc>
          <w:tcPr>
            <w:tcW w:w="5466" w:type="dxa"/>
          </w:tcPr>
          <w:p w14:paraId="536A8032">
            <w:pPr>
              <w:pStyle w:val="39"/>
              <w:ind w:firstLine="0" w:firstLineChars="0"/>
              <w:jc w:val="left"/>
              <w:rPr>
                <w:rFonts w:ascii="宋体" w:hAnsi="宋体"/>
                <w:sz w:val="21"/>
                <w:szCs w:val="21"/>
              </w:rPr>
            </w:pPr>
            <w:r>
              <w:rPr>
                <w:rFonts w:hint="eastAsia" w:ascii="宋体" w:hAnsi="宋体"/>
                <w:sz w:val="21"/>
                <w:szCs w:val="21"/>
              </w:rPr>
              <w:t>从测试环境、测试方法、业务场景等各个维度对此轮测试进行总结</w:t>
            </w:r>
          </w:p>
        </w:tc>
      </w:tr>
    </w:tbl>
    <w:p w14:paraId="4088CB3C">
      <w:pPr>
        <w:tabs>
          <w:tab w:val="left" w:pos="1134"/>
        </w:tabs>
        <w:ind w:firstLine="420"/>
        <w:rPr>
          <w:sz w:val="21"/>
          <w:szCs w:val="21"/>
        </w:rPr>
      </w:pPr>
    </w:p>
    <w:p w14:paraId="26D9DC8E">
      <w:pPr>
        <w:pStyle w:val="5"/>
        <w:ind w:firstLine="560"/>
        <w:rPr>
          <w:sz w:val="21"/>
          <w:szCs w:val="21"/>
        </w:rPr>
      </w:pPr>
      <w:r>
        <w:rPr>
          <w:rFonts w:hint="eastAsia"/>
          <w:sz w:val="21"/>
          <w:szCs w:val="21"/>
        </w:rPr>
        <w:t>时空数据转换与处理</w:t>
      </w:r>
    </w:p>
    <w:p w14:paraId="1298317C">
      <w:pPr>
        <w:ind w:firstLine="480"/>
        <w:rPr>
          <w:sz w:val="21"/>
          <w:szCs w:val="21"/>
        </w:rPr>
      </w:pPr>
      <w:r>
        <w:rPr>
          <w:rFonts w:hint="eastAsia"/>
          <w:sz w:val="21"/>
          <w:szCs w:val="21"/>
        </w:rPr>
        <w:t>时空数据转换与处理服务主要面向时空数据信息，提供数据坐标转换、格式转换等服务工作。根据时空数据的定义标准，对时空数据的坐标、格式进行转换服务工作，为业务需求提供专业化的时空数据需求。</w:t>
      </w:r>
    </w:p>
    <w:p w14:paraId="340CA381">
      <w:pPr>
        <w:ind w:firstLine="480"/>
        <w:rPr>
          <w:sz w:val="21"/>
          <w:szCs w:val="21"/>
        </w:rPr>
      </w:pPr>
      <w:r>
        <w:rPr>
          <w:rFonts w:hint="eastAsia"/>
          <w:sz w:val="21"/>
          <w:szCs w:val="21"/>
        </w:rPr>
        <w:t>在估算时空数据转换与处理服务单的总量时，需按照所接入数据的总量施行阶梯式计算，以0-</w:t>
      </w:r>
      <w:r>
        <w:rPr>
          <w:sz w:val="21"/>
          <w:szCs w:val="21"/>
        </w:rPr>
        <w:t>50</w:t>
      </w:r>
      <w:r>
        <w:rPr>
          <w:rFonts w:hint="eastAsia"/>
          <w:sz w:val="21"/>
          <w:szCs w:val="21"/>
        </w:rPr>
        <w:t>万坐标点、</w:t>
      </w:r>
      <w:r>
        <w:rPr>
          <w:sz w:val="21"/>
          <w:szCs w:val="21"/>
        </w:rPr>
        <w:t>50</w:t>
      </w:r>
      <w:r>
        <w:rPr>
          <w:rFonts w:hint="eastAsia"/>
          <w:sz w:val="21"/>
          <w:szCs w:val="21"/>
        </w:rPr>
        <w:t>-</w:t>
      </w:r>
      <w:r>
        <w:rPr>
          <w:sz w:val="21"/>
          <w:szCs w:val="21"/>
        </w:rPr>
        <w:t>100</w:t>
      </w:r>
      <w:r>
        <w:rPr>
          <w:rFonts w:hint="eastAsia"/>
          <w:sz w:val="21"/>
          <w:szCs w:val="21"/>
        </w:rPr>
        <w:t>万坐标点、1</w:t>
      </w:r>
      <w:r>
        <w:rPr>
          <w:sz w:val="21"/>
          <w:szCs w:val="21"/>
        </w:rPr>
        <w:t>00</w:t>
      </w:r>
      <w:r>
        <w:rPr>
          <w:rFonts w:hint="eastAsia"/>
          <w:sz w:val="21"/>
          <w:szCs w:val="21"/>
        </w:rPr>
        <w:t>万坐标点以上三档计算，并限定工单最高价服务价格。</w:t>
      </w:r>
    </w:p>
    <w:p w14:paraId="5FA527D7">
      <w:pPr>
        <w:ind w:firstLine="480"/>
        <w:rPr>
          <w:sz w:val="21"/>
          <w:szCs w:val="21"/>
        </w:rPr>
      </w:pPr>
      <w:r>
        <w:rPr>
          <w:rFonts w:hint="eastAsia"/>
          <w:sz w:val="21"/>
          <w:szCs w:val="21"/>
        </w:rPr>
        <w:t>根据数据运营重点工作要求，输出物及标准包括但不限于：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7A3B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405B73F">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w:t>
            </w:r>
          </w:p>
        </w:tc>
        <w:tc>
          <w:tcPr>
            <w:tcW w:w="5466" w:type="dxa"/>
          </w:tcPr>
          <w:p w14:paraId="45D85F96">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输出物标准</w:t>
            </w:r>
          </w:p>
        </w:tc>
      </w:tr>
      <w:tr w14:paraId="4BF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12266666">
            <w:pPr>
              <w:pStyle w:val="39"/>
              <w:ind w:firstLine="0" w:firstLineChars="0"/>
              <w:rPr>
                <w:rFonts w:ascii="宋体" w:hAnsi="宋体"/>
                <w:sz w:val="21"/>
                <w:szCs w:val="21"/>
              </w:rPr>
            </w:pPr>
            <w:r>
              <w:rPr>
                <w:rFonts w:hint="eastAsia" w:ascii="宋体" w:hAnsi="宋体"/>
                <w:sz w:val="21"/>
                <w:szCs w:val="21"/>
              </w:rPr>
              <w:t>数据运营服务需求单</w:t>
            </w:r>
          </w:p>
        </w:tc>
        <w:tc>
          <w:tcPr>
            <w:tcW w:w="5466" w:type="dxa"/>
            <w:vAlign w:val="center"/>
          </w:tcPr>
          <w:p w14:paraId="30F600E7">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00A7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14587AA">
            <w:pPr>
              <w:pStyle w:val="39"/>
              <w:ind w:firstLine="0" w:firstLineChars="0"/>
              <w:rPr>
                <w:rFonts w:ascii="宋体" w:hAnsi="宋体"/>
                <w:sz w:val="21"/>
                <w:szCs w:val="21"/>
              </w:rPr>
            </w:pPr>
            <w:r>
              <w:rPr>
                <w:rFonts w:hint="eastAsia" w:ascii="宋体" w:hAnsi="宋体"/>
                <w:sz w:val="21"/>
                <w:szCs w:val="21"/>
              </w:rPr>
              <w:t>时空数据转换与处理流程设计</w:t>
            </w:r>
          </w:p>
        </w:tc>
        <w:tc>
          <w:tcPr>
            <w:tcW w:w="5466" w:type="dxa"/>
          </w:tcPr>
          <w:p w14:paraId="411531B2">
            <w:pPr>
              <w:pStyle w:val="39"/>
              <w:ind w:firstLine="0" w:firstLineChars="0"/>
              <w:rPr>
                <w:rFonts w:ascii="宋体" w:hAnsi="宋体"/>
                <w:sz w:val="21"/>
                <w:szCs w:val="21"/>
              </w:rPr>
            </w:pPr>
            <w:r>
              <w:rPr>
                <w:rFonts w:hint="eastAsia" w:ascii="宋体" w:hAnsi="宋体"/>
                <w:sz w:val="21"/>
                <w:szCs w:val="21"/>
              </w:rPr>
              <w:t>符合数据运营工作实际需求，符合数据转换处理相关规范和数据对账方案。</w:t>
            </w:r>
          </w:p>
        </w:tc>
      </w:tr>
      <w:tr w14:paraId="06C5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886DAAA">
            <w:pPr>
              <w:pStyle w:val="39"/>
              <w:ind w:firstLine="0" w:firstLineChars="0"/>
              <w:rPr>
                <w:rFonts w:ascii="宋体" w:hAnsi="宋体"/>
                <w:sz w:val="21"/>
                <w:szCs w:val="21"/>
              </w:rPr>
            </w:pPr>
            <w:r>
              <w:rPr>
                <w:rFonts w:hint="eastAsia" w:ascii="宋体" w:hAnsi="宋体"/>
                <w:sz w:val="21"/>
                <w:szCs w:val="21"/>
              </w:rPr>
              <w:t>时空数据转换与处理工作记录</w:t>
            </w:r>
          </w:p>
        </w:tc>
        <w:tc>
          <w:tcPr>
            <w:tcW w:w="5466" w:type="dxa"/>
          </w:tcPr>
          <w:p w14:paraId="7329F2DD">
            <w:pPr>
              <w:pStyle w:val="39"/>
              <w:ind w:firstLine="0" w:firstLineChars="0"/>
              <w:rPr>
                <w:rFonts w:ascii="宋体" w:hAnsi="宋体"/>
                <w:sz w:val="21"/>
                <w:szCs w:val="21"/>
              </w:rPr>
            </w:pPr>
            <w:r>
              <w:rPr>
                <w:rFonts w:hint="eastAsia" w:ascii="宋体" w:hAnsi="宋体"/>
                <w:sz w:val="21"/>
                <w:szCs w:val="21"/>
              </w:rPr>
              <w:t>附相关记录材料。</w:t>
            </w:r>
          </w:p>
        </w:tc>
      </w:tr>
      <w:tr w14:paraId="2973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AB9B242">
            <w:pPr>
              <w:pStyle w:val="38"/>
              <w:ind w:firstLine="0" w:firstLineChars="0"/>
              <w:rPr>
                <w:rFonts w:ascii="宋体" w:hAnsi="宋体"/>
                <w:sz w:val="21"/>
                <w:szCs w:val="21"/>
              </w:rPr>
            </w:pPr>
            <w:r>
              <w:rPr>
                <w:rFonts w:hint="eastAsia" w:ascii="宋体" w:hAnsi="宋体"/>
                <w:sz w:val="21"/>
                <w:szCs w:val="21"/>
              </w:rPr>
              <w:t>时空数据转换成果报告（如有）</w:t>
            </w:r>
          </w:p>
        </w:tc>
        <w:tc>
          <w:tcPr>
            <w:tcW w:w="5466" w:type="dxa"/>
          </w:tcPr>
          <w:p w14:paraId="33DF2CA4">
            <w:pPr>
              <w:pStyle w:val="38"/>
              <w:ind w:firstLine="0" w:firstLineChars="0"/>
              <w:rPr>
                <w:rFonts w:ascii="宋体" w:hAnsi="宋体"/>
                <w:sz w:val="21"/>
                <w:szCs w:val="21"/>
              </w:rPr>
            </w:pPr>
            <w:r>
              <w:rPr>
                <w:rFonts w:hint="eastAsia" w:ascii="宋体" w:hAnsi="宋体"/>
                <w:sz w:val="21"/>
                <w:szCs w:val="21"/>
              </w:rPr>
              <w:t>时空数据转换的成果总结报告模板，附相关记录材料。</w:t>
            </w:r>
          </w:p>
        </w:tc>
      </w:tr>
      <w:tr w14:paraId="141B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18E288D">
            <w:pPr>
              <w:pStyle w:val="39"/>
              <w:ind w:firstLine="0" w:firstLineChars="0"/>
              <w:rPr>
                <w:rFonts w:ascii="宋体" w:hAnsi="宋体"/>
                <w:sz w:val="21"/>
                <w:szCs w:val="21"/>
              </w:rPr>
            </w:pPr>
            <w:r>
              <w:rPr>
                <w:rFonts w:hint="eastAsia" w:ascii="宋体" w:hAnsi="宋体"/>
                <w:sz w:val="21"/>
                <w:szCs w:val="21"/>
              </w:rPr>
              <w:t>时空数据转换与处理数据日志</w:t>
            </w:r>
          </w:p>
        </w:tc>
        <w:tc>
          <w:tcPr>
            <w:tcW w:w="5466" w:type="dxa"/>
          </w:tcPr>
          <w:p w14:paraId="46652331">
            <w:pPr>
              <w:pStyle w:val="39"/>
              <w:ind w:firstLine="0" w:firstLineChars="0"/>
              <w:rPr>
                <w:rFonts w:ascii="宋体" w:hAnsi="宋体"/>
                <w:sz w:val="21"/>
                <w:szCs w:val="21"/>
              </w:rPr>
            </w:pPr>
            <w:r>
              <w:rPr>
                <w:rFonts w:hint="eastAsia" w:ascii="宋体" w:hAnsi="宋体"/>
                <w:sz w:val="21"/>
                <w:szCs w:val="21"/>
              </w:rPr>
              <w:t>日志包含但不限于以下信息：库表位置、运行状态、转换规则、转化量、成果交付量和数据对账记录等。</w:t>
            </w:r>
          </w:p>
        </w:tc>
      </w:tr>
    </w:tbl>
    <w:p w14:paraId="48749677">
      <w:pPr>
        <w:tabs>
          <w:tab w:val="left" w:pos="1134"/>
        </w:tabs>
        <w:ind w:firstLine="420"/>
        <w:rPr>
          <w:sz w:val="21"/>
          <w:szCs w:val="21"/>
        </w:rPr>
      </w:pPr>
    </w:p>
    <w:p w14:paraId="2657E5A3">
      <w:pPr>
        <w:pStyle w:val="5"/>
        <w:ind w:firstLine="560"/>
        <w:rPr>
          <w:sz w:val="21"/>
          <w:szCs w:val="21"/>
        </w:rPr>
      </w:pPr>
      <w:r>
        <w:rPr>
          <w:rFonts w:hint="eastAsia"/>
          <w:sz w:val="21"/>
          <w:szCs w:val="21"/>
        </w:rPr>
        <w:t>城市三维模型更新</w:t>
      </w:r>
    </w:p>
    <w:p w14:paraId="4BA76A28">
      <w:pPr>
        <w:ind w:firstLine="480"/>
        <w:rPr>
          <w:sz w:val="21"/>
          <w:szCs w:val="21"/>
        </w:rPr>
      </w:pPr>
      <w:r>
        <w:rPr>
          <w:rFonts w:hint="eastAsia"/>
          <w:sz w:val="21"/>
          <w:szCs w:val="21"/>
        </w:rPr>
        <w:t>城市三维模型数据更新服务，主要包括：资料准备、纹理映射编辑、市政设施部件模型采集、数据检查、成果输出。</w:t>
      </w:r>
    </w:p>
    <w:p w14:paraId="19BA7825">
      <w:pPr>
        <w:ind w:firstLine="480"/>
        <w:rPr>
          <w:sz w:val="21"/>
          <w:szCs w:val="21"/>
        </w:rPr>
      </w:pPr>
      <w:r>
        <w:rPr>
          <w:rFonts w:hint="eastAsia"/>
          <w:sz w:val="21"/>
          <w:szCs w:val="21"/>
        </w:rPr>
        <w:t>根据数据运营重点工作要求，输出物及标准包括但不限于：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59E7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5EF5BED">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w:t>
            </w:r>
          </w:p>
        </w:tc>
        <w:tc>
          <w:tcPr>
            <w:tcW w:w="5466" w:type="dxa"/>
          </w:tcPr>
          <w:p w14:paraId="377DD7BA">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输出物标准</w:t>
            </w:r>
          </w:p>
        </w:tc>
      </w:tr>
      <w:tr w14:paraId="7426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088D4205">
            <w:pPr>
              <w:pStyle w:val="39"/>
              <w:ind w:firstLine="0" w:firstLineChars="0"/>
              <w:rPr>
                <w:rFonts w:ascii="宋体" w:hAnsi="宋体"/>
                <w:sz w:val="21"/>
                <w:szCs w:val="21"/>
              </w:rPr>
            </w:pPr>
            <w:r>
              <w:rPr>
                <w:rFonts w:hint="eastAsia" w:ascii="宋体" w:hAnsi="宋体"/>
                <w:sz w:val="21"/>
                <w:szCs w:val="21"/>
              </w:rPr>
              <w:t>数据运营服务需求单</w:t>
            </w:r>
          </w:p>
        </w:tc>
        <w:tc>
          <w:tcPr>
            <w:tcW w:w="5466" w:type="dxa"/>
            <w:vAlign w:val="center"/>
          </w:tcPr>
          <w:p w14:paraId="4B1CFB8C">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78C6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15EE52DA">
            <w:pPr>
              <w:pStyle w:val="39"/>
              <w:ind w:firstLine="0" w:firstLineChars="0"/>
              <w:rPr>
                <w:rFonts w:ascii="宋体" w:hAnsi="宋体"/>
                <w:sz w:val="21"/>
                <w:szCs w:val="21"/>
              </w:rPr>
            </w:pPr>
            <w:r>
              <w:rPr>
                <w:rFonts w:hint="eastAsia" w:ascii="宋体" w:hAnsi="宋体"/>
                <w:sz w:val="21"/>
                <w:szCs w:val="21"/>
              </w:rPr>
              <w:t>模型设计文档</w:t>
            </w:r>
          </w:p>
        </w:tc>
        <w:tc>
          <w:tcPr>
            <w:tcW w:w="5466" w:type="dxa"/>
            <w:vAlign w:val="center"/>
          </w:tcPr>
          <w:p w14:paraId="337D58B6">
            <w:pPr>
              <w:pStyle w:val="39"/>
              <w:ind w:firstLine="0" w:firstLineChars="0"/>
              <w:rPr>
                <w:rFonts w:ascii="宋体" w:hAnsi="宋体"/>
                <w:sz w:val="21"/>
                <w:szCs w:val="21"/>
              </w:rPr>
            </w:pPr>
            <w:r>
              <w:rPr>
                <w:rFonts w:hint="eastAsia" w:ascii="宋体" w:hAnsi="宋体"/>
                <w:sz w:val="21"/>
                <w:szCs w:val="21"/>
              </w:rPr>
              <w:t>提供含模型更新设计文档，要求符合数据运营工作实际需求，符合数据标准和公共数据模型设计规范，并说明模型更新时间、范围、颗粒度、采集、数据标准等。</w:t>
            </w:r>
          </w:p>
        </w:tc>
      </w:tr>
      <w:tr w14:paraId="506B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E4C559A">
            <w:pPr>
              <w:pStyle w:val="39"/>
              <w:ind w:firstLine="0" w:firstLineChars="0"/>
              <w:rPr>
                <w:rFonts w:ascii="宋体" w:hAnsi="宋体"/>
                <w:sz w:val="21"/>
                <w:szCs w:val="21"/>
              </w:rPr>
            </w:pPr>
            <w:r>
              <w:rPr>
                <w:rFonts w:hint="eastAsia" w:ascii="宋体" w:hAnsi="宋体"/>
                <w:sz w:val="21"/>
                <w:szCs w:val="21"/>
              </w:rPr>
              <w:t>城市三围模型</w:t>
            </w:r>
            <w:r>
              <w:rPr>
                <w:rFonts w:hint="eastAsia"/>
                <w:sz w:val="21"/>
                <w:szCs w:val="21"/>
              </w:rPr>
              <w:t>质量检查报告</w:t>
            </w:r>
          </w:p>
        </w:tc>
        <w:tc>
          <w:tcPr>
            <w:tcW w:w="5466" w:type="dxa"/>
          </w:tcPr>
          <w:p w14:paraId="4762D09D">
            <w:pPr>
              <w:pStyle w:val="39"/>
              <w:ind w:firstLine="0" w:firstLineChars="0"/>
              <w:rPr>
                <w:rFonts w:ascii="宋体" w:hAnsi="宋体"/>
                <w:sz w:val="21"/>
                <w:szCs w:val="21"/>
              </w:rPr>
            </w:pPr>
            <w:r>
              <w:rPr>
                <w:rFonts w:hint="eastAsia"/>
                <w:sz w:val="21"/>
                <w:szCs w:val="21"/>
              </w:rPr>
              <w:t>提供的报告内容包含但不限于以下内容：数据精度检查、纹理检查、数据完整度检查等</w:t>
            </w:r>
          </w:p>
        </w:tc>
      </w:tr>
      <w:tr w14:paraId="08B8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5443BAE">
            <w:pPr>
              <w:pStyle w:val="38"/>
              <w:ind w:firstLine="0" w:firstLineChars="0"/>
              <w:rPr>
                <w:rFonts w:ascii="宋体" w:hAnsi="宋体"/>
                <w:sz w:val="21"/>
                <w:szCs w:val="21"/>
              </w:rPr>
            </w:pPr>
            <w:r>
              <w:rPr>
                <w:rFonts w:hint="eastAsia" w:ascii="宋体" w:hAnsi="宋体"/>
                <w:sz w:val="21"/>
                <w:szCs w:val="21"/>
              </w:rPr>
              <w:t>城市三维模型更新成果报告</w:t>
            </w:r>
          </w:p>
        </w:tc>
        <w:tc>
          <w:tcPr>
            <w:tcW w:w="5466" w:type="dxa"/>
          </w:tcPr>
          <w:p w14:paraId="47171645">
            <w:pPr>
              <w:pStyle w:val="38"/>
              <w:ind w:firstLine="0" w:firstLineChars="0"/>
              <w:rPr>
                <w:rFonts w:ascii="宋体" w:hAnsi="宋体"/>
                <w:sz w:val="21"/>
                <w:szCs w:val="21"/>
              </w:rPr>
            </w:pPr>
            <w:r>
              <w:rPr>
                <w:rFonts w:hint="eastAsia" w:ascii="宋体" w:hAnsi="宋体"/>
                <w:sz w:val="21"/>
                <w:szCs w:val="21"/>
              </w:rPr>
              <w:t>城市三维模型更新的成果总结报告模板，附相关记录材料。</w:t>
            </w:r>
          </w:p>
        </w:tc>
      </w:tr>
    </w:tbl>
    <w:p w14:paraId="227CE588">
      <w:pPr>
        <w:tabs>
          <w:tab w:val="left" w:pos="1134"/>
        </w:tabs>
        <w:ind w:firstLine="420"/>
        <w:rPr>
          <w:sz w:val="21"/>
          <w:szCs w:val="21"/>
        </w:rPr>
      </w:pPr>
    </w:p>
    <w:p w14:paraId="535128FA">
      <w:pPr>
        <w:pStyle w:val="5"/>
        <w:ind w:firstLine="560"/>
        <w:rPr>
          <w:sz w:val="21"/>
          <w:szCs w:val="21"/>
        </w:rPr>
      </w:pPr>
      <w:r>
        <w:rPr>
          <w:rFonts w:hint="eastAsia"/>
          <w:sz w:val="21"/>
          <w:szCs w:val="21"/>
        </w:rPr>
        <w:t>三维模型数据处理</w:t>
      </w:r>
    </w:p>
    <w:p w14:paraId="276E7580">
      <w:pPr>
        <w:ind w:firstLine="480"/>
        <w:rPr>
          <w:sz w:val="21"/>
          <w:szCs w:val="21"/>
        </w:rPr>
      </w:pPr>
      <w:r>
        <w:rPr>
          <w:rFonts w:hint="eastAsia"/>
          <w:sz w:val="21"/>
          <w:szCs w:val="21"/>
        </w:rPr>
        <w:t>提供面向三维模型数据的处理服务，基于三维模型数据提供：三维数据格式转换、三维数据轻量化处理、三维数据切片、</w:t>
      </w:r>
      <w:r>
        <w:rPr>
          <w:sz w:val="21"/>
          <w:szCs w:val="21"/>
        </w:rPr>
        <w:t>3dtiles服务发布</w:t>
      </w:r>
      <w:r>
        <w:rPr>
          <w:rFonts w:hint="eastAsia"/>
          <w:sz w:val="21"/>
          <w:szCs w:val="21"/>
        </w:rPr>
        <w:t>等服务内容。</w:t>
      </w:r>
    </w:p>
    <w:p w14:paraId="5524E361">
      <w:pPr>
        <w:ind w:firstLine="480"/>
        <w:rPr>
          <w:sz w:val="21"/>
          <w:szCs w:val="21"/>
        </w:rPr>
      </w:pPr>
      <w:r>
        <w:rPr>
          <w:rFonts w:hint="eastAsia"/>
          <w:sz w:val="21"/>
          <w:szCs w:val="21"/>
        </w:rPr>
        <w:t>根据数据运营重点工作要求，输出物及标准包括但不限于：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1F10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E83330E">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w:t>
            </w:r>
          </w:p>
        </w:tc>
        <w:tc>
          <w:tcPr>
            <w:tcW w:w="5466" w:type="dxa"/>
          </w:tcPr>
          <w:p w14:paraId="1EE1F0C9">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输出物标准</w:t>
            </w:r>
          </w:p>
        </w:tc>
      </w:tr>
      <w:tr w14:paraId="1BE3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131FD494">
            <w:pPr>
              <w:pStyle w:val="39"/>
              <w:ind w:firstLine="0" w:firstLineChars="0"/>
              <w:rPr>
                <w:rFonts w:ascii="宋体" w:hAnsi="宋体"/>
                <w:sz w:val="21"/>
                <w:szCs w:val="21"/>
              </w:rPr>
            </w:pPr>
            <w:r>
              <w:rPr>
                <w:rFonts w:hint="eastAsia" w:ascii="宋体" w:hAnsi="宋体"/>
                <w:sz w:val="21"/>
                <w:szCs w:val="21"/>
              </w:rPr>
              <w:t>数据运营服务需求单</w:t>
            </w:r>
          </w:p>
        </w:tc>
        <w:tc>
          <w:tcPr>
            <w:tcW w:w="5466" w:type="dxa"/>
            <w:vAlign w:val="center"/>
          </w:tcPr>
          <w:p w14:paraId="023A7C3C">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4B9B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7213EC8E">
            <w:pPr>
              <w:pStyle w:val="39"/>
              <w:ind w:firstLine="0" w:firstLineChars="0"/>
              <w:rPr>
                <w:rFonts w:ascii="宋体" w:hAnsi="宋体"/>
                <w:sz w:val="21"/>
                <w:szCs w:val="21"/>
              </w:rPr>
            </w:pPr>
            <w:r>
              <w:rPr>
                <w:rFonts w:hint="eastAsia" w:ascii="宋体" w:hAnsi="宋体"/>
                <w:sz w:val="21"/>
                <w:szCs w:val="21"/>
              </w:rPr>
              <w:t>模型设计文档</w:t>
            </w:r>
          </w:p>
        </w:tc>
        <w:tc>
          <w:tcPr>
            <w:tcW w:w="5466" w:type="dxa"/>
            <w:vAlign w:val="center"/>
          </w:tcPr>
          <w:p w14:paraId="5A8BA623">
            <w:pPr>
              <w:pStyle w:val="39"/>
              <w:ind w:firstLine="0" w:firstLineChars="0"/>
              <w:rPr>
                <w:rFonts w:ascii="宋体" w:hAnsi="宋体"/>
                <w:sz w:val="21"/>
                <w:szCs w:val="21"/>
              </w:rPr>
            </w:pPr>
            <w:r>
              <w:rPr>
                <w:rFonts w:hint="eastAsia" w:ascii="宋体" w:hAnsi="宋体"/>
                <w:sz w:val="21"/>
                <w:szCs w:val="21"/>
              </w:rPr>
              <w:t>提供含模型设计文档，要求符合数据运营工作实际需求，符合数据标准和公共数据模型设计规范。</w:t>
            </w:r>
          </w:p>
        </w:tc>
      </w:tr>
      <w:tr w14:paraId="5369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35C8509">
            <w:pPr>
              <w:pStyle w:val="39"/>
              <w:ind w:firstLine="0" w:firstLineChars="0"/>
              <w:rPr>
                <w:rFonts w:ascii="宋体" w:hAnsi="宋体"/>
                <w:sz w:val="21"/>
                <w:szCs w:val="21"/>
              </w:rPr>
            </w:pPr>
            <w:r>
              <w:rPr>
                <w:rFonts w:hint="eastAsia" w:ascii="宋体" w:hAnsi="宋体"/>
                <w:sz w:val="21"/>
                <w:szCs w:val="21"/>
              </w:rPr>
              <w:t>三维模型处理记录</w:t>
            </w:r>
          </w:p>
        </w:tc>
        <w:tc>
          <w:tcPr>
            <w:tcW w:w="5466" w:type="dxa"/>
          </w:tcPr>
          <w:p w14:paraId="00BE24BA">
            <w:pPr>
              <w:pStyle w:val="39"/>
              <w:ind w:firstLine="0" w:firstLineChars="0"/>
              <w:rPr>
                <w:rFonts w:ascii="宋体" w:hAnsi="宋体"/>
                <w:sz w:val="21"/>
                <w:szCs w:val="21"/>
              </w:rPr>
            </w:pPr>
            <w:r>
              <w:rPr>
                <w:rFonts w:hint="eastAsia" w:ascii="宋体" w:hAnsi="宋体"/>
                <w:sz w:val="21"/>
                <w:szCs w:val="21"/>
              </w:rPr>
              <w:t>附相关记录材料。</w:t>
            </w:r>
          </w:p>
        </w:tc>
      </w:tr>
      <w:tr w14:paraId="544A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F2A3D47">
            <w:pPr>
              <w:pStyle w:val="38"/>
              <w:ind w:firstLine="0" w:firstLineChars="0"/>
              <w:rPr>
                <w:rFonts w:ascii="宋体" w:hAnsi="宋体"/>
                <w:sz w:val="21"/>
                <w:szCs w:val="21"/>
              </w:rPr>
            </w:pPr>
            <w:r>
              <w:rPr>
                <w:rFonts w:hint="eastAsia" w:ascii="宋体" w:hAnsi="宋体"/>
                <w:sz w:val="21"/>
                <w:szCs w:val="21"/>
              </w:rPr>
              <w:t>三维模型处理成果报告</w:t>
            </w:r>
          </w:p>
        </w:tc>
        <w:tc>
          <w:tcPr>
            <w:tcW w:w="5466" w:type="dxa"/>
          </w:tcPr>
          <w:p w14:paraId="148A5382">
            <w:pPr>
              <w:pStyle w:val="38"/>
              <w:ind w:firstLine="0" w:firstLineChars="0"/>
              <w:rPr>
                <w:rFonts w:ascii="宋体" w:hAnsi="宋体"/>
                <w:sz w:val="21"/>
                <w:szCs w:val="21"/>
              </w:rPr>
            </w:pPr>
            <w:r>
              <w:rPr>
                <w:rFonts w:hint="eastAsia" w:ascii="宋体" w:hAnsi="宋体"/>
                <w:sz w:val="21"/>
                <w:szCs w:val="21"/>
              </w:rPr>
              <w:t>三维模型处理的成果总结报告模板，附相关记录材料。</w:t>
            </w:r>
          </w:p>
        </w:tc>
      </w:tr>
    </w:tbl>
    <w:p w14:paraId="17171456">
      <w:pPr>
        <w:tabs>
          <w:tab w:val="left" w:pos="1134"/>
        </w:tabs>
        <w:ind w:firstLine="420"/>
        <w:rPr>
          <w:sz w:val="21"/>
          <w:szCs w:val="21"/>
        </w:rPr>
      </w:pPr>
    </w:p>
    <w:p w14:paraId="243D5AA8">
      <w:pPr>
        <w:pStyle w:val="5"/>
        <w:ind w:firstLine="560"/>
        <w:rPr>
          <w:sz w:val="21"/>
          <w:szCs w:val="21"/>
        </w:rPr>
      </w:pPr>
      <w:r>
        <w:rPr>
          <w:rFonts w:hint="eastAsia"/>
          <w:color w:val="000000"/>
          <w:sz w:val="21"/>
          <w:szCs w:val="21"/>
        </w:rPr>
        <w:t>对于历史数据的归档及销毁</w:t>
      </w:r>
    </w:p>
    <w:p w14:paraId="21F48B0A">
      <w:pPr>
        <w:ind w:firstLine="480"/>
        <w:rPr>
          <w:sz w:val="21"/>
          <w:szCs w:val="21"/>
        </w:rPr>
      </w:pPr>
      <w:r>
        <w:rPr>
          <w:rFonts w:hint="eastAsia"/>
          <w:color w:val="000000"/>
          <w:sz w:val="21"/>
          <w:szCs w:val="21"/>
        </w:rPr>
        <w:t>对于历史数据的归档及销毁</w:t>
      </w:r>
      <w:r>
        <w:rPr>
          <w:rFonts w:hint="eastAsia"/>
          <w:sz w:val="21"/>
          <w:szCs w:val="21"/>
        </w:rPr>
        <w:t>，主要对开展数据归档、销毁等工作提供服务。</w:t>
      </w:r>
    </w:p>
    <w:p w14:paraId="6E711D14">
      <w:pPr>
        <w:ind w:firstLine="480"/>
        <w:rPr>
          <w:sz w:val="21"/>
          <w:szCs w:val="21"/>
        </w:rPr>
      </w:pPr>
      <w:r>
        <w:rPr>
          <w:rFonts w:hint="eastAsia"/>
          <w:sz w:val="21"/>
          <w:szCs w:val="21"/>
        </w:rPr>
        <w:t>在估算历史数据归档及销毁服务运营服务单的总量时，需按照归档销毁的数据库表张数计量，以0-</w:t>
      </w:r>
      <w:r>
        <w:rPr>
          <w:sz w:val="21"/>
          <w:szCs w:val="21"/>
        </w:rPr>
        <w:t>100</w:t>
      </w:r>
      <w:r>
        <w:rPr>
          <w:rFonts w:hint="eastAsia"/>
          <w:sz w:val="21"/>
          <w:szCs w:val="21"/>
        </w:rPr>
        <w:t>张、</w:t>
      </w:r>
      <w:r>
        <w:rPr>
          <w:sz w:val="21"/>
          <w:szCs w:val="21"/>
        </w:rPr>
        <w:t>100</w:t>
      </w:r>
      <w:r>
        <w:rPr>
          <w:rFonts w:hint="eastAsia"/>
          <w:sz w:val="21"/>
          <w:szCs w:val="21"/>
        </w:rPr>
        <w:t>-</w:t>
      </w:r>
      <w:r>
        <w:rPr>
          <w:sz w:val="21"/>
          <w:szCs w:val="21"/>
        </w:rPr>
        <w:t>300</w:t>
      </w:r>
      <w:r>
        <w:rPr>
          <w:rFonts w:hint="eastAsia"/>
          <w:sz w:val="21"/>
          <w:szCs w:val="21"/>
        </w:rPr>
        <w:t>张、3</w:t>
      </w:r>
      <w:r>
        <w:rPr>
          <w:sz w:val="21"/>
          <w:szCs w:val="21"/>
        </w:rPr>
        <w:t>00</w:t>
      </w:r>
      <w:r>
        <w:rPr>
          <w:rFonts w:hint="eastAsia"/>
          <w:sz w:val="21"/>
          <w:szCs w:val="21"/>
        </w:rPr>
        <w:t>张以上三档计算，并限定工单最高价服务价格。</w:t>
      </w:r>
    </w:p>
    <w:p w14:paraId="587FE276">
      <w:pPr>
        <w:ind w:firstLine="480"/>
        <w:rPr>
          <w:sz w:val="21"/>
          <w:szCs w:val="21"/>
        </w:rPr>
      </w:pPr>
      <w:r>
        <w:rPr>
          <w:rFonts w:hint="eastAsia"/>
          <w:sz w:val="21"/>
          <w:szCs w:val="21"/>
        </w:rPr>
        <w:t>根据数据运营安全管理工作要求，输出物及标准包括：</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295"/>
      </w:tblGrid>
      <w:tr w14:paraId="253E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227" w:type="dxa"/>
            <w:vAlign w:val="center"/>
          </w:tcPr>
          <w:p w14:paraId="2696A27F">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w:t>
            </w:r>
          </w:p>
        </w:tc>
        <w:tc>
          <w:tcPr>
            <w:tcW w:w="5295" w:type="dxa"/>
            <w:vAlign w:val="center"/>
          </w:tcPr>
          <w:p w14:paraId="013F6DF7">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输出物标准</w:t>
            </w:r>
          </w:p>
        </w:tc>
      </w:tr>
      <w:tr w14:paraId="55C5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130BC6A5">
            <w:pPr>
              <w:pStyle w:val="39"/>
              <w:ind w:firstLine="0" w:firstLineChars="0"/>
              <w:rPr>
                <w:rFonts w:ascii="宋体" w:hAnsi="宋体"/>
                <w:sz w:val="21"/>
                <w:szCs w:val="21"/>
              </w:rPr>
            </w:pPr>
            <w:r>
              <w:rPr>
                <w:rFonts w:hint="eastAsia"/>
                <w:sz w:val="21"/>
                <w:szCs w:val="21"/>
              </w:rPr>
              <w:t>归档/销毁方案</w:t>
            </w:r>
          </w:p>
        </w:tc>
        <w:tc>
          <w:tcPr>
            <w:tcW w:w="5295" w:type="dxa"/>
            <w:vAlign w:val="center"/>
          </w:tcPr>
          <w:p w14:paraId="1608CED9">
            <w:pPr>
              <w:pStyle w:val="39"/>
              <w:ind w:firstLine="0" w:firstLineChars="0"/>
              <w:rPr>
                <w:rFonts w:ascii="宋体" w:hAnsi="宋体"/>
                <w:sz w:val="21"/>
                <w:szCs w:val="21"/>
              </w:rPr>
            </w:pPr>
            <w:r>
              <w:rPr>
                <w:rFonts w:hint="eastAsia"/>
                <w:sz w:val="21"/>
                <w:szCs w:val="21"/>
              </w:rPr>
              <w:t>符合归档或者销毁的运营需求，评审通过，附评审报告。</w:t>
            </w:r>
          </w:p>
        </w:tc>
      </w:tr>
      <w:tr w14:paraId="6E14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38108C72">
            <w:pPr>
              <w:pStyle w:val="39"/>
              <w:ind w:firstLine="0" w:firstLineChars="0"/>
              <w:rPr>
                <w:sz w:val="21"/>
                <w:szCs w:val="21"/>
              </w:rPr>
            </w:pPr>
            <w:r>
              <w:rPr>
                <w:rFonts w:hint="eastAsia"/>
                <w:sz w:val="21"/>
                <w:szCs w:val="21"/>
              </w:rPr>
              <w:t>归档/销毁执行日志</w:t>
            </w:r>
          </w:p>
        </w:tc>
        <w:tc>
          <w:tcPr>
            <w:tcW w:w="5295" w:type="dxa"/>
            <w:vAlign w:val="center"/>
          </w:tcPr>
          <w:p w14:paraId="7A1DEC8E">
            <w:pPr>
              <w:pStyle w:val="39"/>
              <w:ind w:firstLine="0" w:firstLineChars="0"/>
              <w:rPr>
                <w:sz w:val="21"/>
                <w:szCs w:val="21"/>
              </w:rPr>
            </w:pPr>
            <w:r>
              <w:rPr>
                <w:rFonts w:hint="eastAsia"/>
                <w:sz w:val="21"/>
                <w:szCs w:val="21"/>
              </w:rPr>
              <w:t>包含库表位置、运行状态、实际数量等。</w:t>
            </w:r>
          </w:p>
        </w:tc>
      </w:tr>
      <w:tr w14:paraId="0EA7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33BD0291">
            <w:pPr>
              <w:pStyle w:val="39"/>
              <w:ind w:firstLine="0" w:firstLineChars="0"/>
              <w:rPr>
                <w:sz w:val="21"/>
                <w:szCs w:val="21"/>
              </w:rPr>
            </w:pPr>
            <w:r>
              <w:rPr>
                <w:rFonts w:hint="eastAsia"/>
                <w:sz w:val="21"/>
                <w:szCs w:val="21"/>
              </w:rPr>
              <w:t>数据归档/销毁服务报告</w:t>
            </w:r>
          </w:p>
        </w:tc>
        <w:tc>
          <w:tcPr>
            <w:tcW w:w="5295" w:type="dxa"/>
            <w:vAlign w:val="center"/>
          </w:tcPr>
          <w:p w14:paraId="00367470">
            <w:pPr>
              <w:pStyle w:val="39"/>
              <w:ind w:firstLine="0" w:firstLineChars="0"/>
              <w:rPr>
                <w:sz w:val="21"/>
                <w:szCs w:val="21"/>
              </w:rPr>
            </w:pPr>
            <w:r>
              <w:rPr>
                <w:rFonts w:hint="eastAsia"/>
                <w:sz w:val="21"/>
                <w:szCs w:val="21"/>
              </w:rPr>
              <w:t>报告期内各业务系统使用数据归档情况、数据销毁情况。</w:t>
            </w:r>
          </w:p>
        </w:tc>
      </w:tr>
    </w:tbl>
    <w:p w14:paraId="63F8F7A0">
      <w:pPr>
        <w:ind w:firstLine="420"/>
        <w:rPr>
          <w:sz w:val="21"/>
          <w:szCs w:val="21"/>
        </w:rPr>
      </w:pPr>
    </w:p>
    <w:p w14:paraId="16500403">
      <w:pPr>
        <w:pStyle w:val="5"/>
        <w:ind w:firstLine="560"/>
        <w:rPr>
          <w:sz w:val="21"/>
          <w:szCs w:val="21"/>
        </w:rPr>
      </w:pPr>
      <w:r>
        <w:rPr>
          <w:sz w:val="21"/>
          <w:szCs w:val="21"/>
        </w:rPr>
        <w:t>数据质量检查</w:t>
      </w:r>
      <w:r>
        <w:rPr>
          <w:rFonts w:hint="eastAsia"/>
          <w:sz w:val="21"/>
          <w:szCs w:val="21"/>
        </w:rPr>
        <w:t>/</w:t>
      </w:r>
      <w:r>
        <w:rPr>
          <w:sz w:val="21"/>
          <w:szCs w:val="21"/>
        </w:rPr>
        <w:t>异常处置</w:t>
      </w:r>
    </w:p>
    <w:p w14:paraId="209BCE40">
      <w:pPr>
        <w:ind w:firstLine="480"/>
        <w:rPr>
          <w:sz w:val="21"/>
          <w:szCs w:val="21"/>
        </w:rPr>
      </w:pPr>
      <w:r>
        <w:rPr>
          <w:rFonts w:hint="eastAsia"/>
          <w:sz w:val="21"/>
          <w:szCs w:val="21"/>
        </w:rPr>
        <w:t>数据质量检查及异常处置是指为了能够满足大数据中心及各委办局对于数据正确性及合理性的要求，依照数据稽核需求，设计稽核规则，通过稽核规则对日常数据质量的规范性，合理性，完整性，准确性等进行处理、检查、定位、修复和记录，并通过事后的分析，明确问题缘由，及时修复，生成对应综合质量报告，以便业务部门能够正确，高效的应用数据及分析的一系列过程。</w:t>
      </w:r>
    </w:p>
    <w:p w14:paraId="05657FAA">
      <w:pPr>
        <w:ind w:firstLine="480"/>
        <w:rPr>
          <w:sz w:val="21"/>
          <w:szCs w:val="21"/>
        </w:rPr>
      </w:pPr>
      <w:r>
        <w:rPr>
          <w:rFonts w:hint="eastAsia"/>
          <w:sz w:val="21"/>
          <w:szCs w:val="21"/>
        </w:rPr>
        <w:t>按照数据采集接入/抽取的不同工作内容，以及面向数据、库表、非机构化文件、空间地理信息、数据资产等不同数据对象，需分别指定具有针对性的质量检查与校核服务，应包含且不限于：结构化数据（表）的归集端质量检查服务、结构化数据（表）的应用端质量检查服务、非结构化文件的质量检查、空间地理数据核实服务、数据资产目录质量检查服务、数据质量规则设计与修正服务。</w:t>
      </w:r>
    </w:p>
    <w:p w14:paraId="3FC7E2AD">
      <w:pPr>
        <w:ind w:firstLine="480"/>
        <w:rPr>
          <w:sz w:val="21"/>
          <w:szCs w:val="21"/>
        </w:rPr>
      </w:pPr>
      <w:r>
        <w:rPr>
          <w:rFonts w:hint="eastAsia"/>
          <w:sz w:val="21"/>
          <w:szCs w:val="21"/>
        </w:rPr>
        <w:t>数据质量检查及异常处置的目标是保证数据的准确性，需要根据数据特定的内涵和外延，基于不用场景的不同使用要求进行质量检查、校验，并对异常数据进行反馈及处置。</w:t>
      </w:r>
    </w:p>
    <w:p w14:paraId="3C7FD9B4">
      <w:pPr>
        <w:pStyle w:val="38"/>
        <w:numPr>
          <w:ilvl w:val="0"/>
          <w:numId w:val="4"/>
        </w:numPr>
        <w:ind w:firstLineChars="0"/>
        <w:rPr>
          <w:rFonts w:ascii="宋体" w:hAnsi="宋体"/>
          <w:sz w:val="21"/>
          <w:szCs w:val="21"/>
        </w:rPr>
      </w:pPr>
      <w:r>
        <w:rPr>
          <w:rFonts w:hint="eastAsia" w:ascii="宋体" w:hAnsi="宋体"/>
          <w:sz w:val="21"/>
          <w:szCs w:val="21"/>
        </w:rPr>
        <w:t>结构化数据（表）的归集端质量检查服务</w:t>
      </w:r>
    </w:p>
    <w:p w14:paraId="60A013C5">
      <w:pPr>
        <w:ind w:firstLine="480"/>
        <w:rPr>
          <w:sz w:val="21"/>
          <w:szCs w:val="21"/>
        </w:rPr>
      </w:pPr>
      <w:r>
        <w:rPr>
          <w:rFonts w:hint="eastAsia"/>
          <w:sz w:val="21"/>
          <w:szCs w:val="21"/>
        </w:rPr>
        <w:t>在估算结构化数据（表）的归集端质量检查服务运营服务单的总量时，需按采集接入/抽取数据目标表的复杂度，取</w:t>
      </w:r>
      <w:r>
        <w:rPr>
          <w:sz w:val="21"/>
          <w:szCs w:val="21"/>
        </w:rPr>
        <w:t>1</w:t>
      </w:r>
      <w:r>
        <w:rPr>
          <w:rFonts w:hint="eastAsia"/>
          <w:sz w:val="21"/>
          <w:szCs w:val="21"/>
        </w:rPr>
        <w:t>-</w:t>
      </w:r>
      <w:r>
        <w:rPr>
          <w:sz w:val="21"/>
          <w:szCs w:val="21"/>
        </w:rPr>
        <w:t>1.5</w:t>
      </w:r>
      <w:r>
        <w:rPr>
          <w:rFonts w:hint="eastAsia"/>
          <w:sz w:val="21"/>
          <w:szCs w:val="21"/>
        </w:rPr>
        <w:t>的难度计算服务工作量；需按照质量检查数据的总量施行阶梯式计算，以0-</w:t>
      </w:r>
      <w:r>
        <w:rPr>
          <w:sz w:val="21"/>
          <w:szCs w:val="21"/>
        </w:rPr>
        <w:t>100</w:t>
      </w:r>
      <w:r>
        <w:rPr>
          <w:rFonts w:hint="eastAsia"/>
          <w:sz w:val="21"/>
          <w:szCs w:val="21"/>
        </w:rPr>
        <w:t>万条、</w:t>
      </w:r>
      <w:r>
        <w:rPr>
          <w:sz w:val="21"/>
          <w:szCs w:val="21"/>
        </w:rPr>
        <w:t>100</w:t>
      </w:r>
      <w:r>
        <w:rPr>
          <w:rFonts w:hint="eastAsia"/>
          <w:sz w:val="21"/>
          <w:szCs w:val="21"/>
        </w:rPr>
        <w:t>-</w:t>
      </w:r>
      <w:r>
        <w:rPr>
          <w:sz w:val="21"/>
          <w:szCs w:val="21"/>
        </w:rPr>
        <w:t>300</w:t>
      </w:r>
      <w:r>
        <w:rPr>
          <w:rFonts w:hint="eastAsia"/>
          <w:sz w:val="21"/>
          <w:szCs w:val="21"/>
        </w:rPr>
        <w:t>万条、3</w:t>
      </w:r>
      <w:r>
        <w:rPr>
          <w:sz w:val="21"/>
          <w:szCs w:val="21"/>
        </w:rPr>
        <w:t>00</w:t>
      </w:r>
      <w:r>
        <w:rPr>
          <w:rFonts w:hint="eastAsia"/>
          <w:sz w:val="21"/>
          <w:szCs w:val="21"/>
        </w:rPr>
        <w:t>万条以上三档计算，并限定工单最高价服务价格。</w:t>
      </w:r>
    </w:p>
    <w:p w14:paraId="0DA0C1DE">
      <w:pPr>
        <w:pStyle w:val="38"/>
        <w:numPr>
          <w:ilvl w:val="0"/>
          <w:numId w:val="4"/>
        </w:numPr>
        <w:ind w:firstLineChars="0"/>
        <w:rPr>
          <w:rFonts w:ascii="宋体" w:hAnsi="宋体"/>
          <w:sz w:val="21"/>
          <w:szCs w:val="21"/>
        </w:rPr>
      </w:pPr>
      <w:r>
        <w:rPr>
          <w:rFonts w:hint="eastAsia" w:ascii="宋体" w:hAnsi="宋体"/>
          <w:sz w:val="21"/>
          <w:szCs w:val="21"/>
        </w:rPr>
        <w:t>结构化数据（表）的应用端质量检查服务</w:t>
      </w:r>
    </w:p>
    <w:p w14:paraId="32EC8865">
      <w:pPr>
        <w:ind w:firstLine="480"/>
        <w:rPr>
          <w:sz w:val="21"/>
          <w:szCs w:val="21"/>
        </w:rPr>
      </w:pPr>
      <w:r>
        <w:rPr>
          <w:rFonts w:hint="eastAsia"/>
          <w:sz w:val="21"/>
          <w:szCs w:val="21"/>
        </w:rPr>
        <w:t>在估算结构化数据（表）的应用端质量检查服务运营服务单的总量时，需按采集接入/抽取数据目标表的复杂度，取</w:t>
      </w:r>
      <w:r>
        <w:rPr>
          <w:sz w:val="21"/>
          <w:szCs w:val="21"/>
        </w:rPr>
        <w:t>1</w:t>
      </w:r>
      <w:r>
        <w:rPr>
          <w:rFonts w:hint="eastAsia"/>
          <w:sz w:val="21"/>
          <w:szCs w:val="21"/>
        </w:rPr>
        <w:t>-</w:t>
      </w:r>
      <w:r>
        <w:rPr>
          <w:sz w:val="21"/>
          <w:szCs w:val="21"/>
        </w:rPr>
        <w:t>1.5</w:t>
      </w:r>
      <w:r>
        <w:rPr>
          <w:rFonts w:hint="eastAsia"/>
          <w:sz w:val="21"/>
          <w:szCs w:val="21"/>
        </w:rPr>
        <w:t>的难度计算服务工作量；需按照质量检查数据的总量施行阶梯式计算，以0-</w:t>
      </w:r>
      <w:r>
        <w:rPr>
          <w:sz w:val="21"/>
          <w:szCs w:val="21"/>
        </w:rPr>
        <w:t>100</w:t>
      </w:r>
      <w:r>
        <w:rPr>
          <w:rFonts w:hint="eastAsia"/>
          <w:sz w:val="21"/>
          <w:szCs w:val="21"/>
        </w:rPr>
        <w:t>万条、</w:t>
      </w:r>
      <w:r>
        <w:rPr>
          <w:sz w:val="21"/>
          <w:szCs w:val="21"/>
        </w:rPr>
        <w:t>100</w:t>
      </w:r>
      <w:r>
        <w:rPr>
          <w:rFonts w:hint="eastAsia"/>
          <w:sz w:val="21"/>
          <w:szCs w:val="21"/>
        </w:rPr>
        <w:t>-</w:t>
      </w:r>
      <w:r>
        <w:rPr>
          <w:sz w:val="21"/>
          <w:szCs w:val="21"/>
        </w:rPr>
        <w:t>300</w:t>
      </w:r>
      <w:r>
        <w:rPr>
          <w:rFonts w:hint="eastAsia"/>
          <w:sz w:val="21"/>
          <w:szCs w:val="21"/>
        </w:rPr>
        <w:t>万条、3</w:t>
      </w:r>
      <w:r>
        <w:rPr>
          <w:sz w:val="21"/>
          <w:szCs w:val="21"/>
        </w:rPr>
        <w:t>00</w:t>
      </w:r>
      <w:r>
        <w:rPr>
          <w:rFonts w:hint="eastAsia"/>
          <w:sz w:val="21"/>
          <w:szCs w:val="21"/>
        </w:rPr>
        <w:t>万条以上三档计算，并限定工单最高价服务价格。</w:t>
      </w:r>
    </w:p>
    <w:p w14:paraId="6973C15D">
      <w:pPr>
        <w:pStyle w:val="38"/>
        <w:numPr>
          <w:ilvl w:val="0"/>
          <w:numId w:val="4"/>
        </w:numPr>
        <w:ind w:firstLineChars="0"/>
        <w:rPr>
          <w:rFonts w:ascii="宋体" w:hAnsi="宋体"/>
          <w:sz w:val="21"/>
          <w:szCs w:val="21"/>
        </w:rPr>
      </w:pPr>
      <w:r>
        <w:rPr>
          <w:rFonts w:hint="eastAsia" w:ascii="宋体" w:hAnsi="宋体"/>
          <w:sz w:val="21"/>
          <w:szCs w:val="21"/>
        </w:rPr>
        <w:t>非结构化文件的质量检查、空间地理数据核实服务、数据资产目录质量检查服务、数据质量规则设计与修正服务</w:t>
      </w:r>
    </w:p>
    <w:p w14:paraId="77FABC96">
      <w:pPr>
        <w:ind w:firstLine="480"/>
        <w:rPr>
          <w:sz w:val="21"/>
          <w:szCs w:val="21"/>
        </w:rPr>
      </w:pPr>
      <w:r>
        <w:rPr>
          <w:rFonts w:hint="eastAsia"/>
          <w:sz w:val="21"/>
          <w:szCs w:val="21"/>
        </w:rPr>
        <w:t>在估算非结构化文件的质量检查、空间地理数据核实服务、数据资产目录质量检查服务、数据质量规则设计与修正服务四个子项运营服务单的总量时，难度系数取1，按照各项工作量计量方式进行服务数量计算。</w:t>
      </w:r>
    </w:p>
    <w:p w14:paraId="4CE139D9">
      <w:pPr>
        <w:ind w:firstLine="480"/>
        <w:rPr>
          <w:sz w:val="21"/>
          <w:szCs w:val="21"/>
        </w:rPr>
      </w:pPr>
      <w:r>
        <w:rPr>
          <w:rFonts w:hint="eastAsia"/>
          <w:sz w:val="21"/>
          <w:szCs w:val="21"/>
        </w:rPr>
        <w:t>根据数据运营重点工作要求，输出物及标准包括但不限于：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295"/>
      </w:tblGrid>
      <w:tr w14:paraId="09FA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27" w:type="dxa"/>
            <w:vAlign w:val="center"/>
          </w:tcPr>
          <w:p w14:paraId="4006738A">
            <w:pPr>
              <w:ind w:firstLine="422"/>
              <w:jc w:val="center"/>
              <w:rPr>
                <w:b/>
                <w:bCs/>
                <w:sz w:val="21"/>
                <w:szCs w:val="21"/>
              </w:rPr>
            </w:pPr>
            <w:r>
              <w:rPr>
                <w:rFonts w:hint="eastAsia"/>
                <w:b/>
                <w:bCs/>
                <w:sz w:val="21"/>
                <w:szCs w:val="21"/>
              </w:rPr>
              <w:t>输出物</w:t>
            </w:r>
          </w:p>
        </w:tc>
        <w:tc>
          <w:tcPr>
            <w:tcW w:w="5295" w:type="dxa"/>
            <w:vAlign w:val="center"/>
          </w:tcPr>
          <w:p w14:paraId="213EE1C2">
            <w:pPr>
              <w:ind w:firstLine="422"/>
              <w:jc w:val="center"/>
              <w:rPr>
                <w:b/>
                <w:bCs/>
                <w:sz w:val="21"/>
                <w:szCs w:val="21"/>
              </w:rPr>
            </w:pPr>
            <w:r>
              <w:rPr>
                <w:rFonts w:hint="eastAsia"/>
                <w:b/>
                <w:bCs/>
                <w:sz w:val="21"/>
                <w:szCs w:val="21"/>
              </w:rPr>
              <w:t>输出物标准</w:t>
            </w:r>
          </w:p>
        </w:tc>
      </w:tr>
      <w:tr w14:paraId="551F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787B7FEE">
            <w:pPr>
              <w:pStyle w:val="39"/>
              <w:ind w:firstLine="0" w:firstLineChars="0"/>
              <w:rPr>
                <w:rFonts w:ascii="宋体" w:hAnsi="宋体"/>
                <w:sz w:val="21"/>
                <w:szCs w:val="21"/>
              </w:rPr>
            </w:pPr>
            <w:r>
              <w:rPr>
                <w:rFonts w:hint="eastAsia" w:ascii="宋体" w:hAnsi="宋体"/>
                <w:sz w:val="21"/>
                <w:szCs w:val="21"/>
              </w:rPr>
              <w:t>数据运营服务需求单</w:t>
            </w:r>
          </w:p>
        </w:tc>
        <w:tc>
          <w:tcPr>
            <w:tcW w:w="5295" w:type="dxa"/>
            <w:vAlign w:val="center"/>
          </w:tcPr>
          <w:p w14:paraId="2A0DBD41">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153F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CA6AD39">
            <w:pPr>
              <w:pStyle w:val="39"/>
              <w:ind w:firstLine="0" w:firstLineChars="0"/>
              <w:jc w:val="left"/>
              <w:rPr>
                <w:rFonts w:ascii="宋体" w:hAnsi="宋体"/>
                <w:sz w:val="21"/>
                <w:szCs w:val="21"/>
              </w:rPr>
            </w:pPr>
            <w:r>
              <w:rPr>
                <w:rFonts w:hint="eastAsia" w:ascii="宋体" w:hAnsi="宋体"/>
                <w:sz w:val="21"/>
                <w:szCs w:val="21"/>
              </w:rPr>
              <w:t>质量规则设计及变更记录</w:t>
            </w:r>
          </w:p>
        </w:tc>
        <w:tc>
          <w:tcPr>
            <w:tcW w:w="5295" w:type="dxa"/>
          </w:tcPr>
          <w:p w14:paraId="74837264">
            <w:pPr>
              <w:pStyle w:val="39"/>
              <w:ind w:firstLine="0" w:firstLineChars="0"/>
              <w:jc w:val="left"/>
              <w:rPr>
                <w:rFonts w:ascii="宋体" w:hAnsi="宋体"/>
                <w:sz w:val="21"/>
                <w:szCs w:val="21"/>
              </w:rPr>
            </w:pPr>
            <w:r>
              <w:rPr>
                <w:rFonts w:hint="eastAsia" w:ascii="宋体" w:hAnsi="宋体"/>
                <w:sz w:val="21"/>
                <w:szCs w:val="21"/>
              </w:rPr>
              <w:t>符合数据运营工作实际需求，符合数据标准和公共数据模型设计规范，业务需求方审核通过并提供运营服务完工验收单。</w:t>
            </w:r>
          </w:p>
        </w:tc>
      </w:tr>
      <w:tr w14:paraId="2E5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227" w:type="dxa"/>
          </w:tcPr>
          <w:p w14:paraId="40F24DFA">
            <w:pPr>
              <w:pStyle w:val="39"/>
              <w:ind w:firstLine="0" w:firstLineChars="0"/>
              <w:jc w:val="left"/>
              <w:rPr>
                <w:rFonts w:ascii="宋体" w:hAnsi="宋体"/>
                <w:sz w:val="21"/>
                <w:szCs w:val="21"/>
              </w:rPr>
            </w:pPr>
            <w:r>
              <w:rPr>
                <w:rFonts w:hint="eastAsia" w:ascii="宋体" w:hAnsi="宋体"/>
                <w:sz w:val="21"/>
                <w:szCs w:val="21"/>
              </w:rPr>
              <w:t>数据质量检查日志</w:t>
            </w:r>
          </w:p>
        </w:tc>
        <w:tc>
          <w:tcPr>
            <w:tcW w:w="5295" w:type="dxa"/>
          </w:tcPr>
          <w:p w14:paraId="667040B1">
            <w:pPr>
              <w:pStyle w:val="39"/>
              <w:ind w:firstLine="0" w:firstLineChars="0"/>
              <w:jc w:val="left"/>
              <w:rPr>
                <w:rFonts w:ascii="宋体" w:hAnsi="宋体"/>
                <w:sz w:val="21"/>
                <w:szCs w:val="21"/>
              </w:rPr>
            </w:pPr>
            <w:r>
              <w:rPr>
                <w:rFonts w:hint="eastAsia" w:ascii="宋体" w:hAnsi="宋体"/>
                <w:sz w:val="21"/>
                <w:szCs w:val="21"/>
              </w:rPr>
              <w:t>日志包括但不限于以下字段：库表名称、检查规则、实际检测数量、异常数据量等。</w:t>
            </w:r>
          </w:p>
        </w:tc>
      </w:tr>
      <w:tr w14:paraId="003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227" w:type="dxa"/>
          </w:tcPr>
          <w:p w14:paraId="30FB88C3">
            <w:pPr>
              <w:pStyle w:val="39"/>
              <w:ind w:firstLine="0" w:firstLineChars="0"/>
              <w:jc w:val="left"/>
              <w:rPr>
                <w:rFonts w:ascii="宋体" w:hAnsi="宋体"/>
                <w:sz w:val="21"/>
                <w:szCs w:val="21"/>
              </w:rPr>
            </w:pPr>
            <w:r>
              <w:rPr>
                <w:rFonts w:hint="eastAsia" w:ascii="宋体" w:hAnsi="宋体"/>
                <w:sz w:val="21"/>
                <w:szCs w:val="21"/>
              </w:rPr>
              <w:t>异常数据清单</w:t>
            </w:r>
          </w:p>
        </w:tc>
        <w:tc>
          <w:tcPr>
            <w:tcW w:w="5295" w:type="dxa"/>
          </w:tcPr>
          <w:p w14:paraId="29038C99">
            <w:pPr>
              <w:pStyle w:val="39"/>
              <w:ind w:firstLine="0" w:firstLineChars="0"/>
              <w:jc w:val="left"/>
              <w:rPr>
                <w:rFonts w:ascii="宋体" w:hAnsi="宋体"/>
                <w:sz w:val="21"/>
                <w:szCs w:val="21"/>
              </w:rPr>
            </w:pPr>
            <w:r>
              <w:rPr>
                <w:rFonts w:hint="eastAsia" w:ascii="宋体" w:hAnsi="宋体"/>
                <w:sz w:val="21"/>
                <w:szCs w:val="21"/>
              </w:rPr>
              <w:t>异常数据清单，包含数据信息和判定异常原因，附相关记录材料。</w:t>
            </w:r>
          </w:p>
        </w:tc>
      </w:tr>
      <w:tr w14:paraId="35F6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227" w:type="dxa"/>
          </w:tcPr>
          <w:p w14:paraId="068226DA">
            <w:pPr>
              <w:pStyle w:val="39"/>
              <w:ind w:firstLine="0" w:firstLineChars="0"/>
              <w:jc w:val="left"/>
              <w:rPr>
                <w:rFonts w:ascii="宋体" w:hAnsi="宋体"/>
                <w:sz w:val="21"/>
                <w:szCs w:val="21"/>
              </w:rPr>
            </w:pPr>
            <w:r>
              <w:rPr>
                <w:rFonts w:hint="eastAsia" w:ascii="宋体" w:hAnsi="宋体"/>
                <w:sz w:val="21"/>
                <w:szCs w:val="21"/>
              </w:rPr>
              <w:t>数据质量报告</w:t>
            </w:r>
          </w:p>
        </w:tc>
        <w:tc>
          <w:tcPr>
            <w:tcW w:w="5295" w:type="dxa"/>
          </w:tcPr>
          <w:p w14:paraId="3AC7B71A">
            <w:pPr>
              <w:pStyle w:val="39"/>
              <w:ind w:firstLine="0" w:firstLineChars="0"/>
              <w:jc w:val="left"/>
              <w:rPr>
                <w:rFonts w:ascii="宋体" w:hAnsi="宋体"/>
                <w:sz w:val="21"/>
                <w:szCs w:val="21"/>
              </w:rPr>
            </w:pPr>
            <w:r>
              <w:rPr>
                <w:rFonts w:hint="eastAsia" w:ascii="宋体" w:hAnsi="宋体"/>
                <w:sz w:val="21"/>
                <w:szCs w:val="21"/>
              </w:rPr>
              <w:t>符合数据质量报告模板，业务需求方审核通过并提供运营服务完工验收单。</w:t>
            </w:r>
          </w:p>
        </w:tc>
      </w:tr>
      <w:tr w14:paraId="5164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227" w:type="dxa"/>
          </w:tcPr>
          <w:p w14:paraId="14BC0DB6">
            <w:pPr>
              <w:pStyle w:val="39"/>
              <w:ind w:firstLine="0" w:firstLineChars="0"/>
              <w:jc w:val="left"/>
              <w:rPr>
                <w:rFonts w:ascii="宋体" w:hAnsi="宋体"/>
                <w:sz w:val="21"/>
                <w:szCs w:val="21"/>
              </w:rPr>
            </w:pPr>
            <w:r>
              <w:rPr>
                <w:rFonts w:hint="eastAsia" w:ascii="宋体" w:hAnsi="宋体"/>
                <w:sz w:val="21"/>
                <w:szCs w:val="21"/>
              </w:rPr>
              <w:t>异常数据处置及修复测试报告（如有）</w:t>
            </w:r>
          </w:p>
        </w:tc>
        <w:tc>
          <w:tcPr>
            <w:tcW w:w="5295" w:type="dxa"/>
          </w:tcPr>
          <w:p w14:paraId="004B3555">
            <w:pPr>
              <w:pStyle w:val="39"/>
              <w:ind w:firstLine="0" w:firstLineChars="0"/>
              <w:jc w:val="left"/>
              <w:rPr>
                <w:rFonts w:ascii="宋体" w:hAnsi="宋体"/>
                <w:sz w:val="21"/>
                <w:szCs w:val="21"/>
              </w:rPr>
            </w:pPr>
            <w:r>
              <w:rPr>
                <w:rFonts w:hint="eastAsia" w:ascii="宋体" w:hAnsi="宋体"/>
                <w:sz w:val="21"/>
                <w:szCs w:val="21"/>
              </w:rPr>
              <w:t>附数据处置/修复记录材料、测试报告，二次验证通过后的记录材料。</w:t>
            </w:r>
          </w:p>
        </w:tc>
      </w:tr>
    </w:tbl>
    <w:p w14:paraId="6CC4A49C">
      <w:pPr>
        <w:tabs>
          <w:tab w:val="left" w:pos="1134"/>
        </w:tabs>
        <w:ind w:firstLine="420"/>
        <w:rPr>
          <w:sz w:val="21"/>
          <w:szCs w:val="21"/>
        </w:rPr>
      </w:pPr>
    </w:p>
    <w:p w14:paraId="786AF87D">
      <w:pPr>
        <w:pStyle w:val="5"/>
        <w:ind w:firstLine="560"/>
        <w:rPr>
          <w:sz w:val="21"/>
          <w:szCs w:val="21"/>
        </w:rPr>
      </w:pPr>
      <w:r>
        <w:rPr>
          <w:rFonts w:hint="eastAsia"/>
          <w:sz w:val="21"/>
          <w:szCs w:val="21"/>
        </w:rPr>
        <w:t>数据共享/开放/授权订阅服务</w:t>
      </w:r>
    </w:p>
    <w:p w14:paraId="778FB499">
      <w:pPr>
        <w:ind w:firstLine="480"/>
        <w:rPr>
          <w:sz w:val="21"/>
          <w:szCs w:val="21"/>
        </w:rPr>
      </w:pPr>
      <w:r>
        <w:rPr>
          <w:rFonts w:hint="eastAsia"/>
          <w:sz w:val="21"/>
          <w:szCs w:val="21"/>
        </w:rPr>
        <w:t>在数据共享、开放、社会化应用工作中所提供的一组完整服务接口的服务数，原则上服务主要针对数据集对外提供一组多种类型的接口服务，并根据不同用户角色的需求开展满足不同SLA的数据共享需求；提供的一组多种类型的接口服务包括但不限于样例数据接口、Json、Xml；同时满足数据安全的工作要求。</w:t>
      </w:r>
    </w:p>
    <w:p w14:paraId="28776967">
      <w:pPr>
        <w:ind w:firstLine="480"/>
        <w:rPr>
          <w:sz w:val="21"/>
          <w:szCs w:val="21"/>
        </w:rPr>
      </w:pPr>
      <w:r>
        <w:rPr>
          <w:rFonts w:hint="eastAsia"/>
          <w:sz w:val="21"/>
          <w:szCs w:val="21"/>
        </w:rPr>
        <w:t>在估算数据共享、开放、授权订阅服务数量时，</w:t>
      </w:r>
      <w:r>
        <w:rPr>
          <w:sz w:val="21"/>
          <w:szCs w:val="21"/>
        </w:rPr>
        <w:t>按公共数据开放工作运营和政务数据应用于共享运营的复杂度和工作类型，新的开放运营工作按1计算难度；既有保鲜类开放运营工作接入按0.2计算难度。</w:t>
      </w:r>
    </w:p>
    <w:p w14:paraId="3119DF9C">
      <w:pPr>
        <w:ind w:firstLine="480"/>
        <w:rPr>
          <w:sz w:val="21"/>
          <w:szCs w:val="21"/>
        </w:rPr>
      </w:pPr>
      <w:r>
        <w:rPr>
          <w:rFonts w:hint="eastAsia"/>
          <w:sz w:val="21"/>
          <w:szCs w:val="21"/>
        </w:rPr>
        <w:t>根据数据运营重点工作要求，输出物及标准包括但不限于：</w:t>
      </w:r>
    </w:p>
    <w:tbl>
      <w:tblPr>
        <w:tblStyle w:val="19"/>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9"/>
        <w:gridCol w:w="5777"/>
      </w:tblGrid>
      <w:tr w14:paraId="4DFE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9" w:type="dxa"/>
            <w:shd w:val="clear" w:color="auto" w:fill="auto"/>
          </w:tcPr>
          <w:p w14:paraId="3AD5BE1C">
            <w:pPr>
              <w:ind w:firstLine="422"/>
              <w:jc w:val="center"/>
              <w:rPr>
                <w:b/>
                <w:bCs/>
                <w:kern w:val="0"/>
                <w:sz w:val="21"/>
                <w:szCs w:val="21"/>
              </w:rPr>
            </w:pPr>
            <w:r>
              <w:rPr>
                <w:rFonts w:hint="eastAsia"/>
                <w:b/>
                <w:bCs/>
                <w:sz w:val="21"/>
                <w:szCs w:val="21"/>
              </w:rPr>
              <w:t>输出物</w:t>
            </w:r>
          </w:p>
        </w:tc>
        <w:tc>
          <w:tcPr>
            <w:tcW w:w="5777" w:type="dxa"/>
            <w:shd w:val="clear" w:color="auto" w:fill="auto"/>
          </w:tcPr>
          <w:p w14:paraId="2F337FBF">
            <w:pPr>
              <w:ind w:firstLine="422"/>
              <w:jc w:val="center"/>
              <w:rPr>
                <w:b/>
                <w:bCs/>
                <w:kern w:val="0"/>
                <w:sz w:val="21"/>
                <w:szCs w:val="21"/>
              </w:rPr>
            </w:pPr>
            <w:r>
              <w:rPr>
                <w:rFonts w:hint="eastAsia"/>
                <w:b/>
                <w:bCs/>
                <w:sz w:val="21"/>
                <w:szCs w:val="21"/>
              </w:rPr>
              <w:t>输出物标准</w:t>
            </w:r>
          </w:p>
        </w:tc>
      </w:tr>
      <w:tr w14:paraId="4E39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3149" w:type="dxa"/>
          </w:tcPr>
          <w:p w14:paraId="6C34B320">
            <w:pPr>
              <w:pStyle w:val="39"/>
              <w:ind w:firstLine="0" w:firstLineChars="0"/>
              <w:rPr>
                <w:rFonts w:ascii="宋体" w:hAnsi="宋体"/>
                <w:kern w:val="0"/>
                <w:sz w:val="21"/>
                <w:szCs w:val="21"/>
              </w:rPr>
            </w:pPr>
            <w:r>
              <w:rPr>
                <w:rFonts w:hint="eastAsia" w:ascii="宋体" w:hAnsi="宋体"/>
                <w:kern w:val="0"/>
                <w:sz w:val="21"/>
                <w:szCs w:val="21"/>
              </w:rPr>
              <w:t>需求文档</w:t>
            </w:r>
          </w:p>
        </w:tc>
        <w:tc>
          <w:tcPr>
            <w:tcW w:w="5777" w:type="dxa"/>
          </w:tcPr>
          <w:p w14:paraId="16DA7F16">
            <w:pPr>
              <w:pStyle w:val="39"/>
              <w:ind w:firstLine="0" w:firstLineChars="0"/>
              <w:rPr>
                <w:rFonts w:ascii="宋体" w:hAnsi="宋体"/>
                <w:kern w:val="0"/>
                <w:sz w:val="21"/>
                <w:szCs w:val="21"/>
              </w:rPr>
            </w:pPr>
            <w:r>
              <w:rPr>
                <w:rFonts w:hint="eastAsia" w:ascii="宋体" w:hAnsi="宋体"/>
                <w:kern w:val="0"/>
                <w:sz w:val="21"/>
                <w:szCs w:val="21"/>
              </w:rPr>
              <w:t>接口清单、委办自定义入参出参，在文档模板里明确使用场景</w:t>
            </w:r>
          </w:p>
          <w:p w14:paraId="49B6003E">
            <w:pPr>
              <w:pStyle w:val="39"/>
              <w:ind w:firstLine="0" w:firstLineChars="0"/>
              <w:rPr>
                <w:rFonts w:ascii="宋体" w:hAnsi="宋体"/>
                <w:kern w:val="0"/>
                <w:sz w:val="21"/>
                <w:szCs w:val="21"/>
              </w:rPr>
            </w:pPr>
            <w:r>
              <w:rPr>
                <w:rFonts w:hint="eastAsia" w:ascii="宋体" w:hAnsi="宋体"/>
                <w:kern w:val="0"/>
                <w:sz w:val="21"/>
                <w:szCs w:val="21"/>
              </w:rPr>
              <w:t>文件订阅方式，需包含具体文件类型及规格说明、共享方式等信息，如果约定文件命名规则，必须在本文档中表述清楚；</w:t>
            </w:r>
          </w:p>
        </w:tc>
      </w:tr>
      <w:tr w14:paraId="492B0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9" w:type="dxa"/>
          </w:tcPr>
          <w:p w14:paraId="04E16AB3">
            <w:pPr>
              <w:pStyle w:val="39"/>
              <w:ind w:firstLine="0" w:firstLineChars="0"/>
              <w:rPr>
                <w:rFonts w:ascii="宋体" w:hAnsi="宋体"/>
                <w:kern w:val="0"/>
                <w:sz w:val="21"/>
                <w:szCs w:val="21"/>
              </w:rPr>
            </w:pPr>
            <w:r>
              <w:rPr>
                <w:rFonts w:hint="eastAsia" w:ascii="宋体" w:hAnsi="宋体"/>
                <w:kern w:val="0"/>
                <w:sz w:val="21"/>
                <w:szCs w:val="21"/>
              </w:rPr>
              <w:t>数据模型设计（如有）</w:t>
            </w:r>
          </w:p>
        </w:tc>
        <w:tc>
          <w:tcPr>
            <w:tcW w:w="5777" w:type="dxa"/>
          </w:tcPr>
          <w:p w14:paraId="21CE8DBA">
            <w:pPr>
              <w:pStyle w:val="39"/>
              <w:ind w:firstLine="0" w:firstLineChars="0"/>
              <w:rPr>
                <w:rFonts w:ascii="宋体" w:hAnsi="宋体"/>
                <w:kern w:val="0"/>
                <w:sz w:val="21"/>
                <w:szCs w:val="21"/>
              </w:rPr>
            </w:pPr>
            <w:r>
              <w:rPr>
                <w:rFonts w:hint="eastAsia" w:ascii="宋体" w:hAnsi="宋体"/>
                <w:kern w:val="0"/>
                <w:sz w:val="21"/>
                <w:szCs w:val="21"/>
              </w:rPr>
              <w:t>API接口设计或库表落地数据模型设计，需包含库表说明，业务逻辑，推送方案；</w:t>
            </w:r>
          </w:p>
          <w:p w14:paraId="36F4DCA3">
            <w:pPr>
              <w:pStyle w:val="39"/>
              <w:ind w:firstLine="0" w:firstLineChars="0"/>
              <w:rPr>
                <w:rFonts w:ascii="宋体" w:hAnsi="宋体"/>
                <w:kern w:val="0"/>
                <w:sz w:val="21"/>
                <w:szCs w:val="21"/>
              </w:rPr>
            </w:pPr>
            <w:r>
              <w:rPr>
                <w:rFonts w:hint="eastAsia" w:ascii="宋体" w:hAnsi="宋体"/>
                <w:kern w:val="0"/>
                <w:sz w:val="21"/>
                <w:szCs w:val="21"/>
              </w:rPr>
              <w:t>文件订阅方式可以无数据模型设计文档；</w:t>
            </w:r>
          </w:p>
        </w:tc>
      </w:tr>
      <w:tr w14:paraId="2D584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49" w:type="dxa"/>
          </w:tcPr>
          <w:p w14:paraId="14ABAF5A">
            <w:pPr>
              <w:pStyle w:val="39"/>
              <w:ind w:firstLine="0" w:firstLineChars="0"/>
              <w:rPr>
                <w:rFonts w:ascii="宋体" w:hAnsi="宋体"/>
                <w:kern w:val="0"/>
                <w:sz w:val="21"/>
                <w:szCs w:val="21"/>
              </w:rPr>
            </w:pPr>
            <w:r>
              <w:rPr>
                <w:rFonts w:hint="eastAsia" w:ascii="宋体" w:hAnsi="宋体"/>
                <w:kern w:val="0"/>
                <w:sz w:val="21"/>
                <w:szCs w:val="21"/>
              </w:rPr>
              <w:t>接口开发代码</w:t>
            </w:r>
          </w:p>
        </w:tc>
        <w:tc>
          <w:tcPr>
            <w:tcW w:w="5777" w:type="dxa"/>
          </w:tcPr>
          <w:p w14:paraId="21168881">
            <w:pPr>
              <w:pStyle w:val="39"/>
              <w:ind w:firstLine="0" w:firstLineChars="0"/>
              <w:rPr>
                <w:rFonts w:ascii="宋体" w:hAnsi="宋体"/>
                <w:kern w:val="0"/>
                <w:sz w:val="21"/>
                <w:szCs w:val="21"/>
              </w:rPr>
            </w:pPr>
            <w:r>
              <w:rPr>
                <w:rFonts w:hint="eastAsia" w:ascii="宋体" w:hAnsi="宋体"/>
                <w:kern w:val="0"/>
                <w:sz w:val="21"/>
                <w:szCs w:val="21"/>
              </w:rPr>
              <w:t>提供接口开发代码清单或截图</w:t>
            </w:r>
          </w:p>
        </w:tc>
      </w:tr>
      <w:tr w14:paraId="19AA7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3149" w:type="dxa"/>
          </w:tcPr>
          <w:p w14:paraId="24090492">
            <w:pPr>
              <w:pStyle w:val="39"/>
              <w:ind w:firstLine="0" w:firstLineChars="0"/>
              <w:rPr>
                <w:rFonts w:ascii="宋体" w:hAnsi="宋体"/>
                <w:kern w:val="0"/>
                <w:sz w:val="21"/>
                <w:szCs w:val="21"/>
              </w:rPr>
            </w:pPr>
            <w:r>
              <w:rPr>
                <w:rFonts w:hint="eastAsia" w:ascii="宋体" w:hAnsi="宋体"/>
                <w:kern w:val="0"/>
                <w:sz w:val="21"/>
                <w:szCs w:val="21"/>
              </w:rPr>
              <w:t>接口测试报告(含API接口列表)</w:t>
            </w:r>
          </w:p>
        </w:tc>
        <w:tc>
          <w:tcPr>
            <w:tcW w:w="5777" w:type="dxa"/>
          </w:tcPr>
          <w:p w14:paraId="75019631">
            <w:pPr>
              <w:pStyle w:val="39"/>
              <w:ind w:firstLine="0" w:firstLineChars="0"/>
              <w:rPr>
                <w:rFonts w:ascii="宋体" w:hAnsi="宋体"/>
                <w:kern w:val="0"/>
                <w:sz w:val="21"/>
                <w:szCs w:val="21"/>
              </w:rPr>
            </w:pPr>
            <w:r>
              <w:rPr>
                <w:rFonts w:hint="eastAsia" w:ascii="宋体" w:hAnsi="宋体"/>
                <w:kern w:val="0"/>
                <w:sz w:val="21"/>
                <w:szCs w:val="21"/>
              </w:rPr>
              <w:t>测试报告需包括参数名称、类型、取值范围，附相关记录材料；API接口符合业务需求和性能要求</w:t>
            </w:r>
          </w:p>
          <w:p w14:paraId="5307567F">
            <w:pPr>
              <w:pStyle w:val="39"/>
              <w:ind w:firstLine="0" w:firstLineChars="0"/>
              <w:rPr>
                <w:rFonts w:ascii="宋体" w:hAnsi="宋体"/>
                <w:kern w:val="0"/>
                <w:sz w:val="21"/>
                <w:szCs w:val="21"/>
              </w:rPr>
            </w:pPr>
            <w:r>
              <w:rPr>
                <w:rFonts w:hint="eastAsia" w:ascii="宋体" w:hAnsi="宋体"/>
                <w:kern w:val="0"/>
                <w:sz w:val="21"/>
                <w:szCs w:val="21"/>
              </w:rPr>
              <w:t>文件订阅方式不涉及到接口，可以无测试报告</w:t>
            </w:r>
          </w:p>
        </w:tc>
      </w:tr>
      <w:tr w14:paraId="4860C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3149" w:type="dxa"/>
          </w:tcPr>
          <w:p w14:paraId="5E2E02FB">
            <w:pPr>
              <w:pStyle w:val="39"/>
              <w:ind w:firstLine="0" w:firstLineChars="0"/>
              <w:rPr>
                <w:rFonts w:ascii="宋体" w:hAnsi="宋体"/>
                <w:kern w:val="0"/>
                <w:sz w:val="21"/>
                <w:szCs w:val="21"/>
              </w:rPr>
            </w:pPr>
            <w:r>
              <w:rPr>
                <w:rFonts w:hint="eastAsia" w:ascii="宋体" w:hAnsi="宋体"/>
                <w:kern w:val="0"/>
                <w:sz w:val="21"/>
                <w:szCs w:val="21"/>
              </w:rPr>
              <w:t>作业上线记录</w:t>
            </w:r>
          </w:p>
        </w:tc>
        <w:tc>
          <w:tcPr>
            <w:tcW w:w="5777" w:type="dxa"/>
          </w:tcPr>
          <w:p w14:paraId="59912770">
            <w:pPr>
              <w:pStyle w:val="39"/>
              <w:ind w:firstLine="0" w:firstLineChars="0"/>
              <w:rPr>
                <w:rFonts w:ascii="宋体" w:hAnsi="宋体"/>
                <w:kern w:val="0"/>
                <w:sz w:val="21"/>
                <w:szCs w:val="21"/>
              </w:rPr>
            </w:pPr>
            <w:r>
              <w:rPr>
                <w:rFonts w:hint="eastAsia" w:ascii="宋体" w:hAnsi="宋体"/>
                <w:kern w:val="0"/>
                <w:sz w:val="21"/>
                <w:szCs w:val="21"/>
              </w:rPr>
              <w:t>需包含上线时间、共享频率、共享内容等记录；</w:t>
            </w:r>
          </w:p>
          <w:p w14:paraId="430CBCA6">
            <w:pPr>
              <w:pStyle w:val="39"/>
              <w:ind w:firstLine="0" w:firstLineChars="0"/>
              <w:rPr>
                <w:rFonts w:ascii="宋体" w:hAnsi="宋体"/>
                <w:kern w:val="0"/>
                <w:sz w:val="21"/>
                <w:szCs w:val="21"/>
              </w:rPr>
            </w:pPr>
            <w:r>
              <w:rPr>
                <w:rFonts w:hint="eastAsia" w:ascii="宋体" w:hAnsi="宋体"/>
                <w:kern w:val="0"/>
                <w:sz w:val="21"/>
                <w:szCs w:val="21"/>
              </w:rPr>
              <w:t>文件订阅方式不涉及上线，可以无作业上线记录</w:t>
            </w:r>
          </w:p>
        </w:tc>
      </w:tr>
      <w:tr w14:paraId="08E47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3149" w:type="dxa"/>
          </w:tcPr>
          <w:p w14:paraId="1594CF2E">
            <w:pPr>
              <w:pStyle w:val="39"/>
              <w:ind w:firstLine="0" w:firstLineChars="0"/>
              <w:rPr>
                <w:rFonts w:ascii="宋体" w:hAnsi="宋体"/>
                <w:kern w:val="0"/>
                <w:sz w:val="21"/>
                <w:szCs w:val="21"/>
              </w:rPr>
            </w:pPr>
            <w:r>
              <w:rPr>
                <w:rFonts w:hint="eastAsia" w:ascii="宋体" w:hAnsi="宋体"/>
                <w:kern w:val="0"/>
                <w:sz w:val="21"/>
                <w:szCs w:val="21"/>
              </w:rPr>
              <w:t>共享记录</w:t>
            </w:r>
          </w:p>
        </w:tc>
        <w:tc>
          <w:tcPr>
            <w:tcW w:w="5777" w:type="dxa"/>
          </w:tcPr>
          <w:p w14:paraId="51DC12A1">
            <w:pPr>
              <w:pStyle w:val="39"/>
              <w:ind w:firstLine="0" w:firstLineChars="0"/>
              <w:rPr>
                <w:rFonts w:ascii="宋体" w:hAnsi="宋体"/>
                <w:kern w:val="0"/>
                <w:sz w:val="21"/>
                <w:szCs w:val="21"/>
              </w:rPr>
            </w:pPr>
            <w:r>
              <w:rPr>
                <w:rFonts w:hint="eastAsia" w:ascii="宋体" w:hAnsi="宋体"/>
                <w:kern w:val="0"/>
                <w:sz w:val="21"/>
                <w:szCs w:val="21"/>
              </w:rPr>
              <w:t>提供需求方调用或验证记录、数据库表落地验证记录、文件交付记录或FTP落地记录等，可截屏记录</w:t>
            </w:r>
          </w:p>
        </w:tc>
      </w:tr>
    </w:tbl>
    <w:p w14:paraId="41766FFC">
      <w:pPr>
        <w:ind w:firstLine="420"/>
        <w:rPr>
          <w:sz w:val="21"/>
          <w:szCs w:val="21"/>
        </w:rPr>
      </w:pPr>
    </w:p>
    <w:p w14:paraId="4C7E1E16">
      <w:pPr>
        <w:pStyle w:val="5"/>
        <w:ind w:firstLine="560"/>
        <w:rPr>
          <w:sz w:val="21"/>
          <w:szCs w:val="21"/>
        </w:rPr>
      </w:pPr>
      <w:r>
        <w:rPr>
          <w:rFonts w:hint="eastAsia"/>
          <w:sz w:val="21"/>
          <w:szCs w:val="21"/>
        </w:rPr>
        <w:t>数据统计分析及报表</w:t>
      </w:r>
      <w:r>
        <w:rPr>
          <w:sz w:val="21"/>
          <w:szCs w:val="21"/>
        </w:rPr>
        <w:t>服务</w:t>
      </w:r>
    </w:p>
    <w:p w14:paraId="1C1D9852">
      <w:pPr>
        <w:ind w:firstLine="480"/>
        <w:rPr>
          <w:sz w:val="21"/>
          <w:szCs w:val="21"/>
        </w:rPr>
      </w:pPr>
      <w:r>
        <w:rPr>
          <w:rFonts w:hint="eastAsia"/>
          <w:sz w:val="21"/>
          <w:szCs w:val="21"/>
        </w:rPr>
        <w:t>本项服务是指应用源数据、融合数据、模型产出数据后所产出的报表运营服务工作。</w:t>
      </w:r>
    </w:p>
    <w:p w14:paraId="3F8CA201">
      <w:pPr>
        <w:ind w:firstLine="480"/>
        <w:rPr>
          <w:sz w:val="21"/>
          <w:szCs w:val="21"/>
        </w:rPr>
      </w:pPr>
      <w:r>
        <w:rPr>
          <w:rFonts w:hint="eastAsia"/>
          <w:sz w:val="21"/>
          <w:szCs w:val="21"/>
        </w:rPr>
        <w:t>要求提供数据治理共享、开放需求下的数据统计分析服务，包括且不限于数据比对、分类筛选汇总、描述性统计、时间序列分析、多元统计分析等工作内容；要求可通过应用统计建模、数据挖掘等方法建立数据模型，提供针对业务数据分析场景的统计数据报表。</w:t>
      </w:r>
    </w:p>
    <w:p w14:paraId="594B6E79">
      <w:pPr>
        <w:ind w:firstLine="480"/>
        <w:rPr>
          <w:sz w:val="21"/>
          <w:szCs w:val="21"/>
        </w:rPr>
      </w:pPr>
      <w:r>
        <w:rPr>
          <w:rFonts w:hint="eastAsia"/>
          <w:sz w:val="21"/>
          <w:szCs w:val="21"/>
        </w:rPr>
        <w:t>本项服务需按所统计加工和所需提供报表的</w:t>
      </w:r>
      <w:r>
        <w:rPr>
          <w:sz w:val="21"/>
          <w:szCs w:val="21"/>
        </w:rPr>
        <w:t>工作难度</w:t>
      </w:r>
      <w:r>
        <w:rPr>
          <w:rFonts w:hint="eastAsia"/>
          <w:sz w:val="21"/>
          <w:szCs w:val="21"/>
        </w:rPr>
        <w:t>和数据领域维度量估算复杂度</w:t>
      </w:r>
      <w:r>
        <w:rPr>
          <w:sz w:val="21"/>
          <w:szCs w:val="21"/>
        </w:rPr>
        <w:t>，乘以难度系数（1-3）</w:t>
      </w:r>
      <w:r>
        <w:rPr>
          <w:rFonts w:hint="eastAsia"/>
          <w:sz w:val="21"/>
          <w:szCs w:val="21"/>
        </w:rPr>
        <w:t>，</w:t>
      </w:r>
      <w:r>
        <w:rPr>
          <w:sz w:val="21"/>
          <w:szCs w:val="21"/>
        </w:rPr>
        <w:t>对于仅涉及单领域数据的，难度系数取1；每增加一个领域，难度系数增加1；难度系数最高不超过3</w:t>
      </w:r>
      <w:r>
        <w:rPr>
          <w:rFonts w:hint="eastAsia"/>
          <w:sz w:val="21"/>
          <w:szCs w:val="21"/>
        </w:rPr>
        <w:t>；基于难度计算服务工作量。</w:t>
      </w:r>
    </w:p>
    <w:p w14:paraId="6EC51EBD">
      <w:pPr>
        <w:ind w:firstLine="480"/>
        <w:rPr>
          <w:sz w:val="21"/>
          <w:szCs w:val="21"/>
        </w:rPr>
      </w:pPr>
      <w:r>
        <w:rPr>
          <w:rFonts w:hint="eastAsia"/>
          <w:sz w:val="21"/>
          <w:szCs w:val="21"/>
        </w:rPr>
        <w:t>可依托报表展示页面、报表信息报告、报表数据文件等形式进行交付。</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6"/>
        <w:gridCol w:w="4928"/>
      </w:tblGrid>
      <w:tr w14:paraId="4931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886" w:type="dxa"/>
            <w:vAlign w:val="center"/>
          </w:tcPr>
          <w:p w14:paraId="598E65C5">
            <w:pPr>
              <w:ind w:firstLine="422"/>
              <w:jc w:val="center"/>
              <w:rPr>
                <w:b/>
                <w:bCs/>
                <w:sz w:val="21"/>
                <w:szCs w:val="21"/>
              </w:rPr>
            </w:pPr>
            <w:r>
              <w:rPr>
                <w:rFonts w:hint="eastAsia"/>
                <w:b/>
                <w:bCs/>
                <w:sz w:val="21"/>
                <w:szCs w:val="21"/>
              </w:rPr>
              <w:t>输出物</w:t>
            </w:r>
          </w:p>
        </w:tc>
        <w:tc>
          <w:tcPr>
            <w:tcW w:w="4928" w:type="dxa"/>
            <w:vAlign w:val="center"/>
          </w:tcPr>
          <w:p w14:paraId="29B5B937">
            <w:pPr>
              <w:ind w:firstLine="422"/>
              <w:jc w:val="center"/>
              <w:rPr>
                <w:b/>
                <w:bCs/>
                <w:sz w:val="21"/>
                <w:szCs w:val="21"/>
              </w:rPr>
            </w:pPr>
            <w:r>
              <w:rPr>
                <w:rFonts w:hint="eastAsia"/>
                <w:b/>
                <w:bCs/>
                <w:sz w:val="21"/>
                <w:szCs w:val="21"/>
              </w:rPr>
              <w:t>输出物标准</w:t>
            </w:r>
          </w:p>
        </w:tc>
      </w:tr>
      <w:tr w14:paraId="6D60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vAlign w:val="center"/>
          </w:tcPr>
          <w:p w14:paraId="2A111AFC">
            <w:pPr>
              <w:pStyle w:val="39"/>
              <w:ind w:firstLine="0" w:firstLineChars="0"/>
              <w:rPr>
                <w:rFonts w:ascii="宋体" w:hAnsi="宋体"/>
                <w:sz w:val="21"/>
                <w:szCs w:val="21"/>
              </w:rPr>
            </w:pPr>
            <w:r>
              <w:rPr>
                <w:rFonts w:hint="eastAsia" w:ascii="宋体" w:hAnsi="宋体"/>
                <w:sz w:val="21"/>
                <w:szCs w:val="21"/>
              </w:rPr>
              <w:t>数据运营服务需求单</w:t>
            </w:r>
          </w:p>
        </w:tc>
        <w:tc>
          <w:tcPr>
            <w:tcW w:w="4928" w:type="dxa"/>
            <w:vAlign w:val="center"/>
          </w:tcPr>
          <w:p w14:paraId="30E5C424">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34CA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86" w:type="dxa"/>
          </w:tcPr>
          <w:p w14:paraId="34D1B8D6">
            <w:pPr>
              <w:pStyle w:val="38"/>
              <w:ind w:firstLine="0" w:firstLineChars="0"/>
              <w:rPr>
                <w:rFonts w:ascii="宋体" w:hAnsi="宋体"/>
                <w:sz w:val="21"/>
                <w:szCs w:val="21"/>
              </w:rPr>
            </w:pPr>
            <w:r>
              <w:rPr>
                <w:rFonts w:hint="eastAsia" w:ascii="宋体" w:hAnsi="宋体"/>
                <w:sz w:val="21"/>
                <w:szCs w:val="21"/>
              </w:rPr>
              <w:t>统计成果和报表产物</w:t>
            </w:r>
          </w:p>
        </w:tc>
        <w:tc>
          <w:tcPr>
            <w:tcW w:w="4928" w:type="dxa"/>
          </w:tcPr>
          <w:p w14:paraId="27CADFBF">
            <w:pPr>
              <w:pStyle w:val="38"/>
              <w:ind w:firstLine="0" w:firstLineChars="0"/>
              <w:rPr>
                <w:rFonts w:ascii="宋体" w:hAnsi="宋体"/>
                <w:sz w:val="21"/>
                <w:szCs w:val="21"/>
              </w:rPr>
            </w:pPr>
            <w:r>
              <w:rPr>
                <w:rFonts w:hint="eastAsia" w:ascii="宋体" w:hAnsi="宋体"/>
                <w:sz w:val="21"/>
                <w:szCs w:val="21"/>
              </w:rPr>
              <w:t>符合数据运营报表工作的实际需求，支持以页面、报告、文件等形式的交付</w:t>
            </w:r>
          </w:p>
          <w:p w14:paraId="15D58FDB">
            <w:pPr>
              <w:pStyle w:val="38"/>
              <w:ind w:firstLine="0" w:firstLineChars="0"/>
              <w:rPr>
                <w:rFonts w:ascii="宋体" w:hAnsi="宋体"/>
                <w:sz w:val="21"/>
                <w:szCs w:val="21"/>
              </w:rPr>
            </w:pPr>
            <w:r>
              <w:rPr>
                <w:rFonts w:hint="eastAsia" w:ascii="宋体" w:hAnsi="宋体"/>
                <w:sz w:val="21"/>
                <w:szCs w:val="21"/>
              </w:rPr>
              <w:t>（若有）大屏展示数据治理需求，要求可按大屏分辨率进行适配。</w:t>
            </w:r>
          </w:p>
        </w:tc>
      </w:tr>
    </w:tbl>
    <w:p w14:paraId="43BD5108">
      <w:pPr>
        <w:tabs>
          <w:tab w:val="left" w:pos="1134"/>
        </w:tabs>
        <w:ind w:firstLine="420"/>
        <w:rPr>
          <w:sz w:val="21"/>
          <w:szCs w:val="21"/>
        </w:rPr>
      </w:pPr>
    </w:p>
    <w:p w14:paraId="264735D7">
      <w:pPr>
        <w:pStyle w:val="5"/>
        <w:ind w:firstLine="560"/>
        <w:rPr>
          <w:sz w:val="21"/>
          <w:szCs w:val="21"/>
        </w:rPr>
      </w:pPr>
      <w:r>
        <w:rPr>
          <w:rFonts w:hint="eastAsia"/>
          <w:sz w:val="21"/>
          <w:szCs w:val="21"/>
        </w:rPr>
        <w:t>数据挖掘建模</w:t>
      </w:r>
    </w:p>
    <w:p w14:paraId="5AEC8261">
      <w:pPr>
        <w:ind w:firstLine="480"/>
        <w:rPr>
          <w:sz w:val="21"/>
          <w:szCs w:val="21"/>
        </w:rPr>
      </w:pPr>
      <w:r>
        <w:rPr>
          <w:rFonts w:hint="eastAsia"/>
          <w:sz w:val="21"/>
          <w:szCs w:val="21"/>
        </w:rPr>
        <w:t>数据挖掘建模是指对不同的业务场景、分析目标、观测目的等各类需求，按需通过数据挖掘手段、业务模型搭建、分层分析等手段对跨域跨部门的数据进行汇总分析，并提供分析报告或行动建议的一系列过程。</w:t>
      </w:r>
    </w:p>
    <w:p w14:paraId="10DDCAC0">
      <w:pPr>
        <w:ind w:firstLine="480"/>
        <w:rPr>
          <w:sz w:val="21"/>
          <w:szCs w:val="21"/>
        </w:rPr>
      </w:pPr>
      <w:r>
        <w:rPr>
          <w:rFonts w:hint="eastAsia"/>
          <w:sz w:val="21"/>
          <w:szCs w:val="21"/>
        </w:rPr>
        <w:t>本项服务需按照建模复杂度、涉及数据领域的数量等因素，设置难度系数N（N=0.1-2)，基于难度计算服务工作量；</w:t>
      </w:r>
    </w:p>
    <w:p w14:paraId="559E9CD4">
      <w:pPr>
        <w:ind w:firstLine="480"/>
        <w:rPr>
          <w:sz w:val="21"/>
          <w:szCs w:val="21"/>
        </w:rPr>
      </w:pPr>
      <w:r>
        <w:rPr>
          <w:rFonts w:hint="eastAsia"/>
          <w:sz w:val="21"/>
          <w:szCs w:val="21"/>
        </w:rPr>
        <w:t>根据数据运营重点工作要求，输出物及标准包括但不限于：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720"/>
      </w:tblGrid>
      <w:tr w14:paraId="46B3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802" w:type="dxa"/>
            <w:vAlign w:val="center"/>
          </w:tcPr>
          <w:p w14:paraId="3CD04619">
            <w:pPr>
              <w:ind w:firstLine="422"/>
              <w:jc w:val="center"/>
              <w:rPr>
                <w:b/>
                <w:bCs/>
                <w:sz w:val="21"/>
                <w:szCs w:val="21"/>
              </w:rPr>
            </w:pPr>
            <w:r>
              <w:rPr>
                <w:rFonts w:hint="eastAsia"/>
                <w:b/>
                <w:bCs/>
                <w:sz w:val="21"/>
                <w:szCs w:val="21"/>
              </w:rPr>
              <w:t>输出物</w:t>
            </w:r>
          </w:p>
        </w:tc>
        <w:tc>
          <w:tcPr>
            <w:tcW w:w="5720" w:type="dxa"/>
            <w:vAlign w:val="center"/>
          </w:tcPr>
          <w:p w14:paraId="062321BA">
            <w:pPr>
              <w:ind w:firstLine="422"/>
              <w:jc w:val="center"/>
              <w:rPr>
                <w:b/>
                <w:bCs/>
                <w:sz w:val="21"/>
                <w:szCs w:val="21"/>
              </w:rPr>
            </w:pPr>
            <w:r>
              <w:rPr>
                <w:rFonts w:hint="eastAsia"/>
                <w:b/>
                <w:bCs/>
                <w:sz w:val="21"/>
                <w:szCs w:val="21"/>
              </w:rPr>
              <w:t>输出物标准</w:t>
            </w:r>
          </w:p>
        </w:tc>
      </w:tr>
      <w:tr w14:paraId="0300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0B3FFCD0">
            <w:pPr>
              <w:pStyle w:val="39"/>
              <w:ind w:firstLine="0" w:firstLineChars="0"/>
              <w:rPr>
                <w:rFonts w:ascii="宋体" w:hAnsi="宋体"/>
                <w:sz w:val="21"/>
                <w:szCs w:val="21"/>
              </w:rPr>
            </w:pPr>
            <w:r>
              <w:rPr>
                <w:rFonts w:hint="eastAsia" w:ascii="宋体" w:hAnsi="宋体"/>
                <w:sz w:val="21"/>
                <w:szCs w:val="21"/>
              </w:rPr>
              <w:t>数据运营服务需求单</w:t>
            </w:r>
          </w:p>
        </w:tc>
        <w:tc>
          <w:tcPr>
            <w:tcW w:w="5720" w:type="dxa"/>
            <w:vAlign w:val="center"/>
          </w:tcPr>
          <w:p w14:paraId="0A8C26AC">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701B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02" w:type="dxa"/>
          </w:tcPr>
          <w:p w14:paraId="3C9D549A">
            <w:pPr>
              <w:pStyle w:val="39"/>
              <w:ind w:firstLine="0" w:firstLineChars="0"/>
              <w:jc w:val="left"/>
              <w:rPr>
                <w:rFonts w:ascii="宋体" w:hAnsi="宋体"/>
                <w:sz w:val="21"/>
                <w:szCs w:val="21"/>
              </w:rPr>
            </w:pPr>
            <w:r>
              <w:rPr>
                <w:rFonts w:hint="eastAsia" w:ascii="宋体" w:hAnsi="宋体"/>
                <w:sz w:val="21"/>
                <w:szCs w:val="21"/>
              </w:rPr>
              <w:t>需求规格说明书</w:t>
            </w:r>
          </w:p>
        </w:tc>
        <w:tc>
          <w:tcPr>
            <w:tcW w:w="5720" w:type="dxa"/>
          </w:tcPr>
          <w:p w14:paraId="0538A6DA">
            <w:pPr>
              <w:pStyle w:val="39"/>
              <w:ind w:firstLine="0" w:firstLineChars="0"/>
              <w:jc w:val="left"/>
              <w:rPr>
                <w:rFonts w:ascii="宋体" w:hAnsi="宋体"/>
                <w:sz w:val="21"/>
                <w:szCs w:val="21"/>
              </w:rPr>
            </w:pPr>
            <w:r>
              <w:rPr>
                <w:rFonts w:hint="eastAsia" w:ascii="宋体" w:hAnsi="宋体"/>
                <w:sz w:val="21"/>
                <w:szCs w:val="21"/>
              </w:rPr>
              <w:t>涵盖目标、功能需求、运行环境等内容</w:t>
            </w:r>
          </w:p>
        </w:tc>
      </w:tr>
      <w:tr w14:paraId="11D2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D6AB0A3">
            <w:pPr>
              <w:pStyle w:val="39"/>
              <w:ind w:firstLine="0" w:firstLineChars="0"/>
              <w:jc w:val="left"/>
              <w:rPr>
                <w:rFonts w:ascii="宋体" w:hAnsi="宋体"/>
                <w:sz w:val="21"/>
                <w:szCs w:val="21"/>
              </w:rPr>
            </w:pPr>
            <w:r>
              <w:rPr>
                <w:rFonts w:hint="eastAsia" w:ascii="宋体" w:hAnsi="宋体"/>
                <w:sz w:val="21"/>
                <w:szCs w:val="21"/>
              </w:rPr>
              <w:t>设计文档（含指标设计）</w:t>
            </w:r>
          </w:p>
        </w:tc>
        <w:tc>
          <w:tcPr>
            <w:tcW w:w="5720" w:type="dxa"/>
          </w:tcPr>
          <w:p w14:paraId="508F0E1B">
            <w:pPr>
              <w:pStyle w:val="39"/>
              <w:ind w:firstLine="0" w:firstLineChars="0"/>
              <w:jc w:val="left"/>
              <w:rPr>
                <w:rFonts w:ascii="宋体" w:hAnsi="宋体"/>
                <w:sz w:val="21"/>
                <w:szCs w:val="21"/>
              </w:rPr>
            </w:pPr>
            <w:r>
              <w:rPr>
                <w:rFonts w:hint="eastAsia" w:ascii="宋体" w:hAnsi="宋体"/>
                <w:sz w:val="21"/>
                <w:szCs w:val="21"/>
              </w:rPr>
              <w:t>符合数据运营工作实际需求，符合数据标准和公共数据模型设计规范，并评审通过。</w:t>
            </w:r>
          </w:p>
        </w:tc>
      </w:tr>
      <w:tr w14:paraId="77A0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7C6EFAE">
            <w:pPr>
              <w:pStyle w:val="39"/>
              <w:ind w:firstLine="0" w:firstLineChars="0"/>
              <w:jc w:val="left"/>
              <w:rPr>
                <w:rFonts w:ascii="宋体" w:hAnsi="宋体"/>
                <w:sz w:val="21"/>
                <w:szCs w:val="21"/>
              </w:rPr>
            </w:pPr>
            <w:r>
              <w:rPr>
                <w:rFonts w:hint="eastAsia" w:ascii="宋体" w:hAnsi="宋体"/>
                <w:sz w:val="21"/>
                <w:szCs w:val="21"/>
              </w:rPr>
              <w:t>加工成果数据</w:t>
            </w:r>
          </w:p>
        </w:tc>
        <w:tc>
          <w:tcPr>
            <w:tcW w:w="5720" w:type="dxa"/>
          </w:tcPr>
          <w:p w14:paraId="509DAF79">
            <w:pPr>
              <w:pStyle w:val="39"/>
              <w:ind w:firstLine="0" w:firstLineChars="0"/>
              <w:jc w:val="left"/>
              <w:rPr>
                <w:rFonts w:ascii="宋体" w:hAnsi="宋体"/>
                <w:sz w:val="21"/>
                <w:szCs w:val="21"/>
              </w:rPr>
            </w:pPr>
            <w:r>
              <w:rPr>
                <w:rFonts w:hint="eastAsia" w:ascii="宋体" w:hAnsi="宋体"/>
                <w:sz w:val="21"/>
                <w:szCs w:val="21"/>
              </w:rPr>
              <w:t>按照区大数据平台对数据存储的标准化要求进行数据上报</w:t>
            </w:r>
          </w:p>
        </w:tc>
      </w:tr>
      <w:tr w14:paraId="3DB7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C40B6FB">
            <w:pPr>
              <w:pStyle w:val="38"/>
              <w:ind w:firstLine="0" w:firstLineChars="0"/>
              <w:rPr>
                <w:rFonts w:ascii="宋体" w:hAnsi="宋体"/>
                <w:sz w:val="21"/>
                <w:szCs w:val="21"/>
              </w:rPr>
            </w:pPr>
            <w:r>
              <w:rPr>
                <w:rFonts w:hint="eastAsia" w:ascii="宋体" w:hAnsi="宋体"/>
                <w:sz w:val="21"/>
                <w:szCs w:val="21"/>
              </w:rPr>
              <w:t>模型测试报告</w:t>
            </w:r>
          </w:p>
        </w:tc>
        <w:tc>
          <w:tcPr>
            <w:tcW w:w="5720" w:type="dxa"/>
          </w:tcPr>
          <w:p w14:paraId="0D929DBC">
            <w:pPr>
              <w:pStyle w:val="39"/>
              <w:ind w:firstLine="0" w:firstLineChars="0"/>
              <w:jc w:val="left"/>
              <w:rPr>
                <w:rFonts w:ascii="宋体" w:hAnsi="宋体"/>
                <w:sz w:val="21"/>
                <w:szCs w:val="21"/>
              </w:rPr>
            </w:pPr>
            <w:r>
              <w:rPr>
                <w:rFonts w:hint="eastAsia" w:ascii="宋体" w:hAnsi="宋体"/>
                <w:sz w:val="21"/>
                <w:szCs w:val="21"/>
              </w:rPr>
              <w:t>从测试环境、测试方法、业务场景等各个维度对此轮测试进行总结</w:t>
            </w:r>
          </w:p>
        </w:tc>
      </w:tr>
      <w:tr w14:paraId="6E3C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308759E5">
            <w:pPr>
              <w:pStyle w:val="38"/>
              <w:ind w:firstLine="0" w:firstLineChars="0"/>
              <w:rPr>
                <w:rFonts w:ascii="宋体" w:hAnsi="宋体"/>
                <w:sz w:val="21"/>
                <w:szCs w:val="21"/>
              </w:rPr>
            </w:pPr>
            <w:r>
              <w:rPr>
                <w:rFonts w:hint="eastAsia" w:ascii="宋体" w:hAnsi="宋体"/>
                <w:sz w:val="21"/>
                <w:szCs w:val="21"/>
              </w:rPr>
              <w:t>分析报告（如有）</w:t>
            </w:r>
          </w:p>
        </w:tc>
        <w:tc>
          <w:tcPr>
            <w:tcW w:w="5720" w:type="dxa"/>
          </w:tcPr>
          <w:p w14:paraId="5CFE8477">
            <w:pPr>
              <w:pStyle w:val="38"/>
              <w:ind w:firstLine="0" w:firstLineChars="0"/>
              <w:rPr>
                <w:rFonts w:ascii="宋体" w:hAnsi="宋体"/>
                <w:sz w:val="21"/>
                <w:szCs w:val="21"/>
              </w:rPr>
            </w:pPr>
            <w:r>
              <w:rPr>
                <w:rFonts w:hint="eastAsia" w:ascii="宋体" w:hAnsi="宋体"/>
                <w:sz w:val="21"/>
                <w:szCs w:val="21"/>
              </w:rPr>
              <w:t>符合分析报告模板，评审通过，附评审文档。</w:t>
            </w:r>
          </w:p>
        </w:tc>
      </w:tr>
      <w:tr w14:paraId="2791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95C7495">
            <w:pPr>
              <w:pStyle w:val="38"/>
              <w:ind w:firstLine="0" w:firstLineChars="0"/>
              <w:rPr>
                <w:rFonts w:ascii="宋体" w:hAnsi="宋体"/>
                <w:sz w:val="21"/>
                <w:szCs w:val="21"/>
              </w:rPr>
            </w:pPr>
            <w:r>
              <w:rPr>
                <w:rFonts w:hint="eastAsia" w:ascii="宋体" w:hAnsi="宋体"/>
                <w:sz w:val="21"/>
                <w:szCs w:val="21"/>
              </w:rPr>
              <w:t>成果总结</w:t>
            </w:r>
          </w:p>
        </w:tc>
        <w:tc>
          <w:tcPr>
            <w:tcW w:w="5720" w:type="dxa"/>
          </w:tcPr>
          <w:p w14:paraId="4D664734">
            <w:pPr>
              <w:pStyle w:val="38"/>
              <w:ind w:firstLine="0" w:firstLineChars="0"/>
              <w:rPr>
                <w:rFonts w:ascii="宋体" w:hAnsi="宋体"/>
                <w:sz w:val="21"/>
                <w:szCs w:val="21"/>
              </w:rPr>
            </w:pPr>
            <w:r>
              <w:rPr>
                <w:rFonts w:hint="eastAsia" w:ascii="宋体" w:hAnsi="宋体"/>
                <w:sz w:val="21"/>
                <w:szCs w:val="21"/>
              </w:rPr>
              <w:t>涵盖建设内容、建设成果、运行情况等内容</w:t>
            </w:r>
          </w:p>
        </w:tc>
      </w:tr>
    </w:tbl>
    <w:p w14:paraId="1D4E15C1">
      <w:pPr>
        <w:tabs>
          <w:tab w:val="left" w:pos="1134"/>
        </w:tabs>
        <w:ind w:firstLine="420"/>
        <w:rPr>
          <w:sz w:val="21"/>
          <w:szCs w:val="21"/>
        </w:rPr>
      </w:pPr>
    </w:p>
    <w:p w14:paraId="46298BFF">
      <w:pPr>
        <w:pStyle w:val="5"/>
        <w:ind w:firstLine="560"/>
        <w:rPr>
          <w:sz w:val="21"/>
          <w:szCs w:val="21"/>
        </w:rPr>
      </w:pPr>
      <w:r>
        <w:rPr>
          <w:rFonts w:hint="eastAsia"/>
          <w:sz w:val="21"/>
          <w:szCs w:val="21"/>
        </w:rPr>
        <w:t>数据分类分级检查</w:t>
      </w:r>
    </w:p>
    <w:p w14:paraId="33339C22">
      <w:pPr>
        <w:ind w:firstLine="480"/>
        <w:rPr>
          <w:sz w:val="21"/>
          <w:szCs w:val="21"/>
        </w:rPr>
      </w:pPr>
      <w:r>
        <w:rPr>
          <w:rFonts w:hint="eastAsia"/>
          <w:sz w:val="21"/>
          <w:szCs w:val="21"/>
        </w:rPr>
        <w:t>结合数据分级分类的管理要求，以及分级分类标准、技术指南等规范，制定数据分级分类检查方案，并对各类型数据进行分类分级检查，提升数据安全的管理能力和管理水平，便于规避数据运营过程中的数据安全风险。</w:t>
      </w:r>
    </w:p>
    <w:p w14:paraId="6D25EE7A">
      <w:pPr>
        <w:ind w:firstLine="480"/>
        <w:rPr>
          <w:sz w:val="21"/>
          <w:szCs w:val="21"/>
        </w:rPr>
      </w:pPr>
      <w:r>
        <w:rPr>
          <w:rFonts w:hint="eastAsia"/>
          <w:sz w:val="21"/>
          <w:szCs w:val="21"/>
        </w:rPr>
        <w:t>根据数据运营重点工作要求，输出物及标准包括但不限于：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5634"/>
      </w:tblGrid>
      <w:tr w14:paraId="2791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662" w:type="dxa"/>
          </w:tcPr>
          <w:p w14:paraId="4B56F4F1">
            <w:pPr>
              <w:pStyle w:val="39"/>
              <w:ind w:firstLine="0" w:firstLineChars="0"/>
              <w:jc w:val="center"/>
              <w:rPr>
                <w:rFonts w:cs="Times New Roman"/>
                <w:b/>
                <w:bCs/>
                <w:sz w:val="21"/>
                <w:szCs w:val="21"/>
              </w:rPr>
            </w:pPr>
            <w:r>
              <w:rPr>
                <w:rFonts w:hint="eastAsia" w:cs="Times New Roman"/>
                <w:b/>
                <w:bCs/>
                <w:sz w:val="21"/>
                <w:szCs w:val="21"/>
              </w:rPr>
              <w:t>输出物</w:t>
            </w:r>
          </w:p>
        </w:tc>
        <w:tc>
          <w:tcPr>
            <w:tcW w:w="5634" w:type="dxa"/>
          </w:tcPr>
          <w:p w14:paraId="248AD738">
            <w:pPr>
              <w:pStyle w:val="39"/>
              <w:ind w:firstLine="0" w:firstLineChars="0"/>
              <w:jc w:val="center"/>
              <w:rPr>
                <w:rFonts w:cs="Times New Roman"/>
                <w:b/>
                <w:bCs/>
                <w:sz w:val="21"/>
                <w:szCs w:val="21"/>
              </w:rPr>
            </w:pPr>
            <w:r>
              <w:rPr>
                <w:rFonts w:hint="eastAsia" w:cs="Times New Roman"/>
                <w:b/>
                <w:bCs/>
                <w:sz w:val="21"/>
                <w:szCs w:val="21"/>
              </w:rPr>
              <w:t>输出物标准</w:t>
            </w:r>
          </w:p>
        </w:tc>
      </w:tr>
      <w:tr w14:paraId="7661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vAlign w:val="center"/>
          </w:tcPr>
          <w:p w14:paraId="7BEB08A0">
            <w:pPr>
              <w:pStyle w:val="38"/>
              <w:ind w:firstLine="0" w:firstLineChars="0"/>
              <w:rPr>
                <w:sz w:val="21"/>
                <w:szCs w:val="21"/>
              </w:rPr>
            </w:pPr>
            <w:r>
              <w:rPr>
                <w:rFonts w:hint="eastAsia"/>
                <w:sz w:val="21"/>
                <w:szCs w:val="21"/>
              </w:rPr>
              <w:t>数据分类分级检查方案</w:t>
            </w:r>
          </w:p>
        </w:tc>
        <w:tc>
          <w:tcPr>
            <w:tcW w:w="5634" w:type="dxa"/>
            <w:vAlign w:val="center"/>
          </w:tcPr>
          <w:p w14:paraId="36C9F939">
            <w:pPr>
              <w:pStyle w:val="38"/>
              <w:ind w:firstLine="0" w:firstLineChars="0"/>
              <w:rPr>
                <w:sz w:val="21"/>
                <w:szCs w:val="21"/>
              </w:rPr>
            </w:pPr>
            <w:r>
              <w:rPr>
                <w:rFonts w:hint="eastAsia"/>
                <w:sz w:val="21"/>
                <w:szCs w:val="21"/>
              </w:rPr>
              <w:t>符合分类分级工作实际需求，符合数据分类分级标准规范。</w:t>
            </w:r>
          </w:p>
        </w:tc>
      </w:tr>
      <w:tr w14:paraId="118F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2" w:type="dxa"/>
            <w:vAlign w:val="center"/>
          </w:tcPr>
          <w:p w14:paraId="0A4AE94A">
            <w:pPr>
              <w:pStyle w:val="38"/>
              <w:ind w:firstLine="0" w:firstLineChars="0"/>
              <w:rPr>
                <w:sz w:val="21"/>
                <w:szCs w:val="21"/>
              </w:rPr>
            </w:pPr>
            <w:r>
              <w:rPr>
                <w:rFonts w:hint="eastAsia"/>
                <w:sz w:val="21"/>
                <w:szCs w:val="21"/>
              </w:rPr>
              <w:t>数据分类分级检查</w:t>
            </w:r>
            <w:r>
              <w:rPr>
                <w:rFonts w:hint="eastAsia" w:ascii="宋体" w:hAnsi="宋体"/>
                <w:sz w:val="21"/>
                <w:szCs w:val="21"/>
              </w:rPr>
              <w:t>报告</w:t>
            </w:r>
          </w:p>
        </w:tc>
        <w:tc>
          <w:tcPr>
            <w:tcW w:w="5634" w:type="dxa"/>
            <w:vAlign w:val="center"/>
          </w:tcPr>
          <w:p w14:paraId="50E27366">
            <w:pPr>
              <w:pStyle w:val="38"/>
              <w:ind w:firstLine="0" w:firstLineChars="0"/>
              <w:rPr>
                <w:sz w:val="21"/>
                <w:szCs w:val="21"/>
              </w:rPr>
            </w:pPr>
            <w:r>
              <w:rPr>
                <w:rFonts w:hint="eastAsia" w:ascii="宋体" w:hAnsi="宋体"/>
                <w:sz w:val="21"/>
                <w:szCs w:val="21"/>
              </w:rPr>
              <w:t>覆盖全部检查对象，符合分类分级标准规范要求的数据</w:t>
            </w:r>
            <w:r>
              <w:rPr>
                <w:rFonts w:hint="eastAsia"/>
                <w:sz w:val="21"/>
                <w:szCs w:val="21"/>
              </w:rPr>
              <w:t>分类分级检查</w:t>
            </w:r>
            <w:r>
              <w:rPr>
                <w:rFonts w:hint="eastAsia" w:ascii="宋体" w:hAnsi="宋体"/>
                <w:sz w:val="21"/>
                <w:szCs w:val="21"/>
              </w:rPr>
              <w:t>报告。</w:t>
            </w:r>
          </w:p>
        </w:tc>
      </w:tr>
    </w:tbl>
    <w:p w14:paraId="767A8D3F">
      <w:pPr>
        <w:tabs>
          <w:tab w:val="left" w:pos="1134"/>
        </w:tabs>
        <w:ind w:firstLine="420"/>
        <w:rPr>
          <w:sz w:val="21"/>
          <w:szCs w:val="21"/>
        </w:rPr>
      </w:pPr>
    </w:p>
    <w:p w14:paraId="69332D16">
      <w:pPr>
        <w:pStyle w:val="5"/>
        <w:ind w:firstLine="560"/>
        <w:rPr>
          <w:sz w:val="21"/>
          <w:szCs w:val="21"/>
        </w:rPr>
      </w:pPr>
      <w:r>
        <w:rPr>
          <w:rFonts w:hint="eastAsia"/>
          <w:sz w:val="21"/>
          <w:szCs w:val="21"/>
        </w:rPr>
        <w:t>数据加密/脱敏等控制</w:t>
      </w:r>
    </w:p>
    <w:p w14:paraId="7E4949E9">
      <w:pPr>
        <w:ind w:firstLine="480"/>
        <w:rPr>
          <w:sz w:val="21"/>
          <w:szCs w:val="21"/>
        </w:rPr>
      </w:pPr>
      <w:r>
        <w:rPr>
          <w:rFonts w:hint="eastAsia"/>
          <w:sz w:val="21"/>
          <w:szCs w:val="21"/>
        </w:rPr>
        <w:t>本项服务要求面向数据汇集、库表构建、数据开发、共享开放、后台运维等数据应用场景，用于提升数据防护能力，在满足业务需求正常开展的前提下，最大限度的对敏感数据进行保护，防止敏感数据泄露事件的发生，通过数据安全控制服务进行持续保障数据安全控制相应的应用系统安全、稳定运行。</w:t>
      </w:r>
    </w:p>
    <w:p w14:paraId="4B066295">
      <w:pPr>
        <w:ind w:firstLine="480"/>
        <w:rPr>
          <w:sz w:val="21"/>
          <w:szCs w:val="21"/>
        </w:rPr>
      </w:pPr>
      <w:r>
        <w:rPr>
          <w:rFonts w:hint="eastAsia"/>
          <w:sz w:val="21"/>
          <w:szCs w:val="21"/>
        </w:rPr>
        <w:t>在估算数据加密、脱敏服务运营服务单的总量时，需按照运营数据的总量施行阶梯式计算，以0-</w:t>
      </w:r>
      <w:r>
        <w:rPr>
          <w:sz w:val="21"/>
          <w:szCs w:val="21"/>
        </w:rPr>
        <w:t>100</w:t>
      </w:r>
      <w:r>
        <w:rPr>
          <w:rFonts w:hint="eastAsia"/>
          <w:sz w:val="21"/>
          <w:szCs w:val="21"/>
        </w:rPr>
        <w:t>万条、</w:t>
      </w:r>
      <w:r>
        <w:rPr>
          <w:sz w:val="21"/>
          <w:szCs w:val="21"/>
        </w:rPr>
        <w:t>100</w:t>
      </w:r>
      <w:r>
        <w:rPr>
          <w:rFonts w:hint="eastAsia"/>
          <w:sz w:val="21"/>
          <w:szCs w:val="21"/>
        </w:rPr>
        <w:t>-</w:t>
      </w:r>
      <w:r>
        <w:rPr>
          <w:sz w:val="21"/>
          <w:szCs w:val="21"/>
        </w:rPr>
        <w:t>300</w:t>
      </w:r>
      <w:r>
        <w:rPr>
          <w:rFonts w:hint="eastAsia"/>
          <w:sz w:val="21"/>
          <w:szCs w:val="21"/>
        </w:rPr>
        <w:t>万条、3</w:t>
      </w:r>
      <w:r>
        <w:rPr>
          <w:sz w:val="21"/>
          <w:szCs w:val="21"/>
        </w:rPr>
        <w:t>00</w:t>
      </w:r>
      <w:r>
        <w:rPr>
          <w:rFonts w:hint="eastAsia"/>
          <w:sz w:val="21"/>
          <w:szCs w:val="21"/>
        </w:rPr>
        <w:t>万条以上三档计算，并限定工单最高价服务价格。</w:t>
      </w:r>
    </w:p>
    <w:p w14:paraId="3E4C4B08">
      <w:pPr>
        <w:ind w:firstLine="480"/>
        <w:rPr>
          <w:sz w:val="21"/>
          <w:szCs w:val="21"/>
        </w:rPr>
      </w:pPr>
      <w:r>
        <w:rPr>
          <w:rFonts w:hint="eastAsia"/>
          <w:sz w:val="21"/>
          <w:szCs w:val="21"/>
        </w:rPr>
        <w:t>根据数据运营安全管理工作要求，输出物及标准包括：</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295"/>
      </w:tblGrid>
      <w:tr w14:paraId="4E72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227" w:type="dxa"/>
            <w:vAlign w:val="center"/>
          </w:tcPr>
          <w:p w14:paraId="65FDA3C0">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w:t>
            </w:r>
          </w:p>
        </w:tc>
        <w:tc>
          <w:tcPr>
            <w:tcW w:w="5295" w:type="dxa"/>
            <w:vAlign w:val="center"/>
          </w:tcPr>
          <w:p w14:paraId="6026A69D">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输出物标准</w:t>
            </w:r>
          </w:p>
        </w:tc>
      </w:tr>
      <w:tr w14:paraId="0819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54C01576">
            <w:pPr>
              <w:pStyle w:val="39"/>
              <w:ind w:firstLine="0" w:firstLineChars="0"/>
              <w:rPr>
                <w:rFonts w:ascii="宋体" w:hAnsi="宋体"/>
                <w:sz w:val="21"/>
                <w:szCs w:val="21"/>
              </w:rPr>
            </w:pPr>
            <w:r>
              <w:rPr>
                <w:rFonts w:hint="eastAsia"/>
                <w:sz w:val="21"/>
                <w:szCs w:val="21"/>
              </w:rPr>
              <w:t>安全控制配置化规则</w:t>
            </w:r>
          </w:p>
        </w:tc>
        <w:tc>
          <w:tcPr>
            <w:tcW w:w="5295" w:type="dxa"/>
            <w:vAlign w:val="center"/>
          </w:tcPr>
          <w:p w14:paraId="1A5C67C6">
            <w:pPr>
              <w:pStyle w:val="39"/>
              <w:ind w:firstLine="0" w:firstLineChars="0"/>
              <w:rPr>
                <w:rFonts w:ascii="宋体" w:hAnsi="宋体"/>
                <w:sz w:val="21"/>
                <w:szCs w:val="21"/>
              </w:rPr>
            </w:pPr>
            <w:r>
              <w:rPr>
                <w:rFonts w:hint="eastAsia"/>
                <w:sz w:val="21"/>
                <w:szCs w:val="21"/>
              </w:rPr>
              <w:t>评审通过，附评审报告</w:t>
            </w:r>
          </w:p>
        </w:tc>
      </w:tr>
      <w:tr w14:paraId="7642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10D10175">
            <w:pPr>
              <w:pStyle w:val="39"/>
              <w:ind w:firstLine="0" w:firstLineChars="0"/>
              <w:rPr>
                <w:sz w:val="21"/>
                <w:szCs w:val="21"/>
              </w:rPr>
            </w:pPr>
            <w:r>
              <w:rPr>
                <w:rFonts w:hint="eastAsia"/>
                <w:sz w:val="21"/>
                <w:szCs w:val="21"/>
              </w:rPr>
              <w:t>安全控制执行日志</w:t>
            </w:r>
          </w:p>
        </w:tc>
        <w:tc>
          <w:tcPr>
            <w:tcW w:w="5295" w:type="dxa"/>
            <w:vAlign w:val="center"/>
          </w:tcPr>
          <w:p w14:paraId="7FCB7153">
            <w:pPr>
              <w:pStyle w:val="39"/>
              <w:ind w:firstLine="0" w:firstLineChars="0"/>
              <w:rPr>
                <w:sz w:val="21"/>
                <w:szCs w:val="21"/>
              </w:rPr>
            </w:pPr>
            <w:r>
              <w:rPr>
                <w:rFonts w:hint="eastAsia"/>
                <w:sz w:val="21"/>
                <w:szCs w:val="21"/>
              </w:rPr>
              <w:t>包含安全控制策略、控制记录数等信息。</w:t>
            </w:r>
          </w:p>
        </w:tc>
      </w:tr>
      <w:tr w14:paraId="3611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2C2F3633">
            <w:pPr>
              <w:pStyle w:val="39"/>
              <w:ind w:firstLine="0" w:firstLineChars="0"/>
              <w:rPr>
                <w:sz w:val="21"/>
                <w:szCs w:val="21"/>
              </w:rPr>
            </w:pPr>
            <w:r>
              <w:rPr>
                <w:rFonts w:hint="eastAsia"/>
                <w:sz w:val="21"/>
                <w:szCs w:val="21"/>
              </w:rPr>
              <w:t>数据安全控制服务报告（如有）</w:t>
            </w:r>
          </w:p>
        </w:tc>
        <w:tc>
          <w:tcPr>
            <w:tcW w:w="5295" w:type="dxa"/>
            <w:vAlign w:val="center"/>
          </w:tcPr>
          <w:p w14:paraId="20480826">
            <w:pPr>
              <w:pStyle w:val="39"/>
              <w:ind w:firstLine="0" w:firstLineChars="0"/>
              <w:rPr>
                <w:sz w:val="21"/>
                <w:szCs w:val="21"/>
              </w:rPr>
            </w:pPr>
            <w:r>
              <w:rPr>
                <w:rFonts w:hint="eastAsia"/>
                <w:sz w:val="21"/>
                <w:szCs w:val="21"/>
              </w:rPr>
              <w:t>包含脱敏、加密、加水印后安全控制服务的分析报告</w:t>
            </w:r>
          </w:p>
        </w:tc>
      </w:tr>
    </w:tbl>
    <w:p w14:paraId="48B52F81">
      <w:pPr>
        <w:tabs>
          <w:tab w:val="left" w:pos="1134"/>
        </w:tabs>
        <w:ind w:firstLine="420"/>
        <w:rPr>
          <w:sz w:val="21"/>
          <w:szCs w:val="21"/>
        </w:rPr>
      </w:pPr>
    </w:p>
    <w:p w14:paraId="173DBBD9">
      <w:pPr>
        <w:pStyle w:val="5"/>
        <w:ind w:firstLine="560"/>
        <w:rPr>
          <w:sz w:val="21"/>
          <w:szCs w:val="21"/>
        </w:rPr>
      </w:pPr>
      <w:r>
        <w:rPr>
          <w:sz w:val="21"/>
          <w:szCs w:val="21"/>
        </w:rPr>
        <w:t>作业调度</w:t>
      </w:r>
    </w:p>
    <w:p w14:paraId="155F2111">
      <w:pPr>
        <w:ind w:firstLine="480"/>
        <w:rPr>
          <w:sz w:val="21"/>
          <w:szCs w:val="21"/>
        </w:rPr>
      </w:pPr>
      <w:r>
        <w:rPr>
          <w:rFonts w:hint="eastAsia"/>
          <w:sz w:val="21"/>
          <w:szCs w:val="21"/>
        </w:rPr>
        <w:t>作业调度运营服务是指为了能够满足大数据中心及各委办局对于数据及时性及稳定性的要求，通过作业调度工具对日常数据加工、分发作业的调度管理进行监控，对中断的作业进行问题分析、定位、处理和记录。并通过事后的分析，明确问题缘由，及时修复，以便后续能够避免同类问题发生的一系列技术服务工作。</w:t>
      </w:r>
    </w:p>
    <w:p w14:paraId="436B13F2">
      <w:pPr>
        <w:ind w:firstLine="480"/>
        <w:rPr>
          <w:sz w:val="21"/>
          <w:szCs w:val="21"/>
        </w:rPr>
      </w:pPr>
      <w:r>
        <w:rPr>
          <w:rFonts w:hint="eastAsia"/>
          <w:sz w:val="21"/>
          <w:szCs w:val="21"/>
        </w:rPr>
        <w:t>其工作内容包含但不限于：日常数据加工、分发作业的调度管理，对于中断作业进行处置。</w:t>
      </w:r>
    </w:p>
    <w:p w14:paraId="5055C86E">
      <w:pPr>
        <w:ind w:firstLine="480"/>
        <w:rPr>
          <w:sz w:val="21"/>
          <w:szCs w:val="21"/>
        </w:rPr>
      </w:pPr>
      <w:r>
        <w:rPr>
          <w:rFonts w:hint="eastAsia"/>
          <w:sz w:val="21"/>
          <w:szCs w:val="21"/>
        </w:rPr>
        <w:t>根据数据运营重点工作要求，输出物及标准包括但不限于：</w:t>
      </w:r>
    </w:p>
    <w:tbl>
      <w:tblPr>
        <w:tblStyle w:val="1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12"/>
      </w:tblGrid>
      <w:tr w14:paraId="2C5D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60" w:type="dxa"/>
            <w:vAlign w:val="center"/>
          </w:tcPr>
          <w:p w14:paraId="3928D1B7">
            <w:pPr>
              <w:ind w:firstLine="422"/>
              <w:jc w:val="center"/>
              <w:rPr>
                <w:b/>
                <w:bCs/>
                <w:sz w:val="21"/>
                <w:szCs w:val="21"/>
              </w:rPr>
            </w:pPr>
            <w:r>
              <w:rPr>
                <w:rFonts w:hint="eastAsia"/>
                <w:b/>
                <w:bCs/>
                <w:sz w:val="21"/>
                <w:szCs w:val="21"/>
              </w:rPr>
              <w:t>输出物</w:t>
            </w:r>
          </w:p>
        </w:tc>
        <w:tc>
          <w:tcPr>
            <w:tcW w:w="5812" w:type="dxa"/>
            <w:vAlign w:val="center"/>
          </w:tcPr>
          <w:p w14:paraId="32E18460">
            <w:pPr>
              <w:ind w:firstLine="422"/>
              <w:jc w:val="center"/>
              <w:rPr>
                <w:b/>
                <w:bCs/>
                <w:sz w:val="21"/>
                <w:szCs w:val="21"/>
              </w:rPr>
            </w:pPr>
            <w:r>
              <w:rPr>
                <w:rFonts w:hint="eastAsia"/>
                <w:b/>
                <w:bCs/>
                <w:sz w:val="21"/>
                <w:szCs w:val="21"/>
              </w:rPr>
              <w:t>输出物标准</w:t>
            </w:r>
          </w:p>
        </w:tc>
      </w:tr>
      <w:tr w14:paraId="1E4D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0A50DF8">
            <w:pPr>
              <w:pStyle w:val="39"/>
              <w:ind w:firstLine="0" w:firstLineChars="0"/>
              <w:rPr>
                <w:rFonts w:ascii="宋体" w:hAnsi="宋体"/>
                <w:sz w:val="21"/>
                <w:szCs w:val="21"/>
              </w:rPr>
            </w:pPr>
            <w:r>
              <w:rPr>
                <w:rFonts w:hint="eastAsia" w:ascii="宋体" w:hAnsi="宋体"/>
                <w:sz w:val="21"/>
                <w:szCs w:val="21"/>
              </w:rPr>
              <w:t>数据运营服务需求单</w:t>
            </w:r>
          </w:p>
        </w:tc>
        <w:tc>
          <w:tcPr>
            <w:tcW w:w="5812" w:type="dxa"/>
            <w:vAlign w:val="center"/>
          </w:tcPr>
          <w:p w14:paraId="6B8A8ECD">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37DF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D95B515">
            <w:pPr>
              <w:pStyle w:val="39"/>
              <w:ind w:firstLine="0" w:firstLineChars="0"/>
              <w:rPr>
                <w:rFonts w:ascii="宋体" w:hAnsi="宋体"/>
                <w:sz w:val="21"/>
                <w:szCs w:val="21"/>
              </w:rPr>
            </w:pPr>
            <w:r>
              <w:rPr>
                <w:rFonts w:hint="eastAsia" w:ascii="宋体" w:hAnsi="宋体"/>
                <w:sz w:val="21"/>
                <w:szCs w:val="21"/>
              </w:rPr>
              <w:t>异常作业监控数据分析汇总报告</w:t>
            </w:r>
          </w:p>
        </w:tc>
        <w:tc>
          <w:tcPr>
            <w:tcW w:w="5812" w:type="dxa"/>
            <w:vAlign w:val="center"/>
          </w:tcPr>
          <w:p w14:paraId="1F6C3E82">
            <w:pPr>
              <w:pStyle w:val="38"/>
              <w:ind w:firstLine="0" w:firstLineChars="0"/>
              <w:jc w:val="left"/>
              <w:rPr>
                <w:rFonts w:ascii="宋体" w:hAnsi="宋体"/>
                <w:sz w:val="21"/>
                <w:szCs w:val="21"/>
              </w:rPr>
            </w:pPr>
            <w:r>
              <w:rPr>
                <w:rFonts w:hint="eastAsia" w:ascii="宋体" w:hAnsi="宋体"/>
                <w:sz w:val="21"/>
                <w:szCs w:val="21"/>
              </w:rPr>
              <w:t>作业监控数据汇总报告，包含作业异常分析等，业务需求方审核通过并提供运营服务完工验收单。</w:t>
            </w:r>
          </w:p>
        </w:tc>
      </w:tr>
      <w:tr w14:paraId="5A45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A7F9DB5">
            <w:pPr>
              <w:pStyle w:val="39"/>
              <w:ind w:firstLine="0" w:firstLineChars="0"/>
              <w:rPr>
                <w:rFonts w:ascii="宋体" w:hAnsi="宋体"/>
                <w:sz w:val="21"/>
                <w:szCs w:val="21"/>
              </w:rPr>
            </w:pPr>
            <w:r>
              <w:rPr>
                <w:rFonts w:hint="eastAsia" w:ascii="宋体" w:hAnsi="宋体"/>
                <w:sz w:val="21"/>
                <w:szCs w:val="21"/>
              </w:rPr>
              <w:t>月总结报告</w:t>
            </w:r>
          </w:p>
        </w:tc>
        <w:tc>
          <w:tcPr>
            <w:tcW w:w="5812" w:type="dxa"/>
            <w:vAlign w:val="center"/>
          </w:tcPr>
          <w:p w14:paraId="1FCA3586">
            <w:pPr>
              <w:pStyle w:val="39"/>
              <w:ind w:firstLine="0" w:firstLineChars="0"/>
              <w:rPr>
                <w:rFonts w:ascii="宋体" w:hAnsi="宋体"/>
                <w:sz w:val="21"/>
                <w:szCs w:val="21"/>
              </w:rPr>
            </w:pPr>
            <w:r>
              <w:rPr>
                <w:rFonts w:hint="eastAsia" w:ascii="宋体" w:hAnsi="宋体"/>
                <w:sz w:val="21"/>
                <w:szCs w:val="21"/>
              </w:rPr>
              <w:t>包含作业调度监控的运行情况；</w:t>
            </w:r>
          </w:p>
          <w:p w14:paraId="60E95259">
            <w:pPr>
              <w:pStyle w:val="39"/>
              <w:ind w:firstLine="0" w:firstLineChars="0"/>
              <w:rPr>
                <w:rFonts w:ascii="宋体" w:hAnsi="宋体"/>
                <w:sz w:val="21"/>
                <w:szCs w:val="21"/>
              </w:rPr>
            </w:pPr>
            <w:r>
              <w:rPr>
                <w:rFonts w:hint="eastAsia" w:ascii="宋体" w:hAnsi="宋体"/>
                <w:sz w:val="21"/>
                <w:szCs w:val="21"/>
              </w:rPr>
              <w:t>符合运营报告模板，并包含以下绩效指标：</w:t>
            </w:r>
          </w:p>
          <w:p w14:paraId="5BE88DB0">
            <w:pPr>
              <w:pStyle w:val="39"/>
              <w:ind w:firstLine="0" w:firstLineChars="0"/>
              <w:rPr>
                <w:rFonts w:ascii="宋体" w:hAnsi="宋体"/>
                <w:sz w:val="21"/>
                <w:szCs w:val="21"/>
              </w:rPr>
            </w:pPr>
            <w:r>
              <w:rPr>
                <w:rFonts w:hint="eastAsia" w:ascii="宋体" w:hAnsi="宋体"/>
                <w:sz w:val="21"/>
                <w:szCs w:val="21"/>
              </w:rPr>
              <w:t>作业规模数据量及变化记录</w:t>
            </w:r>
          </w:p>
          <w:p w14:paraId="1A01C5F0">
            <w:pPr>
              <w:pStyle w:val="39"/>
              <w:ind w:firstLine="0" w:firstLineChars="0"/>
              <w:rPr>
                <w:rFonts w:ascii="宋体" w:hAnsi="宋体"/>
                <w:sz w:val="21"/>
                <w:szCs w:val="21"/>
              </w:rPr>
            </w:pPr>
            <w:r>
              <w:rPr>
                <w:rFonts w:hint="eastAsia" w:ascii="宋体" w:hAnsi="宋体"/>
                <w:sz w:val="21"/>
                <w:szCs w:val="21"/>
              </w:rPr>
              <w:t>作业调度质量（数据准确性、数据完整性、数据一致性等）</w:t>
            </w:r>
          </w:p>
          <w:p w14:paraId="36AF2804">
            <w:pPr>
              <w:pStyle w:val="39"/>
              <w:ind w:firstLine="0" w:firstLineChars="0"/>
              <w:rPr>
                <w:rFonts w:ascii="宋体" w:hAnsi="宋体"/>
                <w:sz w:val="21"/>
                <w:szCs w:val="21"/>
              </w:rPr>
            </w:pPr>
            <w:r>
              <w:rPr>
                <w:rFonts w:hint="eastAsia" w:ascii="宋体" w:hAnsi="宋体"/>
                <w:sz w:val="21"/>
                <w:szCs w:val="21"/>
              </w:rPr>
              <w:t>附相关记录材料。</w:t>
            </w:r>
          </w:p>
        </w:tc>
      </w:tr>
    </w:tbl>
    <w:p w14:paraId="52FFE6C4">
      <w:pPr>
        <w:tabs>
          <w:tab w:val="left" w:pos="1134"/>
        </w:tabs>
        <w:ind w:firstLine="420"/>
        <w:rPr>
          <w:sz w:val="21"/>
          <w:szCs w:val="21"/>
        </w:rPr>
      </w:pPr>
    </w:p>
    <w:p w14:paraId="1162D9C6">
      <w:pPr>
        <w:pStyle w:val="4"/>
        <w:ind w:firstLine="643"/>
        <w:rPr>
          <w:sz w:val="21"/>
          <w:szCs w:val="21"/>
        </w:rPr>
      </w:pPr>
      <w:r>
        <w:rPr>
          <w:rFonts w:hint="eastAsia"/>
          <w:sz w:val="21"/>
          <w:szCs w:val="21"/>
        </w:rPr>
        <w:t>应用服务类运营项服务要求</w:t>
      </w:r>
    </w:p>
    <w:p w14:paraId="149D79C7">
      <w:pPr>
        <w:ind w:firstLine="480"/>
        <w:rPr>
          <w:sz w:val="21"/>
          <w:szCs w:val="21"/>
        </w:rPr>
      </w:pPr>
      <w:r>
        <w:rPr>
          <w:rFonts w:hint="eastAsia"/>
          <w:sz w:val="21"/>
          <w:szCs w:val="21"/>
        </w:rPr>
        <w:t>本项服务工作，旨在通过对区大数据平台数据的应用加工和运营管理，推进数据开放应用，开通数据对外开放的渠道，挖掘数据内在价值，推动委办局各自业务应用的发展。主要包括：</w:t>
      </w:r>
      <w:r>
        <w:rPr>
          <w:rFonts w:hint="eastAsia" w:ascii="Times New Roman"/>
          <w:sz w:val="21"/>
          <w:szCs w:val="21"/>
        </w:rPr>
        <w:t>数据共享/开放运营接入服务、公共数据上链服务、主（专）题数据库建设、可视化展现服务、公共数据社会化应用服务、数据共享/开放授权运营服务、数据安全评估/审核服务</w:t>
      </w:r>
      <w:r>
        <w:rPr>
          <w:rFonts w:hint="eastAsia"/>
          <w:sz w:val="21"/>
          <w:szCs w:val="21"/>
        </w:rPr>
        <w:t>等内容，具体运营服务工作要求如下：</w:t>
      </w:r>
    </w:p>
    <w:p w14:paraId="4DC595B2">
      <w:pPr>
        <w:pStyle w:val="5"/>
        <w:ind w:firstLine="560"/>
        <w:rPr>
          <w:sz w:val="21"/>
          <w:szCs w:val="21"/>
        </w:rPr>
      </w:pPr>
      <w:r>
        <w:rPr>
          <w:sz w:val="21"/>
          <w:szCs w:val="21"/>
        </w:rPr>
        <w:t>数据</w:t>
      </w:r>
      <w:r>
        <w:rPr>
          <w:rFonts w:hint="eastAsia"/>
          <w:sz w:val="21"/>
          <w:szCs w:val="21"/>
        </w:rPr>
        <w:t>共享/开放/运营接入</w:t>
      </w:r>
      <w:r>
        <w:rPr>
          <w:sz w:val="21"/>
          <w:szCs w:val="21"/>
        </w:rPr>
        <w:t>服务</w:t>
      </w:r>
    </w:p>
    <w:p w14:paraId="4A7E3076">
      <w:pPr>
        <w:ind w:firstLine="480"/>
        <w:rPr>
          <w:sz w:val="21"/>
          <w:szCs w:val="21"/>
        </w:rPr>
      </w:pPr>
      <w:r>
        <w:rPr>
          <w:rFonts w:hint="eastAsia"/>
          <w:sz w:val="21"/>
          <w:szCs w:val="21"/>
        </w:rPr>
        <w:t>数据共享开放服务是指为</w:t>
      </w:r>
      <w:r>
        <w:rPr>
          <w:sz w:val="21"/>
          <w:szCs w:val="21"/>
        </w:rPr>
        <w:t>促进公共数据共享和开放</w:t>
      </w:r>
      <w:r>
        <w:rPr>
          <w:rFonts w:hint="eastAsia"/>
          <w:sz w:val="21"/>
          <w:szCs w:val="21"/>
        </w:rPr>
        <w:t>，通过需求调研，接口开发，接口联调等过程最终完成各个政府单位和事业单位之间信息共享，</w:t>
      </w:r>
      <w:r>
        <w:rPr>
          <w:sz w:val="21"/>
          <w:szCs w:val="21"/>
        </w:rPr>
        <w:t>与民生紧密相关、社会迫切需要、商业增值潜力显著的公共数据向社会开放</w:t>
      </w:r>
      <w:r>
        <w:rPr>
          <w:rFonts w:hint="eastAsia"/>
          <w:sz w:val="21"/>
          <w:szCs w:val="21"/>
        </w:rPr>
        <w:t>的一系列服务工作。</w:t>
      </w:r>
    </w:p>
    <w:p w14:paraId="35740BD2">
      <w:pPr>
        <w:ind w:firstLine="480"/>
        <w:rPr>
          <w:sz w:val="21"/>
          <w:szCs w:val="21"/>
        </w:rPr>
      </w:pPr>
      <w:r>
        <w:rPr>
          <w:rFonts w:hint="eastAsia"/>
          <w:sz w:val="21"/>
          <w:szCs w:val="21"/>
        </w:rPr>
        <w:t>数据共享开放工作需要支撑不同的数据开放业务场景、服务类型达。服务接口文档完整、有调用示例，经过测试注册到资源交换平台发布至资源目录。需求方通过接口能够及时进行数据查询，提升数据利用效率和能力。</w:t>
      </w:r>
    </w:p>
    <w:p w14:paraId="2C54EFB5">
      <w:pPr>
        <w:ind w:firstLine="480"/>
        <w:rPr>
          <w:sz w:val="21"/>
          <w:szCs w:val="21"/>
        </w:rPr>
      </w:pPr>
      <w:r>
        <w:rPr>
          <w:rFonts w:hint="eastAsia"/>
          <w:sz w:val="21"/>
          <w:szCs w:val="21"/>
        </w:rPr>
        <w:t>根据数据运营重点工作要求，输出物及标准包括但不限于：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5"/>
        <w:gridCol w:w="5527"/>
      </w:tblGrid>
      <w:tr w14:paraId="2C5F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95" w:type="dxa"/>
            <w:vAlign w:val="center"/>
          </w:tcPr>
          <w:p w14:paraId="12FF45EB">
            <w:pPr>
              <w:ind w:firstLine="422"/>
              <w:jc w:val="center"/>
              <w:rPr>
                <w:b/>
                <w:bCs/>
                <w:sz w:val="21"/>
                <w:szCs w:val="21"/>
              </w:rPr>
            </w:pPr>
            <w:r>
              <w:rPr>
                <w:rFonts w:hint="eastAsia"/>
                <w:b/>
                <w:bCs/>
                <w:sz w:val="21"/>
                <w:szCs w:val="21"/>
              </w:rPr>
              <w:t>输出物</w:t>
            </w:r>
          </w:p>
        </w:tc>
        <w:tc>
          <w:tcPr>
            <w:tcW w:w="5527" w:type="dxa"/>
            <w:vAlign w:val="center"/>
          </w:tcPr>
          <w:p w14:paraId="78C0F01F">
            <w:pPr>
              <w:ind w:firstLine="422"/>
              <w:jc w:val="center"/>
              <w:rPr>
                <w:b/>
                <w:bCs/>
                <w:sz w:val="21"/>
                <w:szCs w:val="21"/>
              </w:rPr>
            </w:pPr>
            <w:r>
              <w:rPr>
                <w:rFonts w:hint="eastAsia"/>
                <w:b/>
                <w:bCs/>
                <w:sz w:val="21"/>
                <w:szCs w:val="21"/>
              </w:rPr>
              <w:t>输出物标准</w:t>
            </w:r>
          </w:p>
        </w:tc>
      </w:tr>
      <w:tr w14:paraId="234C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vAlign w:val="center"/>
          </w:tcPr>
          <w:p w14:paraId="204D300F">
            <w:pPr>
              <w:pStyle w:val="39"/>
              <w:ind w:firstLine="0" w:firstLineChars="0"/>
              <w:rPr>
                <w:rFonts w:ascii="宋体" w:hAnsi="宋体"/>
                <w:sz w:val="21"/>
                <w:szCs w:val="21"/>
              </w:rPr>
            </w:pPr>
            <w:r>
              <w:rPr>
                <w:rFonts w:hint="eastAsia" w:ascii="宋体" w:hAnsi="宋体"/>
                <w:sz w:val="21"/>
                <w:szCs w:val="21"/>
              </w:rPr>
              <w:t>数据运营服务需求单</w:t>
            </w:r>
          </w:p>
        </w:tc>
        <w:tc>
          <w:tcPr>
            <w:tcW w:w="5527" w:type="dxa"/>
            <w:vAlign w:val="center"/>
          </w:tcPr>
          <w:p w14:paraId="4C71CB80">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1386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vAlign w:val="center"/>
          </w:tcPr>
          <w:p w14:paraId="259F8DA3">
            <w:pPr>
              <w:pStyle w:val="39"/>
              <w:ind w:firstLine="0" w:firstLineChars="0"/>
              <w:rPr>
                <w:rFonts w:ascii="宋体" w:hAnsi="宋体"/>
                <w:sz w:val="21"/>
                <w:szCs w:val="21"/>
              </w:rPr>
            </w:pPr>
            <w:r>
              <w:rPr>
                <w:rFonts w:hint="eastAsia" w:ascii="宋体" w:hAnsi="宋体"/>
                <w:sz w:val="21"/>
                <w:szCs w:val="21"/>
              </w:rPr>
              <w:t>API接口列表</w:t>
            </w:r>
          </w:p>
        </w:tc>
        <w:tc>
          <w:tcPr>
            <w:tcW w:w="5527" w:type="dxa"/>
            <w:vAlign w:val="center"/>
          </w:tcPr>
          <w:p w14:paraId="31BB8DB4">
            <w:pPr>
              <w:pStyle w:val="39"/>
              <w:ind w:firstLine="0" w:firstLineChars="0"/>
              <w:rPr>
                <w:rFonts w:ascii="宋体" w:hAnsi="宋体"/>
                <w:sz w:val="21"/>
                <w:szCs w:val="21"/>
              </w:rPr>
            </w:pPr>
            <w:r>
              <w:rPr>
                <w:rFonts w:hint="eastAsia" w:ascii="宋体" w:hAnsi="宋体"/>
                <w:sz w:val="21"/>
                <w:szCs w:val="21"/>
              </w:rPr>
              <w:t>符合业务需求和性能要求，并评审通过，附评审报告。</w:t>
            </w:r>
          </w:p>
        </w:tc>
      </w:tr>
      <w:tr w14:paraId="4F37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995" w:type="dxa"/>
          </w:tcPr>
          <w:p w14:paraId="37773402">
            <w:pPr>
              <w:pStyle w:val="39"/>
              <w:ind w:firstLine="0" w:firstLineChars="0"/>
              <w:jc w:val="left"/>
              <w:rPr>
                <w:rFonts w:ascii="宋体" w:hAnsi="宋体"/>
                <w:sz w:val="21"/>
                <w:szCs w:val="21"/>
              </w:rPr>
            </w:pPr>
            <w:r>
              <w:rPr>
                <w:rFonts w:hint="eastAsia" w:ascii="宋体" w:hAnsi="宋体"/>
                <w:sz w:val="21"/>
                <w:szCs w:val="21"/>
              </w:rPr>
              <w:t>接口测试报告</w:t>
            </w:r>
          </w:p>
        </w:tc>
        <w:tc>
          <w:tcPr>
            <w:tcW w:w="5527" w:type="dxa"/>
          </w:tcPr>
          <w:p w14:paraId="03D4380F">
            <w:pPr>
              <w:pStyle w:val="39"/>
              <w:ind w:firstLine="0" w:firstLineChars="0"/>
              <w:jc w:val="left"/>
              <w:rPr>
                <w:rFonts w:ascii="宋体" w:hAnsi="宋体"/>
                <w:sz w:val="21"/>
                <w:szCs w:val="21"/>
              </w:rPr>
            </w:pPr>
            <w:r>
              <w:rPr>
                <w:rFonts w:hint="eastAsia" w:ascii="宋体" w:hAnsi="宋体"/>
                <w:sz w:val="21"/>
                <w:szCs w:val="21"/>
              </w:rPr>
              <w:t>测试报告需包括参数名称、类型、取值范围，附相关记录材料。</w:t>
            </w:r>
          </w:p>
        </w:tc>
      </w:tr>
      <w:tr w14:paraId="4850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995" w:type="dxa"/>
          </w:tcPr>
          <w:p w14:paraId="716919AB">
            <w:pPr>
              <w:pStyle w:val="39"/>
              <w:ind w:firstLine="0" w:firstLineChars="0"/>
              <w:jc w:val="left"/>
              <w:rPr>
                <w:rFonts w:ascii="宋体" w:hAnsi="宋体"/>
                <w:sz w:val="21"/>
                <w:szCs w:val="21"/>
              </w:rPr>
            </w:pPr>
            <w:r>
              <w:rPr>
                <w:rFonts w:hint="eastAsia" w:ascii="宋体" w:hAnsi="宋体"/>
                <w:sz w:val="21"/>
                <w:szCs w:val="21"/>
              </w:rPr>
              <w:t>接口文档</w:t>
            </w:r>
          </w:p>
        </w:tc>
        <w:tc>
          <w:tcPr>
            <w:tcW w:w="5527" w:type="dxa"/>
          </w:tcPr>
          <w:p w14:paraId="6D84D50B">
            <w:pPr>
              <w:pStyle w:val="39"/>
              <w:ind w:firstLine="0" w:firstLineChars="0"/>
              <w:jc w:val="left"/>
              <w:rPr>
                <w:rFonts w:ascii="宋体" w:hAnsi="宋体"/>
                <w:sz w:val="21"/>
                <w:szCs w:val="21"/>
              </w:rPr>
            </w:pPr>
            <w:r>
              <w:rPr>
                <w:rFonts w:hint="eastAsia" w:ascii="宋体" w:hAnsi="宋体"/>
                <w:sz w:val="21"/>
                <w:szCs w:val="21"/>
              </w:rPr>
              <w:t>涵盖接口协议、请求方式、请求地址、参数说明等内容</w:t>
            </w:r>
          </w:p>
        </w:tc>
      </w:tr>
      <w:tr w14:paraId="32AB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995" w:type="dxa"/>
          </w:tcPr>
          <w:p w14:paraId="5E826E54">
            <w:pPr>
              <w:pStyle w:val="39"/>
              <w:ind w:firstLine="0" w:firstLineChars="0"/>
              <w:jc w:val="left"/>
              <w:rPr>
                <w:rFonts w:ascii="宋体" w:hAnsi="宋体"/>
                <w:sz w:val="21"/>
                <w:szCs w:val="21"/>
              </w:rPr>
            </w:pPr>
            <w:r>
              <w:rPr>
                <w:rFonts w:hint="eastAsia" w:ascii="宋体" w:hAnsi="宋体"/>
                <w:sz w:val="21"/>
                <w:szCs w:val="21"/>
              </w:rPr>
              <w:t>调用记录</w:t>
            </w:r>
          </w:p>
        </w:tc>
        <w:tc>
          <w:tcPr>
            <w:tcW w:w="5527" w:type="dxa"/>
          </w:tcPr>
          <w:p w14:paraId="33FFB92A">
            <w:pPr>
              <w:pStyle w:val="39"/>
              <w:ind w:firstLine="0" w:firstLineChars="0"/>
              <w:jc w:val="left"/>
              <w:rPr>
                <w:rFonts w:ascii="宋体" w:hAnsi="宋体"/>
                <w:sz w:val="21"/>
                <w:szCs w:val="21"/>
              </w:rPr>
            </w:pPr>
            <w:r>
              <w:rPr>
                <w:rFonts w:hint="eastAsia" w:ascii="宋体" w:hAnsi="宋体"/>
                <w:sz w:val="21"/>
                <w:szCs w:val="21"/>
              </w:rPr>
              <w:t>涵盖接口信息、请求方信息、请求时间、请求次数等内容</w:t>
            </w:r>
          </w:p>
        </w:tc>
      </w:tr>
    </w:tbl>
    <w:p w14:paraId="510CCDC3">
      <w:pPr>
        <w:tabs>
          <w:tab w:val="left" w:pos="1134"/>
        </w:tabs>
        <w:ind w:firstLine="420"/>
        <w:rPr>
          <w:sz w:val="21"/>
          <w:szCs w:val="21"/>
        </w:rPr>
      </w:pPr>
    </w:p>
    <w:p w14:paraId="50A7D318">
      <w:pPr>
        <w:pStyle w:val="5"/>
        <w:ind w:firstLine="560"/>
        <w:rPr>
          <w:sz w:val="21"/>
          <w:szCs w:val="21"/>
        </w:rPr>
      </w:pPr>
      <w:r>
        <w:rPr>
          <w:rFonts w:hint="eastAsia"/>
          <w:sz w:val="21"/>
          <w:szCs w:val="21"/>
        </w:rPr>
        <w:t>公共数据上链服务</w:t>
      </w:r>
    </w:p>
    <w:p w14:paraId="1BE7C215">
      <w:pPr>
        <w:ind w:firstLine="480"/>
        <w:rPr>
          <w:sz w:val="21"/>
          <w:szCs w:val="21"/>
        </w:rPr>
      </w:pPr>
      <w:r>
        <w:rPr>
          <w:rFonts w:hint="eastAsia"/>
          <w:sz w:val="21"/>
          <w:szCs w:val="21"/>
        </w:rPr>
        <w:t>在支撑各单位公共数据上链过程中，对于职责目录、系统目录、数据目录三目录编制的完成情况，以及三目录挂载关联情况进行逐一审核；按照新一年度的重点工作任务，制定工作方案并开展数据标准的上链、应用场景上链的逐一审核，并在过程中对各单位开展相关工作进行技术支撑。</w:t>
      </w:r>
    </w:p>
    <w:p w14:paraId="41E88782">
      <w:pPr>
        <w:ind w:firstLine="480"/>
        <w:rPr>
          <w:sz w:val="21"/>
          <w:szCs w:val="21"/>
        </w:rPr>
      </w:pPr>
      <w:r>
        <w:rPr>
          <w:rFonts w:hint="eastAsia"/>
          <w:sz w:val="21"/>
          <w:szCs w:val="21"/>
        </w:rPr>
        <w:t>使用该目录时，不可使用数据质量检查、数据质量规则设计及异常处置服务目录。</w:t>
      </w:r>
    </w:p>
    <w:p w14:paraId="742E12CB">
      <w:pPr>
        <w:ind w:firstLine="480"/>
        <w:rPr>
          <w:sz w:val="21"/>
          <w:szCs w:val="21"/>
        </w:rPr>
      </w:pPr>
      <w:r>
        <w:rPr>
          <w:rFonts w:hint="eastAsia"/>
          <w:sz w:val="21"/>
          <w:szCs w:val="21"/>
        </w:rPr>
        <w:t>在估算公共数据上链服务单的总量时，需按照公共数据上链的复杂度和工作类型估算难度，新上链的业务内容按</w:t>
      </w:r>
      <w:r>
        <w:rPr>
          <w:sz w:val="21"/>
          <w:szCs w:val="21"/>
        </w:rPr>
        <w:t>1计算难度</w:t>
      </w:r>
      <w:r>
        <w:rPr>
          <w:rFonts w:hint="eastAsia"/>
          <w:sz w:val="21"/>
          <w:szCs w:val="21"/>
        </w:rPr>
        <w:t>，保鲜类上链运营工作接入按</w:t>
      </w:r>
      <w:r>
        <w:rPr>
          <w:sz w:val="21"/>
          <w:szCs w:val="21"/>
        </w:rPr>
        <w:t>0.2计算难度</w:t>
      </w:r>
      <w:r>
        <w:rPr>
          <w:rFonts w:hint="eastAsia"/>
          <w:sz w:val="21"/>
          <w:szCs w:val="21"/>
        </w:rPr>
        <w:t>。</w:t>
      </w:r>
    </w:p>
    <w:p w14:paraId="5BC989DA">
      <w:pPr>
        <w:ind w:firstLine="480"/>
        <w:rPr>
          <w:sz w:val="21"/>
          <w:szCs w:val="21"/>
        </w:rPr>
      </w:pPr>
      <w:r>
        <w:rPr>
          <w:rFonts w:hint="eastAsia"/>
          <w:sz w:val="21"/>
          <w:szCs w:val="21"/>
        </w:rPr>
        <w:t>根据数据运营重点工作要求，输出物及标准包括但不限于：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5637"/>
      </w:tblGrid>
      <w:tr w14:paraId="6208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659" w:type="dxa"/>
          </w:tcPr>
          <w:p w14:paraId="1347945C">
            <w:pPr>
              <w:pStyle w:val="39"/>
              <w:ind w:firstLine="0" w:firstLineChars="0"/>
              <w:jc w:val="center"/>
              <w:rPr>
                <w:rFonts w:cs="Times New Roman"/>
                <w:b/>
                <w:bCs/>
                <w:sz w:val="21"/>
                <w:szCs w:val="21"/>
              </w:rPr>
            </w:pPr>
            <w:r>
              <w:rPr>
                <w:rFonts w:hint="eastAsia" w:cs="Times New Roman"/>
                <w:b/>
                <w:bCs/>
                <w:sz w:val="21"/>
                <w:szCs w:val="21"/>
              </w:rPr>
              <w:t>输出物</w:t>
            </w:r>
          </w:p>
        </w:tc>
        <w:tc>
          <w:tcPr>
            <w:tcW w:w="5637" w:type="dxa"/>
          </w:tcPr>
          <w:p w14:paraId="6BD93CDF">
            <w:pPr>
              <w:pStyle w:val="39"/>
              <w:ind w:firstLine="0" w:firstLineChars="0"/>
              <w:jc w:val="center"/>
              <w:rPr>
                <w:rFonts w:cs="Times New Roman"/>
                <w:b/>
                <w:bCs/>
                <w:sz w:val="21"/>
                <w:szCs w:val="21"/>
              </w:rPr>
            </w:pPr>
            <w:r>
              <w:rPr>
                <w:rFonts w:hint="eastAsia" w:cs="Times New Roman"/>
                <w:b/>
                <w:bCs/>
                <w:sz w:val="21"/>
                <w:szCs w:val="21"/>
              </w:rPr>
              <w:t>输出物标准</w:t>
            </w:r>
          </w:p>
        </w:tc>
      </w:tr>
      <w:tr w14:paraId="62D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vAlign w:val="center"/>
          </w:tcPr>
          <w:p w14:paraId="6E2A56E3">
            <w:pPr>
              <w:pStyle w:val="38"/>
              <w:ind w:firstLine="0" w:firstLineChars="0"/>
              <w:rPr>
                <w:sz w:val="21"/>
                <w:szCs w:val="21"/>
              </w:rPr>
            </w:pPr>
            <w:r>
              <w:rPr>
                <w:rFonts w:hint="eastAsia"/>
                <w:sz w:val="21"/>
                <w:szCs w:val="21"/>
              </w:rPr>
              <w:t>公共数据上链目录</w:t>
            </w:r>
          </w:p>
        </w:tc>
        <w:tc>
          <w:tcPr>
            <w:tcW w:w="5637" w:type="dxa"/>
            <w:vAlign w:val="center"/>
          </w:tcPr>
          <w:p w14:paraId="3F4DE0E9">
            <w:pPr>
              <w:pStyle w:val="38"/>
              <w:ind w:firstLine="0" w:firstLineChars="0"/>
              <w:rPr>
                <w:sz w:val="21"/>
                <w:szCs w:val="21"/>
              </w:rPr>
            </w:pPr>
            <w:r>
              <w:rPr>
                <w:rFonts w:hint="eastAsia"/>
                <w:sz w:val="21"/>
                <w:szCs w:val="21"/>
              </w:rPr>
              <w:t>目录符合整体编目规范、数据采集标准、符合系统的数据质量检查规则</w:t>
            </w:r>
            <w:r>
              <w:rPr>
                <w:rFonts w:hint="eastAsia" w:ascii="宋体" w:hAnsi="宋体"/>
                <w:bCs/>
                <w:kern w:val="0"/>
                <w:sz w:val="21"/>
                <w:szCs w:val="21"/>
              </w:rPr>
              <w:t>。</w:t>
            </w:r>
          </w:p>
        </w:tc>
      </w:tr>
      <w:tr w14:paraId="744F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vAlign w:val="center"/>
          </w:tcPr>
          <w:p w14:paraId="20102C3B">
            <w:pPr>
              <w:pStyle w:val="38"/>
              <w:ind w:firstLine="0" w:firstLineChars="0"/>
              <w:rPr>
                <w:sz w:val="21"/>
                <w:szCs w:val="21"/>
              </w:rPr>
            </w:pPr>
            <w:r>
              <w:rPr>
                <w:rFonts w:hint="eastAsia"/>
                <w:sz w:val="21"/>
                <w:szCs w:val="21"/>
              </w:rPr>
              <w:t>公共数据上链方案</w:t>
            </w:r>
          </w:p>
        </w:tc>
        <w:tc>
          <w:tcPr>
            <w:tcW w:w="5637" w:type="dxa"/>
            <w:vAlign w:val="center"/>
          </w:tcPr>
          <w:p w14:paraId="45164035">
            <w:pPr>
              <w:pStyle w:val="38"/>
              <w:ind w:firstLine="0" w:firstLineChars="0"/>
              <w:rPr>
                <w:sz w:val="21"/>
                <w:szCs w:val="21"/>
              </w:rPr>
            </w:pPr>
            <w:r>
              <w:rPr>
                <w:rFonts w:hint="eastAsia"/>
                <w:sz w:val="21"/>
                <w:szCs w:val="21"/>
              </w:rPr>
              <w:t>符合智能合约、应用场景上链的需求</w:t>
            </w:r>
            <w:r>
              <w:rPr>
                <w:rFonts w:hint="eastAsia" w:ascii="宋体" w:hAnsi="宋体"/>
                <w:bCs/>
                <w:kern w:val="0"/>
                <w:sz w:val="21"/>
                <w:szCs w:val="21"/>
              </w:rPr>
              <w:t>。</w:t>
            </w:r>
          </w:p>
        </w:tc>
      </w:tr>
      <w:tr w14:paraId="533D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9" w:type="dxa"/>
            <w:vAlign w:val="center"/>
          </w:tcPr>
          <w:p w14:paraId="115EB00C">
            <w:pPr>
              <w:pStyle w:val="38"/>
              <w:ind w:firstLine="0" w:firstLineChars="0"/>
              <w:rPr>
                <w:sz w:val="21"/>
                <w:szCs w:val="21"/>
              </w:rPr>
            </w:pPr>
            <w:r>
              <w:rPr>
                <w:rFonts w:hint="eastAsia"/>
                <w:sz w:val="21"/>
                <w:szCs w:val="21"/>
              </w:rPr>
              <w:t>公共数据上链总结报告</w:t>
            </w:r>
          </w:p>
        </w:tc>
        <w:tc>
          <w:tcPr>
            <w:tcW w:w="5637" w:type="dxa"/>
            <w:vAlign w:val="center"/>
          </w:tcPr>
          <w:p w14:paraId="05FBDE87">
            <w:pPr>
              <w:pStyle w:val="38"/>
              <w:ind w:firstLine="0" w:firstLineChars="0"/>
              <w:rPr>
                <w:sz w:val="21"/>
                <w:szCs w:val="21"/>
              </w:rPr>
            </w:pPr>
            <w:r>
              <w:rPr>
                <w:rFonts w:hint="eastAsia"/>
                <w:sz w:val="21"/>
                <w:szCs w:val="21"/>
              </w:rPr>
              <w:t>公共数据上链总结报告，包含但不限于上链数据目录、数据清单、数据质量标准、数据异常分析等</w:t>
            </w:r>
            <w:r>
              <w:rPr>
                <w:rFonts w:hint="eastAsia" w:ascii="宋体" w:hAnsi="宋体"/>
                <w:bCs/>
                <w:kern w:val="0"/>
                <w:sz w:val="21"/>
                <w:szCs w:val="21"/>
              </w:rPr>
              <w:t>。</w:t>
            </w:r>
          </w:p>
        </w:tc>
      </w:tr>
    </w:tbl>
    <w:p w14:paraId="04A195BA">
      <w:pPr>
        <w:tabs>
          <w:tab w:val="left" w:pos="1134"/>
        </w:tabs>
        <w:ind w:firstLine="420"/>
        <w:rPr>
          <w:sz w:val="21"/>
          <w:szCs w:val="21"/>
        </w:rPr>
      </w:pPr>
    </w:p>
    <w:p w14:paraId="7E46950C">
      <w:pPr>
        <w:pStyle w:val="5"/>
        <w:ind w:firstLine="560"/>
        <w:rPr>
          <w:sz w:val="21"/>
          <w:szCs w:val="21"/>
        </w:rPr>
      </w:pPr>
      <w:r>
        <w:rPr>
          <w:rFonts w:hint="eastAsia"/>
          <w:sz w:val="21"/>
          <w:szCs w:val="21"/>
        </w:rPr>
        <w:t>主（专）题数据库建设服务</w:t>
      </w:r>
    </w:p>
    <w:p w14:paraId="535A593A">
      <w:pPr>
        <w:ind w:firstLine="480"/>
        <w:rPr>
          <w:sz w:val="21"/>
          <w:szCs w:val="21"/>
        </w:rPr>
      </w:pPr>
      <w:r>
        <w:rPr>
          <w:rFonts w:hint="eastAsia"/>
          <w:sz w:val="21"/>
          <w:szCs w:val="21"/>
        </w:rPr>
        <w:t>根据数据库建设需求，对主题库建设，按照某一主题或业务领域，将相关的基础数据进行收集、整理、归类和存储的过程，以形成专业的知识库。主要包括主题的选择、数据的收集、整理和存储，其主要目的是为用户提供特定主题下的专业知识和研究素材。对专题库建设，根据特定专题或业务需求，对基础数据进行二次加工和整合形成的数据库，以满足特定专题分析的需求，包括对专题需求分析、数据收集、清洗、治理、质量控制和更新维护等工作。</w:t>
      </w:r>
    </w:p>
    <w:p w14:paraId="166B541E">
      <w:pPr>
        <w:ind w:firstLine="480"/>
        <w:rPr>
          <w:sz w:val="21"/>
          <w:szCs w:val="21"/>
        </w:rPr>
      </w:pPr>
      <w:r>
        <w:rPr>
          <w:rFonts w:hint="eastAsia"/>
          <w:sz w:val="21"/>
          <w:szCs w:val="21"/>
        </w:rPr>
        <w:t>使用该目录时，不可使用数据采集接入、数据抽取服务、数据标签、时空数据转换与处理、数据质量检查、数据质量规则设计及异常处置服务目录、数据共享/开放/授权订阅服务、数据统计分析及报表服务、数据挖掘建模、对于历史数据的归档及销毁服务目录。</w:t>
      </w:r>
    </w:p>
    <w:p w14:paraId="05DB6610">
      <w:pPr>
        <w:ind w:firstLine="480"/>
        <w:rPr>
          <w:sz w:val="21"/>
          <w:szCs w:val="21"/>
        </w:rPr>
      </w:pPr>
      <w:r>
        <w:rPr>
          <w:sz w:val="21"/>
          <w:szCs w:val="21"/>
        </w:rPr>
        <w:t>按照业务目标的复杂度、涉及数据领域的数量、采集数据量等因素，设置难度系数N（N=0.1-2)。</w:t>
      </w:r>
    </w:p>
    <w:p w14:paraId="447D6FDD">
      <w:pPr>
        <w:ind w:firstLine="480"/>
        <w:rPr>
          <w:sz w:val="21"/>
          <w:szCs w:val="21"/>
        </w:rPr>
      </w:pPr>
      <w:r>
        <w:rPr>
          <w:rFonts w:hint="eastAsia"/>
          <w:sz w:val="21"/>
          <w:szCs w:val="21"/>
        </w:rPr>
        <w:t>根据数据运营重点工作要求，输出物及标准包括但不限于：</w:t>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9"/>
        <w:gridCol w:w="5323"/>
      </w:tblGrid>
      <w:tr w14:paraId="025D1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3114" w:type="dxa"/>
            <w:shd w:val="clear" w:color="auto" w:fill="FFFFFF"/>
          </w:tcPr>
          <w:p w14:paraId="2C5E2B44">
            <w:pPr>
              <w:ind w:firstLine="422"/>
              <w:jc w:val="center"/>
              <w:rPr>
                <w:b/>
                <w:bCs/>
                <w:sz w:val="21"/>
                <w:szCs w:val="21"/>
              </w:rPr>
            </w:pPr>
            <w:r>
              <w:rPr>
                <w:rFonts w:hint="eastAsia"/>
                <w:b/>
                <w:bCs/>
                <w:sz w:val="21"/>
                <w:szCs w:val="21"/>
              </w:rPr>
              <w:t>输出物</w:t>
            </w:r>
          </w:p>
        </w:tc>
        <w:tc>
          <w:tcPr>
            <w:tcW w:w="5182" w:type="dxa"/>
            <w:shd w:val="clear" w:color="auto" w:fill="FFFFFF"/>
          </w:tcPr>
          <w:p w14:paraId="17077FCF">
            <w:pPr>
              <w:ind w:firstLine="422"/>
              <w:jc w:val="center"/>
              <w:rPr>
                <w:b/>
                <w:bCs/>
                <w:sz w:val="21"/>
                <w:szCs w:val="21"/>
              </w:rPr>
            </w:pPr>
            <w:r>
              <w:rPr>
                <w:rFonts w:hint="eastAsia"/>
                <w:b/>
                <w:bCs/>
                <w:sz w:val="21"/>
                <w:szCs w:val="21"/>
              </w:rPr>
              <w:t>输出物标准</w:t>
            </w:r>
          </w:p>
        </w:tc>
      </w:tr>
      <w:tr w14:paraId="54FB9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3114" w:type="dxa"/>
            <w:vAlign w:val="center"/>
          </w:tcPr>
          <w:p w14:paraId="0DA8938A">
            <w:pPr>
              <w:pStyle w:val="38"/>
              <w:ind w:firstLine="0" w:firstLineChars="0"/>
              <w:rPr>
                <w:sz w:val="21"/>
                <w:szCs w:val="21"/>
              </w:rPr>
            </w:pPr>
            <w:r>
              <w:rPr>
                <w:rFonts w:hint="eastAsia"/>
                <w:sz w:val="21"/>
                <w:szCs w:val="21"/>
              </w:rPr>
              <w:t>主（专）题数据库需求书</w:t>
            </w:r>
          </w:p>
        </w:tc>
        <w:tc>
          <w:tcPr>
            <w:tcW w:w="5182" w:type="dxa"/>
            <w:vAlign w:val="center"/>
          </w:tcPr>
          <w:p w14:paraId="4489CEDA">
            <w:pPr>
              <w:ind w:firstLine="0" w:firstLineChars="0"/>
              <w:rPr>
                <w:sz w:val="21"/>
                <w:szCs w:val="21"/>
              </w:rPr>
            </w:pPr>
            <w:r>
              <w:rPr>
                <w:rFonts w:hint="eastAsia"/>
                <w:sz w:val="21"/>
                <w:szCs w:val="21"/>
              </w:rPr>
              <w:t>提供经确认的需求文档</w:t>
            </w:r>
          </w:p>
        </w:tc>
      </w:tr>
      <w:tr w14:paraId="0BD30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2AF38C16">
            <w:pPr>
              <w:pStyle w:val="38"/>
              <w:ind w:firstLine="0" w:firstLineChars="0"/>
              <w:rPr>
                <w:sz w:val="21"/>
                <w:szCs w:val="21"/>
              </w:rPr>
            </w:pPr>
            <w:r>
              <w:rPr>
                <w:rFonts w:hint="eastAsia"/>
                <w:sz w:val="21"/>
                <w:szCs w:val="21"/>
              </w:rPr>
              <w:t>主（专）题数据库设计文档</w:t>
            </w:r>
          </w:p>
        </w:tc>
        <w:tc>
          <w:tcPr>
            <w:tcW w:w="5182" w:type="dxa"/>
            <w:vAlign w:val="center"/>
          </w:tcPr>
          <w:p w14:paraId="686B6574">
            <w:pPr>
              <w:ind w:firstLine="0" w:firstLineChars="0"/>
              <w:rPr>
                <w:sz w:val="21"/>
                <w:szCs w:val="21"/>
              </w:rPr>
            </w:pPr>
            <w:r>
              <w:rPr>
                <w:rFonts w:hint="eastAsia"/>
                <w:sz w:val="21"/>
                <w:szCs w:val="21"/>
              </w:rPr>
              <w:t>提供含指标设计的设计文档，要求符合数据运营工作实际需求，符合主（专）题数据库设计规范。</w:t>
            </w:r>
          </w:p>
        </w:tc>
      </w:tr>
      <w:tr w14:paraId="18FEB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3114" w:type="dxa"/>
            <w:vAlign w:val="center"/>
          </w:tcPr>
          <w:p w14:paraId="72BD4335">
            <w:pPr>
              <w:pStyle w:val="38"/>
              <w:ind w:firstLine="0" w:firstLineChars="0"/>
              <w:rPr>
                <w:sz w:val="21"/>
                <w:szCs w:val="21"/>
              </w:rPr>
            </w:pPr>
            <w:r>
              <w:rPr>
                <w:rFonts w:hint="eastAsia"/>
                <w:sz w:val="21"/>
                <w:szCs w:val="21"/>
              </w:rPr>
              <w:t>测试文档</w:t>
            </w:r>
          </w:p>
        </w:tc>
        <w:tc>
          <w:tcPr>
            <w:tcW w:w="5182" w:type="dxa"/>
            <w:vAlign w:val="center"/>
          </w:tcPr>
          <w:p w14:paraId="002045A8">
            <w:pPr>
              <w:ind w:firstLine="0" w:firstLineChars="0"/>
              <w:rPr>
                <w:sz w:val="21"/>
                <w:szCs w:val="21"/>
              </w:rPr>
            </w:pPr>
            <w:r>
              <w:rPr>
                <w:rFonts w:hint="eastAsia"/>
                <w:sz w:val="21"/>
                <w:szCs w:val="21"/>
              </w:rPr>
              <w:t>符合测试报告模板，如实记录测试过程和缺陷。</w:t>
            </w:r>
          </w:p>
        </w:tc>
      </w:tr>
      <w:tr w14:paraId="27491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3114" w:type="dxa"/>
            <w:vAlign w:val="center"/>
          </w:tcPr>
          <w:p w14:paraId="2CCB688C">
            <w:pPr>
              <w:pStyle w:val="38"/>
              <w:ind w:firstLine="0" w:firstLineChars="0"/>
              <w:rPr>
                <w:sz w:val="21"/>
                <w:szCs w:val="21"/>
              </w:rPr>
            </w:pPr>
            <w:r>
              <w:rPr>
                <w:rFonts w:hint="eastAsia"/>
                <w:sz w:val="21"/>
                <w:szCs w:val="21"/>
              </w:rPr>
              <w:t>主（专）题数据库说明文档</w:t>
            </w:r>
          </w:p>
        </w:tc>
        <w:tc>
          <w:tcPr>
            <w:tcW w:w="5182" w:type="dxa"/>
            <w:vAlign w:val="center"/>
          </w:tcPr>
          <w:p w14:paraId="295B3C72">
            <w:pPr>
              <w:ind w:firstLine="0" w:firstLineChars="0"/>
              <w:rPr>
                <w:sz w:val="21"/>
                <w:szCs w:val="21"/>
              </w:rPr>
            </w:pPr>
            <w:r>
              <w:rPr>
                <w:rFonts w:hint="eastAsia"/>
                <w:sz w:val="21"/>
                <w:szCs w:val="21"/>
              </w:rPr>
              <w:t>提供符合数据运营工作实际需求，符合主（专）题数据库建设基本要求</w:t>
            </w:r>
          </w:p>
        </w:tc>
      </w:tr>
    </w:tbl>
    <w:p w14:paraId="2ADA730F">
      <w:pPr>
        <w:tabs>
          <w:tab w:val="left" w:pos="1134"/>
        </w:tabs>
        <w:ind w:firstLine="420"/>
        <w:rPr>
          <w:sz w:val="21"/>
          <w:szCs w:val="21"/>
        </w:rPr>
      </w:pPr>
    </w:p>
    <w:p w14:paraId="76C35202">
      <w:pPr>
        <w:pStyle w:val="5"/>
        <w:ind w:firstLine="560"/>
        <w:rPr>
          <w:sz w:val="21"/>
          <w:szCs w:val="21"/>
        </w:rPr>
      </w:pPr>
      <w:r>
        <w:rPr>
          <w:sz w:val="21"/>
          <w:szCs w:val="21"/>
        </w:rPr>
        <w:t>可视化展现服务</w:t>
      </w:r>
    </w:p>
    <w:p w14:paraId="76790AA0">
      <w:pPr>
        <w:ind w:firstLine="480"/>
        <w:rPr>
          <w:sz w:val="21"/>
          <w:szCs w:val="21"/>
        </w:rPr>
      </w:pPr>
      <w:r>
        <w:rPr>
          <w:rFonts w:hint="eastAsia"/>
          <w:sz w:val="21"/>
          <w:szCs w:val="21"/>
        </w:rPr>
        <w:t>可视化展现服务主要是围绕公共数据治理及相关应用需求，借助图形化手段更加直观、清晰、全面地展现数据治理各环节的工作方法和工作手段，同时完成对外展示的服务支撑。数据可视化展现的服务，包括但不限于图表、数据、APP、小程序、PC端、大屏等服务形式。</w:t>
      </w:r>
    </w:p>
    <w:p w14:paraId="57FC8E10">
      <w:pPr>
        <w:ind w:firstLine="480"/>
        <w:rPr>
          <w:sz w:val="21"/>
          <w:szCs w:val="21"/>
        </w:rPr>
      </w:pPr>
      <w:r>
        <w:rPr>
          <w:rFonts w:hint="eastAsia"/>
          <w:sz w:val="21"/>
          <w:szCs w:val="21"/>
        </w:rPr>
        <w:t>在提供可视化展现服务时，以主题域个数为计费单元，需按照可视化大屏个数为基数，对增加中屏及小屏（含H5页面）等情况不可重复计算，仅支持中小屏按系数（0.1-0.2）折算服务量。</w:t>
      </w:r>
    </w:p>
    <w:p w14:paraId="19E90611">
      <w:pPr>
        <w:ind w:firstLine="480"/>
        <w:rPr>
          <w:sz w:val="21"/>
          <w:szCs w:val="21"/>
        </w:rPr>
      </w:pPr>
      <w:r>
        <w:rPr>
          <w:rFonts w:hint="eastAsia"/>
          <w:sz w:val="21"/>
          <w:szCs w:val="21"/>
        </w:rPr>
        <w:t>根据数据运营重点工作要求，输出物及标准包括：</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295"/>
      </w:tblGrid>
      <w:tr w14:paraId="0444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227" w:type="dxa"/>
            <w:vAlign w:val="center"/>
          </w:tcPr>
          <w:p w14:paraId="691A63DB">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w:t>
            </w:r>
          </w:p>
        </w:tc>
        <w:tc>
          <w:tcPr>
            <w:tcW w:w="5295" w:type="dxa"/>
            <w:vAlign w:val="center"/>
          </w:tcPr>
          <w:p w14:paraId="1DC205C4">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输出物标准</w:t>
            </w:r>
          </w:p>
        </w:tc>
      </w:tr>
      <w:tr w14:paraId="04CB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65547E29">
            <w:pPr>
              <w:pStyle w:val="39"/>
              <w:ind w:firstLine="0" w:firstLineChars="0"/>
              <w:rPr>
                <w:rFonts w:ascii="宋体" w:hAnsi="宋体"/>
                <w:sz w:val="21"/>
                <w:szCs w:val="21"/>
              </w:rPr>
            </w:pPr>
            <w:r>
              <w:rPr>
                <w:rFonts w:hint="eastAsia" w:ascii="宋体" w:hAnsi="宋体"/>
                <w:sz w:val="21"/>
                <w:szCs w:val="21"/>
              </w:rPr>
              <w:t>数据运营服务需求单</w:t>
            </w:r>
          </w:p>
        </w:tc>
        <w:tc>
          <w:tcPr>
            <w:tcW w:w="5295" w:type="dxa"/>
            <w:vAlign w:val="center"/>
          </w:tcPr>
          <w:p w14:paraId="6A1DED75">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1B07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75C0DA3C">
            <w:pPr>
              <w:pStyle w:val="39"/>
              <w:ind w:firstLine="0" w:firstLineChars="0"/>
              <w:jc w:val="left"/>
              <w:rPr>
                <w:rFonts w:ascii="宋体" w:hAnsi="宋体"/>
                <w:sz w:val="21"/>
                <w:szCs w:val="21"/>
              </w:rPr>
            </w:pPr>
            <w:r>
              <w:rPr>
                <w:rFonts w:hint="eastAsia" w:ascii="宋体" w:hAnsi="宋体"/>
                <w:sz w:val="21"/>
                <w:szCs w:val="21"/>
              </w:rPr>
              <w:t>需求规格说明书</w:t>
            </w:r>
          </w:p>
        </w:tc>
        <w:tc>
          <w:tcPr>
            <w:tcW w:w="5295" w:type="dxa"/>
          </w:tcPr>
          <w:p w14:paraId="3C850E26">
            <w:pPr>
              <w:pStyle w:val="39"/>
              <w:ind w:firstLine="0" w:firstLineChars="0"/>
              <w:jc w:val="left"/>
              <w:rPr>
                <w:rFonts w:ascii="宋体" w:hAnsi="宋体"/>
                <w:sz w:val="21"/>
                <w:szCs w:val="21"/>
              </w:rPr>
            </w:pPr>
            <w:r>
              <w:rPr>
                <w:rFonts w:hint="eastAsia" w:ascii="宋体" w:hAnsi="宋体"/>
                <w:sz w:val="21"/>
                <w:szCs w:val="21"/>
              </w:rPr>
              <w:t>涵盖目标、功能需求、运行环境等内容</w:t>
            </w:r>
          </w:p>
        </w:tc>
      </w:tr>
      <w:tr w14:paraId="49F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7C96EFFD">
            <w:pPr>
              <w:pStyle w:val="38"/>
              <w:ind w:firstLine="0" w:firstLineChars="0"/>
              <w:rPr>
                <w:rFonts w:ascii="宋体" w:hAnsi="宋体"/>
                <w:sz w:val="21"/>
                <w:szCs w:val="21"/>
              </w:rPr>
            </w:pPr>
            <w:r>
              <w:rPr>
                <w:rFonts w:hint="eastAsia" w:ascii="宋体" w:hAnsi="宋体"/>
                <w:sz w:val="21"/>
                <w:szCs w:val="21"/>
              </w:rPr>
              <w:t>原型设计图（含高保真原型）</w:t>
            </w:r>
          </w:p>
        </w:tc>
        <w:tc>
          <w:tcPr>
            <w:tcW w:w="5295" w:type="dxa"/>
          </w:tcPr>
          <w:p w14:paraId="7DA5F2B8">
            <w:pPr>
              <w:pStyle w:val="38"/>
              <w:ind w:firstLine="0" w:firstLineChars="0"/>
              <w:rPr>
                <w:rFonts w:ascii="宋体" w:hAnsi="宋体"/>
                <w:sz w:val="21"/>
                <w:szCs w:val="21"/>
              </w:rPr>
            </w:pPr>
            <w:r>
              <w:rPr>
                <w:rFonts w:hint="eastAsia" w:ascii="宋体" w:hAnsi="宋体"/>
                <w:sz w:val="21"/>
                <w:szCs w:val="21"/>
              </w:rPr>
              <w:t>包括度量页面数量，评审通过，并附评审报告。</w:t>
            </w:r>
          </w:p>
        </w:tc>
      </w:tr>
      <w:tr w14:paraId="7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75D3B13E">
            <w:pPr>
              <w:pStyle w:val="38"/>
              <w:ind w:firstLine="0" w:firstLineChars="0"/>
              <w:rPr>
                <w:rFonts w:ascii="宋体" w:hAnsi="宋体"/>
                <w:sz w:val="21"/>
                <w:szCs w:val="21"/>
              </w:rPr>
            </w:pPr>
            <w:r>
              <w:rPr>
                <w:rFonts w:hint="eastAsia" w:ascii="宋体" w:hAnsi="宋体"/>
                <w:sz w:val="21"/>
                <w:szCs w:val="21"/>
              </w:rPr>
              <w:t>数据指标设计文档（可选）</w:t>
            </w:r>
          </w:p>
        </w:tc>
        <w:tc>
          <w:tcPr>
            <w:tcW w:w="5295" w:type="dxa"/>
          </w:tcPr>
          <w:p w14:paraId="398D2D70">
            <w:pPr>
              <w:pStyle w:val="38"/>
              <w:ind w:firstLine="0" w:firstLineChars="0"/>
              <w:rPr>
                <w:rFonts w:ascii="宋体" w:hAnsi="宋体"/>
                <w:sz w:val="21"/>
                <w:szCs w:val="21"/>
              </w:rPr>
            </w:pPr>
            <w:r>
              <w:rPr>
                <w:rFonts w:hint="eastAsia" w:ascii="宋体" w:hAnsi="宋体"/>
                <w:sz w:val="21"/>
                <w:szCs w:val="21"/>
              </w:rPr>
              <w:t>符合指标设计文档模板，评审通过，并附评审报告。</w:t>
            </w:r>
          </w:p>
        </w:tc>
      </w:tr>
      <w:tr w14:paraId="117B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4F219A9F">
            <w:pPr>
              <w:pStyle w:val="38"/>
              <w:ind w:firstLine="0" w:firstLineChars="0"/>
              <w:rPr>
                <w:rFonts w:ascii="宋体" w:hAnsi="宋体"/>
                <w:sz w:val="21"/>
                <w:szCs w:val="21"/>
              </w:rPr>
            </w:pPr>
            <w:r>
              <w:rPr>
                <w:rFonts w:hint="eastAsia" w:ascii="宋体" w:hAnsi="宋体"/>
                <w:sz w:val="21"/>
                <w:szCs w:val="21"/>
              </w:rPr>
              <w:t>数据库设计文档（可选）</w:t>
            </w:r>
          </w:p>
        </w:tc>
        <w:tc>
          <w:tcPr>
            <w:tcW w:w="5295" w:type="dxa"/>
          </w:tcPr>
          <w:p w14:paraId="5BDA0A10">
            <w:pPr>
              <w:pStyle w:val="38"/>
              <w:ind w:firstLine="0" w:firstLineChars="0"/>
              <w:rPr>
                <w:rFonts w:ascii="宋体" w:hAnsi="宋体"/>
                <w:sz w:val="21"/>
                <w:szCs w:val="21"/>
              </w:rPr>
            </w:pPr>
            <w:r>
              <w:rPr>
                <w:rFonts w:hint="eastAsia" w:ascii="宋体" w:hAnsi="宋体"/>
                <w:sz w:val="21"/>
                <w:szCs w:val="21"/>
              </w:rPr>
              <w:t>符合数据库设计文档模板，评审通过，并附评审报告。</w:t>
            </w:r>
          </w:p>
        </w:tc>
      </w:tr>
      <w:tr w14:paraId="3C5A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3C625051">
            <w:pPr>
              <w:pStyle w:val="38"/>
              <w:ind w:firstLine="0" w:firstLineChars="0"/>
              <w:rPr>
                <w:rFonts w:ascii="宋体" w:hAnsi="宋体"/>
                <w:sz w:val="21"/>
                <w:szCs w:val="21"/>
              </w:rPr>
            </w:pPr>
            <w:r>
              <w:rPr>
                <w:rFonts w:hint="eastAsia" w:ascii="宋体" w:hAnsi="宋体"/>
                <w:sz w:val="21"/>
                <w:szCs w:val="21"/>
              </w:rPr>
              <w:t>接口设计文档（可选）</w:t>
            </w:r>
          </w:p>
        </w:tc>
        <w:tc>
          <w:tcPr>
            <w:tcW w:w="5295" w:type="dxa"/>
          </w:tcPr>
          <w:p w14:paraId="6FC36606">
            <w:pPr>
              <w:pStyle w:val="38"/>
              <w:ind w:firstLine="0" w:firstLineChars="0"/>
              <w:rPr>
                <w:rFonts w:ascii="宋体" w:hAnsi="宋体"/>
                <w:sz w:val="21"/>
                <w:szCs w:val="21"/>
              </w:rPr>
            </w:pPr>
            <w:r>
              <w:rPr>
                <w:rFonts w:hint="eastAsia" w:ascii="宋体" w:hAnsi="宋体"/>
                <w:sz w:val="21"/>
                <w:szCs w:val="21"/>
              </w:rPr>
              <w:t>符合接口设计文档模板，评审通过，并附评审报告。</w:t>
            </w:r>
          </w:p>
        </w:tc>
      </w:tr>
      <w:tr w14:paraId="799A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08D5DAB2">
            <w:pPr>
              <w:pStyle w:val="38"/>
              <w:ind w:firstLine="0" w:firstLineChars="0"/>
              <w:rPr>
                <w:rFonts w:ascii="宋体" w:hAnsi="宋体"/>
                <w:sz w:val="21"/>
                <w:szCs w:val="21"/>
              </w:rPr>
            </w:pPr>
            <w:r>
              <w:rPr>
                <w:rFonts w:hint="eastAsia" w:ascii="宋体" w:hAnsi="宋体"/>
                <w:sz w:val="21"/>
                <w:szCs w:val="21"/>
              </w:rPr>
              <w:t>测试文档</w:t>
            </w:r>
          </w:p>
        </w:tc>
        <w:tc>
          <w:tcPr>
            <w:tcW w:w="5295" w:type="dxa"/>
          </w:tcPr>
          <w:p w14:paraId="3876248C">
            <w:pPr>
              <w:pStyle w:val="38"/>
              <w:ind w:firstLine="0" w:firstLineChars="0"/>
              <w:rPr>
                <w:rFonts w:ascii="宋体" w:hAnsi="宋体"/>
                <w:sz w:val="21"/>
                <w:szCs w:val="21"/>
              </w:rPr>
            </w:pPr>
            <w:r>
              <w:rPr>
                <w:rFonts w:hint="eastAsia" w:ascii="宋体" w:hAnsi="宋体"/>
                <w:sz w:val="21"/>
                <w:szCs w:val="21"/>
              </w:rPr>
              <w:t>测试通过，符合测试报告模板</w:t>
            </w:r>
          </w:p>
        </w:tc>
      </w:tr>
      <w:tr w14:paraId="3AF8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43580B15">
            <w:pPr>
              <w:pStyle w:val="38"/>
              <w:ind w:firstLine="0" w:firstLineChars="0"/>
              <w:rPr>
                <w:rFonts w:ascii="宋体" w:hAnsi="宋体"/>
                <w:sz w:val="21"/>
                <w:szCs w:val="21"/>
              </w:rPr>
            </w:pPr>
            <w:r>
              <w:rPr>
                <w:rFonts w:hint="eastAsia" w:ascii="宋体" w:hAnsi="宋体"/>
                <w:sz w:val="21"/>
                <w:szCs w:val="21"/>
              </w:rPr>
              <w:t>建设总结</w:t>
            </w:r>
          </w:p>
        </w:tc>
        <w:tc>
          <w:tcPr>
            <w:tcW w:w="5295" w:type="dxa"/>
          </w:tcPr>
          <w:p w14:paraId="3E1940AE">
            <w:pPr>
              <w:pStyle w:val="38"/>
              <w:ind w:firstLine="0" w:firstLineChars="0"/>
              <w:rPr>
                <w:rFonts w:ascii="宋体" w:hAnsi="宋体"/>
                <w:sz w:val="21"/>
                <w:szCs w:val="21"/>
              </w:rPr>
            </w:pPr>
            <w:r>
              <w:rPr>
                <w:rFonts w:hint="eastAsia" w:ascii="宋体" w:hAnsi="宋体"/>
                <w:sz w:val="21"/>
                <w:szCs w:val="21"/>
              </w:rPr>
              <w:t>涵盖建设内容、建设成果、运行情况等内容</w:t>
            </w:r>
          </w:p>
        </w:tc>
      </w:tr>
    </w:tbl>
    <w:p w14:paraId="62C5B30A">
      <w:pPr>
        <w:tabs>
          <w:tab w:val="left" w:pos="1134"/>
        </w:tabs>
        <w:ind w:firstLine="420"/>
        <w:rPr>
          <w:sz w:val="21"/>
          <w:szCs w:val="21"/>
        </w:rPr>
      </w:pPr>
    </w:p>
    <w:p w14:paraId="6F9A9CF6">
      <w:pPr>
        <w:pStyle w:val="5"/>
        <w:ind w:firstLine="560"/>
        <w:rPr>
          <w:sz w:val="21"/>
          <w:szCs w:val="21"/>
        </w:rPr>
      </w:pPr>
      <w:r>
        <w:rPr>
          <w:rFonts w:hint="eastAsia"/>
          <w:sz w:val="21"/>
          <w:szCs w:val="21"/>
        </w:rPr>
        <w:t>公共数据社会化应用服务</w:t>
      </w:r>
    </w:p>
    <w:p w14:paraId="125D2EA0">
      <w:pPr>
        <w:ind w:firstLine="480"/>
        <w:rPr>
          <w:sz w:val="21"/>
          <w:szCs w:val="21"/>
        </w:rPr>
      </w:pPr>
      <w:r>
        <w:rPr>
          <w:rFonts w:hint="eastAsia"/>
          <w:sz w:val="21"/>
          <w:szCs w:val="21"/>
        </w:rPr>
        <w:t>在推进公共数据社会化应用过程中，围绕公共数据社会化应用场景的咨询管理、场景评估、数据支撑、产品或服务发布评估，其中场景规划评估包括社会伦理风险、技术安全风险、法律合规风险等评估，满足“一场景一授权”工作要求，对社会化应用场景中每个数据服务和产品的每次发布，进行发布前审核工作，包括但不限于以数据分级分类标准为依据，确保服务实现与方案涉及的一致性、与场景规划符合度。同时落实推进社会化应用场景的主体、场景内容、服务调用日志、授权凭证等管理要素上链等工作。</w:t>
      </w:r>
    </w:p>
    <w:p w14:paraId="5C7802E1">
      <w:pPr>
        <w:ind w:firstLine="480"/>
        <w:rPr>
          <w:sz w:val="21"/>
          <w:szCs w:val="21"/>
        </w:rPr>
      </w:pPr>
      <w:r>
        <w:rPr>
          <w:rFonts w:hint="eastAsia"/>
          <w:sz w:val="21"/>
          <w:szCs w:val="21"/>
        </w:rPr>
        <w:t>使用该目录时，不可使用数据采集接入服务、统计服务、数据分类分级检查目录。</w:t>
      </w:r>
    </w:p>
    <w:p w14:paraId="14E45A11">
      <w:pPr>
        <w:ind w:firstLine="480"/>
        <w:rPr>
          <w:sz w:val="21"/>
          <w:szCs w:val="21"/>
        </w:rPr>
      </w:pPr>
      <w:r>
        <w:rPr>
          <w:rFonts w:hint="eastAsia"/>
          <w:sz w:val="21"/>
          <w:szCs w:val="21"/>
        </w:rPr>
        <w:t>在估算公共数据社会化应用服务总量时，需按照</w:t>
      </w:r>
      <w:r>
        <w:rPr>
          <w:sz w:val="21"/>
          <w:szCs w:val="21"/>
        </w:rPr>
        <w:t>工作的复杂度</w:t>
      </w:r>
      <w:r>
        <w:rPr>
          <w:rFonts w:hint="eastAsia"/>
          <w:sz w:val="21"/>
          <w:szCs w:val="21"/>
        </w:rPr>
        <w:t>估算难度</w:t>
      </w:r>
      <w:r>
        <w:rPr>
          <w:sz w:val="21"/>
          <w:szCs w:val="21"/>
        </w:rPr>
        <w:t>，取难度系数N（N=0.5-2.5）</w:t>
      </w:r>
      <w:r>
        <w:rPr>
          <w:rFonts w:hint="eastAsia"/>
          <w:sz w:val="21"/>
          <w:szCs w:val="21"/>
        </w:rPr>
        <w:t>。</w:t>
      </w:r>
    </w:p>
    <w:p w14:paraId="0ACBDEE1">
      <w:pPr>
        <w:ind w:firstLine="480"/>
        <w:rPr>
          <w:sz w:val="21"/>
          <w:szCs w:val="21"/>
        </w:rPr>
      </w:pPr>
      <w:r>
        <w:rPr>
          <w:rFonts w:hint="eastAsia"/>
          <w:sz w:val="21"/>
          <w:szCs w:val="21"/>
        </w:rPr>
        <w:t>根据数据运营重点工作要求，输出物及标准包括：</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5637"/>
      </w:tblGrid>
      <w:tr w14:paraId="0370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659" w:type="dxa"/>
          </w:tcPr>
          <w:p w14:paraId="6820583B">
            <w:pPr>
              <w:pStyle w:val="39"/>
              <w:ind w:firstLine="0" w:firstLineChars="0"/>
              <w:jc w:val="center"/>
              <w:rPr>
                <w:rFonts w:cs="Times New Roman"/>
                <w:b/>
                <w:bCs/>
                <w:sz w:val="21"/>
                <w:szCs w:val="21"/>
              </w:rPr>
            </w:pPr>
            <w:r>
              <w:rPr>
                <w:rFonts w:hint="eastAsia" w:cs="Times New Roman"/>
                <w:b/>
                <w:bCs/>
                <w:sz w:val="21"/>
                <w:szCs w:val="21"/>
              </w:rPr>
              <w:t>输出物</w:t>
            </w:r>
          </w:p>
        </w:tc>
        <w:tc>
          <w:tcPr>
            <w:tcW w:w="5637" w:type="dxa"/>
          </w:tcPr>
          <w:p w14:paraId="4CA46B4B">
            <w:pPr>
              <w:pStyle w:val="39"/>
              <w:ind w:firstLine="0" w:firstLineChars="0"/>
              <w:jc w:val="center"/>
              <w:rPr>
                <w:rFonts w:cs="Times New Roman"/>
                <w:b/>
                <w:bCs/>
                <w:sz w:val="21"/>
                <w:szCs w:val="21"/>
              </w:rPr>
            </w:pPr>
            <w:r>
              <w:rPr>
                <w:rFonts w:hint="eastAsia" w:cs="Times New Roman"/>
                <w:b/>
                <w:bCs/>
                <w:sz w:val="21"/>
                <w:szCs w:val="21"/>
              </w:rPr>
              <w:t>输出物标准</w:t>
            </w:r>
          </w:p>
        </w:tc>
      </w:tr>
      <w:tr w14:paraId="4623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vAlign w:val="center"/>
          </w:tcPr>
          <w:p w14:paraId="78441A12">
            <w:pPr>
              <w:pStyle w:val="38"/>
              <w:ind w:firstLine="0" w:firstLineChars="0"/>
              <w:rPr>
                <w:sz w:val="21"/>
                <w:szCs w:val="21"/>
              </w:rPr>
            </w:pPr>
            <w:r>
              <w:rPr>
                <w:rFonts w:hint="eastAsia"/>
                <w:sz w:val="21"/>
                <w:szCs w:val="21"/>
              </w:rPr>
              <w:t>公共数据社会化应用方案</w:t>
            </w:r>
          </w:p>
        </w:tc>
        <w:tc>
          <w:tcPr>
            <w:tcW w:w="5637" w:type="dxa"/>
            <w:vAlign w:val="center"/>
          </w:tcPr>
          <w:p w14:paraId="36709DAF">
            <w:pPr>
              <w:pStyle w:val="38"/>
              <w:ind w:firstLine="0" w:firstLineChars="0"/>
              <w:rPr>
                <w:sz w:val="21"/>
                <w:szCs w:val="21"/>
              </w:rPr>
            </w:pPr>
            <w:r>
              <w:rPr>
                <w:rFonts w:hint="eastAsia"/>
                <w:sz w:val="21"/>
                <w:szCs w:val="21"/>
              </w:rPr>
              <w:t>按照公共数据社会化应用的场景，编写公共数据社会化应用方案，包括应用场景的主体、场景内容、所需数据支撑、数据分类分级标准及评估情况、拟发布的产品或服务等。</w:t>
            </w:r>
          </w:p>
        </w:tc>
      </w:tr>
      <w:tr w14:paraId="5972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vAlign w:val="center"/>
          </w:tcPr>
          <w:p w14:paraId="095D301A">
            <w:pPr>
              <w:pStyle w:val="38"/>
              <w:ind w:firstLine="0" w:firstLineChars="0"/>
              <w:rPr>
                <w:sz w:val="21"/>
                <w:szCs w:val="21"/>
              </w:rPr>
            </w:pPr>
            <w:r>
              <w:rPr>
                <w:rFonts w:hint="eastAsia"/>
                <w:sz w:val="21"/>
                <w:szCs w:val="21"/>
              </w:rPr>
              <w:t>公共数据社会化应用评估报告</w:t>
            </w:r>
          </w:p>
        </w:tc>
        <w:tc>
          <w:tcPr>
            <w:tcW w:w="5637" w:type="dxa"/>
            <w:vAlign w:val="center"/>
          </w:tcPr>
          <w:p w14:paraId="22E57016">
            <w:pPr>
              <w:pStyle w:val="38"/>
              <w:ind w:firstLine="0" w:firstLineChars="0"/>
              <w:rPr>
                <w:sz w:val="21"/>
                <w:szCs w:val="21"/>
              </w:rPr>
            </w:pPr>
            <w:r>
              <w:rPr>
                <w:rFonts w:hint="eastAsia"/>
                <w:sz w:val="21"/>
                <w:szCs w:val="21"/>
              </w:rPr>
              <w:t>包括社会伦理风险、技术安全风险、法律合规风险等评估。</w:t>
            </w:r>
          </w:p>
        </w:tc>
      </w:tr>
      <w:tr w14:paraId="3C0F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9" w:type="dxa"/>
            <w:vAlign w:val="center"/>
          </w:tcPr>
          <w:p w14:paraId="7A70433E">
            <w:pPr>
              <w:pStyle w:val="38"/>
              <w:ind w:firstLine="0" w:firstLineChars="0"/>
              <w:rPr>
                <w:sz w:val="21"/>
                <w:szCs w:val="21"/>
              </w:rPr>
            </w:pPr>
            <w:r>
              <w:rPr>
                <w:rFonts w:hint="eastAsia"/>
                <w:sz w:val="21"/>
                <w:szCs w:val="21"/>
              </w:rPr>
              <w:t>公共数据应用日志</w:t>
            </w:r>
          </w:p>
        </w:tc>
        <w:tc>
          <w:tcPr>
            <w:tcW w:w="5637" w:type="dxa"/>
            <w:vAlign w:val="center"/>
          </w:tcPr>
          <w:p w14:paraId="490AFD66">
            <w:pPr>
              <w:pStyle w:val="38"/>
              <w:ind w:firstLine="0" w:firstLineChars="0"/>
              <w:rPr>
                <w:sz w:val="21"/>
                <w:szCs w:val="21"/>
              </w:rPr>
            </w:pPr>
            <w:r>
              <w:rPr>
                <w:rFonts w:hint="eastAsia"/>
                <w:sz w:val="21"/>
                <w:szCs w:val="21"/>
              </w:rPr>
              <w:t>日志包含但不限于服务调用日志、授权凭证等。</w:t>
            </w:r>
          </w:p>
        </w:tc>
      </w:tr>
    </w:tbl>
    <w:p w14:paraId="7BC9102D">
      <w:pPr>
        <w:tabs>
          <w:tab w:val="left" w:pos="1134"/>
        </w:tabs>
        <w:ind w:firstLine="420"/>
        <w:rPr>
          <w:sz w:val="21"/>
          <w:szCs w:val="21"/>
        </w:rPr>
      </w:pPr>
    </w:p>
    <w:p w14:paraId="018159EC">
      <w:pPr>
        <w:pStyle w:val="5"/>
        <w:ind w:firstLine="560"/>
        <w:rPr>
          <w:sz w:val="21"/>
          <w:szCs w:val="21"/>
        </w:rPr>
      </w:pPr>
      <w:r>
        <w:rPr>
          <w:rFonts w:hint="eastAsia"/>
          <w:sz w:val="21"/>
          <w:szCs w:val="21"/>
        </w:rPr>
        <w:t>数据共享/开放授权运营服务</w:t>
      </w:r>
    </w:p>
    <w:p w14:paraId="13C15DFF">
      <w:pPr>
        <w:ind w:firstLine="480"/>
        <w:rPr>
          <w:sz w:val="21"/>
          <w:szCs w:val="21"/>
        </w:rPr>
      </w:pPr>
      <w:r>
        <w:rPr>
          <w:rFonts w:hint="eastAsia"/>
          <w:sz w:val="21"/>
          <w:szCs w:val="21"/>
        </w:rPr>
        <w:t>本项运营服务工作要求在目录用于数据共享和开放运营服务过程中，对各栏目和各主题的需求对接、需求分析、咨询反馈的服务，对于委办用户的应答响应、报障、需求对接、数据异议核实等工作事项进行跟踪、解答和处理，其服务内容包含且不限于：需求调研、接口开发、接口联调等过程形成API接口、库表交换、文件订阅等。</w:t>
      </w:r>
    </w:p>
    <w:p w14:paraId="1952D3C0">
      <w:pPr>
        <w:ind w:firstLine="480"/>
        <w:rPr>
          <w:sz w:val="21"/>
          <w:szCs w:val="21"/>
        </w:rPr>
      </w:pPr>
      <w:r>
        <w:rPr>
          <w:rFonts w:hint="eastAsia"/>
          <w:sz w:val="21"/>
          <w:szCs w:val="21"/>
        </w:rPr>
        <w:t>根据数据运营重点工作要求，输出物及标准包括但不限于：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62"/>
      </w:tblGrid>
      <w:tr w14:paraId="2B51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660" w:type="dxa"/>
            <w:vAlign w:val="center"/>
          </w:tcPr>
          <w:p w14:paraId="3FD89C4E">
            <w:pPr>
              <w:ind w:firstLine="422"/>
              <w:jc w:val="center"/>
              <w:rPr>
                <w:b/>
                <w:bCs/>
                <w:sz w:val="21"/>
                <w:szCs w:val="21"/>
              </w:rPr>
            </w:pPr>
            <w:r>
              <w:rPr>
                <w:rFonts w:hint="eastAsia"/>
                <w:b/>
                <w:bCs/>
                <w:sz w:val="21"/>
                <w:szCs w:val="21"/>
              </w:rPr>
              <w:t>输出物</w:t>
            </w:r>
          </w:p>
        </w:tc>
        <w:tc>
          <w:tcPr>
            <w:tcW w:w="5862" w:type="dxa"/>
            <w:vAlign w:val="center"/>
          </w:tcPr>
          <w:p w14:paraId="25EAD353">
            <w:pPr>
              <w:ind w:firstLine="422"/>
              <w:jc w:val="center"/>
              <w:rPr>
                <w:b/>
                <w:bCs/>
                <w:sz w:val="21"/>
                <w:szCs w:val="21"/>
              </w:rPr>
            </w:pPr>
            <w:r>
              <w:rPr>
                <w:rFonts w:hint="eastAsia"/>
                <w:b/>
                <w:bCs/>
                <w:sz w:val="21"/>
                <w:szCs w:val="21"/>
              </w:rPr>
              <w:t>输出物标准</w:t>
            </w:r>
          </w:p>
        </w:tc>
      </w:tr>
      <w:tr w14:paraId="120B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67FCF427">
            <w:pPr>
              <w:pStyle w:val="39"/>
              <w:ind w:firstLine="0" w:firstLineChars="0"/>
              <w:rPr>
                <w:rFonts w:ascii="宋体" w:hAnsi="宋体"/>
                <w:sz w:val="21"/>
                <w:szCs w:val="21"/>
              </w:rPr>
            </w:pPr>
            <w:r>
              <w:rPr>
                <w:rFonts w:hint="eastAsia" w:ascii="宋体" w:hAnsi="宋体"/>
                <w:sz w:val="21"/>
                <w:szCs w:val="21"/>
              </w:rPr>
              <w:t>数据运营服务需求单</w:t>
            </w:r>
          </w:p>
        </w:tc>
        <w:tc>
          <w:tcPr>
            <w:tcW w:w="5862" w:type="dxa"/>
            <w:vAlign w:val="center"/>
          </w:tcPr>
          <w:p w14:paraId="3C1D8177">
            <w:pPr>
              <w:pStyle w:val="39"/>
              <w:ind w:firstLine="0" w:firstLineChars="0"/>
              <w:rPr>
                <w:rFonts w:ascii="宋体" w:hAnsi="宋体"/>
                <w:sz w:val="21"/>
                <w:szCs w:val="21"/>
              </w:rPr>
            </w:pPr>
            <w:r>
              <w:rPr>
                <w:rFonts w:hint="eastAsia" w:ascii="宋体" w:hAnsi="宋体"/>
                <w:sz w:val="21"/>
                <w:szCs w:val="21"/>
              </w:rPr>
              <w:t>业务需求方审核通过并提供运营服务需求单</w:t>
            </w:r>
          </w:p>
        </w:tc>
      </w:tr>
      <w:tr w14:paraId="734B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5BB34A8">
            <w:pPr>
              <w:pStyle w:val="39"/>
              <w:ind w:firstLine="0" w:firstLineChars="0"/>
              <w:rPr>
                <w:rFonts w:ascii="宋体" w:hAnsi="宋体"/>
                <w:sz w:val="21"/>
                <w:szCs w:val="21"/>
              </w:rPr>
            </w:pPr>
            <w:r>
              <w:rPr>
                <w:rFonts w:hint="eastAsia" w:ascii="宋体" w:hAnsi="宋体"/>
                <w:sz w:val="21"/>
                <w:szCs w:val="21"/>
              </w:rPr>
              <w:t>API接口列表</w:t>
            </w:r>
          </w:p>
        </w:tc>
        <w:tc>
          <w:tcPr>
            <w:tcW w:w="5862" w:type="dxa"/>
            <w:vAlign w:val="center"/>
          </w:tcPr>
          <w:p w14:paraId="64AC6F85">
            <w:pPr>
              <w:pStyle w:val="39"/>
              <w:ind w:firstLine="0" w:firstLineChars="0"/>
              <w:rPr>
                <w:rFonts w:ascii="宋体" w:hAnsi="宋体"/>
                <w:sz w:val="21"/>
                <w:szCs w:val="21"/>
              </w:rPr>
            </w:pPr>
            <w:r>
              <w:rPr>
                <w:rFonts w:hint="eastAsia" w:ascii="宋体" w:hAnsi="宋体"/>
                <w:sz w:val="21"/>
                <w:szCs w:val="21"/>
              </w:rPr>
              <w:t>符合业务需求和性能要求，并评审通过，附评审报告。</w:t>
            </w:r>
          </w:p>
        </w:tc>
      </w:tr>
      <w:tr w14:paraId="4873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660" w:type="dxa"/>
          </w:tcPr>
          <w:p w14:paraId="3A6AC6DE">
            <w:pPr>
              <w:pStyle w:val="39"/>
              <w:ind w:firstLine="0" w:firstLineChars="0"/>
              <w:jc w:val="left"/>
              <w:rPr>
                <w:rFonts w:ascii="宋体" w:hAnsi="宋体"/>
                <w:sz w:val="21"/>
                <w:szCs w:val="21"/>
              </w:rPr>
            </w:pPr>
            <w:r>
              <w:rPr>
                <w:rFonts w:hint="eastAsia" w:ascii="宋体" w:hAnsi="宋体"/>
                <w:sz w:val="21"/>
                <w:szCs w:val="21"/>
              </w:rPr>
              <w:t>接口测试报告</w:t>
            </w:r>
          </w:p>
        </w:tc>
        <w:tc>
          <w:tcPr>
            <w:tcW w:w="5862" w:type="dxa"/>
          </w:tcPr>
          <w:p w14:paraId="7A67DDCA">
            <w:pPr>
              <w:pStyle w:val="39"/>
              <w:ind w:firstLine="0" w:firstLineChars="0"/>
              <w:jc w:val="left"/>
              <w:rPr>
                <w:rFonts w:ascii="宋体" w:hAnsi="宋体"/>
                <w:sz w:val="21"/>
                <w:szCs w:val="21"/>
              </w:rPr>
            </w:pPr>
            <w:r>
              <w:rPr>
                <w:rFonts w:hint="eastAsia" w:ascii="宋体" w:hAnsi="宋体"/>
                <w:sz w:val="21"/>
                <w:szCs w:val="21"/>
              </w:rPr>
              <w:t>测试报告需包括参数名称、类型、取值范围附相关记录材料。</w:t>
            </w:r>
          </w:p>
        </w:tc>
      </w:tr>
      <w:tr w14:paraId="0FF4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60" w:type="dxa"/>
          </w:tcPr>
          <w:p w14:paraId="5DB9E65C">
            <w:pPr>
              <w:pStyle w:val="39"/>
              <w:ind w:firstLine="0" w:firstLineChars="0"/>
              <w:jc w:val="left"/>
              <w:rPr>
                <w:rFonts w:ascii="宋体" w:hAnsi="宋体"/>
                <w:sz w:val="21"/>
                <w:szCs w:val="21"/>
              </w:rPr>
            </w:pPr>
            <w:r>
              <w:rPr>
                <w:rFonts w:hint="eastAsia" w:ascii="宋体" w:hAnsi="宋体"/>
                <w:sz w:val="21"/>
                <w:szCs w:val="21"/>
              </w:rPr>
              <w:t>数据清单</w:t>
            </w:r>
          </w:p>
        </w:tc>
        <w:tc>
          <w:tcPr>
            <w:tcW w:w="5862" w:type="dxa"/>
          </w:tcPr>
          <w:p w14:paraId="64296DCC">
            <w:pPr>
              <w:pStyle w:val="39"/>
              <w:ind w:firstLine="0" w:firstLineChars="0"/>
              <w:jc w:val="left"/>
              <w:rPr>
                <w:rFonts w:ascii="宋体" w:hAnsi="宋体"/>
                <w:sz w:val="21"/>
                <w:szCs w:val="21"/>
              </w:rPr>
            </w:pPr>
            <w:r>
              <w:rPr>
                <w:rFonts w:hint="eastAsia" w:ascii="宋体" w:hAnsi="宋体"/>
                <w:sz w:val="21"/>
                <w:szCs w:val="21"/>
              </w:rPr>
              <w:t>资源信息、开放状态、开放时间等内容</w:t>
            </w:r>
          </w:p>
        </w:tc>
      </w:tr>
    </w:tbl>
    <w:p w14:paraId="59E1C9CC">
      <w:pPr>
        <w:tabs>
          <w:tab w:val="left" w:pos="1134"/>
        </w:tabs>
        <w:ind w:firstLine="420"/>
        <w:rPr>
          <w:sz w:val="21"/>
          <w:szCs w:val="21"/>
        </w:rPr>
      </w:pPr>
    </w:p>
    <w:p w14:paraId="21E884DC">
      <w:pPr>
        <w:pStyle w:val="5"/>
        <w:ind w:firstLine="560"/>
        <w:rPr>
          <w:sz w:val="21"/>
          <w:szCs w:val="21"/>
        </w:rPr>
      </w:pPr>
      <w:r>
        <w:rPr>
          <w:rFonts w:hint="eastAsia"/>
          <w:sz w:val="21"/>
          <w:szCs w:val="21"/>
        </w:rPr>
        <w:t>数据安全评估/审核服务</w:t>
      </w:r>
    </w:p>
    <w:p w14:paraId="5816BD0A">
      <w:pPr>
        <w:ind w:firstLine="480"/>
        <w:rPr>
          <w:sz w:val="21"/>
          <w:szCs w:val="21"/>
        </w:rPr>
      </w:pPr>
      <w:r>
        <w:rPr>
          <w:rFonts w:hint="eastAsia"/>
          <w:sz w:val="21"/>
          <w:szCs w:val="21"/>
        </w:rPr>
        <w:t>本项服务，要求对数据资源平台数据定期开展存储分布、应用场景和安全策略评估，深入分析数据资源数据存储过程安全风险，对所发现问题闭环管理，并构建数据安全数据评估服务技术合规评测体系。</w:t>
      </w:r>
    </w:p>
    <w:p w14:paraId="73CCC79A">
      <w:pPr>
        <w:ind w:firstLine="480"/>
        <w:rPr>
          <w:sz w:val="21"/>
          <w:szCs w:val="21"/>
        </w:rPr>
      </w:pPr>
      <w:r>
        <w:rPr>
          <w:rFonts w:hint="eastAsia"/>
          <w:sz w:val="21"/>
          <w:szCs w:val="21"/>
        </w:rPr>
        <w:t>在估算数据安全评估、审核服务运营服务单的总量时，需按照运营数据的总量施行阶梯式计算，以0-</w:t>
      </w:r>
      <w:r>
        <w:rPr>
          <w:sz w:val="21"/>
          <w:szCs w:val="21"/>
        </w:rPr>
        <w:t>500</w:t>
      </w:r>
      <w:r>
        <w:rPr>
          <w:rFonts w:hint="eastAsia"/>
          <w:sz w:val="21"/>
          <w:szCs w:val="21"/>
        </w:rPr>
        <w:t>万条、5</w:t>
      </w:r>
      <w:r>
        <w:rPr>
          <w:sz w:val="21"/>
          <w:szCs w:val="21"/>
        </w:rPr>
        <w:t>00</w:t>
      </w:r>
      <w:r>
        <w:rPr>
          <w:rFonts w:hint="eastAsia"/>
          <w:sz w:val="21"/>
          <w:szCs w:val="21"/>
        </w:rPr>
        <w:t>-</w:t>
      </w:r>
      <w:r>
        <w:rPr>
          <w:sz w:val="21"/>
          <w:szCs w:val="21"/>
        </w:rPr>
        <w:t>10000</w:t>
      </w:r>
      <w:r>
        <w:rPr>
          <w:rFonts w:hint="eastAsia"/>
          <w:sz w:val="21"/>
          <w:szCs w:val="21"/>
        </w:rPr>
        <w:t>万条、</w:t>
      </w:r>
      <w:r>
        <w:rPr>
          <w:sz w:val="21"/>
          <w:szCs w:val="21"/>
        </w:rPr>
        <w:t>10000</w:t>
      </w:r>
      <w:r>
        <w:rPr>
          <w:rFonts w:hint="eastAsia"/>
          <w:sz w:val="21"/>
          <w:szCs w:val="21"/>
        </w:rPr>
        <w:t>万条以上三档计算，并限定工单最高价服务价格。</w:t>
      </w:r>
    </w:p>
    <w:p w14:paraId="12574C89">
      <w:pPr>
        <w:ind w:firstLine="480"/>
        <w:rPr>
          <w:sz w:val="21"/>
          <w:szCs w:val="21"/>
        </w:rPr>
      </w:pPr>
      <w:r>
        <w:rPr>
          <w:rFonts w:hint="eastAsia"/>
          <w:sz w:val="21"/>
          <w:szCs w:val="21"/>
        </w:rPr>
        <w:t>根据数据运营安全管理工作要求，输出物及标准包括：</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295"/>
      </w:tblGrid>
      <w:tr w14:paraId="6649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227" w:type="dxa"/>
            <w:vAlign w:val="center"/>
          </w:tcPr>
          <w:p w14:paraId="0DD6B538">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w:t>
            </w:r>
          </w:p>
        </w:tc>
        <w:tc>
          <w:tcPr>
            <w:tcW w:w="5295" w:type="dxa"/>
            <w:vAlign w:val="center"/>
          </w:tcPr>
          <w:p w14:paraId="3B13473A">
            <w:pPr>
              <w:pStyle w:val="39"/>
              <w:ind w:firstLine="0" w:firstLineChars="0"/>
              <w:jc w:val="center"/>
              <w:rPr>
                <w:rFonts w:ascii="宋体" w:hAnsi="宋体" w:cs="Times New Roman"/>
                <w:b/>
                <w:bCs/>
                <w:sz w:val="21"/>
                <w:szCs w:val="21"/>
              </w:rPr>
            </w:pPr>
            <w:r>
              <w:rPr>
                <w:rFonts w:hint="eastAsia" w:ascii="宋体" w:hAnsi="宋体" w:cs="Times New Roman"/>
                <w:b/>
                <w:bCs/>
                <w:sz w:val="21"/>
                <w:szCs w:val="21"/>
              </w:rPr>
              <w:t>输出物标准</w:t>
            </w:r>
          </w:p>
        </w:tc>
      </w:tr>
      <w:tr w14:paraId="2ABD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52896EF3">
            <w:pPr>
              <w:pStyle w:val="39"/>
              <w:ind w:firstLine="0" w:firstLineChars="0"/>
              <w:rPr>
                <w:rFonts w:ascii="宋体" w:hAnsi="宋体"/>
                <w:sz w:val="21"/>
                <w:szCs w:val="21"/>
              </w:rPr>
            </w:pPr>
            <w:r>
              <w:rPr>
                <w:rFonts w:hint="eastAsia"/>
                <w:sz w:val="21"/>
                <w:szCs w:val="21"/>
              </w:rPr>
              <w:t>数据安全评估服务评估报告</w:t>
            </w:r>
          </w:p>
        </w:tc>
        <w:tc>
          <w:tcPr>
            <w:tcW w:w="5295" w:type="dxa"/>
            <w:vAlign w:val="center"/>
          </w:tcPr>
          <w:p w14:paraId="5E10C618">
            <w:pPr>
              <w:pStyle w:val="39"/>
              <w:ind w:firstLine="0" w:firstLineChars="0"/>
              <w:rPr>
                <w:rFonts w:ascii="宋体" w:hAnsi="宋体"/>
                <w:sz w:val="21"/>
                <w:szCs w:val="21"/>
              </w:rPr>
            </w:pPr>
            <w:r>
              <w:rPr>
                <w:rFonts w:hint="eastAsia"/>
                <w:sz w:val="21"/>
                <w:szCs w:val="21"/>
              </w:rPr>
              <w:t>包含本次数据安全评估服务所使用的对象、存储分布、应用场景和安全策略评估以及深入分析数据资源数据存储过程安全风险。</w:t>
            </w:r>
          </w:p>
        </w:tc>
      </w:tr>
      <w:tr w14:paraId="4DC7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2FEE74A0">
            <w:pPr>
              <w:pStyle w:val="39"/>
              <w:ind w:firstLine="0" w:firstLineChars="0"/>
              <w:rPr>
                <w:sz w:val="21"/>
                <w:szCs w:val="21"/>
              </w:rPr>
            </w:pPr>
            <w:r>
              <w:rPr>
                <w:rFonts w:hint="eastAsia"/>
                <w:sz w:val="21"/>
                <w:szCs w:val="21"/>
              </w:rPr>
              <w:t>数据安全评估服务问题列表</w:t>
            </w:r>
          </w:p>
        </w:tc>
        <w:tc>
          <w:tcPr>
            <w:tcW w:w="5295" w:type="dxa"/>
            <w:vAlign w:val="center"/>
          </w:tcPr>
          <w:p w14:paraId="1CB66532">
            <w:pPr>
              <w:pStyle w:val="39"/>
              <w:ind w:firstLine="0" w:firstLineChars="0"/>
              <w:rPr>
                <w:rFonts w:ascii="宋体" w:hAnsi="宋体"/>
                <w:sz w:val="21"/>
                <w:szCs w:val="21"/>
              </w:rPr>
            </w:pPr>
            <w:r>
              <w:rPr>
                <w:rFonts w:hint="eastAsia"/>
                <w:sz w:val="21"/>
                <w:szCs w:val="21"/>
              </w:rPr>
              <w:t>包含本次数据安全评估服务需整改的问题清单。</w:t>
            </w:r>
          </w:p>
        </w:tc>
      </w:tr>
      <w:tr w14:paraId="6995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14:paraId="234651B6">
            <w:pPr>
              <w:pStyle w:val="39"/>
              <w:ind w:firstLine="0" w:firstLineChars="0"/>
              <w:rPr>
                <w:sz w:val="21"/>
                <w:szCs w:val="21"/>
              </w:rPr>
            </w:pPr>
            <w:r>
              <w:rPr>
                <w:rFonts w:hint="eastAsia"/>
                <w:sz w:val="21"/>
                <w:szCs w:val="21"/>
              </w:rPr>
              <w:t>数据安全评估服务问题整改单</w:t>
            </w:r>
          </w:p>
        </w:tc>
        <w:tc>
          <w:tcPr>
            <w:tcW w:w="5295" w:type="dxa"/>
            <w:vAlign w:val="center"/>
          </w:tcPr>
          <w:p w14:paraId="57A9C476">
            <w:pPr>
              <w:pStyle w:val="39"/>
              <w:ind w:firstLine="0" w:firstLineChars="0"/>
              <w:rPr>
                <w:rFonts w:ascii="宋体" w:hAnsi="宋体"/>
                <w:sz w:val="21"/>
                <w:szCs w:val="21"/>
              </w:rPr>
            </w:pPr>
            <w:r>
              <w:rPr>
                <w:rFonts w:hint="eastAsia"/>
                <w:sz w:val="21"/>
                <w:szCs w:val="21"/>
              </w:rPr>
              <w:t>记录了一个需要整改问题的发现、整改、二次验证以及确认全生命周期的文档。</w:t>
            </w:r>
          </w:p>
        </w:tc>
      </w:tr>
    </w:tbl>
    <w:p w14:paraId="4A1F7C0F">
      <w:pPr>
        <w:tabs>
          <w:tab w:val="left" w:pos="1134"/>
        </w:tabs>
        <w:ind w:firstLine="420"/>
        <w:rPr>
          <w:sz w:val="21"/>
          <w:szCs w:val="21"/>
        </w:rPr>
      </w:pPr>
    </w:p>
    <w:p w14:paraId="21CC68A6">
      <w:pPr>
        <w:pStyle w:val="4"/>
        <w:ind w:firstLine="643"/>
        <w:rPr>
          <w:sz w:val="21"/>
          <w:szCs w:val="21"/>
        </w:rPr>
      </w:pPr>
      <w:r>
        <w:rPr>
          <w:rFonts w:hint="eastAsia"/>
          <w:sz w:val="21"/>
          <w:szCs w:val="21"/>
        </w:rPr>
        <w:t>创新服务类运营项服务要求</w:t>
      </w:r>
    </w:p>
    <w:p w14:paraId="6EBFD2D0">
      <w:pPr>
        <w:ind w:firstLine="480"/>
        <w:rPr>
          <w:sz w:val="21"/>
          <w:szCs w:val="21"/>
        </w:rPr>
      </w:pPr>
      <w:r>
        <w:rPr>
          <w:rFonts w:hint="eastAsia"/>
          <w:sz w:val="21"/>
          <w:szCs w:val="21"/>
        </w:rPr>
        <w:t>本项服务工作围绕新技术试点应用和能力迭代升级，支撑新技术在数据工作中的创新应用。针对大数据资源平台应用场景建设和数据创新实验室工作，按照最终实现的功能规模进行计算，功能规模是指功能建设需求中涉及外部输入数、外部查询数、外部输岀数和内部逻辑文件数、外部接口文件数，按能力实现的复杂程度进行加权求和后进行计算。</w:t>
      </w:r>
    </w:p>
    <w:p w14:paraId="0C394F8E">
      <w:pPr>
        <w:pStyle w:val="5"/>
        <w:ind w:firstLine="560"/>
        <w:rPr>
          <w:sz w:val="21"/>
          <w:szCs w:val="21"/>
        </w:rPr>
      </w:pPr>
      <w:r>
        <w:rPr>
          <w:rFonts w:hint="eastAsia"/>
          <w:sz w:val="21"/>
          <w:szCs w:val="21"/>
        </w:rPr>
        <w:t>能力迭代服务</w:t>
      </w:r>
    </w:p>
    <w:p w14:paraId="0C1C2293">
      <w:pPr>
        <w:ind w:firstLine="480"/>
        <w:rPr>
          <w:sz w:val="21"/>
          <w:szCs w:val="21"/>
        </w:rPr>
      </w:pPr>
      <w:r>
        <w:rPr>
          <w:rFonts w:hint="eastAsia"/>
          <w:sz w:val="21"/>
          <w:szCs w:val="21"/>
        </w:rPr>
        <w:t>根据中心业务开展、稳定运行和安全管理的需要，结合《信息安全等级保护管理办法》、《关键信息基础设施安全保护条例》等法律法规、技术标准和相关主管单位的要求，以保障数据运营工作安全有序稳定运行为服务目标，对所涉及的平台能力和应用功能进行迭代优化，或开展大模型加工，以达到相关业务和安全管理要求。</w:t>
      </w:r>
    </w:p>
    <w:p w14:paraId="7EFA9D76">
      <w:pPr>
        <w:ind w:firstLine="480"/>
        <w:rPr>
          <w:sz w:val="21"/>
          <w:szCs w:val="21"/>
        </w:rPr>
      </w:pPr>
      <w:r>
        <w:rPr>
          <w:rFonts w:hint="eastAsia"/>
          <w:sz w:val="21"/>
          <w:szCs w:val="21"/>
        </w:rPr>
        <w:t>中标方需根据招标方服务单的具体要求，对所涉及的平台、服务、应用系统等的能力进行新增或者更新，需要对新增或更新的能力进行需求分析、实施路径设计、研发测试和版本管理等服务，确保新增或更新的能力在维持原有服务能力的基础上满足服务单新增的业务和保障要求。</w:t>
      </w:r>
    </w:p>
    <w:p w14:paraId="3C5E078F">
      <w:pPr>
        <w:ind w:firstLine="480"/>
        <w:rPr>
          <w:sz w:val="21"/>
          <w:szCs w:val="21"/>
        </w:rPr>
      </w:pPr>
      <w:r>
        <w:rPr>
          <w:rFonts w:hint="eastAsia"/>
          <w:sz w:val="21"/>
          <w:szCs w:val="21"/>
        </w:rPr>
        <w:t>能力迭代服务以网络安全和信息安全为底线，以集约化建设为核心，以用户体验为导向，保障数据运营业务安全、有序、稳定、高效地开展。</w:t>
      </w:r>
    </w:p>
    <w:p w14:paraId="70AA5037">
      <w:pPr>
        <w:ind w:firstLine="480"/>
        <w:rPr>
          <w:sz w:val="21"/>
          <w:szCs w:val="21"/>
        </w:rPr>
      </w:pPr>
      <w:r>
        <w:rPr>
          <w:rFonts w:hint="eastAsia"/>
          <w:sz w:val="21"/>
          <w:szCs w:val="21"/>
        </w:rPr>
        <w:t>具体服务事项应与招标方的管理要求、业务需求一一匹配，依托线上流程和提供服务执行各个环节的客观证据。在能力需求分析时，应厘清需迭代的能力所涉及的业务流程、并量化内部文件的变更以及与外部用户（系统）的交互。在研发实施过程中应满足招标方原有平台、系统的技术标准和要求，并具备可扩展性和可迁移性。在测试发版前需做好充分地测试和版本管理，确保相关能力发挥服务单的要求。同时，在招标方没有精简功能要求的情况下中标方应保障原有功能的健全和稳定。中标方应按照招标方的管理要求按时保质保量提供例行服务，中标方三日内需求响应率不低于99%，服务的交付（含验证与确认）及时率不低于98%。上线失败（版本回滚）率小于1%，上线功能缺陷率小于1%，用户满意度大于95%。</w:t>
      </w:r>
    </w:p>
    <w:p w14:paraId="30A8D29D">
      <w:pPr>
        <w:ind w:firstLine="480"/>
        <w:rPr>
          <w:sz w:val="21"/>
          <w:szCs w:val="21"/>
        </w:rPr>
      </w:pPr>
      <w:r>
        <w:rPr>
          <w:sz w:val="21"/>
          <w:szCs w:val="21"/>
        </w:rPr>
        <w:t>针对普通功能迭代，按照功能的复杂程度，取难度系数N（N=0.5-2）。针对大模型数据集的数据加工，按复杂度取难度系数N(N=1-3)，对数据集进行简单加工（清洗、提取、分片、分词、格式转换）、简单图像数据标注（矩形框标注、多边形标注等），N=1；对数据集含有复杂加工（向量嵌入等）、图像的复杂标注（像素级标注等）、模型的精调时，N=2或3。</w:t>
      </w:r>
    </w:p>
    <w:p w14:paraId="405B55E2">
      <w:pPr>
        <w:ind w:firstLine="480"/>
        <w:rPr>
          <w:sz w:val="21"/>
          <w:szCs w:val="21"/>
        </w:rPr>
      </w:pPr>
      <w:r>
        <w:rPr>
          <w:rFonts w:hint="eastAsia"/>
          <w:sz w:val="21"/>
          <w:szCs w:val="21"/>
        </w:rPr>
        <w:t>根据数据运营重点工作要求，输出物及标准包括但不限于：</w:t>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2"/>
        <w:gridCol w:w="5950"/>
      </w:tblGrid>
      <w:tr w14:paraId="31748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2504" w:type="dxa"/>
            <w:tcBorders>
              <w:top w:val="single" w:color="000000" w:sz="4" w:space="0"/>
              <w:left w:val="single" w:color="000000" w:sz="4" w:space="0"/>
              <w:bottom w:val="single" w:color="000000" w:sz="4" w:space="0"/>
              <w:right w:val="single" w:color="000000" w:sz="4" w:space="0"/>
            </w:tcBorders>
            <w:vAlign w:val="center"/>
          </w:tcPr>
          <w:p w14:paraId="30748B96">
            <w:pPr>
              <w:ind w:firstLine="0" w:firstLineChars="0"/>
              <w:jc w:val="center"/>
              <w:rPr>
                <w:b/>
                <w:bCs/>
                <w:kern w:val="0"/>
                <w:sz w:val="21"/>
                <w:szCs w:val="21"/>
              </w:rPr>
            </w:pPr>
            <w:r>
              <w:rPr>
                <w:rFonts w:hint="eastAsia"/>
                <w:b/>
                <w:bCs/>
                <w:kern w:val="0"/>
                <w:sz w:val="21"/>
                <w:szCs w:val="21"/>
              </w:rPr>
              <w:t>输出物</w:t>
            </w:r>
          </w:p>
        </w:tc>
        <w:tc>
          <w:tcPr>
            <w:tcW w:w="5792" w:type="dxa"/>
            <w:tcBorders>
              <w:top w:val="single" w:color="000000" w:sz="4" w:space="0"/>
              <w:left w:val="single" w:color="000000" w:sz="4" w:space="0"/>
              <w:bottom w:val="single" w:color="000000" w:sz="4" w:space="0"/>
              <w:right w:val="single" w:color="000000" w:sz="4" w:space="0"/>
            </w:tcBorders>
            <w:vAlign w:val="center"/>
          </w:tcPr>
          <w:p w14:paraId="2C5E889D">
            <w:pPr>
              <w:ind w:firstLine="0" w:firstLineChars="0"/>
              <w:jc w:val="center"/>
              <w:rPr>
                <w:b/>
                <w:bCs/>
                <w:kern w:val="0"/>
                <w:sz w:val="21"/>
                <w:szCs w:val="21"/>
              </w:rPr>
            </w:pPr>
            <w:r>
              <w:rPr>
                <w:rFonts w:hint="eastAsia"/>
                <w:b/>
                <w:bCs/>
                <w:kern w:val="0"/>
                <w:sz w:val="21"/>
                <w:szCs w:val="21"/>
              </w:rPr>
              <w:t>输出物标准</w:t>
            </w:r>
          </w:p>
        </w:tc>
      </w:tr>
      <w:tr w14:paraId="2036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2504" w:type="dxa"/>
            <w:tcBorders>
              <w:top w:val="single" w:color="000000" w:sz="4" w:space="0"/>
              <w:left w:val="single" w:color="000000" w:sz="4" w:space="0"/>
              <w:bottom w:val="single" w:color="000000" w:sz="4" w:space="0"/>
              <w:right w:val="single" w:color="000000" w:sz="4" w:space="0"/>
            </w:tcBorders>
            <w:vAlign w:val="center"/>
          </w:tcPr>
          <w:p w14:paraId="7A0FE4DA">
            <w:pPr>
              <w:ind w:firstLine="0" w:firstLineChars="0"/>
              <w:jc w:val="left"/>
              <w:rPr>
                <w:bCs/>
                <w:kern w:val="0"/>
                <w:sz w:val="21"/>
                <w:szCs w:val="21"/>
              </w:rPr>
            </w:pPr>
            <w:r>
              <w:rPr>
                <w:rFonts w:hint="eastAsia"/>
                <w:bCs/>
                <w:kern w:val="0"/>
                <w:sz w:val="21"/>
                <w:szCs w:val="21"/>
              </w:rPr>
              <w:t>功能需求分析报告</w:t>
            </w:r>
          </w:p>
        </w:tc>
        <w:tc>
          <w:tcPr>
            <w:tcW w:w="5792" w:type="dxa"/>
            <w:tcBorders>
              <w:top w:val="single" w:color="000000" w:sz="4" w:space="0"/>
              <w:left w:val="single" w:color="000000" w:sz="4" w:space="0"/>
              <w:bottom w:val="single" w:color="000000" w:sz="4" w:space="0"/>
              <w:right w:val="single" w:color="000000" w:sz="4" w:space="0"/>
            </w:tcBorders>
            <w:vAlign w:val="center"/>
          </w:tcPr>
          <w:p w14:paraId="0E79C87D">
            <w:pPr>
              <w:ind w:firstLine="0" w:firstLineChars="0"/>
              <w:jc w:val="left"/>
              <w:rPr>
                <w:bCs/>
                <w:kern w:val="0"/>
                <w:sz w:val="21"/>
                <w:szCs w:val="21"/>
              </w:rPr>
            </w:pPr>
            <w:r>
              <w:rPr>
                <w:rFonts w:hint="eastAsia"/>
                <w:bCs/>
                <w:kern w:val="0"/>
                <w:sz w:val="21"/>
                <w:szCs w:val="21"/>
              </w:rPr>
              <w:t>包括需求背景、需求所要达到的业务目标、所涉及的业务流程、需要优化的功能说明以及与需求相关的功能架构和技术架构。</w:t>
            </w:r>
          </w:p>
        </w:tc>
      </w:tr>
      <w:tr w14:paraId="0BE1E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2504" w:type="dxa"/>
            <w:tcBorders>
              <w:top w:val="single" w:color="000000" w:sz="4" w:space="0"/>
              <w:left w:val="single" w:color="000000" w:sz="4" w:space="0"/>
              <w:bottom w:val="single" w:color="000000" w:sz="4" w:space="0"/>
              <w:right w:val="single" w:color="000000" w:sz="4" w:space="0"/>
            </w:tcBorders>
            <w:vAlign w:val="center"/>
          </w:tcPr>
          <w:p w14:paraId="6B730973">
            <w:pPr>
              <w:ind w:firstLine="0" w:firstLineChars="0"/>
              <w:jc w:val="left"/>
              <w:rPr>
                <w:bCs/>
                <w:kern w:val="0"/>
                <w:sz w:val="21"/>
                <w:szCs w:val="21"/>
              </w:rPr>
            </w:pPr>
            <w:r>
              <w:rPr>
                <w:rFonts w:hint="eastAsia"/>
                <w:bCs/>
                <w:kern w:val="0"/>
                <w:sz w:val="21"/>
                <w:szCs w:val="21"/>
              </w:rPr>
              <w:t>设计文档</w:t>
            </w:r>
          </w:p>
        </w:tc>
        <w:tc>
          <w:tcPr>
            <w:tcW w:w="5792" w:type="dxa"/>
            <w:tcBorders>
              <w:top w:val="single" w:color="000000" w:sz="4" w:space="0"/>
              <w:left w:val="single" w:color="000000" w:sz="4" w:space="0"/>
              <w:bottom w:val="single" w:color="000000" w:sz="4" w:space="0"/>
              <w:right w:val="single" w:color="000000" w:sz="4" w:space="0"/>
            </w:tcBorders>
            <w:vAlign w:val="center"/>
          </w:tcPr>
          <w:p w14:paraId="6D763880">
            <w:pPr>
              <w:ind w:firstLine="0" w:firstLineChars="0"/>
              <w:jc w:val="left"/>
              <w:rPr>
                <w:bCs/>
                <w:kern w:val="0"/>
                <w:sz w:val="21"/>
                <w:szCs w:val="21"/>
              </w:rPr>
            </w:pPr>
            <w:r>
              <w:rPr>
                <w:rFonts w:hint="eastAsia"/>
                <w:bCs/>
                <w:kern w:val="0"/>
                <w:sz w:val="21"/>
                <w:szCs w:val="21"/>
              </w:rPr>
              <w:t>与功能需求分析报告相关的功能设计、数据结构设计、交互流程设计、容量设计和性能设计。</w:t>
            </w:r>
          </w:p>
        </w:tc>
      </w:tr>
      <w:tr w14:paraId="63CDE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2504" w:type="dxa"/>
            <w:tcBorders>
              <w:top w:val="single" w:color="000000" w:sz="4" w:space="0"/>
              <w:left w:val="single" w:color="000000" w:sz="4" w:space="0"/>
              <w:bottom w:val="single" w:color="000000" w:sz="4" w:space="0"/>
              <w:right w:val="single" w:color="000000" w:sz="4" w:space="0"/>
            </w:tcBorders>
            <w:vAlign w:val="center"/>
          </w:tcPr>
          <w:p w14:paraId="75DB0C7B">
            <w:pPr>
              <w:ind w:firstLine="0" w:firstLineChars="0"/>
              <w:jc w:val="left"/>
              <w:rPr>
                <w:bCs/>
                <w:kern w:val="0"/>
                <w:sz w:val="21"/>
                <w:szCs w:val="21"/>
              </w:rPr>
            </w:pPr>
            <w:r>
              <w:rPr>
                <w:rFonts w:hint="eastAsia"/>
                <w:bCs/>
                <w:kern w:val="0"/>
                <w:sz w:val="21"/>
                <w:szCs w:val="21"/>
              </w:rPr>
              <w:t>交付代码/程序</w:t>
            </w:r>
          </w:p>
        </w:tc>
        <w:tc>
          <w:tcPr>
            <w:tcW w:w="5792" w:type="dxa"/>
            <w:tcBorders>
              <w:top w:val="single" w:color="000000" w:sz="4" w:space="0"/>
              <w:left w:val="single" w:color="000000" w:sz="4" w:space="0"/>
              <w:bottom w:val="single" w:color="000000" w:sz="4" w:space="0"/>
              <w:right w:val="single" w:color="000000" w:sz="4" w:space="0"/>
            </w:tcBorders>
            <w:vAlign w:val="center"/>
          </w:tcPr>
          <w:p w14:paraId="3D2312D8">
            <w:pPr>
              <w:ind w:firstLine="0" w:firstLineChars="0"/>
              <w:jc w:val="left"/>
              <w:rPr>
                <w:bCs/>
                <w:kern w:val="0"/>
                <w:sz w:val="21"/>
                <w:szCs w:val="21"/>
              </w:rPr>
            </w:pPr>
            <w:r>
              <w:rPr>
                <w:rFonts w:hint="eastAsia"/>
                <w:bCs/>
                <w:kern w:val="0"/>
                <w:sz w:val="21"/>
                <w:szCs w:val="21"/>
              </w:rPr>
              <w:t>满足代码审计的源码和打包代码，需要有具体的版本或分支编号。</w:t>
            </w:r>
          </w:p>
        </w:tc>
      </w:tr>
      <w:tr w14:paraId="2CDD6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2504" w:type="dxa"/>
            <w:tcBorders>
              <w:top w:val="single" w:color="000000" w:sz="4" w:space="0"/>
              <w:left w:val="single" w:color="000000" w:sz="4" w:space="0"/>
              <w:bottom w:val="single" w:color="000000" w:sz="4" w:space="0"/>
              <w:right w:val="single" w:color="000000" w:sz="4" w:space="0"/>
            </w:tcBorders>
            <w:vAlign w:val="center"/>
          </w:tcPr>
          <w:p w14:paraId="378A8CA0">
            <w:pPr>
              <w:ind w:firstLine="0" w:firstLineChars="0"/>
              <w:jc w:val="left"/>
              <w:rPr>
                <w:bCs/>
                <w:kern w:val="0"/>
                <w:sz w:val="21"/>
                <w:szCs w:val="21"/>
              </w:rPr>
            </w:pPr>
            <w:r>
              <w:rPr>
                <w:rFonts w:hint="eastAsia"/>
                <w:bCs/>
                <w:kern w:val="0"/>
                <w:sz w:val="21"/>
                <w:szCs w:val="21"/>
              </w:rPr>
              <w:t>测试报告</w:t>
            </w:r>
          </w:p>
        </w:tc>
        <w:tc>
          <w:tcPr>
            <w:tcW w:w="5792" w:type="dxa"/>
            <w:tcBorders>
              <w:top w:val="single" w:color="000000" w:sz="4" w:space="0"/>
              <w:left w:val="single" w:color="000000" w:sz="4" w:space="0"/>
              <w:bottom w:val="single" w:color="000000" w:sz="4" w:space="0"/>
              <w:right w:val="single" w:color="000000" w:sz="4" w:space="0"/>
            </w:tcBorders>
            <w:vAlign w:val="center"/>
          </w:tcPr>
          <w:p w14:paraId="5AAD5A0D">
            <w:pPr>
              <w:ind w:firstLine="0" w:firstLineChars="0"/>
              <w:jc w:val="left"/>
              <w:rPr>
                <w:bCs/>
                <w:kern w:val="0"/>
                <w:sz w:val="21"/>
                <w:szCs w:val="21"/>
              </w:rPr>
            </w:pPr>
            <w:r>
              <w:rPr>
                <w:rFonts w:hint="eastAsia"/>
                <w:bCs/>
                <w:kern w:val="0"/>
                <w:sz w:val="21"/>
                <w:szCs w:val="21"/>
              </w:rPr>
              <w:t>包括但不限于单元测试、集成测试、压力测试和联调测试。</w:t>
            </w:r>
          </w:p>
        </w:tc>
      </w:tr>
      <w:tr w14:paraId="12D43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2504" w:type="dxa"/>
            <w:tcBorders>
              <w:top w:val="single" w:color="000000" w:sz="4" w:space="0"/>
              <w:left w:val="single" w:color="000000" w:sz="4" w:space="0"/>
              <w:bottom w:val="single" w:color="000000" w:sz="4" w:space="0"/>
              <w:right w:val="single" w:color="000000" w:sz="4" w:space="0"/>
            </w:tcBorders>
            <w:vAlign w:val="center"/>
          </w:tcPr>
          <w:p w14:paraId="742CBB49">
            <w:pPr>
              <w:ind w:firstLine="0" w:firstLineChars="0"/>
              <w:jc w:val="left"/>
              <w:rPr>
                <w:bCs/>
                <w:kern w:val="0"/>
                <w:sz w:val="21"/>
                <w:szCs w:val="21"/>
              </w:rPr>
            </w:pPr>
            <w:r>
              <w:rPr>
                <w:rFonts w:hint="eastAsia"/>
                <w:bCs/>
                <w:kern w:val="0"/>
                <w:sz w:val="21"/>
                <w:szCs w:val="21"/>
              </w:rPr>
              <w:t>版本变更方案和变更台账</w:t>
            </w:r>
          </w:p>
        </w:tc>
        <w:tc>
          <w:tcPr>
            <w:tcW w:w="5792" w:type="dxa"/>
            <w:tcBorders>
              <w:top w:val="single" w:color="000000" w:sz="4" w:space="0"/>
              <w:left w:val="single" w:color="000000" w:sz="4" w:space="0"/>
              <w:bottom w:val="single" w:color="000000" w:sz="4" w:space="0"/>
              <w:right w:val="single" w:color="000000" w:sz="4" w:space="0"/>
            </w:tcBorders>
            <w:vAlign w:val="center"/>
          </w:tcPr>
          <w:p w14:paraId="799EA3BA">
            <w:pPr>
              <w:ind w:firstLine="0" w:firstLineChars="0"/>
              <w:jc w:val="left"/>
              <w:rPr>
                <w:bCs/>
                <w:kern w:val="0"/>
                <w:sz w:val="21"/>
                <w:szCs w:val="21"/>
              </w:rPr>
            </w:pPr>
            <w:r>
              <w:rPr>
                <w:rFonts w:hint="eastAsia"/>
                <w:bCs/>
                <w:kern w:val="0"/>
                <w:sz w:val="21"/>
                <w:szCs w:val="21"/>
              </w:rPr>
              <w:t>包括但不限于版本变更计划、变更方案、回退方案和人员安排、实施记录等。</w:t>
            </w:r>
          </w:p>
        </w:tc>
      </w:tr>
    </w:tbl>
    <w:p w14:paraId="5EAE442A">
      <w:pPr>
        <w:ind w:firstLine="420"/>
        <w:rPr>
          <w:sz w:val="21"/>
          <w:szCs w:val="21"/>
        </w:rPr>
      </w:pPr>
    </w:p>
    <w:p w14:paraId="1F94EFDA">
      <w:pPr>
        <w:pStyle w:val="3"/>
        <w:ind w:firstLine="640"/>
        <w:rPr>
          <w:sz w:val="21"/>
          <w:szCs w:val="21"/>
        </w:rPr>
      </w:pPr>
      <w:r>
        <w:rPr>
          <w:rFonts w:hint="eastAsia"/>
          <w:sz w:val="21"/>
          <w:szCs w:val="21"/>
        </w:rPr>
        <w:t>数据运营治理</w:t>
      </w:r>
      <w:r>
        <w:rPr>
          <w:sz w:val="21"/>
          <w:szCs w:val="21"/>
        </w:rPr>
        <w:t>服务</w:t>
      </w:r>
      <w:r>
        <w:rPr>
          <w:rFonts w:hint="eastAsia"/>
          <w:sz w:val="21"/>
          <w:szCs w:val="21"/>
        </w:rPr>
        <w:t>要求</w:t>
      </w:r>
    </w:p>
    <w:p w14:paraId="4FD2EEB7">
      <w:pPr>
        <w:ind w:firstLine="480"/>
        <w:rPr>
          <w:sz w:val="21"/>
          <w:szCs w:val="21"/>
        </w:rPr>
      </w:pPr>
      <w:r>
        <w:rPr>
          <w:rFonts w:hint="eastAsia"/>
          <w:sz w:val="21"/>
          <w:szCs w:val="21"/>
        </w:rPr>
        <w:t>本次数据运营治理需基于基础类、应用类、创新类的服务项要求，提供日常数据运营服务，为全区各种业务数据运营管理提供支持，面向“人、事、地、情、组织”形成业务分析综合运营主题内容，支撑各类大数据资源的归集和管理质量，为全区大数据共享协作提供支持。主要包括了：</w:t>
      </w:r>
    </w:p>
    <w:p w14:paraId="73AFE573">
      <w:pPr>
        <w:pStyle w:val="4"/>
        <w:ind w:firstLine="643"/>
        <w:rPr>
          <w:sz w:val="21"/>
          <w:szCs w:val="21"/>
        </w:rPr>
      </w:pPr>
      <w:r>
        <w:rPr>
          <w:rFonts w:hint="eastAsia"/>
          <w:sz w:val="21"/>
          <w:szCs w:val="21"/>
        </w:rPr>
        <w:t>数据的治理、共享与分析运营工作要求</w:t>
      </w:r>
    </w:p>
    <w:p w14:paraId="31B2D8BF">
      <w:pPr>
        <w:ind w:firstLine="480"/>
        <w:rPr>
          <w:color w:val="000000"/>
          <w:kern w:val="0"/>
          <w:sz w:val="21"/>
          <w:szCs w:val="21"/>
        </w:rPr>
      </w:pPr>
      <w:r>
        <w:rPr>
          <w:rFonts w:hint="eastAsia"/>
          <w:sz w:val="21"/>
          <w:szCs w:val="21"/>
        </w:rPr>
        <w:t>提供数据治理类和应用类运营服务工作，为全区各种业务数据运营管理提供支持，面向“人、事、地、情、组织”形成业务分析运营内容、业务场景赋能应用。主要包括了：运营保鲜和常规性工作、</w:t>
      </w:r>
      <w:r>
        <w:rPr>
          <w:rFonts w:hint="eastAsia"/>
          <w:color w:val="000000"/>
          <w:kern w:val="0"/>
          <w:sz w:val="21"/>
          <w:szCs w:val="21"/>
        </w:rPr>
        <w:t>公共数据上链常态化运营和公共资源登记管理、深化大数据主题库/专题库建设共性数据能力，具体工作要求如下：</w:t>
      </w:r>
    </w:p>
    <w:p w14:paraId="16FA44CF">
      <w:pPr>
        <w:pStyle w:val="12"/>
        <w:numPr>
          <w:ilvl w:val="0"/>
          <w:numId w:val="5"/>
        </w:numPr>
        <w:ind w:firstLineChars="0"/>
        <w:rPr>
          <w:sz w:val="21"/>
          <w:szCs w:val="21"/>
        </w:rPr>
      </w:pPr>
      <w:r>
        <w:rPr>
          <w:rFonts w:hint="eastAsia"/>
          <w:sz w:val="21"/>
          <w:szCs w:val="21"/>
        </w:rPr>
        <w:t>运营保鲜和常规性工作要求</w:t>
      </w:r>
    </w:p>
    <w:p w14:paraId="6CAC156E">
      <w:pPr>
        <w:ind w:firstLine="480"/>
        <w:rPr>
          <w:sz w:val="21"/>
          <w:szCs w:val="21"/>
        </w:rPr>
      </w:pPr>
      <w:r>
        <w:rPr>
          <w:rFonts w:hint="eastAsia"/>
          <w:sz w:val="21"/>
          <w:szCs w:val="21"/>
        </w:rPr>
        <w:t>本项为区平台日常运营服务工作，包括已有数据资产“保鲜”服务、影像数据采集、数据抽取（含：实时数据/流式数据、批数据）、数据标签运营、公共数据开放运营、政务数据应用与共享运营、全年常规性数据统计分析及区每月公共数据运营报告、政务文件归集运营、作业调度、对于历史数据的归档及销毁等工作，确保平台中已归集数据资源和运营展示内容的持续稳定，同时做好与市级各类考核评估工作的对接，确保青浦区各项评估打分工作的正常开展。</w:t>
      </w:r>
    </w:p>
    <w:p w14:paraId="03A747FD">
      <w:pPr>
        <w:pStyle w:val="12"/>
        <w:numPr>
          <w:ilvl w:val="0"/>
          <w:numId w:val="5"/>
        </w:numPr>
        <w:ind w:firstLineChars="0"/>
        <w:rPr>
          <w:sz w:val="21"/>
          <w:szCs w:val="21"/>
        </w:rPr>
      </w:pPr>
      <w:r>
        <w:rPr>
          <w:rFonts w:hint="eastAsia"/>
          <w:sz w:val="21"/>
          <w:szCs w:val="21"/>
        </w:rPr>
        <w:t>公共数据上链常态化运营和公共资源登记管理工作要求</w:t>
      </w:r>
    </w:p>
    <w:p w14:paraId="4C06191A">
      <w:pPr>
        <w:ind w:firstLine="480"/>
        <w:rPr>
          <w:sz w:val="21"/>
          <w:szCs w:val="21"/>
        </w:rPr>
      </w:pPr>
      <w:r>
        <w:rPr>
          <w:rFonts w:hint="eastAsia"/>
          <w:sz w:val="21"/>
          <w:szCs w:val="21"/>
        </w:rPr>
        <w:t>做好青浦区政务数据上链，支撑业务变更调整过程中对职责目录、</w:t>
      </w:r>
      <w:r>
        <w:rPr>
          <w:sz w:val="21"/>
          <w:szCs w:val="21"/>
        </w:rPr>
        <w:t>系统目录</w:t>
      </w:r>
      <w:r>
        <w:rPr>
          <w:rFonts w:hint="eastAsia"/>
          <w:sz w:val="21"/>
          <w:szCs w:val="21"/>
        </w:rPr>
        <w:t>、数据目录的常态化运营。</w:t>
      </w:r>
    </w:p>
    <w:p w14:paraId="4DF829A6">
      <w:pPr>
        <w:pStyle w:val="12"/>
        <w:numPr>
          <w:ilvl w:val="0"/>
          <w:numId w:val="5"/>
        </w:numPr>
        <w:ind w:firstLineChars="0"/>
        <w:rPr>
          <w:sz w:val="21"/>
          <w:szCs w:val="21"/>
        </w:rPr>
      </w:pPr>
      <w:r>
        <w:rPr>
          <w:rFonts w:hint="eastAsia"/>
          <w:sz w:val="21"/>
          <w:szCs w:val="21"/>
        </w:rPr>
        <w:t>深化大数据主题库/专题库建设，深化建设共性数据能力</w:t>
      </w:r>
    </w:p>
    <w:p w14:paraId="1FFB9671">
      <w:pPr>
        <w:ind w:firstLine="480"/>
        <w:rPr>
          <w:sz w:val="21"/>
          <w:szCs w:val="21"/>
        </w:rPr>
      </w:pPr>
      <w:r>
        <w:rPr>
          <w:rFonts w:hint="eastAsia"/>
          <w:sz w:val="21"/>
          <w:szCs w:val="21"/>
        </w:rPr>
        <w:t>深化自然人综合库运营工作，包含且不限于：人房数据校验并加以优化，结合“一标三实”、“社区云”等数据采集工作机制，提高数据的准确性、时效性，赋能实有人口动态管理；“新城人口”专题分析；持续深化完善婚姻库、死亡库、亲属关系库、民生保障库等已建成专题主题库；数据属地返还安全保障等工作。</w:t>
      </w:r>
    </w:p>
    <w:p w14:paraId="3A9CF7CD">
      <w:pPr>
        <w:ind w:firstLine="480"/>
        <w:rPr>
          <w:sz w:val="21"/>
          <w:szCs w:val="21"/>
        </w:rPr>
      </w:pPr>
      <w:r>
        <w:rPr>
          <w:rFonts w:hint="eastAsia"/>
          <w:sz w:val="21"/>
          <w:szCs w:val="21"/>
        </w:rPr>
        <w:t>深化法人综合库运营工作，包含且不限于：持续深化法人基础数据、资本资产、资质许可、业务经营等专题主题；推进法人专题数据标准化；基层报表只报一次经济领域专题；搭建法人数据服务或者应用支撑“企业云”“企业专属空间”“楼宇经济”“党的组织体系全覆盖”等重点应用。</w:t>
      </w:r>
    </w:p>
    <w:p w14:paraId="425BD1A9">
      <w:pPr>
        <w:ind w:firstLine="480"/>
        <w:rPr>
          <w:sz w:val="21"/>
          <w:szCs w:val="21"/>
        </w:rPr>
      </w:pPr>
      <w:r>
        <w:rPr>
          <w:rFonts w:hint="eastAsia"/>
          <w:sz w:val="21"/>
          <w:szCs w:val="21"/>
        </w:rPr>
        <w:t>深化空间地理库（一张图），包含且不限于：空间地理数据的抽取归集；空间地理数据的核实；城市三维模型更新；三维模型数据处理；数据挖掘建模（资环审计）；遥感大模型应用；风险地图绘制。</w:t>
      </w:r>
    </w:p>
    <w:p w14:paraId="5691B69C">
      <w:pPr>
        <w:pStyle w:val="4"/>
        <w:ind w:firstLine="422" w:firstLineChars="200"/>
        <w:rPr>
          <w:sz w:val="21"/>
          <w:szCs w:val="21"/>
        </w:rPr>
      </w:pPr>
      <w:r>
        <w:rPr>
          <w:rFonts w:hint="eastAsia"/>
          <w:sz w:val="21"/>
          <w:szCs w:val="21"/>
        </w:rPr>
        <w:t>数据的质量与安全管理运营工作要求</w:t>
      </w:r>
    </w:p>
    <w:p w14:paraId="28E1FCA7">
      <w:pPr>
        <w:pStyle w:val="12"/>
        <w:numPr>
          <w:ilvl w:val="0"/>
          <w:numId w:val="5"/>
        </w:numPr>
        <w:ind w:firstLineChars="0"/>
        <w:rPr>
          <w:sz w:val="21"/>
          <w:szCs w:val="21"/>
        </w:rPr>
      </w:pPr>
      <w:r>
        <w:rPr>
          <w:rFonts w:hint="eastAsia"/>
          <w:sz w:val="21"/>
          <w:szCs w:val="21"/>
        </w:rPr>
        <w:t>持续提升区数据标准化和质量管理能力</w:t>
      </w:r>
    </w:p>
    <w:p w14:paraId="357D7501">
      <w:pPr>
        <w:ind w:firstLine="480"/>
        <w:rPr>
          <w:sz w:val="21"/>
          <w:szCs w:val="21"/>
        </w:rPr>
      </w:pPr>
      <w:r>
        <w:rPr>
          <w:rFonts w:hint="eastAsia"/>
          <w:sz w:val="21"/>
          <w:szCs w:val="21"/>
        </w:rPr>
        <w:t>需按照本市</w:t>
      </w:r>
      <w:r>
        <w:rPr>
          <w:rFonts w:hint="eastAsia" w:ascii="仿宋" w:hAnsi="仿宋"/>
          <w:sz w:val="21"/>
          <w:szCs w:val="21"/>
        </w:rPr>
        <w:t>“公共数据标准制度建设”推进进度，结合区数据标准和标准库建设规划，持续优化区标准化数据质量。包含且不限于：规范区级数据的标准定义；深</w:t>
      </w:r>
      <w:r>
        <w:rPr>
          <w:rFonts w:hint="eastAsia"/>
          <w:sz w:val="21"/>
          <w:szCs w:val="21"/>
        </w:rPr>
        <w:t>化数据质量规则库；常态化质量检查工作；</w:t>
      </w:r>
    </w:p>
    <w:p w14:paraId="1FF85EA0">
      <w:pPr>
        <w:pStyle w:val="12"/>
        <w:numPr>
          <w:ilvl w:val="0"/>
          <w:numId w:val="5"/>
        </w:numPr>
        <w:ind w:firstLineChars="0"/>
        <w:rPr>
          <w:sz w:val="21"/>
          <w:szCs w:val="21"/>
        </w:rPr>
      </w:pPr>
      <w:r>
        <w:rPr>
          <w:rFonts w:hint="eastAsia"/>
          <w:sz w:val="21"/>
          <w:szCs w:val="21"/>
        </w:rPr>
        <w:t>落地数据分级分类工作，提升数据安全管理能力</w:t>
      </w:r>
    </w:p>
    <w:p w14:paraId="4891A71B">
      <w:pPr>
        <w:ind w:firstLine="480"/>
        <w:rPr>
          <w:sz w:val="21"/>
          <w:szCs w:val="21"/>
        </w:rPr>
      </w:pPr>
      <w:r>
        <w:rPr>
          <w:rFonts w:hint="eastAsia"/>
          <w:sz w:val="21"/>
          <w:szCs w:val="21"/>
        </w:rPr>
        <w:t>提供数据安全分类分级运营服务，制定规范，核心业务数据检查，数据加密、脱敏、涉敏管理工作，数据安全风险评估、安全审核、审计分析、渗透测试等工作。</w:t>
      </w:r>
    </w:p>
    <w:p w14:paraId="5FED1A5B">
      <w:pPr>
        <w:pStyle w:val="4"/>
        <w:ind w:firstLine="422" w:firstLineChars="200"/>
        <w:rPr>
          <w:sz w:val="21"/>
          <w:szCs w:val="21"/>
        </w:rPr>
      </w:pPr>
      <w:r>
        <w:rPr>
          <w:rFonts w:hint="eastAsia"/>
          <w:sz w:val="21"/>
          <w:szCs w:val="21"/>
        </w:rPr>
        <w:t>数据创新试点与能力迭代工作要求</w:t>
      </w:r>
    </w:p>
    <w:p w14:paraId="34AF8E63">
      <w:pPr>
        <w:pStyle w:val="12"/>
        <w:numPr>
          <w:ilvl w:val="0"/>
          <w:numId w:val="5"/>
        </w:numPr>
        <w:ind w:firstLineChars="0"/>
        <w:rPr>
          <w:sz w:val="21"/>
          <w:szCs w:val="21"/>
        </w:rPr>
      </w:pPr>
      <w:r>
        <w:rPr>
          <w:rFonts w:hint="eastAsia"/>
          <w:sz w:val="21"/>
          <w:szCs w:val="21"/>
        </w:rPr>
        <w:t>夯实大数据资源平台基础能力、支撑数据分析、数据可视化等能力</w:t>
      </w:r>
    </w:p>
    <w:p w14:paraId="4D61B855">
      <w:pPr>
        <w:ind w:firstLine="480"/>
        <w:rPr>
          <w:sz w:val="21"/>
          <w:szCs w:val="21"/>
        </w:rPr>
      </w:pPr>
      <w:r>
        <w:rPr>
          <w:rFonts w:hint="eastAsia"/>
          <w:sz w:val="21"/>
          <w:szCs w:val="21"/>
        </w:rPr>
        <w:t>优化大数据底座管理能力，实现业务协同、服务管控、整体安全管理等基础能力，提升平台整体支撑效率；优化数据治理分析平台，以数据资产服务化方式支撑委办多元业务场景建设，支撑各单位的业务运营；数据分析大模型建设。</w:t>
      </w:r>
    </w:p>
    <w:p w14:paraId="4B8DD201">
      <w:pPr>
        <w:tabs>
          <w:tab w:val="left" w:pos="1134"/>
        </w:tabs>
        <w:ind w:firstLine="420"/>
        <w:rPr>
          <w:sz w:val="21"/>
          <w:szCs w:val="21"/>
        </w:rPr>
      </w:pPr>
    </w:p>
    <w:p w14:paraId="6211C59D">
      <w:pPr>
        <w:pStyle w:val="2"/>
        <w:rPr>
          <w:sz w:val="21"/>
          <w:szCs w:val="21"/>
        </w:rPr>
      </w:pPr>
      <w:bookmarkStart w:id="8" w:name="_Toc29540"/>
      <w:bookmarkStart w:id="9" w:name="_Toc34292058"/>
      <w:bookmarkStart w:id="10" w:name="_Toc20040464"/>
      <w:bookmarkStart w:id="11" w:name="_Toc20010869"/>
      <w:r>
        <w:rPr>
          <w:rFonts w:hint="eastAsia"/>
          <w:sz w:val="21"/>
          <w:szCs w:val="21"/>
        </w:rPr>
        <w:t>运营工作管理要求</w:t>
      </w:r>
      <w:bookmarkEnd w:id="8"/>
      <w:bookmarkEnd w:id="9"/>
    </w:p>
    <w:p w14:paraId="5B6ACFC9">
      <w:pPr>
        <w:pStyle w:val="3"/>
        <w:ind w:firstLine="640"/>
        <w:rPr>
          <w:sz w:val="21"/>
          <w:szCs w:val="21"/>
        </w:rPr>
      </w:pPr>
      <w:bookmarkStart w:id="12" w:name="_Toc34292059"/>
      <w:bookmarkStart w:id="13" w:name="_Toc1522"/>
      <w:r>
        <w:rPr>
          <w:rFonts w:hint="eastAsia"/>
          <w:sz w:val="21"/>
          <w:szCs w:val="21"/>
        </w:rPr>
        <w:t>总体服务要求</w:t>
      </w:r>
      <w:bookmarkEnd w:id="12"/>
      <w:bookmarkEnd w:id="13"/>
    </w:p>
    <w:p w14:paraId="47007720">
      <w:pPr>
        <w:ind w:firstLine="480"/>
        <w:rPr>
          <w:sz w:val="21"/>
          <w:szCs w:val="21"/>
        </w:rPr>
      </w:pPr>
      <w:r>
        <w:rPr>
          <w:sz w:val="21"/>
          <w:szCs w:val="21"/>
        </w:rPr>
        <w:t>投标方向</w:t>
      </w:r>
      <w:r>
        <w:rPr>
          <w:rFonts w:hint="eastAsia"/>
          <w:sz w:val="21"/>
          <w:szCs w:val="21"/>
        </w:rPr>
        <w:t>招标方</w:t>
      </w:r>
      <w:r>
        <w:rPr>
          <w:sz w:val="21"/>
          <w:szCs w:val="21"/>
        </w:rPr>
        <w:t>提供响应文件中采购的所有内容的培训和维护服务，并负责数据运营服务所需要涉及的硬件安装、软件集成、</w:t>
      </w:r>
      <w:r>
        <w:rPr>
          <w:rFonts w:hint="eastAsia"/>
          <w:sz w:val="21"/>
          <w:szCs w:val="21"/>
        </w:rPr>
        <w:t>应用</w:t>
      </w:r>
      <w:r>
        <w:rPr>
          <w:sz w:val="21"/>
          <w:szCs w:val="21"/>
        </w:rPr>
        <w:t>管理工作。若招标文件中所采购的服务等方面的配置或要求中出现不合理或不完整的问题时，投标方有责任和义务在响应文件中提出补充修改方案并征得本项目单位同意后付诸实施，所产生的费用由投标方负责。投标方需按照服务质量保证的服务标准要求提供各种售后服务，负责对其提供的服务进行维护或升级。</w:t>
      </w:r>
    </w:p>
    <w:p w14:paraId="21E6FD6C">
      <w:pPr>
        <w:numPr>
          <w:ilvl w:val="0"/>
          <w:numId w:val="6"/>
        </w:numPr>
        <w:tabs>
          <w:tab w:val="left" w:pos="1134"/>
        </w:tabs>
        <w:ind w:left="0" w:firstLine="480" w:firstLineChars="0"/>
        <w:rPr>
          <w:sz w:val="21"/>
          <w:szCs w:val="21"/>
        </w:rPr>
      </w:pPr>
      <w:r>
        <w:rPr>
          <w:rFonts w:hint="eastAsia"/>
          <w:sz w:val="21"/>
          <w:szCs w:val="21"/>
        </w:rPr>
        <w:t>投标方需提供专职</w:t>
      </w:r>
      <w:r>
        <w:rPr>
          <w:sz w:val="21"/>
          <w:szCs w:val="21"/>
        </w:rPr>
        <w:t>5*9</w:t>
      </w:r>
      <w:r>
        <w:rPr>
          <w:rFonts w:hint="eastAsia"/>
          <w:sz w:val="21"/>
          <w:szCs w:val="21"/>
        </w:rPr>
        <w:t>小时的驻场服务，确保重点公共数据服务可用性不低于98</w:t>
      </w:r>
      <w:r>
        <w:rPr>
          <w:sz w:val="21"/>
          <w:szCs w:val="21"/>
        </w:rPr>
        <w:t>%</w:t>
      </w:r>
      <w:r>
        <w:rPr>
          <w:rFonts w:hint="eastAsia"/>
          <w:sz w:val="21"/>
          <w:szCs w:val="21"/>
        </w:rPr>
        <w:t>。</w:t>
      </w:r>
    </w:p>
    <w:p w14:paraId="70641F7E">
      <w:pPr>
        <w:numPr>
          <w:ilvl w:val="0"/>
          <w:numId w:val="6"/>
        </w:numPr>
        <w:tabs>
          <w:tab w:val="left" w:pos="1134"/>
        </w:tabs>
        <w:ind w:left="0" w:firstLine="480" w:firstLineChars="0"/>
        <w:rPr>
          <w:sz w:val="21"/>
          <w:szCs w:val="21"/>
        </w:rPr>
      </w:pPr>
      <w:r>
        <w:rPr>
          <w:rFonts w:hint="eastAsia"/>
          <w:sz w:val="21"/>
          <w:szCs w:val="21"/>
        </w:rPr>
        <w:t>投标方应根据不同的数据运营服务任务的范围和要求，提出相应运营服务方案，包括但不仅限于处理流程、响应时间、管理体制、维护人员和工具配备等。投标方需按照方案中的事项安排相关团队制定详细的作业计划并执行。</w:t>
      </w:r>
    </w:p>
    <w:p w14:paraId="1646718D">
      <w:pPr>
        <w:numPr>
          <w:ilvl w:val="0"/>
          <w:numId w:val="6"/>
        </w:numPr>
        <w:tabs>
          <w:tab w:val="left" w:pos="1134"/>
        </w:tabs>
        <w:ind w:left="0" w:firstLine="480" w:firstLineChars="0"/>
        <w:rPr>
          <w:sz w:val="21"/>
          <w:szCs w:val="21"/>
        </w:rPr>
      </w:pPr>
      <w:r>
        <w:rPr>
          <w:rFonts w:hint="eastAsia"/>
          <w:sz w:val="21"/>
          <w:szCs w:val="21"/>
        </w:rPr>
        <w:t>未经许可不允许使用大规模自动化扫描工具及渗透工具，禁止上传木马、执行高危</w:t>
      </w:r>
      <w:r>
        <w:rPr>
          <w:sz w:val="21"/>
          <w:szCs w:val="21"/>
        </w:rPr>
        <w:t>payload</w:t>
      </w:r>
      <w:r>
        <w:rPr>
          <w:rFonts w:hint="eastAsia"/>
          <w:sz w:val="21"/>
          <w:szCs w:val="21"/>
        </w:rPr>
        <w:t>等影响系统运行的操作。</w:t>
      </w:r>
    </w:p>
    <w:p w14:paraId="5C3A4429">
      <w:pPr>
        <w:numPr>
          <w:ilvl w:val="0"/>
          <w:numId w:val="6"/>
        </w:numPr>
        <w:tabs>
          <w:tab w:val="left" w:pos="1134"/>
        </w:tabs>
        <w:ind w:left="0" w:firstLine="480" w:firstLineChars="0"/>
        <w:rPr>
          <w:sz w:val="21"/>
          <w:szCs w:val="21"/>
        </w:rPr>
      </w:pPr>
      <w:r>
        <w:rPr>
          <w:rFonts w:hint="eastAsia"/>
          <w:sz w:val="21"/>
          <w:szCs w:val="21"/>
        </w:rPr>
        <w:t>故障响应：处理数据运营过程中发生的由数据及时性、一致性、准确性等引起的问题，确保业务系统能够及时、准确地进行数据共享开放和数据分析应用相关的业务协同。其中故障响应流程需要电子化并规定处理时限及当前处理环节的责任部门和责任人。</w:t>
      </w:r>
    </w:p>
    <w:p w14:paraId="0E13FA4D">
      <w:pPr>
        <w:numPr>
          <w:ilvl w:val="0"/>
          <w:numId w:val="6"/>
        </w:numPr>
        <w:tabs>
          <w:tab w:val="left" w:pos="1134"/>
        </w:tabs>
        <w:ind w:left="0" w:firstLine="480" w:firstLineChars="0"/>
        <w:rPr>
          <w:sz w:val="21"/>
          <w:szCs w:val="21"/>
        </w:rPr>
      </w:pPr>
      <w:r>
        <w:rPr>
          <w:rFonts w:hint="eastAsia"/>
          <w:sz w:val="21"/>
          <w:szCs w:val="21"/>
        </w:rPr>
        <w:t>投标方应提供详细的故障响应方案，该方案需经招标方评审通过。故障处理方案需针对不同故障等级分别制定，故障等级划分包括但不限于：</w:t>
      </w:r>
    </w:p>
    <w:p w14:paraId="4A2E27A6">
      <w:pPr>
        <w:numPr>
          <w:ilvl w:val="1"/>
          <w:numId w:val="7"/>
        </w:numPr>
        <w:ind w:firstLine="480" w:firstLineChars="0"/>
        <w:rPr>
          <w:sz w:val="21"/>
          <w:szCs w:val="21"/>
        </w:rPr>
      </w:pPr>
      <w:r>
        <w:rPr>
          <w:sz w:val="21"/>
          <w:szCs w:val="21"/>
        </w:rPr>
        <w:t>紧急故障：系统核心业务瘫痪，无法提供服务；</w:t>
      </w:r>
    </w:p>
    <w:p w14:paraId="134ECECD">
      <w:pPr>
        <w:numPr>
          <w:ilvl w:val="1"/>
          <w:numId w:val="7"/>
        </w:numPr>
        <w:ind w:firstLine="480" w:firstLineChars="0"/>
        <w:rPr>
          <w:sz w:val="21"/>
          <w:szCs w:val="21"/>
        </w:rPr>
      </w:pPr>
      <w:r>
        <w:rPr>
          <w:sz w:val="21"/>
          <w:szCs w:val="21"/>
        </w:rPr>
        <w:t>严重故障：系统核心业务仍能提供服务，但是性能受到严重影响；</w:t>
      </w:r>
    </w:p>
    <w:p w14:paraId="24336CA6">
      <w:pPr>
        <w:numPr>
          <w:ilvl w:val="1"/>
          <w:numId w:val="7"/>
        </w:numPr>
        <w:ind w:firstLine="480" w:firstLineChars="0"/>
        <w:rPr>
          <w:sz w:val="21"/>
          <w:szCs w:val="21"/>
        </w:rPr>
      </w:pPr>
      <w:r>
        <w:rPr>
          <w:sz w:val="21"/>
          <w:szCs w:val="21"/>
        </w:rPr>
        <w:t>一般故障：系统核心业务不受影响；</w:t>
      </w:r>
    </w:p>
    <w:p w14:paraId="10CAA8FB">
      <w:pPr>
        <w:numPr>
          <w:ilvl w:val="0"/>
          <w:numId w:val="6"/>
        </w:numPr>
        <w:tabs>
          <w:tab w:val="left" w:pos="1134"/>
        </w:tabs>
        <w:ind w:left="0" w:firstLine="480" w:firstLineChars="0"/>
        <w:rPr>
          <w:sz w:val="21"/>
          <w:szCs w:val="21"/>
        </w:rPr>
      </w:pPr>
      <w:r>
        <w:rPr>
          <w:rFonts w:hint="eastAsia"/>
          <w:sz w:val="21"/>
          <w:szCs w:val="21"/>
        </w:rPr>
        <w:t>在紧急故障发生时，投标方应在</w:t>
      </w:r>
      <w:r>
        <w:rPr>
          <w:sz w:val="21"/>
          <w:szCs w:val="21"/>
        </w:rPr>
        <w:t>15</w:t>
      </w:r>
      <w:r>
        <w:rPr>
          <w:rFonts w:hint="eastAsia"/>
          <w:sz w:val="21"/>
          <w:szCs w:val="21"/>
        </w:rPr>
        <w:t>分钟内响应，</w:t>
      </w:r>
      <w:r>
        <w:rPr>
          <w:sz w:val="21"/>
          <w:szCs w:val="21"/>
        </w:rPr>
        <w:t>1</w:t>
      </w:r>
      <w:r>
        <w:rPr>
          <w:rFonts w:hint="eastAsia"/>
          <w:sz w:val="21"/>
          <w:szCs w:val="21"/>
        </w:rPr>
        <w:t>小时内到场对故障进行紧急处理，恢复业务基本运行。因不可抗力致使投标方未按时到达现场除外。</w:t>
      </w:r>
    </w:p>
    <w:p w14:paraId="060ECFD8">
      <w:pPr>
        <w:numPr>
          <w:ilvl w:val="0"/>
          <w:numId w:val="6"/>
        </w:numPr>
        <w:tabs>
          <w:tab w:val="left" w:pos="1134"/>
        </w:tabs>
        <w:ind w:left="0" w:firstLine="480" w:firstLineChars="0"/>
        <w:rPr>
          <w:sz w:val="21"/>
          <w:szCs w:val="21"/>
        </w:rPr>
      </w:pPr>
      <w:r>
        <w:rPr>
          <w:rFonts w:hint="eastAsia"/>
          <w:sz w:val="21"/>
          <w:szCs w:val="21"/>
        </w:rPr>
        <w:t>在严重故障发生时，投标方应在</w:t>
      </w:r>
      <w:r>
        <w:rPr>
          <w:sz w:val="21"/>
          <w:szCs w:val="21"/>
        </w:rPr>
        <w:t>30</w:t>
      </w:r>
      <w:r>
        <w:rPr>
          <w:rFonts w:hint="eastAsia"/>
          <w:sz w:val="21"/>
          <w:szCs w:val="21"/>
        </w:rPr>
        <w:t>分钟内响应，</w:t>
      </w:r>
      <w:r>
        <w:rPr>
          <w:sz w:val="21"/>
          <w:szCs w:val="21"/>
        </w:rPr>
        <w:t>2</w:t>
      </w:r>
      <w:r>
        <w:rPr>
          <w:rFonts w:hint="eastAsia"/>
          <w:sz w:val="21"/>
          <w:szCs w:val="21"/>
        </w:rPr>
        <w:t>小时到场内对故障进行紧急处理，恢复业务基本运行。因不可抗力致使投标方未按时到达现场除外。</w:t>
      </w:r>
    </w:p>
    <w:p w14:paraId="158E556A">
      <w:pPr>
        <w:numPr>
          <w:ilvl w:val="0"/>
          <w:numId w:val="6"/>
        </w:numPr>
        <w:tabs>
          <w:tab w:val="left" w:pos="1134"/>
        </w:tabs>
        <w:ind w:left="0" w:firstLine="480" w:firstLineChars="0"/>
        <w:rPr>
          <w:sz w:val="21"/>
          <w:szCs w:val="21"/>
        </w:rPr>
      </w:pPr>
      <w:r>
        <w:rPr>
          <w:rFonts w:hint="eastAsia"/>
          <w:sz w:val="21"/>
          <w:szCs w:val="21"/>
        </w:rPr>
        <w:t>在一般故障发生时，投标方应在</w:t>
      </w:r>
      <w:r>
        <w:rPr>
          <w:sz w:val="21"/>
          <w:szCs w:val="21"/>
        </w:rPr>
        <w:t>60</w:t>
      </w:r>
      <w:r>
        <w:rPr>
          <w:rFonts w:hint="eastAsia"/>
          <w:sz w:val="21"/>
          <w:szCs w:val="21"/>
        </w:rPr>
        <w:t>分钟内响应，</w:t>
      </w:r>
      <w:r>
        <w:rPr>
          <w:sz w:val="21"/>
          <w:szCs w:val="21"/>
        </w:rPr>
        <w:t>24</w:t>
      </w:r>
      <w:r>
        <w:rPr>
          <w:rFonts w:hint="eastAsia"/>
          <w:sz w:val="21"/>
          <w:szCs w:val="21"/>
        </w:rPr>
        <w:t>小时之内恢复。</w:t>
      </w:r>
    </w:p>
    <w:p w14:paraId="186C9970">
      <w:pPr>
        <w:numPr>
          <w:ilvl w:val="0"/>
          <w:numId w:val="6"/>
        </w:numPr>
        <w:tabs>
          <w:tab w:val="left" w:pos="1134"/>
        </w:tabs>
        <w:ind w:left="0" w:firstLine="480" w:firstLineChars="0"/>
        <w:rPr>
          <w:sz w:val="21"/>
          <w:szCs w:val="21"/>
        </w:rPr>
      </w:pPr>
      <w:r>
        <w:rPr>
          <w:rFonts w:hint="eastAsia"/>
          <w:sz w:val="21"/>
          <w:szCs w:val="21"/>
        </w:rPr>
        <w:t>投标方应提供</w:t>
      </w:r>
      <w:r>
        <w:rPr>
          <w:sz w:val="21"/>
          <w:szCs w:val="21"/>
        </w:rPr>
        <w:t>7x24</w:t>
      </w:r>
      <w:r>
        <w:rPr>
          <w:rFonts w:hint="eastAsia"/>
          <w:sz w:val="21"/>
          <w:szCs w:val="21"/>
        </w:rPr>
        <w:t>小时的故障接受渠道，方式包括但不限于热线电话、传真、电子邮件方式。对于上述方式，投标方都应该在规定的服务和响应时间内提供相应的技术支持服务。</w:t>
      </w:r>
    </w:p>
    <w:p w14:paraId="1E35F6C0">
      <w:pPr>
        <w:numPr>
          <w:ilvl w:val="0"/>
          <w:numId w:val="6"/>
        </w:numPr>
        <w:tabs>
          <w:tab w:val="left" w:pos="1134"/>
        </w:tabs>
        <w:ind w:left="0" w:firstLine="480" w:firstLineChars="0"/>
        <w:rPr>
          <w:sz w:val="21"/>
          <w:szCs w:val="21"/>
        </w:rPr>
      </w:pPr>
      <w:r>
        <w:rPr>
          <w:rFonts w:hint="eastAsia"/>
          <w:sz w:val="21"/>
          <w:szCs w:val="21"/>
        </w:rPr>
        <w:t>在系统频繁出现故障、或遇重大节假日等保障，需要提高系统维护等级的情况下，应招标方要求，投标方应提供技术人员提供现场技术支持，及时处理各类故障。以上工作所产生的费用都由投标方承担。</w:t>
      </w:r>
    </w:p>
    <w:p w14:paraId="3BEB071E">
      <w:pPr>
        <w:numPr>
          <w:ilvl w:val="0"/>
          <w:numId w:val="6"/>
        </w:numPr>
        <w:tabs>
          <w:tab w:val="left" w:pos="1134"/>
        </w:tabs>
        <w:ind w:left="0" w:firstLine="480" w:firstLineChars="0"/>
        <w:rPr>
          <w:color w:val="000000"/>
          <w:sz w:val="21"/>
          <w:szCs w:val="21"/>
        </w:rPr>
      </w:pPr>
      <w:r>
        <w:rPr>
          <w:color w:val="000000"/>
          <w:sz w:val="21"/>
          <w:szCs w:val="21"/>
        </w:rPr>
        <w:t>投标方应有专门的数据记录方式，记录和整理招标方的各类技术故障分析、技术咨询问题和答复、网络分析报告等等。</w:t>
      </w:r>
    </w:p>
    <w:p w14:paraId="58FC4319">
      <w:pPr>
        <w:numPr>
          <w:ilvl w:val="0"/>
          <w:numId w:val="6"/>
        </w:numPr>
        <w:tabs>
          <w:tab w:val="left" w:pos="1134"/>
        </w:tabs>
        <w:ind w:left="0" w:firstLine="480" w:firstLineChars="0"/>
        <w:rPr>
          <w:color w:val="000000"/>
          <w:sz w:val="21"/>
          <w:szCs w:val="21"/>
        </w:rPr>
      </w:pPr>
      <w:r>
        <w:rPr>
          <w:color w:val="000000"/>
          <w:sz w:val="21"/>
          <w:szCs w:val="21"/>
        </w:rPr>
        <w:t>系统中断：投标方在中标后由于维护原因，需中断系统进行平台升级操作时，提前至少72小时（重大自然灾害除外）通知</w:t>
      </w:r>
      <w:r>
        <w:rPr>
          <w:rFonts w:hint="eastAsia"/>
          <w:color w:val="000000"/>
          <w:sz w:val="21"/>
          <w:szCs w:val="21"/>
        </w:rPr>
        <w:t>招标方</w:t>
      </w:r>
      <w:r>
        <w:rPr>
          <w:color w:val="000000"/>
          <w:sz w:val="21"/>
          <w:szCs w:val="21"/>
        </w:rPr>
        <w:t>做好相关准备工作，征得</w:t>
      </w:r>
      <w:r>
        <w:rPr>
          <w:rFonts w:hint="eastAsia"/>
          <w:color w:val="000000"/>
          <w:sz w:val="21"/>
          <w:szCs w:val="21"/>
        </w:rPr>
        <w:t>招标方</w:t>
      </w:r>
      <w:r>
        <w:rPr>
          <w:color w:val="000000"/>
          <w:sz w:val="21"/>
          <w:szCs w:val="21"/>
        </w:rPr>
        <w:t>同意方可实施。</w:t>
      </w:r>
    </w:p>
    <w:p w14:paraId="295E9633">
      <w:pPr>
        <w:numPr>
          <w:ilvl w:val="0"/>
          <w:numId w:val="6"/>
        </w:numPr>
        <w:tabs>
          <w:tab w:val="left" w:pos="1134"/>
        </w:tabs>
        <w:ind w:left="0" w:firstLine="480" w:firstLineChars="0"/>
        <w:rPr>
          <w:color w:val="000000"/>
          <w:sz w:val="21"/>
          <w:szCs w:val="21"/>
        </w:rPr>
      </w:pPr>
      <w:r>
        <w:rPr>
          <w:color w:val="000000"/>
          <w:sz w:val="21"/>
          <w:szCs w:val="21"/>
        </w:rPr>
        <w:t>应急演练与应急响应：根据数据运营所涉及高可用需要和系统各模块的重要性进行针对性演练，制订应急预案，每年组织至少2次应急演练。当发生重大应急事件时，招标方需在中标人的牵头下实施应急响应操作，并在事后制定重大事件报告。</w:t>
      </w:r>
    </w:p>
    <w:p w14:paraId="62FA798B">
      <w:pPr>
        <w:numPr>
          <w:ilvl w:val="0"/>
          <w:numId w:val="6"/>
        </w:numPr>
        <w:tabs>
          <w:tab w:val="left" w:pos="1134"/>
        </w:tabs>
        <w:ind w:left="0" w:firstLine="480" w:firstLineChars="0"/>
        <w:rPr>
          <w:color w:val="000000"/>
          <w:sz w:val="21"/>
          <w:szCs w:val="21"/>
        </w:rPr>
      </w:pPr>
      <w:r>
        <w:rPr>
          <w:color w:val="000000"/>
          <w:sz w:val="21"/>
          <w:szCs w:val="21"/>
        </w:rPr>
        <w:t>配置实施及管理：进行数据运营所涉及的各软硬件设备的基础配置、IP配置、角色用途、账号密码等的统一配置实施及配置管理；</w:t>
      </w:r>
    </w:p>
    <w:p w14:paraId="03A0C985">
      <w:pPr>
        <w:numPr>
          <w:ilvl w:val="0"/>
          <w:numId w:val="6"/>
        </w:numPr>
        <w:tabs>
          <w:tab w:val="left" w:pos="1134"/>
        </w:tabs>
        <w:ind w:left="0" w:firstLine="480" w:firstLineChars="0"/>
        <w:rPr>
          <w:color w:val="000000"/>
          <w:sz w:val="21"/>
          <w:szCs w:val="21"/>
        </w:rPr>
      </w:pPr>
      <w:r>
        <w:rPr>
          <w:color w:val="000000"/>
          <w:sz w:val="21"/>
          <w:szCs w:val="21"/>
        </w:rPr>
        <w:t>重大活动、节假日保障：需制定强化保障措施，</w:t>
      </w:r>
      <w:r>
        <w:rPr>
          <w:rFonts w:hint="eastAsia"/>
          <w:color w:val="000000"/>
          <w:sz w:val="21"/>
          <w:szCs w:val="21"/>
        </w:rPr>
        <w:t>需确保业务骨干、管理人员到场并提前制订预案，</w:t>
      </w:r>
      <w:r>
        <w:rPr>
          <w:color w:val="000000"/>
          <w:sz w:val="21"/>
          <w:szCs w:val="21"/>
        </w:rPr>
        <w:t>确保公共数据生产工作</w:t>
      </w:r>
      <w:r>
        <w:rPr>
          <w:rFonts w:hint="eastAsia"/>
          <w:color w:val="000000"/>
          <w:sz w:val="21"/>
          <w:szCs w:val="21"/>
        </w:rPr>
        <w:t>安全、</w:t>
      </w:r>
      <w:r>
        <w:rPr>
          <w:color w:val="000000"/>
          <w:sz w:val="21"/>
          <w:szCs w:val="21"/>
        </w:rPr>
        <w:t>稳定运行，涉及数据运营相关的信息安全提供重点保障；</w:t>
      </w:r>
    </w:p>
    <w:p w14:paraId="30CFF852">
      <w:pPr>
        <w:pStyle w:val="3"/>
        <w:ind w:firstLine="640"/>
        <w:rPr>
          <w:sz w:val="21"/>
          <w:szCs w:val="21"/>
        </w:rPr>
      </w:pPr>
      <w:r>
        <w:rPr>
          <w:rFonts w:hint="eastAsia"/>
          <w:sz w:val="21"/>
          <w:szCs w:val="21"/>
        </w:rPr>
        <w:t>项目经理要求</w:t>
      </w:r>
    </w:p>
    <w:p w14:paraId="70658AFA">
      <w:pPr>
        <w:ind w:firstLine="480"/>
        <w:rPr>
          <w:sz w:val="21"/>
          <w:szCs w:val="21"/>
        </w:rPr>
      </w:pPr>
      <w:r>
        <w:rPr>
          <w:rFonts w:hint="eastAsia"/>
          <w:sz w:val="21"/>
          <w:szCs w:val="21"/>
        </w:rPr>
        <w:t>投标方应对青浦区公共数据</w:t>
      </w:r>
      <w:r>
        <w:rPr>
          <w:sz w:val="21"/>
          <w:szCs w:val="21"/>
        </w:rPr>
        <w:t>运营</w:t>
      </w:r>
      <w:r>
        <w:rPr>
          <w:rFonts w:hint="eastAsia"/>
          <w:sz w:val="21"/>
          <w:szCs w:val="21"/>
        </w:rPr>
        <w:t>服务项目分配专职项目经理，负责运营服务工作的总体管理。</w:t>
      </w:r>
    </w:p>
    <w:p w14:paraId="2ED44C8D">
      <w:pPr>
        <w:ind w:firstLine="480"/>
        <w:rPr>
          <w:kern w:val="0"/>
          <w:sz w:val="21"/>
          <w:szCs w:val="21"/>
        </w:rPr>
      </w:pPr>
      <w:r>
        <w:rPr>
          <w:rFonts w:hint="eastAsia"/>
          <w:sz w:val="21"/>
          <w:szCs w:val="21"/>
        </w:rPr>
        <w:t>要求项目经理需具备数据运营和数字化工作的管理资质，具备</w:t>
      </w:r>
      <w:r>
        <w:rPr>
          <w:rFonts w:hint="eastAsia"/>
          <w:kern w:val="0"/>
          <w:sz w:val="21"/>
          <w:szCs w:val="21"/>
        </w:rPr>
        <w:t>省市级及以上人社局颁发的高级项目经理资质（数据库应用或计算机信息管理方向）。</w:t>
      </w:r>
    </w:p>
    <w:p w14:paraId="6679CD31">
      <w:pPr>
        <w:ind w:firstLine="480"/>
        <w:rPr>
          <w:kern w:val="0"/>
          <w:sz w:val="21"/>
          <w:szCs w:val="21"/>
        </w:rPr>
      </w:pPr>
      <w:r>
        <w:rPr>
          <w:rFonts w:hint="eastAsia"/>
          <w:kern w:val="0"/>
          <w:sz w:val="21"/>
          <w:szCs w:val="21"/>
        </w:rPr>
        <w:t>要求项目经理需具备数据运营和数字化工作的丰富经验，在公共数据管理和数字化管理方向至少从事5年以上，负责总体管理工作的项目至少1个以上。</w:t>
      </w:r>
    </w:p>
    <w:p w14:paraId="1866D1CF">
      <w:pPr>
        <w:ind w:firstLine="480"/>
        <w:rPr>
          <w:sz w:val="21"/>
          <w:szCs w:val="21"/>
        </w:rPr>
      </w:pPr>
      <w:r>
        <w:rPr>
          <w:rFonts w:hint="eastAsia"/>
          <w:sz w:val="21"/>
          <w:szCs w:val="21"/>
        </w:rPr>
        <w:t>要求投标方指定项目经理后，无特殊情况不能擅自更换项目经理人选，若应离职、岗位调动、个人因素等特殊情况需要更换项目经理的，需至少提前1个月向招标方提出书面更换申请，经批准后需提供1个月的项目经理交接服务。</w:t>
      </w:r>
    </w:p>
    <w:p w14:paraId="2968D9F1">
      <w:pPr>
        <w:pStyle w:val="3"/>
        <w:ind w:firstLine="640"/>
        <w:rPr>
          <w:sz w:val="21"/>
          <w:szCs w:val="21"/>
        </w:rPr>
      </w:pPr>
      <w:bookmarkStart w:id="14" w:name="_Toc34292060"/>
      <w:bookmarkStart w:id="15" w:name="_Toc5656"/>
      <w:r>
        <w:rPr>
          <w:rFonts w:hint="eastAsia"/>
          <w:sz w:val="21"/>
          <w:szCs w:val="21"/>
        </w:rPr>
        <w:t>项目团队要求</w:t>
      </w:r>
      <w:bookmarkEnd w:id="14"/>
      <w:bookmarkEnd w:id="15"/>
    </w:p>
    <w:p w14:paraId="03388391">
      <w:pPr>
        <w:ind w:firstLine="480"/>
        <w:rPr>
          <w:sz w:val="21"/>
          <w:szCs w:val="21"/>
        </w:rPr>
      </w:pPr>
      <w:r>
        <w:rPr>
          <w:rFonts w:hint="eastAsia"/>
          <w:sz w:val="21"/>
          <w:szCs w:val="21"/>
        </w:rPr>
        <w:t>投标方应为青浦区公共数据运营服务项目单独建立管理组织，分别配置运营骨干人员、驻场运营服务人员、运营服务人员、客户响应人员。</w:t>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7"/>
        <w:gridCol w:w="1302"/>
        <w:gridCol w:w="1458"/>
        <w:gridCol w:w="873"/>
        <w:gridCol w:w="1603"/>
        <w:gridCol w:w="2849"/>
      </w:tblGrid>
      <w:tr w14:paraId="411B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9AB95B2">
            <w:pPr>
              <w:ind w:firstLine="0" w:firstLineChars="0"/>
              <w:jc w:val="center"/>
              <w:rPr>
                <w:sz w:val="21"/>
                <w:szCs w:val="21"/>
              </w:rPr>
            </w:pPr>
            <w:r>
              <w:rPr>
                <w:rFonts w:hint="eastAsia"/>
                <w:sz w:val="21"/>
                <w:szCs w:val="21"/>
              </w:rPr>
              <w:t>序号</w:t>
            </w:r>
          </w:p>
        </w:tc>
        <w:tc>
          <w:tcPr>
            <w:tcW w:w="764" w:type="pct"/>
            <w:vAlign w:val="center"/>
          </w:tcPr>
          <w:p w14:paraId="344C835A">
            <w:pPr>
              <w:ind w:firstLine="0" w:firstLineChars="0"/>
              <w:jc w:val="center"/>
              <w:rPr>
                <w:sz w:val="21"/>
                <w:szCs w:val="21"/>
              </w:rPr>
            </w:pPr>
            <w:r>
              <w:rPr>
                <w:rFonts w:hint="eastAsia"/>
                <w:sz w:val="21"/>
                <w:szCs w:val="21"/>
              </w:rPr>
              <w:t>团队角色</w:t>
            </w:r>
          </w:p>
        </w:tc>
        <w:tc>
          <w:tcPr>
            <w:tcW w:w="855" w:type="pct"/>
            <w:vAlign w:val="center"/>
          </w:tcPr>
          <w:p w14:paraId="28D7B62E">
            <w:pPr>
              <w:ind w:firstLine="0" w:firstLineChars="0"/>
              <w:jc w:val="center"/>
              <w:rPr>
                <w:sz w:val="21"/>
                <w:szCs w:val="21"/>
              </w:rPr>
            </w:pPr>
            <w:r>
              <w:rPr>
                <w:rFonts w:hint="eastAsia"/>
                <w:sz w:val="21"/>
                <w:szCs w:val="21"/>
              </w:rPr>
              <w:t>主要工作</w:t>
            </w:r>
          </w:p>
        </w:tc>
        <w:tc>
          <w:tcPr>
            <w:tcW w:w="512" w:type="pct"/>
            <w:vAlign w:val="center"/>
          </w:tcPr>
          <w:p w14:paraId="5822F0A5">
            <w:pPr>
              <w:ind w:firstLine="0" w:firstLineChars="0"/>
              <w:jc w:val="center"/>
              <w:rPr>
                <w:sz w:val="21"/>
                <w:szCs w:val="21"/>
              </w:rPr>
            </w:pPr>
            <w:r>
              <w:rPr>
                <w:rFonts w:hint="eastAsia"/>
                <w:sz w:val="21"/>
                <w:szCs w:val="21"/>
              </w:rPr>
              <w:t>最低人数要求</w:t>
            </w:r>
          </w:p>
        </w:tc>
        <w:tc>
          <w:tcPr>
            <w:tcW w:w="940" w:type="pct"/>
            <w:vAlign w:val="center"/>
          </w:tcPr>
          <w:p w14:paraId="29A2D248">
            <w:pPr>
              <w:ind w:firstLine="0" w:firstLineChars="0"/>
              <w:jc w:val="center"/>
              <w:rPr>
                <w:sz w:val="21"/>
                <w:szCs w:val="21"/>
              </w:rPr>
            </w:pPr>
            <w:r>
              <w:rPr>
                <w:rFonts w:hint="eastAsia"/>
                <w:sz w:val="21"/>
                <w:szCs w:val="21"/>
              </w:rPr>
              <w:t>驻场要求</w:t>
            </w:r>
          </w:p>
        </w:tc>
        <w:tc>
          <w:tcPr>
            <w:tcW w:w="1671" w:type="pct"/>
            <w:vAlign w:val="center"/>
          </w:tcPr>
          <w:p w14:paraId="5AD96AF8">
            <w:pPr>
              <w:ind w:firstLine="0" w:firstLineChars="0"/>
              <w:jc w:val="center"/>
              <w:rPr>
                <w:sz w:val="21"/>
                <w:szCs w:val="21"/>
              </w:rPr>
            </w:pPr>
            <w:r>
              <w:rPr>
                <w:rFonts w:hint="eastAsia"/>
                <w:sz w:val="21"/>
                <w:szCs w:val="21"/>
              </w:rPr>
              <w:t>专业资质要求</w:t>
            </w:r>
          </w:p>
        </w:tc>
      </w:tr>
      <w:tr w14:paraId="5258E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7A1DB6D">
            <w:pPr>
              <w:numPr>
                <w:ilvl w:val="0"/>
                <w:numId w:val="8"/>
              </w:numPr>
              <w:ind w:left="0" w:firstLine="0" w:firstLineChars="0"/>
              <w:jc w:val="center"/>
              <w:rPr>
                <w:sz w:val="21"/>
                <w:szCs w:val="21"/>
              </w:rPr>
            </w:pPr>
          </w:p>
        </w:tc>
        <w:tc>
          <w:tcPr>
            <w:tcW w:w="764" w:type="pct"/>
            <w:vAlign w:val="center"/>
          </w:tcPr>
          <w:p w14:paraId="3F7C8937">
            <w:pPr>
              <w:ind w:firstLine="0" w:firstLineChars="0"/>
              <w:jc w:val="center"/>
              <w:rPr>
                <w:sz w:val="21"/>
                <w:szCs w:val="21"/>
              </w:rPr>
            </w:pPr>
            <w:r>
              <w:rPr>
                <w:rFonts w:hint="eastAsia"/>
                <w:sz w:val="21"/>
                <w:szCs w:val="21"/>
              </w:rPr>
              <w:t>运营骨干服务人员（含项目经理）</w:t>
            </w:r>
          </w:p>
        </w:tc>
        <w:tc>
          <w:tcPr>
            <w:tcW w:w="855" w:type="pct"/>
            <w:vAlign w:val="center"/>
          </w:tcPr>
          <w:p w14:paraId="2408F910">
            <w:pPr>
              <w:ind w:firstLine="0" w:firstLineChars="0"/>
              <w:jc w:val="center"/>
              <w:rPr>
                <w:sz w:val="21"/>
                <w:szCs w:val="21"/>
              </w:rPr>
            </w:pPr>
            <w:r>
              <w:rPr>
                <w:rFonts w:hint="eastAsia"/>
                <w:sz w:val="21"/>
                <w:szCs w:val="21"/>
              </w:rPr>
              <w:t>项目管理与工作任务协调</w:t>
            </w:r>
          </w:p>
        </w:tc>
        <w:tc>
          <w:tcPr>
            <w:tcW w:w="512" w:type="pct"/>
            <w:vAlign w:val="center"/>
          </w:tcPr>
          <w:p w14:paraId="0CBE9BCD">
            <w:pPr>
              <w:ind w:firstLine="0" w:firstLineChars="0"/>
              <w:jc w:val="center"/>
              <w:rPr>
                <w:sz w:val="21"/>
                <w:szCs w:val="21"/>
              </w:rPr>
            </w:pPr>
            <w:r>
              <w:rPr>
                <w:rFonts w:hint="eastAsia"/>
                <w:sz w:val="21"/>
                <w:szCs w:val="21"/>
              </w:rPr>
              <w:t>3人</w:t>
            </w:r>
          </w:p>
        </w:tc>
        <w:tc>
          <w:tcPr>
            <w:tcW w:w="940" w:type="pct"/>
            <w:vAlign w:val="center"/>
          </w:tcPr>
          <w:p w14:paraId="427467FE">
            <w:pPr>
              <w:ind w:firstLine="0" w:firstLineChars="0"/>
              <w:jc w:val="center"/>
              <w:rPr>
                <w:sz w:val="21"/>
                <w:szCs w:val="21"/>
              </w:rPr>
            </w:pPr>
            <w:r>
              <w:rPr>
                <w:rFonts w:hint="eastAsia"/>
                <w:sz w:val="21"/>
                <w:szCs w:val="21"/>
              </w:rPr>
              <w:t>非驻场</w:t>
            </w:r>
          </w:p>
        </w:tc>
        <w:tc>
          <w:tcPr>
            <w:tcW w:w="1671" w:type="pct"/>
            <w:vAlign w:val="center"/>
          </w:tcPr>
          <w:p w14:paraId="67F2285C">
            <w:pPr>
              <w:ind w:firstLine="0" w:firstLineChars="0"/>
              <w:jc w:val="center"/>
              <w:rPr>
                <w:sz w:val="21"/>
                <w:szCs w:val="21"/>
              </w:rPr>
            </w:pPr>
            <w:r>
              <w:rPr>
                <w:rFonts w:hint="eastAsia"/>
                <w:sz w:val="21"/>
                <w:szCs w:val="21"/>
              </w:rPr>
              <w:t>具备省市级及人社局颁发的高级项目经理、高级工程师（计算机类）、ITIL认证服务工程师证书，需提供人员资质证书复印件的证明</w:t>
            </w:r>
          </w:p>
        </w:tc>
      </w:tr>
      <w:tr w14:paraId="249F6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CF3CEC3">
            <w:pPr>
              <w:numPr>
                <w:ilvl w:val="0"/>
                <w:numId w:val="8"/>
              </w:numPr>
              <w:ind w:left="0" w:firstLine="0" w:firstLineChars="0"/>
              <w:jc w:val="center"/>
              <w:rPr>
                <w:sz w:val="21"/>
                <w:szCs w:val="21"/>
              </w:rPr>
            </w:pPr>
          </w:p>
        </w:tc>
        <w:tc>
          <w:tcPr>
            <w:tcW w:w="764" w:type="pct"/>
            <w:vAlign w:val="center"/>
          </w:tcPr>
          <w:p w14:paraId="5D87CA41">
            <w:pPr>
              <w:ind w:firstLine="0" w:firstLineChars="0"/>
              <w:jc w:val="center"/>
              <w:rPr>
                <w:sz w:val="21"/>
                <w:szCs w:val="21"/>
              </w:rPr>
            </w:pPr>
            <w:r>
              <w:rPr>
                <w:rFonts w:hint="eastAsia"/>
                <w:sz w:val="21"/>
                <w:szCs w:val="21"/>
              </w:rPr>
              <w:t>驻场运营服务人员</w:t>
            </w:r>
          </w:p>
        </w:tc>
        <w:tc>
          <w:tcPr>
            <w:tcW w:w="855" w:type="pct"/>
            <w:vAlign w:val="center"/>
          </w:tcPr>
          <w:p w14:paraId="5C7EE9EA">
            <w:pPr>
              <w:ind w:firstLine="0" w:firstLineChars="0"/>
              <w:jc w:val="center"/>
              <w:rPr>
                <w:sz w:val="21"/>
                <w:szCs w:val="21"/>
              </w:rPr>
            </w:pPr>
            <w:r>
              <w:rPr>
                <w:rFonts w:hint="eastAsia"/>
                <w:sz w:val="21"/>
                <w:szCs w:val="21"/>
              </w:rPr>
              <w:t>现场数据运营服务</w:t>
            </w:r>
          </w:p>
        </w:tc>
        <w:tc>
          <w:tcPr>
            <w:tcW w:w="512" w:type="pct"/>
            <w:vAlign w:val="center"/>
          </w:tcPr>
          <w:p w14:paraId="0DFC0C8B">
            <w:pPr>
              <w:ind w:firstLine="0" w:firstLineChars="0"/>
              <w:jc w:val="center"/>
              <w:rPr>
                <w:sz w:val="21"/>
                <w:szCs w:val="21"/>
              </w:rPr>
            </w:pPr>
            <w:r>
              <w:rPr>
                <w:sz w:val="21"/>
                <w:szCs w:val="21"/>
              </w:rPr>
              <w:t>1</w:t>
            </w:r>
            <w:r>
              <w:rPr>
                <w:rFonts w:hint="eastAsia"/>
                <w:sz w:val="21"/>
                <w:szCs w:val="21"/>
              </w:rPr>
              <w:t>0人</w:t>
            </w:r>
          </w:p>
        </w:tc>
        <w:tc>
          <w:tcPr>
            <w:tcW w:w="940" w:type="pct"/>
            <w:vAlign w:val="center"/>
          </w:tcPr>
          <w:p w14:paraId="232ABD6C">
            <w:pPr>
              <w:ind w:firstLine="0" w:firstLineChars="0"/>
              <w:jc w:val="center"/>
              <w:rPr>
                <w:sz w:val="21"/>
                <w:szCs w:val="21"/>
              </w:rPr>
            </w:pPr>
            <w:r>
              <w:rPr>
                <w:rFonts w:hint="eastAsia"/>
                <w:sz w:val="21"/>
                <w:szCs w:val="21"/>
              </w:rPr>
              <w:t>驻场</w:t>
            </w:r>
          </w:p>
          <w:p w14:paraId="4F0FDE5E">
            <w:pPr>
              <w:ind w:firstLine="0" w:firstLineChars="0"/>
              <w:jc w:val="center"/>
              <w:rPr>
                <w:sz w:val="21"/>
                <w:szCs w:val="21"/>
              </w:rPr>
            </w:pPr>
            <w:r>
              <w:rPr>
                <w:rFonts w:hint="eastAsia"/>
                <w:sz w:val="21"/>
                <w:szCs w:val="21"/>
              </w:rPr>
              <w:t>按用户现场工作时间到场提供服务</w:t>
            </w:r>
          </w:p>
        </w:tc>
        <w:tc>
          <w:tcPr>
            <w:tcW w:w="1671" w:type="pct"/>
            <w:vAlign w:val="center"/>
          </w:tcPr>
          <w:p w14:paraId="7005B5DC">
            <w:pPr>
              <w:ind w:firstLine="0" w:firstLineChars="0"/>
              <w:jc w:val="center"/>
              <w:rPr>
                <w:sz w:val="21"/>
                <w:szCs w:val="21"/>
              </w:rPr>
            </w:pPr>
            <w:r>
              <w:rPr>
                <w:rFonts w:hint="eastAsia"/>
                <w:sz w:val="21"/>
                <w:szCs w:val="21"/>
              </w:rPr>
              <w:t>具备数据运营服务能力，包括且不限于：数据采集、数据交换、数据加工治理、数据共享和模型建设等能力，精通大数据平台系统和工具应用于数据运营工作</w:t>
            </w:r>
          </w:p>
        </w:tc>
      </w:tr>
      <w:tr w14:paraId="3609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D72C1D5">
            <w:pPr>
              <w:numPr>
                <w:ilvl w:val="0"/>
                <w:numId w:val="8"/>
              </w:numPr>
              <w:ind w:left="0" w:firstLine="0" w:firstLineChars="0"/>
              <w:jc w:val="center"/>
              <w:rPr>
                <w:sz w:val="21"/>
                <w:szCs w:val="21"/>
              </w:rPr>
            </w:pPr>
          </w:p>
        </w:tc>
        <w:tc>
          <w:tcPr>
            <w:tcW w:w="764" w:type="pct"/>
            <w:vAlign w:val="center"/>
          </w:tcPr>
          <w:p w14:paraId="32C721D2">
            <w:pPr>
              <w:ind w:firstLine="0" w:firstLineChars="0"/>
              <w:jc w:val="center"/>
              <w:rPr>
                <w:sz w:val="21"/>
                <w:szCs w:val="21"/>
              </w:rPr>
            </w:pPr>
            <w:r>
              <w:rPr>
                <w:rFonts w:hint="eastAsia"/>
                <w:sz w:val="21"/>
                <w:szCs w:val="21"/>
              </w:rPr>
              <w:t>运营服务人员</w:t>
            </w:r>
          </w:p>
        </w:tc>
        <w:tc>
          <w:tcPr>
            <w:tcW w:w="855" w:type="pct"/>
            <w:vAlign w:val="center"/>
          </w:tcPr>
          <w:p w14:paraId="0E3ADC36">
            <w:pPr>
              <w:ind w:firstLine="0" w:firstLineChars="0"/>
              <w:jc w:val="center"/>
              <w:rPr>
                <w:sz w:val="21"/>
                <w:szCs w:val="21"/>
              </w:rPr>
            </w:pPr>
            <w:r>
              <w:rPr>
                <w:rFonts w:hint="eastAsia"/>
                <w:sz w:val="21"/>
                <w:szCs w:val="21"/>
              </w:rPr>
              <w:t>日常数据数据运营工作支持</w:t>
            </w:r>
          </w:p>
        </w:tc>
        <w:tc>
          <w:tcPr>
            <w:tcW w:w="512" w:type="pct"/>
            <w:vAlign w:val="center"/>
          </w:tcPr>
          <w:p w14:paraId="41691257">
            <w:pPr>
              <w:ind w:firstLine="0" w:firstLineChars="0"/>
              <w:jc w:val="center"/>
              <w:rPr>
                <w:sz w:val="21"/>
                <w:szCs w:val="21"/>
              </w:rPr>
            </w:pPr>
            <w:r>
              <w:rPr>
                <w:sz w:val="21"/>
                <w:szCs w:val="21"/>
              </w:rPr>
              <w:t>22</w:t>
            </w:r>
            <w:r>
              <w:rPr>
                <w:rFonts w:hint="eastAsia"/>
                <w:sz w:val="21"/>
                <w:szCs w:val="21"/>
              </w:rPr>
              <w:t>人</w:t>
            </w:r>
          </w:p>
        </w:tc>
        <w:tc>
          <w:tcPr>
            <w:tcW w:w="940" w:type="pct"/>
            <w:vAlign w:val="center"/>
          </w:tcPr>
          <w:p w14:paraId="0E3DB58B">
            <w:pPr>
              <w:ind w:firstLine="0" w:firstLineChars="0"/>
              <w:jc w:val="center"/>
              <w:rPr>
                <w:sz w:val="21"/>
                <w:szCs w:val="21"/>
              </w:rPr>
            </w:pPr>
            <w:r>
              <w:rPr>
                <w:rFonts w:hint="eastAsia"/>
                <w:sz w:val="21"/>
                <w:szCs w:val="21"/>
              </w:rPr>
              <w:t>非驻场</w:t>
            </w:r>
          </w:p>
        </w:tc>
        <w:tc>
          <w:tcPr>
            <w:tcW w:w="1671" w:type="pct"/>
            <w:vAlign w:val="center"/>
          </w:tcPr>
          <w:p w14:paraId="1EECCAF0">
            <w:pPr>
              <w:ind w:firstLine="0" w:firstLineChars="0"/>
              <w:jc w:val="center"/>
              <w:rPr>
                <w:sz w:val="21"/>
                <w:szCs w:val="21"/>
              </w:rPr>
            </w:pPr>
            <w:r>
              <w:rPr>
                <w:rFonts w:hint="eastAsia"/>
                <w:sz w:val="21"/>
                <w:szCs w:val="21"/>
              </w:rPr>
              <w:t>具备数据运营服务能力，包括且不限于：数据采集、数据交换、数据加工治理、数据共享和模型建设等能力，精通大数据平台系统和工具应用于数据运营工作</w:t>
            </w:r>
          </w:p>
        </w:tc>
      </w:tr>
      <w:tr w14:paraId="416CF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FAF2610">
            <w:pPr>
              <w:numPr>
                <w:ilvl w:val="0"/>
                <w:numId w:val="8"/>
              </w:numPr>
              <w:ind w:left="0" w:firstLine="0" w:firstLineChars="0"/>
              <w:jc w:val="center"/>
              <w:rPr>
                <w:sz w:val="21"/>
                <w:szCs w:val="21"/>
              </w:rPr>
            </w:pPr>
          </w:p>
        </w:tc>
        <w:tc>
          <w:tcPr>
            <w:tcW w:w="764" w:type="pct"/>
            <w:vAlign w:val="center"/>
          </w:tcPr>
          <w:p w14:paraId="793F89B3">
            <w:pPr>
              <w:ind w:firstLine="0" w:firstLineChars="0"/>
              <w:jc w:val="center"/>
              <w:rPr>
                <w:sz w:val="21"/>
                <w:szCs w:val="21"/>
              </w:rPr>
            </w:pPr>
            <w:r>
              <w:rPr>
                <w:rFonts w:hint="eastAsia"/>
                <w:sz w:val="21"/>
                <w:szCs w:val="21"/>
              </w:rPr>
              <w:t>客户响应人员</w:t>
            </w:r>
          </w:p>
        </w:tc>
        <w:tc>
          <w:tcPr>
            <w:tcW w:w="855" w:type="pct"/>
            <w:vAlign w:val="center"/>
          </w:tcPr>
          <w:p w14:paraId="25B906C7">
            <w:pPr>
              <w:ind w:firstLine="0" w:firstLineChars="0"/>
              <w:jc w:val="center"/>
              <w:rPr>
                <w:sz w:val="21"/>
                <w:szCs w:val="21"/>
              </w:rPr>
            </w:pPr>
            <w:r>
              <w:rPr>
                <w:rFonts w:hint="eastAsia"/>
                <w:sz w:val="21"/>
                <w:szCs w:val="21"/>
              </w:rPr>
              <w:t>客户需求响应与对接支持</w:t>
            </w:r>
          </w:p>
        </w:tc>
        <w:tc>
          <w:tcPr>
            <w:tcW w:w="512" w:type="pct"/>
            <w:vAlign w:val="center"/>
          </w:tcPr>
          <w:p w14:paraId="2ACADD92">
            <w:pPr>
              <w:ind w:firstLine="0" w:firstLineChars="0"/>
              <w:jc w:val="center"/>
              <w:rPr>
                <w:sz w:val="21"/>
                <w:szCs w:val="21"/>
              </w:rPr>
            </w:pPr>
            <w:r>
              <w:rPr>
                <w:rFonts w:hint="eastAsia"/>
                <w:sz w:val="21"/>
                <w:szCs w:val="21"/>
              </w:rPr>
              <w:t>5人</w:t>
            </w:r>
          </w:p>
        </w:tc>
        <w:tc>
          <w:tcPr>
            <w:tcW w:w="940" w:type="pct"/>
            <w:vAlign w:val="center"/>
          </w:tcPr>
          <w:p w14:paraId="011ABF58">
            <w:pPr>
              <w:ind w:firstLine="0" w:firstLineChars="0"/>
              <w:jc w:val="center"/>
              <w:rPr>
                <w:sz w:val="21"/>
                <w:szCs w:val="21"/>
              </w:rPr>
            </w:pPr>
            <w:r>
              <w:rPr>
                <w:rFonts w:hint="eastAsia"/>
                <w:sz w:val="21"/>
                <w:szCs w:val="21"/>
              </w:rPr>
              <w:t>非驻场</w:t>
            </w:r>
          </w:p>
        </w:tc>
        <w:tc>
          <w:tcPr>
            <w:tcW w:w="1671" w:type="pct"/>
            <w:vAlign w:val="center"/>
          </w:tcPr>
          <w:p w14:paraId="4CEE2C14">
            <w:pPr>
              <w:ind w:firstLine="0" w:firstLineChars="0"/>
              <w:jc w:val="center"/>
              <w:rPr>
                <w:sz w:val="21"/>
                <w:szCs w:val="21"/>
              </w:rPr>
            </w:pPr>
            <w:r>
              <w:rPr>
                <w:rFonts w:hint="eastAsia"/>
                <w:sz w:val="21"/>
                <w:szCs w:val="21"/>
              </w:rPr>
              <w:t>具备数据运营的业务分析和协作能力，可对业务需求、治理需求、应用状况进行准确的记录、复述和跟踪管理</w:t>
            </w:r>
          </w:p>
        </w:tc>
      </w:tr>
    </w:tbl>
    <w:p w14:paraId="4ABC28BF">
      <w:pPr>
        <w:ind w:firstLine="420"/>
        <w:rPr>
          <w:sz w:val="21"/>
          <w:szCs w:val="21"/>
        </w:rPr>
      </w:pPr>
      <w:r>
        <w:rPr>
          <w:rFonts w:hint="eastAsia"/>
          <w:sz w:val="21"/>
          <w:szCs w:val="21"/>
        </w:rPr>
        <w:t>以上团队人员均需提供202</w:t>
      </w:r>
      <w:r>
        <w:rPr>
          <w:sz w:val="21"/>
          <w:szCs w:val="21"/>
        </w:rPr>
        <w:t>6</w:t>
      </w:r>
      <w:r>
        <w:rPr>
          <w:rFonts w:hint="eastAsia"/>
          <w:sz w:val="21"/>
          <w:szCs w:val="21"/>
        </w:rPr>
        <w:t>年</w:t>
      </w:r>
      <w:r>
        <w:rPr>
          <w:sz w:val="21"/>
          <w:szCs w:val="21"/>
        </w:rPr>
        <w:t>4</w:t>
      </w:r>
      <w:r>
        <w:rPr>
          <w:rFonts w:hint="eastAsia"/>
          <w:sz w:val="21"/>
          <w:szCs w:val="21"/>
        </w:rPr>
        <w:t>月以来连续三个月投标人为其依法缴纳社保费的证明。</w:t>
      </w:r>
    </w:p>
    <w:p w14:paraId="5C562C69">
      <w:pPr>
        <w:pStyle w:val="3"/>
        <w:ind w:firstLine="640"/>
        <w:rPr>
          <w:sz w:val="21"/>
          <w:szCs w:val="21"/>
        </w:rPr>
      </w:pPr>
      <w:r>
        <w:rPr>
          <w:rFonts w:hint="eastAsia"/>
          <w:sz w:val="21"/>
          <w:szCs w:val="21"/>
        </w:rPr>
        <w:t>项目人员管理要求</w:t>
      </w:r>
    </w:p>
    <w:p w14:paraId="0284CF69">
      <w:pPr>
        <w:ind w:firstLine="480"/>
        <w:rPr>
          <w:sz w:val="21"/>
          <w:szCs w:val="21"/>
        </w:rPr>
      </w:pPr>
      <w:r>
        <w:rPr>
          <w:rFonts w:hint="eastAsia"/>
          <w:sz w:val="21"/>
          <w:szCs w:val="21"/>
        </w:rPr>
        <w:t>投标方在中标后需遵照青浦区大数据中心对服务外包人员的管理要求，实施对服务供应商的监管要求、履行对进场服务的外包服务人员管理责任。落实现场服务厂商签订《保密承诺协议》等协议及工作规范，确保进场的外包服务人员的知情、认可招标方的各项管理流程制度及工作规范，并在服务过程中严格遵守。</w:t>
      </w:r>
    </w:p>
    <w:p w14:paraId="2D39C283">
      <w:pPr>
        <w:ind w:firstLine="480"/>
        <w:rPr>
          <w:sz w:val="21"/>
          <w:szCs w:val="21"/>
        </w:rPr>
      </w:pPr>
      <w:r>
        <w:rPr>
          <w:rFonts w:hint="eastAsia"/>
          <w:sz w:val="21"/>
          <w:szCs w:val="21"/>
        </w:rPr>
        <w:t>外包人员在招标方指定时间和地点工作期间，需遵守招标方的出入管理、行为规范、安全管理、出勤管理等相关规定。投标方需实施定期考核评估工作。若外包人员因违反保密义务、工作规范或有其他重大违规行为而被要求退场的，则不得再次使用。若因能力上不符合要求，而被要求退场的外包人员则两年内不再使用。</w:t>
      </w:r>
    </w:p>
    <w:p w14:paraId="27DECE96">
      <w:pPr>
        <w:ind w:firstLine="480"/>
        <w:rPr>
          <w:sz w:val="21"/>
          <w:szCs w:val="21"/>
        </w:rPr>
      </w:pPr>
      <w:r>
        <w:rPr>
          <w:rFonts w:hint="eastAsia"/>
          <w:sz w:val="21"/>
          <w:szCs w:val="21"/>
        </w:rPr>
        <w:t>要求投标方具备有效的服务能力，具有成熟稳定的服务机构及办公场所，能够提供项目咨询规划、运营服务、应急响应、技术支持及7*24小时服务。</w:t>
      </w:r>
    </w:p>
    <w:p w14:paraId="1FAEBAFA">
      <w:pPr>
        <w:pStyle w:val="3"/>
        <w:ind w:firstLine="640"/>
        <w:rPr>
          <w:sz w:val="21"/>
          <w:szCs w:val="21"/>
        </w:rPr>
      </w:pPr>
      <w:r>
        <w:rPr>
          <w:rFonts w:hint="eastAsia"/>
          <w:sz w:val="21"/>
          <w:szCs w:val="21"/>
        </w:rPr>
        <w:t>项目团队应急响应服务要求</w:t>
      </w:r>
    </w:p>
    <w:p w14:paraId="1ED9B2F6">
      <w:pPr>
        <w:ind w:firstLine="480"/>
        <w:rPr>
          <w:sz w:val="21"/>
          <w:szCs w:val="21"/>
        </w:rPr>
      </w:pPr>
      <w:r>
        <w:rPr>
          <w:rFonts w:hint="eastAsia"/>
          <w:sz w:val="21"/>
          <w:szCs w:val="21"/>
        </w:rPr>
        <w:t>在运营服务期间，服务提供方需坚持主动预防、迅速高效的原则，紧密结合实际情况，提供运营服务内容的应急故障修复预案。</w:t>
      </w:r>
    </w:p>
    <w:p w14:paraId="706140E6">
      <w:pPr>
        <w:ind w:firstLine="480"/>
        <w:rPr>
          <w:sz w:val="21"/>
          <w:szCs w:val="21"/>
        </w:rPr>
      </w:pPr>
      <w:r>
        <w:rPr>
          <w:rFonts w:hint="eastAsia"/>
          <w:sz w:val="21"/>
          <w:szCs w:val="21"/>
        </w:rPr>
        <w:t>需提供7*24小时全天候应急故障修复响应服务。</w:t>
      </w:r>
    </w:p>
    <w:p w14:paraId="45195007">
      <w:pPr>
        <w:ind w:firstLine="480"/>
        <w:rPr>
          <w:sz w:val="21"/>
          <w:szCs w:val="21"/>
        </w:rPr>
      </w:pPr>
      <w:r>
        <w:rPr>
          <w:rFonts w:hint="eastAsia"/>
          <w:sz w:val="21"/>
          <w:szCs w:val="21"/>
        </w:rPr>
        <w:t>对于运营工作出现应急故障修复响应需求时，依据故障时间及故障范围划分故障级别，故障级别分为四级，依次为Ⅰ级（紧急）、Ⅱ级（严重）、Ⅲ级（较大）和Ⅳ级（一般），分别定义如下：</w:t>
      </w:r>
    </w:p>
    <w:p w14:paraId="7771E8ED">
      <w:pPr>
        <w:ind w:firstLine="480"/>
        <w:rPr>
          <w:sz w:val="21"/>
          <w:szCs w:val="21"/>
        </w:rPr>
      </w:pPr>
      <w:r>
        <w:rPr>
          <w:rFonts w:hint="eastAsia"/>
          <w:sz w:val="21"/>
          <w:szCs w:val="21"/>
        </w:rPr>
        <w:t>Ⅰ级（紧急）故障为工作时间段（8：30——17：30）内大范围故障。</w:t>
      </w:r>
    </w:p>
    <w:p w14:paraId="40766A38">
      <w:pPr>
        <w:ind w:firstLine="480"/>
        <w:rPr>
          <w:sz w:val="21"/>
          <w:szCs w:val="21"/>
        </w:rPr>
      </w:pPr>
      <w:r>
        <w:rPr>
          <w:rFonts w:hint="eastAsia"/>
          <w:sz w:val="21"/>
          <w:szCs w:val="21"/>
        </w:rPr>
        <w:t>Ⅱ级（严重）故障为非工作时间段（17：30——次日8：30）内大范围故障。</w:t>
      </w:r>
    </w:p>
    <w:p w14:paraId="4BE333F4">
      <w:pPr>
        <w:ind w:firstLine="480"/>
        <w:rPr>
          <w:sz w:val="21"/>
          <w:szCs w:val="21"/>
        </w:rPr>
      </w:pPr>
      <w:r>
        <w:rPr>
          <w:rFonts w:hint="eastAsia"/>
          <w:sz w:val="21"/>
          <w:szCs w:val="21"/>
        </w:rPr>
        <w:t>Ⅲ级（较大）故障为工作时间段（8：30——17：30）内小范围故障。</w:t>
      </w:r>
    </w:p>
    <w:p w14:paraId="7821083A">
      <w:pPr>
        <w:ind w:firstLine="480"/>
        <w:rPr>
          <w:sz w:val="21"/>
          <w:szCs w:val="21"/>
        </w:rPr>
      </w:pPr>
      <w:r>
        <w:rPr>
          <w:rFonts w:hint="eastAsia"/>
          <w:sz w:val="21"/>
          <w:szCs w:val="21"/>
        </w:rPr>
        <w:t>Ⅳ级（一般）故障为非工作时间段（17：30——次日8：30）内小范围故障。</w:t>
      </w:r>
    </w:p>
    <w:p w14:paraId="00399680">
      <w:pPr>
        <w:ind w:firstLine="480"/>
        <w:rPr>
          <w:sz w:val="21"/>
          <w:szCs w:val="21"/>
        </w:rPr>
      </w:pPr>
      <w:r>
        <w:rPr>
          <w:rFonts w:hint="eastAsia"/>
          <w:sz w:val="21"/>
          <w:szCs w:val="21"/>
        </w:rPr>
        <w:t>当：</w:t>
      </w:r>
    </w:p>
    <w:p w14:paraId="6FE10000">
      <w:pPr>
        <w:ind w:firstLine="480"/>
        <w:rPr>
          <w:sz w:val="21"/>
          <w:szCs w:val="21"/>
        </w:rPr>
      </w:pPr>
      <w:r>
        <w:rPr>
          <w:rFonts w:hint="eastAsia"/>
          <w:sz w:val="21"/>
          <w:szCs w:val="21"/>
        </w:rPr>
        <w:t>a、发生Ⅰ级（紧急）故障后0.5小时内无法通过电话或远程支持服务排除故障，如采购方要求提供现场支持，服务提供方应2小时内到达用户现场。</w:t>
      </w:r>
    </w:p>
    <w:p w14:paraId="75D8070D">
      <w:pPr>
        <w:ind w:firstLine="480"/>
        <w:rPr>
          <w:sz w:val="21"/>
          <w:szCs w:val="21"/>
        </w:rPr>
      </w:pPr>
      <w:r>
        <w:rPr>
          <w:rFonts w:hint="eastAsia"/>
          <w:sz w:val="21"/>
          <w:szCs w:val="21"/>
        </w:rPr>
        <w:t>b、发生Ⅱ级（严重）故障后0.5小时内无法通过电话或远程支持服务排除故障，如采购方要求提供现场支持，服务提供方应3小时内到达用户现场。</w:t>
      </w:r>
    </w:p>
    <w:p w14:paraId="7D0C9647">
      <w:pPr>
        <w:ind w:firstLine="480"/>
        <w:rPr>
          <w:sz w:val="21"/>
          <w:szCs w:val="21"/>
        </w:rPr>
      </w:pPr>
      <w:r>
        <w:rPr>
          <w:rFonts w:hint="eastAsia"/>
          <w:sz w:val="21"/>
          <w:szCs w:val="21"/>
        </w:rPr>
        <w:t>c、发生Ⅲ级（较大）故障后1小时内无法通过电话或远程支持服务排除故障，如采购方要求提供现场支持，服务提供方应3小时内到达用户现场。</w:t>
      </w:r>
    </w:p>
    <w:p w14:paraId="1ABACE2E">
      <w:pPr>
        <w:ind w:firstLine="480"/>
        <w:rPr>
          <w:sz w:val="21"/>
          <w:szCs w:val="21"/>
        </w:rPr>
      </w:pPr>
      <w:r>
        <w:rPr>
          <w:rFonts w:hint="eastAsia"/>
          <w:sz w:val="21"/>
          <w:szCs w:val="21"/>
        </w:rPr>
        <w:t>d、发生Ⅳ级（一般）故障后1小时内无法通过电话或远程支持服务排除故障，如采购方要求提供现场支持，服务提供方应4小时内到达用户现场。</w:t>
      </w:r>
    </w:p>
    <w:p w14:paraId="00CEE0E7">
      <w:pPr>
        <w:ind w:firstLine="480"/>
        <w:rPr>
          <w:sz w:val="21"/>
          <w:szCs w:val="21"/>
        </w:rPr>
      </w:pPr>
      <w:r>
        <w:rPr>
          <w:rFonts w:hint="eastAsia"/>
          <w:sz w:val="21"/>
          <w:szCs w:val="21"/>
        </w:rPr>
        <w:t>4、如发生故障，服务提供方应严格按照制定的应急预案中故障处理流程实施故障排除操作。</w:t>
      </w:r>
    </w:p>
    <w:p w14:paraId="14C022F2">
      <w:pPr>
        <w:ind w:firstLine="480"/>
        <w:rPr>
          <w:sz w:val="21"/>
          <w:szCs w:val="21"/>
        </w:rPr>
      </w:pPr>
      <w:r>
        <w:rPr>
          <w:rFonts w:hint="eastAsia"/>
          <w:sz w:val="21"/>
          <w:szCs w:val="21"/>
        </w:rPr>
        <w:t>5、如遇有重大事件（包括汛期、节假日、政治军事活动等），服务提供方应科学编制安全保障方案，并根据采购单位需要提供现场保障服务。</w:t>
      </w:r>
    </w:p>
    <w:p w14:paraId="6CBF9D7E">
      <w:pPr>
        <w:pStyle w:val="3"/>
        <w:ind w:firstLine="640"/>
        <w:rPr>
          <w:sz w:val="21"/>
          <w:szCs w:val="21"/>
        </w:rPr>
      </w:pPr>
      <w:bookmarkStart w:id="16" w:name="_Toc34292063"/>
      <w:bookmarkStart w:id="17" w:name="_Toc29764"/>
      <w:r>
        <w:rPr>
          <w:rFonts w:hint="eastAsia"/>
          <w:sz w:val="21"/>
          <w:szCs w:val="21"/>
        </w:rPr>
        <w:t>培训要求</w:t>
      </w:r>
      <w:bookmarkEnd w:id="16"/>
      <w:bookmarkEnd w:id="17"/>
    </w:p>
    <w:p w14:paraId="5A5D8990">
      <w:pPr>
        <w:ind w:firstLine="480"/>
        <w:rPr>
          <w:color w:val="000000"/>
          <w:sz w:val="21"/>
          <w:szCs w:val="21"/>
        </w:rPr>
      </w:pPr>
      <w:r>
        <w:rPr>
          <w:color w:val="000000"/>
          <w:sz w:val="21"/>
          <w:szCs w:val="21"/>
        </w:rPr>
        <w:t>投标方</w:t>
      </w:r>
      <w:r>
        <w:rPr>
          <w:rFonts w:hint="eastAsia"/>
          <w:color w:val="000000"/>
          <w:sz w:val="21"/>
          <w:szCs w:val="21"/>
        </w:rPr>
        <w:t>具备提供专业培训服务的能力，能够</w:t>
      </w:r>
      <w:r>
        <w:rPr>
          <w:color w:val="000000"/>
          <w:sz w:val="21"/>
          <w:szCs w:val="21"/>
        </w:rPr>
        <w:t>根据数据运营服务的特点制定培训方案并提供培训，使相关人员在培训后能够独立</w:t>
      </w:r>
      <w:r>
        <w:rPr>
          <w:rFonts w:hint="eastAsia"/>
          <w:color w:val="000000"/>
          <w:sz w:val="21"/>
          <w:szCs w:val="21"/>
        </w:rPr>
        <w:t>开展工作</w:t>
      </w:r>
      <w:r>
        <w:rPr>
          <w:color w:val="000000"/>
          <w:sz w:val="21"/>
          <w:szCs w:val="21"/>
        </w:rPr>
        <w:t>，而不必依赖投标方现场指导。培训课程涵盖数据运营服务所涉及的系统使用、数据运营管理等培训，并提供全套培训教材和培训课程计划表。</w:t>
      </w:r>
    </w:p>
    <w:p w14:paraId="068A326C">
      <w:pPr>
        <w:pStyle w:val="42"/>
        <w:numPr>
          <w:ilvl w:val="0"/>
          <w:numId w:val="9"/>
        </w:numPr>
        <w:spacing w:line="360" w:lineRule="auto"/>
        <w:ind w:firstLineChars="0"/>
        <w:rPr>
          <w:rFonts w:ascii="宋体" w:hAnsi="宋体"/>
          <w:color w:val="000000"/>
          <w:sz w:val="21"/>
          <w:szCs w:val="21"/>
        </w:rPr>
      </w:pPr>
      <w:r>
        <w:rPr>
          <w:rFonts w:ascii="宋体" w:hAnsi="宋体"/>
          <w:color w:val="000000"/>
          <w:sz w:val="21"/>
          <w:szCs w:val="21"/>
        </w:rPr>
        <w:t>培训总则</w:t>
      </w:r>
    </w:p>
    <w:p w14:paraId="3E87DD9F">
      <w:pPr>
        <w:ind w:firstLine="480"/>
        <w:rPr>
          <w:color w:val="000000"/>
          <w:sz w:val="21"/>
          <w:szCs w:val="21"/>
        </w:rPr>
      </w:pPr>
      <w:r>
        <w:rPr>
          <w:color w:val="000000"/>
          <w:sz w:val="21"/>
          <w:szCs w:val="21"/>
        </w:rPr>
        <w:t>投标方至少满足本章要求的培训服务。所提供的培训课程表随响应文件一起提交。投标方为所有被培训人员提供培训用文字资料和讲义等相关用品。所有的资料是中文书写。</w:t>
      </w:r>
    </w:p>
    <w:p w14:paraId="73A16FB9">
      <w:pPr>
        <w:pStyle w:val="42"/>
        <w:numPr>
          <w:ilvl w:val="0"/>
          <w:numId w:val="9"/>
        </w:numPr>
        <w:spacing w:line="360" w:lineRule="auto"/>
        <w:ind w:firstLineChars="0"/>
        <w:rPr>
          <w:rFonts w:ascii="宋体" w:hAnsi="宋体"/>
          <w:color w:val="000000"/>
          <w:sz w:val="21"/>
          <w:szCs w:val="21"/>
        </w:rPr>
      </w:pPr>
      <w:r>
        <w:rPr>
          <w:rFonts w:ascii="宋体" w:hAnsi="宋体"/>
          <w:color w:val="000000"/>
          <w:sz w:val="21"/>
          <w:szCs w:val="21"/>
        </w:rPr>
        <w:t>培训内容与课程要求</w:t>
      </w:r>
    </w:p>
    <w:p w14:paraId="46CF5AE4">
      <w:pPr>
        <w:ind w:firstLine="480"/>
        <w:rPr>
          <w:color w:val="000000"/>
          <w:sz w:val="21"/>
          <w:szCs w:val="21"/>
        </w:rPr>
      </w:pPr>
      <w:r>
        <w:rPr>
          <w:color w:val="000000"/>
          <w:sz w:val="21"/>
          <w:szCs w:val="21"/>
        </w:rPr>
        <w:t>投标方对项目中所有产品的基本知识、系统或参数配置、管理维护等提供相应的培训。投标方详细列明相应的培训课程内容、人数和时间安排。</w:t>
      </w:r>
    </w:p>
    <w:p w14:paraId="49A478F7">
      <w:pPr>
        <w:pStyle w:val="2"/>
        <w:rPr>
          <w:sz w:val="21"/>
          <w:szCs w:val="21"/>
        </w:rPr>
      </w:pPr>
      <w:r>
        <w:rPr>
          <w:rFonts w:hint="eastAsia"/>
          <w:sz w:val="21"/>
          <w:szCs w:val="21"/>
        </w:rPr>
        <w:t>运营交付与验收要求</w:t>
      </w:r>
    </w:p>
    <w:p w14:paraId="052B3518">
      <w:pPr>
        <w:pStyle w:val="3"/>
        <w:ind w:firstLine="640"/>
        <w:rPr>
          <w:sz w:val="21"/>
          <w:szCs w:val="21"/>
        </w:rPr>
      </w:pPr>
      <w:r>
        <w:rPr>
          <w:rFonts w:hint="eastAsia"/>
          <w:sz w:val="21"/>
          <w:szCs w:val="21"/>
        </w:rPr>
        <w:t>交付时间要求</w:t>
      </w:r>
    </w:p>
    <w:p w14:paraId="5760FC9C">
      <w:pPr>
        <w:ind w:firstLine="480"/>
        <w:rPr>
          <w:sz w:val="21"/>
          <w:szCs w:val="21"/>
          <w:lang w:val="en-AU"/>
        </w:rPr>
      </w:pPr>
      <w:r>
        <w:rPr>
          <w:rFonts w:hint="eastAsia"/>
          <w:sz w:val="21"/>
          <w:szCs w:val="21"/>
          <w:lang w:val="en-AU"/>
        </w:rPr>
        <w:t>本项目实施周期为1</w:t>
      </w:r>
      <w:r>
        <w:rPr>
          <w:sz w:val="21"/>
          <w:szCs w:val="21"/>
          <w:lang w:val="en-AU"/>
        </w:rPr>
        <w:t>2</w:t>
      </w:r>
      <w:r>
        <w:rPr>
          <w:rFonts w:hint="eastAsia"/>
          <w:sz w:val="21"/>
          <w:szCs w:val="21"/>
          <w:lang w:val="en-AU"/>
        </w:rPr>
        <w:t>个月，自合同签订之日起计算，并将运营成果按服务管理要求交付给招标方。</w:t>
      </w:r>
    </w:p>
    <w:p w14:paraId="01745F7C">
      <w:pPr>
        <w:pStyle w:val="3"/>
        <w:ind w:firstLine="640"/>
        <w:rPr>
          <w:sz w:val="21"/>
          <w:szCs w:val="21"/>
        </w:rPr>
      </w:pPr>
      <w:r>
        <w:rPr>
          <w:rFonts w:hint="eastAsia"/>
          <w:sz w:val="21"/>
          <w:szCs w:val="21"/>
        </w:rPr>
        <w:t>交付成果验收要求</w:t>
      </w:r>
    </w:p>
    <w:p w14:paraId="4A902C9B">
      <w:pPr>
        <w:ind w:firstLine="480"/>
        <w:rPr>
          <w:sz w:val="21"/>
          <w:szCs w:val="21"/>
          <w:lang w:val="en-AU"/>
        </w:rPr>
      </w:pPr>
      <w:r>
        <w:rPr>
          <w:rFonts w:hint="eastAsia"/>
          <w:sz w:val="21"/>
          <w:szCs w:val="21"/>
          <w:lang w:val="en-AU"/>
        </w:rPr>
        <w:t>本次运营服务成果需按照运营服务目录和服务项要求的输出物成果进行交付，运营项评估验收时需按照各服务项的情况对输出物成果进行逐项核验，满足条件方可纳入运营成果结算范畴。（具体交付物的标准要求，可见“运营服务项的具体要求”）</w:t>
      </w:r>
    </w:p>
    <w:p w14:paraId="0E7A7920">
      <w:pPr>
        <w:ind w:firstLine="480"/>
        <w:rPr>
          <w:sz w:val="21"/>
          <w:szCs w:val="21"/>
          <w:lang w:val="en-AU"/>
        </w:rPr>
      </w:pPr>
      <w:r>
        <w:rPr>
          <w:rFonts w:hint="eastAsia"/>
          <w:sz w:val="21"/>
          <w:szCs w:val="21"/>
          <w:lang w:val="en-AU"/>
        </w:rPr>
        <w:t>交付成果质量需严格按照</w:t>
      </w:r>
      <w:r>
        <w:rPr>
          <w:rFonts w:hint="eastAsia"/>
          <w:sz w:val="21"/>
          <w:szCs w:val="21"/>
        </w:rPr>
        <w:t>《政务数据资源目录体系技术规范》、《政务信息资源交换体系总体框架》、《信息资源目录管理系统标准规范》、</w:t>
      </w:r>
      <w:r>
        <w:rPr>
          <w:rFonts w:hint="eastAsia"/>
          <w:sz w:val="21"/>
          <w:szCs w:val="21"/>
          <w:lang w:val="en-AU"/>
        </w:rPr>
        <w:t>《青浦区</w:t>
      </w:r>
      <w:r>
        <w:rPr>
          <w:sz w:val="21"/>
          <w:szCs w:val="21"/>
          <w:lang w:val="en-AU"/>
        </w:rPr>
        <w:t>区</w:t>
      </w:r>
      <w:r>
        <w:rPr>
          <w:rFonts w:hint="eastAsia"/>
          <w:sz w:val="21"/>
          <w:szCs w:val="21"/>
          <w:lang w:val="en-AU"/>
        </w:rPr>
        <w:t>公共数据质量管理制度》的相关标准执行。</w:t>
      </w:r>
    </w:p>
    <w:p w14:paraId="4E46BACB">
      <w:pPr>
        <w:pStyle w:val="3"/>
        <w:ind w:firstLine="640"/>
        <w:rPr>
          <w:sz w:val="21"/>
          <w:szCs w:val="21"/>
        </w:rPr>
      </w:pPr>
      <w:r>
        <w:rPr>
          <w:rFonts w:hint="eastAsia"/>
          <w:sz w:val="21"/>
          <w:szCs w:val="21"/>
        </w:rPr>
        <w:t>结算要求</w:t>
      </w:r>
    </w:p>
    <w:p w14:paraId="4739176A">
      <w:pPr>
        <w:ind w:firstLine="480"/>
        <w:rPr>
          <w:sz w:val="21"/>
          <w:szCs w:val="21"/>
          <w:lang w:val="en-AU"/>
        </w:rPr>
      </w:pPr>
      <w:r>
        <w:rPr>
          <w:rFonts w:hint="eastAsia"/>
          <w:sz w:val="21"/>
          <w:szCs w:val="21"/>
        </w:rPr>
        <w:t>本项目服务实施费用采用“先用后付、按实结算”的方式进行结算与支付，由甲方定期对数据运营服务任务实施情况进行考核评估，确定阶段性实际工作量</w:t>
      </w:r>
      <w:r>
        <w:rPr>
          <w:sz w:val="21"/>
          <w:szCs w:val="21"/>
        </w:rPr>
        <w:t>,</w:t>
      </w:r>
      <w:r>
        <w:rPr>
          <w:rFonts w:hint="eastAsia"/>
          <w:sz w:val="21"/>
          <w:szCs w:val="21"/>
        </w:rPr>
        <w:t>并按照对应服务内容的</w:t>
      </w:r>
      <w:r>
        <w:rPr>
          <w:rFonts w:hint="eastAsia" w:cs="仿宋"/>
          <w:sz w:val="21"/>
          <w:szCs w:val="21"/>
        </w:rPr>
        <w:t>中标</w:t>
      </w:r>
      <w:r>
        <w:rPr>
          <w:rFonts w:cs="仿宋"/>
          <w:sz w:val="21"/>
          <w:szCs w:val="21"/>
        </w:rPr>
        <w:t>单价计算阶段性服务费用</w:t>
      </w:r>
      <w:r>
        <w:rPr>
          <w:rFonts w:hint="eastAsia" w:cs="仿宋"/>
          <w:sz w:val="21"/>
          <w:szCs w:val="21"/>
        </w:rPr>
        <w:t>,同时，扣除考核和责罚扣款的相应额度。</w:t>
      </w:r>
    </w:p>
    <w:bookmarkEnd w:id="10"/>
    <w:bookmarkEnd w:id="11"/>
    <w:p w14:paraId="023D917B">
      <w:pPr>
        <w:pStyle w:val="2"/>
        <w:rPr>
          <w:sz w:val="21"/>
          <w:szCs w:val="21"/>
        </w:rPr>
      </w:pPr>
      <w:bookmarkStart w:id="18" w:name="_Toc34292064"/>
      <w:bookmarkStart w:id="19" w:name="_Toc16087631"/>
      <w:bookmarkStart w:id="20" w:name="_Toc20040470"/>
      <w:bookmarkStart w:id="21" w:name="_Toc20010875"/>
      <w:r>
        <w:rPr>
          <w:rFonts w:hint="eastAsia"/>
          <w:sz w:val="21"/>
          <w:szCs w:val="21"/>
        </w:rPr>
        <w:t>知识产权承诺</w:t>
      </w:r>
      <w:bookmarkEnd w:id="18"/>
      <w:bookmarkEnd w:id="19"/>
      <w:bookmarkEnd w:id="20"/>
      <w:bookmarkEnd w:id="21"/>
    </w:p>
    <w:p w14:paraId="025AAA7E">
      <w:pPr>
        <w:ind w:firstLine="480"/>
        <w:rPr>
          <w:sz w:val="21"/>
          <w:szCs w:val="21"/>
          <w:lang w:val="en-AU"/>
        </w:rPr>
      </w:pPr>
      <w:r>
        <w:rPr>
          <w:sz w:val="21"/>
          <w:szCs w:val="21"/>
          <w:lang w:val="en-AU"/>
        </w:rPr>
        <w:t>本运营服务中形成的知识产权（包含需求分析、系统设计、软件程序、核心技术、数据标准、接口规范、知识库、专有方法、模板、工具包、培训材料、专有数据、技术文档、服务模式、运作模式等，但不限于上述形式）归</w:t>
      </w:r>
      <w:r>
        <w:rPr>
          <w:rFonts w:hint="eastAsia"/>
          <w:sz w:val="21"/>
          <w:szCs w:val="21"/>
          <w:lang w:val="en-AU"/>
        </w:rPr>
        <w:t>招标方</w:t>
      </w:r>
      <w:r>
        <w:rPr>
          <w:sz w:val="21"/>
          <w:szCs w:val="21"/>
          <w:lang w:val="en-AU"/>
        </w:rPr>
        <w:t>所有。投标方向招标方交付的信息系统已享有知识产权的，招标方在许可范围内合理使用。</w:t>
      </w:r>
    </w:p>
    <w:p w14:paraId="73071F4D">
      <w:pPr>
        <w:ind w:firstLine="480"/>
        <w:rPr>
          <w:sz w:val="21"/>
          <w:szCs w:val="21"/>
          <w:lang w:val="en-AU"/>
        </w:rPr>
      </w:pPr>
      <w:r>
        <w:rPr>
          <w:sz w:val="21"/>
          <w:szCs w:val="21"/>
          <w:lang w:val="en-AU"/>
        </w:rPr>
        <w:t>本运营服务中形成的知识产权的申请权、所有权与利益（包括：专利权、商标权、著作权、商业秘密专有权等，但不限于上述权益的申请权）归</w:t>
      </w:r>
      <w:r>
        <w:rPr>
          <w:rFonts w:hint="eastAsia"/>
          <w:sz w:val="21"/>
          <w:szCs w:val="21"/>
          <w:lang w:val="en-AU"/>
        </w:rPr>
        <w:t>招标方</w:t>
      </w:r>
      <w:r>
        <w:rPr>
          <w:sz w:val="21"/>
          <w:szCs w:val="21"/>
          <w:lang w:val="en-AU"/>
        </w:rPr>
        <w:t>所有。未经</w:t>
      </w:r>
      <w:r>
        <w:rPr>
          <w:rFonts w:hint="eastAsia"/>
          <w:sz w:val="21"/>
          <w:szCs w:val="21"/>
          <w:lang w:val="en-AU"/>
        </w:rPr>
        <w:t>招标方</w:t>
      </w:r>
      <w:r>
        <w:rPr>
          <w:sz w:val="21"/>
          <w:szCs w:val="21"/>
          <w:lang w:val="en-AU"/>
        </w:rPr>
        <w:t>书面同意，投标方及其合作履约方不得以任何形式</w:t>
      </w:r>
      <w:r>
        <w:rPr>
          <w:rFonts w:hint="eastAsia"/>
          <w:sz w:val="21"/>
          <w:szCs w:val="21"/>
          <w:lang w:val="en-AU"/>
        </w:rPr>
        <w:t>自行</w:t>
      </w:r>
      <w:r>
        <w:rPr>
          <w:sz w:val="21"/>
          <w:szCs w:val="21"/>
          <w:lang w:val="en-AU"/>
        </w:rPr>
        <w:t>申请。</w:t>
      </w:r>
    </w:p>
    <w:p w14:paraId="4C80DFBE">
      <w:pPr>
        <w:ind w:firstLine="480"/>
        <w:rPr>
          <w:sz w:val="21"/>
          <w:szCs w:val="21"/>
          <w:lang w:val="en-AU"/>
        </w:rPr>
      </w:pPr>
      <w:r>
        <w:rPr>
          <w:sz w:val="21"/>
          <w:szCs w:val="21"/>
          <w:lang w:val="en-AU"/>
        </w:rPr>
        <w:t>投标方不得以任何形式侵害本项目中形成的知识产权。未经招标方书面同意，投标方不得以任何形式提供或出售给</w:t>
      </w:r>
      <w:r>
        <w:rPr>
          <w:rFonts w:hint="eastAsia"/>
          <w:sz w:val="21"/>
          <w:szCs w:val="21"/>
          <w:lang w:val="en-AU"/>
        </w:rPr>
        <w:t>其他</w:t>
      </w:r>
      <w:r>
        <w:rPr>
          <w:sz w:val="21"/>
          <w:szCs w:val="21"/>
          <w:lang w:val="en-AU"/>
        </w:rPr>
        <w:t>单位使用。若发生侵害行为，投标方则全额赔付招标方本项目中标金额以及投标方通过侵害行为获得的全部收益。</w:t>
      </w:r>
    </w:p>
    <w:p w14:paraId="1922FFC0">
      <w:pPr>
        <w:ind w:firstLine="480"/>
        <w:rPr>
          <w:sz w:val="21"/>
          <w:szCs w:val="21"/>
          <w:lang w:val="en-AU"/>
        </w:rPr>
      </w:pPr>
      <w:r>
        <w:rPr>
          <w:sz w:val="21"/>
          <w:szCs w:val="21"/>
          <w:lang w:val="en-AU"/>
        </w:rPr>
        <w:t>没有招标方明示的书面同意，投标方不能作出关于本项目或者其条款的任何新闻公告、媒体宣传或其他形式的公开披露。</w:t>
      </w:r>
    </w:p>
    <w:p w14:paraId="5B75F4A5">
      <w:pPr>
        <w:ind w:firstLine="480"/>
        <w:rPr>
          <w:sz w:val="21"/>
          <w:szCs w:val="21"/>
          <w:lang w:val="en-AU"/>
        </w:rPr>
      </w:pPr>
      <w:r>
        <w:rPr>
          <w:sz w:val="21"/>
          <w:szCs w:val="21"/>
          <w:lang w:val="en-AU"/>
        </w:rPr>
        <w:t>投标方提供的产品和服务等不得侵犯任何第三方的知识产权。若发生侵权行为，一切法律责任、后果及损失均由投标方承担，招标方不承担任何法律责任及后果，且保留追责权。</w:t>
      </w:r>
    </w:p>
    <w:p w14:paraId="1E1E30E8">
      <w:pPr>
        <w:pStyle w:val="2"/>
        <w:rPr>
          <w:sz w:val="21"/>
          <w:szCs w:val="21"/>
        </w:rPr>
      </w:pPr>
      <w:bookmarkStart w:id="22" w:name="_Toc16087632"/>
      <w:bookmarkStart w:id="23" w:name="_Toc34292065"/>
      <w:bookmarkStart w:id="24" w:name="_Toc20040471"/>
      <w:bookmarkStart w:id="25" w:name="_Toc20010876"/>
      <w:r>
        <w:rPr>
          <w:rFonts w:hint="eastAsia"/>
          <w:sz w:val="21"/>
          <w:szCs w:val="21"/>
        </w:rPr>
        <w:t>保密承诺</w:t>
      </w:r>
      <w:bookmarkEnd w:id="22"/>
      <w:bookmarkEnd w:id="23"/>
      <w:bookmarkEnd w:id="24"/>
      <w:bookmarkEnd w:id="25"/>
    </w:p>
    <w:p w14:paraId="2D0298C4">
      <w:pPr>
        <w:ind w:firstLine="480"/>
        <w:rPr>
          <w:sz w:val="21"/>
          <w:szCs w:val="21"/>
          <w:lang w:val="en-AU"/>
        </w:rPr>
      </w:pPr>
      <w:r>
        <w:rPr>
          <w:sz w:val="21"/>
          <w:szCs w:val="21"/>
          <w:lang w:val="en-AU"/>
        </w:rPr>
        <w:t>投标方承诺参与本运营服务的所有服务人员需严格保守与本运营服务有关的技术秘密和商业秘密，任何涉及招标方及使用单位的信息，包括但不限于数据、特有的功能需求等，未得到招标方及使用单位的书面同意，不得对任何第三方展示、举例乃至销售，否则投标方将承担由此产生的一切后果。</w:t>
      </w:r>
    </w:p>
    <w:p w14:paraId="1F2699DB">
      <w:pPr>
        <w:ind w:firstLine="480"/>
        <w:rPr>
          <w:sz w:val="21"/>
          <w:szCs w:val="21"/>
          <w:lang w:val="en-AU"/>
        </w:rPr>
      </w:pPr>
      <w:r>
        <w:rPr>
          <w:sz w:val="21"/>
          <w:szCs w:val="21"/>
          <w:lang w:val="en-AU"/>
        </w:rPr>
        <w:t>投标方不以实施项目为名，侵害本项目各参与单位的技术、商业秘密或者知识产权。</w:t>
      </w:r>
    </w:p>
    <w:p w14:paraId="55EAD735">
      <w:pPr>
        <w:ind w:firstLine="480"/>
        <w:rPr>
          <w:sz w:val="21"/>
          <w:szCs w:val="21"/>
          <w:lang w:val="en-AU"/>
        </w:rPr>
      </w:pPr>
      <w:r>
        <w:rPr>
          <w:sz w:val="21"/>
          <w:szCs w:val="21"/>
          <w:lang w:val="en-AU"/>
        </w:rPr>
        <w:t>本招标需求书仅作为投标方投标依据，未经采购方书面许可，不可转发第三方或随意传播。</w:t>
      </w:r>
    </w:p>
    <w:p w14:paraId="63CD38B9">
      <w:pPr>
        <w:pStyle w:val="2"/>
        <w:rPr>
          <w:sz w:val="21"/>
          <w:szCs w:val="21"/>
        </w:rPr>
      </w:pPr>
      <w:bookmarkStart w:id="26" w:name="_Toc371617408"/>
      <w:bookmarkStart w:id="27" w:name="_Toc373845881"/>
      <w:bookmarkStart w:id="28" w:name="_Toc34292066"/>
      <w:bookmarkStart w:id="29" w:name="_Toc20010877"/>
      <w:bookmarkStart w:id="30" w:name="_Toc20040472"/>
      <w:r>
        <w:rPr>
          <w:rFonts w:hint="eastAsia"/>
          <w:sz w:val="21"/>
          <w:szCs w:val="21"/>
        </w:rPr>
        <w:t>考核</w:t>
      </w:r>
      <w:bookmarkEnd w:id="26"/>
      <w:bookmarkEnd w:id="27"/>
      <w:r>
        <w:rPr>
          <w:rFonts w:hint="eastAsia"/>
          <w:sz w:val="21"/>
          <w:szCs w:val="21"/>
        </w:rPr>
        <w:t>办法</w:t>
      </w:r>
      <w:bookmarkEnd w:id="28"/>
      <w:bookmarkEnd w:id="29"/>
      <w:bookmarkEnd w:id="30"/>
    </w:p>
    <w:p w14:paraId="1112BA75">
      <w:pPr>
        <w:pStyle w:val="41"/>
        <w:spacing w:line="360" w:lineRule="auto"/>
        <w:ind w:firstLine="420"/>
        <w:rPr>
          <w:rFonts w:ascii="宋体" w:hAnsi="宋体"/>
          <w:color w:val="000000"/>
          <w:sz w:val="21"/>
          <w:szCs w:val="21"/>
        </w:rPr>
      </w:pPr>
      <w:r>
        <w:rPr>
          <w:rFonts w:hint="eastAsia" w:ascii="宋体" w:hAnsi="宋体"/>
          <w:color w:val="000000"/>
          <w:sz w:val="21"/>
          <w:szCs w:val="21"/>
        </w:rPr>
        <w:t>招标方</w:t>
      </w:r>
      <w:r>
        <w:rPr>
          <w:rFonts w:ascii="宋体" w:hAnsi="宋体"/>
          <w:color w:val="000000"/>
          <w:sz w:val="21"/>
          <w:szCs w:val="21"/>
        </w:rPr>
        <w:t>将根据</w:t>
      </w:r>
      <w:r>
        <w:rPr>
          <w:rFonts w:hint="eastAsia" w:ascii="宋体" w:hAnsi="宋体"/>
          <w:color w:val="000000"/>
          <w:sz w:val="21"/>
          <w:szCs w:val="21"/>
        </w:rPr>
        <w:t>区数据治理业务需求情况，会同投标人明确考核实施细则和评分要素，并在补充协议中予以明确，从而</w:t>
      </w:r>
      <w:r>
        <w:rPr>
          <w:rFonts w:ascii="宋体" w:hAnsi="宋体"/>
          <w:color w:val="000000"/>
          <w:sz w:val="21"/>
          <w:szCs w:val="21"/>
        </w:rPr>
        <w:t>对中标人的数据运营服务进行定期考核。</w:t>
      </w:r>
    </w:p>
    <w:p w14:paraId="65D1C81B">
      <w:pPr>
        <w:pStyle w:val="41"/>
        <w:spacing w:line="360" w:lineRule="auto"/>
        <w:ind w:firstLine="420"/>
        <w:rPr>
          <w:rFonts w:ascii="宋体" w:hAnsi="宋体"/>
          <w:color w:val="000000"/>
          <w:sz w:val="21"/>
          <w:szCs w:val="21"/>
        </w:rPr>
      </w:pPr>
      <w:r>
        <w:rPr>
          <w:rFonts w:ascii="宋体" w:hAnsi="宋体"/>
          <w:color w:val="000000"/>
          <w:sz w:val="21"/>
          <w:szCs w:val="21"/>
        </w:rPr>
        <w:t>项目考核满足以下条件：</w:t>
      </w:r>
    </w:p>
    <w:p w14:paraId="08004F8D">
      <w:pPr>
        <w:pStyle w:val="41"/>
        <w:numPr>
          <w:ilvl w:val="0"/>
          <w:numId w:val="10"/>
        </w:numPr>
        <w:tabs>
          <w:tab w:val="left" w:pos="142"/>
        </w:tabs>
        <w:spacing w:line="360" w:lineRule="auto"/>
        <w:ind w:left="0" w:firstLine="371" w:firstLineChars="177"/>
        <w:rPr>
          <w:rFonts w:ascii="宋体" w:hAnsi="宋体"/>
          <w:color w:val="000000"/>
          <w:sz w:val="21"/>
          <w:szCs w:val="21"/>
        </w:rPr>
      </w:pPr>
      <w:r>
        <w:rPr>
          <w:rFonts w:ascii="宋体" w:hAnsi="宋体"/>
          <w:color w:val="000000"/>
          <w:sz w:val="21"/>
          <w:szCs w:val="21"/>
        </w:rPr>
        <w:t>投标方需按照标书的建设要求提供数据治理和数据</w:t>
      </w:r>
      <w:r>
        <w:rPr>
          <w:rFonts w:hint="eastAsia" w:ascii="宋体" w:hAnsi="宋体"/>
          <w:color w:val="000000"/>
          <w:sz w:val="21"/>
          <w:szCs w:val="21"/>
        </w:rPr>
        <w:t>应用</w:t>
      </w:r>
      <w:r>
        <w:rPr>
          <w:rFonts w:ascii="宋体" w:hAnsi="宋体"/>
          <w:color w:val="000000"/>
          <w:sz w:val="21"/>
          <w:szCs w:val="21"/>
        </w:rPr>
        <w:t>运营</w:t>
      </w:r>
      <w:r>
        <w:rPr>
          <w:rFonts w:hint="eastAsia" w:ascii="宋体" w:hAnsi="宋体"/>
          <w:color w:val="000000"/>
          <w:sz w:val="21"/>
          <w:szCs w:val="21"/>
        </w:rPr>
        <w:t>服务</w:t>
      </w:r>
      <w:r>
        <w:rPr>
          <w:rFonts w:ascii="宋体" w:hAnsi="宋体"/>
          <w:color w:val="000000"/>
          <w:sz w:val="21"/>
          <w:szCs w:val="21"/>
        </w:rPr>
        <w:t>工作。</w:t>
      </w:r>
    </w:p>
    <w:p w14:paraId="07FBB7E8">
      <w:pPr>
        <w:pStyle w:val="41"/>
        <w:numPr>
          <w:ilvl w:val="0"/>
          <w:numId w:val="10"/>
        </w:numPr>
        <w:tabs>
          <w:tab w:val="left" w:pos="142"/>
        </w:tabs>
        <w:spacing w:line="360" w:lineRule="auto"/>
        <w:ind w:left="0" w:firstLine="371" w:firstLineChars="177"/>
        <w:rPr>
          <w:rFonts w:ascii="宋体" w:hAnsi="宋体"/>
          <w:color w:val="000000"/>
          <w:sz w:val="21"/>
          <w:szCs w:val="21"/>
        </w:rPr>
      </w:pPr>
      <w:r>
        <w:rPr>
          <w:rFonts w:ascii="宋体" w:hAnsi="宋体"/>
          <w:color w:val="000000"/>
          <w:sz w:val="21"/>
          <w:szCs w:val="21"/>
        </w:rPr>
        <w:t>投标方需</w:t>
      </w:r>
      <w:r>
        <w:rPr>
          <w:rFonts w:hint="eastAsia" w:ascii="宋体" w:hAnsi="宋体"/>
          <w:color w:val="000000"/>
          <w:sz w:val="21"/>
          <w:szCs w:val="21"/>
        </w:rPr>
        <w:t>根据招标方的要求，数据运营服务所涉及的软硬件环境</w:t>
      </w:r>
      <w:r>
        <w:rPr>
          <w:rFonts w:ascii="宋体" w:hAnsi="宋体"/>
          <w:color w:val="000000"/>
          <w:sz w:val="21"/>
          <w:szCs w:val="21"/>
        </w:rPr>
        <w:t>需</w:t>
      </w:r>
      <w:r>
        <w:rPr>
          <w:rFonts w:hint="eastAsia" w:ascii="宋体" w:hAnsi="宋体"/>
          <w:color w:val="000000"/>
          <w:sz w:val="21"/>
          <w:szCs w:val="21"/>
        </w:rPr>
        <w:t>满足</w:t>
      </w:r>
      <w:r>
        <w:rPr>
          <w:rFonts w:ascii="宋体" w:hAnsi="宋体"/>
          <w:color w:val="000000"/>
          <w:sz w:val="21"/>
          <w:szCs w:val="21"/>
        </w:rPr>
        <w:t>国家信息安全等级保护三级评测</w:t>
      </w:r>
      <w:r>
        <w:rPr>
          <w:rFonts w:hint="eastAsia" w:ascii="宋体" w:hAnsi="宋体"/>
          <w:color w:val="000000"/>
          <w:sz w:val="21"/>
          <w:szCs w:val="21"/>
        </w:rPr>
        <w:t>等相关主管部门的安全管理要求。</w:t>
      </w:r>
    </w:p>
    <w:p w14:paraId="71EDD3CB">
      <w:pPr>
        <w:pStyle w:val="2"/>
        <w:rPr>
          <w:sz w:val="21"/>
          <w:szCs w:val="21"/>
        </w:rPr>
      </w:pPr>
      <w:bookmarkStart w:id="31" w:name="_Toc16087633"/>
      <w:bookmarkStart w:id="32" w:name="_Toc20010878"/>
      <w:bookmarkStart w:id="33" w:name="_Toc457997424"/>
      <w:bookmarkStart w:id="34" w:name="_Toc20040473"/>
      <w:bookmarkStart w:id="35" w:name="_Toc420533375"/>
      <w:bookmarkStart w:id="36" w:name="_Toc34292067"/>
      <w:bookmarkStart w:id="37" w:name="_Toc404174650"/>
      <w:bookmarkStart w:id="38" w:name="_Toc201332010"/>
      <w:bookmarkStart w:id="39" w:name="_Toc521630875"/>
      <w:bookmarkStart w:id="40" w:name="_Toc194070749"/>
      <w:r>
        <w:rPr>
          <w:rFonts w:hint="eastAsia"/>
          <w:sz w:val="21"/>
          <w:szCs w:val="21"/>
        </w:rPr>
        <w:t>其它</w:t>
      </w:r>
      <w:bookmarkEnd w:id="31"/>
      <w:bookmarkEnd w:id="32"/>
      <w:bookmarkEnd w:id="33"/>
      <w:bookmarkEnd w:id="34"/>
      <w:bookmarkEnd w:id="35"/>
      <w:bookmarkEnd w:id="36"/>
      <w:bookmarkEnd w:id="37"/>
      <w:bookmarkEnd w:id="38"/>
      <w:bookmarkEnd w:id="39"/>
      <w:bookmarkEnd w:id="40"/>
    </w:p>
    <w:p w14:paraId="58164F47">
      <w:pPr>
        <w:ind w:firstLine="480"/>
        <w:rPr>
          <w:sz w:val="21"/>
          <w:szCs w:val="21"/>
        </w:rPr>
      </w:pPr>
      <w:r>
        <w:rPr>
          <w:sz w:val="21"/>
          <w:szCs w:val="21"/>
        </w:rPr>
        <w:t>（1）投标方需介绍自己公司的背景情况和资信状况</w:t>
      </w:r>
      <w:r>
        <w:rPr>
          <w:rFonts w:hint="eastAsia"/>
          <w:sz w:val="21"/>
          <w:szCs w:val="21"/>
        </w:rPr>
        <w:t>。</w:t>
      </w:r>
    </w:p>
    <w:p w14:paraId="1D0B7141">
      <w:pPr>
        <w:ind w:firstLine="480"/>
        <w:rPr>
          <w:sz w:val="21"/>
          <w:szCs w:val="21"/>
        </w:rPr>
      </w:pPr>
      <w:r>
        <w:rPr>
          <w:sz w:val="21"/>
          <w:szCs w:val="21"/>
        </w:rPr>
        <w:t>（2）投标方需介绍自己公司在类似项目的成功案例</w:t>
      </w:r>
      <w:r>
        <w:rPr>
          <w:rFonts w:hint="eastAsia"/>
          <w:sz w:val="21"/>
          <w:szCs w:val="21"/>
        </w:rPr>
        <w:t>。</w:t>
      </w:r>
    </w:p>
    <w:p w14:paraId="0F511277">
      <w:pPr>
        <w:ind w:firstLine="480"/>
        <w:rPr>
          <w:sz w:val="21"/>
          <w:szCs w:val="21"/>
        </w:rPr>
      </w:pPr>
      <w:r>
        <w:rPr>
          <w:sz w:val="21"/>
          <w:szCs w:val="21"/>
        </w:rPr>
        <w:t>（3）</w:t>
      </w:r>
      <w:r>
        <w:rPr>
          <w:rFonts w:hint="eastAsia"/>
          <w:sz w:val="21"/>
          <w:szCs w:val="21"/>
        </w:rPr>
        <w:t>投标方需具有质量管理管理体系ISO</w:t>
      </w:r>
      <w:r>
        <w:rPr>
          <w:sz w:val="21"/>
          <w:szCs w:val="21"/>
        </w:rPr>
        <w:t>9001</w:t>
      </w:r>
      <w:r>
        <w:rPr>
          <w:rFonts w:hint="eastAsia"/>
          <w:sz w:val="21"/>
          <w:szCs w:val="21"/>
        </w:rPr>
        <w:t>认证证书。</w:t>
      </w:r>
    </w:p>
    <w:p w14:paraId="18007352">
      <w:pPr>
        <w:ind w:firstLine="480"/>
        <w:rPr>
          <w:sz w:val="21"/>
          <w:szCs w:val="21"/>
        </w:rPr>
      </w:pPr>
      <w:r>
        <w:rPr>
          <w:sz w:val="21"/>
          <w:szCs w:val="21"/>
        </w:rPr>
        <w:t>（</w:t>
      </w:r>
      <w:r>
        <w:rPr>
          <w:rFonts w:hint="eastAsia"/>
          <w:sz w:val="21"/>
          <w:szCs w:val="21"/>
          <w:lang w:val="en-US" w:eastAsia="zh-CN"/>
        </w:rPr>
        <w:t>4</w:t>
      </w:r>
      <w:r>
        <w:rPr>
          <w:sz w:val="21"/>
          <w:szCs w:val="21"/>
        </w:rPr>
        <w:t>）由投标方原因造成的工期延误，由投标方赔偿招标方的损失。</w:t>
      </w:r>
    </w:p>
    <w:p w14:paraId="2F12921F">
      <w:pPr>
        <w:ind w:firstLine="480"/>
        <w:rPr>
          <w:sz w:val="21"/>
          <w:szCs w:val="21"/>
        </w:rPr>
      </w:pPr>
      <w:r>
        <w:rPr>
          <w:sz w:val="21"/>
          <w:szCs w:val="21"/>
        </w:rPr>
        <w:t>（</w:t>
      </w:r>
      <w:r>
        <w:rPr>
          <w:rFonts w:hint="eastAsia"/>
          <w:sz w:val="21"/>
          <w:szCs w:val="21"/>
          <w:lang w:val="en-US" w:eastAsia="zh-CN"/>
        </w:rPr>
        <w:t>5</w:t>
      </w:r>
      <w:r>
        <w:rPr>
          <w:sz w:val="21"/>
          <w:szCs w:val="21"/>
        </w:rPr>
        <w:t>）本技术规范书视为保证系统运行所需的基本要求，如有遗漏，投标方予以补充，否则一旦中标将认为投标方认同遗漏部分并免费提供</w:t>
      </w:r>
      <w:r>
        <w:rPr>
          <w:rFonts w:hint="eastAsia"/>
          <w:sz w:val="21"/>
          <w:szCs w:val="21"/>
        </w:rPr>
        <w:t>。</w:t>
      </w:r>
    </w:p>
    <w:p w14:paraId="16550260">
      <w:pPr>
        <w:ind w:firstLine="480"/>
        <w:rPr>
          <w:sz w:val="21"/>
          <w:szCs w:val="21"/>
        </w:rPr>
      </w:pPr>
      <w:r>
        <w:rPr>
          <w:sz w:val="21"/>
          <w:szCs w:val="21"/>
        </w:rPr>
        <w:t>（</w:t>
      </w:r>
      <w:r>
        <w:rPr>
          <w:rFonts w:hint="eastAsia"/>
          <w:sz w:val="21"/>
          <w:szCs w:val="21"/>
          <w:lang w:val="en-US" w:eastAsia="zh-CN"/>
        </w:rPr>
        <w:t>6</w:t>
      </w:r>
      <w:r>
        <w:rPr>
          <w:sz w:val="21"/>
          <w:szCs w:val="21"/>
        </w:rPr>
        <w:t>）投标方确保其技术建议的可行性以及所提供软件的完整性，若出现由于投标方提供的软件不满足要求或其所提供的技术支持和服务不全面而导致系统功能无法实现或不能完全实现，由投标方无偿补足，并负全部责任。</w:t>
      </w:r>
    </w:p>
    <w:p w14:paraId="066D0D52">
      <w:pPr>
        <w:ind w:firstLine="480"/>
        <w:rPr>
          <w:sz w:val="21"/>
          <w:szCs w:val="21"/>
        </w:rPr>
      </w:pPr>
      <w:r>
        <w:rPr>
          <w:sz w:val="21"/>
          <w:szCs w:val="21"/>
        </w:rPr>
        <w:t>（</w:t>
      </w:r>
      <w:r>
        <w:rPr>
          <w:rFonts w:hint="eastAsia"/>
          <w:sz w:val="21"/>
          <w:szCs w:val="21"/>
          <w:lang w:val="en-US" w:eastAsia="zh-CN"/>
        </w:rPr>
        <w:t>7</w:t>
      </w:r>
      <w:r>
        <w:rPr>
          <w:sz w:val="21"/>
          <w:szCs w:val="21"/>
        </w:rPr>
        <w:t>）本项目过程定制开发产生的各种软件代码、技术文档和资料、技术专利的知识产权双方共有，投标方不得出租、租赁和向任何第三方转让。</w:t>
      </w:r>
    </w:p>
    <w:p w14:paraId="4927401B">
      <w:pPr>
        <w:ind w:firstLine="480"/>
        <w:rPr>
          <w:sz w:val="21"/>
          <w:szCs w:val="21"/>
        </w:rPr>
      </w:pPr>
      <w:r>
        <w:rPr>
          <w:sz w:val="21"/>
          <w:szCs w:val="21"/>
        </w:rPr>
        <w:t>（</w:t>
      </w:r>
      <w:r>
        <w:rPr>
          <w:rFonts w:hint="eastAsia"/>
          <w:sz w:val="21"/>
          <w:szCs w:val="21"/>
          <w:lang w:val="en-US" w:eastAsia="zh-CN"/>
        </w:rPr>
        <w:t>8</w:t>
      </w:r>
      <w:r>
        <w:rPr>
          <w:sz w:val="21"/>
          <w:szCs w:val="21"/>
        </w:rPr>
        <w:t>）未经招标方书面许可，投标方不得以任何形式向第三方透露本项目成果和技术细节。</w:t>
      </w:r>
    </w:p>
    <w:p w14:paraId="10A3DB28">
      <w:pPr>
        <w:ind w:firstLine="480"/>
        <w:rPr>
          <w:sz w:val="21"/>
          <w:szCs w:val="21"/>
        </w:rPr>
      </w:pPr>
      <w:r>
        <w:rPr>
          <w:sz w:val="21"/>
          <w:szCs w:val="21"/>
        </w:rPr>
        <w:t>（</w:t>
      </w:r>
      <w:r>
        <w:rPr>
          <w:rFonts w:hint="eastAsia"/>
          <w:sz w:val="21"/>
          <w:szCs w:val="21"/>
          <w:lang w:val="en-US" w:eastAsia="zh-CN"/>
        </w:rPr>
        <w:t>9</w:t>
      </w:r>
      <w:r>
        <w:rPr>
          <w:sz w:val="21"/>
          <w:szCs w:val="21"/>
        </w:rPr>
        <w:t>）投标方应该建立完善技术服务保障体系，形成闭环管理。</w:t>
      </w:r>
    </w:p>
    <w:p w14:paraId="0DB42646">
      <w:pPr>
        <w:pStyle w:val="2"/>
        <w:rPr>
          <w:sz w:val="21"/>
          <w:szCs w:val="21"/>
        </w:rPr>
      </w:pPr>
      <w:r>
        <w:rPr>
          <w:rFonts w:hint="eastAsia"/>
          <w:sz w:val="21"/>
          <w:szCs w:val="21"/>
        </w:rPr>
        <w:t>关于转让和分包的规定</w:t>
      </w:r>
    </w:p>
    <w:p w14:paraId="46A98D6B">
      <w:pPr>
        <w:pStyle w:val="12"/>
        <w:numPr>
          <w:ilvl w:val="0"/>
          <w:numId w:val="11"/>
        </w:numPr>
        <w:ind w:firstLineChars="0"/>
        <w:rPr>
          <w:color w:val="000000"/>
          <w:sz w:val="21"/>
          <w:szCs w:val="21"/>
        </w:rPr>
      </w:pPr>
      <w:r>
        <w:rPr>
          <w:rFonts w:hint="eastAsia"/>
          <w:color w:val="000000"/>
          <w:sz w:val="21"/>
          <w:szCs w:val="21"/>
        </w:rPr>
        <w:t>本项目主体部分不得转让、不得分包。运营服务内容说明如下：</w:t>
      </w:r>
    </w:p>
    <w:tbl>
      <w:tblPr>
        <w:tblStyle w:val="18"/>
        <w:tblW w:w="0" w:type="auto"/>
        <w:tblInd w:w="0" w:type="dxa"/>
        <w:tblLayout w:type="autofit"/>
        <w:tblCellMar>
          <w:top w:w="0" w:type="dxa"/>
          <w:left w:w="108" w:type="dxa"/>
          <w:bottom w:w="0" w:type="dxa"/>
          <w:right w:w="108" w:type="dxa"/>
        </w:tblCellMar>
      </w:tblPr>
      <w:tblGrid>
        <w:gridCol w:w="426"/>
        <w:gridCol w:w="1270"/>
        <w:gridCol w:w="1134"/>
        <w:gridCol w:w="2127"/>
        <w:gridCol w:w="1417"/>
        <w:gridCol w:w="1922"/>
      </w:tblGrid>
      <w:tr w14:paraId="3D354141">
        <w:tblPrEx>
          <w:tblCellMar>
            <w:top w:w="0" w:type="dxa"/>
            <w:left w:w="108" w:type="dxa"/>
            <w:bottom w:w="0" w:type="dxa"/>
            <w:right w:w="108" w:type="dxa"/>
          </w:tblCellMar>
        </w:tblPrEx>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998D4">
            <w:pPr>
              <w:ind w:firstLine="0" w:firstLineChars="0"/>
              <w:rPr>
                <w:sz w:val="21"/>
                <w:szCs w:val="21"/>
              </w:rPr>
            </w:pPr>
            <w:r>
              <w:rPr>
                <w:rFonts w:hint="eastAsia"/>
                <w:sz w:val="21"/>
                <w:szCs w:val="21"/>
              </w:rPr>
              <w:t>序号</w:t>
            </w:r>
          </w:p>
        </w:tc>
        <w:tc>
          <w:tcPr>
            <w:tcW w:w="4531" w:type="dxa"/>
            <w:gridSpan w:val="3"/>
            <w:tcBorders>
              <w:top w:val="single" w:color="auto" w:sz="4" w:space="0"/>
              <w:left w:val="nil"/>
              <w:bottom w:val="single" w:color="auto" w:sz="4" w:space="0"/>
              <w:right w:val="single" w:color="auto" w:sz="4" w:space="0"/>
            </w:tcBorders>
            <w:shd w:val="clear" w:color="auto" w:fill="auto"/>
            <w:vAlign w:val="center"/>
          </w:tcPr>
          <w:p w14:paraId="71D9FC6D">
            <w:pPr>
              <w:ind w:firstLine="0" w:firstLineChars="0"/>
              <w:jc w:val="center"/>
              <w:rPr>
                <w:sz w:val="21"/>
                <w:szCs w:val="21"/>
              </w:rPr>
            </w:pPr>
            <w:r>
              <w:rPr>
                <w:rFonts w:hint="eastAsia"/>
                <w:sz w:val="21"/>
                <w:szCs w:val="21"/>
              </w:rPr>
              <w:t>运营服务工作内容</w:t>
            </w:r>
          </w:p>
        </w:tc>
        <w:tc>
          <w:tcPr>
            <w:tcW w:w="1417" w:type="dxa"/>
            <w:vMerge w:val="restart"/>
            <w:tcBorders>
              <w:top w:val="single" w:color="auto" w:sz="4" w:space="0"/>
              <w:left w:val="nil"/>
              <w:right w:val="single" w:color="auto" w:sz="4" w:space="0"/>
            </w:tcBorders>
            <w:vAlign w:val="center"/>
          </w:tcPr>
          <w:p w14:paraId="69AE2DBE">
            <w:pPr>
              <w:ind w:firstLine="0" w:firstLineChars="0"/>
              <w:jc w:val="center"/>
              <w:rPr>
                <w:sz w:val="21"/>
                <w:szCs w:val="21"/>
              </w:rPr>
            </w:pPr>
            <w:r>
              <w:rPr>
                <w:rFonts w:hint="eastAsia"/>
                <w:sz w:val="21"/>
                <w:szCs w:val="21"/>
              </w:rPr>
              <w:t>是否为主体部分</w:t>
            </w:r>
          </w:p>
        </w:tc>
        <w:tc>
          <w:tcPr>
            <w:tcW w:w="1922" w:type="dxa"/>
            <w:vMerge w:val="restart"/>
            <w:tcBorders>
              <w:top w:val="single" w:color="auto" w:sz="4" w:space="0"/>
              <w:left w:val="nil"/>
              <w:right w:val="single" w:color="auto" w:sz="4" w:space="0"/>
            </w:tcBorders>
            <w:vAlign w:val="center"/>
          </w:tcPr>
          <w:p w14:paraId="5C40C666">
            <w:pPr>
              <w:ind w:firstLine="0" w:firstLineChars="0"/>
              <w:jc w:val="center"/>
              <w:rPr>
                <w:sz w:val="21"/>
                <w:szCs w:val="21"/>
              </w:rPr>
            </w:pPr>
            <w:r>
              <w:rPr>
                <w:rFonts w:hint="eastAsia"/>
                <w:sz w:val="21"/>
                <w:szCs w:val="21"/>
              </w:rPr>
              <w:t>分包比例</w:t>
            </w:r>
          </w:p>
          <w:p w14:paraId="586C511E">
            <w:pPr>
              <w:ind w:firstLine="0" w:firstLineChars="0"/>
              <w:jc w:val="center"/>
              <w:rPr>
                <w:sz w:val="21"/>
                <w:szCs w:val="21"/>
              </w:rPr>
            </w:pPr>
            <w:r>
              <w:rPr>
                <w:rFonts w:hint="eastAsia"/>
                <w:sz w:val="21"/>
                <w:szCs w:val="21"/>
              </w:rPr>
              <w:t>说明</w:t>
            </w:r>
          </w:p>
        </w:tc>
      </w:tr>
      <w:tr w14:paraId="360D3661">
        <w:tblPrEx>
          <w:tblCellMar>
            <w:top w:w="0" w:type="dxa"/>
            <w:left w:w="108" w:type="dxa"/>
            <w:bottom w:w="0" w:type="dxa"/>
            <w:right w:w="108" w:type="dxa"/>
          </w:tblCellMar>
        </w:tblPrEx>
        <w:tc>
          <w:tcPr>
            <w:tcW w:w="426" w:type="dxa"/>
            <w:vMerge w:val="continue"/>
            <w:tcBorders>
              <w:top w:val="single" w:color="auto" w:sz="4" w:space="0"/>
              <w:left w:val="single" w:color="auto" w:sz="4" w:space="0"/>
              <w:bottom w:val="single" w:color="auto" w:sz="4" w:space="0"/>
              <w:right w:val="single" w:color="auto" w:sz="4" w:space="0"/>
            </w:tcBorders>
            <w:vAlign w:val="center"/>
          </w:tcPr>
          <w:p w14:paraId="13476ED6">
            <w:pPr>
              <w:ind w:firstLine="0" w:firstLineChars="0"/>
              <w:rPr>
                <w:sz w:val="21"/>
                <w:szCs w:val="21"/>
              </w:rPr>
            </w:pPr>
          </w:p>
        </w:tc>
        <w:tc>
          <w:tcPr>
            <w:tcW w:w="1270" w:type="dxa"/>
            <w:tcBorders>
              <w:top w:val="nil"/>
              <w:left w:val="nil"/>
              <w:bottom w:val="single" w:color="auto" w:sz="4" w:space="0"/>
              <w:right w:val="single" w:color="auto" w:sz="4" w:space="0"/>
            </w:tcBorders>
            <w:shd w:val="clear" w:color="auto" w:fill="auto"/>
            <w:vAlign w:val="center"/>
          </w:tcPr>
          <w:p w14:paraId="6FAB2EA5">
            <w:pPr>
              <w:ind w:firstLine="0" w:firstLineChars="0"/>
              <w:rPr>
                <w:sz w:val="21"/>
                <w:szCs w:val="21"/>
              </w:rPr>
            </w:pPr>
            <w:r>
              <w:rPr>
                <w:rFonts w:hint="eastAsia"/>
                <w:sz w:val="21"/>
                <w:szCs w:val="21"/>
              </w:rPr>
              <w:t>服务大类</w:t>
            </w:r>
          </w:p>
        </w:tc>
        <w:tc>
          <w:tcPr>
            <w:tcW w:w="3261" w:type="dxa"/>
            <w:gridSpan w:val="2"/>
            <w:tcBorders>
              <w:top w:val="single" w:color="auto" w:sz="4" w:space="0"/>
              <w:left w:val="nil"/>
              <w:bottom w:val="single" w:color="auto" w:sz="4" w:space="0"/>
              <w:right w:val="single" w:color="auto" w:sz="4" w:space="0"/>
            </w:tcBorders>
            <w:shd w:val="clear" w:color="auto" w:fill="auto"/>
            <w:vAlign w:val="center"/>
          </w:tcPr>
          <w:p w14:paraId="02305A65">
            <w:pPr>
              <w:ind w:firstLine="0" w:firstLineChars="0"/>
              <w:rPr>
                <w:sz w:val="21"/>
                <w:szCs w:val="21"/>
              </w:rPr>
            </w:pPr>
            <w:r>
              <w:rPr>
                <w:rFonts w:hint="eastAsia"/>
                <w:sz w:val="21"/>
                <w:szCs w:val="21"/>
              </w:rPr>
              <w:t>服务子类</w:t>
            </w:r>
          </w:p>
        </w:tc>
        <w:tc>
          <w:tcPr>
            <w:tcW w:w="1417" w:type="dxa"/>
            <w:vMerge w:val="continue"/>
            <w:tcBorders>
              <w:left w:val="nil"/>
              <w:bottom w:val="single" w:color="auto" w:sz="4" w:space="0"/>
              <w:right w:val="single" w:color="auto" w:sz="4" w:space="0"/>
            </w:tcBorders>
            <w:vAlign w:val="center"/>
          </w:tcPr>
          <w:p w14:paraId="596C8D71">
            <w:pPr>
              <w:ind w:firstLine="0" w:firstLineChars="0"/>
              <w:jc w:val="center"/>
              <w:rPr>
                <w:sz w:val="21"/>
                <w:szCs w:val="21"/>
              </w:rPr>
            </w:pPr>
          </w:p>
        </w:tc>
        <w:tc>
          <w:tcPr>
            <w:tcW w:w="1922" w:type="dxa"/>
            <w:vMerge w:val="continue"/>
            <w:tcBorders>
              <w:left w:val="nil"/>
              <w:bottom w:val="single" w:color="auto" w:sz="4" w:space="0"/>
              <w:right w:val="single" w:color="auto" w:sz="4" w:space="0"/>
            </w:tcBorders>
            <w:vAlign w:val="center"/>
          </w:tcPr>
          <w:p w14:paraId="0CD3488E">
            <w:pPr>
              <w:ind w:firstLine="0" w:firstLineChars="0"/>
              <w:jc w:val="center"/>
              <w:rPr>
                <w:sz w:val="21"/>
                <w:szCs w:val="21"/>
              </w:rPr>
            </w:pPr>
          </w:p>
        </w:tc>
      </w:tr>
      <w:tr w14:paraId="228A66A6">
        <w:tblPrEx>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14:paraId="5240668E">
            <w:pPr>
              <w:ind w:firstLine="0" w:firstLineChars="0"/>
              <w:rPr>
                <w:sz w:val="21"/>
                <w:szCs w:val="21"/>
              </w:rPr>
            </w:pPr>
            <w:r>
              <w:rPr>
                <w:rFonts w:hint="eastAsia"/>
                <w:sz w:val="21"/>
                <w:szCs w:val="21"/>
              </w:rPr>
              <w:t>1</w:t>
            </w:r>
          </w:p>
        </w:tc>
        <w:tc>
          <w:tcPr>
            <w:tcW w:w="1270" w:type="dxa"/>
            <w:tcBorders>
              <w:top w:val="nil"/>
              <w:left w:val="nil"/>
              <w:bottom w:val="single" w:color="auto" w:sz="4" w:space="0"/>
              <w:right w:val="single" w:color="auto" w:sz="4" w:space="0"/>
            </w:tcBorders>
            <w:shd w:val="clear" w:color="auto" w:fill="auto"/>
            <w:vAlign w:val="center"/>
          </w:tcPr>
          <w:p w14:paraId="642B10FE">
            <w:pPr>
              <w:ind w:firstLine="0" w:firstLineChars="0"/>
              <w:rPr>
                <w:sz w:val="21"/>
                <w:szCs w:val="21"/>
              </w:rPr>
            </w:pPr>
            <w:r>
              <w:rPr>
                <w:rFonts w:hint="eastAsia"/>
                <w:sz w:val="21"/>
                <w:szCs w:val="21"/>
              </w:rPr>
              <w:t>运营管理类</w:t>
            </w:r>
          </w:p>
        </w:tc>
        <w:tc>
          <w:tcPr>
            <w:tcW w:w="3261" w:type="dxa"/>
            <w:gridSpan w:val="2"/>
            <w:tcBorders>
              <w:top w:val="single" w:color="auto" w:sz="4" w:space="0"/>
              <w:left w:val="nil"/>
              <w:bottom w:val="single" w:color="auto" w:sz="4" w:space="0"/>
              <w:right w:val="single" w:color="auto" w:sz="4" w:space="0"/>
            </w:tcBorders>
            <w:shd w:val="clear" w:color="auto" w:fill="auto"/>
            <w:vAlign w:val="center"/>
          </w:tcPr>
          <w:p w14:paraId="7EC37CB7">
            <w:pPr>
              <w:ind w:firstLine="0" w:firstLineChars="0"/>
              <w:rPr>
                <w:sz w:val="21"/>
                <w:szCs w:val="21"/>
              </w:rPr>
            </w:pPr>
            <w:r>
              <w:rPr>
                <w:rFonts w:hint="eastAsia"/>
                <w:sz w:val="21"/>
                <w:szCs w:val="21"/>
              </w:rPr>
              <w:t>运营工作管理</w:t>
            </w:r>
          </w:p>
          <w:p w14:paraId="304D4DED">
            <w:pPr>
              <w:ind w:firstLine="0" w:firstLineChars="0"/>
              <w:rPr>
                <w:sz w:val="21"/>
                <w:szCs w:val="21"/>
              </w:rPr>
            </w:pPr>
            <w:r>
              <w:rPr>
                <w:rFonts w:hint="eastAsia"/>
                <w:sz w:val="21"/>
                <w:szCs w:val="21"/>
              </w:rPr>
              <w:t>人员管理</w:t>
            </w:r>
          </w:p>
          <w:p w14:paraId="594B410A">
            <w:pPr>
              <w:ind w:firstLine="0" w:firstLineChars="0"/>
              <w:rPr>
                <w:sz w:val="21"/>
                <w:szCs w:val="21"/>
              </w:rPr>
            </w:pPr>
            <w:r>
              <w:rPr>
                <w:rFonts w:hint="eastAsia"/>
                <w:sz w:val="21"/>
                <w:szCs w:val="21"/>
              </w:rPr>
              <w:t>培训管理</w:t>
            </w:r>
          </w:p>
          <w:p w14:paraId="0B946C0F">
            <w:pPr>
              <w:ind w:firstLine="0" w:firstLineChars="0"/>
              <w:rPr>
                <w:sz w:val="21"/>
                <w:szCs w:val="21"/>
              </w:rPr>
            </w:pPr>
            <w:r>
              <w:rPr>
                <w:rFonts w:hint="eastAsia"/>
                <w:sz w:val="21"/>
                <w:szCs w:val="21"/>
              </w:rPr>
              <w:t>保密管理</w:t>
            </w:r>
          </w:p>
        </w:tc>
        <w:tc>
          <w:tcPr>
            <w:tcW w:w="1417" w:type="dxa"/>
            <w:tcBorders>
              <w:top w:val="single" w:color="auto" w:sz="4" w:space="0"/>
              <w:left w:val="nil"/>
              <w:bottom w:val="single" w:color="auto" w:sz="4" w:space="0"/>
              <w:right w:val="single" w:color="auto" w:sz="4" w:space="0"/>
            </w:tcBorders>
            <w:vAlign w:val="center"/>
          </w:tcPr>
          <w:p w14:paraId="5B25B1D0">
            <w:pPr>
              <w:ind w:firstLine="0" w:firstLineChars="0"/>
              <w:jc w:val="center"/>
              <w:rPr>
                <w:sz w:val="21"/>
                <w:szCs w:val="21"/>
              </w:rPr>
            </w:pPr>
            <w:r>
              <w:rPr>
                <w:rFonts w:hint="eastAsia"/>
                <w:sz w:val="21"/>
                <w:szCs w:val="21"/>
              </w:rPr>
              <w:t>主体部分</w:t>
            </w:r>
          </w:p>
        </w:tc>
        <w:tc>
          <w:tcPr>
            <w:tcW w:w="1922" w:type="dxa"/>
            <w:tcBorders>
              <w:top w:val="single" w:color="auto" w:sz="4" w:space="0"/>
              <w:left w:val="nil"/>
              <w:bottom w:val="single" w:color="auto" w:sz="4" w:space="0"/>
              <w:right w:val="single" w:color="auto" w:sz="4" w:space="0"/>
            </w:tcBorders>
            <w:vAlign w:val="center"/>
          </w:tcPr>
          <w:p w14:paraId="2379EA5F">
            <w:pPr>
              <w:ind w:firstLine="0" w:firstLineChars="0"/>
              <w:jc w:val="center"/>
              <w:rPr>
                <w:sz w:val="21"/>
                <w:szCs w:val="21"/>
              </w:rPr>
            </w:pPr>
            <w:r>
              <w:rPr>
                <w:rFonts w:hint="eastAsia"/>
                <w:sz w:val="21"/>
                <w:szCs w:val="21"/>
              </w:rPr>
              <w:t>不得分包</w:t>
            </w:r>
          </w:p>
        </w:tc>
      </w:tr>
      <w:tr w14:paraId="2E0277DD">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069EBDB2">
            <w:pPr>
              <w:ind w:firstLine="0" w:firstLineChars="0"/>
              <w:rPr>
                <w:sz w:val="21"/>
                <w:szCs w:val="21"/>
              </w:rPr>
            </w:pPr>
            <w:r>
              <w:rPr>
                <w:rFonts w:hint="eastAsia"/>
                <w:sz w:val="21"/>
                <w:szCs w:val="21"/>
              </w:rPr>
              <w:t>2</w:t>
            </w:r>
          </w:p>
        </w:tc>
        <w:tc>
          <w:tcPr>
            <w:tcW w:w="1270" w:type="dxa"/>
            <w:vMerge w:val="restart"/>
            <w:tcBorders>
              <w:top w:val="nil"/>
              <w:left w:val="single" w:color="auto" w:sz="4" w:space="0"/>
              <w:bottom w:val="single" w:color="000000" w:sz="4" w:space="0"/>
              <w:right w:val="single" w:color="auto" w:sz="4" w:space="0"/>
            </w:tcBorders>
            <w:shd w:val="clear" w:color="auto" w:fill="auto"/>
            <w:vAlign w:val="center"/>
          </w:tcPr>
          <w:p w14:paraId="3A5674A2">
            <w:pPr>
              <w:ind w:firstLine="0" w:firstLineChars="0"/>
              <w:rPr>
                <w:sz w:val="21"/>
                <w:szCs w:val="21"/>
              </w:rPr>
            </w:pPr>
            <w:r>
              <w:rPr>
                <w:rFonts w:hint="eastAsia"/>
                <w:sz w:val="21"/>
                <w:szCs w:val="21"/>
              </w:rPr>
              <w:t>基础服务类</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4FC2A0B9">
            <w:pPr>
              <w:ind w:firstLine="0" w:firstLineChars="0"/>
              <w:rPr>
                <w:sz w:val="21"/>
                <w:szCs w:val="21"/>
              </w:rPr>
            </w:pPr>
            <w:r>
              <w:rPr>
                <w:rFonts w:hint="eastAsia"/>
                <w:sz w:val="21"/>
                <w:szCs w:val="21"/>
              </w:rPr>
              <w:t>数据采集接入</w:t>
            </w:r>
          </w:p>
        </w:tc>
        <w:tc>
          <w:tcPr>
            <w:tcW w:w="2127" w:type="dxa"/>
            <w:tcBorders>
              <w:top w:val="nil"/>
              <w:left w:val="nil"/>
              <w:bottom w:val="single" w:color="auto" w:sz="4" w:space="0"/>
              <w:right w:val="single" w:color="auto" w:sz="4" w:space="0"/>
            </w:tcBorders>
            <w:shd w:val="clear" w:color="auto" w:fill="auto"/>
            <w:vAlign w:val="center"/>
          </w:tcPr>
          <w:p w14:paraId="38CC0508">
            <w:pPr>
              <w:ind w:firstLine="0" w:firstLineChars="0"/>
              <w:rPr>
                <w:sz w:val="21"/>
                <w:szCs w:val="21"/>
              </w:rPr>
            </w:pPr>
            <w:r>
              <w:rPr>
                <w:rFonts w:hint="eastAsia"/>
                <w:sz w:val="21"/>
                <w:szCs w:val="21"/>
              </w:rPr>
              <w:t>采集接入（库表）</w:t>
            </w:r>
          </w:p>
        </w:tc>
        <w:tc>
          <w:tcPr>
            <w:tcW w:w="1417" w:type="dxa"/>
            <w:tcBorders>
              <w:top w:val="nil"/>
              <w:left w:val="nil"/>
              <w:bottom w:val="single" w:color="auto" w:sz="4" w:space="0"/>
              <w:right w:val="single" w:color="auto" w:sz="4" w:space="0"/>
            </w:tcBorders>
            <w:vAlign w:val="center"/>
          </w:tcPr>
          <w:p w14:paraId="302C9BE4">
            <w:pPr>
              <w:ind w:firstLine="0" w:firstLineChars="0"/>
              <w:jc w:val="center"/>
              <w:rPr>
                <w:sz w:val="21"/>
                <w:szCs w:val="21"/>
              </w:rPr>
            </w:pPr>
            <w:r>
              <w:rPr>
                <w:rFonts w:hint="eastAsia"/>
                <w:sz w:val="21"/>
                <w:szCs w:val="21"/>
              </w:rPr>
              <w:t>主体部分</w:t>
            </w:r>
          </w:p>
        </w:tc>
        <w:tc>
          <w:tcPr>
            <w:tcW w:w="1922" w:type="dxa"/>
            <w:tcBorders>
              <w:top w:val="nil"/>
              <w:left w:val="nil"/>
              <w:bottom w:val="single" w:color="auto" w:sz="4" w:space="0"/>
              <w:right w:val="single" w:color="auto" w:sz="4" w:space="0"/>
            </w:tcBorders>
            <w:vAlign w:val="center"/>
          </w:tcPr>
          <w:p w14:paraId="3B867D42">
            <w:pPr>
              <w:ind w:firstLine="0" w:firstLineChars="0"/>
              <w:jc w:val="center"/>
              <w:rPr>
                <w:sz w:val="21"/>
                <w:szCs w:val="21"/>
              </w:rPr>
            </w:pPr>
            <w:r>
              <w:rPr>
                <w:rFonts w:hint="eastAsia"/>
                <w:sz w:val="21"/>
                <w:szCs w:val="21"/>
              </w:rPr>
              <w:t>不得分包</w:t>
            </w:r>
          </w:p>
        </w:tc>
      </w:tr>
      <w:tr w14:paraId="3114A458">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1E921F48">
            <w:pPr>
              <w:ind w:firstLine="0" w:firstLineChars="0"/>
              <w:rPr>
                <w:sz w:val="21"/>
                <w:szCs w:val="21"/>
              </w:rPr>
            </w:pPr>
            <w:r>
              <w:rPr>
                <w:rFonts w:hint="eastAsia"/>
                <w:sz w:val="21"/>
                <w:szCs w:val="21"/>
              </w:rPr>
              <w:t>3</w:t>
            </w:r>
          </w:p>
        </w:tc>
        <w:tc>
          <w:tcPr>
            <w:tcW w:w="1270" w:type="dxa"/>
            <w:vMerge w:val="continue"/>
            <w:tcBorders>
              <w:top w:val="nil"/>
              <w:left w:val="single" w:color="auto" w:sz="4" w:space="0"/>
              <w:bottom w:val="single" w:color="000000" w:sz="4" w:space="0"/>
              <w:right w:val="single" w:color="auto" w:sz="4" w:space="0"/>
            </w:tcBorders>
            <w:vAlign w:val="center"/>
          </w:tcPr>
          <w:p w14:paraId="720C56C0">
            <w:pPr>
              <w:ind w:firstLine="0" w:firstLineChars="0"/>
              <w:rPr>
                <w:sz w:val="21"/>
                <w:szCs w:val="21"/>
              </w:rPr>
            </w:pPr>
          </w:p>
        </w:tc>
        <w:tc>
          <w:tcPr>
            <w:tcW w:w="1134" w:type="dxa"/>
            <w:vMerge w:val="continue"/>
            <w:tcBorders>
              <w:top w:val="nil"/>
              <w:left w:val="single" w:color="auto" w:sz="4" w:space="0"/>
              <w:bottom w:val="single" w:color="000000" w:sz="4" w:space="0"/>
              <w:right w:val="single" w:color="auto" w:sz="4" w:space="0"/>
            </w:tcBorders>
            <w:vAlign w:val="center"/>
          </w:tcPr>
          <w:p w14:paraId="7DD4FAE0">
            <w:pPr>
              <w:ind w:firstLine="0" w:firstLineChars="0"/>
              <w:rPr>
                <w:sz w:val="21"/>
                <w:szCs w:val="21"/>
              </w:rPr>
            </w:pPr>
          </w:p>
        </w:tc>
        <w:tc>
          <w:tcPr>
            <w:tcW w:w="2127" w:type="dxa"/>
            <w:tcBorders>
              <w:top w:val="nil"/>
              <w:left w:val="nil"/>
              <w:bottom w:val="single" w:color="auto" w:sz="4" w:space="0"/>
              <w:right w:val="single" w:color="auto" w:sz="4" w:space="0"/>
            </w:tcBorders>
            <w:shd w:val="clear" w:color="auto" w:fill="auto"/>
            <w:vAlign w:val="center"/>
          </w:tcPr>
          <w:p w14:paraId="2FB948FA">
            <w:pPr>
              <w:ind w:firstLine="0" w:firstLineChars="0"/>
              <w:rPr>
                <w:sz w:val="21"/>
                <w:szCs w:val="21"/>
              </w:rPr>
            </w:pPr>
            <w:r>
              <w:rPr>
                <w:rFonts w:hint="eastAsia"/>
                <w:sz w:val="21"/>
                <w:szCs w:val="21"/>
              </w:rPr>
              <w:t>影像数据采集</w:t>
            </w:r>
          </w:p>
        </w:tc>
        <w:tc>
          <w:tcPr>
            <w:tcW w:w="1417" w:type="dxa"/>
            <w:tcBorders>
              <w:top w:val="nil"/>
              <w:left w:val="nil"/>
              <w:bottom w:val="single" w:color="auto" w:sz="4" w:space="0"/>
              <w:right w:val="single" w:color="auto" w:sz="4" w:space="0"/>
            </w:tcBorders>
            <w:vAlign w:val="center"/>
          </w:tcPr>
          <w:p w14:paraId="26CA3406">
            <w:pPr>
              <w:ind w:firstLine="0" w:firstLineChars="0"/>
              <w:jc w:val="center"/>
              <w:rPr>
                <w:sz w:val="21"/>
                <w:szCs w:val="21"/>
              </w:rPr>
            </w:pPr>
            <w:r>
              <w:rPr>
                <w:rFonts w:hint="eastAsia"/>
                <w:sz w:val="21"/>
                <w:szCs w:val="21"/>
              </w:rPr>
              <w:t>非主体部分</w:t>
            </w:r>
          </w:p>
        </w:tc>
        <w:tc>
          <w:tcPr>
            <w:tcW w:w="1922" w:type="dxa"/>
            <w:tcBorders>
              <w:top w:val="nil"/>
              <w:left w:val="nil"/>
              <w:bottom w:val="single" w:color="auto" w:sz="4" w:space="0"/>
              <w:right w:val="single" w:color="auto" w:sz="4" w:space="0"/>
            </w:tcBorders>
            <w:vAlign w:val="center"/>
          </w:tcPr>
          <w:p w14:paraId="5551E81E">
            <w:pPr>
              <w:ind w:firstLine="0" w:firstLineChars="0"/>
              <w:jc w:val="center"/>
              <w:rPr>
                <w:sz w:val="21"/>
                <w:szCs w:val="21"/>
              </w:rPr>
            </w:pPr>
            <w:r>
              <w:rPr>
                <w:rFonts w:hint="eastAsia"/>
                <w:sz w:val="21"/>
                <w:szCs w:val="21"/>
              </w:rPr>
              <w:t>该项服务内容的最大分包比例为</w:t>
            </w:r>
            <w:r>
              <w:rPr>
                <w:sz w:val="21"/>
                <w:szCs w:val="21"/>
              </w:rPr>
              <w:t>100%，</w:t>
            </w:r>
          </w:p>
          <w:p w14:paraId="508B9E59">
            <w:pPr>
              <w:ind w:firstLine="0" w:firstLineChars="0"/>
              <w:jc w:val="center"/>
              <w:rPr>
                <w:sz w:val="21"/>
                <w:szCs w:val="21"/>
              </w:rPr>
            </w:pPr>
            <w:r>
              <w:rPr>
                <w:rFonts w:hint="eastAsia"/>
                <w:sz w:val="21"/>
                <w:szCs w:val="21"/>
              </w:rPr>
              <w:t>最小分包比例为</w:t>
            </w:r>
            <w:r>
              <w:rPr>
                <w:sz w:val="21"/>
                <w:szCs w:val="21"/>
              </w:rPr>
              <w:t>0%。</w:t>
            </w:r>
          </w:p>
        </w:tc>
      </w:tr>
      <w:tr w14:paraId="370F130A">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2370325B">
            <w:pPr>
              <w:ind w:firstLine="0" w:firstLineChars="0"/>
              <w:rPr>
                <w:sz w:val="21"/>
                <w:szCs w:val="21"/>
              </w:rPr>
            </w:pPr>
            <w:r>
              <w:rPr>
                <w:rFonts w:hint="eastAsia"/>
                <w:sz w:val="21"/>
                <w:szCs w:val="21"/>
              </w:rPr>
              <w:t>4</w:t>
            </w:r>
          </w:p>
        </w:tc>
        <w:tc>
          <w:tcPr>
            <w:tcW w:w="1270" w:type="dxa"/>
            <w:vMerge w:val="continue"/>
            <w:tcBorders>
              <w:top w:val="nil"/>
              <w:left w:val="single" w:color="auto" w:sz="4" w:space="0"/>
              <w:bottom w:val="single" w:color="000000" w:sz="4" w:space="0"/>
              <w:right w:val="single" w:color="auto" w:sz="4" w:space="0"/>
            </w:tcBorders>
            <w:vAlign w:val="center"/>
          </w:tcPr>
          <w:p w14:paraId="0A0AB0BF">
            <w:pPr>
              <w:ind w:firstLine="0" w:firstLineChars="0"/>
              <w:rPr>
                <w:sz w:val="21"/>
                <w:szCs w:val="21"/>
              </w:rPr>
            </w:pPr>
          </w:p>
        </w:tc>
        <w:tc>
          <w:tcPr>
            <w:tcW w:w="1134" w:type="dxa"/>
            <w:vMerge w:val="restart"/>
            <w:tcBorders>
              <w:top w:val="nil"/>
              <w:left w:val="single" w:color="auto" w:sz="4" w:space="0"/>
              <w:bottom w:val="nil"/>
              <w:right w:val="single" w:color="auto" w:sz="4" w:space="0"/>
            </w:tcBorders>
            <w:shd w:val="clear" w:color="auto" w:fill="auto"/>
            <w:vAlign w:val="center"/>
          </w:tcPr>
          <w:p w14:paraId="3938AA6D">
            <w:pPr>
              <w:ind w:firstLine="0" w:firstLineChars="0"/>
              <w:rPr>
                <w:sz w:val="21"/>
                <w:szCs w:val="21"/>
              </w:rPr>
            </w:pPr>
            <w:r>
              <w:rPr>
                <w:rFonts w:hint="eastAsia"/>
                <w:sz w:val="21"/>
                <w:szCs w:val="21"/>
              </w:rPr>
              <w:t>数据抽取</w:t>
            </w:r>
          </w:p>
        </w:tc>
        <w:tc>
          <w:tcPr>
            <w:tcW w:w="2127" w:type="dxa"/>
            <w:tcBorders>
              <w:top w:val="nil"/>
              <w:left w:val="nil"/>
              <w:bottom w:val="single" w:color="auto" w:sz="4" w:space="0"/>
              <w:right w:val="single" w:color="auto" w:sz="4" w:space="0"/>
            </w:tcBorders>
            <w:shd w:val="clear" w:color="auto" w:fill="auto"/>
            <w:vAlign w:val="center"/>
          </w:tcPr>
          <w:p w14:paraId="0F55D282">
            <w:pPr>
              <w:ind w:firstLine="0" w:firstLineChars="0"/>
              <w:rPr>
                <w:sz w:val="21"/>
                <w:szCs w:val="21"/>
              </w:rPr>
            </w:pPr>
            <w:r>
              <w:rPr>
                <w:rFonts w:hint="eastAsia"/>
                <w:sz w:val="21"/>
                <w:szCs w:val="21"/>
              </w:rPr>
              <w:t>实时数据/流式数据/批数据抽取</w:t>
            </w:r>
          </w:p>
        </w:tc>
        <w:tc>
          <w:tcPr>
            <w:tcW w:w="1417" w:type="dxa"/>
            <w:tcBorders>
              <w:top w:val="nil"/>
              <w:left w:val="nil"/>
              <w:bottom w:val="single" w:color="auto" w:sz="4" w:space="0"/>
              <w:right w:val="single" w:color="auto" w:sz="4" w:space="0"/>
            </w:tcBorders>
            <w:vAlign w:val="center"/>
          </w:tcPr>
          <w:p w14:paraId="3B79487C">
            <w:pPr>
              <w:ind w:firstLine="0" w:firstLineChars="0"/>
              <w:jc w:val="center"/>
              <w:rPr>
                <w:sz w:val="21"/>
                <w:szCs w:val="21"/>
              </w:rPr>
            </w:pPr>
            <w:r>
              <w:rPr>
                <w:rFonts w:hint="eastAsia"/>
                <w:sz w:val="21"/>
                <w:szCs w:val="21"/>
              </w:rPr>
              <w:t>主体部分</w:t>
            </w:r>
          </w:p>
        </w:tc>
        <w:tc>
          <w:tcPr>
            <w:tcW w:w="1922" w:type="dxa"/>
            <w:tcBorders>
              <w:top w:val="nil"/>
              <w:left w:val="nil"/>
              <w:bottom w:val="single" w:color="auto" w:sz="4" w:space="0"/>
              <w:right w:val="single" w:color="auto" w:sz="4" w:space="0"/>
            </w:tcBorders>
            <w:vAlign w:val="center"/>
          </w:tcPr>
          <w:p w14:paraId="7E9EB86C">
            <w:pPr>
              <w:ind w:firstLine="0" w:firstLineChars="0"/>
              <w:jc w:val="center"/>
              <w:rPr>
                <w:sz w:val="21"/>
                <w:szCs w:val="21"/>
              </w:rPr>
            </w:pPr>
            <w:r>
              <w:rPr>
                <w:rFonts w:hint="eastAsia"/>
                <w:sz w:val="21"/>
                <w:szCs w:val="21"/>
              </w:rPr>
              <w:t>不得分包</w:t>
            </w:r>
          </w:p>
        </w:tc>
      </w:tr>
      <w:tr w14:paraId="21127F5F">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5FFA72F7">
            <w:pPr>
              <w:ind w:firstLine="0" w:firstLineChars="0"/>
              <w:rPr>
                <w:sz w:val="21"/>
                <w:szCs w:val="21"/>
              </w:rPr>
            </w:pPr>
            <w:r>
              <w:rPr>
                <w:rFonts w:hint="eastAsia"/>
                <w:sz w:val="21"/>
                <w:szCs w:val="21"/>
              </w:rPr>
              <w:t>5</w:t>
            </w:r>
          </w:p>
        </w:tc>
        <w:tc>
          <w:tcPr>
            <w:tcW w:w="1270" w:type="dxa"/>
            <w:vMerge w:val="continue"/>
            <w:tcBorders>
              <w:top w:val="nil"/>
              <w:left w:val="single" w:color="auto" w:sz="4" w:space="0"/>
              <w:bottom w:val="single" w:color="000000" w:sz="4" w:space="0"/>
              <w:right w:val="single" w:color="auto" w:sz="4" w:space="0"/>
            </w:tcBorders>
            <w:vAlign w:val="center"/>
          </w:tcPr>
          <w:p w14:paraId="3BAEAFCA">
            <w:pPr>
              <w:ind w:firstLine="0" w:firstLineChars="0"/>
              <w:rPr>
                <w:sz w:val="21"/>
                <w:szCs w:val="21"/>
              </w:rPr>
            </w:pPr>
          </w:p>
        </w:tc>
        <w:tc>
          <w:tcPr>
            <w:tcW w:w="1134" w:type="dxa"/>
            <w:vMerge w:val="continue"/>
            <w:tcBorders>
              <w:top w:val="nil"/>
              <w:left w:val="single" w:color="auto" w:sz="4" w:space="0"/>
              <w:bottom w:val="nil"/>
              <w:right w:val="single" w:color="auto" w:sz="4" w:space="0"/>
            </w:tcBorders>
            <w:vAlign w:val="center"/>
          </w:tcPr>
          <w:p w14:paraId="2373D017">
            <w:pPr>
              <w:ind w:firstLine="0" w:firstLineChars="0"/>
              <w:rPr>
                <w:sz w:val="21"/>
                <w:szCs w:val="21"/>
              </w:rPr>
            </w:pPr>
          </w:p>
        </w:tc>
        <w:tc>
          <w:tcPr>
            <w:tcW w:w="2127" w:type="dxa"/>
            <w:tcBorders>
              <w:top w:val="nil"/>
              <w:left w:val="nil"/>
              <w:bottom w:val="single" w:color="auto" w:sz="4" w:space="0"/>
              <w:right w:val="single" w:color="auto" w:sz="4" w:space="0"/>
            </w:tcBorders>
            <w:shd w:val="clear" w:color="auto" w:fill="auto"/>
            <w:vAlign w:val="center"/>
          </w:tcPr>
          <w:p w14:paraId="652A378F">
            <w:pPr>
              <w:ind w:firstLine="0" w:firstLineChars="0"/>
              <w:rPr>
                <w:sz w:val="21"/>
                <w:szCs w:val="21"/>
              </w:rPr>
            </w:pPr>
            <w:r>
              <w:rPr>
                <w:rFonts w:hint="eastAsia"/>
                <w:sz w:val="21"/>
                <w:szCs w:val="21"/>
              </w:rPr>
              <w:t>空间数据抽取</w:t>
            </w:r>
          </w:p>
        </w:tc>
        <w:tc>
          <w:tcPr>
            <w:tcW w:w="1417" w:type="dxa"/>
            <w:tcBorders>
              <w:top w:val="nil"/>
              <w:left w:val="nil"/>
              <w:bottom w:val="single" w:color="auto" w:sz="4" w:space="0"/>
              <w:right w:val="single" w:color="auto" w:sz="4" w:space="0"/>
            </w:tcBorders>
            <w:vAlign w:val="center"/>
          </w:tcPr>
          <w:p w14:paraId="0D6E4BC9">
            <w:pPr>
              <w:ind w:firstLine="0" w:firstLineChars="0"/>
              <w:jc w:val="center"/>
              <w:rPr>
                <w:sz w:val="21"/>
                <w:szCs w:val="21"/>
              </w:rPr>
            </w:pPr>
            <w:r>
              <w:rPr>
                <w:rFonts w:hint="eastAsia"/>
                <w:sz w:val="21"/>
                <w:szCs w:val="21"/>
              </w:rPr>
              <w:t>主体部分</w:t>
            </w:r>
          </w:p>
        </w:tc>
        <w:tc>
          <w:tcPr>
            <w:tcW w:w="1922" w:type="dxa"/>
            <w:tcBorders>
              <w:top w:val="nil"/>
              <w:left w:val="nil"/>
              <w:bottom w:val="single" w:color="auto" w:sz="4" w:space="0"/>
              <w:right w:val="single" w:color="auto" w:sz="4" w:space="0"/>
            </w:tcBorders>
            <w:vAlign w:val="center"/>
          </w:tcPr>
          <w:p w14:paraId="49CEE846">
            <w:pPr>
              <w:ind w:firstLine="0" w:firstLineChars="0"/>
              <w:jc w:val="center"/>
              <w:rPr>
                <w:sz w:val="21"/>
                <w:szCs w:val="21"/>
              </w:rPr>
            </w:pPr>
            <w:r>
              <w:rPr>
                <w:rFonts w:hint="eastAsia"/>
                <w:sz w:val="21"/>
                <w:szCs w:val="21"/>
              </w:rPr>
              <w:t>不得分包</w:t>
            </w:r>
          </w:p>
        </w:tc>
      </w:tr>
      <w:tr w14:paraId="1C67318B">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44435DB3">
            <w:pPr>
              <w:ind w:firstLine="0" w:firstLineChars="0"/>
              <w:rPr>
                <w:sz w:val="21"/>
                <w:szCs w:val="21"/>
              </w:rPr>
            </w:pPr>
            <w:r>
              <w:rPr>
                <w:rFonts w:hint="eastAsia"/>
                <w:sz w:val="21"/>
                <w:szCs w:val="21"/>
              </w:rPr>
              <w:t>6</w:t>
            </w:r>
          </w:p>
        </w:tc>
        <w:tc>
          <w:tcPr>
            <w:tcW w:w="1270" w:type="dxa"/>
            <w:vMerge w:val="continue"/>
            <w:tcBorders>
              <w:top w:val="nil"/>
              <w:left w:val="single" w:color="auto" w:sz="4" w:space="0"/>
              <w:bottom w:val="single" w:color="000000" w:sz="4" w:space="0"/>
              <w:right w:val="single" w:color="auto" w:sz="4" w:space="0"/>
            </w:tcBorders>
            <w:vAlign w:val="center"/>
          </w:tcPr>
          <w:p w14:paraId="5D86D253">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6E8B7685">
            <w:pPr>
              <w:ind w:firstLine="0" w:firstLineChars="0"/>
              <w:rPr>
                <w:sz w:val="21"/>
                <w:szCs w:val="21"/>
              </w:rPr>
            </w:pPr>
            <w:r>
              <w:rPr>
                <w:rFonts w:hint="eastAsia"/>
                <w:sz w:val="21"/>
                <w:szCs w:val="21"/>
              </w:rPr>
              <w:t>数据标签</w:t>
            </w:r>
          </w:p>
        </w:tc>
        <w:tc>
          <w:tcPr>
            <w:tcW w:w="1417" w:type="dxa"/>
            <w:tcBorders>
              <w:top w:val="single" w:color="auto" w:sz="4" w:space="0"/>
              <w:left w:val="nil"/>
              <w:bottom w:val="single" w:color="auto" w:sz="4" w:space="0"/>
              <w:right w:val="single" w:color="000000" w:sz="4" w:space="0"/>
            </w:tcBorders>
            <w:vAlign w:val="center"/>
          </w:tcPr>
          <w:p w14:paraId="20B9E8DA">
            <w:pPr>
              <w:ind w:firstLine="0" w:firstLineChars="0"/>
              <w:jc w:val="center"/>
              <w:rPr>
                <w:sz w:val="21"/>
                <w:szCs w:val="21"/>
              </w:rPr>
            </w:pPr>
            <w:r>
              <w:rPr>
                <w:rFonts w:hint="eastAsia"/>
                <w:sz w:val="21"/>
                <w:szCs w:val="21"/>
                <w:lang w:val="en-US" w:eastAsia="zh-CN"/>
              </w:rPr>
              <w:t>非</w:t>
            </w:r>
            <w:r>
              <w:rPr>
                <w:rFonts w:hint="eastAsia"/>
                <w:sz w:val="21"/>
                <w:szCs w:val="21"/>
              </w:rPr>
              <w:t>主体部分</w:t>
            </w:r>
          </w:p>
        </w:tc>
        <w:tc>
          <w:tcPr>
            <w:tcW w:w="1922" w:type="dxa"/>
            <w:tcBorders>
              <w:top w:val="single" w:color="auto" w:sz="4" w:space="0"/>
              <w:left w:val="nil"/>
              <w:bottom w:val="single" w:color="auto" w:sz="4" w:space="0"/>
              <w:right w:val="single" w:color="000000" w:sz="4" w:space="0"/>
            </w:tcBorders>
            <w:vAlign w:val="center"/>
          </w:tcPr>
          <w:p w14:paraId="545AA2D4">
            <w:pPr>
              <w:ind w:firstLine="0" w:firstLineChars="0"/>
              <w:jc w:val="center"/>
              <w:rPr>
                <w:sz w:val="21"/>
                <w:szCs w:val="21"/>
              </w:rPr>
            </w:pPr>
            <w:r>
              <w:rPr>
                <w:rFonts w:hint="eastAsia"/>
                <w:sz w:val="21"/>
                <w:szCs w:val="21"/>
              </w:rPr>
              <w:t>该项服务内容的最大分包比例为</w:t>
            </w:r>
            <w:r>
              <w:rPr>
                <w:sz w:val="21"/>
                <w:szCs w:val="21"/>
              </w:rPr>
              <w:t>100%，</w:t>
            </w:r>
          </w:p>
          <w:p w14:paraId="3520BB67">
            <w:pPr>
              <w:ind w:firstLine="0" w:firstLineChars="0"/>
              <w:jc w:val="center"/>
              <w:rPr>
                <w:sz w:val="21"/>
                <w:szCs w:val="21"/>
              </w:rPr>
            </w:pPr>
            <w:r>
              <w:rPr>
                <w:rFonts w:hint="eastAsia"/>
                <w:sz w:val="21"/>
                <w:szCs w:val="21"/>
              </w:rPr>
              <w:t>最小分包比例为</w:t>
            </w:r>
            <w:r>
              <w:rPr>
                <w:sz w:val="21"/>
                <w:szCs w:val="21"/>
              </w:rPr>
              <w:t>0%。</w:t>
            </w:r>
          </w:p>
        </w:tc>
      </w:tr>
      <w:tr w14:paraId="7AADF1CD">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1F48B48E">
            <w:pPr>
              <w:ind w:firstLine="0" w:firstLineChars="0"/>
              <w:rPr>
                <w:sz w:val="21"/>
                <w:szCs w:val="21"/>
              </w:rPr>
            </w:pPr>
            <w:r>
              <w:rPr>
                <w:rFonts w:hint="eastAsia"/>
                <w:sz w:val="21"/>
                <w:szCs w:val="21"/>
              </w:rPr>
              <w:t>7</w:t>
            </w:r>
          </w:p>
        </w:tc>
        <w:tc>
          <w:tcPr>
            <w:tcW w:w="1270" w:type="dxa"/>
            <w:vMerge w:val="continue"/>
            <w:tcBorders>
              <w:top w:val="nil"/>
              <w:left w:val="single" w:color="auto" w:sz="4" w:space="0"/>
              <w:bottom w:val="single" w:color="000000" w:sz="4" w:space="0"/>
              <w:right w:val="single" w:color="auto" w:sz="4" w:space="0"/>
            </w:tcBorders>
            <w:vAlign w:val="center"/>
          </w:tcPr>
          <w:p w14:paraId="58BB7D2F">
            <w:pPr>
              <w:ind w:firstLine="0" w:firstLineChars="0"/>
              <w:rPr>
                <w:sz w:val="21"/>
                <w:szCs w:val="21"/>
              </w:rPr>
            </w:pPr>
          </w:p>
        </w:tc>
        <w:tc>
          <w:tcPr>
            <w:tcW w:w="3261" w:type="dxa"/>
            <w:gridSpan w:val="2"/>
            <w:tcBorders>
              <w:top w:val="single" w:color="auto" w:sz="4" w:space="0"/>
              <w:left w:val="nil"/>
              <w:bottom w:val="single" w:color="auto" w:sz="4" w:space="0"/>
              <w:right w:val="single" w:color="auto" w:sz="4" w:space="0"/>
            </w:tcBorders>
            <w:shd w:val="clear" w:color="auto" w:fill="auto"/>
            <w:vAlign w:val="center"/>
          </w:tcPr>
          <w:p w14:paraId="730E97E1">
            <w:pPr>
              <w:ind w:firstLine="0" w:firstLineChars="0"/>
              <w:rPr>
                <w:sz w:val="21"/>
                <w:szCs w:val="21"/>
              </w:rPr>
            </w:pPr>
            <w:r>
              <w:rPr>
                <w:rFonts w:hint="eastAsia"/>
                <w:sz w:val="21"/>
                <w:szCs w:val="21"/>
              </w:rPr>
              <w:t>时空数据转换与处理</w:t>
            </w:r>
          </w:p>
        </w:tc>
        <w:tc>
          <w:tcPr>
            <w:tcW w:w="1417" w:type="dxa"/>
            <w:tcBorders>
              <w:top w:val="single" w:color="auto" w:sz="4" w:space="0"/>
              <w:left w:val="nil"/>
              <w:bottom w:val="single" w:color="auto" w:sz="4" w:space="0"/>
              <w:right w:val="single" w:color="auto" w:sz="4" w:space="0"/>
            </w:tcBorders>
            <w:vAlign w:val="center"/>
          </w:tcPr>
          <w:p w14:paraId="4F01D800">
            <w:pPr>
              <w:ind w:firstLine="0" w:firstLineChars="0"/>
              <w:jc w:val="center"/>
              <w:rPr>
                <w:sz w:val="21"/>
                <w:szCs w:val="21"/>
              </w:rPr>
            </w:pPr>
            <w:r>
              <w:rPr>
                <w:rFonts w:hint="eastAsia"/>
                <w:sz w:val="21"/>
                <w:szCs w:val="21"/>
              </w:rPr>
              <w:t>非主体部分</w:t>
            </w:r>
          </w:p>
        </w:tc>
        <w:tc>
          <w:tcPr>
            <w:tcW w:w="1922" w:type="dxa"/>
            <w:tcBorders>
              <w:top w:val="single" w:color="auto" w:sz="4" w:space="0"/>
              <w:left w:val="nil"/>
              <w:bottom w:val="single" w:color="auto" w:sz="4" w:space="0"/>
              <w:right w:val="single" w:color="auto" w:sz="4" w:space="0"/>
            </w:tcBorders>
            <w:vAlign w:val="center"/>
          </w:tcPr>
          <w:p w14:paraId="447F94E6">
            <w:pPr>
              <w:ind w:firstLine="0" w:firstLineChars="0"/>
              <w:jc w:val="center"/>
              <w:rPr>
                <w:sz w:val="21"/>
                <w:szCs w:val="21"/>
              </w:rPr>
            </w:pPr>
            <w:r>
              <w:rPr>
                <w:rFonts w:hint="eastAsia"/>
                <w:sz w:val="21"/>
                <w:szCs w:val="21"/>
              </w:rPr>
              <w:t>该项服务内容的最大分包比例为</w:t>
            </w:r>
            <w:r>
              <w:rPr>
                <w:sz w:val="21"/>
                <w:szCs w:val="21"/>
              </w:rPr>
              <w:t>100%，</w:t>
            </w:r>
          </w:p>
          <w:p w14:paraId="295732EC">
            <w:pPr>
              <w:ind w:firstLine="0" w:firstLineChars="0"/>
              <w:jc w:val="center"/>
              <w:rPr>
                <w:sz w:val="21"/>
                <w:szCs w:val="21"/>
              </w:rPr>
            </w:pPr>
            <w:r>
              <w:rPr>
                <w:rFonts w:hint="eastAsia"/>
                <w:sz w:val="21"/>
                <w:szCs w:val="21"/>
              </w:rPr>
              <w:t>最小分包比例为</w:t>
            </w:r>
            <w:r>
              <w:rPr>
                <w:sz w:val="21"/>
                <w:szCs w:val="21"/>
              </w:rPr>
              <w:t>0%。</w:t>
            </w:r>
          </w:p>
        </w:tc>
      </w:tr>
      <w:tr w14:paraId="1EDFB679">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14CB9964">
            <w:pPr>
              <w:ind w:firstLine="0" w:firstLineChars="0"/>
              <w:rPr>
                <w:sz w:val="21"/>
                <w:szCs w:val="21"/>
              </w:rPr>
            </w:pPr>
            <w:r>
              <w:rPr>
                <w:rFonts w:hint="eastAsia"/>
                <w:sz w:val="21"/>
                <w:szCs w:val="21"/>
              </w:rPr>
              <w:t>8</w:t>
            </w:r>
          </w:p>
        </w:tc>
        <w:tc>
          <w:tcPr>
            <w:tcW w:w="1270" w:type="dxa"/>
            <w:vMerge w:val="continue"/>
            <w:tcBorders>
              <w:top w:val="nil"/>
              <w:left w:val="single" w:color="auto" w:sz="4" w:space="0"/>
              <w:bottom w:val="single" w:color="000000" w:sz="4" w:space="0"/>
              <w:right w:val="single" w:color="auto" w:sz="4" w:space="0"/>
            </w:tcBorders>
            <w:vAlign w:val="center"/>
          </w:tcPr>
          <w:p w14:paraId="18C129D1">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249E83DB">
            <w:pPr>
              <w:ind w:firstLine="0" w:firstLineChars="0"/>
              <w:rPr>
                <w:sz w:val="21"/>
                <w:szCs w:val="21"/>
              </w:rPr>
            </w:pPr>
            <w:r>
              <w:rPr>
                <w:rFonts w:hint="eastAsia"/>
                <w:sz w:val="21"/>
                <w:szCs w:val="21"/>
              </w:rPr>
              <w:t>城市三维模型更新</w:t>
            </w:r>
          </w:p>
        </w:tc>
        <w:tc>
          <w:tcPr>
            <w:tcW w:w="1417" w:type="dxa"/>
            <w:tcBorders>
              <w:top w:val="single" w:color="auto" w:sz="4" w:space="0"/>
              <w:left w:val="nil"/>
              <w:bottom w:val="single" w:color="auto" w:sz="4" w:space="0"/>
              <w:right w:val="single" w:color="000000" w:sz="4" w:space="0"/>
            </w:tcBorders>
            <w:vAlign w:val="center"/>
          </w:tcPr>
          <w:p w14:paraId="3413C205">
            <w:pPr>
              <w:ind w:firstLine="0" w:firstLineChars="0"/>
              <w:jc w:val="center"/>
              <w:rPr>
                <w:sz w:val="21"/>
                <w:szCs w:val="21"/>
              </w:rPr>
            </w:pPr>
            <w:r>
              <w:rPr>
                <w:rFonts w:hint="eastAsia"/>
                <w:sz w:val="21"/>
                <w:szCs w:val="21"/>
              </w:rPr>
              <w:t>非主体部分</w:t>
            </w:r>
          </w:p>
        </w:tc>
        <w:tc>
          <w:tcPr>
            <w:tcW w:w="1922" w:type="dxa"/>
            <w:tcBorders>
              <w:top w:val="single" w:color="auto" w:sz="4" w:space="0"/>
              <w:left w:val="nil"/>
              <w:bottom w:val="single" w:color="auto" w:sz="4" w:space="0"/>
              <w:right w:val="single" w:color="000000" w:sz="4" w:space="0"/>
            </w:tcBorders>
            <w:vAlign w:val="center"/>
          </w:tcPr>
          <w:p w14:paraId="54D05228">
            <w:pPr>
              <w:ind w:firstLine="0" w:firstLineChars="0"/>
              <w:jc w:val="center"/>
              <w:rPr>
                <w:sz w:val="21"/>
                <w:szCs w:val="21"/>
              </w:rPr>
            </w:pPr>
            <w:r>
              <w:rPr>
                <w:rFonts w:hint="eastAsia"/>
                <w:sz w:val="21"/>
                <w:szCs w:val="21"/>
              </w:rPr>
              <w:t>该项服务内容的最大分包比例为</w:t>
            </w:r>
            <w:r>
              <w:rPr>
                <w:sz w:val="21"/>
                <w:szCs w:val="21"/>
              </w:rPr>
              <w:t>100%，</w:t>
            </w:r>
          </w:p>
          <w:p w14:paraId="4670D6F6">
            <w:pPr>
              <w:ind w:firstLine="0" w:firstLineChars="0"/>
              <w:jc w:val="center"/>
              <w:rPr>
                <w:sz w:val="21"/>
                <w:szCs w:val="21"/>
              </w:rPr>
            </w:pPr>
            <w:r>
              <w:rPr>
                <w:rFonts w:hint="eastAsia"/>
                <w:sz w:val="21"/>
                <w:szCs w:val="21"/>
              </w:rPr>
              <w:t>最小分包比例为</w:t>
            </w:r>
            <w:r>
              <w:rPr>
                <w:sz w:val="21"/>
                <w:szCs w:val="21"/>
              </w:rPr>
              <w:t>0%。</w:t>
            </w:r>
          </w:p>
        </w:tc>
      </w:tr>
      <w:tr w14:paraId="0839C09D">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689F6C2E">
            <w:pPr>
              <w:ind w:firstLine="0" w:firstLineChars="0"/>
              <w:rPr>
                <w:sz w:val="21"/>
                <w:szCs w:val="21"/>
              </w:rPr>
            </w:pPr>
            <w:r>
              <w:rPr>
                <w:rFonts w:hint="eastAsia"/>
                <w:sz w:val="21"/>
                <w:szCs w:val="21"/>
              </w:rPr>
              <w:t>9</w:t>
            </w:r>
          </w:p>
        </w:tc>
        <w:tc>
          <w:tcPr>
            <w:tcW w:w="1270" w:type="dxa"/>
            <w:vMerge w:val="continue"/>
            <w:tcBorders>
              <w:top w:val="nil"/>
              <w:left w:val="single" w:color="auto" w:sz="4" w:space="0"/>
              <w:bottom w:val="single" w:color="000000" w:sz="4" w:space="0"/>
              <w:right w:val="single" w:color="auto" w:sz="4" w:space="0"/>
            </w:tcBorders>
            <w:vAlign w:val="center"/>
          </w:tcPr>
          <w:p w14:paraId="05CFD077">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017C8645">
            <w:pPr>
              <w:ind w:firstLine="0" w:firstLineChars="0"/>
              <w:rPr>
                <w:sz w:val="21"/>
                <w:szCs w:val="21"/>
              </w:rPr>
            </w:pPr>
            <w:r>
              <w:rPr>
                <w:rFonts w:hint="eastAsia"/>
                <w:sz w:val="21"/>
                <w:szCs w:val="21"/>
              </w:rPr>
              <w:t>三维模型数据处理</w:t>
            </w:r>
          </w:p>
        </w:tc>
        <w:tc>
          <w:tcPr>
            <w:tcW w:w="1417" w:type="dxa"/>
            <w:tcBorders>
              <w:top w:val="single" w:color="auto" w:sz="4" w:space="0"/>
              <w:left w:val="nil"/>
              <w:bottom w:val="single" w:color="auto" w:sz="4" w:space="0"/>
              <w:right w:val="single" w:color="000000" w:sz="4" w:space="0"/>
            </w:tcBorders>
            <w:vAlign w:val="center"/>
          </w:tcPr>
          <w:p w14:paraId="5617A176">
            <w:pPr>
              <w:ind w:firstLine="0" w:firstLineChars="0"/>
              <w:jc w:val="center"/>
              <w:rPr>
                <w:sz w:val="21"/>
                <w:szCs w:val="21"/>
              </w:rPr>
            </w:pPr>
            <w:r>
              <w:rPr>
                <w:rFonts w:hint="eastAsia"/>
                <w:sz w:val="21"/>
                <w:szCs w:val="21"/>
              </w:rPr>
              <w:t>非主体部分</w:t>
            </w:r>
          </w:p>
        </w:tc>
        <w:tc>
          <w:tcPr>
            <w:tcW w:w="1922" w:type="dxa"/>
            <w:tcBorders>
              <w:top w:val="single" w:color="auto" w:sz="4" w:space="0"/>
              <w:left w:val="nil"/>
              <w:bottom w:val="single" w:color="auto" w:sz="4" w:space="0"/>
              <w:right w:val="single" w:color="000000" w:sz="4" w:space="0"/>
            </w:tcBorders>
            <w:vAlign w:val="center"/>
          </w:tcPr>
          <w:p w14:paraId="1FF27AE6">
            <w:pPr>
              <w:ind w:firstLine="0" w:firstLineChars="0"/>
              <w:jc w:val="center"/>
              <w:rPr>
                <w:sz w:val="21"/>
                <w:szCs w:val="21"/>
              </w:rPr>
            </w:pPr>
            <w:r>
              <w:rPr>
                <w:rFonts w:hint="eastAsia"/>
                <w:sz w:val="21"/>
                <w:szCs w:val="21"/>
              </w:rPr>
              <w:t>该项服务内容的最大分包比例为</w:t>
            </w:r>
            <w:r>
              <w:rPr>
                <w:sz w:val="21"/>
                <w:szCs w:val="21"/>
              </w:rPr>
              <w:t>100%，</w:t>
            </w:r>
          </w:p>
          <w:p w14:paraId="15B3B6F8">
            <w:pPr>
              <w:ind w:firstLine="0" w:firstLineChars="0"/>
              <w:jc w:val="center"/>
              <w:rPr>
                <w:sz w:val="21"/>
                <w:szCs w:val="21"/>
              </w:rPr>
            </w:pPr>
            <w:r>
              <w:rPr>
                <w:rFonts w:hint="eastAsia"/>
                <w:sz w:val="21"/>
                <w:szCs w:val="21"/>
              </w:rPr>
              <w:t>最小分包比例为</w:t>
            </w:r>
            <w:r>
              <w:rPr>
                <w:sz w:val="21"/>
                <w:szCs w:val="21"/>
              </w:rPr>
              <w:t>0%。</w:t>
            </w:r>
          </w:p>
        </w:tc>
      </w:tr>
      <w:tr w14:paraId="53A268A0">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3F0BB2B9">
            <w:pPr>
              <w:ind w:firstLine="0" w:firstLineChars="0"/>
              <w:rPr>
                <w:sz w:val="21"/>
                <w:szCs w:val="21"/>
              </w:rPr>
            </w:pPr>
            <w:r>
              <w:rPr>
                <w:rFonts w:hint="eastAsia"/>
                <w:sz w:val="21"/>
                <w:szCs w:val="21"/>
              </w:rPr>
              <w:t>10</w:t>
            </w:r>
          </w:p>
        </w:tc>
        <w:tc>
          <w:tcPr>
            <w:tcW w:w="1270" w:type="dxa"/>
            <w:vMerge w:val="continue"/>
            <w:tcBorders>
              <w:top w:val="nil"/>
              <w:left w:val="single" w:color="auto" w:sz="4" w:space="0"/>
              <w:bottom w:val="single" w:color="000000" w:sz="4" w:space="0"/>
              <w:right w:val="single" w:color="auto" w:sz="4" w:space="0"/>
            </w:tcBorders>
            <w:vAlign w:val="center"/>
          </w:tcPr>
          <w:p w14:paraId="2AED5E30">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436D3B93">
            <w:pPr>
              <w:ind w:firstLine="0" w:firstLineChars="0"/>
              <w:rPr>
                <w:sz w:val="21"/>
                <w:szCs w:val="21"/>
              </w:rPr>
            </w:pPr>
            <w:r>
              <w:rPr>
                <w:rFonts w:hint="eastAsia"/>
                <w:sz w:val="21"/>
                <w:szCs w:val="21"/>
              </w:rPr>
              <w:t>对于历史数据的归档及销毁</w:t>
            </w:r>
          </w:p>
        </w:tc>
        <w:tc>
          <w:tcPr>
            <w:tcW w:w="1417" w:type="dxa"/>
            <w:tcBorders>
              <w:top w:val="single" w:color="auto" w:sz="4" w:space="0"/>
              <w:left w:val="nil"/>
              <w:bottom w:val="single" w:color="auto" w:sz="4" w:space="0"/>
              <w:right w:val="single" w:color="000000" w:sz="4" w:space="0"/>
            </w:tcBorders>
            <w:vAlign w:val="center"/>
          </w:tcPr>
          <w:p w14:paraId="3BFA6872">
            <w:pPr>
              <w:ind w:firstLine="0" w:firstLineChars="0"/>
              <w:jc w:val="center"/>
              <w:rPr>
                <w:sz w:val="21"/>
                <w:szCs w:val="21"/>
              </w:rPr>
            </w:pPr>
            <w:r>
              <w:rPr>
                <w:rFonts w:hint="eastAsia"/>
                <w:sz w:val="21"/>
                <w:szCs w:val="21"/>
              </w:rPr>
              <w:t>主体部分</w:t>
            </w:r>
          </w:p>
        </w:tc>
        <w:tc>
          <w:tcPr>
            <w:tcW w:w="1922" w:type="dxa"/>
            <w:tcBorders>
              <w:top w:val="single" w:color="auto" w:sz="4" w:space="0"/>
              <w:left w:val="nil"/>
              <w:bottom w:val="single" w:color="auto" w:sz="4" w:space="0"/>
              <w:right w:val="single" w:color="000000" w:sz="4" w:space="0"/>
            </w:tcBorders>
            <w:vAlign w:val="center"/>
          </w:tcPr>
          <w:p w14:paraId="714A4BDF">
            <w:pPr>
              <w:ind w:firstLine="0" w:firstLineChars="0"/>
              <w:jc w:val="center"/>
              <w:rPr>
                <w:sz w:val="21"/>
                <w:szCs w:val="21"/>
              </w:rPr>
            </w:pPr>
            <w:r>
              <w:rPr>
                <w:rFonts w:hint="eastAsia"/>
                <w:sz w:val="21"/>
                <w:szCs w:val="21"/>
              </w:rPr>
              <w:t>不得分包</w:t>
            </w:r>
          </w:p>
        </w:tc>
      </w:tr>
      <w:tr w14:paraId="72217BB9">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42C3D53E">
            <w:pPr>
              <w:ind w:firstLine="0" w:firstLineChars="0"/>
              <w:rPr>
                <w:sz w:val="21"/>
                <w:szCs w:val="21"/>
              </w:rPr>
            </w:pPr>
            <w:r>
              <w:rPr>
                <w:rFonts w:hint="eastAsia"/>
                <w:sz w:val="21"/>
                <w:szCs w:val="21"/>
              </w:rPr>
              <w:t>11</w:t>
            </w:r>
          </w:p>
        </w:tc>
        <w:tc>
          <w:tcPr>
            <w:tcW w:w="1270" w:type="dxa"/>
            <w:vMerge w:val="continue"/>
            <w:tcBorders>
              <w:top w:val="nil"/>
              <w:left w:val="single" w:color="auto" w:sz="4" w:space="0"/>
              <w:bottom w:val="single" w:color="000000" w:sz="4" w:space="0"/>
              <w:right w:val="single" w:color="auto" w:sz="4" w:space="0"/>
            </w:tcBorders>
            <w:vAlign w:val="center"/>
          </w:tcPr>
          <w:p w14:paraId="77850B69">
            <w:pPr>
              <w:ind w:firstLine="0" w:firstLineChars="0"/>
              <w:rPr>
                <w:sz w:val="21"/>
                <w:szCs w:val="21"/>
              </w:rPr>
            </w:pPr>
          </w:p>
        </w:tc>
        <w:tc>
          <w:tcPr>
            <w:tcW w:w="1134" w:type="dxa"/>
            <w:vMerge w:val="restart"/>
            <w:tcBorders>
              <w:top w:val="nil"/>
              <w:left w:val="single" w:color="auto" w:sz="4" w:space="0"/>
              <w:right w:val="single" w:color="auto" w:sz="4" w:space="0"/>
            </w:tcBorders>
            <w:shd w:val="clear" w:color="auto" w:fill="auto"/>
            <w:vAlign w:val="center"/>
          </w:tcPr>
          <w:p w14:paraId="44F80ED1">
            <w:pPr>
              <w:ind w:firstLine="0" w:firstLineChars="0"/>
              <w:rPr>
                <w:sz w:val="21"/>
                <w:szCs w:val="21"/>
              </w:rPr>
            </w:pPr>
            <w:r>
              <w:rPr>
                <w:rFonts w:hint="eastAsia"/>
                <w:sz w:val="21"/>
                <w:szCs w:val="21"/>
              </w:rPr>
              <w:t>数据质量检查/异常处置</w:t>
            </w:r>
          </w:p>
        </w:tc>
        <w:tc>
          <w:tcPr>
            <w:tcW w:w="2127" w:type="dxa"/>
            <w:tcBorders>
              <w:top w:val="nil"/>
              <w:left w:val="nil"/>
              <w:bottom w:val="single" w:color="auto" w:sz="4" w:space="0"/>
              <w:right w:val="single" w:color="auto" w:sz="4" w:space="0"/>
            </w:tcBorders>
            <w:shd w:val="clear" w:color="auto" w:fill="auto"/>
            <w:vAlign w:val="center"/>
          </w:tcPr>
          <w:p w14:paraId="3CFEAE25">
            <w:pPr>
              <w:ind w:firstLine="0" w:firstLineChars="0"/>
              <w:rPr>
                <w:sz w:val="21"/>
                <w:szCs w:val="21"/>
              </w:rPr>
            </w:pPr>
            <w:r>
              <w:rPr>
                <w:rFonts w:hint="eastAsia"/>
                <w:sz w:val="21"/>
                <w:szCs w:val="21"/>
              </w:rPr>
              <w:t>结构化数据（表）的归集端质量检查服务</w:t>
            </w:r>
          </w:p>
        </w:tc>
        <w:tc>
          <w:tcPr>
            <w:tcW w:w="1417" w:type="dxa"/>
            <w:tcBorders>
              <w:top w:val="nil"/>
              <w:left w:val="nil"/>
              <w:bottom w:val="single" w:color="auto" w:sz="4" w:space="0"/>
              <w:right w:val="single" w:color="auto" w:sz="4" w:space="0"/>
            </w:tcBorders>
            <w:vAlign w:val="center"/>
          </w:tcPr>
          <w:p w14:paraId="67F0A603">
            <w:pPr>
              <w:ind w:firstLine="0" w:firstLineChars="0"/>
              <w:jc w:val="center"/>
              <w:rPr>
                <w:sz w:val="21"/>
                <w:szCs w:val="21"/>
              </w:rPr>
            </w:pPr>
            <w:r>
              <w:rPr>
                <w:rFonts w:hint="eastAsia"/>
                <w:sz w:val="21"/>
                <w:szCs w:val="21"/>
              </w:rPr>
              <w:t>非主体部分</w:t>
            </w:r>
          </w:p>
        </w:tc>
        <w:tc>
          <w:tcPr>
            <w:tcW w:w="1922" w:type="dxa"/>
            <w:tcBorders>
              <w:top w:val="nil"/>
              <w:left w:val="nil"/>
              <w:bottom w:val="single" w:color="auto" w:sz="4" w:space="0"/>
              <w:right w:val="single" w:color="auto" w:sz="4" w:space="0"/>
            </w:tcBorders>
            <w:vAlign w:val="center"/>
          </w:tcPr>
          <w:p w14:paraId="3D777849">
            <w:pPr>
              <w:ind w:firstLine="0" w:firstLineChars="0"/>
              <w:jc w:val="center"/>
              <w:rPr>
                <w:sz w:val="21"/>
                <w:szCs w:val="21"/>
              </w:rPr>
            </w:pPr>
            <w:r>
              <w:rPr>
                <w:rFonts w:hint="eastAsia"/>
                <w:sz w:val="21"/>
                <w:szCs w:val="21"/>
              </w:rPr>
              <w:t>该项服务内容的最大分包比例为</w:t>
            </w:r>
            <w:r>
              <w:rPr>
                <w:sz w:val="21"/>
                <w:szCs w:val="21"/>
              </w:rPr>
              <w:t>100%，</w:t>
            </w:r>
          </w:p>
          <w:p w14:paraId="41CB3198">
            <w:pPr>
              <w:ind w:firstLine="0" w:firstLineChars="0"/>
              <w:jc w:val="center"/>
              <w:rPr>
                <w:sz w:val="21"/>
                <w:szCs w:val="21"/>
              </w:rPr>
            </w:pPr>
            <w:r>
              <w:rPr>
                <w:rFonts w:hint="eastAsia"/>
                <w:sz w:val="21"/>
                <w:szCs w:val="21"/>
              </w:rPr>
              <w:t>最小分包比例为</w:t>
            </w:r>
            <w:r>
              <w:rPr>
                <w:sz w:val="21"/>
                <w:szCs w:val="21"/>
              </w:rPr>
              <w:t>0%。</w:t>
            </w:r>
          </w:p>
        </w:tc>
      </w:tr>
      <w:tr w14:paraId="02296A94">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58516CCF">
            <w:pPr>
              <w:ind w:firstLine="0" w:firstLineChars="0"/>
              <w:rPr>
                <w:sz w:val="21"/>
                <w:szCs w:val="21"/>
              </w:rPr>
            </w:pPr>
            <w:r>
              <w:rPr>
                <w:rFonts w:hint="eastAsia"/>
                <w:sz w:val="21"/>
                <w:szCs w:val="21"/>
              </w:rPr>
              <w:t>12</w:t>
            </w:r>
          </w:p>
        </w:tc>
        <w:tc>
          <w:tcPr>
            <w:tcW w:w="1270" w:type="dxa"/>
            <w:vMerge w:val="continue"/>
            <w:tcBorders>
              <w:top w:val="nil"/>
              <w:left w:val="single" w:color="auto" w:sz="4" w:space="0"/>
              <w:bottom w:val="single" w:color="000000" w:sz="4" w:space="0"/>
              <w:right w:val="single" w:color="auto" w:sz="4" w:space="0"/>
            </w:tcBorders>
            <w:vAlign w:val="center"/>
          </w:tcPr>
          <w:p w14:paraId="54402D8D">
            <w:pPr>
              <w:ind w:firstLine="0" w:firstLineChars="0"/>
              <w:rPr>
                <w:sz w:val="21"/>
                <w:szCs w:val="21"/>
              </w:rPr>
            </w:pPr>
          </w:p>
        </w:tc>
        <w:tc>
          <w:tcPr>
            <w:tcW w:w="1134" w:type="dxa"/>
            <w:vMerge w:val="continue"/>
            <w:tcBorders>
              <w:left w:val="single" w:color="auto" w:sz="4" w:space="0"/>
              <w:right w:val="single" w:color="auto" w:sz="4" w:space="0"/>
            </w:tcBorders>
            <w:vAlign w:val="center"/>
          </w:tcPr>
          <w:p w14:paraId="65DBACF2">
            <w:pPr>
              <w:ind w:firstLine="0" w:firstLineChars="0"/>
              <w:rPr>
                <w:sz w:val="21"/>
                <w:szCs w:val="21"/>
              </w:rPr>
            </w:pPr>
          </w:p>
        </w:tc>
        <w:tc>
          <w:tcPr>
            <w:tcW w:w="2127" w:type="dxa"/>
            <w:tcBorders>
              <w:top w:val="nil"/>
              <w:left w:val="nil"/>
              <w:bottom w:val="single" w:color="auto" w:sz="4" w:space="0"/>
              <w:right w:val="single" w:color="auto" w:sz="4" w:space="0"/>
            </w:tcBorders>
            <w:shd w:val="clear" w:color="auto" w:fill="auto"/>
            <w:vAlign w:val="center"/>
          </w:tcPr>
          <w:p w14:paraId="0B736E09">
            <w:pPr>
              <w:ind w:firstLine="0" w:firstLineChars="0"/>
              <w:rPr>
                <w:sz w:val="21"/>
                <w:szCs w:val="21"/>
              </w:rPr>
            </w:pPr>
            <w:r>
              <w:rPr>
                <w:rFonts w:hint="eastAsia"/>
                <w:sz w:val="21"/>
                <w:szCs w:val="21"/>
              </w:rPr>
              <w:t>结构化数据（表）的应用端质量检查服务</w:t>
            </w:r>
          </w:p>
        </w:tc>
        <w:tc>
          <w:tcPr>
            <w:tcW w:w="1417" w:type="dxa"/>
            <w:tcBorders>
              <w:top w:val="nil"/>
              <w:left w:val="nil"/>
              <w:bottom w:val="single" w:color="auto" w:sz="4" w:space="0"/>
              <w:right w:val="single" w:color="auto" w:sz="4" w:space="0"/>
            </w:tcBorders>
            <w:vAlign w:val="center"/>
          </w:tcPr>
          <w:p w14:paraId="167FC3FA">
            <w:pPr>
              <w:ind w:firstLine="0" w:firstLineChars="0"/>
              <w:jc w:val="center"/>
              <w:rPr>
                <w:sz w:val="21"/>
                <w:szCs w:val="21"/>
              </w:rPr>
            </w:pPr>
            <w:r>
              <w:rPr>
                <w:rFonts w:hint="eastAsia"/>
                <w:sz w:val="21"/>
                <w:szCs w:val="21"/>
              </w:rPr>
              <w:t>非主体部分</w:t>
            </w:r>
          </w:p>
        </w:tc>
        <w:tc>
          <w:tcPr>
            <w:tcW w:w="1922" w:type="dxa"/>
            <w:tcBorders>
              <w:top w:val="nil"/>
              <w:left w:val="nil"/>
              <w:bottom w:val="single" w:color="auto" w:sz="4" w:space="0"/>
              <w:right w:val="single" w:color="auto" w:sz="4" w:space="0"/>
            </w:tcBorders>
            <w:vAlign w:val="center"/>
          </w:tcPr>
          <w:p w14:paraId="5AEAC9F1">
            <w:pPr>
              <w:ind w:firstLine="0" w:firstLineChars="0"/>
              <w:jc w:val="center"/>
              <w:rPr>
                <w:sz w:val="21"/>
                <w:szCs w:val="21"/>
              </w:rPr>
            </w:pPr>
            <w:r>
              <w:rPr>
                <w:rFonts w:hint="eastAsia"/>
                <w:sz w:val="21"/>
                <w:szCs w:val="21"/>
              </w:rPr>
              <w:t>该项服务内容的最大分包比例为</w:t>
            </w:r>
            <w:r>
              <w:rPr>
                <w:sz w:val="21"/>
                <w:szCs w:val="21"/>
              </w:rPr>
              <w:t>100%，</w:t>
            </w:r>
          </w:p>
          <w:p w14:paraId="3F5626F8">
            <w:pPr>
              <w:ind w:firstLine="0" w:firstLineChars="0"/>
              <w:jc w:val="center"/>
              <w:rPr>
                <w:sz w:val="21"/>
                <w:szCs w:val="21"/>
              </w:rPr>
            </w:pPr>
            <w:r>
              <w:rPr>
                <w:rFonts w:hint="eastAsia"/>
                <w:sz w:val="21"/>
                <w:szCs w:val="21"/>
              </w:rPr>
              <w:t>最小分包比例为</w:t>
            </w:r>
            <w:r>
              <w:rPr>
                <w:sz w:val="21"/>
                <w:szCs w:val="21"/>
              </w:rPr>
              <w:t>0%。</w:t>
            </w:r>
          </w:p>
        </w:tc>
      </w:tr>
      <w:tr w14:paraId="02266991">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0D24A03D">
            <w:pPr>
              <w:ind w:firstLine="0" w:firstLineChars="0"/>
              <w:rPr>
                <w:sz w:val="21"/>
                <w:szCs w:val="21"/>
              </w:rPr>
            </w:pPr>
            <w:r>
              <w:rPr>
                <w:rFonts w:hint="eastAsia"/>
                <w:sz w:val="21"/>
                <w:szCs w:val="21"/>
              </w:rPr>
              <w:t>13</w:t>
            </w:r>
          </w:p>
        </w:tc>
        <w:tc>
          <w:tcPr>
            <w:tcW w:w="1270" w:type="dxa"/>
            <w:vMerge w:val="continue"/>
            <w:tcBorders>
              <w:top w:val="nil"/>
              <w:left w:val="single" w:color="auto" w:sz="4" w:space="0"/>
              <w:bottom w:val="single" w:color="000000" w:sz="4" w:space="0"/>
              <w:right w:val="single" w:color="auto" w:sz="4" w:space="0"/>
            </w:tcBorders>
            <w:vAlign w:val="center"/>
          </w:tcPr>
          <w:p w14:paraId="5EEA4EA7">
            <w:pPr>
              <w:ind w:firstLine="0" w:firstLineChars="0"/>
              <w:rPr>
                <w:sz w:val="21"/>
                <w:szCs w:val="21"/>
              </w:rPr>
            </w:pPr>
          </w:p>
        </w:tc>
        <w:tc>
          <w:tcPr>
            <w:tcW w:w="1134" w:type="dxa"/>
            <w:vMerge w:val="continue"/>
            <w:tcBorders>
              <w:left w:val="single" w:color="auto" w:sz="4" w:space="0"/>
              <w:right w:val="single" w:color="auto" w:sz="4" w:space="0"/>
            </w:tcBorders>
            <w:vAlign w:val="center"/>
          </w:tcPr>
          <w:p w14:paraId="58F96416">
            <w:pPr>
              <w:ind w:firstLine="0" w:firstLineChars="0"/>
              <w:rPr>
                <w:sz w:val="21"/>
                <w:szCs w:val="21"/>
              </w:rPr>
            </w:pPr>
          </w:p>
        </w:tc>
        <w:tc>
          <w:tcPr>
            <w:tcW w:w="2127" w:type="dxa"/>
            <w:tcBorders>
              <w:top w:val="nil"/>
              <w:left w:val="nil"/>
              <w:bottom w:val="single" w:color="auto" w:sz="4" w:space="0"/>
              <w:right w:val="single" w:color="auto" w:sz="4" w:space="0"/>
            </w:tcBorders>
            <w:shd w:val="clear" w:color="auto" w:fill="auto"/>
            <w:vAlign w:val="center"/>
          </w:tcPr>
          <w:p w14:paraId="4B2F0B32">
            <w:pPr>
              <w:ind w:firstLine="0" w:firstLineChars="0"/>
              <w:rPr>
                <w:sz w:val="21"/>
                <w:szCs w:val="21"/>
              </w:rPr>
            </w:pPr>
            <w:r>
              <w:rPr>
                <w:rFonts w:hint="eastAsia"/>
                <w:sz w:val="21"/>
                <w:szCs w:val="21"/>
              </w:rPr>
              <w:t>非结构化文件的质量检查</w:t>
            </w:r>
          </w:p>
        </w:tc>
        <w:tc>
          <w:tcPr>
            <w:tcW w:w="1417" w:type="dxa"/>
            <w:tcBorders>
              <w:top w:val="nil"/>
              <w:left w:val="nil"/>
              <w:bottom w:val="single" w:color="auto" w:sz="4" w:space="0"/>
              <w:right w:val="single" w:color="auto" w:sz="4" w:space="0"/>
            </w:tcBorders>
            <w:vAlign w:val="center"/>
          </w:tcPr>
          <w:p w14:paraId="6EAF46BF">
            <w:pPr>
              <w:ind w:firstLine="0" w:firstLineChars="0"/>
              <w:jc w:val="center"/>
              <w:rPr>
                <w:sz w:val="21"/>
                <w:szCs w:val="21"/>
              </w:rPr>
            </w:pPr>
            <w:r>
              <w:rPr>
                <w:rFonts w:hint="eastAsia"/>
                <w:sz w:val="21"/>
                <w:szCs w:val="21"/>
              </w:rPr>
              <w:t>主体部分</w:t>
            </w:r>
          </w:p>
        </w:tc>
        <w:tc>
          <w:tcPr>
            <w:tcW w:w="1922" w:type="dxa"/>
            <w:tcBorders>
              <w:top w:val="nil"/>
              <w:left w:val="nil"/>
              <w:bottom w:val="single" w:color="auto" w:sz="4" w:space="0"/>
              <w:right w:val="single" w:color="auto" w:sz="4" w:space="0"/>
            </w:tcBorders>
            <w:vAlign w:val="center"/>
          </w:tcPr>
          <w:p w14:paraId="2692DA77">
            <w:pPr>
              <w:ind w:firstLine="0" w:firstLineChars="0"/>
              <w:jc w:val="center"/>
              <w:rPr>
                <w:sz w:val="21"/>
                <w:szCs w:val="21"/>
              </w:rPr>
            </w:pPr>
            <w:r>
              <w:rPr>
                <w:rFonts w:hint="eastAsia"/>
                <w:sz w:val="21"/>
                <w:szCs w:val="21"/>
              </w:rPr>
              <w:t>不得分包</w:t>
            </w:r>
          </w:p>
        </w:tc>
      </w:tr>
      <w:tr w14:paraId="5CC8E825">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65957986">
            <w:pPr>
              <w:ind w:firstLine="0" w:firstLineChars="0"/>
              <w:rPr>
                <w:sz w:val="21"/>
                <w:szCs w:val="21"/>
              </w:rPr>
            </w:pPr>
            <w:r>
              <w:rPr>
                <w:rFonts w:hint="eastAsia"/>
                <w:sz w:val="21"/>
                <w:szCs w:val="21"/>
              </w:rPr>
              <w:t>14</w:t>
            </w:r>
          </w:p>
        </w:tc>
        <w:tc>
          <w:tcPr>
            <w:tcW w:w="1270" w:type="dxa"/>
            <w:vMerge w:val="continue"/>
            <w:tcBorders>
              <w:top w:val="nil"/>
              <w:left w:val="single" w:color="auto" w:sz="4" w:space="0"/>
              <w:bottom w:val="single" w:color="000000" w:sz="4" w:space="0"/>
              <w:right w:val="single" w:color="auto" w:sz="4" w:space="0"/>
            </w:tcBorders>
            <w:vAlign w:val="center"/>
          </w:tcPr>
          <w:p w14:paraId="220E5CB7">
            <w:pPr>
              <w:ind w:firstLine="0" w:firstLineChars="0"/>
              <w:rPr>
                <w:sz w:val="21"/>
                <w:szCs w:val="21"/>
              </w:rPr>
            </w:pPr>
          </w:p>
        </w:tc>
        <w:tc>
          <w:tcPr>
            <w:tcW w:w="1134" w:type="dxa"/>
            <w:vMerge w:val="continue"/>
            <w:tcBorders>
              <w:left w:val="single" w:color="auto" w:sz="4" w:space="0"/>
              <w:right w:val="single" w:color="auto" w:sz="4" w:space="0"/>
            </w:tcBorders>
            <w:vAlign w:val="center"/>
          </w:tcPr>
          <w:p w14:paraId="51EDAB17">
            <w:pPr>
              <w:ind w:firstLine="0" w:firstLineChars="0"/>
              <w:rPr>
                <w:sz w:val="21"/>
                <w:szCs w:val="21"/>
              </w:rPr>
            </w:pPr>
          </w:p>
        </w:tc>
        <w:tc>
          <w:tcPr>
            <w:tcW w:w="2127" w:type="dxa"/>
            <w:tcBorders>
              <w:top w:val="nil"/>
              <w:left w:val="single" w:color="auto" w:sz="4" w:space="0"/>
              <w:bottom w:val="single" w:color="000000" w:sz="4" w:space="0"/>
              <w:right w:val="single" w:color="auto" w:sz="4" w:space="0"/>
            </w:tcBorders>
            <w:shd w:val="clear" w:color="auto" w:fill="auto"/>
            <w:vAlign w:val="center"/>
          </w:tcPr>
          <w:p w14:paraId="5DC369BF">
            <w:pPr>
              <w:ind w:firstLine="0" w:firstLineChars="0"/>
              <w:rPr>
                <w:sz w:val="21"/>
                <w:szCs w:val="21"/>
              </w:rPr>
            </w:pPr>
            <w:r>
              <w:rPr>
                <w:rFonts w:hint="eastAsia"/>
                <w:sz w:val="21"/>
                <w:szCs w:val="21"/>
              </w:rPr>
              <w:t>空间地理数据核实服务</w:t>
            </w:r>
          </w:p>
        </w:tc>
        <w:tc>
          <w:tcPr>
            <w:tcW w:w="1417" w:type="dxa"/>
            <w:tcBorders>
              <w:top w:val="nil"/>
              <w:left w:val="single" w:color="auto" w:sz="4" w:space="0"/>
              <w:bottom w:val="single" w:color="000000" w:sz="4" w:space="0"/>
              <w:right w:val="single" w:color="auto" w:sz="4" w:space="0"/>
            </w:tcBorders>
            <w:vAlign w:val="center"/>
          </w:tcPr>
          <w:p w14:paraId="3FC87A2D">
            <w:pPr>
              <w:ind w:firstLine="0" w:firstLineChars="0"/>
              <w:jc w:val="center"/>
              <w:rPr>
                <w:sz w:val="21"/>
                <w:szCs w:val="21"/>
              </w:rPr>
            </w:pPr>
            <w:r>
              <w:rPr>
                <w:rFonts w:hint="eastAsia"/>
                <w:sz w:val="21"/>
                <w:szCs w:val="21"/>
              </w:rPr>
              <w:t>非主体部分</w:t>
            </w:r>
          </w:p>
        </w:tc>
        <w:tc>
          <w:tcPr>
            <w:tcW w:w="1922" w:type="dxa"/>
            <w:tcBorders>
              <w:top w:val="nil"/>
              <w:left w:val="single" w:color="auto" w:sz="4" w:space="0"/>
              <w:bottom w:val="single" w:color="000000" w:sz="4" w:space="0"/>
              <w:right w:val="single" w:color="auto" w:sz="4" w:space="0"/>
            </w:tcBorders>
            <w:vAlign w:val="center"/>
          </w:tcPr>
          <w:p w14:paraId="6FDB40EB">
            <w:pPr>
              <w:ind w:firstLine="0" w:firstLineChars="0"/>
              <w:jc w:val="center"/>
              <w:rPr>
                <w:sz w:val="21"/>
                <w:szCs w:val="21"/>
              </w:rPr>
            </w:pPr>
            <w:r>
              <w:rPr>
                <w:rFonts w:hint="eastAsia"/>
                <w:sz w:val="21"/>
                <w:szCs w:val="21"/>
              </w:rPr>
              <w:t>该项服务内容的最大分包比例为</w:t>
            </w:r>
            <w:r>
              <w:rPr>
                <w:sz w:val="21"/>
                <w:szCs w:val="21"/>
              </w:rPr>
              <w:t>100%，</w:t>
            </w:r>
          </w:p>
          <w:p w14:paraId="5DD570F3">
            <w:pPr>
              <w:ind w:firstLine="0" w:firstLineChars="0"/>
              <w:jc w:val="center"/>
              <w:rPr>
                <w:sz w:val="21"/>
                <w:szCs w:val="21"/>
              </w:rPr>
            </w:pPr>
            <w:r>
              <w:rPr>
                <w:rFonts w:hint="eastAsia"/>
                <w:sz w:val="21"/>
                <w:szCs w:val="21"/>
              </w:rPr>
              <w:t>最小分包比例为</w:t>
            </w:r>
            <w:r>
              <w:rPr>
                <w:sz w:val="21"/>
                <w:szCs w:val="21"/>
              </w:rPr>
              <w:t>0%。</w:t>
            </w:r>
          </w:p>
        </w:tc>
      </w:tr>
      <w:tr w14:paraId="2F80CBFF">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2DECAF52">
            <w:pPr>
              <w:ind w:firstLine="0" w:firstLineChars="0"/>
              <w:rPr>
                <w:sz w:val="21"/>
                <w:szCs w:val="21"/>
              </w:rPr>
            </w:pPr>
            <w:r>
              <w:rPr>
                <w:rFonts w:hint="eastAsia"/>
                <w:sz w:val="21"/>
                <w:szCs w:val="21"/>
              </w:rPr>
              <w:t>1</w:t>
            </w:r>
            <w:r>
              <w:rPr>
                <w:sz w:val="21"/>
                <w:szCs w:val="21"/>
              </w:rPr>
              <w:t>5</w:t>
            </w:r>
          </w:p>
        </w:tc>
        <w:tc>
          <w:tcPr>
            <w:tcW w:w="1270" w:type="dxa"/>
            <w:vMerge w:val="continue"/>
            <w:tcBorders>
              <w:top w:val="nil"/>
              <w:left w:val="single" w:color="auto" w:sz="4" w:space="0"/>
              <w:bottom w:val="single" w:color="000000" w:sz="4" w:space="0"/>
              <w:right w:val="single" w:color="auto" w:sz="4" w:space="0"/>
            </w:tcBorders>
            <w:vAlign w:val="center"/>
          </w:tcPr>
          <w:p w14:paraId="1CEB7E78">
            <w:pPr>
              <w:ind w:firstLine="0" w:firstLineChars="0"/>
              <w:rPr>
                <w:sz w:val="21"/>
                <w:szCs w:val="21"/>
              </w:rPr>
            </w:pPr>
          </w:p>
        </w:tc>
        <w:tc>
          <w:tcPr>
            <w:tcW w:w="1134" w:type="dxa"/>
            <w:vMerge w:val="continue"/>
            <w:tcBorders>
              <w:left w:val="single" w:color="auto" w:sz="4" w:space="0"/>
              <w:right w:val="single" w:color="auto" w:sz="4" w:space="0"/>
            </w:tcBorders>
            <w:vAlign w:val="center"/>
          </w:tcPr>
          <w:p w14:paraId="5F10187B">
            <w:pPr>
              <w:ind w:firstLine="0" w:firstLineChars="0"/>
              <w:rPr>
                <w:sz w:val="21"/>
                <w:szCs w:val="21"/>
              </w:rPr>
            </w:pPr>
          </w:p>
        </w:tc>
        <w:tc>
          <w:tcPr>
            <w:tcW w:w="2127" w:type="dxa"/>
            <w:tcBorders>
              <w:top w:val="nil"/>
              <w:left w:val="nil"/>
              <w:bottom w:val="single" w:color="auto" w:sz="4" w:space="0"/>
              <w:right w:val="single" w:color="auto" w:sz="4" w:space="0"/>
            </w:tcBorders>
            <w:shd w:val="clear" w:color="auto" w:fill="auto"/>
            <w:vAlign w:val="center"/>
          </w:tcPr>
          <w:p w14:paraId="714E3FFE">
            <w:pPr>
              <w:ind w:firstLine="0" w:firstLineChars="0"/>
              <w:rPr>
                <w:sz w:val="21"/>
                <w:szCs w:val="21"/>
              </w:rPr>
            </w:pPr>
            <w:r>
              <w:rPr>
                <w:rFonts w:hint="eastAsia"/>
                <w:sz w:val="21"/>
                <w:szCs w:val="21"/>
              </w:rPr>
              <w:t>数据资产目录质量检查服务</w:t>
            </w:r>
          </w:p>
        </w:tc>
        <w:tc>
          <w:tcPr>
            <w:tcW w:w="1417" w:type="dxa"/>
            <w:tcBorders>
              <w:top w:val="nil"/>
              <w:left w:val="nil"/>
              <w:bottom w:val="single" w:color="auto" w:sz="4" w:space="0"/>
              <w:right w:val="single" w:color="auto" w:sz="4" w:space="0"/>
            </w:tcBorders>
            <w:vAlign w:val="center"/>
          </w:tcPr>
          <w:p w14:paraId="74B21C8D">
            <w:pPr>
              <w:ind w:firstLine="0" w:firstLineChars="0"/>
              <w:jc w:val="center"/>
              <w:rPr>
                <w:sz w:val="21"/>
                <w:szCs w:val="21"/>
              </w:rPr>
            </w:pPr>
            <w:r>
              <w:rPr>
                <w:rFonts w:hint="eastAsia"/>
                <w:sz w:val="21"/>
                <w:szCs w:val="21"/>
              </w:rPr>
              <w:t>非主体部分</w:t>
            </w:r>
          </w:p>
        </w:tc>
        <w:tc>
          <w:tcPr>
            <w:tcW w:w="1922" w:type="dxa"/>
            <w:tcBorders>
              <w:top w:val="nil"/>
              <w:left w:val="nil"/>
              <w:bottom w:val="single" w:color="auto" w:sz="4" w:space="0"/>
              <w:right w:val="single" w:color="auto" w:sz="4" w:space="0"/>
            </w:tcBorders>
            <w:vAlign w:val="center"/>
          </w:tcPr>
          <w:p w14:paraId="63784D50">
            <w:pPr>
              <w:ind w:firstLine="0" w:firstLineChars="0"/>
              <w:jc w:val="center"/>
              <w:rPr>
                <w:sz w:val="21"/>
                <w:szCs w:val="21"/>
              </w:rPr>
            </w:pPr>
            <w:r>
              <w:rPr>
                <w:rFonts w:hint="eastAsia"/>
                <w:sz w:val="21"/>
                <w:szCs w:val="21"/>
              </w:rPr>
              <w:t>该项服务内容的最大分包比例为</w:t>
            </w:r>
            <w:r>
              <w:rPr>
                <w:sz w:val="21"/>
                <w:szCs w:val="21"/>
              </w:rPr>
              <w:t>100%，</w:t>
            </w:r>
          </w:p>
          <w:p w14:paraId="03A652AF">
            <w:pPr>
              <w:ind w:firstLine="0" w:firstLineChars="0"/>
              <w:jc w:val="center"/>
              <w:rPr>
                <w:sz w:val="21"/>
                <w:szCs w:val="21"/>
              </w:rPr>
            </w:pPr>
            <w:r>
              <w:rPr>
                <w:rFonts w:hint="eastAsia"/>
                <w:sz w:val="21"/>
                <w:szCs w:val="21"/>
              </w:rPr>
              <w:t>最小分包比例为</w:t>
            </w:r>
            <w:r>
              <w:rPr>
                <w:sz w:val="21"/>
                <w:szCs w:val="21"/>
              </w:rPr>
              <w:t>0%。</w:t>
            </w:r>
          </w:p>
        </w:tc>
      </w:tr>
      <w:tr w14:paraId="5F2313FC">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3889AD26">
            <w:pPr>
              <w:ind w:firstLine="0" w:firstLineChars="0"/>
              <w:rPr>
                <w:sz w:val="21"/>
                <w:szCs w:val="21"/>
              </w:rPr>
            </w:pPr>
            <w:r>
              <w:rPr>
                <w:rFonts w:hint="eastAsia"/>
                <w:sz w:val="21"/>
                <w:szCs w:val="21"/>
              </w:rPr>
              <w:t>16</w:t>
            </w:r>
          </w:p>
        </w:tc>
        <w:tc>
          <w:tcPr>
            <w:tcW w:w="1270" w:type="dxa"/>
            <w:vMerge w:val="continue"/>
            <w:tcBorders>
              <w:top w:val="nil"/>
              <w:left w:val="single" w:color="auto" w:sz="4" w:space="0"/>
              <w:bottom w:val="single" w:color="000000" w:sz="4" w:space="0"/>
              <w:right w:val="single" w:color="auto" w:sz="4" w:space="0"/>
            </w:tcBorders>
            <w:vAlign w:val="center"/>
          </w:tcPr>
          <w:p w14:paraId="0E581334">
            <w:pPr>
              <w:ind w:firstLine="0" w:firstLineChars="0"/>
              <w:rPr>
                <w:sz w:val="21"/>
                <w:szCs w:val="21"/>
              </w:rPr>
            </w:pPr>
          </w:p>
        </w:tc>
        <w:tc>
          <w:tcPr>
            <w:tcW w:w="1134" w:type="dxa"/>
            <w:vMerge w:val="continue"/>
            <w:tcBorders>
              <w:left w:val="single" w:color="auto" w:sz="4" w:space="0"/>
              <w:bottom w:val="single" w:color="auto" w:sz="4" w:space="0"/>
              <w:right w:val="single" w:color="auto" w:sz="4" w:space="0"/>
            </w:tcBorders>
            <w:vAlign w:val="center"/>
          </w:tcPr>
          <w:p w14:paraId="0F04E2EF">
            <w:pPr>
              <w:ind w:firstLine="0" w:firstLineChars="0"/>
              <w:rPr>
                <w:sz w:val="21"/>
                <w:szCs w:val="21"/>
              </w:rPr>
            </w:pPr>
          </w:p>
        </w:tc>
        <w:tc>
          <w:tcPr>
            <w:tcW w:w="2127" w:type="dxa"/>
            <w:tcBorders>
              <w:top w:val="nil"/>
              <w:left w:val="nil"/>
              <w:bottom w:val="single" w:color="auto" w:sz="4" w:space="0"/>
              <w:right w:val="single" w:color="auto" w:sz="4" w:space="0"/>
            </w:tcBorders>
            <w:shd w:val="clear" w:color="auto" w:fill="auto"/>
            <w:vAlign w:val="center"/>
          </w:tcPr>
          <w:p w14:paraId="76A76371">
            <w:pPr>
              <w:ind w:firstLine="0" w:firstLineChars="0"/>
              <w:rPr>
                <w:sz w:val="21"/>
                <w:szCs w:val="21"/>
              </w:rPr>
            </w:pPr>
            <w:r>
              <w:rPr>
                <w:sz w:val="21"/>
                <w:szCs w:val="21"/>
              </w:rPr>
              <w:t>数据质量规则设计与修正服务</w:t>
            </w:r>
          </w:p>
        </w:tc>
        <w:tc>
          <w:tcPr>
            <w:tcW w:w="1417" w:type="dxa"/>
            <w:tcBorders>
              <w:top w:val="nil"/>
              <w:left w:val="nil"/>
              <w:bottom w:val="single" w:color="auto" w:sz="4" w:space="0"/>
              <w:right w:val="single" w:color="auto" w:sz="4" w:space="0"/>
            </w:tcBorders>
            <w:vAlign w:val="center"/>
          </w:tcPr>
          <w:p w14:paraId="1BA5CAD1">
            <w:pPr>
              <w:ind w:firstLine="0" w:firstLineChars="0"/>
              <w:jc w:val="center"/>
              <w:rPr>
                <w:sz w:val="21"/>
                <w:szCs w:val="21"/>
              </w:rPr>
            </w:pPr>
            <w:r>
              <w:rPr>
                <w:rFonts w:hint="eastAsia"/>
                <w:sz w:val="21"/>
                <w:szCs w:val="21"/>
              </w:rPr>
              <w:t>非主体部分</w:t>
            </w:r>
          </w:p>
        </w:tc>
        <w:tc>
          <w:tcPr>
            <w:tcW w:w="1922" w:type="dxa"/>
            <w:tcBorders>
              <w:top w:val="nil"/>
              <w:left w:val="nil"/>
              <w:bottom w:val="single" w:color="auto" w:sz="4" w:space="0"/>
              <w:right w:val="single" w:color="auto" w:sz="4" w:space="0"/>
            </w:tcBorders>
            <w:vAlign w:val="center"/>
          </w:tcPr>
          <w:p w14:paraId="5A606B16">
            <w:pPr>
              <w:ind w:firstLine="0" w:firstLineChars="0"/>
              <w:jc w:val="center"/>
              <w:rPr>
                <w:sz w:val="21"/>
                <w:szCs w:val="21"/>
              </w:rPr>
            </w:pPr>
            <w:r>
              <w:rPr>
                <w:rFonts w:hint="eastAsia"/>
                <w:sz w:val="21"/>
                <w:szCs w:val="21"/>
              </w:rPr>
              <w:t>该项服务内容的最大分包比例为</w:t>
            </w:r>
            <w:r>
              <w:rPr>
                <w:sz w:val="21"/>
                <w:szCs w:val="21"/>
              </w:rPr>
              <w:t>100%，</w:t>
            </w:r>
          </w:p>
          <w:p w14:paraId="32B82A6A">
            <w:pPr>
              <w:ind w:firstLine="0" w:firstLineChars="0"/>
              <w:jc w:val="center"/>
              <w:rPr>
                <w:sz w:val="21"/>
                <w:szCs w:val="21"/>
              </w:rPr>
            </w:pPr>
            <w:r>
              <w:rPr>
                <w:rFonts w:hint="eastAsia"/>
                <w:sz w:val="21"/>
                <w:szCs w:val="21"/>
              </w:rPr>
              <w:t>最小分包比例为</w:t>
            </w:r>
            <w:r>
              <w:rPr>
                <w:sz w:val="21"/>
                <w:szCs w:val="21"/>
              </w:rPr>
              <w:t>0%。</w:t>
            </w:r>
          </w:p>
        </w:tc>
      </w:tr>
      <w:tr w14:paraId="4C0965B6">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66FF5456">
            <w:pPr>
              <w:ind w:firstLine="0" w:firstLineChars="0"/>
              <w:rPr>
                <w:sz w:val="21"/>
                <w:szCs w:val="21"/>
              </w:rPr>
            </w:pPr>
            <w:r>
              <w:rPr>
                <w:rFonts w:hint="eastAsia"/>
                <w:sz w:val="21"/>
                <w:szCs w:val="21"/>
              </w:rPr>
              <w:t>17</w:t>
            </w:r>
          </w:p>
        </w:tc>
        <w:tc>
          <w:tcPr>
            <w:tcW w:w="1270" w:type="dxa"/>
            <w:vMerge w:val="continue"/>
            <w:tcBorders>
              <w:top w:val="nil"/>
              <w:left w:val="single" w:color="auto" w:sz="4" w:space="0"/>
              <w:bottom w:val="single" w:color="000000" w:sz="4" w:space="0"/>
              <w:right w:val="single" w:color="auto" w:sz="4" w:space="0"/>
            </w:tcBorders>
            <w:vAlign w:val="center"/>
          </w:tcPr>
          <w:p w14:paraId="43EA6C09">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6F94F0D9">
            <w:pPr>
              <w:ind w:firstLine="0" w:firstLineChars="0"/>
              <w:rPr>
                <w:sz w:val="21"/>
                <w:szCs w:val="21"/>
              </w:rPr>
            </w:pPr>
            <w:r>
              <w:rPr>
                <w:rFonts w:hint="eastAsia"/>
                <w:sz w:val="21"/>
                <w:szCs w:val="21"/>
              </w:rPr>
              <w:t>数据共享/开放/授权订阅服务</w:t>
            </w:r>
          </w:p>
        </w:tc>
        <w:tc>
          <w:tcPr>
            <w:tcW w:w="1417" w:type="dxa"/>
            <w:tcBorders>
              <w:top w:val="single" w:color="auto" w:sz="4" w:space="0"/>
              <w:left w:val="nil"/>
              <w:bottom w:val="single" w:color="auto" w:sz="4" w:space="0"/>
              <w:right w:val="single" w:color="000000" w:sz="4" w:space="0"/>
            </w:tcBorders>
            <w:vAlign w:val="center"/>
          </w:tcPr>
          <w:p w14:paraId="46459988">
            <w:pPr>
              <w:ind w:firstLine="0" w:firstLineChars="0"/>
              <w:jc w:val="center"/>
              <w:rPr>
                <w:sz w:val="21"/>
                <w:szCs w:val="21"/>
                <w:highlight w:val="yellow"/>
              </w:rPr>
            </w:pPr>
            <w:r>
              <w:rPr>
                <w:rFonts w:hint="eastAsia"/>
                <w:sz w:val="21"/>
                <w:szCs w:val="21"/>
              </w:rPr>
              <w:t>非主体部分</w:t>
            </w:r>
          </w:p>
        </w:tc>
        <w:tc>
          <w:tcPr>
            <w:tcW w:w="1922" w:type="dxa"/>
            <w:tcBorders>
              <w:top w:val="single" w:color="auto" w:sz="4" w:space="0"/>
              <w:left w:val="nil"/>
              <w:bottom w:val="single" w:color="auto" w:sz="4" w:space="0"/>
              <w:right w:val="single" w:color="000000" w:sz="4" w:space="0"/>
            </w:tcBorders>
            <w:vAlign w:val="center"/>
          </w:tcPr>
          <w:p w14:paraId="6A2C1674">
            <w:pPr>
              <w:ind w:firstLine="0" w:firstLineChars="0"/>
              <w:jc w:val="center"/>
              <w:rPr>
                <w:sz w:val="21"/>
                <w:szCs w:val="21"/>
              </w:rPr>
            </w:pPr>
            <w:r>
              <w:rPr>
                <w:rFonts w:hint="eastAsia"/>
                <w:sz w:val="21"/>
                <w:szCs w:val="21"/>
              </w:rPr>
              <w:t>该项服务内容的最大分包比例为</w:t>
            </w:r>
            <w:r>
              <w:rPr>
                <w:sz w:val="21"/>
                <w:szCs w:val="21"/>
              </w:rPr>
              <w:t>100%，</w:t>
            </w:r>
          </w:p>
          <w:p w14:paraId="2E1861C5">
            <w:pPr>
              <w:ind w:firstLine="0" w:firstLineChars="0"/>
              <w:jc w:val="center"/>
              <w:rPr>
                <w:sz w:val="21"/>
                <w:szCs w:val="21"/>
              </w:rPr>
            </w:pPr>
            <w:r>
              <w:rPr>
                <w:rFonts w:hint="eastAsia"/>
                <w:sz w:val="21"/>
                <w:szCs w:val="21"/>
              </w:rPr>
              <w:t>最小分包比例为</w:t>
            </w:r>
            <w:r>
              <w:rPr>
                <w:sz w:val="21"/>
                <w:szCs w:val="21"/>
              </w:rPr>
              <w:t>0%。</w:t>
            </w:r>
          </w:p>
        </w:tc>
      </w:tr>
      <w:tr w14:paraId="558BA168">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752056F9">
            <w:pPr>
              <w:ind w:firstLine="0" w:firstLineChars="0"/>
              <w:rPr>
                <w:sz w:val="21"/>
                <w:szCs w:val="21"/>
              </w:rPr>
            </w:pPr>
            <w:r>
              <w:rPr>
                <w:rFonts w:hint="eastAsia"/>
                <w:sz w:val="21"/>
                <w:szCs w:val="21"/>
              </w:rPr>
              <w:t>18</w:t>
            </w:r>
          </w:p>
        </w:tc>
        <w:tc>
          <w:tcPr>
            <w:tcW w:w="1270" w:type="dxa"/>
            <w:vMerge w:val="continue"/>
            <w:tcBorders>
              <w:top w:val="nil"/>
              <w:left w:val="single" w:color="auto" w:sz="4" w:space="0"/>
              <w:bottom w:val="single" w:color="000000" w:sz="4" w:space="0"/>
              <w:right w:val="single" w:color="auto" w:sz="4" w:space="0"/>
            </w:tcBorders>
            <w:vAlign w:val="center"/>
          </w:tcPr>
          <w:p w14:paraId="22624768">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40CCC806">
            <w:pPr>
              <w:ind w:firstLine="0" w:firstLineChars="0"/>
              <w:rPr>
                <w:sz w:val="21"/>
                <w:szCs w:val="21"/>
              </w:rPr>
            </w:pPr>
            <w:r>
              <w:rPr>
                <w:rFonts w:hint="eastAsia"/>
                <w:sz w:val="21"/>
                <w:szCs w:val="21"/>
              </w:rPr>
              <w:t>数据统计分析及报表服务</w:t>
            </w:r>
          </w:p>
        </w:tc>
        <w:tc>
          <w:tcPr>
            <w:tcW w:w="1417" w:type="dxa"/>
            <w:tcBorders>
              <w:top w:val="single" w:color="auto" w:sz="4" w:space="0"/>
              <w:left w:val="nil"/>
              <w:bottom w:val="single" w:color="auto" w:sz="4" w:space="0"/>
              <w:right w:val="single" w:color="000000" w:sz="4" w:space="0"/>
            </w:tcBorders>
            <w:vAlign w:val="center"/>
          </w:tcPr>
          <w:p w14:paraId="2B5BA32B">
            <w:pPr>
              <w:ind w:firstLine="0" w:firstLineChars="0"/>
              <w:jc w:val="center"/>
              <w:rPr>
                <w:sz w:val="21"/>
                <w:szCs w:val="21"/>
              </w:rPr>
            </w:pPr>
            <w:r>
              <w:rPr>
                <w:rFonts w:hint="eastAsia"/>
                <w:sz w:val="21"/>
                <w:szCs w:val="21"/>
              </w:rPr>
              <w:t>主体部分</w:t>
            </w:r>
          </w:p>
        </w:tc>
        <w:tc>
          <w:tcPr>
            <w:tcW w:w="1922" w:type="dxa"/>
            <w:tcBorders>
              <w:top w:val="single" w:color="auto" w:sz="4" w:space="0"/>
              <w:left w:val="nil"/>
              <w:bottom w:val="single" w:color="auto" w:sz="4" w:space="0"/>
              <w:right w:val="single" w:color="000000" w:sz="4" w:space="0"/>
            </w:tcBorders>
            <w:vAlign w:val="center"/>
          </w:tcPr>
          <w:p w14:paraId="0E90C9A4">
            <w:pPr>
              <w:ind w:firstLine="0" w:firstLineChars="0"/>
              <w:jc w:val="center"/>
              <w:rPr>
                <w:sz w:val="21"/>
                <w:szCs w:val="21"/>
              </w:rPr>
            </w:pPr>
            <w:r>
              <w:rPr>
                <w:rFonts w:hint="eastAsia"/>
                <w:sz w:val="21"/>
                <w:szCs w:val="21"/>
              </w:rPr>
              <w:t>不得分包</w:t>
            </w:r>
          </w:p>
        </w:tc>
      </w:tr>
      <w:tr w14:paraId="575CA6AD">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436DACF2">
            <w:pPr>
              <w:ind w:firstLine="0" w:firstLineChars="0"/>
              <w:rPr>
                <w:sz w:val="21"/>
                <w:szCs w:val="21"/>
              </w:rPr>
            </w:pPr>
            <w:r>
              <w:rPr>
                <w:rFonts w:hint="eastAsia"/>
                <w:sz w:val="21"/>
                <w:szCs w:val="21"/>
              </w:rPr>
              <w:t>19</w:t>
            </w:r>
          </w:p>
        </w:tc>
        <w:tc>
          <w:tcPr>
            <w:tcW w:w="1270" w:type="dxa"/>
            <w:vMerge w:val="continue"/>
            <w:tcBorders>
              <w:top w:val="nil"/>
              <w:left w:val="single" w:color="auto" w:sz="4" w:space="0"/>
              <w:bottom w:val="single" w:color="000000" w:sz="4" w:space="0"/>
              <w:right w:val="single" w:color="auto" w:sz="4" w:space="0"/>
            </w:tcBorders>
            <w:vAlign w:val="center"/>
          </w:tcPr>
          <w:p w14:paraId="5D6687E6">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347A1FC8">
            <w:pPr>
              <w:ind w:firstLine="0" w:firstLineChars="0"/>
              <w:rPr>
                <w:sz w:val="21"/>
                <w:szCs w:val="21"/>
              </w:rPr>
            </w:pPr>
            <w:r>
              <w:rPr>
                <w:rFonts w:hint="eastAsia"/>
                <w:sz w:val="21"/>
                <w:szCs w:val="21"/>
              </w:rPr>
              <w:t>数据挖掘建模服务</w:t>
            </w:r>
          </w:p>
        </w:tc>
        <w:tc>
          <w:tcPr>
            <w:tcW w:w="1417" w:type="dxa"/>
            <w:tcBorders>
              <w:top w:val="single" w:color="auto" w:sz="4" w:space="0"/>
              <w:left w:val="nil"/>
              <w:bottom w:val="single" w:color="auto" w:sz="4" w:space="0"/>
              <w:right w:val="single" w:color="000000" w:sz="4" w:space="0"/>
            </w:tcBorders>
            <w:vAlign w:val="center"/>
          </w:tcPr>
          <w:p w14:paraId="6B247F49">
            <w:pPr>
              <w:ind w:firstLine="0" w:firstLineChars="0"/>
              <w:jc w:val="center"/>
              <w:rPr>
                <w:sz w:val="21"/>
                <w:szCs w:val="21"/>
                <w:highlight w:val="yellow"/>
              </w:rPr>
            </w:pPr>
            <w:r>
              <w:rPr>
                <w:rFonts w:hint="eastAsia"/>
                <w:sz w:val="21"/>
                <w:szCs w:val="21"/>
              </w:rPr>
              <w:t>非主体部分</w:t>
            </w:r>
          </w:p>
        </w:tc>
        <w:tc>
          <w:tcPr>
            <w:tcW w:w="1922" w:type="dxa"/>
            <w:tcBorders>
              <w:top w:val="single" w:color="auto" w:sz="4" w:space="0"/>
              <w:left w:val="nil"/>
              <w:bottom w:val="single" w:color="auto" w:sz="4" w:space="0"/>
              <w:right w:val="single" w:color="000000" w:sz="4" w:space="0"/>
            </w:tcBorders>
            <w:vAlign w:val="center"/>
          </w:tcPr>
          <w:p w14:paraId="2AF78D7B">
            <w:pPr>
              <w:ind w:firstLine="0" w:firstLineChars="0"/>
              <w:jc w:val="center"/>
              <w:rPr>
                <w:sz w:val="21"/>
                <w:szCs w:val="21"/>
              </w:rPr>
            </w:pPr>
            <w:r>
              <w:rPr>
                <w:rFonts w:hint="eastAsia"/>
                <w:sz w:val="21"/>
                <w:szCs w:val="21"/>
              </w:rPr>
              <w:t>该项服务内容的最大分包比例为</w:t>
            </w:r>
            <w:r>
              <w:rPr>
                <w:sz w:val="21"/>
                <w:szCs w:val="21"/>
              </w:rPr>
              <w:t>100%，</w:t>
            </w:r>
          </w:p>
          <w:p w14:paraId="367DD25A">
            <w:pPr>
              <w:ind w:firstLine="0" w:firstLineChars="0"/>
              <w:jc w:val="center"/>
              <w:rPr>
                <w:sz w:val="21"/>
                <w:szCs w:val="21"/>
              </w:rPr>
            </w:pPr>
            <w:r>
              <w:rPr>
                <w:rFonts w:hint="eastAsia"/>
                <w:sz w:val="21"/>
                <w:szCs w:val="21"/>
              </w:rPr>
              <w:t>最小分包比例为</w:t>
            </w:r>
            <w:r>
              <w:rPr>
                <w:sz w:val="21"/>
                <w:szCs w:val="21"/>
              </w:rPr>
              <w:t>0%。</w:t>
            </w:r>
          </w:p>
        </w:tc>
      </w:tr>
      <w:tr w14:paraId="65A2C67A">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6D6E89F4">
            <w:pPr>
              <w:ind w:firstLine="0" w:firstLineChars="0"/>
              <w:rPr>
                <w:sz w:val="21"/>
                <w:szCs w:val="21"/>
              </w:rPr>
            </w:pPr>
            <w:r>
              <w:rPr>
                <w:rFonts w:hint="eastAsia"/>
                <w:sz w:val="21"/>
                <w:szCs w:val="21"/>
              </w:rPr>
              <w:t>20</w:t>
            </w:r>
          </w:p>
        </w:tc>
        <w:tc>
          <w:tcPr>
            <w:tcW w:w="1270" w:type="dxa"/>
            <w:vMerge w:val="continue"/>
            <w:tcBorders>
              <w:top w:val="nil"/>
              <w:left w:val="single" w:color="auto" w:sz="4" w:space="0"/>
              <w:bottom w:val="single" w:color="000000" w:sz="4" w:space="0"/>
              <w:right w:val="single" w:color="auto" w:sz="4" w:space="0"/>
            </w:tcBorders>
            <w:vAlign w:val="center"/>
          </w:tcPr>
          <w:p w14:paraId="37A17B91">
            <w:pPr>
              <w:ind w:firstLine="0" w:firstLineChars="0"/>
              <w:rPr>
                <w:sz w:val="21"/>
                <w:szCs w:val="21"/>
              </w:rPr>
            </w:pPr>
          </w:p>
        </w:tc>
        <w:tc>
          <w:tcPr>
            <w:tcW w:w="3261" w:type="dxa"/>
            <w:gridSpan w:val="2"/>
            <w:tcBorders>
              <w:top w:val="single" w:color="auto" w:sz="4" w:space="0"/>
              <w:left w:val="nil"/>
              <w:bottom w:val="single" w:color="auto" w:sz="4" w:space="0"/>
              <w:right w:val="single" w:color="auto" w:sz="4" w:space="0"/>
            </w:tcBorders>
            <w:shd w:val="clear" w:color="auto" w:fill="auto"/>
            <w:vAlign w:val="center"/>
          </w:tcPr>
          <w:p w14:paraId="7C61F265">
            <w:pPr>
              <w:ind w:firstLine="0" w:firstLineChars="0"/>
              <w:rPr>
                <w:sz w:val="21"/>
                <w:szCs w:val="21"/>
              </w:rPr>
            </w:pPr>
            <w:r>
              <w:rPr>
                <w:rFonts w:hint="eastAsia"/>
                <w:sz w:val="21"/>
                <w:szCs w:val="21"/>
              </w:rPr>
              <w:t>数据分类分级检查</w:t>
            </w:r>
          </w:p>
        </w:tc>
        <w:tc>
          <w:tcPr>
            <w:tcW w:w="1417" w:type="dxa"/>
            <w:tcBorders>
              <w:top w:val="single" w:color="auto" w:sz="4" w:space="0"/>
              <w:left w:val="nil"/>
              <w:bottom w:val="single" w:color="auto" w:sz="4" w:space="0"/>
              <w:right w:val="single" w:color="auto" w:sz="4" w:space="0"/>
            </w:tcBorders>
            <w:vAlign w:val="center"/>
          </w:tcPr>
          <w:p w14:paraId="44A52842">
            <w:pPr>
              <w:ind w:firstLine="0" w:firstLineChars="0"/>
              <w:jc w:val="center"/>
              <w:rPr>
                <w:sz w:val="21"/>
                <w:szCs w:val="21"/>
              </w:rPr>
            </w:pPr>
            <w:r>
              <w:rPr>
                <w:rFonts w:hint="eastAsia"/>
                <w:sz w:val="21"/>
                <w:szCs w:val="21"/>
              </w:rPr>
              <w:t>非主体部分</w:t>
            </w:r>
          </w:p>
        </w:tc>
        <w:tc>
          <w:tcPr>
            <w:tcW w:w="1922" w:type="dxa"/>
            <w:tcBorders>
              <w:top w:val="single" w:color="auto" w:sz="4" w:space="0"/>
              <w:left w:val="nil"/>
              <w:bottom w:val="single" w:color="auto" w:sz="4" w:space="0"/>
              <w:right w:val="single" w:color="auto" w:sz="4" w:space="0"/>
            </w:tcBorders>
            <w:vAlign w:val="center"/>
          </w:tcPr>
          <w:p w14:paraId="4C323A01">
            <w:pPr>
              <w:ind w:firstLine="0" w:firstLineChars="0"/>
              <w:jc w:val="center"/>
              <w:rPr>
                <w:sz w:val="21"/>
                <w:szCs w:val="21"/>
              </w:rPr>
            </w:pPr>
            <w:r>
              <w:rPr>
                <w:rFonts w:hint="eastAsia"/>
                <w:sz w:val="21"/>
                <w:szCs w:val="21"/>
              </w:rPr>
              <w:t>该项服务内容的最大分包比例为</w:t>
            </w:r>
            <w:r>
              <w:rPr>
                <w:sz w:val="21"/>
                <w:szCs w:val="21"/>
              </w:rPr>
              <w:t>100%，</w:t>
            </w:r>
          </w:p>
          <w:p w14:paraId="55E07378">
            <w:pPr>
              <w:ind w:firstLine="0" w:firstLineChars="0"/>
              <w:jc w:val="center"/>
              <w:rPr>
                <w:sz w:val="21"/>
                <w:szCs w:val="21"/>
              </w:rPr>
            </w:pPr>
            <w:r>
              <w:rPr>
                <w:rFonts w:hint="eastAsia"/>
                <w:sz w:val="21"/>
                <w:szCs w:val="21"/>
              </w:rPr>
              <w:t>最小分包比例为</w:t>
            </w:r>
            <w:r>
              <w:rPr>
                <w:sz w:val="21"/>
                <w:szCs w:val="21"/>
              </w:rPr>
              <w:t>0%。</w:t>
            </w:r>
          </w:p>
        </w:tc>
      </w:tr>
      <w:tr w14:paraId="6688B7C5">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788C28BE">
            <w:pPr>
              <w:ind w:firstLine="0" w:firstLineChars="0"/>
              <w:rPr>
                <w:sz w:val="21"/>
                <w:szCs w:val="21"/>
              </w:rPr>
            </w:pPr>
            <w:r>
              <w:rPr>
                <w:rFonts w:hint="eastAsia"/>
                <w:sz w:val="21"/>
                <w:szCs w:val="21"/>
              </w:rPr>
              <w:t>21</w:t>
            </w:r>
          </w:p>
        </w:tc>
        <w:tc>
          <w:tcPr>
            <w:tcW w:w="1270" w:type="dxa"/>
            <w:vMerge w:val="continue"/>
            <w:tcBorders>
              <w:top w:val="nil"/>
              <w:left w:val="single" w:color="auto" w:sz="4" w:space="0"/>
              <w:bottom w:val="single" w:color="000000" w:sz="4" w:space="0"/>
              <w:right w:val="single" w:color="auto" w:sz="4" w:space="0"/>
            </w:tcBorders>
            <w:vAlign w:val="center"/>
          </w:tcPr>
          <w:p w14:paraId="0FA1A428">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02F058D8">
            <w:pPr>
              <w:ind w:firstLine="0" w:firstLineChars="0"/>
              <w:rPr>
                <w:sz w:val="21"/>
                <w:szCs w:val="21"/>
              </w:rPr>
            </w:pPr>
            <w:r>
              <w:rPr>
                <w:rFonts w:hint="eastAsia"/>
                <w:sz w:val="21"/>
                <w:szCs w:val="21"/>
              </w:rPr>
              <w:t>数据加密、脱敏等控制</w:t>
            </w:r>
          </w:p>
        </w:tc>
        <w:tc>
          <w:tcPr>
            <w:tcW w:w="1417" w:type="dxa"/>
            <w:tcBorders>
              <w:top w:val="single" w:color="auto" w:sz="4" w:space="0"/>
              <w:left w:val="nil"/>
              <w:bottom w:val="single" w:color="auto" w:sz="4" w:space="0"/>
              <w:right w:val="single" w:color="000000" w:sz="4" w:space="0"/>
            </w:tcBorders>
            <w:vAlign w:val="center"/>
          </w:tcPr>
          <w:p w14:paraId="2D5CD3D9">
            <w:pPr>
              <w:ind w:firstLine="0" w:firstLineChars="0"/>
              <w:jc w:val="center"/>
              <w:rPr>
                <w:sz w:val="21"/>
                <w:szCs w:val="21"/>
              </w:rPr>
            </w:pPr>
            <w:r>
              <w:rPr>
                <w:rFonts w:hint="eastAsia"/>
                <w:sz w:val="21"/>
                <w:szCs w:val="21"/>
              </w:rPr>
              <w:t>非主体部分</w:t>
            </w:r>
          </w:p>
        </w:tc>
        <w:tc>
          <w:tcPr>
            <w:tcW w:w="1922" w:type="dxa"/>
            <w:tcBorders>
              <w:top w:val="single" w:color="auto" w:sz="4" w:space="0"/>
              <w:left w:val="nil"/>
              <w:bottom w:val="single" w:color="auto" w:sz="4" w:space="0"/>
              <w:right w:val="single" w:color="000000" w:sz="4" w:space="0"/>
            </w:tcBorders>
            <w:vAlign w:val="center"/>
          </w:tcPr>
          <w:p w14:paraId="78E9A430">
            <w:pPr>
              <w:ind w:firstLine="0" w:firstLineChars="0"/>
              <w:jc w:val="center"/>
              <w:rPr>
                <w:sz w:val="21"/>
                <w:szCs w:val="21"/>
              </w:rPr>
            </w:pPr>
            <w:r>
              <w:rPr>
                <w:rFonts w:hint="eastAsia"/>
                <w:sz w:val="21"/>
                <w:szCs w:val="21"/>
              </w:rPr>
              <w:t>该项服务内容的最大分包比例为</w:t>
            </w:r>
            <w:r>
              <w:rPr>
                <w:sz w:val="21"/>
                <w:szCs w:val="21"/>
              </w:rPr>
              <w:t>100%，</w:t>
            </w:r>
          </w:p>
          <w:p w14:paraId="48450984">
            <w:pPr>
              <w:ind w:firstLine="0" w:firstLineChars="0"/>
              <w:jc w:val="center"/>
              <w:rPr>
                <w:sz w:val="21"/>
                <w:szCs w:val="21"/>
              </w:rPr>
            </w:pPr>
            <w:r>
              <w:rPr>
                <w:rFonts w:hint="eastAsia"/>
                <w:sz w:val="21"/>
                <w:szCs w:val="21"/>
              </w:rPr>
              <w:t>最小分包比例为</w:t>
            </w:r>
            <w:r>
              <w:rPr>
                <w:sz w:val="21"/>
                <w:szCs w:val="21"/>
              </w:rPr>
              <w:t>0%。</w:t>
            </w:r>
          </w:p>
        </w:tc>
      </w:tr>
      <w:tr w14:paraId="4B75A065">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697E09B3">
            <w:pPr>
              <w:ind w:firstLine="0" w:firstLineChars="0"/>
              <w:rPr>
                <w:sz w:val="21"/>
                <w:szCs w:val="21"/>
              </w:rPr>
            </w:pPr>
            <w:r>
              <w:rPr>
                <w:rFonts w:hint="eastAsia"/>
                <w:sz w:val="21"/>
                <w:szCs w:val="21"/>
              </w:rPr>
              <w:t>22</w:t>
            </w:r>
          </w:p>
        </w:tc>
        <w:tc>
          <w:tcPr>
            <w:tcW w:w="1270" w:type="dxa"/>
            <w:vMerge w:val="continue"/>
            <w:tcBorders>
              <w:top w:val="nil"/>
              <w:left w:val="single" w:color="auto" w:sz="4" w:space="0"/>
              <w:bottom w:val="single" w:color="000000" w:sz="4" w:space="0"/>
              <w:right w:val="single" w:color="auto" w:sz="4" w:space="0"/>
            </w:tcBorders>
            <w:vAlign w:val="center"/>
          </w:tcPr>
          <w:p w14:paraId="4AFDE7E4">
            <w:pPr>
              <w:ind w:firstLine="0" w:firstLineChars="0"/>
              <w:rPr>
                <w:sz w:val="21"/>
                <w:szCs w:val="21"/>
              </w:rPr>
            </w:pPr>
          </w:p>
        </w:tc>
        <w:tc>
          <w:tcPr>
            <w:tcW w:w="3261" w:type="dxa"/>
            <w:gridSpan w:val="2"/>
            <w:tcBorders>
              <w:top w:val="single" w:color="auto" w:sz="4" w:space="0"/>
              <w:left w:val="nil"/>
              <w:bottom w:val="single" w:color="auto" w:sz="4" w:space="0"/>
              <w:right w:val="single" w:color="auto" w:sz="4" w:space="0"/>
            </w:tcBorders>
            <w:shd w:val="clear" w:color="auto" w:fill="auto"/>
            <w:vAlign w:val="center"/>
          </w:tcPr>
          <w:p w14:paraId="06939BF0">
            <w:pPr>
              <w:ind w:firstLine="0" w:firstLineChars="0"/>
              <w:rPr>
                <w:sz w:val="21"/>
                <w:szCs w:val="21"/>
              </w:rPr>
            </w:pPr>
            <w:r>
              <w:rPr>
                <w:rFonts w:hint="eastAsia"/>
                <w:sz w:val="21"/>
                <w:szCs w:val="21"/>
              </w:rPr>
              <w:t>作业调度</w:t>
            </w:r>
          </w:p>
        </w:tc>
        <w:tc>
          <w:tcPr>
            <w:tcW w:w="1417" w:type="dxa"/>
            <w:tcBorders>
              <w:top w:val="single" w:color="auto" w:sz="4" w:space="0"/>
              <w:left w:val="nil"/>
              <w:bottom w:val="single" w:color="auto" w:sz="4" w:space="0"/>
              <w:right w:val="single" w:color="auto" w:sz="4" w:space="0"/>
            </w:tcBorders>
            <w:vAlign w:val="center"/>
          </w:tcPr>
          <w:p w14:paraId="0413F5A9">
            <w:pPr>
              <w:ind w:firstLine="0" w:firstLineChars="0"/>
              <w:jc w:val="center"/>
              <w:rPr>
                <w:sz w:val="21"/>
                <w:szCs w:val="21"/>
              </w:rPr>
            </w:pPr>
            <w:r>
              <w:rPr>
                <w:rFonts w:hint="eastAsia"/>
                <w:sz w:val="21"/>
                <w:szCs w:val="21"/>
              </w:rPr>
              <w:t>主体部分</w:t>
            </w:r>
          </w:p>
        </w:tc>
        <w:tc>
          <w:tcPr>
            <w:tcW w:w="1922" w:type="dxa"/>
            <w:tcBorders>
              <w:top w:val="single" w:color="auto" w:sz="4" w:space="0"/>
              <w:left w:val="nil"/>
              <w:bottom w:val="single" w:color="auto" w:sz="4" w:space="0"/>
              <w:right w:val="single" w:color="auto" w:sz="4" w:space="0"/>
            </w:tcBorders>
            <w:vAlign w:val="center"/>
          </w:tcPr>
          <w:p w14:paraId="65D6D59A">
            <w:pPr>
              <w:ind w:firstLine="0" w:firstLineChars="0"/>
              <w:jc w:val="center"/>
              <w:rPr>
                <w:sz w:val="21"/>
                <w:szCs w:val="21"/>
              </w:rPr>
            </w:pPr>
            <w:r>
              <w:rPr>
                <w:rFonts w:hint="eastAsia"/>
                <w:sz w:val="21"/>
                <w:szCs w:val="21"/>
              </w:rPr>
              <w:t>不得分包</w:t>
            </w:r>
          </w:p>
        </w:tc>
      </w:tr>
      <w:tr w14:paraId="545AD431">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5C0F26CF">
            <w:pPr>
              <w:ind w:firstLine="0" w:firstLineChars="0"/>
              <w:rPr>
                <w:sz w:val="21"/>
                <w:szCs w:val="21"/>
              </w:rPr>
            </w:pPr>
            <w:r>
              <w:rPr>
                <w:rFonts w:hint="eastAsia"/>
                <w:sz w:val="21"/>
                <w:szCs w:val="21"/>
              </w:rPr>
              <w:t>23</w:t>
            </w:r>
          </w:p>
        </w:tc>
        <w:tc>
          <w:tcPr>
            <w:tcW w:w="1270" w:type="dxa"/>
            <w:vMerge w:val="restart"/>
            <w:tcBorders>
              <w:top w:val="nil"/>
              <w:left w:val="single" w:color="auto" w:sz="4" w:space="0"/>
              <w:bottom w:val="nil"/>
              <w:right w:val="single" w:color="auto" w:sz="4" w:space="0"/>
            </w:tcBorders>
            <w:shd w:val="clear" w:color="auto" w:fill="auto"/>
            <w:vAlign w:val="center"/>
          </w:tcPr>
          <w:p w14:paraId="3D0C4F6E">
            <w:pPr>
              <w:ind w:firstLine="0" w:firstLineChars="0"/>
              <w:rPr>
                <w:sz w:val="21"/>
                <w:szCs w:val="21"/>
              </w:rPr>
            </w:pPr>
            <w:r>
              <w:rPr>
                <w:rFonts w:hint="eastAsia"/>
                <w:sz w:val="21"/>
                <w:szCs w:val="21"/>
              </w:rPr>
              <w:t>应用服务类</w:t>
            </w: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4806D9A3">
            <w:pPr>
              <w:ind w:firstLine="0" w:firstLineChars="0"/>
              <w:rPr>
                <w:sz w:val="21"/>
                <w:szCs w:val="21"/>
              </w:rPr>
            </w:pPr>
            <w:r>
              <w:rPr>
                <w:rFonts w:hint="eastAsia"/>
                <w:sz w:val="21"/>
                <w:szCs w:val="21"/>
              </w:rPr>
              <w:t>数据共享/开放运营接入服务</w:t>
            </w:r>
          </w:p>
        </w:tc>
        <w:tc>
          <w:tcPr>
            <w:tcW w:w="1417" w:type="dxa"/>
            <w:tcBorders>
              <w:top w:val="single" w:color="auto" w:sz="4" w:space="0"/>
              <w:left w:val="nil"/>
              <w:bottom w:val="single" w:color="auto" w:sz="4" w:space="0"/>
              <w:right w:val="single" w:color="000000" w:sz="4" w:space="0"/>
            </w:tcBorders>
            <w:vAlign w:val="center"/>
          </w:tcPr>
          <w:p w14:paraId="3114531D">
            <w:pPr>
              <w:ind w:firstLine="0" w:firstLineChars="0"/>
              <w:jc w:val="center"/>
              <w:rPr>
                <w:sz w:val="21"/>
                <w:szCs w:val="21"/>
              </w:rPr>
            </w:pPr>
            <w:r>
              <w:rPr>
                <w:rFonts w:hint="eastAsia"/>
                <w:sz w:val="21"/>
                <w:szCs w:val="21"/>
              </w:rPr>
              <w:t>主体部分</w:t>
            </w:r>
          </w:p>
        </w:tc>
        <w:tc>
          <w:tcPr>
            <w:tcW w:w="1922" w:type="dxa"/>
            <w:tcBorders>
              <w:top w:val="single" w:color="auto" w:sz="4" w:space="0"/>
              <w:left w:val="nil"/>
              <w:bottom w:val="single" w:color="auto" w:sz="4" w:space="0"/>
              <w:right w:val="single" w:color="000000" w:sz="4" w:space="0"/>
            </w:tcBorders>
            <w:vAlign w:val="center"/>
          </w:tcPr>
          <w:p w14:paraId="275CD65D">
            <w:pPr>
              <w:ind w:firstLine="0" w:firstLineChars="0"/>
              <w:jc w:val="center"/>
              <w:rPr>
                <w:sz w:val="21"/>
                <w:szCs w:val="21"/>
              </w:rPr>
            </w:pPr>
            <w:r>
              <w:rPr>
                <w:rFonts w:hint="eastAsia"/>
                <w:sz w:val="21"/>
                <w:szCs w:val="21"/>
              </w:rPr>
              <w:t>不得分包</w:t>
            </w:r>
          </w:p>
        </w:tc>
      </w:tr>
      <w:tr w14:paraId="21F8984F">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65A2D415">
            <w:pPr>
              <w:ind w:firstLine="0" w:firstLineChars="0"/>
              <w:rPr>
                <w:sz w:val="21"/>
                <w:szCs w:val="21"/>
              </w:rPr>
            </w:pPr>
            <w:r>
              <w:rPr>
                <w:rFonts w:hint="eastAsia"/>
                <w:sz w:val="21"/>
                <w:szCs w:val="21"/>
              </w:rPr>
              <w:t>24</w:t>
            </w:r>
          </w:p>
        </w:tc>
        <w:tc>
          <w:tcPr>
            <w:tcW w:w="1270" w:type="dxa"/>
            <w:vMerge w:val="continue"/>
            <w:tcBorders>
              <w:top w:val="nil"/>
              <w:left w:val="single" w:color="auto" w:sz="4" w:space="0"/>
              <w:bottom w:val="nil"/>
              <w:right w:val="single" w:color="auto" w:sz="4" w:space="0"/>
            </w:tcBorders>
            <w:vAlign w:val="center"/>
          </w:tcPr>
          <w:p w14:paraId="1DF51613">
            <w:pPr>
              <w:ind w:firstLine="0" w:firstLineChars="0"/>
              <w:rPr>
                <w:sz w:val="21"/>
                <w:szCs w:val="21"/>
              </w:rPr>
            </w:pPr>
          </w:p>
        </w:tc>
        <w:tc>
          <w:tcPr>
            <w:tcW w:w="3261" w:type="dxa"/>
            <w:gridSpan w:val="2"/>
            <w:tcBorders>
              <w:top w:val="single" w:color="auto" w:sz="4" w:space="0"/>
              <w:left w:val="nil"/>
              <w:bottom w:val="single" w:color="auto" w:sz="4" w:space="0"/>
              <w:right w:val="single" w:color="auto" w:sz="4" w:space="0"/>
            </w:tcBorders>
            <w:shd w:val="clear" w:color="auto" w:fill="auto"/>
            <w:vAlign w:val="center"/>
          </w:tcPr>
          <w:p w14:paraId="5C612EE0">
            <w:pPr>
              <w:ind w:firstLine="0" w:firstLineChars="0"/>
              <w:rPr>
                <w:sz w:val="21"/>
                <w:szCs w:val="21"/>
              </w:rPr>
            </w:pPr>
            <w:r>
              <w:rPr>
                <w:rFonts w:hint="eastAsia"/>
                <w:sz w:val="21"/>
                <w:szCs w:val="21"/>
              </w:rPr>
              <w:t>公共数据上链服务</w:t>
            </w:r>
          </w:p>
        </w:tc>
        <w:tc>
          <w:tcPr>
            <w:tcW w:w="1417" w:type="dxa"/>
            <w:tcBorders>
              <w:top w:val="single" w:color="auto" w:sz="4" w:space="0"/>
              <w:left w:val="nil"/>
              <w:bottom w:val="single" w:color="auto" w:sz="4" w:space="0"/>
              <w:right w:val="single" w:color="auto" w:sz="4" w:space="0"/>
            </w:tcBorders>
            <w:vAlign w:val="center"/>
          </w:tcPr>
          <w:p w14:paraId="06BE80FB">
            <w:pPr>
              <w:ind w:firstLine="0" w:firstLineChars="0"/>
              <w:jc w:val="center"/>
              <w:rPr>
                <w:sz w:val="21"/>
                <w:szCs w:val="21"/>
              </w:rPr>
            </w:pPr>
            <w:r>
              <w:rPr>
                <w:rFonts w:hint="eastAsia"/>
                <w:sz w:val="21"/>
                <w:szCs w:val="21"/>
              </w:rPr>
              <w:t>主体部分</w:t>
            </w:r>
          </w:p>
        </w:tc>
        <w:tc>
          <w:tcPr>
            <w:tcW w:w="1922" w:type="dxa"/>
            <w:tcBorders>
              <w:top w:val="single" w:color="auto" w:sz="4" w:space="0"/>
              <w:left w:val="nil"/>
              <w:bottom w:val="single" w:color="auto" w:sz="4" w:space="0"/>
              <w:right w:val="single" w:color="auto" w:sz="4" w:space="0"/>
            </w:tcBorders>
            <w:vAlign w:val="center"/>
          </w:tcPr>
          <w:p w14:paraId="3C1629C4">
            <w:pPr>
              <w:ind w:firstLine="0" w:firstLineChars="0"/>
              <w:jc w:val="center"/>
              <w:rPr>
                <w:sz w:val="21"/>
                <w:szCs w:val="21"/>
              </w:rPr>
            </w:pPr>
            <w:r>
              <w:rPr>
                <w:rFonts w:hint="eastAsia"/>
                <w:sz w:val="21"/>
                <w:szCs w:val="21"/>
              </w:rPr>
              <w:t>不得分包</w:t>
            </w:r>
          </w:p>
        </w:tc>
      </w:tr>
      <w:tr w14:paraId="1A9560C9">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54BD5900">
            <w:pPr>
              <w:ind w:firstLine="0" w:firstLineChars="0"/>
              <w:rPr>
                <w:sz w:val="21"/>
                <w:szCs w:val="21"/>
              </w:rPr>
            </w:pPr>
            <w:r>
              <w:rPr>
                <w:rFonts w:hint="eastAsia"/>
                <w:sz w:val="21"/>
                <w:szCs w:val="21"/>
              </w:rPr>
              <w:t>25</w:t>
            </w:r>
          </w:p>
        </w:tc>
        <w:tc>
          <w:tcPr>
            <w:tcW w:w="1270" w:type="dxa"/>
            <w:vMerge w:val="continue"/>
            <w:tcBorders>
              <w:top w:val="nil"/>
              <w:left w:val="single" w:color="auto" w:sz="4" w:space="0"/>
              <w:bottom w:val="nil"/>
              <w:right w:val="single" w:color="auto" w:sz="4" w:space="0"/>
            </w:tcBorders>
            <w:vAlign w:val="center"/>
          </w:tcPr>
          <w:p w14:paraId="7C1B54CF">
            <w:pPr>
              <w:ind w:firstLine="0" w:firstLineChars="0"/>
              <w:rPr>
                <w:sz w:val="21"/>
                <w:szCs w:val="21"/>
              </w:rPr>
            </w:pPr>
          </w:p>
        </w:tc>
        <w:tc>
          <w:tcPr>
            <w:tcW w:w="3261" w:type="dxa"/>
            <w:gridSpan w:val="2"/>
            <w:tcBorders>
              <w:top w:val="single" w:color="auto" w:sz="4" w:space="0"/>
              <w:left w:val="nil"/>
              <w:bottom w:val="single" w:color="auto" w:sz="4" w:space="0"/>
              <w:right w:val="single" w:color="auto" w:sz="4" w:space="0"/>
            </w:tcBorders>
            <w:shd w:val="clear" w:color="auto" w:fill="auto"/>
            <w:vAlign w:val="center"/>
          </w:tcPr>
          <w:p w14:paraId="2056A739">
            <w:pPr>
              <w:ind w:firstLine="0" w:firstLineChars="0"/>
              <w:rPr>
                <w:sz w:val="21"/>
                <w:szCs w:val="21"/>
              </w:rPr>
            </w:pPr>
            <w:r>
              <w:rPr>
                <w:rFonts w:hint="eastAsia"/>
                <w:sz w:val="21"/>
                <w:szCs w:val="21"/>
              </w:rPr>
              <w:t>主（专）题数据库建设服务</w:t>
            </w:r>
          </w:p>
        </w:tc>
        <w:tc>
          <w:tcPr>
            <w:tcW w:w="1417" w:type="dxa"/>
            <w:tcBorders>
              <w:top w:val="single" w:color="auto" w:sz="4" w:space="0"/>
              <w:left w:val="nil"/>
              <w:bottom w:val="single" w:color="auto" w:sz="4" w:space="0"/>
              <w:right w:val="single" w:color="auto" w:sz="4" w:space="0"/>
            </w:tcBorders>
            <w:vAlign w:val="center"/>
          </w:tcPr>
          <w:p w14:paraId="7F6EAF64">
            <w:pPr>
              <w:ind w:firstLine="0" w:firstLineChars="0"/>
              <w:jc w:val="center"/>
              <w:rPr>
                <w:sz w:val="21"/>
                <w:szCs w:val="21"/>
                <w:highlight w:val="cyan"/>
              </w:rPr>
            </w:pPr>
            <w:r>
              <w:rPr>
                <w:rFonts w:hint="eastAsia"/>
                <w:sz w:val="21"/>
                <w:szCs w:val="21"/>
              </w:rPr>
              <w:t>非主体部分</w:t>
            </w:r>
          </w:p>
        </w:tc>
        <w:tc>
          <w:tcPr>
            <w:tcW w:w="1922" w:type="dxa"/>
            <w:tcBorders>
              <w:top w:val="single" w:color="auto" w:sz="4" w:space="0"/>
              <w:left w:val="nil"/>
              <w:bottom w:val="single" w:color="auto" w:sz="4" w:space="0"/>
              <w:right w:val="single" w:color="auto" w:sz="4" w:space="0"/>
            </w:tcBorders>
            <w:vAlign w:val="center"/>
          </w:tcPr>
          <w:p w14:paraId="1EF65113">
            <w:pPr>
              <w:ind w:firstLine="0" w:firstLineChars="0"/>
              <w:jc w:val="center"/>
              <w:rPr>
                <w:sz w:val="21"/>
                <w:szCs w:val="21"/>
              </w:rPr>
            </w:pPr>
            <w:r>
              <w:rPr>
                <w:rFonts w:hint="eastAsia"/>
                <w:sz w:val="21"/>
                <w:szCs w:val="21"/>
              </w:rPr>
              <w:t>该项服务内容的最大分包比例为</w:t>
            </w:r>
            <w:r>
              <w:rPr>
                <w:sz w:val="21"/>
                <w:szCs w:val="21"/>
              </w:rPr>
              <w:t>100%，</w:t>
            </w:r>
          </w:p>
          <w:p w14:paraId="60A93202">
            <w:pPr>
              <w:ind w:firstLine="0" w:firstLineChars="0"/>
              <w:jc w:val="center"/>
              <w:rPr>
                <w:sz w:val="21"/>
                <w:szCs w:val="21"/>
              </w:rPr>
            </w:pPr>
            <w:r>
              <w:rPr>
                <w:rFonts w:hint="eastAsia"/>
                <w:sz w:val="21"/>
                <w:szCs w:val="21"/>
              </w:rPr>
              <w:t>最小分包比例为</w:t>
            </w:r>
            <w:r>
              <w:rPr>
                <w:sz w:val="21"/>
                <w:szCs w:val="21"/>
              </w:rPr>
              <w:t>0%。</w:t>
            </w:r>
          </w:p>
        </w:tc>
      </w:tr>
      <w:tr w14:paraId="1BC339F9">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702B255D">
            <w:pPr>
              <w:ind w:firstLine="0" w:firstLineChars="0"/>
              <w:rPr>
                <w:sz w:val="21"/>
                <w:szCs w:val="21"/>
              </w:rPr>
            </w:pPr>
            <w:r>
              <w:rPr>
                <w:rFonts w:hint="eastAsia"/>
                <w:sz w:val="21"/>
                <w:szCs w:val="21"/>
              </w:rPr>
              <w:t>26</w:t>
            </w:r>
          </w:p>
        </w:tc>
        <w:tc>
          <w:tcPr>
            <w:tcW w:w="1270" w:type="dxa"/>
            <w:vMerge w:val="continue"/>
            <w:tcBorders>
              <w:top w:val="nil"/>
              <w:left w:val="single" w:color="auto" w:sz="4" w:space="0"/>
              <w:bottom w:val="nil"/>
              <w:right w:val="single" w:color="auto" w:sz="4" w:space="0"/>
            </w:tcBorders>
            <w:vAlign w:val="center"/>
          </w:tcPr>
          <w:p w14:paraId="71B1E812">
            <w:pPr>
              <w:ind w:firstLine="0" w:firstLineChars="0"/>
              <w:rPr>
                <w:sz w:val="21"/>
                <w:szCs w:val="21"/>
              </w:rPr>
            </w:pPr>
          </w:p>
        </w:tc>
        <w:tc>
          <w:tcPr>
            <w:tcW w:w="3261" w:type="dxa"/>
            <w:gridSpan w:val="2"/>
            <w:tcBorders>
              <w:top w:val="single" w:color="auto" w:sz="4" w:space="0"/>
              <w:left w:val="nil"/>
              <w:bottom w:val="single" w:color="auto" w:sz="4" w:space="0"/>
              <w:right w:val="single" w:color="auto" w:sz="4" w:space="0"/>
            </w:tcBorders>
            <w:shd w:val="clear" w:color="auto" w:fill="auto"/>
            <w:vAlign w:val="center"/>
          </w:tcPr>
          <w:p w14:paraId="5F527A49">
            <w:pPr>
              <w:ind w:firstLine="0" w:firstLineChars="0"/>
              <w:rPr>
                <w:sz w:val="21"/>
                <w:szCs w:val="21"/>
              </w:rPr>
            </w:pPr>
            <w:r>
              <w:rPr>
                <w:rFonts w:hint="eastAsia"/>
                <w:sz w:val="21"/>
                <w:szCs w:val="21"/>
              </w:rPr>
              <w:t>可视化展现服务</w:t>
            </w:r>
          </w:p>
        </w:tc>
        <w:tc>
          <w:tcPr>
            <w:tcW w:w="1417" w:type="dxa"/>
            <w:tcBorders>
              <w:top w:val="single" w:color="auto" w:sz="4" w:space="0"/>
              <w:left w:val="nil"/>
              <w:bottom w:val="single" w:color="auto" w:sz="4" w:space="0"/>
              <w:right w:val="single" w:color="auto" w:sz="4" w:space="0"/>
            </w:tcBorders>
            <w:vAlign w:val="center"/>
          </w:tcPr>
          <w:p w14:paraId="49EE503E">
            <w:pPr>
              <w:ind w:firstLine="0" w:firstLineChars="0"/>
              <w:jc w:val="center"/>
              <w:rPr>
                <w:sz w:val="21"/>
                <w:szCs w:val="21"/>
                <w:highlight w:val="yellow"/>
              </w:rPr>
            </w:pPr>
            <w:r>
              <w:rPr>
                <w:rFonts w:hint="eastAsia"/>
                <w:sz w:val="21"/>
                <w:szCs w:val="21"/>
              </w:rPr>
              <w:t>非主体部分</w:t>
            </w:r>
          </w:p>
        </w:tc>
        <w:tc>
          <w:tcPr>
            <w:tcW w:w="1922" w:type="dxa"/>
            <w:tcBorders>
              <w:top w:val="single" w:color="auto" w:sz="4" w:space="0"/>
              <w:left w:val="nil"/>
              <w:bottom w:val="single" w:color="auto" w:sz="4" w:space="0"/>
              <w:right w:val="single" w:color="auto" w:sz="4" w:space="0"/>
            </w:tcBorders>
            <w:vAlign w:val="center"/>
          </w:tcPr>
          <w:p w14:paraId="5927F6B2">
            <w:pPr>
              <w:ind w:firstLine="0" w:firstLineChars="0"/>
              <w:jc w:val="center"/>
              <w:rPr>
                <w:sz w:val="21"/>
                <w:szCs w:val="21"/>
              </w:rPr>
            </w:pPr>
            <w:r>
              <w:rPr>
                <w:rFonts w:hint="eastAsia"/>
                <w:sz w:val="21"/>
                <w:szCs w:val="21"/>
              </w:rPr>
              <w:t>该项服务内容的最大分包比例为</w:t>
            </w:r>
            <w:r>
              <w:rPr>
                <w:sz w:val="21"/>
                <w:szCs w:val="21"/>
              </w:rPr>
              <w:t>100%，</w:t>
            </w:r>
          </w:p>
          <w:p w14:paraId="712F470D">
            <w:pPr>
              <w:ind w:firstLine="0" w:firstLineChars="0"/>
              <w:jc w:val="center"/>
              <w:rPr>
                <w:sz w:val="21"/>
                <w:szCs w:val="21"/>
              </w:rPr>
            </w:pPr>
            <w:r>
              <w:rPr>
                <w:rFonts w:hint="eastAsia"/>
                <w:sz w:val="21"/>
                <w:szCs w:val="21"/>
              </w:rPr>
              <w:t>最小分包比例为</w:t>
            </w:r>
            <w:r>
              <w:rPr>
                <w:sz w:val="21"/>
                <w:szCs w:val="21"/>
              </w:rPr>
              <w:t>0%。</w:t>
            </w:r>
          </w:p>
        </w:tc>
      </w:tr>
      <w:tr w14:paraId="142DF637">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76CD0EEC">
            <w:pPr>
              <w:ind w:firstLine="0" w:firstLineChars="0"/>
              <w:rPr>
                <w:sz w:val="21"/>
                <w:szCs w:val="21"/>
              </w:rPr>
            </w:pPr>
            <w:r>
              <w:rPr>
                <w:rFonts w:hint="eastAsia"/>
                <w:sz w:val="21"/>
                <w:szCs w:val="21"/>
              </w:rPr>
              <w:t>27</w:t>
            </w:r>
          </w:p>
        </w:tc>
        <w:tc>
          <w:tcPr>
            <w:tcW w:w="1270" w:type="dxa"/>
            <w:vMerge w:val="continue"/>
            <w:tcBorders>
              <w:top w:val="nil"/>
              <w:left w:val="single" w:color="auto" w:sz="4" w:space="0"/>
              <w:bottom w:val="nil"/>
              <w:right w:val="single" w:color="auto" w:sz="4" w:space="0"/>
            </w:tcBorders>
            <w:vAlign w:val="center"/>
          </w:tcPr>
          <w:p w14:paraId="7DBF1692">
            <w:pPr>
              <w:ind w:firstLine="0" w:firstLineChars="0"/>
              <w:rPr>
                <w:sz w:val="21"/>
                <w:szCs w:val="21"/>
              </w:rPr>
            </w:pPr>
          </w:p>
        </w:tc>
        <w:tc>
          <w:tcPr>
            <w:tcW w:w="3261" w:type="dxa"/>
            <w:gridSpan w:val="2"/>
            <w:tcBorders>
              <w:top w:val="single" w:color="auto" w:sz="4" w:space="0"/>
              <w:left w:val="nil"/>
              <w:bottom w:val="single" w:color="auto" w:sz="4" w:space="0"/>
              <w:right w:val="single" w:color="auto" w:sz="4" w:space="0"/>
            </w:tcBorders>
            <w:shd w:val="clear" w:color="auto" w:fill="auto"/>
            <w:vAlign w:val="center"/>
          </w:tcPr>
          <w:p w14:paraId="79EA4921">
            <w:pPr>
              <w:ind w:firstLine="0" w:firstLineChars="0"/>
              <w:rPr>
                <w:sz w:val="21"/>
                <w:szCs w:val="21"/>
              </w:rPr>
            </w:pPr>
            <w:r>
              <w:rPr>
                <w:rFonts w:hint="eastAsia"/>
                <w:sz w:val="21"/>
                <w:szCs w:val="21"/>
              </w:rPr>
              <w:t>公共数据社会化应用服务</w:t>
            </w:r>
          </w:p>
        </w:tc>
        <w:tc>
          <w:tcPr>
            <w:tcW w:w="1417" w:type="dxa"/>
            <w:tcBorders>
              <w:top w:val="single" w:color="auto" w:sz="4" w:space="0"/>
              <w:left w:val="nil"/>
              <w:bottom w:val="single" w:color="auto" w:sz="4" w:space="0"/>
              <w:right w:val="single" w:color="auto" w:sz="4" w:space="0"/>
            </w:tcBorders>
            <w:vAlign w:val="center"/>
          </w:tcPr>
          <w:p w14:paraId="086C95AE">
            <w:pPr>
              <w:ind w:firstLine="0" w:firstLineChars="0"/>
              <w:jc w:val="center"/>
              <w:rPr>
                <w:sz w:val="21"/>
                <w:szCs w:val="21"/>
              </w:rPr>
            </w:pPr>
            <w:r>
              <w:rPr>
                <w:rFonts w:hint="eastAsia"/>
                <w:sz w:val="21"/>
                <w:szCs w:val="21"/>
              </w:rPr>
              <w:t>主体部分</w:t>
            </w:r>
          </w:p>
        </w:tc>
        <w:tc>
          <w:tcPr>
            <w:tcW w:w="1922" w:type="dxa"/>
            <w:tcBorders>
              <w:top w:val="single" w:color="auto" w:sz="4" w:space="0"/>
              <w:left w:val="nil"/>
              <w:bottom w:val="single" w:color="auto" w:sz="4" w:space="0"/>
              <w:right w:val="single" w:color="auto" w:sz="4" w:space="0"/>
            </w:tcBorders>
            <w:vAlign w:val="center"/>
          </w:tcPr>
          <w:p w14:paraId="127E5ED5">
            <w:pPr>
              <w:ind w:firstLine="0" w:firstLineChars="0"/>
              <w:jc w:val="center"/>
              <w:rPr>
                <w:sz w:val="21"/>
                <w:szCs w:val="21"/>
              </w:rPr>
            </w:pPr>
            <w:r>
              <w:rPr>
                <w:rFonts w:hint="eastAsia"/>
                <w:sz w:val="21"/>
                <w:szCs w:val="21"/>
              </w:rPr>
              <w:t>不得分包</w:t>
            </w:r>
          </w:p>
        </w:tc>
      </w:tr>
      <w:tr w14:paraId="1E97E2B1">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2875A4EA">
            <w:pPr>
              <w:ind w:firstLine="0" w:firstLineChars="0"/>
              <w:rPr>
                <w:sz w:val="21"/>
                <w:szCs w:val="21"/>
              </w:rPr>
            </w:pPr>
            <w:r>
              <w:rPr>
                <w:rFonts w:hint="eastAsia"/>
                <w:sz w:val="21"/>
                <w:szCs w:val="21"/>
              </w:rPr>
              <w:t>28</w:t>
            </w:r>
          </w:p>
        </w:tc>
        <w:tc>
          <w:tcPr>
            <w:tcW w:w="1270" w:type="dxa"/>
            <w:vMerge w:val="continue"/>
            <w:tcBorders>
              <w:top w:val="nil"/>
              <w:left w:val="single" w:color="auto" w:sz="4" w:space="0"/>
              <w:bottom w:val="nil"/>
              <w:right w:val="single" w:color="auto" w:sz="4" w:space="0"/>
            </w:tcBorders>
            <w:vAlign w:val="center"/>
          </w:tcPr>
          <w:p w14:paraId="360C25D1">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109AE939">
            <w:pPr>
              <w:ind w:firstLine="0" w:firstLineChars="0"/>
              <w:rPr>
                <w:sz w:val="21"/>
                <w:szCs w:val="21"/>
              </w:rPr>
            </w:pPr>
            <w:r>
              <w:rPr>
                <w:rFonts w:hint="eastAsia"/>
                <w:sz w:val="21"/>
                <w:szCs w:val="21"/>
              </w:rPr>
              <w:t>数据共享/开放授权运营服务</w:t>
            </w:r>
          </w:p>
        </w:tc>
        <w:tc>
          <w:tcPr>
            <w:tcW w:w="1417" w:type="dxa"/>
            <w:tcBorders>
              <w:top w:val="single" w:color="auto" w:sz="4" w:space="0"/>
              <w:left w:val="nil"/>
              <w:bottom w:val="single" w:color="auto" w:sz="4" w:space="0"/>
              <w:right w:val="single" w:color="000000" w:sz="4" w:space="0"/>
            </w:tcBorders>
            <w:vAlign w:val="center"/>
          </w:tcPr>
          <w:p w14:paraId="58F73682">
            <w:pPr>
              <w:ind w:firstLine="0" w:firstLineChars="0"/>
              <w:jc w:val="center"/>
              <w:rPr>
                <w:sz w:val="21"/>
                <w:szCs w:val="21"/>
              </w:rPr>
            </w:pPr>
            <w:r>
              <w:rPr>
                <w:rFonts w:hint="eastAsia"/>
                <w:sz w:val="21"/>
                <w:szCs w:val="21"/>
              </w:rPr>
              <w:t>主体部分</w:t>
            </w:r>
          </w:p>
        </w:tc>
        <w:tc>
          <w:tcPr>
            <w:tcW w:w="1922" w:type="dxa"/>
            <w:tcBorders>
              <w:top w:val="single" w:color="auto" w:sz="4" w:space="0"/>
              <w:left w:val="nil"/>
              <w:bottom w:val="single" w:color="auto" w:sz="4" w:space="0"/>
              <w:right w:val="single" w:color="000000" w:sz="4" w:space="0"/>
            </w:tcBorders>
            <w:vAlign w:val="center"/>
          </w:tcPr>
          <w:p w14:paraId="23974AC6">
            <w:pPr>
              <w:ind w:firstLine="0" w:firstLineChars="0"/>
              <w:jc w:val="center"/>
              <w:rPr>
                <w:sz w:val="21"/>
                <w:szCs w:val="21"/>
              </w:rPr>
            </w:pPr>
            <w:r>
              <w:rPr>
                <w:rFonts w:hint="eastAsia"/>
                <w:sz w:val="21"/>
                <w:szCs w:val="21"/>
              </w:rPr>
              <w:t>不得分包</w:t>
            </w:r>
          </w:p>
        </w:tc>
      </w:tr>
      <w:tr w14:paraId="407A6254">
        <w:tblPrEx>
          <w:tblCellMar>
            <w:top w:w="0" w:type="dxa"/>
            <w:left w:w="108" w:type="dxa"/>
            <w:bottom w:w="0" w:type="dxa"/>
            <w:right w:w="108" w:type="dxa"/>
          </w:tblCellMar>
        </w:tblPrEx>
        <w:tc>
          <w:tcPr>
            <w:tcW w:w="426" w:type="dxa"/>
            <w:tcBorders>
              <w:top w:val="nil"/>
              <w:left w:val="single" w:color="auto" w:sz="4" w:space="0"/>
              <w:bottom w:val="single" w:color="auto" w:sz="4" w:space="0"/>
              <w:right w:val="single" w:color="auto" w:sz="4" w:space="0"/>
            </w:tcBorders>
            <w:shd w:val="clear" w:color="auto" w:fill="auto"/>
            <w:vAlign w:val="center"/>
          </w:tcPr>
          <w:p w14:paraId="15484EFA">
            <w:pPr>
              <w:ind w:firstLine="0" w:firstLineChars="0"/>
              <w:rPr>
                <w:sz w:val="21"/>
                <w:szCs w:val="21"/>
              </w:rPr>
            </w:pPr>
            <w:r>
              <w:rPr>
                <w:rFonts w:hint="eastAsia"/>
                <w:sz w:val="21"/>
                <w:szCs w:val="21"/>
              </w:rPr>
              <w:t>29</w:t>
            </w:r>
          </w:p>
        </w:tc>
        <w:tc>
          <w:tcPr>
            <w:tcW w:w="1270" w:type="dxa"/>
            <w:vMerge w:val="continue"/>
            <w:tcBorders>
              <w:top w:val="nil"/>
              <w:left w:val="single" w:color="auto" w:sz="4" w:space="0"/>
              <w:bottom w:val="single" w:color="auto" w:sz="4" w:space="0"/>
              <w:right w:val="single" w:color="auto" w:sz="4" w:space="0"/>
            </w:tcBorders>
            <w:vAlign w:val="center"/>
          </w:tcPr>
          <w:p w14:paraId="596394A4">
            <w:pPr>
              <w:ind w:firstLine="0" w:firstLineChars="0"/>
              <w:rPr>
                <w:sz w:val="21"/>
                <w:szCs w:val="21"/>
              </w:rPr>
            </w:pPr>
          </w:p>
        </w:tc>
        <w:tc>
          <w:tcPr>
            <w:tcW w:w="3261" w:type="dxa"/>
            <w:gridSpan w:val="2"/>
            <w:tcBorders>
              <w:top w:val="single" w:color="auto" w:sz="4" w:space="0"/>
              <w:left w:val="nil"/>
              <w:bottom w:val="single" w:color="auto" w:sz="4" w:space="0"/>
              <w:right w:val="single" w:color="000000" w:sz="4" w:space="0"/>
            </w:tcBorders>
            <w:shd w:val="clear" w:color="auto" w:fill="auto"/>
            <w:vAlign w:val="center"/>
          </w:tcPr>
          <w:p w14:paraId="51B21CB4">
            <w:pPr>
              <w:ind w:firstLine="0" w:firstLineChars="0"/>
              <w:rPr>
                <w:sz w:val="21"/>
                <w:szCs w:val="21"/>
              </w:rPr>
            </w:pPr>
            <w:r>
              <w:rPr>
                <w:rFonts w:hint="eastAsia"/>
                <w:sz w:val="21"/>
                <w:szCs w:val="21"/>
              </w:rPr>
              <w:t>数据安全评估、审核服务</w:t>
            </w:r>
          </w:p>
        </w:tc>
        <w:tc>
          <w:tcPr>
            <w:tcW w:w="1417" w:type="dxa"/>
            <w:tcBorders>
              <w:top w:val="single" w:color="auto" w:sz="4" w:space="0"/>
              <w:left w:val="nil"/>
              <w:bottom w:val="single" w:color="auto" w:sz="4" w:space="0"/>
              <w:right w:val="single" w:color="000000" w:sz="4" w:space="0"/>
            </w:tcBorders>
            <w:vAlign w:val="center"/>
          </w:tcPr>
          <w:p w14:paraId="6361D006">
            <w:pPr>
              <w:ind w:firstLine="0" w:firstLineChars="0"/>
              <w:jc w:val="center"/>
              <w:rPr>
                <w:sz w:val="21"/>
                <w:szCs w:val="21"/>
              </w:rPr>
            </w:pPr>
            <w:r>
              <w:rPr>
                <w:rFonts w:hint="eastAsia"/>
                <w:sz w:val="21"/>
                <w:szCs w:val="21"/>
              </w:rPr>
              <w:t>非主体部分</w:t>
            </w:r>
          </w:p>
        </w:tc>
        <w:tc>
          <w:tcPr>
            <w:tcW w:w="1922" w:type="dxa"/>
            <w:tcBorders>
              <w:top w:val="single" w:color="auto" w:sz="4" w:space="0"/>
              <w:left w:val="nil"/>
              <w:bottom w:val="single" w:color="auto" w:sz="4" w:space="0"/>
              <w:right w:val="single" w:color="000000" w:sz="4" w:space="0"/>
            </w:tcBorders>
            <w:vAlign w:val="center"/>
          </w:tcPr>
          <w:p w14:paraId="7EE10189">
            <w:pPr>
              <w:ind w:firstLine="0" w:firstLineChars="0"/>
              <w:jc w:val="center"/>
              <w:rPr>
                <w:sz w:val="21"/>
                <w:szCs w:val="21"/>
              </w:rPr>
            </w:pPr>
            <w:r>
              <w:rPr>
                <w:rFonts w:hint="eastAsia"/>
                <w:sz w:val="21"/>
                <w:szCs w:val="21"/>
              </w:rPr>
              <w:t>该项服务内容的最大分包比例为</w:t>
            </w:r>
            <w:r>
              <w:rPr>
                <w:sz w:val="21"/>
                <w:szCs w:val="21"/>
              </w:rPr>
              <w:t>100%，</w:t>
            </w:r>
          </w:p>
          <w:p w14:paraId="0A659752">
            <w:pPr>
              <w:ind w:firstLine="0" w:firstLineChars="0"/>
              <w:jc w:val="center"/>
              <w:rPr>
                <w:sz w:val="21"/>
                <w:szCs w:val="21"/>
              </w:rPr>
            </w:pPr>
            <w:r>
              <w:rPr>
                <w:rFonts w:hint="eastAsia"/>
                <w:sz w:val="21"/>
                <w:szCs w:val="21"/>
              </w:rPr>
              <w:t>最小分包比例为</w:t>
            </w:r>
            <w:r>
              <w:rPr>
                <w:sz w:val="21"/>
                <w:szCs w:val="21"/>
              </w:rPr>
              <w:t>0%。</w:t>
            </w:r>
          </w:p>
        </w:tc>
      </w:tr>
      <w:tr w14:paraId="7DD1EA1E">
        <w:tblPrEx>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5AB6400">
            <w:pPr>
              <w:ind w:firstLine="0" w:firstLineChars="0"/>
              <w:rPr>
                <w:sz w:val="21"/>
                <w:szCs w:val="21"/>
              </w:rPr>
            </w:pPr>
            <w:r>
              <w:rPr>
                <w:rFonts w:hint="eastAsia"/>
                <w:sz w:val="21"/>
                <w:szCs w:val="21"/>
              </w:rPr>
              <w:t>3</w:t>
            </w:r>
            <w:r>
              <w:rPr>
                <w:sz w:val="21"/>
                <w:szCs w:val="21"/>
              </w:rPr>
              <w:t>0</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AB923AA">
            <w:pPr>
              <w:ind w:firstLine="0" w:firstLineChars="0"/>
              <w:rPr>
                <w:sz w:val="21"/>
                <w:szCs w:val="21"/>
              </w:rPr>
            </w:pPr>
            <w:r>
              <w:rPr>
                <w:rFonts w:hint="eastAsia"/>
                <w:sz w:val="21"/>
                <w:szCs w:val="21"/>
              </w:rPr>
              <w:t>创新服务类</w:t>
            </w:r>
          </w:p>
        </w:tc>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A8FE5D">
            <w:pPr>
              <w:ind w:firstLine="0" w:firstLineChars="0"/>
              <w:rPr>
                <w:sz w:val="21"/>
                <w:szCs w:val="21"/>
              </w:rPr>
            </w:pPr>
            <w:r>
              <w:rPr>
                <w:rFonts w:hint="eastAsia"/>
                <w:sz w:val="21"/>
                <w:szCs w:val="21"/>
              </w:rPr>
              <w:t>能力迭代服务</w:t>
            </w:r>
          </w:p>
        </w:tc>
        <w:tc>
          <w:tcPr>
            <w:tcW w:w="1417" w:type="dxa"/>
            <w:tcBorders>
              <w:top w:val="single" w:color="auto" w:sz="4" w:space="0"/>
              <w:left w:val="single" w:color="auto" w:sz="4" w:space="0"/>
              <w:bottom w:val="single" w:color="auto" w:sz="4" w:space="0"/>
              <w:right w:val="single" w:color="auto" w:sz="4" w:space="0"/>
            </w:tcBorders>
            <w:vAlign w:val="center"/>
          </w:tcPr>
          <w:p w14:paraId="63438A1A">
            <w:pPr>
              <w:ind w:firstLine="0" w:firstLineChars="0"/>
              <w:jc w:val="center"/>
              <w:rPr>
                <w:sz w:val="21"/>
                <w:szCs w:val="21"/>
                <w:highlight w:val="yellow"/>
              </w:rPr>
            </w:pPr>
            <w:r>
              <w:rPr>
                <w:rFonts w:hint="eastAsia"/>
                <w:sz w:val="21"/>
                <w:szCs w:val="21"/>
              </w:rPr>
              <w:t>主体部分</w:t>
            </w:r>
          </w:p>
        </w:tc>
        <w:tc>
          <w:tcPr>
            <w:tcW w:w="1922" w:type="dxa"/>
            <w:tcBorders>
              <w:top w:val="single" w:color="auto" w:sz="4" w:space="0"/>
              <w:left w:val="single" w:color="auto" w:sz="4" w:space="0"/>
              <w:bottom w:val="single" w:color="auto" w:sz="4" w:space="0"/>
              <w:right w:val="single" w:color="auto" w:sz="4" w:space="0"/>
            </w:tcBorders>
            <w:vAlign w:val="center"/>
          </w:tcPr>
          <w:p w14:paraId="491AF2EE">
            <w:pPr>
              <w:ind w:firstLine="0" w:firstLineChars="0"/>
              <w:jc w:val="center"/>
              <w:rPr>
                <w:sz w:val="21"/>
                <w:szCs w:val="21"/>
              </w:rPr>
            </w:pPr>
            <w:r>
              <w:rPr>
                <w:rFonts w:hint="eastAsia"/>
                <w:sz w:val="21"/>
                <w:szCs w:val="21"/>
              </w:rPr>
              <w:t>不得分包</w:t>
            </w:r>
          </w:p>
        </w:tc>
      </w:tr>
    </w:tbl>
    <w:p w14:paraId="0EDC1BCC">
      <w:pPr>
        <w:ind w:firstLineChars="0"/>
        <w:rPr>
          <w:color w:val="000000"/>
          <w:sz w:val="21"/>
          <w:szCs w:val="21"/>
        </w:rPr>
      </w:pPr>
    </w:p>
    <w:p w14:paraId="4BC35A32">
      <w:pPr>
        <w:ind w:firstLine="420"/>
        <w:rPr>
          <w:color w:val="000000"/>
          <w:sz w:val="21"/>
          <w:szCs w:val="21"/>
        </w:rPr>
      </w:pPr>
      <w:r>
        <w:rPr>
          <w:rFonts w:hint="eastAsia"/>
          <w:color w:val="000000"/>
          <w:sz w:val="21"/>
          <w:szCs w:val="21"/>
        </w:rPr>
        <w:t>2、项目非主体部分可以分包（各分包子项运营服务项和服务项报价需保持与主体部分一致）</w:t>
      </w:r>
    </w:p>
    <w:p w14:paraId="567F3B2D">
      <w:pPr>
        <w:ind w:firstLine="420"/>
        <w:rPr>
          <w:rFonts w:hint="eastAsia"/>
          <w:color w:val="000000"/>
          <w:sz w:val="21"/>
          <w:szCs w:val="21"/>
        </w:rPr>
      </w:pPr>
      <w:r>
        <w:rPr>
          <w:rFonts w:hint="eastAsia"/>
          <w:color w:val="000000"/>
          <w:sz w:val="21"/>
          <w:szCs w:val="21"/>
          <w:lang w:val="en-US" w:eastAsia="zh-CN"/>
        </w:rPr>
        <w:t>1）</w:t>
      </w:r>
      <w:r>
        <w:rPr>
          <w:rFonts w:hint="eastAsia"/>
          <w:color w:val="000000"/>
          <w:sz w:val="21"/>
          <w:szCs w:val="21"/>
        </w:rPr>
        <w:t>可分包的运营服务项如下：数据加密/脱敏等控制、数据安全评估/审核服务、</w:t>
      </w:r>
      <w:r>
        <w:rPr>
          <w:rFonts w:hint="eastAsia"/>
          <w:sz w:val="21"/>
          <w:szCs w:val="21"/>
        </w:rPr>
        <w:t>数据共享/开放/授权订阅服务、数据挖掘建模服务、</w:t>
      </w:r>
      <w:r>
        <w:rPr>
          <w:rFonts w:hint="eastAsia"/>
          <w:color w:val="000000"/>
          <w:sz w:val="21"/>
          <w:szCs w:val="21"/>
        </w:rPr>
        <w:t>数据分类分级检查、空间地理数据核实服务、城市三维模型更新、三维模型数据处理、时空数据转换与处理、可视化展示服务、影像数据采集、</w:t>
      </w:r>
      <w:r>
        <w:rPr>
          <w:rFonts w:hint="eastAsia"/>
          <w:sz w:val="21"/>
          <w:szCs w:val="21"/>
        </w:rPr>
        <w:t>结构化数据（表）的归集端质量检查服务、结构化数据（表）的应用端质量检查服务、数据资产目录质量检查服务、主（专）题数据库建设服务、</w:t>
      </w:r>
      <w:r>
        <w:rPr>
          <w:sz w:val="21"/>
          <w:szCs w:val="21"/>
        </w:rPr>
        <w:t>数据质量规则设计与修正服务</w:t>
      </w:r>
      <w:r>
        <w:rPr>
          <w:rFonts w:hint="eastAsia"/>
          <w:color w:val="000000"/>
          <w:sz w:val="21"/>
          <w:szCs w:val="21"/>
        </w:rPr>
        <w:t>。</w:t>
      </w:r>
    </w:p>
    <w:p w14:paraId="5A88B74E">
      <w:pPr>
        <w:ind w:firstLine="420"/>
        <w:rPr>
          <w:rFonts w:hint="eastAsia" w:eastAsia="宋体"/>
          <w:color w:val="000000"/>
          <w:sz w:val="21"/>
          <w:szCs w:val="21"/>
          <w:lang w:val="en-US" w:eastAsia="zh-CN"/>
        </w:rPr>
      </w:pPr>
      <w:r>
        <w:rPr>
          <w:rFonts w:hint="eastAsia"/>
          <w:color w:val="000000"/>
          <w:sz w:val="21"/>
          <w:szCs w:val="21"/>
          <w:lang w:val="en-US" w:eastAsia="zh-CN"/>
        </w:rPr>
        <w:t>2）投标人应当在投标文件中提供《分包意向协议书》，载明接受分包的企业、分包合同金额，接受分包的企业应当具备相应资质条件且不得再次分包。除上述情形外，中标后一律不得对外分包。</w:t>
      </w:r>
      <w:bookmarkStart w:id="41" w:name="_GoBack"/>
      <w:bookmarkEnd w:id="41"/>
    </w:p>
    <w:p w14:paraId="573C02A9">
      <w:pPr>
        <w:ind w:firstLine="480"/>
      </w:pPr>
    </w:p>
    <w:p w14:paraId="447D0CF4">
      <w:pPr>
        <w:ind w:firstLine="48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5761641"/>
    </w:sdtPr>
    <w:sdtContent>
      <w:p w14:paraId="60BE6006">
        <w:pPr>
          <w:pStyle w:val="15"/>
          <w:ind w:firstLine="360"/>
          <w:jc w:val="center"/>
        </w:pPr>
        <w:r>
          <w:fldChar w:fldCharType="begin"/>
        </w:r>
        <w:r>
          <w:instrText xml:space="preserve">PAGE   \* MERGEFORMAT</w:instrText>
        </w:r>
        <w:r>
          <w:fldChar w:fldCharType="separate"/>
        </w:r>
        <w:r>
          <w:rPr>
            <w:lang w:val="zh-CN"/>
          </w:rPr>
          <w:t>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08BC">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C7FEC">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8F6B">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80140">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0D42">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01EFE"/>
    <w:multiLevelType w:val="multilevel"/>
    <w:tmpl w:val="00601EF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28D19CC"/>
    <w:multiLevelType w:val="multilevel"/>
    <w:tmpl w:val="028D19C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3733E8"/>
    <w:multiLevelType w:val="multilevel"/>
    <w:tmpl w:val="053733E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05E0BA5"/>
    <w:multiLevelType w:val="multilevel"/>
    <w:tmpl w:val="105E0BA5"/>
    <w:lvl w:ilvl="0" w:tentative="0">
      <w:start w:val="1"/>
      <w:numFmt w:val="decimal"/>
      <w:lvlText w:val="%1)"/>
      <w:lvlJc w:val="left"/>
      <w:pPr>
        <w:ind w:left="917" w:hanging="480"/>
      </w:pPr>
    </w:lvl>
    <w:lvl w:ilvl="1" w:tentative="0">
      <w:start w:val="1"/>
      <w:numFmt w:val="lowerLetter"/>
      <w:lvlText w:val="%2)"/>
      <w:lvlJc w:val="left"/>
      <w:pPr>
        <w:ind w:left="1397" w:hanging="480"/>
      </w:pPr>
    </w:lvl>
    <w:lvl w:ilvl="2" w:tentative="0">
      <w:start w:val="1"/>
      <w:numFmt w:val="lowerRoman"/>
      <w:lvlText w:val="%3."/>
      <w:lvlJc w:val="right"/>
      <w:pPr>
        <w:ind w:left="1877" w:hanging="480"/>
      </w:pPr>
    </w:lvl>
    <w:lvl w:ilvl="3" w:tentative="0">
      <w:start w:val="1"/>
      <w:numFmt w:val="decimal"/>
      <w:lvlText w:val="%4."/>
      <w:lvlJc w:val="left"/>
      <w:pPr>
        <w:ind w:left="2357" w:hanging="480"/>
      </w:pPr>
    </w:lvl>
    <w:lvl w:ilvl="4" w:tentative="0">
      <w:start w:val="1"/>
      <w:numFmt w:val="lowerLetter"/>
      <w:lvlText w:val="%5)"/>
      <w:lvlJc w:val="left"/>
      <w:pPr>
        <w:ind w:left="2837" w:hanging="480"/>
      </w:pPr>
    </w:lvl>
    <w:lvl w:ilvl="5" w:tentative="0">
      <w:start w:val="1"/>
      <w:numFmt w:val="lowerRoman"/>
      <w:lvlText w:val="%6."/>
      <w:lvlJc w:val="right"/>
      <w:pPr>
        <w:ind w:left="3317" w:hanging="480"/>
      </w:pPr>
    </w:lvl>
    <w:lvl w:ilvl="6" w:tentative="0">
      <w:start w:val="1"/>
      <w:numFmt w:val="decimal"/>
      <w:lvlText w:val="%7."/>
      <w:lvlJc w:val="left"/>
      <w:pPr>
        <w:ind w:left="3797" w:hanging="480"/>
      </w:pPr>
    </w:lvl>
    <w:lvl w:ilvl="7" w:tentative="0">
      <w:start w:val="1"/>
      <w:numFmt w:val="lowerLetter"/>
      <w:lvlText w:val="%8)"/>
      <w:lvlJc w:val="left"/>
      <w:pPr>
        <w:ind w:left="4277" w:hanging="480"/>
      </w:pPr>
    </w:lvl>
    <w:lvl w:ilvl="8" w:tentative="0">
      <w:start w:val="1"/>
      <w:numFmt w:val="lowerRoman"/>
      <w:lvlText w:val="%9."/>
      <w:lvlJc w:val="right"/>
      <w:pPr>
        <w:ind w:left="4757" w:hanging="480"/>
      </w:pPr>
    </w:lvl>
  </w:abstractNum>
  <w:abstractNum w:abstractNumId="4">
    <w:nsid w:val="14E3768A"/>
    <w:multiLevelType w:val="multilevel"/>
    <w:tmpl w:val="14E3768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1CC619B9"/>
    <w:multiLevelType w:val="multilevel"/>
    <w:tmpl w:val="1CC619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6B347B5"/>
    <w:multiLevelType w:val="multilevel"/>
    <w:tmpl w:val="26B347B5"/>
    <w:lvl w:ilvl="0" w:tentative="0">
      <w:start w:val="1"/>
      <w:numFmt w:val="decimal"/>
      <w:lvlText w:val="%1."/>
      <w:lvlJc w:val="left"/>
      <w:pPr>
        <w:ind w:left="840" w:hanging="420"/>
      </w:pPr>
    </w:lvl>
    <w:lvl w:ilvl="1" w:tentative="0">
      <w:start w:val="5"/>
      <w:numFmt w:val="decimal"/>
      <w:isLgl/>
      <w:lvlText w:val="%1.%2"/>
      <w:lvlJc w:val="left"/>
      <w:pPr>
        <w:ind w:left="1064" w:hanging="570"/>
      </w:pPr>
      <w:rPr>
        <w:rFonts w:hint="default"/>
      </w:rPr>
    </w:lvl>
    <w:lvl w:ilvl="2" w:tentative="0">
      <w:start w:val="1"/>
      <w:numFmt w:val="decimal"/>
      <w:isLgl/>
      <w:lvlText w:val="%1.%2.%3"/>
      <w:lvlJc w:val="left"/>
      <w:pPr>
        <w:ind w:left="1288" w:hanging="720"/>
      </w:pPr>
      <w:rPr>
        <w:rFonts w:hint="default"/>
      </w:rPr>
    </w:lvl>
    <w:lvl w:ilvl="3" w:tentative="0">
      <w:start w:val="1"/>
      <w:numFmt w:val="decimal"/>
      <w:isLgl/>
      <w:lvlText w:val="%1.%2.%3.%4"/>
      <w:lvlJc w:val="left"/>
      <w:pPr>
        <w:ind w:left="1362" w:hanging="720"/>
      </w:pPr>
      <w:rPr>
        <w:rFonts w:hint="default"/>
      </w:rPr>
    </w:lvl>
    <w:lvl w:ilvl="4" w:tentative="0">
      <w:start w:val="1"/>
      <w:numFmt w:val="decimal"/>
      <w:isLgl/>
      <w:lvlText w:val="%1.%2.%3.%4.%5"/>
      <w:lvlJc w:val="left"/>
      <w:pPr>
        <w:ind w:left="1796" w:hanging="1080"/>
      </w:pPr>
      <w:rPr>
        <w:rFonts w:hint="default"/>
      </w:rPr>
    </w:lvl>
    <w:lvl w:ilvl="5" w:tentative="0">
      <w:start w:val="1"/>
      <w:numFmt w:val="decimal"/>
      <w:isLgl/>
      <w:lvlText w:val="%1.%2.%3.%4.%5.%6"/>
      <w:lvlJc w:val="left"/>
      <w:pPr>
        <w:ind w:left="1870" w:hanging="1080"/>
      </w:pPr>
      <w:rPr>
        <w:rFonts w:hint="default"/>
      </w:rPr>
    </w:lvl>
    <w:lvl w:ilvl="6" w:tentative="0">
      <w:start w:val="1"/>
      <w:numFmt w:val="decimal"/>
      <w:isLgl/>
      <w:lvlText w:val="%1.%2.%3.%4.%5.%6.%7"/>
      <w:lvlJc w:val="left"/>
      <w:pPr>
        <w:ind w:left="2304" w:hanging="1440"/>
      </w:pPr>
      <w:rPr>
        <w:rFonts w:hint="default"/>
      </w:rPr>
    </w:lvl>
    <w:lvl w:ilvl="7" w:tentative="0">
      <w:start w:val="1"/>
      <w:numFmt w:val="decimal"/>
      <w:isLgl/>
      <w:lvlText w:val="%1.%2.%3.%4.%5.%6.%7.%8"/>
      <w:lvlJc w:val="left"/>
      <w:pPr>
        <w:ind w:left="2378" w:hanging="1440"/>
      </w:pPr>
      <w:rPr>
        <w:rFonts w:hint="default"/>
      </w:rPr>
    </w:lvl>
    <w:lvl w:ilvl="8" w:tentative="0">
      <w:start w:val="1"/>
      <w:numFmt w:val="decimal"/>
      <w:isLgl/>
      <w:lvlText w:val="%1.%2.%3.%4.%5.%6.%7.%8.%9"/>
      <w:lvlJc w:val="left"/>
      <w:pPr>
        <w:ind w:left="2812" w:hanging="1800"/>
      </w:pPr>
      <w:rPr>
        <w:rFonts w:hint="default"/>
      </w:rPr>
    </w:lvl>
  </w:abstractNum>
  <w:abstractNum w:abstractNumId="7">
    <w:nsid w:val="48680C49"/>
    <w:multiLevelType w:val="multilevel"/>
    <w:tmpl w:val="48680C49"/>
    <w:lvl w:ilvl="0" w:tentative="0">
      <w:start w:val="1"/>
      <w:numFmt w:val="decimal"/>
      <w:lvlText w:val="（%1）"/>
      <w:lvlJc w:val="left"/>
      <w:pPr>
        <w:ind w:left="1530" w:hanging="1050"/>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A931C0B"/>
    <w:multiLevelType w:val="multilevel"/>
    <w:tmpl w:val="4A931C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A83D6A"/>
    <w:multiLevelType w:val="multilevel"/>
    <w:tmpl w:val="70A83D6A"/>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0">
    <w:nsid w:val="71301519"/>
    <w:multiLevelType w:val="multilevel"/>
    <w:tmpl w:val="7130151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5"/>
  </w:num>
  <w:num w:numId="3">
    <w:abstractNumId w:val="10"/>
  </w:num>
  <w:num w:numId="4">
    <w:abstractNumId w:val="9"/>
  </w:num>
  <w:num w:numId="5">
    <w:abstractNumId w:val="2"/>
  </w:num>
  <w:num w:numId="6">
    <w:abstractNumId w:val="7"/>
  </w:num>
  <w:num w:numId="7">
    <w:abstractNumId w:val="8"/>
  </w:num>
  <w:num w:numId="8">
    <w:abstractNumId w:val="1"/>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CF"/>
    <w:rsid w:val="00003419"/>
    <w:rsid w:val="00024193"/>
    <w:rsid w:val="0003640C"/>
    <w:rsid w:val="00045ECC"/>
    <w:rsid w:val="00055BCC"/>
    <w:rsid w:val="00063918"/>
    <w:rsid w:val="00065A55"/>
    <w:rsid w:val="00073CC5"/>
    <w:rsid w:val="000B0A51"/>
    <w:rsid w:val="000B6A44"/>
    <w:rsid w:val="000E2357"/>
    <w:rsid w:val="000E44F5"/>
    <w:rsid w:val="000E5211"/>
    <w:rsid w:val="000F0112"/>
    <w:rsid w:val="001013FB"/>
    <w:rsid w:val="001175F1"/>
    <w:rsid w:val="00120341"/>
    <w:rsid w:val="00123453"/>
    <w:rsid w:val="00134A6B"/>
    <w:rsid w:val="00152B35"/>
    <w:rsid w:val="0016483C"/>
    <w:rsid w:val="001702E3"/>
    <w:rsid w:val="00181359"/>
    <w:rsid w:val="0019041F"/>
    <w:rsid w:val="00190793"/>
    <w:rsid w:val="001A3FE4"/>
    <w:rsid w:val="001A5ACF"/>
    <w:rsid w:val="001B2521"/>
    <w:rsid w:val="001C159F"/>
    <w:rsid w:val="001D507A"/>
    <w:rsid w:val="001D7213"/>
    <w:rsid w:val="001F01AD"/>
    <w:rsid w:val="001F4F89"/>
    <w:rsid w:val="001F57C4"/>
    <w:rsid w:val="001F7FC9"/>
    <w:rsid w:val="00222139"/>
    <w:rsid w:val="00230BD4"/>
    <w:rsid w:val="00235352"/>
    <w:rsid w:val="00240207"/>
    <w:rsid w:val="0024429C"/>
    <w:rsid w:val="00254B37"/>
    <w:rsid w:val="00255CAC"/>
    <w:rsid w:val="0027361C"/>
    <w:rsid w:val="0028324C"/>
    <w:rsid w:val="00286D24"/>
    <w:rsid w:val="00297BE9"/>
    <w:rsid w:val="002A0198"/>
    <w:rsid w:val="002A057C"/>
    <w:rsid w:val="002C0471"/>
    <w:rsid w:val="002C2BA2"/>
    <w:rsid w:val="002D09F1"/>
    <w:rsid w:val="002D23CA"/>
    <w:rsid w:val="002E0A05"/>
    <w:rsid w:val="002F15F9"/>
    <w:rsid w:val="002F3694"/>
    <w:rsid w:val="002F5C2C"/>
    <w:rsid w:val="00300641"/>
    <w:rsid w:val="00305081"/>
    <w:rsid w:val="00325BCD"/>
    <w:rsid w:val="00333A2A"/>
    <w:rsid w:val="00345B8E"/>
    <w:rsid w:val="003472F0"/>
    <w:rsid w:val="00352FD1"/>
    <w:rsid w:val="00356D30"/>
    <w:rsid w:val="00360F4C"/>
    <w:rsid w:val="0037623D"/>
    <w:rsid w:val="003855D4"/>
    <w:rsid w:val="003C0AE0"/>
    <w:rsid w:val="003D081E"/>
    <w:rsid w:val="003D0ABB"/>
    <w:rsid w:val="003D447D"/>
    <w:rsid w:val="003E30A8"/>
    <w:rsid w:val="003F1509"/>
    <w:rsid w:val="003F29BD"/>
    <w:rsid w:val="0040625B"/>
    <w:rsid w:val="00412FA1"/>
    <w:rsid w:val="004152F2"/>
    <w:rsid w:val="00416229"/>
    <w:rsid w:val="00445DFF"/>
    <w:rsid w:val="0044680F"/>
    <w:rsid w:val="00452C7E"/>
    <w:rsid w:val="00456E6E"/>
    <w:rsid w:val="004627F3"/>
    <w:rsid w:val="00472B7B"/>
    <w:rsid w:val="00473378"/>
    <w:rsid w:val="004804D2"/>
    <w:rsid w:val="0048292D"/>
    <w:rsid w:val="004A321F"/>
    <w:rsid w:val="004A4972"/>
    <w:rsid w:val="004A5135"/>
    <w:rsid w:val="004B5A6D"/>
    <w:rsid w:val="004B66B8"/>
    <w:rsid w:val="004C1211"/>
    <w:rsid w:val="004D4CBE"/>
    <w:rsid w:val="004D6DDE"/>
    <w:rsid w:val="004D6FCA"/>
    <w:rsid w:val="004E0A89"/>
    <w:rsid w:val="004F1F00"/>
    <w:rsid w:val="004F2201"/>
    <w:rsid w:val="00506BFF"/>
    <w:rsid w:val="005213A4"/>
    <w:rsid w:val="00526DC7"/>
    <w:rsid w:val="00530BBA"/>
    <w:rsid w:val="00556F91"/>
    <w:rsid w:val="00562ECD"/>
    <w:rsid w:val="0056455B"/>
    <w:rsid w:val="005749DD"/>
    <w:rsid w:val="00574A01"/>
    <w:rsid w:val="0058295A"/>
    <w:rsid w:val="00596777"/>
    <w:rsid w:val="005A5EE9"/>
    <w:rsid w:val="005B1FBB"/>
    <w:rsid w:val="005B562B"/>
    <w:rsid w:val="005D416E"/>
    <w:rsid w:val="005F0AFB"/>
    <w:rsid w:val="0061085E"/>
    <w:rsid w:val="00620ADD"/>
    <w:rsid w:val="006237D1"/>
    <w:rsid w:val="006244C7"/>
    <w:rsid w:val="0063090C"/>
    <w:rsid w:val="006360BD"/>
    <w:rsid w:val="0065108D"/>
    <w:rsid w:val="006533E6"/>
    <w:rsid w:val="00664332"/>
    <w:rsid w:val="0068326D"/>
    <w:rsid w:val="00694077"/>
    <w:rsid w:val="006A06F9"/>
    <w:rsid w:val="006A614A"/>
    <w:rsid w:val="006B0F4D"/>
    <w:rsid w:val="006B3818"/>
    <w:rsid w:val="006C513E"/>
    <w:rsid w:val="006E4347"/>
    <w:rsid w:val="006F0E14"/>
    <w:rsid w:val="00704F44"/>
    <w:rsid w:val="0070561C"/>
    <w:rsid w:val="00726127"/>
    <w:rsid w:val="007274CB"/>
    <w:rsid w:val="007307A2"/>
    <w:rsid w:val="00741308"/>
    <w:rsid w:val="007452F3"/>
    <w:rsid w:val="00750E7D"/>
    <w:rsid w:val="007549CA"/>
    <w:rsid w:val="00755958"/>
    <w:rsid w:val="00766714"/>
    <w:rsid w:val="00771731"/>
    <w:rsid w:val="007A556B"/>
    <w:rsid w:val="007A7D74"/>
    <w:rsid w:val="007C50AC"/>
    <w:rsid w:val="007F3E62"/>
    <w:rsid w:val="007F63EA"/>
    <w:rsid w:val="0080378C"/>
    <w:rsid w:val="0083751B"/>
    <w:rsid w:val="00865283"/>
    <w:rsid w:val="00872B4E"/>
    <w:rsid w:val="008736F9"/>
    <w:rsid w:val="00884DC1"/>
    <w:rsid w:val="00891EDC"/>
    <w:rsid w:val="008A36EB"/>
    <w:rsid w:val="008B2332"/>
    <w:rsid w:val="008B4687"/>
    <w:rsid w:val="008C1DA5"/>
    <w:rsid w:val="008C1F87"/>
    <w:rsid w:val="008D1AB3"/>
    <w:rsid w:val="008E15E6"/>
    <w:rsid w:val="008E7493"/>
    <w:rsid w:val="008F518C"/>
    <w:rsid w:val="00927B63"/>
    <w:rsid w:val="009361F9"/>
    <w:rsid w:val="00946BCF"/>
    <w:rsid w:val="00950120"/>
    <w:rsid w:val="00952639"/>
    <w:rsid w:val="00955900"/>
    <w:rsid w:val="00980536"/>
    <w:rsid w:val="00995073"/>
    <w:rsid w:val="009C0CAB"/>
    <w:rsid w:val="009C1A89"/>
    <w:rsid w:val="009C4B6B"/>
    <w:rsid w:val="009F62B0"/>
    <w:rsid w:val="00A053C2"/>
    <w:rsid w:val="00A14260"/>
    <w:rsid w:val="00A153D0"/>
    <w:rsid w:val="00A24E4C"/>
    <w:rsid w:val="00A405A6"/>
    <w:rsid w:val="00A43A89"/>
    <w:rsid w:val="00A47952"/>
    <w:rsid w:val="00A572B4"/>
    <w:rsid w:val="00A57A3D"/>
    <w:rsid w:val="00A61A46"/>
    <w:rsid w:val="00A635D1"/>
    <w:rsid w:val="00A678F3"/>
    <w:rsid w:val="00A80238"/>
    <w:rsid w:val="00A91AB5"/>
    <w:rsid w:val="00A94073"/>
    <w:rsid w:val="00AA7BD3"/>
    <w:rsid w:val="00AE4DF9"/>
    <w:rsid w:val="00B032B4"/>
    <w:rsid w:val="00B044BD"/>
    <w:rsid w:val="00B17D02"/>
    <w:rsid w:val="00B3374E"/>
    <w:rsid w:val="00B55A93"/>
    <w:rsid w:val="00B62BE5"/>
    <w:rsid w:val="00B67C72"/>
    <w:rsid w:val="00B773D8"/>
    <w:rsid w:val="00B81E67"/>
    <w:rsid w:val="00B93B59"/>
    <w:rsid w:val="00BB436A"/>
    <w:rsid w:val="00BB6CDC"/>
    <w:rsid w:val="00BC0E94"/>
    <w:rsid w:val="00BC3B51"/>
    <w:rsid w:val="00BD6634"/>
    <w:rsid w:val="00BE22E0"/>
    <w:rsid w:val="00BF7B80"/>
    <w:rsid w:val="00C01723"/>
    <w:rsid w:val="00C11C04"/>
    <w:rsid w:val="00C134D2"/>
    <w:rsid w:val="00C20D62"/>
    <w:rsid w:val="00C2261F"/>
    <w:rsid w:val="00C23BBC"/>
    <w:rsid w:val="00C33ACC"/>
    <w:rsid w:val="00C53B89"/>
    <w:rsid w:val="00C66D25"/>
    <w:rsid w:val="00C71AA5"/>
    <w:rsid w:val="00C7229B"/>
    <w:rsid w:val="00C77BBD"/>
    <w:rsid w:val="00C903CC"/>
    <w:rsid w:val="00C951F2"/>
    <w:rsid w:val="00CA287A"/>
    <w:rsid w:val="00CA592B"/>
    <w:rsid w:val="00CA75BD"/>
    <w:rsid w:val="00CB4D3A"/>
    <w:rsid w:val="00CB6C4D"/>
    <w:rsid w:val="00CD646F"/>
    <w:rsid w:val="00CE5A7B"/>
    <w:rsid w:val="00D05E41"/>
    <w:rsid w:val="00D15A2D"/>
    <w:rsid w:val="00D17E1B"/>
    <w:rsid w:val="00D274B7"/>
    <w:rsid w:val="00D30B41"/>
    <w:rsid w:val="00D31140"/>
    <w:rsid w:val="00D51277"/>
    <w:rsid w:val="00D62C92"/>
    <w:rsid w:val="00D666F7"/>
    <w:rsid w:val="00D80800"/>
    <w:rsid w:val="00D92251"/>
    <w:rsid w:val="00DB5F6E"/>
    <w:rsid w:val="00DB69B9"/>
    <w:rsid w:val="00DC37D8"/>
    <w:rsid w:val="00DC3F22"/>
    <w:rsid w:val="00DC745D"/>
    <w:rsid w:val="00DD071B"/>
    <w:rsid w:val="00DE28E7"/>
    <w:rsid w:val="00DE488A"/>
    <w:rsid w:val="00E044F4"/>
    <w:rsid w:val="00E12365"/>
    <w:rsid w:val="00E12DC8"/>
    <w:rsid w:val="00E40BA1"/>
    <w:rsid w:val="00E43430"/>
    <w:rsid w:val="00E45EFA"/>
    <w:rsid w:val="00E47167"/>
    <w:rsid w:val="00E77036"/>
    <w:rsid w:val="00E80BB2"/>
    <w:rsid w:val="00E91FEB"/>
    <w:rsid w:val="00EB05C2"/>
    <w:rsid w:val="00EC2B7E"/>
    <w:rsid w:val="00EE2E69"/>
    <w:rsid w:val="00EF65DA"/>
    <w:rsid w:val="00F438C4"/>
    <w:rsid w:val="00F43C82"/>
    <w:rsid w:val="00F77ED0"/>
    <w:rsid w:val="00F85603"/>
    <w:rsid w:val="00F87D19"/>
    <w:rsid w:val="00FA2243"/>
    <w:rsid w:val="00FB49AD"/>
    <w:rsid w:val="00FC009A"/>
    <w:rsid w:val="00FC303B"/>
    <w:rsid w:val="00FC3182"/>
    <w:rsid w:val="00FE07EB"/>
    <w:rsid w:val="00FE35D2"/>
    <w:rsid w:val="00FE5D6F"/>
    <w:rsid w:val="00FF6EFC"/>
    <w:rsid w:val="085D75AF"/>
    <w:rsid w:val="13052DC4"/>
    <w:rsid w:val="19651B39"/>
    <w:rsid w:val="30216B85"/>
    <w:rsid w:val="42120775"/>
    <w:rsid w:val="45675884"/>
    <w:rsid w:val="4B7C718D"/>
    <w:rsid w:val="587E1060"/>
    <w:rsid w:val="611063C8"/>
    <w:rsid w:val="623A204D"/>
    <w:rsid w:val="7E70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ind w:left="0" w:firstLine="0" w:firstLineChars="0"/>
      <w:outlineLvl w:val="0"/>
    </w:pPr>
    <w:rPr>
      <w:b/>
      <w:bCs/>
      <w:kern w:val="44"/>
      <w:sz w:val="44"/>
      <w:szCs w:val="44"/>
    </w:rPr>
  </w:style>
  <w:style w:type="paragraph" w:styleId="3">
    <w:name w:val="heading 2"/>
    <w:basedOn w:val="1"/>
    <w:next w:val="1"/>
    <w:link w:val="2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0"/>
    <w:pPr>
      <w:keepNext/>
      <w:keepLines/>
      <w:numPr>
        <w:ilvl w:val="2"/>
        <w:numId w:val="1"/>
      </w:numPr>
      <w:spacing w:before="260" w:after="260" w:line="416" w:lineRule="auto"/>
      <w:ind w:firstLine="0" w:firstLineChars="0"/>
      <w:outlineLvl w:val="2"/>
    </w:pPr>
    <w:rPr>
      <w:b/>
      <w:bCs/>
      <w:sz w:val="32"/>
      <w:szCs w:val="32"/>
    </w:rPr>
  </w:style>
  <w:style w:type="paragraph" w:styleId="5">
    <w:name w:val="heading 4"/>
    <w:basedOn w:val="1"/>
    <w:next w:val="1"/>
    <w:link w:val="2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8"/>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30"/>
    <w:semiHidden/>
    <w:unhideWhenUsed/>
    <w:qFormat/>
    <w:uiPriority w:val="9"/>
    <w:pPr>
      <w:keepNext/>
      <w:keepLines/>
      <w:numPr>
        <w:ilvl w:val="6"/>
        <w:numId w:val="1"/>
      </w:numPr>
      <w:spacing w:before="240" w:after="64" w:line="320" w:lineRule="auto"/>
      <w:outlineLvl w:val="6"/>
    </w:pPr>
    <w:rPr>
      <w:b/>
      <w:bCs/>
    </w:rPr>
  </w:style>
  <w:style w:type="paragraph" w:styleId="9">
    <w:name w:val="heading 8"/>
    <w:basedOn w:val="1"/>
    <w:next w:val="1"/>
    <w:link w:val="31"/>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32"/>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2"/>
    <w:link w:val="43"/>
    <w:qFormat/>
    <w:uiPriority w:val="0"/>
    <w:pPr>
      <w:ind w:firstLine="200"/>
    </w:pPr>
    <w:rPr>
      <w:rFonts w:ascii="Times New Roman" w:hAnsi="Times New Roman" w:cs="Times New Roman"/>
    </w:rPr>
  </w:style>
  <w:style w:type="paragraph" w:styleId="12">
    <w:name w:val="List Paragraph"/>
    <w:basedOn w:val="1"/>
    <w:qFormat/>
    <w:uiPriority w:val="34"/>
    <w:pPr>
      <w:ind w:firstLine="420"/>
    </w:pPr>
  </w:style>
  <w:style w:type="paragraph" w:styleId="13">
    <w:name w:val="annotation text"/>
    <w:basedOn w:val="1"/>
    <w:link w:val="44"/>
    <w:qFormat/>
    <w:uiPriority w:val="99"/>
    <w:pPr>
      <w:jc w:val="left"/>
    </w:pPr>
    <w:rPr>
      <w:rFonts w:ascii="Cambria" w:hAnsi="Cambria" w:eastAsia="仿宋" w:cs="等线"/>
      <w:sz w:val="28"/>
      <w:szCs w:val="22"/>
    </w:rPr>
  </w:style>
  <w:style w:type="paragraph" w:styleId="14">
    <w:name w:val="Balloon Text"/>
    <w:basedOn w:val="1"/>
    <w:link w:val="35"/>
    <w:semiHidden/>
    <w:unhideWhenUsed/>
    <w:qFormat/>
    <w:uiPriority w:val="99"/>
    <w:pPr>
      <w:spacing w:line="240" w:lineRule="auto"/>
    </w:pPr>
    <w:rPr>
      <w:sz w:val="18"/>
      <w:szCs w:val="18"/>
    </w:rPr>
  </w:style>
  <w:style w:type="paragraph" w:styleId="15">
    <w:name w:val="footer"/>
    <w:basedOn w:val="1"/>
    <w:link w:val="23"/>
    <w:unhideWhenUsed/>
    <w:qFormat/>
    <w:uiPriority w:val="99"/>
    <w:pPr>
      <w:tabs>
        <w:tab w:val="center" w:pos="4153"/>
        <w:tab w:val="right" w:pos="8306"/>
      </w:tabs>
      <w:snapToGrid w:val="0"/>
      <w:jc w:val="left"/>
    </w:pPr>
    <w:rPr>
      <w:sz w:val="18"/>
      <w:szCs w:val="18"/>
    </w:rPr>
  </w:style>
  <w:style w:type="paragraph" w:styleId="1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annotation subject"/>
    <w:basedOn w:val="13"/>
    <w:next w:val="13"/>
    <w:link w:val="45"/>
    <w:semiHidden/>
    <w:unhideWhenUsed/>
    <w:qFormat/>
    <w:uiPriority w:val="99"/>
    <w:rPr>
      <w:rFonts w:ascii="宋体" w:hAnsi="宋体" w:eastAsia="宋体" w:cs="宋体"/>
      <w:b/>
      <w:bCs/>
      <w:sz w:val="24"/>
      <w:szCs w:val="24"/>
    </w:rPr>
  </w:style>
  <w:style w:type="table" w:styleId="19">
    <w:name w:val="Table Grid"/>
    <w:basedOn w:val="18"/>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annotation reference"/>
    <w:qFormat/>
    <w:uiPriority w:val="99"/>
    <w:rPr>
      <w:sz w:val="21"/>
      <w:szCs w:val="21"/>
    </w:rPr>
  </w:style>
  <w:style w:type="character" w:customStyle="1" w:styleId="22">
    <w:name w:val="页眉 字符"/>
    <w:basedOn w:val="20"/>
    <w:link w:val="16"/>
    <w:qFormat/>
    <w:uiPriority w:val="99"/>
    <w:rPr>
      <w:sz w:val="18"/>
      <w:szCs w:val="18"/>
    </w:rPr>
  </w:style>
  <w:style w:type="character" w:customStyle="1" w:styleId="23">
    <w:name w:val="页脚 字符"/>
    <w:basedOn w:val="20"/>
    <w:link w:val="15"/>
    <w:qFormat/>
    <w:uiPriority w:val="99"/>
    <w:rPr>
      <w:sz w:val="18"/>
      <w:szCs w:val="18"/>
    </w:rPr>
  </w:style>
  <w:style w:type="character" w:customStyle="1" w:styleId="24">
    <w:name w:val="标题 1 字符"/>
    <w:basedOn w:val="20"/>
    <w:link w:val="2"/>
    <w:qFormat/>
    <w:uiPriority w:val="0"/>
    <w:rPr>
      <w:rFonts w:ascii="宋体" w:hAnsi="宋体" w:eastAsia="宋体" w:cs="宋体"/>
      <w:b/>
      <w:bCs/>
      <w:kern w:val="44"/>
      <w:sz w:val="44"/>
      <w:szCs w:val="44"/>
    </w:rPr>
  </w:style>
  <w:style w:type="character" w:customStyle="1" w:styleId="25">
    <w:name w:val="标题 2 字符"/>
    <w:basedOn w:val="20"/>
    <w:link w:val="3"/>
    <w:qFormat/>
    <w:uiPriority w:val="0"/>
    <w:rPr>
      <w:rFonts w:asciiTheme="majorHAnsi" w:hAnsiTheme="majorHAnsi" w:eastAsiaTheme="majorEastAsia" w:cstheme="majorBidi"/>
      <w:b/>
      <w:bCs/>
      <w:sz w:val="32"/>
      <w:szCs w:val="32"/>
    </w:rPr>
  </w:style>
  <w:style w:type="character" w:customStyle="1" w:styleId="26">
    <w:name w:val="标题 3 字符"/>
    <w:basedOn w:val="20"/>
    <w:link w:val="4"/>
    <w:qFormat/>
    <w:uiPriority w:val="0"/>
    <w:rPr>
      <w:rFonts w:ascii="宋体" w:hAnsi="宋体" w:eastAsia="宋体" w:cs="宋体"/>
      <w:b/>
      <w:bCs/>
      <w:sz w:val="32"/>
      <w:szCs w:val="32"/>
    </w:rPr>
  </w:style>
  <w:style w:type="character" w:customStyle="1" w:styleId="27">
    <w:name w:val="标题 4 字符"/>
    <w:basedOn w:val="20"/>
    <w:link w:val="5"/>
    <w:qFormat/>
    <w:uiPriority w:val="0"/>
    <w:rPr>
      <w:rFonts w:asciiTheme="majorHAnsi" w:hAnsiTheme="majorHAnsi" w:eastAsiaTheme="majorEastAsia" w:cstheme="majorBidi"/>
      <w:b/>
      <w:bCs/>
      <w:sz w:val="28"/>
      <w:szCs w:val="28"/>
    </w:rPr>
  </w:style>
  <w:style w:type="character" w:customStyle="1" w:styleId="28">
    <w:name w:val="标题 5 字符"/>
    <w:basedOn w:val="20"/>
    <w:link w:val="6"/>
    <w:qFormat/>
    <w:uiPriority w:val="0"/>
    <w:rPr>
      <w:rFonts w:ascii="宋体" w:hAnsi="宋体" w:eastAsia="宋体" w:cs="宋体"/>
      <w:b/>
      <w:bCs/>
      <w:sz w:val="28"/>
      <w:szCs w:val="28"/>
    </w:rPr>
  </w:style>
  <w:style w:type="character" w:customStyle="1" w:styleId="29">
    <w:name w:val="标题 6 字符"/>
    <w:basedOn w:val="20"/>
    <w:link w:val="7"/>
    <w:semiHidden/>
    <w:qFormat/>
    <w:uiPriority w:val="9"/>
    <w:rPr>
      <w:rFonts w:asciiTheme="majorHAnsi" w:hAnsiTheme="majorHAnsi" w:eastAsiaTheme="majorEastAsia" w:cstheme="majorBidi"/>
      <w:b/>
      <w:bCs/>
      <w:sz w:val="24"/>
      <w:szCs w:val="24"/>
    </w:rPr>
  </w:style>
  <w:style w:type="character" w:customStyle="1" w:styleId="30">
    <w:name w:val="标题 7 字符"/>
    <w:basedOn w:val="20"/>
    <w:link w:val="8"/>
    <w:semiHidden/>
    <w:qFormat/>
    <w:uiPriority w:val="9"/>
    <w:rPr>
      <w:rFonts w:ascii="宋体" w:hAnsi="宋体" w:eastAsia="宋体" w:cs="宋体"/>
      <w:b/>
      <w:bCs/>
      <w:sz w:val="24"/>
      <w:szCs w:val="24"/>
    </w:rPr>
  </w:style>
  <w:style w:type="character" w:customStyle="1" w:styleId="31">
    <w:name w:val="标题 8 字符"/>
    <w:basedOn w:val="20"/>
    <w:link w:val="9"/>
    <w:semiHidden/>
    <w:qFormat/>
    <w:uiPriority w:val="9"/>
    <w:rPr>
      <w:rFonts w:asciiTheme="majorHAnsi" w:hAnsiTheme="majorHAnsi" w:eastAsiaTheme="majorEastAsia" w:cstheme="majorBidi"/>
      <w:sz w:val="24"/>
      <w:szCs w:val="24"/>
    </w:rPr>
  </w:style>
  <w:style w:type="character" w:customStyle="1" w:styleId="32">
    <w:name w:val="标题 9 字符"/>
    <w:basedOn w:val="20"/>
    <w:link w:val="10"/>
    <w:semiHidden/>
    <w:qFormat/>
    <w:uiPriority w:val="9"/>
    <w:rPr>
      <w:rFonts w:asciiTheme="majorHAnsi" w:hAnsiTheme="majorHAnsi" w:eastAsiaTheme="majorEastAsia" w:cstheme="majorBidi"/>
      <w:szCs w:val="21"/>
    </w:rPr>
  </w:style>
  <w:style w:type="paragraph" w:customStyle="1" w:styleId="33">
    <w:name w:val="表格标题-居中"/>
    <w:next w:val="1"/>
    <w:link w:val="34"/>
    <w:qFormat/>
    <w:uiPriority w:val="0"/>
    <w:pPr>
      <w:ind w:firstLine="480"/>
      <w:jc w:val="center"/>
    </w:pPr>
    <w:rPr>
      <w:rFonts w:ascii="宋体" w:hAnsi="宋体" w:eastAsia="宋体" w:cs="宋体"/>
      <w:b/>
      <w:kern w:val="2"/>
      <w:sz w:val="24"/>
      <w:szCs w:val="24"/>
      <w:lang w:val="en-US" w:eastAsia="zh-CN" w:bidi="ar-SA"/>
    </w:rPr>
  </w:style>
  <w:style w:type="character" w:customStyle="1" w:styleId="34">
    <w:name w:val="表格标题-居中 字符"/>
    <w:basedOn w:val="20"/>
    <w:link w:val="33"/>
    <w:qFormat/>
    <w:uiPriority w:val="0"/>
    <w:rPr>
      <w:rFonts w:ascii="宋体" w:hAnsi="宋体" w:eastAsia="宋体" w:cs="宋体"/>
      <w:b/>
      <w:sz w:val="24"/>
      <w:szCs w:val="24"/>
    </w:rPr>
  </w:style>
  <w:style w:type="character" w:customStyle="1" w:styleId="35">
    <w:name w:val="批注框文本 字符"/>
    <w:basedOn w:val="20"/>
    <w:link w:val="14"/>
    <w:semiHidden/>
    <w:qFormat/>
    <w:uiPriority w:val="99"/>
    <w:rPr>
      <w:rFonts w:ascii="宋体" w:hAnsi="宋体" w:eastAsia="宋体" w:cs="宋体"/>
      <w:sz w:val="18"/>
      <w:szCs w:val="18"/>
    </w:rPr>
  </w:style>
  <w:style w:type="paragraph" w:customStyle="1" w:styleId="36">
    <w:name w:val="正文-表格"/>
    <w:basedOn w:val="1"/>
    <w:link w:val="37"/>
    <w:qFormat/>
    <w:uiPriority w:val="0"/>
    <w:pPr>
      <w:widowControl/>
      <w:ind w:firstLine="0" w:firstLineChars="0"/>
      <w:jc w:val="center"/>
    </w:pPr>
    <w:rPr>
      <w:color w:val="000000"/>
      <w:sz w:val="21"/>
    </w:rPr>
  </w:style>
  <w:style w:type="character" w:customStyle="1" w:styleId="37">
    <w:name w:val="正文-表格 字符"/>
    <w:link w:val="36"/>
    <w:qFormat/>
    <w:uiPriority w:val="0"/>
    <w:rPr>
      <w:rFonts w:ascii="宋体" w:hAnsi="宋体" w:eastAsia="宋体" w:cs="宋体"/>
      <w:color w:val="000000"/>
      <w:szCs w:val="24"/>
    </w:rPr>
  </w:style>
  <w:style w:type="paragraph" w:customStyle="1" w:styleId="38">
    <w:name w:val="缩进_小四号_1.5行距"/>
    <w:basedOn w:val="1"/>
    <w:link w:val="40"/>
    <w:qFormat/>
    <w:uiPriority w:val="0"/>
    <w:pPr>
      <w:ind w:firstLine="480"/>
    </w:pPr>
    <w:rPr>
      <w:rFonts w:ascii="Calibri" w:hAnsi="Calibri"/>
      <w:szCs w:val="20"/>
    </w:rPr>
  </w:style>
  <w:style w:type="paragraph" w:customStyle="1" w:styleId="39">
    <w:name w:val="缩进_五号_1.5行距"/>
    <w:basedOn w:val="1"/>
    <w:qFormat/>
    <w:uiPriority w:val="0"/>
    <w:pPr>
      <w:ind w:firstLine="420"/>
    </w:pPr>
    <w:rPr>
      <w:rFonts w:ascii="Calibri" w:hAnsi="Calibri"/>
      <w:sz w:val="21"/>
      <w:szCs w:val="20"/>
    </w:rPr>
  </w:style>
  <w:style w:type="character" w:customStyle="1" w:styleId="40">
    <w:name w:val="缩进_小四号_1.5行距 Char"/>
    <w:link w:val="38"/>
    <w:qFormat/>
    <w:uiPriority w:val="0"/>
    <w:rPr>
      <w:rFonts w:ascii="Calibri" w:hAnsi="Calibri" w:eastAsia="宋体" w:cs="宋体"/>
      <w:sz w:val="24"/>
      <w:szCs w:val="20"/>
    </w:rPr>
  </w:style>
  <w:style w:type="paragraph" w:customStyle="1" w:styleId="4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列表段落2"/>
    <w:basedOn w:val="1"/>
    <w:qFormat/>
    <w:uiPriority w:val="0"/>
    <w:pPr>
      <w:spacing w:line="240" w:lineRule="auto"/>
      <w:ind w:firstLine="420"/>
    </w:pPr>
    <w:rPr>
      <w:rFonts w:ascii="Calibri" w:hAnsi="Calibri" w:cs="Times New Roman"/>
      <w:sz w:val="21"/>
      <w:szCs w:val="22"/>
    </w:rPr>
  </w:style>
  <w:style w:type="character" w:customStyle="1" w:styleId="43">
    <w:name w:val="正文缩进 字符"/>
    <w:link w:val="11"/>
    <w:qFormat/>
    <w:uiPriority w:val="0"/>
    <w:rPr>
      <w:rFonts w:ascii="Times New Roman" w:hAnsi="Times New Roman" w:eastAsia="宋体" w:cs="Times New Roman"/>
      <w:sz w:val="24"/>
      <w:szCs w:val="24"/>
    </w:rPr>
  </w:style>
  <w:style w:type="character" w:customStyle="1" w:styleId="44">
    <w:name w:val="批注文字 字符"/>
    <w:basedOn w:val="20"/>
    <w:link w:val="13"/>
    <w:qFormat/>
    <w:uiPriority w:val="99"/>
    <w:rPr>
      <w:rFonts w:ascii="Cambria" w:hAnsi="Cambria" w:eastAsia="仿宋" w:cs="等线"/>
      <w:sz w:val="28"/>
    </w:rPr>
  </w:style>
  <w:style w:type="character" w:customStyle="1" w:styleId="45">
    <w:name w:val="批注主题 字符"/>
    <w:basedOn w:val="44"/>
    <w:link w:val="17"/>
    <w:semiHidden/>
    <w:qFormat/>
    <w:uiPriority w:val="9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AE35A-286A-41BA-B8A2-492CAB10655E}">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10044</Words>
  <Characters>10552</Characters>
  <Lines>232</Lines>
  <Paragraphs>65</Paragraphs>
  <TotalTime>11</TotalTime>
  <ScaleCrop>false</ScaleCrop>
  <LinksUpToDate>false</LinksUpToDate>
  <CharactersWithSpaces>10563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2026-06-26T03:30:00Z</dcterms:created>
  <dc:creator>user</dc:creator>
  <cp:lastModifiedBy>DZ</cp:lastModifiedBy>
  <dcterms:modified xsi:type="dcterms:W3CDTF">2026-07-03T09:22:03Z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BF904DB5531446CD94F8F35F89BC38FA</vt:lpwstr>
  </property>
  <property fmtid="{D5CDD505-2E9C-101B-9397-08002B2CF9AE}" pid="4" name="KSOTemplateDocerSaveRecord">
    <vt:lpwstr>eyJoZGlkIjoiOGNiZDU5MmMxMjE4MDlmNTFkZjRjYmM1MDU3ZDY4ZDAiLCJ1c2VySWQiOiIzNDQ3NDg0ODQifQ==</vt:lpwstr>
  </property>
</Properties>
</file>