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E3FC3">
      <w:pPr>
        <w:ind w:firstLine="496"/>
        <w:rPr>
          <w:rFonts w:hint="eastAsia"/>
        </w:rPr>
      </w:pPr>
    </w:p>
    <w:p w14:paraId="16210844">
      <w:pPr>
        <w:ind w:firstLine="496"/>
        <w:rPr>
          <w:rFonts w:hint="eastAsia"/>
        </w:rPr>
      </w:pPr>
    </w:p>
    <w:p w14:paraId="0C46C5D0">
      <w:pPr>
        <w:ind w:firstLine="496"/>
        <w:rPr>
          <w:rFonts w:hint="eastAsia"/>
        </w:rPr>
      </w:pPr>
    </w:p>
    <w:p w14:paraId="121F7D61">
      <w:pPr>
        <w:ind w:firstLine="496"/>
        <w:rPr>
          <w:rFonts w:hint="eastAsia"/>
        </w:rPr>
      </w:pPr>
    </w:p>
    <w:p w14:paraId="5D19AA48">
      <w:pPr>
        <w:jc w:val="center"/>
        <w:rPr>
          <w:rFonts w:hint="eastAsia" w:ascii="宋体" w:hAnsi="宋体" w:eastAsia="宋体" w:cs="宋体"/>
          <w:b w:val="0"/>
          <w:bCs/>
          <w:sz w:val="28"/>
          <w:szCs w:val="28"/>
        </w:rPr>
      </w:pPr>
      <w:r>
        <w:rPr>
          <w:rFonts w:hint="eastAsia" w:ascii="宋体" w:hAnsi="宋体" w:eastAsia="宋体" w:cs="宋体"/>
          <w:b w:val="0"/>
          <w:bCs/>
          <w:sz w:val="28"/>
          <w:szCs w:val="28"/>
        </w:rPr>
        <w:t>2026年青浦区重要网络和信息系统密码应用安全性评估</w:t>
      </w:r>
    </w:p>
    <w:p w14:paraId="3CA68744">
      <w:pPr>
        <w:jc w:val="center"/>
        <w:rPr>
          <w:rFonts w:hint="eastAsia" w:ascii="宋体" w:hAnsi="宋体" w:eastAsia="宋体" w:cs="宋体"/>
          <w:b w:val="0"/>
          <w:bCs/>
          <w:sz w:val="28"/>
          <w:szCs w:val="28"/>
          <w:lang w:eastAsia="zh-CN"/>
        </w:rPr>
      </w:pPr>
      <w:r>
        <w:rPr>
          <w:rFonts w:hint="eastAsia" w:ascii="宋体" w:hAnsi="宋体" w:eastAsia="宋体" w:cs="宋体"/>
          <w:b w:val="0"/>
          <w:bCs/>
          <w:sz w:val="28"/>
          <w:szCs w:val="28"/>
        </w:rPr>
        <w:t>项目采购</w:t>
      </w:r>
      <w:r>
        <w:rPr>
          <w:rFonts w:hint="eastAsia" w:ascii="宋体" w:hAnsi="宋体" w:eastAsia="宋体" w:cs="宋体"/>
          <w:b w:val="0"/>
          <w:bCs/>
          <w:sz w:val="28"/>
          <w:szCs w:val="28"/>
          <w:lang w:eastAsia="zh-CN"/>
        </w:rPr>
        <w:t>需求</w:t>
      </w:r>
    </w:p>
    <w:p w14:paraId="5B9FFFE3">
      <w:pPr>
        <w:ind w:firstLine="496"/>
        <w:rPr>
          <w:rFonts w:hint="eastAsia" w:ascii="宋体" w:hAnsi="宋体" w:eastAsia="宋体" w:cs="宋体"/>
          <w:b w:val="0"/>
          <w:bCs/>
          <w:sz w:val="28"/>
          <w:szCs w:val="28"/>
        </w:rPr>
      </w:pPr>
    </w:p>
    <w:p w14:paraId="24288C8C">
      <w:pPr>
        <w:ind w:firstLine="496"/>
        <w:rPr>
          <w:rFonts w:hint="eastAsia" w:ascii="宋体" w:hAnsi="宋体" w:eastAsia="宋体" w:cs="宋体"/>
          <w:b w:val="0"/>
          <w:bCs/>
          <w:sz w:val="28"/>
          <w:szCs w:val="28"/>
        </w:rPr>
      </w:pPr>
    </w:p>
    <w:p w14:paraId="42A48B9C">
      <w:pPr>
        <w:ind w:firstLine="496"/>
        <w:rPr>
          <w:rFonts w:hint="eastAsia" w:ascii="宋体" w:hAnsi="宋体" w:eastAsia="宋体" w:cs="宋体"/>
          <w:b w:val="0"/>
          <w:bCs/>
          <w:sz w:val="28"/>
          <w:szCs w:val="28"/>
        </w:rPr>
      </w:pPr>
    </w:p>
    <w:p w14:paraId="3D8CB4B7">
      <w:pPr>
        <w:ind w:firstLine="496"/>
        <w:rPr>
          <w:rFonts w:hint="eastAsia" w:ascii="宋体" w:hAnsi="宋体" w:eastAsia="宋体" w:cs="宋体"/>
          <w:b w:val="0"/>
          <w:bCs/>
          <w:sz w:val="28"/>
          <w:szCs w:val="28"/>
        </w:rPr>
      </w:pPr>
    </w:p>
    <w:p w14:paraId="59FDB08A">
      <w:pPr>
        <w:ind w:firstLine="758"/>
        <w:jc w:val="center"/>
        <w:rPr>
          <w:rFonts w:hint="eastAsia" w:ascii="宋体" w:hAnsi="宋体" w:eastAsia="宋体" w:cs="宋体"/>
          <w:b w:val="0"/>
          <w:bCs/>
          <w:sz w:val="28"/>
          <w:szCs w:val="28"/>
        </w:rPr>
      </w:pPr>
    </w:p>
    <w:p w14:paraId="746A72B9">
      <w:pPr>
        <w:pStyle w:val="2"/>
        <w:numPr>
          <w:ilvl w:val="0"/>
          <w:numId w:val="0"/>
        </w:numPr>
        <w:ind w:left="860" w:hanging="440"/>
        <w:rPr>
          <w:rFonts w:hint="eastAsia" w:ascii="宋体" w:hAnsi="宋体" w:eastAsia="宋体" w:cs="宋体"/>
          <w:b w:val="0"/>
          <w:bCs/>
          <w:sz w:val="28"/>
          <w:szCs w:val="28"/>
        </w:rPr>
      </w:pPr>
    </w:p>
    <w:p w14:paraId="32C0262F">
      <w:pPr>
        <w:pStyle w:val="2"/>
        <w:numPr>
          <w:ilvl w:val="0"/>
          <w:numId w:val="0"/>
        </w:numPr>
        <w:ind w:left="860" w:hanging="440"/>
        <w:rPr>
          <w:rFonts w:hint="eastAsia" w:ascii="宋体" w:hAnsi="宋体" w:eastAsia="宋体" w:cs="宋体"/>
          <w:b w:val="0"/>
          <w:bCs/>
          <w:sz w:val="28"/>
          <w:szCs w:val="28"/>
        </w:rPr>
      </w:pPr>
    </w:p>
    <w:p w14:paraId="1085A009">
      <w:pPr>
        <w:pStyle w:val="2"/>
        <w:numPr>
          <w:ilvl w:val="0"/>
          <w:numId w:val="0"/>
        </w:numPr>
        <w:ind w:left="860" w:hanging="440"/>
        <w:rPr>
          <w:rFonts w:hint="eastAsia" w:ascii="宋体" w:hAnsi="宋体" w:eastAsia="宋体" w:cs="宋体"/>
          <w:b w:val="0"/>
          <w:bCs/>
          <w:sz w:val="28"/>
          <w:szCs w:val="28"/>
        </w:rPr>
      </w:pPr>
    </w:p>
    <w:p w14:paraId="71592D44">
      <w:pPr>
        <w:pStyle w:val="2"/>
        <w:numPr>
          <w:ilvl w:val="0"/>
          <w:numId w:val="0"/>
        </w:numPr>
        <w:ind w:left="860" w:hanging="440"/>
        <w:rPr>
          <w:rFonts w:hint="eastAsia" w:ascii="宋体" w:hAnsi="宋体" w:eastAsia="宋体" w:cs="宋体"/>
          <w:b w:val="0"/>
          <w:bCs/>
          <w:sz w:val="28"/>
          <w:szCs w:val="28"/>
        </w:rPr>
      </w:pPr>
    </w:p>
    <w:p w14:paraId="052A8C28">
      <w:pPr>
        <w:pStyle w:val="2"/>
        <w:numPr>
          <w:ilvl w:val="0"/>
          <w:numId w:val="0"/>
        </w:numPr>
        <w:ind w:left="860" w:hanging="440"/>
        <w:rPr>
          <w:rFonts w:hint="eastAsia" w:ascii="宋体" w:hAnsi="宋体" w:eastAsia="宋体" w:cs="宋体"/>
          <w:b w:val="0"/>
          <w:bCs/>
          <w:sz w:val="28"/>
          <w:szCs w:val="28"/>
        </w:rPr>
      </w:pPr>
    </w:p>
    <w:p w14:paraId="4C4F9726">
      <w:pPr>
        <w:pStyle w:val="2"/>
        <w:numPr>
          <w:ilvl w:val="0"/>
          <w:numId w:val="0"/>
        </w:numPr>
        <w:ind w:left="860" w:hanging="440"/>
        <w:rPr>
          <w:rFonts w:hint="eastAsia" w:ascii="宋体" w:hAnsi="宋体" w:eastAsia="宋体" w:cs="宋体"/>
          <w:b w:val="0"/>
          <w:bCs/>
          <w:sz w:val="28"/>
          <w:szCs w:val="28"/>
        </w:rPr>
      </w:pPr>
    </w:p>
    <w:p w14:paraId="2466649F">
      <w:pPr>
        <w:pStyle w:val="2"/>
        <w:numPr>
          <w:ilvl w:val="0"/>
          <w:numId w:val="0"/>
        </w:numPr>
        <w:ind w:left="860" w:hanging="440"/>
        <w:rPr>
          <w:rFonts w:hint="eastAsia" w:ascii="宋体" w:hAnsi="宋体" w:eastAsia="宋体" w:cs="宋体"/>
          <w:b w:val="0"/>
          <w:bCs/>
          <w:sz w:val="28"/>
          <w:szCs w:val="28"/>
        </w:rPr>
      </w:pPr>
    </w:p>
    <w:p w14:paraId="072EFD1C">
      <w:pPr>
        <w:pStyle w:val="2"/>
        <w:numPr>
          <w:ilvl w:val="0"/>
          <w:numId w:val="0"/>
        </w:numPr>
        <w:ind w:left="860" w:hanging="440"/>
        <w:rPr>
          <w:rFonts w:hint="eastAsia" w:ascii="宋体" w:hAnsi="宋体" w:eastAsia="宋体" w:cs="宋体"/>
          <w:b w:val="0"/>
          <w:bCs/>
          <w:sz w:val="28"/>
          <w:szCs w:val="28"/>
        </w:rPr>
      </w:pPr>
    </w:p>
    <w:p w14:paraId="30B0CA61">
      <w:pPr>
        <w:pStyle w:val="2"/>
        <w:numPr>
          <w:ilvl w:val="0"/>
          <w:numId w:val="0"/>
        </w:numPr>
        <w:ind w:left="860" w:hanging="440"/>
        <w:rPr>
          <w:rFonts w:hint="eastAsia" w:ascii="宋体" w:hAnsi="宋体" w:eastAsia="宋体" w:cs="宋体"/>
          <w:b w:val="0"/>
          <w:bCs/>
          <w:sz w:val="28"/>
          <w:szCs w:val="28"/>
        </w:rPr>
      </w:pPr>
    </w:p>
    <w:p w14:paraId="0950AF5A">
      <w:pPr>
        <w:pStyle w:val="2"/>
        <w:numPr>
          <w:ilvl w:val="0"/>
          <w:numId w:val="0"/>
        </w:numPr>
        <w:ind w:left="860" w:hanging="440"/>
        <w:rPr>
          <w:rFonts w:hint="eastAsia" w:ascii="宋体" w:hAnsi="宋体" w:eastAsia="宋体" w:cs="宋体"/>
          <w:b w:val="0"/>
          <w:bCs/>
          <w:sz w:val="28"/>
          <w:szCs w:val="28"/>
        </w:rPr>
      </w:pPr>
    </w:p>
    <w:p w14:paraId="7763C770">
      <w:pPr>
        <w:pStyle w:val="2"/>
        <w:numPr>
          <w:ilvl w:val="0"/>
          <w:numId w:val="0"/>
        </w:numPr>
        <w:ind w:left="860" w:hanging="440"/>
        <w:jc w:val="center"/>
        <w:rPr>
          <w:rFonts w:hint="eastAsia" w:ascii="宋体" w:hAnsi="宋体" w:eastAsia="宋体" w:cs="宋体"/>
          <w:b w:val="0"/>
          <w:bCs/>
          <w:sz w:val="28"/>
          <w:szCs w:val="28"/>
        </w:rPr>
      </w:pPr>
      <w:r>
        <w:rPr>
          <w:rFonts w:hint="eastAsia" w:ascii="宋体" w:hAnsi="宋体" w:eastAsia="宋体" w:cs="宋体"/>
          <w:b w:val="0"/>
          <w:bCs/>
          <w:sz w:val="28"/>
          <w:szCs w:val="28"/>
        </w:rPr>
        <w:t>上海市青浦区</w:t>
      </w:r>
      <w:r>
        <w:rPr>
          <w:rFonts w:hint="eastAsia" w:ascii="宋体" w:hAnsi="宋体" w:eastAsia="宋体" w:cs="宋体"/>
          <w:b w:val="0"/>
          <w:bCs/>
          <w:sz w:val="28"/>
          <w:szCs w:val="28"/>
          <w:lang w:val="en-US" w:eastAsia="zh-CN"/>
        </w:rPr>
        <w:t>政务</w:t>
      </w:r>
      <w:r>
        <w:rPr>
          <w:rFonts w:hint="eastAsia" w:ascii="宋体" w:hAnsi="宋体" w:eastAsia="宋体" w:cs="宋体"/>
          <w:b w:val="0"/>
          <w:bCs/>
          <w:sz w:val="28"/>
          <w:szCs w:val="28"/>
        </w:rPr>
        <w:t>服务中心</w:t>
      </w:r>
    </w:p>
    <w:p w14:paraId="49E71949">
      <w:pPr>
        <w:pStyle w:val="2"/>
        <w:numPr>
          <w:ilvl w:val="0"/>
          <w:numId w:val="0"/>
        </w:numPr>
        <w:ind w:left="860" w:hanging="440"/>
        <w:jc w:val="center"/>
        <w:rPr>
          <w:rFonts w:hint="eastAsia" w:ascii="宋体" w:hAnsi="宋体" w:eastAsia="宋体" w:cs="宋体"/>
          <w:b w:val="0"/>
          <w:bCs/>
          <w:sz w:val="28"/>
          <w:szCs w:val="28"/>
        </w:rPr>
      </w:pPr>
      <w:r>
        <w:rPr>
          <w:rFonts w:hint="eastAsia" w:ascii="宋体" w:hAnsi="宋体" w:eastAsia="宋体" w:cs="宋体"/>
          <w:b w:val="0"/>
          <w:bCs/>
          <w:sz w:val="28"/>
          <w:szCs w:val="28"/>
        </w:rPr>
        <w:t>(上海市青浦区大数据中心)</w:t>
      </w:r>
    </w:p>
    <w:p w14:paraId="41C1DA43">
      <w:pPr>
        <w:pStyle w:val="2"/>
        <w:numPr>
          <w:ilvl w:val="0"/>
          <w:numId w:val="0"/>
        </w:numPr>
        <w:ind w:left="860" w:hanging="440"/>
        <w:rPr>
          <w:rFonts w:hint="eastAsia" w:ascii="宋体" w:hAnsi="宋体" w:eastAsia="宋体" w:cs="宋体"/>
          <w:sz w:val="21"/>
          <w:szCs w:val="21"/>
        </w:rPr>
      </w:pPr>
    </w:p>
    <w:p w14:paraId="44DF26E3">
      <w:pPr>
        <w:ind w:firstLine="496"/>
        <w:rPr>
          <w:rFonts w:hint="eastAsia" w:ascii="宋体" w:hAnsi="宋体" w:eastAsia="宋体" w:cs="宋体"/>
          <w:sz w:val="21"/>
          <w:szCs w:val="21"/>
        </w:rPr>
      </w:pPr>
    </w:p>
    <w:p w14:paraId="3FE3B78B">
      <w:pPr>
        <w:ind w:firstLine="496"/>
        <w:rPr>
          <w:rFonts w:hint="eastAsia" w:ascii="宋体" w:hAnsi="宋体" w:eastAsia="宋体" w:cs="宋体"/>
          <w:sz w:val="21"/>
          <w:szCs w:val="21"/>
        </w:rPr>
      </w:pPr>
    </w:p>
    <w:p w14:paraId="1E052A9C">
      <w:pPr>
        <w:ind w:firstLine="496"/>
        <w:rPr>
          <w:rFonts w:hint="eastAsia" w:ascii="宋体" w:hAnsi="宋体" w:eastAsia="宋体" w:cs="宋体"/>
          <w:sz w:val="21"/>
          <w:szCs w:val="21"/>
        </w:rPr>
      </w:pPr>
    </w:p>
    <w:p w14:paraId="474077B7">
      <w:pPr>
        <w:ind w:firstLine="496"/>
        <w:rPr>
          <w:rFonts w:hint="eastAsia" w:ascii="宋体" w:hAnsi="宋体" w:eastAsia="宋体" w:cs="宋体"/>
          <w:sz w:val="21"/>
          <w:szCs w:val="21"/>
        </w:rPr>
      </w:pPr>
    </w:p>
    <w:p w14:paraId="0F3D878B">
      <w:pPr>
        <w:widowControl/>
        <w:jc w:val="left"/>
        <w:rPr>
          <w:rFonts w:hint="eastAsia" w:ascii="宋体" w:hAnsi="宋体" w:eastAsia="宋体" w:cs="宋体"/>
          <w:b/>
          <w:bCs/>
          <w:sz w:val="21"/>
          <w:szCs w:val="21"/>
        </w:rPr>
      </w:pPr>
      <w:r>
        <w:rPr>
          <w:rFonts w:hint="eastAsia" w:ascii="宋体" w:hAnsi="宋体" w:eastAsia="宋体" w:cs="宋体"/>
          <w:sz w:val="21"/>
          <w:szCs w:val="21"/>
        </w:rPr>
        <w:br w:type="page"/>
      </w:r>
    </w:p>
    <w:p w14:paraId="46858DBA">
      <w:pPr>
        <w:pStyle w:val="5"/>
        <w:spacing w:before="120" w:after="120" w:line="360" w:lineRule="auto"/>
        <w:rPr>
          <w:rFonts w:hint="eastAsia" w:ascii="宋体" w:hAnsi="宋体" w:eastAsia="宋体" w:cs="宋体"/>
          <w:sz w:val="21"/>
          <w:szCs w:val="21"/>
        </w:rPr>
      </w:pPr>
      <w:r>
        <w:rPr>
          <w:rFonts w:hint="eastAsia" w:ascii="宋体" w:hAnsi="宋体" w:eastAsia="宋体" w:cs="宋体"/>
          <w:sz w:val="21"/>
          <w:szCs w:val="21"/>
        </w:rPr>
        <w:t>（一）项目概况</w:t>
      </w:r>
    </w:p>
    <w:p w14:paraId="0C9AF52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1、项目背景</w:t>
      </w:r>
    </w:p>
    <w:p w14:paraId="2FBCD308">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党的十八大以来，我国商用密码管理逐步向法治化、规范化、体系化方向迈进。2019年10月26日，第十三届全国人民代</w:t>
      </w:r>
      <w:bookmarkStart w:id="4" w:name="_GoBack"/>
      <w:bookmarkEnd w:id="4"/>
      <w:r>
        <w:rPr>
          <w:rFonts w:hint="eastAsia" w:ascii="宋体" w:hAnsi="宋体" w:eastAsia="宋体" w:cs="宋体"/>
          <w:sz w:val="21"/>
          <w:szCs w:val="21"/>
        </w:rPr>
        <w:t>表大会常务委员会第十四次会议表决通过《中华人民共和国密码法》，自2020年1月1日起施行，这既是党中央作出的重要战略部署，也是顺应全球信息化发展趋势、 维护国家网络和信息安全的必然要求。</w:t>
      </w:r>
    </w:p>
    <w:p w14:paraId="79F8B44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2023年6月，我市印发系列文件，明确提出要做好党政机关及事业单位、教育、卫生健康、国资、公安、电信、广播电视、能源、金融、公路水路运输、铁路、民航、邮政、水利、应急管理、社会保障、国防科技工业等重要行业领域信息系统密码应用与安全性评估工作，应同步规划、同步建设、同步运行密码保障系统并定期进行密码测评；信息化项目在项目报批阶段，编制密码应用方案并开展密码应用方案评审，同时将方案和密码应用方案评审报告作为履行项目审批程序的必备材料；信息化项目在建设阶段，确保密码应用符合相关规定或者批复要求，建设完成后需组织对系统进行密码应用测评，将结论作为验收重要内容，验收不合格的不得通过项目验收；信息化项目在运行阶段，对于不符合密码应用要求的信息系统，不安排运行维护经费，项目建设单位不得新建、改建、扩建信息系统；上海市密码管理局、大数据局等部门会同有关职能部门，对密码应用情况实施监督管理，视情予以通报批评、暂缓安排投资计划、暂停项目建设直至终止项目；各部门应当严格按要求采用密码技术，并定期开展密码应用安全性测评，确保重要信息系统运行安全和信息资源共享交换的数据安全。</w:t>
      </w:r>
    </w:p>
    <w:p w14:paraId="55289727">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开展密码应用安全性评估工作是完善信息系统密码应用安全防护能力的一个重要环节，也是信息系统密码应用安全建设和管理的重要组成部分。通过测评可以发现信息系统密码应用的安全现状与需要达到的安全等级或目标的差异， 进行全面有效的密码应用安全整改建设，使系统密码应用在技术和管理方面有针对性的加强和完善，以确保网络和信息系统的安全。</w:t>
      </w:r>
    </w:p>
    <w:p w14:paraId="113B9627">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2、项目服务期限：自合同签订之日起至2026年12月31日。</w:t>
      </w:r>
    </w:p>
    <w:p w14:paraId="35FC079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3、预算金额：￥271.26万元</w:t>
      </w:r>
    </w:p>
    <w:p w14:paraId="20BD341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4、采购金额：￥271.26万元</w:t>
      </w:r>
    </w:p>
    <w:p w14:paraId="1584C56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5、组织形式：集中采购 </w:t>
      </w:r>
    </w:p>
    <w:p w14:paraId="2194DE5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6、采购方式： </w:t>
      </w:r>
    </w:p>
    <w:p w14:paraId="6722DA7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7、面向企业类型： </w:t>
      </w:r>
    </w:p>
    <w:p w14:paraId="3CCEC53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8、是否接受联合体投标：否</w:t>
      </w:r>
    </w:p>
    <w:p w14:paraId="4D40D0A7">
      <w:pPr>
        <w:pStyle w:val="5"/>
        <w:spacing w:before="120" w:after="120" w:line="360" w:lineRule="auto"/>
        <w:rPr>
          <w:rFonts w:hint="eastAsia" w:ascii="宋体" w:hAnsi="宋体" w:eastAsia="宋体" w:cs="宋体"/>
          <w:sz w:val="21"/>
          <w:szCs w:val="21"/>
        </w:rPr>
      </w:pPr>
      <w:r>
        <w:rPr>
          <w:rFonts w:hint="eastAsia" w:ascii="宋体" w:hAnsi="宋体" w:eastAsia="宋体" w:cs="宋体"/>
          <w:sz w:val="21"/>
          <w:szCs w:val="21"/>
        </w:rPr>
        <w:t>（二）供应商资格及要求</w:t>
      </w:r>
      <w:bookmarkStart w:id="0" w:name="_Hlk510447788"/>
    </w:p>
    <w:p w14:paraId="4A91716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1、供应商满足《中华人民共和国政府采购法》第二十一条及二十二条规定的条件；</w:t>
      </w:r>
    </w:p>
    <w:p w14:paraId="48B87B59">
      <w:pPr>
        <w:spacing w:line="360"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2、供应商应须具备有效期内的国家密码管理部门颁发商用密码检测机构资质证书（业务范围：商用密码应用安全性评估）;</w:t>
      </w:r>
    </w:p>
    <w:p w14:paraId="6860D3A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3、供应商提供参加政府采购活动前3年内在经营活动中没有重大违法记录的书面声明；</w:t>
      </w:r>
    </w:p>
    <w:p w14:paraId="65A3C09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参加政府采购活动前三年内未被列入“信用中国”网站(www.creditchina.gov.cn)失信被执行人、重大税收违法案件当事人、政府采购严重违法失信行为记录名单和“中国政府采购”网站（www.ccgp.gov.cn）政府采购严重违法失信行为记录名单。</w:t>
      </w:r>
      <w:bookmarkEnd w:id="0"/>
    </w:p>
    <w:p w14:paraId="561F8F4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5、本项目不接受联合体参加投标。与采购人存在利害关系可能影响公正性的法人、其他组织或者个人，不得参加投标；单位负责人为同一人或者存在控股、管理关系的不同单位，不得同时参加本项目的投标。</w:t>
      </w:r>
    </w:p>
    <w:p w14:paraId="13C7B83D">
      <w:pPr>
        <w:pStyle w:val="4"/>
        <w:rPr>
          <w:rFonts w:hint="eastAsia" w:ascii="宋体" w:hAnsi="宋体" w:eastAsia="宋体" w:cs="宋体"/>
          <w:sz w:val="21"/>
          <w:szCs w:val="21"/>
        </w:rPr>
      </w:pPr>
      <w:r>
        <w:rPr>
          <w:rFonts w:hint="eastAsia" w:ascii="宋体" w:hAnsi="宋体" w:eastAsia="宋体" w:cs="宋体"/>
          <w:sz w:val="21"/>
          <w:szCs w:val="21"/>
        </w:rPr>
        <w:t>第二部分：采购项目要求</w:t>
      </w:r>
    </w:p>
    <w:p w14:paraId="6FF3A6CB">
      <w:pPr>
        <w:pStyle w:val="5"/>
        <w:spacing w:before="120" w:after="120" w:line="360" w:lineRule="auto"/>
        <w:rPr>
          <w:rFonts w:hint="eastAsia" w:ascii="宋体" w:hAnsi="宋体" w:eastAsia="宋体" w:cs="宋体"/>
          <w:sz w:val="21"/>
          <w:szCs w:val="21"/>
        </w:rPr>
      </w:pPr>
      <w:r>
        <w:rPr>
          <w:rFonts w:hint="eastAsia" w:ascii="宋体" w:hAnsi="宋体" w:eastAsia="宋体" w:cs="宋体"/>
          <w:sz w:val="21"/>
          <w:szCs w:val="21"/>
        </w:rPr>
        <w:t>（一） 项目概述</w:t>
      </w:r>
    </w:p>
    <w:p w14:paraId="7152A125">
      <w:pPr>
        <w:spacing w:line="360" w:lineRule="auto"/>
        <w:ind w:firstLine="420" w:firstLineChars="200"/>
        <w:rPr>
          <w:rFonts w:hint="eastAsia" w:ascii="宋体" w:hAnsi="宋体" w:eastAsia="宋体" w:cs="宋体"/>
          <w:sz w:val="21"/>
          <w:szCs w:val="21"/>
        </w:rPr>
      </w:pPr>
      <w:bookmarkStart w:id="1" w:name="_Hlk195100556"/>
      <w:r>
        <w:rPr>
          <w:rFonts w:hint="eastAsia" w:ascii="宋体" w:hAnsi="宋体" w:eastAsia="宋体" w:cs="宋体"/>
          <w:sz w:val="21"/>
          <w:szCs w:val="21"/>
        </w:rPr>
        <w:t>近年来，网络和数据安全对国家安全和发展的重要性日益凸显，特别是在当前复杂多变的安全形势下，加强网络和数据安全保障工作已成为迫切需求。本项目依据《中华人民共和国密码法》、《商用密码管理条例》、《关键信息基础设施安全保护条例》等相关法律法规，对</w:t>
      </w:r>
      <w:r>
        <w:rPr>
          <w:rFonts w:hint="eastAsia" w:ascii="宋体" w:hAnsi="宋体" w:eastAsia="宋体" w:cs="宋体"/>
          <w:color w:val="auto"/>
          <w:sz w:val="21"/>
          <w:szCs w:val="21"/>
        </w:rPr>
        <w:t>青浦区不少于23个重要</w:t>
      </w:r>
      <w:r>
        <w:rPr>
          <w:rFonts w:hint="eastAsia" w:ascii="宋体" w:hAnsi="宋体" w:eastAsia="宋体" w:cs="宋体"/>
          <w:sz w:val="21"/>
          <w:szCs w:val="21"/>
        </w:rPr>
        <w:t>网络和信息系统密码应用的合规性，正确性，有效性进行安全性评估，通过评估可以发现信息系统密码应用的安全现状，进行全面有效的密码应用安全整改建设，使系统密码应用在技术和管理方面有针对性的加强和完善，以确保网络和信息系统的安全。</w:t>
      </w:r>
    </w:p>
    <w:bookmarkEnd w:id="1"/>
    <w:p w14:paraId="09FCFBC2">
      <w:pPr>
        <w:pStyle w:val="5"/>
        <w:numPr>
          <w:ilvl w:val="0"/>
          <w:numId w:val="2"/>
        </w:numPr>
        <w:spacing w:before="120" w:after="120" w:line="360" w:lineRule="auto"/>
        <w:rPr>
          <w:rFonts w:hint="eastAsia" w:ascii="宋体" w:hAnsi="宋体" w:eastAsia="宋体" w:cs="宋体"/>
          <w:sz w:val="21"/>
          <w:szCs w:val="21"/>
        </w:rPr>
      </w:pPr>
      <w:r>
        <w:rPr>
          <w:rFonts w:hint="eastAsia" w:ascii="宋体" w:hAnsi="宋体" w:eastAsia="宋体" w:cs="宋体"/>
          <w:sz w:val="21"/>
          <w:szCs w:val="21"/>
        </w:rPr>
        <w:t>项目系统范围</w:t>
      </w:r>
    </w:p>
    <w:tbl>
      <w:tblPr>
        <w:tblStyle w:val="10"/>
        <w:tblW w:w="8327" w:type="dxa"/>
        <w:jc w:val="center"/>
        <w:tblLayout w:type="autofit"/>
        <w:tblCellMar>
          <w:top w:w="0" w:type="dxa"/>
          <w:left w:w="108" w:type="dxa"/>
          <w:bottom w:w="0" w:type="dxa"/>
          <w:right w:w="108" w:type="dxa"/>
        </w:tblCellMar>
      </w:tblPr>
      <w:tblGrid>
        <w:gridCol w:w="741"/>
        <w:gridCol w:w="3432"/>
        <w:gridCol w:w="4154"/>
      </w:tblGrid>
      <w:tr w14:paraId="04BE5D25">
        <w:tblPrEx>
          <w:tblCellMar>
            <w:top w:w="0" w:type="dxa"/>
            <w:left w:w="108" w:type="dxa"/>
            <w:bottom w:w="0" w:type="dxa"/>
            <w:right w:w="108" w:type="dxa"/>
          </w:tblCellMar>
        </w:tblPrEx>
        <w:trPr>
          <w:tblHeade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495309EF">
            <w:pPr>
              <w:widowControl/>
              <w:snapToGrid w:val="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序号</w:t>
            </w:r>
          </w:p>
        </w:tc>
        <w:tc>
          <w:tcPr>
            <w:tcW w:w="3432" w:type="dxa"/>
            <w:tcBorders>
              <w:top w:val="single" w:color="000000" w:sz="4" w:space="0"/>
              <w:left w:val="single" w:color="000000" w:sz="4" w:space="0"/>
              <w:bottom w:val="single" w:color="000000" w:sz="4" w:space="0"/>
              <w:right w:val="single" w:color="000000" w:sz="4" w:space="0"/>
            </w:tcBorders>
            <w:vAlign w:val="center"/>
          </w:tcPr>
          <w:p w14:paraId="11B0E21B">
            <w:pPr>
              <w:widowControl/>
              <w:snapToGrid w:val="0"/>
              <w:jc w:val="center"/>
              <w:textAlignment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kern w:val="0"/>
                <w:sz w:val="21"/>
                <w:szCs w:val="21"/>
                <w:lang w:bidi="ar"/>
              </w:rPr>
              <w:t>单位</w:t>
            </w:r>
            <w:r>
              <w:rPr>
                <w:rFonts w:hint="eastAsia" w:ascii="宋体" w:hAnsi="宋体" w:eastAsia="宋体" w:cs="宋体"/>
                <w:b/>
                <w:bCs/>
                <w:color w:val="000000"/>
                <w:kern w:val="0"/>
                <w:sz w:val="21"/>
                <w:szCs w:val="21"/>
                <w:lang w:val="en-US" w:eastAsia="zh-CN" w:bidi="ar"/>
              </w:rPr>
              <w:t>名称</w:t>
            </w:r>
          </w:p>
        </w:tc>
        <w:tc>
          <w:tcPr>
            <w:tcW w:w="4154" w:type="dxa"/>
            <w:tcBorders>
              <w:top w:val="single" w:color="000000" w:sz="4" w:space="0"/>
              <w:left w:val="single" w:color="000000" w:sz="4" w:space="0"/>
              <w:bottom w:val="single" w:color="000000" w:sz="4" w:space="0"/>
              <w:right w:val="single" w:color="000000" w:sz="4" w:space="0"/>
            </w:tcBorders>
            <w:vAlign w:val="center"/>
          </w:tcPr>
          <w:p w14:paraId="49DED5D6">
            <w:pPr>
              <w:widowControl/>
              <w:snapToGrid w:val="0"/>
              <w:jc w:val="center"/>
              <w:textAlignment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费用名称</w:t>
            </w:r>
          </w:p>
        </w:tc>
      </w:tr>
      <w:tr w14:paraId="1E7AB3E5">
        <w:tblPrEx>
          <w:tblCellMar>
            <w:top w:w="0" w:type="dxa"/>
            <w:left w:w="108" w:type="dxa"/>
            <w:bottom w:w="0" w:type="dxa"/>
            <w:right w:w="108" w:type="dxa"/>
          </w:tblCellMar>
        </w:tblPrEx>
        <w:trPr>
          <w:jc w:val="center"/>
        </w:trPr>
        <w:tc>
          <w:tcPr>
            <w:tcW w:w="741" w:type="dxa"/>
            <w:tcBorders>
              <w:top w:val="nil"/>
              <w:left w:val="single" w:color="000000" w:sz="4" w:space="0"/>
              <w:bottom w:val="single" w:color="000000" w:sz="4" w:space="0"/>
              <w:right w:val="single" w:color="000000" w:sz="4" w:space="0"/>
            </w:tcBorders>
            <w:vAlign w:val="center"/>
          </w:tcPr>
          <w:p w14:paraId="16080539">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3432" w:type="dxa"/>
            <w:tcBorders>
              <w:top w:val="nil"/>
              <w:left w:val="single" w:color="000000" w:sz="4" w:space="0"/>
              <w:bottom w:val="single" w:color="000000" w:sz="4" w:space="0"/>
              <w:right w:val="single" w:color="000000" w:sz="4" w:space="0"/>
            </w:tcBorders>
            <w:vAlign w:val="center"/>
          </w:tcPr>
          <w:p w14:paraId="4CBD18B3">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上海市青浦区档案局</w:t>
            </w:r>
          </w:p>
        </w:tc>
        <w:tc>
          <w:tcPr>
            <w:tcW w:w="4154" w:type="dxa"/>
            <w:tcBorders>
              <w:top w:val="nil"/>
              <w:left w:val="single" w:color="000000" w:sz="4" w:space="0"/>
              <w:bottom w:val="single" w:color="000000" w:sz="4" w:space="0"/>
              <w:right w:val="single" w:color="000000" w:sz="4" w:space="0"/>
            </w:tcBorders>
            <w:vAlign w:val="center"/>
          </w:tcPr>
          <w:p w14:paraId="0D695F53">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数字档案馆一体化平台商用密码应用安全性评估</w:t>
            </w:r>
          </w:p>
        </w:tc>
      </w:tr>
      <w:tr w14:paraId="2D560774">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64540944">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3432" w:type="dxa"/>
            <w:tcBorders>
              <w:top w:val="single" w:color="000000" w:sz="4" w:space="0"/>
              <w:left w:val="single" w:color="000000" w:sz="4" w:space="0"/>
              <w:bottom w:val="single" w:color="000000" w:sz="4" w:space="0"/>
              <w:right w:val="single" w:color="000000" w:sz="4" w:space="0"/>
            </w:tcBorders>
            <w:vAlign w:val="center"/>
          </w:tcPr>
          <w:p w14:paraId="06F474E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区农业农村委</w:t>
            </w:r>
          </w:p>
        </w:tc>
        <w:tc>
          <w:tcPr>
            <w:tcW w:w="4154" w:type="dxa"/>
            <w:tcBorders>
              <w:top w:val="single" w:color="000000" w:sz="4" w:space="0"/>
              <w:left w:val="single" w:color="000000" w:sz="4" w:space="0"/>
              <w:bottom w:val="single" w:color="000000" w:sz="4" w:space="0"/>
              <w:right w:val="single" w:color="000000" w:sz="4" w:space="0"/>
            </w:tcBorders>
            <w:vAlign w:val="center"/>
          </w:tcPr>
          <w:p w14:paraId="6B36B8A2">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青浦农业农村信息共享平台（二期）商用密码应用安全性评估</w:t>
            </w:r>
          </w:p>
        </w:tc>
      </w:tr>
      <w:tr w14:paraId="5AF949E4">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5868B67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3432" w:type="dxa"/>
            <w:tcBorders>
              <w:top w:val="single" w:color="000000" w:sz="4" w:space="0"/>
              <w:left w:val="single" w:color="000000" w:sz="4" w:space="0"/>
              <w:bottom w:val="single" w:color="000000" w:sz="4" w:space="0"/>
              <w:right w:val="single" w:color="000000" w:sz="4" w:space="0"/>
            </w:tcBorders>
            <w:vAlign w:val="center"/>
          </w:tcPr>
          <w:p w14:paraId="442DF94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区机管局</w:t>
            </w:r>
          </w:p>
        </w:tc>
        <w:tc>
          <w:tcPr>
            <w:tcW w:w="4154" w:type="dxa"/>
            <w:tcBorders>
              <w:top w:val="single" w:color="000000" w:sz="4" w:space="0"/>
              <w:left w:val="single" w:color="000000" w:sz="4" w:space="0"/>
              <w:bottom w:val="single" w:color="000000" w:sz="4" w:space="0"/>
              <w:right w:val="single" w:color="000000" w:sz="4" w:space="0"/>
            </w:tcBorders>
            <w:noWrap/>
            <w:vAlign w:val="center"/>
          </w:tcPr>
          <w:p w14:paraId="32C21701">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青浦区机关事务管理系统商用密码应用安全性评估</w:t>
            </w:r>
          </w:p>
        </w:tc>
      </w:tr>
      <w:tr w14:paraId="1EF759EA">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2894A970">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3432" w:type="dxa"/>
            <w:vMerge w:val="restart"/>
            <w:tcBorders>
              <w:top w:val="single" w:color="000000" w:sz="4" w:space="0"/>
              <w:left w:val="single" w:color="000000" w:sz="4" w:space="0"/>
              <w:bottom w:val="nil"/>
              <w:right w:val="single" w:color="000000" w:sz="4" w:space="0"/>
            </w:tcBorders>
            <w:vAlign w:val="center"/>
          </w:tcPr>
          <w:p w14:paraId="6A34FFF5">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上海市青浦区城市运行管理中心(上海市青浦区城市网格化综合管理中心)</w:t>
            </w:r>
          </w:p>
        </w:tc>
        <w:tc>
          <w:tcPr>
            <w:tcW w:w="4154" w:type="dxa"/>
            <w:tcBorders>
              <w:top w:val="single" w:color="000000" w:sz="4" w:space="0"/>
              <w:left w:val="single" w:color="000000" w:sz="4" w:space="0"/>
              <w:bottom w:val="single" w:color="000000" w:sz="4" w:space="0"/>
              <w:right w:val="single" w:color="000000" w:sz="4" w:space="0"/>
            </w:tcBorders>
            <w:noWrap/>
            <w:vAlign w:val="center"/>
          </w:tcPr>
          <w:p w14:paraId="0E4C44C8">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青浦区“一网统管”业务智能协同平台商用密码应用安全性评估</w:t>
            </w:r>
          </w:p>
        </w:tc>
      </w:tr>
      <w:tr w14:paraId="0F11A4D5">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124134C3">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3432" w:type="dxa"/>
            <w:vMerge w:val="continue"/>
            <w:tcBorders>
              <w:top w:val="single" w:color="000000" w:sz="4" w:space="0"/>
              <w:left w:val="single" w:color="000000" w:sz="4" w:space="0"/>
              <w:bottom w:val="nil"/>
              <w:right w:val="single" w:color="000000" w:sz="4" w:space="0"/>
            </w:tcBorders>
            <w:vAlign w:val="center"/>
          </w:tcPr>
          <w:p w14:paraId="6A91CCA4">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noWrap/>
            <w:vAlign w:val="center"/>
          </w:tcPr>
          <w:p w14:paraId="7664AB6E">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青浦区城市运行管理平台商用密码应用安全性评估</w:t>
            </w:r>
          </w:p>
        </w:tc>
      </w:tr>
      <w:tr w14:paraId="446E6896">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32ED3B3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3432" w:type="dxa"/>
            <w:vMerge w:val="restart"/>
            <w:tcBorders>
              <w:top w:val="single" w:color="000000" w:sz="4" w:space="0"/>
              <w:left w:val="single" w:color="000000" w:sz="4" w:space="0"/>
              <w:bottom w:val="single" w:color="000000" w:sz="4" w:space="0"/>
              <w:right w:val="single" w:color="000000" w:sz="4" w:space="0"/>
            </w:tcBorders>
            <w:noWrap/>
            <w:vAlign w:val="center"/>
          </w:tcPr>
          <w:p w14:paraId="5206BEB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上海市公安局青浦分局</w:t>
            </w:r>
          </w:p>
        </w:tc>
        <w:tc>
          <w:tcPr>
            <w:tcW w:w="4154" w:type="dxa"/>
            <w:tcBorders>
              <w:top w:val="single" w:color="000000" w:sz="4" w:space="0"/>
              <w:left w:val="single" w:color="000000" w:sz="4" w:space="0"/>
              <w:bottom w:val="single" w:color="000000" w:sz="4" w:space="0"/>
              <w:right w:val="single" w:color="000000" w:sz="4" w:space="0"/>
            </w:tcBorders>
            <w:vAlign w:val="center"/>
          </w:tcPr>
          <w:p w14:paraId="67D07D93">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公安信息网商用密码应用安全性评估</w:t>
            </w:r>
          </w:p>
        </w:tc>
      </w:tr>
      <w:tr w14:paraId="117295C3">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5AAF29D1">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0CE42347">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vAlign w:val="center"/>
          </w:tcPr>
          <w:p w14:paraId="272A00EF">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视频传输网商用密码应用安全性评估</w:t>
            </w:r>
          </w:p>
        </w:tc>
      </w:tr>
      <w:tr w14:paraId="62971147">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73E81182">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28F4A6DB">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1F87F">
            <w:pPr>
              <w:widowControl/>
              <w:snapToGrid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城域网络安全态势感知系统商用密码应用安全性评估</w:t>
            </w:r>
          </w:p>
        </w:tc>
      </w:tr>
      <w:tr w14:paraId="15CF9D8F">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587EB545">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0FFD082A">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DC8A">
            <w:pPr>
              <w:widowControl/>
              <w:snapToGrid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互联网管理综合应用系统商用密码应用安全性评估</w:t>
            </w:r>
          </w:p>
        </w:tc>
      </w:tr>
      <w:tr w14:paraId="1F46B62F">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58DC4180">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14C9C171">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BBC8">
            <w:pPr>
              <w:widowControl/>
              <w:snapToGrid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网安安全防范网商用密码应用安全性评估</w:t>
            </w:r>
          </w:p>
        </w:tc>
      </w:tr>
      <w:tr w14:paraId="0F79177C">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76C7EA55">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6E75C719">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EC9D">
            <w:pPr>
              <w:widowControl/>
              <w:snapToGrid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网安业务网商用密码应用安全性评估</w:t>
            </w:r>
          </w:p>
        </w:tc>
      </w:tr>
      <w:tr w14:paraId="2B966F02">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3386985C">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4D8FD09F">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3D61">
            <w:pPr>
              <w:widowControl/>
              <w:snapToGrid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重点部位公共网络安全管控系统商用密码应用安全性评估</w:t>
            </w:r>
          </w:p>
        </w:tc>
      </w:tr>
      <w:tr w14:paraId="29524BDB">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452D5F1E">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78A6CEFF">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vAlign w:val="center"/>
          </w:tcPr>
          <w:p w14:paraId="32600952">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上海市公安局青浦分局数据应用系统商用密码应用安全性评估</w:t>
            </w:r>
          </w:p>
        </w:tc>
      </w:tr>
      <w:tr w14:paraId="10117373">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5534EBD2">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3432" w:type="dxa"/>
            <w:vMerge w:val="continue"/>
            <w:tcBorders>
              <w:top w:val="single" w:color="000000" w:sz="4" w:space="0"/>
              <w:left w:val="single" w:color="000000" w:sz="4" w:space="0"/>
              <w:bottom w:val="single" w:color="000000" w:sz="4" w:space="0"/>
              <w:right w:val="single" w:color="000000" w:sz="4" w:space="0"/>
            </w:tcBorders>
            <w:noWrap/>
            <w:vAlign w:val="center"/>
          </w:tcPr>
          <w:p w14:paraId="6A47BA44">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vAlign w:val="center"/>
          </w:tcPr>
          <w:p w14:paraId="5CC1C0E2">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青浦三实大数据信息管理模块商用密码应用安全性评估</w:t>
            </w:r>
          </w:p>
        </w:tc>
      </w:tr>
      <w:tr w14:paraId="46C6B750">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0886B1FC">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3432" w:type="dxa"/>
            <w:vMerge w:val="restart"/>
            <w:tcBorders>
              <w:top w:val="single" w:color="000000" w:sz="4" w:space="0"/>
              <w:left w:val="single" w:color="000000" w:sz="4" w:space="0"/>
              <w:bottom w:val="single" w:color="000000" w:sz="4" w:space="0"/>
              <w:right w:val="single" w:color="000000" w:sz="4" w:space="0"/>
            </w:tcBorders>
            <w:vAlign w:val="center"/>
          </w:tcPr>
          <w:p w14:paraId="3266D4A8">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上海市青浦区行政服务中心(上海市青浦区大数据中心)</w:t>
            </w:r>
          </w:p>
        </w:tc>
        <w:tc>
          <w:tcPr>
            <w:tcW w:w="4154" w:type="dxa"/>
            <w:tcBorders>
              <w:top w:val="single" w:color="000000" w:sz="4" w:space="0"/>
              <w:left w:val="single" w:color="000000" w:sz="4" w:space="0"/>
              <w:bottom w:val="single" w:color="000000" w:sz="4" w:space="0"/>
              <w:right w:val="single" w:color="000000" w:sz="4" w:space="0"/>
            </w:tcBorders>
            <w:vAlign w:val="center"/>
          </w:tcPr>
          <w:p w14:paraId="2DF90F25">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青浦区电子政务外网升级改造项目</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723DAF1E">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50734CBB">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w:t>
            </w:r>
          </w:p>
        </w:tc>
        <w:tc>
          <w:tcPr>
            <w:tcW w:w="3432" w:type="dxa"/>
            <w:vMerge w:val="continue"/>
            <w:tcBorders>
              <w:top w:val="single" w:color="000000" w:sz="4" w:space="0"/>
              <w:left w:val="single" w:color="000000" w:sz="4" w:space="0"/>
              <w:bottom w:val="single" w:color="000000" w:sz="4" w:space="0"/>
              <w:right w:val="single" w:color="000000" w:sz="4" w:space="0"/>
            </w:tcBorders>
            <w:vAlign w:val="center"/>
          </w:tcPr>
          <w:p w14:paraId="72538583">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vAlign w:val="center"/>
          </w:tcPr>
          <w:p w14:paraId="0935DBCB">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青浦区政务云管理平台</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1D7F6672">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437410D4">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17</w:t>
            </w:r>
          </w:p>
        </w:tc>
        <w:tc>
          <w:tcPr>
            <w:tcW w:w="3432" w:type="dxa"/>
            <w:vMerge w:val="continue"/>
            <w:tcBorders>
              <w:top w:val="single" w:color="000000" w:sz="4" w:space="0"/>
              <w:left w:val="single" w:color="000000" w:sz="4" w:space="0"/>
              <w:bottom w:val="single" w:color="000000" w:sz="4" w:space="0"/>
              <w:right w:val="single" w:color="000000" w:sz="4" w:space="0"/>
            </w:tcBorders>
            <w:vAlign w:val="center"/>
          </w:tcPr>
          <w:p w14:paraId="56B66377">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vAlign w:val="center"/>
          </w:tcPr>
          <w:p w14:paraId="2E12ACE4">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青浦区政府投资信息化项目监管系统（二期）升级建设项目</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652AB427">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3B89DF0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18</w:t>
            </w:r>
          </w:p>
        </w:tc>
        <w:tc>
          <w:tcPr>
            <w:tcW w:w="3432" w:type="dxa"/>
            <w:vMerge w:val="continue"/>
            <w:tcBorders>
              <w:top w:val="single" w:color="000000" w:sz="4" w:space="0"/>
              <w:left w:val="single" w:color="000000" w:sz="4" w:space="0"/>
              <w:bottom w:val="single" w:color="000000" w:sz="4" w:space="0"/>
              <w:right w:val="single" w:color="000000" w:sz="4" w:space="0"/>
            </w:tcBorders>
            <w:vAlign w:val="center"/>
          </w:tcPr>
          <w:p w14:paraId="333F0C68">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vAlign w:val="center"/>
          </w:tcPr>
          <w:p w14:paraId="14CBAFFA">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青浦区级视频共享平台(二期) </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313BCAE1">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324E2E0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w:t>
            </w:r>
          </w:p>
        </w:tc>
        <w:tc>
          <w:tcPr>
            <w:tcW w:w="3432" w:type="dxa"/>
            <w:vMerge w:val="continue"/>
            <w:tcBorders>
              <w:top w:val="single" w:color="000000" w:sz="4" w:space="0"/>
              <w:left w:val="single" w:color="000000" w:sz="4" w:space="0"/>
              <w:bottom w:val="single" w:color="000000" w:sz="4" w:space="0"/>
              <w:right w:val="single" w:color="000000" w:sz="4" w:space="0"/>
            </w:tcBorders>
            <w:vAlign w:val="center"/>
          </w:tcPr>
          <w:p w14:paraId="7C49D2E2">
            <w:pPr>
              <w:snapToGrid w:val="0"/>
              <w:jc w:val="center"/>
              <w:rPr>
                <w:rFonts w:hint="eastAsia" w:ascii="宋体" w:hAnsi="宋体" w:eastAsia="宋体" w:cs="宋体"/>
                <w:color w:val="000000"/>
                <w:sz w:val="21"/>
                <w:szCs w:val="21"/>
              </w:rPr>
            </w:pPr>
          </w:p>
        </w:tc>
        <w:tc>
          <w:tcPr>
            <w:tcW w:w="4154" w:type="dxa"/>
            <w:tcBorders>
              <w:top w:val="single" w:color="000000" w:sz="4" w:space="0"/>
              <w:left w:val="single" w:color="000000" w:sz="4" w:space="0"/>
              <w:bottom w:val="single" w:color="000000" w:sz="4" w:space="0"/>
              <w:right w:val="single" w:color="000000" w:sz="4" w:space="0"/>
            </w:tcBorders>
            <w:vAlign w:val="center"/>
          </w:tcPr>
          <w:p w14:paraId="372C1559">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上海青浦政府网站</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120C1CA1">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5DE2E185">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w:t>
            </w:r>
          </w:p>
        </w:tc>
        <w:tc>
          <w:tcPr>
            <w:tcW w:w="3432" w:type="dxa"/>
            <w:tcBorders>
              <w:top w:val="single" w:color="000000" w:sz="4" w:space="0"/>
              <w:left w:val="single" w:color="000000" w:sz="4" w:space="0"/>
              <w:bottom w:val="single" w:color="000000" w:sz="4" w:space="0"/>
              <w:right w:val="single" w:color="000000" w:sz="4" w:space="0"/>
            </w:tcBorders>
            <w:vAlign w:val="center"/>
          </w:tcPr>
          <w:p w14:paraId="63F2859A">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上海市青浦区环境监测站</w:t>
            </w:r>
          </w:p>
        </w:tc>
        <w:tc>
          <w:tcPr>
            <w:tcW w:w="4154" w:type="dxa"/>
            <w:tcBorders>
              <w:top w:val="single" w:color="000000" w:sz="4" w:space="0"/>
              <w:left w:val="single" w:color="000000" w:sz="4" w:space="0"/>
              <w:bottom w:val="single" w:color="000000" w:sz="4" w:space="0"/>
              <w:right w:val="single" w:color="000000" w:sz="4" w:space="0"/>
            </w:tcBorders>
            <w:noWrap/>
            <w:vAlign w:val="center"/>
          </w:tcPr>
          <w:p w14:paraId="69FC606D">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青浦区环境自动监测信息化服务平台</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6AF9EA06">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75B2F698">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21</w:t>
            </w:r>
          </w:p>
        </w:tc>
        <w:tc>
          <w:tcPr>
            <w:tcW w:w="3432" w:type="dxa"/>
            <w:tcBorders>
              <w:top w:val="single" w:color="000000" w:sz="4" w:space="0"/>
              <w:left w:val="single" w:color="000000" w:sz="4" w:space="0"/>
              <w:bottom w:val="single" w:color="000000" w:sz="4" w:space="0"/>
              <w:right w:val="single" w:color="000000" w:sz="4" w:space="0"/>
            </w:tcBorders>
            <w:vAlign w:val="center"/>
          </w:tcPr>
          <w:p w14:paraId="6DAB2891">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中共上海市青浦区委政法委员会</w:t>
            </w:r>
          </w:p>
        </w:tc>
        <w:tc>
          <w:tcPr>
            <w:tcW w:w="4154" w:type="dxa"/>
            <w:tcBorders>
              <w:top w:val="single" w:color="000000" w:sz="4" w:space="0"/>
              <w:left w:val="single" w:color="000000" w:sz="4" w:space="0"/>
              <w:bottom w:val="single" w:color="000000" w:sz="4" w:space="0"/>
              <w:right w:val="single" w:color="000000" w:sz="4" w:space="0"/>
            </w:tcBorders>
            <w:noWrap/>
            <w:vAlign w:val="center"/>
          </w:tcPr>
          <w:p w14:paraId="5A402C8C">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青浦区禁毒智能化管理平台</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717C108D">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1093C8FE">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w:t>
            </w:r>
          </w:p>
        </w:tc>
        <w:tc>
          <w:tcPr>
            <w:tcW w:w="3432" w:type="dxa"/>
            <w:tcBorders>
              <w:top w:val="single" w:color="000000" w:sz="4" w:space="0"/>
              <w:left w:val="single" w:color="000000" w:sz="4" w:space="0"/>
              <w:bottom w:val="single" w:color="000000" w:sz="4" w:space="0"/>
              <w:right w:val="single" w:color="000000" w:sz="4" w:space="0"/>
            </w:tcBorders>
            <w:vAlign w:val="center"/>
          </w:tcPr>
          <w:p w14:paraId="10925F77">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上海市青浦区国有资产监督管理委员会（上海市青浦区集体资产监督管理委员会）</w:t>
            </w:r>
          </w:p>
        </w:tc>
        <w:tc>
          <w:tcPr>
            <w:tcW w:w="4154" w:type="dxa"/>
            <w:tcBorders>
              <w:top w:val="single" w:color="000000" w:sz="4" w:space="0"/>
              <w:left w:val="single" w:color="000000" w:sz="4" w:space="0"/>
              <w:bottom w:val="single" w:color="000000" w:sz="4" w:space="0"/>
              <w:right w:val="single" w:color="000000" w:sz="4" w:space="0"/>
            </w:tcBorders>
            <w:noWrap/>
            <w:vAlign w:val="center"/>
          </w:tcPr>
          <w:p w14:paraId="5A650BA1">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青浦国资国企在线监管系统</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r w14:paraId="632074AA">
        <w:tblPrEx>
          <w:tblCellMar>
            <w:top w:w="0" w:type="dxa"/>
            <w:left w:w="108" w:type="dxa"/>
            <w:bottom w:w="0" w:type="dxa"/>
            <w:right w:w="108" w:type="dxa"/>
          </w:tblCellMar>
        </w:tblPrEx>
        <w:trPr>
          <w:jc w:val="center"/>
        </w:trPr>
        <w:tc>
          <w:tcPr>
            <w:tcW w:w="741" w:type="dxa"/>
            <w:tcBorders>
              <w:top w:val="single" w:color="000000" w:sz="4" w:space="0"/>
              <w:left w:val="single" w:color="000000" w:sz="4" w:space="0"/>
              <w:bottom w:val="single" w:color="000000" w:sz="4" w:space="0"/>
              <w:right w:val="single" w:color="000000" w:sz="4" w:space="0"/>
            </w:tcBorders>
            <w:vAlign w:val="center"/>
          </w:tcPr>
          <w:p w14:paraId="3F93F519">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23</w:t>
            </w:r>
          </w:p>
        </w:tc>
        <w:tc>
          <w:tcPr>
            <w:tcW w:w="3432" w:type="dxa"/>
            <w:tcBorders>
              <w:top w:val="single" w:color="000000" w:sz="4" w:space="0"/>
              <w:left w:val="single" w:color="000000" w:sz="4" w:space="0"/>
              <w:bottom w:val="single" w:color="000000" w:sz="4" w:space="0"/>
              <w:right w:val="single" w:color="000000" w:sz="4" w:space="0"/>
            </w:tcBorders>
            <w:vAlign w:val="center"/>
          </w:tcPr>
          <w:p w14:paraId="2A2E8DEF">
            <w:pPr>
              <w:widowControl/>
              <w:snapToGrid w:val="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上海市青浦区应急管理局</w:t>
            </w:r>
          </w:p>
        </w:tc>
        <w:tc>
          <w:tcPr>
            <w:tcW w:w="4154" w:type="dxa"/>
            <w:tcBorders>
              <w:top w:val="single" w:color="000000" w:sz="4" w:space="0"/>
              <w:left w:val="single" w:color="000000" w:sz="4" w:space="0"/>
              <w:bottom w:val="single" w:color="000000" w:sz="4" w:space="0"/>
              <w:right w:val="single" w:color="000000" w:sz="4" w:space="0"/>
            </w:tcBorders>
            <w:noWrap/>
            <w:vAlign w:val="center"/>
          </w:tcPr>
          <w:p w14:paraId="5707D919">
            <w:pPr>
              <w:widowControl/>
              <w:snapToGrid w:val="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青浦区安全生产一体化综合监管平台</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（青浦区企业安全员智慧管理系统）</w:t>
            </w:r>
            <w:r>
              <w:rPr>
                <w:rFonts w:hint="eastAsia" w:ascii="宋体" w:hAnsi="宋体" w:eastAsia="宋体" w:cs="宋体"/>
                <w:color w:val="000000"/>
                <w:kern w:val="0"/>
                <w:sz w:val="21"/>
                <w:szCs w:val="21"/>
                <w:lang w:val="en-US" w:eastAsia="zh-CN" w:bidi="ar"/>
              </w:rPr>
              <w:t>商用</w:t>
            </w:r>
            <w:r>
              <w:rPr>
                <w:rFonts w:hint="eastAsia" w:ascii="宋体" w:hAnsi="宋体" w:eastAsia="宋体" w:cs="宋体"/>
                <w:color w:val="000000"/>
                <w:kern w:val="0"/>
                <w:sz w:val="21"/>
                <w:szCs w:val="21"/>
                <w:lang w:bidi="ar"/>
              </w:rPr>
              <w:t>密码应用安全性评估</w:t>
            </w:r>
          </w:p>
        </w:tc>
      </w:tr>
    </w:tbl>
    <w:p w14:paraId="45E61F40">
      <w:pPr>
        <w:rPr>
          <w:rFonts w:hint="eastAsia" w:ascii="宋体" w:hAnsi="宋体" w:eastAsia="宋体" w:cs="宋体"/>
          <w:sz w:val="21"/>
          <w:szCs w:val="21"/>
        </w:rPr>
      </w:pPr>
    </w:p>
    <w:p w14:paraId="7F475154">
      <w:pPr>
        <w:pStyle w:val="5"/>
        <w:numPr>
          <w:ilvl w:val="0"/>
          <w:numId w:val="3"/>
        </w:numPr>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测评依据</w:t>
      </w:r>
    </w:p>
    <w:p w14:paraId="6E07F388">
      <w:pPr>
        <w:pStyle w:val="16"/>
        <w:numPr>
          <w:ilvl w:val="0"/>
          <w:numId w:val="1"/>
        </w:numPr>
        <w:ind w:firstLineChars="0"/>
        <w:rPr>
          <w:rFonts w:hint="eastAsia" w:ascii="宋体" w:hAnsi="宋体" w:eastAsia="宋体" w:cs="宋体"/>
          <w:kern w:val="0"/>
          <w:sz w:val="21"/>
          <w:szCs w:val="21"/>
        </w:rPr>
      </w:pPr>
      <w:r>
        <w:rPr>
          <w:rFonts w:hint="eastAsia" w:ascii="宋体" w:hAnsi="宋体" w:eastAsia="宋体" w:cs="宋体"/>
          <w:kern w:val="0"/>
          <w:sz w:val="21"/>
          <w:szCs w:val="21"/>
        </w:rPr>
        <w:t>《中华人民共和国密码法》；</w:t>
      </w:r>
    </w:p>
    <w:p w14:paraId="77BFD7E7">
      <w:pPr>
        <w:pStyle w:val="16"/>
        <w:numPr>
          <w:ilvl w:val="0"/>
          <w:numId w:val="1"/>
        </w:numPr>
        <w:ind w:firstLineChars="0"/>
        <w:rPr>
          <w:rFonts w:hint="eastAsia" w:ascii="宋体" w:hAnsi="宋体" w:eastAsia="宋体" w:cs="宋体"/>
          <w:kern w:val="0"/>
          <w:sz w:val="21"/>
          <w:szCs w:val="21"/>
        </w:rPr>
      </w:pPr>
      <w:r>
        <w:rPr>
          <w:rFonts w:hint="eastAsia" w:ascii="宋体" w:hAnsi="宋体" w:eastAsia="宋体" w:cs="宋体"/>
          <w:kern w:val="0"/>
          <w:sz w:val="21"/>
          <w:szCs w:val="21"/>
        </w:rPr>
        <w:t>《商用密码应用安全性评估管理办法》；</w:t>
      </w:r>
    </w:p>
    <w:p w14:paraId="15CAAC29">
      <w:pPr>
        <w:pStyle w:val="16"/>
        <w:numPr>
          <w:ilvl w:val="0"/>
          <w:numId w:val="1"/>
        </w:numPr>
        <w:ind w:firstLineChars="0"/>
        <w:rPr>
          <w:rFonts w:hint="eastAsia" w:ascii="宋体" w:hAnsi="宋体" w:eastAsia="宋体" w:cs="宋体"/>
          <w:kern w:val="0"/>
          <w:sz w:val="21"/>
          <w:szCs w:val="21"/>
        </w:rPr>
      </w:pPr>
      <w:r>
        <w:rPr>
          <w:rFonts w:hint="eastAsia" w:ascii="宋体" w:hAnsi="宋体" w:eastAsia="宋体" w:cs="宋体"/>
          <w:kern w:val="0"/>
          <w:sz w:val="21"/>
          <w:szCs w:val="21"/>
        </w:rPr>
        <w:t>《信息安全技术 信息系统密码应用基本要求》（GB/T 39786-2021）；</w:t>
      </w:r>
    </w:p>
    <w:p w14:paraId="1B3B6276">
      <w:pPr>
        <w:pStyle w:val="16"/>
        <w:numPr>
          <w:ilvl w:val="0"/>
          <w:numId w:val="1"/>
        </w:numPr>
        <w:ind w:firstLineChars="0"/>
        <w:rPr>
          <w:rFonts w:hint="eastAsia" w:ascii="宋体" w:hAnsi="宋体" w:eastAsia="宋体" w:cs="宋体"/>
          <w:kern w:val="0"/>
          <w:sz w:val="21"/>
          <w:szCs w:val="21"/>
        </w:rPr>
      </w:pPr>
      <w:r>
        <w:rPr>
          <w:rFonts w:hint="eastAsia" w:ascii="宋体" w:hAnsi="宋体" w:eastAsia="宋体" w:cs="宋体"/>
          <w:kern w:val="0"/>
          <w:sz w:val="21"/>
          <w:szCs w:val="21"/>
        </w:rPr>
        <w:t>《信息安全技术 信息系统密码应用测评要求》（GB/T 43206-2023）；</w:t>
      </w:r>
    </w:p>
    <w:p w14:paraId="503CF9DF">
      <w:pPr>
        <w:pStyle w:val="16"/>
        <w:numPr>
          <w:ilvl w:val="0"/>
          <w:numId w:val="1"/>
        </w:numPr>
        <w:ind w:firstLineChars="0"/>
        <w:rPr>
          <w:rFonts w:hint="eastAsia" w:ascii="宋体" w:hAnsi="宋体" w:eastAsia="宋体" w:cs="宋体"/>
          <w:kern w:val="0"/>
          <w:sz w:val="21"/>
          <w:szCs w:val="21"/>
        </w:rPr>
      </w:pPr>
      <w:r>
        <w:rPr>
          <w:rFonts w:hint="eastAsia" w:ascii="宋体" w:hAnsi="宋体" w:eastAsia="宋体" w:cs="宋体"/>
          <w:kern w:val="0"/>
          <w:sz w:val="21"/>
          <w:szCs w:val="21"/>
        </w:rPr>
        <w:t>《信息系统密码应用测评过程指南》（GM/T 0116-2021）；</w:t>
      </w:r>
    </w:p>
    <w:p w14:paraId="4E4AB1E8">
      <w:pPr>
        <w:pStyle w:val="16"/>
        <w:numPr>
          <w:ilvl w:val="0"/>
          <w:numId w:val="1"/>
        </w:numPr>
        <w:ind w:firstLineChars="0"/>
        <w:rPr>
          <w:rFonts w:hint="eastAsia" w:ascii="宋体" w:hAnsi="宋体" w:eastAsia="宋体" w:cs="宋体"/>
          <w:kern w:val="0"/>
          <w:sz w:val="21"/>
          <w:szCs w:val="21"/>
        </w:rPr>
      </w:pPr>
      <w:r>
        <w:rPr>
          <w:rFonts w:hint="eastAsia" w:ascii="宋体" w:hAnsi="宋体" w:eastAsia="宋体" w:cs="宋体"/>
          <w:kern w:val="0"/>
          <w:sz w:val="21"/>
          <w:szCs w:val="21"/>
        </w:rPr>
        <w:t>《信息系统密码应用高风险判定指引》；</w:t>
      </w:r>
    </w:p>
    <w:p w14:paraId="2297FF94">
      <w:pPr>
        <w:pStyle w:val="16"/>
        <w:numPr>
          <w:ilvl w:val="0"/>
          <w:numId w:val="1"/>
        </w:numPr>
        <w:ind w:firstLineChars="0"/>
        <w:rPr>
          <w:rFonts w:hint="eastAsia" w:ascii="宋体" w:hAnsi="宋体" w:eastAsia="宋体" w:cs="宋体"/>
          <w:kern w:val="0"/>
          <w:sz w:val="21"/>
          <w:szCs w:val="21"/>
        </w:rPr>
      </w:pPr>
      <w:r>
        <w:rPr>
          <w:rFonts w:hint="eastAsia" w:ascii="宋体" w:hAnsi="宋体" w:eastAsia="宋体" w:cs="宋体"/>
          <w:kern w:val="0"/>
          <w:sz w:val="21"/>
          <w:szCs w:val="21"/>
        </w:rPr>
        <w:t>《商用密码应用安全性评估量化评估规则》。</w:t>
      </w:r>
    </w:p>
    <w:p w14:paraId="3C3492A1">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（四）测评内容</w:t>
      </w:r>
    </w:p>
    <w:p w14:paraId="47E9F75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依据《信息安全技术 信息系统密码应用基本要求》（GB/T 39786-2021）标准，参照《商用密码应用安全性评估管理办法》、《信息安全技术 信息系统密码应用测评要求》（GB/T 43206-2023）、《信息系统密码应用测评过程指南》（GM/T 0116-2021）、《信息系统密码应用高风险判定指引》、《商用密码应用安全性评估量化评估规则》等技术要求，逐一对信息系统进行密码应用的合规性、正确性、有效性进行安全性评估，通过商用密码应用安全性评估深入查找密码应用的薄弱环节和安全隐患，分析面临的风险，为提升信息系统安全奠定基础。</w:t>
      </w:r>
    </w:p>
    <w:p w14:paraId="75C3928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测评的内容包括但不限于以下内容：</w:t>
      </w:r>
    </w:p>
    <w:p w14:paraId="6ADA67BD">
      <w:pPr>
        <w:spacing w:line="360" w:lineRule="auto"/>
        <w:rPr>
          <w:rFonts w:hint="eastAsia" w:ascii="宋体" w:hAnsi="宋体" w:eastAsia="宋体" w:cs="宋体"/>
          <w:sz w:val="21"/>
          <w:szCs w:val="21"/>
        </w:rPr>
      </w:pPr>
      <w:r>
        <w:rPr>
          <w:rFonts w:hint="eastAsia" w:ascii="宋体" w:hAnsi="宋体" w:eastAsia="宋体" w:cs="宋体"/>
          <w:sz w:val="21"/>
          <w:szCs w:val="21"/>
        </w:rPr>
        <w:t>1、安全技术测评：包括物理和环境安全、 网络和通信安全、 设备和计算安全、 应用和数据安全等四个方面的安全测评。</w:t>
      </w:r>
    </w:p>
    <w:p w14:paraId="57CABE29">
      <w:pPr>
        <w:spacing w:line="360" w:lineRule="auto"/>
        <w:rPr>
          <w:rFonts w:hint="eastAsia" w:ascii="宋体" w:hAnsi="宋体" w:eastAsia="宋体" w:cs="宋体"/>
          <w:sz w:val="21"/>
          <w:szCs w:val="21"/>
        </w:rPr>
      </w:pPr>
      <w:r>
        <w:rPr>
          <w:rFonts w:hint="eastAsia" w:ascii="宋体" w:hAnsi="宋体" w:eastAsia="宋体" w:cs="宋体"/>
          <w:sz w:val="21"/>
          <w:szCs w:val="21"/>
        </w:rPr>
        <w:t>（1）物理和环境安全</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461643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17EE1884">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242F4FD4">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6D6D66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5F2CE8CD">
            <w:pPr>
              <w:rPr>
                <w:rFonts w:hint="eastAsia" w:ascii="宋体" w:hAnsi="宋体" w:eastAsia="宋体" w:cs="宋体"/>
                <w:sz w:val="21"/>
                <w:szCs w:val="21"/>
              </w:rPr>
            </w:pPr>
            <w:r>
              <w:rPr>
                <w:rFonts w:hint="eastAsia" w:ascii="宋体" w:hAnsi="宋体" w:eastAsia="宋体" w:cs="宋体"/>
                <w:sz w:val="21"/>
                <w:szCs w:val="21"/>
              </w:rPr>
              <w:t>安全技术测评-物理和环境安全</w:t>
            </w:r>
          </w:p>
        </w:tc>
        <w:tc>
          <w:tcPr>
            <w:tcW w:w="3466" w:type="pct"/>
            <w:tcMar>
              <w:top w:w="11" w:type="dxa"/>
              <w:left w:w="11" w:type="dxa"/>
              <w:bottom w:w="11" w:type="dxa"/>
              <w:right w:w="11" w:type="dxa"/>
            </w:tcMar>
            <w:vAlign w:val="center"/>
          </w:tcPr>
          <w:p w14:paraId="58EBE999">
            <w:pPr>
              <w:rPr>
                <w:rFonts w:hint="eastAsia" w:ascii="宋体" w:hAnsi="宋体" w:eastAsia="宋体" w:cs="宋体"/>
                <w:sz w:val="21"/>
                <w:szCs w:val="21"/>
              </w:rPr>
            </w:pPr>
            <w:r>
              <w:rPr>
                <w:rFonts w:hint="eastAsia" w:ascii="宋体" w:hAnsi="宋体" w:eastAsia="宋体" w:cs="宋体"/>
                <w:sz w:val="21"/>
                <w:szCs w:val="21"/>
              </w:rPr>
              <w:t>身份鉴别</w:t>
            </w:r>
          </w:p>
        </w:tc>
      </w:tr>
      <w:tr w14:paraId="57E639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18FC6762">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2616E89B">
            <w:pPr>
              <w:rPr>
                <w:rFonts w:hint="eastAsia" w:ascii="宋体" w:hAnsi="宋体" w:eastAsia="宋体" w:cs="宋体"/>
                <w:sz w:val="21"/>
                <w:szCs w:val="21"/>
              </w:rPr>
            </w:pPr>
            <w:r>
              <w:rPr>
                <w:rFonts w:hint="eastAsia" w:ascii="宋体" w:hAnsi="宋体" w:eastAsia="宋体" w:cs="宋体"/>
                <w:sz w:val="21"/>
                <w:szCs w:val="21"/>
              </w:rPr>
              <w:t>电子门禁记录数据完整性</w:t>
            </w:r>
          </w:p>
        </w:tc>
      </w:tr>
      <w:tr w14:paraId="3CC669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362B8BDF">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3FA1C9C5">
            <w:pPr>
              <w:rPr>
                <w:rFonts w:hint="eastAsia" w:ascii="宋体" w:hAnsi="宋体" w:eastAsia="宋体" w:cs="宋体"/>
                <w:sz w:val="21"/>
                <w:szCs w:val="21"/>
              </w:rPr>
            </w:pPr>
            <w:r>
              <w:rPr>
                <w:rFonts w:hint="eastAsia" w:ascii="宋体" w:hAnsi="宋体" w:eastAsia="宋体" w:cs="宋体"/>
                <w:sz w:val="21"/>
                <w:szCs w:val="21"/>
              </w:rPr>
              <w:t>视频记录数据完整性</w:t>
            </w:r>
          </w:p>
        </w:tc>
      </w:tr>
    </w:tbl>
    <w:p w14:paraId="22CFF267">
      <w:pPr>
        <w:spacing w:line="360" w:lineRule="auto"/>
        <w:rPr>
          <w:rFonts w:hint="eastAsia" w:ascii="宋体" w:hAnsi="宋体" w:eastAsia="宋体" w:cs="宋体"/>
          <w:sz w:val="21"/>
          <w:szCs w:val="21"/>
        </w:rPr>
      </w:pPr>
      <w:r>
        <w:rPr>
          <w:rFonts w:hint="eastAsia" w:ascii="宋体" w:hAnsi="宋体" w:eastAsia="宋体" w:cs="宋体"/>
          <w:sz w:val="21"/>
          <w:szCs w:val="21"/>
        </w:rPr>
        <w:t>（2）网络和通信安全</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61AD03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1E931EE1">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0D145FD4">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717BCA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456994BD">
            <w:pPr>
              <w:rPr>
                <w:rFonts w:hint="eastAsia" w:ascii="宋体" w:hAnsi="宋体" w:eastAsia="宋体" w:cs="宋体"/>
                <w:sz w:val="21"/>
                <w:szCs w:val="21"/>
              </w:rPr>
            </w:pPr>
            <w:r>
              <w:rPr>
                <w:rFonts w:hint="eastAsia" w:ascii="宋体" w:hAnsi="宋体" w:eastAsia="宋体" w:cs="宋体"/>
                <w:sz w:val="21"/>
                <w:szCs w:val="21"/>
              </w:rPr>
              <w:t>安全技术测评-网络和通信安全</w:t>
            </w:r>
          </w:p>
        </w:tc>
        <w:tc>
          <w:tcPr>
            <w:tcW w:w="3466" w:type="pct"/>
            <w:tcMar>
              <w:top w:w="11" w:type="dxa"/>
              <w:left w:w="11" w:type="dxa"/>
              <w:bottom w:w="11" w:type="dxa"/>
              <w:right w:w="11" w:type="dxa"/>
            </w:tcMar>
            <w:vAlign w:val="center"/>
          </w:tcPr>
          <w:p w14:paraId="7E7BE136">
            <w:pPr>
              <w:rPr>
                <w:rFonts w:hint="eastAsia" w:ascii="宋体" w:hAnsi="宋体" w:eastAsia="宋体" w:cs="宋体"/>
                <w:sz w:val="21"/>
                <w:szCs w:val="21"/>
              </w:rPr>
            </w:pPr>
            <w:r>
              <w:rPr>
                <w:rFonts w:hint="eastAsia" w:ascii="宋体" w:hAnsi="宋体" w:eastAsia="宋体" w:cs="宋体"/>
                <w:sz w:val="21"/>
                <w:szCs w:val="21"/>
              </w:rPr>
              <w:t>身份鉴别</w:t>
            </w:r>
          </w:p>
        </w:tc>
      </w:tr>
      <w:tr w14:paraId="25AB3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35167FD4">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3B32C48D">
            <w:pPr>
              <w:rPr>
                <w:rFonts w:hint="eastAsia" w:ascii="宋体" w:hAnsi="宋体" w:eastAsia="宋体" w:cs="宋体"/>
                <w:sz w:val="21"/>
                <w:szCs w:val="21"/>
              </w:rPr>
            </w:pPr>
            <w:r>
              <w:rPr>
                <w:rFonts w:hint="eastAsia" w:ascii="宋体" w:hAnsi="宋体" w:eastAsia="宋体" w:cs="宋体"/>
                <w:sz w:val="21"/>
                <w:szCs w:val="21"/>
              </w:rPr>
              <w:t>通信数据完整性</w:t>
            </w:r>
          </w:p>
        </w:tc>
      </w:tr>
      <w:tr w14:paraId="0041F8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351954E3">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27DA642E">
            <w:pPr>
              <w:rPr>
                <w:rFonts w:hint="eastAsia" w:ascii="宋体" w:hAnsi="宋体" w:eastAsia="宋体" w:cs="宋体"/>
                <w:sz w:val="21"/>
                <w:szCs w:val="21"/>
              </w:rPr>
            </w:pPr>
            <w:r>
              <w:rPr>
                <w:rFonts w:hint="eastAsia" w:ascii="宋体" w:hAnsi="宋体" w:eastAsia="宋体" w:cs="宋体"/>
                <w:sz w:val="21"/>
                <w:szCs w:val="21"/>
              </w:rPr>
              <w:t>通信过程中重要数据的机密性</w:t>
            </w:r>
          </w:p>
        </w:tc>
      </w:tr>
      <w:tr w14:paraId="6DA109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7DF1A961">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3AFBEC32">
            <w:pPr>
              <w:rPr>
                <w:rFonts w:hint="eastAsia" w:ascii="宋体" w:hAnsi="宋体" w:eastAsia="宋体" w:cs="宋体"/>
                <w:sz w:val="21"/>
                <w:szCs w:val="21"/>
              </w:rPr>
            </w:pPr>
            <w:r>
              <w:rPr>
                <w:rFonts w:hint="eastAsia" w:ascii="宋体" w:hAnsi="宋体" w:eastAsia="宋体" w:cs="宋体"/>
                <w:sz w:val="21"/>
                <w:szCs w:val="21"/>
              </w:rPr>
              <w:t>网络边界访问控制信息完整性</w:t>
            </w:r>
          </w:p>
        </w:tc>
      </w:tr>
      <w:tr w14:paraId="7940AA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55E58EEA">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62A89A9F">
            <w:pPr>
              <w:rPr>
                <w:rFonts w:hint="eastAsia" w:ascii="宋体" w:hAnsi="宋体" w:eastAsia="宋体" w:cs="宋体"/>
                <w:sz w:val="21"/>
                <w:szCs w:val="21"/>
              </w:rPr>
            </w:pPr>
            <w:r>
              <w:rPr>
                <w:rFonts w:hint="eastAsia" w:ascii="宋体" w:hAnsi="宋体" w:eastAsia="宋体" w:cs="宋体"/>
                <w:sz w:val="21"/>
                <w:szCs w:val="21"/>
              </w:rPr>
              <w:t>安全接入认证</w:t>
            </w:r>
          </w:p>
        </w:tc>
      </w:tr>
    </w:tbl>
    <w:p w14:paraId="40C736A4">
      <w:pPr>
        <w:spacing w:line="360" w:lineRule="auto"/>
        <w:rPr>
          <w:rFonts w:hint="eastAsia" w:ascii="宋体" w:hAnsi="宋体" w:eastAsia="宋体" w:cs="宋体"/>
          <w:sz w:val="21"/>
          <w:szCs w:val="21"/>
        </w:rPr>
      </w:pPr>
      <w:r>
        <w:rPr>
          <w:rFonts w:hint="eastAsia" w:ascii="宋体" w:hAnsi="宋体" w:eastAsia="宋体" w:cs="宋体"/>
          <w:sz w:val="21"/>
          <w:szCs w:val="21"/>
        </w:rPr>
        <w:t>（3）设备和计算安全</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5628EB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35880DAA">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3F8115AA">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3E66F2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7AE372C5">
            <w:pPr>
              <w:rPr>
                <w:rFonts w:hint="eastAsia" w:ascii="宋体" w:hAnsi="宋体" w:eastAsia="宋体" w:cs="宋体"/>
                <w:sz w:val="21"/>
                <w:szCs w:val="21"/>
              </w:rPr>
            </w:pPr>
            <w:r>
              <w:rPr>
                <w:rFonts w:hint="eastAsia" w:ascii="宋体" w:hAnsi="宋体" w:eastAsia="宋体" w:cs="宋体"/>
                <w:sz w:val="21"/>
                <w:szCs w:val="21"/>
              </w:rPr>
              <w:t>安全技术测评-设备和计算安全</w:t>
            </w:r>
          </w:p>
        </w:tc>
        <w:tc>
          <w:tcPr>
            <w:tcW w:w="3466" w:type="pct"/>
            <w:tcMar>
              <w:top w:w="11" w:type="dxa"/>
              <w:left w:w="11" w:type="dxa"/>
              <w:bottom w:w="11" w:type="dxa"/>
              <w:right w:w="11" w:type="dxa"/>
            </w:tcMar>
            <w:vAlign w:val="center"/>
          </w:tcPr>
          <w:p w14:paraId="02B6EB21">
            <w:pPr>
              <w:rPr>
                <w:rFonts w:hint="eastAsia" w:ascii="宋体" w:hAnsi="宋体" w:eastAsia="宋体" w:cs="宋体"/>
                <w:sz w:val="21"/>
                <w:szCs w:val="21"/>
              </w:rPr>
            </w:pPr>
            <w:r>
              <w:rPr>
                <w:rFonts w:hint="eastAsia" w:ascii="宋体" w:hAnsi="宋体" w:eastAsia="宋体" w:cs="宋体"/>
                <w:sz w:val="21"/>
                <w:szCs w:val="21"/>
              </w:rPr>
              <w:t>身份鉴别</w:t>
            </w:r>
          </w:p>
        </w:tc>
      </w:tr>
      <w:tr w14:paraId="3110F1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0E6B7A34">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4C3BE6C5">
            <w:pPr>
              <w:rPr>
                <w:rFonts w:hint="eastAsia" w:ascii="宋体" w:hAnsi="宋体" w:eastAsia="宋体" w:cs="宋体"/>
                <w:sz w:val="21"/>
                <w:szCs w:val="21"/>
              </w:rPr>
            </w:pPr>
            <w:r>
              <w:rPr>
                <w:rFonts w:hint="eastAsia" w:ascii="宋体" w:hAnsi="宋体" w:eastAsia="宋体" w:cs="宋体"/>
                <w:sz w:val="21"/>
                <w:szCs w:val="21"/>
              </w:rPr>
              <w:t>远程管理通道安全</w:t>
            </w:r>
          </w:p>
        </w:tc>
      </w:tr>
      <w:tr w14:paraId="369AC8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720039FC">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0DBD6A11">
            <w:pPr>
              <w:rPr>
                <w:rFonts w:hint="eastAsia" w:ascii="宋体" w:hAnsi="宋体" w:eastAsia="宋体" w:cs="宋体"/>
                <w:sz w:val="21"/>
                <w:szCs w:val="21"/>
              </w:rPr>
            </w:pPr>
            <w:r>
              <w:rPr>
                <w:rFonts w:hint="eastAsia" w:ascii="宋体" w:hAnsi="宋体" w:eastAsia="宋体" w:cs="宋体"/>
                <w:sz w:val="21"/>
                <w:szCs w:val="21"/>
              </w:rPr>
              <w:t>系统资源访问控制信息完整性</w:t>
            </w:r>
          </w:p>
        </w:tc>
      </w:tr>
      <w:tr w14:paraId="7BC08F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6B17E8EC">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0F4F9980">
            <w:pPr>
              <w:rPr>
                <w:rFonts w:hint="eastAsia" w:ascii="宋体" w:hAnsi="宋体" w:eastAsia="宋体" w:cs="宋体"/>
                <w:sz w:val="21"/>
                <w:szCs w:val="21"/>
              </w:rPr>
            </w:pPr>
            <w:r>
              <w:rPr>
                <w:rFonts w:hint="eastAsia" w:ascii="宋体" w:hAnsi="宋体" w:eastAsia="宋体" w:cs="宋体"/>
                <w:sz w:val="21"/>
                <w:szCs w:val="21"/>
              </w:rPr>
              <w:t>重要信息资源安全标记完整性</w:t>
            </w:r>
          </w:p>
        </w:tc>
      </w:tr>
      <w:tr w14:paraId="191F00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254A3C55">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2BF96185">
            <w:pPr>
              <w:rPr>
                <w:rFonts w:hint="eastAsia" w:ascii="宋体" w:hAnsi="宋体" w:eastAsia="宋体" w:cs="宋体"/>
                <w:sz w:val="21"/>
                <w:szCs w:val="21"/>
              </w:rPr>
            </w:pPr>
            <w:r>
              <w:rPr>
                <w:rFonts w:hint="eastAsia" w:ascii="宋体" w:hAnsi="宋体" w:eastAsia="宋体" w:cs="宋体"/>
                <w:sz w:val="21"/>
                <w:szCs w:val="21"/>
              </w:rPr>
              <w:t>日志记录完整性</w:t>
            </w:r>
          </w:p>
        </w:tc>
      </w:tr>
      <w:tr w14:paraId="669879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55664917">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500EE5F3">
            <w:pPr>
              <w:rPr>
                <w:rFonts w:hint="eastAsia" w:ascii="宋体" w:hAnsi="宋体" w:eastAsia="宋体" w:cs="宋体"/>
                <w:sz w:val="21"/>
                <w:szCs w:val="21"/>
              </w:rPr>
            </w:pPr>
            <w:r>
              <w:rPr>
                <w:rFonts w:hint="eastAsia" w:ascii="宋体" w:hAnsi="宋体" w:eastAsia="宋体" w:cs="宋体"/>
                <w:sz w:val="21"/>
                <w:szCs w:val="21"/>
              </w:rPr>
              <w:t>重要可执行程序完整性、重要可执行程序来源真实性</w:t>
            </w:r>
          </w:p>
        </w:tc>
      </w:tr>
    </w:tbl>
    <w:p w14:paraId="02674AD9">
      <w:pPr>
        <w:spacing w:line="360" w:lineRule="auto"/>
        <w:rPr>
          <w:rFonts w:hint="eastAsia" w:ascii="宋体" w:hAnsi="宋体" w:eastAsia="宋体" w:cs="宋体"/>
          <w:sz w:val="21"/>
          <w:szCs w:val="21"/>
        </w:rPr>
      </w:pPr>
      <w:r>
        <w:rPr>
          <w:rFonts w:hint="eastAsia" w:ascii="宋体" w:hAnsi="宋体" w:eastAsia="宋体" w:cs="宋体"/>
          <w:sz w:val="21"/>
          <w:szCs w:val="21"/>
        </w:rPr>
        <w:t>（4）应用和数据安全</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1556D4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4FAF29BE">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0DE13FBC">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614959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3F1E7936">
            <w:pPr>
              <w:rPr>
                <w:rFonts w:hint="eastAsia" w:ascii="宋体" w:hAnsi="宋体" w:eastAsia="宋体" w:cs="宋体"/>
                <w:sz w:val="21"/>
                <w:szCs w:val="21"/>
              </w:rPr>
            </w:pPr>
            <w:r>
              <w:rPr>
                <w:rFonts w:hint="eastAsia" w:ascii="宋体" w:hAnsi="宋体" w:eastAsia="宋体" w:cs="宋体"/>
                <w:sz w:val="21"/>
                <w:szCs w:val="21"/>
              </w:rPr>
              <w:t>安全技术测评-应用和数据安全</w:t>
            </w:r>
          </w:p>
        </w:tc>
        <w:tc>
          <w:tcPr>
            <w:tcW w:w="3466" w:type="pct"/>
            <w:tcMar>
              <w:top w:w="11" w:type="dxa"/>
              <w:left w:w="11" w:type="dxa"/>
              <w:bottom w:w="11" w:type="dxa"/>
              <w:right w:w="11" w:type="dxa"/>
            </w:tcMar>
            <w:vAlign w:val="center"/>
          </w:tcPr>
          <w:p w14:paraId="0F1CDCA5">
            <w:pPr>
              <w:rPr>
                <w:rFonts w:hint="eastAsia" w:ascii="宋体" w:hAnsi="宋体" w:eastAsia="宋体" w:cs="宋体"/>
                <w:sz w:val="21"/>
                <w:szCs w:val="21"/>
              </w:rPr>
            </w:pPr>
            <w:r>
              <w:rPr>
                <w:rFonts w:hint="eastAsia" w:ascii="宋体" w:hAnsi="宋体" w:eastAsia="宋体" w:cs="宋体"/>
                <w:sz w:val="21"/>
                <w:szCs w:val="21"/>
              </w:rPr>
              <w:t>身份鉴别</w:t>
            </w:r>
          </w:p>
        </w:tc>
      </w:tr>
      <w:tr w14:paraId="347751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55ECB00F">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742B1952">
            <w:pPr>
              <w:rPr>
                <w:rFonts w:hint="eastAsia" w:ascii="宋体" w:hAnsi="宋体" w:eastAsia="宋体" w:cs="宋体"/>
                <w:sz w:val="21"/>
                <w:szCs w:val="21"/>
              </w:rPr>
            </w:pPr>
            <w:r>
              <w:rPr>
                <w:rFonts w:hint="eastAsia" w:ascii="宋体" w:hAnsi="宋体" w:eastAsia="宋体" w:cs="宋体"/>
                <w:sz w:val="21"/>
                <w:szCs w:val="21"/>
              </w:rPr>
              <w:t>访问控制信息完整性</w:t>
            </w:r>
          </w:p>
        </w:tc>
      </w:tr>
      <w:tr w14:paraId="10E7B3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608CFE93">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1C0F4571">
            <w:pPr>
              <w:rPr>
                <w:rFonts w:hint="eastAsia" w:ascii="宋体" w:hAnsi="宋体" w:eastAsia="宋体" w:cs="宋体"/>
                <w:sz w:val="21"/>
                <w:szCs w:val="21"/>
              </w:rPr>
            </w:pPr>
            <w:r>
              <w:rPr>
                <w:rFonts w:hint="eastAsia" w:ascii="宋体" w:hAnsi="宋体" w:eastAsia="宋体" w:cs="宋体"/>
                <w:sz w:val="21"/>
                <w:szCs w:val="21"/>
              </w:rPr>
              <w:t>重要信息资源安全标记完整性</w:t>
            </w:r>
          </w:p>
        </w:tc>
      </w:tr>
      <w:tr w14:paraId="677054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23CDD47E">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2A5DB187">
            <w:pPr>
              <w:rPr>
                <w:rFonts w:hint="eastAsia" w:ascii="宋体" w:hAnsi="宋体" w:eastAsia="宋体" w:cs="宋体"/>
                <w:sz w:val="21"/>
                <w:szCs w:val="21"/>
              </w:rPr>
            </w:pPr>
            <w:r>
              <w:rPr>
                <w:rFonts w:hint="eastAsia" w:ascii="宋体" w:hAnsi="宋体" w:eastAsia="宋体" w:cs="宋体"/>
                <w:sz w:val="21"/>
                <w:szCs w:val="21"/>
              </w:rPr>
              <w:t>重要数据存储机密性</w:t>
            </w:r>
          </w:p>
        </w:tc>
      </w:tr>
      <w:tr w14:paraId="0AF7BF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5B5424B3">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4610BB8C">
            <w:pPr>
              <w:rPr>
                <w:rFonts w:hint="eastAsia" w:ascii="宋体" w:hAnsi="宋体" w:eastAsia="宋体" w:cs="宋体"/>
                <w:sz w:val="21"/>
                <w:szCs w:val="21"/>
              </w:rPr>
            </w:pPr>
            <w:r>
              <w:rPr>
                <w:rFonts w:hint="eastAsia" w:ascii="宋体" w:hAnsi="宋体" w:eastAsia="宋体" w:cs="宋体"/>
                <w:sz w:val="21"/>
                <w:szCs w:val="21"/>
              </w:rPr>
              <w:t>重要数据传输机密性</w:t>
            </w:r>
          </w:p>
        </w:tc>
      </w:tr>
      <w:tr w14:paraId="15BF5A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5D7A82F1">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3FFE318A">
            <w:pPr>
              <w:rPr>
                <w:rFonts w:hint="eastAsia" w:ascii="宋体" w:hAnsi="宋体" w:eastAsia="宋体" w:cs="宋体"/>
                <w:sz w:val="21"/>
                <w:szCs w:val="21"/>
              </w:rPr>
            </w:pPr>
            <w:r>
              <w:rPr>
                <w:rFonts w:hint="eastAsia" w:ascii="宋体" w:hAnsi="宋体" w:eastAsia="宋体" w:cs="宋体"/>
                <w:sz w:val="21"/>
                <w:szCs w:val="21"/>
              </w:rPr>
              <w:t>重要数据传输完整性</w:t>
            </w:r>
          </w:p>
        </w:tc>
      </w:tr>
      <w:tr w14:paraId="707B8C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6908FC2B">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18BEF2F6">
            <w:pPr>
              <w:rPr>
                <w:rFonts w:hint="eastAsia" w:ascii="宋体" w:hAnsi="宋体" w:eastAsia="宋体" w:cs="宋体"/>
                <w:sz w:val="21"/>
                <w:szCs w:val="21"/>
              </w:rPr>
            </w:pPr>
            <w:r>
              <w:rPr>
                <w:rFonts w:hint="eastAsia" w:ascii="宋体" w:hAnsi="宋体" w:eastAsia="宋体" w:cs="宋体"/>
                <w:sz w:val="21"/>
                <w:szCs w:val="21"/>
              </w:rPr>
              <w:t>重要数据存储完整性</w:t>
            </w:r>
          </w:p>
        </w:tc>
      </w:tr>
      <w:tr w14:paraId="572770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4EB9A465">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42E49B52">
            <w:pPr>
              <w:rPr>
                <w:rFonts w:hint="eastAsia" w:ascii="宋体" w:hAnsi="宋体" w:eastAsia="宋体" w:cs="宋体"/>
                <w:sz w:val="21"/>
                <w:szCs w:val="21"/>
              </w:rPr>
            </w:pPr>
            <w:r>
              <w:rPr>
                <w:rFonts w:hint="eastAsia" w:ascii="宋体" w:hAnsi="宋体" w:eastAsia="宋体" w:cs="宋体"/>
                <w:sz w:val="21"/>
                <w:szCs w:val="21"/>
              </w:rPr>
              <w:t>不可否认性</w:t>
            </w:r>
          </w:p>
        </w:tc>
      </w:tr>
    </w:tbl>
    <w:p w14:paraId="1F11FFEA">
      <w:pPr>
        <w:spacing w:line="360" w:lineRule="auto"/>
        <w:rPr>
          <w:rFonts w:hint="eastAsia" w:ascii="宋体" w:hAnsi="宋体" w:eastAsia="宋体" w:cs="宋体"/>
          <w:sz w:val="21"/>
          <w:szCs w:val="21"/>
        </w:rPr>
      </w:pPr>
      <w:r>
        <w:rPr>
          <w:rFonts w:hint="eastAsia" w:ascii="宋体" w:hAnsi="宋体" w:eastAsia="宋体" w:cs="宋体"/>
          <w:sz w:val="21"/>
          <w:szCs w:val="21"/>
        </w:rPr>
        <w:t>2、安全管理测评：包括安全管理（分为制度、人员、建设和应急四个子模块）的安全测评。</w:t>
      </w:r>
    </w:p>
    <w:p w14:paraId="10936B75">
      <w:pPr>
        <w:spacing w:line="360" w:lineRule="auto"/>
        <w:rPr>
          <w:rFonts w:hint="eastAsia" w:ascii="宋体" w:hAnsi="宋体" w:eastAsia="宋体" w:cs="宋体"/>
          <w:sz w:val="21"/>
          <w:szCs w:val="21"/>
        </w:rPr>
      </w:pPr>
      <w:r>
        <w:rPr>
          <w:rFonts w:hint="eastAsia" w:ascii="宋体" w:hAnsi="宋体" w:eastAsia="宋体" w:cs="宋体"/>
          <w:sz w:val="21"/>
          <w:szCs w:val="21"/>
        </w:rPr>
        <w:t>（1）管理制度</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1BE7BB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028E2ADE">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230F4571">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5B75A7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241B5C7E">
            <w:pPr>
              <w:rPr>
                <w:rFonts w:hint="eastAsia" w:ascii="宋体" w:hAnsi="宋体" w:eastAsia="宋体" w:cs="宋体"/>
                <w:sz w:val="21"/>
                <w:szCs w:val="21"/>
              </w:rPr>
            </w:pPr>
            <w:r>
              <w:rPr>
                <w:rFonts w:hint="eastAsia" w:ascii="宋体" w:hAnsi="宋体" w:eastAsia="宋体" w:cs="宋体"/>
                <w:sz w:val="21"/>
                <w:szCs w:val="21"/>
              </w:rPr>
              <w:t>安全管理测评-管理制度</w:t>
            </w:r>
          </w:p>
        </w:tc>
        <w:tc>
          <w:tcPr>
            <w:tcW w:w="3466" w:type="pct"/>
            <w:tcMar>
              <w:top w:w="11" w:type="dxa"/>
              <w:left w:w="11" w:type="dxa"/>
              <w:bottom w:w="11" w:type="dxa"/>
              <w:right w:w="11" w:type="dxa"/>
            </w:tcMar>
            <w:vAlign w:val="center"/>
          </w:tcPr>
          <w:p w14:paraId="48B82524">
            <w:pPr>
              <w:rPr>
                <w:rFonts w:hint="eastAsia" w:ascii="宋体" w:hAnsi="宋体" w:eastAsia="宋体" w:cs="宋体"/>
                <w:sz w:val="21"/>
                <w:szCs w:val="21"/>
              </w:rPr>
            </w:pPr>
            <w:r>
              <w:rPr>
                <w:rFonts w:hint="eastAsia" w:ascii="宋体" w:hAnsi="宋体" w:eastAsia="宋体" w:cs="宋体"/>
                <w:sz w:val="21"/>
                <w:szCs w:val="21"/>
              </w:rPr>
              <w:t>具备密码应用安全管理制度</w:t>
            </w:r>
          </w:p>
        </w:tc>
      </w:tr>
      <w:tr w14:paraId="36010D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4BB9E9C0">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364952FA">
            <w:pPr>
              <w:rPr>
                <w:rFonts w:hint="eastAsia" w:ascii="宋体" w:hAnsi="宋体" w:eastAsia="宋体" w:cs="宋体"/>
                <w:sz w:val="21"/>
                <w:szCs w:val="21"/>
              </w:rPr>
            </w:pPr>
            <w:r>
              <w:rPr>
                <w:rFonts w:hint="eastAsia" w:ascii="宋体" w:hAnsi="宋体" w:eastAsia="宋体" w:cs="宋体"/>
                <w:sz w:val="21"/>
                <w:szCs w:val="21"/>
              </w:rPr>
              <w:t>密钥管理规则</w:t>
            </w:r>
          </w:p>
        </w:tc>
      </w:tr>
      <w:tr w14:paraId="6BBF95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61774D70">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38E2B17B">
            <w:pPr>
              <w:rPr>
                <w:rFonts w:hint="eastAsia" w:ascii="宋体" w:hAnsi="宋体" w:eastAsia="宋体" w:cs="宋体"/>
                <w:sz w:val="21"/>
                <w:szCs w:val="21"/>
              </w:rPr>
            </w:pPr>
            <w:r>
              <w:rPr>
                <w:rFonts w:hint="eastAsia" w:ascii="宋体" w:hAnsi="宋体" w:eastAsia="宋体" w:cs="宋体"/>
                <w:sz w:val="21"/>
                <w:szCs w:val="21"/>
              </w:rPr>
              <w:t>建立操作规程</w:t>
            </w:r>
          </w:p>
        </w:tc>
      </w:tr>
      <w:tr w14:paraId="3064D7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2FE386D6">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46B888CC">
            <w:pPr>
              <w:rPr>
                <w:rFonts w:hint="eastAsia" w:ascii="宋体" w:hAnsi="宋体" w:eastAsia="宋体" w:cs="宋体"/>
                <w:sz w:val="21"/>
                <w:szCs w:val="21"/>
              </w:rPr>
            </w:pPr>
            <w:r>
              <w:rPr>
                <w:rFonts w:hint="eastAsia" w:ascii="宋体" w:hAnsi="宋体" w:eastAsia="宋体" w:cs="宋体"/>
                <w:sz w:val="21"/>
                <w:szCs w:val="21"/>
              </w:rPr>
              <w:t>定期修订安全管理制度</w:t>
            </w:r>
          </w:p>
        </w:tc>
      </w:tr>
      <w:tr w14:paraId="4B3831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27B67C5B">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1ECD7618">
            <w:pPr>
              <w:rPr>
                <w:rFonts w:hint="eastAsia" w:ascii="宋体" w:hAnsi="宋体" w:eastAsia="宋体" w:cs="宋体"/>
                <w:sz w:val="21"/>
                <w:szCs w:val="21"/>
              </w:rPr>
            </w:pPr>
            <w:r>
              <w:rPr>
                <w:rFonts w:hint="eastAsia" w:ascii="宋体" w:hAnsi="宋体" w:eastAsia="宋体" w:cs="宋体"/>
                <w:sz w:val="21"/>
                <w:szCs w:val="21"/>
              </w:rPr>
              <w:t>明确管理 制度发布流程</w:t>
            </w:r>
          </w:p>
        </w:tc>
      </w:tr>
      <w:tr w14:paraId="184272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45D704E7">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64E3F532">
            <w:pPr>
              <w:rPr>
                <w:rFonts w:hint="eastAsia" w:ascii="宋体" w:hAnsi="宋体" w:eastAsia="宋体" w:cs="宋体"/>
                <w:sz w:val="21"/>
                <w:szCs w:val="21"/>
              </w:rPr>
            </w:pPr>
            <w:r>
              <w:rPr>
                <w:rFonts w:hint="eastAsia" w:ascii="宋体" w:hAnsi="宋体" w:eastAsia="宋体" w:cs="宋体"/>
                <w:sz w:val="21"/>
                <w:szCs w:val="21"/>
              </w:rPr>
              <w:t>制度执行过程记录留存</w:t>
            </w:r>
          </w:p>
        </w:tc>
      </w:tr>
    </w:tbl>
    <w:p w14:paraId="483D006B">
      <w:pPr>
        <w:rPr>
          <w:rFonts w:hint="eastAsia" w:ascii="宋体" w:hAnsi="宋体" w:eastAsia="宋体" w:cs="宋体"/>
          <w:sz w:val="21"/>
          <w:szCs w:val="21"/>
        </w:rPr>
      </w:pPr>
    </w:p>
    <w:p w14:paraId="6745DFF0">
      <w:pPr>
        <w:spacing w:line="360" w:lineRule="auto"/>
        <w:rPr>
          <w:rFonts w:hint="eastAsia" w:ascii="宋体" w:hAnsi="宋体" w:eastAsia="宋体" w:cs="宋体"/>
          <w:sz w:val="21"/>
          <w:szCs w:val="21"/>
        </w:rPr>
      </w:pPr>
      <w:r>
        <w:rPr>
          <w:rFonts w:hint="eastAsia" w:ascii="宋体" w:hAnsi="宋体" w:eastAsia="宋体" w:cs="宋体"/>
          <w:sz w:val="21"/>
          <w:szCs w:val="21"/>
        </w:rPr>
        <w:t>（2）人员管理</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5DA341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7EACD692">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47B09DD1">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106846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5B1A7EA1">
            <w:pPr>
              <w:rPr>
                <w:rFonts w:hint="eastAsia" w:ascii="宋体" w:hAnsi="宋体" w:eastAsia="宋体" w:cs="宋体"/>
                <w:sz w:val="21"/>
                <w:szCs w:val="21"/>
              </w:rPr>
            </w:pPr>
            <w:r>
              <w:rPr>
                <w:rFonts w:hint="eastAsia" w:ascii="宋体" w:hAnsi="宋体" w:eastAsia="宋体" w:cs="宋体"/>
                <w:sz w:val="21"/>
                <w:szCs w:val="21"/>
              </w:rPr>
              <w:t>安全管理测评-人员管理制度</w:t>
            </w:r>
          </w:p>
        </w:tc>
        <w:tc>
          <w:tcPr>
            <w:tcW w:w="3466" w:type="pct"/>
            <w:tcMar>
              <w:top w:w="11" w:type="dxa"/>
              <w:left w:w="11" w:type="dxa"/>
              <w:bottom w:w="11" w:type="dxa"/>
              <w:right w:w="11" w:type="dxa"/>
            </w:tcMar>
            <w:vAlign w:val="center"/>
          </w:tcPr>
          <w:p w14:paraId="2278D3F6">
            <w:pPr>
              <w:rPr>
                <w:rFonts w:hint="eastAsia" w:ascii="宋体" w:hAnsi="宋体" w:eastAsia="宋体" w:cs="宋体"/>
                <w:sz w:val="21"/>
                <w:szCs w:val="21"/>
              </w:rPr>
            </w:pPr>
            <w:r>
              <w:rPr>
                <w:rFonts w:hint="eastAsia" w:ascii="宋体" w:hAnsi="宋体" w:eastAsia="宋体" w:cs="宋体"/>
                <w:sz w:val="21"/>
                <w:szCs w:val="21"/>
              </w:rPr>
              <w:t>了解并遵守密码相关法律法规和密码管理制度</w:t>
            </w:r>
          </w:p>
        </w:tc>
      </w:tr>
      <w:tr w14:paraId="376789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0B5DF22F">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2E20B25E">
            <w:pPr>
              <w:rPr>
                <w:rFonts w:hint="eastAsia" w:ascii="宋体" w:hAnsi="宋体" w:eastAsia="宋体" w:cs="宋体"/>
                <w:sz w:val="21"/>
                <w:szCs w:val="21"/>
              </w:rPr>
            </w:pPr>
            <w:r>
              <w:rPr>
                <w:rFonts w:hint="eastAsia" w:ascii="宋体" w:hAnsi="宋体" w:eastAsia="宋体" w:cs="宋体"/>
                <w:sz w:val="21"/>
                <w:szCs w:val="21"/>
              </w:rPr>
              <w:t>建立密码应用岗位责任制度</w:t>
            </w:r>
          </w:p>
        </w:tc>
      </w:tr>
      <w:tr w14:paraId="613CDA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1A242C43">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78C2B8EA">
            <w:pPr>
              <w:rPr>
                <w:rFonts w:hint="eastAsia" w:ascii="宋体" w:hAnsi="宋体" w:eastAsia="宋体" w:cs="宋体"/>
                <w:sz w:val="21"/>
                <w:szCs w:val="21"/>
              </w:rPr>
            </w:pPr>
            <w:r>
              <w:rPr>
                <w:rFonts w:hint="eastAsia" w:ascii="宋体" w:hAnsi="宋体" w:eastAsia="宋体" w:cs="宋体"/>
                <w:sz w:val="21"/>
                <w:szCs w:val="21"/>
              </w:rPr>
              <w:t>建立上岗人员培训制度</w:t>
            </w:r>
          </w:p>
        </w:tc>
      </w:tr>
      <w:tr w14:paraId="57B3D4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7689C86E">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1EDB21FE">
            <w:pPr>
              <w:rPr>
                <w:rFonts w:hint="eastAsia" w:ascii="宋体" w:hAnsi="宋体" w:eastAsia="宋体" w:cs="宋体"/>
                <w:sz w:val="21"/>
                <w:szCs w:val="21"/>
              </w:rPr>
            </w:pPr>
            <w:r>
              <w:rPr>
                <w:rFonts w:hint="eastAsia" w:ascii="宋体" w:hAnsi="宋体" w:eastAsia="宋体" w:cs="宋体"/>
                <w:sz w:val="21"/>
                <w:szCs w:val="21"/>
              </w:rPr>
              <w:t>定期进行安全岗位人员考核</w:t>
            </w:r>
          </w:p>
        </w:tc>
      </w:tr>
      <w:tr w14:paraId="4D69F5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28F8B4C4">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683B7E52">
            <w:pPr>
              <w:rPr>
                <w:rFonts w:hint="eastAsia" w:ascii="宋体" w:hAnsi="宋体" w:eastAsia="宋体" w:cs="宋体"/>
                <w:sz w:val="21"/>
                <w:szCs w:val="21"/>
              </w:rPr>
            </w:pPr>
            <w:r>
              <w:rPr>
                <w:rFonts w:hint="eastAsia" w:ascii="宋体" w:hAnsi="宋体" w:eastAsia="宋体" w:cs="宋体"/>
                <w:sz w:val="21"/>
                <w:szCs w:val="21"/>
              </w:rPr>
              <w:t>建立关键岗位人员保密制度和调离制度</w:t>
            </w:r>
          </w:p>
        </w:tc>
      </w:tr>
    </w:tbl>
    <w:p w14:paraId="75036256">
      <w:pPr>
        <w:rPr>
          <w:rFonts w:hint="eastAsia" w:ascii="宋体" w:hAnsi="宋体" w:eastAsia="宋体" w:cs="宋体"/>
          <w:sz w:val="21"/>
          <w:szCs w:val="21"/>
        </w:rPr>
      </w:pPr>
    </w:p>
    <w:p w14:paraId="1DE071AF">
      <w:pPr>
        <w:spacing w:line="360" w:lineRule="auto"/>
        <w:rPr>
          <w:rFonts w:hint="eastAsia" w:ascii="宋体" w:hAnsi="宋体" w:eastAsia="宋体" w:cs="宋体"/>
          <w:sz w:val="21"/>
          <w:szCs w:val="21"/>
        </w:rPr>
      </w:pPr>
      <w:r>
        <w:rPr>
          <w:rFonts w:hint="eastAsia" w:ascii="宋体" w:hAnsi="宋体" w:eastAsia="宋体" w:cs="宋体"/>
          <w:sz w:val="21"/>
          <w:szCs w:val="21"/>
        </w:rPr>
        <w:t>（3）建设运行</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614662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4676048A">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3899044A">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15F895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6448223D">
            <w:pPr>
              <w:rPr>
                <w:rFonts w:hint="eastAsia" w:ascii="宋体" w:hAnsi="宋体" w:eastAsia="宋体" w:cs="宋体"/>
                <w:sz w:val="21"/>
                <w:szCs w:val="21"/>
              </w:rPr>
            </w:pPr>
            <w:r>
              <w:rPr>
                <w:rFonts w:hint="eastAsia" w:ascii="宋体" w:hAnsi="宋体" w:eastAsia="宋体" w:cs="宋体"/>
                <w:sz w:val="21"/>
                <w:szCs w:val="21"/>
              </w:rPr>
              <w:t>安全管理测评-建设运行</w:t>
            </w:r>
          </w:p>
        </w:tc>
        <w:tc>
          <w:tcPr>
            <w:tcW w:w="3466" w:type="pct"/>
            <w:tcMar>
              <w:top w:w="11" w:type="dxa"/>
              <w:left w:w="11" w:type="dxa"/>
              <w:bottom w:w="11" w:type="dxa"/>
              <w:right w:w="11" w:type="dxa"/>
            </w:tcMar>
            <w:vAlign w:val="center"/>
          </w:tcPr>
          <w:p w14:paraId="3E5675F9">
            <w:pPr>
              <w:rPr>
                <w:rFonts w:hint="eastAsia" w:ascii="宋体" w:hAnsi="宋体" w:eastAsia="宋体" w:cs="宋体"/>
                <w:sz w:val="21"/>
                <w:szCs w:val="21"/>
              </w:rPr>
            </w:pPr>
            <w:r>
              <w:rPr>
                <w:rFonts w:hint="eastAsia" w:ascii="宋体" w:hAnsi="宋体" w:eastAsia="宋体" w:cs="宋体"/>
                <w:sz w:val="21"/>
                <w:szCs w:val="21"/>
              </w:rPr>
              <w:t>制定密码应用方案</w:t>
            </w:r>
          </w:p>
        </w:tc>
      </w:tr>
      <w:tr w14:paraId="1D8AAA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7C9D1923">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31DA44B5">
            <w:pPr>
              <w:rPr>
                <w:rFonts w:hint="eastAsia" w:ascii="宋体" w:hAnsi="宋体" w:eastAsia="宋体" w:cs="宋体"/>
                <w:sz w:val="21"/>
                <w:szCs w:val="21"/>
              </w:rPr>
            </w:pPr>
            <w:r>
              <w:rPr>
                <w:rFonts w:hint="eastAsia" w:ascii="宋体" w:hAnsi="宋体" w:eastAsia="宋体" w:cs="宋体"/>
                <w:sz w:val="21"/>
                <w:szCs w:val="21"/>
              </w:rPr>
              <w:t>制定密钥安全管理策略</w:t>
            </w:r>
          </w:p>
        </w:tc>
      </w:tr>
      <w:tr w14:paraId="64AB96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6BB3F794">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722DDE07">
            <w:pPr>
              <w:rPr>
                <w:rFonts w:hint="eastAsia" w:ascii="宋体" w:hAnsi="宋体" w:eastAsia="宋体" w:cs="宋体"/>
                <w:sz w:val="21"/>
                <w:szCs w:val="21"/>
              </w:rPr>
            </w:pPr>
            <w:r>
              <w:rPr>
                <w:rFonts w:hint="eastAsia" w:ascii="宋体" w:hAnsi="宋体" w:eastAsia="宋体" w:cs="宋体"/>
                <w:sz w:val="21"/>
                <w:szCs w:val="21"/>
              </w:rPr>
              <w:t>制定实施方案</w:t>
            </w:r>
          </w:p>
        </w:tc>
      </w:tr>
      <w:tr w14:paraId="55632F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25C20B81">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2040149B">
            <w:pPr>
              <w:rPr>
                <w:rFonts w:hint="eastAsia" w:ascii="宋体" w:hAnsi="宋体" w:eastAsia="宋体" w:cs="宋体"/>
                <w:sz w:val="21"/>
                <w:szCs w:val="21"/>
              </w:rPr>
            </w:pPr>
            <w:r>
              <w:rPr>
                <w:rFonts w:hint="eastAsia" w:ascii="宋体" w:hAnsi="宋体" w:eastAsia="宋体" w:cs="宋体"/>
                <w:sz w:val="21"/>
                <w:szCs w:val="21"/>
              </w:rPr>
              <w:t>投入运行前进行密码应用安全性评估</w:t>
            </w:r>
          </w:p>
        </w:tc>
      </w:tr>
      <w:tr w14:paraId="0B2336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591DC1D4">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65A1CC30">
            <w:pPr>
              <w:rPr>
                <w:rFonts w:hint="eastAsia" w:ascii="宋体" w:hAnsi="宋体" w:eastAsia="宋体" w:cs="宋体"/>
                <w:sz w:val="21"/>
                <w:szCs w:val="21"/>
              </w:rPr>
            </w:pPr>
            <w:r>
              <w:rPr>
                <w:rFonts w:hint="eastAsia" w:ascii="宋体" w:hAnsi="宋体" w:eastAsia="宋体" w:cs="宋体"/>
                <w:sz w:val="21"/>
                <w:szCs w:val="21"/>
              </w:rPr>
              <w:t>定期开展密码应用安全性评估及攻防对抗演习</w:t>
            </w:r>
          </w:p>
        </w:tc>
      </w:tr>
    </w:tbl>
    <w:p w14:paraId="60DCE6FC">
      <w:pPr>
        <w:rPr>
          <w:rFonts w:hint="eastAsia" w:ascii="宋体" w:hAnsi="宋体" w:eastAsia="宋体" w:cs="宋体"/>
          <w:sz w:val="21"/>
          <w:szCs w:val="21"/>
        </w:rPr>
      </w:pPr>
    </w:p>
    <w:p w14:paraId="15964B15">
      <w:pPr>
        <w:spacing w:line="360" w:lineRule="auto"/>
        <w:rPr>
          <w:rFonts w:hint="eastAsia" w:ascii="宋体" w:hAnsi="宋体" w:eastAsia="宋体" w:cs="宋体"/>
          <w:sz w:val="21"/>
          <w:szCs w:val="21"/>
        </w:rPr>
      </w:pPr>
      <w:r>
        <w:rPr>
          <w:rFonts w:hint="eastAsia" w:ascii="宋体" w:hAnsi="宋体" w:eastAsia="宋体" w:cs="宋体"/>
          <w:sz w:val="21"/>
          <w:szCs w:val="21"/>
        </w:rPr>
        <w:t>（4）应急处置</w:t>
      </w:r>
    </w:p>
    <w:tbl>
      <w:tblPr>
        <w:tblStyle w:val="10"/>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55"/>
        <w:gridCol w:w="5772"/>
      </w:tblGrid>
      <w:tr w14:paraId="6DB2F2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534" w:type="pct"/>
            <w:tcMar>
              <w:top w:w="11" w:type="dxa"/>
              <w:left w:w="11" w:type="dxa"/>
              <w:bottom w:w="11" w:type="dxa"/>
              <w:right w:w="11" w:type="dxa"/>
            </w:tcMar>
            <w:vAlign w:val="center"/>
          </w:tcPr>
          <w:p w14:paraId="41CB2FEF">
            <w:pPr>
              <w:ind w:firstLine="569"/>
              <w:rPr>
                <w:rFonts w:hint="eastAsia" w:ascii="宋体" w:hAnsi="宋体" w:eastAsia="宋体" w:cs="宋体"/>
                <w:b/>
                <w:bCs/>
                <w:sz w:val="21"/>
                <w:szCs w:val="21"/>
              </w:rPr>
            </w:pPr>
            <w:r>
              <w:rPr>
                <w:rFonts w:hint="eastAsia" w:ascii="宋体" w:hAnsi="宋体" w:eastAsia="宋体" w:cs="宋体"/>
                <w:b/>
                <w:bCs/>
                <w:sz w:val="21"/>
                <w:szCs w:val="21"/>
              </w:rPr>
              <w:t>测评类别</w:t>
            </w:r>
          </w:p>
        </w:tc>
        <w:tc>
          <w:tcPr>
            <w:tcW w:w="3466" w:type="pct"/>
            <w:vAlign w:val="center"/>
          </w:tcPr>
          <w:p w14:paraId="2AFAAC5B">
            <w:pPr>
              <w:ind w:firstLine="569"/>
              <w:rPr>
                <w:rFonts w:hint="eastAsia" w:ascii="宋体" w:hAnsi="宋体" w:eastAsia="宋体" w:cs="宋体"/>
                <w:b/>
                <w:bCs/>
                <w:sz w:val="21"/>
                <w:szCs w:val="21"/>
              </w:rPr>
            </w:pPr>
            <w:r>
              <w:rPr>
                <w:rFonts w:hint="eastAsia" w:ascii="宋体" w:hAnsi="宋体" w:eastAsia="宋体" w:cs="宋体"/>
                <w:b/>
                <w:bCs/>
                <w:sz w:val="21"/>
                <w:szCs w:val="21"/>
              </w:rPr>
              <w:t>测评单元</w:t>
            </w:r>
          </w:p>
        </w:tc>
      </w:tr>
      <w:tr w14:paraId="187BF5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restart"/>
            <w:tcMar>
              <w:top w:w="11" w:type="dxa"/>
              <w:left w:w="11" w:type="dxa"/>
              <w:bottom w:w="11" w:type="dxa"/>
              <w:right w:w="11" w:type="dxa"/>
            </w:tcMar>
            <w:vAlign w:val="center"/>
          </w:tcPr>
          <w:p w14:paraId="05066C9C">
            <w:pPr>
              <w:rPr>
                <w:rFonts w:hint="eastAsia" w:ascii="宋体" w:hAnsi="宋体" w:eastAsia="宋体" w:cs="宋体"/>
                <w:sz w:val="21"/>
                <w:szCs w:val="21"/>
              </w:rPr>
            </w:pPr>
            <w:r>
              <w:rPr>
                <w:rFonts w:hint="eastAsia" w:ascii="宋体" w:hAnsi="宋体" w:eastAsia="宋体" w:cs="宋体"/>
                <w:sz w:val="21"/>
                <w:szCs w:val="21"/>
              </w:rPr>
              <w:t>安全管理测评-应急处置</w:t>
            </w:r>
          </w:p>
        </w:tc>
        <w:tc>
          <w:tcPr>
            <w:tcW w:w="3466" w:type="pct"/>
            <w:tcMar>
              <w:top w:w="11" w:type="dxa"/>
              <w:left w:w="11" w:type="dxa"/>
              <w:bottom w:w="11" w:type="dxa"/>
              <w:right w:w="11" w:type="dxa"/>
            </w:tcMar>
            <w:vAlign w:val="center"/>
          </w:tcPr>
          <w:p w14:paraId="6281613B">
            <w:pPr>
              <w:rPr>
                <w:rFonts w:hint="eastAsia" w:ascii="宋体" w:hAnsi="宋体" w:eastAsia="宋体" w:cs="宋体"/>
                <w:sz w:val="21"/>
                <w:szCs w:val="21"/>
              </w:rPr>
            </w:pPr>
            <w:r>
              <w:rPr>
                <w:rFonts w:hint="eastAsia" w:ascii="宋体" w:hAnsi="宋体" w:eastAsia="宋体" w:cs="宋体"/>
                <w:sz w:val="21"/>
                <w:szCs w:val="21"/>
              </w:rPr>
              <w:t xml:space="preserve">应急策略 </w:t>
            </w:r>
          </w:p>
        </w:tc>
      </w:tr>
      <w:tr w14:paraId="2225D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6698D7C7">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109AEA94">
            <w:pPr>
              <w:rPr>
                <w:rFonts w:hint="eastAsia" w:ascii="宋体" w:hAnsi="宋体" w:eastAsia="宋体" w:cs="宋体"/>
                <w:sz w:val="21"/>
                <w:szCs w:val="21"/>
              </w:rPr>
            </w:pPr>
            <w:r>
              <w:rPr>
                <w:rFonts w:hint="eastAsia" w:ascii="宋体" w:hAnsi="宋体" w:eastAsia="宋体" w:cs="宋体"/>
                <w:sz w:val="21"/>
                <w:szCs w:val="21"/>
              </w:rPr>
              <w:t>事件处置</w:t>
            </w:r>
          </w:p>
        </w:tc>
      </w:tr>
      <w:tr w14:paraId="593D7C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1534" w:type="pct"/>
            <w:vMerge w:val="continue"/>
            <w:vAlign w:val="center"/>
          </w:tcPr>
          <w:p w14:paraId="20D6A6DB">
            <w:pPr>
              <w:rPr>
                <w:rFonts w:hint="eastAsia" w:ascii="宋体" w:hAnsi="宋体" w:eastAsia="宋体" w:cs="宋体"/>
                <w:sz w:val="21"/>
                <w:szCs w:val="21"/>
              </w:rPr>
            </w:pPr>
          </w:p>
        </w:tc>
        <w:tc>
          <w:tcPr>
            <w:tcW w:w="3466" w:type="pct"/>
            <w:tcMar>
              <w:top w:w="11" w:type="dxa"/>
              <w:left w:w="11" w:type="dxa"/>
              <w:bottom w:w="11" w:type="dxa"/>
              <w:right w:w="11" w:type="dxa"/>
            </w:tcMar>
            <w:vAlign w:val="center"/>
          </w:tcPr>
          <w:p w14:paraId="65CBDF2C">
            <w:pPr>
              <w:rPr>
                <w:rFonts w:hint="eastAsia" w:ascii="宋体" w:hAnsi="宋体" w:eastAsia="宋体" w:cs="宋体"/>
                <w:sz w:val="21"/>
                <w:szCs w:val="21"/>
              </w:rPr>
            </w:pPr>
            <w:r>
              <w:rPr>
                <w:rFonts w:hint="eastAsia" w:ascii="宋体" w:hAnsi="宋体" w:eastAsia="宋体" w:cs="宋体"/>
                <w:sz w:val="21"/>
                <w:szCs w:val="21"/>
              </w:rPr>
              <w:t>向有关主管部门上报处置情况</w:t>
            </w:r>
          </w:p>
        </w:tc>
      </w:tr>
    </w:tbl>
    <w:p w14:paraId="26F0E63B">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（五）测评工作原则</w:t>
      </w:r>
    </w:p>
    <w:p w14:paraId="02BD23A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遵循以下若干原则，是评估结论真实、准确、可信的基础，也是评估组在独立实施评估时，在相似的情况下得出相似结论的前提。本次商用密码应用安全性测评实施方案设计与具体实施应满足以下原则：</w:t>
      </w:r>
    </w:p>
    <w:p w14:paraId="2D0C81D3">
      <w:pPr>
        <w:spacing w:line="360" w:lineRule="auto"/>
        <w:rPr>
          <w:rFonts w:hint="eastAsia" w:ascii="宋体" w:hAnsi="宋体" w:eastAsia="宋体" w:cs="宋体"/>
          <w:sz w:val="21"/>
          <w:szCs w:val="21"/>
        </w:rPr>
      </w:pPr>
      <w:r>
        <w:rPr>
          <w:rFonts w:hint="eastAsia" w:ascii="宋体" w:hAnsi="宋体" w:eastAsia="宋体" w:cs="宋体"/>
          <w:sz w:val="21"/>
          <w:szCs w:val="21"/>
        </w:rPr>
        <w:t>（1）客观公正原则：评估实施过程中评估人员应保证在最小主观判断情形下，按照评估双方认可的评估方案，基于明确定义的评估方式和解释，实施评估活动。</w:t>
      </w:r>
    </w:p>
    <w:p w14:paraId="53DD472E">
      <w:pPr>
        <w:spacing w:line="360" w:lineRule="auto"/>
        <w:rPr>
          <w:rFonts w:hint="eastAsia" w:ascii="宋体" w:hAnsi="宋体" w:eastAsia="宋体" w:cs="宋体"/>
          <w:sz w:val="21"/>
          <w:szCs w:val="21"/>
        </w:rPr>
      </w:pPr>
      <w:r>
        <w:rPr>
          <w:rFonts w:hint="eastAsia" w:ascii="宋体" w:hAnsi="宋体" w:eastAsia="宋体" w:cs="宋体"/>
          <w:sz w:val="21"/>
          <w:szCs w:val="21"/>
        </w:rPr>
        <w:t>（2）经济性和可重用性原则：评估工作可重用已有评估结果，包括商用密码应用安全性评估结果。所有重用结果都应以结果适用于待评估系统为前提，并能够客观反映目前系统的安全状态。</w:t>
      </w:r>
    </w:p>
    <w:p w14:paraId="6B00A426">
      <w:pPr>
        <w:spacing w:line="360" w:lineRule="auto"/>
        <w:rPr>
          <w:rFonts w:hint="eastAsia" w:ascii="宋体" w:hAnsi="宋体" w:eastAsia="宋体" w:cs="宋体"/>
          <w:sz w:val="21"/>
          <w:szCs w:val="21"/>
        </w:rPr>
      </w:pPr>
      <w:r>
        <w:rPr>
          <w:rFonts w:hint="eastAsia" w:ascii="宋体" w:hAnsi="宋体" w:eastAsia="宋体" w:cs="宋体"/>
          <w:sz w:val="21"/>
          <w:szCs w:val="21"/>
        </w:rPr>
        <w:t>（3）可重复性和可再现性原则：依照同样的要求，使用同样的评估方法，不同的评估机构对每个评估实施过程的重复执行应得到同样的结果。可再现性和可重复性的区别在于，前者关注不同评估者评估结果的一致性，后者则与同一评估者评估结果的一致性有关。</w:t>
      </w:r>
    </w:p>
    <w:p w14:paraId="12A629FD">
      <w:pPr>
        <w:spacing w:line="360" w:lineRule="auto"/>
        <w:rPr>
          <w:rFonts w:hint="eastAsia" w:ascii="宋体" w:hAnsi="宋体" w:eastAsia="宋体" w:cs="宋体"/>
          <w:sz w:val="21"/>
          <w:szCs w:val="21"/>
        </w:rPr>
      </w:pPr>
      <w:r>
        <w:rPr>
          <w:rFonts w:hint="eastAsia" w:ascii="宋体" w:hAnsi="宋体" w:eastAsia="宋体" w:cs="宋体"/>
          <w:sz w:val="21"/>
          <w:szCs w:val="21"/>
        </w:rPr>
        <w:t>（4）结果完善性原则：在正确理解《GB/T39786-2021 信息安全技术信息系统密码应用基本要求》各个要求项内容的基础之上，检测所产生的结果应客观反映系统的运行状态。评估过程和结果应服从正确的评估方法，确保其满足要求。</w:t>
      </w:r>
    </w:p>
    <w:p w14:paraId="0BA57CD8">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（六）测评服务总体要求</w:t>
      </w:r>
    </w:p>
    <w:p w14:paraId="66B32B34">
      <w:pPr>
        <w:spacing w:line="360" w:lineRule="auto"/>
        <w:rPr>
          <w:rFonts w:hint="eastAsia" w:ascii="宋体" w:hAnsi="宋体" w:eastAsia="宋体" w:cs="宋体"/>
          <w:sz w:val="21"/>
          <w:szCs w:val="21"/>
        </w:rPr>
      </w:pPr>
      <w:r>
        <w:rPr>
          <w:rFonts w:hint="eastAsia" w:ascii="宋体" w:hAnsi="宋体" w:eastAsia="宋体" w:cs="宋体"/>
          <w:sz w:val="21"/>
          <w:szCs w:val="21"/>
        </w:rPr>
        <w:t>（1）供应商应详细描述本次项目的整体实施方案，包括项目概述、密码应用安全性评估方案、测试过程中需使用测试设备清单、时间安排、阶段性文档提交和验收标准等。</w:t>
      </w:r>
    </w:p>
    <w:p w14:paraId="028D67B3">
      <w:pPr>
        <w:spacing w:line="360" w:lineRule="auto"/>
        <w:rPr>
          <w:rFonts w:hint="eastAsia" w:ascii="宋体" w:hAnsi="宋体" w:eastAsia="宋体" w:cs="宋体"/>
          <w:sz w:val="21"/>
          <w:szCs w:val="21"/>
        </w:rPr>
      </w:pPr>
      <w:r>
        <w:rPr>
          <w:rFonts w:hint="eastAsia" w:ascii="宋体" w:hAnsi="宋体" w:eastAsia="宋体" w:cs="宋体"/>
          <w:sz w:val="21"/>
          <w:szCs w:val="21"/>
        </w:rPr>
        <w:t>（2）供应商应详细描述实施人员的组成、资质及各自职责的划分。供应商应配置有经验的技术人员进行本次项目实施。</w:t>
      </w:r>
    </w:p>
    <w:p w14:paraId="05CFF088">
      <w:pPr>
        <w:spacing w:line="360" w:lineRule="auto"/>
        <w:rPr>
          <w:rFonts w:hint="eastAsia" w:ascii="宋体" w:hAnsi="宋体" w:eastAsia="宋体" w:cs="宋体"/>
          <w:sz w:val="21"/>
          <w:szCs w:val="21"/>
        </w:rPr>
      </w:pPr>
      <w:r>
        <w:rPr>
          <w:rFonts w:hint="eastAsia" w:ascii="宋体" w:hAnsi="宋体" w:eastAsia="宋体" w:cs="宋体"/>
          <w:sz w:val="21"/>
          <w:szCs w:val="21"/>
        </w:rPr>
        <w:t>（3）本次项目实施过程中所使用到的各种工具软件由供应商推荐，经采购人确认后由供应商提供并在项目中使用。在响应文件中应详细描述所使用的安全技术工具（软硬件型号、功能和性能描述）、使用的方式和时间、对环境和平台的要求以及使用可能对系统造成的风险等。</w:t>
      </w:r>
    </w:p>
    <w:p w14:paraId="154B5539">
      <w:pPr>
        <w:spacing w:line="360" w:lineRule="auto"/>
        <w:rPr>
          <w:rFonts w:hint="eastAsia" w:ascii="宋体" w:hAnsi="宋体" w:eastAsia="宋体" w:cs="宋体"/>
          <w:sz w:val="21"/>
          <w:szCs w:val="21"/>
        </w:rPr>
      </w:pPr>
      <w:r>
        <w:rPr>
          <w:rFonts w:hint="eastAsia" w:ascii="宋体" w:hAnsi="宋体" w:eastAsia="宋体" w:cs="宋体"/>
          <w:sz w:val="21"/>
          <w:szCs w:val="21"/>
        </w:rPr>
        <w:t>（4）本次项目实施过程中所使用到的测评工具，应包括自主密码专用检测工具、 漏洞扫描工具等获得许可的检测工具，对系统数据进行分析，并以分析结果辅证评估报告。</w:t>
      </w:r>
    </w:p>
    <w:p w14:paraId="06111E94">
      <w:pPr>
        <w:spacing w:line="360" w:lineRule="auto"/>
        <w:rPr>
          <w:rFonts w:hint="eastAsia" w:ascii="宋体" w:hAnsi="宋体" w:eastAsia="宋体" w:cs="宋体"/>
          <w:sz w:val="21"/>
          <w:szCs w:val="21"/>
        </w:rPr>
      </w:pPr>
      <w:r>
        <w:rPr>
          <w:rFonts w:hint="eastAsia" w:ascii="宋体" w:hAnsi="宋体" w:eastAsia="宋体" w:cs="宋体"/>
          <w:sz w:val="21"/>
          <w:szCs w:val="21"/>
        </w:rPr>
        <w:t>（5）安全技术工具软件运行可能需要的硬件平台（如笔记本电脑、PC、工作站等） 和操作系统软件等由供应商推荐，经采购人确认后由供应商提供并在项目中使用。</w:t>
      </w:r>
    </w:p>
    <w:p w14:paraId="59CEC4CE">
      <w:pPr>
        <w:spacing w:line="360" w:lineRule="auto"/>
        <w:rPr>
          <w:rFonts w:hint="eastAsia" w:ascii="宋体" w:hAnsi="宋体" w:eastAsia="宋体" w:cs="宋体"/>
          <w:sz w:val="21"/>
          <w:szCs w:val="21"/>
        </w:rPr>
      </w:pPr>
      <w:r>
        <w:rPr>
          <w:rFonts w:hint="eastAsia" w:ascii="宋体" w:hAnsi="宋体" w:eastAsia="宋体" w:cs="宋体"/>
          <w:sz w:val="21"/>
          <w:szCs w:val="21"/>
        </w:rPr>
        <w:t>（6）项目实施需要的运行环境（如场地、网络环境等）由采购人提供，供应商应详细描述需要的运行环境的具体要求。</w:t>
      </w:r>
    </w:p>
    <w:p w14:paraId="6C60FB65">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（七）测评服务过程及内容要求</w:t>
      </w:r>
    </w:p>
    <w:p w14:paraId="5F99511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测评服务过程包括四项基本测评活动：测评准备活动、方案编制活动、现场测评活动、分析与报告编制活动。测评方与被测单位之间的沟通与洽谈应贯穿整个测评过程。</w:t>
      </w:r>
    </w:p>
    <w:p w14:paraId="17C7F14A">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（1）测评准备活动 </w:t>
      </w:r>
    </w:p>
    <w:p w14:paraId="6C805DE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本活动是开展测评工作的前提和基础，主要任务是掌握被测信息系统的详细情况，准备测评工具，为编制密码应用测评方案做好准备。 </w:t>
      </w:r>
    </w:p>
    <w:p w14:paraId="139E4AD8">
      <w:pPr>
        <w:spacing w:line="360" w:lineRule="auto"/>
        <w:rPr>
          <w:rFonts w:hint="eastAsia" w:ascii="宋体" w:hAnsi="宋体" w:eastAsia="宋体" w:cs="宋体"/>
          <w:sz w:val="21"/>
          <w:szCs w:val="21"/>
        </w:rPr>
      </w:pPr>
      <w:r>
        <w:rPr>
          <w:rFonts w:hint="eastAsia" w:ascii="宋体" w:hAnsi="宋体" w:eastAsia="宋体" w:cs="宋体"/>
          <w:sz w:val="21"/>
          <w:szCs w:val="21"/>
        </w:rPr>
        <w:t>（2）方案编制活动</w:t>
      </w:r>
    </w:p>
    <w:p w14:paraId="3AAA0CA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本活动是开展测评工作的关键活动，主要任务是确定与被测信息系统相适应的测评对象、测评指标、测评检查点及测评内容等，形成密码应用测评方案，为实施现场测评提供依据。</w:t>
      </w:r>
    </w:p>
    <w:p w14:paraId="28B4F1E9">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（3）现场测评活动 </w:t>
      </w:r>
    </w:p>
    <w:p w14:paraId="40B13FC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本活动是开展测评工作的核心活动，主要任务是根据密码应用测评技术方案分步实施所有测评项目，以了解被测信息系统真实的密码应用现状，获取足够的证据，发现其存在的密码应用安全性问题。 </w:t>
      </w:r>
    </w:p>
    <w:p w14:paraId="6AE9723D">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（4）分析与报告编制活动 </w:t>
      </w:r>
    </w:p>
    <w:p w14:paraId="18D0750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本活动是给出测评工作结果的活动，主要任务是根据GB/T 39786-2021《信息安全技术 信息系统密码应用基本要求》的有关要求，通过单元测评、整体测评、量化评估和风险分析等方法，找出被测信息系统密码应用的安全保护现状与相应等级的保护要求之间的差距，并分析这些差距可能导致的被测信息系统所面临的风险，从而给出各个测评对象的测评结果和被测信息系统的评估结论，形成商用密码应用安全性评估。</w:t>
      </w:r>
    </w:p>
    <w:p w14:paraId="1026C33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测评各阶段详细的服务内容如下表：</w:t>
      </w:r>
    </w:p>
    <w:tbl>
      <w:tblPr>
        <w:tblStyle w:val="10"/>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87"/>
        <w:gridCol w:w="1434"/>
        <w:gridCol w:w="1413"/>
        <w:gridCol w:w="4888"/>
      </w:tblGrid>
      <w:tr w14:paraId="652E0E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 w:hRule="atLeast"/>
        </w:trPr>
        <w:tc>
          <w:tcPr>
            <w:tcW w:w="462" w:type="pct"/>
            <w:shd w:val="clear" w:color="000000" w:fill="FFFFFF"/>
            <w:vAlign w:val="center"/>
          </w:tcPr>
          <w:p w14:paraId="3A1D0DB8">
            <w:pPr>
              <w:widowControl/>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841" w:type="pct"/>
            <w:shd w:val="clear" w:color="000000" w:fill="FFFFFF"/>
            <w:vAlign w:val="center"/>
          </w:tcPr>
          <w:p w14:paraId="07A430C7">
            <w:pPr>
              <w:widowControl/>
              <w:rPr>
                <w:rFonts w:hint="eastAsia" w:ascii="宋体" w:hAnsi="宋体" w:eastAsia="宋体" w:cs="宋体"/>
                <w:b/>
                <w:bCs/>
                <w:kern w:val="0"/>
                <w:sz w:val="21"/>
                <w:szCs w:val="21"/>
              </w:rPr>
            </w:pPr>
            <w:r>
              <w:rPr>
                <w:rFonts w:hint="eastAsia" w:ascii="宋体" w:hAnsi="宋体" w:eastAsia="宋体" w:cs="宋体"/>
                <w:b/>
                <w:bCs/>
                <w:kern w:val="0"/>
                <w:sz w:val="21"/>
                <w:szCs w:val="21"/>
              </w:rPr>
              <w:t>测评阶段</w:t>
            </w:r>
          </w:p>
        </w:tc>
        <w:tc>
          <w:tcPr>
            <w:tcW w:w="829" w:type="pct"/>
            <w:shd w:val="clear" w:color="000000" w:fill="FFFFFF"/>
            <w:vAlign w:val="center"/>
          </w:tcPr>
          <w:p w14:paraId="40EFE91B">
            <w:pPr>
              <w:widowControl/>
              <w:rPr>
                <w:rFonts w:hint="eastAsia" w:ascii="宋体" w:hAnsi="宋体" w:eastAsia="宋体" w:cs="宋体"/>
                <w:b/>
                <w:bCs/>
                <w:kern w:val="0"/>
                <w:sz w:val="21"/>
                <w:szCs w:val="21"/>
              </w:rPr>
            </w:pPr>
            <w:r>
              <w:rPr>
                <w:rFonts w:hint="eastAsia" w:ascii="宋体" w:hAnsi="宋体" w:eastAsia="宋体" w:cs="宋体"/>
                <w:b/>
                <w:bCs/>
                <w:kern w:val="0"/>
                <w:sz w:val="21"/>
                <w:szCs w:val="21"/>
              </w:rPr>
              <w:t>测评类</w:t>
            </w:r>
          </w:p>
        </w:tc>
        <w:tc>
          <w:tcPr>
            <w:tcW w:w="2867" w:type="pct"/>
            <w:shd w:val="clear" w:color="000000" w:fill="FFFFFF"/>
            <w:vAlign w:val="center"/>
          </w:tcPr>
          <w:p w14:paraId="4ECE8E18">
            <w:pPr>
              <w:widowControl/>
              <w:ind w:firstLine="442"/>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服务说明</w:t>
            </w:r>
          </w:p>
        </w:tc>
      </w:tr>
      <w:tr w14:paraId="1C9DF9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 w:hRule="atLeast"/>
        </w:trPr>
        <w:tc>
          <w:tcPr>
            <w:tcW w:w="462" w:type="pct"/>
            <w:shd w:val="clear" w:color="000000" w:fill="FFFFFF"/>
            <w:vAlign w:val="center"/>
          </w:tcPr>
          <w:p w14:paraId="32DCFE2E">
            <w:pPr>
              <w:widowControl/>
              <w:ind w:firstLine="44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841" w:type="pct"/>
            <w:shd w:val="clear" w:color="000000" w:fill="FFFFFF"/>
            <w:vAlign w:val="center"/>
          </w:tcPr>
          <w:p w14:paraId="63100A2B">
            <w:pPr>
              <w:widowControl/>
              <w:rPr>
                <w:rFonts w:hint="eastAsia" w:ascii="宋体" w:hAnsi="宋体" w:eastAsia="宋体" w:cs="宋体"/>
                <w:kern w:val="0"/>
                <w:sz w:val="21"/>
                <w:szCs w:val="21"/>
              </w:rPr>
            </w:pPr>
            <w:r>
              <w:rPr>
                <w:rFonts w:hint="eastAsia" w:ascii="宋体" w:hAnsi="宋体" w:eastAsia="宋体" w:cs="宋体"/>
                <w:kern w:val="0"/>
                <w:sz w:val="21"/>
                <w:szCs w:val="21"/>
              </w:rPr>
              <w:t>评估准备</w:t>
            </w:r>
          </w:p>
        </w:tc>
        <w:tc>
          <w:tcPr>
            <w:tcW w:w="829" w:type="pct"/>
            <w:shd w:val="clear" w:color="000000" w:fill="FFFFFF"/>
            <w:vAlign w:val="center"/>
          </w:tcPr>
          <w:p w14:paraId="7962FD31">
            <w:pPr>
              <w:widowControl/>
              <w:rPr>
                <w:rFonts w:hint="eastAsia" w:ascii="宋体" w:hAnsi="宋体" w:eastAsia="宋体" w:cs="宋体"/>
                <w:kern w:val="0"/>
                <w:sz w:val="21"/>
                <w:szCs w:val="21"/>
              </w:rPr>
            </w:pPr>
            <w:r>
              <w:rPr>
                <w:rFonts w:hint="eastAsia" w:ascii="宋体" w:hAnsi="宋体" w:eastAsia="宋体" w:cs="宋体"/>
                <w:kern w:val="0"/>
                <w:sz w:val="21"/>
                <w:szCs w:val="21"/>
              </w:rPr>
              <w:t>准备阶段</w:t>
            </w:r>
          </w:p>
        </w:tc>
        <w:tc>
          <w:tcPr>
            <w:tcW w:w="2867" w:type="pct"/>
            <w:shd w:val="clear" w:color="000000" w:fill="FFFFFF"/>
            <w:vAlign w:val="center"/>
          </w:tcPr>
          <w:p w14:paraId="65983E61">
            <w:pPr>
              <w:widowControl/>
              <w:rPr>
                <w:rFonts w:hint="eastAsia" w:ascii="宋体" w:hAnsi="宋体" w:eastAsia="宋体" w:cs="宋体"/>
                <w:kern w:val="0"/>
                <w:sz w:val="21"/>
                <w:szCs w:val="21"/>
              </w:rPr>
            </w:pPr>
            <w:r>
              <w:rPr>
                <w:rFonts w:hint="eastAsia" w:ascii="宋体" w:hAnsi="宋体" w:eastAsia="宋体" w:cs="宋体"/>
                <w:kern w:val="0"/>
                <w:sz w:val="21"/>
                <w:szCs w:val="21"/>
              </w:rPr>
              <w:t>编制项目计划书、收集被测系统基本资料并完成调查表格，分析调查结果，准备工具和评估表单</w:t>
            </w:r>
          </w:p>
        </w:tc>
      </w:tr>
      <w:tr w14:paraId="787A35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10" w:hRule="atLeast"/>
        </w:trPr>
        <w:tc>
          <w:tcPr>
            <w:tcW w:w="462" w:type="pct"/>
            <w:shd w:val="clear" w:color="000000" w:fill="FFFFFF"/>
            <w:vAlign w:val="center"/>
          </w:tcPr>
          <w:p w14:paraId="737BD97C">
            <w:pPr>
              <w:widowControl/>
              <w:ind w:firstLine="44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841" w:type="pct"/>
            <w:shd w:val="clear" w:color="000000" w:fill="FFFFFF"/>
            <w:vAlign w:val="center"/>
          </w:tcPr>
          <w:p w14:paraId="71535185">
            <w:pPr>
              <w:widowControl/>
              <w:rPr>
                <w:rFonts w:hint="eastAsia" w:ascii="宋体" w:hAnsi="宋体" w:eastAsia="宋体" w:cs="宋体"/>
                <w:kern w:val="0"/>
                <w:sz w:val="21"/>
                <w:szCs w:val="21"/>
              </w:rPr>
            </w:pPr>
            <w:r>
              <w:rPr>
                <w:rFonts w:hint="eastAsia" w:ascii="宋体" w:hAnsi="宋体" w:eastAsia="宋体" w:cs="宋体"/>
                <w:kern w:val="0"/>
                <w:sz w:val="21"/>
                <w:szCs w:val="21"/>
              </w:rPr>
              <w:t>方案编制</w:t>
            </w:r>
          </w:p>
        </w:tc>
        <w:tc>
          <w:tcPr>
            <w:tcW w:w="829" w:type="pct"/>
            <w:shd w:val="clear" w:color="000000" w:fill="FFFFFF"/>
            <w:vAlign w:val="center"/>
          </w:tcPr>
          <w:p w14:paraId="246B55AD">
            <w:pPr>
              <w:widowControl/>
              <w:rPr>
                <w:rFonts w:hint="eastAsia" w:ascii="宋体" w:hAnsi="宋体" w:eastAsia="宋体" w:cs="宋体"/>
                <w:kern w:val="0"/>
                <w:sz w:val="21"/>
                <w:szCs w:val="21"/>
              </w:rPr>
            </w:pPr>
            <w:r>
              <w:rPr>
                <w:rFonts w:hint="eastAsia" w:ascii="宋体" w:hAnsi="宋体" w:eastAsia="宋体" w:cs="宋体"/>
                <w:kern w:val="0"/>
                <w:sz w:val="21"/>
                <w:szCs w:val="21"/>
              </w:rPr>
              <w:t>评估方案编制</w:t>
            </w:r>
          </w:p>
        </w:tc>
        <w:tc>
          <w:tcPr>
            <w:tcW w:w="2867" w:type="pct"/>
            <w:shd w:val="clear" w:color="000000" w:fill="FFFFFF"/>
            <w:vAlign w:val="center"/>
          </w:tcPr>
          <w:p w14:paraId="44C29927">
            <w:pPr>
              <w:widowControl/>
              <w:rPr>
                <w:rFonts w:hint="eastAsia" w:ascii="宋体" w:hAnsi="宋体" w:eastAsia="宋体" w:cs="宋体"/>
                <w:kern w:val="0"/>
                <w:sz w:val="21"/>
                <w:szCs w:val="21"/>
              </w:rPr>
            </w:pPr>
            <w:r>
              <w:rPr>
                <w:rFonts w:hint="eastAsia" w:ascii="宋体" w:hAnsi="宋体" w:eastAsia="宋体" w:cs="宋体"/>
                <w:kern w:val="0"/>
                <w:sz w:val="21"/>
                <w:szCs w:val="21"/>
              </w:rPr>
              <w:t>识别并描述被测系统基本情况、确定测评对象、资产和威胁评估、系统定级结果和测评指标、确定检查点和检查方法、确定单元测评内容</w:t>
            </w:r>
          </w:p>
        </w:tc>
      </w:tr>
      <w:tr w14:paraId="27171A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50" w:hRule="atLeast"/>
        </w:trPr>
        <w:tc>
          <w:tcPr>
            <w:tcW w:w="462" w:type="pct"/>
            <w:shd w:val="clear" w:color="000000" w:fill="FFFFFF"/>
            <w:vAlign w:val="center"/>
          </w:tcPr>
          <w:p w14:paraId="036AE747">
            <w:pPr>
              <w:widowControl/>
              <w:ind w:firstLine="44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841" w:type="pct"/>
            <w:shd w:val="clear" w:color="000000" w:fill="FFFFFF"/>
            <w:vAlign w:val="center"/>
          </w:tcPr>
          <w:p w14:paraId="37373AC7">
            <w:pPr>
              <w:widowControl/>
              <w:rPr>
                <w:rFonts w:hint="eastAsia" w:ascii="宋体" w:hAnsi="宋体" w:eastAsia="宋体" w:cs="宋体"/>
                <w:kern w:val="0"/>
                <w:sz w:val="21"/>
                <w:szCs w:val="21"/>
              </w:rPr>
            </w:pPr>
            <w:r>
              <w:rPr>
                <w:rFonts w:hint="eastAsia" w:ascii="宋体" w:hAnsi="宋体" w:eastAsia="宋体" w:cs="宋体"/>
                <w:kern w:val="0"/>
                <w:sz w:val="21"/>
                <w:szCs w:val="21"/>
              </w:rPr>
              <w:t>总体测评</w:t>
            </w:r>
          </w:p>
        </w:tc>
        <w:tc>
          <w:tcPr>
            <w:tcW w:w="829" w:type="pct"/>
            <w:shd w:val="clear" w:color="000000" w:fill="FFFFFF"/>
            <w:vAlign w:val="center"/>
          </w:tcPr>
          <w:p w14:paraId="5CD6AFAB">
            <w:pPr>
              <w:widowControl/>
              <w:rPr>
                <w:rFonts w:hint="eastAsia" w:ascii="宋体" w:hAnsi="宋体" w:eastAsia="宋体" w:cs="宋体"/>
                <w:kern w:val="0"/>
                <w:sz w:val="21"/>
                <w:szCs w:val="21"/>
              </w:rPr>
            </w:pPr>
            <w:r>
              <w:rPr>
                <w:rFonts w:hint="eastAsia" w:ascii="宋体" w:hAnsi="宋体" w:eastAsia="宋体" w:cs="宋体"/>
                <w:kern w:val="0"/>
                <w:sz w:val="21"/>
                <w:szCs w:val="21"/>
              </w:rPr>
              <w:t>总体要求</w:t>
            </w:r>
          </w:p>
        </w:tc>
        <w:tc>
          <w:tcPr>
            <w:tcW w:w="2867" w:type="pct"/>
            <w:shd w:val="clear" w:color="000000" w:fill="FFFFFF"/>
            <w:vAlign w:val="center"/>
          </w:tcPr>
          <w:p w14:paraId="331E28FC">
            <w:pPr>
              <w:widowControl/>
              <w:rPr>
                <w:rFonts w:hint="eastAsia" w:ascii="宋体" w:hAnsi="宋体" w:eastAsia="宋体" w:cs="宋体"/>
                <w:kern w:val="0"/>
                <w:sz w:val="21"/>
                <w:szCs w:val="21"/>
              </w:rPr>
            </w:pPr>
            <w:r>
              <w:rPr>
                <w:rFonts w:hint="eastAsia" w:ascii="宋体" w:hAnsi="宋体" w:eastAsia="宋体" w:cs="宋体"/>
                <w:kern w:val="0"/>
                <w:sz w:val="21"/>
                <w:szCs w:val="21"/>
              </w:rPr>
              <w:t>通过访谈、配置检查和工具测试的方式评估信息系统的密码算法、密码技术、密码产品和密码服务的合规性</w:t>
            </w:r>
          </w:p>
        </w:tc>
      </w:tr>
      <w:tr w14:paraId="2868E6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70" w:hRule="atLeast"/>
        </w:trPr>
        <w:tc>
          <w:tcPr>
            <w:tcW w:w="462" w:type="pct"/>
            <w:vMerge w:val="restart"/>
            <w:vAlign w:val="center"/>
          </w:tcPr>
          <w:p w14:paraId="3C670B21">
            <w:pPr>
              <w:widowControl/>
              <w:ind w:firstLine="44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841" w:type="pct"/>
            <w:vMerge w:val="restart"/>
            <w:vAlign w:val="center"/>
          </w:tcPr>
          <w:p w14:paraId="5822D83D">
            <w:pPr>
              <w:widowControl/>
              <w:rPr>
                <w:rFonts w:hint="eastAsia" w:ascii="宋体" w:hAnsi="宋体" w:eastAsia="宋体" w:cs="宋体"/>
                <w:kern w:val="0"/>
                <w:sz w:val="21"/>
                <w:szCs w:val="21"/>
              </w:rPr>
            </w:pPr>
            <w:r>
              <w:rPr>
                <w:rFonts w:hint="eastAsia" w:ascii="宋体" w:hAnsi="宋体" w:eastAsia="宋体" w:cs="宋体"/>
                <w:kern w:val="0"/>
                <w:sz w:val="21"/>
                <w:szCs w:val="21"/>
              </w:rPr>
              <w:t>安全技术测评</w:t>
            </w:r>
          </w:p>
        </w:tc>
        <w:tc>
          <w:tcPr>
            <w:tcW w:w="829" w:type="pct"/>
            <w:vAlign w:val="center"/>
          </w:tcPr>
          <w:p w14:paraId="4BCE818A">
            <w:pPr>
              <w:widowControl/>
              <w:rPr>
                <w:rFonts w:hint="eastAsia" w:ascii="宋体" w:hAnsi="宋体" w:eastAsia="宋体" w:cs="宋体"/>
                <w:kern w:val="0"/>
                <w:sz w:val="21"/>
                <w:szCs w:val="21"/>
              </w:rPr>
            </w:pPr>
            <w:r>
              <w:rPr>
                <w:rFonts w:hint="eastAsia" w:ascii="宋体" w:hAnsi="宋体" w:eastAsia="宋体" w:cs="宋体"/>
                <w:kern w:val="0"/>
                <w:sz w:val="21"/>
                <w:szCs w:val="21"/>
              </w:rPr>
              <w:t>物理和环境安全</w:t>
            </w:r>
          </w:p>
        </w:tc>
        <w:tc>
          <w:tcPr>
            <w:tcW w:w="2867" w:type="pct"/>
            <w:vAlign w:val="center"/>
          </w:tcPr>
          <w:p w14:paraId="4C4C5BC1">
            <w:pPr>
              <w:widowControl/>
              <w:rPr>
                <w:rFonts w:hint="eastAsia" w:ascii="宋体" w:hAnsi="宋体" w:eastAsia="宋体" w:cs="宋体"/>
                <w:kern w:val="0"/>
                <w:sz w:val="21"/>
                <w:szCs w:val="21"/>
              </w:rPr>
            </w:pPr>
            <w:r>
              <w:rPr>
                <w:rFonts w:hint="eastAsia" w:ascii="宋体" w:hAnsi="宋体" w:eastAsia="宋体" w:cs="宋体"/>
                <w:kern w:val="0"/>
                <w:sz w:val="21"/>
                <w:szCs w:val="21"/>
              </w:rPr>
              <w:t>通过访谈、配置检查和工具测试的方式测评信息系统机房环境的安全情况。主要涉及对象为机房环境的电子门禁系统。本次评测包括电子门禁的身份鉴别和电子门禁记录的完整性保护。</w:t>
            </w:r>
          </w:p>
        </w:tc>
      </w:tr>
      <w:tr w14:paraId="6FB7E1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70" w:hRule="atLeast"/>
        </w:trPr>
        <w:tc>
          <w:tcPr>
            <w:tcW w:w="462" w:type="pct"/>
            <w:vMerge w:val="continue"/>
            <w:vAlign w:val="center"/>
          </w:tcPr>
          <w:p w14:paraId="5B4DC8D3">
            <w:pPr>
              <w:widowControl/>
              <w:ind w:firstLine="440"/>
              <w:jc w:val="left"/>
              <w:rPr>
                <w:rFonts w:hint="eastAsia" w:ascii="宋体" w:hAnsi="宋体" w:eastAsia="宋体" w:cs="宋体"/>
                <w:kern w:val="0"/>
                <w:sz w:val="21"/>
                <w:szCs w:val="21"/>
              </w:rPr>
            </w:pPr>
          </w:p>
        </w:tc>
        <w:tc>
          <w:tcPr>
            <w:tcW w:w="841" w:type="pct"/>
            <w:vMerge w:val="continue"/>
            <w:vAlign w:val="center"/>
          </w:tcPr>
          <w:p w14:paraId="521E3386">
            <w:pPr>
              <w:widowControl/>
              <w:ind w:firstLine="440"/>
              <w:jc w:val="center"/>
              <w:rPr>
                <w:rFonts w:hint="eastAsia" w:ascii="宋体" w:hAnsi="宋体" w:eastAsia="宋体" w:cs="宋体"/>
                <w:kern w:val="0"/>
                <w:sz w:val="21"/>
                <w:szCs w:val="21"/>
              </w:rPr>
            </w:pPr>
          </w:p>
        </w:tc>
        <w:tc>
          <w:tcPr>
            <w:tcW w:w="829" w:type="pct"/>
            <w:vAlign w:val="center"/>
          </w:tcPr>
          <w:p w14:paraId="6BAB7298">
            <w:pPr>
              <w:widowControl/>
              <w:rPr>
                <w:rFonts w:hint="eastAsia" w:ascii="宋体" w:hAnsi="宋体" w:eastAsia="宋体" w:cs="宋体"/>
                <w:kern w:val="0"/>
                <w:sz w:val="21"/>
                <w:szCs w:val="21"/>
              </w:rPr>
            </w:pPr>
            <w:r>
              <w:rPr>
                <w:rFonts w:hint="eastAsia" w:ascii="宋体" w:hAnsi="宋体" w:eastAsia="宋体" w:cs="宋体"/>
                <w:kern w:val="0"/>
                <w:sz w:val="21"/>
                <w:szCs w:val="21"/>
              </w:rPr>
              <w:t>网络和通信安全</w:t>
            </w:r>
          </w:p>
        </w:tc>
        <w:tc>
          <w:tcPr>
            <w:tcW w:w="2867" w:type="pct"/>
            <w:vAlign w:val="center"/>
          </w:tcPr>
          <w:p w14:paraId="2B582609">
            <w:pPr>
              <w:widowControl/>
              <w:rPr>
                <w:rFonts w:hint="eastAsia" w:ascii="宋体" w:hAnsi="宋体" w:eastAsia="宋体" w:cs="宋体"/>
                <w:kern w:val="0"/>
                <w:sz w:val="21"/>
                <w:szCs w:val="21"/>
              </w:rPr>
            </w:pPr>
            <w:r>
              <w:rPr>
                <w:rFonts w:hint="eastAsia" w:ascii="宋体" w:hAnsi="宋体" w:eastAsia="宋体" w:cs="宋体"/>
                <w:kern w:val="0"/>
                <w:sz w:val="21"/>
                <w:szCs w:val="21"/>
              </w:rPr>
              <w:t>通过访谈、配置检查和工具测试的方式测评信息系统的网络和通信安全保障情况。本次重点测评包括通信对象的身份鉴别、访问控制信息完整性、通信数据完整性和通信数据机密性等</w:t>
            </w:r>
          </w:p>
        </w:tc>
      </w:tr>
      <w:tr w14:paraId="75A6D1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0" w:hRule="atLeast"/>
        </w:trPr>
        <w:tc>
          <w:tcPr>
            <w:tcW w:w="462" w:type="pct"/>
            <w:vMerge w:val="continue"/>
            <w:vAlign w:val="center"/>
          </w:tcPr>
          <w:p w14:paraId="7C581728">
            <w:pPr>
              <w:widowControl/>
              <w:ind w:firstLine="440"/>
              <w:jc w:val="left"/>
              <w:rPr>
                <w:rFonts w:hint="eastAsia" w:ascii="宋体" w:hAnsi="宋体" w:eastAsia="宋体" w:cs="宋体"/>
                <w:kern w:val="0"/>
                <w:sz w:val="21"/>
                <w:szCs w:val="21"/>
              </w:rPr>
            </w:pPr>
          </w:p>
        </w:tc>
        <w:tc>
          <w:tcPr>
            <w:tcW w:w="841" w:type="pct"/>
            <w:vMerge w:val="continue"/>
            <w:vAlign w:val="center"/>
          </w:tcPr>
          <w:p w14:paraId="5A7D5DEE">
            <w:pPr>
              <w:widowControl/>
              <w:ind w:firstLine="440"/>
              <w:jc w:val="center"/>
              <w:rPr>
                <w:rFonts w:hint="eastAsia" w:ascii="宋体" w:hAnsi="宋体" w:eastAsia="宋体" w:cs="宋体"/>
                <w:kern w:val="0"/>
                <w:sz w:val="21"/>
                <w:szCs w:val="21"/>
              </w:rPr>
            </w:pPr>
          </w:p>
        </w:tc>
        <w:tc>
          <w:tcPr>
            <w:tcW w:w="829" w:type="pct"/>
            <w:vAlign w:val="center"/>
          </w:tcPr>
          <w:p w14:paraId="16894BCE">
            <w:pPr>
              <w:widowControl/>
              <w:rPr>
                <w:rFonts w:hint="eastAsia" w:ascii="宋体" w:hAnsi="宋体" w:eastAsia="宋体" w:cs="宋体"/>
                <w:kern w:val="0"/>
                <w:sz w:val="21"/>
                <w:szCs w:val="21"/>
              </w:rPr>
            </w:pPr>
            <w:r>
              <w:rPr>
                <w:rFonts w:hint="eastAsia" w:ascii="宋体" w:hAnsi="宋体" w:eastAsia="宋体" w:cs="宋体"/>
                <w:kern w:val="0"/>
                <w:sz w:val="21"/>
                <w:szCs w:val="21"/>
              </w:rPr>
              <w:t>设备和计算安全</w:t>
            </w:r>
          </w:p>
        </w:tc>
        <w:tc>
          <w:tcPr>
            <w:tcW w:w="2867" w:type="pct"/>
            <w:vAlign w:val="center"/>
          </w:tcPr>
          <w:p w14:paraId="2C2DD73C">
            <w:pPr>
              <w:widowControl/>
              <w:rPr>
                <w:rFonts w:hint="eastAsia" w:ascii="宋体" w:hAnsi="宋体" w:eastAsia="宋体" w:cs="宋体"/>
                <w:kern w:val="0"/>
                <w:sz w:val="21"/>
                <w:szCs w:val="21"/>
              </w:rPr>
            </w:pPr>
            <w:r>
              <w:rPr>
                <w:rFonts w:hint="eastAsia" w:ascii="宋体" w:hAnsi="宋体" w:eastAsia="宋体" w:cs="宋体"/>
                <w:kern w:val="0"/>
                <w:sz w:val="21"/>
                <w:szCs w:val="21"/>
              </w:rPr>
              <w:t>通过访谈、配置检查和工具测试的方式测评信息系统的主机安全保障情况，本次重点测评包括本地主机和数据库服务器身份鉴别、远程管理身份鉴别身份信息机密性、访问控制信息完整性、敏感标记完整性、日志记录完整性等</w:t>
            </w:r>
          </w:p>
        </w:tc>
      </w:tr>
      <w:tr w14:paraId="3054C5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1" w:hRule="atLeast"/>
        </w:trPr>
        <w:tc>
          <w:tcPr>
            <w:tcW w:w="462" w:type="pct"/>
            <w:vMerge w:val="continue"/>
            <w:vAlign w:val="center"/>
          </w:tcPr>
          <w:p w14:paraId="1BC0A20D">
            <w:pPr>
              <w:widowControl/>
              <w:ind w:firstLine="440"/>
              <w:jc w:val="left"/>
              <w:rPr>
                <w:rFonts w:hint="eastAsia" w:ascii="宋体" w:hAnsi="宋体" w:eastAsia="宋体" w:cs="宋体"/>
                <w:kern w:val="0"/>
                <w:sz w:val="21"/>
                <w:szCs w:val="21"/>
              </w:rPr>
            </w:pPr>
          </w:p>
        </w:tc>
        <w:tc>
          <w:tcPr>
            <w:tcW w:w="841" w:type="pct"/>
            <w:vMerge w:val="continue"/>
            <w:vAlign w:val="center"/>
          </w:tcPr>
          <w:p w14:paraId="4815922E">
            <w:pPr>
              <w:widowControl/>
              <w:ind w:firstLine="440"/>
              <w:jc w:val="center"/>
              <w:rPr>
                <w:rFonts w:hint="eastAsia" w:ascii="宋体" w:hAnsi="宋体" w:eastAsia="宋体" w:cs="宋体"/>
                <w:kern w:val="0"/>
                <w:sz w:val="21"/>
                <w:szCs w:val="21"/>
              </w:rPr>
            </w:pPr>
          </w:p>
        </w:tc>
        <w:tc>
          <w:tcPr>
            <w:tcW w:w="829" w:type="pct"/>
            <w:vAlign w:val="center"/>
          </w:tcPr>
          <w:p w14:paraId="7E95D728">
            <w:pPr>
              <w:widowControl/>
              <w:rPr>
                <w:rFonts w:hint="eastAsia" w:ascii="宋体" w:hAnsi="宋体" w:eastAsia="宋体" w:cs="宋体"/>
                <w:kern w:val="0"/>
                <w:sz w:val="21"/>
                <w:szCs w:val="21"/>
              </w:rPr>
            </w:pPr>
            <w:r>
              <w:rPr>
                <w:rFonts w:hint="eastAsia" w:ascii="宋体" w:hAnsi="宋体" w:eastAsia="宋体" w:cs="宋体"/>
                <w:kern w:val="0"/>
                <w:sz w:val="21"/>
                <w:szCs w:val="21"/>
              </w:rPr>
              <w:t>应用和数据安全</w:t>
            </w:r>
          </w:p>
        </w:tc>
        <w:tc>
          <w:tcPr>
            <w:tcW w:w="2867" w:type="pct"/>
            <w:vAlign w:val="center"/>
          </w:tcPr>
          <w:p w14:paraId="556C21AD">
            <w:pPr>
              <w:widowControl/>
              <w:rPr>
                <w:rFonts w:hint="eastAsia" w:ascii="宋体" w:hAnsi="宋体" w:eastAsia="宋体" w:cs="宋体"/>
                <w:kern w:val="0"/>
                <w:sz w:val="21"/>
                <w:szCs w:val="21"/>
              </w:rPr>
            </w:pPr>
            <w:r>
              <w:rPr>
                <w:rFonts w:hint="eastAsia" w:ascii="宋体" w:hAnsi="宋体" w:eastAsia="宋体" w:cs="宋体"/>
                <w:kern w:val="0"/>
                <w:sz w:val="21"/>
                <w:szCs w:val="21"/>
              </w:rPr>
              <w:t>将通过访谈、配置检查的方式测评信息系统的数据安全保障情况，主要涉及对象为信息系统的管理数据及业务数据等,本次重点测评包括信息系统身份鉴别、访问控制信息完整性、数据传输机密性、数据存储机密性、数据传输完整性、数据存储完整性、日志记录完整性等</w:t>
            </w:r>
          </w:p>
        </w:tc>
      </w:tr>
      <w:tr w14:paraId="45F41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5" w:hRule="atLeast"/>
        </w:trPr>
        <w:tc>
          <w:tcPr>
            <w:tcW w:w="462" w:type="pct"/>
            <w:vAlign w:val="center"/>
          </w:tcPr>
          <w:p w14:paraId="3F2345C4">
            <w:pPr>
              <w:widowControl/>
              <w:ind w:firstLine="44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841" w:type="pct"/>
            <w:vAlign w:val="center"/>
          </w:tcPr>
          <w:p w14:paraId="47383BA8">
            <w:pPr>
              <w:widowControl/>
              <w:rPr>
                <w:rFonts w:hint="eastAsia" w:ascii="宋体" w:hAnsi="宋体" w:eastAsia="宋体" w:cs="宋体"/>
                <w:kern w:val="0"/>
                <w:sz w:val="21"/>
                <w:szCs w:val="21"/>
              </w:rPr>
            </w:pPr>
            <w:r>
              <w:rPr>
                <w:rFonts w:hint="eastAsia" w:ascii="宋体" w:hAnsi="宋体" w:eastAsia="宋体" w:cs="宋体"/>
                <w:kern w:val="0"/>
                <w:sz w:val="21"/>
                <w:szCs w:val="21"/>
              </w:rPr>
              <w:t>安全管理测评</w:t>
            </w:r>
          </w:p>
        </w:tc>
        <w:tc>
          <w:tcPr>
            <w:tcW w:w="829" w:type="pct"/>
            <w:vAlign w:val="center"/>
          </w:tcPr>
          <w:p w14:paraId="5355727F">
            <w:pPr>
              <w:widowControl/>
              <w:rPr>
                <w:rFonts w:hint="eastAsia" w:ascii="宋体" w:hAnsi="宋体" w:eastAsia="宋体" w:cs="宋体"/>
                <w:kern w:val="0"/>
                <w:sz w:val="21"/>
                <w:szCs w:val="21"/>
              </w:rPr>
            </w:pPr>
            <w:r>
              <w:rPr>
                <w:rFonts w:hint="eastAsia" w:ascii="宋体" w:hAnsi="宋体" w:eastAsia="宋体" w:cs="宋体"/>
                <w:kern w:val="0"/>
                <w:sz w:val="21"/>
                <w:szCs w:val="21"/>
              </w:rPr>
              <w:t>安全管理</w:t>
            </w:r>
          </w:p>
        </w:tc>
        <w:tc>
          <w:tcPr>
            <w:tcW w:w="2867" w:type="pct"/>
            <w:vAlign w:val="center"/>
          </w:tcPr>
          <w:p w14:paraId="10166382">
            <w:pPr>
              <w:widowControl/>
              <w:rPr>
                <w:rFonts w:hint="eastAsia" w:ascii="宋体" w:hAnsi="宋体" w:eastAsia="宋体" w:cs="宋体"/>
                <w:kern w:val="0"/>
                <w:sz w:val="21"/>
                <w:szCs w:val="21"/>
              </w:rPr>
            </w:pPr>
            <w:r>
              <w:rPr>
                <w:rFonts w:hint="eastAsia" w:ascii="宋体" w:hAnsi="宋体" w:eastAsia="宋体" w:cs="宋体"/>
                <w:kern w:val="0"/>
                <w:sz w:val="21"/>
                <w:szCs w:val="21"/>
              </w:rPr>
              <w:t>安全管理部分为全局性问题，涉及密码安全管理制度、密码安全管理人员、系统实施和系统应急管理等四个方面。</w:t>
            </w:r>
          </w:p>
        </w:tc>
      </w:tr>
      <w:tr w14:paraId="041424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3" w:hRule="atLeast"/>
        </w:trPr>
        <w:tc>
          <w:tcPr>
            <w:tcW w:w="462" w:type="pct"/>
            <w:vAlign w:val="center"/>
          </w:tcPr>
          <w:p w14:paraId="4151A7D5">
            <w:pPr>
              <w:widowControl/>
              <w:ind w:firstLine="44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841" w:type="pct"/>
            <w:vAlign w:val="center"/>
          </w:tcPr>
          <w:p w14:paraId="74A06726">
            <w:pPr>
              <w:widowControl/>
              <w:rPr>
                <w:rFonts w:hint="eastAsia" w:ascii="宋体" w:hAnsi="宋体" w:eastAsia="宋体" w:cs="宋体"/>
                <w:kern w:val="0"/>
                <w:sz w:val="21"/>
                <w:szCs w:val="21"/>
              </w:rPr>
            </w:pPr>
            <w:r>
              <w:rPr>
                <w:rFonts w:hint="eastAsia" w:ascii="宋体" w:hAnsi="宋体" w:eastAsia="宋体" w:cs="宋体"/>
                <w:kern w:val="0"/>
                <w:sz w:val="21"/>
                <w:szCs w:val="21"/>
              </w:rPr>
              <w:t>分析报告阶段</w:t>
            </w:r>
          </w:p>
        </w:tc>
        <w:tc>
          <w:tcPr>
            <w:tcW w:w="829" w:type="pct"/>
            <w:vAlign w:val="center"/>
          </w:tcPr>
          <w:p w14:paraId="48A215AA">
            <w:pPr>
              <w:widowControl/>
              <w:rPr>
                <w:rFonts w:hint="eastAsia" w:ascii="宋体" w:hAnsi="宋体" w:eastAsia="宋体" w:cs="宋体"/>
                <w:kern w:val="0"/>
                <w:sz w:val="21"/>
                <w:szCs w:val="21"/>
              </w:rPr>
            </w:pPr>
            <w:r>
              <w:rPr>
                <w:rFonts w:hint="eastAsia" w:ascii="宋体" w:hAnsi="宋体" w:eastAsia="宋体" w:cs="宋体"/>
                <w:kern w:val="0"/>
                <w:sz w:val="21"/>
                <w:szCs w:val="21"/>
              </w:rPr>
              <w:t>报告编制</w:t>
            </w:r>
          </w:p>
        </w:tc>
        <w:tc>
          <w:tcPr>
            <w:tcW w:w="2867" w:type="pct"/>
            <w:vAlign w:val="center"/>
          </w:tcPr>
          <w:p w14:paraId="0D25F427">
            <w:pPr>
              <w:widowControl/>
              <w:rPr>
                <w:rFonts w:hint="eastAsia" w:ascii="宋体" w:hAnsi="宋体" w:eastAsia="宋体" w:cs="宋体"/>
                <w:kern w:val="0"/>
                <w:sz w:val="21"/>
                <w:szCs w:val="21"/>
              </w:rPr>
            </w:pPr>
            <w:r>
              <w:rPr>
                <w:rFonts w:hint="eastAsia" w:ascii="宋体" w:hAnsi="宋体" w:eastAsia="宋体" w:cs="宋体"/>
                <w:kern w:val="0"/>
                <w:sz w:val="21"/>
                <w:szCs w:val="21"/>
              </w:rPr>
              <w:t>根据测评编制《信息系统商用密码应用安全性评估报告》、（商用密码应用安全性评估），包括：概述、被测系统描述、测评对象说明、测评指标说明、测评内容和方法说明、单元测评的结果记录及结果汇总、整体测评、测评结果汇总、风险分析、评估结论等内容。</w:t>
            </w:r>
          </w:p>
        </w:tc>
      </w:tr>
    </w:tbl>
    <w:p w14:paraId="13B712A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测评服务流程如下图所示：</w:t>
      </w:r>
    </w:p>
    <w:p w14:paraId="7153A95E">
      <w:pPr>
        <w:spacing w:line="360" w:lineRule="auto"/>
        <w:rPr>
          <w:rFonts w:hint="eastAsia" w:ascii="宋体" w:hAnsi="宋体" w:eastAsia="宋体" w:cs="宋体"/>
          <w:sz w:val="21"/>
          <w:szCs w:val="21"/>
        </w:rPr>
      </w:pPr>
      <w:r>
        <w:rPr>
          <w:rFonts w:hint="eastAsia" w:ascii="宋体" w:hAnsi="宋体" w:eastAsia="宋体" w:cs="宋体"/>
          <w:sz w:val="21"/>
          <w:szCs w:val="21"/>
        </w:rPr>
        <w:object>
          <v:shape id="_x0000_i1025" o:spt="75" type="#_x0000_t75" style="height:599.2pt;width:364.75pt;" o:ole="t" filled="f" o:preferrelative="t" stroked="f" coordsize="21600,21600">
            <v:path/>
            <v:fill on="f" focussize="0,0"/>
            <v:stroke on="f" joinstyle="miter"/>
            <v:imagedata r:id="rId5" o:title=""/>
            <o:lock v:ext="edit" aspectratio="t"/>
            <w10:wrap type="none"/>
            <w10:anchorlock/>
          </v:shape>
          <o:OLEObject Type="Embed" ProgID="Visio.Drawing.11" ShapeID="_x0000_i1025" DrawAspect="Content" ObjectID="_1468075725" r:id="rId4">
            <o:LockedField>false</o:LockedField>
          </o:OLEObject>
        </w:object>
      </w:r>
    </w:p>
    <w:p w14:paraId="31958265">
      <w:pPr>
        <w:spacing w:line="360" w:lineRule="auto"/>
        <w:rPr>
          <w:rFonts w:hint="eastAsia" w:ascii="宋体" w:hAnsi="宋体" w:eastAsia="宋体" w:cs="宋体"/>
          <w:sz w:val="21"/>
          <w:szCs w:val="21"/>
        </w:rPr>
      </w:pPr>
    </w:p>
    <w:tbl>
      <w:tblPr>
        <w:tblStyle w:val="11"/>
        <w:tblpPr w:leftFromText="180" w:rightFromText="180" w:vertAnchor="text" w:horzAnchor="margin" w:tblpY="990"/>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2309"/>
        <w:gridCol w:w="700"/>
        <w:gridCol w:w="4828"/>
      </w:tblGrid>
      <w:tr w14:paraId="58AE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7" w:type="dxa"/>
            <w:vAlign w:val="center"/>
          </w:tcPr>
          <w:p w14:paraId="4FB83149">
            <w:pPr>
              <w:spacing w:line="360" w:lineRule="auto"/>
              <w:rPr>
                <w:rFonts w:hint="eastAsia" w:ascii="宋体" w:hAnsi="宋体" w:eastAsia="宋体" w:cs="宋体"/>
                <w:kern w:val="0"/>
                <w:sz w:val="21"/>
                <w:szCs w:val="21"/>
              </w:rPr>
            </w:pPr>
            <w:bookmarkStart w:id="2" w:name="_Hlk194491973"/>
            <w:r>
              <w:rPr>
                <w:rFonts w:hint="eastAsia" w:ascii="宋体" w:hAnsi="宋体" w:eastAsia="宋体" w:cs="宋体"/>
                <w:kern w:val="0"/>
                <w:sz w:val="21"/>
                <w:szCs w:val="21"/>
              </w:rPr>
              <w:t>角色</w:t>
            </w:r>
          </w:p>
        </w:tc>
        <w:tc>
          <w:tcPr>
            <w:tcW w:w="2309" w:type="dxa"/>
            <w:vAlign w:val="center"/>
          </w:tcPr>
          <w:p w14:paraId="68479A21">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主要职责</w:t>
            </w:r>
          </w:p>
        </w:tc>
        <w:tc>
          <w:tcPr>
            <w:tcW w:w="700" w:type="dxa"/>
            <w:vAlign w:val="center"/>
          </w:tcPr>
          <w:p w14:paraId="1DF0D150">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人数</w:t>
            </w:r>
          </w:p>
        </w:tc>
        <w:tc>
          <w:tcPr>
            <w:tcW w:w="4828" w:type="dxa"/>
            <w:vAlign w:val="center"/>
          </w:tcPr>
          <w:p w14:paraId="3A9A9E10">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人员要求</w:t>
            </w:r>
          </w:p>
        </w:tc>
      </w:tr>
      <w:tr w14:paraId="3A97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7" w:type="dxa"/>
            <w:vAlign w:val="center"/>
          </w:tcPr>
          <w:p w14:paraId="3F6C0576">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项目</w:t>
            </w:r>
          </w:p>
          <w:p w14:paraId="2E1A50B7">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经理</w:t>
            </w:r>
          </w:p>
        </w:tc>
        <w:tc>
          <w:tcPr>
            <w:tcW w:w="2309" w:type="dxa"/>
            <w:vAlign w:val="center"/>
          </w:tcPr>
          <w:p w14:paraId="429755F2">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负责制定整个项目计划方案，管控项目实施进度、团队人员管理，协调处理项目过程中遇到的各类问题。</w:t>
            </w:r>
          </w:p>
        </w:tc>
        <w:tc>
          <w:tcPr>
            <w:tcW w:w="700" w:type="dxa"/>
            <w:vAlign w:val="center"/>
          </w:tcPr>
          <w:p w14:paraId="42C8FA1C">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4828" w:type="dxa"/>
            <w:vAlign w:val="center"/>
          </w:tcPr>
          <w:p w14:paraId="332FCBCE">
            <w:pPr>
              <w:pStyle w:val="20"/>
              <w:numPr>
                <w:ilvl w:val="0"/>
                <w:numId w:val="4"/>
              </w:numPr>
              <w:spacing w:line="360" w:lineRule="auto"/>
              <w:ind w:firstLineChars="0"/>
              <w:rPr>
                <w:rFonts w:hint="eastAsia" w:ascii="宋体" w:hAnsi="宋体" w:eastAsia="宋体" w:cs="宋体"/>
                <w:kern w:val="0"/>
                <w:sz w:val="21"/>
                <w:szCs w:val="21"/>
              </w:rPr>
            </w:pPr>
            <w:r>
              <w:rPr>
                <w:rFonts w:hint="eastAsia" w:ascii="宋体" w:hAnsi="宋体" w:eastAsia="宋体" w:cs="宋体"/>
                <w:kern w:val="0"/>
                <w:sz w:val="21"/>
                <w:szCs w:val="21"/>
              </w:rPr>
              <w:t>通过商用密码应用测评人员测评能力考核；</w:t>
            </w:r>
          </w:p>
          <w:p w14:paraId="4BAA6A30">
            <w:pPr>
              <w:pStyle w:val="20"/>
              <w:numPr>
                <w:ilvl w:val="0"/>
                <w:numId w:val="4"/>
              </w:numPr>
              <w:spacing w:line="360" w:lineRule="auto"/>
              <w:ind w:firstLineChars="0"/>
              <w:rPr>
                <w:rFonts w:hint="eastAsia" w:ascii="宋体" w:hAnsi="宋体" w:eastAsia="宋体" w:cs="宋体"/>
                <w:kern w:val="0"/>
                <w:sz w:val="21"/>
                <w:szCs w:val="21"/>
              </w:rPr>
            </w:pPr>
            <w:r>
              <w:rPr>
                <w:rFonts w:hint="eastAsia" w:ascii="宋体" w:hAnsi="宋体" w:eastAsia="宋体" w:cs="宋体"/>
                <w:kern w:val="0"/>
                <w:sz w:val="21"/>
                <w:szCs w:val="21"/>
              </w:rPr>
              <w:t>具备注册密码安全专业人员证书NSATP-CSP，具备信息安全高级职称工程师</w:t>
            </w:r>
          </w:p>
          <w:p w14:paraId="63B890CC">
            <w:pPr>
              <w:pStyle w:val="20"/>
              <w:numPr>
                <w:ilvl w:val="0"/>
                <w:numId w:val="4"/>
              </w:numPr>
              <w:spacing w:line="360" w:lineRule="auto"/>
              <w:ind w:firstLineChars="0"/>
              <w:rPr>
                <w:rFonts w:hint="eastAsia" w:ascii="宋体" w:hAnsi="宋体" w:eastAsia="宋体" w:cs="宋体"/>
                <w:kern w:val="0"/>
                <w:sz w:val="21"/>
                <w:szCs w:val="21"/>
              </w:rPr>
            </w:pPr>
            <w:r>
              <w:rPr>
                <w:rFonts w:hint="eastAsia" w:ascii="宋体" w:hAnsi="宋体" w:eastAsia="宋体" w:cs="宋体"/>
                <w:kern w:val="0"/>
                <w:sz w:val="21"/>
                <w:szCs w:val="21"/>
              </w:rPr>
              <w:t>具备5年及以上商用密码应用安全性评估经验；</w:t>
            </w:r>
          </w:p>
        </w:tc>
      </w:tr>
      <w:tr w14:paraId="2DC3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7" w:hRule="atLeast"/>
        </w:trPr>
        <w:tc>
          <w:tcPr>
            <w:tcW w:w="947" w:type="dxa"/>
            <w:vAlign w:val="center"/>
          </w:tcPr>
          <w:p w14:paraId="6BEF557B">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测评</w:t>
            </w:r>
          </w:p>
          <w:p w14:paraId="57AF2F84">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人员</w:t>
            </w:r>
          </w:p>
        </w:tc>
        <w:tc>
          <w:tcPr>
            <w:tcW w:w="2309" w:type="dxa"/>
            <w:vAlign w:val="center"/>
          </w:tcPr>
          <w:p w14:paraId="76BEC114">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负责项目实施过程中技术应用的测评工作</w:t>
            </w:r>
          </w:p>
        </w:tc>
        <w:tc>
          <w:tcPr>
            <w:tcW w:w="700" w:type="dxa"/>
            <w:vAlign w:val="center"/>
          </w:tcPr>
          <w:p w14:paraId="0F020C36">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4828" w:type="dxa"/>
            <w:vAlign w:val="center"/>
          </w:tcPr>
          <w:p w14:paraId="5C9B357A">
            <w:pPr>
              <w:pStyle w:val="20"/>
              <w:numPr>
                <w:ilvl w:val="0"/>
                <w:numId w:val="5"/>
              </w:numPr>
              <w:spacing w:line="360" w:lineRule="auto"/>
              <w:ind w:firstLineChars="0"/>
              <w:rPr>
                <w:rFonts w:hint="eastAsia" w:ascii="宋体" w:hAnsi="宋体" w:eastAsia="宋体" w:cs="宋体"/>
                <w:kern w:val="0"/>
                <w:sz w:val="21"/>
                <w:szCs w:val="21"/>
              </w:rPr>
            </w:pPr>
            <w:r>
              <w:rPr>
                <w:rFonts w:hint="eastAsia" w:ascii="宋体" w:hAnsi="宋体" w:eastAsia="宋体" w:cs="宋体"/>
                <w:kern w:val="0"/>
                <w:sz w:val="21"/>
                <w:szCs w:val="21"/>
              </w:rPr>
              <w:t>提供不少于6人商用密码应用安全性评估服务团队（不包含项目经理），需提供加盖供应商公章的人员名单表；</w:t>
            </w:r>
          </w:p>
          <w:p w14:paraId="495F7C8F">
            <w:pPr>
              <w:pStyle w:val="20"/>
              <w:numPr>
                <w:ilvl w:val="0"/>
                <w:numId w:val="5"/>
              </w:numPr>
              <w:spacing w:line="360" w:lineRule="auto"/>
              <w:ind w:firstLineChars="0"/>
              <w:rPr>
                <w:rFonts w:hint="eastAsia" w:ascii="宋体" w:hAnsi="宋体" w:eastAsia="宋体" w:cs="宋体"/>
                <w:kern w:val="0"/>
                <w:sz w:val="21"/>
                <w:szCs w:val="21"/>
              </w:rPr>
            </w:pPr>
            <w:r>
              <w:rPr>
                <w:rFonts w:hint="eastAsia" w:ascii="宋体" w:hAnsi="宋体" w:eastAsia="宋体" w:cs="宋体"/>
                <w:kern w:val="0"/>
                <w:sz w:val="21"/>
                <w:szCs w:val="21"/>
              </w:rPr>
              <w:t>通过商用密码应用测评人员测评能力考核和人社部门颁发密码相关的中级工程师职称证书；</w:t>
            </w:r>
          </w:p>
          <w:p w14:paraId="6F3A61B9">
            <w:pPr>
              <w:pStyle w:val="20"/>
              <w:numPr>
                <w:ilvl w:val="0"/>
                <w:numId w:val="5"/>
              </w:numPr>
              <w:spacing w:line="360" w:lineRule="auto"/>
              <w:ind w:firstLineChars="0"/>
              <w:rPr>
                <w:rFonts w:hint="eastAsia" w:ascii="宋体" w:hAnsi="宋体" w:eastAsia="宋体" w:cs="宋体"/>
                <w:kern w:val="0"/>
                <w:sz w:val="21"/>
                <w:szCs w:val="21"/>
              </w:rPr>
            </w:pPr>
            <w:r>
              <w:rPr>
                <w:rFonts w:hint="eastAsia" w:ascii="宋体" w:hAnsi="宋体" w:eastAsia="宋体" w:cs="宋体"/>
                <w:kern w:val="0"/>
                <w:sz w:val="21"/>
                <w:szCs w:val="21"/>
              </w:rPr>
              <w:t>具备3年及以上密码应用安全性评估经验的，需提供证明材料。</w:t>
            </w:r>
          </w:p>
        </w:tc>
      </w:tr>
      <w:tr w14:paraId="599E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7" w:type="dxa"/>
            <w:vAlign w:val="center"/>
          </w:tcPr>
          <w:p w14:paraId="4F5B6823">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档案管理员</w:t>
            </w:r>
          </w:p>
        </w:tc>
        <w:tc>
          <w:tcPr>
            <w:tcW w:w="2309" w:type="dxa"/>
            <w:vAlign w:val="center"/>
          </w:tcPr>
          <w:p w14:paraId="00B6F444">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负责对项目档案的接收、分类、编目等资料档案管理工作。</w:t>
            </w:r>
          </w:p>
        </w:tc>
        <w:tc>
          <w:tcPr>
            <w:tcW w:w="700" w:type="dxa"/>
            <w:vAlign w:val="center"/>
          </w:tcPr>
          <w:p w14:paraId="05C57740">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4828" w:type="dxa"/>
            <w:vAlign w:val="center"/>
          </w:tcPr>
          <w:p w14:paraId="037C7B9E">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具备《商用密码应用测评人员测评能力考核》证书</w:t>
            </w:r>
          </w:p>
        </w:tc>
      </w:tr>
      <w:bookmarkEnd w:id="2"/>
    </w:tbl>
    <w:p w14:paraId="43B114D4">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（八）服务组织和人员要求</w:t>
      </w:r>
    </w:p>
    <w:p w14:paraId="7B78F476">
      <w:pPr>
        <w:rPr>
          <w:rFonts w:hint="eastAsia" w:ascii="宋体" w:hAnsi="宋体" w:eastAsia="宋体" w:cs="宋体"/>
          <w:sz w:val="21"/>
          <w:szCs w:val="21"/>
        </w:rPr>
      </w:pPr>
    </w:p>
    <w:p w14:paraId="6A473ED6">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（九）测评工具要求</w:t>
      </w:r>
    </w:p>
    <w:p w14:paraId="4A428E34">
      <w:pPr>
        <w:pStyle w:val="5"/>
        <w:rPr>
          <w:rFonts w:hint="eastAsia" w:ascii="宋体" w:hAnsi="宋体" w:eastAsia="宋体" w:cs="宋体"/>
          <w:sz w:val="21"/>
          <w:szCs w:val="21"/>
        </w:rPr>
      </w:pPr>
      <w:r>
        <w:rPr>
          <w:rFonts w:hint="eastAsia" w:ascii="宋体" w:hAnsi="宋体" w:eastAsia="宋体" w:cs="宋体"/>
          <w:sz w:val="21"/>
          <w:szCs w:val="21"/>
        </w:rPr>
        <w:t>9.1 测评工具要求</w:t>
      </w:r>
    </w:p>
    <w:p w14:paraId="7656416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次项目实施过程中所使用到的测评工具，应包括具有自主知识产权或计算机软件著作权的密码检测工具（详细描述所使用工具的型号、功能、使用的方式和对环境和平台的要求以及使用可能对系统造成的风险等），对系统数据进行分析，并以分析结果辅证评估报告。</w:t>
      </w:r>
    </w:p>
    <w:p w14:paraId="6617BE1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检测工具包括但不限于以下几类：</w:t>
      </w:r>
    </w:p>
    <w:p w14:paraId="37E4890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1、密码算法验证工具，包括国密算法SM2、SM3、SM4，常见的国际通用算法AES、DES、RSA等的验证；</w:t>
      </w:r>
    </w:p>
    <w:p w14:paraId="556A3B2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2、随机数随机性检测工具；</w:t>
      </w:r>
    </w:p>
    <w:p w14:paraId="676CC81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3、数字证书检测工具，包括数字证书的格式的合规性验证、数字证书的证书链的检验等；</w:t>
      </w:r>
    </w:p>
    <w:p w14:paraId="53453B0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4、网络协议分析工具；包括但不限于SSL协议、IPSec 协议；包括主动协议分析工具和被动分析工具。</w:t>
      </w:r>
    </w:p>
    <w:p w14:paraId="21F559A0">
      <w:pPr>
        <w:pStyle w:val="5"/>
        <w:rPr>
          <w:rFonts w:hint="eastAsia" w:ascii="宋体" w:hAnsi="宋体" w:eastAsia="宋体" w:cs="宋体"/>
          <w:sz w:val="21"/>
          <w:szCs w:val="21"/>
        </w:rPr>
      </w:pPr>
      <w:r>
        <w:rPr>
          <w:rFonts w:hint="eastAsia" w:ascii="宋体" w:hAnsi="宋体" w:eastAsia="宋体" w:cs="宋体"/>
          <w:sz w:val="21"/>
          <w:szCs w:val="21"/>
        </w:rPr>
        <w:t>9.2 模拟测评环境要求</w:t>
      </w:r>
    </w:p>
    <w:p w14:paraId="5C7C14C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服务提供方具有密码测评模拟验证环境的能力及相关设备，包括但不限于以下的密码设备：</w:t>
      </w:r>
    </w:p>
    <w:p w14:paraId="1F37203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1、SSL VPN：支持国密算法；具有商用密码产品认证证书，用于搭建SSL VPN网络，模拟SSL VPN通信信道的测评。</w:t>
      </w:r>
    </w:p>
    <w:p w14:paraId="20DACD3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2、IPSec VPN：支持国密算法；具有商用密码产品认证证书，用于搭建IPSec VPN网络，模拟IPSec VPN通信信道的测评。</w:t>
      </w:r>
    </w:p>
    <w:p w14:paraId="04FFB9E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3、服务器密码机：支持国密算法；具有商用密码产品认证证书，用于实现重要数据的加解密和完整性保护，模拟重要数据加解密和完整性保护的测评。</w:t>
      </w:r>
    </w:p>
    <w:p w14:paraId="7A692841">
      <w:pPr>
        <w:pStyle w:val="5"/>
        <w:spacing w:before="120" w:after="120" w:line="415"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（十）测评工作目标 </w:t>
      </w:r>
    </w:p>
    <w:p w14:paraId="6FFDA8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1、深刻理解本项目实施的背景，同时密切结合该项目的实际情况，提供针对性的项目实施方案，以便充分保障本项目按期完成； </w:t>
      </w:r>
    </w:p>
    <w:p w14:paraId="6AB66A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2、项目的实施方案需包括项目背景之细述、结合该项目实际情况的具体测评实施方案和具体测评进度安排、各分项质量目标及保证措施以及本标书要求的其他应写入项目实施方案的内容； </w:t>
      </w:r>
    </w:p>
    <w:p w14:paraId="2ABB6B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3、项目测评工作中，出具每个系统的《问题汇总及整改意见表》等过程文件，以便配合业主督促项目实施运维商进行问题整改，在运维商完成整改后，再进行复核测评； </w:t>
      </w:r>
    </w:p>
    <w:p w14:paraId="26B56D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4、全部测评工作完成后，出具《商用密码应用安全性评估报告》（按系统提供）。</w:t>
      </w:r>
    </w:p>
    <w:p w14:paraId="6AB8A542">
      <w:pPr>
        <w:bidi w:val="0"/>
        <w:rPr>
          <w:rFonts w:hint="eastAsia" w:ascii="宋体" w:hAnsi="宋体" w:eastAsia="宋体" w:cs="宋体"/>
          <w:sz w:val="21"/>
          <w:szCs w:val="21"/>
          <w:lang w:eastAsia="zh-CN"/>
        </w:rPr>
      </w:pPr>
    </w:p>
    <w:p w14:paraId="0EE6C41B">
      <w:pPr>
        <w:pStyle w:val="5"/>
        <w:spacing w:before="120" w:after="120" w:line="415"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（十一）应急服务</w:t>
      </w:r>
    </w:p>
    <w:p w14:paraId="535ECD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1、服务提供方坚持主动预防、迅速高效的原则，紧密结合实际情况，精心编制并持续完善应急预案。 </w:t>
      </w:r>
    </w:p>
    <w:p w14:paraId="1E7D9B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2、服务提供方必须提供 7*24 小时全天候应急响应服务。 </w:t>
      </w:r>
    </w:p>
    <w:p w14:paraId="7EDC86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3、中心安全事件应急响应等级分为Ⅳ级、Ⅲ级、Ⅱ级、Ⅰ级，分别对应一般、较大、重大和特别重大安全事件。</w:t>
      </w:r>
    </w:p>
    <w:p w14:paraId="0C8B71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当： </w:t>
      </w:r>
    </w:p>
    <w:p w14:paraId="7650FB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a、发生Ⅰ级（特别重大）故障后 0.5 小时内无法通过电话或远程支持服务排除故障，如采购人要求提供现场支持，服务提供方应 2小时内到达用户现场； </w:t>
      </w:r>
    </w:p>
    <w:p w14:paraId="7458BF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b、发生Ⅱ级（重大）故障后 0.5 小时内无法通过电话或远程支持服务排除故障，如采购人要求提供现场支持，服务提供方应 3 小时内到达用户现场； </w:t>
      </w:r>
    </w:p>
    <w:p w14:paraId="07348B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c、发生Ⅲ级（较大）故障后 1 小时内无法通过电话或远程支持服务排除故障，如采购人要求提供现场支持，服务提供方应 3 小时内到达用户现场； </w:t>
      </w:r>
    </w:p>
    <w:p w14:paraId="42325C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d、发生Ⅳ级（一般）故障后 1 小时内无法通过电话或远程支持服务排除故障，如采购人要求提供现场支持，服务提供方应 4 小时内到达用户现场。 </w:t>
      </w:r>
    </w:p>
    <w:p w14:paraId="1C7A0B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4、如发生故障，服务提供方应严格按照制定的应急预案中故障处理流程实施故障排除操作。 </w:t>
      </w:r>
    </w:p>
    <w:p w14:paraId="532DCE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5、当故障排除操作全部完成后，服务提供方应向采购人提交运维故障报告，经采购单位验证通过后签字确认并归档保存，同时组织更新相关文档。 </w:t>
      </w:r>
    </w:p>
    <w:p w14:paraId="3EDC11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6、如遇有重大事件（包括汛期、节假日、政治军事活动等），服务提供方应科学编制安全保障方案，并根据采购人需要提供现场保障服务。</w:t>
      </w:r>
    </w:p>
    <w:p w14:paraId="04DA2DB1">
      <w:pPr>
        <w:rPr>
          <w:rFonts w:hint="eastAsia" w:ascii="宋体" w:hAnsi="宋体" w:eastAsia="宋体" w:cs="宋体"/>
          <w:sz w:val="21"/>
          <w:szCs w:val="21"/>
          <w:lang w:val="en-US" w:eastAsia="zh-CN"/>
        </w:rPr>
      </w:pPr>
    </w:p>
    <w:p w14:paraId="618AD317">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（十</w:t>
      </w:r>
      <w:r>
        <w:rPr>
          <w:rFonts w:hint="eastAsia" w:ascii="宋体" w:hAnsi="宋体" w:eastAsia="宋体" w:cs="宋体"/>
          <w:sz w:val="21"/>
          <w:szCs w:val="21"/>
          <w:lang w:val="en-US" w:eastAsia="zh-CN"/>
        </w:rPr>
        <w:t>二</w:t>
      </w:r>
      <w:r>
        <w:rPr>
          <w:rFonts w:hint="eastAsia" w:ascii="宋体" w:hAnsi="宋体" w:eastAsia="宋体" w:cs="宋体"/>
          <w:sz w:val="21"/>
          <w:szCs w:val="21"/>
        </w:rPr>
        <w:t>）保密责任</w:t>
      </w:r>
    </w:p>
    <w:p w14:paraId="25D0F7D8">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1、中标人因履行本项目而知悉的所有数据、信息和资料（包括但不限于账号信息、图表、文字、计算过程、任何形式的文件、访谈记录、现场实测数据、采购人相关工作程序等）以及因履行本项目而形成的数据、信息和任何形式的工作成果，均是采购人要求保密的信息。未经采购人书面同意，中标人不得对外泄露采购人要求保密的信息，不得用于其他用途，否则中标人需承担由此引起的法律责任和经济责任，包括但不限于直接损失、间接损失、律师费、诉讼费/仲裁费、调查费、公证费等。</w:t>
      </w:r>
    </w:p>
    <w:p w14:paraId="5CC0CED1">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2、中标人应采取必要的有效措施保证其参与本项目的人员（包括中标人聘用的人员、借调的人员、实习的人员）无论是在职或离职后，以及中标人的合作方无论是合作中或合作终止后，都能够履行本项目约定的保密义务。若中标人人员或中标人合作方违反保密规定，中标人应承担连带责任。</w:t>
      </w:r>
    </w:p>
    <w:p w14:paraId="6BCB0E5A">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3、中标人（含中标人参与本项目的人员以及其合作方）未经采购方书面许可，不得以任何形式自行使用或以任何方式向第三方披露、转让、授权、出售与本项目有关的技术成果、计算机软件、源代码、策划文档、技术诀窍、秘密信息、技术资料和其他文件。</w:t>
      </w:r>
    </w:p>
    <w:p w14:paraId="67F27825">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4、以上内容的保密期限自中标人知悉保密信息起始至保密信息被合法公开之日止。</w:t>
      </w:r>
    </w:p>
    <w:p w14:paraId="5BF8218B">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5、中标人对采购人提拱的临时使用账号要保密，不得公开，对组件开发的账号密码需进行加密，避免信息安全的泄露。未经采购人的同意不得利用采购人的网络及平台进行短信、彩信、微信发送,造成的一切后果由中标人负责。</w:t>
      </w:r>
    </w:p>
    <w:p w14:paraId="592BC63C">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运维过程中标人如出现失、窃密事情，参照网络和数据安全事件处罚措施同等处置，具体处罚措施由中心保密管理部门确定。</w:t>
      </w:r>
    </w:p>
    <w:p w14:paraId="7F60C57C">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（十</w:t>
      </w:r>
      <w:r>
        <w:rPr>
          <w:rFonts w:hint="eastAsia" w:ascii="宋体" w:hAnsi="宋体" w:eastAsia="宋体" w:cs="宋体"/>
          <w:sz w:val="21"/>
          <w:szCs w:val="21"/>
          <w:lang w:val="en-US" w:eastAsia="zh-CN"/>
        </w:rPr>
        <w:t>三</w:t>
      </w:r>
      <w:r>
        <w:rPr>
          <w:rFonts w:hint="eastAsia" w:ascii="宋体" w:hAnsi="宋体" w:eastAsia="宋体" w:cs="宋体"/>
          <w:sz w:val="21"/>
          <w:szCs w:val="21"/>
        </w:rPr>
        <w:t>）项目的变更、解除和终止</w:t>
      </w:r>
    </w:p>
    <w:p w14:paraId="3E851025">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如果服务提供方丧失履约能力、发生资不抵债或进入破产程序，招标单位可在任何时候以书面形式通知服务提供方终止本项目的执行而不给予服务提供方补偿。该终止本项目将不损害或影响招标单位已经采取或将要采取任何行动或补救措施的权利。</w:t>
      </w:r>
    </w:p>
    <w:p w14:paraId="11C93D13">
      <w:pPr>
        <w:spacing w:line="360" w:lineRule="auto"/>
        <w:ind w:firstLine="663"/>
        <w:rPr>
          <w:rFonts w:hint="eastAsia" w:ascii="宋体" w:hAnsi="宋体" w:eastAsia="宋体" w:cs="宋体"/>
          <w:sz w:val="21"/>
          <w:szCs w:val="21"/>
        </w:rPr>
      </w:pPr>
      <w:r>
        <w:rPr>
          <w:rFonts w:hint="eastAsia" w:ascii="宋体" w:hAnsi="宋体" w:eastAsia="宋体" w:cs="宋体"/>
          <w:sz w:val="21"/>
          <w:szCs w:val="21"/>
        </w:rPr>
        <w:t>如遇国家、行业管理部门等机构的有关标准和规定调整的，导致本项目内容需做相应调整时，双方应按照公平、合理的原则共同协商修改本项目对应的合同的相关条款。</w:t>
      </w:r>
    </w:p>
    <w:p w14:paraId="7038CF60">
      <w:pPr>
        <w:pStyle w:val="5"/>
        <w:spacing w:before="120" w:after="120" w:line="415" w:lineRule="auto"/>
        <w:rPr>
          <w:rFonts w:hint="eastAsia" w:ascii="宋体" w:hAnsi="宋体" w:eastAsia="宋体" w:cs="宋体"/>
          <w:sz w:val="21"/>
          <w:szCs w:val="21"/>
        </w:rPr>
      </w:pPr>
      <w:bookmarkStart w:id="3" w:name="_Toc69194689"/>
      <w:r>
        <w:rPr>
          <w:rFonts w:hint="eastAsia" w:ascii="宋体" w:hAnsi="宋体" w:eastAsia="宋体" w:cs="宋体"/>
          <w:sz w:val="21"/>
          <w:szCs w:val="21"/>
        </w:rPr>
        <w:t>（十</w:t>
      </w:r>
      <w:r>
        <w:rPr>
          <w:rFonts w:hint="eastAsia" w:ascii="宋体" w:hAnsi="宋体" w:eastAsia="宋体" w:cs="宋体"/>
          <w:sz w:val="21"/>
          <w:szCs w:val="21"/>
          <w:lang w:val="en-US" w:eastAsia="zh-CN"/>
        </w:rPr>
        <w:t>四</w:t>
      </w:r>
      <w:r>
        <w:rPr>
          <w:rFonts w:hint="eastAsia" w:ascii="宋体" w:hAnsi="宋体" w:eastAsia="宋体" w:cs="宋体"/>
          <w:sz w:val="21"/>
          <w:szCs w:val="21"/>
        </w:rPr>
        <w:t>）违约责任</w:t>
      </w:r>
      <w:bookmarkEnd w:id="3"/>
    </w:p>
    <w:p w14:paraId="4E788F09">
      <w:pPr>
        <w:spacing w:line="360" w:lineRule="auto"/>
        <w:ind w:firstLine="661"/>
        <w:rPr>
          <w:rFonts w:hint="eastAsia" w:ascii="宋体" w:hAnsi="宋体" w:eastAsia="宋体" w:cs="宋体"/>
          <w:sz w:val="21"/>
          <w:szCs w:val="21"/>
        </w:rPr>
      </w:pPr>
      <w:r>
        <w:rPr>
          <w:rFonts w:hint="eastAsia" w:ascii="宋体" w:hAnsi="宋体" w:eastAsia="宋体" w:cs="宋体"/>
          <w:sz w:val="21"/>
          <w:szCs w:val="21"/>
        </w:rPr>
        <w:t>1、因服务提供方违反保密义务或知识产权约定的，采购人有权要求服务提供方支付本项目费用总额不超过30%的违约金，违约金不足以弥补采购人损失的，采购人有权要求服务提供方赔偿超过部分。若服务提供方违反保密义务，采购人还有权立即单方解除维护服务合同而不承担任何违约责任。</w:t>
      </w:r>
    </w:p>
    <w:p w14:paraId="02141B2C">
      <w:pPr>
        <w:spacing w:line="360" w:lineRule="auto"/>
        <w:ind w:firstLine="661"/>
        <w:rPr>
          <w:rFonts w:hint="eastAsia" w:ascii="宋体" w:hAnsi="宋体" w:eastAsia="宋体" w:cs="宋体"/>
          <w:sz w:val="21"/>
          <w:szCs w:val="21"/>
        </w:rPr>
      </w:pPr>
      <w:r>
        <w:rPr>
          <w:rFonts w:hint="eastAsia" w:ascii="宋体" w:hAnsi="宋体" w:eastAsia="宋体" w:cs="宋体"/>
          <w:sz w:val="21"/>
          <w:szCs w:val="21"/>
        </w:rPr>
        <w:t>2、服务提供方有下列情形之一，采购人有权解除维护服务合同：</w:t>
      </w:r>
    </w:p>
    <w:p w14:paraId="586324B9">
      <w:pPr>
        <w:spacing w:line="360" w:lineRule="auto"/>
        <w:ind w:firstLine="661"/>
        <w:rPr>
          <w:rFonts w:hint="eastAsia" w:ascii="宋体" w:hAnsi="宋体" w:eastAsia="宋体" w:cs="宋体"/>
          <w:sz w:val="21"/>
          <w:szCs w:val="21"/>
        </w:rPr>
      </w:pPr>
      <w:r>
        <w:rPr>
          <w:rFonts w:hint="eastAsia" w:ascii="宋体" w:hAnsi="宋体" w:eastAsia="宋体" w:cs="宋体"/>
          <w:sz w:val="21"/>
          <w:szCs w:val="21"/>
        </w:rPr>
        <w:t>（1）服务提供方在服务周期内出现重大网络与信息安全事故；</w:t>
      </w:r>
    </w:p>
    <w:p w14:paraId="6E84C0D2">
      <w:pPr>
        <w:spacing w:line="360" w:lineRule="auto"/>
        <w:ind w:firstLine="661"/>
        <w:rPr>
          <w:rFonts w:hint="eastAsia" w:ascii="宋体" w:hAnsi="宋体" w:eastAsia="宋体" w:cs="宋体"/>
          <w:sz w:val="21"/>
          <w:szCs w:val="21"/>
        </w:rPr>
      </w:pPr>
      <w:r>
        <w:rPr>
          <w:rFonts w:hint="eastAsia" w:ascii="宋体" w:hAnsi="宋体" w:eastAsia="宋体" w:cs="宋体"/>
          <w:sz w:val="21"/>
          <w:szCs w:val="21"/>
        </w:rPr>
        <w:t>（2）因服务提供方服务质量问题导致采购人无法实现目的；</w:t>
      </w:r>
    </w:p>
    <w:p w14:paraId="75E6338B">
      <w:pPr>
        <w:spacing w:line="360" w:lineRule="auto"/>
        <w:ind w:firstLine="661"/>
        <w:rPr>
          <w:rFonts w:hint="eastAsia" w:ascii="宋体" w:hAnsi="宋体" w:eastAsia="宋体" w:cs="宋体"/>
          <w:sz w:val="21"/>
          <w:szCs w:val="21"/>
        </w:rPr>
      </w:pPr>
      <w:r>
        <w:rPr>
          <w:rFonts w:hint="eastAsia" w:ascii="宋体" w:hAnsi="宋体" w:eastAsia="宋体" w:cs="宋体"/>
          <w:sz w:val="21"/>
          <w:szCs w:val="21"/>
        </w:rPr>
        <w:t>（3）擅自转让或者分包其应履行的义务的；</w:t>
      </w:r>
    </w:p>
    <w:p w14:paraId="1B54540F">
      <w:pPr>
        <w:spacing w:line="360" w:lineRule="auto"/>
        <w:ind w:firstLine="661"/>
        <w:rPr>
          <w:rFonts w:hint="eastAsia" w:ascii="宋体" w:hAnsi="宋体" w:eastAsia="宋体" w:cs="宋体"/>
          <w:sz w:val="21"/>
          <w:szCs w:val="21"/>
        </w:rPr>
      </w:pPr>
      <w:r>
        <w:rPr>
          <w:rFonts w:hint="eastAsia" w:ascii="宋体" w:hAnsi="宋体" w:eastAsia="宋体" w:cs="宋体"/>
          <w:sz w:val="21"/>
          <w:szCs w:val="21"/>
        </w:rPr>
        <w:t>（4）违反或者未履行维护服务合同约定的其他相关义务，且在采购人要求的合理时间内未能纠正的。</w:t>
      </w:r>
    </w:p>
    <w:p w14:paraId="0D2980F8">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（十</w:t>
      </w:r>
      <w:r>
        <w:rPr>
          <w:rFonts w:hint="eastAsia" w:ascii="宋体" w:hAnsi="宋体" w:eastAsia="宋体" w:cs="宋体"/>
          <w:sz w:val="21"/>
          <w:szCs w:val="21"/>
          <w:lang w:val="en-US" w:eastAsia="zh-CN"/>
        </w:rPr>
        <w:t>五</w:t>
      </w:r>
      <w:r>
        <w:rPr>
          <w:rFonts w:hint="eastAsia" w:ascii="宋体" w:hAnsi="宋体" w:eastAsia="宋体" w:cs="宋体"/>
          <w:sz w:val="21"/>
          <w:szCs w:val="21"/>
        </w:rPr>
        <w:t>）关于转让和分包的规定</w:t>
      </w:r>
    </w:p>
    <w:p w14:paraId="0C456271">
      <w:pPr>
        <w:spacing w:line="360" w:lineRule="auto"/>
        <w:ind w:firstLine="661"/>
        <w:rPr>
          <w:rFonts w:hint="eastAsia" w:ascii="宋体" w:hAnsi="宋体" w:eastAsia="宋体" w:cs="宋体"/>
          <w:sz w:val="21"/>
          <w:szCs w:val="21"/>
        </w:rPr>
      </w:pPr>
      <w:r>
        <w:rPr>
          <w:rFonts w:hint="eastAsia" w:ascii="宋体" w:hAnsi="宋体" w:eastAsia="宋体" w:cs="宋体"/>
          <w:sz w:val="21"/>
          <w:szCs w:val="21"/>
        </w:rPr>
        <w:t>本项目不得转让不得分包。</w:t>
      </w:r>
    </w:p>
    <w:p w14:paraId="5CDE534E">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（十</w:t>
      </w:r>
      <w:r>
        <w:rPr>
          <w:rFonts w:hint="eastAsia" w:ascii="宋体" w:hAnsi="宋体" w:eastAsia="宋体" w:cs="宋体"/>
          <w:sz w:val="21"/>
          <w:szCs w:val="21"/>
          <w:lang w:val="en-US" w:eastAsia="zh-CN"/>
        </w:rPr>
        <w:t>六</w:t>
      </w:r>
      <w:r>
        <w:rPr>
          <w:rFonts w:hint="eastAsia" w:ascii="宋体" w:hAnsi="宋体" w:eastAsia="宋体" w:cs="宋体"/>
          <w:sz w:val="21"/>
          <w:szCs w:val="21"/>
        </w:rPr>
        <w:t>）项目成果</w:t>
      </w:r>
    </w:p>
    <w:p w14:paraId="582EB166">
      <w:pPr>
        <w:pStyle w:val="2"/>
        <w:numPr>
          <w:ilvl w:val="0"/>
          <w:numId w:val="0"/>
        </w:numPr>
        <w:ind w:left="723"/>
        <w:rPr>
          <w:rFonts w:hint="eastAsia" w:ascii="宋体" w:hAnsi="宋体" w:eastAsia="宋体" w:cs="宋体"/>
          <w:color w:val="auto"/>
          <w:sz w:val="21"/>
          <w:szCs w:val="21"/>
        </w:rPr>
      </w:pPr>
      <w:r>
        <w:rPr>
          <w:rFonts w:hint="eastAsia" w:ascii="宋体" w:hAnsi="宋体" w:eastAsia="宋体" w:cs="宋体"/>
          <w:color w:val="auto"/>
          <w:sz w:val="21"/>
          <w:szCs w:val="21"/>
        </w:rPr>
        <w:t>提供不少于23个系统商用密码安全应用性评估报告</w:t>
      </w:r>
    </w:p>
    <w:p w14:paraId="12587CA2">
      <w:pPr>
        <w:pStyle w:val="5"/>
        <w:spacing w:before="120" w:after="120" w:line="415" w:lineRule="auto"/>
        <w:rPr>
          <w:rFonts w:hint="eastAsia" w:ascii="宋体" w:hAnsi="宋体" w:eastAsia="宋体" w:cs="宋体"/>
          <w:sz w:val="21"/>
          <w:szCs w:val="21"/>
        </w:rPr>
      </w:pPr>
      <w:r>
        <w:rPr>
          <w:rFonts w:hint="eastAsia" w:ascii="宋体" w:hAnsi="宋体" w:eastAsia="宋体" w:cs="宋体"/>
          <w:sz w:val="21"/>
          <w:szCs w:val="21"/>
        </w:rPr>
        <w:t>（十</w:t>
      </w:r>
      <w:r>
        <w:rPr>
          <w:rFonts w:hint="eastAsia" w:ascii="宋体" w:hAnsi="宋体" w:eastAsia="宋体" w:cs="宋体"/>
          <w:sz w:val="21"/>
          <w:szCs w:val="21"/>
          <w:lang w:val="en-US" w:eastAsia="zh-CN"/>
        </w:rPr>
        <w:t>七</w:t>
      </w:r>
      <w:r>
        <w:rPr>
          <w:rFonts w:hint="eastAsia" w:ascii="宋体" w:hAnsi="宋体" w:eastAsia="宋体" w:cs="宋体"/>
          <w:sz w:val="21"/>
          <w:szCs w:val="21"/>
        </w:rPr>
        <w:t>）付款方式</w:t>
      </w:r>
    </w:p>
    <w:p w14:paraId="67B21FE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合同签订后10个工作日，采购人向成交供应商支付合同总额的50%合同款</w:t>
      </w:r>
    </w:p>
    <w:p w14:paraId="377DCA17">
      <w:pPr>
        <w:spacing w:line="360" w:lineRule="auto"/>
        <w:rPr>
          <w:rFonts w:hint="eastAsia" w:ascii="宋体" w:hAnsi="宋体" w:eastAsia="宋体" w:cs="宋体"/>
          <w:sz w:val="21"/>
          <w:szCs w:val="21"/>
        </w:rPr>
      </w:pPr>
      <w:r>
        <w:rPr>
          <w:rFonts w:hint="eastAsia" w:ascii="宋体" w:hAnsi="宋体" w:eastAsia="宋体" w:cs="宋体"/>
          <w:sz w:val="21"/>
          <w:szCs w:val="21"/>
        </w:rPr>
        <w:t>项，采购人在收到成交供应商出具相应的测评报告10个工作日支付余下50%合同款项。</w:t>
      </w:r>
    </w:p>
    <w:p w14:paraId="7D7BD061">
      <w:pPr>
        <w:pStyle w:val="2"/>
        <w:numPr>
          <w:ilvl w:val="0"/>
          <w:numId w:val="0"/>
        </w:numPr>
        <w:ind w:left="860" w:hanging="440"/>
        <w:rPr>
          <w:rFonts w:hint="eastAsia" w:ascii="宋体" w:hAnsi="宋体" w:eastAsia="宋体" w:cs="宋体"/>
          <w:sz w:val="21"/>
          <w:szCs w:val="21"/>
        </w:rPr>
      </w:pPr>
    </w:p>
    <w:p w14:paraId="0BEB24E2">
      <w:pPr>
        <w:pStyle w:val="2"/>
        <w:numPr>
          <w:ilvl w:val="0"/>
          <w:numId w:val="0"/>
        </w:numPr>
        <w:ind w:left="860" w:hanging="440"/>
        <w:rPr>
          <w:rFonts w:hint="eastAsia" w:ascii="宋体" w:hAnsi="宋体" w:eastAsia="宋体" w:cs="宋体"/>
          <w:sz w:val="21"/>
          <w:szCs w:val="21"/>
        </w:rPr>
      </w:pPr>
    </w:p>
    <w:p w14:paraId="4FC72D61">
      <w:pPr>
        <w:pStyle w:val="2"/>
        <w:numPr>
          <w:ilvl w:val="0"/>
          <w:numId w:val="0"/>
        </w:num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20891"/>
    <w:multiLevelType w:val="singleLevel"/>
    <w:tmpl w:val="9C320891"/>
    <w:lvl w:ilvl="0" w:tentative="0">
      <w:start w:val="3"/>
      <w:numFmt w:val="chineseCounting"/>
      <w:suff w:val="nothing"/>
      <w:lvlText w:val="（%1）"/>
      <w:lvlJc w:val="left"/>
      <w:rPr>
        <w:rFonts w:hint="eastAsia"/>
      </w:rPr>
    </w:lvl>
  </w:abstractNum>
  <w:abstractNum w:abstractNumId="1">
    <w:nsid w:val="F7C1FFB9"/>
    <w:multiLevelType w:val="multilevel"/>
    <w:tmpl w:val="F7C1FFB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E2377C8"/>
    <w:multiLevelType w:val="multilevel"/>
    <w:tmpl w:val="0E2377C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8430520"/>
    <w:multiLevelType w:val="singleLevel"/>
    <w:tmpl w:val="38430520"/>
    <w:lvl w:ilvl="0" w:tentative="0">
      <w:start w:val="2"/>
      <w:numFmt w:val="chineseCounting"/>
      <w:suff w:val="space"/>
      <w:lvlText w:val="（%1）"/>
      <w:lvlJc w:val="left"/>
      <w:rPr>
        <w:rFonts w:hint="eastAsia"/>
      </w:rPr>
    </w:lvl>
  </w:abstractNum>
  <w:abstractNum w:abstractNumId="4">
    <w:nsid w:val="5A123A8A"/>
    <w:multiLevelType w:val="multilevel"/>
    <w:tmpl w:val="5A123A8A"/>
    <w:lvl w:ilvl="0" w:tentative="0">
      <w:start w:val="1"/>
      <w:numFmt w:val="decimal"/>
      <w:pStyle w:val="2"/>
      <w:lvlText w:val="%1."/>
      <w:lvlJc w:val="left"/>
      <w:pPr>
        <w:ind w:left="723"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FmZmUwYzI5ZGYxMmZiZGRjZjE1MDk0NGU0MDZmNzUifQ=="/>
  </w:docVars>
  <w:rsids>
    <w:rsidRoot w:val="00F770C5"/>
    <w:rsid w:val="000033AF"/>
    <w:rsid w:val="00004C0B"/>
    <w:rsid w:val="000272E7"/>
    <w:rsid w:val="00036CA7"/>
    <w:rsid w:val="00042909"/>
    <w:rsid w:val="00060DC9"/>
    <w:rsid w:val="000709B9"/>
    <w:rsid w:val="000901BC"/>
    <w:rsid w:val="000906DF"/>
    <w:rsid w:val="000A0263"/>
    <w:rsid w:val="000A041D"/>
    <w:rsid w:val="000B063A"/>
    <w:rsid w:val="000B37FA"/>
    <w:rsid w:val="000B5EA8"/>
    <w:rsid w:val="000D0EB9"/>
    <w:rsid w:val="000F5645"/>
    <w:rsid w:val="001064A7"/>
    <w:rsid w:val="00142377"/>
    <w:rsid w:val="00195403"/>
    <w:rsid w:val="00197111"/>
    <w:rsid w:val="001A4BEA"/>
    <w:rsid w:val="001A6273"/>
    <w:rsid w:val="001C18A4"/>
    <w:rsid w:val="001D3864"/>
    <w:rsid w:val="001D5FB4"/>
    <w:rsid w:val="001F284D"/>
    <w:rsid w:val="001F56BC"/>
    <w:rsid w:val="00204213"/>
    <w:rsid w:val="0020527C"/>
    <w:rsid w:val="00221A9B"/>
    <w:rsid w:val="00225004"/>
    <w:rsid w:val="00260FBD"/>
    <w:rsid w:val="002642F7"/>
    <w:rsid w:val="00287074"/>
    <w:rsid w:val="002A71D1"/>
    <w:rsid w:val="002D4370"/>
    <w:rsid w:val="002E1D37"/>
    <w:rsid w:val="002E1EE5"/>
    <w:rsid w:val="002F0E0D"/>
    <w:rsid w:val="00320273"/>
    <w:rsid w:val="00327601"/>
    <w:rsid w:val="00336FD4"/>
    <w:rsid w:val="0034372B"/>
    <w:rsid w:val="00353FBC"/>
    <w:rsid w:val="003670F4"/>
    <w:rsid w:val="003A3266"/>
    <w:rsid w:val="003A4ACF"/>
    <w:rsid w:val="003C724D"/>
    <w:rsid w:val="003E0B8C"/>
    <w:rsid w:val="00404335"/>
    <w:rsid w:val="004269BF"/>
    <w:rsid w:val="00433ADD"/>
    <w:rsid w:val="00434DDB"/>
    <w:rsid w:val="00450D95"/>
    <w:rsid w:val="004663D5"/>
    <w:rsid w:val="00474F92"/>
    <w:rsid w:val="00475DAC"/>
    <w:rsid w:val="00486C79"/>
    <w:rsid w:val="004934D9"/>
    <w:rsid w:val="004C7178"/>
    <w:rsid w:val="004E259E"/>
    <w:rsid w:val="00545C28"/>
    <w:rsid w:val="00561852"/>
    <w:rsid w:val="0057342F"/>
    <w:rsid w:val="00577D75"/>
    <w:rsid w:val="00586A3B"/>
    <w:rsid w:val="005A078B"/>
    <w:rsid w:val="005B2993"/>
    <w:rsid w:val="005B6308"/>
    <w:rsid w:val="005B6337"/>
    <w:rsid w:val="005C6C8C"/>
    <w:rsid w:val="005D2468"/>
    <w:rsid w:val="005E2962"/>
    <w:rsid w:val="005E314A"/>
    <w:rsid w:val="005E38DB"/>
    <w:rsid w:val="005F7B31"/>
    <w:rsid w:val="0061014D"/>
    <w:rsid w:val="00666B3E"/>
    <w:rsid w:val="006710F6"/>
    <w:rsid w:val="00692CCF"/>
    <w:rsid w:val="006B046D"/>
    <w:rsid w:val="006D5694"/>
    <w:rsid w:val="006D5DAD"/>
    <w:rsid w:val="006D7A42"/>
    <w:rsid w:val="006E33C0"/>
    <w:rsid w:val="006F1C9B"/>
    <w:rsid w:val="006F5386"/>
    <w:rsid w:val="007154B4"/>
    <w:rsid w:val="007558F5"/>
    <w:rsid w:val="0076037A"/>
    <w:rsid w:val="00766564"/>
    <w:rsid w:val="0077060F"/>
    <w:rsid w:val="00794C7D"/>
    <w:rsid w:val="007A1C56"/>
    <w:rsid w:val="007B3D14"/>
    <w:rsid w:val="007B5C56"/>
    <w:rsid w:val="00801DB0"/>
    <w:rsid w:val="008020C1"/>
    <w:rsid w:val="008203E7"/>
    <w:rsid w:val="00831EF3"/>
    <w:rsid w:val="00834415"/>
    <w:rsid w:val="00837E5B"/>
    <w:rsid w:val="00840CF5"/>
    <w:rsid w:val="00843C1F"/>
    <w:rsid w:val="008453F5"/>
    <w:rsid w:val="00860A54"/>
    <w:rsid w:val="00872824"/>
    <w:rsid w:val="008738E3"/>
    <w:rsid w:val="008C1CD1"/>
    <w:rsid w:val="008E0BC1"/>
    <w:rsid w:val="008E5B3F"/>
    <w:rsid w:val="008F0868"/>
    <w:rsid w:val="008F6B2B"/>
    <w:rsid w:val="008F6E30"/>
    <w:rsid w:val="00901B8D"/>
    <w:rsid w:val="00904567"/>
    <w:rsid w:val="009063D7"/>
    <w:rsid w:val="00914940"/>
    <w:rsid w:val="00941174"/>
    <w:rsid w:val="00971FCE"/>
    <w:rsid w:val="009729C6"/>
    <w:rsid w:val="00996147"/>
    <w:rsid w:val="009A3AF1"/>
    <w:rsid w:val="009A6C8B"/>
    <w:rsid w:val="009C6B98"/>
    <w:rsid w:val="009D28B0"/>
    <w:rsid w:val="009D3F55"/>
    <w:rsid w:val="009E3F98"/>
    <w:rsid w:val="00A147CE"/>
    <w:rsid w:val="00A31559"/>
    <w:rsid w:val="00A51FBB"/>
    <w:rsid w:val="00A60E8B"/>
    <w:rsid w:val="00A808E9"/>
    <w:rsid w:val="00A812C9"/>
    <w:rsid w:val="00A92921"/>
    <w:rsid w:val="00AB75CD"/>
    <w:rsid w:val="00AD4250"/>
    <w:rsid w:val="00B11380"/>
    <w:rsid w:val="00B21CCB"/>
    <w:rsid w:val="00B41723"/>
    <w:rsid w:val="00B436F2"/>
    <w:rsid w:val="00B468AC"/>
    <w:rsid w:val="00B46A8B"/>
    <w:rsid w:val="00B67938"/>
    <w:rsid w:val="00B77F1C"/>
    <w:rsid w:val="00B96EC1"/>
    <w:rsid w:val="00BB26AD"/>
    <w:rsid w:val="00BC1BE3"/>
    <w:rsid w:val="00BD196C"/>
    <w:rsid w:val="00BF35C6"/>
    <w:rsid w:val="00C05818"/>
    <w:rsid w:val="00C32161"/>
    <w:rsid w:val="00C67AB6"/>
    <w:rsid w:val="00C7482C"/>
    <w:rsid w:val="00C77C27"/>
    <w:rsid w:val="00C949F2"/>
    <w:rsid w:val="00CA08A8"/>
    <w:rsid w:val="00CA31A8"/>
    <w:rsid w:val="00CA7040"/>
    <w:rsid w:val="00CD0CA4"/>
    <w:rsid w:val="00CE0529"/>
    <w:rsid w:val="00CE21C6"/>
    <w:rsid w:val="00CE2B08"/>
    <w:rsid w:val="00CE3149"/>
    <w:rsid w:val="00D24021"/>
    <w:rsid w:val="00D257ED"/>
    <w:rsid w:val="00D35997"/>
    <w:rsid w:val="00D42DF0"/>
    <w:rsid w:val="00D46B92"/>
    <w:rsid w:val="00D57F59"/>
    <w:rsid w:val="00D65097"/>
    <w:rsid w:val="00DC0809"/>
    <w:rsid w:val="00DC6A9D"/>
    <w:rsid w:val="00DD58A9"/>
    <w:rsid w:val="00DE6068"/>
    <w:rsid w:val="00DF1EE6"/>
    <w:rsid w:val="00E02DCA"/>
    <w:rsid w:val="00E1175B"/>
    <w:rsid w:val="00E210FD"/>
    <w:rsid w:val="00E23FD0"/>
    <w:rsid w:val="00E24ADA"/>
    <w:rsid w:val="00E565FD"/>
    <w:rsid w:val="00E66C01"/>
    <w:rsid w:val="00E75CFF"/>
    <w:rsid w:val="00EB25EF"/>
    <w:rsid w:val="00EC63DD"/>
    <w:rsid w:val="00F000A2"/>
    <w:rsid w:val="00F4381F"/>
    <w:rsid w:val="00F457B9"/>
    <w:rsid w:val="00F65BFE"/>
    <w:rsid w:val="00F770C5"/>
    <w:rsid w:val="00F8253E"/>
    <w:rsid w:val="00FB4547"/>
    <w:rsid w:val="00FC005F"/>
    <w:rsid w:val="00FC0931"/>
    <w:rsid w:val="00FD190F"/>
    <w:rsid w:val="011E3D92"/>
    <w:rsid w:val="0273010D"/>
    <w:rsid w:val="02750329"/>
    <w:rsid w:val="03C0230C"/>
    <w:rsid w:val="04041965"/>
    <w:rsid w:val="04DF3116"/>
    <w:rsid w:val="05DE61E6"/>
    <w:rsid w:val="060914B4"/>
    <w:rsid w:val="064C75F3"/>
    <w:rsid w:val="06A765D7"/>
    <w:rsid w:val="06B84C89"/>
    <w:rsid w:val="082C3238"/>
    <w:rsid w:val="08915791"/>
    <w:rsid w:val="097E5D15"/>
    <w:rsid w:val="09F61D50"/>
    <w:rsid w:val="0A0B1D53"/>
    <w:rsid w:val="0A5922DF"/>
    <w:rsid w:val="0BF40511"/>
    <w:rsid w:val="0C41302A"/>
    <w:rsid w:val="0CAC4948"/>
    <w:rsid w:val="0D0C3638"/>
    <w:rsid w:val="0DA9532B"/>
    <w:rsid w:val="0E341099"/>
    <w:rsid w:val="0E4B4F89"/>
    <w:rsid w:val="0EB83A78"/>
    <w:rsid w:val="0EBB70C4"/>
    <w:rsid w:val="0F0F5662"/>
    <w:rsid w:val="0F8C6CB2"/>
    <w:rsid w:val="0FA7589A"/>
    <w:rsid w:val="102B0279"/>
    <w:rsid w:val="105552F6"/>
    <w:rsid w:val="10765998"/>
    <w:rsid w:val="11335637"/>
    <w:rsid w:val="138403CC"/>
    <w:rsid w:val="13B83C62"/>
    <w:rsid w:val="14107EB2"/>
    <w:rsid w:val="14E07884"/>
    <w:rsid w:val="153731F0"/>
    <w:rsid w:val="153B4ABB"/>
    <w:rsid w:val="155C2C83"/>
    <w:rsid w:val="156F29B6"/>
    <w:rsid w:val="15DF26D6"/>
    <w:rsid w:val="15F86E50"/>
    <w:rsid w:val="16421E79"/>
    <w:rsid w:val="16B54D41"/>
    <w:rsid w:val="16C441AB"/>
    <w:rsid w:val="17342109"/>
    <w:rsid w:val="174E589F"/>
    <w:rsid w:val="181A12FF"/>
    <w:rsid w:val="186A1306"/>
    <w:rsid w:val="18E22D7D"/>
    <w:rsid w:val="19C71013"/>
    <w:rsid w:val="1B410951"/>
    <w:rsid w:val="1B4B328B"/>
    <w:rsid w:val="1B6805D3"/>
    <w:rsid w:val="1B9413C8"/>
    <w:rsid w:val="1C9571A6"/>
    <w:rsid w:val="1DA17DCD"/>
    <w:rsid w:val="1DED6B6E"/>
    <w:rsid w:val="1EE61F3B"/>
    <w:rsid w:val="1FD75D28"/>
    <w:rsid w:val="20992FDD"/>
    <w:rsid w:val="21BF4CC5"/>
    <w:rsid w:val="22370D00"/>
    <w:rsid w:val="22CF2CE6"/>
    <w:rsid w:val="25754019"/>
    <w:rsid w:val="25A869D6"/>
    <w:rsid w:val="26243349"/>
    <w:rsid w:val="26845A16"/>
    <w:rsid w:val="27062195"/>
    <w:rsid w:val="27084A19"/>
    <w:rsid w:val="27514612"/>
    <w:rsid w:val="275639D6"/>
    <w:rsid w:val="27DB3EDB"/>
    <w:rsid w:val="28F60FCD"/>
    <w:rsid w:val="292875F4"/>
    <w:rsid w:val="29671ECA"/>
    <w:rsid w:val="29B35110"/>
    <w:rsid w:val="29EC6874"/>
    <w:rsid w:val="2ABB0720"/>
    <w:rsid w:val="2B4C75CA"/>
    <w:rsid w:val="2C1856FE"/>
    <w:rsid w:val="2CAD4098"/>
    <w:rsid w:val="2DCC67A0"/>
    <w:rsid w:val="2F81180C"/>
    <w:rsid w:val="2F923A19"/>
    <w:rsid w:val="2FA21EAE"/>
    <w:rsid w:val="32116E77"/>
    <w:rsid w:val="33525999"/>
    <w:rsid w:val="33C1667B"/>
    <w:rsid w:val="34140EA1"/>
    <w:rsid w:val="345B087E"/>
    <w:rsid w:val="34BF705E"/>
    <w:rsid w:val="351C625F"/>
    <w:rsid w:val="359E4EC6"/>
    <w:rsid w:val="35B20971"/>
    <w:rsid w:val="35F965A0"/>
    <w:rsid w:val="36B14785"/>
    <w:rsid w:val="36DF5796"/>
    <w:rsid w:val="370F76FD"/>
    <w:rsid w:val="3733163E"/>
    <w:rsid w:val="376E6B1A"/>
    <w:rsid w:val="386F2B4A"/>
    <w:rsid w:val="38D94467"/>
    <w:rsid w:val="3AC151B3"/>
    <w:rsid w:val="3B47390A"/>
    <w:rsid w:val="3C194E08"/>
    <w:rsid w:val="3C991F43"/>
    <w:rsid w:val="3CB21257"/>
    <w:rsid w:val="3D6C3AFB"/>
    <w:rsid w:val="3EC6723B"/>
    <w:rsid w:val="3ED454B4"/>
    <w:rsid w:val="3FC63871"/>
    <w:rsid w:val="4081166C"/>
    <w:rsid w:val="40BF2194"/>
    <w:rsid w:val="4242307D"/>
    <w:rsid w:val="427B5CCE"/>
    <w:rsid w:val="42884F34"/>
    <w:rsid w:val="42B87B84"/>
    <w:rsid w:val="438D20D6"/>
    <w:rsid w:val="439D4A0F"/>
    <w:rsid w:val="43B43B06"/>
    <w:rsid w:val="440E76BA"/>
    <w:rsid w:val="44315157"/>
    <w:rsid w:val="44AE67A8"/>
    <w:rsid w:val="44FA19ED"/>
    <w:rsid w:val="45244CBC"/>
    <w:rsid w:val="452B1BA6"/>
    <w:rsid w:val="456F5F37"/>
    <w:rsid w:val="462019FA"/>
    <w:rsid w:val="46556F6B"/>
    <w:rsid w:val="46F61A93"/>
    <w:rsid w:val="47637D1D"/>
    <w:rsid w:val="4783216D"/>
    <w:rsid w:val="483B47F6"/>
    <w:rsid w:val="489B34E7"/>
    <w:rsid w:val="48BA1BBF"/>
    <w:rsid w:val="490B5F77"/>
    <w:rsid w:val="49465201"/>
    <w:rsid w:val="4AE41175"/>
    <w:rsid w:val="4AE44CD1"/>
    <w:rsid w:val="4B0B6702"/>
    <w:rsid w:val="4BAF3531"/>
    <w:rsid w:val="4BDC1E4C"/>
    <w:rsid w:val="4C9444D5"/>
    <w:rsid w:val="4CFF2296"/>
    <w:rsid w:val="4D0478AD"/>
    <w:rsid w:val="4E2A50F1"/>
    <w:rsid w:val="4E3C3076"/>
    <w:rsid w:val="4F0C0C9A"/>
    <w:rsid w:val="4F29184C"/>
    <w:rsid w:val="4F506DD9"/>
    <w:rsid w:val="50BD049E"/>
    <w:rsid w:val="529B480F"/>
    <w:rsid w:val="538E7ED0"/>
    <w:rsid w:val="53EE6BC1"/>
    <w:rsid w:val="54947768"/>
    <w:rsid w:val="54C16083"/>
    <w:rsid w:val="554C0043"/>
    <w:rsid w:val="563805C7"/>
    <w:rsid w:val="563F3703"/>
    <w:rsid w:val="56C72A71"/>
    <w:rsid w:val="56C8194B"/>
    <w:rsid w:val="56DC53F6"/>
    <w:rsid w:val="572F19CA"/>
    <w:rsid w:val="57507500"/>
    <w:rsid w:val="59114413"/>
    <w:rsid w:val="594C6863"/>
    <w:rsid w:val="59B30690"/>
    <w:rsid w:val="59CF1242"/>
    <w:rsid w:val="5B1F3B03"/>
    <w:rsid w:val="5C390BF5"/>
    <w:rsid w:val="5C531CB7"/>
    <w:rsid w:val="5CEE7C31"/>
    <w:rsid w:val="5D064F7B"/>
    <w:rsid w:val="5D177188"/>
    <w:rsid w:val="5E1D07CE"/>
    <w:rsid w:val="5E9071F2"/>
    <w:rsid w:val="5F17346F"/>
    <w:rsid w:val="61296823"/>
    <w:rsid w:val="619F14FA"/>
    <w:rsid w:val="61D60A35"/>
    <w:rsid w:val="621E4B15"/>
    <w:rsid w:val="628D57F7"/>
    <w:rsid w:val="62FF4946"/>
    <w:rsid w:val="634E31D8"/>
    <w:rsid w:val="64047D3A"/>
    <w:rsid w:val="64462101"/>
    <w:rsid w:val="645E569D"/>
    <w:rsid w:val="646131FE"/>
    <w:rsid w:val="65DA51F7"/>
    <w:rsid w:val="66081D64"/>
    <w:rsid w:val="66391F1D"/>
    <w:rsid w:val="66794A10"/>
    <w:rsid w:val="66BB6DD6"/>
    <w:rsid w:val="6707201B"/>
    <w:rsid w:val="67B35CFF"/>
    <w:rsid w:val="67CB129B"/>
    <w:rsid w:val="68DD34B5"/>
    <w:rsid w:val="69690D6B"/>
    <w:rsid w:val="697B0A9F"/>
    <w:rsid w:val="6A4315BC"/>
    <w:rsid w:val="6B763604"/>
    <w:rsid w:val="6B9145AA"/>
    <w:rsid w:val="6BCA186A"/>
    <w:rsid w:val="6BD44496"/>
    <w:rsid w:val="6C2E004A"/>
    <w:rsid w:val="6CAA611B"/>
    <w:rsid w:val="6D21370B"/>
    <w:rsid w:val="6D2928D4"/>
    <w:rsid w:val="6D9F7871"/>
    <w:rsid w:val="6DDD5884"/>
    <w:rsid w:val="6E82642B"/>
    <w:rsid w:val="6EBF142E"/>
    <w:rsid w:val="6F7A7103"/>
    <w:rsid w:val="6F9603E0"/>
    <w:rsid w:val="6FA06B69"/>
    <w:rsid w:val="6FD827A7"/>
    <w:rsid w:val="70903082"/>
    <w:rsid w:val="710475CC"/>
    <w:rsid w:val="71094BE2"/>
    <w:rsid w:val="714B51FB"/>
    <w:rsid w:val="722F2426"/>
    <w:rsid w:val="72A66B8C"/>
    <w:rsid w:val="735465E8"/>
    <w:rsid w:val="73966C01"/>
    <w:rsid w:val="74597C2E"/>
    <w:rsid w:val="74A52E74"/>
    <w:rsid w:val="753A180E"/>
    <w:rsid w:val="76674885"/>
    <w:rsid w:val="77974CF6"/>
    <w:rsid w:val="784529A4"/>
    <w:rsid w:val="78F61EF0"/>
    <w:rsid w:val="7A106FE1"/>
    <w:rsid w:val="7AEC5358"/>
    <w:rsid w:val="7AFE28F1"/>
    <w:rsid w:val="7B0C59FB"/>
    <w:rsid w:val="7BA479E1"/>
    <w:rsid w:val="7BA774D1"/>
    <w:rsid w:val="7BE2675B"/>
    <w:rsid w:val="7CDD619D"/>
    <w:rsid w:val="7DD52845"/>
    <w:rsid w:val="7E4C610E"/>
    <w:rsid w:val="7EA47CF8"/>
    <w:rsid w:val="7ED625A7"/>
    <w:rsid w:val="7F3B065C"/>
    <w:rsid w:val="7F4A6AF1"/>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5"/>
    <w:qFormat/>
    <w:uiPriority w:val="0"/>
    <w:pPr>
      <w:keepNext/>
      <w:keepLines/>
      <w:spacing w:before="340" w:after="330" w:line="360" w:lineRule="auto"/>
      <w:ind w:firstLine="663"/>
      <w:outlineLvl w:val="0"/>
    </w:pPr>
    <w:rPr>
      <w:rFonts w:ascii="仿宋" w:hAnsi="仿宋" w:eastAsia="仿宋" w:cs="Times New Roman"/>
      <w:b/>
      <w:bCs/>
      <w:kern w:val="44"/>
      <w:sz w:val="28"/>
      <w:szCs w:val="28"/>
    </w:rPr>
  </w:style>
  <w:style w:type="paragraph" w:styleId="5">
    <w:name w:val="heading 2"/>
    <w:basedOn w:val="1"/>
    <w:next w:val="1"/>
    <w:link w:val="22"/>
    <w:unhideWhenUsed/>
    <w:qFormat/>
    <w:uiPriority w:val="9"/>
    <w:pPr>
      <w:keepNext/>
      <w:keepLines/>
      <w:spacing w:before="260" w:after="260" w:line="416" w:lineRule="auto"/>
      <w:ind w:firstLine="663"/>
      <w:outlineLvl w:val="1"/>
    </w:pPr>
    <w:rPr>
      <w:rFonts w:ascii="仿宋" w:hAnsi="仿宋" w:eastAsia="仿宋" w:cstheme="majorBidi"/>
      <w:b/>
      <w:bCs/>
      <w:sz w:val="28"/>
      <w:szCs w:val="28"/>
    </w:rPr>
  </w:style>
  <w:style w:type="paragraph" w:styleId="6">
    <w:name w:val="heading 3"/>
    <w:basedOn w:val="1"/>
    <w:next w:val="1"/>
    <w:link w:val="21"/>
    <w:semiHidden/>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8"/>
    <w:unhideWhenUsed/>
    <w:qFormat/>
    <w:uiPriority w:val="99"/>
    <w:pPr>
      <w:numPr>
        <w:ilvl w:val="0"/>
        <w:numId w:val="1"/>
      </w:numPr>
      <w:spacing w:after="0" w:line="360" w:lineRule="auto"/>
      <w:ind w:left="860"/>
    </w:pPr>
    <w:rPr>
      <w:rFonts w:ascii="仿宋" w:hAnsi="仿宋" w:eastAsia="仿宋"/>
      <w:sz w:val="24"/>
    </w:rPr>
  </w:style>
  <w:style w:type="paragraph" w:styleId="3">
    <w:name w:val="Body Text"/>
    <w:basedOn w:val="1"/>
    <w:link w:val="17"/>
    <w:semiHidden/>
    <w:unhideWhenUsed/>
    <w:qFormat/>
    <w:uiPriority w:val="99"/>
    <w:pPr>
      <w:spacing w:after="120"/>
    </w:p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5"/>
    <w:qFormat/>
    <w:uiPriority w:val="0"/>
    <w:pPr>
      <w:spacing w:before="300" w:after="300" w:line="360" w:lineRule="auto"/>
      <w:jc w:val="center"/>
    </w:pPr>
    <w:rPr>
      <w:rFonts w:ascii="Times New Roman" w:hAnsi="Times New Roman" w:eastAsia="方正小标宋简体"/>
      <w:b/>
      <w:sz w:val="36"/>
      <w:szCs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8"/>
    <w:qFormat/>
    <w:uiPriority w:val="99"/>
    <w:rPr>
      <w:sz w:val="18"/>
      <w:szCs w:val="18"/>
    </w:rPr>
  </w:style>
  <w:style w:type="character" w:customStyle="1" w:styleId="14">
    <w:name w:val="页脚 字符"/>
    <w:basedOn w:val="12"/>
    <w:link w:val="7"/>
    <w:qFormat/>
    <w:uiPriority w:val="99"/>
    <w:rPr>
      <w:sz w:val="18"/>
      <w:szCs w:val="18"/>
    </w:rPr>
  </w:style>
  <w:style w:type="character" w:customStyle="1" w:styleId="15">
    <w:name w:val="标题 1 字符"/>
    <w:basedOn w:val="12"/>
    <w:link w:val="4"/>
    <w:qFormat/>
    <w:uiPriority w:val="0"/>
    <w:rPr>
      <w:rFonts w:ascii="仿宋" w:hAnsi="仿宋" w:eastAsia="仿宋"/>
      <w:b/>
      <w:bCs/>
      <w:kern w:val="44"/>
      <w:sz w:val="28"/>
      <w:szCs w:val="28"/>
    </w:rPr>
  </w:style>
  <w:style w:type="paragraph" w:customStyle="1" w:styleId="16">
    <w:name w:val="_Style 12"/>
    <w:basedOn w:val="3"/>
    <w:next w:val="2"/>
    <w:link w:val="19"/>
    <w:qFormat/>
    <w:uiPriority w:val="34"/>
    <w:pPr>
      <w:ind w:firstLine="420" w:firstLineChars="100"/>
    </w:pPr>
    <w:rPr>
      <w:rFonts w:ascii="Calibri" w:hAnsi="Calibri"/>
    </w:rPr>
  </w:style>
  <w:style w:type="character" w:customStyle="1" w:styleId="17">
    <w:name w:val="正文文本 字符"/>
    <w:basedOn w:val="12"/>
    <w:link w:val="3"/>
    <w:semiHidden/>
    <w:qFormat/>
    <w:uiPriority w:val="99"/>
  </w:style>
  <w:style w:type="character" w:customStyle="1" w:styleId="18">
    <w:name w:val="正文文本首行缩进 字符"/>
    <w:basedOn w:val="17"/>
    <w:link w:val="2"/>
    <w:qFormat/>
    <w:uiPriority w:val="99"/>
    <w:rPr>
      <w:rFonts w:ascii="仿宋" w:hAnsi="仿宋" w:eastAsia="仿宋" w:cstheme="minorBidi"/>
      <w:kern w:val="2"/>
      <w:sz w:val="24"/>
      <w:szCs w:val="22"/>
    </w:rPr>
  </w:style>
  <w:style w:type="character" w:customStyle="1" w:styleId="19">
    <w:name w:val="列出段落 字符"/>
    <w:link w:val="16"/>
    <w:qFormat/>
    <w:uiPriority w:val="34"/>
    <w:rPr>
      <w:rFonts w:ascii="Calibri" w:hAnsi="Calibri"/>
      <w:kern w:val="2"/>
      <w:sz w:val="21"/>
      <w:szCs w:val="22"/>
    </w:rPr>
  </w:style>
  <w:style w:type="paragraph" w:styleId="20">
    <w:name w:val="List Paragraph"/>
    <w:basedOn w:val="1"/>
    <w:link w:val="24"/>
    <w:qFormat/>
    <w:uiPriority w:val="34"/>
    <w:pPr>
      <w:ind w:firstLine="420" w:firstLineChars="200"/>
    </w:pPr>
  </w:style>
  <w:style w:type="character" w:customStyle="1" w:styleId="21">
    <w:name w:val="标题 3 字符"/>
    <w:basedOn w:val="12"/>
    <w:link w:val="6"/>
    <w:semiHidden/>
    <w:qFormat/>
    <w:uiPriority w:val="9"/>
    <w:rPr>
      <w:b/>
      <w:bCs/>
      <w:sz w:val="32"/>
      <w:szCs w:val="32"/>
    </w:rPr>
  </w:style>
  <w:style w:type="character" w:customStyle="1" w:styleId="22">
    <w:name w:val="标题 2 字符"/>
    <w:basedOn w:val="12"/>
    <w:link w:val="5"/>
    <w:qFormat/>
    <w:uiPriority w:val="9"/>
    <w:rPr>
      <w:rFonts w:ascii="仿宋" w:hAnsi="仿宋" w:eastAsia="仿宋" w:cstheme="majorBidi"/>
      <w:b/>
      <w:bCs/>
      <w:kern w:val="2"/>
      <w:sz w:val="28"/>
      <w:szCs w:val="28"/>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列表段落 字符"/>
    <w:link w:val="20"/>
    <w:qFormat/>
    <w:uiPriority w:val="34"/>
    <w:rPr>
      <w:rFonts w:asciiTheme="minorHAnsi" w:hAnsiTheme="minorHAnsi" w:eastAsiaTheme="minorEastAsia" w:cstheme="minorBidi"/>
      <w:kern w:val="2"/>
      <w:sz w:val="21"/>
      <w:szCs w:val="22"/>
    </w:rPr>
  </w:style>
  <w:style w:type="character" w:customStyle="1" w:styleId="25">
    <w:name w:val="标题 字符"/>
    <w:basedOn w:val="12"/>
    <w:link w:val="9"/>
    <w:qFormat/>
    <w:uiPriority w:val="0"/>
    <w:rPr>
      <w:rFonts w:eastAsia="方正小标宋简体" w:cstheme="minorBidi"/>
      <w:b/>
      <w:kern w:val="2"/>
      <w:sz w:val="36"/>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Microsoft_Visio_2003-2010___1.vsd"/><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2302</Words>
  <Characters>2383</Characters>
  <Lines>76</Lines>
  <Paragraphs>21</Paragraphs>
  <TotalTime>10</TotalTime>
  <ScaleCrop>false</ScaleCrop>
  <LinksUpToDate>false</LinksUpToDate>
  <CharactersWithSpaces>2390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2025-05-30T07:23:00Z</dcterms:created>
  <dc:creator>weiguo shi</dc:creator>
  <cp:lastModifiedBy>DZ</cp:lastModifiedBy>
  <dcterms:modified xsi:type="dcterms:W3CDTF">2026-08-19T07:54:24Z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1B459A3C1C1F4BCF9D03F472893ED926_13</vt:lpwstr>
  </property>
  <property fmtid="{D5CDD505-2E9C-101B-9397-08002B2CF9AE}" pid="4" name="KSOTemplateDocerSaveRecord">
    <vt:lpwstr>eyJoZGlkIjoiOGNiZDU5MmMxMjE4MDlmNTFkZjRjYmM1MDU3ZDY4ZDAiLCJ1c2VySWQiOiIzNDQ3NDg0ODQifQ==</vt:lpwstr>
  </property>
</Properties>
</file>