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77F3" w14:textId="77777777" w:rsidR="00644BC0" w:rsidRDefault="00C0516E">
      <w:pPr>
        <w:spacing w:line="360" w:lineRule="auto"/>
        <w:jc w:val="center"/>
        <w:rPr>
          <w:rFonts w:ascii="黑体" w:eastAsia="黑体" w:hAnsi="黑体"/>
          <w:color w:val="000000" w:themeColor="text1"/>
          <w:sz w:val="28"/>
        </w:rPr>
      </w:pPr>
      <w:r>
        <w:rPr>
          <w:rFonts w:ascii="黑体" w:eastAsia="黑体" w:hAnsi="黑体" w:hint="eastAsia"/>
          <w:color w:val="000000" w:themeColor="text1"/>
          <w:sz w:val="28"/>
        </w:rPr>
        <w:t>《示范区国土空间规划实施监测网络试点建设项目》</w:t>
      </w:r>
    </w:p>
    <w:p w14:paraId="51039313" w14:textId="77777777" w:rsidR="00644BC0" w:rsidRDefault="00C0516E">
      <w:pPr>
        <w:spacing w:line="360" w:lineRule="auto"/>
        <w:jc w:val="center"/>
        <w:rPr>
          <w:rFonts w:ascii="宋体" w:hAnsi="宋体"/>
          <w:color w:val="000000" w:themeColor="text1"/>
        </w:rPr>
      </w:pPr>
      <w:r>
        <w:rPr>
          <w:rFonts w:ascii="黑体" w:eastAsia="黑体" w:hAnsi="黑体"/>
          <w:color w:val="000000" w:themeColor="text1"/>
          <w:sz w:val="28"/>
        </w:rPr>
        <w:t>采购需求</w:t>
      </w:r>
    </w:p>
    <w:p w14:paraId="48CD5AF8" w14:textId="77777777" w:rsidR="00644BC0" w:rsidRDefault="00C0516E">
      <w:pPr>
        <w:numPr>
          <w:ilvl w:val="0"/>
          <w:numId w:val="1"/>
        </w:numPr>
        <w:spacing w:line="360" w:lineRule="auto"/>
        <w:ind w:firstLine="0"/>
        <w:rPr>
          <w:rFonts w:ascii="宋体" w:hAnsi="宋体"/>
          <w:b/>
          <w:bCs/>
          <w:color w:val="000000" w:themeColor="text1"/>
        </w:rPr>
      </w:pPr>
      <w:bookmarkStart w:id="0" w:name="_Ref15256"/>
      <w:r>
        <w:rPr>
          <w:rFonts w:ascii="宋体" w:hAnsi="宋体" w:hint="eastAsia"/>
          <w:b/>
          <w:bCs/>
          <w:color w:val="000000" w:themeColor="text1"/>
        </w:rPr>
        <w:t>工作背景</w:t>
      </w:r>
      <w:bookmarkEnd w:id="0"/>
    </w:p>
    <w:p w14:paraId="0BE67459"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中共中央国务院关于建立国土空间规划体系并监督实施的若干意见》（中发〔2019〕18号）作出相应部署，提出要建立国土空间规划体系并监督实施，将主体功能区规划、土地利用规划、城乡规划等空间规划融合为统一的国土空间规划，实现“多规合一”，强化国土空间规划对各专项规划的指导约束作用。</w:t>
      </w:r>
    </w:p>
    <w:p w14:paraId="6CEE53DD" w14:textId="77777777" w:rsidR="00644BC0" w:rsidRDefault="00C0516E">
      <w:pPr>
        <w:spacing w:line="360" w:lineRule="auto"/>
        <w:ind w:firstLineChars="200" w:firstLine="420"/>
        <w:rPr>
          <w:rFonts w:ascii="宋体" w:hAnsi="宋体"/>
          <w:color w:val="000000" w:themeColor="text1"/>
        </w:rPr>
      </w:pPr>
      <w:bookmarkStart w:id="1" w:name="_Hlk185240298"/>
      <w:r>
        <w:rPr>
          <w:rFonts w:ascii="宋体" w:hAnsi="宋体" w:hint="eastAsia"/>
          <w:color w:val="000000" w:themeColor="text1"/>
        </w:rPr>
        <w:t>《全国国土空间规划纲要（2021-2035年）》和《自然资源部办公厅关于印发&lt;全国国土空间规划实施监测网络建设工作方案（2023-2027）&gt;的通知》提出，搭建国土空间规划实施监测网络，提高空间治理数字化水平。</w:t>
      </w:r>
      <w:bookmarkEnd w:id="1"/>
    </w:p>
    <w:p w14:paraId="5936E7A0"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自然资源部办公厅印发《关于部署开展国土空间规划实施监测网络建设试点的通知》，明确在长三角生态绿色一体化发展示范区等区域开展国土空间规划实施监测网络建设试点。建设示范区国土空间规划实施监测网络，是新时期国土空间规划实施监督的内在要求，是完善示范区国土空间规划体系、推进示范区国土空间规划有效实施、建立示范区国土空间规划全生命周期管理制度的重要手段，通过跨域规划、建设、治理三位一体精细化管理，践行“可感知、能学习、善治理、自适应”的智慧国土空间规划，实现“一张蓝图”绘到底、建到底、管到底。</w:t>
      </w:r>
    </w:p>
    <w:p w14:paraId="3AD16904" w14:textId="77777777" w:rsidR="00644BC0" w:rsidRDefault="00C0516E">
      <w:pPr>
        <w:widowControl/>
        <w:spacing w:line="360" w:lineRule="auto"/>
        <w:ind w:firstLineChars="200" w:firstLine="420"/>
        <w:jc w:val="left"/>
        <w:rPr>
          <w:rFonts w:ascii="宋体" w:hAnsi="宋体"/>
          <w:color w:val="000000" w:themeColor="text1"/>
        </w:rPr>
      </w:pPr>
      <w:r>
        <w:rPr>
          <w:rFonts w:ascii="宋体" w:hAnsi="宋体" w:hint="eastAsia"/>
          <w:color w:val="000000" w:themeColor="text1"/>
        </w:rPr>
        <w:t>示范区智慧大脑平台构建了“1个数字底座+6大跨域一体化板块+1个一体化协同管理中心”的全国首个跨省域智慧大脑信息系统。按照“老路不断、新路链接”的原则，建立一体化数据中枢，打通三级八方数据链路，实现示范区两区一县跨域数据汇聚，</w:t>
      </w:r>
      <w:r>
        <w:rPr>
          <w:rFonts w:ascii="宋体" w:hAnsi="宋体" w:hint="eastAsia"/>
          <w:color w:val="000000" w:themeColor="text1"/>
          <w:lang w:bidi="ar"/>
        </w:rPr>
        <w:t>有力支撑了示范区规划管理、生态环保、项目管理、公共信用工作开展。本次系统建设基于</w:t>
      </w:r>
      <w:r>
        <w:rPr>
          <w:rFonts w:ascii="宋体" w:hAnsi="宋体" w:hint="eastAsia"/>
          <w:color w:val="000000" w:themeColor="text1"/>
        </w:rPr>
        <w:t>示范区智慧大脑平台，在规划管理板块的基础上进行迭代升级，进一步赋能示范区国土空间精细化治理水平。</w:t>
      </w:r>
    </w:p>
    <w:p w14:paraId="15C895B6" w14:textId="77777777" w:rsidR="00644BC0" w:rsidRDefault="00644BC0">
      <w:pPr>
        <w:spacing w:line="360" w:lineRule="auto"/>
        <w:ind w:firstLineChars="200" w:firstLine="420"/>
        <w:rPr>
          <w:rFonts w:ascii="宋体" w:hAnsi="宋体"/>
          <w:color w:val="000000" w:themeColor="text1"/>
        </w:rPr>
      </w:pPr>
    </w:p>
    <w:p w14:paraId="77C425AB"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工作内容</w:t>
      </w:r>
    </w:p>
    <w:p w14:paraId="499AAD32" w14:textId="77777777" w:rsidR="00644BC0" w:rsidRDefault="00C0516E">
      <w:pPr>
        <w:spacing w:line="360" w:lineRule="auto"/>
        <w:ind w:firstLineChars="200" w:firstLine="420"/>
      </w:pPr>
      <w:r>
        <w:rPr>
          <w:rFonts w:hint="eastAsia"/>
        </w:rPr>
        <w:t>围绕示范区国土空间规划编制、审查、实施、监督的全周期管理，落实示范区区域级国土空间规划实施监测网络</w:t>
      </w:r>
      <w:r>
        <w:rPr>
          <w:rFonts w:hint="eastAsia"/>
        </w:rPr>
        <w:t>(CSPON)</w:t>
      </w:r>
      <w:r>
        <w:rPr>
          <w:rFonts w:hint="eastAsia"/>
        </w:rPr>
        <w:t>试点建设任务，聚焦</w:t>
      </w:r>
      <w:r>
        <w:rPr>
          <w:rFonts w:ascii="仿宋" w:hAnsi="仿宋" w:cs="仿宋" w:hint="eastAsia"/>
        </w:rPr>
        <w:t>示范区规划管理业务需求，开展时空数据治理、应用场景搭建、智慧模型开发等任务，打造跨省域国土空间协同治理开放网络。</w:t>
      </w:r>
      <w:r>
        <w:rPr>
          <w:rFonts w:hint="eastAsia"/>
        </w:rPr>
        <w:t>以信息化手段进一步支撑示范区国土空间规划实施管理，提升跨域国土空间协同治理能力。</w:t>
      </w:r>
    </w:p>
    <w:p w14:paraId="3CB2226D" w14:textId="77777777" w:rsidR="00644BC0" w:rsidRDefault="00C0516E">
      <w:pPr>
        <w:numPr>
          <w:ilvl w:val="0"/>
          <w:numId w:val="2"/>
        </w:numPr>
        <w:spacing w:line="360" w:lineRule="auto"/>
        <w:ind w:firstLineChars="200" w:firstLine="420"/>
      </w:pPr>
      <w:bookmarkStart w:id="2" w:name="_Toc13545"/>
      <w:bookmarkStart w:id="3" w:name="_Toc176776090"/>
      <w:bookmarkStart w:id="4" w:name="_Toc27554"/>
      <w:bookmarkStart w:id="5" w:name="_Toc29338"/>
      <w:bookmarkStart w:id="6" w:name="_Toc16883"/>
      <w:bookmarkStart w:id="7" w:name="_Toc30935"/>
      <w:r>
        <w:rPr>
          <w:rFonts w:hint="eastAsia"/>
        </w:rPr>
        <w:lastRenderedPageBreak/>
        <w:t>加强</w:t>
      </w:r>
      <w:bookmarkEnd w:id="2"/>
      <w:bookmarkEnd w:id="3"/>
      <w:bookmarkEnd w:id="4"/>
      <w:bookmarkEnd w:id="5"/>
      <w:bookmarkEnd w:id="6"/>
      <w:bookmarkEnd w:id="7"/>
      <w:r>
        <w:rPr>
          <w:rFonts w:hint="eastAsia"/>
        </w:rPr>
        <w:t>跨域时空数据治理</w:t>
      </w:r>
    </w:p>
    <w:p w14:paraId="1E67417D" w14:textId="77777777" w:rsidR="00644BC0" w:rsidRDefault="00C0516E">
      <w:pPr>
        <w:spacing w:line="360" w:lineRule="auto"/>
        <w:ind w:firstLineChars="200" w:firstLine="420"/>
      </w:pPr>
      <w:r>
        <w:rPr>
          <w:rFonts w:hint="eastAsia"/>
        </w:rPr>
        <w:t>依托示范区智慧大脑平台数据中枢底座，</w:t>
      </w:r>
      <w:r>
        <w:rPr>
          <w:color w:val="000000" w:themeColor="text1"/>
        </w:rPr>
        <w:t>以</w:t>
      </w:r>
      <w:r>
        <w:rPr>
          <w:rFonts w:hint="eastAsia"/>
          <w:color w:val="000000" w:themeColor="text1"/>
        </w:rPr>
        <w:t>总规实施监测评估、绿色低碳发展、详细规划跨域共编联审等</w:t>
      </w:r>
      <w:r>
        <w:rPr>
          <w:color w:val="000000" w:themeColor="text1"/>
        </w:rPr>
        <w:t>相关场景为牵引</w:t>
      </w:r>
      <w:r>
        <w:rPr>
          <w:rFonts w:hint="eastAsia"/>
          <w:color w:val="000000" w:themeColor="text1"/>
        </w:rPr>
        <w:t>，</w:t>
      </w:r>
      <w:r>
        <w:rPr>
          <w:rFonts w:hint="eastAsia"/>
        </w:rPr>
        <w:t>开展国土空间总体规划、三区三线、详细规划、变更调查、生态环境功能分区、调查样线、农转用红线等数据收集、处理及入库，推动示范区两区一县数据互联、资源共享，构建全域覆盖、时空融合、精度适宜、动态更新的国土空间规划数据体系，不断夯实国土空间规划数字底座和工作底图，为各类应用场景建设提供支撑。</w:t>
      </w:r>
    </w:p>
    <w:p w14:paraId="1C33FFCD" w14:textId="77777777" w:rsidR="00644BC0" w:rsidRDefault="00C0516E">
      <w:pPr>
        <w:spacing w:line="360" w:lineRule="auto"/>
        <w:ind w:firstLineChars="200" w:firstLine="420"/>
      </w:pPr>
      <w:bookmarkStart w:id="8" w:name="_Toc22728"/>
      <w:bookmarkStart w:id="9" w:name="_Toc19265"/>
      <w:bookmarkStart w:id="10" w:name="_Toc176776093"/>
      <w:bookmarkStart w:id="11" w:name="_Toc20938"/>
      <w:bookmarkStart w:id="12" w:name="_Toc25790"/>
      <w:bookmarkStart w:id="13" w:name="_Toc12617"/>
      <w:r>
        <w:rPr>
          <w:rFonts w:hint="eastAsia"/>
        </w:rPr>
        <w:t>（二）搭建规划实施监测应用场景</w:t>
      </w:r>
      <w:bookmarkEnd w:id="8"/>
      <w:bookmarkEnd w:id="9"/>
      <w:bookmarkEnd w:id="10"/>
      <w:bookmarkEnd w:id="11"/>
      <w:bookmarkEnd w:id="12"/>
      <w:bookmarkEnd w:id="13"/>
    </w:p>
    <w:p w14:paraId="2CA85585" w14:textId="77777777" w:rsidR="00644BC0" w:rsidRDefault="00C0516E">
      <w:pPr>
        <w:spacing w:line="360" w:lineRule="auto"/>
        <w:ind w:firstLineChars="200" w:firstLine="420"/>
      </w:pPr>
      <w:r>
        <w:rPr>
          <w:rFonts w:hint="eastAsia"/>
        </w:rPr>
        <w:t>针对示范区国土空间总体规划实施体检评估等具体业务，统一搭建若干应用场景：</w:t>
      </w:r>
    </w:p>
    <w:p w14:paraId="4EF783C6" w14:textId="77777777" w:rsidR="00644BC0" w:rsidRDefault="00C0516E">
      <w:pPr>
        <w:numPr>
          <w:ilvl w:val="0"/>
          <w:numId w:val="3"/>
        </w:numPr>
        <w:spacing w:line="360" w:lineRule="auto"/>
        <w:rPr>
          <w:rFonts w:ascii="宋体" w:hAnsi="宋体"/>
          <w:b/>
          <w:bCs/>
          <w:color w:val="000000" w:themeColor="text1"/>
        </w:rPr>
      </w:pPr>
      <w:r>
        <w:rPr>
          <w:rFonts w:ascii="宋体" w:hAnsi="宋体" w:hint="eastAsia"/>
          <w:b/>
          <w:bCs/>
          <w:color w:val="000000" w:themeColor="text1"/>
        </w:rPr>
        <w:t>总体规划实施监测评估</w:t>
      </w:r>
    </w:p>
    <w:p w14:paraId="195ABC02" w14:textId="77777777" w:rsidR="00644BC0" w:rsidRDefault="00C0516E">
      <w:pPr>
        <w:spacing w:line="360" w:lineRule="auto"/>
        <w:ind w:firstLineChars="200" w:firstLine="420"/>
        <w:rPr>
          <w:rFonts w:ascii="宋体" w:hAnsi="宋体"/>
          <w:color w:val="000000" w:themeColor="text1"/>
        </w:rPr>
      </w:pPr>
      <w:r>
        <w:rPr>
          <w:rFonts w:ascii="宋体" w:hAnsi="宋体"/>
          <w:color w:val="000000" w:themeColor="text1"/>
        </w:rPr>
        <w:t>建立</w:t>
      </w:r>
      <w:r>
        <w:rPr>
          <w:rFonts w:ascii="宋体" w:hAnsi="宋体" w:hint="eastAsia"/>
          <w:color w:val="000000" w:themeColor="text1"/>
        </w:rPr>
        <w:t>国土空间总体规划实施</w:t>
      </w:r>
      <w:r>
        <w:rPr>
          <w:rFonts w:ascii="宋体" w:hAnsi="宋体"/>
          <w:color w:val="000000" w:themeColor="text1"/>
        </w:rPr>
        <w:t>监测评估任务管理模块，</w:t>
      </w:r>
      <w:r>
        <w:rPr>
          <w:rFonts w:ascii="宋体" w:hAnsi="宋体" w:hint="eastAsia"/>
        </w:rPr>
        <w:t>支持监测评估任务新建、删除等操作</w:t>
      </w:r>
      <w:r>
        <w:rPr>
          <w:rFonts w:ascii="宋体" w:hAnsi="宋体"/>
          <w:color w:val="000000" w:themeColor="text1"/>
        </w:rPr>
        <w:t>，依据模板自动生成</w:t>
      </w:r>
      <w:r>
        <w:rPr>
          <w:rFonts w:ascii="宋体" w:hAnsi="宋体" w:hint="eastAsia"/>
          <w:color w:val="000000" w:themeColor="text1"/>
        </w:rPr>
        <w:t>示范区国土空间总体规划</w:t>
      </w:r>
      <w:r>
        <w:rPr>
          <w:rFonts w:ascii="宋体" w:hAnsi="宋体"/>
          <w:color w:val="000000" w:themeColor="text1"/>
        </w:rPr>
        <w:t>体检评估报告，建立规划成果管理模块，</w:t>
      </w:r>
      <w:r>
        <w:rPr>
          <w:rFonts w:ascii="宋体" w:hAnsi="宋体" w:hint="eastAsia"/>
          <w:color w:val="000000" w:themeColor="text1"/>
        </w:rPr>
        <w:t>动态更新规划数据</w:t>
      </w:r>
      <w:r>
        <w:rPr>
          <w:rFonts w:ascii="宋体" w:hAnsi="宋体"/>
          <w:color w:val="000000" w:themeColor="text1"/>
        </w:rPr>
        <w:t>。</w:t>
      </w:r>
    </w:p>
    <w:p w14:paraId="00E1AC31" w14:textId="77777777" w:rsidR="00644BC0" w:rsidRDefault="00C0516E">
      <w:pPr>
        <w:spacing w:line="360" w:lineRule="auto"/>
        <w:ind w:firstLineChars="200" w:firstLine="420"/>
        <w:rPr>
          <w:rFonts w:ascii="宋体" w:hAnsi="宋体"/>
          <w:color w:val="000000" w:themeColor="text1"/>
        </w:rPr>
      </w:pPr>
      <w:r>
        <w:rPr>
          <w:rFonts w:ascii="宋体" w:hAnsi="宋体" w:hint="eastAsia"/>
        </w:rPr>
        <w:t>建立</w:t>
      </w:r>
      <w:r>
        <w:rPr>
          <w:rFonts w:ascii="宋体" w:hAnsi="宋体"/>
        </w:rPr>
        <w:t>国土空间规划指标监测评估</w:t>
      </w:r>
      <w:r>
        <w:rPr>
          <w:rFonts w:ascii="宋体" w:hAnsi="宋体" w:hint="eastAsia"/>
        </w:rPr>
        <w:t>模块。</w:t>
      </w:r>
      <w:r>
        <w:rPr>
          <w:rFonts w:ascii="宋体" w:hAnsi="宋体"/>
          <w:color w:val="000000" w:themeColor="text1"/>
        </w:rPr>
        <w:t>围绕底线管控、高质量发展、生态绿色、一体化协同</w:t>
      </w:r>
      <w:r>
        <w:rPr>
          <w:rFonts w:ascii="宋体" w:hAnsi="宋体" w:hint="eastAsia"/>
          <w:color w:val="000000" w:themeColor="text1"/>
        </w:rPr>
        <w:t>构建监测评估</w:t>
      </w:r>
      <w:r>
        <w:rPr>
          <w:rFonts w:ascii="宋体" w:hAnsi="宋体"/>
          <w:color w:val="000000" w:themeColor="text1"/>
        </w:rPr>
        <w:t>指标体系，提供指标总览</w:t>
      </w:r>
      <w:r>
        <w:rPr>
          <w:rFonts w:ascii="宋体" w:hAnsi="宋体" w:hint="eastAsia"/>
          <w:color w:val="000000" w:themeColor="text1"/>
        </w:rPr>
        <w:t>功能，</w:t>
      </w:r>
      <w:r>
        <w:rPr>
          <w:rFonts w:ascii="宋体" w:hAnsi="宋体" w:hint="eastAsia"/>
        </w:rPr>
        <w:t>统计分析全部指标、正常指标和预警指标数量，并提供指标卡片看板功能</w:t>
      </w:r>
      <w:r>
        <w:rPr>
          <w:rFonts w:ascii="宋体" w:hAnsi="宋体"/>
          <w:color w:val="000000" w:themeColor="text1"/>
        </w:rPr>
        <w:t>。</w:t>
      </w:r>
      <w:r>
        <w:rPr>
          <w:rFonts w:ascii="宋体" w:hAnsi="宋体" w:hint="eastAsia"/>
          <w:color w:val="000000" w:themeColor="text1"/>
        </w:rPr>
        <w:t>提供</w:t>
      </w:r>
      <w:r>
        <w:rPr>
          <w:rFonts w:ascii="宋体" w:hAnsi="宋体"/>
          <w:color w:val="000000" w:themeColor="text1"/>
        </w:rPr>
        <w:t>生态绿色、底线管控、高质量发展、一体化水平评估</w:t>
      </w:r>
      <w:r>
        <w:rPr>
          <w:rFonts w:ascii="宋体" w:hAnsi="宋体" w:hint="eastAsia"/>
          <w:color w:val="000000" w:themeColor="text1"/>
        </w:rPr>
        <w:t>功能</w:t>
      </w:r>
      <w:r>
        <w:rPr>
          <w:rFonts w:ascii="宋体" w:hAnsi="宋体"/>
          <w:color w:val="000000" w:themeColor="text1"/>
        </w:rPr>
        <w:t>，计算</w:t>
      </w:r>
      <w:r>
        <w:rPr>
          <w:rFonts w:ascii="宋体" w:hAnsi="宋体" w:hint="eastAsia"/>
        </w:rPr>
        <w:t>生态保护红线面积、耕地保有量、永久基本农田、建设用地总规模等指标，</w:t>
      </w:r>
      <w:r>
        <w:rPr>
          <w:rFonts w:ascii="宋体" w:hAnsi="宋体"/>
          <w:color w:val="000000" w:themeColor="text1"/>
        </w:rPr>
        <w:t>并以图表展示历年变化趋势。</w:t>
      </w:r>
      <w:r>
        <w:rPr>
          <w:rFonts w:ascii="宋体" w:hAnsi="宋体" w:hint="eastAsia"/>
          <w:color w:val="000000" w:themeColor="text1"/>
        </w:rPr>
        <w:t>提供</w:t>
      </w:r>
      <w:r>
        <w:rPr>
          <w:rFonts w:ascii="宋体" w:hAnsi="宋体"/>
          <w:color w:val="000000" w:themeColor="text1"/>
        </w:rPr>
        <w:t>永久基本农田、生态保护红线、城镇开发边界、历史文化保护控</w:t>
      </w:r>
      <w:r>
        <w:rPr>
          <w:rFonts w:ascii="宋体" w:hAnsi="宋体" w:hint="eastAsia"/>
          <w:color w:val="000000" w:themeColor="text1"/>
        </w:rPr>
        <w:t>线监测评估功能，建立</w:t>
      </w:r>
      <w:r>
        <w:rPr>
          <w:rFonts w:ascii="宋体" w:hAnsi="宋体"/>
          <w:color w:val="000000" w:themeColor="text1"/>
        </w:rPr>
        <w:t>永久基本农田、生态保护红线、城镇开发边界、历史文化保护控</w:t>
      </w:r>
      <w:r>
        <w:rPr>
          <w:rFonts w:ascii="宋体" w:hAnsi="宋体" w:hint="eastAsia"/>
          <w:color w:val="000000" w:themeColor="text1"/>
        </w:rPr>
        <w:t>制线</w:t>
      </w:r>
      <w:r>
        <w:rPr>
          <w:rFonts w:ascii="宋体" w:hAnsi="宋体"/>
          <w:color w:val="000000" w:themeColor="text1"/>
        </w:rPr>
        <w:t>预警规则，依托年度变更调查数据</w:t>
      </w:r>
      <w:r>
        <w:rPr>
          <w:rFonts w:ascii="宋体" w:hAnsi="宋体" w:hint="eastAsia"/>
          <w:color w:val="000000" w:themeColor="text1"/>
        </w:rPr>
        <w:t>，对</w:t>
      </w:r>
      <w:r>
        <w:rPr>
          <w:rFonts w:ascii="宋体" w:hAnsi="宋体"/>
        </w:rPr>
        <w:t>永久基本农田改变用途</w:t>
      </w:r>
      <w:r>
        <w:rPr>
          <w:rFonts w:ascii="宋体" w:hAnsi="宋体" w:hint="eastAsia"/>
        </w:rPr>
        <w:t>、</w:t>
      </w:r>
      <w:r>
        <w:rPr>
          <w:rFonts w:ascii="宋体" w:hAnsi="宋体"/>
        </w:rPr>
        <w:t>生态保护红线范围内新增耕地面积等指标</w:t>
      </w:r>
      <w:r>
        <w:rPr>
          <w:rFonts w:ascii="宋体" w:hAnsi="宋体" w:hint="eastAsia"/>
          <w:color w:val="000000" w:themeColor="text1"/>
        </w:rPr>
        <w:t>开展</w:t>
      </w:r>
      <w:r>
        <w:rPr>
          <w:rFonts w:ascii="宋体" w:hAnsi="宋体"/>
          <w:color w:val="000000" w:themeColor="text1"/>
        </w:rPr>
        <w:t>动态监管。</w:t>
      </w:r>
    </w:p>
    <w:p w14:paraId="06DAC09F"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建立国土空间格局评估模块。提供</w:t>
      </w:r>
      <w:r>
        <w:rPr>
          <w:rFonts w:ascii="宋体" w:hAnsi="宋体" w:hint="eastAsia"/>
        </w:rPr>
        <w:t>城镇发展格局评估、</w:t>
      </w:r>
      <w:r>
        <w:rPr>
          <w:rFonts w:ascii="宋体" w:hAnsi="宋体"/>
        </w:rPr>
        <w:t>生态空间格局评估</w:t>
      </w:r>
      <w:r>
        <w:rPr>
          <w:rFonts w:ascii="宋体" w:hAnsi="宋体" w:hint="eastAsia"/>
        </w:rPr>
        <w:t>和农业空间格局评估功能。城镇发展格局评估是指</w:t>
      </w:r>
      <w:r>
        <w:rPr>
          <w:rFonts w:ascii="宋体" w:hAnsi="宋体"/>
        </w:rPr>
        <w:t>结合人口出行数据、路网等数据，开展</w:t>
      </w:r>
      <w:r>
        <w:rPr>
          <w:rFonts w:ascii="宋体" w:hAnsi="宋体" w:hint="eastAsia"/>
        </w:rPr>
        <w:t>建设用地规模新增情况分析</w:t>
      </w:r>
      <w:r>
        <w:rPr>
          <w:rFonts w:ascii="宋体" w:hAnsi="宋体"/>
        </w:rPr>
        <w:t>、</w:t>
      </w:r>
      <w:r>
        <w:rPr>
          <w:rFonts w:ascii="宋体" w:hAnsi="宋体" w:hint="eastAsia"/>
        </w:rPr>
        <w:t>五片城镇簇群和先行启动区</w:t>
      </w:r>
      <w:r>
        <w:rPr>
          <w:rFonts w:ascii="宋体" w:hAnsi="宋体"/>
        </w:rPr>
        <w:t>城镇出行联系</w:t>
      </w:r>
      <w:r>
        <w:rPr>
          <w:rFonts w:ascii="宋体" w:hAnsi="宋体" w:hint="eastAsia"/>
        </w:rPr>
        <w:t>强度</w:t>
      </w:r>
      <w:r>
        <w:rPr>
          <w:rFonts w:ascii="宋体" w:hAnsi="宋体"/>
        </w:rPr>
        <w:t>分析、</w:t>
      </w:r>
      <w:r>
        <w:rPr>
          <w:rFonts w:ascii="宋体" w:hAnsi="宋体" w:hint="eastAsia"/>
        </w:rPr>
        <w:t>跨区域交通联系强度分析</w:t>
      </w:r>
      <w:r>
        <w:rPr>
          <w:rFonts w:ascii="宋体" w:hAnsi="宋体"/>
        </w:rPr>
        <w:t>，辅助判断城镇发展定位、主体功能等规划目标与规划实施情况是否一致</w:t>
      </w:r>
      <w:r>
        <w:rPr>
          <w:rFonts w:ascii="宋体" w:hAnsi="宋体" w:hint="eastAsia"/>
        </w:rPr>
        <w:t>；</w:t>
      </w:r>
      <w:r>
        <w:rPr>
          <w:rFonts w:ascii="宋体" w:hAnsi="宋体"/>
          <w:color w:val="000000" w:themeColor="text1"/>
        </w:rPr>
        <w:t>生态空间格局评估聚焦“一心两廊三链四区”的生态格局，分析以水为脉、林田共生、蓝绿交织的自然生态空间结构规模、空间布局及变化情况；农业空间格局</w:t>
      </w:r>
      <w:r>
        <w:rPr>
          <w:rFonts w:ascii="宋体" w:hAnsi="宋体" w:hint="eastAsia"/>
          <w:color w:val="000000" w:themeColor="text1"/>
        </w:rPr>
        <w:t>评估</w:t>
      </w:r>
      <w:r>
        <w:rPr>
          <w:rFonts w:ascii="宋体" w:hAnsi="宋体"/>
          <w:color w:val="000000" w:themeColor="text1"/>
        </w:rPr>
        <w:t>指结合国土变更调查，分析耕地、永久基本农田等规模、空间分布情况，辅助</w:t>
      </w:r>
      <w:r>
        <w:rPr>
          <w:rFonts w:ascii="宋体" w:hAnsi="宋体" w:hint="eastAsia"/>
          <w:color w:val="000000" w:themeColor="text1"/>
        </w:rPr>
        <w:t>了解</w:t>
      </w:r>
      <w:r>
        <w:rPr>
          <w:rFonts w:ascii="宋体" w:hAnsi="宋体"/>
          <w:color w:val="000000" w:themeColor="text1"/>
        </w:rPr>
        <w:t>农业开发区建设发展情况</w:t>
      </w:r>
      <w:r>
        <w:rPr>
          <w:rFonts w:ascii="宋体" w:hAnsi="宋体" w:hint="eastAsia"/>
          <w:color w:val="000000" w:themeColor="text1"/>
        </w:rPr>
        <w:t>。</w:t>
      </w:r>
    </w:p>
    <w:p w14:paraId="5B10936F" w14:textId="77777777" w:rsidR="00644BC0" w:rsidRDefault="00C0516E">
      <w:pPr>
        <w:numPr>
          <w:ilvl w:val="0"/>
          <w:numId w:val="3"/>
        </w:numPr>
        <w:spacing w:line="360" w:lineRule="auto"/>
        <w:rPr>
          <w:rFonts w:ascii="宋体" w:hAnsi="宋体"/>
          <w:b/>
          <w:bCs/>
          <w:color w:val="000000" w:themeColor="text1"/>
        </w:rPr>
      </w:pPr>
      <w:r>
        <w:rPr>
          <w:rFonts w:ascii="宋体" w:hAnsi="宋体" w:hint="eastAsia"/>
          <w:b/>
          <w:bCs/>
          <w:color w:val="000000" w:themeColor="text1"/>
        </w:rPr>
        <w:t>绿色低碳发展监测</w:t>
      </w:r>
    </w:p>
    <w:p w14:paraId="6B7E9ECB" w14:textId="77777777" w:rsidR="00644BC0" w:rsidRDefault="00C0516E">
      <w:pPr>
        <w:spacing w:line="360" w:lineRule="auto"/>
        <w:ind w:firstLineChars="200" w:firstLine="420"/>
        <w:rPr>
          <w:rFonts w:ascii="宋体" w:hAnsi="宋体"/>
          <w:color w:val="000000" w:themeColor="text1"/>
        </w:rPr>
      </w:pPr>
      <w:r>
        <w:rPr>
          <w:rFonts w:ascii="宋体" w:hAnsi="宋体"/>
          <w:color w:val="000000" w:themeColor="text1"/>
        </w:rPr>
        <w:t>围绕生态环境、生物多样性、生态产品价值、</w:t>
      </w:r>
      <w:r>
        <w:rPr>
          <w:rFonts w:ascii="宋体" w:hAnsi="宋体" w:hint="eastAsia"/>
          <w:color w:val="000000" w:themeColor="text1"/>
        </w:rPr>
        <w:t>节能降碳等</w:t>
      </w:r>
      <w:r>
        <w:rPr>
          <w:rFonts w:ascii="宋体" w:hAnsi="宋体"/>
          <w:color w:val="000000" w:themeColor="text1"/>
        </w:rPr>
        <w:t>开展专题监测与可视化分析。</w:t>
      </w:r>
      <w:r>
        <w:rPr>
          <w:rFonts w:ascii="宋体" w:hAnsi="宋体" w:hint="eastAsia"/>
          <w:color w:val="000000" w:themeColor="text1"/>
        </w:rPr>
        <w:t>从自然生态格局分析和生态环境质量分析两个方面开展生态环境专题监测，自然生态格局分</w:t>
      </w:r>
      <w:r>
        <w:rPr>
          <w:rFonts w:ascii="宋体" w:hAnsi="宋体" w:hint="eastAsia"/>
          <w:color w:val="000000" w:themeColor="text1"/>
        </w:rPr>
        <w:lastRenderedPageBreak/>
        <w:t>析围绕</w:t>
      </w:r>
      <w:r>
        <w:rPr>
          <w:rFonts w:ascii="宋体" w:hAnsi="宋体"/>
          <w:color w:val="000000" w:themeColor="text1"/>
        </w:rPr>
        <w:t>湿地、蓝绿空间、森林覆盖率、河湖水面率等指标，</w:t>
      </w:r>
      <w:r>
        <w:rPr>
          <w:rFonts w:ascii="宋体" w:hAnsi="宋体" w:hint="eastAsia"/>
          <w:color w:val="000000" w:themeColor="text1"/>
        </w:rPr>
        <w:t>开展</w:t>
      </w:r>
      <w:r>
        <w:rPr>
          <w:rFonts w:ascii="宋体" w:hAnsi="宋体" w:hint="eastAsia"/>
        </w:rPr>
        <w:t>结构规模、空间分布以及历年指标变化趋势分析；</w:t>
      </w:r>
      <w:r>
        <w:rPr>
          <w:rFonts w:ascii="宋体" w:hAnsi="宋体" w:hint="eastAsia"/>
          <w:color w:val="000000" w:themeColor="text1"/>
        </w:rPr>
        <w:t>生态环境质量分析聚焦</w:t>
      </w:r>
      <w:r>
        <w:rPr>
          <w:rFonts w:ascii="宋体" w:hAnsi="宋体" w:hint="eastAsia"/>
        </w:rPr>
        <w:t>优Ⅲ类水质断面、饮用水水源地水质达标率等指标，统计分析历年指标值及指标变化趋势</w:t>
      </w:r>
      <w:r>
        <w:rPr>
          <w:rFonts w:ascii="宋体" w:hAnsi="宋体"/>
          <w:color w:val="000000" w:themeColor="text1"/>
        </w:rPr>
        <w:t>。生物多样性分析基于调查成果，展示物种结构与</w:t>
      </w:r>
      <w:r>
        <w:rPr>
          <w:rFonts w:ascii="宋体" w:hAnsi="宋体" w:hint="eastAsia"/>
          <w:color w:val="000000" w:themeColor="text1"/>
        </w:rPr>
        <w:t>规模情况，</w:t>
      </w:r>
      <w:r>
        <w:rPr>
          <w:rFonts w:hint="eastAsia"/>
        </w:rPr>
        <w:t>辅助评估栖息地质量以及受威胁状况</w:t>
      </w:r>
      <w:r>
        <w:rPr>
          <w:rFonts w:ascii="宋体" w:hAnsi="宋体"/>
          <w:color w:val="000000" w:themeColor="text1"/>
        </w:rPr>
        <w:t>。生态产品价值监测从</w:t>
      </w:r>
      <w:r>
        <w:rPr>
          <w:rFonts w:ascii="宋体" w:hAnsi="宋体" w:hint="eastAsia"/>
          <w:color w:val="000000" w:themeColor="text1"/>
        </w:rPr>
        <w:t>生态产品</w:t>
      </w:r>
      <w:r>
        <w:rPr>
          <w:rFonts w:ascii="宋体" w:hAnsi="宋体"/>
          <w:color w:val="000000" w:themeColor="text1"/>
        </w:rPr>
        <w:t>总值、</w:t>
      </w:r>
      <w:r>
        <w:rPr>
          <w:rFonts w:ascii="宋体" w:hAnsi="宋体" w:hint="eastAsia"/>
          <w:color w:val="000000" w:themeColor="text1"/>
        </w:rPr>
        <w:t>物质</w:t>
      </w:r>
      <w:r>
        <w:rPr>
          <w:rFonts w:ascii="宋体" w:hAnsi="宋体"/>
          <w:color w:val="000000" w:themeColor="text1"/>
        </w:rPr>
        <w:t>供给、</w:t>
      </w:r>
      <w:r>
        <w:rPr>
          <w:rFonts w:ascii="宋体" w:hAnsi="宋体" w:hint="eastAsia"/>
          <w:color w:val="000000" w:themeColor="text1"/>
        </w:rPr>
        <w:t>调节</w:t>
      </w:r>
      <w:r>
        <w:rPr>
          <w:rFonts w:ascii="宋体" w:hAnsi="宋体"/>
          <w:color w:val="000000" w:themeColor="text1"/>
        </w:rPr>
        <w:t>服务等维度分析</w:t>
      </w:r>
      <w:r>
        <w:rPr>
          <w:rFonts w:hint="eastAsia"/>
        </w:rPr>
        <w:t>历年</w:t>
      </w:r>
      <w:r>
        <w:t>生态产品</w:t>
      </w:r>
      <w:r>
        <w:rPr>
          <w:rFonts w:hint="eastAsia"/>
        </w:rPr>
        <w:t>规模</w:t>
      </w:r>
      <w:r>
        <w:t>、空间分布及年度变化趋势</w:t>
      </w:r>
      <w:r>
        <w:rPr>
          <w:rFonts w:ascii="宋体" w:hAnsi="宋体"/>
          <w:color w:val="000000" w:themeColor="text1"/>
        </w:rPr>
        <w:t>。</w:t>
      </w:r>
      <w:r>
        <w:rPr>
          <w:rFonts w:ascii="宋体" w:hAnsi="宋体" w:hint="eastAsia"/>
          <w:color w:val="000000" w:themeColor="text1"/>
        </w:rPr>
        <w:t>节能降碳</w:t>
      </w:r>
      <w:r>
        <w:rPr>
          <w:rFonts w:ascii="宋体" w:hAnsi="宋体"/>
          <w:color w:val="000000" w:themeColor="text1"/>
        </w:rPr>
        <w:t>专题</w:t>
      </w:r>
      <w:r>
        <w:rPr>
          <w:rFonts w:hint="eastAsia"/>
        </w:rPr>
        <w:t>分析展示示范区碳排放总量、碳排放强度等指标</w:t>
      </w:r>
      <w:r>
        <w:rPr>
          <w:rFonts w:ascii="宋体" w:hAnsi="宋体"/>
          <w:color w:val="000000" w:themeColor="text1"/>
        </w:rPr>
        <w:t>，支撑区域绿色低碳发展与节能降碳决策。</w:t>
      </w:r>
    </w:p>
    <w:p w14:paraId="176580CC" w14:textId="77777777" w:rsidR="00644BC0" w:rsidRDefault="00C0516E">
      <w:pPr>
        <w:numPr>
          <w:ilvl w:val="0"/>
          <w:numId w:val="3"/>
        </w:numPr>
        <w:spacing w:line="360" w:lineRule="auto"/>
        <w:rPr>
          <w:rFonts w:ascii="宋体" w:hAnsi="宋体"/>
          <w:b/>
          <w:bCs/>
          <w:color w:val="000000" w:themeColor="text1"/>
        </w:rPr>
      </w:pPr>
      <w:r>
        <w:rPr>
          <w:rFonts w:ascii="宋体" w:hAnsi="宋体"/>
          <w:b/>
          <w:bCs/>
          <w:color w:val="000000" w:themeColor="text1"/>
        </w:rPr>
        <w:t>城镇开发边界优化调整联合审查</w:t>
      </w:r>
    </w:p>
    <w:p w14:paraId="6B31F739" w14:textId="77777777" w:rsidR="00644BC0" w:rsidRDefault="00C0516E">
      <w:pPr>
        <w:spacing w:line="360" w:lineRule="auto"/>
        <w:ind w:firstLineChars="200" w:firstLine="420"/>
        <w:rPr>
          <w:rFonts w:ascii="宋体" w:hAnsi="宋体"/>
          <w:color w:val="000000" w:themeColor="text1"/>
        </w:rPr>
      </w:pPr>
      <w:r>
        <w:rPr>
          <w:rFonts w:ascii="宋体" w:hAnsi="宋体"/>
          <w:color w:val="000000" w:themeColor="text1"/>
        </w:rPr>
        <w:t>提供方案申报、合规审查、上图入库全流程线上功能</w:t>
      </w:r>
      <w:r>
        <w:rPr>
          <w:rFonts w:ascii="宋体" w:hAnsi="宋体" w:hint="eastAsia"/>
          <w:color w:val="000000" w:themeColor="text1"/>
        </w:rPr>
        <w:t>。针对两区一县编制主体，</w:t>
      </w:r>
      <w:r>
        <w:rPr>
          <w:rFonts w:ascii="宋体" w:hAnsi="宋体"/>
          <w:color w:val="000000" w:themeColor="text1"/>
        </w:rPr>
        <w:t>支持方案编制、材料上传、流程流转与日志管理，</w:t>
      </w:r>
      <w:r>
        <w:rPr>
          <w:rFonts w:ascii="宋体" w:hAnsi="宋体" w:hint="eastAsia"/>
          <w:color w:val="000000" w:themeColor="text1"/>
        </w:rPr>
        <w:t>从</w:t>
      </w:r>
      <w:r>
        <w:rPr>
          <w:rFonts w:ascii="宋体" w:hAnsi="宋体" w:hint="eastAsia"/>
        </w:rPr>
        <w:t>数据完整性、空间数据基本检查、空间属性数据标准、空间图形数据拓扑等方面开展成果规范性检查</w:t>
      </w:r>
      <w:r>
        <w:rPr>
          <w:rFonts w:ascii="宋体" w:hAnsi="宋体"/>
          <w:color w:val="000000" w:themeColor="text1"/>
        </w:rPr>
        <w:t>。面向管理部门</w:t>
      </w:r>
      <w:r>
        <w:rPr>
          <w:rFonts w:ascii="宋体" w:hAnsi="宋体" w:hint="eastAsia"/>
          <w:color w:val="000000" w:themeColor="text1"/>
        </w:rPr>
        <w:t>实现</w:t>
      </w:r>
      <w:r>
        <w:rPr>
          <w:rFonts w:ascii="宋体" w:hAnsi="宋体" w:hint="eastAsia"/>
        </w:rPr>
        <w:t>合规审查功能，支持调入调出与划定数据一致性分析、与控制线矛盾冲突分析检查，</w:t>
      </w:r>
      <w:r>
        <w:rPr>
          <w:rFonts w:ascii="宋体" w:hAnsi="宋体" w:hint="eastAsia"/>
          <w:color w:val="000000" w:themeColor="text1"/>
        </w:rPr>
        <w:t>提供</w:t>
      </w:r>
      <w:r>
        <w:rPr>
          <w:rFonts w:ascii="宋体" w:hAnsi="宋体"/>
          <w:color w:val="000000" w:themeColor="text1"/>
        </w:rPr>
        <w:t>报表输出</w:t>
      </w:r>
      <w:r>
        <w:rPr>
          <w:rFonts w:ascii="宋体" w:hAnsi="宋体" w:hint="eastAsia"/>
          <w:color w:val="000000" w:themeColor="text1"/>
        </w:rPr>
        <w:t>功能</w:t>
      </w:r>
      <w:r>
        <w:rPr>
          <w:rFonts w:ascii="宋体" w:hAnsi="宋体"/>
          <w:color w:val="000000" w:themeColor="text1"/>
        </w:rPr>
        <w:t>，提升审查效率。</w:t>
      </w:r>
      <w:r>
        <w:rPr>
          <w:rFonts w:ascii="宋体" w:hAnsi="宋体" w:hint="eastAsia"/>
          <w:color w:val="000000" w:themeColor="text1"/>
        </w:rPr>
        <w:t>提供验收后的优化调整方案GIS数据上传解析入库功能，将城镇开发边界优化调整方案涉及到的各类空间数据纳入规划成果数据库进行统一管理。</w:t>
      </w:r>
    </w:p>
    <w:p w14:paraId="0661F184" w14:textId="77777777" w:rsidR="00644BC0" w:rsidRDefault="00C0516E">
      <w:pPr>
        <w:numPr>
          <w:ilvl w:val="0"/>
          <w:numId w:val="3"/>
        </w:numPr>
        <w:spacing w:line="360" w:lineRule="auto"/>
        <w:rPr>
          <w:rFonts w:ascii="宋体" w:hAnsi="宋体"/>
          <w:b/>
          <w:bCs/>
          <w:color w:val="000000" w:themeColor="text1"/>
        </w:rPr>
      </w:pPr>
      <w:r>
        <w:rPr>
          <w:rFonts w:ascii="宋体" w:hAnsi="宋体"/>
          <w:b/>
          <w:bCs/>
          <w:color w:val="000000" w:themeColor="text1"/>
        </w:rPr>
        <w:t>详细规划跨域共编联审</w:t>
      </w:r>
    </w:p>
    <w:p w14:paraId="0C0B1DDA"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优化先行启动区详细规划</w:t>
      </w:r>
      <w:r>
        <w:rPr>
          <w:rFonts w:ascii="宋体" w:hAnsi="宋体"/>
          <w:color w:val="000000" w:themeColor="text1"/>
        </w:rPr>
        <w:t>跨域共编联审与实施传导监管。归集已批</w:t>
      </w:r>
      <w:r>
        <w:rPr>
          <w:rFonts w:ascii="宋体" w:hAnsi="宋体" w:hint="eastAsia"/>
          <w:color w:val="000000" w:themeColor="text1"/>
        </w:rPr>
        <w:t>详细规划</w:t>
      </w:r>
      <w:r>
        <w:rPr>
          <w:rFonts w:ascii="宋体" w:hAnsi="宋体"/>
          <w:color w:val="000000" w:themeColor="text1"/>
        </w:rPr>
        <w:t>数据形成“一张底图”，配套入库工具实现动态更新；</w:t>
      </w:r>
      <w:r>
        <w:rPr>
          <w:rFonts w:ascii="宋体" w:hAnsi="宋体" w:hint="eastAsia"/>
          <w:color w:val="000000" w:themeColor="text1"/>
        </w:rPr>
        <w:t>归集已批农转用报批红线数据，形成农转用报批项目“一张底图”；</w:t>
      </w:r>
      <w:r>
        <w:rPr>
          <w:rFonts w:ascii="宋体" w:hAnsi="宋体"/>
          <w:color w:val="000000" w:themeColor="text1"/>
        </w:rPr>
        <w:t>搭建详细规划传导总览模块，以图表方式展示</w:t>
      </w:r>
      <w:r>
        <w:rPr>
          <w:rFonts w:ascii="宋体" w:hAnsi="宋体" w:hint="eastAsia"/>
          <w:color w:val="000000" w:themeColor="text1"/>
        </w:rPr>
        <w:t>先行启动区详细规划</w:t>
      </w:r>
      <w:r>
        <w:rPr>
          <w:rFonts w:ascii="宋体" w:hAnsi="宋体"/>
          <w:color w:val="000000" w:themeColor="text1"/>
        </w:rPr>
        <w:t>编制进度、用地结构</w:t>
      </w:r>
      <w:r>
        <w:rPr>
          <w:rFonts w:ascii="宋体" w:hAnsi="宋体" w:hint="eastAsia"/>
          <w:color w:val="000000" w:themeColor="text1"/>
        </w:rPr>
        <w:t>与规模</w:t>
      </w:r>
      <w:r>
        <w:rPr>
          <w:rFonts w:ascii="宋体" w:hAnsi="宋体"/>
          <w:color w:val="000000" w:themeColor="text1"/>
        </w:rPr>
        <w:t>、规划传导合规性，支持单项目查看批复信息、传导结果与空间布局；</w:t>
      </w:r>
      <w:r>
        <w:rPr>
          <w:rFonts w:ascii="宋体" w:hAnsi="宋体" w:hint="eastAsia"/>
          <w:color w:val="000000" w:themeColor="text1"/>
        </w:rPr>
        <w:t>提供</w:t>
      </w:r>
      <w:r>
        <w:rPr>
          <w:rFonts w:ascii="宋体" w:hAnsi="宋体"/>
          <w:color w:val="000000" w:themeColor="text1"/>
        </w:rPr>
        <w:t>项目实施传导总览</w:t>
      </w:r>
      <w:r>
        <w:rPr>
          <w:rFonts w:ascii="宋体" w:hAnsi="宋体" w:hint="eastAsia"/>
          <w:color w:val="000000" w:themeColor="text1"/>
        </w:rPr>
        <w:t>功能</w:t>
      </w:r>
      <w:r>
        <w:rPr>
          <w:rFonts w:ascii="宋体" w:hAnsi="宋体"/>
          <w:color w:val="000000" w:themeColor="text1"/>
        </w:rPr>
        <w:t>，统计</w:t>
      </w:r>
      <w:r>
        <w:rPr>
          <w:rFonts w:ascii="宋体" w:hAnsi="宋体" w:hint="eastAsia"/>
          <w:color w:val="000000" w:themeColor="text1"/>
        </w:rPr>
        <w:t>历年</w:t>
      </w:r>
      <w:r>
        <w:rPr>
          <w:rFonts w:ascii="宋体" w:hAnsi="宋体"/>
          <w:color w:val="000000" w:themeColor="text1"/>
        </w:rPr>
        <w:t>批复情况</w:t>
      </w:r>
      <w:r>
        <w:rPr>
          <w:rFonts w:ascii="宋体" w:hAnsi="宋体" w:hint="eastAsia"/>
          <w:color w:val="000000" w:themeColor="text1"/>
        </w:rPr>
        <w:t>，查看项目基本信息、空间分布以及规划相关信息</w:t>
      </w:r>
      <w:r>
        <w:rPr>
          <w:rFonts w:ascii="宋体" w:hAnsi="宋体"/>
          <w:color w:val="000000" w:themeColor="text1"/>
        </w:rPr>
        <w:t>，实现规划与项目联动监管，支撑跨区域协同编审与闭环管理。</w:t>
      </w:r>
    </w:p>
    <w:p w14:paraId="14239274" w14:textId="77777777" w:rsidR="00644BC0" w:rsidRDefault="00C0516E">
      <w:pPr>
        <w:widowControl/>
        <w:numPr>
          <w:ilvl w:val="0"/>
          <w:numId w:val="4"/>
        </w:numPr>
        <w:spacing w:line="360" w:lineRule="auto"/>
        <w:ind w:firstLineChars="200" w:firstLine="420"/>
        <w:jc w:val="left"/>
      </w:pPr>
      <w:r>
        <w:rPr>
          <w:rFonts w:hint="eastAsia"/>
        </w:rPr>
        <w:t>探索构建智慧工具模型</w:t>
      </w:r>
    </w:p>
    <w:p w14:paraId="0AB09F1D" w14:textId="77777777" w:rsidR="00644BC0" w:rsidRDefault="00C0516E">
      <w:pPr>
        <w:widowControl/>
        <w:numPr>
          <w:ilvl w:val="255"/>
          <w:numId w:val="0"/>
        </w:numPr>
        <w:spacing w:line="360" w:lineRule="auto"/>
        <w:ind w:firstLineChars="200" w:firstLine="420"/>
        <w:jc w:val="left"/>
        <w:rPr>
          <w:rFonts w:ascii="宋体" w:hAnsi="宋体"/>
          <w:color w:val="000000" w:themeColor="text1"/>
        </w:rPr>
      </w:pPr>
      <w:r>
        <w:rPr>
          <w:rFonts w:ascii="宋体" w:hAnsi="宋体" w:hint="eastAsia"/>
          <w:color w:val="000000" w:themeColor="text1"/>
        </w:rPr>
        <w:t>结合各个应用场景需求，构建公路网密度分析、区域交通等时圈分析、国土空间开发强度、区域职住平衡等模型，</w:t>
      </w:r>
      <w:r>
        <w:rPr>
          <w:rFonts w:ascii="宋体" w:hAnsi="宋体"/>
          <w:color w:val="000000" w:themeColor="text1"/>
        </w:rPr>
        <w:t>为规划</w:t>
      </w:r>
      <w:r>
        <w:rPr>
          <w:rFonts w:ascii="宋体" w:hAnsi="宋体" w:hint="eastAsia"/>
          <w:color w:val="000000" w:themeColor="text1"/>
        </w:rPr>
        <w:t>编审</w:t>
      </w:r>
      <w:r>
        <w:rPr>
          <w:rFonts w:ascii="宋体" w:hAnsi="宋体"/>
          <w:color w:val="000000" w:themeColor="text1"/>
        </w:rPr>
        <w:t>、</w:t>
      </w:r>
      <w:r>
        <w:rPr>
          <w:rFonts w:ascii="宋体" w:hAnsi="宋体" w:hint="eastAsia"/>
          <w:color w:val="000000" w:themeColor="text1"/>
        </w:rPr>
        <w:t>规划实施</w:t>
      </w:r>
      <w:r>
        <w:rPr>
          <w:rFonts w:ascii="宋体" w:hAnsi="宋体"/>
          <w:color w:val="000000" w:themeColor="text1"/>
        </w:rPr>
        <w:t>、</w:t>
      </w:r>
      <w:r>
        <w:rPr>
          <w:rFonts w:ascii="宋体" w:hAnsi="宋体" w:hint="eastAsia"/>
          <w:color w:val="000000" w:themeColor="text1"/>
        </w:rPr>
        <w:t>监测评估</w:t>
      </w:r>
      <w:r>
        <w:rPr>
          <w:rFonts w:ascii="宋体" w:hAnsi="宋体"/>
          <w:color w:val="000000" w:themeColor="text1"/>
        </w:rPr>
        <w:t>提供标准化、可复用的算法支撑</w:t>
      </w:r>
      <w:r>
        <w:rPr>
          <w:rFonts w:ascii="宋体" w:hAnsi="宋体" w:hint="eastAsia"/>
          <w:color w:val="000000" w:themeColor="text1"/>
        </w:rPr>
        <w:t>，提高总体规划实施监测、详细规划跨域共编联审等业务管理水平。</w:t>
      </w:r>
    </w:p>
    <w:p w14:paraId="2D09A94C" w14:textId="77777777" w:rsidR="00644BC0" w:rsidRDefault="00C0516E">
      <w:pPr>
        <w:widowControl/>
        <w:spacing w:line="360" w:lineRule="auto"/>
        <w:ind w:firstLineChars="200" w:firstLine="420"/>
        <w:jc w:val="left"/>
        <w:rPr>
          <w:rFonts w:ascii="宋体" w:hAnsi="宋体"/>
          <w:color w:val="000000" w:themeColor="text1"/>
        </w:rPr>
      </w:pPr>
      <w:r>
        <w:rPr>
          <w:rFonts w:ascii="宋体" w:hAnsi="宋体" w:hint="eastAsia"/>
          <w:color w:val="000000" w:themeColor="text1"/>
        </w:rPr>
        <w:t>构建模型管理工具，提供数据源、算</w:t>
      </w:r>
      <w:r>
        <w:rPr>
          <w:rFonts w:ascii="宋体" w:hAnsi="宋体"/>
          <w:color w:val="000000" w:themeColor="text1"/>
        </w:rPr>
        <w:t>法、组件管理和模型运行监管能力，实现模型注册、发布、运行、监控的全过程管理。</w:t>
      </w:r>
    </w:p>
    <w:p w14:paraId="460EBEFB"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成果要求</w:t>
      </w:r>
    </w:p>
    <w:p w14:paraId="6CDE5648" w14:textId="77777777" w:rsidR="00644BC0" w:rsidRDefault="00C0516E">
      <w:pPr>
        <w:numPr>
          <w:ilvl w:val="0"/>
          <w:numId w:val="5"/>
        </w:numPr>
        <w:spacing w:line="360" w:lineRule="auto"/>
        <w:rPr>
          <w:rFonts w:ascii="宋体" w:hAnsi="宋体"/>
          <w:color w:val="000000" w:themeColor="text1"/>
          <w:szCs w:val="21"/>
        </w:rPr>
      </w:pPr>
      <w:r>
        <w:rPr>
          <w:rFonts w:ascii="宋体" w:hAnsi="宋体" w:hint="eastAsia"/>
          <w:color w:val="000000" w:themeColor="text1"/>
          <w:szCs w:val="21"/>
        </w:rPr>
        <w:t>文档成果要求</w:t>
      </w:r>
    </w:p>
    <w:p w14:paraId="28A0FE65" w14:textId="77777777" w:rsidR="00644BC0" w:rsidRDefault="00C0516E">
      <w:pPr>
        <w:spacing w:line="360" w:lineRule="auto"/>
        <w:ind w:firstLineChars="200" w:firstLine="440"/>
        <w:rPr>
          <w:rFonts w:ascii="宋体" w:hAnsi="宋体"/>
          <w:color w:val="000000" w:themeColor="text1"/>
          <w:szCs w:val="21"/>
        </w:rPr>
      </w:pPr>
      <w:r>
        <w:rPr>
          <w:rFonts w:ascii="宋体" w:hAnsi="宋体" w:hint="eastAsia"/>
          <w:color w:val="000000" w:themeColor="text1"/>
          <w:sz w:val="22"/>
        </w:rPr>
        <w:t>项目验收资料1套：包括但不限于项目招投标文件、需求说明书、技术设计、数据库设计文档、用户操作使用手册、系统部署手册、测试报告、工作总结报告</w:t>
      </w:r>
      <w:r>
        <w:rPr>
          <w:rFonts w:ascii="宋体" w:hAnsi="宋体" w:hint="eastAsia"/>
          <w:color w:val="000000" w:themeColor="text1"/>
          <w:szCs w:val="21"/>
        </w:rPr>
        <w:t>等。</w:t>
      </w:r>
    </w:p>
    <w:p w14:paraId="434C3472" w14:textId="77777777" w:rsidR="00644BC0" w:rsidRDefault="00C0516E">
      <w:pPr>
        <w:numPr>
          <w:ilvl w:val="0"/>
          <w:numId w:val="5"/>
        </w:numPr>
        <w:spacing w:line="360" w:lineRule="auto"/>
        <w:rPr>
          <w:rFonts w:ascii="宋体" w:hAnsi="宋体"/>
          <w:color w:val="000000" w:themeColor="text1"/>
          <w:szCs w:val="21"/>
        </w:rPr>
      </w:pPr>
      <w:r>
        <w:rPr>
          <w:rFonts w:ascii="宋体" w:hAnsi="宋体" w:hint="eastAsia"/>
          <w:color w:val="000000" w:themeColor="text1"/>
          <w:szCs w:val="21"/>
        </w:rPr>
        <w:lastRenderedPageBreak/>
        <w:t>信息系统成果要求</w:t>
      </w:r>
    </w:p>
    <w:p w14:paraId="5C8A4C82" w14:textId="77777777" w:rsidR="00644BC0" w:rsidRDefault="00C0516E">
      <w:pPr>
        <w:ind w:firstLineChars="200" w:firstLine="420"/>
        <w:rPr>
          <w:rFonts w:ascii="宋体" w:hAnsi="宋体"/>
          <w:color w:val="000000" w:themeColor="text1"/>
          <w:szCs w:val="21"/>
        </w:rPr>
      </w:pPr>
      <w:r>
        <w:rPr>
          <w:rFonts w:ascii="宋体" w:hAnsi="宋体" w:hint="eastAsia"/>
          <w:color w:val="000000" w:themeColor="text1"/>
          <w:szCs w:val="21"/>
        </w:rPr>
        <w:t>按照本项目建设内容研发的示范区国土空间规划实施监测网络1套，系统上线后需通过不少于30天的连续试运行，试运行期间系统可用性达到99.9%，且无重大故障。</w:t>
      </w:r>
    </w:p>
    <w:p w14:paraId="0251BDD8"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进度要求</w:t>
      </w:r>
    </w:p>
    <w:p w14:paraId="15DCAA46" w14:textId="77777777" w:rsidR="00644BC0" w:rsidRDefault="00C0516E">
      <w:pPr>
        <w:spacing w:line="360" w:lineRule="auto"/>
        <w:ind w:firstLineChars="200" w:firstLine="420"/>
        <w:rPr>
          <w:rFonts w:ascii="宋体" w:hAnsi="宋体"/>
          <w:color w:val="000000" w:themeColor="text1"/>
        </w:rPr>
      </w:pPr>
      <w:bookmarkStart w:id="14" w:name="OLE_LINK1"/>
      <w:r>
        <w:rPr>
          <w:rFonts w:ascii="宋体" w:hAnsi="宋体" w:hint="eastAsia"/>
          <w:color w:val="000000" w:themeColor="text1"/>
        </w:rPr>
        <w:t>自合同签订之日起12个月内完成相关建设内容（如遇政策原因，时间顺延）。相关工作成果符合甲方要求。</w:t>
      </w:r>
    </w:p>
    <w:p w14:paraId="6318F7FF"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合同签订后1个月内，完成需求分析和总体设计。</w:t>
      </w:r>
    </w:p>
    <w:p w14:paraId="0B39E336"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合同签订后4个月内，完成系统设计原型。</w:t>
      </w:r>
    </w:p>
    <w:p w14:paraId="31445A60"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合同签订后10个月内，完成全部功能开发、测试和上线试运行。</w:t>
      </w:r>
    </w:p>
    <w:p w14:paraId="0CBA5676" w14:textId="77777777" w:rsidR="00644BC0" w:rsidRDefault="00C0516E">
      <w:pPr>
        <w:spacing w:line="360" w:lineRule="auto"/>
        <w:ind w:firstLineChars="200" w:firstLine="420"/>
        <w:rPr>
          <w:rFonts w:ascii="宋体" w:hAnsi="宋体"/>
          <w:color w:val="000000" w:themeColor="text1"/>
        </w:rPr>
      </w:pPr>
      <w:r>
        <w:rPr>
          <w:rFonts w:ascii="宋体" w:hAnsi="宋体" w:hint="eastAsia"/>
          <w:color w:val="000000" w:themeColor="text1"/>
        </w:rPr>
        <w:t>合同签订后12个月内，完成项目验收。</w:t>
      </w:r>
    </w:p>
    <w:p w14:paraId="116417E0"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付款要求</w:t>
      </w:r>
    </w:p>
    <w:p w14:paraId="1A775145" w14:textId="77777777" w:rsidR="00644BC0" w:rsidRDefault="00C0516E">
      <w:pPr>
        <w:numPr>
          <w:ilvl w:val="0"/>
          <w:numId w:val="6"/>
        </w:numPr>
        <w:spacing w:line="360" w:lineRule="auto"/>
        <w:ind w:firstLineChars="200" w:firstLine="420"/>
        <w:rPr>
          <w:rFonts w:ascii="宋体" w:hAnsi="宋体"/>
          <w:color w:val="000000" w:themeColor="text1"/>
        </w:rPr>
      </w:pPr>
      <w:r>
        <w:rPr>
          <w:rFonts w:ascii="宋体" w:hAnsi="宋体" w:hint="eastAsia"/>
          <w:color w:val="000000" w:themeColor="text1"/>
        </w:rPr>
        <w:t>甲方于签订本合同后30个工作日内向乙方支付合同金额的30%；</w:t>
      </w:r>
    </w:p>
    <w:p w14:paraId="3EF947A6" w14:textId="77777777" w:rsidR="00644BC0" w:rsidRDefault="00C0516E">
      <w:pPr>
        <w:numPr>
          <w:ilvl w:val="0"/>
          <w:numId w:val="6"/>
        </w:numPr>
        <w:spacing w:line="360" w:lineRule="auto"/>
        <w:ind w:firstLineChars="200" w:firstLine="420"/>
        <w:rPr>
          <w:rFonts w:ascii="宋体" w:hAnsi="宋体"/>
          <w:color w:val="000000" w:themeColor="text1"/>
        </w:rPr>
      </w:pPr>
      <w:r>
        <w:rPr>
          <w:rFonts w:ascii="宋体" w:hAnsi="宋体" w:hint="eastAsia"/>
          <w:color w:val="000000" w:themeColor="text1"/>
        </w:rPr>
        <w:t>乙方完成全部功能开发并上线试运行后30个工作日内，甲方向乙方支付合同金额的40%；</w:t>
      </w:r>
    </w:p>
    <w:p w14:paraId="1336034C" w14:textId="77777777" w:rsidR="00644BC0" w:rsidRDefault="00C0516E">
      <w:pPr>
        <w:numPr>
          <w:ilvl w:val="0"/>
          <w:numId w:val="6"/>
        </w:numPr>
        <w:spacing w:line="360" w:lineRule="auto"/>
        <w:ind w:firstLineChars="200" w:firstLine="420"/>
        <w:rPr>
          <w:rFonts w:ascii="宋体" w:hAnsi="宋体"/>
          <w:b/>
          <w:bCs/>
          <w:color w:val="000000" w:themeColor="text1"/>
        </w:rPr>
      </w:pPr>
      <w:r>
        <w:rPr>
          <w:rFonts w:ascii="宋体" w:hAnsi="宋体" w:hint="eastAsia"/>
          <w:color w:val="000000" w:themeColor="text1"/>
        </w:rPr>
        <w:t>乙方完成合同工作内容，通过专家评审后30个工作日内，甲方向乙方支付合同金额的20%；</w:t>
      </w:r>
    </w:p>
    <w:p w14:paraId="7060C85A" w14:textId="77777777" w:rsidR="00644BC0" w:rsidRDefault="00C0516E">
      <w:pPr>
        <w:numPr>
          <w:ilvl w:val="0"/>
          <w:numId w:val="6"/>
        </w:numPr>
        <w:spacing w:line="360" w:lineRule="auto"/>
        <w:ind w:firstLineChars="200" w:firstLine="420"/>
        <w:rPr>
          <w:rFonts w:ascii="宋体" w:hAnsi="宋体"/>
          <w:b/>
          <w:bCs/>
          <w:color w:val="000000" w:themeColor="text1"/>
        </w:rPr>
      </w:pPr>
      <w:r>
        <w:rPr>
          <w:rFonts w:ascii="宋体" w:hAnsi="宋体" w:hint="eastAsia"/>
          <w:color w:val="000000" w:themeColor="text1"/>
        </w:rPr>
        <w:t>项目正常运维满1年后30个工作日内，甲方向乙方支付合同金额的10%。</w:t>
      </w:r>
    </w:p>
    <w:p w14:paraId="4A716892"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项目组人员要求</w:t>
      </w:r>
    </w:p>
    <w:p w14:paraId="384A5CC0" w14:textId="088C4EBE" w:rsidR="00644BC0" w:rsidRDefault="00170E6E" w:rsidP="00170E6E">
      <w:pPr>
        <w:numPr>
          <w:ilvl w:val="0"/>
          <w:numId w:val="7"/>
        </w:numPr>
        <w:spacing w:line="360" w:lineRule="auto"/>
        <w:rPr>
          <w:rFonts w:ascii="宋体" w:hAnsi="宋体"/>
          <w:color w:val="000000" w:themeColor="text1"/>
        </w:rPr>
      </w:pPr>
      <w:r>
        <w:rPr>
          <w:rFonts w:ascii="宋体" w:hAnsi="宋体" w:hint="eastAsia"/>
          <w:color w:val="000000" w:themeColor="text1"/>
        </w:rPr>
        <w:t>项目负责人</w:t>
      </w:r>
      <w:r w:rsidR="00C0516E">
        <w:rPr>
          <w:rFonts w:ascii="宋体" w:hAnsi="宋体" w:hint="eastAsia"/>
          <w:color w:val="000000" w:themeColor="text1"/>
        </w:rPr>
        <w:t>要求：为保障项目的高质量实施，投标人须安排具有同类（国土空间或CSPON）信息化项目管理经验的</w:t>
      </w:r>
      <w:r>
        <w:rPr>
          <w:rFonts w:ascii="宋体" w:hAnsi="宋体" w:hint="eastAsia"/>
          <w:color w:val="000000" w:themeColor="text1"/>
        </w:rPr>
        <w:t>项目负责人</w:t>
      </w:r>
      <w:r w:rsidR="00C0516E">
        <w:rPr>
          <w:rFonts w:ascii="宋体" w:hAnsi="宋体" w:hint="eastAsia"/>
          <w:color w:val="000000" w:themeColor="text1"/>
        </w:rPr>
        <w:t>作为本项目的负责人，负责项目整体质量把控和资源协调。</w:t>
      </w:r>
      <w:r w:rsidRPr="00170E6E">
        <w:rPr>
          <w:rFonts w:ascii="宋体" w:hAnsi="宋体" w:hint="eastAsia"/>
          <w:color w:val="000000" w:themeColor="text1"/>
        </w:rPr>
        <w:t>项目负责人</w:t>
      </w:r>
      <w:r>
        <w:rPr>
          <w:rFonts w:ascii="宋体" w:hAnsi="宋体" w:hint="eastAsia"/>
          <w:color w:val="000000" w:themeColor="text1"/>
        </w:rPr>
        <w:t>需</w:t>
      </w:r>
      <w:r w:rsidRPr="00170E6E">
        <w:rPr>
          <w:rFonts w:ascii="宋体" w:hAnsi="宋体" w:hint="eastAsia"/>
          <w:color w:val="000000" w:themeColor="text1"/>
        </w:rPr>
        <w:t>具备高级信息系统项目管理师证书及应用软件研发相关高级工程师证书</w:t>
      </w:r>
      <w:r>
        <w:rPr>
          <w:rFonts w:ascii="宋体" w:hAnsi="宋体" w:hint="eastAsia"/>
          <w:color w:val="000000" w:themeColor="text1"/>
        </w:rPr>
        <w:t>。</w:t>
      </w:r>
    </w:p>
    <w:p w14:paraId="397D1B69" w14:textId="09B58234" w:rsidR="00644BC0" w:rsidRDefault="00C0516E" w:rsidP="00170E6E">
      <w:pPr>
        <w:numPr>
          <w:ilvl w:val="0"/>
          <w:numId w:val="7"/>
        </w:numPr>
        <w:spacing w:line="360" w:lineRule="auto"/>
        <w:rPr>
          <w:rFonts w:ascii="宋体" w:hAnsi="宋体"/>
          <w:color w:val="000000" w:themeColor="text1"/>
        </w:rPr>
      </w:pPr>
      <w:r>
        <w:rPr>
          <w:rFonts w:ascii="宋体" w:hAnsi="宋体" w:hint="eastAsia"/>
          <w:color w:val="000000" w:themeColor="text1"/>
        </w:rPr>
        <w:t>技术经理要求：为保障项目高质量交付，投标人需要安排具有丰富经验的技术</w:t>
      </w:r>
      <w:r w:rsidR="00170E6E">
        <w:rPr>
          <w:rFonts w:ascii="宋体" w:hAnsi="宋体" w:hint="eastAsia"/>
          <w:color w:val="000000" w:themeColor="text1"/>
        </w:rPr>
        <w:t>负责人</w:t>
      </w:r>
      <w:r>
        <w:rPr>
          <w:rFonts w:ascii="宋体" w:hAnsi="宋体" w:hint="eastAsia"/>
          <w:color w:val="000000" w:themeColor="text1"/>
        </w:rPr>
        <w:t>负责项目技术管理和质量管理。</w:t>
      </w:r>
      <w:r w:rsidR="00170E6E" w:rsidRPr="00170E6E">
        <w:rPr>
          <w:rFonts w:ascii="宋体" w:hAnsi="宋体" w:hint="eastAsia"/>
          <w:color w:val="000000" w:themeColor="text1"/>
        </w:rPr>
        <w:t>技术负责人</w:t>
      </w:r>
      <w:r w:rsidR="00170E6E">
        <w:rPr>
          <w:rFonts w:ascii="宋体" w:hAnsi="宋体" w:hint="eastAsia"/>
          <w:color w:val="000000" w:themeColor="text1"/>
        </w:rPr>
        <w:t>需</w:t>
      </w:r>
      <w:r w:rsidR="00170E6E" w:rsidRPr="00170E6E">
        <w:rPr>
          <w:rFonts w:ascii="宋体" w:hAnsi="宋体" w:hint="eastAsia"/>
          <w:color w:val="000000" w:themeColor="text1"/>
        </w:rPr>
        <w:t>具有具备高级信息系统项目管理师、高级系统架构设计师证书</w:t>
      </w:r>
      <w:r w:rsidR="00170E6E">
        <w:rPr>
          <w:rFonts w:ascii="宋体" w:hAnsi="宋体" w:hint="eastAsia"/>
          <w:color w:val="000000" w:themeColor="text1"/>
        </w:rPr>
        <w:t>。</w:t>
      </w:r>
    </w:p>
    <w:p w14:paraId="123F568B" w14:textId="40EB5DB2" w:rsidR="00644BC0" w:rsidRPr="00C7081D" w:rsidRDefault="00C0516E">
      <w:pPr>
        <w:numPr>
          <w:ilvl w:val="0"/>
          <w:numId w:val="7"/>
        </w:numPr>
        <w:spacing w:line="360" w:lineRule="auto"/>
        <w:rPr>
          <w:rFonts w:ascii="宋体" w:hAnsi="宋体"/>
          <w:color w:val="000000" w:themeColor="text1"/>
        </w:rPr>
      </w:pPr>
      <w:r>
        <w:rPr>
          <w:rFonts w:ascii="宋体" w:hAnsi="宋体" w:hint="eastAsia"/>
          <w:color w:val="000000" w:themeColor="text1"/>
        </w:rPr>
        <w:t>项目组成员要求：项目成员结构合理、分工明确，项目现场投入人员不少于8人。</w:t>
      </w:r>
      <w:r w:rsidR="00170E6E" w:rsidRPr="00C7081D">
        <w:rPr>
          <w:rFonts w:ascii="宋体" w:hAnsi="宋体" w:hint="eastAsia"/>
          <w:color w:val="000000" w:themeColor="text1"/>
        </w:rPr>
        <w:t>团队成员需持有注册城乡规划师证书、高级信息系统项目管理师、信息安全保障人员认证。</w:t>
      </w:r>
    </w:p>
    <w:p w14:paraId="20765ABF" w14:textId="654E2C4A" w:rsidR="00F14E37" w:rsidRPr="00C7081D" w:rsidRDefault="00F14E37" w:rsidP="00F14E37">
      <w:pPr>
        <w:numPr>
          <w:ilvl w:val="0"/>
          <w:numId w:val="7"/>
        </w:numPr>
        <w:spacing w:line="360" w:lineRule="auto"/>
        <w:rPr>
          <w:rFonts w:ascii="宋体" w:hAnsi="宋体"/>
          <w:color w:val="000000" w:themeColor="text1"/>
        </w:rPr>
      </w:pPr>
      <w:r w:rsidRPr="00C7081D">
        <w:rPr>
          <w:rFonts w:ascii="宋体" w:hAnsi="宋体" w:hint="eastAsia"/>
          <w:color w:val="000000" w:themeColor="text1"/>
        </w:rPr>
        <w:t>上述人员均需提供近三个月内的任意一个月社保证明扫描件</w:t>
      </w:r>
      <w:r w:rsidR="000D0B34" w:rsidRPr="00C7081D">
        <w:rPr>
          <w:rFonts w:ascii="宋体" w:hAnsi="宋体" w:hint="eastAsia"/>
          <w:color w:val="000000" w:themeColor="text1"/>
        </w:rPr>
        <w:t>。</w:t>
      </w:r>
    </w:p>
    <w:p w14:paraId="093FDB29"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电子政务云资源要求</w:t>
      </w:r>
    </w:p>
    <w:p w14:paraId="5000736F" w14:textId="77777777" w:rsidR="00644BC0" w:rsidRDefault="00C0516E">
      <w:pPr>
        <w:pStyle w:val="af7"/>
        <w:ind w:firstLine="480"/>
      </w:pPr>
      <w:r>
        <w:rPr>
          <w:rFonts w:ascii="宋体" w:eastAsia="宋体" w:hAnsi="宋体" w:hint="eastAsia"/>
          <w:color w:val="000000" w:themeColor="text1"/>
          <w:kern w:val="2"/>
          <w:sz w:val="21"/>
          <w:szCs w:val="22"/>
        </w:rPr>
        <w:t>根据项目前期资源现状，本次建设拟向电子政务云申请的资源如下：</w:t>
      </w:r>
    </w:p>
    <w:p w14:paraId="3BD4C2D0" w14:textId="77777777" w:rsidR="00644BC0" w:rsidRDefault="00C0516E">
      <w:pPr>
        <w:pStyle w:val="af9"/>
        <w:spacing w:before="0" w:beforeAutospacing="0"/>
        <w:rPr>
          <w:rFonts w:asciiTheme="minorEastAsia" w:eastAsiaTheme="minorEastAsia" w:hAnsiTheme="minorEastAsia"/>
        </w:rPr>
      </w:pPr>
      <w:r>
        <w:rPr>
          <w:rFonts w:asciiTheme="minorEastAsia" w:eastAsiaTheme="minorEastAsia" w:hAnsiTheme="minorEastAsia" w:hint="eastAsia"/>
        </w:rPr>
        <w:t>表7-1 主机资源</w:t>
      </w:r>
    </w:p>
    <w:tbl>
      <w:tblPr>
        <w:tblpPr w:leftFromText="180" w:rightFromText="180" w:vertAnchor="text" w:horzAnchor="margin" w:tblpY="59"/>
        <w:tblW w:w="8369" w:type="dxa"/>
        <w:tblLayout w:type="fixed"/>
        <w:tblLook w:val="04A0" w:firstRow="1" w:lastRow="0" w:firstColumn="1" w:lastColumn="0" w:noHBand="0" w:noVBand="1"/>
      </w:tblPr>
      <w:tblGrid>
        <w:gridCol w:w="1046"/>
        <w:gridCol w:w="1046"/>
        <w:gridCol w:w="1046"/>
        <w:gridCol w:w="1046"/>
        <w:gridCol w:w="1046"/>
        <w:gridCol w:w="1046"/>
        <w:gridCol w:w="1046"/>
        <w:gridCol w:w="1047"/>
      </w:tblGrid>
      <w:tr w:rsidR="00644BC0" w14:paraId="7B32F106" w14:textId="77777777">
        <w:trPr>
          <w:trHeight w:val="901"/>
          <w:tblHeader/>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4FB7201F"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lastRenderedPageBreak/>
              <w:t>序号</w:t>
            </w:r>
          </w:p>
        </w:tc>
        <w:tc>
          <w:tcPr>
            <w:tcW w:w="1046" w:type="dxa"/>
            <w:tcBorders>
              <w:top w:val="single" w:sz="4" w:space="0" w:color="auto"/>
              <w:left w:val="nil"/>
              <w:bottom w:val="single" w:sz="4" w:space="0" w:color="auto"/>
              <w:right w:val="single" w:sz="4" w:space="0" w:color="auto"/>
            </w:tcBorders>
            <w:shd w:val="clear" w:color="auto" w:fill="auto"/>
            <w:noWrap/>
            <w:vAlign w:val="center"/>
          </w:tcPr>
          <w:p w14:paraId="6649E550"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资源类型</w:t>
            </w:r>
          </w:p>
        </w:tc>
        <w:tc>
          <w:tcPr>
            <w:tcW w:w="1046" w:type="dxa"/>
            <w:tcBorders>
              <w:top w:val="single" w:sz="4" w:space="0" w:color="auto"/>
              <w:left w:val="nil"/>
              <w:bottom w:val="single" w:sz="4" w:space="0" w:color="auto"/>
              <w:right w:val="single" w:sz="4" w:space="0" w:color="auto"/>
            </w:tcBorders>
            <w:shd w:val="clear" w:color="auto" w:fill="auto"/>
            <w:noWrap/>
            <w:vAlign w:val="center"/>
          </w:tcPr>
          <w:p w14:paraId="4C643DC2"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资源名称</w:t>
            </w:r>
          </w:p>
        </w:tc>
        <w:tc>
          <w:tcPr>
            <w:tcW w:w="1046" w:type="dxa"/>
            <w:tcBorders>
              <w:top w:val="single" w:sz="4" w:space="0" w:color="auto"/>
              <w:left w:val="nil"/>
              <w:bottom w:val="single" w:sz="4" w:space="0" w:color="auto"/>
              <w:right w:val="single" w:sz="4" w:space="0" w:color="auto"/>
            </w:tcBorders>
            <w:shd w:val="clear" w:color="auto" w:fill="auto"/>
            <w:noWrap/>
            <w:vAlign w:val="center"/>
          </w:tcPr>
          <w:p w14:paraId="225DFC3A"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资源说明</w:t>
            </w:r>
          </w:p>
        </w:tc>
        <w:tc>
          <w:tcPr>
            <w:tcW w:w="1046" w:type="dxa"/>
            <w:tcBorders>
              <w:top w:val="single" w:sz="4" w:space="0" w:color="auto"/>
              <w:left w:val="nil"/>
              <w:bottom w:val="single" w:sz="4" w:space="0" w:color="auto"/>
              <w:right w:val="single" w:sz="4" w:space="0" w:color="auto"/>
            </w:tcBorders>
            <w:shd w:val="clear" w:color="auto" w:fill="auto"/>
            <w:vAlign w:val="center"/>
          </w:tcPr>
          <w:p w14:paraId="4C7692D8"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资源核心（核）</w:t>
            </w:r>
          </w:p>
        </w:tc>
        <w:tc>
          <w:tcPr>
            <w:tcW w:w="1046" w:type="dxa"/>
            <w:tcBorders>
              <w:top w:val="single" w:sz="4" w:space="0" w:color="auto"/>
              <w:left w:val="nil"/>
              <w:bottom w:val="single" w:sz="4" w:space="0" w:color="auto"/>
              <w:right w:val="single" w:sz="4" w:space="0" w:color="auto"/>
            </w:tcBorders>
            <w:shd w:val="clear" w:color="auto" w:fill="auto"/>
            <w:noWrap/>
            <w:vAlign w:val="center"/>
          </w:tcPr>
          <w:p w14:paraId="553023A5"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资源内存(GB)</w:t>
            </w:r>
          </w:p>
        </w:tc>
        <w:tc>
          <w:tcPr>
            <w:tcW w:w="1046" w:type="dxa"/>
            <w:tcBorders>
              <w:top w:val="single" w:sz="4" w:space="0" w:color="auto"/>
              <w:left w:val="nil"/>
              <w:bottom w:val="single" w:sz="4" w:space="0" w:color="auto"/>
              <w:right w:val="single" w:sz="4" w:space="0" w:color="auto"/>
            </w:tcBorders>
            <w:shd w:val="clear" w:color="auto" w:fill="auto"/>
            <w:vAlign w:val="center"/>
          </w:tcPr>
          <w:p w14:paraId="5CF8FE5D"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存储数量(GB)</w:t>
            </w:r>
          </w:p>
        </w:tc>
        <w:tc>
          <w:tcPr>
            <w:tcW w:w="1047" w:type="dxa"/>
            <w:tcBorders>
              <w:top w:val="single" w:sz="4" w:space="0" w:color="auto"/>
              <w:left w:val="nil"/>
              <w:bottom w:val="single" w:sz="4" w:space="0" w:color="auto"/>
              <w:right w:val="single" w:sz="4" w:space="0" w:color="auto"/>
            </w:tcBorders>
            <w:shd w:val="clear" w:color="auto" w:fill="auto"/>
            <w:noWrap/>
            <w:vAlign w:val="center"/>
          </w:tcPr>
          <w:p w14:paraId="66864C4C"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资源数量(台)</w:t>
            </w:r>
          </w:p>
        </w:tc>
      </w:tr>
      <w:tr w:rsidR="00644BC0" w14:paraId="233D4662" w14:textId="77777777">
        <w:trPr>
          <w:trHeight w:val="901"/>
        </w:trPr>
        <w:tc>
          <w:tcPr>
            <w:tcW w:w="1046" w:type="dxa"/>
            <w:tcBorders>
              <w:top w:val="nil"/>
              <w:left w:val="single" w:sz="4" w:space="0" w:color="000000"/>
              <w:bottom w:val="single" w:sz="4" w:space="0" w:color="000000"/>
              <w:right w:val="single" w:sz="4" w:space="0" w:color="000000"/>
            </w:tcBorders>
            <w:shd w:val="clear" w:color="auto" w:fill="auto"/>
            <w:vAlign w:val="center"/>
          </w:tcPr>
          <w:p w14:paraId="5A19F064"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1</w:t>
            </w:r>
          </w:p>
        </w:tc>
        <w:tc>
          <w:tcPr>
            <w:tcW w:w="1046" w:type="dxa"/>
            <w:tcBorders>
              <w:top w:val="nil"/>
              <w:left w:val="nil"/>
              <w:bottom w:val="single" w:sz="4" w:space="0" w:color="000000"/>
              <w:right w:val="single" w:sz="4" w:space="0" w:color="000000"/>
            </w:tcBorders>
            <w:shd w:val="clear" w:color="auto" w:fill="auto"/>
            <w:vAlign w:val="center"/>
          </w:tcPr>
          <w:p w14:paraId="6F517541" w14:textId="77777777" w:rsidR="00644BC0" w:rsidRDefault="00C0516E">
            <w:pPr>
              <w:widowControl/>
              <w:contextualSpacing/>
              <w:rPr>
                <w:rFonts w:ascii="宋体" w:hAnsi="宋体"/>
                <w:color w:val="000000" w:themeColor="text1"/>
              </w:rPr>
            </w:pPr>
            <w:r>
              <w:rPr>
                <w:rFonts w:ascii="宋体" w:hAnsi="宋体" w:hint="eastAsia"/>
                <w:color w:val="000000" w:themeColor="text1"/>
              </w:rPr>
              <w:t>云主机</w:t>
            </w:r>
          </w:p>
        </w:tc>
        <w:tc>
          <w:tcPr>
            <w:tcW w:w="1046" w:type="dxa"/>
            <w:tcBorders>
              <w:top w:val="nil"/>
              <w:left w:val="nil"/>
              <w:bottom w:val="single" w:sz="4" w:space="0" w:color="000000"/>
              <w:right w:val="single" w:sz="4" w:space="0" w:color="000000"/>
            </w:tcBorders>
            <w:shd w:val="clear" w:color="auto" w:fill="auto"/>
            <w:vAlign w:val="center"/>
          </w:tcPr>
          <w:p w14:paraId="7EA3D946"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应用服务器</w:t>
            </w:r>
          </w:p>
        </w:tc>
        <w:tc>
          <w:tcPr>
            <w:tcW w:w="1046" w:type="dxa"/>
            <w:tcBorders>
              <w:top w:val="nil"/>
              <w:left w:val="nil"/>
              <w:bottom w:val="single" w:sz="4" w:space="0" w:color="000000"/>
              <w:right w:val="single" w:sz="4" w:space="0" w:color="000000"/>
            </w:tcBorders>
            <w:shd w:val="clear" w:color="auto" w:fill="auto"/>
            <w:vAlign w:val="center"/>
          </w:tcPr>
          <w:p w14:paraId="2D91DCBD"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鲲鹏ARM架构；银河麒麟v10操作系统；</w:t>
            </w:r>
          </w:p>
        </w:tc>
        <w:tc>
          <w:tcPr>
            <w:tcW w:w="1046" w:type="dxa"/>
            <w:tcBorders>
              <w:top w:val="nil"/>
              <w:left w:val="nil"/>
              <w:bottom w:val="single" w:sz="4" w:space="0" w:color="000000"/>
              <w:right w:val="single" w:sz="4" w:space="0" w:color="000000"/>
            </w:tcBorders>
            <w:shd w:val="clear" w:color="auto" w:fill="auto"/>
            <w:vAlign w:val="center"/>
          </w:tcPr>
          <w:p w14:paraId="286EF6AE"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8</w:t>
            </w:r>
          </w:p>
        </w:tc>
        <w:tc>
          <w:tcPr>
            <w:tcW w:w="1046" w:type="dxa"/>
            <w:tcBorders>
              <w:top w:val="nil"/>
              <w:left w:val="nil"/>
              <w:bottom w:val="single" w:sz="4" w:space="0" w:color="000000"/>
              <w:right w:val="single" w:sz="4" w:space="0" w:color="000000"/>
            </w:tcBorders>
            <w:shd w:val="clear" w:color="auto" w:fill="auto"/>
            <w:vAlign w:val="center"/>
          </w:tcPr>
          <w:p w14:paraId="607A7E53"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32</w:t>
            </w:r>
          </w:p>
        </w:tc>
        <w:tc>
          <w:tcPr>
            <w:tcW w:w="1046" w:type="dxa"/>
            <w:tcBorders>
              <w:top w:val="nil"/>
              <w:left w:val="nil"/>
              <w:bottom w:val="single" w:sz="4" w:space="0" w:color="000000"/>
              <w:right w:val="single" w:sz="4" w:space="0" w:color="000000"/>
            </w:tcBorders>
            <w:shd w:val="clear" w:color="auto" w:fill="auto"/>
            <w:vAlign w:val="center"/>
          </w:tcPr>
          <w:p w14:paraId="48FCEBD8"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600</w:t>
            </w:r>
          </w:p>
        </w:tc>
        <w:tc>
          <w:tcPr>
            <w:tcW w:w="1047" w:type="dxa"/>
            <w:tcBorders>
              <w:top w:val="nil"/>
              <w:left w:val="nil"/>
              <w:bottom w:val="single" w:sz="4" w:space="0" w:color="000000"/>
              <w:right w:val="single" w:sz="4" w:space="0" w:color="000000"/>
            </w:tcBorders>
            <w:shd w:val="clear" w:color="auto" w:fill="auto"/>
            <w:vAlign w:val="center"/>
          </w:tcPr>
          <w:p w14:paraId="52FE8C9C"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1</w:t>
            </w:r>
          </w:p>
        </w:tc>
      </w:tr>
      <w:tr w:rsidR="00644BC0" w14:paraId="4F4F8E9F" w14:textId="77777777">
        <w:trPr>
          <w:trHeight w:val="901"/>
        </w:trPr>
        <w:tc>
          <w:tcPr>
            <w:tcW w:w="1046" w:type="dxa"/>
            <w:tcBorders>
              <w:top w:val="nil"/>
              <w:left w:val="single" w:sz="4" w:space="0" w:color="000000"/>
              <w:bottom w:val="single" w:sz="4" w:space="0" w:color="000000"/>
              <w:right w:val="single" w:sz="4" w:space="0" w:color="000000"/>
            </w:tcBorders>
            <w:shd w:val="clear" w:color="auto" w:fill="auto"/>
            <w:vAlign w:val="center"/>
          </w:tcPr>
          <w:p w14:paraId="76A4640D"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2</w:t>
            </w:r>
          </w:p>
        </w:tc>
        <w:tc>
          <w:tcPr>
            <w:tcW w:w="1046" w:type="dxa"/>
            <w:tcBorders>
              <w:top w:val="nil"/>
              <w:left w:val="nil"/>
              <w:bottom w:val="single" w:sz="4" w:space="0" w:color="000000"/>
              <w:right w:val="single" w:sz="4" w:space="0" w:color="000000"/>
            </w:tcBorders>
            <w:shd w:val="clear" w:color="auto" w:fill="auto"/>
            <w:vAlign w:val="center"/>
          </w:tcPr>
          <w:p w14:paraId="2533ECC3" w14:textId="77777777" w:rsidR="00644BC0" w:rsidRDefault="00C0516E">
            <w:pPr>
              <w:widowControl/>
              <w:contextualSpacing/>
              <w:rPr>
                <w:rFonts w:ascii="宋体" w:hAnsi="宋体"/>
                <w:color w:val="000000" w:themeColor="text1"/>
              </w:rPr>
            </w:pPr>
            <w:r>
              <w:rPr>
                <w:rFonts w:ascii="宋体" w:hAnsi="宋体" w:hint="eastAsia"/>
                <w:color w:val="000000" w:themeColor="text1"/>
              </w:rPr>
              <w:t>云主机</w:t>
            </w:r>
          </w:p>
        </w:tc>
        <w:tc>
          <w:tcPr>
            <w:tcW w:w="1046" w:type="dxa"/>
            <w:tcBorders>
              <w:top w:val="nil"/>
              <w:left w:val="nil"/>
              <w:bottom w:val="single" w:sz="4" w:space="0" w:color="000000"/>
              <w:right w:val="single" w:sz="4" w:space="0" w:color="000000"/>
            </w:tcBorders>
            <w:shd w:val="clear" w:color="auto" w:fill="auto"/>
            <w:vAlign w:val="center"/>
          </w:tcPr>
          <w:p w14:paraId="7DEF74B0"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计算服务器</w:t>
            </w:r>
          </w:p>
        </w:tc>
        <w:tc>
          <w:tcPr>
            <w:tcW w:w="1046" w:type="dxa"/>
            <w:tcBorders>
              <w:top w:val="nil"/>
              <w:left w:val="nil"/>
              <w:bottom w:val="single" w:sz="4" w:space="0" w:color="000000"/>
              <w:right w:val="single" w:sz="4" w:space="0" w:color="000000"/>
            </w:tcBorders>
            <w:shd w:val="clear" w:color="auto" w:fill="auto"/>
            <w:vAlign w:val="center"/>
          </w:tcPr>
          <w:p w14:paraId="317A75F6"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鲲鹏ARM架构；银河麒麟v10操作系统；</w:t>
            </w:r>
          </w:p>
        </w:tc>
        <w:tc>
          <w:tcPr>
            <w:tcW w:w="1046" w:type="dxa"/>
            <w:tcBorders>
              <w:top w:val="nil"/>
              <w:left w:val="nil"/>
              <w:bottom w:val="single" w:sz="4" w:space="0" w:color="000000"/>
              <w:right w:val="single" w:sz="4" w:space="0" w:color="000000"/>
            </w:tcBorders>
            <w:shd w:val="clear" w:color="auto" w:fill="auto"/>
            <w:vAlign w:val="center"/>
          </w:tcPr>
          <w:p w14:paraId="5D81EF42"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16</w:t>
            </w:r>
          </w:p>
        </w:tc>
        <w:tc>
          <w:tcPr>
            <w:tcW w:w="1046" w:type="dxa"/>
            <w:tcBorders>
              <w:top w:val="nil"/>
              <w:left w:val="nil"/>
              <w:bottom w:val="single" w:sz="4" w:space="0" w:color="000000"/>
              <w:right w:val="single" w:sz="4" w:space="0" w:color="000000"/>
            </w:tcBorders>
            <w:shd w:val="clear" w:color="auto" w:fill="auto"/>
            <w:vAlign w:val="center"/>
          </w:tcPr>
          <w:p w14:paraId="3F5A9575"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64</w:t>
            </w:r>
          </w:p>
        </w:tc>
        <w:tc>
          <w:tcPr>
            <w:tcW w:w="1046" w:type="dxa"/>
            <w:tcBorders>
              <w:top w:val="nil"/>
              <w:left w:val="nil"/>
              <w:bottom w:val="single" w:sz="4" w:space="0" w:color="000000"/>
              <w:right w:val="single" w:sz="4" w:space="0" w:color="000000"/>
            </w:tcBorders>
            <w:shd w:val="clear" w:color="auto" w:fill="auto"/>
            <w:vAlign w:val="center"/>
          </w:tcPr>
          <w:p w14:paraId="4F25F118"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600</w:t>
            </w:r>
          </w:p>
        </w:tc>
        <w:tc>
          <w:tcPr>
            <w:tcW w:w="1047" w:type="dxa"/>
            <w:tcBorders>
              <w:top w:val="nil"/>
              <w:left w:val="nil"/>
              <w:bottom w:val="single" w:sz="4" w:space="0" w:color="000000"/>
              <w:right w:val="single" w:sz="4" w:space="0" w:color="000000"/>
            </w:tcBorders>
            <w:shd w:val="clear" w:color="auto" w:fill="auto"/>
            <w:vAlign w:val="center"/>
          </w:tcPr>
          <w:p w14:paraId="261F711B" w14:textId="77777777" w:rsidR="00644BC0" w:rsidRDefault="00C0516E">
            <w:pPr>
              <w:widowControl/>
              <w:contextualSpacing/>
              <w:jc w:val="center"/>
              <w:rPr>
                <w:rFonts w:ascii="宋体" w:hAnsi="宋体"/>
                <w:color w:val="000000" w:themeColor="text1"/>
              </w:rPr>
            </w:pPr>
            <w:r>
              <w:rPr>
                <w:rFonts w:ascii="宋体" w:hAnsi="宋体" w:hint="eastAsia"/>
                <w:color w:val="000000" w:themeColor="text1"/>
              </w:rPr>
              <w:t>1</w:t>
            </w:r>
          </w:p>
        </w:tc>
      </w:tr>
    </w:tbl>
    <w:p w14:paraId="6FF1C35F" w14:textId="77777777" w:rsidR="00644BC0" w:rsidRDefault="00644BC0">
      <w:pPr>
        <w:pStyle w:val="af7"/>
        <w:adjustRightInd/>
        <w:ind w:firstLine="480"/>
        <w:rPr>
          <w:rFonts w:ascii="宋体" w:eastAsia="宋体" w:hAnsi="宋体"/>
          <w:color w:val="000000" w:themeColor="text1"/>
          <w:kern w:val="2"/>
          <w:sz w:val="21"/>
          <w:szCs w:val="22"/>
        </w:rPr>
      </w:pPr>
    </w:p>
    <w:p w14:paraId="7604D0A5"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接口集成要求</w:t>
      </w:r>
    </w:p>
    <w:p w14:paraId="338FEE66" w14:textId="77777777" w:rsidR="00644BC0" w:rsidRDefault="00C0516E">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1.基于长三角生态绿色一体化发展示范区智慧大脑平台已有的统一用户体系，利用该平台内置的单点登录认证机制，实现与智慧大脑平台的对接，获取生态环境等相关数据服务，并完成与规划管理板块的集成。</w:t>
      </w:r>
    </w:p>
    <w:p w14:paraId="3895D0CA" w14:textId="77777777" w:rsidR="00644BC0" w:rsidRDefault="00C0516E">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2.将本项目产生的详细规划、城镇开发边界等数据服务，以接口形式与长三角生态绿色一体化发展示范区智慧大脑平台实现数据共享协同。</w:t>
      </w:r>
    </w:p>
    <w:p w14:paraId="1927A959" w14:textId="77777777" w:rsidR="00644BC0" w:rsidRDefault="00C0516E">
      <w:pPr>
        <w:numPr>
          <w:ilvl w:val="0"/>
          <w:numId w:val="1"/>
        </w:numPr>
        <w:spacing w:line="360" w:lineRule="auto"/>
        <w:ind w:firstLine="0"/>
        <w:rPr>
          <w:rFonts w:ascii="宋体" w:hAnsi="宋体"/>
          <w:b/>
          <w:bCs/>
          <w:color w:val="000000" w:themeColor="text1"/>
        </w:rPr>
      </w:pPr>
      <w:r>
        <w:rPr>
          <w:rFonts w:ascii="宋体" w:hAnsi="宋体" w:hint="eastAsia"/>
          <w:b/>
          <w:bCs/>
          <w:color w:val="000000" w:themeColor="text1"/>
        </w:rPr>
        <w:t>安全及其他要求</w:t>
      </w:r>
    </w:p>
    <w:p w14:paraId="6B8CC9E0" w14:textId="77777777" w:rsidR="00644BC0" w:rsidRDefault="00C0516E">
      <w:pPr>
        <w:pStyle w:val="12"/>
        <w:numPr>
          <w:ilvl w:val="0"/>
          <w:numId w:val="8"/>
        </w:numPr>
        <w:spacing w:after="0"/>
        <w:rPr>
          <w:b/>
          <w:bCs/>
          <w:color w:val="000000" w:themeColor="text1"/>
        </w:rPr>
      </w:pPr>
      <w:r>
        <w:rPr>
          <w:rFonts w:hint="eastAsia"/>
          <w:b/>
          <w:bCs/>
          <w:color w:val="000000" w:themeColor="text1"/>
        </w:rPr>
        <w:t>网络安全要求</w:t>
      </w:r>
    </w:p>
    <w:p w14:paraId="612067D5" w14:textId="77777777" w:rsidR="00644BC0" w:rsidRDefault="00C0516E">
      <w:pPr>
        <w:spacing w:line="360" w:lineRule="auto"/>
        <w:ind w:firstLineChars="200" w:firstLine="420"/>
        <w:rPr>
          <w:rFonts w:ascii="宋体" w:hAnsi="宋体"/>
          <w:color w:val="000000" w:themeColor="text1"/>
        </w:rPr>
      </w:pPr>
      <w:r>
        <w:rPr>
          <w:rFonts w:ascii="宋体" w:hAnsi="宋体"/>
          <w:color w:val="000000" w:themeColor="text1"/>
        </w:rPr>
        <w:t>本项目等级保护要求：符合等保三级要求。</w:t>
      </w:r>
    </w:p>
    <w:p w14:paraId="2890047F" w14:textId="77777777" w:rsidR="00644BC0" w:rsidRDefault="00C0516E">
      <w:pPr>
        <w:pStyle w:val="12"/>
        <w:numPr>
          <w:ilvl w:val="0"/>
          <w:numId w:val="8"/>
        </w:numPr>
        <w:spacing w:after="0"/>
        <w:rPr>
          <w:b/>
          <w:bCs/>
          <w:color w:val="000000" w:themeColor="text1"/>
        </w:rPr>
      </w:pPr>
      <w:r>
        <w:rPr>
          <w:rFonts w:hint="eastAsia"/>
          <w:b/>
          <w:bCs/>
          <w:color w:val="000000" w:themeColor="text1"/>
        </w:rPr>
        <w:t>售后服务要求</w:t>
      </w:r>
    </w:p>
    <w:p w14:paraId="19D4D236" w14:textId="77777777" w:rsidR="00644BC0" w:rsidRDefault="00C0516E">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lang w:bidi="ar"/>
        </w:rPr>
        <w:t>本项目免费维护期自项目最终验收合格之日起计，为期1年。维护期内，中标人须提供7×24小时全天候技术支持服务，具体要求如下：</w:t>
      </w:r>
    </w:p>
    <w:p w14:paraId="124D1FD4" w14:textId="77777777" w:rsidR="00644BC0" w:rsidRDefault="00C0516E">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lang w:bidi="ar"/>
        </w:rPr>
        <w:t>（1）响应时效：发生故障后，须在2小时内做出实质响应并提供解决方案；</w:t>
      </w:r>
    </w:p>
    <w:p w14:paraId="06D1198F" w14:textId="77777777" w:rsidR="00644BC0" w:rsidRDefault="00C0516E">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lang w:bidi="ar"/>
        </w:rPr>
        <w:t>（2）到场时限：对于导致系统瘫痪或核心业务中断的一级故障，技术人员须在2小时内到达现场进行处理；</w:t>
      </w:r>
      <w:bookmarkStart w:id="15" w:name="_GoBack"/>
      <w:bookmarkEnd w:id="15"/>
    </w:p>
    <w:p w14:paraId="76A2A679" w14:textId="77777777" w:rsidR="00644BC0" w:rsidRDefault="00C0516E">
      <w:pPr>
        <w:widowControl/>
        <w:spacing w:line="360" w:lineRule="auto"/>
        <w:ind w:firstLineChars="200" w:firstLine="420"/>
        <w:jc w:val="left"/>
        <w:rPr>
          <w:rFonts w:ascii="宋体" w:hAnsi="宋体"/>
          <w:color w:val="000000" w:themeColor="text1"/>
        </w:rPr>
      </w:pPr>
      <w:r>
        <w:rPr>
          <w:rFonts w:ascii="宋体" w:hAnsi="宋体" w:hint="eastAsia"/>
          <w:color w:val="000000" w:themeColor="text1"/>
          <w:szCs w:val="21"/>
          <w:lang w:bidi="ar"/>
        </w:rPr>
        <w:t>（3）恢复时限：一级故障须在2小时内恢复系统正常运行，若无法按时修复，须及时提供应急替代方案或备机保障。</w:t>
      </w:r>
    </w:p>
    <w:p w14:paraId="5C23A1AB" w14:textId="77777777" w:rsidR="00644BC0" w:rsidRDefault="00C0516E">
      <w:pPr>
        <w:pStyle w:val="12"/>
        <w:numPr>
          <w:ilvl w:val="0"/>
          <w:numId w:val="8"/>
        </w:numPr>
        <w:spacing w:after="0"/>
        <w:rPr>
          <w:b/>
          <w:bCs/>
          <w:color w:val="000000" w:themeColor="text1"/>
        </w:rPr>
      </w:pPr>
      <w:r>
        <w:rPr>
          <w:rFonts w:hint="eastAsia"/>
          <w:b/>
          <w:bCs/>
          <w:color w:val="000000" w:themeColor="text1"/>
        </w:rPr>
        <w:t>培训要求</w:t>
      </w:r>
    </w:p>
    <w:p w14:paraId="0EFDCEF6" w14:textId="77777777" w:rsidR="00644BC0" w:rsidRDefault="00C0516E">
      <w:pPr>
        <w:spacing w:line="360" w:lineRule="auto"/>
        <w:ind w:firstLineChars="200" w:firstLine="420"/>
        <w:rPr>
          <w:b/>
          <w:bCs/>
          <w:color w:val="000000" w:themeColor="text1"/>
        </w:rPr>
      </w:pPr>
      <w:r>
        <w:rPr>
          <w:rFonts w:ascii="宋体" w:hAnsi="宋体" w:hint="eastAsia"/>
          <w:color w:val="000000" w:themeColor="text1"/>
        </w:rPr>
        <w:t>对系统使用单位提供业务操作培训，应至少提供2次详细培训方案。</w:t>
      </w:r>
    </w:p>
    <w:p w14:paraId="66E47C7A" w14:textId="77777777" w:rsidR="00644BC0" w:rsidRDefault="00C0516E">
      <w:pPr>
        <w:pStyle w:val="12"/>
        <w:numPr>
          <w:ilvl w:val="0"/>
          <w:numId w:val="8"/>
        </w:numPr>
        <w:spacing w:after="0"/>
        <w:rPr>
          <w:b/>
          <w:bCs/>
          <w:color w:val="000000" w:themeColor="text1"/>
        </w:rPr>
      </w:pPr>
      <w:r>
        <w:rPr>
          <w:rFonts w:hint="eastAsia"/>
          <w:b/>
          <w:bCs/>
          <w:color w:val="000000" w:themeColor="text1"/>
        </w:rPr>
        <w:lastRenderedPageBreak/>
        <w:t>其他要求</w:t>
      </w:r>
    </w:p>
    <w:p w14:paraId="2E852CE7" w14:textId="77777777" w:rsidR="00644BC0" w:rsidRPr="00C7081D" w:rsidRDefault="00C0516E">
      <w:pPr>
        <w:pStyle w:val="af8"/>
        <w:numPr>
          <w:ilvl w:val="0"/>
          <w:numId w:val="9"/>
        </w:numPr>
        <w:adjustRightInd w:val="0"/>
        <w:snapToGrid w:val="0"/>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总体要求：应基于采购人现有的示范区国土空间规划相关基础平台进行建设，提供标准的数据接口与对接方案，确保与现有‘智慧大脑’类平台的兼容性、数据共享和业务协同。应充分利旧，支持与采购人当前主流信创云环境及现有算力资源的无缝集成，避免重复建设。系统应采用先进的、松耦合的技术架构，具备良好的可扩展性、高并发处理能力和容错机制，支持模块化部署与升级。系统应适配主流国产软硬件环境，包括但不限于国产操</w:t>
      </w:r>
      <w:r w:rsidRPr="00C7081D">
        <w:rPr>
          <w:rFonts w:ascii="宋体" w:hAnsi="宋体" w:hint="eastAsia"/>
          <w:color w:val="000000" w:themeColor="text1"/>
          <w:sz w:val="21"/>
          <w:szCs w:val="21"/>
        </w:rPr>
        <w:t>作系统（如麒麟、统信）、国产数据库（如达梦、人大金仓）及国产中间件。</w:t>
      </w:r>
    </w:p>
    <w:p w14:paraId="42E299E9" w14:textId="77777777" w:rsidR="00644BC0" w:rsidRPr="00C7081D" w:rsidRDefault="00C0516E">
      <w:pPr>
        <w:pStyle w:val="af8"/>
        <w:numPr>
          <w:ilvl w:val="0"/>
          <w:numId w:val="9"/>
        </w:numPr>
        <w:adjustRightInd w:val="0"/>
        <w:snapToGrid w:val="0"/>
        <w:spacing w:line="360" w:lineRule="auto"/>
        <w:ind w:firstLineChars="200" w:firstLine="420"/>
        <w:rPr>
          <w:rFonts w:ascii="宋体" w:hAnsi="宋体"/>
          <w:color w:val="000000" w:themeColor="text1"/>
          <w:sz w:val="21"/>
          <w:szCs w:val="21"/>
        </w:rPr>
      </w:pPr>
      <w:r w:rsidRPr="00C7081D">
        <w:rPr>
          <w:rFonts w:ascii="宋体" w:hAnsi="宋体" w:hint="eastAsia"/>
          <w:color w:val="000000" w:themeColor="text1"/>
          <w:sz w:val="21"/>
          <w:szCs w:val="21"/>
        </w:rPr>
        <w:t>数据线上采集要求。面向两区一县用户，针对详细规划、农转用、生物多样性报告等数据，提供线上采集更新功能。</w:t>
      </w:r>
    </w:p>
    <w:p w14:paraId="175C2086" w14:textId="77777777" w:rsidR="00644BC0" w:rsidRDefault="00C0516E">
      <w:pPr>
        <w:pStyle w:val="af8"/>
        <w:adjustRightInd w:val="0"/>
        <w:snapToGrid w:val="0"/>
        <w:spacing w:line="360" w:lineRule="auto"/>
        <w:ind w:firstLineChars="200" w:firstLine="420"/>
        <w:rPr>
          <w:rFonts w:ascii="宋体" w:hAnsi="宋体"/>
          <w:color w:val="000000" w:themeColor="text1"/>
          <w:sz w:val="21"/>
          <w:szCs w:val="21"/>
        </w:rPr>
      </w:pPr>
      <w:r w:rsidRPr="00C7081D">
        <w:rPr>
          <w:rFonts w:ascii="宋体" w:hAnsi="宋体" w:hint="eastAsia"/>
          <w:color w:val="000000" w:themeColor="text1"/>
          <w:sz w:val="21"/>
          <w:szCs w:val="21"/>
        </w:rPr>
        <w:t>（3）性能要求：一般查询及浏</w:t>
      </w:r>
      <w:r>
        <w:rPr>
          <w:rFonts w:ascii="宋体" w:hAnsi="宋体" w:hint="eastAsia"/>
          <w:color w:val="000000" w:themeColor="text1"/>
          <w:sz w:val="21"/>
          <w:szCs w:val="21"/>
        </w:rPr>
        <w:t>览，应做到即时响应，最长不超过3秒；GIS数据常规操作时间不超过5秒；满足在线用户数不少于100人，并发用户数不少于20人。</w:t>
      </w:r>
    </w:p>
    <w:p w14:paraId="4BE8E455" w14:textId="5805B33A" w:rsidR="00644BC0" w:rsidRDefault="00C0516E">
      <w:pPr>
        <w:pStyle w:val="af8"/>
        <w:adjustRightInd w:val="0"/>
        <w:snapToGrid w:val="0"/>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（4）开发中如使用第三方控件或者商品化软件，所使用软件费用由乙方承担，且不影响系统部署环境，不增加系统部署成本</w:t>
      </w:r>
      <w:bookmarkEnd w:id="14"/>
      <w:r>
        <w:rPr>
          <w:rFonts w:ascii="宋体" w:hAnsi="宋体" w:hint="eastAsia"/>
          <w:color w:val="000000" w:themeColor="text1"/>
          <w:sz w:val="21"/>
          <w:szCs w:val="21"/>
        </w:rPr>
        <w:t>。</w:t>
      </w:r>
    </w:p>
    <w:p w14:paraId="38FE113B" w14:textId="7218AAF0" w:rsidR="003B4CF3" w:rsidRDefault="003B4CF3" w:rsidP="003B4CF3">
      <w:pPr>
        <w:pStyle w:val="12"/>
        <w:numPr>
          <w:ilvl w:val="0"/>
          <w:numId w:val="8"/>
        </w:numPr>
        <w:spacing w:after="0"/>
        <w:rPr>
          <w:b/>
          <w:bCs/>
          <w:color w:val="000000" w:themeColor="text1"/>
        </w:rPr>
      </w:pPr>
      <w:r>
        <w:rPr>
          <w:rFonts w:hint="eastAsia"/>
          <w:b/>
          <w:bCs/>
          <w:color w:val="000000" w:themeColor="text1"/>
        </w:rPr>
        <w:t>企业要求</w:t>
      </w:r>
    </w:p>
    <w:p w14:paraId="3762A622" w14:textId="2C4F12B7" w:rsidR="003B4CF3" w:rsidRPr="004734EF" w:rsidRDefault="003B4CF3" w:rsidP="004734EF">
      <w:pPr>
        <w:pStyle w:val="12"/>
        <w:spacing w:after="0"/>
        <w:ind w:left="425"/>
        <w:rPr>
          <w:rFonts w:ascii="宋体" w:hAnsi="宋体"/>
          <w:color w:val="000000" w:themeColor="text1"/>
          <w:szCs w:val="21"/>
        </w:rPr>
      </w:pPr>
      <w:r w:rsidRPr="004734EF">
        <w:rPr>
          <w:rFonts w:ascii="宋体" w:hAnsi="宋体" w:hint="eastAsia"/>
          <w:color w:val="000000" w:themeColor="text1"/>
          <w:szCs w:val="21"/>
        </w:rPr>
        <w:t>供应商具有</w:t>
      </w:r>
      <w:r w:rsidRPr="004734EF">
        <w:rPr>
          <w:rFonts w:ascii="宋体" w:hAnsi="宋体"/>
          <w:color w:val="000000" w:themeColor="text1"/>
          <w:szCs w:val="21"/>
        </w:rPr>
        <w:t>ISO9001</w:t>
      </w:r>
      <w:r w:rsidRPr="004734EF">
        <w:rPr>
          <w:rFonts w:ascii="宋体" w:hAnsi="宋体" w:hint="eastAsia"/>
          <w:color w:val="000000" w:themeColor="text1"/>
          <w:szCs w:val="21"/>
        </w:rPr>
        <w:t>质量管理体系认证证书、ISO20000信息技术服务管理体系认证证书、</w:t>
      </w:r>
      <w:r w:rsidRPr="004734EF">
        <w:rPr>
          <w:rFonts w:ascii="宋体" w:hAnsi="宋体"/>
          <w:color w:val="000000" w:themeColor="text1"/>
          <w:szCs w:val="21"/>
        </w:rPr>
        <w:t>ISO27001</w:t>
      </w:r>
      <w:r w:rsidRPr="004734EF">
        <w:rPr>
          <w:rFonts w:ascii="宋体" w:hAnsi="宋体" w:hint="eastAsia"/>
          <w:color w:val="000000" w:themeColor="text1"/>
          <w:szCs w:val="21"/>
        </w:rPr>
        <w:t>信息安全管理全体系认证证书，</w:t>
      </w:r>
      <w:r w:rsidRPr="003B4CF3">
        <w:rPr>
          <w:rFonts w:ascii="宋体" w:hAnsi="宋体" w:hint="eastAsia"/>
          <w:color w:val="000000" w:themeColor="text1"/>
          <w:szCs w:val="21"/>
        </w:rPr>
        <w:t>认证证书应当由国家确定的认证机构出具并处于有效期内</w:t>
      </w:r>
      <w:r>
        <w:rPr>
          <w:rFonts w:ascii="宋体" w:hAnsi="宋体" w:hint="eastAsia"/>
          <w:color w:val="000000" w:themeColor="text1"/>
          <w:szCs w:val="21"/>
        </w:rPr>
        <w:t>。</w:t>
      </w:r>
    </w:p>
    <w:p w14:paraId="6DB99547" w14:textId="4CD33652" w:rsidR="003B4CF3" w:rsidRPr="003B4CF3" w:rsidRDefault="003B4CF3" w:rsidP="004734EF">
      <w:pPr>
        <w:pStyle w:val="af8"/>
        <w:adjustRightInd w:val="0"/>
        <w:snapToGrid w:val="0"/>
        <w:spacing w:line="360" w:lineRule="auto"/>
        <w:rPr>
          <w:rFonts w:ascii="宋体" w:hAnsi="宋体"/>
          <w:color w:val="000000" w:themeColor="text1"/>
          <w:sz w:val="24"/>
        </w:rPr>
      </w:pPr>
    </w:p>
    <w:sectPr w:rsidR="003B4CF3" w:rsidRPr="003B4C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FB37" w14:textId="77777777" w:rsidR="00F14E37" w:rsidRDefault="00F14E37" w:rsidP="00F14E37">
      <w:r>
        <w:separator/>
      </w:r>
    </w:p>
  </w:endnote>
  <w:endnote w:type="continuationSeparator" w:id="0">
    <w:p w14:paraId="75E58880" w14:textId="77777777" w:rsidR="00F14E37" w:rsidRDefault="00F14E37" w:rsidP="00F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CE0CA" w14:textId="77777777" w:rsidR="00F14E37" w:rsidRDefault="00F14E37" w:rsidP="00F14E37">
      <w:r>
        <w:separator/>
      </w:r>
    </w:p>
  </w:footnote>
  <w:footnote w:type="continuationSeparator" w:id="0">
    <w:p w14:paraId="0AEB360F" w14:textId="77777777" w:rsidR="00F14E37" w:rsidRDefault="00F14E37" w:rsidP="00F14E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6C85C4"/>
    <w:multiLevelType w:val="singleLevel"/>
    <w:tmpl w:val="F56C85C4"/>
    <w:lvl w:ilvl="0">
      <w:start w:val="1"/>
      <w:numFmt w:val="chineseCounting"/>
      <w:suff w:val="space"/>
      <w:lvlText w:val="（%1）"/>
      <w:lvlJc w:val="left"/>
      <w:rPr>
        <w:rFonts w:hint="eastAsia"/>
      </w:rPr>
    </w:lvl>
  </w:abstractNum>
  <w:abstractNum w:abstractNumId="1" w15:restartNumberingAfterBreak="0">
    <w:nsid w:val="F5B221B2"/>
    <w:multiLevelType w:val="singleLevel"/>
    <w:tmpl w:val="F5B221B2"/>
    <w:lvl w:ilvl="0">
      <w:start w:val="1"/>
      <w:numFmt w:val="decimal"/>
      <w:lvlText w:val="%1."/>
      <w:lvlJc w:val="left"/>
      <w:pPr>
        <w:ind w:left="425" w:hanging="425"/>
      </w:pPr>
      <w:rPr>
        <w:rFonts w:hint="default"/>
      </w:rPr>
    </w:lvl>
  </w:abstractNum>
  <w:abstractNum w:abstractNumId="2" w15:restartNumberingAfterBreak="0">
    <w:nsid w:val="F70C3456"/>
    <w:multiLevelType w:val="singleLevel"/>
    <w:tmpl w:val="F70C3456"/>
    <w:lvl w:ilvl="0">
      <w:start w:val="3"/>
      <w:numFmt w:val="chineseCounting"/>
      <w:suff w:val="nothing"/>
      <w:lvlText w:val="（%1）"/>
      <w:lvlJc w:val="left"/>
      <w:rPr>
        <w:rFonts w:hint="eastAsia"/>
      </w:rPr>
    </w:lvl>
  </w:abstractNum>
  <w:abstractNum w:abstractNumId="3" w15:restartNumberingAfterBreak="0">
    <w:nsid w:val="0423F16F"/>
    <w:multiLevelType w:val="singleLevel"/>
    <w:tmpl w:val="0423F16F"/>
    <w:lvl w:ilvl="0">
      <w:start w:val="1"/>
      <w:numFmt w:val="decimal"/>
      <w:suff w:val="space"/>
      <w:lvlText w:val="%1."/>
      <w:lvlJc w:val="left"/>
    </w:lvl>
  </w:abstractNum>
  <w:abstractNum w:abstractNumId="4" w15:restartNumberingAfterBreak="0">
    <w:nsid w:val="14C1EEB5"/>
    <w:multiLevelType w:val="singleLevel"/>
    <w:tmpl w:val="14C1EEB5"/>
    <w:lvl w:ilvl="0">
      <w:start w:val="1"/>
      <w:numFmt w:val="chineseCounting"/>
      <w:suff w:val="nothing"/>
      <w:lvlText w:val="%1、"/>
      <w:lvlJc w:val="left"/>
      <w:pPr>
        <w:ind w:left="0" w:firstLine="420"/>
      </w:pPr>
      <w:rPr>
        <w:rFonts w:hint="eastAsia"/>
      </w:rPr>
    </w:lvl>
  </w:abstractNum>
  <w:abstractNum w:abstractNumId="5" w15:restartNumberingAfterBreak="0">
    <w:nsid w:val="22C30476"/>
    <w:multiLevelType w:val="singleLevel"/>
    <w:tmpl w:val="22C30476"/>
    <w:lvl w:ilvl="0">
      <w:start w:val="1"/>
      <w:numFmt w:val="decimal"/>
      <w:suff w:val="nothing"/>
      <w:lvlText w:val="（%1）"/>
      <w:lvlJc w:val="left"/>
    </w:lvl>
  </w:abstractNum>
  <w:abstractNum w:abstractNumId="6" w15:restartNumberingAfterBreak="0">
    <w:nsid w:val="22D748F5"/>
    <w:multiLevelType w:val="singleLevel"/>
    <w:tmpl w:val="22D748F5"/>
    <w:lvl w:ilvl="0">
      <w:start w:val="1"/>
      <w:numFmt w:val="decimal"/>
      <w:lvlText w:val="%1."/>
      <w:lvlJc w:val="left"/>
      <w:pPr>
        <w:ind w:left="425" w:hanging="425"/>
      </w:pPr>
      <w:rPr>
        <w:rFonts w:hint="default"/>
      </w:rPr>
    </w:lvl>
  </w:abstractNum>
  <w:abstractNum w:abstractNumId="7" w15:restartNumberingAfterBreak="0">
    <w:nsid w:val="4FFBB26E"/>
    <w:multiLevelType w:val="multilevel"/>
    <w:tmpl w:val="4FFBB26E"/>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7E41D742"/>
    <w:multiLevelType w:val="singleLevel"/>
    <w:tmpl w:val="7E41D742"/>
    <w:lvl w:ilvl="0">
      <w:start w:val="1"/>
      <w:numFmt w:val="decimal"/>
      <w:lvlText w:val="%1."/>
      <w:lvlJc w:val="left"/>
      <w:pPr>
        <w:ind w:left="425" w:hanging="425"/>
      </w:pPr>
      <w:rPr>
        <w:rFonts w:hint="default"/>
      </w:rPr>
    </w:lvl>
  </w:abstractNum>
  <w:num w:numId="1">
    <w:abstractNumId w:val="4"/>
  </w:num>
  <w:num w:numId="2">
    <w:abstractNumId w:val="0"/>
  </w:num>
  <w:num w:numId="3">
    <w:abstractNumId w:val="7"/>
  </w:num>
  <w:num w:numId="4">
    <w:abstractNumId w:val="2"/>
  </w:num>
  <w:num w:numId="5">
    <w:abstractNumId w:val="6"/>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OGMyMDdiZjI2MzU0MWE4MTY0YjIyMGFlZWE3ZWEifQ=="/>
  </w:docVars>
  <w:rsids>
    <w:rsidRoot w:val="001A41BA"/>
    <w:rsid w:val="000002D0"/>
    <w:rsid w:val="000055F8"/>
    <w:rsid w:val="00024284"/>
    <w:rsid w:val="0004287C"/>
    <w:rsid w:val="00053411"/>
    <w:rsid w:val="000551A2"/>
    <w:rsid w:val="00072859"/>
    <w:rsid w:val="00091AC3"/>
    <w:rsid w:val="000D0B34"/>
    <w:rsid w:val="000D646E"/>
    <w:rsid w:val="000E1BA0"/>
    <w:rsid w:val="000F5448"/>
    <w:rsid w:val="001230D4"/>
    <w:rsid w:val="001511BC"/>
    <w:rsid w:val="00170E6E"/>
    <w:rsid w:val="0018550F"/>
    <w:rsid w:val="001A1DA9"/>
    <w:rsid w:val="001A41BA"/>
    <w:rsid w:val="001E7A83"/>
    <w:rsid w:val="00215428"/>
    <w:rsid w:val="00235023"/>
    <w:rsid w:val="002652AB"/>
    <w:rsid w:val="002847B3"/>
    <w:rsid w:val="002848F6"/>
    <w:rsid w:val="002A3A29"/>
    <w:rsid w:val="002A5218"/>
    <w:rsid w:val="002D3D20"/>
    <w:rsid w:val="002D7737"/>
    <w:rsid w:val="002F0B9D"/>
    <w:rsid w:val="00303065"/>
    <w:rsid w:val="00310A2C"/>
    <w:rsid w:val="00322F18"/>
    <w:rsid w:val="003327D6"/>
    <w:rsid w:val="003337DA"/>
    <w:rsid w:val="003612C7"/>
    <w:rsid w:val="00396EF4"/>
    <w:rsid w:val="003B4CF3"/>
    <w:rsid w:val="003C16E1"/>
    <w:rsid w:val="003D7251"/>
    <w:rsid w:val="00425E88"/>
    <w:rsid w:val="00465B67"/>
    <w:rsid w:val="00465DC1"/>
    <w:rsid w:val="004734EF"/>
    <w:rsid w:val="004B01D3"/>
    <w:rsid w:val="00521D31"/>
    <w:rsid w:val="00522BD0"/>
    <w:rsid w:val="005326D4"/>
    <w:rsid w:val="00552033"/>
    <w:rsid w:val="00585B2C"/>
    <w:rsid w:val="0059660C"/>
    <w:rsid w:val="005D6338"/>
    <w:rsid w:val="005E3132"/>
    <w:rsid w:val="006338F7"/>
    <w:rsid w:val="00644BC0"/>
    <w:rsid w:val="00673321"/>
    <w:rsid w:val="0068727C"/>
    <w:rsid w:val="006B344C"/>
    <w:rsid w:val="006C3364"/>
    <w:rsid w:val="006C337E"/>
    <w:rsid w:val="006C789D"/>
    <w:rsid w:val="006D1862"/>
    <w:rsid w:val="00731579"/>
    <w:rsid w:val="00741665"/>
    <w:rsid w:val="00744604"/>
    <w:rsid w:val="00770627"/>
    <w:rsid w:val="007779D3"/>
    <w:rsid w:val="007B7AC0"/>
    <w:rsid w:val="007E0F37"/>
    <w:rsid w:val="0083513F"/>
    <w:rsid w:val="008519F5"/>
    <w:rsid w:val="00871A30"/>
    <w:rsid w:val="00872192"/>
    <w:rsid w:val="00896473"/>
    <w:rsid w:val="008A1EA5"/>
    <w:rsid w:val="008B0AE8"/>
    <w:rsid w:val="008D774B"/>
    <w:rsid w:val="008F4C4E"/>
    <w:rsid w:val="00902F06"/>
    <w:rsid w:val="00975D66"/>
    <w:rsid w:val="009A1A46"/>
    <w:rsid w:val="009A5562"/>
    <w:rsid w:val="009B28E7"/>
    <w:rsid w:val="009C7B41"/>
    <w:rsid w:val="00A278C0"/>
    <w:rsid w:val="00A357C3"/>
    <w:rsid w:val="00A65018"/>
    <w:rsid w:val="00A75D2A"/>
    <w:rsid w:val="00A81B5C"/>
    <w:rsid w:val="00A8719A"/>
    <w:rsid w:val="00A900E9"/>
    <w:rsid w:val="00AA6C7C"/>
    <w:rsid w:val="00AD15C4"/>
    <w:rsid w:val="00AF544F"/>
    <w:rsid w:val="00B94B93"/>
    <w:rsid w:val="00BA0516"/>
    <w:rsid w:val="00BB3794"/>
    <w:rsid w:val="00BE09D0"/>
    <w:rsid w:val="00BE0A5B"/>
    <w:rsid w:val="00C0011E"/>
    <w:rsid w:val="00C0516E"/>
    <w:rsid w:val="00C116BB"/>
    <w:rsid w:val="00C314A7"/>
    <w:rsid w:val="00C57D52"/>
    <w:rsid w:val="00C65491"/>
    <w:rsid w:val="00C7081D"/>
    <w:rsid w:val="00C9160C"/>
    <w:rsid w:val="00C93624"/>
    <w:rsid w:val="00C94983"/>
    <w:rsid w:val="00CD740C"/>
    <w:rsid w:val="00CE2271"/>
    <w:rsid w:val="00D008D6"/>
    <w:rsid w:val="00D073B7"/>
    <w:rsid w:val="00D34A03"/>
    <w:rsid w:val="00D47E09"/>
    <w:rsid w:val="00D6527F"/>
    <w:rsid w:val="00D90066"/>
    <w:rsid w:val="00DB7864"/>
    <w:rsid w:val="00DD187E"/>
    <w:rsid w:val="00E135BB"/>
    <w:rsid w:val="00E222B3"/>
    <w:rsid w:val="00E579FB"/>
    <w:rsid w:val="00E6259B"/>
    <w:rsid w:val="00E663A2"/>
    <w:rsid w:val="00E701C8"/>
    <w:rsid w:val="00E73052"/>
    <w:rsid w:val="00EA0A52"/>
    <w:rsid w:val="00ED4863"/>
    <w:rsid w:val="00EE5355"/>
    <w:rsid w:val="00EF1CC9"/>
    <w:rsid w:val="00EF546E"/>
    <w:rsid w:val="00F00B1F"/>
    <w:rsid w:val="00F14ACD"/>
    <w:rsid w:val="00F14E37"/>
    <w:rsid w:val="00F3535A"/>
    <w:rsid w:val="00F64821"/>
    <w:rsid w:val="00F9082D"/>
    <w:rsid w:val="00F92174"/>
    <w:rsid w:val="00FA5996"/>
    <w:rsid w:val="00FB613A"/>
    <w:rsid w:val="00FC18B3"/>
    <w:rsid w:val="00FC27F4"/>
    <w:rsid w:val="00FF0181"/>
    <w:rsid w:val="00FF3A1F"/>
    <w:rsid w:val="01845684"/>
    <w:rsid w:val="01DD59FB"/>
    <w:rsid w:val="02C725CC"/>
    <w:rsid w:val="03394157"/>
    <w:rsid w:val="034A70C0"/>
    <w:rsid w:val="03E04968"/>
    <w:rsid w:val="043B2EAD"/>
    <w:rsid w:val="04504BAA"/>
    <w:rsid w:val="04D05CEB"/>
    <w:rsid w:val="04D27079"/>
    <w:rsid w:val="04D550AF"/>
    <w:rsid w:val="060379FA"/>
    <w:rsid w:val="06A20FC1"/>
    <w:rsid w:val="076653B1"/>
    <w:rsid w:val="07972AF0"/>
    <w:rsid w:val="07F10452"/>
    <w:rsid w:val="09CC06C0"/>
    <w:rsid w:val="0A3040DA"/>
    <w:rsid w:val="0A3A4E30"/>
    <w:rsid w:val="0A4F320E"/>
    <w:rsid w:val="0ADA341F"/>
    <w:rsid w:val="0AEB73DB"/>
    <w:rsid w:val="0BED6D67"/>
    <w:rsid w:val="0CCC6D98"/>
    <w:rsid w:val="0D0429D6"/>
    <w:rsid w:val="0D5D1B88"/>
    <w:rsid w:val="0D967279"/>
    <w:rsid w:val="0D9F44AC"/>
    <w:rsid w:val="0DDA13E0"/>
    <w:rsid w:val="0E1B1311"/>
    <w:rsid w:val="0E8C1181"/>
    <w:rsid w:val="0EE54141"/>
    <w:rsid w:val="0F781459"/>
    <w:rsid w:val="0FB56209"/>
    <w:rsid w:val="10833C11"/>
    <w:rsid w:val="10F20D97"/>
    <w:rsid w:val="111B02EE"/>
    <w:rsid w:val="11270A41"/>
    <w:rsid w:val="116B5E0B"/>
    <w:rsid w:val="127E0B34"/>
    <w:rsid w:val="12A10CC7"/>
    <w:rsid w:val="13370E14"/>
    <w:rsid w:val="13CF0694"/>
    <w:rsid w:val="13F310AE"/>
    <w:rsid w:val="140432BB"/>
    <w:rsid w:val="141C6857"/>
    <w:rsid w:val="14DC1116"/>
    <w:rsid w:val="15963FB5"/>
    <w:rsid w:val="15B97F07"/>
    <w:rsid w:val="15BD1974"/>
    <w:rsid w:val="1627221C"/>
    <w:rsid w:val="16351E52"/>
    <w:rsid w:val="1651030E"/>
    <w:rsid w:val="1740460A"/>
    <w:rsid w:val="1789621C"/>
    <w:rsid w:val="178A7F7B"/>
    <w:rsid w:val="178D35C8"/>
    <w:rsid w:val="17991F6C"/>
    <w:rsid w:val="17EE79CE"/>
    <w:rsid w:val="18636D79"/>
    <w:rsid w:val="18E65685"/>
    <w:rsid w:val="197B5DCD"/>
    <w:rsid w:val="1A642D06"/>
    <w:rsid w:val="1A862EE7"/>
    <w:rsid w:val="1A966FBD"/>
    <w:rsid w:val="1AEE0821"/>
    <w:rsid w:val="1B485E51"/>
    <w:rsid w:val="1B972C67"/>
    <w:rsid w:val="1BCF2401"/>
    <w:rsid w:val="1BD73C5B"/>
    <w:rsid w:val="1BE10EA6"/>
    <w:rsid w:val="1C2F2E9F"/>
    <w:rsid w:val="1CB25FAA"/>
    <w:rsid w:val="1E332C94"/>
    <w:rsid w:val="1E825C9D"/>
    <w:rsid w:val="1EB661F5"/>
    <w:rsid w:val="1EE13197"/>
    <w:rsid w:val="1F110784"/>
    <w:rsid w:val="1F3031B6"/>
    <w:rsid w:val="1F703EFB"/>
    <w:rsid w:val="1F811C64"/>
    <w:rsid w:val="1F8F4381"/>
    <w:rsid w:val="1FA729A9"/>
    <w:rsid w:val="1FCA7A33"/>
    <w:rsid w:val="1FE02BDF"/>
    <w:rsid w:val="1FE02E2E"/>
    <w:rsid w:val="20681EAC"/>
    <w:rsid w:val="212234DC"/>
    <w:rsid w:val="21584C46"/>
    <w:rsid w:val="21617EC2"/>
    <w:rsid w:val="2181419D"/>
    <w:rsid w:val="21ED74ED"/>
    <w:rsid w:val="22680EB9"/>
    <w:rsid w:val="2297354C"/>
    <w:rsid w:val="22FF3A5B"/>
    <w:rsid w:val="22FF7A6F"/>
    <w:rsid w:val="23405992"/>
    <w:rsid w:val="23C16AD3"/>
    <w:rsid w:val="245C4A4D"/>
    <w:rsid w:val="2591184A"/>
    <w:rsid w:val="25B30B82"/>
    <w:rsid w:val="25B44BE3"/>
    <w:rsid w:val="25F9553A"/>
    <w:rsid w:val="25FF1B34"/>
    <w:rsid w:val="267D73CE"/>
    <w:rsid w:val="272922EB"/>
    <w:rsid w:val="291E49C7"/>
    <w:rsid w:val="29A53D63"/>
    <w:rsid w:val="29B82129"/>
    <w:rsid w:val="2A474CFC"/>
    <w:rsid w:val="2A846AAC"/>
    <w:rsid w:val="2AD21972"/>
    <w:rsid w:val="2B163BA8"/>
    <w:rsid w:val="2B487ADA"/>
    <w:rsid w:val="2B563CAE"/>
    <w:rsid w:val="2BD61589"/>
    <w:rsid w:val="2C0B2FE1"/>
    <w:rsid w:val="2C3B198A"/>
    <w:rsid w:val="2C3E2A2D"/>
    <w:rsid w:val="2C9C00DD"/>
    <w:rsid w:val="2CD57BB9"/>
    <w:rsid w:val="2D144117"/>
    <w:rsid w:val="2D964B2C"/>
    <w:rsid w:val="2DAA682A"/>
    <w:rsid w:val="2DE51610"/>
    <w:rsid w:val="2EF53AD4"/>
    <w:rsid w:val="2F6D5D61"/>
    <w:rsid w:val="2F9E416C"/>
    <w:rsid w:val="31557F29"/>
    <w:rsid w:val="32DE6BCF"/>
    <w:rsid w:val="32F50547"/>
    <w:rsid w:val="32F507FD"/>
    <w:rsid w:val="331C1F78"/>
    <w:rsid w:val="33396D97"/>
    <w:rsid w:val="33890C8F"/>
    <w:rsid w:val="33990027"/>
    <w:rsid w:val="339E0904"/>
    <w:rsid w:val="349F4C0E"/>
    <w:rsid w:val="34C401D1"/>
    <w:rsid w:val="34D04DC8"/>
    <w:rsid w:val="35681D3B"/>
    <w:rsid w:val="35F22391"/>
    <w:rsid w:val="36145188"/>
    <w:rsid w:val="363D46DF"/>
    <w:rsid w:val="3777792B"/>
    <w:rsid w:val="37F7266B"/>
    <w:rsid w:val="3857135C"/>
    <w:rsid w:val="386A72E1"/>
    <w:rsid w:val="38B93DC5"/>
    <w:rsid w:val="39C26CA9"/>
    <w:rsid w:val="3AD66EB0"/>
    <w:rsid w:val="3B7D557D"/>
    <w:rsid w:val="3BB84807"/>
    <w:rsid w:val="3BD268F5"/>
    <w:rsid w:val="3C003CFD"/>
    <w:rsid w:val="3C2B63C9"/>
    <w:rsid w:val="3D491BBB"/>
    <w:rsid w:val="3D98669F"/>
    <w:rsid w:val="3DFD4754"/>
    <w:rsid w:val="3E1A3557"/>
    <w:rsid w:val="3ED6747E"/>
    <w:rsid w:val="3F3E18C4"/>
    <w:rsid w:val="40153FD6"/>
    <w:rsid w:val="40574C5C"/>
    <w:rsid w:val="405E3BCF"/>
    <w:rsid w:val="4067554E"/>
    <w:rsid w:val="420608F5"/>
    <w:rsid w:val="42621029"/>
    <w:rsid w:val="42B74801"/>
    <w:rsid w:val="42F057C5"/>
    <w:rsid w:val="432F247C"/>
    <w:rsid w:val="4359067E"/>
    <w:rsid w:val="438C0A54"/>
    <w:rsid w:val="442E1B55"/>
    <w:rsid w:val="4431238B"/>
    <w:rsid w:val="44F70C6A"/>
    <w:rsid w:val="470B6133"/>
    <w:rsid w:val="471054F8"/>
    <w:rsid w:val="473F5DDD"/>
    <w:rsid w:val="486755EB"/>
    <w:rsid w:val="487D6656"/>
    <w:rsid w:val="48A23B4D"/>
    <w:rsid w:val="48A96D36"/>
    <w:rsid w:val="48D52555"/>
    <w:rsid w:val="48F618EF"/>
    <w:rsid w:val="495F19A9"/>
    <w:rsid w:val="4A66686F"/>
    <w:rsid w:val="4AB63B11"/>
    <w:rsid w:val="4BC71EA1"/>
    <w:rsid w:val="4BFC604B"/>
    <w:rsid w:val="4C612351"/>
    <w:rsid w:val="4CB05AA4"/>
    <w:rsid w:val="4D700A9E"/>
    <w:rsid w:val="4D926C66"/>
    <w:rsid w:val="4DAB5F7A"/>
    <w:rsid w:val="4DC64B62"/>
    <w:rsid w:val="4DDF79D2"/>
    <w:rsid w:val="4E5B79A0"/>
    <w:rsid w:val="4E9B1B4B"/>
    <w:rsid w:val="4EB644E8"/>
    <w:rsid w:val="4EEF12BF"/>
    <w:rsid w:val="4EFE20DA"/>
    <w:rsid w:val="4F0E67C1"/>
    <w:rsid w:val="4F8D1DDB"/>
    <w:rsid w:val="4FD317B8"/>
    <w:rsid w:val="50446212"/>
    <w:rsid w:val="50D650BC"/>
    <w:rsid w:val="516E1EF8"/>
    <w:rsid w:val="5174109B"/>
    <w:rsid w:val="51750F9F"/>
    <w:rsid w:val="52343C76"/>
    <w:rsid w:val="52D5107D"/>
    <w:rsid w:val="52E00474"/>
    <w:rsid w:val="52E75AB2"/>
    <w:rsid w:val="531B14AC"/>
    <w:rsid w:val="5325734E"/>
    <w:rsid w:val="53AE2320"/>
    <w:rsid w:val="543D6BFA"/>
    <w:rsid w:val="55024486"/>
    <w:rsid w:val="55346855"/>
    <w:rsid w:val="555667CB"/>
    <w:rsid w:val="55621853"/>
    <w:rsid w:val="55DA5F23"/>
    <w:rsid w:val="55F52488"/>
    <w:rsid w:val="56DD3BA6"/>
    <w:rsid w:val="573945F7"/>
    <w:rsid w:val="57684EDC"/>
    <w:rsid w:val="57925F3D"/>
    <w:rsid w:val="57B74973"/>
    <w:rsid w:val="57FE2B69"/>
    <w:rsid w:val="595369EB"/>
    <w:rsid w:val="5B9B5880"/>
    <w:rsid w:val="5B9C2140"/>
    <w:rsid w:val="5BC369D3"/>
    <w:rsid w:val="5C0810EA"/>
    <w:rsid w:val="5C381817"/>
    <w:rsid w:val="5C3842C4"/>
    <w:rsid w:val="5C44326A"/>
    <w:rsid w:val="5C55644D"/>
    <w:rsid w:val="5CA40764"/>
    <w:rsid w:val="5CC166AB"/>
    <w:rsid w:val="5D3E3A06"/>
    <w:rsid w:val="5D443881"/>
    <w:rsid w:val="5D5932FD"/>
    <w:rsid w:val="5DA17381"/>
    <w:rsid w:val="5DB20C5F"/>
    <w:rsid w:val="5E675BDA"/>
    <w:rsid w:val="5E930A90"/>
    <w:rsid w:val="609B00D0"/>
    <w:rsid w:val="6142054C"/>
    <w:rsid w:val="61C3168D"/>
    <w:rsid w:val="62A52B40"/>
    <w:rsid w:val="630E06E5"/>
    <w:rsid w:val="638E7A78"/>
    <w:rsid w:val="641C5084"/>
    <w:rsid w:val="648F5856"/>
    <w:rsid w:val="64A84B6A"/>
    <w:rsid w:val="64C73242"/>
    <w:rsid w:val="651F307E"/>
    <w:rsid w:val="655A2308"/>
    <w:rsid w:val="65881815"/>
    <w:rsid w:val="667C2BD6"/>
    <w:rsid w:val="66A94484"/>
    <w:rsid w:val="66BE68C6"/>
    <w:rsid w:val="66EF4CD2"/>
    <w:rsid w:val="670A38BA"/>
    <w:rsid w:val="673C0183"/>
    <w:rsid w:val="676A67F3"/>
    <w:rsid w:val="67A77396"/>
    <w:rsid w:val="68721717"/>
    <w:rsid w:val="68817BAC"/>
    <w:rsid w:val="697E66F5"/>
    <w:rsid w:val="698E2580"/>
    <w:rsid w:val="6A222CC8"/>
    <w:rsid w:val="6A572E84"/>
    <w:rsid w:val="6A635FA8"/>
    <w:rsid w:val="6C223454"/>
    <w:rsid w:val="6C3844DF"/>
    <w:rsid w:val="6C90660F"/>
    <w:rsid w:val="6D0668D1"/>
    <w:rsid w:val="6DBB76BC"/>
    <w:rsid w:val="6DC9627D"/>
    <w:rsid w:val="6DCC25C4"/>
    <w:rsid w:val="6E020E0C"/>
    <w:rsid w:val="6E3D4575"/>
    <w:rsid w:val="6EFE1F56"/>
    <w:rsid w:val="6F4656AB"/>
    <w:rsid w:val="6FA80114"/>
    <w:rsid w:val="6FAA7D57"/>
    <w:rsid w:val="70052E70"/>
    <w:rsid w:val="709D579F"/>
    <w:rsid w:val="70CB04E6"/>
    <w:rsid w:val="71267175"/>
    <w:rsid w:val="71333518"/>
    <w:rsid w:val="728104CC"/>
    <w:rsid w:val="72916C3D"/>
    <w:rsid w:val="72B03567"/>
    <w:rsid w:val="72C40DC1"/>
    <w:rsid w:val="73B057E9"/>
    <w:rsid w:val="744C524C"/>
    <w:rsid w:val="74BC2B1A"/>
    <w:rsid w:val="74EC4785"/>
    <w:rsid w:val="7557618A"/>
    <w:rsid w:val="75F3251B"/>
    <w:rsid w:val="75FE6CDF"/>
    <w:rsid w:val="76177B23"/>
    <w:rsid w:val="763B75EC"/>
    <w:rsid w:val="763D100B"/>
    <w:rsid w:val="76516E0F"/>
    <w:rsid w:val="768014A2"/>
    <w:rsid w:val="76F61765"/>
    <w:rsid w:val="77136EE6"/>
    <w:rsid w:val="794B223C"/>
    <w:rsid w:val="79825532"/>
    <w:rsid w:val="7A820227"/>
    <w:rsid w:val="7AD41DBD"/>
    <w:rsid w:val="7AFE32DE"/>
    <w:rsid w:val="7B762E74"/>
    <w:rsid w:val="7BC67B45"/>
    <w:rsid w:val="7C09425B"/>
    <w:rsid w:val="7C647170"/>
    <w:rsid w:val="7C7E6484"/>
    <w:rsid w:val="7C920181"/>
    <w:rsid w:val="7CDB38D7"/>
    <w:rsid w:val="7CF93D5D"/>
    <w:rsid w:val="7D667F1E"/>
    <w:rsid w:val="7DD07777"/>
    <w:rsid w:val="7DDB3462"/>
    <w:rsid w:val="7DF10ED8"/>
    <w:rsid w:val="7E600C9E"/>
    <w:rsid w:val="7F5B0CFF"/>
    <w:rsid w:val="7F767868"/>
    <w:rsid w:val="7F78540D"/>
    <w:rsid w:val="7F8364BF"/>
    <w:rsid w:val="7F87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75B5EC"/>
  <w15:docId w15:val="{E2E38B66-8472-4CD4-A6C7-810CEF61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uiPriority w:val="99"/>
    <w:qFormat/>
    <w:pPr>
      <w:keepNext/>
      <w:keepLines/>
      <w:spacing w:before="340" w:after="330" w:line="578" w:lineRule="auto"/>
      <w:outlineLvl w:val="0"/>
    </w:pPr>
    <w:rPr>
      <w:b/>
      <w:bCs/>
      <w:kern w:val="44"/>
      <w:sz w:val="32"/>
      <w:szCs w:val="32"/>
    </w:rPr>
  </w:style>
  <w:style w:type="paragraph" w:styleId="2">
    <w:name w:val="heading 2"/>
    <w:basedOn w:val="a"/>
    <w:next w:val="a"/>
    <w:link w:val="20"/>
    <w:uiPriority w:val="9"/>
    <w:unhideWhenUsed/>
    <w:qFormat/>
    <w:pPr>
      <w:keepNext/>
      <w:keepLines/>
      <w:spacing w:before="120" w:line="360" w:lineRule="auto"/>
      <w:ind w:firstLine="693"/>
      <w:outlineLvl w:val="1"/>
    </w:pPr>
    <w:rPr>
      <w:rFonts w:ascii="Calibri Light" w:hAnsi="Calibri Light"/>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sz w:val="28"/>
      <w:szCs w:val="20"/>
    </w:rPr>
  </w:style>
  <w:style w:type="paragraph" w:styleId="a4">
    <w:name w:val="caption"/>
    <w:basedOn w:val="a"/>
    <w:next w:val="a"/>
    <w:uiPriority w:val="35"/>
    <w:semiHidden/>
    <w:unhideWhenUsed/>
    <w:qFormat/>
    <w:rPr>
      <w:rFonts w:ascii="Arial" w:eastAsia="黑体" w:hAnsi="Arial"/>
      <w:sz w:val="20"/>
    </w:rPr>
  </w:style>
  <w:style w:type="paragraph" w:styleId="a5">
    <w:name w:val="annotation text"/>
    <w:basedOn w:val="a"/>
    <w:link w:val="a6"/>
    <w:uiPriority w:val="99"/>
    <w:unhideWhenUsed/>
    <w:qFormat/>
    <w:pPr>
      <w:jc w:val="left"/>
    </w:pPr>
  </w:style>
  <w:style w:type="paragraph" w:styleId="a7">
    <w:name w:val="Body Text"/>
    <w:basedOn w:val="a"/>
    <w:next w:val="a"/>
    <w:uiPriority w:val="99"/>
    <w:qFormat/>
    <w:pPr>
      <w:autoSpaceDE w:val="0"/>
      <w:autoSpaceDN w:val="0"/>
      <w:ind w:firstLineChars="200" w:firstLine="480"/>
      <w:jc w:val="left"/>
    </w:pPr>
    <w:rPr>
      <w:rFonts w:ascii="仿宋" w:hAnsi="仿宋" w:cs="仿宋"/>
      <w:kern w:val="0"/>
    </w:rPr>
  </w:style>
  <w:style w:type="paragraph" w:styleId="a8">
    <w:name w:val="Plain Text"/>
    <w:basedOn w:val="a"/>
    <w:link w:val="a9"/>
    <w:uiPriority w:val="99"/>
    <w:qFormat/>
    <w:rPr>
      <w:rFonts w:ascii="宋体" w:hAnsi="Courier New" w:cs="Times New Roman"/>
      <w:szCs w:val="21"/>
    </w:rPr>
  </w:style>
  <w:style w:type="paragraph" w:styleId="aa">
    <w:name w:val="Balloon Text"/>
    <w:basedOn w:val="a"/>
    <w:link w:val="ab"/>
    <w:uiPriority w:val="99"/>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spacing w:beforeAutospacing="1" w:afterAutospacing="1"/>
      <w:jc w:val="left"/>
    </w:pPr>
    <w:rPr>
      <w:rFonts w:cs="Times New Roman"/>
      <w:kern w:val="0"/>
      <w:sz w:val="24"/>
    </w:rPr>
  </w:style>
  <w:style w:type="paragraph" w:styleId="af1">
    <w:name w:val="annotation subject"/>
    <w:basedOn w:val="a5"/>
    <w:next w:val="a5"/>
    <w:link w:val="af2"/>
    <w:uiPriority w:val="99"/>
    <w:unhideWhenUsed/>
    <w:qFormat/>
    <w:rPr>
      <w:b/>
      <w:bCs/>
    </w:rPr>
  </w:style>
  <w:style w:type="character" w:styleId="af3">
    <w:name w:val="Strong"/>
    <w:basedOn w:val="a0"/>
    <w:uiPriority w:val="22"/>
    <w:qFormat/>
    <w:rPr>
      <w:b/>
    </w:rPr>
  </w:style>
  <w:style w:type="character" w:styleId="af4">
    <w:name w:val="Emphasis"/>
    <w:basedOn w:val="a0"/>
    <w:uiPriority w:val="20"/>
    <w:qFormat/>
    <w:rPr>
      <w:i/>
    </w:rPr>
  </w:style>
  <w:style w:type="character" w:styleId="af5">
    <w:name w:val="annotation reference"/>
    <w:basedOn w:val="a0"/>
    <w:uiPriority w:val="99"/>
    <w:unhideWhenUsed/>
    <w:qFormat/>
    <w:rPr>
      <w:sz w:val="21"/>
      <w:szCs w:val="21"/>
    </w:rPr>
  </w:style>
  <w:style w:type="character" w:styleId="HTML">
    <w:name w:val="HTML Sample"/>
    <w:basedOn w:val="a0"/>
    <w:qFormat/>
    <w:rPr>
      <w:rFonts w:ascii="Courier New" w:hAnsi="Courier New"/>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9">
    <w:name w:val="纯文本 字符"/>
    <w:basedOn w:val="a0"/>
    <w:link w:val="a8"/>
    <w:uiPriority w:val="99"/>
    <w:qFormat/>
    <w:rPr>
      <w:rFonts w:ascii="宋体" w:eastAsia="宋体" w:hAnsi="Courier New" w:cs="Times New Roman"/>
      <w:szCs w:val="21"/>
    </w:rPr>
  </w:style>
  <w:style w:type="character" w:customStyle="1" w:styleId="20">
    <w:name w:val="标题 2 字符"/>
    <w:basedOn w:val="a0"/>
    <w:link w:val="2"/>
    <w:qFormat/>
    <w:rPr>
      <w:rFonts w:ascii="Calibri Light" w:eastAsia="宋体" w:hAnsi="Calibri Light" w:cs="宋体"/>
      <w:b/>
      <w:bCs/>
      <w:sz w:val="32"/>
      <w:szCs w:val="32"/>
    </w:rPr>
  </w:style>
  <w:style w:type="paragraph" w:customStyle="1" w:styleId="-">
    <w:name w:val="样式-正文"/>
    <w:qFormat/>
    <w:pPr>
      <w:keepNext/>
      <w:widowControl w:val="0"/>
      <w:spacing w:line="560" w:lineRule="exact"/>
      <w:ind w:firstLine="200"/>
      <w:jc w:val="both"/>
    </w:pPr>
    <w:rPr>
      <w:rFonts w:ascii="Arial Unicode MS" w:eastAsia="Arial Unicode MS" w:cs="Arial Unicode MS"/>
      <w:color w:val="000000"/>
      <w:sz w:val="30"/>
      <w:szCs w:val="30"/>
      <w:u w:color="000000"/>
    </w:rPr>
  </w:style>
  <w:style w:type="character" w:customStyle="1" w:styleId="ab">
    <w:name w:val="批注框文本 字符"/>
    <w:basedOn w:val="a0"/>
    <w:link w:val="aa"/>
    <w:uiPriority w:val="99"/>
    <w:semiHidden/>
    <w:qFormat/>
    <w:rPr>
      <w:sz w:val="18"/>
      <w:szCs w:val="18"/>
    </w:rPr>
  </w:style>
  <w:style w:type="character" w:customStyle="1" w:styleId="a6">
    <w:name w:val="批注文字 字符"/>
    <w:basedOn w:val="a0"/>
    <w:link w:val="a5"/>
    <w:uiPriority w:val="99"/>
    <w:qFormat/>
  </w:style>
  <w:style w:type="character" w:customStyle="1" w:styleId="af2">
    <w:name w:val="批注主题 字符"/>
    <w:basedOn w:val="a6"/>
    <w:link w:val="af1"/>
    <w:uiPriority w:val="99"/>
    <w:semiHidden/>
    <w:qFormat/>
    <w:rPr>
      <w:b/>
      <w:bCs/>
    </w:rPr>
  </w:style>
  <w:style w:type="paragraph" w:customStyle="1" w:styleId="af6">
    <w:name w:val="规范正文"/>
    <w:basedOn w:val="a"/>
    <w:link w:val="Char"/>
    <w:qFormat/>
    <w:pPr>
      <w:spacing w:line="600" w:lineRule="exact"/>
      <w:ind w:firstLineChars="200" w:firstLine="800"/>
    </w:pPr>
    <w:rPr>
      <w:rFonts w:eastAsia="仿宋_GB2312"/>
      <w:kern w:val="0"/>
      <w:sz w:val="32"/>
      <w:szCs w:val="20"/>
    </w:rPr>
  </w:style>
  <w:style w:type="paragraph" w:customStyle="1" w:styleId="30">
    <w:name w:val="规范标题3"/>
    <w:basedOn w:val="af6"/>
    <w:next w:val="af6"/>
    <w:qFormat/>
    <w:pPr>
      <w:outlineLvl w:val="2"/>
    </w:pPr>
    <w:rPr>
      <w:b/>
      <w:bCs/>
    </w:rPr>
  </w:style>
  <w:style w:type="paragraph" w:customStyle="1" w:styleId="21">
    <w:name w:val="规范标题2"/>
    <w:basedOn w:val="10"/>
    <w:next w:val="af6"/>
    <w:link w:val="2Char"/>
    <w:qFormat/>
    <w:pPr>
      <w:ind w:firstLine="640"/>
      <w:outlineLvl w:val="1"/>
    </w:pPr>
    <w:rPr>
      <w:rFonts w:ascii="Times New Roman" w:eastAsia="楷体_GB2312" w:hAnsi="Times New Roman"/>
      <w:szCs w:val="32"/>
    </w:rPr>
  </w:style>
  <w:style w:type="paragraph" w:customStyle="1" w:styleId="10">
    <w:name w:val="规范标题1"/>
    <w:basedOn w:val="af6"/>
    <w:next w:val="af6"/>
    <w:qFormat/>
    <w:pPr>
      <w:outlineLvl w:val="0"/>
    </w:pPr>
    <w:rPr>
      <w:rFonts w:eastAsia="黑体"/>
    </w:rPr>
  </w:style>
  <w:style w:type="character" w:customStyle="1" w:styleId="Char">
    <w:name w:val="规范正文 Char"/>
    <w:link w:val="af6"/>
    <w:qFormat/>
    <w:rPr>
      <w:rFonts w:ascii="Calibri" w:eastAsia="仿宋_GB2312" w:hAnsi="Calibri"/>
      <w:kern w:val="0"/>
      <w:sz w:val="32"/>
      <w:szCs w:val="20"/>
    </w:rPr>
  </w:style>
  <w:style w:type="character" w:customStyle="1" w:styleId="2Char">
    <w:name w:val="规范标题2 Char"/>
    <w:link w:val="21"/>
    <w:qFormat/>
    <w:rPr>
      <w:rFonts w:ascii="Times New Roman" w:eastAsia="楷体_GB2312" w:hAnsi="Times New Roman"/>
      <w:szCs w:val="32"/>
    </w:rPr>
  </w:style>
  <w:style w:type="paragraph" w:customStyle="1" w:styleId="TableParagraph">
    <w:name w:val="Table Paragraph"/>
    <w:basedOn w:val="a"/>
    <w:uiPriority w:val="1"/>
    <w:qFormat/>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af7">
    <w:name w:val="可研正文"/>
    <w:basedOn w:val="a"/>
    <w:qFormat/>
    <w:pPr>
      <w:widowControl/>
      <w:adjustRightInd w:val="0"/>
      <w:ind w:firstLine="200"/>
    </w:pPr>
    <w:rPr>
      <w:rFonts w:ascii="仿宋" w:eastAsia="仿宋" w:hAnsi="仿宋"/>
      <w:kern w:val="0"/>
      <w:sz w:val="28"/>
      <w:szCs w:val="28"/>
    </w:rPr>
  </w:style>
  <w:style w:type="paragraph" w:customStyle="1" w:styleId="11">
    <w:name w:val="1正文"/>
    <w:basedOn w:val="a"/>
    <w:qFormat/>
    <w:pPr>
      <w:widowControl/>
      <w:tabs>
        <w:tab w:val="center" w:pos="4201"/>
        <w:tab w:val="right" w:leader="dot" w:pos="9298"/>
      </w:tabs>
      <w:autoSpaceDE w:val="0"/>
      <w:autoSpaceDN w:val="0"/>
      <w:ind w:firstLineChars="200" w:firstLine="560"/>
    </w:pPr>
    <w:rPr>
      <w:rFonts w:ascii="宋体" w:hAnsi="宋体"/>
      <w:kern w:val="0"/>
      <w:sz w:val="28"/>
      <w:szCs w:val="20"/>
    </w:rPr>
  </w:style>
  <w:style w:type="paragraph" w:customStyle="1" w:styleId="12">
    <w:name w:val="正文仿宋小四1"/>
    <w:basedOn w:val="a"/>
    <w:autoRedefine/>
    <w:qFormat/>
    <w:pPr>
      <w:spacing w:after="200" w:line="276" w:lineRule="auto"/>
    </w:pPr>
  </w:style>
  <w:style w:type="paragraph" w:styleId="af8">
    <w:name w:val="No Spacing"/>
    <w:basedOn w:val="a"/>
    <w:autoRedefine/>
    <w:uiPriority w:val="1"/>
    <w:qFormat/>
    <w:rPr>
      <w:sz w:val="22"/>
    </w:rPr>
  </w:style>
  <w:style w:type="paragraph" w:customStyle="1" w:styleId="af9">
    <w:name w:val="表题注"/>
    <w:next w:val="a"/>
    <w:qFormat/>
    <w:pPr>
      <w:spacing w:before="100" w:beforeAutospacing="1" w:line="240" w:lineRule="atLeast"/>
      <w:jc w:val="center"/>
    </w:pPr>
    <w:rPr>
      <w:rFonts w:eastAsia="仿宋"/>
      <w:b/>
      <w:kern w:val="2"/>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710</Words>
  <Characters>4053</Characters>
  <Application>Microsoft Office Word</Application>
  <DocSecurity>0</DocSecurity>
  <Lines>33</Lines>
  <Paragraphs>9</Paragraphs>
  <ScaleCrop>false</ScaleCrop>
  <Company>MS</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70</cp:revision>
  <dcterms:created xsi:type="dcterms:W3CDTF">2024-10-10T04:40:00Z</dcterms:created>
  <dcterms:modified xsi:type="dcterms:W3CDTF">2026-06-24T07:22:00Z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9EAD73025A9249099FC8294892872168_13</vt:lpwstr>
  </property>
  <property fmtid="{D5CDD505-2E9C-101B-9397-08002B2CF9AE}" pid="3" name="KSOTemplateDocerSaveRecord">
    <vt:lpwstr>eyJoZGlkIjoiNGIxMmJjOGE2NjI3ZTEyNmNmMzhmOTFmYTg5MjI1NTkiLCJ1c2VySWQiOiIxNjM5NjEyNjQ4In0=</vt:lpwstr>
  </property>
  <property fmtid="{D5CDD505-2E9C-101B-9397-08002B2CF9AE}" pid="4" name="KSOProductBuildVer">
    <vt:lpwstr>2052-12.1.0.25865</vt:lpwstr>
  </property>
</Properties>
</file>