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11895">
      <w:pPr>
        <w:pageBreakBefore w:val="0"/>
        <w:kinsoku/>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Times New Roman" w:hAnsi="Times New Roman" w:eastAsia="方正小标宋简体" w:cs="方正小标宋简体"/>
          <w:sz w:val="44"/>
          <w:szCs w:val="44"/>
          <w:highlight w:val="none"/>
          <w:lang w:val="en-US" w:eastAsia="zh-CN"/>
        </w:rPr>
        <w:t>2026</w:t>
      </w:r>
      <w:r>
        <w:rPr>
          <w:rFonts w:hint="eastAsia" w:ascii="方正小标宋简体" w:hAnsi="方正小标宋简体" w:eastAsia="方正小标宋简体" w:cs="方正小标宋简体"/>
          <w:sz w:val="44"/>
          <w:szCs w:val="44"/>
          <w:highlight w:val="none"/>
          <w:lang w:val="en-US" w:eastAsia="zh-CN"/>
        </w:rPr>
        <w:t>年青浦区电子政务核心机房服务</w:t>
      </w:r>
    </w:p>
    <w:p w14:paraId="3D2A62C8">
      <w:pPr>
        <w:pageBreakBefore w:val="0"/>
        <w:kinsoku/>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项目招标需求</w:t>
      </w:r>
    </w:p>
    <w:p w14:paraId="2C5C8DDA">
      <w:pPr>
        <w:pageBreakBefore w:val="0"/>
        <w:kinsoku/>
        <w:overflowPunct/>
        <w:topLinePunct w:val="0"/>
        <w:autoSpaceDE/>
        <w:autoSpaceDN/>
        <w:bidi w:val="0"/>
        <w:adjustRightInd/>
        <w:snapToGrid/>
        <w:spacing w:line="560" w:lineRule="exact"/>
        <w:jc w:val="center"/>
        <w:rPr>
          <w:rFonts w:hint="default" w:ascii="方正小标宋简体" w:hAnsi="方正小标宋简体" w:eastAsia="方正小标宋简体" w:cs="方正小标宋简体"/>
          <w:sz w:val="44"/>
          <w:szCs w:val="44"/>
          <w:highlight w:val="none"/>
          <w:lang w:val="en-US" w:eastAsia="zh-CN"/>
        </w:rPr>
      </w:pPr>
      <w:bookmarkStart w:id="0" w:name="_GoBack"/>
      <w:bookmarkEnd w:id="0"/>
    </w:p>
    <w:p w14:paraId="1A9C5507">
      <w:pPr>
        <w:pStyle w:val="4"/>
        <w:pageBreakBefore w:val="0"/>
        <w:numPr>
          <w:ilvl w:val="0"/>
          <w:numId w:val="2"/>
        </w:numPr>
        <w:kinsoku/>
        <w:overflowPunct/>
        <w:topLinePunct w:val="0"/>
        <w:autoSpaceDE/>
        <w:autoSpaceDN/>
        <w:bidi w:val="0"/>
        <w:adjustRightInd/>
        <w:snapToGrid/>
        <w:spacing w:line="560" w:lineRule="exact"/>
        <w:ind w:left="0" w:leftChars="0" w:firstLine="0" w:firstLineChars="0"/>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项目概况</w:t>
      </w:r>
    </w:p>
    <w:p w14:paraId="72404B5C">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eastAsia="仿宋_GB2312"/>
          <w:sz w:val="32"/>
          <w:szCs w:val="32"/>
          <w:highlight w:val="none"/>
        </w:rPr>
        <w:t>为有力保障</w:t>
      </w:r>
      <w:r>
        <w:rPr>
          <w:rFonts w:ascii="仿宋_GB2312" w:eastAsia="仿宋_GB2312"/>
          <w:sz w:val="32"/>
          <w:szCs w:val="32"/>
          <w:highlight w:val="none"/>
        </w:rPr>
        <w:t>全区电子政务核心网络及</w:t>
      </w:r>
      <w:r>
        <w:rPr>
          <w:rFonts w:hint="eastAsia" w:ascii="仿宋_GB2312" w:eastAsia="仿宋_GB2312"/>
          <w:sz w:val="32"/>
          <w:szCs w:val="32"/>
          <w:highlight w:val="none"/>
        </w:rPr>
        <w:t>系统</w:t>
      </w:r>
      <w:r>
        <w:rPr>
          <w:rFonts w:ascii="仿宋_GB2312" w:eastAsia="仿宋_GB2312"/>
          <w:sz w:val="32"/>
          <w:szCs w:val="32"/>
          <w:highlight w:val="none"/>
        </w:rPr>
        <w:t>设备可靠稳定运行，</w:t>
      </w:r>
      <w:r>
        <w:rPr>
          <w:rFonts w:hint="eastAsia" w:ascii="仿宋_GB2312" w:eastAsia="仿宋_GB2312"/>
          <w:sz w:val="32"/>
          <w:szCs w:val="32"/>
          <w:highlight w:val="none"/>
        </w:rPr>
        <w:t>积极</w:t>
      </w:r>
      <w:r>
        <w:rPr>
          <w:rFonts w:ascii="仿宋_GB2312" w:eastAsia="仿宋_GB2312"/>
          <w:sz w:val="32"/>
          <w:szCs w:val="32"/>
          <w:highlight w:val="none"/>
        </w:rPr>
        <w:t>推动数字政府</w:t>
      </w:r>
      <w:r>
        <w:rPr>
          <w:rFonts w:hint="eastAsia" w:ascii="仿宋_GB2312" w:eastAsia="仿宋_GB2312"/>
          <w:sz w:val="32"/>
          <w:szCs w:val="32"/>
          <w:highlight w:val="none"/>
        </w:rPr>
        <w:t>建设</w:t>
      </w:r>
      <w:r>
        <w:rPr>
          <w:rFonts w:hint="eastAsia" w:ascii="仿宋_GB2312" w:eastAsia="仿宋_GB2312"/>
          <w:sz w:val="32"/>
          <w:szCs w:val="32"/>
          <w:highlight w:val="none"/>
          <w:lang w:eastAsia="zh-CN"/>
        </w:rPr>
        <w:t>，</w:t>
      </w:r>
      <w:r>
        <w:rPr>
          <w:rFonts w:hint="eastAsia" w:ascii="仿宋_GB2312" w:hAnsi="仿宋_GB2312" w:eastAsia="仿宋_GB2312" w:cs="仿宋_GB2312"/>
          <w:color w:val="auto"/>
          <w:sz w:val="32"/>
          <w:szCs w:val="32"/>
          <w:highlight w:val="none"/>
        </w:rPr>
        <w:t>本项目为青浦区电子政务核心机房提供符合</w:t>
      </w:r>
      <w:r>
        <w:rPr>
          <w:rFonts w:hint="eastAsia" w:ascii="仿宋_GB2312" w:hAnsi="仿宋_GB2312" w:eastAsia="仿宋_GB2312" w:cs="仿宋_GB2312"/>
          <w:color w:val="auto"/>
          <w:sz w:val="32"/>
          <w:szCs w:val="32"/>
          <w:highlight w:val="none"/>
          <w:lang w:eastAsia="zh-CN"/>
        </w:rPr>
        <w:t>GB50174-2017《数据中心设计规范》</w:t>
      </w:r>
      <w:r>
        <w:rPr>
          <w:rFonts w:hint="eastAsia" w:ascii="仿宋_GB2312" w:hAnsi="仿宋_GB2312" w:eastAsia="仿宋_GB2312" w:cs="仿宋_GB2312"/>
          <w:color w:val="auto"/>
          <w:sz w:val="32"/>
          <w:szCs w:val="32"/>
          <w:highlight w:val="none"/>
        </w:rPr>
        <w:t>B级标准的机房运行环境。该机房位于公园路</w:t>
      </w:r>
      <w:r>
        <w:rPr>
          <w:rFonts w:hint="eastAsia" w:ascii="Times New Roman" w:hAnsi="Times New Roman" w:eastAsia="仿宋_GB2312" w:cs="Times New Roman"/>
          <w:i w:val="0"/>
          <w:iCs w:val="0"/>
          <w:color w:val="000000"/>
          <w:kern w:val="0"/>
          <w:sz w:val="32"/>
          <w:szCs w:val="32"/>
          <w:highlight w:val="none"/>
          <w:u w:val="none"/>
          <w:lang w:val="en-US" w:eastAsia="zh-CN" w:bidi="ar"/>
        </w:rPr>
        <w:t>86</w:t>
      </w:r>
      <w:r>
        <w:rPr>
          <w:rFonts w:hint="eastAsia" w:ascii="仿宋_GB2312" w:hAnsi="仿宋_GB2312" w:eastAsia="仿宋_GB2312" w:cs="仿宋_GB2312"/>
          <w:color w:val="auto"/>
          <w:sz w:val="32"/>
          <w:szCs w:val="32"/>
          <w:highlight w:val="none"/>
        </w:rPr>
        <w:t>弄</w:t>
      </w:r>
      <w:r>
        <w:rPr>
          <w:rFonts w:hint="eastAsia" w:ascii="Times New Roman" w:hAnsi="Times New Roman" w:eastAsia="仿宋_GB2312" w:cs="Times New Roman"/>
          <w:i w:val="0"/>
          <w:iCs w:val="0"/>
          <w:color w:val="000000"/>
          <w:kern w:val="0"/>
          <w:sz w:val="32"/>
          <w:szCs w:val="32"/>
          <w:highlight w:val="none"/>
          <w:u w:val="none"/>
          <w:lang w:val="en-US" w:eastAsia="zh-CN" w:bidi="ar"/>
        </w:rPr>
        <w:t>28</w:t>
      </w:r>
      <w:r>
        <w:rPr>
          <w:rFonts w:hint="eastAsia" w:ascii="仿宋_GB2312" w:hAnsi="仿宋_GB2312" w:eastAsia="仿宋_GB2312" w:cs="仿宋_GB2312"/>
          <w:color w:val="auto"/>
          <w:sz w:val="32"/>
          <w:szCs w:val="32"/>
          <w:highlight w:val="none"/>
        </w:rPr>
        <w:t>号原档案局（馆）大楼，范围为大楼底层（部分）及五层（整层），建筑面积共计</w:t>
      </w:r>
      <w:r>
        <w:rPr>
          <w:rFonts w:hint="eastAsia" w:ascii="Times New Roman" w:hAnsi="Times New Roman" w:eastAsia="仿宋_GB2312" w:cs="Times New Roman"/>
          <w:i w:val="0"/>
          <w:iCs w:val="0"/>
          <w:color w:val="000000"/>
          <w:kern w:val="0"/>
          <w:sz w:val="32"/>
          <w:szCs w:val="32"/>
          <w:highlight w:val="none"/>
          <w:u w:val="none"/>
          <w:lang w:val="en-US" w:eastAsia="zh-CN" w:bidi="ar"/>
        </w:rPr>
        <w:t>1072</w:t>
      </w:r>
      <w:r>
        <w:rPr>
          <w:rFonts w:hint="eastAsia" w:ascii="仿宋_GB2312" w:hAnsi="仿宋_GB2312" w:eastAsia="仿宋_GB2312" w:cs="仿宋_GB2312"/>
          <w:color w:val="auto"/>
          <w:sz w:val="32"/>
          <w:szCs w:val="32"/>
          <w:highlight w:val="none"/>
        </w:rPr>
        <w:t>平方米，其中底楼</w:t>
      </w:r>
      <w:r>
        <w:rPr>
          <w:rFonts w:hint="eastAsia" w:ascii="Times New Roman" w:hAnsi="Times New Roman" w:eastAsia="仿宋_GB2312" w:cs="Times New Roman"/>
          <w:i w:val="0"/>
          <w:iCs w:val="0"/>
          <w:color w:val="000000"/>
          <w:kern w:val="0"/>
          <w:sz w:val="32"/>
          <w:szCs w:val="32"/>
          <w:highlight w:val="none"/>
          <w:u w:val="none"/>
          <w:lang w:val="en-US" w:eastAsia="zh-CN" w:bidi="ar"/>
        </w:rPr>
        <w:t>467</w:t>
      </w:r>
      <w:r>
        <w:rPr>
          <w:rFonts w:hint="eastAsia" w:ascii="仿宋_GB2312" w:hAnsi="仿宋_GB2312" w:eastAsia="仿宋_GB2312" w:cs="仿宋_GB2312"/>
          <w:color w:val="auto"/>
          <w:sz w:val="32"/>
          <w:szCs w:val="32"/>
          <w:highlight w:val="none"/>
        </w:rPr>
        <w:t>平方米作为配套用房，五层</w:t>
      </w:r>
      <w:r>
        <w:rPr>
          <w:rFonts w:hint="eastAsia" w:ascii="Times New Roman" w:hAnsi="Times New Roman" w:eastAsia="仿宋_GB2312" w:cs="Times New Roman"/>
          <w:i w:val="0"/>
          <w:iCs w:val="0"/>
          <w:color w:val="000000"/>
          <w:kern w:val="0"/>
          <w:sz w:val="32"/>
          <w:szCs w:val="32"/>
          <w:highlight w:val="none"/>
          <w:u w:val="none"/>
          <w:lang w:val="en-US" w:eastAsia="zh-CN" w:bidi="ar"/>
        </w:rPr>
        <w:t>605</w:t>
      </w:r>
      <w:r>
        <w:rPr>
          <w:rFonts w:hint="eastAsia" w:ascii="仿宋_GB2312" w:hAnsi="仿宋_GB2312" w:eastAsia="仿宋_GB2312" w:cs="仿宋_GB2312"/>
          <w:color w:val="auto"/>
          <w:sz w:val="32"/>
          <w:szCs w:val="32"/>
          <w:highlight w:val="none"/>
        </w:rPr>
        <w:t>平方米作为主机房。目前，该机房承载着青浦区门户网站、政务外网骨干网、国密密码平台、城运二期系统等重要业务系统，是全区电子政务运行的关键基础设施。</w:t>
      </w:r>
    </w:p>
    <w:p w14:paraId="7BFA438B">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项目服务内容包含</w:t>
      </w:r>
      <w:r>
        <w:rPr>
          <w:rFonts w:hint="eastAsia" w:ascii="Times New Roman" w:hAnsi="Times New Roman" w:eastAsia="仿宋_GB2312" w:cs="Times New Roman"/>
          <w:i w:val="0"/>
          <w:iCs w:val="0"/>
          <w:color w:val="000000"/>
          <w:kern w:val="0"/>
          <w:sz w:val="32"/>
          <w:szCs w:val="32"/>
          <w:highlight w:val="none"/>
          <w:u w:val="none"/>
          <w:lang w:val="en-US" w:eastAsia="zh-CN" w:bidi="ar"/>
        </w:rPr>
        <w:t>146</w:t>
      </w:r>
      <w:r>
        <w:rPr>
          <w:rFonts w:hint="eastAsia" w:ascii="仿宋_GB2312" w:hAnsi="仿宋_GB2312" w:eastAsia="仿宋_GB2312" w:cs="仿宋_GB2312"/>
          <w:color w:val="auto"/>
          <w:sz w:val="32"/>
          <w:szCs w:val="32"/>
          <w:highlight w:val="none"/>
        </w:rPr>
        <w:t>个机柜的租赁服务，并配套完整的机房运维服务，涵盖日常巡检、设备维护、故障抢修、应急演练、资产管理、测评配合及技术支撑等，确保机房环境持续满足B级标准及相关安全合规要求。</w:t>
      </w:r>
    </w:p>
    <w:p w14:paraId="247086E7">
      <w:pPr>
        <w:pStyle w:val="4"/>
        <w:pageBreakBefore w:val="0"/>
        <w:numPr>
          <w:ilvl w:val="0"/>
          <w:numId w:val="2"/>
        </w:numPr>
        <w:kinsoku/>
        <w:overflowPunct/>
        <w:topLinePunct w:val="0"/>
        <w:autoSpaceDE/>
        <w:autoSpaceDN/>
        <w:bidi w:val="0"/>
        <w:adjustRightInd/>
        <w:snapToGrid/>
        <w:spacing w:line="560" w:lineRule="exact"/>
        <w:ind w:left="0" w:leftChars="0" w:firstLine="0" w:firstLineChars="0"/>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服务内容</w:t>
      </w:r>
    </w:p>
    <w:p w14:paraId="36E4E475">
      <w:pPr>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i w:val="0"/>
          <w:iCs w:val="0"/>
          <w:color w:val="000000"/>
          <w:kern w:val="0"/>
          <w:sz w:val="32"/>
          <w:szCs w:val="32"/>
          <w:highlight w:val="none"/>
          <w:u w:val="none"/>
          <w:lang w:val="en-US" w:eastAsia="zh-CN" w:bidi="ar"/>
        </w:rPr>
        <w:t>2026</w:t>
      </w:r>
      <w:r>
        <w:rPr>
          <w:rFonts w:hint="eastAsia" w:ascii="仿宋_GB2312" w:eastAsia="仿宋_GB2312"/>
          <w:sz w:val="32"/>
          <w:szCs w:val="32"/>
          <w:highlight w:val="none"/>
          <w:lang w:val="en-US" w:eastAsia="zh-CN"/>
        </w:rPr>
        <w:t>年度服务内容主要包括IDC机柜租赁服务与机房运维服务两部分。其中，IDC机柜租赁服务涵盖基础设施服务、动环设备服务、电源系统服务、空调系统服务、大屏系统服务、安防系统服务及机房防护服务等内容，保障机房物理环境及配套设施满足等保</w:t>
      </w:r>
      <w:r>
        <w:rPr>
          <w:rFonts w:hint="eastAsia" w:ascii="Times New Roman" w:hAnsi="Times New Roman" w:eastAsia="仿宋_GB2312" w:cs="Times New Roman"/>
          <w:i w:val="0"/>
          <w:iCs w:val="0"/>
          <w:color w:val="000000"/>
          <w:kern w:val="0"/>
          <w:sz w:val="32"/>
          <w:szCs w:val="32"/>
          <w:highlight w:val="none"/>
          <w:u w:val="none"/>
          <w:lang w:val="en-US" w:eastAsia="zh-CN" w:bidi="ar"/>
        </w:rPr>
        <w:t>2.0</w:t>
      </w:r>
      <w:r>
        <w:rPr>
          <w:rFonts w:hint="eastAsia" w:ascii="仿宋_GB2312" w:eastAsia="仿宋_GB2312"/>
          <w:sz w:val="32"/>
          <w:szCs w:val="32"/>
          <w:highlight w:val="none"/>
          <w:lang w:val="en-US" w:eastAsia="zh-CN"/>
        </w:rPr>
        <w:t>三级和密评要求。机房运维服务包含7人驻场服务，涵盖机房巡检、动环设备维护、电源系统维护、空调系统维护、大屏系统维护、安防系统维护、备品备件、技术支撑、故障响应、应急抢修、培训服务、文档管理、机房动环监控平台数据接入、人员和设备出入管理、机房资产管理及测评配合服务等内容，确保机房日常运行管理的规范性与安全性。</w:t>
      </w:r>
    </w:p>
    <w:p w14:paraId="1BFCF9E0">
      <w:pPr>
        <w:pStyle w:val="4"/>
        <w:pageBreakBefore w:val="0"/>
        <w:numPr>
          <w:ilvl w:val="0"/>
          <w:numId w:val="2"/>
        </w:numPr>
        <w:kinsoku/>
        <w:overflowPunct/>
        <w:topLinePunct w:val="0"/>
        <w:autoSpaceDE/>
        <w:autoSpaceDN/>
        <w:bidi w:val="0"/>
        <w:adjustRightInd/>
        <w:snapToGrid/>
        <w:spacing w:line="560" w:lineRule="exact"/>
        <w:ind w:left="0" w:leftChars="0" w:firstLine="0" w:firstLineChars="0"/>
        <w:outlineLvl w:val="0"/>
        <w:rPr>
          <w:rFonts w:hint="eastAsia" w:ascii="黑体" w:hAnsi="黑体" w:eastAsia="黑体" w:cs="黑体"/>
          <w:b w:val="0"/>
          <w:color w:val="auto"/>
          <w:sz w:val="32"/>
          <w:szCs w:val="32"/>
          <w:highlight w:val="none"/>
          <w:lang w:val="en-US" w:eastAsia="zh-CN"/>
        </w:rPr>
      </w:pPr>
      <w:r>
        <w:rPr>
          <w:rFonts w:hint="eastAsia" w:ascii="黑体" w:hAnsi="黑体" w:eastAsia="黑体" w:cs="黑体"/>
          <w:b w:val="0"/>
          <w:color w:val="auto"/>
          <w:sz w:val="32"/>
          <w:szCs w:val="32"/>
          <w:highlight w:val="none"/>
          <w:lang w:val="en-US" w:eastAsia="zh-CN"/>
        </w:rPr>
        <w:t>具体服务要求</w:t>
      </w:r>
    </w:p>
    <w:p w14:paraId="395A380F">
      <w:pPr>
        <w:pStyle w:val="3"/>
        <w:pageBreakBefore w:val="0"/>
        <w:numPr>
          <w:ilvl w:val="1"/>
          <w:numId w:val="0"/>
        </w:numPr>
        <w:kinsoku/>
        <w:overflowPunct/>
        <w:topLinePunct w:val="0"/>
        <w:autoSpaceDE/>
        <w:autoSpaceDN/>
        <w:bidi w:val="0"/>
        <w:adjustRightInd/>
        <w:snapToGrid/>
        <w:spacing w:line="560" w:lineRule="exact"/>
        <w:ind w:leftChars="0"/>
        <w:rPr>
          <w:rFonts w:hint="eastAsia" w:ascii="楷体_GB2312" w:hAnsi="楷体_GB2312" w:eastAsia="楷体_GB2312" w:cs="楷体_GB2312"/>
          <w:b/>
          <w:bCs/>
          <w:i w:val="0"/>
          <w:iCs w:val="0"/>
          <w:color w:val="auto"/>
          <w:kern w:val="0"/>
          <w:sz w:val="32"/>
          <w:szCs w:val="32"/>
          <w:highlight w:val="none"/>
          <w:u w:val="none"/>
          <w:lang w:val="en-US" w:eastAsia="zh-CN" w:bidi="ar"/>
        </w:rPr>
      </w:pPr>
      <w:r>
        <w:rPr>
          <w:rFonts w:hint="eastAsia" w:ascii="楷体_GB2312" w:hAnsi="楷体_GB2312" w:eastAsia="楷体_GB2312" w:cs="楷体_GB2312"/>
          <w:b/>
          <w:bCs/>
          <w:i w:val="0"/>
          <w:iCs w:val="0"/>
          <w:color w:val="auto"/>
          <w:kern w:val="0"/>
          <w:sz w:val="32"/>
          <w:szCs w:val="32"/>
          <w:highlight w:val="none"/>
          <w:u w:val="none"/>
          <w:lang w:val="en-US" w:eastAsia="zh-CN" w:bidi="ar"/>
        </w:rPr>
        <w:t>3.1.机柜租赁服务要求</w:t>
      </w:r>
    </w:p>
    <w:p w14:paraId="7690E9C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提供</w:t>
      </w:r>
      <w:r>
        <w:rPr>
          <w:rFonts w:hint="eastAsia" w:ascii="Times New Roman" w:hAnsi="Times New Roman" w:eastAsia="仿宋_GB2312" w:cs="仿宋_GB2312"/>
          <w:i w:val="0"/>
          <w:iCs w:val="0"/>
          <w:color w:val="auto"/>
          <w:kern w:val="0"/>
          <w:sz w:val="32"/>
          <w:szCs w:val="32"/>
          <w:highlight w:val="none"/>
          <w:u w:val="none"/>
          <w:lang w:val="en-US" w:eastAsia="zh-CN" w:bidi="ar"/>
        </w:rPr>
        <w:t>146</w:t>
      </w:r>
      <w:r>
        <w:rPr>
          <w:rFonts w:hint="eastAsia" w:ascii="仿宋_GB2312" w:hAnsi="仿宋_GB2312" w:eastAsia="仿宋_GB2312" w:cs="仿宋_GB2312"/>
          <w:i w:val="0"/>
          <w:iCs w:val="0"/>
          <w:color w:val="auto"/>
          <w:kern w:val="0"/>
          <w:sz w:val="32"/>
          <w:szCs w:val="32"/>
          <w:highlight w:val="none"/>
          <w:u w:val="none"/>
          <w:lang w:val="en-US" w:eastAsia="zh-CN" w:bidi="ar"/>
        </w:rPr>
        <w:t>个服务器机柜和</w:t>
      </w: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小时不间断的机房环境保障服务。</w:t>
      </w:r>
    </w:p>
    <w:p w14:paraId="1CF895C6">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基础设施服务内容</w:t>
      </w:r>
    </w:p>
    <w:p w14:paraId="41994DB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青浦区电子政务核心机房需符合GB</w:t>
      </w:r>
      <w:r>
        <w:rPr>
          <w:rFonts w:hint="eastAsia" w:ascii="Times New Roman" w:hAnsi="Times New Roman" w:eastAsia="仿宋_GB2312" w:cs="仿宋_GB2312"/>
          <w:i w:val="0"/>
          <w:iCs w:val="0"/>
          <w:color w:val="auto"/>
          <w:kern w:val="0"/>
          <w:sz w:val="32"/>
          <w:szCs w:val="32"/>
          <w:highlight w:val="none"/>
          <w:u w:val="none"/>
          <w:lang w:val="en-US" w:eastAsia="zh-CN" w:bidi="ar"/>
        </w:rPr>
        <w:t>50174</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2017</w:t>
      </w:r>
      <w:r>
        <w:rPr>
          <w:rFonts w:hint="eastAsia" w:ascii="仿宋_GB2312" w:hAnsi="仿宋_GB2312" w:eastAsia="仿宋_GB2312" w:cs="仿宋_GB2312"/>
          <w:i w:val="0"/>
          <w:iCs w:val="0"/>
          <w:color w:val="auto"/>
          <w:kern w:val="0"/>
          <w:sz w:val="32"/>
          <w:szCs w:val="32"/>
          <w:highlight w:val="none"/>
          <w:u w:val="none"/>
          <w:lang w:val="en-US" w:eastAsia="zh-CN" w:bidi="ar"/>
        </w:rPr>
        <w:t>《数据中心设计规范》B级标准。租赁服务包括电源分配、综合配电，设备机架，列间空调，冷池框架、底座及配套的机房监控系统、机柜及桥架、网络设施、其他设施等，以及满足用户的日常需求。</w:t>
      </w:r>
    </w:p>
    <w:p w14:paraId="74890E7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机房基础设施的参数和配置要求如下：</w:t>
      </w:r>
    </w:p>
    <w:p w14:paraId="185B3C90">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机柜规格：</w:t>
      </w:r>
      <w:r>
        <w:rPr>
          <w:rFonts w:hint="eastAsia" w:ascii="Times New Roman" w:hAnsi="Times New Roman" w:eastAsia="仿宋_GB2312" w:cs="仿宋_GB2312"/>
          <w:i w:val="0"/>
          <w:iCs w:val="0"/>
          <w:color w:val="auto"/>
          <w:kern w:val="0"/>
          <w:sz w:val="32"/>
          <w:szCs w:val="32"/>
          <w:highlight w:val="none"/>
          <w:u w:val="none"/>
          <w:lang w:val="en-US" w:eastAsia="zh-CN" w:bidi="ar"/>
        </w:rPr>
        <w:t>600</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1200</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2000</w:t>
      </w:r>
      <w:r>
        <w:rPr>
          <w:rFonts w:hint="eastAsia" w:ascii="仿宋_GB2312" w:hAnsi="仿宋_GB2312" w:eastAsia="仿宋_GB2312" w:cs="仿宋_GB2312"/>
          <w:i w:val="0"/>
          <w:iCs w:val="0"/>
          <w:color w:val="auto"/>
          <w:kern w:val="0"/>
          <w:sz w:val="32"/>
          <w:szCs w:val="32"/>
          <w:highlight w:val="none"/>
          <w:u w:val="none"/>
          <w:lang w:val="en-US" w:eastAsia="zh-CN" w:bidi="ar"/>
        </w:rPr>
        <w:t>(mm)宽*深*高，角规/底安装梁≥</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0</w:t>
      </w:r>
      <w:r>
        <w:rPr>
          <w:rFonts w:hint="eastAsia" w:ascii="仿宋_GB2312" w:hAnsi="仿宋_GB2312" w:eastAsia="仿宋_GB2312" w:cs="仿宋_GB2312"/>
          <w:i w:val="0"/>
          <w:iCs w:val="0"/>
          <w:color w:val="auto"/>
          <w:kern w:val="0"/>
          <w:sz w:val="32"/>
          <w:szCs w:val="32"/>
          <w:highlight w:val="none"/>
          <w:u w:val="none"/>
          <w:lang w:val="en-US" w:eastAsia="zh-CN" w:bidi="ar"/>
        </w:rPr>
        <w:t>mm，框架/横梁/理线板≥</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mm，机柜整架承重不小于</w:t>
      </w:r>
      <w:r>
        <w:rPr>
          <w:rFonts w:hint="eastAsia" w:ascii="Times New Roman" w:hAnsi="Times New Roman" w:eastAsia="仿宋_GB2312" w:cs="仿宋_GB2312"/>
          <w:i w:val="0"/>
          <w:iCs w:val="0"/>
          <w:color w:val="auto"/>
          <w:kern w:val="0"/>
          <w:sz w:val="32"/>
          <w:szCs w:val="32"/>
          <w:highlight w:val="none"/>
          <w:u w:val="none"/>
          <w:lang w:val="en-US" w:eastAsia="zh-CN" w:bidi="ar"/>
        </w:rPr>
        <w:t>2200</w:t>
      </w:r>
      <w:r>
        <w:rPr>
          <w:rFonts w:hint="eastAsia" w:ascii="仿宋_GB2312" w:hAnsi="仿宋_GB2312" w:eastAsia="仿宋_GB2312" w:cs="仿宋_GB2312"/>
          <w:i w:val="0"/>
          <w:iCs w:val="0"/>
          <w:color w:val="auto"/>
          <w:kern w:val="0"/>
          <w:sz w:val="32"/>
          <w:szCs w:val="32"/>
          <w:highlight w:val="none"/>
          <w:u w:val="none"/>
          <w:lang w:val="en-US" w:eastAsia="zh-CN" w:bidi="ar"/>
        </w:rPr>
        <w:t>kg，机柜整架抗震</w:t>
      </w:r>
      <w:r>
        <w:rPr>
          <w:rFonts w:hint="eastAsia" w:ascii="Times New Roman" w:hAnsi="Times New Roman" w:eastAsia="仿宋_GB2312" w:cs="仿宋_GB2312"/>
          <w:i w:val="0"/>
          <w:iCs w:val="0"/>
          <w:color w:val="auto"/>
          <w:kern w:val="0"/>
          <w:sz w:val="32"/>
          <w:szCs w:val="32"/>
          <w:highlight w:val="none"/>
          <w:u w:val="none"/>
          <w:lang w:val="en-US" w:eastAsia="zh-CN" w:bidi="ar"/>
        </w:rPr>
        <w:t>9</w:t>
      </w:r>
      <w:r>
        <w:rPr>
          <w:rFonts w:hint="eastAsia" w:ascii="仿宋_GB2312" w:hAnsi="仿宋_GB2312" w:eastAsia="仿宋_GB2312" w:cs="仿宋_GB2312"/>
          <w:i w:val="0"/>
          <w:iCs w:val="0"/>
          <w:color w:val="auto"/>
          <w:kern w:val="0"/>
          <w:sz w:val="32"/>
          <w:szCs w:val="32"/>
          <w:highlight w:val="none"/>
          <w:u w:val="none"/>
          <w:lang w:val="en-US" w:eastAsia="zh-CN" w:bidi="ar"/>
        </w:rPr>
        <w:t>级。</w:t>
      </w:r>
    </w:p>
    <w:p w14:paraId="1A80B83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机柜数量：</w:t>
      </w:r>
      <w:r>
        <w:rPr>
          <w:rFonts w:hint="eastAsia" w:ascii="Times New Roman" w:hAnsi="Times New Roman" w:eastAsia="仿宋_GB2312" w:cs="仿宋_GB2312"/>
          <w:i w:val="0"/>
          <w:iCs w:val="0"/>
          <w:color w:val="auto"/>
          <w:kern w:val="0"/>
          <w:sz w:val="32"/>
          <w:szCs w:val="32"/>
          <w:highlight w:val="none"/>
          <w:u w:val="none"/>
          <w:lang w:val="en-US" w:eastAsia="zh-CN" w:bidi="ar"/>
        </w:rPr>
        <w:t>146</w:t>
      </w:r>
      <w:r>
        <w:rPr>
          <w:rFonts w:hint="eastAsia" w:ascii="仿宋_GB2312" w:hAnsi="仿宋_GB2312" w:eastAsia="仿宋_GB2312" w:cs="仿宋_GB2312"/>
          <w:i w:val="0"/>
          <w:iCs w:val="0"/>
          <w:color w:val="auto"/>
          <w:kern w:val="0"/>
          <w:sz w:val="32"/>
          <w:szCs w:val="32"/>
          <w:highlight w:val="none"/>
          <w:u w:val="none"/>
          <w:lang w:val="en-US" w:eastAsia="zh-CN" w:bidi="ar"/>
        </w:rPr>
        <w:t>个机柜，单机架最大功率为</w:t>
      </w: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KW，均符合GB/T</w:t>
      </w:r>
      <w:r>
        <w:rPr>
          <w:rFonts w:hint="eastAsia" w:ascii="Times New Roman" w:hAnsi="Times New Roman" w:eastAsia="仿宋_GB2312" w:cs="仿宋_GB2312"/>
          <w:i w:val="0"/>
          <w:iCs w:val="0"/>
          <w:color w:val="auto"/>
          <w:kern w:val="0"/>
          <w:sz w:val="32"/>
          <w:szCs w:val="32"/>
          <w:highlight w:val="none"/>
          <w:u w:val="none"/>
          <w:lang w:val="en-US" w:eastAsia="zh-CN" w:bidi="ar"/>
        </w:rPr>
        <w:t>3047</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2092</w:t>
      </w:r>
      <w:r>
        <w:rPr>
          <w:rFonts w:hint="eastAsia" w:ascii="仿宋_GB2312" w:hAnsi="仿宋_GB2312" w:eastAsia="仿宋_GB2312" w:cs="仿宋_GB2312"/>
          <w:i w:val="0"/>
          <w:iCs w:val="0"/>
          <w:color w:val="auto"/>
          <w:kern w:val="0"/>
          <w:sz w:val="32"/>
          <w:szCs w:val="32"/>
          <w:highlight w:val="none"/>
          <w:u w:val="none"/>
          <w:lang w:val="en-US" w:eastAsia="zh-CN" w:bidi="ar"/>
        </w:rPr>
        <w:t>、IEC</w:t>
      </w:r>
      <w:r>
        <w:rPr>
          <w:rFonts w:hint="eastAsia" w:ascii="Times New Roman" w:hAnsi="Times New Roman" w:eastAsia="仿宋_GB2312" w:cs="仿宋_GB2312"/>
          <w:i w:val="0"/>
          <w:iCs w:val="0"/>
          <w:color w:val="auto"/>
          <w:kern w:val="0"/>
          <w:sz w:val="32"/>
          <w:szCs w:val="32"/>
          <w:highlight w:val="none"/>
          <w:u w:val="none"/>
          <w:lang w:val="en-US" w:eastAsia="zh-CN" w:bidi="ar"/>
        </w:rPr>
        <w:t>297</w:t>
      </w:r>
      <w:r>
        <w:rPr>
          <w:rFonts w:hint="eastAsia" w:ascii="仿宋_GB2312" w:hAnsi="仿宋_GB2312" w:eastAsia="仿宋_GB2312" w:cs="仿宋_GB2312"/>
          <w:i w:val="0"/>
          <w:iCs w:val="0"/>
          <w:color w:val="auto"/>
          <w:kern w:val="0"/>
          <w:sz w:val="32"/>
          <w:szCs w:val="32"/>
          <w:highlight w:val="none"/>
          <w:u w:val="none"/>
          <w:lang w:val="en-US" w:eastAsia="zh-CN" w:bidi="ar"/>
        </w:rPr>
        <w:t>、IEC</w:t>
      </w:r>
      <w:r>
        <w:rPr>
          <w:rFonts w:hint="eastAsia" w:ascii="Times New Roman" w:hAnsi="Times New Roman" w:eastAsia="仿宋_GB2312" w:cs="仿宋_GB2312"/>
          <w:i w:val="0"/>
          <w:iCs w:val="0"/>
          <w:color w:val="auto"/>
          <w:kern w:val="0"/>
          <w:sz w:val="32"/>
          <w:szCs w:val="32"/>
          <w:highlight w:val="none"/>
          <w:u w:val="none"/>
          <w:lang w:val="en-US" w:eastAsia="zh-CN" w:bidi="ar"/>
        </w:rPr>
        <w:t>197</w:t>
      </w:r>
      <w:r>
        <w:rPr>
          <w:rFonts w:hint="eastAsia" w:ascii="仿宋_GB2312" w:hAnsi="仿宋_GB2312" w:eastAsia="仿宋_GB2312" w:cs="仿宋_GB2312"/>
          <w:i w:val="0"/>
          <w:iCs w:val="0"/>
          <w:color w:val="auto"/>
          <w:kern w:val="0"/>
          <w:sz w:val="32"/>
          <w:szCs w:val="32"/>
          <w:highlight w:val="none"/>
          <w:u w:val="none"/>
          <w:lang w:val="en-US" w:eastAsia="zh-CN" w:bidi="ar"/>
        </w:rPr>
        <w:t>、BS</w:t>
      </w:r>
      <w:r>
        <w:rPr>
          <w:rFonts w:hint="eastAsia" w:ascii="Times New Roman" w:hAnsi="Times New Roman" w:eastAsia="仿宋_GB2312" w:cs="仿宋_GB2312"/>
          <w:i w:val="0"/>
          <w:iCs w:val="0"/>
          <w:color w:val="auto"/>
          <w:kern w:val="0"/>
          <w:sz w:val="32"/>
          <w:szCs w:val="32"/>
          <w:highlight w:val="none"/>
          <w:u w:val="none"/>
          <w:lang w:val="en-US" w:eastAsia="zh-CN" w:bidi="ar"/>
        </w:rPr>
        <w:t>15954</w:t>
      </w:r>
      <w:r>
        <w:rPr>
          <w:rFonts w:hint="eastAsia" w:ascii="仿宋_GB2312" w:hAnsi="仿宋_GB2312" w:eastAsia="仿宋_GB2312" w:cs="仿宋_GB2312"/>
          <w:i w:val="0"/>
          <w:iCs w:val="0"/>
          <w:color w:val="auto"/>
          <w:kern w:val="0"/>
          <w:sz w:val="32"/>
          <w:szCs w:val="32"/>
          <w:highlight w:val="none"/>
          <w:u w:val="none"/>
          <w:lang w:val="en-US" w:eastAsia="zh-CN" w:bidi="ar"/>
        </w:rPr>
        <w:t>等标准。每个机柜配置</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路标准PDU插座，以满足用户用电的需求。</w:t>
      </w:r>
    </w:p>
    <w:p w14:paraId="69422EE6">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物理通道：提供独立的机柜物理空间服务，独立配置空调和配电等服务。</w:t>
      </w:r>
    </w:p>
    <w:p w14:paraId="1DA59BC9">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动环设备服务要求</w:t>
      </w:r>
    </w:p>
    <w:p w14:paraId="63033CA3">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需提供机房动力环境监控服务，包括：以</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d模型形式统一展示机房动力设备的运行状态、报警信息，以及具备历史数据查询功能，同时需管理核心机房内各类机电设备的参数展示、日常维护数据的收集、整理和展示。</w:t>
      </w:r>
    </w:p>
    <w:p w14:paraId="658D2350">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动环监控的设备包括但不限于UPS、蓄电池、列头柜、低压配电柜、直流屏、高压变配电、微模块、温湿度设备、漏水检测设备等。</w:t>
      </w:r>
    </w:p>
    <w:p w14:paraId="6CD50806">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.使用稳定可靠的监控主机和Linux操作系统，有效杜绝各种病毒的干扰；</w:t>
      </w:r>
    </w:p>
    <w:p w14:paraId="5E611AE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.机房监控主机采用软硬件一体化设计，布线简洁,容易维护，主机满足各种类型的串口接入标准，可满足多种被监控设备的接入需求；</w:t>
      </w:r>
    </w:p>
    <w:p w14:paraId="0AA3E5C8">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.提供Web方式管理和浏览，满足指定管理端的安全标准，方便管理和维护；</w:t>
      </w:r>
    </w:p>
    <w:p w14:paraId="7CBDAF2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.确保各类软件的正版化，避免因使用非授权软件所带来的各种风险。</w:t>
      </w:r>
    </w:p>
    <w:p w14:paraId="388CFAC1">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电源系统服务要求</w:t>
      </w:r>
    </w:p>
    <w:p w14:paraId="7F2B0A19">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.IT设备配电系统</w:t>
      </w:r>
    </w:p>
    <w:p w14:paraId="14B6A50E">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配电系统可靠性需满足GB</w:t>
      </w:r>
      <w:r>
        <w:rPr>
          <w:rFonts w:hint="eastAsia" w:ascii="Times New Roman" w:hAnsi="Times New Roman" w:eastAsia="仿宋_GB2312" w:cs="仿宋_GB2312"/>
          <w:i w:val="0"/>
          <w:iCs w:val="0"/>
          <w:color w:val="auto"/>
          <w:kern w:val="0"/>
          <w:sz w:val="32"/>
          <w:szCs w:val="32"/>
          <w:highlight w:val="none"/>
          <w:u w:val="none"/>
          <w:lang w:val="en-US" w:eastAsia="zh-CN" w:bidi="ar"/>
        </w:rPr>
        <w:t>50174</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2017</w:t>
      </w:r>
      <w:r>
        <w:rPr>
          <w:rFonts w:hint="eastAsia" w:ascii="仿宋_GB2312" w:hAnsi="仿宋_GB2312" w:eastAsia="仿宋_GB2312" w:cs="仿宋_GB2312"/>
          <w:i w:val="0"/>
          <w:iCs w:val="0"/>
          <w:color w:val="auto"/>
          <w:kern w:val="0"/>
          <w:sz w:val="32"/>
          <w:szCs w:val="32"/>
          <w:highlight w:val="none"/>
          <w:u w:val="none"/>
          <w:lang w:val="en-US" w:eastAsia="zh-CN" w:bidi="ar"/>
        </w:rPr>
        <w:t>《数据中心设计规范》B级机房标准；对IT设备</w:t>
      </w:r>
    </w:p>
    <w:p w14:paraId="77AF117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供电采用由市电供电，额定电压</w:t>
      </w:r>
      <w:r>
        <w:rPr>
          <w:rFonts w:hint="eastAsia" w:ascii="Times New Roman" w:hAnsi="Times New Roman" w:eastAsia="仿宋_GB2312" w:cs="仿宋_GB2312"/>
          <w:i w:val="0"/>
          <w:iCs w:val="0"/>
          <w:color w:val="auto"/>
          <w:kern w:val="0"/>
          <w:sz w:val="32"/>
          <w:szCs w:val="32"/>
          <w:highlight w:val="none"/>
          <w:u w:val="none"/>
          <w:lang w:val="en-US" w:eastAsia="zh-CN" w:bidi="ar"/>
        </w:rPr>
        <w:t>220</w:t>
      </w:r>
      <w:r>
        <w:rPr>
          <w:rFonts w:hint="eastAsia" w:ascii="仿宋_GB2312" w:hAnsi="仿宋_GB2312" w:eastAsia="仿宋_GB2312" w:cs="仿宋_GB2312"/>
          <w:i w:val="0"/>
          <w:iCs w:val="0"/>
          <w:color w:val="auto"/>
          <w:kern w:val="0"/>
          <w:sz w:val="32"/>
          <w:szCs w:val="32"/>
          <w:highlight w:val="none"/>
          <w:u w:val="none"/>
          <w:lang w:val="en-US" w:eastAsia="zh-CN" w:bidi="ar"/>
        </w:rPr>
        <w:t>V-</w:t>
      </w:r>
      <w:r>
        <w:rPr>
          <w:rFonts w:hint="eastAsia" w:ascii="Times New Roman" w:hAnsi="Times New Roman" w:eastAsia="仿宋_GB2312" w:cs="仿宋_GB2312"/>
          <w:i w:val="0"/>
          <w:iCs w:val="0"/>
          <w:color w:val="auto"/>
          <w:kern w:val="0"/>
          <w:sz w:val="32"/>
          <w:szCs w:val="32"/>
          <w:highlight w:val="none"/>
          <w:u w:val="none"/>
          <w:lang w:val="en-US" w:eastAsia="zh-CN" w:bidi="ar"/>
        </w:rPr>
        <w:t>380</w:t>
      </w:r>
      <w:r>
        <w:rPr>
          <w:rFonts w:hint="eastAsia" w:ascii="仿宋_GB2312" w:hAnsi="仿宋_GB2312" w:eastAsia="仿宋_GB2312" w:cs="仿宋_GB2312"/>
          <w:i w:val="0"/>
          <w:iCs w:val="0"/>
          <w:color w:val="auto"/>
          <w:kern w:val="0"/>
          <w:sz w:val="32"/>
          <w:szCs w:val="32"/>
          <w:highlight w:val="none"/>
          <w:u w:val="none"/>
          <w:lang w:val="en-US" w:eastAsia="zh-CN" w:bidi="ar"/>
        </w:rPr>
        <w:t>V，额定电流：</w:t>
      </w:r>
      <w:r>
        <w:rPr>
          <w:rFonts w:hint="eastAsia" w:ascii="Times New Roman" w:hAnsi="Times New Roman" w:eastAsia="仿宋_GB2312" w:cs="仿宋_GB2312"/>
          <w:i w:val="0"/>
          <w:iCs w:val="0"/>
          <w:color w:val="auto"/>
          <w:kern w:val="0"/>
          <w:sz w:val="32"/>
          <w:szCs w:val="32"/>
          <w:highlight w:val="none"/>
          <w:u w:val="none"/>
          <w:lang w:val="en-US" w:eastAsia="zh-CN" w:bidi="ar"/>
        </w:rPr>
        <w:t>800</w:t>
      </w:r>
      <w:r>
        <w:rPr>
          <w:rFonts w:hint="eastAsia" w:ascii="仿宋_GB2312" w:hAnsi="仿宋_GB2312" w:eastAsia="仿宋_GB2312" w:cs="仿宋_GB2312"/>
          <w:i w:val="0"/>
          <w:iCs w:val="0"/>
          <w:color w:val="auto"/>
          <w:kern w:val="0"/>
          <w:sz w:val="32"/>
          <w:szCs w:val="32"/>
          <w:highlight w:val="none"/>
          <w:u w:val="none"/>
          <w:lang w:val="en-US" w:eastAsia="zh-CN" w:bidi="ar"/>
        </w:rPr>
        <w:t>A-</w:t>
      </w:r>
      <w:r>
        <w:rPr>
          <w:rFonts w:hint="eastAsia" w:ascii="Times New Roman" w:hAnsi="Times New Roman" w:eastAsia="仿宋_GB2312" w:cs="仿宋_GB2312"/>
          <w:i w:val="0"/>
          <w:iCs w:val="0"/>
          <w:color w:val="auto"/>
          <w:kern w:val="0"/>
          <w:sz w:val="32"/>
          <w:szCs w:val="32"/>
          <w:highlight w:val="none"/>
          <w:u w:val="none"/>
          <w:lang w:val="en-US" w:eastAsia="zh-CN" w:bidi="ar"/>
        </w:rPr>
        <w:t>1600</w:t>
      </w:r>
      <w:r>
        <w:rPr>
          <w:rFonts w:hint="eastAsia" w:ascii="仿宋_GB2312" w:hAnsi="仿宋_GB2312" w:eastAsia="仿宋_GB2312" w:cs="仿宋_GB2312"/>
          <w:i w:val="0"/>
          <w:iCs w:val="0"/>
          <w:color w:val="auto"/>
          <w:kern w:val="0"/>
          <w:sz w:val="32"/>
          <w:szCs w:val="32"/>
          <w:highlight w:val="none"/>
          <w:u w:val="none"/>
          <w:lang w:val="en-US" w:eastAsia="zh-CN" w:bidi="ar"/>
        </w:rPr>
        <w:t>A；同时采用UPS不间断电源（输入/输出额定电压/电流为</w:t>
      </w:r>
      <w:r>
        <w:rPr>
          <w:rFonts w:hint="eastAsia" w:ascii="Times New Roman" w:hAnsi="Times New Roman" w:eastAsia="仿宋_GB2312" w:cs="仿宋_GB2312"/>
          <w:i w:val="0"/>
          <w:iCs w:val="0"/>
          <w:color w:val="auto"/>
          <w:kern w:val="0"/>
          <w:sz w:val="32"/>
          <w:szCs w:val="32"/>
          <w:highlight w:val="none"/>
          <w:u w:val="none"/>
          <w:lang w:val="en-US" w:eastAsia="zh-CN" w:bidi="ar"/>
        </w:rPr>
        <w:t>380</w:t>
      </w:r>
      <w:r>
        <w:rPr>
          <w:rFonts w:hint="eastAsia" w:ascii="仿宋_GB2312" w:hAnsi="仿宋_GB2312" w:eastAsia="仿宋_GB2312" w:cs="仿宋_GB2312"/>
          <w:i w:val="0"/>
          <w:iCs w:val="0"/>
          <w:color w:val="auto"/>
          <w:kern w:val="0"/>
          <w:sz w:val="32"/>
          <w:szCs w:val="32"/>
          <w:highlight w:val="none"/>
          <w:u w:val="none"/>
          <w:lang w:val="en-US" w:eastAsia="zh-CN" w:bidi="ar"/>
        </w:rPr>
        <w:t>V/</w:t>
      </w:r>
      <w:r>
        <w:rPr>
          <w:rFonts w:hint="eastAsia" w:ascii="Times New Roman" w:hAnsi="Times New Roman" w:eastAsia="仿宋_GB2312" w:cs="仿宋_GB2312"/>
          <w:i w:val="0"/>
          <w:iCs w:val="0"/>
          <w:color w:val="auto"/>
          <w:kern w:val="0"/>
          <w:sz w:val="32"/>
          <w:szCs w:val="32"/>
          <w:highlight w:val="none"/>
          <w:u w:val="none"/>
          <w:lang w:val="en-US" w:eastAsia="zh-CN" w:bidi="ar"/>
        </w:rPr>
        <w:t>1600</w:t>
      </w:r>
      <w:r>
        <w:rPr>
          <w:rFonts w:hint="eastAsia" w:ascii="仿宋_GB2312" w:hAnsi="仿宋_GB2312" w:eastAsia="仿宋_GB2312" w:cs="仿宋_GB2312"/>
          <w:i w:val="0"/>
          <w:iCs w:val="0"/>
          <w:color w:val="auto"/>
          <w:kern w:val="0"/>
          <w:sz w:val="32"/>
          <w:szCs w:val="32"/>
          <w:highlight w:val="none"/>
          <w:u w:val="none"/>
          <w:lang w:val="en-US" w:eastAsia="zh-CN" w:bidi="ar"/>
        </w:rPr>
        <w:t>A）的服务进行保障，确保最大限度的满足机房IT设备对供电电源质量的要求。</w:t>
      </w:r>
    </w:p>
    <w:p w14:paraId="7CD3CE44">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.机房空调配电</w:t>
      </w:r>
    </w:p>
    <w:p w14:paraId="4FB55C3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机房空调配电需采用双路电源供电，均采取末端切换，以满足其在线维护、无单点故障要求的方式，其服务则要求保障该空调及其配电系统的正常运转。</w:t>
      </w:r>
    </w:p>
    <w:p w14:paraId="2F5405A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.应急供电系统</w:t>
      </w:r>
    </w:p>
    <w:p w14:paraId="153CEEB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需提供发电功率不小于</w:t>
      </w:r>
      <w:r>
        <w:rPr>
          <w:rFonts w:hint="eastAsia" w:ascii="Times New Roman" w:hAnsi="Times New Roman" w:eastAsia="仿宋_GB2312" w:cs="仿宋_GB2312"/>
          <w:i w:val="0"/>
          <w:iCs w:val="0"/>
          <w:color w:val="auto"/>
          <w:kern w:val="0"/>
          <w:sz w:val="32"/>
          <w:szCs w:val="32"/>
          <w:highlight w:val="none"/>
          <w:u w:val="none"/>
          <w:lang w:val="en-US" w:eastAsia="zh-CN" w:bidi="ar"/>
        </w:rPr>
        <w:t>1000</w:t>
      </w:r>
      <w:r>
        <w:rPr>
          <w:rFonts w:hint="eastAsia" w:ascii="仿宋_GB2312" w:hAnsi="仿宋_GB2312" w:eastAsia="仿宋_GB2312" w:cs="仿宋_GB2312"/>
          <w:i w:val="0"/>
          <w:iCs w:val="0"/>
          <w:color w:val="auto"/>
          <w:kern w:val="0"/>
          <w:sz w:val="32"/>
          <w:szCs w:val="32"/>
          <w:highlight w:val="none"/>
          <w:u w:val="none"/>
          <w:lang w:val="en-US" w:eastAsia="zh-CN" w:bidi="ar"/>
        </w:rPr>
        <w:t>kVA的移动发电车辆应急服务，并确保在发生故障时能及时响应，快速到位，保证核心系统的稳定、持续运行。</w:t>
      </w:r>
    </w:p>
    <w:p w14:paraId="5FD42CF0">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.UPS配电系统</w:t>
      </w:r>
    </w:p>
    <w:p w14:paraId="308FBF9E">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机房通信数据主设备供电的不间断电源UPS系统需采用</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N冗余配置，其服务要求如下：</w:t>
      </w:r>
    </w:p>
    <w:p w14:paraId="23DE5F3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）保持UPS机房通风、防尘和清洁；</w:t>
      </w:r>
    </w:p>
    <w:p w14:paraId="375EA3E8">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）保持UPS系统满足冗余模式供电的要求，确保手动维修旁路开关等功能和性能的正常运行。</w:t>
      </w:r>
    </w:p>
    <w:p w14:paraId="7AD36B3F">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4</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空调系统服务要求</w:t>
      </w:r>
    </w:p>
    <w:p w14:paraId="65CA082D">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提供不少于</w:t>
      </w:r>
      <w:r>
        <w:rPr>
          <w:rFonts w:hint="eastAsia" w:ascii="Times New Roman" w:hAnsi="Times New Roman" w:eastAsia="仿宋_GB2312" w:cs="仿宋_GB2312"/>
          <w:i w:val="0"/>
          <w:iCs w:val="0"/>
          <w:color w:val="auto"/>
          <w:kern w:val="0"/>
          <w:sz w:val="32"/>
          <w:szCs w:val="32"/>
          <w:highlight w:val="none"/>
          <w:u w:val="none"/>
          <w:lang w:val="en-US" w:eastAsia="zh-CN" w:bidi="ar"/>
        </w:rPr>
        <w:t>30</w:t>
      </w:r>
      <w:r>
        <w:rPr>
          <w:rFonts w:hint="eastAsia" w:ascii="仿宋_GB2312" w:hAnsi="仿宋_GB2312" w:eastAsia="仿宋_GB2312" w:cs="仿宋_GB2312"/>
          <w:i w:val="0"/>
          <w:iCs w:val="0"/>
          <w:color w:val="auto"/>
          <w:kern w:val="0"/>
          <w:sz w:val="32"/>
          <w:szCs w:val="32"/>
          <w:highlight w:val="none"/>
          <w:u w:val="none"/>
          <w:lang w:val="en-US" w:eastAsia="zh-CN" w:bidi="ar"/>
        </w:rPr>
        <w:t>台（单台制冷量不低于</w:t>
      </w:r>
      <w:r>
        <w:rPr>
          <w:rFonts w:hint="eastAsia" w:ascii="Times New Roman" w:hAnsi="Times New Roman" w:eastAsia="仿宋_GB2312" w:cs="仿宋_GB2312"/>
          <w:i w:val="0"/>
          <w:iCs w:val="0"/>
          <w:color w:val="auto"/>
          <w:kern w:val="0"/>
          <w:sz w:val="32"/>
          <w:szCs w:val="32"/>
          <w:highlight w:val="none"/>
          <w:u w:val="none"/>
          <w:lang w:val="en-US" w:eastAsia="zh-CN" w:bidi="ar"/>
        </w:rPr>
        <w:t>25</w:t>
      </w:r>
      <w:r>
        <w:rPr>
          <w:rFonts w:hint="eastAsia" w:ascii="仿宋_GB2312" w:hAnsi="仿宋_GB2312" w:eastAsia="仿宋_GB2312" w:cs="仿宋_GB2312"/>
          <w:i w:val="0"/>
          <w:iCs w:val="0"/>
          <w:color w:val="auto"/>
          <w:kern w:val="0"/>
          <w:sz w:val="32"/>
          <w:szCs w:val="32"/>
          <w:highlight w:val="none"/>
          <w:u w:val="none"/>
          <w:lang w:val="en-US" w:eastAsia="zh-CN" w:bidi="ar"/>
        </w:rPr>
        <w:t>KW）、备用空调不少于</w:t>
      </w:r>
      <w:r>
        <w:rPr>
          <w:rFonts w:hint="eastAsia" w:ascii="Times New Roman" w:hAnsi="Times New Roman" w:eastAsia="仿宋_GB2312" w:cs="仿宋_GB2312"/>
          <w:i w:val="0"/>
          <w:iCs w:val="0"/>
          <w:color w:val="auto"/>
          <w:kern w:val="0"/>
          <w:sz w:val="32"/>
          <w:szCs w:val="32"/>
          <w:highlight w:val="none"/>
          <w:u w:val="none"/>
          <w:lang w:val="en-US" w:eastAsia="zh-CN" w:bidi="ar"/>
        </w:rPr>
        <w:t>12</w:t>
      </w:r>
      <w:r>
        <w:rPr>
          <w:rFonts w:hint="eastAsia" w:ascii="仿宋_GB2312" w:hAnsi="仿宋_GB2312" w:eastAsia="仿宋_GB2312" w:cs="仿宋_GB2312"/>
          <w:i w:val="0"/>
          <w:iCs w:val="0"/>
          <w:color w:val="auto"/>
          <w:kern w:val="0"/>
          <w:sz w:val="32"/>
          <w:szCs w:val="32"/>
          <w:highlight w:val="none"/>
          <w:u w:val="none"/>
          <w:lang w:val="en-US" w:eastAsia="zh-CN" w:bidi="ar"/>
        </w:rPr>
        <w:t>台的保养服务，确保机房内日常运行列间空调的正常运行。</w:t>
      </w:r>
    </w:p>
    <w:p w14:paraId="5F99A73B">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提供机房内空调冷凝水排水管、室外排水管和室外排水沟的维修服务，要求排水管出口处设置防虫网罩，不定期更换。</w:t>
      </w:r>
    </w:p>
    <w:p w14:paraId="6D8EA7C6">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5</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大屏系统服务要求</w:t>
      </w:r>
    </w:p>
    <w:p w14:paraId="250B6855">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监控大厅大屏需使用LED屏幕素点的间距≤</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53</w:t>
      </w:r>
      <w:r>
        <w:rPr>
          <w:rFonts w:hint="eastAsia" w:ascii="仿宋_GB2312" w:hAnsi="仿宋_GB2312" w:eastAsia="仿宋_GB2312" w:cs="仿宋_GB2312"/>
          <w:i w:val="0"/>
          <w:iCs w:val="0"/>
          <w:color w:val="auto"/>
          <w:kern w:val="0"/>
          <w:sz w:val="32"/>
          <w:szCs w:val="32"/>
          <w:highlight w:val="none"/>
          <w:u w:val="none"/>
          <w:lang w:val="en-US" w:eastAsia="zh-CN" w:bidi="ar"/>
        </w:rPr>
        <w:t>mm，屏体面积大于</w:t>
      </w:r>
      <w:r>
        <w:rPr>
          <w:rFonts w:hint="eastAsia" w:ascii="Times New Roman" w:hAnsi="Times New Roman" w:eastAsia="仿宋_GB2312" w:cs="仿宋_GB2312"/>
          <w:i w:val="0"/>
          <w:iCs w:val="0"/>
          <w:color w:val="auto"/>
          <w:kern w:val="0"/>
          <w:sz w:val="32"/>
          <w:szCs w:val="32"/>
          <w:highlight w:val="none"/>
          <w:u w:val="none"/>
          <w:lang w:val="en-US" w:eastAsia="zh-CN" w:bidi="ar"/>
        </w:rPr>
        <w:t>9</w:t>
      </w:r>
      <w:r>
        <w:rPr>
          <w:rFonts w:hint="eastAsia" w:ascii="仿宋_GB2312" w:hAnsi="仿宋_GB2312" w:eastAsia="仿宋_GB2312" w:cs="仿宋_GB2312"/>
          <w:i w:val="0"/>
          <w:iCs w:val="0"/>
          <w:color w:val="auto"/>
          <w:kern w:val="0"/>
          <w:sz w:val="32"/>
          <w:szCs w:val="32"/>
          <w:highlight w:val="none"/>
          <w:u w:val="none"/>
          <w:lang w:val="en-US" w:eastAsia="zh-CN" w:bidi="ar"/>
        </w:rPr>
        <w:t>㎡，分辨率≥</w:t>
      </w:r>
      <w:r>
        <w:rPr>
          <w:rFonts w:hint="eastAsia" w:ascii="Times New Roman" w:hAnsi="Times New Roman" w:eastAsia="仿宋_GB2312" w:cs="仿宋_GB2312"/>
          <w:i w:val="0"/>
          <w:iCs w:val="0"/>
          <w:color w:val="auto"/>
          <w:kern w:val="0"/>
          <w:sz w:val="32"/>
          <w:szCs w:val="32"/>
          <w:highlight w:val="none"/>
          <w:u w:val="none"/>
          <w:lang w:val="en-US" w:eastAsia="zh-CN" w:bidi="ar"/>
        </w:rPr>
        <w:t>4576</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1248</w:t>
      </w:r>
      <w:r>
        <w:rPr>
          <w:rFonts w:hint="eastAsia" w:ascii="仿宋_GB2312" w:hAnsi="仿宋_GB2312" w:eastAsia="仿宋_GB2312" w:cs="仿宋_GB2312"/>
          <w:i w:val="0"/>
          <w:iCs w:val="0"/>
          <w:color w:val="auto"/>
          <w:kern w:val="0"/>
          <w:sz w:val="32"/>
          <w:szCs w:val="32"/>
          <w:highlight w:val="none"/>
          <w:u w:val="none"/>
          <w:lang w:val="en-US" w:eastAsia="zh-CN" w:bidi="ar"/>
        </w:rPr>
        <w:t>，大屏还需配套具备矩阵切换和数字视频网络虚拟交换/切换模式的系统，具备系统信息存储功能，在供电中断或关机后，对所有编程信息和时间信息均可保持。</w:t>
      </w:r>
    </w:p>
    <w:p w14:paraId="591E1D7B">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数字会议系统，系统需采用手拉手方式连接，发言单元需采用便携式手拉手安装，外形美观，安装灵活，使用方便，不影响整体布局。</w:t>
      </w:r>
    </w:p>
    <w:p w14:paraId="5DA2B1FC">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会议系统配置：</w:t>
      </w:r>
    </w:p>
    <w:p w14:paraId="3E9BB028">
      <w:pPr>
        <w:pageBreakBefore w:val="0"/>
        <w:numPr>
          <w:ilvl w:val="0"/>
          <w:numId w:val="3"/>
        </w:numPr>
        <w:kinsoku/>
        <w:overflowPunct/>
        <w:topLinePunct w:val="0"/>
        <w:autoSpaceDE/>
        <w:autoSpaceDN/>
        <w:bidi w:val="0"/>
        <w:adjustRightInd/>
        <w:snapToGrid/>
        <w:spacing w:line="560" w:lineRule="exact"/>
        <w:ind w:left="420" w:leftChars="0" w:hanging="420" w:firstLineChars="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数字会议主机</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台，负责控制、管理；</w:t>
      </w:r>
    </w:p>
    <w:p w14:paraId="384C3B9C">
      <w:pPr>
        <w:pageBreakBefore w:val="0"/>
        <w:numPr>
          <w:ilvl w:val="0"/>
          <w:numId w:val="3"/>
        </w:numPr>
        <w:kinsoku/>
        <w:overflowPunct/>
        <w:topLinePunct w:val="0"/>
        <w:autoSpaceDE/>
        <w:autoSpaceDN/>
        <w:bidi w:val="0"/>
        <w:adjustRightInd/>
        <w:snapToGrid/>
        <w:spacing w:line="560" w:lineRule="exact"/>
        <w:ind w:left="420" w:leftChars="0" w:hanging="420" w:firstLineChars="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主席单元</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台，具有优先强切权限，桌面式放置安装；</w:t>
      </w:r>
    </w:p>
    <w:p w14:paraId="1BBB599B">
      <w:pPr>
        <w:pageBreakBefore w:val="0"/>
        <w:numPr>
          <w:ilvl w:val="0"/>
          <w:numId w:val="3"/>
        </w:numPr>
        <w:kinsoku/>
        <w:overflowPunct/>
        <w:topLinePunct w:val="0"/>
        <w:autoSpaceDE/>
        <w:autoSpaceDN/>
        <w:bidi w:val="0"/>
        <w:adjustRightInd/>
        <w:snapToGrid/>
        <w:spacing w:line="560" w:lineRule="exact"/>
        <w:ind w:left="420" w:leftChars="0" w:hanging="420" w:firstLineChars="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代表单元</w:t>
      </w:r>
      <w:r>
        <w:rPr>
          <w:rFonts w:hint="eastAsia" w:ascii="Times New Roman" w:hAnsi="Times New Roman" w:eastAsia="仿宋_GB2312" w:cs="仿宋_GB2312"/>
          <w:i w:val="0"/>
          <w:iCs w:val="0"/>
          <w:color w:val="auto"/>
          <w:kern w:val="0"/>
          <w:sz w:val="32"/>
          <w:szCs w:val="32"/>
          <w:highlight w:val="none"/>
          <w:u w:val="none"/>
          <w:lang w:val="en-US" w:eastAsia="zh-CN" w:bidi="ar"/>
        </w:rPr>
        <w:t>8</w:t>
      </w:r>
      <w:r>
        <w:rPr>
          <w:rFonts w:hint="eastAsia" w:ascii="仿宋_GB2312" w:hAnsi="仿宋_GB2312" w:eastAsia="仿宋_GB2312" w:cs="仿宋_GB2312"/>
          <w:i w:val="0"/>
          <w:iCs w:val="0"/>
          <w:color w:val="auto"/>
          <w:kern w:val="0"/>
          <w:sz w:val="32"/>
          <w:szCs w:val="32"/>
          <w:highlight w:val="none"/>
          <w:u w:val="none"/>
          <w:lang w:val="en-US" w:eastAsia="zh-CN" w:bidi="ar"/>
        </w:rPr>
        <w:t>台，桌面式放置安装；</w:t>
      </w:r>
    </w:p>
    <w:p w14:paraId="465063A6">
      <w:pPr>
        <w:pageBreakBefore w:val="0"/>
        <w:numPr>
          <w:ilvl w:val="0"/>
          <w:numId w:val="3"/>
        </w:numPr>
        <w:kinsoku/>
        <w:overflowPunct/>
        <w:topLinePunct w:val="0"/>
        <w:autoSpaceDE/>
        <w:autoSpaceDN/>
        <w:bidi w:val="0"/>
        <w:adjustRightInd/>
        <w:snapToGrid/>
        <w:spacing w:line="560" w:lineRule="exact"/>
        <w:ind w:left="420" w:leftChars="0" w:hanging="420" w:firstLineChars="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数字会议音频处理器</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台，提升音质效果、增强拾音距离。</w:t>
      </w:r>
    </w:p>
    <w:p w14:paraId="5F50B234">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提供对以上大屏系统功能的维修和保养工作。</w:t>
      </w:r>
    </w:p>
    <w:p w14:paraId="7A008C95">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6</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安防系统服务要求</w:t>
      </w:r>
    </w:p>
    <w:p w14:paraId="4E0C4824">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安全防范系统由视频监控系统、门禁系统组成。</w:t>
      </w:r>
    </w:p>
    <w:p w14:paraId="7FB45623">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视频监控主机需满足不低于</w:t>
      </w:r>
      <w:r>
        <w:rPr>
          <w:rFonts w:hint="eastAsia" w:ascii="Times New Roman" w:hAnsi="Times New Roman" w:eastAsia="仿宋_GB2312" w:cs="仿宋_GB2312"/>
          <w:i w:val="0"/>
          <w:iCs w:val="0"/>
          <w:color w:val="auto"/>
          <w:kern w:val="0"/>
          <w:sz w:val="32"/>
          <w:szCs w:val="32"/>
          <w:highlight w:val="none"/>
          <w:u w:val="none"/>
          <w:lang w:val="en-US" w:eastAsia="zh-CN" w:bidi="ar"/>
        </w:rPr>
        <w:t>42</w:t>
      </w:r>
      <w:r>
        <w:rPr>
          <w:rFonts w:hint="eastAsia" w:ascii="仿宋_GB2312" w:hAnsi="仿宋_GB2312" w:eastAsia="仿宋_GB2312" w:cs="仿宋_GB2312"/>
          <w:i w:val="0"/>
          <w:iCs w:val="0"/>
          <w:color w:val="auto"/>
          <w:kern w:val="0"/>
          <w:sz w:val="32"/>
          <w:szCs w:val="32"/>
          <w:highlight w:val="none"/>
          <w:u w:val="none"/>
          <w:lang w:val="en-US" w:eastAsia="zh-CN" w:bidi="ar"/>
        </w:rPr>
        <w:t>路视频接入、</w:t>
      </w:r>
      <w:r>
        <w:rPr>
          <w:rFonts w:hint="eastAsia" w:ascii="Times New Roman" w:hAnsi="Times New Roman" w:eastAsia="仿宋_GB2312" w:cs="仿宋_GB2312"/>
          <w:i w:val="0"/>
          <w:iCs w:val="0"/>
          <w:color w:val="auto"/>
          <w:kern w:val="0"/>
          <w:sz w:val="32"/>
          <w:szCs w:val="32"/>
          <w:highlight w:val="none"/>
          <w:u w:val="none"/>
          <w:lang w:val="en-US" w:eastAsia="zh-CN" w:bidi="ar"/>
        </w:rPr>
        <w:t>120</w:t>
      </w:r>
      <w:r>
        <w:rPr>
          <w:rFonts w:hint="eastAsia" w:ascii="仿宋_GB2312" w:hAnsi="仿宋_GB2312" w:eastAsia="仿宋_GB2312" w:cs="仿宋_GB2312"/>
          <w:i w:val="0"/>
          <w:iCs w:val="0"/>
          <w:color w:val="auto"/>
          <w:kern w:val="0"/>
          <w:sz w:val="32"/>
          <w:szCs w:val="32"/>
          <w:highlight w:val="none"/>
          <w:u w:val="none"/>
          <w:lang w:val="en-US" w:eastAsia="zh-CN" w:bidi="ar"/>
        </w:rPr>
        <w:t>T存储空间、不低于</w:t>
      </w:r>
      <w:r>
        <w:rPr>
          <w:rFonts w:hint="eastAsia" w:ascii="Times New Roman" w:hAnsi="Times New Roman" w:eastAsia="仿宋_GB2312" w:cs="仿宋_GB2312"/>
          <w:i w:val="0"/>
          <w:iCs w:val="0"/>
          <w:color w:val="auto"/>
          <w:kern w:val="0"/>
          <w:sz w:val="32"/>
          <w:szCs w:val="32"/>
          <w:highlight w:val="none"/>
          <w:u w:val="none"/>
          <w:lang w:val="en-US" w:eastAsia="zh-CN" w:bidi="ar"/>
        </w:rPr>
        <w:t>720</w:t>
      </w:r>
      <w:r>
        <w:rPr>
          <w:rFonts w:hint="eastAsia" w:ascii="仿宋_GB2312" w:hAnsi="仿宋_GB2312" w:eastAsia="仿宋_GB2312" w:cs="仿宋_GB2312"/>
          <w:i w:val="0"/>
          <w:iCs w:val="0"/>
          <w:color w:val="auto"/>
          <w:kern w:val="0"/>
          <w:sz w:val="32"/>
          <w:szCs w:val="32"/>
          <w:highlight w:val="none"/>
          <w:u w:val="none"/>
          <w:lang w:val="en-US" w:eastAsia="zh-CN" w:bidi="ar"/>
        </w:rPr>
        <w:t>P的红外摄像机。</w:t>
      </w:r>
    </w:p>
    <w:p w14:paraId="4525812E">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门禁系统需具备联网控制功能，具备IC卡识别和生物识别两种方式，门禁系统控制器与门锁应采用不同电源供电，门锁电源与消防可进行联动。</w:t>
      </w:r>
    </w:p>
    <w:p w14:paraId="405A9D98">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服务要求提供视频监控系统的正常运转，确保存储录像时长不低于</w:t>
      </w:r>
      <w:r>
        <w:rPr>
          <w:rFonts w:hint="eastAsia" w:ascii="Times New Roman" w:hAnsi="Times New Roman" w:eastAsia="仿宋_GB2312" w:cs="仿宋_GB2312"/>
          <w:i w:val="0"/>
          <w:iCs w:val="0"/>
          <w:color w:val="auto"/>
          <w:kern w:val="0"/>
          <w:sz w:val="32"/>
          <w:szCs w:val="32"/>
          <w:highlight w:val="none"/>
          <w:u w:val="none"/>
          <w:lang w:val="en-US" w:eastAsia="zh-CN" w:bidi="ar"/>
        </w:rPr>
        <w:t>180</w:t>
      </w:r>
      <w:r>
        <w:rPr>
          <w:rFonts w:hint="eastAsia" w:ascii="仿宋_GB2312" w:hAnsi="仿宋_GB2312" w:eastAsia="仿宋_GB2312" w:cs="仿宋_GB2312"/>
          <w:i w:val="0"/>
          <w:iCs w:val="0"/>
          <w:color w:val="auto"/>
          <w:kern w:val="0"/>
          <w:sz w:val="32"/>
          <w:szCs w:val="32"/>
          <w:highlight w:val="none"/>
          <w:u w:val="none"/>
          <w:lang w:val="en-US" w:eastAsia="zh-CN" w:bidi="ar"/>
        </w:rPr>
        <w:t>天；同时要求提供门禁系统的设备保养和维修服务，并提供电子门禁进出记录的完整数据。</w:t>
      </w:r>
    </w:p>
    <w:p w14:paraId="2BFAB3B7">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val="en-US" w:eastAsia="zh-CN"/>
        </w:rPr>
        <w:t>.机房防护服务要求</w:t>
      </w:r>
    </w:p>
    <w:p w14:paraId="3E92879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.提供进出电力线路、照明线路在相应配电箱内的浪涌吸收装置(SPD)的正常运转服务，要求不定期进行保养和维修。</w:t>
      </w:r>
    </w:p>
    <w:p w14:paraId="65FC7995">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.提供机房接地的保养和维修服务，包括但不限于高压系统的保护和工作接地、低压系统的保护与工作接地、设备防静电接地、信息系统接地、防雷接地等。</w:t>
      </w:r>
    </w:p>
    <w:p w14:paraId="118D20E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.提供防止雷电感应装置的保养和维修服务，主要是金属物的就近接地装置，金属物包括设备、管道、构架、电缆金属外皮及钢窗等附属金属材料。</w:t>
      </w:r>
    </w:p>
    <w:p w14:paraId="2B4C5A8A">
      <w:pPr>
        <w:pStyle w:val="3"/>
        <w:pageBreakBefore w:val="0"/>
        <w:numPr>
          <w:ilvl w:val="1"/>
          <w:numId w:val="0"/>
        </w:numPr>
        <w:kinsoku/>
        <w:overflowPunct/>
        <w:topLinePunct w:val="0"/>
        <w:autoSpaceDE/>
        <w:autoSpaceDN/>
        <w:bidi w:val="0"/>
        <w:adjustRightInd/>
        <w:snapToGrid/>
        <w:spacing w:line="560" w:lineRule="exact"/>
        <w:ind w:leftChars="0"/>
        <w:rPr>
          <w:rFonts w:hint="eastAsia" w:ascii="楷体_GB2312" w:hAnsi="楷体_GB2312" w:eastAsia="楷体_GB2312" w:cs="楷体_GB2312"/>
          <w:b/>
          <w:bCs/>
          <w:i w:val="0"/>
          <w:iCs w:val="0"/>
          <w:color w:val="auto"/>
          <w:kern w:val="0"/>
          <w:sz w:val="32"/>
          <w:szCs w:val="32"/>
          <w:highlight w:val="none"/>
          <w:u w:val="none"/>
          <w:lang w:val="en-US" w:eastAsia="zh-CN" w:bidi="ar"/>
        </w:rPr>
      </w:pPr>
      <w:r>
        <w:rPr>
          <w:rFonts w:hint="eastAsia" w:ascii="楷体_GB2312" w:hAnsi="楷体_GB2312" w:eastAsia="楷体_GB2312" w:cs="楷体_GB2312"/>
          <w:b/>
          <w:bCs/>
          <w:i w:val="0"/>
          <w:iCs w:val="0"/>
          <w:color w:val="auto"/>
          <w:kern w:val="0"/>
          <w:sz w:val="32"/>
          <w:szCs w:val="32"/>
          <w:highlight w:val="none"/>
          <w:u w:val="none"/>
          <w:lang w:val="en-US" w:eastAsia="zh-CN" w:bidi="ar"/>
        </w:rPr>
        <w:t>3.2.运维服务要求</w:t>
      </w:r>
    </w:p>
    <w:p w14:paraId="19C58294">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.人员配置要求</w:t>
      </w:r>
    </w:p>
    <w:p w14:paraId="712D284B">
      <w:pPr>
        <w:pageBreakBefore w:val="0"/>
        <w:kinsoku/>
        <w:overflowPunct/>
        <w:topLinePunct w:val="0"/>
        <w:autoSpaceDE/>
        <w:autoSpaceDN/>
        <w:bidi w:val="0"/>
        <w:adjustRightInd/>
        <w:snapToGrid/>
        <w:spacing w:before="66" w:line="560" w:lineRule="exact"/>
        <w:ind w:left="19" w:right="68" w:firstLine="429"/>
        <w:jc w:val="both"/>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驻场要求：</w:t>
      </w:r>
    </w:p>
    <w:p w14:paraId="63BB0AAC">
      <w:pPr>
        <w:pageBreakBefore w:val="0"/>
        <w:kinsoku/>
        <w:overflowPunct/>
        <w:topLinePunct w:val="0"/>
        <w:autoSpaceDE/>
        <w:autoSpaceDN/>
        <w:bidi w:val="0"/>
        <w:adjustRightInd/>
        <w:snapToGrid/>
        <w:spacing w:before="66" w:line="560" w:lineRule="exact"/>
        <w:ind w:left="19" w:right="68" w:firstLine="429"/>
        <w:jc w:val="both"/>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要求提供不少于</w:t>
      </w:r>
      <w:r>
        <w:rPr>
          <w:rFonts w:hint="eastAsia" w:ascii="Times New Roman" w:hAnsi="Times New Roman" w:eastAsia="仿宋_GB2312" w:cs="仿宋_GB2312"/>
          <w:i w:val="0"/>
          <w:iCs w:val="0"/>
          <w:color w:val="auto"/>
          <w:kern w:val="0"/>
          <w:sz w:val="32"/>
          <w:szCs w:val="32"/>
          <w:highlight w:val="none"/>
          <w:u w:val="none"/>
          <w:lang w:val="en-US" w:eastAsia="zh-CN" w:bidi="ar"/>
        </w:rPr>
        <w:t>10</w:t>
      </w:r>
      <w:r>
        <w:rPr>
          <w:rFonts w:hint="eastAsia" w:ascii="仿宋_GB2312" w:hAnsi="仿宋_GB2312" w:eastAsia="仿宋_GB2312" w:cs="仿宋_GB2312"/>
          <w:i w:val="0"/>
          <w:iCs w:val="0"/>
          <w:color w:val="auto"/>
          <w:kern w:val="0"/>
          <w:sz w:val="32"/>
          <w:szCs w:val="32"/>
          <w:highlight w:val="none"/>
          <w:u w:val="none"/>
          <w:lang w:val="en-US" w:eastAsia="zh-CN" w:bidi="ar"/>
        </w:rPr>
        <w:t>人的运维团队，其中不少于</w:t>
      </w: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人的驻场服务，具体要求</w:t>
      </w: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小时机房驻场运维，白天值班人员</w:t>
      </w: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人及以上（两个班次），夜间值班人员</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人及以上，确保机房的不间断管理。</w:t>
      </w:r>
    </w:p>
    <w:p w14:paraId="58231278">
      <w:pPr>
        <w:pageBreakBefore w:val="0"/>
        <w:kinsoku/>
        <w:overflowPunct/>
        <w:topLinePunct w:val="0"/>
        <w:autoSpaceDE/>
        <w:autoSpaceDN/>
        <w:bidi w:val="0"/>
        <w:adjustRightInd/>
        <w:snapToGrid/>
        <w:spacing w:before="66" w:line="560" w:lineRule="exact"/>
        <w:ind w:left="19" w:right="68" w:firstLine="429"/>
        <w:jc w:val="both"/>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重大活动期间，夜间值班人员增加至</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人，巡检频率增加至每天两次。</w:t>
      </w:r>
    </w:p>
    <w:p w14:paraId="37662E30">
      <w:pPr>
        <w:pageBreakBefore w:val="0"/>
        <w:kinsoku/>
        <w:overflowPunct/>
        <w:topLinePunct w:val="0"/>
        <w:autoSpaceDE/>
        <w:autoSpaceDN/>
        <w:bidi w:val="0"/>
        <w:adjustRightInd/>
        <w:snapToGrid/>
        <w:spacing w:before="66" w:line="560" w:lineRule="exact"/>
        <w:ind w:left="19" w:right="68" w:firstLine="429"/>
        <w:jc w:val="both"/>
        <w:rPr>
          <w:rFonts w:hint="eastAsia" w:ascii="仿宋_GB2312" w:hAnsi="仿宋_GB2312" w:eastAsia="仿宋_GB2312" w:cs="仿宋_GB2312"/>
          <w:color w:val="auto"/>
          <w:spacing w:val="0"/>
          <w:kern w:val="0"/>
          <w:sz w:val="32"/>
          <w:szCs w:val="32"/>
          <w:highlight w:val="none"/>
          <w:u w:val="none"/>
          <w:lang w:bidi="ar"/>
        </w:rPr>
      </w:pPr>
      <w:r>
        <w:rPr>
          <w:rFonts w:hint="eastAsia" w:ascii="仿宋_GB2312" w:hAnsi="仿宋_GB2312" w:eastAsia="仿宋_GB2312" w:cs="仿宋_GB2312"/>
          <w:color w:val="auto"/>
          <w:spacing w:val="0"/>
          <w:kern w:val="0"/>
          <w:sz w:val="32"/>
          <w:szCs w:val="32"/>
          <w:highlight w:val="none"/>
          <w:u w:val="none"/>
          <w:lang w:bidi="ar"/>
        </w:rPr>
        <w:t>运维</w:t>
      </w:r>
      <w:r>
        <w:rPr>
          <w:rFonts w:hint="eastAsia" w:ascii="仿宋_GB2312" w:hAnsi="仿宋_GB2312" w:eastAsia="仿宋_GB2312" w:cs="仿宋_GB2312"/>
          <w:color w:val="auto"/>
          <w:spacing w:val="0"/>
          <w:kern w:val="0"/>
          <w:sz w:val="32"/>
          <w:szCs w:val="32"/>
          <w:highlight w:val="none"/>
          <w:u w:val="none"/>
          <w:lang w:val="en-US" w:eastAsia="zh-CN" w:bidi="ar"/>
        </w:rPr>
        <w:t>服务</w:t>
      </w:r>
      <w:r>
        <w:rPr>
          <w:rFonts w:hint="eastAsia" w:ascii="仿宋_GB2312" w:hAnsi="仿宋_GB2312" w:eastAsia="仿宋_GB2312" w:cs="仿宋_GB2312"/>
          <w:color w:val="auto"/>
          <w:spacing w:val="0"/>
          <w:kern w:val="0"/>
          <w:sz w:val="32"/>
          <w:szCs w:val="32"/>
          <w:highlight w:val="none"/>
          <w:u w:val="none"/>
          <w:lang w:bidi="ar"/>
        </w:rPr>
        <w:t>团队岗位名称和岗位要求如下所示：</w:t>
      </w:r>
    </w:p>
    <w:p w14:paraId="4D886DC2">
      <w:pPr>
        <w:pageBreakBefore w:val="0"/>
        <w:kinsoku/>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highlight w:val="none"/>
        </w:rPr>
      </w:pPr>
    </w:p>
    <w:tbl>
      <w:tblPr>
        <w:tblStyle w:val="29"/>
        <w:tblW w:w="97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0"/>
        <w:gridCol w:w="1769"/>
        <w:gridCol w:w="5492"/>
        <w:gridCol w:w="1709"/>
      </w:tblGrid>
      <w:tr w14:paraId="18E62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780" w:type="dxa"/>
            <w:vAlign w:val="center"/>
          </w:tcPr>
          <w:p w14:paraId="6C4EC706">
            <w:pPr>
              <w:pStyle w:val="28"/>
              <w:pageBreakBefore w:val="0"/>
              <w:kinsoku/>
              <w:overflowPunct/>
              <w:topLinePunct w:val="0"/>
              <w:autoSpaceDE/>
              <w:autoSpaceDN/>
              <w:bidi w:val="0"/>
              <w:adjustRightInd/>
              <w:snapToGrid/>
              <w:spacing w:before="133" w:line="560" w:lineRule="exact"/>
              <w:ind w:left="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pacing w:val="4"/>
                <w:sz w:val="32"/>
                <w:szCs w:val="32"/>
                <w:highlight w:val="none"/>
              </w:rPr>
              <w:t>序号</w:t>
            </w:r>
          </w:p>
        </w:tc>
        <w:tc>
          <w:tcPr>
            <w:tcW w:w="1769" w:type="dxa"/>
            <w:vAlign w:val="center"/>
          </w:tcPr>
          <w:p w14:paraId="3D4C6360">
            <w:pPr>
              <w:pStyle w:val="28"/>
              <w:pageBreakBefore w:val="0"/>
              <w:kinsoku/>
              <w:overflowPunct/>
              <w:topLinePunct w:val="0"/>
              <w:autoSpaceDE/>
              <w:autoSpaceDN/>
              <w:bidi w:val="0"/>
              <w:adjustRightInd/>
              <w:snapToGrid/>
              <w:spacing w:before="134" w:line="560" w:lineRule="exact"/>
              <w:ind w:left="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pacing w:val="1"/>
                <w:sz w:val="32"/>
                <w:szCs w:val="32"/>
                <w:highlight w:val="none"/>
              </w:rPr>
              <w:t>团队岗位</w:t>
            </w:r>
          </w:p>
        </w:tc>
        <w:tc>
          <w:tcPr>
            <w:tcW w:w="5492" w:type="dxa"/>
            <w:vAlign w:val="center"/>
          </w:tcPr>
          <w:p w14:paraId="3B887D66">
            <w:pPr>
              <w:pStyle w:val="28"/>
              <w:pageBreakBefore w:val="0"/>
              <w:kinsoku/>
              <w:overflowPunct/>
              <w:topLinePunct w:val="0"/>
              <w:autoSpaceDE/>
              <w:autoSpaceDN/>
              <w:bidi w:val="0"/>
              <w:adjustRightInd/>
              <w:snapToGrid/>
              <w:spacing w:before="134" w:line="560" w:lineRule="exact"/>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pacing w:val="4"/>
                <w:sz w:val="32"/>
                <w:szCs w:val="32"/>
                <w:highlight w:val="none"/>
              </w:rPr>
              <w:t>岗位内容和要求</w:t>
            </w:r>
          </w:p>
        </w:tc>
        <w:tc>
          <w:tcPr>
            <w:tcW w:w="1709" w:type="dxa"/>
            <w:vAlign w:val="center"/>
          </w:tcPr>
          <w:p w14:paraId="505F8366">
            <w:pPr>
              <w:pStyle w:val="28"/>
              <w:pageBreakBefore w:val="0"/>
              <w:kinsoku/>
              <w:overflowPunct/>
              <w:topLinePunct w:val="0"/>
              <w:autoSpaceDE/>
              <w:autoSpaceDN/>
              <w:bidi w:val="0"/>
              <w:adjustRightInd/>
              <w:snapToGrid/>
              <w:spacing w:before="133" w:line="560" w:lineRule="exact"/>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pacing w:val="2"/>
                <w:sz w:val="32"/>
                <w:szCs w:val="32"/>
                <w:highlight w:val="none"/>
              </w:rPr>
              <w:t>备注</w:t>
            </w:r>
          </w:p>
        </w:tc>
      </w:tr>
      <w:tr w14:paraId="62A64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jc w:val="center"/>
        </w:trPr>
        <w:tc>
          <w:tcPr>
            <w:tcW w:w="780" w:type="dxa"/>
            <w:vAlign w:val="center"/>
          </w:tcPr>
          <w:p w14:paraId="5CFB950A">
            <w:pPr>
              <w:pStyle w:val="28"/>
              <w:pageBreakBefore w:val="0"/>
              <w:kinsoku/>
              <w:overflowPunct/>
              <w:topLinePunct w:val="0"/>
              <w:autoSpaceDE/>
              <w:autoSpaceDN/>
              <w:bidi w:val="0"/>
              <w:adjustRightInd/>
              <w:snapToGrid/>
              <w:spacing w:before="65" w:line="560" w:lineRule="exact"/>
              <w:jc w:val="center"/>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position w:val="1"/>
                <w:sz w:val="32"/>
                <w:szCs w:val="32"/>
                <w:highlight w:val="none"/>
              </w:rPr>
              <w:t>1</w:t>
            </w:r>
          </w:p>
        </w:tc>
        <w:tc>
          <w:tcPr>
            <w:tcW w:w="1769" w:type="dxa"/>
            <w:vAlign w:val="center"/>
          </w:tcPr>
          <w:p w14:paraId="1BC753C5">
            <w:pPr>
              <w:pStyle w:val="28"/>
              <w:pageBreakBefore w:val="0"/>
              <w:kinsoku/>
              <w:overflowPunct/>
              <w:topLinePunct w:val="0"/>
              <w:autoSpaceDE/>
              <w:autoSpaceDN/>
              <w:bidi w:val="0"/>
              <w:adjustRightInd/>
              <w:snapToGrid/>
              <w:spacing w:before="65" w:line="560" w:lineRule="exact"/>
              <w:ind w:left="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项目经理</w:t>
            </w:r>
          </w:p>
        </w:tc>
        <w:tc>
          <w:tcPr>
            <w:tcW w:w="5492" w:type="dxa"/>
            <w:vAlign w:val="center"/>
          </w:tcPr>
          <w:p w14:paraId="340A9A02">
            <w:pPr>
              <w:pStyle w:val="28"/>
              <w:pageBreakBefore w:val="0"/>
              <w:kinsoku/>
              <w:overflowPunct/>
              <w:topLinePunct w:val="0"/>
              <w:autoSpaceDE/>
              <w:autoSpaceDN/>
              <w:bidi w:val="0"/>
              <w:adjustRightInd/>
              <w:snapToGrid/>
              <w:spacing w:before="129" w:line="560" w:lineRule="exact"/>
              <w:ind w:right="134"/>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7"/>
                <w:sz w:val="32"/>
                <w:szCs w:val="32"/>
                <w:highlight w:val="none"/>
              </w:rPr>
              <w:t>负责项目整体的运维管理工作，要求</w:t>
            </w:r>
            <w:r>
              <w:rPr>
                <w:rFonts w:hint="eastAsia" w:ascii="Times New Roman" w:hAnsi="Times New Roman" w:eastAsia="仿宋_GB2312" w:cs="仿宋_GB2312"/>
                <w:color w:val="auto"/>
                <w:spacing w:val="7"/>
                <w:sz w:val="32"/>
                <w:szCs w:val="32"/>
                <w:highlight w:val="none"/>
              </w:rPr>
              <w:t>1</w:t>
            </w:r>
            <w:r>
              <w:rPr>
                <w:rFonts w:hint="eastAsia" w:ascii="仿宋_GB2312" w:hAnsi="仿宋_GB2312" w:eastAsia="仿宋_GB2312" w:cs="仿宋_GB2312"/>
                <w:color w:val="auto"/>
                <w:spacing w:val="7"/>
                <w:sz w:val="32"/>
                <w:szCs w:val="32"/>
                <w:highlight w:val="none"/>
              </w:rPr>
              <w:t>名系统集成项目管</w:t>
            </w:r>
            <w:r>
              <w:rPr>
                <w:rFonts w:hint="eastAsia" w:ascii="仿宋_GB2312" w:hAnsi="仿宋_GB2312" w:eastAsia="仿宋_GB2312" w:cs="仿宋_GB2312"/>
                <w:color w:val="auto"/>
                <w:spacing w:val="6"/>
                <w:sz w:val="32"/>
                <w:szCs w:val="32"/>
                <w:highlight w:val="none"/>
              </w:rPr>
              <w:t>理工程师</w:t>
            </w:r>
          </w:p>
        </w:tc>
        <w:tc>
          <w:tcPr>
            <w:tcW w:w="1709" w:type="dxa"/>
            <w:vAlign w:val="center"/>
          </w:tcPr>
          <w:p w14:paraId="2A97A279">
            <w:pPr>
              <w:pStyle w:val="28"/>
              <w:pageBreakBefore w:val="0"/>
              <w:kinsoku/>
              <w:overflowPunct/>
              <w:topLinePunct w:val="0"/>
              <w:autoSpaceDE/>
              <w:autoSpaceDN/>
              <w:bidi w:val="0"/>
              <w:adjustRightInd/>
              <w:snapToGrid/>
              <w:spacing w:before="65" w:line="560" w:lineRule="exact"/>
              <w:jc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核心服务</w:t>
            </w:r>
          </w:p>
        </w:tc>
      </w:tr>
      <w:tr w14:paraId="21D9A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jc w:val="center"/>
        </w:trPr>
        <w:tc>
          <w:tcPr>
            <w:tcW w:w="780" w:type="dxa"/>
            <w:vAlign w:val="center"/>
          </w:tcPr>
          <w:p w14:paraId="0A70938A">
            <w:pPr>
              <w:pStyle w:val="28"/>
              <w:pageBreakBefore w:val="0"/>
              <w:kinsoku/>
              <w:overflowPunct/>
              <w:topLinePunct w:val="0"/>
              <w:autoSpaceDE/>
              <w:autoSpaceDN/>
              <w:bidi w:val="0"/>
              <w:adjustRightInd/>
              <w:snapToGrid/>
              <w:spacing w:before="65" w:line="560" w:lineRule="exact"/>
              <w:jc w:val="center"/>
              <w:rPr>
                <w:rFonts w:hint="eastAsia" w:ascii="仿宋_GB2312" w:hAnsi="仿宋_GB2312" w:eastAsia="仿宋_GB2312" w:cs="仿宋_GB2312"/>
                <w:color w:val="auto"/>
                <w:sz w:val="32"/>
                <w:szCs w:val="32"/>
                <w:highlight w:val="none"/>
              </w:rPr>
            </w:pPr>
            <w:r>
              <w:rPr>
                <w:rFonts w:hint="eastAsia" w:ascii="Times New Roman" w:hAnsi="Times New Roman" w:eastAsia="仿宋_GB2312" w:cs="仿宋_GB2312"/>
                <w:color w:val="auto"/>
                <w:position w:val="1"/>
                <w:sz w:val="32"/>
                <w:szCs w:val="32"/>
                <w:highlight w:val="none"/>
              </w:rPr>
              <w:t>2</w:t>
            </w:r>
          </w:p>
        </w:tc>
        <w:tc>
          <w:tcPr>
            <w:tcW w:w="1769" w:type="dxa"/>
            <w:vAlign w:val="center"/>
          </w:tcPr>
          <w:p w14:paraId="4FCF776E">
            <w:pPr>
              <w:pStyle w:val="28"/>
              <w:pageBreakBefore w:val="0"/>
              <w:kinsoku/>
              <w:overflowPunct/>
              <w:topLinePunct w:val="0"/>
              <w:autoSpaceDE/>
              <w:autoSpaceDN/>
              <w:bidi w:val="0"/>
              <w:adjustRightInd/>
              <w:snapToGrid/>
              <w:spacing w:before="65" w:line="560" w:lineRule="exact"/>
              <w:ind w:left="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7"/>
                <w:sz w:val="32"/>
                <w:szCs w:val="32"/>
                <w:highlight w:val="none"/>
              </w:rPr>
              <w:t>巡检维护岗</w:t>
            </w:r>
          </w:p>
        </w:tc>
        <w:tc>
          <w:tcPr>
            <w:tcW w:w="5492" w:type="dxa"/>
            <w:vAlign w:val="center"/>
          </w:tcPr>
          <w:p w14:paraId="187676FD">
            <w:pPr>
              <w:pStyle w:val="28"/>
              <w:pageBreakBefore w:val="0"/>
              <w:kinsoku/>
              <w:overflowPunct/>
              <w:topLinePunct w:val="0"/>
              <w:autoSpaceDE/>
              <w:autoSpaceDN/>
              <w:bidi w:val="0"/>
              <w:adjustRightInd/>
              <w:snapToGrid/>
              <w:spacing w:before="129" w:line="560" w:lineRule="exact"/>
              <w:ind w:right="34"/>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5"/>
                <w:sz w:val="32"/>
                <w:szCs w:val="32"/>
                <w:highlight w:val="none"/>
              </w:rPr>
              <w:t>负责机房基础设施的每日巡检、人员和设备出入管理服务、</w:t>
            </w:r>
            <w:r>
              <w:rPr>
                <w:rFonts w:hint="eastAsia" w:ascii="仿宋_GB2312" w:hAnsi="仿宋_GB2312" w:eastAsia="仿宋_GB2312" w:cs="仿宋_GB2312"/>
                <w:color w:val="auto"/>
                <w:spacing w:val="9"/>
                <w:sz w:val="32"/>
                <w:szCs w:val="32"/>
                <w:highlight w:val="none"/>
              </w:rPr>
              <w:t>故障上报和处理跟踪记录服务，以及文档整理等日常运维</w:t>
            </w:r>
            <w:r>
              <w:rPr>
                <w:rFonts w:hint="eastAsia" w:ascii="仿宋_GB2312" w:hAnsi="仿宋_GB2312" w:eastAsia="仿宋_GB2312" w:cs="仿宋_GB2312"/>
                <w:color w:val="auto"/>
                <w:spacing w:val="8"/>
                <w:sz w:val="32"/>
                <w:szCs w:val="32"/>
                <w:highlight w:val="none"/>
              </w:rPr>
              <w:t>工作，要求提供</w:t>
            </w:r>
            <w:r>
              <w:rPr>
                <w:rFonts w:hint="eastAsia" w:ascii="Times New Roman" w:hAnsi="Times New Roman" w:eastAsia="仿宋_GB2312" w:cs="仿宋_GB2312"/>
                <w:color w:val="auto"/>
                <w:spacing w:val="8"/>
                <w:sz w:val="32"/>
                <w:szCs w:val="32"/>
                <w:highlight w:val="none"/>
              </w:rPr>
              <w:t>7</w:t>
            </w:r>
            <w:r>
              <w:rPr>
                <w:rFonts w:hint="eastAsia" w:ascii="仿宋_GB2312" w:hAnsi="仿宋_GB2312" w:eastAsia="仿宋_GB2312" w:cs="仿宋_GB2312"/>
                <w:color w:val="auto"/>
                <w:spacing w:val="8"/>
                <w:sz w:val="32"/>
                <w:szCs w:val="32"/>
                <w:highlight w:val="none"/>
              </w:rPr>
              <w:t>×</w:t>
            </w:r>
            <w:r>
              <w:rPr>
                <w:rFonts w:hint="eastAsia" w:ascii="Times New Roman" w:hAnsi="Times New Roman" w:eastAsia="仿宋_GB2312" w:cs="仿宋_GB2312"/>
                <w:color w:val="auto"/>
                <w:spacing w:val="8"/>
                <w:sz w:val="32"/>
                <w:szCs w:val="32"/>
                <w:highlight w:val="none"/>
              </w:rPr>
              <w:t>24</w:t>
            </w:r>
            <w:r>
              <w:rPr>
                <w:rFonts w:hint="eastAsia" w:ascii="仿宋_GB2312" w:hAnsi="仿宋_GB2312" w:eastAsia="仿宋_GB2312" w:cs="仿宋_GB2312"/>
                <w:color w:val="auto"/>
                <w:spacing w:val="8"/>
                <w:sz w:val="32"/>
                <w:szCs w:val="32"/>
                <w:highlight w:val="none"/>
              </w:rPr>
              <w:t>小时机房运维驻场服务，掌握系统运行情况，主动巡检。</w:t>
            </w:r>
          </w:p>
        </w:tc>
        <w:tc>
          <w:tcPr>
            <w:tcW w:w="1709" w:type="dxa"/>
            <w:vAlign w:val="center"/>
          </w:tcPr>
          <w:p w14:paraId="04D56270">
            <w:pPr>
              <w:pStyle w:val="28"/>
              <w:pageBreakBefore w:val="0"/>
              <w:kinsoku/>
              <w:overflowPunct/>
              <w:topLinePunct w:val="0"/>
              <w:autoSpaceDE/>
              <w:autoSpaceDN/>
              <w:bidi w:val="0"/>
              <w:adjustRightInd/>
              <w:snapToGrid/>
              <w:spacing w:before="65" w:line="560" w:lineRule="exact"/>
              <w:jc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7"/>
                <w:sz w:val="32"/>
                <w:szCs w:val="32"/>
                <w:highlight w:val="none"/>
              </w:rPr>
              <w:t>非核心服务</w:t>
            </w:r>
            <w:r>
              <w:rPr>
                <w:rFonts w:hint="eastAsia" w:ascii="仿宋_GB2312" w:hAnsi="仿宋_GB2312" w:eastAsia="仿宋_GB2312" w:cs="仿宋_GB2312"/>
                <w:color w:val="auto"/>
                <w:spacing w:val="3"/>
                <w:sz w:val="32"/>
                <w:szCs w:val="32"/>
                <w:highlight w:val="none"/>
              </w:rPr>
              <w:t>（</w:t>
            </w:r>
            <w:r>
              <w:rPr>
                <w:rFonts w:hint="eastAsia" w:ascii="Times New Roman" w:hAnsi="Times New Roman" w:eastAsia="仿宋_GB2312" w:cs="仿宋_GB2312"/>
                <w:color w:val="auto"/>
                <w:spacing w:val="3"/>
                <w:sz w:val="32"/>
                <w:szCs w:val="32"/>
                <w:highlight w:val="none"/>
              </w:rPr>
              <w:t>3</w:t>
            </w:r>
            <w:r>
              <w:rPr>
                <w:rFonts w:hint="eastAsia" w:ascii="仿宋_GB2312" w:hAnsi="仿宋_GB2312" w:eastAsia="仿宋_GB2312" w:cs="仿宋_GB2312"/>
                <w:color w:val="auto"/>
                <w:spacing w:val="3"/>
                <w:sz w:val="32"/>
                <w:szCs w:val="32"/>
                <w:highlight w:val="none"/>
              </w:rPr>
              <w:t>.</w:t>
            </w:r>
            <w:r>
              <w:rPr>
                <w:rFonts w:hint="eastAsia" w:ascii="Times New Roman" w:hAnsi="Times New Roman" w:eastAsia="仿宋_GB2312" w:cs="仿宋_GB2312"/>
                <w:color w:val="auto"/>
                <w:spacing w:val="3"/>
                <w:sz w:val="32"/>
                <w:szCs w:val="32"/>
                <w:highlight w:val="none"/>
              </w:rPr>
              <w:t>2</w:t>
            </w:r>
            <w:r>
              <w:rPr>
                <w:rFonts w:hint="eastAsia" w:ascii="仿宋_GB2312" w:hAnsi="仿宋_GB2312" w:eastAsia="仿宋_GB2312" w:cs="仿宋_GB2312"/>
                <w:color w:val="auto"/>
                <w:spacing w:val="3"/>
                <w:sz w:val="32"/>
                <w:szCs w:val="32"/>
                <w:highlight w:val="none"/>
              </w:rPr>
              <w:t>.</w:t>
            </w:r>
            <w:r>
              <w:rPr>
                <w:rFonts w:hint="eastAsia" w:ascii="Times New Roman" w:hAnsi="Times New Roman" w:eastAsia="仿宋_GB2312" w:cs="仿宋_GB2312"/>
                <w:color w:val="auto"/>
                <w:spacing w:val="3"/>
                <w:sz w:val="32"/>
                <w:szCs w:val="32"/>
                <w:highlight w:val="none"/>
                <w:lang w:val="en-US" w:eastAsia="zh-CN"/>
              </w:rPr>
              <w:t>2</w:t>
            </w:r>
            <w:r>
              <w:rPr>
                <w:rFonts w:hint="eastAsia" w:ascii="仿宋_GB2312" w:hAnsi="仿宋_GB2312" w:eastAsia="仿宋_GB2312" w:cs="仿宋_GB2312"/>
                <w:color w:val="auto"/>
                <w:spacing w:val="3"/>
                <w:sz w:val="32"/>
                <w:szCs w:val="32"/>
                <w:highlight w:val="none"/>
              </w:rPr>
              <w:t>\</w:t>
            </w:r>
            <w:r>
              <w:rPr>
                <w:rFonts w:hint="eastAsia" w:ascii="Times New Roman" w:hAnsi="Times New Roman" w:eastAsia="仿宋_GB2312" w:cs="仿宋_GB2312"/>
                <w:color w:val="auto"/>
                <w:spacing w:val="3"/>
                <w:sz w:val="32"/>
                <w:szCs w:val="32"/>
                <w:highlight w:val="none"/>
              </w:rPr>
              <w:t>3</w:t>
            </w:r>
            <w:r>
              <w:rPr>
                <w:rFonts w:hint="eastAsia" w:ascii="仿宋_GB2312" w:hAnsi="仿宋_GB2312" w:eastAsia="仿宋_GB2312" w:cs="仿宋_GB2312"/>
                <w:color w:val="auto"/>
                <w:spacing w:val="3"/>
                <w:sz w:val="32"/>
                <w:szCs w:val="32"/>
                <w:highlight w:val="none"/>
              </w:rPr>
              <w:t>.</w:t>
            </w:r>
            <w:r>
              <w:rPr>
                <w:rFonts w:hint="eastAsia" w:ascii="Times New Roman" w:hAnsi="Times New Roman" w:eastAsia="仿宋_GB2312" w:cs="仿宋_GB2312"/>
                <w:color w:val="auto"/>
                <w:spacing w:val="3"/>
                <w:sz w:val="32"/>
                <w:szCs w:val="32"/>
                <w:highlight w:val="none"/>
              </w:rPr>
              <w:t>2</w:t>
            </w:r>
            <w:r>
              <w:rPr>
                <w:rFonts w:hint="eastAsia" w:ascii="仿宋_GB2312" w:hAnsi="仿宋_GB2312" w:eastAsia="仿宋_GB2312" w:cs="仿宋_GB2312"/>
                <w:color w:val="auto"/>
                <w:spacing w:val="3"/>
                <w:sz w:val="32"/>
                <w:szCs w:val="32"/>
                <w:highlight w:val="none"/>
              </w:rPr>
              <w:t>.</w:t>
            </w:r>
            <w:r>
              <w:rPr>
                <w:rFonts w:hint="eastAsia" w:ascii="Times New Roman" w:hAnsi="Times New Roman" w:eastAsia="仿宋_GB2312" w:cs="仿宋_GB2312"/>
                <w:color w:val="auto"/>
                <w:spacing w:val="3"/>
                <w:sz w:val="32"/>
                <w:szCs w:val="32"/>
                <w:highlight w:val="none"/>
                <w:lang w:val="en-US" w:eastAsia="zh-CN"/>
              </w:rPr>
              <w:t>14</w:t>
            </w:r>
            <w:r>
              <w:rPr>
                <w:rFonts w:hint="eastAsia" w:ascii="仿宋_GB2312" w:hAnsi="仿宋_GB2312" w:eastAsia="仿宋_GB2312" w:cs="仿宋_GB2312"/>
                <w:color w:val="auto"/>
                <w:spacing w:val="2"/>
                <w:sz w:val="32"/>
                <w:szCs w:val="32"/>
                <w:highlight w:val="none"/>
              </w:rPr>
              <w:t>\</w:t>
            </w:r>
            <w:r>
              <w:rPr>
                <w:rFonts w:hint="eastAsia" w:ascii="Times New Roman" w:hAnsi="Times New Roman" w:eastAsia="仿宋_GB2312" w:cs="仿宋_GB2312"/>
                <w:color w:val="auto"/>
                <w:spacing w:val="2"/>
                <w:sz w:val="32"/>
                <w:szCs w:val="32"/>
                <w:highlight w:val="none"/>
              </w:rPr>
              <w:t>3</w:t>
            </w:r>
            <w:r>
              <w:rPr>
                <w:rFonts w:hint="eastAsia" w:ascii="仿宋_GB2312" w:hAnsi="仿宋_GB2312" w:eastAsia="仿宋_GB2312" w:cs="仿宋_GB2312"/>
                <w:color w:val="auto"/>
                <w:spacing w:val="2"/>
                <w:sz w:val="32"/>
                <w:szCs w:val="32"/>
                <w:highlight w:val="none"/>
              </w:rPr>
              <w:t>.</w:t>
            </w:r>
            <w:r>
              <w:rPr>
                <w:rFonts w:hint="eastAsia" w:ascii="Times New Roman" w:hAnsi="Times New Roman" w:eastAsia="仿宋_GB2312" w:cs="仿宋_GB2312"/>
                <w:color w:val="auto"/>
                <w:spacing w:val="2"/>
                <w:sz w:val="32"/>
                <w:szCs w:val="32"/>
                <w:highlight w:val="none"/>
              </w:rPr>
              <w:t>2</w:t>
            </w:r>
            <w:r>
              <w:rPr>
                <w:rFonts w:hint="eastAsia" w:ascii="仿宋_GB2312" w:hAnsi="仿宋_GB2312" w:eastAsia="仿宋_GB2312" w:cs="仿宋_GB2312"/>
                <w:color w:val="auto"/>
                <w:spacing w:val="2"/>
                <w:sz w:val="32"/>
                <w:szCs w:val="32"/>
                <w:highlight w:val="none"/>
              </w:rPr>
              <w:t>.</w:t>
            </w:r>
            <w:r>
              <w:rPr>
                <w:rFonts w:hint="eastAsia" w:ascii="Times New Roman" w:hAnsi="Times New Roman" w:eastAsia="仿宋_GB2312" w:cs="仿宋_GB2312"/>
                <w:color w:val="auto"/>
                <w:spacing w:val="2"/>
                <w:sz w:val="32"/>
                <w:szCs w:val="32"/>
                <w:highlight w:val="none"/>
                <w:lang w:val="en-US" w:eastAsia="zh-CN"/>
              </w:rPr>
              <w:t>16</w:t>
            </w:r>
            <w:r>
              <w:rPr>
                <w:rFonts w:hint="eastAsia" w:ascii="仿宋_GB2312" w:hAnsi="仿宋_GB2312" w:eastAsia="仿宋_GB2312" w:cs="仿宋_GB2312"/>
                <w:color w:val="auto"/>
                <w:spacing w:val="2"/>
                <w:sz w:val="32"/>
                <w:szCs w:val="32"/>
                <w:highlight w:val="none"/>
                <w:lang w:val="en-US" w:eastAsia="zh-CN"/>
              </w:rPr>
              <w:t>）</w:t>
            </w:r>
          </w:p>
        </w:tc>
      </w:tr>
      <w:tr w14:paraId="5B31C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jc w:val="center"/>
        </w:trPr>
        <w:tc>
          <w:tcPr>
            <w:tcW w:w="780" w:type="dxa"/>
            <w:vAlign w:val="center"/>
          </w:tcPr>
          <w:p w14:paraId="530BEF71">
            <w:pPr>
              <w:pStyle w:val="28"/>
              <w:pageBreakBefore w:val="0"/>
              <w:kinsoku/>
              <w:overflowPunct/>
              <w:topLinePunct w:val="0"/>
              <w:autoSpaceDE/>
              <w:autoSpaceDN/>
              <w:bidi w:val="0"/>
              <w:adjustRightInd/>
              <w:snapToGrid/>
              <w:spacing w:before="65" w:line="560" w:lineRule="exact"/>
              <w:jc w:val="center"/>
              <w:rPr>
                <w:rFonts w:hint="eastAsia" w:ascii="仿宋_GB2312" w:hAnsi="仿宋_GB2312" w:eastAsia="仿宋_GB2312" w:cs="仿宋_GB2312"/>
                <w:color w:val="auto"/>
                <w:position w:val="1"/>
                <w:sz w:val="32"/>
                <w:szCs w:val="32"/>
                <w:highlight w:val="none"/>
              </w:rPr>
            </w:pPr>
            <w:r>
              <w:rPr>
                <w:rFonts w:hint="eastAsia" w:ascii="Times New Roman" w:hAnsi="Times New Roman" w:eastAsia="仿宋_GB2312" w:cs="仿宋_GB2312"/>
                <w:color w:val="auto"/>
                <w:position w:val="1"/>
                <w:sz w:val="32"/>
                <w:szCs w:val="32"/>
                <w:highlight w:val="none"/>
              </w:rPr>
              <w:t>3</w:t>
            </w:r>
          </w:p>
        </w:tc>
        <w:tc>
          <w:tcPr>
            <w:tcW w:w="1769" w:type="dxa"/>
            <w:vAlign w:val="center"/>
          </w:tcPr>
          <w:p w14:paraId="661873B4">
            <w:pPr>
              <w:pStyle w:val="28"/>
              <w:pageBreakBefore w:val="0"/>
              <w:kinsoku/>
              <w:overflowPunct/>
              <w:topLinePunct w:val="0"/>
              <w:autoSpaceDE/>
              <w:autoSpaceDN/>
              <w:bidi w:val="0"/>
              <w:adjustRightInd/>
              <w:snapToGrid/>
              <w:spacing w:before="65" w:line="560" w:lineRule="exact"/>
              <w:ind w:left="0" w:leftChars="0"/>
              <w:jc w:val="center"/>
              <w:rPr>
                <w:rFonts w:hint="eastAsia" w:ascii="仿宋_GB2312" w:hAnsi="仿宋_GB2312" w:eastAsia="仿宋_GB2312" w:cs="仿宋_GB2312"/>
                <w:color w:val="auto"/>
                <w:spacing w:val="7"/>
                <w:sz w:val="32"/>
                <w:szCs w:val="32"/>
                <w:highlight w:val="none"/>
              </w:rPr>
            </w:pPr>
            <w:r>
              <w:rPr>
                <w:rFonts w:hint="eastAsia" w:ascii="仿宋_GB2312" w:hAnsi="仿宋_GB2312" w:eastAsia="仿宋_GB2312" w:cs="仿宋_GB2312"/>
                <w:color w:val="auto"/>
                <w:spacing w:val="7"/>
                <w:sz w:val="32"/>
                <w:szCs w:val="32"/>
                <w:highlight w:val="none"/>
              </w:rPr>
              <w:t>故障抢修岗</w:t>
            </w:r>
          </w:p>
        </w:tc>
        <w:tc>
          <w:tcPr>
            <w:tcW w:w="5492" w:type="dxa"/>
            <w:vAlign w:val="center"/>
          </w:tcPr>
          <w:p w14:paraId="2CC91439">
            <w:pPr>
              <w:pStyle w:val="28"/>
              <w:pageBreakBefore w:val="0"/>
              <w:kinsoku/>
              <w:overflowPunct/>
              <w:topLinePunct w:val="0"/>
              <w:autoSpaceDE/>
              <w:autoSpaceDN/>
              <w:bidi w:val="0"/>
              <w:adjustRightInd/>
              <w:snapToGrid/>
              <w:spacing w:before="133" w:line="560" w:lineRule="exact"/>
              <w:ind w:right="134"/>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9"/>
                <w:sz w:val="32"/>
                <w:szCs w:val="32"/>
                <w:highlight w:val="none"/>
              </w:rPr>
              <w:t>负责日常巡检发现的故障处理，应急抢修、备品备件管理</w:t>
            </w:r>
            <w:r>
              <w:rPr>
                <w:rFonts w:hint="eastAsia" w:ascii="仿宋_GB2312" w:hAnsi="仿宋_GB2312" w:eastAsia="仿宋_GB2312" w:cs="仿宋_GB2312"/>
                <w:color w:val="auto"/>
                <w:spacing w:val="4"/>
                <w:sz w:val="32"/>
                <w:szCs w:val="32"/>
                <w:highlight w:val="none"/>
              </w:rPr>
              <w:t>等工作。</w:t>
            </w:r>
          </w:p>
          <w:p w14:paraId="24E09444">
            <w:pPr>
              <w:pStyle w:val="28"/>
              <w:pageBreakBefore w:val="0"/>
              <w:kinsoku/>
              <w:overflowPunct/>
              <w:topLinePunct w:val="0"/>
              <w:autoSpaceDE/>
              <w:autoSpaceDN/>
              <w:bidi w:val="0"/>
              <w:adjustRightInd/>
              <w:snapToGrid/>
              <w:spacing w:before="2" w:line="560" w:lineRule="exact"/>
              <w:ind w:right="134" w:rightChars="0"/>
              <w:jc w:val="center"/>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8"/>
                <w:sz w:val="32"/>
                <w:szCs w:val="32"/>
                <w:highlight w:val="none"/>
              </w:rPr>
              <w:t>主要技术人员中至少包含</w:t>
            </w:r>
            <w:r>
              <w:rPr>
                <w:rFonts w:hint="eastAsia" w:ascii="Times New Roman" w:hAnsi="Times New Roman" w:eastAsia="仿宋_GB2312" w:cs="仿宋_GB2312"/>
                <w:color w:val="auto"/>
                <w:spacing w:val="8"/>
                <w:sz w:val="32"/>
                <w:szCs w:val="32"/>
                <w:highlight w:val="none"/>
              </w:rPr>
              <w:t>2</w:t>
            </w:r>
            <w:r>
              <w:rPr>
                <w:rFonts w:hint="eastAsia" w:ascii="仿宋_GB2312" w:hAnsi="仿宋_GB2312" w:eastAsia="仿宋_GB2312" w:cs="仿宋_GB2312"/>
                <w:color w:val="auto"/>
                <w:spacing w:val="8"/>
                <w:sz w:val="32"/>
                <w:szCs w:val="32"/>
                <w:highlight w:val="none"/>
              </w:rPr>
              <w:t>名技术人员具有国家认证的高</w:t>
            </w:r>
            <w:r>
              <w:rPr>
                <w:rFonts w:hint="eastAsia" w:ascii="仿宋_GB2312" w:hAnsi="仿宋_GB2312" w:eastAsia="仿宋_GB2312" w:cs="仿宋_GB2312"/>
                <w:color w:val="auto"/>
                <w:spacing w:val="9"/>
                <w:sz w:val="32"/>
                <w:szCs w:val="32"/>
                <w:highlight w:val="none"/>
              </w:rPr>
              <w:t>压或低压操作证书、</w:t>
            </w:r>
            <w:r>
              <w:rPr>
                <w:rFonts w:hint="eastAsia" w:ascii="Times New Roman" w:hAnsi="Times New Roman" w:eastAsia="仿宋_GB2312" w:cs="仿宋_GB2312"/>
                <w:color w:val="auto"/>
                <w:spacing w:val="9"/>
                <w:sz w:val="32"/>
                <w:szCs w:val="32"/>
                <w:highlight w:val="none"/>
              </w:rPr>
              <w:t>1</w:t>
            </w:r>
            <w:r>
              <w:rPr>
                <w:rFonts w:hint="eastAsia" w:ascii="仿宋_GB2312" w:hAnsi="仿宋_GB2312" w:eastAsia="仿宋_GB2312" w:cs="仿宋_GB2312"/>
                <w:color w:val="auto"/>
                <w:spacing w:val="9"/>
                <w:sz w:val="32"/>
                <w:szCs w:val="32"/>
                <w:highlight w:val="none"/>
              </w:rPr>
              <w:t>名技术人员具备国家认证的</w:t>
            </w:r>
            <w:r>
              <w:rPr>
                <w:rFonts w:hint="eastAsia" w:ascii="仿宋_GB2312" w:hAnsi="仿宋_GB2312" w:eastAsia="仿宋_GB2312" w:cs="仿宋_GB2312"/>
                <w:color w:val="auto"/>
                <w:spacing w:val="9"/>
                <w:sz w:val="32"/>
                <w:szCs w:val="32"/>
                <w:highlight w:val="none"/>
                <w:lang w:val="en-US" w:eastAsia="zh-CN"/>
              </w:rPr>
              <w:t>电信</w:t>
            </w:r>
            <w:r>
              <w:rPr>
                <w:rFonts w:hint="eastAsia" w:ascii="仿宋_GB2312" w:hAnsi="仿宋_GB2312" w:eastAsia="仿宋_GB2312" w:cs="仿宋_GB2312"/>
                <w:color w:val="auto"/>
                <w:spacing w:val="9"/>
                <w:sz w:val="32"/>
                <w:szCs w:val="32"/>
                <w:highlight w:val="none"/>
              </w:rPr>
              <w:t>机务员证书；要求提供全部主要人员的近三个月的社保</w:t>
            </w:r>
            <w:r>
              <w:rPr>
                <w:rFonts w:hint="eastAsia" w:ascii="仿宋_GB2312" w:hAnsi="仿宋_GB2312" w:eastAsia="仿宋_GB2312" w:cs="仿宋_GB2312"/>
                <w:color w:val="auto"/>
                <w:spacing w:val="6"/>
                <w:sz w:val="32"/>
                <w:szCs w:val="32"/>
                <w:highlight w:val="none"/>
              </w:rPr>
              <w:t>证明（加盖公章）。</w:t>
            </w:r>
          </w:p>
        </w:tc>
        <w:tc>
          <w:tcPr>
            <w:tcW w:w="1709" w:type="dxa"/>
            <w:vAlign w:val="center"/>
          </w:tcPr>
          <w:p w14:paraId="0BA95416">
            <w:pPr>
              <w:pStyle w:val="28"/>
              <w:pageBreakBefore w:val="0"/>
              <w:kinsoku/>
              <w:overflowPunct/>
              <w:topLinePunct w:val="0"/>
              <w:autoSpaceDE/>
              <w:autoSpaceDN/>
              <w:bidi w:val="0"/>
              <w:adjustRightInd/>
              <w:snapToGrid/>
              <w:spacing w:before="65" w:line="560" w:lineRule="exact"/>
              <w:jc w:val="center"/>
              <w:rPr>
                <w:rFonts w:hint="eastAsia" w:ascii="仿宋_GB2312" w:hAnsi="仿宋_GB2312" w:eastAsia="仿宋_GB2312" w:cs="仿宋_GB2312"/>
                <w:color w:val="auto"/>
                <w:spacing w:val="2"/>
                <w:sz w:val="32"/>
                <w:szCs w:val="32"/>
                <w:highlight w:val="none"/>
              </w:rPr>
            </w:pPr>
            <w:r>
              <w:rPr>
                <w:rFonts w:hint="eastAsia" w:ascii="仿宋_GB2312" w:hAnsi="仿宋_GB2312" w:eastAsia="仿宋_GB2312" w:cs="仿宋_GB2312"/>
                <w:color w:val="auto"/>
                <w:spacing w:val="6"/>
                <w:sz w:val="32"/>
                <w:szCs w:val="32"/>
                <w:highlight w:val="none"/>
              </w:rPr>
              <w:t>核心服务</w:t>
            </w:r>
          </w:p>
        </w:tc>
      </w:tr>
      <w:tr w14:paraId="6332C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jc w:val="center"/>
        </w:trPr>
        <w:tc>
          <w:tcPr>
            <w:tcW w:w="780" w:type="dxa"/>
            <w:vAlign w:val="center"/>
          </w:tcPr>
          <w:p w14:paraId="1282C1C2">
            <w:pPr>
              <w:pStyle w:val="28"/>
              <w:pageBreakBefore w:val="0"/>
              <w:kinsoku/>
              <w:overflowPunct/>
              <w:topLinePunct w:val="0"/>
              <w:autoSpaceDE/>
              <w:autoSpaceDN/>
              <w:bidi w:val="0"/>
              <w:adjustRightInd/>
              <w:snapToGrid/>
              <w:spacing w:before="65" w:line="560" w:lineRule="exact"/>
              <w:jc w:val="center"/>
              <w:rPr>
                <w:rFonts w:hint="eastAsia" w:ascii="仿宋_GB2312" w:hAnsi="仿宋_GB2312" w:eastAsia="仿宋_GB2312" w:cs="仿宋_GB2312"/>
                <w:color w:val="auto"/>
                <w:position w:val="1"/>
                <w:sz w:val="32"/>
                <w:szCs w:val="32"/>
                <w:highlight w:val="none"/>
              </w:rPr>
            </w:pPr>
            <w:r>
              <w:rPr>
                <w:rFonts w:hint="eastAsia" w:ascii="Times New Roman" w:hAnsi="Times New Roman" w:eastAsia="仿宋_GB2312" w:cs="仿宋_GB2312"/>
                <w:color w:val="auto"/>
                <w:position w:val="1"/>
                <w:sz w:val="32"/>
                <w:szCs w:val="32"/>
                <w:highlight w:val="none"/>
              </w:rPr>
              <w:t>4</w:t>
            </w:r>
          </w:p>
        </w:tc>
        <w:tc>
          <w:tcPr>
            <w:tcW w:w="1769" w:type="dxa"/>
            <w:vAlign w:val="center"/>
          </w:tcPr>
          <w:p w14:paraId="6EC0A75B">
            <w:pPr>
              <w:pStyle w:val="28"/>
              <w:pageBreakBefore w:val="0"/>
              <w:kinsoku/>
              <w:overflowPunct/>
              <w:topLinePunct w:val="0"/>
              <w:autoSpaceDE/>
              <w:autoSpaceDN/>
              <w:bidi w:val="0"/>
              <w:adjustRightInd/>
              <w:snapToGrid/>
              <w:spacing w:before="65" w:line="560" w:lineRule="exact"/>
              <w:ind w:left="0" w:leftChars="0"/>
              <w:jc w:val="center"/>
              <w:rPr>
                <w:rFonts w:hint="eastAsia" w:ascii="仿宋_GB2312" w:hAnsi="仿宋_GB2312" w:eastAsia="仿宋_GB2312" w:cs="仿宋_GB2312"/>
                <w:color w:val="auto"/>
                <w:spacing w:val="7"/>
                <w:sz w:val="32"/>
                <w:szCs w:val="32"/>
                <w:highlight w:val="none"/>
              </w:rPr>
            </w:pPr>
            <w:r>
              <w:rPr>
                <w:rFonts w:hint="eastAsia" w:ascii="仿宋_GB2312" w:hAnsi="仿宋_GB2312" w:eastAsia="仿宋_GB2312" w:cs="仿宋_GB2312"/>
                <w:color w:val="auto"/>
                <w:spacing w:val="7"/>
                <w:sz w:val="32"/>
                <w:szCs w:val="32"/>
                <w:highlight w:val="none"/>
              </w:rPr>
              <w:t>技术支撑岗</w:t>
            </w:r>
          </w:p>
        </w:tc>
        <w:tc>
          <w:tcPr>
            <w:tcW w:w="5492" w:type="dxa"/>
            <w:vAlign w:val="center"/>
          </w:tcPr>
          <w:p w14:paraId="6256383B">
            <w:pPr>
              <w:pStyle w:val="28"/>
              <w:pageBreakBefore w:val="0"/>
              <w:kinsoku/>
              <w:overflowPunct/>
              <w:topLinePunct w:val="0"/>
              <w:autoSpaceDE/>
              <w:autoSpaceDN/>
              <w:bidi w:val="0"/>
              <w:adjustRightInd/>
              <w:snapToGrid/>
              <w:spacing w:before="133" w:line="560" w:lineRule="exact"/>
              <w:ind w:right="169"/>
              <w:jc w:val="center"/>
              <w:rPr>
                <w:rFonts w:hint="eastAsia" w:ascii="仿宋_GB2312" w:hAnsi="仿宋_GB2312" w:eastAsia="仿宋_GB2312" w:cs="仿宋_GB2312"/>
                <w:color w:val="auto"/>
                <w:spacing w:val="8"/>
                <w:sz w:val="32"/>
                <w:szCs w:val="32"/>
                <w:highlight w:val="none"/>
              </w:rPr>
            </w:pPr>
            <w:r>
              <w:rPr>
                <w:rFonts w:hint="eastAsia" w:ascii="仿宋_GB2312" w:hAnsi="仿宋_GB2312" w:eastAsia="仿宋_GB2312" w:cs="仿宋_GB2312"/>
                <w:color w:val="auto"/>
                <w:spacing w:val="8"/>
                <w:sz w:val="32"/>
                <w:szCs w:val="32"/>
                <w:highlight w:val="none"/>
              </w:rPr>
              <w:t>负责基础设施的重保工作、机房动环监控平台数</w:t>
            </w:r>
            <w:r>
              <w:rPr>
                <w:rFonts w:hint="eastAsia" w:ascii="仿宋_GB2312" w:hAnsi="仿宋_GB2312" w:eastAsia="仿宋_GB2312" w:cs="仿宋_GB2312"/>
                <w:color w:val="auto"/>
                <w:spacing w:val="7"/>
                <w:sz w:val="32"/>
                <w:szCs w:val="32"/>
                <w:highlight w:val="none"/>
              </w:rPr>
              <w:t>据接入、</w:t>
            </w:r>
            <w:r>
              <w:rPr>
                <w:rFonts w:hint="eastAsia" w:ascii="仿宋_GB2312" w:hAnsi="仿宋_GB2312" w:eastAsia="仿宋_GB2312" w:cs="仿宋_GB2312"/>
                <w:color w:val="auto"/>
                <w:spacing w:val="8"/>
                <w:sz w:val="32"/>
                <w:szCs w:val="32"/>
                <w:highlight w:val="none"/>
              </w:rPr>
              <w:t>设备保养、技术咨询、培训、等服务工作。</w:t>
            </w:r>
          </w:p>
          <w:p w14:paraId="069443B1">
            <w:pPr>
              <w:pStyle w:val="28"/>
              <w:pageBreakBefore w:val="0"/>
              <w:kinsoku/>
              <w:overflowPunct/>
              <w:topLinePunct w:val="0"/>
              <w:autoSpaceDE/>
              <w:autoSpaceDN/>
              <w:bidi w:val="0"/>
              <w:adjustRightInd/>
              <w:snapToGrid/>
              <w:spacing w:before="133" w:line="560" w:lineRule="exact"/>
              <w:ind w:right="169"/>
              <w:jc w:val="center"/>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7"/>
                <w:sz w:val="32"/>
                <w:szCs w:val="32"/>
                <w:highlight w:val="none"/>
              </w:rPr>
              <w:t>主要技术人员中至少包含</w:t>
            </w:r>
            <w:r>
              <w:rPr>
                <w:rFonts w:hint="eastAsia" w:ascii="Times New Roman" w:hAnsi="Times New Roman" w:eastAsia="仿宋_GB2312" w:cs="仿宋_GB2312"/>
                <w:color w:val="auto"/>
                <w:spacing w:val="7"/>
                <w:sz w:val="32"/>
                <w:szCs w:val="32"/>
                <w:highlight w:val="none"/>
              </w:rPr>
              <w:t>1</w:t>
            </w:r>
            <w:r>
              <w:rPr>
                <w:rFonts w:hint="eastAsia" w:ascii="仿宋_GB2312" w:hAnsi="仿宋_GB2312" w:eastAsia="仿宋_GB2312" w:cs="仿宋_GB2312"/>
                <w:color w:val="auto"/>
                <w:spacing w:val="7"/>
                <w:sz w:val="32"/>
                <w:szCs w:val="32"/>
                <w:highlight w:val="none"/>
              </w:rPr>
              <w:t>名信息安全类工程师、</w:t>
            </w:r>
            <w:r>
              <w:rPr>
                <w:rFonts w:hint="eastAsia" w:ascii="Times New Roman" w:hAnsi="Times New Roman" w:eastAsia="仿宋_GB2312" w:cs="仿宋_GB2312"/>
                <w:color w:val="auto"/>
                <w:spacing w:val="7"/>
                <w:sz w:val="32"/>
                <w:szCs w:val="32"/>
                <w:highlight w:val="none"/>
              </w:rPr>
              <w:t>1</w:t>
            </w:r>
            <w:r>
              <w:rPr>
                <w:rFonts w:hint="eastAsia" w:ascii="仿宋_GB2312" w:hAnsi="仿宋_GB2312" w:eastAsia="仿宋_GB2312" w:cs="仿宋_GB2312"/>
                <w:color w:val="auto"/>
                <w:spacing w:val="7"/>
                <w:sz w:val="32"/>
                <w:szCs w:val="32"/>
                <w:highlight w:val="none"/>
              </w:rPr>
              <w:t>名通</w:t>
            </w:r>
            <w:r>
              <w:rPr>
                <w:rFonts w:hint="eastAsia" w:ascii="仿宋_GB2312" w:hAnsi="仿宋_GB2312" w:eastAsia="仿宋_GB2312" w:cs="仿宋_GB2312"/>
                <w:color w:val="auto"/>
                <w:spacing w:val="9"/>
                <w:sz w:val="32"/>
                <w:szCs w:val="32"/>
                <w:highlight w:val="none"/>
              </w:rPr>
              <w:t>信专业技术人员职业资格（中级）工程师；要求提供全部</w:t>
            </w:r>
            <w:r>
              <w:rPr>
                <w:rFonts w:hint="eastAsia" w:ascii="仿宋_GB2312" w:hAnsi="仿宋_GB2312" w:eastAsia="仿宋_GB2312" w:cs="仿宋_GB2312"/>
                <w:color w:val="auto"/>
                <w:spacing w:val="8"/>
                <w:sz w:val="32"/>
                <w:szCs w:val="32"/>
                <w:highlight w:val="none"/>
              </w:rPr>
              <w:t>主要人员的近三个月的社保证明（加盖公章）。</w:t>
            </w:r>
          </w:p>
        </w:tc>
        <w:tc>
          <w:tcPr>
            <w:tcW w:w="1709" w:type="dxa"/>
            <w:vAlign w:val="center"/>
          </w:tcPr>
          <w:p w14:paraId="072A4CFD">
            <w:pPr>
              <w:pStyle w:val="28"/>
              <w:pageBreakBefore w:val="0"/>
              <w:kinsoku/>
              <w:overflowPunct/>
              <w:topLinePunct w:val="0"/>
              <w:autoSpaceDE/>
              <w:autoSpaceDN/>
              <w:bidi w:val="0"/>
              <w:adjustRightInd/>
              <w:snapToGrid/>
              <w:spacing w:before="65" w:line="560" w:lineRule="exact"/>
              <w:jc w:val="center"/>
              <w:rPr>
                <w:rFonts w:hint="eastAsia" w:ascii="仿宋_GB2312" w:hAnsi="仿宋_GB2312" w:eastAsia="仿宋_GB2312" w:cs="仿宋_GB2312"/>
                <w:color w:val="auto"/>
                <w:spacing w:val="2"/>
                <w:sz w:val="32"/>
                <w:szCs w:val="32"/>
                <w:highlight w:val="none"/>
              </w:rPr>
            </w:pPr>
            <w:r>
              <w:rPr>
                <w:rFonts w:hint="eastAsia" w:ascii="仿宋_GB2312" w:hAnsi="仿宋_GB2312" w:eastAsia="仿宋_GB2312" w:cs="仿宋_GB2312"/>
                <w:color w:val="auto"/>
                <w:spacing w:val="6"/>
                <w:sz w:val="32"/>
                <w:szCs w:val="32"/>
                <w:highlight w:val="none"/>
              </w:rPr>
              <w:t>核心服务</w:t>
            </w:r>
          </w:p>
        </w:tc>
      </w:tr>
    </w:tbl>
    <w:p w14:paraId="0B5117C8">
      <w:pPr>
        <w:pStyle w:val="19"/>
        <w:pageBreakBefore w:val="0"/>
        <w:kinsoku/>
        <w:overflowPunct/>
        <w:topLinePunct w:val="0"/>
        <w:autoSpaceDE/>
        <w:autoSpaceDN/>
        <w:bidi w:val="0"/>
        <w:adjustRightInd/>
        <w:snapToGrid/>
        <w:spacing w:line="560" w:lineRule="exact"/>
        <w:rPr>
          <w:rFonts w:hint="eastAsia" w:ascii="仿宋_GB2312" w:hAnsi="仿宋_GB2312" w:eastAsia="仿宋_GB2312" w:cs="仿宋_GB2312"/>
          <w:sz w:val="32"/>
          <w:szCs w:val="32"/>
          <w:highlight w:val="none"/>
          <w:lang w:val="en-US" w:eastAsia="zh-CN"/>
        </w:rPr>
      </w:pPr>
    </w:p>
    <w:p w14:paraId="0A9CDC84">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.机房巡检服务</w:t>
      </w:r>
    </w:p>
    <w:p w14:paraId="093C6E8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.严格执行通信设备的各项运行管理制度，包括建立日常维护、定期保养和值班巡查制度；故障处理上报流水号记录制度；建立重大故障报告制度，备有各类应急预案；</w:t>
      </w:r>
    </w:p>
    <w:p w14:paraId="0A854E72">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.要求每天至少进行</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次核心机房基础设施设备运行状况检查，并出具巡检记录；如发现异常应立即上报和组织排除故障，并记录在案，具体要求如下：</w:t>
      </w:r>
    </w:p>
    <w:p w14:paraId="2AABCD7C">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）监测动环系统数据，发现异常及时上报；</w:t>
      </w:r>
    </w:p>
    <w:p w14:paraId="2960B9A6">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）监测蓄电池工作状态，并应急响应处理相关故障；</w:t>
      </w:r>
    </w:p>
    <w:p w14:paraId="02F1E392">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）要求对定制配电柜进行日常监测，电压、电流数据记录，以及漏电检测；</w:t>
      </w:r>
    </w:p>
    <w:p w14:paraId="199ED3A8">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）要求对空调各项功能进行检测、监测，并记录运行数据，以及空调室内外机清洗、清灰等；</w:t>
      </w:r>
    </w:p>
    <w:p w14:paraId="63B1BB86">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）要求每季度清洗楼顶空调外机平台，钢架底座刷防锈漆；</w:t>
      </w:r>
    </w:p>
    <w:p w14:paraId="36B5F2D6">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6</w:t>
      </w:r>
      <w:r>
        <w:rPr>
          <w:rFonts w:hint="eastAsia" w:ascii="仿宋_GB2312" w:hAnsi="仿宋_GB2312" w:eastAsia="仿宋_GB2312" w:cs="仿宋_GB2312"/>
          <w:i w:val="0"/>
          <w:iCs w:val="0"/>
          <w:color w:val="auto"/>
          <w:kern w:val="0"/>
          <w:sz w:val="32"/>
          <w:szCs w:val="32"/>
          <w:highlight w:val="none"/>
          <w:u w:val="none"/>
          <w:lang w:val="en-US" w:eastAsia="zh-CN" w:bidi="ar"/>
        </w:rPr>
        <w:t>）要求对空调外机线缆穿线管进行防护，特别是寒潮降温时期；</w:t>
      </w:r>
    </w:p>
    <w:p w14:paraId="6E49B83E">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）要求对大屏系统进行日常监测和投屏显示维护工作，包括其配套供电系统等设备的巡检；</w:t>
      </w:r>
    </w:p>
    <w:p w14:paraId="3FDE3785">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8</w:t>
      </w:r>
      <w:r>
        <w:rPr>
          <w:rFonts w:hint="eastAsia" w:ascii="仿宋_GB2312" w:hAnsi="仿宋_GB2312" w:eastAsia="仿宋_GB2312" w:cs="仿宋_GB2312"/>
          <w:i w:val="0"/>
          <w:iCs w:val="0"/>
          <w:color w:val="auto"/>
          <w:kern w:val="0"/>
          <w:sz w:val="32"/>
          <w:szCs w:val="32"/>
          <w:highlight w:val="none"/>
          <w:u w:val="none"/>
          <w:lang w:val="en-US" w:eastAsia="zh-CN" w:bidi="ar"/>
        </w:rPr>
        <w:t>）要求对会议系统开展日常监测和重要会议保障工作；</w:t>
      </w:r>
    </w:p>
    <w:p w14:paraId="5730DAD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9</w:t>
      </w:r>
      <w:r>
        <w:rPr>
          <w:rFonts w:hint="eastAsia" w:ascii="仿宋_GB2312" w:hAnsi="仿宋_GB2312" w:eastAsia="仿宋_GB2312" w:cs="仿宋_GB2312"/>
          <w:i w:val="0"/>
          <w:iCs w:val="0"/>
          <w:color w:val="auto"/>
          <w:kern w:val="0"/>
          <w:sz w:val="32"/>
          <w:szCs w:val="32"/>
          <w:highlight w:val="none"/>
          <w:u w:val="none"/>
          <w:lang w:val="en-US" w:eastAsia="zh-CN" w:bidi="ar"/>
        </w:rPr>
        <w:t>）要求对安防系统定期监测存储数据，确保视频保存期限</w:t>
      </w:r>
      <w:r>
        <w:rPr>
          <w:rFonts w:hint="eastAsia" w:ascii="Times New Roman" w:hAnsi="Times New Roman" w:eastAsia="仿宋_GB2312" w:cs="仿宋_GB2312"/>
          <w:i w:val="0"/>
          <w:iCs w:val="0"/>
          <w:color w:val="auto"/>
          <w:kern w:val="0"/>
          <w:sz w:val="32"/>
          <w:szCs w:val="32"/>
          <w:highlight w:val="none"/>
          <w:u w:val="none"/>
          <w:lang w:val="en-US" w:eastAsia="zh-CN" w:bidi="ar"/>
        </w:rPr>
        <w:t>180</w:t>
      </w:r>
      <w:r>
        <w:rPr>
          <w:rFonts w:hint="eastAsia" w:ascii="仿宋_GB2312" w:hAnsi="仿宋_GB2312" w:eastAsia="仿宋_GB2312" w:cs="仿宋_GB2312"/>
          <w:i w:val="0"/>
          <w:iCs w:val="0"/>
          <w:color w:val="auto"/>
          <w:kern w:val="0"/>
          <w:sz w:val="32"/>
          <w:szCs w:val="32"/>
          <w:highlight w:val="none"/>
          <w:u w:val="none"/>
          <w:lang w:val="en-US" w:eastAsia="zh-CN" w:bidi="ar"/>
        </w:rPr>
        <w:t>天以上。</w:t>
      </w:r>
    </w:p>
    <w:p w14:paraId="4185547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.需定期对重要机房内的线缆布放规范、设备标识等情况等进行全面的巡检，巡检完毕有巡检报告作为记录。巡检过程发现的问题应及时上报，并跟踪整改情况；</w:t>
      </w:r>
    </w:p>
    <w:p w14:paraId="7BCDAF3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.现场驻场维护人员应根据管理要求，负责机房内设备的上下架、上下电工作，并确保电缆布放、标签制作符合要求。</w:t>
      </w:r>
    </w:p>
    <w:p w14:paraId="3681F583">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动环设备维护服务</w:t>
      </w:r>
    </w:p>
    <w:p w14:paraId="3479FD04">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.针对巡检发现的动环系统软硬件故障进行应急响应和故障处理工作；</w:t>
      </w:r>
    </w:p>
    <w:p w14:paraId="5651C92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.定期维护动环配电系统，确保系统稳定运行。</w:t>
      </w:r>
    </w:p>
    <w:p w14:paraId="605A9A4C">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4</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电源系统维护服务</w:t>
      </w:r>
    </w:p>
    <w:p w14:paraId="4D9E3EC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.要求定期对UPS主机、UPS模块功能进行检测、并记录运行检测数据、放电测试、清灰等；</w:t>
      </w:r>
    </w:p>
    <w:p w14:paraId="32BCCEA0">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.定期开展蓄电池充放电测试、内阻测试、应急维修工作；</w:t>
      </w:r>
    </w:p>
    <w:p w14:paraId="57804FB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.每季度至少对机房的电源系统和UPS进行一次全面检查和保养，出具维护保养记录，在维护保养过程中发现的问题及时修复并排除。</w:t>
      </w:r>
    </w:p>
    <w:p w14:paraId="1B086A04">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5</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空调系统维护服务</w:t>
      </w:r>
    </w:p>
    <w:p w14:paraId="5A08F55C">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.要求每季度外机铜管检测、保温修补；</w:t>
      </w:r>
    </w:p>
    <w:p w14:paraId="2ECE381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.定期维护</w:t>
      </w:r>
      <w:r>
        <w:rPr>
          <w:rFonts w:hint="eastAsia" w:ascii="Times New Roman" w:hAnsi="Times New Roman" w:eastAsia="仿宋_GB2312" w:cs="仿宋_GB2312"/>
          <w:i w:val="0"/>
          <w:iCs w:val="0"/>
          <w:color w:val="auto"/>
          <w:kern w:val="0"/>
          <w:sz w:val="32"/>
          <w:szCs w:val="32"/>
          <w:highlight w:val="none"/>
          <w:u w:val="none"/>
          <w:lang w:val="en-US" w:eastAsia="zh-CN" w:bidi="ar"/>
        </w:rPr>
        <w:t>47</w:t>
      </w:r>
      <w:r>
        <w:rPr>
          <w:rFonts w:hint="eastAsia" w:ascii="仿宋_GB2312" w:hAnsi="仿宋_GB2312" w:eastAsia="仿宋_GB2312" w:cs="仿宋_GB2312"/>
          <w:i w:val="0"/>
          <w:iCs w:val="0"/>
          <w:color w:val="auto"/>
          <w:kern w:val="0"/>
          <w:sz w:val="32"/>
          <w:szCs w:val="32"/>
          <w:highlight w:val="none"/>
          <w:u w:val="none"/>
          <w:lang w:val="en-US" w:eastAsia="zh-CN" w:bidi="ar"/>
        </w:rPr>
        <w:t>台外机底座桥架和修补工作；</w:t>
      </w:r>
    </w:p>
    <w:p w14:paraId="6ACF2EC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.要求每季度对空调进行一次保养，包括但不限于滤网、空调加湿罐的检测和清洗维护，每年更换二次过滤网和加湿罐；并出具维护保养记录，在维护保养过程中发现的问题及时修复并排除。</w:t>
      </w:r>
    </w:p>
    <w:p w14:paraId="664F817C">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6</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大屏系统维护服务</w:t>
      </w:r>
    </w:p>
    <w:p w14:paraId="5C6E2E4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.针对巡检发现的大屏软硬件设备故障进行应急响应和处置工作；</w:t>
      </w:r>
    </w:p>
    <w:p w14:paraId="0D62FA28">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.定期对会议系统软硬件进行检测，以及故障应急响应处置工作；</w:t>
      </w:r>
    </w:p>
    <w:p w14:paraId="12AE229F">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.针对会议系统巡检发现的故障进行维修和保养工作。</w:t>
      </w:r>
    </w:p>
    <w:p w14:paraId="3B9C309F">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7</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安防系统维护服务</w:t>
      </w:r>
    </w:p>
    <w:p w14:paraId="5D85371D">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.定期对机房的运行情况进行安全评估，对于存在安全隐患的部分提供可行的优化措施，以降低机房运行的风险，提高电子政务核心机房的运行安全；</w:t>
      </w:r>
    </w:p>
    <w:p w14:paraId="3997488D">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.定期对监控主机、摄像机、门禁系统的功能进行检测和故障处理；</w:t>
      </w:r>
    </w:p>
    <w:p w14:paraId="1BAF9349">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.配合等保、密测做好相关的测评工作，确保相关配置复核标准要求；</w:t>
      </w:r>
    </w:p>
    <w:p w14:paraId="5F3E7D65">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.定期监测安防软硬件设备故障情况，以及应急响应处置和维修工作。</w:t>
      </w:r>
    </w:p>
    <w:p w14:paraId="3C5F477A">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8</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备品备件服务</w:t>
      </w:r>
    </w:p>
    <w:p w14:paraId="1EE2202C">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要求提供备品清单，以及备品率应保证不少于</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%，包含保证机房基础设施正常运行的备料和日常耗材。</w:t>
      </w:r>
    </w:p>
    <w:p w14:paraId="165E9505">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9</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技术支撑服务</w:t>
      </w:r>
    </w:p>
    <w:p w14:paraId="633FCD1D">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.提供</w:t>
      </w: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小时服务热线电话，受理故障报修、业务和技术咨询、使用帮助等服务需求。在热线电话发生故障情况下，应提供其它备份的方便和迅速的联系方式；</w:t>
      </w:r>
    </w:p>
    <w:p w14:paraId="4F67778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.设立专属人员提供一对一的技术支持服务，一点接应售后维护和保障需求，履行相关服务内容，并做好相关涉密资料安全保护工作；</w:t>
      </w:r>
    </w:p>
    <w:p w14:paraId="17819C00">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.设立专属人员提供技术咨询服务以及日常运行中的现场技术支持，包括故障类及非故障类；</w:t>
      </w:r>
    </w:p>
    <w:p w14:paraId="51F6E3F4">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重要活动期间可按要求协助甲方开展通信保障工作，提供临时的重点技术保障，确保电子政务核心机房的运行高度安全、稳定和可靠。做好各种应急预案，以便快速响应。设备巡检增加至每日早晚两次，并提前制定相应的保障方案与人员配置计划。每日在固定时间点进行总结，并形成报告提交。保障任务完成后，及时进行总结并提交总结报告；</w:t>
      </w:r>
    </w:p>
    <w:p w14:paraId="5C11960D">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.根据机房运行维护的专业性和安全性要求，安排至少</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人具备通信电力机务员证书；至少有</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人具持有国家认证的高压或低压操作证书；</w:t>
      </w:r>
    </w:p>
    <w:p w14:paraId="74E7CC8E">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6</w:t>
      </w:r>
      <w:r>
        <w:rPr>
          <w:rFonts w:hint="eastAsia" w:ascii="仿宋_GB2312" w:hAnsi="仿宋_GB2312" w:eastAsia="仿宋_GB2312" w:cs="仿宋_GB2312"/>
          <w:i w:val="0"/>
          <w:iCs w:val="0"/>
          <w:color w:val="auto"/>
          <w:kern w:val="0"/>
          <w:sz w:val="32"/>
          <w:szCs w:val="32"/>
          <w:highlight w:val="none"/>
          <w:u w:val="none"/>
          <w:lang w:val="en-US" w:eastAsia="zh-CN" w:bidi="ar"/>
        </w:rPr>
        <w:t>.运维服务应符合相关的运营要求，对涉及用户的数据不得发生任何泄漏事件。</w:t>
      </w:r>
    </w:p>
    <w:p w14:paraId="24F26E66">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10</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网络布线服务要求</w:t>
      </w:r>
    </w:p>
    <w:p w14:paraId="4D5DFC7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提供机房内综合布线服务，主要包括数据中心运维办公网综合布线系统、弱电设备综合布线系统（包括但不限于安防、动环监控、BA控制等），综合布线系统需根据各项目客户要求确定。</w:t>
      </w:r>
    </w:p>
    <w:p w14:paraId="43E4D998">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11</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故障响应服务</w:t>
      </w:r>
    </w:p>
    <w:p w14:paraId="1C2CDADB">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安排专门人员轮岗负责每周</w:t>
      </w: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天、每天</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小时故障维护服务和技术业务咨询服务，并有专业的技术人员负责及时解决系统出现的任何故障及受理后的处理、处理情况的反馈；该技术人员应当能独立处理一般的技术故障。</w:t>
      </w:r>
    </w:p>
    <w:p w14:paraId="4FF1C059">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应急抢修服务</w:t>
      </w:r>
    </w:p>
    <w:p w14:paraId="7E0079FB">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.备品备件存放地储存足够的备用易损易耗件，满足故障抢修的要求，并定期对备品备件仓库进行检查；</w:t>
      </w:r>
    </w:p>
    <w:p w14:paraId="4F17FA70">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.对于影响机房业务运行的故障，从接到故障申告开始，应安排专业维修人员在</w:t>
      </w:r>
      <w:r>
        <w:rPr>
          <w:rFonts w:hint="eastAsia" w:ascii="Times New Roman" w:hAnsi="Times New Roman" w:eastAsia="仿宋_GB2312" w:cs="仿宋_GB2312"/>
          <w:i w:val="0"/>
          <w:iCs w:val="0"/>
          <w:color w:val="auto"/>
          <w:kern w:val="0"/>
          <w:sz w:val="32"/>
          <w:szCs w:val="32"/>
          <w:highlight w:val="none"/>
          <w:u w:val="none"/>
          <w:lang w:val="en-US" w:eastAsia="zh-CN" w:bidi="ar"/>
        </w:rPr>
        <w:t>30</w:t>
      </w:r>
      <w:r>
        <w:rPr>
          <w:rFonts w:hint="eastAsia" w:ascii="仿宋_GB2312" w:hAnsi="仿宋_GB2312" w:eastAsia="仿宋_GB2312" w:cs="仿宋_GB2312"/>
          <w:i w:val="0"/>
          <w:iCs w:val="0"/>
          <w:color w:val="auto"/>
          <w:kern w:val="0"/>
          <w:sz w:val="32"/>
          <w:szCs w:val="32"/>
          <w:highlight w:val="none"/>
          <w:u w:val="none"/>
          <w:lang w:val="en-US" w:eastAsia="zh-CN" w:bidi="ar"/>
        </w:rPr>
        <w:t>分钟内响应，</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小时内到达现场，</w:t>
      </w: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小时内完成故障修复；</w:t>
      </w:r>
    </w:p>
    <w:p w14:paraId="1944CE3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每次维修行为要有维修单，详细记录报修时间、修复时间、报障情况、处理办法和结果。每月月底提供一份当月度的运行维护报告，报告内容包括但不限于机房系统上月抢修、维修、维护、保养记录等运维情况及运维服务改进方案；</w:t>
      </w:r>
    </w:p>
    <w:p w14:paraId="2E3AD61E">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.如发生的重大、重复、超时等故障，应在</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个工作日内提交故障报告。报告中包括故障处理过程、故障分析、原因定位、整改措施等内容；</w:t>
      </w:r>
    </w:p>
    <w:p w14:paraId="1A473BD1">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.若因不可抗力引发网络故障，须立即通知，并采取措施尽快解决，事后提供完整的书面报告。遇到重大通信故障须出具书面证明；</w:t>
      </w:r>
    </w:p>
    <w:p w14:paraId="559CE0D9">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6</w:t>
      </w:r>
      <w:r>
        <w:rPr>
          <w:rFonts w:hint="eastAsia" w:ascii="仿宋_GB2312" w:hAnsi="仿宋_GB2312" w:eastAsia="仿宋_GB2312" w:cs="仿宋_GB2312"/>
          <w:i w:val="0"/>
          <w:iCs w:val="0"/>
          <w:color w:val="auto"/>
          <w:kern w:val="0"/>
          <w:sz w:val="32"/>
          <w:szCs w:val="32"/>
          <w:highlight w:val="none"/>
          <w:u w:val="none"/>
          <w:lang w:val="en-US" w:eastAsia="zh-CN" w:bidi="ar"/>
        </w:rPr>
        <w:t>.保证提供充足的备品备件资源。保证在保修期内若出现设备物理故障或硬件损坏，且影响机房运行或运行安全的，须在</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小时内以相同之设备替换；</w:t>
      </w:r>
    </w:p>
    <w:p w14:paraId="4B74A62C">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.协助建立机房安全事件管理和应急响应机制；制订应急预案，每年组织至少</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次应急演练；</w:t>
      </w:r>
    </w:p>
    <w:p w14:paraId="63D751FB">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8</w:t>
      </w:r>
      <w:r>
        <w:rPr>
          <w:rFonts w:hint="eastAsia" w:ascii="仿宋_GB2312" w:hAnsi="仿宋_GB2312" w:eastAsia="仿宋_GB2312" w:cs="仿宋_GB2312"/>
          <w:i w:val="0"/>
          <w:iCs w:val="0"/>
          <w:color w:val="auto"/>
          <w:kern w:val="0"/>
          <w:sz w:val="32"/>
          <w:szCs w:val="32"/>
          <w:highlight w:val="none"/>
          <w:u w:val="none"/>
          <w:lang w:val="en-US" w:eastAsia="zh-CN" w:bidi="ar"/>
        </w:rPr>
        <w:t>.当发生较大或重大应急事件时，在招标人的牵头下实施应急响应操作，针对重大事故在事后制定重大事件报告。</w:t>
      </w:r>
    </w:p>
    <w:p w14:paraId="146D6735">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培训服务</w:t>
      </w:r>
    </w:p>
    <w:p w14:paraId="2CE87B85">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.选派专业培训人员撰写机房基础运维培训资料和讲义，并制定详细的培训计划，并于培训开始前一个月交于被培训方确认，以确保培训工作的顺利进行，达到预期的目的。</w:t>
      </w:r>
    </w:p>
    <w:p w14:paraId="5A049A3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.培训方式须包括但不限于技术讲课、操作示范、参观学习和其他必须的业务指导和技术咨询；</w:t>
      </w:r>
    </w:p>
    <w:p w14:paraId="3A407702">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.专业培训人员就机房基础设施的使用、维护和保养进行讲解，以便能进行实际操作。具体培训时间由双方协调确定，对人员的培训每年至少一次，每次时间不得少于一天。</w:t>
      </w:r>
    </w:p>
    <w:p w14:paraId="5DEA0781">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14</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文档管理</w:t>
      </w:r>
    </w:p>
    <w:p w14:paraId="1F7A07BE">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.提供本项目的文档资料准确、清楚、完整，满足电子政务核心机房长期运行、维护的需要；</w:t>
      </w:r>
    </w:p>
    <w:p w14:paraId="2A4CDCD4">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.提供包括但不限于机房基础设施说明书、用户操作手册等使用文件，所提供的文件除原版外，还必须提供相关电子资料；</w:t>
      </w:r>
    </w:p>
    <w:p w14:paraId="02594DC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.提供包括但不限于机房安全管理、机房环境规范、机房值班规范、重大安防保障方案、机房巡检日志和机房基础设施维护服务月报等项目文档资料。</w:t>
      </w:r>
    </w:p>
    <w:p w14:paraId="35C82A2E">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15</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机房动环监控平台数据接入服务</w:t>
      </w:r>
    </w:p>
    <w:p w14:paraId="5D7963B2">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对机房内的视频监控、环境监控等数据通过技术手段实现接入政务外网，相关责任人可通过被授权终端进行远程查看、实时监测和事件跟踪。</w:t>
      </w:r>
    </w:p>
    <w:p w14:paraId="03DC511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.提供用户指定的网络（政务外网）接入服务；</w:t>
      </w:r>
    </w:p>
    <w:p w14:paraId="1AC4C8B4">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.满足政务外网接入安全标准；</w:t>
      </w:r>
    </w:p>
    <w:p w14:paraId="1192E95C">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.满足专人专管的安全规范，满足指定IP和账号信息的管理规范；</w:t>
      </w:r>
    </w:p>
    <w:p w14:paraId="5C4D5C5A">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.满足延时小于等于</w:t>
      </w:r>
      <w:r>
        <w:rPr>
          <w:rFonts w:hint="eastAsia" w:ascii="Times New Roman" w:hAnsi="Times New Roman" w:eastAsia="仿宋_GB2312" w:cs="仿宋_GB2312"/>
          <w:i w:val="0"/>
          <w:iCs w:val="0"/>
          <w:color w:val="auto"/>
          <w:kern w:val="0"/>
          <w:sz w:val="32"/>
          <w:szCs w:val="32"/>
          <w:highlight w:val="none"/>
          <w:u w:val="none"/>
          <w:lang w:val="en-US" w:eastAsia="zh-CN" w:bidi="ar"/>
        </w:rPr>
        <w:t>10</w:t>
      </w:r>
      <w:r>
        <w:rPr>
          <w:rFonts w:hint="eastAsia" w:ascii="仿宋_GB2312" w:hAnsi="仿宋_GB2312" w:eastAsia="仿宋_GB2312" w:cs="仿宋_GB2312"/>
          <w:i w:val="0"/>
          <w:iCs w:val="0"/>
          <w:color w:val="auto"/>
          <w:kern w:val="0"/>
          <w:sz w:val="32"/>
          <w:szCs w:val="32"/>
          <w:highlight w:val="none"/>
          <w:u w:val="none"/>
          <w:lang w:val="en-US" w:eastAsia="zh-CN" w:bidi="ar"/>
        </w:rPr>
        <w:t>秒的通信需求；</w:t>
      </w:r>
    </w:p>
    <w:p w14:paraId="008462B2">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.故障</w:t>
      </w:r>
      <w:r>
        <w:rPr>
          <w:rFonts w:hint="eastAsia" w:ascii="Times New Roman" w:hAnsi="Times New Roman" w:eastAsia="仿宋_GB2312" w:cs="仿宋_GB2312"/>
          <w:i w:val="0"/>
          <w:iCs w:val="0"/>
          <w:color w:val="auto"/>
          <w:kern w:val="0"/>
          <w:sz w:val="32"/>
          <w:szCs w:val="32"/>
          <w:highlight w:val="none"/>
          <w:u w:val="none"/>
          <w:lang w:val="en-US" w:eastAsia="zh-CN" w:bidi="ar"/>
        </w:rPr>
        <w:t>10</w:t>
      </w:r>
      <w:r>
        <w:rPr>
          <w:rFonts w:hint="eastAsia" w:ascii="仿宋_GB2312" w:hAnsi="仿宋_GB2312" w:eastAsia="仿宋_GB2312" w:cs="仿宋_GB2312"/>
          <w:i w:val="0"/>
          <w:iCs w:val="0"/>
          <w:color w:val="auto"/>
          <w:kern w:val="0"/>
          <w:sz w:val="32"/>
          <w:szCs w:val="32"/>
          <w:highlight w:val="none"/>
          <w:u w:val="none"/>
          <w:lang w:val="en-US" w:eastAsia="zh-CN" w:bidi="ar"/>
        </w:rPr>
        <w:t>分钟内相应，</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小时内解决。</w:t>
      </w:r>
    </w:p>
    <w:p w14:paraId="6700A6FB">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16</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人员和设备出入管理服务</w:t>
      </w:r>
    </w:p>
    <w:p w14:paraId="72EDD117">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负责核心机房管理工作，包括人员和设备进出机房的安全管理、设备上下架的监督和安全检查、人员进入机房后的全程陪同和监督。</w:t>
      </w:r>
    </w:p>
    <w:p w14:paraId="30897932">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17</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机房资产管理服务</w:t>
      </w:r>
    </w:p>
    <w:p w14:paraId="24EEAFB6">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每月对机房设备的数量、摆放位置和机柜信息定期进行盘点和资产核对，更新机柜图、资产表。</w:t>
      </w:r>
    </w:p>
    <w:p w14:paraId="00DBCCEB">
      <w:pPr>
        <w:pStyle w:val="4"/>
        <w:pageBreakBefore w:val="0"/>
        <w:numPr>
          <w:ilvl w:val="2"/>
          <w:numId w:val="0"/>
        </w:numPr>
        <w:kinsoku/>
        <w:overflowPunct/>
        <w:topLinePunct w:val="0"/>
        <w:autoSpaceDE/>
        <w:autoSpaceDN/>
        <w:bidi w:val="0"/>
        <w:adjustRightInd/>
        <w:snapToGrid/>
        <w:spacing w:line="560" w:lineRule="exact"/>
        <w:ind w:left="400" w:leftChars="0"/>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3</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2</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Times New Roman" w:hAnsi="Times New Roman" w:eastAsia="仿宋_GB2312" w:cs="仿宋_GB2312"/>
          <w:b w:val="0"/>
          <w:bCs w:val="0"/>
          <w:i w:val="0"/>
          <w:iCs w:val="0"/>
          <w:color w:val="auto"/>
          <w:kern w:val="0"/>
          <w:sz w:val="32"/>
          <w:szCs w:val="32"/>
          <w:highlight w:val="none"/>
          <w:u w:val="none"/>
          <w:lang w:val="en-US" w:eastAsia="zh-CN" w:bidi="ar"/>
        </w:rPr>
        <w:t>18</w:t>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w:t>
      </w:r>
      <w:r>
        <w:rPr>
          <w:rFonts w:hint="eastAsia" w:ascii="仿宋_GB2312" w:hAnsi="仿宋_GB2312" w:eastAsia="仿宋_GB2312" w:cs="仿宋_GB2312"/>
          <w:sz w:val="32"/>
          <w:szCs w:val="32"/>
          <w:highlight w:val="none"/>
          <w:lang w:val="en-US" w:eastAsia="zh-CN"/>
        </w:rPr>
        <w:t>测评配合服务</w:t>
      </w:r>
    </w:p>
    <w:p w14:paraId="53583EB6">
      <w:pPr>
        <w:pageBreakBefore w:val="0"/>
        <w:numPr>
          <w:ilvl w:val="0"/>
          <w:numId w:val="0"/>
        </w:numPr>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针对每年测评中涉及的机房门禁、监控、环控，提供相关查询记录等服务。</w:t>
      </w:r>
    </w:p>
    <w:p w14:paraId="7F513F4D">
      <w:pPr>
        <w:pStyle w:val="4"/>
        <w:pageBreakBefore w:val="0"/>
        <w:numPr>
          <w:ilvl w:val="0"/>
          <w:numId w:val="2"/>
        </w:numPr>
        <w:kinsoku/>
        <w:overflowPunct/>
        <w:topLinePunct w:val="0"/>
        <w:autoSpaceDE/>
        <w:autoSpaceDN/>
        <w:bidi w:val="0"/>
        <w:adjustRightInd/>
        <w:snapToGrid/>
        <w:spacing w:line="560" w:lineRule="exact"/>
        <w:ind w:left="0" w:leftChars="0" w:firstLine="0" w:firstLineChars="0"/>
        <w:outlineLvl w:val="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服务原则</w:t>
      </w:r>
    </w:p>
    <w:p w14:paraId="4597DEE0">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为达到青浦区电子政务核心机房租用服务的目标，在设计中应坚持以下原则：</w:t>
      </w:r>
    </w:p>
    <w:p w14:paraId="784F2B87">
      <w:pPr>
        <w:pStyle w:val="3"/>
        <w:pageBreakBefore w:val="0"/>
        <w:numPr>
          <w:ilvl w:val="1"/>
          <w:numId w:val="0"/>
        </w:numPr>
        <w:kinsoku/>
        <w:overflowPunct/>
        <w:topLinePunct w:val="0"/>
        <w:autoSpaceDE/>
        <w:autoSpaceDN/>
        <w:bidi w:val="0"/>
        <w:adjustRightInd/>
        <w:snapToGrid/>
        <w:spacing w:line="560" w:lineRule="exact"/>
        <w:ind w:leftChars="0"/>
        <w:rPr>
          <w:rFonts w:hint="eastAsia" w:ascii="楷体_GB2312" w:hAnsi="楷体_GB2312" w:eastAsia="楷体_GB2312" w:cs="楷体_GB2312"/>
          <w:b/>
          <w:bCs/>
          <w:i w:val="0"/>
          <w:iCs w:val="0"/>
          <w:color w:val="auto"/>
          <w:kern w:val="0"/>
          <w:sz w:val="32"/>
          <w:szCs w:val="32"/>
          <w:highlight w:val="none"/>
          <w:u w:val="none"/>
          <w:lang w:val="en-US" w:eastAsia="zh-CN" w:bidi="ar"/>
        </w:rPr>
      </w:pPr>
      <w:r>
        <w:rPr>
          <w:rFonts w:hint="eastAsia" w:ascii="楷体_GB2312" w:hAnsi="楷体_GB2312" w:eastAsia="楷体_GB2312" w:cs="楷体_GB2312"/>
          <w:b/>
          <w:bCs/>
          <w:i w:val="0"/>
          <w:iCs w:val="0"/>
          <w:color w:val="auto"/>
          <w:kern w:val="0"/>
          <w:sz w:val="32"/>
          <w:szCs w:val="32"/>
          <w:highlight w:val="none"/>
          <w:u w:val="none"/>
          <w:lang w:val="en-US" w:eastAsia="zh-CN" w:bidi="ar"/>
        </w:rPr>
        <w:t>1.实用性和先进性</w:t>
      </w:r>
    </w:p>
    <w:p w14:paraId="0887D5EF">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采用先进成熟的技术满足青浦区电子政务核心机房租用服务的需求，兼顾其他相关的管理需求，保证满足青浦区电子政务核心机房租用服务的同时，又体现出系统的先进性。在设计中把先进的技术与现有的成熟技术、标准和设备结合起来，充分考虑到青浦区电子政务核心机房租用服务需求和未来的发展趋势，尽可能采用先进的技术以使整个系统在相当一段时期内保持技术的先进性，以适应未来信息化的发展的需要。</w:t>
      </w:r>
    </w:p>
    <w:p w14:paraId="08CCC37B">
      <w:pPr>
        <w:pStyle w:val="3"/>
        <w:pageBreakBefore w:val="0"/>
        <w:numPr>
          <w:ilvl w:val="1"/>
          <w:numId w:val="0"/>
        </w:numPr>
        <w:kinsoku/>
        <w:overflowPunct/>
        <w:topLinePunct w:val="0"/>
        <w:autoSpaceDE/>
        <w:autoSpaceDN/>
        <w:bidi w:val="0"/>
        <w:adjustRightInd/>
        <w:snapToGrid/>
        <w:spacing w:line="560" w:lineRule="exact"/>
        <w:ind w:leftChars="0"/>
        <w:rPr>
          <w:rFonts w:hint="eastAsia" w:ascii="楷体_GB2312" w:hAnsi="楷体_GB2312" w:eastAsia="楷体_GB2312" w:cs="楷体_GB2312"/>
          <w:b/>
          <w:bCs/>
          <w:i w:val="0"/>
          <w:iCs w:val="0"/>
          <w:color w:val="auto"/>
          <w:kern w:val="0"/>
          <w:sz w:val="32"/>
          <w:szCs w:val="32"/>
          <w:highlight w:val="none"/>
          <w:u w:val="none"/>
          <w:lang w:val="en-US" w:eastAsia="zh-CN" w:bidi="ar"/>
        </w:rPr>
      </w:pPr>
      <w:r>
        <w:rPr>
          <w:rFonts w:hint="eastAsia" w:ascii="楷体_GB2312" w:hAnsi="楷体_GB2312" w:eastAsia="楷体_GB2312" w:cs="楷体_GB2312"/>
          <w:b/>
          <w:bCs/>
          <w:i w:val="0"/>
          <w:iCs w:val="0"/>
          <w:color w:val="auto"/>
          <w:kern w:val="0"/>
          <w:sz w:val="32"/>
          <w:szCs w:val="32"/>
          <w:highlight w:val="none"/>
          <w:u w:val="none"/>
          <w:lang w:val="en-US" w:eastAsia="zh-CN" w:bidi="ar"/>
        </w:rPr>
        <w:t>2.高可靠性</w:t>
      </w:r>
    </w:p>
    <w:p w14:paraId="623449A0">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青浦区电子政务核心机房的稳定可靠是应用系统正常运行的关键保证，对于青浦区电子政务机房来说更是如此，为保证各项业务应用，必须具有高可靠性。</w:t>
      </w:r>
    </w:p>
    <w:p w14:paraId="0561207B">
      <w:pPr>
        <w:pStyle w:val="3"/>
        <w:pageBreakBefore w:val="0"/>
        <w:numPr>
          <w:ilvl w:val="1"/>
          <w:numId w:val="0"/>
        </w:numPr>
        <w:kinsoku/>
        <w:overflowPunct/>
        <w:topLinePunct w:val="0"/>
        <w:autoSpaceDE/>
        <w:autoSpaceDN/>
        <w:bidi w:val="0"/>
        <w:adjustRightInd/>
        <w:snapToGrid/>
        <w:spacing w:line="560" w:lineRule="exact"/>
        <w:ind w:leftChars="0"/>
        <w:rPr>
          <w:rFonts w:hint="eastAsia" w:ascii="楷体_GB2312" w:hAnsi="楷体_GB2312" w:eastAsia="楷体_GB2312" w:cs="楷体_GB2312"/>
          <w:b/>
          <w:bCs/>
          <w:i w:val="0"/>
          <w:iCs w:val="0"/>
          <w:color w:val="auto"/>
          <w:kern w:val="0"/>
          <w:sz w:val="32"/>
          <w:szCs w:val="32"/>
          <w:highlight w:val="none"/>
          <w:u w:val="none"/>
          <w:lang w:val="en-US" w:eastAsia="zh-CN" w:bidi="ar"/>
        </w:rPr>
      </w:pPr>
      <w:r>
        <w:rPr>
          <w:rFonts w:hint="eastAsia" w:ascii="楷体_GB2312" w:hAnsi="楷体_GB2312" w:eastAsia="楷体_GB2312" w:cs="楷体_GB2312"/>
          <w:b/>
          <w:bCs/>
          <w:i w:val="0"/>
          <w:iCs w:val="0"/>
          <w:color w:val="auto"/>
          <w:kern w:val="0"/>
          <w:sz w:val="32"/>
          <w:szCs w:val="32"/>
          <w:highlight w:val="none"/>
          <w:u w:val="none"/>
          <w:lang w:val="en-US" w:eastAsia="zh-CN" w:bidi="ar"/>
        </w:rPr>
        <w:t>3.高安全性</w:t>
      </w:r>
    </w:p>
    <w:p w14:paraId="7B634D94">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青浦区电子政务核心机房是全区电子政务等一系列应用和大数据的核心，系统层安全和管理层安全是重中之重，切实保障机房的安全性是运维服务的关键所在。</w:t>
      </w:r>
    </w:p>
    <w:p w14:paraId="25AECD72">
      <w:pPr>
        <w:pStyle w:val="3"/>
        <w:pageBreakBefore w:val="0"/>
        <w:numPr>
          <w:ilvl w:val="1"/>
          <w:numId w:val="0"/>
        </w:numPr>
        <w:kinsoku/>
        <w:overflowPunct/>
        <w:topLinePunct w:val="0"/>
        <w:autoSpaceDE/>
        <w:autoSpaceDN/>
        <w:bidi w:val="0"/>
        <w:adjustRightInd/>
        <w:snapToGrid/>
        <w:spacing w:line="560" w:lineRule="exact"/>
        <w:ind w:leftChars="0"/>
        <w:rPr>
          <w:rFonts w:hint="eastAsia" w:ascii="楷体_GB2312" w:hAnsi="楷体_GB2312" w:eastAsia="楷体_GB2312" w:cs="楷体_GB2312"/>
          <w:b/>
          <w:bCs/>
          <w:i w:val="0"/>
          <w:iCs w:val="0"/>
          <w:color w:val="auto"/>
          <w:kern w:val="0"/>
          <w:sz w:val="32"/>
          <w:szCs w:val="32"/>
          <w:highlight w:val="none"/>
          <w:u w:val="none"/>
          <w:lang w:val="en-US" w:eastAsia="zh-CN" w:bidi="ar"/>
        </w:rPr>
      </w:pPr>
      <w:r>
        <w:rPr>
          <w:rFonts w:hint="eastAsia" w:ascii="楷体_GB2312" w:hAnsi="楷体_GB2312" w:eastAsia="楷体_GB2312" w:cs="楷体_GB2312"/>
          <w:b/>
          <w:bCs/>
          <w:i w:val="0"/>
          <w:iCs w:val="0"/>
          <w:color w:val="auto"/>
          <w:kern w:val="0"/>
          <w:sz w:val="32"/>
          <w:szCs w:val="32"/>
          <w:highlight w:val="none"/>
          <w:u w:val="none"/>
          <w:lang w:val="en-US" w:eastAsia="zh-CN" w:bidi="ar"/>
        </w:rPr>
        <w:t>4.灵活性及可扩展性</w:t>
      </w:r>
    </w:p>
    <w:p w14:paraId="3A062D97">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青浦区电子政务核心机房必须具有良好的灵活性和可扩展性，具备支持多种应用系统的能力，提供技术升级、设备更新的灵活性，能够根据青浦区电子政务的不断深入发展的需要，不能成为青浦区电子政务实施现代化应用业务的瓶颈。</w:t>
      </w:r>
    </w:p>
    <w:p w14:paraId="04373544">
      <w:pPr>
        <w:pStyle w:val="3"/>
        <w:pageBreakBefore w:val="0"/>
        <w:numPr>
          <w:ilvl w:val="1"/>
          <w:numId w:val="0"/>
        </w:numPr>
        <w:kinsoku/>
        <w:overflowPunct/>
        <w:topLinePunct w:val="0"/>
        <w:autoSpaceDE/>
        <w:autoSpaceDN/>
        <w:bidi w:val="0"/>
        <w:adjustRightInd/>
        <w:snapToGrid/>
        <w:spacing w:line="560" w:lineRule="exact"/>
        <w:ind w:leftChars="0"/>
        <w:rPr>
          <w:rFonts w:hint="eastAsia" w:ascii="楷体_GB2312" w:hAnsi="楷体_GB2312" w:eastAsia="楷体_GB2312" w:cs="楷体_GB2312"/>
          <w:b/>
          <w:bCs/>
          <w:i w:val="0"/>
          <w:iCs w:val="0"/>
          <w:color w:val="auto"/>
          <w:kern w:val="0"/>
          <w:sz w:val="32"/>
          <w:szCs w:val="32"/>
          <w:highlight w:val="none"/>
          <w:u w:val="none"/>
          <w:lang w:val="en-US" w:eastAsia="zh-CN" w:bidi="ar"/>
        </w:rPr>
      </w:pPr>
      <w:r>
        <w:rPr>
          <w:rFonts w:hint="eastAsia" w:ascii="楷体_GB2312" w:hAnsi="楷体_GB2312" w:eastAsia="楷体_GB2312" w:cs="楷体_GB2312"/>
          <w:b/>
          <w:bCs/>
          <w:i w:val="0"/>
          <w:iCs w:val="0"/>
          <w:color w:val="auto"/>
          <w:kern w:val="0"/>
          <w:sz w:val="32"/>
          <w:szCs w:val="32"/>
          <w:highlight w:val="none"/>
          <w:u w:val="none"/>
          <w:lang w:val="en-US" w:eastAsia="zh-CN" w:bidi="ar"/>
        </w:rPr>
        <w:t>5.分包或外包要求</w:t>
      </w:r>
    </w:p>
    <w:p w14:paraId="0FBB88A3">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合同不得转让，中标方负责整个项目的运营服务，具体服务项可以分包或劳务外包，投标人拟在中标后将服务项分包或劳务外包的，应当在投标文件中明确说明，并载明分包或劳务外包承担主体，承担主体应当具备相应资质条件且不得再次分包或劳务外包。除上述情形外，中标后一律不得对外分包或劳务外包。</w:t>
      </w:r>
    </w:p>
    <w:p w14:paraId="00985BA6">
      <w:pPr>
        <w:pStyle w:val="4"/>
        <w:pageBreakBefore w:val="0"/>
        <w:numPr>
          <w:ilvl w:val="0"/>
          <w:numId w:val="2"/>
        </w:numPr>
        <w:kinsoku/>
        <w:overflowPunct/>
        <w:topLinePunct w:val="0"/>
        <w:autoSpaceDE/>
        <w:autoSpaceDN/>
        <w:bidi w:val="0"/>
        <w:adjustRightInd/>
        <w:snapToGrid/>
        <w:spacing w:line="560" w:lineRule="exact"/>
        <w:ind w:left="0" w:leftChars="0" w:firstLine="0" w:firstLineChars="0"/>
        <w:outlineLvl w:val="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交付要求</w:t>
      </w:r>
    </w:p>
    <w:p w14:paraId="73C98E82">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交付日期：本项目自中标人签订合同之日起1个月内，按照《招标需求》规定的标准交付机柜等机房基础服务。</w:t>
      </w:r>
    </w:p>
    <w:p w14:paraId="6DFF0C4A">
      <w:pPr>
        <w:pStyle w:val="4"/>
        <w:pageBreakBefore w:val="0"/>
        <w:numPr>
          <w:ilvl w:val="0"/>
          <w:numId w:val="2"/>
        </w:numPr>
        <w:kinsoku/>
        <w:overflowPunct/>
        <w:topLinePunct w:val="0"/>
        <w:autoSpaceDE/>
        <w:autoSpaceDN/>
        <w:bidi w:val="0"/>
        <w:adjustRightInd/>
        <w:snapToGrid/>
        <w:spacing w:line="560" w:lineRule="exact"/>
        <w:ind w:left="0" w:leftChars="0" w:firstLine="0" w:firstLineChars="0"/>
        <w:outlineLvl w:val="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服务项目验收标准</w:t>
      </w:r>
    </w:p>
    <w:p w14:paraId="57FC0DA1">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项目中标人完成机房服务交付，提供满足GB50174-2017《数据中心设计规范》B级标准的证明文件，相关配套设施和人员均落实到位后的五个工作日内由采购人组织对中标单位进行检查，检查内容包括但不限于机房机柜、机房设施等。</w:t>
      </w:r>
    </w:p>
    <w:p w14:paraId="637AD46D">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投标人投标提供的文档（包括照片、图像、表单等文件）必须和实际验收现状相符，如有不符合投标文件的地方，采购方有权要求限期完成整改,如验收不合格导致延期，相应成本和损失均由中标人承担。</w:t>
      </w:r>
    </w:p>
    <w:p w14:paraId="62BAA2B7">
      <w:pPr>
        <w:pStyle w:val="4"/>
        <w:pageBreakBefore w:val="0"/>
        <w:numPr>
          <w:ilvl w:val="0"/>
          <w:numId w:val="2"/>
        </w:numPr>
        <w:kinsoku/>
        <w:overflowPunct/>
        <w:topLinePunct w:val="0"/>
        <w:autoSpaceDE/>
        <w:autoSpaceDN/>
        <w:bidi w:val="0"/>
        <w:adjustRightInd/>
        <w:snapToGrid/>
        <w:spacing w:line="560" w:lineRule="exact"/>
        <w:ind w:left="0" w:leftChars="0" w:firstLine="0" w:firstLineChars="0"/>
        <w:outlineLvl w:val="0"/>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运维考核标准</w:t>
      </w:r>
    </w:p>
    <w:p w14:paraId="6EBB4B0A">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关于日常各项服务工作，其服务管理质量考核表如下：</w:t>
      </w:r>
    </w:p>
    <w:tbl>
      <w:tblPr>
        <w:tblStyle w:val="20"/>
        <w:tblW w:w="10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9"/>
        <w:gridCol w:w="960"/>
        <w:gridCol w:w="1674"/>
        <w:gridCol w:w="3964"/>
        <w:gridCol w:w="1031"/>
        <w:gridCol w:w="1065"/>
        <w:gridCol w:w="874"/>
      </w:tblGrid>
      <w:tr w14:paraId="7C51F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10887" w:type="dxa"/>
            <w:gridSpan w:val="7"/>
            <w:tcBorders>
              <w:top w:val="single" w:color="000000" w:sz="8" w:space="0"/>
              <w:left w:val="single" w:color="000000" w:sz="8" w:space="0"/>
              <w:bottom w:val="single" w:color="000000" w:sz="4" w:space="0"/>
              <w:right w:val="single" w:color="000000" w:sz="4" w:space="0"/>
            </w:tcBorders>
            <w:shd w:val="clear" w:color="auto" w:fill="auto"/>
            <w:vAlign w:val="center"/>
          </w:tcPr>
          <w:p w14:paraId="41C6110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青浦区电子政务核心机房服务管理质量考核表</w:t>
            </w:r>
          </w:p>
        </w:tc>
      </w:tr>
      <w:tr w14:paraId="55998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jc w:val="center"/>
        </w:trPr>
        <w:tc>
          <w:tcPr>
            <w:tcW w:w="1319"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F9CE2C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评估考核项</w:t>
            </w:r>
          </w:p>
        </w:tc>
        <w:tc>
          <w:tcPr>
            <w:tcW w:w="96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763D90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权重</w:t>
            </w:r>
          </w:p>
        </w:tc>
        <w:tc>
          <w:tcPr>
            <w:tcW w:w="167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110376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考核指标</w:t>
            </w:r>
          </w:p>
        </w:tc>
        <w:tc>
          <w:tcPr>
            <w:tcW w:w="396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92C2CC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评估标准</w:t>
            </w:r>
          </w:p>
        </w:tc>
        <w:tc>
          <w:tcPr>
            <w:tcW w:w="103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C48D24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满分</w:t>
            </w:r>
          </w:p>
        </w:tc>
        <w:tc>
          <w:tcPr>
            <w:tcW w:w="106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62ADDA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实际扣分</w:t>
            </w:r>
          </w:p>
        </w:tc>
        <w:tc>
          <w:tcPr>
            <w:tcW w:w="87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9C5571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备注</w:t>
            </w:r>
          </w:p>
        </w:tc>
      </w:tr>
      <w:tr w14:paraId="6163C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1319"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71E8544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kern w:val="0"/>
                <w:sz w:val="32"/>
                <w:szCs w:val="32"/>
                <w:highlight w:val="none"/>
                <w:u w:val="none"/>
                <w:lang w:val="en-US" w:eastAsia="zh-CN" w:bidi="ar"/>
              </w:rPr>
            </w:pPr>
            <w:r>
              <w:rPr>
                <w:rFonts w:hint="eastAsia" w:ascii="仿宋_GB2312" w:hAnsi="仿宋_GB2312" w:eastAsia="仿宋_GB2312" w:cs="仿宋_GB2312"/>
                <w:b/>
                <w:bCs/>
                <w:i w:val="0"/>
                <w:iCs w:val="0"/>
                <w:color w:val="auto"/>
                <w:kern w:val="0"/>
                <w:sz w:val="32"/>
                <w:szCs w:val="32"/>
                <w:highlight w:val="none"/>
                <w:u w:val="none"/>
                <w:lang w:val="en-US" w:eastAsia="zh-CN" w:bidi="ar"/>
              </w:rPr>
              <w:t>管理质量</w:t>
            </w:r>
          </w:p>
          <w:p w14:paraId="57E3DEB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考核</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F3834">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Times New Roman" w:hAnsi="Times New Roman" w:eastAsia="仿宋_GB2312" w:cs="仿宋_GB2312"/>
                <w:b/>
                <w:bCs/>
                <w:i w:val="0"/>
                <w:iCs w:val="0"/>
                <w:color w:val="auto"/>
                <w:kern w:val="0"/>
                <w:sz w:val="32"/>
                <w:szCs w:val="32"/>
                <w:highlight w:val="none"/>
                <w:u w:val="none"/>
                <w:lang w:val="en-US" w:eastAsia="zh-CN" w:bidi="ar"/>
              </w:rPr>
              <w:t>50</w:t>
            </w:r>
            <w:r>
              <w:rPr>
                <w:rFonts w:hint="eastAsia" w:ascii="仿宋_GB2312" w:hAnsi="仿宋_GB2312" w:eastAsia="仿宋_GB2312" w:cs="仿宋_GB2312"/>
                <w:b/>
                <w:bCs/>
                <w:i w:val="0"/>
                <w:iCs w:val="0"/>
                <w:color w:val="auto"/>
                <w:kern w:val="0"/>
                <w:sz w:val="32"/>
                <w:szCs w:val="32"/>
                <w:highlight w:val="none"/>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C80F">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故障响应管理</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8498">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中标单位须在</w:t>
            </w:r>
            <w:r>
              <w:rPr>
                <w:rFonts w:hint="eastAsia" w:ascii="Times New Roman" w:hAnsi="Times New Roman" w:eastAsia="仿宋_GB2312" w:cs="仿宋_GB2312"/>
                <w:i w:val="0"/>
                <w:iCs w:val="0"/>
                <w:color w:val="auto"/>
                <w:kern w:val="0"/>
                <w:sz w:val="32"/>
                <w:szCs w:val="32"/>
                <w:highlight w:val="none"/>
                <w:u w:val="none"/>
                <w:lang w:val="en-US" w:eastAsia="zh-CN" w:bidi="ar"/>
              </w:rPr>
              <w:t>30</w:t>
            </w:r>
            <w:r>
              <w:rPr>
                <w:rFonts w:hint="eastAsia" w:ascii="仿宋_GB2312" w:hAnsi="仿宋_GB2312" w:eastAsia="仿宋_GB2312" w:cs="仿宋_GB2312"/>
                <w:i w:val="0"/>
                <w:iCs w:val="0"/>
                <w:color w:val="auto"/>
                <w:kern w:val="0"/>
                <w:sz w:val="32"/>
                <w:szCs w:val="32"/>
                <w:highlight w:val="none"/>
                <w:u w:val="none"/>
                <w:lang w:val="en-US" w:eastAsia="zh-CN" w:bidi="ar"/>
              </w:rPr>
              <w:t>分钟内响应，技术工程师</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小时到达现场。到达现场后</w:t>
            </w:r>
            <w:r>
              <w:rPr>
                <w:rFonts w:hint="eastAsia" w:ascii="Times New Roman" w:hAnsi="Times New Roman" w:eastAsia="仿宋_GB2312" w:cs="仿宋_GB2312"/>
                <w:i w:val="0"/>
                <w:iCs w:val="0"/>
                <w:color w:val="auto"/>
                <w:kern w:val="0"/>
                <w:sz w:val="32"/>
                <w:szCs w:val="32"/>
                <w:highlight w:val="none"/>
                <w:u w:val="none"/>
                <w:lang w:val="en-US" w:eastAsia="zh-CN" w:bidi="ar"/>
              </w:rPr>
              <w:t>4</w:t>
            </w:r>
            <w:r>
              <w:rPr>
                <w:rFonts w:hint="eastAsia" w:ascii="仿宋_GB2312" w:hAnsi="仿宋_GB2312" w:eastAsia="仿宋_GB2312" w:cs="仿宋_GB2312"/>
                <w:i w:val="0"/>
                <w:iCs w:val="0"/>
                <w:color w:val="auto"/>
                <w:kern w:val="0"/>
                <w:sz w:val="32"/>
                <w:szCs w:val="32"/>
                <w:highlight w:val="none"/>
                <w:u w:val="none"/>
                <w:lang w:val="en-US" w:eastAsia="zh-CN" w:bidi="ar"/>
              </w:rPr>
              <w:t>小时内排除设备故障（遇到自然灾害等不可抗拒事故除外）。对于一时无法按时排除故障，要求在</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小时内提供备件更换解决（对于特殊情况经双方协商决定排除故障时间，如基础设备损坏等），不及时扣</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78B9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Times New Roman" w:hAnsi="Times New Roman" w:eastAsia="仿宋_GB2312" w:cs="仿宋_GB2312"/>
                <w:b/>
                <w:bCs/>
                <w:i w:val="0"/>
                <w:iCs w:val="0"/>
                <w:color w:val="auto"/>
                <w:kern w:val="0"/>
                <w:sz w:val="32"/>
                <w:szCs w:val="32"/>
                <w:highlight w:val="none"/>
                <w:u w:val="none"/>
                <w:lang w:val="en-US" w:eastAsia="zh-CN" w:bidi="ar"/>
              </w:rPr>
              <w:t>50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0A32">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51683F">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24D4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1319"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4BB91EF">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E1FED">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AE2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事件管理</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E79C">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当发生系统环境（动力、空调）故障、关键的设备、网络如无法及时恢复时，应立即通知甲方相关领导，由相关领导协调资源进行故障处理，上报不及时扣</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分/次，未上报扣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A6793">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2FFE">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697027">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310BE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1319"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1EE6DF7">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78028">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8C6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服务热线响应</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81E4">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中标单位应提供</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小时服务热线电话，受理故障报修、业务和技术咨询、使用帮助等服务需求。服务热线电话应该</w:t>
            </w: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小时全天候运行，应配备足够的咨询人员或技术工程师，热线电话的拨通率应达到</w:t>
            </w:r>
            <w:r>
              <w:rPr>
                <w:rFonts w:hint="eastAsia" w:ascii="Times New Roman" w:hAnsi="Times New Roman" w:eastAsia="仿宋_GB2312" w:cs="仿宋_GB2312"/>
                <w:i w:val="0"/>
                <w:iCs w:val="0"/>
                <w:color w:val="auto"/>
                <w:kern w:val="0"/>
                <w:sz w:val="32"/>
                <w:szCs w:val="32"/>
                <w:highlight w:val="none"/>
                <w:u w:val="none"/>
                <w:lang w:val="en-US" w:eastAsia="zh-CN" w:bidi="ar"/>
              </w:rPr>
              <w:t>90</w:t>
            </w:r>
            <w:r>
              <w:rPr>
                <w:rFonts w:hint="eastAsia" w:ascii="仿宋_GB2312" w:hAnsi="仿宋_GB2312" w:eastAsia="仿宋_GB2312" w:cs="仿宋_GB2312"/>
                <w:i w:val="0"/>
                <w:iCs w:val="0"/>
                <w:color w:val="auto"/>
                <w:kern w:val="0"/>
                <w:sz w:val="32"/>
                <w:szCs w:val="32"/>
                <w:highlight w:val="none"/>
                <w:u w:val="none"/>
                <w:lang w:val="en-US" w:eastAsia="zh-CN" w:bidi="ar"/>
              </w:rPr>
              <w:t>%以上；在热线电话发生故障情况下，应提供其它备份的方便和迅速的联系方式，拨通率每低</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%扣</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分。</w:t>
            </w:r>
          </w:p>
        </w:tc>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62D24">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4AD2">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85ACDF">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14BD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1319"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4B2D3AB">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15F64">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0A9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应急演练管理</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136B">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中标单位应协助甲方建立机房安全事件管理和应急响应机制；制订应急预案，每年组织至少</w:t>
            </w: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次应急演练，缺少扣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99DF9">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F42F">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F45B50">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61A42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jc w:val="center"/>
        </w:trPr>
        <w:tc>
          <w:tcPr>
            <w:tcW w:w="1319"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1FF0294">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4B773">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CE8B80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机房巡检管理</w:t>
            </w:r>
          </w:p>
        </w:tc>
        <w:tc>
          <w:tcPr>
            <w:tcW w:w="396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456CAEB">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、中标单位每周至少进行</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次设备基本运行状况检查，包括设备指示灯状态、报警信息等，并出具巡检记录。如发现异常应立即排除故障，并记录在案；巡检不足扣</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p w14:paraId="247537B2">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Times New Roman" w:hAnsi="Times New Roman"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、中标单位每季度至少对UPS、空调进行</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次保养，出具维护保养记录，在维护保养过程中发现的问题及时修复并排除，保养不足扣</w:t>
            </w: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p w14:paraId="0AD5C014">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、中标单位每季度至少对机房的电源系统进行</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次全面检查，出具检查记录，对检查过程中发现的隐患，应及时排除，检查不足扣</w:t>
            </w: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4DD88">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C833717">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5851DCC">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7328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1319"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18C71A6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kern w:val="0"/>
                <w:sz w:val="32"/>
                <w:szCs w:val="32"/>
                <w:highlight w:val="none"/>
                <w:u w:val="none"/>
                <w:lang w:val="en-US" w:eastAsia="zh-CN" w:bidi="ar"/>
              </w:rPr>
            </w:pPr>
            <w:r>
              <w:rPr>
                <w:rFonts w:hint="eastAsia" w:ascii="仿宋_GB2312" w:hAnsi="仿宋_GB2312" w:eastAsia="仿宋_GB2312" w:cs="仿宋_GB2312"/>
                <w:b/>
                <w:bCs/>
                <w:i w:val="0"/>
                <w:iCs w:val="0"/>
                <w:color w:val="auto"/>
                <w:kern w:val="0"/>
                <w:sz w:val="32"/>
                <w:szCs w:val="32"/>
                <w:highlight w:val="none"/>
                <w:u w:val="none"/>
                <w:lang w:val="en-US" w:eastAsia="zh-CN" w:bidi="ar"/>
              </w:rPr>
              <w:t>服务质量</w:t>
            </w:r>
          </w:p>
          <w:p w14:paraId="5164AD6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考核</w:t>
            </w:r>
          </w:p>
        </w:tc>
        <w:tc>
          <w:tcPr>
            <w:tcW w:w="96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3A3777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Times New Roman" w:hAnsi="Times New Roman" w:eastAsia="仿宋_GB2312" w:cs="仿宋_GB2312"/>
                <w:b/>
                <w:bCs/>
                <w:i w:val="0"/>
                <w:iCs w:val="0"/>
                <w:color w:val="auto"/>
                <w:kern w:val="0"/>
                <w:sz w:val="32"/>
                <w:szCs w:val="32"/>
                <w:highlight w:val="none"/>
                <w:u w:val="none"/>
                <w:lang w:val="en-US" w:eastAsia="zh-CN" w:bidi="ar"/>
              </w:rPr>
              <w:t>50</w:t>
            </w:r>
            <w:r>
              <w:rPr>
                <w:rFonts w:hint="eastAsia" w:ascii="仿宋_GB2312" w:hAnsi="仿宋_GB2312" w:eastAsia="仿宋_GB2312" w:cs="仿宋_GB2312"/>
                <w:b/>
                <w:bCs/>
                <w:i w:val="0"/>
                <w:iCs w:val="0"/>
                <w:color w:val="auto"/>
                <w:kern w:val="0"/>
                <w:sz w:val="32"/>
                <w:szCs w:val="32"/>
                <w:highlight w:val="none"/>
                <w:u w:val="none"/>
                <w:lang w:val="en-US" w:eastAsia="zh-CN" w:bidi="ar"/>
              </w:rPr>
              <w:t>%</w:t>
            </w:r>
          </w:p>
        </w:tc>
        <w:tc>
          <w:tcPr>
            <w:tcW w:w="167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59FAF2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人员到岗考勤</w:t>
            </w:r>
          </w:p>
        </w:tc>
        <w:tc>
          <w:tcPr>
            <w:tcW w:w="396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FD06266">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中标单位应提供</w:t>
            </w:r>
            <w:r>
              <w:rPr>
                <w:rFonts w:hint="eastAsia" w:ascii="Times New Roman" w:hAnsi="Times New Roman" w:eastAsia="仿宋_GB2312" w:cs="仿宋_GB2312"/>
                <w:i w:val="0"/>
                <w:iCs w:val="0"/>
                <w:color w:val="auto"/>
                <w:kern w:val="0"/>
                <w:sz w:val="32"/>
                <w:szCs w:val="32"/>
                <w:highlight w:val="none"/>
                <w:u w:val="none"/>
                <w:lang w:val="en-US" w:eastAsia="zh-CN" w:bidi="ar"/>
              </w:rPr>
              <w:t>7</w:t>
            </w:r>
            <w:r>
              <w:rPr>
                <w:rFonts w:hint="eastAsia" w:ascii="仿宋_GB2312" w:hAnsi="仿宋_GB2312" w:eastAsia="仿宋_GB2312" w:cs="仿宋_GB2312"/>
                <w:i w:val="0"/>
                <w:iCs w:val="0"/>
                <w:color w:val="auto"/>
                <w:kern w:val="0"/>
                <w:sz w:val="32"/>
                <w:szCs w:val="32"/>
                <w:highlight w:val="none"/>
                <w:u w:val="none"/>
                <w:lang w:val="en-US" w:eastAsia="zh-CN" w:bidi="ar"/>
              </w:rPr>
              <w:t>×</w:t>
            </w:r>
            <w:r>
              <w:rPr>
                <w:rFonts w:hint="eastAsia" w:ascii="Times New Roman" w:hAnsi="Times New Roman" w:eastAsia="仿宋_GB2312" w:cs="仿宋_GB2312"/>
                <w:i w:val="0"/>
                <w:iCs w:val="0"/>
                <w:color w:val="auto"/>
                <w:kern w:val="0"/>
                <w:sz w:val="32"/>
                <w:szCs w:val="32"/>
                <w:highlight w:val="none"/>
                <w:u w:val="none"/>
                <w:lang w:val="en-US" w:eastAsia="zh-CN" w:bidi="ar"/>
              </w:rPr>
              <w:t>24</w:t>
            </w:r>
            <w:r>
              <w:rPr>
                <w:rFonts w:hint="eastAsia" w:ascii="仿宋_GB2312" w:hAnsi="仿宋_GB2312" w:eastAsia="仿宋_GB2312" w:cs="仿宋_GB2312"/>
                <w:i w:val="0"/>
                <w:iCs w:val="0"/>
                <w:color w:val="auto"/>
                <w:kern w:val="0"/>
                <w:sz w:val="32"/>
                <w:szCs w:val="32"/>
                <w:highlight w:val="none"/>
                <w:u w:val="none"/>
                <w:lang w:val="en-US" w:eastAsia="zh-CN" w:bidi="ar"/>
              </w:rPr>
              <w:t>小时机房驻点运维服务，掌握系统运行情况，主动巡检，发生故障时，提供应急抢修服务，保障正常运行，无故缺岗扣</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D4ADF64">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Times New Roman" w:hAnsi="Times New Roman" w:eastAsia="仿宋_GB2312" w:cs="仿宋_GB2312"/>
                <w:b/>
                <w:bCs/>
                <w:i w:val="0"/>
                <w:iCs w:val="0"/>
                <w:color w:val="auto"/>
                <w:kern w:val="0"/>
                <w:sz w:val="32"/>
                <w:szCs w:val="32"/>
                <w:highlight w:val="none"/>
                <w:u w:val="none"/>
                <w:lang w:val="en-US" w:eastAsia="zh-CN" w:bidi="ar"/>
              </w:rPr>
              <w:t>50</w:t>
            </w:r>
          </w:p>
        </w:tc>
        <w:tc>
          <w:tcPr>
            <w:tcW w:w="106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B6B096A">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35FB64">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0C89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0" w:hRule="atLeast"/>
          <w:jc w:val="center"/>
        </w:trPr>
        <w:tc>
          <w:tcPr>
            <w:tcW w:w="1319"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D2DE1BE">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8ECFD86">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C4A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运维工作材料备案</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5E25">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日常运维工作包括但不限于日常运作、服务咨询、巡检保养、主动监测、故障修复、特殊保障和升级优化等；同时，中标单位应建立运维服务台账，包括运维服务的全记录（含故障报修、维修记录），无记录扣</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p w14:paraId="7C9E5E4A">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中标单位每月月底向甲方提供一份当月度的运行维护报告，报告内容包括但不限于机房系统上月维修、保养记录等运维情况及运维服务改进方案，缺失扣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分/月</w:t>
            </w:r>
          </w:p>
        </w:tc>
        <w:tc>
          <w:tcPr>
            <w:tcW w:w="103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B191C93">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2F79">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74C0F8">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5FD1E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1319"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C401B85">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4F4A75D">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3026">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重大保障方案</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9761">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重要活动期间可按要求协助甲方开展通信保障工作，提供临时的重点技术保障，确保电子政务核心机房的运行高度安全、稳定和可靠，做好各种应急预案，以便快速响应，方案缺失扣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F4D818D">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9C08">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41A464">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123AA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1319"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82BFDBF">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49FEA99">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C78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设备维保承诺</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CCA9">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构成机房系统的所有建筑设施、硬件、网络、供电设施、UPS系统、空调系统、录像系统、防雷设施、第三方软件、应用软件及其他机房配套设施等的维护、维修、更换故障设备、产品升级和培训等。中标单位应提供产品的维保承诺书，每缺</w:t>
            </w:r>
            <w:r>
              <w:rPr>
                <w:rFonts w:hint="eastAsia" w:ascii="Times New Roman" w:hAnsi="Times New Roman" w:eastAsia="仿宋_GB2312" w:cs="仿宋_GB2312"/>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项扣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w:t>
            </w:r>
          </w:p>
        </w:tc>
        <w:tc>
          <w:tcPr>
            <w:tcW w:w="103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BA6B677">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E499">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399BC0">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56331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jc w:val="center"/>
        </w:trPr>
        <w:tc>
          <w:tcPr>
            <w:tcW w:w="1319"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52ADE5B">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E5BF44C">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3D04">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培训服务</w:t>
            </w:r>
          </w:p>
        </w:tc>
        <w:tc>
          <w:tcPr>
            <w:tcW w:w="3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DE34">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培训对象为电子政务核心机房的相关工作人员，中标单位应仔细分析培训对象的人数和需求，分类、合理安排培训计划。培训服务的要求包括但不限：</w:t>
            </w:r>
          </w:p>
          <w:p w14:paraId="3EC590D3">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I.中标单位须为所有被培训人员提供培训资料和讲义，缺失扣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p w14:paraId="41CE7619">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II.中标单位须选派具有一定资质和实践经验，且受过专门训练的高级专业技术人员负责技术培训工作，不满足扣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p w14:paraId="42D49B1D">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III.中标单位的培训方式须包括技术讲课、操作示范、参观学习和其他必须的业务指导和技术咨询，不满足扣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p w14:paraId="036A9630">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IV.中标单位应制定一个详细的培训计划，并于培训开始前一个月交给业主确认，以确保培训工作的顺利进行，达到预期的目的，培训计划缺失扣</w:t>
            </w:r>
            <w:r>
              <w:rPr>
                <w:rFonts w:hint="eastAsia" w:ascii="Times New Roman" w:hAnsi="Times New Roman" w:eastAsia="仿宋_GB2312" w:cs="仿宋_GB2312"/>
                <w:i w:val="0"/>
                <w:iCs w:val="0"/>
                <w:color w:val="auto"/>
                <w:kern w:val="0"/>
                <w:sz w:val="32"/>
                <w:szCs w:val="32"/>
                <w:highlight w:val="none"/>
                <w:u w:val="none"/>
                <w:lang w:val="en-US" w:eastAsia="zh-CN" w:bidi="ar"/>
              </w:rPr>
              <w:t>3</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AF889AE">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8C6B">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576869">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r>
      <w:tr w14:paraId="3334F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319"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4EE2E3D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激励加分项</w:t>
            </w:r>
          </w:p>
        </w:tc>
        <w:tc>
          <w:tcPr>
            <w:tcW w:w="96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A88D009">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726B8A7">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获得表彰</w:t>
            </w:r>
          </w:p>
        </w:tc>
        <w:tc>
          <w:tcPr>
            <w:tcW w:w="396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7E8D424">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加</w:t>
            </w:r>
            <w:r>
              <w:rPr>
                <w:rFonts w:hint="eastAsia" w:ascii="Times New Roman" w:hAnsi="Times New Roman" w:eastAsia="仿宋_GB2312" w:cs="仿宋_GB2312"/>
                <w:i w:val="0"/>
                <w:iCs w:val="0"/>
                <w:color w:val="auto"/>
                <w:kern w:val="0"/>
                <w:sz w:val="32"/>
                <w:szCs w:val="32"/>
                <w:highlight w:val="none"/>
                <w:u w:val="none"/>
                <w:lang w:val="en-US" w:eastAsia="zh-CN" w:bidi="ar"/>
              </w:rPr>
              <w:t>10</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0AC9E1C">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6F7E5FF">
            <w:pPr>
              <w:pageBreakBefore w:val="0"/>
              <w:kinsoku/>
              <w:overflowPunct/>
              <w:topLinePunct w:val="0"/>
              <w:autoSpaceDE/>
              <w:autoSpaceDN/>
              <w:bidi w:val="0"/>
              <w:adjustRightInd/>
              <w:snapToGrid/>
              <w:spacing w:line="560" w:lineRule="exact"/>
              <w:rPr>
                <w:rFonts w:hint="eastAsia" w:ascii="仿宋_GB2312" w:hAnsi="仿宋_GB2312" w:eastAsia="仿宋_GB2312" w:cs="仿宋_GB2312"/>
                <w:i w:val="0"/>
                <w:iCs w:val="0"/>
                <w:color w:val="auto"/>
                <w:sz w:val="32"/>
                <w:szCs w:val="32"/>
                <w:highlight w:val="none"/>
                <w:u w:val="none"/>
              </w:rPr>
            </w:pPr>
          </w:p>
        </w:tc>
        <w:tc>
          <w:tcPr>
            <w:tcW w:w="87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C692256">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auto"/>
                <w:sz w:val="32"/>
                <w:szCs w:val="32"/>
                <w:highlight w:val="none"/>
                <w:u w:val="none"/>
              </w:rPr>
            </w:pPr>
          </w:p>
        </w:tc>
      </w:tr>
      <w:tr w14:paraId="0DF3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1319"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229E9CE">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9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CA68287">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67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E778BB9">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运维服务期间得到客户认可和表扬</w:t>
            </w:r>
          </w:p>
        </w:tc>
        <w:tc>
          <w:tcPr>
            <w:tcW w:w="396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5A32FA6">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加</w:t>
            </w:r>
            <w:r>
              <w:rPr>
                <w:rFonts w:hint="eastAsia" w:ascii="Times New Roman" w:hAnsi="Times New Roman" w:eastAsia="仿宋_GB2312" w:cs="仿宋_GB2312"/>
                <w:i w:val="0"/>
                <w:iCs w:val="0"/>
                <w:color w:val="auto"/>
                <w:kern w:val="0"/>
                <w:sz w:val="32"/>
                <w:szCs w:val="32"/>
                <w:highlight w:val="none"/>
                <w:u w:val="none"/>
                <w:lang w:val="en-US" w:eastAsia="zh-CN" w:bidi="ar"/>
              </w:rPr>
              <w:t>5</w:t>
            </w:r>
            <w:r>
              <w:rPr>
                <w:rFonts w:hint="eastAsia" w:ascii="仿宋_GB2312" w:hAnsi="仿宋_GB2312" w:eastAsia="仿宋_GB2312" w:cs="仿宋_GB2312"/>
                <w:i w:val="0"/>
                <w:iCs w:val="0"/>
                <w:color w:val="auto"/>
                <w:kern w:val="0"/>
                <w:sz w:val="32"/>
                <w:szCs w:val="32"/>
                <w:highlight w:val="none"/>
                <w:u w:val="none"/>
                <w:lang w:val="en-US" w:eastAsia="zh-CN" w:bidi="ar"/>
              </w:rPr>
              <w:t>分/次</w:t>
            </w:r>
          </w:p>
        </w:tc>
        <w:tc>
          <w:tcPr>
            <w:tcW w:w="103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F69D036">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106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714E480">
            <w:pPr>
              <w:pageBreakBefore w:val="0"/>
              <w:kinsoku/>
              <w:overflowPunct/>
              <w:topLinePunct w:val="0"/>
              <w:autoSpaceDE/>
              <w:autoSpaceDN/>
              <w:bidi w:val="0"/>
              <w:adjustRightInd/>
              <w:snapToGrid/>
              <w:spacing w:line="560" w:lineRule="exact"/>
              <w:rPr>
                <w:rFonts w:hint="eastAsia" w:ascii="仿宋_GB2312" w:hAnsi="仿宋_GB2312" w:eastAsia="仿宋_GB2312" w:cs="仿宋_GB2312"/>
                <w:i w:val="0"/>
                <w:iCs w:val="0"/>
                <w:color w:val="auto"/>
                <w:sz w:val="32"/>
                <w:szCs w:val="32"/>
                <w:highlight w:val="none"/>
                <w:u w:val="none"/>
              </w:rPr>
            </w:pPr>
          </w:p>
        </w:tc>
        <w:tc>
          <w:tcPr>
            <w:tcW w:w="874"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0AE1488">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auto"/>
                <w:sz w:val="32"/>
                <w:szCs w:val="32"/>
                <w:highlight w:val="none"/>
                <w:u w:val="none"/>
              </w:rPr>
            </w:pPr>
          </w:p>
        </w:tc>
      </w:tr>
      <w:tr w14:paraId="6D7F3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8948" w:type="dxa"/>
            <w:gridSpan w:val="5"/>
            <w:tcBorders>
              <w:top w:val="single" w:color="000000" w:sz="8" w:space="0"/>
              <w:left w:val="single" w:color="000000" w:sz="8" w:space="0"/>
              <w:bottom w:val="single" w:color="000000" w:sz="8" w:space="0"/>
              <w:right w:val="single" w:color="000000" w:sz="4" w:space="0"/>
            </w:tcBorders>
            <w:shd w:val="clear" w:color="auto" w:fill="auto"/>
            <w:vAlign w:val="center"/>
          </w:tcPr>
          <w:p w14:paraId="28FBA01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考核总得分</w:t>
            </w:r>
          </w:p>
        </w:tc>
        <w:tc>
          <w:tcPr>
            <w:tcW w:w="1065" w:type="dxa"/>
            <w:tcBorders>
              <w:top w:val="single" w:color="000000" w:sz="8" w:space="0"/>
              <w:left w:val="single" w:color="000000" w:sz="4" w:space="0"/>
              <w:bottom w:val="single" w:color="000000" w:sz="8" w:space="0"/>
              <w:right w:val="single" w:color="000000" w:sz="4" w:space="0"/>
            </w:tcBorders>
            <w:shd w:val="clear" w:color="auto" w:fill="auto"/>
            <w:vAlign w:val="center"/>
          </w:tcPr>
          <w:p w14:paraId="54E0CEDA">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b/>
                <w:bCs/>
                <w:i w:val="0"/>
                <w:iCs w:val="0"/>
                <w:color w:val="auto"/>
                <w:sz w:val="32"/>
                <w:szCs w:val="32"/>
                <w:highlight w:val="none"/>
                <w:u w:val="none"/>
              </w:rPr>
            </w:pPr>
          </w:p>
        </w:tc>
        <w:tc>
          <w:tcPr>
            <w:tcW w:w="87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7462413">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auto"/>
                <w:sz w:val="32"/>
                <w:szCs w:val="32"/>
                <w:highlight w:val="none"/>
                <w:u w:val="none"/>
              </w:rPr>
            </w:pPr>
          </w:p>
        </w:tc>
      </w:tr>
    </w:tbl>
    <w:p w14:paraId="1DC1E4C5">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考核得分及支付关联：每期考核得分为90分（含）以上，全额支付当期费用；考核得分为80-89分，按当期费用的95%予以支付；考核得分为70-79分，按当期费用的85%予以支付；考核得分为60-69分，按当期费用的75%予以支付；考核得分59分（含）以下，甲方有权不予支付当期费用。</w:t>
      </w:r>
    </w:p>
    <w:p w14:paraId="5757FFE6">
      <w:pPr>
        <w:rPr>
          <w:rFonts w:ascii="宋体" w:hAnsi="宋体" w:eastAsia="宋体" w:cs="宋体"/>
          <w:b/>
          <w:bCs/>
          <w:spacing w:val="-5"/>
          <w:sz w:val="20"/>
          <w:szCs w:val="20"/>
          <w:highlight w:val="none"/>
        </w:rPr>
      </w:pPr>
      <w:r>
        <w:rPr>
          <w:rFonts w:ascii="宋体" w:hAnsi="宋体" w:eastAsia="宋体" w:cs="宋体"/>
          <w:b/>
          <w:bCs/>
          <w:spacing w:val="-5"/>
          <w:sz w:val="20"/>
          <w:szCs w:val="20"/>
          <w:highlight w:val="none"/>
        </w:rPr>
        <w:br w:type="page"/>
      </w:r>
    </w:p>
    <w:p w14:paraId="73EE0AC1">
      <w:pPr>
        <w:spacing w:before="65" w:line="228" w:lineRule="auto"/>
        <w:ind w:left="3979"/>
        <w:outlineLvl w:val="0"/>
        <w:rPr>
          <w:rFonts w:hint="eastAsia" w:ascii="仿宋" w:hAnsi="仿宋" w:eastAsia="仿宋" w:cs="仿宋"/>
          <w:sz w:val="32"/>
          <w:szCs w:val="32"/>
          <w:highlight w:val="none"/>
        </w:rPr>
      </w:pPr>
      <w:r>
        <w:rPr>
          <w:rFonts w:hint="eastAsia" w:ascii="仿宋" w:hAnsi="仿宋" w:eastAsia="仿宋" w:cs="仿宋"/>
          <w:b/>
          <w:bCs/>
          <w:spacing w:val="-5"/>
          <w:sz w:val="32"/>
          <w:szCs w:val="32"/>
          <w:highlight w:val="none"/>
        </w:rPr>
        <w:t>附件</w:t>
      </w:r>
    </w:p>
    <w:p w14:paraId="5E32D100">
      <w:pPr>
        <w:spacing w:before="144" w:line="230" w:lineRule="auto"/>
        <w:ind w:left="21"/>
        <w:rPr>
          <w:rFonts w:hint="eastAsia" w:ascii="仿宋" w:hAnsi="仿宋" w:eastAsia="仿宋" w:cs="仿宋"/>
          <w:sz w:val="32"/>
          <w:szCs w:val="32"/>
          <w:highlight w:val="none"/>
        </w:rPr>
      </w:pPr>
      <w:r>
        <w:rPr>
          <w:rFonts w:hint="eastAsia" w:ascii="仿宋" w:hAnsi="仿宋" w:eastAsia="仿宋" w:cs="仿宋"/>
          <w:b/>
          <w:bCs/>
          <w:spacing w:val="6"/>
          <w:sz w:val="32"/>
          <w:szCs w:val="32"/>
          <w:highlight w:val="none"/>
        </w:rPr>
        <w:t>主要设备要求</w:t>
      </w:r>
    </w:p>
    <w:p w14:paraId="3DADA6AC">
      <w:pPr>
        <w:spacing w:before="140" w:line="228" w:lineRule="auto"/>
        <w:ind w:left="35"/>
        <w:rPr>
          <w:rFonts w:hint="eastAsia" w:ascii="仿宋" w:hAnsi="仿宋" w:eastAsia="仿宋" w:cs="仿宋"/>
          <w:sz w:val="32"/>
          <w:szCs w:val="32"/>
          <w:highlight w:val="none"/>
        </w:rPr>
      </w:pPr>
      <w:r>
        <w:rPr>
          <w:rFonts w:hint="eastAsia" w:ascii="仿宋" w:hAnsi="仿宋" w:eastAsia="仿宋" w:cs="仿宋"/>
          <w:b/>
          <w:bCs/>
          <w:spacing w:val="6"/>
          <w:sz w:val="32"/>
          <w:szCs w:val="32"/>
          <w:highlight w:val="none"/>
        </w:rPr>
        <w:t>1、</w:t>
      </w:r>
      <w:r>
        <w:rPr>
          <w:rFonts w:hint="eastAsia" w:ascii="仿宋" w:hAnsi="仿宋" w:eastAsia="仿宋" w:cs="仿宋"/>
          <w:b/>
          <w:bCs/>
          <w:sz w:val="32"/>
          <w:szCs w:val="32"/>
          <w:highlight w:val="none"/>
        </w:rPr>
        <w:t>UPS</w:t>
      </w:r>
      <w:r>
        <w:rPr>
          <w:rFonts w:hint="eastAsia" w:ascii="仿宋" w:hAnsi="仿宋" w:eastAsia="仿宋" w:cs="仿宋"/>
          <w:b/>
          <w:bCs/>
          <w:spacing w:val="6"/>
          <w:sz w:val="32"/>
          <w:szCs w:val="32"/>
          <w:highlight w:val="none"/>
        </w:rPr>
        <w:t>不间断电源系统（含电池及电池监控）</w:t>
      </w:r>
    </w:p>
    <w:p w14:paraId="2A11075A">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为通信数据主设备供电的不间断电源UPS系统采用2N冗余配置，UPS供电系统主要包括：UPS输入配电柜、UPS主机、UPS后备蓄电池组、UPS输出配电柜、UPS电源列头柜，N配置负载率不大于80%。</w:t>
      </w:r>
    </w:p>
    <w:p w14:paraId="577B1420">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负载不同的用电安全等级合理配置UPS系统，先期考虑经济合理的冗余方式，后期可根据实际需要升级到更高安全等级方式，提供双输出回路供备时间15分钟，UPS的输出零地电压必须小于1伏。监控设备配置单独的UPS供电系统，UPS系统后备蓄电池组放电时间按60分钟配置。</w:t>
      </w:r>
    </w:p>
    <w:p w14:paraId="1FE9ADE1">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1）UPS系统应充分考虑系统扩展、升级，预留备用容量。</w:t>
      </w:r>
    </w:p>
    <w:p w14:paraId="025EAE23">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2）UPS机房要考虑占地面积、承重、散热、噪音、通风、防尘和清洁。</w:t>
      </w:r>
    </w:p>
    <w:p w14:paraId="1FB6F463">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3）UPS系统必须能够采用冗余模式供电，应具备较高的效率、滤波率和输入功率因数，设有手动维修旁路开关等较全面的功能和性能，要求能在线扩容。</w:t>
      </w:r>
    </w:p>
    <w:p w14:paraId="17B77C99">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4）动力用UPS按照输出视在功率计算，UPS正常运行控制负载率不超过80%，设有手动维修旁路开关等较全面的功能和性能。</w:t>
      </w:r>
    </w:p>
    <w:tbl>
      <w:tblPr>
        <w:tblStyle w:val="29"/>
        <w:tblW w:w="7920" w:type="dxa"/>
        <w:tblInd w:w="4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9"/>
        <w:gridCol w:w="5511"/>
      </w:tblGrid>
      <w:tr w14:paraId="55B66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409" w:type="dxa"/>
            <w:vAlign w:val="center"/>
          </w:tcPr>
          <w:p w14:paraId="24C7F941">
            <w:pPr>
              <w:pStyle w:val="28"/>
              <w:spacing w:before="133" w:line="230" w:lineRule="auto"/>
              <w:ind w:left="119"/>
              <w:jc w:val="both"/>
              <w:rPr>
                <w:rFonts w:hint="eastAsia" w:ascii="仿宋" w:hAnsi="仿宋" w:eastAsia="仿宋" w:cs="仿宋"/>
                <w:sz w:val="32"/>
                <w:szCs w:val="32"/>
                <w:highlight w:val="none"/>
              </w:rPr>
            </w:pPr>
            <w:r>
              <w:rPr>
                <w:rFonts w:hint="eastAsia" w:ascii="仿宋" w:hAnsi="仿宋" w:eastAsia="仿宋" w:cs="仿宋"/>
                <w:b/>
                <w:bCs/>
                <w:spacing w:val="5"/>
                <w:sz w:val="32"/>
                <w:szCs w:val="32"/>
                <w:highlight w:val="none"/>
              </w:rPr>
              <w:t>设备名称</w:t>
            </w:r>
          </w:p>
        </w:tc>
        <w:tc>
          <w:tcPr>
            <w:tcW w:w="5511" w:type="dxa"/>
            <w:vAlign w:val="center"/>
          </w:tcPr>
          <w:p w14:paraId="6760603D">
            <w:pPr>
              <w:pStyle w:val="28"/>
              <w:spacing w:before="133" w:line="228" w:lineRule="auto"/>
              <w:ind w:left="112"/>
              <w:jc w:val="both"/>
              <w:rPr>
                <w:rFonts w:hint="eastAsia" w:ascii="仿宋" w:hAnsi="仿宋" w:eastAsia="仿宋" w:cs="仿宋"/>
                <w:sz w:val="32"/>
                <w:szCs w:val="32"/>
                <w:highlight w:val="none"/>
              </w:rPr>
            </w:pPr>
            <w:r>
              <w:rPr>
                <w:rFonts w:hint="eastAsia" w:ascii="仿宋" w:hAnsi="仿宋" w:eastAsia="仿宋" w:cs="仿宋"/>
                <w:b/>
                <w:bCs/>
                <w:spacing w:val="6"/>
                <w:sz w:val="32"/>
                <w:szCs w:val="32"/>
                <w:highlight w:val="none"/>
              </w:rPr>
              <w:t>规格要求</w:t>
            </w:r>
          </w:p>
        </w:tc>
      </w:tr>
      <w:tr w14:paraId="6992C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09" w:type="dxa"/>
            <w:vMerge w:val="restart"/>
            <w:tcBorders>
              <w:bottom w:val="nil"/>
            </w:tcBorders>
            <w:vAlign w:val="center"/>
          </w:tcPr>
          <w:p w14:paraId="1207549F">
            <w:pPr>
              <w:spacing w:line="270" w:lineRule="auto"/>
              <w:jc w:val="both"/>
              <w:rPr>
                <w:rFonts w:hint="eastAsia" w:ascii="仿宋" w:hAnsi="仿宋" w:eastAsia="仿宋" w:cs="仿宋"/>
                <w:sz w:val="32"/>
                <w:szCs w:val="32"/>
                <w:highlight w:val="none"/>
              </w:rPr>
            </w:pPr>
          </w:p>
          <w:p w14:paraId="035BAFA2">
            <w:pPr>
              <w:spacing w:line="270" w:lineRule="auto"/>
              <w:jc w:val="both"/>
              <w:rPr>
                <w:rFonts w:hint="eastAsia" w:ascii="仿宋" w:hAnsi="仿宋" w:eastAsia="仿宋" w:cs="仿宋"/>
                <w:sz w:val="32"/>
                <w:szCs w:val="32"/>
                <w:highlight w:val="none"/>
              </w:rPr>
            </w:pPr>
          </w:p>
          <w:p w14:paraId="75D81637">
            <w:pPr>
              <w:pStyle w:val="28"/>
              <w:spacing w:before="65" w:line="228" w:lineRule="auto"/>
              <w:ind w:left="451"/>
              <w:jc w:val="both"/>
              <w:rPr>
                <w:rFonts w:hint="eastAsia" w:ascii="仿宋" w:hAnsi="仿宋" w:eastAsia="仿宋" w:cs="仿宋"/>
                <w:sz w:val="32"/>
                <w:szCs w:val="32"/>
                <w:highlight w:val="none"/>
              </w:rPr>
            </w:pPr>
            <w:r>
              <w:rPr>
                <w:rFonts w:hint="eastAsia" w:ascii="仿宋" w:hAnsi="仿宋" w:eastAsia="仿宋" w:cs="仿宋"/>
                <w:sz w:val="32"/>
                <w:szCs w:val="32"/>
                <w:highlight w:val="none"/>
              </w:rPr>
              <w:t>UPS</w:t>
            </w:r>
            <w:r>
              <w:rPr>
                <w:rFonts w:hint="eastAsia" w:ascii="仿宋" w:hAnsi="仿宋" w:eastAsia="仿宋" w:cs="仿宋"/>
                <w:spacing w:val="10"/>
                <w:sz w:val="32"/>
                <w:szCs w:val="32"/>
                <w:highlight w:val="none"/>
              </w:rPr>
              <w:t>主机</w:t>
            </w:r>
          </w:p>
        </w:tc>
        <w:tc>
          <w:tcPr>
            <w:tcW w:w="5511" w:type="dxa"/>
            <w:vAlign w:val="center"/>
          </w:tcPr>
          <w:p w14:paraId="0A5D9B7F">
            <w:pPr>
              <w:pStyle w:val="28"/>
              <w:spacing w:before="131" w:line="228" w:lineRule="auto"/>
              <w:ind w:left="111"/>
              <w:jc w:val="both"/>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额定容量不低于600</w:t>
            </w:r>
            <w:r>
              <w:rPr>
                <w:rFonts w:hint="eastAsia" w:ascii="仿宋" w:hAnsi="仿宋" w:eastAsia="仿宋" w:cs="仿宋"/>
                <w:sz w:val="32"/>
                <w:szCs w:val="32"/>
                <w:highlight w:val="none"/>
              </w:rPr>
              <w:t>kVA</w:t>
            </w:r>
          </w:p>
        </w:tc>
      </w:tr>
      <w:tr w14:paraId="3A5FA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09" w:type="dxa"/>
            <w:vMerge w:val="continue"/>
            <w:tcBorders>
              <w:top w:val="nil"/>
              <w:bottom w:val="nil"/>
            </w:tcBorders>
            <w:vAlign w:val="center"/>
          </w:tcPr>
          <w:p w14:paraId="192F6285">
            <w:pPr>
              <w:jc w:val="both"/>
              <w:rPr>
                <w:rFonts w:hint="eastAsia" w:ascii="仿宋" w:hAnsi="仿宋" w:eastAsia="仿宋" w:cs="仿宋"/>
                <w:sz w:val="32"/>
                <w:szCs w:val="32"/>
                <w:highlight w:val="none"/>
              </w:rPr>
            </w:pPr>
          </w:p>
        </w:tc>
        <w:tc>
          <w:tcPr>
            <w:tcW w:w="5511" w:type="dxa"/>
            <w:vAlign w:val="center"/>
          </w:tcPr>
          <w:p w14:paraId="0C96B932">
            <w:pPr>
              <w:pStyle w:val="28"/>
              <w:spacing w:before="132" w:line="228" w:lineRule="auto"/>
              <w:ind w:left="112"/>
              <w:jc w:val="both"/>
              <w:rPr>
                <w:rFonts w:hint="eastAsia" w:ascii="仿宋" w:hAnsi="仿宋" w:eastAsia="仿宋" w:cs="仿宋"/>
                <w:sz w:val="32"/>
                <w:szCs w:val="32"/>
                <w:highlight w:val="none"/>
              </w:rPr>
            </w:pPr>
            <w:r>
              <w:rPr>
                <w:rFonts w:hint="eastAsia" w:ascii="仿宋" w:hAnsi="仿宋" w:eastAsia="仿宋" w:cs="仿宋"/>
                <w:spacing w:val="9"/>
                <w:sz w:val="32"/>
                <w:szCs w:val="32"/>
                <w:highlight w:val="none"/>
              </w:rPr>
              <w:t>过载能力≥10</w:t>
            </w:r>
            <w:r>
              <w:rPr>
                <w:rFonts w:hint="eastAsia" w:ascii="仿宋" w:hAnsi="仿宋" w:eastAsia="仿宋" w:cs="仿宋"/>
                <w:sz w:val="32"/>
                <w:szCs w:val="32"/>
                <w:highlight w:val="none"/>
              </w:rPr>
              <w:t>min</w:t>
            </w:r>
            <w:r>
              <w:rPr>
                <w:rFonts w:hint="eastAsia" w:ascii="仿宋" w:hAnsi="仿宋" w:eastAsia="仿宋" w:cs="仿宋"/>
                <w:spacing w:val="9"/>
                <w:sz w:val="32"/>
                <w:szCs w:val="32"/>
                <w:highlight w:val="none"/>
              </w:rPr>
              <w:t>，输出电缆峰值系数≥3</w:t>
            </w:r>
          </w:p>
        </w:tc>
      </w:tr>
      <w:tr w14:paraId="19CA1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09" w:type="dxa"/>
            <w:vMerge w:val="continue"/>
            <w:tcBorders>
              <w:top w:val="nil"/>
            </w:tcBorders>
            <w:vAlign w:val="center"/>
          </w:tcPr>
          <w:p w14:paraId="065BC30E">
            <w:pPr>
              <w:jc w:val="both"/>
              <w:rPr>
                <w:rFonts w:hint="eastAsia" w:ascii="仿宋" w:hAnsi="仿宋" w:eastAsia="仿宋" w:cs="仿宋"/>
                <w:sz w:val="32"/>
                <w:szCs w:val="32"/>
                <w:highlight w:val="none"/>
              </w:rPr>
            </w:pPr>
          </w:p>
        </w:tc>
        <w:tc>
          <w:tcPr>
            <w:tcW w:w="5511" w:type="dxa"/>
            <w:vAlign w:val="center"/>
          </w:tcPr>
          <w:p w14:paraId="17A7E012">
            <w:pPr>
              <w:pStyle w:val="28"/>
              <w:spacing w:before="132" w:line="228" w:lineRule="auto"/>
              <w:ind w:left="117"/>
              <w:jc w:val="both"/>
              <w:rPr>
                <w:rFonts w:hint="eastAsia" w:ascii="仿宋" w:hAnsi="仿宋" w:eastAsia="仿宋" w:cs="仿宋"/>
                <w:sz w:val="32"/>
                <w:szCs w:val="32"/>
                <w:highlight w:val="none"/>
              </w:rPr>
            </w:pPr>
            <w:r>
              <w:rPr>
                <w:rFonts w:hint="eastAsia" w:ascii="仿宋" w:hAnsi="仿宋" w:eastAsia="仿宋" w:cs="仿宋"/>
                <w:spacing w:val="9"/>
                <w:sz w:val="32"/>
                <w:szCs w:val="32"/>
                <w:highlight w:val="none"/>
              </w:rPr>
              <w:t>市电电池转换时间＜1</w:t>
            </w:r>
            <w:r>
              <w:rPr>
                <w:rFonts w:hint="eastAsia" w:ascii="仿宋" w:hAnsi="仿宋" w:eastAsia="仿宋" w:cs="仿宋"/>
                <w:sz w:val="32"/>
                <w:szCs w:val="32"/>
                <w:highlight w:val="none"/>
              </w:rPr>
              <w:t>ms</w:t>
            </w:r>
          </w:p>
        </w:tc>
      </w:tr>
      <w:tr w14:paraId="316DD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409" w:type="dxa"/>
            <w:vAlign w:val="center"/>
          </w:tcPr>
          <w:p w14:paraId="6FDB5DFD">
            <w:pPr>
              <w:pStyle w:val="28"/>
              <w:spacing w:before="133" w:line="229" w:lineRule="auto"/>
              <w:ind w:left="140"/>
              <w:jc w:val="both"/>
              <w:rPr>
                <w:rFonts w:hint="eastAsia" w:ascii="仿宋" w:hAnsi="仿宋" w:eastAsia="仿宋" w:cs="仿宋"/>
                <w:sz w:val="32"/>
                <w:szCs w:val="32"/>
                <w:highlight w:val="none"/>
              </w:rPr>
            </w:pPr>
            <w:r>
              <w:rPr>
                <w:rFonts w:hint="eastAsia" w:ascii="仿宋" w:hAnsi="仿宋" w:eastAsia="仿宋" w:cs="仿宋"/>
                <w:spacing w:val="3"/>
                <w:sz w:val="32"/>
                <w:szCs w:val="32"/>
                <w:highlight w:val="none"/>
              </w:rPr>
              <w:t>电池开关柜</w:t>
            </w:r>
          </w:p>
        </w:tc>
        <w:tc>
          <w:tcPr>
            <w:tcW w:w="5511" w:type="dxa"/>
            <w:vAlign w:val="center"/>
          </w:tcPr>
          <w:p w14:paraId="10A81237">
            <w:pPr>
              <w:pStyle w:val="28"/>
              <w:spacing w:before="133" w:line="228" w:lineRule="auto"/>
              <w:ind w:left="111"/>
              <w:jc w:val="both"/>
              <w:rPr>
                <w:rFonts w:hint="eastAsia" w:ascii="仿宋" w:hAnsi="仿宋" w:eastAsia="仿宋" w:cs="仿宋"/>
                <w:sz w:val="32"/>
                <w:szCs w:val="32"/>
                <w:highlight w:val="none"/>
              </w:rPr>
            </w:pPr>
            <w:r>
              <w:rPr>
                <w:rFonts w:hint="eastAsia" w:ascii="仿宋" w:hAnsi="仿宋" w:eastAsia="仿宋" w:cs="仿宋"/>
                <w:spacing w:val="6"/>
                <w:sz w:val="32"/>
                <w:szCs w:val="32"/>
                <w:highlight w:val="none"/>
              </w:rPr>
              <w:t>额定电压/电流不低于480V/2000A</w:t>
            </w:r>
          </w:p>
        </w:tc>
      </w:tr>
      <w:tr w14:paraId="725F4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09" w:type="dxa"/>
            <w:vAlign w:val="center"/>
          </w:tcPr>
          <w:p w14:paraId="4CD691EE">
            <w:pPr>
              <w:pStyle w:val="28"/>
              <w:spacing w:before="133" w:line="228" w:lineRule="auto"/>
              <w:ind w:left="111"/>
              <w:jc w:val="both"/>
              <w:rPr>
                <w:rFonts w:hint="eastAsia" w:ascii="仿宋" w:hAnsi="仿宋" w:eastAsia="仿宋" w:cs="仿宋"/>
                <w:sz w:val="32"/>
                <w:szCs w:val="32"/>
                <w:highlight w:val="none"/>
              </w:rPr>
            </w:pPr>
            <w:r>
              <w:rPr>
                <w:rFonts w:hint="eastAsia" w:ascii="仿宋" w:hAnsi="仿宋" w:eastAsia="仿宋" w:cs="仿宋"/>
                <w:sz w:val="32"/>
                <w:szCs w:val="32"/>
                <w:highlight w:val="none"/>
              </w:rPr>
              <w:t>UPS</w:t>
            </w:r>
            <w:r>
              <w:rPr>
                <w:rFonts w:hint="eastAsia" w:ascii="仿宋" w:hAnsi="仿宋" w:eastAsia="仿宋" w:cs="仿宋"/>
                <w:spacing w:val="10"/>
                <w:sz w:val="32"/>
                <w:szCs w:val="32"/>
                <w:highlight w:val="none"/>
              </w:rPr>
              <w:t>输入配电柜</w:t>
            </w:r>
          </w:p>
        </w:tc>
        <w:tc>
          <w:tcPr>
            <w:tcW w:w="5511" w:type="dxa"/>
            <w:vAlign w:val="center"/>
          </w:tcPr>
          <w:p w14:paraId="763921A4">
            <w:pPr>
              <w:pStyle w:val="28"/>
              <w:spacing w:before="133" w:line="228" w:lineRule="auto"/>
              <w:ind w:left="110"/>
              <w:jc w:val="both"/>
              <w:rPr>
                <w:rFonts w:hint="eastAsia" w:ascii="仿宋" w:hAnsi="仿宋" w:eastAsia="仿宋" w:cs="仿宋"/>
                <w:sz w:val="32"/>
                <w:szCs w:val="32"/>
                <w:highlight w:val="none"/>
              </w:rPr>
            </w:pPr>
            <w:r>
              <w:rPr>
                <w:rFonts w:hint="eastAsia" w:ascii="仿宋" w:hAnsi="仿宋" w:eastAsia="仿宋" w:cs="仿宋"/>
                <w:spacing w:val="7"/>
                <w:sz w:val="32"/>
                <w:szCs w:val="32"/>
                <w:highlight w:val="none"/>
              </w:rPr>
              <w:t>输入配电柜额定电压/电流不低于380V/1600A</w:t>
            </w:r>
          </w:p>
        </w:tc>
      </w:tr>
      <w:tr w14:paraId="3F66C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409" w:type="dxa"/>
            <w:vAlign w:val="center"/>
          </w:tcPr>
          <w:p w14:paraId="5281F5D0">
            <w:pPr>
              <w:pStyle w:val="28"/>
              <w:spacing w:before="133" w:line="228" w:lineRule="auto"/>
              <w:ind w:left="111"/>
              <w:jc w:val="both"/>
              <w:rPr>
                <w:rFonts w:hint="eastAsia" w:ascii="仿宋" w:hAnsi="仿宋" w:eastAsia="仿宋" w:cs="仿宋"/>
                <w:sz w:val="32"/>
                <w:szCs w:val="32"/>
                <w:highlight w:val="none"/>
              </w:rPr>
            </w:pPr>
            <w:r>
              <w:rPr>
                <w:rFonts w:hint="eastAsia" w:ascii="仿宋" w:hAnsi="仿宋" w:eastAsia="仿宋" w:cs="仿宋"/>
                <w:sz w:val="32"/>
                <w:szCs w:val="32"/>
                <w:highlight w:val="none"/>
              </w:rPr>
              <w:t>UPS</w:t>
            </w:r>
            <w:r>
              <w:rPr>
                <w:rFonts w:hint="eastAsia" w:ascii="仿宋" w:hAnsi="仿宋" w:eastAsia="仿宋" w:cs="仿宋"/>
                <w:spacing w:val="10"/>
                <w:sz w:val="32"/>
                <w:szCs w:val="32"/>
                <w:highlight w:val="none"/>
              </w:rPr>
              <w:t>输出配电柜</w:t>
            </w:r>
          </w:p>
        </w:tc>
        <w:tc>
          <w:tcPr>
            <w:tcW w:w="5511" w:type="dxa"/>
            <w:vAlign w:val="center"/>
          </w:tcPr>
          <w:p w14:paraId="5A016868">
            <w:pPr>
              <w:pStyle w:val="28"/>
              <w:spacing w:before="133" w:line="228" w:lineRule="auto"/>
              <w:ind w:left="110"/>
              <w:jc w:val="both"/>
              <w:rPr>
                <w:rFonts w:hint="eastAsia" w:ascii="仿宋" w:hAnsi="仿宋" w:eastAsia="仿宋" w:cs="仿宋"/>
                <w:sz w:val="32"/>
                <w:szCs w:val="32"/>
                <w:highlight w:val="none"/>
              </w:rPr>
            </w:pPr>
            <w:r>
              <w:rPr>
                <w:rFonts w:hint="eastAsia" w:ascii="仿宋" w:hAnsi="仿宋" w:eastAsia="仿宋" w:cs="仿宋"/>
                <w:spacing w:val="7"/>
                <w:sz w:val="32"/>
                <w:szCs w:val="32"/>
                <w:highlight w:val="none"/>
              </w:rPr>
              <w:t>输出配电柜额定电压/电流不低于380V/1600A</w:t>
            </w:r>
          </w:p>
        </w:tc>
      </w:tr>
      <w:tr w14:paraId="7FEF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409" w:type="dxa"/>
            <w:vAlign w:val="center"/>
          </w:tcPr>
          <w:p w14:paraId="70A05A80">
            <w:pPr>
              <w:pStyle w:val="28"/>
              <w:spacing w:before="134" w:line="228" w:lineRule="auto"/>
              <w:ind w:left="116"/>
              <w:jc w:val="both"/>
              <w:rPr>
                <w:rFonts w:hint="eastAsia" w:ascii="仿宋" w:hAnsi="仿宋" w:eastAsia="仿宋" w:cs="仿宋"/>
                <w:sz w:val="32"/>
                <w:szCs w:val="32"/>
                <w:highlight w:val="none"/>
              </w:rPr>
            </w:pPr>
            <w:r>
              <w:rPr>
                <w:rFonts w:hint="eastAsia" w:ascii="仿宋" w:hAnsi="仿宋" w:eastAsia="仿宋" w:cs="仿宋"/>
                <w:spacing w:val="19"/>
                <w:sz w:val="32"/>
                <w:szCs w:val="32"/>
                <w:highlight w:val="none"/>
              </w:rPr>
              <w:t>监控用</w:t>
            </w:r>
            <w:r>
              <w:rPr>
                <w:rFonts w:hint="eastAsia" w:ascii="仿宋" w:hAnsi="仿宋" w:eastAsia="仿宋" w:cs="仿宋"/>
                <w:sz w:val="32"/>
                <w:szCs w:val="32"/>
                <w:highlight w:val="none"/>
              </w:rPr>
              <w:t>UPS</w:t>
            </w:r>
            <w:r>
              <w:rPr>
                <w:rFonts w:hint="eastAsia" w:ascii="仿宋" w:hAnsi="仿宋" w:eastAsia="仿宋" w:cs="仿宋"/>
                <w:spacing w:val="19"/>
                <w:sz w:val="32"/>
                <w:szCs w:val="32"/>
                <w:highlight w:val="none"/>
              </w:rPr>
              <w:t>主机</w:t>
            </w:r>
          </w:p>
        </w:tc>
        <w:tc>
          <w:tcPr>
            <w:tcW w:w="5511" w:type="dxa"/>
            <w:vAlign w:val="center"/>
          </w:tcPr>
          <w:p w14:paraId="17F1AF38">
            <w:pPr>
              <w:pStyle w:val="28"/>
              <w:spacing w:before="135" w:line="228" w:lineRule="auto"/>
              <w:ind w:left="111"/>
              <w:jc w:val="both"/>
              <w:rPr>
                <w:rFonts w:hint="eastAsia" w:ascii="仿宋" w:hAnsi="仿宋" w:eastAsia="仿宋" w:cs="仿宋"/>
                <w:sz w:val="32"/>
                <w:szCs w:val="32"/>
                <w:highlight w:val="none"/>
              </w:rPr>
            </w:pPr>
            <w:r>
              <w:rPr>
                <w:rFonts w:hint="eastAsia" w:ascii="仿宋" w:hAnsi="仿宋" w:eastAsia="仿宋" w:cs="仿宋"/>
                <w:spacing w:val="6"/>
                <w:sz w:val="32"/>
                <w:szCs w:val="32"/>
                <w:highlight w:val="none"/>
              </w:rPr>
              <w:t>额定容量不低于10</w:t>
            </w:r>
            <w:r>
              <w:rPr>
                <w:rFonts w:hint="eastAsia" w:ascii="仿宋" w:hAnsi="仿宋" w:eastAsia="仿宋" w:cs="仿宋"/>
                <w:sz w:val="32"/>
                <w:szCs w:val="32"/>
                <w:highlight w:val="none"/>
              </w:rPr>
              <w:t>kVA</w:t>
            </w:r>
          </w:p>
        </w:tc>
      </w:tr>
    </w:tbl>
    <w:p w14:paraId="40C66C1F">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所有电池进行日常状态监测，独立自成系统，自带现场机柜，接入交换机通过数据接口方式与BMS系统进行数据对接。</w:t>
      </w:r>
    </w:p>
    <w:p w14:paraId="551EE8A2">
      <w:pPr>
        <w:spacing w:before="1" w:line="227" w:lineRule="auto"/>
        <w:ind w:left="22"/>
        <w:rPr>
          <w:rFonts w:hint="eastAsia" w:ascii="仿宋" w:hAnsi="仿宋" w:eastAsia="仿宋" w:cs="仿宋"/>
          <w:sz w:val="32"/>
          <w:szCs w:val="32"/>
          <w:highlight w:val="none"/>
        </w:rPr>
      </w:pPr>
      <w:r>
        <w:rPr>
          <w:rFonts w:hint="eastAsia" w:ascii="仿宋" w:hAnsi="仿宋" w:eastAsia="仿宋" w:cs="仿宋"/>
          <w:b/>
          <w:bCs/>
          <w:spacing w:val="6"/>
          <w:sz w:val="32"/>
          <w:szCs w:val="32"/>
          <w:highlight w:val="none"/>
        </w:rPr>
        <w:t>2、列间精密空调配置</w:t>
      </w:r>
    </w:p>
    <w:p w14:paraId="67687718">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1）按照《数据中心设计规范》GB50174-2017不低于B级机房的标准设计。</w:t>
      </w:r>
    </w:p>
    <w:p w14:paraId="6E6CAD78">
      <w:pPr>
        <w:pageBreakBefore w:val="0"/>
        <w:kinsoku/>
        <w:overflowPunct/>
        <w:topLinePunct w:val="0"/>
        <w:autoSpaceDE/>
        <w:autoSpaceDN/>
        <w:bidi w:val="0"/>
        <w:adjustRightInd/>
        <w:snapToGrid/>
        <w:spacing w:line="560" w:lineRule="exact"/>
        <w:ind w:firstLine="640" w:firstLineChars="200"/>
        <w:jc w:val="left"/>
        <w:rPr>
          <w:rFonts w:ascii="Arial"/>
          <w:sz w:val="2"/>
          <w:highlight w:val="none"/>
        </w:rPr>
      </w:pPr>
      <w:r>
        <w:rPr>
          <w:rFonts w:hint="eastAsia" w:ascii="仿宋_GB2312" w:hAnsi="仿宋_GB2312" w:eastAsia="仿宋_GB2312" w:cs="仿宋_GB2312"/>
          <w:color w:val="auto"/>
          <w:sz w:val="32"/>
          <w:szCs w:val="32"/>
          <w:highlight w:val="none"/>
          <w:lang w:val="en-US" w:eastAsia="zh-CN"/>
        </w:rPr>
        <w:t>（1）开机时机房的室内温湿度;</w:t>
      </w:r>
    </w:p>
    <w:tbl>
      <w:tblPr>
        <w:tblStyle w:val="29"/>
        <w:tblW w:w="7391" w:type="dxa"/>
        <w:tblInd w:w="2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5"/>
        <w:gridCol w:w="2606"/>
      </w:tblGrid>
      <w:tr w14:paraId="52AB0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785" w:type="dxa"/>
            <w:vAlign w:val="center"/>
          </w:tcPr>
          <w:p w14:paraId="44B8ECC3">
            <w:pPr>
              <w:pStyle w:val="28"/>
              <w:spacing w:before="133" w:line="229" w:lineRule="auto"/>
              <w:ind w:left="119"/>
              <w:jc w:val="center"/>
              <w:rPr>
                <w:rFonts w:hint="eastAsia" w:ascii="仿宋" w:hAnsi="仿宋" w:eastAsia="仿宋" w:cs="仿宋"/>
                <w:sz w:val="32"/>
                <w:szCs w:val="32"/>
                <w:highlight w:val="none"/>
              </w:rPr>
            </w:pPr>
            <w:r>
              <w:rPr>
                <w:rFonts w:hint="eastAsia" w:ascii="仿宋" w:hAnsi="仿宋" w:eastAsia="仿宋" w:cs="仿宋"/>
                <w:b/>
                <w:bCs/>
                <w:spacing w:val="2"/>
                <w:sz w:val="32"/>
                <w:szCs w:val="32"/>
                <w:highlight w:val="none"/>
              </w:rPr>
              <w:t>项目</w:t>
            </w:r>
          </w:p>
        </w:tc>
        <w:tc>
          <w:tcPr>
            <w:tcW w:w="2606" w:type="dxa"/>
            <w:vAlign w:val="center"/>
          </w:tcPr>
          <w:p w14:paraId="0F0A0C83">
            <w:pPr>
              <w:pStyle w:val="28"/>
              <w:spacing w:before="133" w:line="230" w:lineRule="auto"/>
              <w:ind w:left="113"/>
              <w:jc w:val="center"/>
              <w:rPr>
                <w:rFonts w:hint="eastAsia" w:ascii="仿宋" w:hAnsi="仿宋" w:eastAsia="仿宋" w:cs="仿宋"/>
                <w:sz w:val="32"/>
                <w:szCs w:val="32"/>
                <w:highlight w:val="none"/>
              </w:rPr>
            </w:pPr>
            <w:r>
              <w:rPr>
                <w:rFonts w:hint="eastAsia" w:ascii="仿宋" w:hAnsi="仿宋" w:eastAsia="仿宋" w:cs="仿宋"/>
                <w:b/>
                <w:bCs/>
                <w:spacing w:val="3"/>
                <w:sz w:val="32"/>
                <w:szCs w:val="32"/>
                <w:highlight w:val="none"/>
              </w:rPr>
              <w:t>要求</w:t>
            </w:r>
          </w:p>
        </w:tc>
      </w:tr>
      <w:tr w14:paraId="0201F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785" w:type="dxa"/>
            <w:vAlign w:val="center"/>
          </w:tcPr>
          <w:p w14:paraId="6C925670">
            <w:pPr>
              <w:pStyle w:val="28"/>
              <w:spacing w:before="130" w:line="228" w:lineRule="auto"/>
              <w:ind w:left="118"/>
              <w:jc w:val="center"/>
              <w:rPr>
                <w:rFonts w:hint="eastAsia" w:ascii="仿宋" w:hAnsi="仿宋" w:eastAsia="仿宋" w:cs="仿宋"/>
                <w:sz w:val="32"/>
                <w:szCs w:val="32"/>
                <w:highlight w:val="none"/>
              </w:rPr>
            </w:pPr>
            <w:r>
              <w:rPr>
                <w:rFonts w:hint="eastAsia" w:ascii="仿宋" w:hAnsi="仿宋" w:eastAsia="仿宋" w:cs="仿宋"/>
                <w:spacing w:val="9"/>
                <w:sz w:val="32"/>
                <w:szCs w:val="32"/>
                <w:highlight w:val="none"/>
              </w:rPr>
              <w:t>冷通道或机柜进风区域的温度</w:t>
            </w:r>
          </w:p>
        </w:tc>
        <w:tc>
          <w:tcPr>
            <w:tcW w:w="2606" w:type="dxa"/>
            <w:vAlign w:val="center"/>
          </w:tcPr>
          <w:p w14:paraId="74840B6B">
            <w:pPr>
              <w:pStyle w:val="28"/>
              <w:spacing w:before="131" w:line="267" w:lineRule="exact"/>
              <w:ind w:left="128"/>
              <w:jc w:val="center"/>
              <w:rPr>
                <w:rFonts w:hint="eastAsia" w:ascii="仿宋" w:hAnsi="仿宋" w:eastAsia="仿宋" w:cs="仿宋"/>
                <w:sz w:val="32"/>
                <w:szCs w:val="32"/>
                <w:highlight w:val="none"/>
              </w:rPr>
            </w:pPr>
            <w:r>
              <w:rPr>
                <w:rFonts w:hint="eastAsia" w:ascii="仿宋" w:hAnsi="仿宋" w:eastAsia="仿宋" w:cs="仿宋"/>
                <w:spacing w:val="2"/>
                <w:position w:val="1"/>
                <w:sz w:val="32"/>
                <w:szCs w:val="32"/>
                <w:highlight w:val="none"/>
              </w:rPr>
              <w:t>18～27℃</w:t>
            </w:r>
          </w:p>
        </w:tc>
      </w:tr>
      <w:tr w14:paraId="69CC2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785" w:type="dxa"/>
            <w:vAlign w:val="center"/>
          </w:tcPr>
          <w:p w14:paraId="09768933">
            <w:pPr>
              <w:pStyle w:val="28"/>
              <w:spacing w:before="131" w:line="228" w:lineRule="auto"/>
              <w:ind w:left="118"/>
              <w:jc w:val="center"/>
              <w:rPr>
                <w:rFonts w:hint="eastAsia" w:ascii="仿宋" w:hAnsi="仿宋" w:eastAsia="仿宋" w:cs="仿宋"/>
                <w:sz w:val="32"/>
                <w:szCs w:val="32"/>
                <w:highlight w:val="none"/>
              </w:rPr>
            </w:pPr>
            <w:r>
              <w:rPr>
                <w:rFonts w:hint="eastAsia" w:ascii="仿宋" w:hAnsi="仿宋" w:eastAsia="仿宋" w:cs="仿宋"/>
                <w:spacing w:val="9"/>
                <w:sz w:val="32"/>
                <w:szCs w:val="32"/>
                <w:highlight w:val="none"/>
              </w:rPr>
              <w:t>冷通道或机柜进风区域的露点温度</w:t>
            </w:r>
          </w:p>
        </w:tc>
        <w:tc>
          <w:tcPr>
            <w:tcW w:w="2606" w:type="dxa"/>
            <w:vAlign w:val="center"/>
          </w:tcPr>
          <w:p w14:paraId="0D9CB347">
            <w:pPr>
              <w:pStyle w:val="28"/>
              <w:spacing w:before="131" w:line="267" w:lineRule="exact"/>
              <w:ind w:left="117"/>
              <w:jc w:val="center"/>
              <w:rPr>
                <w:rFonts w:hint="eastAsia" w:ascii="仿宋" w:hAnsi="仿宋" w:eastAsia="仿宋" w:cs="仿宋"/>
                <w:sz w:val="32"/>
                <w:szCs w:val="32"/>
                <w:highlight w:val="none"/>
              </w:rPr>
            </w:pPr>
            <w:r>
              <w:rPr>
                <w:rFonts w:hint="eastAsia" w:ascii="仿宋" w:hAnsi="仿宋" w:eastAsia="仿宋" w:cs="仿宋"/>
                <w:spacing w:val="4"/>
                <w:position w:val="1"/>
                <w:sz w:val="32"/>
                <w:szCs w:val="32"/>
                <w:highlight w:val="none"/>
              </w:rPr>
              <w:t>5.5～15℃</w:t>
            </w:r>
          </w:p>
        </w:tc>
      </w:tr>
      <w:tr w14:paraId="36A4F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785" w:type="dxa"/>
            <w:vAlign w:val="center"/>
          </w:tcPr>
          <w:p w14:paraId="0EB2760F">
            <w:pPr>
              <w:pStyle w:val="28"/>
              <w:spacing w:before="132" w:line="228" w:lineRule="auto"/>
              <w:ind w:left="118"/>
              <w:jc w:val="center"/>
              <w:rPr>
                <w:rFonts w:hint="eastAsia" w:ascii="仿宋" w:hAnsi="仿宋" w:eastAsia="仿宋" w:cs="仿宋"/>
                <w:sz w:val="32"/>
                <w:szCs w:val="32"/>
                <w:highlight w:val="none"/>
              </w:rPr>
            </w:pPr>
            <w:r>
              <w:rPr>
                <w:rFonts w:hint="eastAsia" w:ascii="仿宋" w:hAnsi="仿宋" w:eastAsia="仿宋" w:cs="仿宋"/>
                <w:spacing w:val="9"/>
                <w:sz w:val="32"/>
                <w:szCs w:val="32"/>
                <w:highlight w:val="none"/>
              </w:rPr>
              <w:t>冷通道或机柜进风区域的湿度</w:t>
            </w:r>
          </w:p>
        </w:tc>
        <w:tc>
          <w:tcPr>
            <w:tcW w:w="2606" w:type="dxa"/>
            <w:vAlign w:val="center"/>
          </w:tcPr>
          <w:p w14:paraId="5085D457">
            <w:pPr>
              <w:pStyle w:val="28"/>
              <w:spacing w:before="132" w:line="265" w:lineRule="exact"/>
              <w:ind w:left="127"/>
              <w:jc w:val="center"/>
              <w:rPr>
                <w:rFonts w:hint="eastAsia" w:ascii="仿宋" w:hAnsi="仿宋" w:eastAsia="仿宋" w:cs="仿宋"/>
                <w:sz w:val="32"/>
                <w:szCs w:val="32"/>
                <w:highlight w:val="none"/>
              </w:rPr>
            </w:pPr>
            <w:r>
              <w:rPr>
                <w:rFonts w:hint="eastAsia" w:ascii="仿宋" w:hAnsi="仿宋" w:eastAsia="仿宋" w:cs="仿宋"/>
                <w:spacing w:val="1"/>
                <w:position w:val="1"/>
                <w:sz w:val="32"/>
                <w:szCs w:val="32"/>
                <w:highlight w:val="none"/>
              </w:rPr>
              <w:t>≤60%</w:t>
            </w:r>
          </w:p>
        </w:tc>
      </w:tr>
      <w:tr w14:paraId="0CBEA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785" w:type="dxa"/>
            <w:vAlign w:val="center"/>
          </w:tcPr>
          <w:p w14:paraId="61BEF879">
            <w:pPr>
              <w:pStyle w:val="28"/>
              <w:spacing w:before="132" w:line="228" w:lineRule="auto"/>
              <w:ind w:left="118"/>
              <w:jc w:val="center"/>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主机房和辅助区温度变化率</w:t>
            </w:r>
          </w:p>
        </w:tc>
        <w:tc>
          <w:tcPr>
            <w:tcW w:w="2606" w:type="dxa"/>
            <w:vAlign w:val="center"/>
          </w:tcPr>
          <w:p w14:paraId="4D098CAC">
            <w:pPr>
              <w:pStyle w:val="28"/>
              <w:spacing w:before="133" w:line="228" w:lineRule="auto"/>
              <w:ind w:left="118"/>
              <w:jc w:val="center"/>
              <w:rPr>
                <w:rFonts w:hint="eastAsia" w:ascii="仿宋" w:hAnsi="仿宋" w:eastAsia="仿宋" w:cs="仿宋"/>
                <w:sz w:val="32"/>
                <w:szCs w:val="32"/>
                <w:highlight w:val="none"/>
              </w:rPr>
            </w:pPr>
            <w:r>
              <w:rPr>
                <w:rFonts w:hint="eastAsia" w:ascii="仿宋" w:hAnsi="仿宋" w:eastAsia="仿宋" w:cs="仿宋"/>
                <w:spacing w:val="6"/>
                <w:sz w:val="32"/>
                <w:szCs w:val="32"/>
                <w:highlight w:val="none"/>
              </w:rPr>
              <w:t>&lt;20℃/时，不得结露</w:t>
            </w:r>
          </w:p>
        </w:tc>
      </w:tr>
      <w:tr w14:paraId="09F87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785" w:type="dxa"/>
            <w:vAlign w:val="center"/>
          </w:tcPr>
          <w:p w14:paraId="3F3593B4">
            <w:pPr>
              <w:pStyle w:val="28"/>
              <w:spacing w:before="134" w:line="228" w:lineRule="auto"/>
              <w:ind w:left="119"/>
              <w:jc w:val="center"/>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不间断电源系统电池室温度</w:t>
            </w:r>
          </w:p>
        </w:tc>
        <w:tc>
          <w:tcPr>
            <w:tcW w:w="2606" w:type="dxa"/>
            <w:vAlign w:val="center"/>
          </w:tcPr>
          <w:p w14:paraId="01B580D8">
            <w:pPr>
              <w:pStyle w:val="28"/>
              <w:spacing w:before="133" w:line="267" w:lineRule="exact"/>
              <w:ind w:left="115"/>
              <w:jc w:val="center"/>
              <w:rPr>
                <w:rFonts w:hint="eastAsia" w:ascii="仿宋" w:hAnsi="仿宋" w:eastAsia="仿宋" w:cs="仿宋"/>
                <w:sz w:val="32"/>
                <w:szCs w:val="32"/>
                <w:highlight w:val="none"/>
              </w:rPr>
            </w:pPr>
            <w:r>
              <w:rPr>
                <w:rFonts w:hint="eastAsia" w:ascii="仿宋" w:hAnsi="仿宋" w:eastAsia="仿宋" w:cs="仿宋"/>
                <w:spacing w:val="4"/>
                <w:position w:val="1"/>
                <w:sz w:val="32"/>
                <w:szCs w:val="32"/>
                <w:highlight w:val="none"/>
              </w:rPr>
              <w:t>20～30℃</w:t>
            </w:r>
          </w:p>
        </w:tc>
      </w:tr>
    </w:tbl>
    <w:p w14:paraId="0CE0664C">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（2）洁净度要求</w:t>
      </w:r>
    </w:p>
    <w:p w14:paraId="2DA207CF">
      <w:pPr>
        <w:spacing w:line="91" w:lineRule="exact"/>
        <w:rPr>
          <w:highlight w:val="none"/>
        </w:rPr>
      </w:pPr>
    </w:p>
    <w:tbl>
      <w:tblPr>
        <w:tblStyle w:val="29"/>
        <w:tblW w:w="5153" w:type="dxa"/>
        <w:tblInd w:w="13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1"/>
        <w:gridCol w:w="3522"/>
      </w:tblGrid>
      <w:tr w14:paraId="7103E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631" w:type="dxa"/>
            <w:vAlign w:val="center"/>
          </w:tcPr>
          <w:p w14:paraId="54E7F5C4">
            <w:pPr>
              <w:pStyle w:val="28"/>
              <w:spacing w:before="135" w:line="229" w:lineRule="auto"/>
              <w:ind w:left="120"/>
              <w:jc w:val="center"/>
              <w:rPr>
                <w:rFonts w:hint="eastAsia" w:ascii="仿宋" w:hAnsi="仿宋" w:eastAsia="仿宋" w:cs="仿宋"/>
                <w:sz w:val="32"/>
                <w:szCs w:val="32"/>
                <w:highlight w:val="none"/>
              </w:rPr>
            </w:pPr>
            <w:r>
              <w:rPr>
                <w:rFonts w:hint="eastAsia" w:ascii="仿宋" w:hAnsi="仿宋" w:eastAsia="仿宋" w:cs="仿宋"/>
                <w:b/>
                <w:bCs/>
                <w:spacing w:val="2"/>
                <w:sz w:val="32"/>
                <w:szCs w:val="32"/>
                <w:highlight w:val="none"/>
              </w:rPr>
              <w:t>项目</w:t>
            </w:r>
          </w:p>
        </w:tc>
        <w:tc>
          <w:tcPr>
            <w:tcW w:w="3522" w:type="dxa"/>
            <w:vAlign w:val="center"/>
          </w:tcPr>
          <w:p w14:paraId="19E14C4E">
            <w:pPr>
              <w:pStyle w:val="28"/>
              <w:spacing w:before="135" w:line="230" w:lineRule="auto"/>
              <w:ind w:left="114"/>
              <w:jc w:val="center"/>
              <w:rPr>
                <w:rFonts w:hint="eastAsia" w:ascii="仿宋" w:hAnsi="仿宋" w:eastAsia="仿宋" w:cs="仿宋"/>
                <w:sz w:val="32"/>
                <w:szCs w:val="32"/>
                <w:highlight w:val="none"/>
              </w:rPr>
            </w:pPr>
            <w:r>
              <w:rPr>
                <w:rFonts w:hint="eastAsia" w:ascii="仿宋" w:hAnsi="仿宋" w:eastAsia="仿宋" w:cs="仿宋"/>
                <w:b/>
                <w:bCs/>
                <w:spacing w:val="3"/>
                <w:sz w:val="32"/>
                <w:szCs w:val="32"/>
                <w:highlight w:val="none"/>
              </w:rPr>
              <w:t>要求</w:t>
            </w:r>
          </w:p>
        </w:tc>
      </w:tr>
      <w:tr w14:paraId="6C6E2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631" w:type="dxa"/>
            <w:vAlign w:val="center"/>
          </w:tcPr>
          <w:p w14:paraId="30D54C94">
            <w:pPr>
              <w:pStyle w:val="28"/>
              <w:spacing w:before="131" w:line="229" w:lineRule="auto"/>
              <w:ind w:left="116"/>
              <w:jc w:val="center"/>
              <w:rPr>
                <w:rFonts w:hint="eastAsia" w:ascii="仿宋" w:hAnsi="仿宋" w:eastAsia="仿宋" w:cs="仿宋"/>
                <w:sz w:val="32"/>
                <w:szCs w:val="32"/>
                <w:highlight w:val="none"/>
              </w:rPr>
            </w:pPr>
            <w:r>
              <w:rPr>
                <w:rFonts w:hint="eastAsia" w:ascii="仿宋" w:hAnsi="仿宋" w:eastAsia="仿宋" w:cs="仿宋"/>
                <w:spacing w:val="4"/>
                <w:sz w:val="32"/>
                <w:szCs w:val="32"/>
                <w:highlight w:val="none"/>
              </w:rPr>
              <w:t>粒度</w:t>
            </w:r>
          </w:p>
        </w:tc>
        <w:tc>
          <w:tcPr>
            <w:tcW w:w="3522" w:type="dxa"/>
            <w:vAlign w:val="center"/>
          </w:tcPr>
          <w:p w14:paraId="3B7FFE13">
            <w:pPr>
              <w:pStyle w:val="28"/>
              <w:spacing w:before="131" w:line="266" w:lineRule="exact"/>
              <w:ind w:left="134"/>
              <w:jc w:val="center"/>
              <w:rPr>
                <w:rFonts w:hint="eastAsia" w:ascii="仿宋" w:hAnsi="仿宋" w:eastAsia="仿宋" w:cs="仿宋"/>
                <w:spacing w:val="-9"/>
                <w:position w:val="1"/>
                <w:sz w:val="32"/>
                <w:szCs w:val="32"/>
                <w:highlight w:val="none"/>
              </w:rPr>
            </w:pPr>
            <w:r>
              <w:rPr>
                <w:rFonts w:hint="eastAsia" w:ascii="仿宋" w:hAnsi="仿宋" w:eastAsia="仿宋" w:cs="仿宋"/>
                <w:spacing w:val="-9"/>
                <w:position w:val="1"/>
                <w:sz w:val="32"/>
                <w:szCs w:val="32"/>
                <w:highlight w:val="none"/>
              </w:rPr>
              <w:t>≥0.5μm</w:t>
            </w:r>
          </w:p>
        </w:tc>
      </w:tr>
      <w:tr w14:paraId="48A58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631" w:type="dxa"/>
            <w:vAlign w:val="center"/>
          </w:tcPr>
          <w:p w14:paraId="1342F1BF">
            <w:pPr>
              <w:pStyle w:val="28"/>
              <w:spacing w:before="133" w:line="228" w:lineRule="auto"/>
              <w:ind w:left="116"/>
              <w:jc w:val="center"/>
              <w:rPr>
                <w:rFonts w:hint="eastAsia" w:ascii="仿宋" w:hAnsi="仿宋" w:eastAsia="仿宋" w:cs="仿宋"/>
                <w:sz w:val="32"/>
                <w:szCs w:val="32"/>
                <w:highlight w:val="none"/>
              </w:rPr>
            </w:pPr>
            <w:r>
              <w:rPr>
                <w:rFonts w:hint="eastAsia" w:ascii="仿宋" w:hAnsi="仿宋" w:eastAsia="仿宋" w:cs="仿宋"/>
                <w:spacing w:val="4"/>
                <w:sz w:val="32"/>
                <w:szCs w:val="32"/>
                <w:highlight w:val="none"/>
              </w:rPr>
              <w:t>个数</w:t>
            </w:r>
          </w:p>
        </w:tc>
        <w:tc>
          <w:tcPr>
            <w:tcW w:w="3522" w:type="dxa"/>
            <w:vAlign w:val="center"/>
          </w:tcPr>
          <w:p w14:paraId="5B56B3E5">
            <w:pPr>
              <w:pStyle w:val="28"/>
              <w:spacing w:before="133" w:line="229" w:lineRule="auto"/>
              <w:ind w:left="118"/>
              <w:jc w:val="center"/>
              <w:rPr>
                <w:rFonts w:hint="eastAsia" w:ascii="仿宋" w:hAnsi="仿宋" w:eastAsia="仿宋" w:cs="仿宋"/>
                <w:sz w:val="32"/>
                <w:szCs w:val="32"/>
                <w:highlight w:val="none"/>
              </w:rPr>
            </w:pPr>
            <w:r>
              <w:rPr>
                <w:rFonts w:hint="eastAsia" w:ascii="仿宋" w:hAnsi="仿宋" w:eastAsia="仿宋" w:cs="仿宋"/>
                <w:spacing w:val="3"/>
                <w:sz w:val="32"/>
                <w:szCs w:val="32"/>
                <w:highlight w:val="none"/>
              </w:rPr>
              <w:t>&lt;17600粒/升</w:t>
            </w:r>
          </w:p>
        </w:tc>
      </w:tr>
    </w:tbl>
    <w:p w14:paraId="687D9724">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2）根据机房制冷及节能减排的需要,空调的位置根据机房内机架的布置形式布置；空调的应考虑必要的冗余、容错运行的措施。</w:t>
      </w:r>
    </w:p>
    <w:p w14:paraId="325CE30C">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3）空调主机安装应有利于数据中心机房美观、安全和设备维护，同时机柜进风进行冷通道封闭。</w:t>
      </w:r>
    </w:p>
    <w:p w14:paraId="6E8DA092">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4）蓄电池室、UPS室从保障等级、位置和冷量需求方面考虑。</w:t>
      </w:r>
    </w:p>
    <w:p w14:paraId="10E72C69">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5）机房内应考虑必要的加湿措施。</w:t>
      </w:r>
    </w:p>
    <w:p w14:paraId="1917BAFF">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6）机房新风系统应按规范GB50174-2017要求，新风量应满足机房内人员需求，同时应保证机房5-10pa的正压要求；</w:t>
      </w:r>
    </w:p>
    <w:p w14:paraId="436C92D1">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7）空调采用485通信接口接入数据中心机房环境动力监控系统，具备联网运行的功能。</w:t>
      </w:r>
    </w:p>
    <w:p w14:paraId="03850FA5">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8)模块化单元内风冷型列间精密空调应满足冷池内机柜制冷需求并留有裕量，每个冷池应按规范GB50174-2017《数据中心设计规范》不低于B级机房的要求，配置空调备份数量，其中2台配置加湿功能。</w:t>
      </w:r>
    </w:p>
    <w:p w14:paraId="4322B379">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空调设备规格要求如下：</w:t>
      </w:r>
    </w:p>
    <w:p w14:paraId="3634062D">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9)列间精密空调基本要求</w:t>
      </w:r>
    </w:p>
    <w:p w14:paraId="6A00AB25">
      <w:pPr>
        <w:spacing w:line="93" w:lineRule="exact"/>
        <w:rPr>
          <w:highlight w:val="none"/>
        </w:rPr>
      </w:pPr>
    </w:p>
    <w:tbl>
      <w:tblPr>
        <w:tblStyle w:val="29"/>
        <w:tblW w:w="9285"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2651"/>
        <w:gridCol w:w="1485"/>
        <w:gridCol w:w="1155"/>
        <w:gridCol w:w="1350"/>
        <w:gridCol w:w="1335"/>
      </w:tblGrid>
      <w:tr w14:paraId="24D47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8" w:hRule="atLeast"/>
        </w:trPr>
        <w:tc>
          <w:tcPr>
            <w:tcW w:w="1309" w:type="dxa"/>
            <w:vAlign w:val="top"/>
          </w:tcPr>
          <w:p w14:paraId="61FB1E4F">
            <w:pPr>
              <w:spacing w:line="266" w:lineRule="auto"/>
              <w:rPr>
                <w:rFonts w:hint="eastAsia" w:ascii="仿宋" w:hAnsi="仿宋" w:eastAsia="仿宋" w:cs="仿宋"/>
                <w:sz w:val="32"/>
                <w:szCs w:val="32"/>
                <w:highlight w:val="none"/>
              </w:rPr>
            </w:pPr>
          </w:p>
          <w:p w14:paraId="0DAAFB92">
            <w:pPr>
              <w:spacing w:line="266" w:lineRule="auto"/>
              <w:rPr>
                <w:rFonts w:hint="eastAsia" w:ascii="仿宋" w:hAnsi="仿宋" w:eastAsia="仿宋" w:cs="仿宋"/>
                <w:sz w:val="32"/>
                <w:szCs w:val="32"/>
                <w:highlight w:val="none"/>
              </w:rPr>
            </w:pPr>
          </w:p>
          <w:p w14:paraId="3E1F2F99">
            <w:pPr>
              <w:pStyle w:val="28"/>
              <w:spacing w:before="65" w:line="435" w:lineRule="auto"/>
              <w:ind w:left="152" w:right="338" w:hanging="31"/>
              <w:rPr>
                <w:rFonts w:hint="eastAsia" w:ascii="仿宋" w:hAnsi="仿宋" w:eastAsia="仿宋" w:cs="仿宋"/>
                <w:sz w:val="32"/>
                <w:szCs w:val="32"/>
                <w:highlight w:val="none"/>
              </w:rPr>
            </w:pPr>
            <w:r>
              <w:rPr>
                <w:rFonts w:hint="eastAsia" w:ascii="仿宋" w:hAnsi="仿宋" w:eastAsia="仿宋" w:cs="仿宋"/>
                <w:b/>
                <w:bCs/>
                <w:spacing w:val="3"/>
                <w:sz w:val="32"/>
                <w:szCs w:val="32"/>
                <w:highlight w:val="none"/>
              </w:rPr>
              <w:t>显冷量</w:t>
            </w:r>
            <w:r>
              <w:rPr>
                <w:rFonts w:hint="eastAsia" w:ascii="仿宋" w:hAnsi="仿宋" w:eastAsia="仿宋" w:cs="仿宋"/>
                <w:b/>
                <w:bCs/>
                <w:spacing w:val="-9"/>
                <w:sz w:val="32"/>
                <w:szCs w:val="32"/>
                <w:highlight w:val="none"/>
              </w:rPr>
              <w:t>(kW)</w:t>
            </w:r>
          </w:p>
        </w:tc>
        <w:tc>
          <w:tcPr>
            <w:tcW w:w="2651" w:type="dxa"/>
            <w:vAlign w:val="top"/>
          </w:tcPr>
          <w:p w14:paraId="0015C5BD">
            <w:pPr>
              <w:spacing w:line="255" w:lineRule="auto"/>
              <w:rPr>
                <w:rFonts w:hint="eastAsia" w:ascii="仿宋" w:hAnsi="仿宋" w:eastAsia="仿宋" w:cs="仿宋"/>
                <w:sz w:val="32"/>
                <w:szCs w:val="32"/>
                <w:highlight w:val="none"/>
              </w:rPr>
            </w:pPr>
          </w:p>
          <w:p w14:paraId="41E8991B">
            <w:pPr>
              <w:spacing w:line="256" w:lineRule="auto"/>
              <w:rPr>
                <w:rFonts w:hint="eastAsia" w:ascii="仿宋" w:hAnsi="仿宋" w:eastAsia="仿宋" w:cs="仿宋"/>
                <w:sz w:val="32"/>
                <w:szCs w:val="32"/>
                <w:highlight w:val="none"/>
              </w:rPr>
            </w:pPr>
          </w:p>
          <w:p w14:paraId="2694F2F8">
            <w:pPr>
              <w:spacing w:line="256" w:lineRule="auto"/>
              <w:rPr>
                <w:rFonts w:hint="eastAsia" w:ascii="仿宋" w:hAnsi="仿宋" w:eastAsia="仿宋" w:cs="仿宋"/>
                <w:sz w:val="32"/>
                <w:szCs w:val="32"/>
                <w:highlight w:val="none"/>
              </w:rPr>
            </w:pPr>
          </w:p>
          <w:p w14:paraId="3D36455A">
            <w:pPr>
              <w:pStyle w:val="28"/>
              <w:spacing w:before="65" w:line="229" w:lineRule="auto"/>
              <w:ind w:left="111"/>
              <w:rPr>
                <w:rFonts w:hint="eastAsia" w:ascii="仿宋" w:hAnsi="仿宋" w:eastAsia="仿宋" w:cs="仿宋"/>
                <w:sz w:val="32"/>
                <w:szCs w:val="32"/>
                <w:highlight w:val="none"/>
              </w:rPr>
            </w:pPr>
            <w:r>
              <w:rPr>
                <w:rFonts w:hint="eastAsia" w:ascii="仿宋" w:hAnsi="仿宋" w:eastAsia="仿宋" w:cs="仿宋"/>
                <w:b/>
                <w:bCs/>
                <w:spacing w:val="6"/>
                <w:sz w:val="32"/>
                <w:szCs w:val="32"/>
                <w:highlight w:val="none"/>
              </w:rPr>
              <w:t>送风方式</w:t>
            </w:r>
          </w:p>
        </w:tc>
        <w:tc>
          <w:tcPr>
            <w:tcW w:w="1485" w:type="dxa"/>
            <w:vAlign w:val="top"/>
          </w:tcPr>
          <w:p w14:paraId="7A22A191">
            <w:pPr>
              <w:pStyle w:val="28"/>
              <w:spacing w:before="134" w:line="228" w:lineRule="auto"/>
              <w:ind w:left="114"/>
              <w:rPr>
                <w:rFonts w:hint="eastAsia" w:ascii="仿宋" w:hAnsi="仿宋" w:eastAsia="仿宋" w:cs="仿宋"/>
                <w:sz w:val="32"/>
                <w:szCs w:val="32"/>
                <w:highlight w:val="none"/>
              </w:rPr>
            </w:pPr>
            <w:r>
              <w:rPr>
                <w:rFonts w:hint="eastAsia" w:ascii="仿宋" w:hAnsi="仿宋" w:eastAsia="仿宋" w:cs="仿宋"/>
                <w:b/>
                <w:bCs/>
                <w:spacing w:val="6"/>
                <w:sz w:val="32"/>
                <w:szCs w:val="32"/>
                <w:highlight w:val="none"/>
              </w:rPr>
              <w:t>制冷循环</w:t>
            </w:r>
          </w:p>
          <w:p w14:paraId="302684E4">
            <w:pPr>
              <w:pStyle w:val="28"/>
              <w:spacing w:before="220" w:line="230" w:lineRule="auto"/>
              <w:ind w:left="117"/>
              <w:rPr>
                <w:rFonts w:hint="eastAsia" w:ascii="仿宋" w:hAnsi="仿宋" w:eastAsia="仿宋" w:cs="仿宋"/>
                <w:sz w:val="32"/>
                <w:szCs w:val="32"/>
                <w:highlight w:val="none"/>
              </w:rPr>
            </w:pPr>
            <w:r>
              <w:rPr>
                <w:rFonts w:hint="eastAsia" w:ascii="仿宋" w:hAnsi="仿宋" w:eastAsia="仿宋" w:cs="仿宋"/>
                <w:b/>
                <w:bCs/>
                <w:spacing w:val="5"/>
                <w:sz w:val="32"/>
                <w:szCs w:val="32"/>
                <w:highlight w:val="none"/>
              </w:rPr>
              <w:t>系统（压</w:t>
            </w:r>
          </w:p>
          <w:p w14:paraId="509FA8AF">
            <w:pPr>
              <w:pStyle w:val="28"/>
              <w:spacing w:before="220" w:line="368" w:lineRule="auto"/>
              <w:ind w:left="113" w:right="126"/>
              <w:rPr>
                <w:rFonts w:hint="eastAsia" w:ascii="仿宋" w:hAnsi="仿宋" w:eastAsia="仿宋" w:cs="仿宋"/>
                <w:sz w:val="32"/>
                <w:szCs w:val="32"/>
                <w:highlight w:val="none"/>
              </w:rPr>
            </w:pPr>
            <w:r>
              <w:rPr>
                <w:rFonts w:hint="eastAsia" w:ascii="仿宋" w:hAnsi="仿宋" w:eastAsia="仿宋" w:cs="仿宋"/>
                <w:b/>
                <w:bCs/>
                <w:spacing w:val="6"/>
                <w:sz w:val="32"/>
                <w:szCs w:val="32"/>
                <w:highlight w:val="none"/>
              </w:rPr>
              <w:t>缩机）数</w:t>
            </w:r>
            <w:r>
              <w:rPr>
                <w:rFonts w:hint="eastAsia" w:ascii="仿宋" w:hAnsi="仿宋" w:eastAsia="仿宋" w:cs="仿宋"/>
                <w:b/>
                <w:bCs/>
                <w:spacing w:val="-2"/>
                <w:sz w:val="32"/>
                <w:szCs w:val="32"/>
                <w:highlight w:val="none"/>
              </w:rPr>
              <w:t>量</w:t>
            </w:r>
          </w:p>
        </w:tc>
        <w:tc>
          <w:tcPr>
            <w:tcW w:w="1155" w:type="dxa"/>
            <w:vAlign w:val="top"/>
          </w:tcPr>
          <w:p w14:paraId="6DCE477A">
            <w:pPr>
              <w:spacing w:line="301" w:lineRule="auto"/>
              <w:rPr>
                <w:rFonts w:hint="eastAsia" w:ascii="仿宋" w:hAnsi="仿宋" w:eastAsia="仿宋" w:cs="仿宋"/>
                <w:sz w:val="32"/>
                <w:szCs w:val="32"/>
                <w:highlight w:val="none"/>
              </w:rPr>
            </w:pPr>
          </w:p>
          <w:p w14:paraId="129D1A9F">
            <w:pPr>
              <w:pStyle w:val="28"/>
              <w:spacing w:before="65" w:line="433" w:lineRule="auto"/>
              <w:ind w:left="111" w:right="283" w:firstLine="5"/>
              <w:jc w:val="both"/>
              <w:rPr>
                <w:rFonts w:hint="eastAsia" w:ascii="仿宋" w:hAnsi="仿宋" w:eastAsia="仿宋" w:cs="仿宋"/>
                <w:sz w:val="32"/>
                <w:szCs w:val="32"/>
                <w:highlight w:val="none"/>
              </w:rPr>
            </w:pPr>
            <w:r>
              <w:rPr>
                <w:rFonts w:hint="eastAsia" w:ascii="仿宋" w:hAnsi="仿宋" w:eastAsia="仿宋" w:cs="仿宋"/>
                <w:b/>
                <w:bCs/>
                <w:spacing w:val="4"/>
                <w:sz w:val="32"/>
                <w:szCs w:val="32"/>
                <w:highlight w:val="none"/>
              </w:rPr>
              <w:t>室内机</w:t>
            </w:r>
            <w:r>
              <w:rPr>
                <w:rFonts w:hint="eastAsia" w:ascii="仿宋" w:hAnsi="仿宋" w:eastAsia="仿宋" w:cs="仿宋"/>
                <w:b/>
                <w:bCs/>
                <w:sz w:val="32"/>
                <w:szCs w:val="32"/>
                <w:highlight w:val="none"/>
              </w:rPr>
              <w:t>EC</w:t>
            </w:r>
            <w:r>
              <w:rPr>
                <w:rFonts w:hint="eastAsia" w:ascii="仿宋" w:hAnsi="仿宋" w:eastAsia="仿宋" w:cs="仿宋"/>
                <w:b/>
                <w:bCs/>
                <w:spacing w:val="4"/>
                <w:sz w:val="32"/>
                <w:szCs w:val="32"/>
                <w:highlight w:val="none"/>
              </w:rPr>
              <w:t>风机</w:t>
            </w:r>
            <w:r>
              <w:rPr>
                <w:rFonts w:hint="eastAsia" w:ascii="仿宋" w:hAnsi="仿宋" w:eastAsia="仿宋" w:cs="仿宋"/>
                <w:b/>
                <w:bCs/>
                <w:spacing w:val="5"/>
                <w:sz w:val="32"/>
                <w:szCs w:val="32"/>
                <w:highlight w:val="none"/>
              </w:rPr>
              <w:t>数量</w:t>
            </w:r>
          </w:p>
        </w:tc>
        <w:tc>
          <w:tcPr>
            <w:tcW w:w="1350" w:type="dxa"/>
            <w:vAlign w:val="top"/>
          </w:tcPr>
          <w:p w14:paraId="450E21CF">
            <w:pPr>
              <w:spacing w:line="266" w:lineRule="auto"/>
              <w:rPr>
                <w:rFonts w:hint="eastAsia" w:ascii="仿宋" w:hAnsi="仿宋" w:eastAsia="仿宋" w:cs="仿宋"/>
                <w:sz w:val="32"/>
                <w:szCs w:val="32"/>
                <w:highlight w:val="none"/>
              </w:rPr>
            </w:pPr>
          </w:p>
          <w:p w14:paraId="21CA2A1B">
            <w:pPr>
              <w:spacing w:line="267" w:lineRule="auto"/>
              <w:rPr>
                <w:rFonts w:hint="eastAsia" w:ascii="仿宋" w:hAnsi="仿宋" w:eastAsia="仿宋" w:cs="仿宋"/>
                <w:sz w:val="32"/>
                <w:szCs w:val="32"/>
                <w:highlight w:val="none"/>
              </w:rPr>
            </w:pPr>
          </w:p>
          <w:p w14:paraId="12E601FD">
            <w:pPr>
              <w:pStyle w:val="28"/>
              <w:spacing w:before="65" w:line="229" w:lineRule="auto"/>
              <w:ind w:left="116"/>
              <w:rPr>
                <w:rFonts w:hint="eastAsia" w:ascii="仿宋" w:hAnsi="仿宋" w:eastAsia="仿宋" w:cs="仿宋"/>
                <w:sz w:val="32"/>
                <w:szCs w:val="32"/>
                <w:highlight w:val="none"/>
              </w:rPr>
            </w:pPr>
            <w:r>
              <w:rPr>
                <w:rFonts w:hint="eastAsia" w:ascii="仿宋" w:hAnsi="仿宋" w:eastAsia="仿宋" w:cs="仿宋"/>
                <w:b/>
                <w:bCs/>
                <w:spacing w:val="3"/>
                <w:sz w:val="32"/>
                <w:szCs w:val="32"/>
                <w:highlight w:val="none"/>
              </w:rPr>
              <w:t>风量</w:t>
            </w:r>
          </w:p>
          <w:p w14:paraId="615FD420">
            <w:pPr>
              <w:pStyle w:val="28"/>
              <w:spacing w:before="220" w:line="233" w:lineRule="auto"/>
              <w:ind w:left="125"/>
              <w:rPr>
                <w:rFonts w:hint="eastAsia" w:ascii="仿宋" w:hAnsi="仿宋" w:eastAsia="仿宋" w:cs="仿宋"/>
                <w:sz w:val="32"/>
                <w:szCs w:val="32"/>
                <w:highlight w:val="none"/>
              </w:rPr>
            </w:pPr>
            <w:r>
              <w:rPr>
                <w:rFonts w:hint="eastAsia" w:ascii="仿宋" w:hAnsi="仿宋" w:eastAsia="仿宋" w:cs="仿宋"/>
                <w:b/>
                <w:bCs/>
                <w:sz w:val="32"/>
                <w:szCs w:val="32"/>
                <w:highlight w:val="none"/>
              </w:rPr>
              <w:t>（m3/h）</w:t>
            </w:r>
          </w:p>
        </w:tc>
        <w:tc>
          <w:tcPr>
            <w:tcW w:w="1335" w:type="dxa"/>
            <w:vAlign w:val="top"/>
          </w:tcPr>
          <w:p w14:paraId="05BDC560">
            <w:pPr>
              <w:spacing w:line="267" w:lineRule="auto"/>
              <w:rPr>
                <w:rFonts w:hint="eastAsia" w:ascii="仿宋" w:hAnsi="仿宋" w:eastAsia="仿宋" w:cs="仿宋"/>
                <w:sz w:val="32"/>
                <w:szCs w:val="32"/>
                <w:highlight w:val="none"/>
              </w:rPr>
            </w:pPr>
          </w:p>
          <w:p w14:paraId="012E67ED">
            <w:pPr>
              <w:spacing w:line="267" w:lineRule="auto"/>
              <w:rPr>
                <w:rFonts w:hint="eastAsia" w:ascii="仿宋" w:hAnsi="仿宋" w:eastAsia="仿宋" w:cs="仿宋"/>
                <w:sz w:val="32"/>
                <w:szCs w:val="32"/>
                <w:highlight w:val="none"/>
              </w:rPr>
            </w:pPr>
          </w:p>
          <w:p w14:paraId="41841500">
            <w:pPr>
              <w:pStyle w:val="28"/>
              <w:spacing w:before="65" w:line="430" w:lineRule="auto"/>
              <w:ind w:left="125" w:right="147" w:hanging="10"/>
              <w:rPr>
                <w:rFonts w:hint="eastAsia" w:ascii="仿宋" w:hAnsi="仿宋" w:eastAsia="仿宋" w:cs="仿宋"/>
                <w:sz w:val="32"/>
                <w:szCs w:val="32"/>
                <w:highlight w:val="none"/>
              </w:rPr>
            </w:pPr>
            <w:r>
              <w:rPr>
                <w:rFonts w:hint="eastAsia" w:ascii="仿宋" w:hAnsi="仿宋" w:eastAsia="仿宋" w:cs="仿宋"/>
                <w:b/>
                <w:bCs/>
                <w:spacing w:val="5"/>
                <w:sz w:val="32"/>
                <w:szCs w:val="32"/>
                <w:highlight w:val="none"/>
              </w:rPr>
              <w:t>加湿量</w:t>
            </w:r>
            <w:r>
              <w:rPr>
                <w:rFonts w:hint="eastAsia" w:ascii="仿宋" w:hAnsi="仿宋" w:eastAsia="仿宋" w:cs="仿宋"/>
                <w:b/>
                <w:bCs/>
                <w:spacing w:val="-2"/>
                <w:sz w:val="32"/>
                <w:szCs w:val="32"/>
                <w:highlight w:val="none"/>
              </w:rPr>
              <w:t>（kg/h）</w:t>
            </w:r>
          </w:p>
        </w:tc>
      </w:tr>
      <w:tr w14:paraId="66D6E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309" w:type="dxa"/>
            <w:vAlign w:val="top"/>
          </w:tcPr>
          <w:p w14:paraId="57697EA4">
            <w:pPr>
              <w:pStyle w:val="28"/>
              <w:spacing w:before="132" w:line="267" w:lineRule="exact"/>
              <w:ind w:left="137"/>
              <w:rPr>
                <w:rFonts w:hint="eastAsia" w:ascii="仿宋" w:hAnsi="仿宋" w:eastAsia="仿宋" w:cs="仿宋"/>
                <w:sz w:val="32"/>
                <w:szCs w:val="32"/>
                <w:highlight w:val="none"/>
              </w:rPr>
            </w:pPr>
            <w:r>
              <w:rPr>
                <w:rFonts w:hint="eastAsia" w:ascii="仿宋" w:hAnsi="仿宋" w:eastAsia="仿宋" w:cs="仿宋"/>
                <w:spacing w:val="-4"/>
                <w:position w:val="1"/>
                <w:sz w:val="32"/>
                <w:szCs w:val="32"/>
                <w:highlight w:val="none"/>
              </w:rPr>
              <w:t>≥25</w:t>
            </w:r>
          </w:p>
        </w:tc>
        <w:tc>
          <w:tcPr>
            <w:tcW w:w="2651" w:type="dxa"/>
            <w:vAlign w:val="top"/>
          </w:tcPr>
          <w:p w14:paraId="3E7000D2">
            <w:pPr>
              <w:pStyle w:val="28"/>
              <w:spacing w:before="132" w:line="228" w:lineRule="auto"/>
              <w:ind w:left="114"/>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左右侧双向送风</w:t>
            </w:r>
          </w:p>
        </w:tc>
        <w:tc>
          <w:tcPr>
            <w:tcW w:w="1485" w:type="dxa"/>
            <w:vAlign w:val="top"/>
          </w:tcPr>
          <w:p w14:paraId="2AA00B5A">
            <w:pPr>
              <w:pStyle w:val="28"/>
              <w:spacing w:before="132" w:line="229" w:lineRule="auto"/>
              <w:ind w:left="115"/>
              <w:rPr>
                <w:rFonts w:hint="eastAsia" w:ascii="仿宋" w:hAnsi="仿宋" w:eastAsia="仿宋" w:cs="仿宋"/>
                <w:sz w:val="32"/>
                <w:szCs w:val="32"/>
                <w:highlight w:val="none"/>
              </w:rPr>
            </w:pPr>
            <w:r>
              <w:rPr>
                <w:rFonts w:hint="eastAsia" w:ascii="仿宋" w:hAnsi="仿宋" w:eastAsia="仿宋" w:cs="仿宋"/>
                <w:spacing w:val="6"/>
                <w:sz w:val="32"/>
                <w:szCs w:val="32"/>
                <w:highlight w:val="none"/>
              </w:rPr>
              <w:t>单系统</w:t>
            </w:r>
          </w:p>
        </w:tc>
        <w:tc>
          <w:tcPr>
            <w:tcW w:w="1155" w:type="dxa"/>
            <w:vAlign w:val="top"/>
          </w:tcPr>
          <w:p w14:paraId="1A7C4E86">
            <w:pPr>
              <w:pStyle w:val="28"/>
              <w:spacing w:before="132" w:line="267" w:lineRule="exact"/>
              <w:ind w:left="134"/>
              <w:rPr>
                <w:rFonts w:hint="eastAsia" w:ascii="仿宋" w:hAnsi="仿宋" w:eastAsia="仿宋" w:cs="仿宋"/>
                <w:sz w:val="32"/>
                <w:szCs w:val="32"/>
                <w:highlight w:val="none"/>
              </w:rPr>
            </w:pPr>
            <w:r>
              <w:rPr>
                <w:rFonts w:hint="eastAsia" w:ascii="仿宋" w:hAnsi="仿宋" w:eastAsia="仿宋" w:cs="仿宋"/>
                <w:spacing w:val="-7"/>
                <w:position w:val="1"/>
                <w:sz w:val="32"/>
                <w:szCs w:val="32"/>
                <w:highlight w:val="none"/>
              </w:rPr>
              <w:t>≥2</w:t>
            </w:r>
          </w:p>
        </w:tc>
        <w:tc>
          <w:tcPr>
            <w:tcW w:w="1350" w:type="dxa"/>
            <w:vAlign w:val="top"/>
          </w:tcPr>
          <w:p w14:paraId="1498C582">
            <w:pPr>
              <w:pStyle w:val="28"/>
              <w:spacing w:before="132" w:line="267" w:lineRule="exact"/>
              <w:ind w:left="135"/>
              <w:rPr>
                <w:rFonts w:hint="eastAsia" w:ascii="仿宋" w:hAnsi="仿宋" w:eastAsia="仿宋" w:cs="仿宋"/>
                <w:sz w:val="32"/>
                <w:szCs w:val="32"/>
                <w:highlight w:val="none"/>
              </w:rPr>
            </w:pPr>
            <w:r>
              <w:rPr>
                <w:rFonts w:hint="eastAsia" w:ascii="仿宋" w:hAnsi="仿宋" w:eastAsia="仿宋" w:cs="仿宋"/>
                <w:position w:val="1"/>
                <w:sz w:val="32"/>
                <w:szCs w:val="32"/>
                <w:highlight w:val="none"/>
              </w:rPr>
              <w:t>≥5000</w:t>
            </w:r>
          </w:p>
        </w:tc>
        <w:tc>
          <w:tcPr>
            <w:tcW w:w="1335" w:type="dxa"/>
            <w:vAlign w:val="top"/>
          </w:tcPr>
          <w:p w14:paraId="5A61AE8E">
            <w:pPr>
              <w:pStyle w:val="28"/>
              <w:spacing w:before="132" w:line="267" w:lineRule="exact"/>
              <w:ind w:left="135"/>
              <w:rPr>
                <w:rFonts w:hint="eastAsia" w:ascii="仿宋" w:hAnsi="仿宋" w:eastAsia="仿宋" w:cs="仿宋"/>
                <w:sz w:val="32"/>
                <w:szCs w:val="32"/>
                <w:highlight w:val="none"/>
              </w:rPr>
            </w:pPr>
            <w:r>
              <w:rPr>
                <w:rFonts w:hint="eastAsia" w:ascii="仿宋" w:hAnsi="仿宋" w:eastAsia="仿宋" w:cs="仿宋"/>
                <w:spacing w:val="-7"/>
                <w:position w:val="1"/>
                <w:sz w:val="32"/>
                <w:szCs w:val="32"/>
                <w:highlight w:val="none"/>
              </w:rPr>
              <w:t>≥2</w:t>
            </w:r>
          </w:p>
        </w:tc>
      </w:tr>
    </w:tbl>
    <w:p w14:paraId="43B9FBA6">
      <w:pPr>
        <w:pStyle w:val="13"/>
        <w:rPr>
          <w:highlight w:val="none"/>
        </w:rPr>
      </w:pPr>
    </w:p>
    <w:p w14:paraId="26DD8AA6">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（1）列间精密具备制冷量≥23千瓦</w:t>
      </w:r>
    </w:p>
    <w:p w14:paraId="169BEF6B">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（2）制冷消耗功率≤9.6千瓦，全年能效比≥3.9</w:t>
      </w:r>
    </w:p>
    <w:p w14:paraId="1483D430">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（3）列间精密空调正面水平送风，背面回风。背面拼装便于更换的G4等级过滤网。过滤网为金属材质，可反复冲洗。另配置1块可拆卸过滤网背板，过滤网背板不应影响列间精密空调回风、及其他性能。</w:t>
      </w:r>
    </w:p>
    <w:p w14:paraId="54E51D0A">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（4）列间精密空调底部需预留凝结水管螺纹接口，顶部需预留冷媒管焊接接口。具备加湿功能的列间精密空调底部还需预留加湿水管螺纹接口。所有接管都应从空调背面接出。</w:t>
      </w:r>
    </w:p>
    <w:p w14:paraId="70D07F3C">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（5）空调室外机规格按室外环境温度≥45℃选用。</w:t>
      </w:r>
    </w:p>
    <w:p w14:paraId="55572CA0">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（6）每台列间空调配有界面的微电脑数字控制器，具有完善的轮值及热备份功能、监控功能、来电再启动功能、全自动故障检测及故障记录、故障显</w:t>
      </w:r>
    </w:p>
    <w:p w14:paraId="1D77538A">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示告警功能。</w:t>
      </w:r>
    </w:p>
    <w:p w14:paraId="45E0990B">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（7）空调机应有通用的标准数字接口，可与远程监控装置连接，并提供监控方案。</w:t>
      </w:r>
    </w:p>
    <w:p w14:paraId="7D573F58">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（8）空调机应具有干节点输出功能，当发生故障时，应有本地告警信号。</w:t>
      </w:r>
    </w:p>
    <w:p w14:paraId="6AA7C5CD">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（9）空调机应具有完善的过欠压及缺相等多种电源保护功能，防止因供电电源原因损坏空调设备。</w:t>
      </w:r>
    </w:p>
    <w:p w14:paraId="133B38CB">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（10）空调室内外机的均为低噪声设备，空调机组噪声限值应符合GB/T19413-2010规定，室外机噪声不大于64dB(A)。</w:t>
      </w:r>
    </w:p>
    <w:p w14:paraId="1DE26117">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空调机冷媒管配管但应满足如下的基本要求：空调机冷媒管(单根)最大管长可达80米，外机高于内机时，最大高差15米；外机低于内机时，最大高差5米。风冷冷凝器要求在管路的当量长度在50米以内时，空调的制冷量不低于标准值的95%。空调包含相应延长组件。投标方提供最大管长80米时的冷媒管管径。</w:t>
      </w:r>
    </w:p>
    <w:p w14:paraId="5AABF805">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（12）空调的室内机能够通过打开前后门板进行全面维修维护，主要部件宜从热通道维护。</w:t>
      </w:r>
    </w:p>
    <w:p w14:paraId="158D87A2">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（13）空调室内机面板应防止因温差而引起的结露，并且面板的保温材料应具备A级不燃防火性能。</w:t>
      </w:r>
    </w:p>
    <w:p w14:paraId="0B9648EC">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（14）空调的除湿性能：机组应具备精确除湿功能，通过控制器精确调节EC风机风量来达到准确控制除湿量的效果，减少空气过冷及热补偿需求，降低机房专用空调除湿过程耗电量。</w:t>
      </w:r>
    </w:p>
    <w:p w14:paraId="6391CBCC">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（15）每台列间空调应有点式漏水探测器功能，并另配置带式漏水探测器，实时监测漏水情况，探知到漏水发生时发出告警信号。</w:t>
      </w:r>
    </w:p>
    <w:p w14:paraId="5B785812">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16）空调出风侧配备2个温度传感器，回风侧至少配置1个温湿度传感器，均匀布放于空调竖直高度，并同时支持平均温度控制或最大温度控制方式，以便尽可能消除竖直方向温度不均匀的问题。传感器可外置拼装在空调两侧机柜的进风口处，传感器线缆暗藏，同一空调传感器最远可放置到空调相邻的第二个机柜中部。传感器及线缆固定方式需牢固、美观，传感器推荐采用磁铁固定方式。</w:t>
      </w:r>
    </w:p>
    <w:p w14:paraId="05C5D20B">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（17）空调水、电接口处应有隔离、保护设施，防止设备运行、检修作业时相互影响。</w:t>
      </w:r>
    </w:p>
    <w:p w14:paraId="6552E05E">
      <w:pPr>
        <w:spacing w:before="65" w:line="229" w:lineRule="auto"/>
        <w:ind w:left="24"/>
        <w:rPr>
          <w:rFonts w:hint="eastAsia" w:ascii="仿宋" w:hAnsi="仿宋" w:eastAsia="仿宋" w:cs="仿宋"/>
          <w:sz w:val="32"/>
          <w:szCs w:val="32"/>
          <w:highlight w:val="none"/>
        </w:rPr>
      </w:pPr>
      <w:r>
        <w:rPr>
          <w:rFonts w:hint="eastAsia" w:ascii="仿宋" w:hAnsi="仿宋" w:eastAsia="仿宋" w:cs="仿宋"/>
          <w:b/>
          <w:bCs/>
          <w:spacing w:val="5"/>
          <w:sz w:val="32"/>
          <w:szCs w:val="32"/>
          <w:highlight w:val="none"/>
        </w:rPr>
        <w:t>3、监控大屏系统</w:t>
      </w:r>
    </w:p>
    <w:p w14:paraId="6E3A20CD">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监控大屏系统包括监控屏系统和会议系统。</w:t>
      </w:r>
    </w:p>
    <w:p w14:paraId="7A7EE2C2">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监控大厅大屏采用小间距LED拼接屏拼接的方式，组成弧形监控大屏，素点的间距≤1.53mm，屏体面积＞9㎡。视频监控信号通过视频解码器解码后接入大屏拼接控制器。大屏拼接控制器统一上墙。</w:t>
      </w:r>
    </w:p>
    <w:p w14:paraId="1FAAFEB7">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大屏切换控制设备集中放置在监控屏后方空间。矩阵切换和数字视频网络虚拟交换／切换模式的系统应具有系统信息存储功能，在供电中断或关机后，对所有编程信息和时间信息均应保持。</w:t>
      </w:r>
    </w:p>
    <w:p w14:paraId="112B9A6A">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具体参数如下表所示：</w:t>
      </w:r>
    </w:p>
    <w:p w14:paraId="45F843A1">
      <w:pPr>
        <w:spacing w:line="92" w:lineRule="exact"/>
        <w:rPr>
          <w:highlight w:val="none"/>
        </w:rPr>
      </w:pPr>
    </w:p>
    <w:tbl>
      <w:tblPr>
        <w:tblStyle w:val="29"/>
        <w:tblW w:w="7366" w:type="dxa"/>
        <w:tblInd w:w="4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4"/>
        <w:gridCol w:w="5152"/>
      </w:tblGrid>
      <w:tr w14:paraId="173A5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214" w:type="dxa"/>
            <w:vAlign w:val="top"/>
          </w:tcPr>
          <w:p w14:paraId="4421F462">
            <w:pPr>
              <w:pStyle w:val="28"/>
              <w:spacing w:before="133" w:line="228" w:lineRule="auto"/>
              <w:ind w:left="119"/>
              <w:rPr>
                <w:rFonts w:hint="eastAsia" w:ascii="仿宋" w:hAnsi="仿宋" w:eastAsia="仿宋" w:cs="仿宋"/>
                <w:sz w:val="32"/>
                <w:szCs w:val="32"/>
                <w:highlight w:val="none"/>
              </w:rPr>
            </w:pPr>
            <w:r>
              <w:rPr>
                <w:rFonts w:hint="eastAsia" w:ascii="仿宋" w:hAnsi="仿宋" w:eastAsia="仿宋" w:cs="仿宋"/>
                <w:spacing w:val="6"/>
                <w:sz w:val="32"/>
                <w:szCs w:val="32"/>
                <w:highlight w:val="none"/>
              </w:rPr>
              <w:t>分辨率</w:t>
            </w:r>
          </w:p>
        </w:tc>
        <w:tc>
          <w:tcPr>
            <w:tcW w:w="5152" w:type="dxa"/>
            <w:vAlign w:val="top"/>
          </w:tcPr>
          <w:p w14:paraId="04B64D23">
            <w:pPr>
              <w:pStyle w:val="28"/>
              <w:spacing w:before="133" w:line="228" w:lineRule="auto"/>
              <w:ind w:left="115"/>
              <w:rPr>
                <w:rFonts w:hint="eastAsia" w:ascii="仿宋" w:hAnsi="仿宋" w:eastAsia="仿宋" w:cs="仿宋"/>
                <w:sz w:val="32"/>
                <w:szCs w:val="32"/>
                <w:highlight w:val="none"/>
              </w:rPr>
            </w:pPr>
            <w:r>
              <w:rPr>
                <w:rFonts w:hint="eastAsia" w:ascii="仿宋" w:hAnsi="仿宋" w:eastAsia="仿宋" w:cs="仿宋"/>
                <w:spacing w:val="6"/>
                <w:sz w:val="32"/>
                <w:szCs w:val="32"/>
                <w:highlight w:val="none"/>
              </w:rPr>
              <w:t>分辨率≥4576×1248</w:t>
            </w:r>
          </w:p>
        </w:tc>
      </w:tr>
      <w:tr w14:paraId="1FA4B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214" w:type="dxa"/>
            <w:vAlign w:val="top"/>
          </w:tcPr>
          <w:p w14:paraId="7690AFBD">
            <w:pPr>
              <w:pStyle w:val="28"/>
              <w:spacing w:before="131" w:line="228" w:lineRule="auto"/>
              <w:ind w:left="115"/>
              <w:rPr>
                <w:rFonts w:hint="eastAsia" w:ascii="仿宋" w:hAnsi="仿宋" w:eastAsia="仿宋" w:cs="仿宋"/>
                <w:sz w:val="32"/>
                <w:szCs w:val="32"/>
                <w:highlight w:val="none"/>
              </w:rPr>
            </w:pPr>
            <w:r>
              <w:rPr>
                <w:rFonts w:hint="eastAsia" w:ascii="仿宋" w:hAnsi="仿宋" w:eastAsia="仿宋" w:cs="仿宋"/>
                <w:spacing w:val="7"/>
                <w:sz w:val="32"/>
                <w:szCs w:val="32"/>
                <w:highlight w:val="none"/>
              </w:rPr>
              <w:t>亮度(典型值)</w:t>
            </w:r>
          </w:p>
        </w:tc>
        <w:tc>
          <w:tcPr>
            <w:tcW w:w="5152" w:type="dxa"/>
            <w:vAlign w:val="top"/>
          </w:tcPr>
          <w:p w14:paraId="4A0A3B61">
            <w:pPr>
              <w:pStyle w:val="28"/>
              <w:spacing w:before="131" w:line="228" w:lineRule="auto"/>
              <w:ind w:left="112"/>
              <w:rPr>
                <w:rFonts w:hint="eastAsia" w:ascii="仿宋" w:hAnsi="仿宋" w:eastAsia="仿宋" w:cs="仿宋"/>
                <w:sz w:val="32"/>
                <w:szCs w:val="32"/>
                <w:highlight w:val="none"/>
              </w:rPr>
            </w:pPr>
            <w:r>
              <w:rPr>
                <w:rFonts w:hint="eastAsia" w:ascii="仿宋" w:hAnsi="仿宋" w:eastAsia="仿宋" w:cs="仿宋"/>
                <w:spacing w:val="7"/>
                <w:sz w:val="32"/>
                <w:szCs w:val="32"/>
                <w:highlight w:val="none"/>
              </w:rPr>
              <w:t>亮度(典型值)≥500</w:t>
            </w:r>
            <w:r>
              <w:rPr>
                <w:rFonts w:hint="eastAsia" w:ascii="仿宋" w:hAnsi="仿宋" w:eastAsia="仿宋" w:cs="仿宋"/>
                <w:sz w:val="32"/>
                <w:szCs w:val="32"/>
                <w:highlight w:val="none"/>
              </w:rPr>
              <w:t>cd</w:t>
            </w:r>
            <w:r>
              <w:rPr>
                <w:rFonts w:hint="eastAsia" w:ascii="仿宋" w:hAnsi="仿宋" w:eastAsia="仿宋" w:cs="仿宋"/>
                <w:spacing w:val="7"/>
                <w:sz w:val="32"/>
                <w:szCs w:val="32"/>
                <w:highlight w:val="none"/>
              </w:rPr>
              <w:t>/㎡</w:t>
            </w:r>
          </w:p>
        </w:tc>
      </w:tr>
      <w:tr w14:paraId="13B58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214" w:type="dxa"/>
            <w:vAlign w:val="top"/>
          </w:tcPr>
          <w:p w14:paraId="2C560F14">
            <w:pPr>
              <w:pStyle w:val="28"/>
              <w:spacing w:before="131" w:line="228" w:lineRule="auto"/>
              <w:ind w:left="118"/>
              <w:rPr>
                <w:rFonts w:hint="eastAsia" w:ascii="仿宋" w:hAnsi="仿宋" w:eastAsia="仿宋" w:cs="仿宋"/>
                <w:sz w:val="32"/>
                <w:szCs w:val="32"/>
                <w:highlight w:val="none"/>
              </w:rPr>
            </w:pPr>
            <w:r>
              <w:rPr>
                <w:rFonts w:hint="eastAsia" w:ascii="仿宋" w:hAnsi="仿宋" w:eastAsia="仿宋" w:cs="仿宋"/>
                <w:spacing w:val="7"/>
                <w:sz w:val="32"/>
                <w:szCs w:val="32"/>
                <w:highlight w:val="none"/>
              </w:rPr>
              <w:t>可视角度(水平/垂直)</w:t>
            </w:r>
          </w:p>
        </w:tc>
        <w:tc>
          <w:tcPr>
            <w:tcW w:w="5152" w:type="dxa"/>
            <w:vAlign w:val="top"/>
          </w:tcPr>
          <w:p w14:paraId="3A0725F3">
            <w:pPr>
              <w:pStyle w:val="28"/>
              <w:spacing w:before="131" w:line="228" w:lineRule="auto"/>
              <w:ind w:left="114"/>
              <w:rPr>
                <w:rFonts w:hint="eastAsia" w:ascii="仿宋" w:hAnsi="仿宋" w:eastAsia="仿宋" w:cs="仿宋"/>
                <w:sz w:val="32"/>
                <w:szCs w:val="32"/>
                <w:highlight w:val="none"/>
              </w:rPr>
            </w:pPr>
            <w:r>
              <w:rPr>
                <w:rFonts w:hint="eastAsia" w:ascii="仿宋" w:hAnsi="仿宋" w:eastAsia="仿宋" w:cs="仿宋"/>
                <w:spacing w:val="5"/>
                <w:sz w:val="32"/>
                <w:szCs w:val="32"/>
                <w:highlight w:val="none"/>
              </w:rPr>
              <w:t>可视角度(水平/垂直)≥150°/150°</w:t>
            </w:r>
          </w:p>
        </w:tc>
      </w:tr>
      <w:tr w14:paraId="12CAD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214" w:type="dxa"/>
            <w:vAlign w:val="top"/>
          </w:tcPr>
          <w:p w14:paraId="53920E8F">
            <w:pPr>
              <w:pStyle w:val="28"/>
              <w:spacing w:before="132" w:line="229" w:lineRule="auto"/>
              <w:ind w:left="115"/>
              <w:rPr>
                <w:rFonts w:hint="eastAsia" w:ascii="仿宋" w:hAnsi="仿宋" w:eastAsia="仿宋" w:cs="仿宋"/>
                <w:sz w:val="32"/>
                <w:szCs w:val="32"/>
                <w:highlight w:val="none"/>
              </w:rPr>
            </w:pPr>
            <w:r>
              <w:rPr>
                <w:rFonts w:hint="eastAsia" w:ascii="仿宋" w:hAnsi="仿宋" w:eastAsia="仿宋" w:cs="仿宋"/>
                <w:spacing w:val="7"/>
                <w:sz w:val="32"/>
                <w:szCs w:val="32"/>
                <w:highlight w:val="none"/>
              </w:rPr>
              <w:t>对比度</w:t>
            </w:r>
          </w:p>
        </w:tc>
        <w:tc>
          <w:tcPr>
            <w:tcW w:w="5152" w:type="dxa"/>
            <w:vAlign w:val="top"/>
          </w:tcPr>
          <w:p w14:paraId="75A9D5D2">
            <w:pPr>
              <w:pStyle w:val="28"/>
              <w:spacing w:before="132" w:line="229" w:lineRule="auto"/>
              <w:ind w:left="112"/>
              <w:rPr>
                <w:rFonts w:hint="eastAsia" w:ascii="仿宋" w:hAnsi="仿宋" w:eastAsia="仿宋" w:cs="仿宋"/>
                <w:sz w:val="32"/>
                <w:szCs w:val="32"/>
                <w:highlight w:val="none"/>
              </w:rPr>
            </w:pPr>
            <w:r>
              <w:rPr>
                <w:rFonts w:hint="eastAsia" w:ascii="仿宋" w:hAnsi="仿宋" w:eastAsia="仿宋" w:cs="仿宋"/>
                <w:spacing w:val="2"/>
                <w:sz w:val="32"/>
                <w:szCs w:val="32"/>
                <w:highlight w:val="none"/>
              </w:rPr>
              <w:t>对比度5000:1以上</w:t>
            </w:r>
          </w:p>
        </w:tc>
      </w:tr>
      <w:tr w14:paraId="7CED6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214" w:type="dxa"/>
            <w:vAlign w:val="top"/>
          </w:tcPr>
          <w:p w14:paraId="08C5F5CF">
            <w:pPr>
              <w:pStyle w:val="28"/>
              <w:spacing w:before="133" w:line="228" w:lineRule="auto"/>
              <w:ind w:left="115"/>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视频输入接口</w:t>
            </w:r>
          </w:p>
        </w:tc>
        <w:tc>
          <w:tcPr>
            <w:tcW w:w="5152" w:type="dxa"/>
            <w:vAlign w:val="top"/>
          </w:tcPr>
          <w:p w14:paraId="2D6E46CE">
            <w:pPr>
              <w:pStyle w:val="28"/>
              <w:spacing w:before="133" w:line="228" w:lineRule="auto"/>
              <w:ind w:left="112"/>
              <w:rPr>
                <w:rFonts w:hint="eastAsia" w:ascii="仿宋" w:hAnsi="仿宋" w:eastAsia="仿宋" w:cs="仿宋"/>
                <w:sz w:val="32"/>
                <w:szCs w:val="32"/>
                <w:highlight w:val="none"/>
              </w:rPr>
            </w:pPr>
            <w:r>
              <w:rPr>
                <w:rFonts w:hint="eastAsia" w:ascii="仿宋" w:hAnsi="仿宋" w:eastAsia="仿宋" w:cs="仿宋"/>
                <w:spacing w:val="12"/>
                <w:sz w:val="32"/>
                <w:szCs w:val="32"/>
                <w:highlight w:val="none"/>
              </w:rPr>
              <w:t>视频输入接口至少支持</w:t>
            </w:r>
            <w:r>
              <w:rPr>
                <w:rFonts w:hint="eastAsia" w:ascii="仿宋" w:hAnsi="仿宋" w:eastAsia="仿宋" w:cs="仿宋"/>
                <w:sz w:val="32"/>
                <w:szCs w:val="32"/>
                <w:highlight w:val="none"/>
              </w:rPr>
              <w:t>CVBS</w:t>
            </w:r>
            <w:r>
              <w:rPr>
                <w:rFonts w:hint="eastAsia" w:ascii="仿宋" w:hAnsi="仿宋" w:eastAsia="仿宋" w:cs="仿宋"/>
                <w:spacing w:val="12"/>
                <w:sz w:val="32"/>
                <w:szCs w:val="32"/>
                <w:highlight w:val="none"/>
              </w:rPr>
              <w:t>，</w:t>
            </w:r>
            <w:r>
              <w:rPr>
                <w:rFonts w:hint="eastAsia" w:ascii="仿宋" w:hAnsi="仿宋" w:eastAsia="仿宋" w:cs="仿宋"/>
                <w:sz w:val="32"/>
                <w:szCs w:val="32"/>
                <w:highlight w:val="none"/>
              </w:rPr>
              <w:t>HDMI</w:t>
            </w:r>
            <w:r>
              <w:rPr>
                <w:rFonts w:hint="eastAsia" w:ascii="仿宋" w:hAnsi="仿宋" w:eastAsia="仿宋" w:cs="仿宋"/>
                <w:spacing w:val="12"/>
                <w:sz w:val="32"/>
                <w:szCs w:val="32"/>
                <w:highlight w:val="none"/>
              </w:rPr>
              <w:t>，</w:t>
            </w:r>
            <w:r>
              <w:rPr>
                <w:rFonts w:hint="eastAsia" w:ascii="仿宋" w:hAnsi="仿宋" w:eastAsia="仿宋" w:cs="仿宋"/>
                <w:sz w:val="32"/>
                <w:szCs w:val="32"/>
                <w:highlight w:val="none"/>
              </w:rPr>
              <w:t>DVI</w:t>
            </w:r>
            <w:r>
              <w:rPr>
                <w:rFonts w:hint="eastAsia" w:ascii="仿宋" w:hAnsi="仿宋" w:eastAsia="仿宋" w:cs="仿宋"/>
                <w:spacing w:val="12"/>
                <w:sz w:val="32"/>
                <w:szCs w:val="32"/>
                <w:highlight w:val="none"/>
              </w:rPr>
              <w:t>，</w:t>
            </w:r>
            <w:r>
              <w:rPr>
                <w:rFonts w:hint="eastAsia" w:ascii="仿宋" w:hAnsi="仿宋" w:eastAsia="仿宋" w:cs="仿宋"/>
                <w:sz w:val="32"/>
                <w:szCs w:val="32"/>
                <w:highlight w:val="none"/>
              </w:rPr>
              <w:t>VGA</w:t>
            </w:r>
            <w:r>
              <w:rPr>
                <w:rFonts w:hint="eastAsia" w:ascii="仿宋" w:hAnsi="仿宋" w:eastAsia="仿宋" w:cs="仿宋"/>
                <w:spacing w:val="12"/>
                <w:sz w:val="32"/>
                <w:szCs w:val="32"/>
                <w:highlight w:val="none"/>
              </w:rPr>
              <w:t>等接口</w:t>
            </w:r>
          </w:p>
        </w:tc>
      </w:tr>
      <w:tr w14:paraId="4B0FF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214" w:type="dxa"/>
            <w:vAlign w:val="top"/>
          </w:tcPr>
          <w:p w14:paraId="7918577B">
            <w:pPr>
              <w:pStyle w:val="28"/>
              <w:spacing w:before="133" w:line="228" w:lineRule="auto"/>
              <w:ind w:left="115"/>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视频输出接口</w:t>
            </w:r>
          </w:p>
        </w:tc>
        <w:tc>
          <w:tcPr>
            <w:tcW w:w="5152" w:type="dxa"/>
            <w:vAlign w:val="top"/>
          </w:tcPr>
          <w:p w14:paraId="3096D4A3">
            <w:pPr>
              <w:pStyle w:val="28"/>
              <w:spacing w:before="133" w:line="228" w:lineRule="auto"/>
              <w:ind w:left="112"/>
              <w:rPr>
                <w:rFonts w:hint="eastAsia" w:ascii="仿宋" w:hAnsi="仿宋" w:eastAsia="仿宋" w:cs="仿宋"/>
                <w:sz w:val="32"/>
                <w:szCs w:val="32"/>
                <w:highlight w:val="none"/>
              </w:rPr>
            </w:pPr>
            <w:r>
              <w:rPr>
                <w:rFonts w:hint="eastAsia" w:ascii="仿宋" w:hAnsi="仿宋" w:eastAsia="仿宋" w:cs="仿宋"/>
                <w:spacing w:val="19"/>
                <w:sz w:val="32"/>
                <w:szCs w:val="32"/>
                <w:highlight w:val="none"/>
              </w:rPr>
              <w:t>视频输出接口至少支持</w:t>
            </w:r>
            <w:r>
              <w:rPr>
                <w:rFonts w:hint="eastAsia" w:ascii="仿宋" w:hAnsi="仿宋" w:eastAsia="仿宋" w:cs="仿宋"/>
                <w:sz w:val="32"/>
                <w:szCs w:val="32"/>
                <w:highlight w:val="none"/>
              </w:rPr>
              <w:t>HDMI</w:t>
            </w:r>
            <w:r>
              <w:rPr>
                <w:rFonts w:hint="eastAsia" w:ascii="仿宋" w:hAnsi="仿宋" w:eastAsia="仿宋" w:cs="仿宋"/>
                <w:spacing w:val="19"/>
                <w:sz w:val="32"/>
                <w:szCs w:val="32"/>
                <w:highlight w:val="none"/>
              </w:rPr>
              <w:t>，</w:t>
            </w:r>
            <w:r>
              <w:rPr>
                <w:rFonts w:hint="eastAsia" w:ascii="仿宋" w:hAnsi="仿宋" w:eastAsia="仿宋" w:cs="仿宋"/>
                <w:sz w:val="32"/>
                <w:szCs w:val="32"/>
                <w:highlight w:val="none"/>
              </w:rPr>
              <w:t>DVI</w:t>
            </w:r>
            <w:r>
              <w:rPr>
                <w:rFonts w:hint="eastAsia" w:ascii="仿宋" w:hAnsi="仿宋" w:eastAsia="仿宋" w:cs="仿宋"/>
                <w:spacing w:val="19"/>
                <w:sz w:val="32"/>
                <w:szCs w:val="32"/>
                <w:highlight w:val="none"/>
              </w:rPr>
              <w:t>等接口</w:t>
            </w:r>
          </w:p>
        </w:tc>
      </w:tr>
      <w:tr w14:paraId="7CB37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214" w:type="dxa"/>
            <w:vMerge w:val="restart"/>
            <w:tcBorders>
              <w:bottom w:val="nil"/>
            </w:tcBorders>
            <w:vAlign w:val="top"/>
          </w:tcPr>
          <w:p w14:paraId="480C2397">
            <w:pPr>
              <w:spacing w:line="272" w:lineRule="auto"/>
              <w:rPr>
                <w:rFonts w:hint="eastAsia" w:ascii="仿宋" w:hAnsi="仿宋" w:eastAsia="仿宋" w:cs="仿宋"/>
                <w:sz w:val="32"/>
                <w:szCs w:val="32"/>
                <w:highlight w:val="none"/>
              </w:rPr>
            </w:pPr>
          </w:p>
          <w:p w14:paraId="4CE0AACF">
            <w:pPr>
              <w:spacing w:line="272" w:lineRule="auto"/>
              <w:rPr>
                <w:rFonts w:hint="eastAsia" w:ascii="仿宋" w:hAnsi="仿宋" w:eastAsia="仿宋" w:cs="仿宋"/>
                <w:sz w:val="32"/>
                <w:szCs w:val="32"/>
                <w:highlight w:val="none"/>
              </w:rPr>
            </w:pPr>
          </w:p>
          <w:p w14:paraId="060825B4">
            <w:pPr>
              <w:pStyle w:val="28"/>
              <w:spacing w:before="65" w:line="229" w:lineRule="auto"/>
              <w:ind w:left="693"/>
              <w:rPr>
                <w:rFonts w:hint="eastAsia" w:ascii="仿宋" w:hAnsi="仿宋" w:eastAsia="仿宋" w:cs="仿宋"/>
                <w:sz w:val="32"/>
                <w:szCs w:val="32"/>
                <w:highlight w:val="none"/>
              </w:rPr>
            </w:pPr>
            <w:r>
              <w:rPr>
                <w:rFonts w:hint="eastAsia" w:ascii="仿宋" w:hAnsi="仿宋" w:eastAsia="仿宋" w:cs="仿宋"/>
                <w:spacing w:val="7"/>
                <w:sz w:val="32"/>
                <w:szCs w:val="32"/>
                <w:highlight w:val="none"/>
              </w:rPr>
              <w:t>其他功能</w:t>
            </w:r>
          </w:p>
        </w:tc>
        <w:tc>
          <w:tcPr>
            <w:tcW w:w="5152" w:type="dxa"/>
            <w:vAlign w:val="top"/>
          </w:tcPr>
          <w:p w14:paraId="0106E69B">
            <w:pPr>
              <w:pStyle w:val="28"/>
              <w:spacing w:before="132" w:line="228" w:lineRule="auto"/>
              <w:ind w:left="113"/>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支持防图像残留功能</w:t>
            </w:r>
          </w:p>
        </w:tc>
      </w:tr>
      <w:tr w14:paraId="2AAA7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214" w:type="dxa"/>
            <w:vMerge w:val="continue"/>
            <w:tcBorders>
              <w:top w:val="nil"/>
              <w:bottom w:val="nil"/>
            </w:tcBorders>
            <w:vAlign w:val="top"/>
          </w:tcPr>
          <w:p w14:paraId="103B8C43">
            <w:pPr>
              <w:rPr>
                <w:rFonts w:hint="eastAsia" w:ascii="仿宋" w:hAnsi="仿宋" w:eastAsia="仿宋" w:cs="仿宋"/>
                <w:sz w:val="32"/>
                <w:szCs w:val="32"/>
                <w:highlight w:val="none"/>
              </w:rPr>
            </w:pPr>
          </w:p>
        </w:tc>
        <w:tc>
          <w:tcPr>
            <w:tcW w:w="5152" w:type="dxa"/>
            <w:vAlign w:val="top"/>
          </w:tcPr>
          <w:p w14:paraId="309555F7">
            <w:pPr>
              <w:pStyle w:val="28"/>
              <w:spacing w:before="135" w:line="228" w:lineRule="auto"/>
              <w:ind w:left="113"/>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支持画中画/画边画功能</w:t>
            </w:r>
          </w:p>
        </w:tc>
      </w:tr>
      <w:tr w14:paraId="003C9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214" w:type="dxa"/>
            <w:vMerge w:val="continue"/>
            <w:tcBorders>
              <w:top w:val="nil"/>
            </w:tcBorders>
            <w:vAlign w:val="top"/>
          </w:tcPr>
          <w:p w14:paraId="71714463">
            <w:pPr>
              <w:rPr>
                <w:rFonts w:hint="eastAsia" w:ascii="仿宋" w:hAnsi="仿宋" w:eastAsia="仿宋" w:cs="仿宋"/>
                <w:sz w:val="32"/>
                <w:szCs w:val="32"/>
                <w:highlight w:val="none"/>
              </w:rPr>
            </w:pPr>
          </w:p>
        </w:tc>
        <w:tc>
          <w:tcPr>
            <w:tcW w:w="5152" w:type="dxa"/>
            <w:vAlign w:val="top"/>
          </w:tcPr>
          <w:p w14:paraId="1F1D8EA1">
            <w:pPr>
              <w:pStyle w:val="28"/>
              <w:spacing w:before="135" w:line="228" w:lineRule="auto"/>
              <w:ind w:left="113"/>
              <w:rPr>
                <w:rFonts w:hint="eastAsia" w:ascii="仿宋" w:hAnsi="仿宋" w:eastAsia="仿宋" w:cs="仿宋"/>
                <w:sz w:val="32"/>
                <w:szCs w:val="32"/>
                <w:highlight w:val="none"/>
              </w:rPr>
            </w:pPr>
            <w:r>
              <w:rPr>
                <w:rFonts w:hint="eastAsia" w:ascii="仿宋" w:hAnsi="仿宋" w:eastAsia="仿宋" w:cs="仿宋"/>
                <w:spacing w:val="8"/>
                <w:sz w:val="32"/>
                <w:szCs w:val="32"/>
                <w:highlight w:val="none"/>
              </w:rPr>
              <w:t>支持可外接控制器</w:t>
            </w:r>
          </w:p>
        </w:tc>
      </w:tr>
    </w:tbl>
    <w:p w14:paraId="38042FC2">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说明：</w:t>
      </w:r>
    </w:p>
    <w:p w14:paraId="731620B4">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为保证招标的合法性、公平性，投标人认为上述项目技术需求存在排他性或歧视性条款，可在收到或下载招标文件之日起七个工作日内提出并附相关证据，招标人将及时进行调查或组织论证，如情况属实，招标人将对上述相关技术需求做相应修改。</w:t>
      </w:r>
    </w:p>
    <w:p w14:paraId="0AED6537">
      <w:pPr>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招标人在附件中指出的工艺、材料和设备标准以及参照的规格、型号仅起说明作用，并没有任何限制性，投标人在投标中可以选用其他替代标准、规格或型号，但这些修改和替代要实质上优于招标人在附件中要求及指出的工艺、材料和设备的标准以及参照的规格、型号的要求。</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iti SC Medium">
    <w:altName w:val="宋体"/>
    <w:panose1 w:val="02000000000000000000"/>
    <w:charset w:val="86"/>
    <w:family w:val="auto"/>
    <w:pitch w:val="default"/>
    <w:sig w:usb0="00000000" w:usb1="00000000" w:usb2="00000000" w:usb3="00000000" w:csb0="203E0000" w:csb1="00000000"/>
  </w:font>
  <w:font w:name="Cambria Math">
    <w:panose1 w:val="02040503050406030204"/>
    <w:charset w:val="00"/>
    <w:family w:val="roman"/>
    <w:pitch w:val="default"/>
    <w:sig w:usb0="E00002FF" w:usb1="42002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783E1">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03D94">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C03D94">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406A">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C161BD"/>
    <w:multiLevelType w:val="singleLevel"/>
    <w:tmpl w:val="BDC161BD"/>
    <w:lvl w:ilvl="0" w:tentative="0">
      <w:start w:val="1"/>
      <w:numFmt w:val="chineseCounting"/>
      <w:suff w:val="nothing"/>
      <w:lvlText w:val="%1、"/>
      <w:lvlJc w:val="left"/>
      <w:pPr>
        <w:ind w:left="0" w:firstLine="0"/>
      </w:pPr>
      <w:rPr>
        <w:rFonts w:hint="eastAsia" w:ascii="黑体" w:hAnsi="黑体" w:eastAsia="黑体" w:cs="黑体"/>
      </w:rPr>
    </w:lvl>
  </w:abstractNum>
  <w:abstractNum w:abstractNumId="1">
    <w:nsid w:val="D2B8CC74"/>
    <w:multiLevelType w:val="multilevel"/>
    <w:tmpl w:val="D2B8CC74"/>
    <w:lvl w:ilvl="0" w:tentative="0">
      <w:start w:val="1"/>
      <w:numFmt w:val="chineseCounting"/>
      <w:pStyle w:val="2"/>
      <w:suff w:val="nothing"/>
      <w:lvlText w:val="%1、"/>
      <w:lvlJc w:val="left"/>
      <w:pPr>
        <w:ind w:left="0" w:firstLine="0"/>
      </w:pPr>
      <w:rPr>
        <w:rFonts w:hint="eastAsia" w:ascii="宋体" w:hAnsi="宋体" w:eastAsia="宋体" w:cs="宋体"/>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tabs>
          <w:tab w:val="left" w:pos="0"/>
        </w:tabs>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2">
    <w:nsid w:val="5F3A5BA2"/>
    <w:multiLevelType w:val="singleLevel"/>
    <w:tmpl w:val="5F3A5BA2"/>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 w:name="KSO_WPS_MARK_KEY" w:val="49404171-c555-4a7c-ac92-431ca6204628"/>
  </w:docVars>
  <w:rsids>
    <w:rsidRoot w:val="3903161C"/>
    <w:rsid w:val="00002D87"/>
    <w:rsid w:val="000F2BAB"/>
    <w:rsid w:val="00136207"/>
    <w:rsid w:val="00147D53"/>
    <w:rsid w:val="0038500B"/>
    <w:rsid w:val="003A5D07"/>
    <w:rsid w:val="00421B4A"/>
    <w:rsid w:val="00425AD3"/>
    <w:rsid w:val="00451722"/>
    <w:rsid w:val="0047369E"/>
    <w:rsid w:val="004745A9"/>
    <w:rsid w:val="00483985"/>
    <w:rsid w:val="004A1011"/>
    <w:rsid w:val="00520528"/>
    <w:rsid w:val="00524EAF"/>
    <w:rsid w:val="00543935"/>
    <w:rsid w:val="005559F5"/>
    <w:rsid w:val="00560EFC"/>
    <w:rsid w:val="0057005C"/>
    <w:rsid w:val="00573C36"/>
    <w:rsid w:val="00584127"/>
    <w:rsid w:val="00594A6F"/>
    <w:rsid w:val="005C2DD6"/>
    <w:rsid w:val="005C31F5"/>
    <w:rsid w:val="005F0109"/>
    <w:rsid w:val="00690E39"/>
    <w:rsid w:val="006D564A"/>
    <w:rsid w:val="007502F6"/>
    <w:rsid w:val="00763267"/>
    <w:rsid w:val="00826BFB"/>
    <w:rsid w:val="008932CB"/>
    <w:rsid w:val="008D5148"/>
    <w:rsid w:val="00900DA4"/>
    <w:rsid w:val="00930B22"/>
    <w:rsid w:val="00951495"/>
    <w:rsid w:val="00A2639F"/>
    <w:rsid w:val="00B40B49"/>
    <w:rsid w:val="00B967ED"/>
    <w:rsid w:val="00BE16D9"/>
    <w:rsid w:val="00C300D9"/>
    <w:rsid w:val="00C8283F"/>
    <w:rsid w:val="00C863FD"/>
    <w:rsid w:val="00D215D5"/>
    <w:rsid w:val="00D624AD"/>
    <w:rsid w:val="00D7281D"/>
    <w:rsid w:val="00DD4E62"/>
    <w:rsid w:val="00E371FE"/>
    <w:rsid w:val="00EA35AF"/>
    <w:rsid w:val="00F71B03"/>
    <w:rsid w:val="00FB422F"/>
    <w:rsid w:val="00FF33B3"/>
    <w:rsid w:val="010A2254"/>
    <w:rsid w:val="010C18D5"/>
    <w:rsid w:val="01140103"/>
    <w:rsid w:val="01167B7A"/>
    <w:rsid w:val="0118377C"/>
    <w:rsid w:val="0120718C"/>
    <w:rsid w:val="012232FA"/>
    <w:rsid w:val="012F41BB"/>
    <w:rsid w:val="013A0BE5"/>
    <w:rsid w:val="013F23BA"/>
    <w:rsid w:val="014E1B45"/>
    <w:rsid w:val="01540344"/>
    <w:rsid w:val="01697E8A"/>
    <w:rsid w:val="01844CA7"/>
    <w:rsid w:val="01960185"/>
    <w:rsid w:val="019A189D"/>
    <w:rsid w:val="019A69EF"/>
    <w:rsid w:val="019B28D7"/>
    <w:rsid w:val="01A8454E"/>
    <w:rsid w:val="01A97657"/>
    <w:rsid w:val="01B03D70"/>
    <w:rsid w:val="01B43B4A"/>
    <w:rsid w:val="01B96F9F"/>
    <w:rsid w:val="01BF1813"/>
    <w:rsid w:val="01CA18BA"/>
    <w:rsid w:val="01CC0983"/>
    <w:rsid w:val="01D34352"/>
    <w:rsid w:val="01D457E9"/>
    <w:rsid w:val="01DC71E2"/>
    <w:rsid w:val="01E144C2"/>
    <w:rsid w:val="01E601C7"/>
    <w:rsid w:val="01ED5668"/>
    <w:rsid w:val="01F77C55"/>
    <w:rsid w:val="01F91C25"/>
    <w:rsid w:val="02072CE4"/>
    <w:rsid w:val="020C733A"/>
    <w:rsid w:val="021015C5"/>
    <w:rsid w:val="022004ED"/>
    <w:rsid w:val="02284349"/>
    <w:rsid w:val="022E305B"/>
    <w:rsid w:val="023563AE"/>
    <w:rsid w:val="023F5D61"/>
    <w:rsid w:val="02447A4D"/>
    <w:rsid w:val="0248370F"/>
    <w:rsid w:val="02483F18"/>
    <w:rsid w:val="024D22D5"/>
    <w:rsid w:val="025008B3"/>
    <w:rsid w:val="02551A9B"/>
    <w:rsid w:val="02554BD9"/>
    <w:rsid w:val="02565D34"/>
    <w:rsid w:val="0259720C"/>
    <w:rsid w:val="025A02CF"/>
    <w:rsid w:val="025D6D28"/>
    <w:rsid w:val="0262250F"/>
    <w:rsid w:val="026F6058"/>
    <w:rsid w:val="027E43BF"/>
    <w:rsid w:val="02826FB4"/>
    <w:rsid w:val="02840CB7"/>
    <w:rsid w:val="02854B55"/>
    <w:rsid w:val="028A277A"/>
    <w:rsid w:val="029C5B75"/>
    <w:rsid w:val="02AC0300"/>
    <w:rsid w:val="02B018E7"/>
    <w:rsid w:val="02B22508"/>
    <w:rsid w:val="02B41A8E"/>
    <w:rsid w:val="02BD2405"/>
    <w:rsid w:val="02BE1B4A"/>
    <w:rsid w:val="02C06CFD"/>
    <w:rsid w:val="02C37C16"/>
    <w:rsid w:val="02C75C67"/>
    <w:rsid w:val="02C8357E"/>
    <w:rsid w:val="02DC495A"/>
    <w:rsid w:val="02DF4F99"/>
    <w:rsid w:val="02E4115B"/>
    <w:rsid w:val="02E567E0"/>
    <w:rsid w:val="02E85AA2"/>
    <w:rsid w:val="02EF6A90"/>
    <w:rsid w:val="02F37632"/>
    <w:rsid w:val="03015E4C"/>
    <w:rsid w:val="030176FB"/>
    <w:rsid w:val="030D28BB"/>
    <w:rsid w:val="03147A74"/>
    <w:rsid w:val="031A161D"/>
    <w:rsid w:val="031C2201"/>
    <w:rsid w:val="031D2191"/>
    <w:rsid w:val="031E39C5"/>
    <w:rsid w:val="031E6D9D"/>
    <w:rsid w:val="031F6605"/>
    <w:rsid w:val="033552DE"/>
    <w:rsid w:val="033916A3"/>
    <w:rsid w:val="03430B30"/>
    <w:rsid w:val="034A669D"/>
    <w:rsid w:val="034B745F"/>
    <w:rsid w:val="035B398A"/>
    <w:rsid w:val="035B4715"/>
    <w:rsid w:val="03650883"/>
    <w:rsid w:val="03712A9B"/>
    <w:rsid w:val="03731FB8"/>
    <w:rsid w:val="03824187"/>
    <w:rsid w:val="038624D3"/>
    <w:rsid w:val="03897016"/>
    <w:rsid w:val="03A37F4D"/>
    <w:rsid w:val="03B80CB1"/>
    <w:rsid w:val="03BF64F6"/>
    <w:rsid w:val="03C04484"/>
    <w:rsid w:val="03CE6B75"/>
    <w:rsid w:val="03DA24DF"/>
    <w:rsid w:val="03F12E8E"/>
    <w:rsid w:val="03F375BB"/>
    <w:rsid w:val="04044AB4"/>
    <w:rsid w:val="04060BF8"/>
    <w:rsid w:val="040B7BEF"/>
    <w:rsid w:val="040D1222"/>
    <w:rsid w:val="040F12EC"/>
    <w:rsid w:val="040F51A7"/>
    <w:rsid w:val="0410508C"/>
    <w:rsid w:val="041B5906"/>
    <w:rsid w:val="0421326F"/>
    <w:rsid w:val="042676FE"/>
    <w:rsid w:val="042B4DE1"/>
    <w:rsid w:val="04391FF6"/>
    <w:rsid w:val="04395ED3"/>
    <w:rsid w:val="043A77B0"/>
    <w:rsid w:val="04482719"/>
    <w:rsid w:val="045107EA"/>
    <w:rsid w:val="04523F60"/>
    <w:rsid w:val="045E35A5"/>
    <w:rsid w:val="046017F3"/>
    <w:rsid w:val="04607239"/>
    <w:rsid w:val="04676971"/>
    <w:rsid w:val="046A06CE"/>
    <w:rsid w:val="046F22FE"/>
    <w:rsid w:val="047301DF"/>
    <w:rsid w:val="047A3D88"/>
    <w:rsid w:val="047A3E55"/>
    <w:rsid w:val="047D0096"/>
    <w:rsid w:val="049A60EA"/>
    <w:rsid w:val="04B57531"/>
    <w:rsid w:val="04B6412C"/>
    <w:rsid w:val="04C17F15"/>
    <w:rsid w:val="04CD7F69"/>
    <w:rsid w:val="04CE4F08"/>
    <w:rsid w:val="04D40369"/>
    <w:rsid w:val="04D95B3F"/>
    <w:rsid w:val="04DC61EB"/>
    <w:rsid w:val="04DC65D9"/>
    <w:rsid w:val="04DD1E83"/>
    <w:rsid w:val="04E14E88"/>
    <w:rsid w:val="04EF7C08"/>
    <w:rsid w:val="04FA1513"/>
    <w:rsid w:val="04FE47F0"/>
    <w:rsid w:val="0503617A"/>
    <w:rsid w:val="050824AF"/>
    <w:rsid w:val="050C1616"/>
    <w:rsid w:val="05112573"/>
    <w:rsid w:val="051D2E9A"/>
    <w:rsid w:val="05211983"/>
    <w:rsid w:val="0523749A"/>
    <w:rsid w:val="05270B9D"/>
    <w:rsid w:val="052D3058"/>
    <w:rsid w:val="05332CF6"/>
    <w:rsid w:val="053B0FDF"/>
    <w:rsid w:val="054403F1"/>
    <w:rsid w:val="054A47FB"/>
    <w:rsid w:val="05545DE9"/>
    <w:rsid w:val="056B6ED3"/>
    <w:rsid w:val="056E20D1"/>
    <w:rsid w:val="0573298C"/>
    <w:rsid w:val="05740EDC"/>
    <w:rsid w:val="05885C26"/>
    <w:rsid w:val="059C6D9C"/>
    <w:rsid w:val="059D0343"/>
    <w:rsid w:val="05A3256B"/>
    <w:rsid w:val="05A662E0"/>
    <w:rsid w:val="05A714A2"/>
    <w:rsid w:val="05C55C85"/>
    <w:rsid w:val="05CF088A"/>
    <w:rsid w:val="05E2404F"/>
    <w:rsid w:val="05E31E38"/>
    <w:rsid w:val="05E375FA"/>
    <w:rsid w:val="05F16CC4"/>
    <w:rsid w:val="05FB4B1F"/>
    <w:rsid w:val="05FD1169"/>
    <w:rsid w:val="05FF0751"/>
    <w:rsid w:val="061E6820"/>
    <w:rsid w:val="06213689"/>
    <w:rsid w:val="062179FE"/>
    <w:rsid w:val="06295C02"/>
    <w:rsid w:val="062F1618"/>
    <w:rsid w:val="063D0029"/>
    <w:rsid w:val="065421B6"/>
    <w:rsid w:val="0655785D"/>
    <w:rsid w:val="06671325"/>
    <w:rsid w:val="06680D11"/>
    <w:rsid w:val="067420D3"/>
    <w:rsid w:val="067C796B"/>
    <w:rsid w:val="067D5B47"/>
    <w:rsid w:val="0683585F"/>
    <w:rsid w:val="06887AB2"/>
    <w:rsid w:val="068A7548"/>
    <w:rsid w:val="068C2052"/>
    <w:rsid w:val="068C70FE"/>
    <w:rsid w:val="0693308B"/>
    <w:rsid w:val="069B00FA"/>
    <w:rsid w:val="069B4917"/>
    <w:rsid w:val="069C1D07"/>
    <w:rsid w:val="069D1015"/>
    <w:rsid w:val="069E7E8A"/>
    <w:rsid w:val="069F00AF"/>
    <w:rsid w:val="06A23CB9"/>
    <w:rsid w:val="06A43446"/>
    <w:rsid w:val="06A76D5D"/>
    <w:rsid w:val="06AA637C"/>
    <w:rsid w:val="06BA785D"/>
    <w:rsid w:val="06BB0FE0"/>
    <w:rsid w:val="06BE3E3B"/>
    <w:rsid w:val="06C266F5"/>
    <w:rsid w:val="06CA1E4B"/>
    <w:rsid w:val="06D45BC0"/>
    <w:rsid w:val="06E155C3"/>
    <w:rsid w:val="06EB416C"/>
    <w:rsid w:val="07005025"/>
    <w:rsid w:val="07080C17"/>
    <w:rsid w:val="070E2F1C"/>
    <w:rsid w:val="071111B1"/>
    <w:rsid w:val="07144D41"/>
    <w:rsid w:val="071904DF"/>
    <w:rsid w:val="071F6400"/>
    <w:rsid w:val="07214506"/>
    <w:rsid w:val="072B4CEA"/>
    <w:rsid w:val="073C4ECD"/>
    <w:rsid w:val="073E7E78"/>
    <w:rsid w:val="074258C5"/>
    <w:rsid w:val="074A3C7B"/>
    <w:rsid w:val="07564F5C"/>
    <w:rsid w:val="075A0505"/>
    <w:rsid w:val="075C5619"/>
    <w:rsid w:val="07616D2B"/>
    <w:rsid w:val="0772737D"/>
    <w:rsid w:val="077B1D7C"/>
    <w:rsid w:val="077B21E2"/>
    <w:rsid w:val="07813D16"/>
    <w:rsid w:val="07945005"/>
    <w:rsid w:val="07A544A7"/>
    <w:rsid w:val="07A65E6A"/>
    <w:rsid w:val="07AA4250"/>
    <w:rsid w:val="07B517CD"/>
    <w:rsid w:val="07BF3F76"/>
    <w:rsid w:val="07C12BBE"/>
    <w:rsid w:val="07CF290F"/>
    <w:rsid w:val="07DA3B8B"/>
    <w:rsid w:val="07DD75FC"/>
    <w:rsid w:val="07E001DA"/>
    <w:rsid w:val="07E23752"/>
    <w:rsid w:val="07E564B5"/>
    <w:rsid w:val="07F30C7C"/>
    <w:rsid w:val="07F41EFD"/>
    <w:rsid w:val="08057EAC"/>
    <w:rsid w:val="08175511"/>
    <w:rsid w:val="081813CD"/>
    <w:rsid w:val="081D232E"/>
    <w:rsid w:val="0842694A"/>
    <w:rsid w:val="08464A36"/>
    <w:rsid w:val="08475E19"/>
    <w:rsid w:val="084F3E8C"/>
    <w:rsid w:val="085C1F7F"/>
    <w:rsid w:val="085D2674"/>
    <w:rsid w:val="087673CB"/>
    <w:rsid w:val="08785295"/>
    <w:rsid w:val="087C5F0B"/>
    <w:rsid w:val="087D17E7"/>
    <w:rsid w:val="087E018D"/>
    <w:rsid w:val="0881452E"/>
    <w:rsid w:val="0884091E"/>
    <w:rsid w:val="0887311F"/>
    <w:rsid w:val="088E4BD1"/>
    <w:rsid w:val="089C484A"/>
    <w:rsid w:val="089E15E4"/>
    <w:rsid w:val="08B237CD"/>
    <w:rsid w:val="08B239C9"/>
    <w:rsid w:val="08C00A7A"/>
    <w:rsid w:val="08CD4FA9"/>
    <w:rsid w:val="08DB64A6"/>
    <w:rsid w:val="08DD24FA"/>
    <w:rsid w:val="08F060C8"/>
    <w:rsid w:val="08F8403A"/>
    <w:rsid w:val="090A5FFA"/>
    <w:rsid w:val="09121317"/>
    <w:rsid w:val="09126BE6"/>
    <w:rsid w:val="09145EEB"/>
    <w:rsid w:val="091857A3"/>
    <w:rsid w:val="091A1359"/>
    <w:rsid w:val="091D7DD6"/>
    <w:rsid w:val="0922079D"/>
    <w:rsid w:val="092263E9"/>
    <w:rsid w:val="092728A9"/>
    <w:rsid w:val="093D0074"/>
    <w:rsid w:val="093D4296"/>
    <w:rsid w:val="094F7951"/>
    <w:rsid w:val="095809A9"/>
    <w:rsid w:val="095B425B"/>
    <w:rsid w:val="09602859"/>
    <w:rsid w:val="09660CE2"/>
    <w:rsid w:val="096A4B81"/>
    <w:rsid w:val="0973329C"/>
    <w:rsid w:val="097F6DA9"/>
    <w:rsid w:val="098C3FDC"/>
    <w:rsid w:val="098F6AF0"/>
    <w:rsid w:val="09915166"/>
    <w:rsid w:val="09927E1C"/>
    <w:rsid w:val="099338FB"/>
    <w:rsid w:val="09950B2E"/>
    <w:rsid w:val="09960805"/>
    <w:rsid w:val="09A70F22"/>
    <w:rsid w:val="09B30B5F"/>
    <w:rsid w:val="09BA3EAC"/>
    <w:rsid w:val="09BC2408"/>
    <w:rsid w:val="09C37C99"/>
    <w:rsid w:val="09C44F87"/>
    <w:rsid w:val="09CC4D13"/>
    <w:rsid w:val="09D31389"/>
    <w:rsid w:val="09DD2AC9"/>
    <w:rsid w:val="09E11A93"/>
    <w:rsid w:val="09E35054"/>
    <w:rsid w:val="09E44192"/>
    <w:rsid w:val="0A0E74B2"/>
    <w:rsid w:val="0A167E78"/>
    <w:rsid w:val="0A204EB3"/>
    <w:rsid w:val="0A2103C7"/>
    <w:rsid w:val="0A272CC2"/>
    <w:rsid w:val="0A2949DB"/>
    <w:rsid w:val="0A294D01"/>
    <w:rsid w:val="0A2F3504"/>
    <w:rsid w:val="0A340E37"/>
    <w:rsid w:val="0A357322"/>
    <w:rsid w:val="0A39107E"/>
    <w:rsid w:val="0A3D2B89"/>
    <w:rsid w:val="0A474C91"/>
    <w:rsid w:val="0A4A04F3"/>
    <w:rsid w:val="0A4C559C"/>
    <w:rsid w:val="0A4C7B51"/>
    <w:rsid w:val="0A533313"/>
    <w:rsid w:val="0A564154"/>
    <w:rsid w:val="0A5A79C2"/>
    <w:rsid w:val="0A5F574D"/>
    <w:rsid w:val="0A6308BA"/>
    <w:rsid w:val="0A66355F"/>
    <w:rsid w:val="0A786C7E"/>
    <w:rsid w:val="0A7F4753"/>
    <w:rsid w:val="0A830922"/>
    <w:rsid w:val="0A8533FE"/>
    <w:rsid w:val="0A900A4B"/>
    <w:rsid w:val="0A915A5B"/>
    <w:rsid w:val="0A935F0E"/>
    <w:rsid w:val="0A9A77EE"/>
    <w:rsid w:val="0A9D29EF"/>
    <w:rsid w:val="0AA47952"/>
    <w:rsid w:val="0AA733F0"/>
    <w:rsid w:val="0AAD0E4F"/>
    <w:rsid w:val="0AAF3DE5"/>
    <w:rsid w:val="0AB22760"/>
    <w:rsid w:val="0AB51AC2"/>
    <w:rsid w:val="0ACC0F45"/>
    <w:rsid w:val="0ACD5AEB"/>
    <w:rsid w:val="0B0A7380"/>
    <w:rsid w:val="0B0D6FD1"/>
    <w:rsid w:val="0B191BE4"/>
    <w:rsid w:val="0B1A177B"/>
    <w:rsid w:val="0B2003B2"/>
    <w:rsid w:val="0B294EEF"/>
    <w:rsid w:val="0B3170BD"/>
    <w:rsid w:val="0B3C5370"/>
    <w:rsid w:val="0B3E03BE"/>
    <w:rsid w:val="0B42327B"/>
    <w:rsid w:val="0B4438F5"/>
    <w:rsid w:val="0B5B5D98"/>
    <w:rsid w:val="0B5F69F7"/>
    <w:rsid w:val="0B631525"/>
    <w:rsid w:val="0B633E0A"/>
    <w:rsid w:val="0B667F2A"/>
    <w:rsid w:val="0B6D6E4E"/>
    <w:rsid w:val="0B75729F"/>
    <w:rsid w:val="0B787CF8"/>
    <w:rsid w:val="0B895338"/>
    <w:rsid w:val="0B8C2DF1"/>
    <w:rsid w:val="0B912EE9"/>
    <w:rsid w:val="0B9A60C4"/>
    <w:rsid w:val="0B9E1BF7"/>
    <w:rsid w:val="0BA77322"/>
    <w:rsid w:val="0BC408EE"/>
    <w:rsid w:val="0BC70B9E"/>
    <w:rsid w:val="0BC7FCB2"/>
    <w:rsid w:val="0BCA3DA4"/>
    <w:rsid w:val="0BCE79E5"/>
    <w:rsid w:val="0BD233D6"/>
    <w:rsid w:val="0BD91E16"/>
    <w:rsid w:val="0BDB5CAB"/>
    <w:rsid w:val="0BDC3AF4"/>
    <w:rsid w:val="0BE01F08"/>
    <w:rsid w:val="0BE86673"/>
    <w:rsid w:val="0BE924E3"/>
    <w:rsid w:val="0BED6D06"/>
    <w:rsid w:val="0BF06577"/>
    <w:rsid w:val="0BF8550C"/>
    <w:rsid w:val="0BF94000"/>
    <w:rsid w:val="0C0233C1"/>
    <w:rsid w:val="0C073915"/>
    <w:rsid w:val="0C0F3CFA"/>
    <w:rsid w:val="0C182878"/>
    <w:rsid w:val="0C1C4E96"/>
    <w:rsid w:val="0C1F6438"/>
    <w:rsid w:val="0C2545F8"/>
    <w:rsid w:val="0C301AE2"/>
    <w:rsid w:val="0C30651A"/>
    <w:rsid w:val="0C3C3C22"/>
    <w:rsid w:val="0C413240"/>
    <w:rsid w:val="0C4159AE"/>
    <w:rsid w:val="0C4F0439"/>
    <w:rsid w:val="0C4F4ACC"/>
    <w:rsid w:val="0C525EE0"/>
    <w:rsid w:val="0C57489A"/>
    <w:rsid w:val="0C6429E3"/>
    <w:rsid w:val="0C6736E7"/>
    <w:rsid w:val="0C70708A"/>
    <w:rsid w:val="0C81774A"/>
    <w:rsid w:val="0C8E794D"/>
    <w:rsid w:val="0C923568"/>
    <w:rsid w:val="0C94664A"/>
    <w:rsid w:val="0C9B3CF5"/>
    <w:rsid w:val="0C9C18A3"/>
    <w:rsid w:val="0C9D63F0"/>
    <w:rsid w:val="0CA73F9C"/>
    <w:rsid w:val="0CAF1103"/>
    <w:rsid w:val="0CB16E94"/>
    <w:rsid w:val="0CB31E16"/>
    <w:rsid w:val="0CB65A91"/>
    <w:rsid w:val="0CB80C31"/>
    <w:rsid w:val="0CBD16F5"/>
    <w:rsid w:val="0CC15693"/>
    <w:rsid w:val="0CC76782"/>
    <w:rsid w:val="0CC83092"/>
    <w:rsid w:val="0CC921FF"/>
    <w:rsid w:val="0CCC6A6B"/>
    <w:rsid w:val="0CDD4EA3"/>
    <w:rsid w:val="0CDF6D10"/>
    <w:rsid w:val="0CEB4075"/>
    <w:rsid w:val="0CEF0B9E"/>
    <w:rsid w:val="0D09227D"/>
    <w:rsid w:val="0D0A3D18"/>
    <w:rsid w:val="0D0C018D"/>
    <w:rsid w:val="0D176772"/>
    <w:rsid w:val="0D1B0366"/>
    <w:rsid w:val="0D23109A"/>
    <w:rsid w:val="0D2A2A9A"/>
    <w:rsid w:val="0D2A5BE5"/>
    <w:rsid w:val="0D3120F0"/>
    <w:rsid w:val="0D372A31"/>
    <w:rsid w:val="0D395F40"/>
    <w:rsid w:val="0D397861"/>
    <w:rsid w:val="0D4C19F1"/>
    <w:rsid w:val="0D4E5E1E"/>
    <w:rsid w:val="0D550CC9"/>
    <w:rsid w:val="0D557038"/>
    <w:rsid w:val="0D5613DE"/>
    <w:rsid w:val="0D5D464E"/>
    <w:rsid w:val="0D615A09"/>
    <w:rsid w:val="0D726A0F"/>
    <w:rsid w:val="0D74780E"/>
    <w:rsid w:val="0D7A2809"/>
    <w:rsid w:val="0D812C15"/>
    <w:rsid w:val="0D84489A"/>
    <w:rsid w:val="0D867254"/>
    <w:rsid w:val="0D87471F"/>
    <w:rsid w:val="0D8A134C"/>
    <w:rsid w:val="0D8C421C"/>
    <w:rsid w:val="0D8D0083"/>
    <w:rsid w:val="0D930889"/>
    <w:rsid w:val="0D9C4861"/>
    <w:rsid w:val="0D9D516D"/>
    <w:rsid w:val="0DA076F7"/>
    <w:rsid w:val="0DA34BB3"/>
    <w:rsid w:val="0DB32C1A"/>
    <w:rsid w:val="0DB51B72"/>
    <w:rsid w:val="0DB739E4"/>
    <w:rsid w:val="0DBA6B95"/>
    <w:rsid w:val="0DD50A34"/>
    <w:rsid w:val="0DDB1BB6"/>
    <w:rsid w:val="0DE267C1"/>
    <w:rsid w:val="0DE34EAC"/>
    <w:rsid w:val="0DE854DE"/>
    <w:rsid w:val="0DEA71A2"/>
    <w:rsid w:val="0DEE537E"/>
    <w:rsid w:val="0DF328F1"/>
    <w:rsid w:val="0DF9001B"/>
    <w:rsid w:val="0DF92D72"/>
    <w:rsid w:val="0E060404"/>
    <w:rsid w:val="0E0F6E63"/>
    <w:rsid w:val="0E1806D2"/>
    <w:rsid w:val="0E1D59FC"/>
    <w:rsid w:val="0E2311FE"/>
    <w:rsid w:val="0E293454"/>
    <w:rsid w:val="0E2D30B3"/>
    <w:rsid w:val="0E405BE6"/>
    <w:rsid w:val="0E495D09"/>
    <w:rsid w:val="0E4D122A"/>
    <w:rsid w:val="0E5745ED"/>
    <w:rsid w:val="0E5B0469"/>
    <w:rsid w:val="0E6E0402"/>
    <w:rsid w:val="0E703D39"/>
    <w:rsid w:val="0E7F2BF6"/>
    <w:rsid w:val="0E84640C"/>
    <w:rsid w:val="0E8A6889"/>
    <w:rsid w:val="0E9009CE"/>
    <w:rsid w:val="0E920962"/>
    <w:rsid w:val="0E9410AE"/>
    <w:rsid w:val="0E965576"/>
    <w:rsid w:val="0E9B2C38"/>
    <w:rsid w:val="0E9D1334"/>
    <w:rsid w:val="0E9D330B"/>
    <w:rsid w:val="0E9F4015"/>
    <w:rsid w:val="0EA1749D"/>
    <w:rsid w:val="0EA93035"/>
    <w:rsid w:val="0EC1171F"/>
    <w:rsid w:val="0EC12A01"/>
    <w:rsid w:val="0EC214FA"/>
    <w:rsid w:val="0EC55524"/>
    <w:rsid w:val="0ECA4734"/>
    <w:rsid w:val="0ED1646E"/>
    <w:rsid w:val="0ED25AD0"/>
    <w:rsid w:val="0EDC25FF"/>
    <w:rsid w:val="0EE26606"/>
    <w:rsid w:val="0EF007A1"/>
    <w:rsid w:val="0EF80274"/>
    <w:rsid w:val="0F1435B4"/>
    <w:rsid w:val="0F175298"/>
    <w:rsid w:val="0F1D32DA"/>
    <w:rsid w:val="0F234A19"/>
    <w:rsid w:val="0F3005FA"/>
    <w:rsid w:val="0F323961"/>
    <w:rsid w:val="0F333438"/>
    <w:rsid w:val="0F38735A"/>
    <w:rsid w:val="0F3C6338"/>
    <w:rsid w:val="0F442D0F"/>
    <w:rsid w:val="0F4B77FE"/>
    <w:rsid w:val="0F512269"/>
    <w:rsid w:val="0F550905"/>
    <w:rsid w:val="0F555E92"/>
    <w:rsid w:val="0F585D46"/>
    <w:rsid w:val="0F595897"/>
    <w:rsid w:val="0F6012D9"/>
    <w:rsid w:val="0F615C73"/>
    <w:rsid w:val="0F632C4E"/>
    <w:rsid w:val="0F681DDC"/>
    <w:rsid w:val="0F6D3AF0"/>
    <w:rsid w:val="0F7121C6"/>
    <w:rsid w:val="0F7361EC"/>
    <w:rsid w:val="0F9007DC"/>
    <w:rsid w:val="0F961162"/>
    <w:rsid w:val="0FA357EB"/>
    <w:rsid w:val="0FA4165A"/>
    <w:rsid w:val="0FA62874"/>
    <w:rsid w:val="0FAB4DC9"/>
    <w:rsid w:val="0FB4221B"/>
    <w:rsid w:val="0FB44DC7"/>
    <w:rsid w:val="0FB82382"/>
    <w:rsid w:val="0FBF3958"/>
    <w:rsid w:val="0FC525C7"/>
    <w:rsid w:val="0FCD36C3"/>
    <w:rsid w:val="0FDC2050"/>
    <w:rsid w:val="0FE021E6"/>
    <w:rsid w:val="0FE15EB9"/>
    <w:rsid w:val="1026259A"/>
    <w:rsid w:val="102C55BC"/>
    <w:rsid w:val="10321056"/>
    <w:rsid w:val="103967EE"/>
    <w:rsid w:val="10556CA7"/>
    <w:rsid w:val="105A184F"/>
    <w:rsid w:val="106008D8"/>
    <w:rsid w:val="106E1AC7"/>
    <w:rsid w:val="10747D52"/>
    <w:rsid w:val="107E7F6A"/>
    <w:rsid w:val="108064D5"/>
    <w:rsid w:val="10884A84"/>
    <w:rsid w:val="108873E0"/>
    <w:rsid w:val="108902A3"/>
    <w:rsid w:val="109042C2"/>
    <w:rsid w:val="109F7438"/>
    <w:rsid w:val="10A02655"/>
    <w:rsid w:val="10B76AD9"/>
    <w:rsid w:val="10C41A10"/>
    <w:rsid w:val="10C60551"/>
    <w:rsid w:val="10CA3278"/>
    <w:rsid w:val="10CE3A67"/>
    <w:rsid w:val="10D33ABF"/>
    <w:rsid w:val="10D97592"/>
    <w:rsid w:val="10DD2F45"/>
    <w:rsid w:val="10DF260F"/>
    <w:rsid w:val="10DF4033"/>
    <w:rsid w:val="10E72980"/>
    <w:rsid w:val="10E74501"/>
    <w:rsid w:val="10ED6F91"/>
    <w:rsid w:val="10EF23D2"/>
    <w:rsid w:val="10F224D6"/>
    <w:rsid w:val="10F236A8"/>
    <w:rsid w:val="10FD7C16"/>
    <w:rsid w:val="110E0BB9"/>
    <w:rsid w:val="110F2602"/>
    <w:rsid w:val="11183A1D"/>
    <w:rsid w:val="111B0174"/>
    <w:rsid w:val="112174BE"/>
    <w:rsid w:val="11277D41"/>
    <w:rsid w:val="1129322D"/>
    <w:rsid w:val="112E0976"/>
    <w:rsid w:val="112E3C8E"/>
    <w:rsid w:val="11316992"/>
    <w:rsid w:val="113A6499"/>
    <w:rsid w:val="113E61EF"/>
    <w:rsid w:val="114C212D"/>
    <w:rsid w:val="114D3A71"/>
    <w:rsid w:val="115625B0"/>
    <w:rsid w:val="11586D32"/>
    <w:rsid w:val="11592FD4"/>
    <w:rsid w:val="116439D5"/>
    <w:rsid w:val="11661DBC"/>
    <w:rsid w:val="11663C94"/>
    <w:rsid w:val="11677715"/>
    <w:rsid w:val="11681511"/>
    <w:rsid w:val="11683E4E"/>
    <w:rsid w:val="116B1985"/>
    <w:rsid w:val="11701801"/>
    <w:rsid w:val="117162B6"/>
    <w:rsid w:val="11735F58"/>
    <w:rsid w:val="11794114"/>
    <w:rsid w:val="117A68BB"/>
    <w:rsid w:val="118838CB"/>
    <w:rsid w:val="118B7B65"/>
    <w:rsid w:val="118C4E29"/>
    <w:rsid w:val="118D39F4"/>
    <w:rsid w:val="11913DD3"/>
    <w:rsid w:val="119C5536"/>
    <w:rsid w:val="11C74DAE"/>
    <w:rsid w:val="11C84484"/>
    <w:rsid w:val="11CE7A8C"/>
    <w:rsid w:val="11CF1D9A"/>
    <w:rsid w:val="11D260F4"/>
    <w:rsid w:val="11DE5C04"/>
    <w:rsid w:val="11E50C5A"/>
    <w:rsid w:val="11E50DB5"/>
    <w:rsid w:val="11E70034"/>
    <w:rsid w:val="11E93033"/>
    <w:rsid w:val="11EA27B5"/>
    <w:rsid w:val="11ED1F30"/>
    <w:rsid w:val="11F41E2A"/>
    <w:rsid w:val="11F54C23"/>
    <w:rsid w:val="11FF2109"/>
    <w:rsid w:val="12037F92"/>
    <w:rsid w:val="120F0FE9"/>
    <w:rsid w:val="12122BD5"/>
    <w:rsid w:val="121344D9"/>
    <w:rsid w:val="12157D1B"/>
    <w:rsid w:val="12170A3F"/>
    <w:rsid w:val="12291E93"/>
    <w:rsid w:val="124A1623"/>
    <w:rsid w:val="124D5C91"/>
    <w:rsid w:val="12562E14"/>
    <w:rsid w:val="1264631D"/>
    <w:rsid w:val="12667EC4"/>
    <w:rsid w:val="126E1C72"/>
    <w:rsid w:val="127178B6"/>
    <w:rsid w:val="12751BD5"/>
    <w:rsid w:val="1275535D"/>
    <w:rsid w:val="12772CDF"/>
    <w:rsid w:val="127C7473"/>
    <w:rsid w:val="12866483"/>
    <w:rsid w:val="128E53C9"/>
    <w:rsid w:val="12A2524E"/>
    <w:rsid w:val="12AD62F9"/>
    <w:rsid w:val="12AF0761"/>
    <w:rsid w:val="12B732F3"/>
    <w:rsid w:val="12BD2E97"/>
    <w:rsid w:val="12C32367"/>
    <w:rsid w:val="12D67249"/>
    <w:rsid w:val="12DA2800"/>
    <w:rsid w:val="12DC1821"/>
    <w:rsid w:val="12E96CE7"/>
    <w:rsid w:val="12EA314F"/>
    <w:rsid w:val="12FA68E8"/>
    <w:rsid w:val="12FD212E"/>
    <w:rsid w:val="12FE12F1"/>
    <w:rsid w:val="130120A1"/>
    <w:rsid w:val="13081AC4"/>
    <w:rsid w:val="130E1547"/>
    <w:rsid w:val="132033B9"/>
    <w:rsid w:val="13235051"/>
    <w:rsid w:val="13260C2E"/>
    <w:rsid w:val="132963DB"/>
    <w:rsid w:val="13352D36"/>
    <w:rsid w:val="133A38D2"/>
    <w:rsid w:val="133E730E"/>
    <w:rsid w:val="1341445E"/>
    <w:rsid w:val="1348216F"/>
    <w:rsid w:val="135109B2"/>
    <w:rsid w:val="135260FE"/>
    <w:rsid w:val="13591D1A"/>
    <w:rsid w:val="136F5C82"/>
    <w:rsid w:val="137009CC"/>
    <w:rsid w:val="137711F1"/>
    <w:rsid w:val="138207DA"/>
    <w:rsid w:val="1386146A"/>
    <w:rsid w:val="1386589D"/>
    <w:rsid w:val="13890642"/>
    <w:rsid w:val="139178F5"/>
    <w:rsid w:val="139679D5"/>
    <w:rsid w:val="139870F0"/>
    <w:rsid w:val="13995790"/>
    <w:rsid w:val="139C3CAD"/>
    <w:rsid w:val="139E76AD"/>
    <w:rsid w:val="13A1752F"/>
    <w:rsid w:val="13A27215"/>
    <w:rsid w:val="13A324B3"/>
    <w:rsid w:val="13AB1135"/>
    <w:rsid w:val="13B2701C"/>
    <w:rsid w:val="13BD7823"/>
    <w:rsid w:val="13C20FA8"/>
    <w:rsid w:val="13C41892"/>
    <w:rsid w:val="13C67642"/>
    <w:rsid w:val="13D25C38"/>
    <w:rsid w:val="13D30509"/>
    <w:rsid w:val="13D947FA"/>
    <w:rsid w:val="13DA659D"/>
    <w:rsid w:val="13DD6B11"/>
    <w:rsid w:val="13E139D0"/>
    <w:rsid w:val="13E71EE4"/>
    <w:rsid w:val="14051431"/>
    <w:rsid w:val="14055BC3"/>
    <w:rsid w:val="14061EEE"/>
    <w:rsid w:val="14066054"/>
    <w:rsid w:val="140A3A6C"/>
    <w:rsid w:val="14112AF8"/>
    <w:rsid w:val="1413144A"/>
    <w:rsid w:val="141319B5"/>
    <w:rsid w:val="14146BC3"/>
    <w:rsid w:val="14223119"/>
    <w:rsid w:val="14436108"/>
    <w:rsid w:val="14467562"/>
    <w:rsid w:val="144A7183"/>
    <w:rsid w:val="14502F2E"/>
    <w:rsid w:val="145318DE"/>
    <w:rsid w:val="14531AFF"/>
    <w:rsid w:val="1460392C"/>
    <w:rsid w:val="1462012F"/>
    <w:rsid w:val="146B00AA"/>
    <w:rsid w:val="147968B9"/>
    <w:rsid w:val="14833235"/>
    <w:rsid w:val="14862AAE"/>
    <w:rsid w:val="148D3B44"/>
    <w:rsid w:val="14964EE1"/>
    <w:rsid w:val="149803F0"/>
    <w:rsid w:val="14982E17"/>
    <w:rsid w:val="149D2B99"/>
    <w:rsid w:val="149E79A9"/>
    <w:rsid w:val="14B7360B"/>
    <w:rsid w:val="14B81BD0"/>
    <w:rsid w:val="14BD18B7"/>
    <w:rsid w:val="14E337E6"/>
    <w:rsid w:val="14EA51DD"/>
    <w:rsid w:val="14FB04DF"/>
    <w:rsid w:val="1501303D"/>
    <w:rsid w:val="15100809"/>
    <w:rsid w:val="151A16EE"/>
    <w:rsid w:val="151E4064"/>
    <w:rsid w:val="15241709"/>
    <w:rsid w:val="15345747"/>
    <w:rsid w:val="15473F62"/>
    <w:rsid w:val="15523846"/>
    <w:rsid w:val="15564FF1"/>
    <w:rsid w:val="15592BC2"/>
    <w:rsid w:val="156173A0"/>
    <w:rsid w:val="15674052"/>
    <w:rsid w:val="15694233"/>
    <w:rsid w:val="1589176A"/>
    <w:rsid w:val="158D6F6A"/>
    <w:rsid w:val="159924A4"/>
    <w:rsid w:val="15AF35F9"/>
    <w:rsid w:val="15B51C5D"/>
    <w:rsid w:val="15BC1BDC"/>
    <w:rsid w:val="15C2001E"/>
    <w:rsid w:val="15C4307F"/>
    <w:rsid w:val="15D70BF6"/>
    <w:rsid w:val="15DD56EF"/>
    <w:rsid w:val="15E12401"/>
    <w:rsid w:val="15E36A57"/>
    <w:rsid w:val="15E40896"/>
    <w:rsid w:val="15E712A4"/>
    <w:rsid w:val="15F16483"/>
    <w:rsid w:val="15F205A7"/>
    <w:rsid w:val="15FE1D40"/>
    <w:rsid w:val="16001497"/>
    <w:rsid w:val="16052C75"/>
    <w:rsid w:val="16062177"/>
    <w:rsid w:val="160748E6"/>
    <w:rsid w:val="160D0C38"/>
    <w:rsid w:val="161F132D"/>
    <w:rsid w:val="16205E69"/>
    <w:rsid w:val="1624739B"/>
    <w:rsid w:val="16264C6F"/>
    <w:rsid w:val="16286C0B"/>
    <w:rsid w:val="16316967"/>
    <w:rsid w:val="16347B2D"/>
    <w:rsid w:val="163F0F8C"/>
    <w:rsid w:val="164C7FC8"/>
    <w:rsid w:val="164D28B3"/>
    <w:rsid w:val="16553216"/>
    <w:rsid w:val="165856A9"/>
    <w:rsid w:val="165932C2"/>
    <w:rsid w:val="165A5C89"/>
    <w:rsid w:val="165B6887"/>
    <w:rsid w:val="1660661D"/>
    <w:rsid w:val="16645F6C"/>
    <w:rsid w:val="166C5098"/>
    <w:rsid w:val="168A19E6"/>
    <w:rsid w:val="16907467"/>
    <w:rsid w:val="1693398D"/>
    <w:rsid w:val="169A762E"/>
    <w:rsid w:val="169F410E"/>
    <w:rsid w:val="16A87573"/>
    <w:rsid w:val="16AC2D10"/>
    <w:rsid w:val="16AF6163"/>
    <w:rsid w:val="16B4014B"/>
    <w:rsid w:val="16B55D62"/>
    <w:rsid w:val="16B82D81"/>
    <w:rsid w:val="16B8689C"/>
    <w:rsid w:val="16BB2313"/>
    <w:rsid w:val="16C421C5"/>
    <w:rsid w:val="16CF4F50"/>
    <w:rsid w:val="16D272CE"/>
    <w:rsid w:val="16D762CB"/>
    <w:rsid w:val="16DD045F"/>
    <w:rsid w:val="16DE7489"/>
    <w:rsid w:val="16E12F1A"/>
    <w:rsid w:val="16E221B6"/>
    <w:rsid w:val="16E8279B"/>
    <w:rsid w:val="16F86E72"/>
    <w:rsid w:val="16FA064E"/>
    <w:rsid w:val="16FA7119"/>
    <w:rsid w:val="16FD02FC"/>
    <w:rsid w:val="1700205E"/>
    <w:rsid w:val="170B1B7B"/>
    <w:rsid w:val="172C261D"/>
    <w:rsid w:val="17337171"/>
    <w:rsid w:val="173F6DBB"/>
    <w:rsid w:val="1744291A"/>
    <w:rsid w:val="175268E9"/>
    <w:rsid w:val="17555904"/>
    <w:rsid w:val="1759350E"/>
    <w:rsid w:val="17612369"/>
    <w:rsid w:val="176B4D73"/>
    <w:rsid w:val="176C2BBF"/>
    <w:rsid w:val="177129E2"/>
    <w:rsid w:val="17723240"/>
    <w:rsid w:val="17761DD9"/>
    <w:rsid w:val="177E356E"/>
    <w:rsid w:val="177F2F78"/>
    <w:rsid w:val="1780739A"/>
    <w:rsid w:val="178F748A"/>
    <w:rsid w:val="17905CAF"/>
    <w:rsid w:val="17912E78"/>
    <w:rsid w:val="17A468F3"/>
    <w:rsid w:val="17A52DEC"/>
    <w:rsid w:val="17A746A1"/>
    <w:rsid w:val="17B0312A"/>
    <w:rsid w:val="17B15A12"/>
    <w:rsid w:val="17C01FAA"/>
    <w:rsid w:val="17C81556"/>
    <w:rsid w:val="17CD11FE"/>
    <w:rsid w:val="17CD433F"/>
    <w:rsid w:val="17D05CA0"/>
    <w:rsid w:val="17D812F3"/>
    <w:rsid w:val="17DA30A0"/>
    <w:rsid w:val="17DB219E"/>
    <w:rsid w:val="17DB2556"/>
    <w:rsid w:val="17E17351"/>
    <w:rsid w:val="17E17D58"/>
    <w:rsid w:val="17EB2D24"/>
    <w:rsid w:val="18062DF3"/>
    <w:rsid w:val="180D1FB0"/>
    <w:rsid w:val="18110049"/>
    <w:rsid w:val="18127AF1"/>
    <w:rsid w:val="182608ED"/>
    <w:rsid w:val="1838405F"/>
    <w:rsid w:val="183D098E"/>
    <w:rsid w:val="18422604"/>
    <w:rsid w:val="184807C1"/>
    <w:rsid w:val="184E1C76"/>
    <w:rsid w:val="184E6400"/>
    <w:rsid w:val="18576A0B"/>
    <w:rsid w:val="18585AEA"/>
    <w:rsid w:val="185B71B2"/>
    <w:rsid w:val="185C42B7"/>
    <w:rsid w:val="18610B31"/>
    <w:rsid w:val="186275E9"/>
    <w:rsid w:val="18712491"/>
    <w:rsid w:val="18787ED2"/>
    <w:rsid w:val="187C13A7"/>
    <w:rsid w:val="188C1E56"/>
    <w:rsid w:val="18906C90"/>
    <w:rsid w:val="189945B2"/>
    <w:rsid w:val="18A17662"/>
    <w:rsid w:val="18B321B8"/>
    <w:rsid w:val="18B57C20"/>
    <w:rsid w:val="18BF2C3C"/>
    <w:rsid w:val="18D054A6"/>
    <w:rsid w:val="18DD6820"/>
    <w:rsid w:val="18EC6B78"/>
    <w:rsid w:val="18FC2E12"/>
    <w:rsid w:val="19005413"/>
    <w:rsid w:val="19007315"/>
    <w:rsid w:val="19056047"/>
    <w:rsid w:val="190722EF"/>
    <w:rsid w:val="1907589E"/>
    <w:rsid w:val="19144E32"/>
    <w:rsid w:val="19246C19"/>
    <w:rsid w:val="19266AFC"/>
    <w:rsid w:val="192B2D51"/>
    <w:rsid w:val="19303F05"/>
    <w:rsid w:val="19312A60"/>
    <w:rsid w:val="193325AB"/>
    <w:rsid w:val="19337BBA"/>
    <w:rsid w:val="193D3933"/>
    <w:rsid w:val="1940451D"/>
    <w:rsid w:val="194724D4"/>
    <w:rsid w:val="19495E5D"/>
    <w:rsid w:val="194C1B24"/>
    <w:rsid w:val="194C215A"/>
    <w:rsid w:val="194D0B16"/>
    <w:rsid w:val="19516191"/>
    <w:rsid w:val="195A1C23"/>
    <w:rsid w:val="19606FE8"/>
    <w:rsid w:val="19613F9C"/>
    <w:rsid w:val="19616046"/>
    <w:rsid w:val="196359CC"/>
    <w:rsid w:val="196C5DBA"/>
    <w:rsid w:val="196F74CB"/>
    <w:rsid w:val="1986670C"/>
    <w:rsid w:val="198C5A90"/>
    <w:rsid w:val="198C717A"/>
    <w:rsid w:val="198D5D30"/>
    <w:rsid w:val="199146B3"/>
    <w:rsid w:val="19991092"/>
    <w:rsid w:val="199E3864"/>
    <w:rsid w:val="19A727A6"/>
    <w:rsid w:val="19A91B97"/>
    <w:rsid w:val="19AC44F0"/>
    <w:rsid w:val="19B6063F"/>
    <w:rsid w:val="19BD2F68"/>
    <w:rsid w:val="19BF00BC"/>
    <w:rsid w:val="19C15960"/>
    <w:rsid w:val="19C239FD"/>
    <w:rsid w:val="19CE4618"/>
    <w:rsid w:val="19D14B25"/>
    <w:rsid w:val="19D33E27"/>
    <w:rsid w:val="19E03E8E"/>
    <w:rsid w:val="19EB584A"/>
    <w:rsid w:val="19ED7A63"/>
    <w:rsid w:val="19F01938"/>
    <w:rsid w:val="19F778E8"/>
    <w:rsid w:val="19F970F5"/>
    <w:rsid w:val="19FE15D4"/>
    <w:rsid w:val="1A062BE3"/>
    <w:rsid w:val="1A1924AF"/>
    <w:rsid w:val="1A2348DF"/>
    <w:rsid w:val="1A353CD4"/>
    <w:rsid w:val="1A433D0E"/>
    <w:rsid w:val="1A4A2B51"/>
    <w:rsid w:val="1A4F7576"/>
    <w:rsid w:val="1A532131"/>
    <w:rsid w:val="1A594467"/>
    <w:rsid w:val="1A5B7EAE"/>
    <w:rsid w:val="1A6D2779"/>
    <w:rsid w:val="1A7C6B5C"/>
    <w:rsid w:val="1A8A5931"/>
    <w:rsid w:val="1A970280"/>
    <w:rsid w:val="1AA16E00"/>
    <w:rsid w:val="1AB07C35"/>
    <w:rsid w:val="1AC62B88"/>
    <w:rsid w:val="1ADC18EB"/>
    <w:rsid w:val="1AF146AA"/>
    <w:rsid w:val="1AF54C39"/>
    <w:rsid w:val="1AFC1F8C"/>
    <w:rsid w:val="1B1C2F37"/>
    <w:rsid w:val="1B1E7EF8"/>
    <w:rsid w:val="1B2A17D9"/>
    <w:rsid w:val="1B2F5B0B"/>
    <w:rsid w:val="1B307D27"/>
    <w:rsid w:val="1B420B27"/>
    <w:rsid w:val="1B422537"/>
    <w:rsid w:val="1B4560D5"/>
    <w:rsid w:val="1B460DB2"/>
    <w:rsid w:val="1B463512"/>
    <w:rsid w:val="1B5F36DD"/>
    <w:rsid w:val="1B630EF5"/>
    <w:rsid w:val="1B6335EA"/>
    <w:rsid w:val="1B670BF6"/>
    <w:rsid w:val="1B704ED2"/>
    <w:rsid w:val="1B78795C"/>
    <w:rsid w:val="1B8E4108"/>
    <w:rsid w:val="1B9F41A6"/>
    <w:rsid w:val="1BA349B2"/>
    <w:rsid w:val="1BA64591"/>
    <w:rsid w:val="1BA73AD0"/>
    <w:rsid w:val="1BAB6E09"/>
    <w:rsid w:val="1BAD5292"/>
    <w:rsid w:val="1BB10746"/>
    <w:rsid w:val="1BBC6A13"/>
    <w:rsid w:val="1BDB2E11"/>
    <w:rsid w:val="1BF062F5"/>
    <w:rsid w:val="1BF32E24"/>
    <w:rsid w:val="1BFF660F"/>
    <w:rsid w:val="1C072E71"/>
    <w:rsid w:val="1C075B1E"/>
    <w:rsid w:val="1C0F2C3C"/>
    <w:rsid w:val="1C106A77"/>
    <w:rsid w:val="1C1E063A"/>
    <w:rsid w:val="1C21383E"/>
    <w:rsid w:val="1C27387F"/>
    <w:rsid w:val="1C36365C"/>
    <w:rsid w:val="1C3E7FE6"/>
    <w:rsid w:val="1C3F7C03"/>
    <w:rsid w:val="1C471719"/>
    <w:rsid w:val="1C580C20"/>
    <w:rsid w:val="1C634095"/>
    <w:rsid w:val="1C64070B"/>
    <w:rsid w:val="1C6A2968"/>
    <w:rsid w:val="1C7165E3"/>
    <w:rsid w:val="1C733BA9"/>
    <w:rsid w:val="1C7809BB"/>
    <w:rsid w:val="1C7A57A4"/>
    <w:rsid w:val="1C830F3B"/>
    <w:rsid w:val="1C850953"/>
    <w:rsid w:val="1C881810"/>
    <w:rsid w:val="1C8C15DD"/>
    <w:rsid w:val="1C901861"/>
    <w:rsid w:val="1C9C4810"/>
    <w:rsid w:val="1C9D5497"/>
    <w:rsid w:val="1CAB5FA1"/>
    <w:rsid w:val="1CAD47FB"/>
    <w:rsid w:val="1CAF13DD"/>
    <w:rsid w:val="1CAF37C5"/>
    <w:rsid w:val="1CB13DDC"/>
    <w:rsid w:val="1CB82E95"/>
    <w:rsid w:val="1CC446BC"/>
    <w:rsid w:val="1CCA255C"/>
    <w:rsid w:val="1CD03E78"/>
    <w:rsid w:val="1CD71EDB"/>
    <w:rsid w:val="1CE33AE2"/>
    <w:rsid w:val="1CE75528"/>
    <w:rsid w:val="1CE8368D"/>
    <w:rsid w:val="1CF97C93"/>
    <w:rsid w:val="1CFB5DA9"/>
    <w:rsid w:val="1D045F28"/>
    <w:rsid w:val="1D0D5D44"/>
    <w:rsid w:val="1D0E62AB"/>
    <w:rsid w:val="1D265FA9"/>
    <w:rsid w:val="1D2A50DD"/>
    <w:rsid w:val="1D2D3649"/>
    <w:rsid w:val="1D31369B"/>
    <w:rsid w:val="1D33410F"/>
    <w:rsid w:val="1D3D1FDC"/>
    <w:rsid w:val="1D40021F"/>
    <w:rsid w:val="1D443F13"/>
    <w:rsid w:val="1D444093"/>
    <w:rsid w:val="1D445711"/>
    <w:rsid w:val="1D4A1EBE"/>
    <w:rsid w:val="1D4B19DB"/>
    <w:rsid w:val="1D5023BE"/>
    <w:rsid w:val="1D547B12"/>
    <w:rsid w:val="1D5C540A"/>
    <w:rsid w:val="1D6C6151"/>
    <w:rsid w:val="1D6E33B3"/>
    <w:rsid w:val="1D786856"/>
    <w:rsid w:val="1D7D5155"/>
    <w:rsid w:val="1D834BBB"/>
    <w:rsid w:val="1D8420AC"/>
    <w:rsid w:val="1D842180"/>
    <w:rsid w:val="1D844277"/>
    <w:rsid w:val="1D867803"/>
    <w:rsid w:val="1D87415C"/>
    <w:rsid w:val="1D8A2698"/>
    <w:rsid w:val="1D8A2C11"/>
    <w:rsid w:val="1D8B7B8E"/>
    <w:rsid w:val="1D92466A"/>
    <w:rsid w:val="1D943C6C"/>
    <w:rsid w:val="1D9D1257"/>
    <w:rsid w:val="1DA5740A"/>
    <w:rsid w:val="1DA93CDE"/>
    <w:rsid w:val="1DAA20A5"/>
    <w:rsid w:val="1DB460A6"/>
    <w:rsid w:val="1DC66746"/>
    <w:rsid w:val="1DC976A9"/>
    <w:rsid w:val="1DD87E70"/>
    <w:rsid w:val="1DDD1902"/>
    <w:rsid w:val="1DDF5402"/>
    <w:rsid w:val="1DE27C73"/>
    <w:rsid w:val="1DE46E6A"/>
    <w:rsid w:val="1DF852AB"/>
    <w:rsid w:val="1E18095E"/>
    <w:rsid w:val="1E1C7568"/>
    <w:rsid w:val="1E313BB3"/>
    <w:rsid w:val="1E465D6D"/>
    <w:rsid w:val="1E48483A"/>
    <w:rsid w:val="1E4B3C6C"/>
    <w:rsid w:val="1E4E27F3"/>
    <w:rsid w:val="1E525381"/>
    <w:rsid w:val="1E582A85"/>
    <w:rsid w:val="1E591430"/>
    <w:rsid w:val="1E6675E1"/>
    <w:rsid w:val="1E6B41D1"/>
    <w:rsid w:val="1E6D6ADF"/>
    <w:rsid w:val="1E724325"/>
    <w:rsid w:val="1E733CB5"/>
    <w:rsid w:val="1E7D1CE0"/>
    <w:rsid w:val="1E7E7616"/>
    <w:rsid w:val="1E811858"/>
    <w:rsid w:val="1E850CAB"/>
    <w:rsid w:val="1E8D7E85"/>
    <w:rsid w:val="1E8E67B5"/>
    <w:rsid w:val="1E942A5D"/>
    <w:rsid w:val="1E99070A"/>
    <w:rsid w:val="1EA04DD2"/>
    <w:rsid w:val="1EA467AE"/>
    <w:rsid w:val="1EAA2DEC"/>
    <w:rsid w:val="1EB03F79"/>
    <w:rsid w:val="1EBB3FCC"/>
    <w:rsid w:val="1EBB65C5"/>
    <w:rsid w:val="1EC7640D"/>
    <w:rsid w:val="1ED10EDB"/>
    <w:rsid w:val="1EE21F73"/>
    <w:rsid w:val="1EE70D84"/>
    <w:rsid w:val="1EE8109A"/>
    <w:rsid w:val="1EEA45B5"/>
    <w:rsid w:val="1EF74265"/>
    <w:rsid w:val="1EFB34F4"/>
    <w:rsid w:val="1F02157F"/>
    <w:rsid w:val="1F030A01"/>
    <w:rsid w:val="1F1B31F9"/>
    <w:rsid w:val="1F1E1209"/>
    <w:rsid w:val="1F236924"/>
    <w:rsid w:val="1F336AB0"/>
    <w:rsid w:val="1F4F7681"/>
    <w:rsid w:val="1F506ED4"/>
    <w:rsid w:val="1F5305FE"/>
    <w:rsid w:val="1F5559F8"/>
    <w:rsid w:val="1F6007AE"/>
    <w:rsid w:val="1F655CF6"/>
    <w:rsid w:val="1F674FF9"/>
    <w:rsid w:val="1F6A1456"/>
    <w:rsid w:val="1F6D187F"/>
    <w:rsid w:val="1F6F342D"/>
    <w:rsid w:val="1F7151DA"/>
    <w:rsid w:val="1F7405EC"/>
    <w:rsid w:val="1F8B3F87"/>
    <w:rsid w:val="1F987DC4"/>
    <w:rsid w:val="1FA01A19"/>
    <w:rsid w:val="1FA32D17"/>
    <w:rsid w:val="1FA74436"/>
    <w:rsid w:val="1FB14172"/>
    <w:rsid w:val="1FBB24D5"/>
    <w:rsid w:val="1FBC0B73"/>
    <w:rsid w:val="1FC2649D"/>
    <w:rsid w:val="1FC64B43"/>
    <w:rsid w:val="1FCA04EE"/>
    <w:rsid w:val="1FD0570B"/>
    <w:rsid w:val="1FD15194"/>
    <w:rsid w:val="1FDF5A82"/>
    <w:rsid w:val="1FE17A75"/>
    <w:rsid w:val="1FE342F3"/>
    <w:rsid w:val="1FE561F8"/>
    <w:rsid w:val="1FF831A0"/>
    <w:rsid w:val="1FFD3AFC"/>
    <w:rsid w:val="20054FFD"/>
    <w:rsid w:val="200C3507"/>
    <w:rsid w:val="200D34F0"/>
    <w:rsid w:val="201135CA"/>
    <w:rsid w:val="20117C5E"/>
    <w:rsid w:val="201C563C"/>
    <w:rsid w:val="20226F42"/>
    <w:rsid w:val="202C67EC"/>
    <w:rsid w:val="20315C34"/>
    <w:rsid w:val="20330EE3"/>
    <w:rsid w:val="203901CF"/>
    <w:rsid w:val="204A4370"/>
    <w:rsid w:val="2054093F"/>
    <w:rsid w:val="205B555A"/>
    <w:rsid w:val="2062248C"/>
    <w:rsid w:val="2072085D"/>
    <w:rsid w:val="20726449"/>
    <w:rsid w:val="207C7DC4"/>
    <w:rsid w:val="20816E85"/>
    <w:rsid w:val="208D55C1"/>
    <w:rsid w:val="209841A8"/>
    <w:rsid w:val="209A2C80"/>
    <w:rsid w:val="20AB1F3F"/>
    <w:rsid w:val="20AE4820"/>
    <w:rsid w:val="20B44FB8"/>
    <w:rsid w:val="20B80EF2"/>
    <w:rsid w:val="20C649B0"/>
    <w:rsid w:val="20C8729D"/>
    <w:rsid w:val="20D607E4"/>
    <w:rsid w:val="20DF07B5"/>
    <w:rsid w:val="20E52442"/>
    <w:rsid w:val="20EA476B"/>
    <w:rsid w:val="20F3496E"/>
    <w:rsid w:val="20F60293"/>
    <w:rsid w:val="20F7634E"/>
    <w:rsid w:val="21084FD4"/>
    <w:rsid w:val="21181A80"/>
    <w:rsid w:val="211A0FD5"/>
    <w:rsid w:val="211E2D74"/>
    <w:rsid w:val="21251F2A"/>
    <w:rsid w:val="21274675"/>
    <w:rsid w:val="21292E28"/>
    <w:rsid w:val="213743F8"/>
    <w:rsid w:val="21447244"/>
    <w:rsid w:val="214528A7"/>
    <w:rsid w:val="215207B9"/>
    <w:rsid w:val="21526253"/>
    <w:rsid w:val="215633D1"/>
    <w:rsid w:val="2173445D"/>
    <w:rsid w:val="2174043C"/>
    <w:rsid w:val="21774DAB"/>
    <w:rsid w:val="2181467A"/>
    <w:rsid w:val="21861123"/>
    <w:rsid w:val="219A7A85"/>
    <w:rsid w:val="219C7247"/>
    <w:rsid w:val="219E6E29"/>
    <w:rsid w:val="21A1797D"/>
    <w:rsid w:val="21A408D2"/>
    <w:rsid w:val="21A77D8D"/>
    <w:rsid w:val="21AA70D8"/>
    <w:rsid w:val="21AE4E90"/>
    <w:rsid w:val="21B57A2A"/>
    <w:rsid w:val="21B85AFF"/>
    <w:rsid w:val="21BC2371"/>
    <w:rsid w:val="21C40374"/>
    <w:rsid w:val="21C969FA"/>
    <w:rsid w:val="21CA0FF7"/>
    <w:rsid w:val="21DD2B72"/>
    <w:rsid w:val="21E34A5E"/>
    <w:rsid w:val="21E46399"/>
    <w:rsid w:val="21EB5A84"/>
    <w:rsid w:val="21F11937"/>
    <w:rsid w:val="220001D9"/>
    <w:rsid w:val="220102DA"/>
    <w:rsid w:val="2203571D"/>
    <w:rsid w:val="2207217A"/>
    <w:rsid w:val="221405CC"/>
    <w:rsid w:val="221C05F2"/>
    <w:rsid w:val="221C07FA"/>
    <w:rsid w:val="221C1AC1"/>
    <w:rsid w:val="22215C2A"/>
    <w:rsid w:val="22280E47"/>
    <w:rsid w:val="22291BD5"/>
    <w:rsid w:val="222C6D60"/>
    <w:rsid w:val="222E53BE"/>
    <w:rsid w:val="22356183"/>
    <w:rsid w:val="22433D7F"/>
    <w:rsid w:val="224547AA"/>
    <w:rsid w:val="22484AF6"/>
    <w:rsid w:val="22510122"/>
    <w:rsid w:val="22564D77"/>
    <w:rsid w:val="225D0766"/>
    <w:rsid w:val="22633EB6"/>
    <w:rsid w:val="226626B3"/>
    <w:rsid w:val="226B737E"/>
    <w:rsid w:val="22700E5B"/>
    <w:rsid w:val="2273397B"/>
    <w:rsid w:val="227C0D1C"/>
    <w:rsid w:val="227C2F41"/>
    <w:rsid w:val="227C44DE"/>
    <w:rsid w:val="227C5EA0"/>
    <w:rsid w:val="22877FCF"/>
    <w:rsid w:val="228F588B"/>
    <w:rsid w:val="229920CC"/>
    <w:rsid w:val="22AC5C59"/>
    <w:rsid w:val="22AF3C62"/>
    <w:rsid w:val="22BB4A1E"/>
    <w:rsid w:val="22BD0170"/>
    <w:rsid w:val="22BD636E"/>
    <w:rsid w:val="22BE1388"/>
    <w:rsid w:val="22BE23F6"/>
    <w:rsid w:val="22CA36D8"/>
    <w:rsid w:val="22CB161E"/>
    <w:rsid w:val="22CD5D64"/>
    <w:rsid w:val="22D73038"/>
    <w:rsid w:val="22DD00B5"/>
    <w:rsid w:val="22DF3CC3"/>
    <w:rsid w:val="22E00A53"/>
    <w:rsid w:val="22E013CC"/>
    <w:rsid w:val="22E84FD8"/>
    <w:rsid w:val="22F05FF4"/>
    <w:rsid w:val="23021D4F"/>
    <w:rsid w:val="230C7AEF"/>
    <w:rsid w:val="230E3C6B"/>
    <w:rsid w:val="231C2A4F"/>
    <w:rsid w:val="23244138"/>
    <w:rsid w:val="23261C94"/>
    <w:rsid w:val="232816F1"/>
    <w:rsid w:val="23285CA5"/>
    <w:rsid w:val="232A3B03"/>
    <w:rsid w:val="232C1F30"/>
    <w:rsid w:val="233C3EF2"/>
    <w:rsid w:val="233E495F"/>
    <w:rsid w:val="23401C87"/>
    <w:rsid w:val="2345324F"/>
    <w:rsid w:val="23486AB6"/>
    <w:rsid w:val="234A7722"/>
    <w:rsid w:val="235A02B1"/>
    <w:rsid w:val="236A5A19"/>
    <w:rsid w:val="237E0E01"/>
    <w:rsid w:val="238045D7"/>
    <w:rsid w:val="238955FA"/>
    <w:rsid w:val="23947FA2"/>
    <w:rsid w:val="23950178"/>
    <w:rsid w:val="239C357B"/>
    <w:rsid w:val="239D0B91"/>
    <w:rsid w:val="239D3D5A"/>
    <w:rsid w:val="23A827DD"/>
    <w:rsid w:val="23A917B6"/>
    <w:rsid w:val="23AB7B80"/>
    <w:rsid w:val="23B92F8C"/>
    <w:rsid w:val="23B96BF6"/>
    <w:rsid w:val="23BD6997"/>
    <w:rsid w:val="23BE2E21"/>
    <w:rsid w:val="23BE7845"/>
    <w:rsid w:val="23CA4DD7"/>
    <w:rsid w:val="23CC0F7E"/>
    <w:rsid w:val="23D15DA2"/>
    <w:rsid w:val="23D91779"/>
    <w:rsid w:val="23DC7B2A"/>
    <w:rsid w:val="23E76B4B"/>
    <w:rsid w:val="23EA7CFA"/>
    <w:rsid w:val="23FA50EB"/>
    <w:rsid w:val="23FB4326"/>
    <w:rsid w:val="24007E35"/>
    <w:rsid w:val="24025F34"/>
    <w:rsid w:val="24083261"/>
    <w:rsid w:val="24104942"/>
    <w:rsid w:val="241401F3"/>
    <w:rsid w:val="241B241E"/>
    <w:rsid w:val="241C24F2"/>
    <w:rsid w:val="241E5F7B"/>
    <w:rsid w:val="24241341"/>
    <w:rsid w:val="24287DB0"/>
    <w:rsid w:val="242A5D97"/>
    <w:rsid w:val="24422E5F"/>
    <w:rsid w:val="244C67D2"/>
    <w:rsid w:val="244E08BF"/>
    <w:rsid w:val="24701F98"/>
    <w:rsid w:val="247C2F6F"/>
    <w:rsid w:val="248D59A3"/>
    <w:rsid w:val="24923EEA"/>
    <w:rsid w:val="24966E86"/>
    <w:rsid w:val="24981CAF"/>
    <w:rsid w:val="249C2794"/>
    <w:rsid w:val="249E6F0A"/>
    <w:rsid w:val="24A10633"/>
    <w:rsid w:val="24AC1FB6"/>
    <w:rsid w:val="24AE3737"/>
    <w:rsid w:val="24C35651"/>
    <w:rsid w:val="24D331DD"/>
    <w:rsid w:val="24DA5477"/>
    <w:rsid w:val="24DD7219"/>
    <w:rsid w:val="24DE02DA"/>
    <w:rsid w:val="24E9008A"/>
    <w:rsid w:val="24F81B9D"/>
    <w:rsid w:val="25071EFC"/>
    <w:rsid w:val="2509692D"/>
    <w:rsid w:val="250B6EC1"/>
    <w:rsid w:val="250C2914"/>
    <w:rsid w:val="25102FA5"/>
    <w:rsid w:val="25216A96"/>
    <w:rsid w:val="25294BC5"/>
    <w:rsid w:val="252D3739"/>
    <w:rsid w:val="2535088C"/>
    <w:rsid w:val="25374224"/>
    <w:rsid w:val="253B2C7E"/>
    <w:rsid w:val="2540271B"/>
    <w:rsid w:val="25457742"/>
    <w:rsid w:val="2546576E"/>
    <w:rsid w:val="2554219E"/>
    <w:rsid w:val="255B640A"/>
    <w:rsid w:val="2562693E"/>
    <w:rsid w:val="2562719E"/>
    <w:rsid w:val="25637D6F"/>
    <w:rsid w:val="25646522"/>
    <w:rsid w:val="25666713"/>
    <w:rsid w:val="256822FC"/>
    <w:rsid w:val="25754985"/>
    <w:rsid w:val="257915D9"/>
    <w:rsid w:val="257A0313"/>
    <w:rsid w:val="25893A4C"/>
    <w:rsid w:val="2590429F"/>
    <w:rsid w:val="25927367"/>
    <w:rsid w:val="25981382"/>
    <w:rsid w:val="25A620CA"/>
    <w:rsid w:val="25AC26B3"/>
    <w:rsid w:val="25AE4A39"/>
    <w:rsid w:val="25CA0EBA"/>
    <w:rsid w:val="25D5338A"/>
    <w:rsid w:val="25D74F69"/>
    <w:rsid w:val="25DB4F01"/>
    <w:rsid w:val="25DC5A92"/>
    <w:rsid w:val="25E02B63"/>
    <w:rsid w:val="25E11DCC"/>
    <w:rsid w:val="25E60FC9"/>
    <w:rsid w:val="25E934FB"/>
    <w:rsid w:val="25EF19C9"/>
    <w:rsid w:val="25F240C4"/>
    <w:rsid w:val="25F424B0"/>
    <w:rsid w:val="25F81E97"/>
    <w:rsid w:val="260A2373"/>
    <w:rsid w:val="260B7CBC"/>
    <w:rsid w:val="26123FEF"/>
    <w:rsid w:val="26173A85"/>
    <w:rsid w:val="2621539B"/>
    <w:rsid w:val="26287122"/>
    <w:rsid w:val="262B306B"/>
    <w:rsid w:val="26335D47"/>
    <w:rsid w:val="26390C67"/>
    <w:rsid w:val="263E0FB1"/>
    <w:rsid w:val="263F38DE"/>
    <w:rsid w:val="26471D6B"/>
    <w:rsid w:val="264E1DFA"/>
    <w:rsid w:val="2655342C"/>
    <w:rsid w:val="265659D1"/>
    <w:rsid w:val="265D5E08"/>
    <w:rsid w:val="266E63FF"/>
    <w:rsid w:val="26712271"/>
    <w:rsid w:val="267510E9"/>
    <w:rsid w:val="267532D8"/>
    <w:rsid w:val="26765FEA"/>
    <w:rsid w:val="267A4B30"/>
    <w:rsid w:val="267E1437"/>
    <w:rsid w:val="26810B65"/>
    <w:rsid w:val="26853D12"/>
    <w:rsid w:val="268D1376"/>
    <w:rsid w:val="26A90FB3"/>
    <w:rsid w:val="26AA650C"/>
    <w:rsid w:val="26B83DC1"/>
    <w:rsid w:val="26CF423A"/>
    <w:rsid w:val="26CF6240"/>
    <w:rsid w:val="26D7360B"/>
    <w:rsid w:val="26FF3BAB"/>
    <w:rsid w:val="27106692"/>
    <w:rsid w:val="271B1F70"/>
    <w:rsid w:val="271C4D87"/>
    <w:rsid w:val="272829C1"/>
    <w:rsid w:val="27317CAE"/>
    <w:rsid w:val="27352E3A"/>
    <w:rsid w:val="273E628D"/>
    <w:rsid w:val="27405192"/>
    <w:rsid w:val="27422D51"/>
    <w:rsid w:val="274D61A3"/>
    <w:rsid w:val="275941DA"/>
    <w:rsid w:val="275E4DA2"/>
    <w:rsid w:val="275E6F6D"/>
    <w:rsid w:val="27614D8D"/>
    <w:rsid w:val="277052B2"/>
    <w:rsid w:val="27711035"/>
    <w:rsid w:val="27787C60"/>
    <w:rsid w:val="27812515"/>
    <w:rsid w:val="27874806"/>
    <w:rsid w:val="27884C0A"/>
    <w:rsid w:val="278A1F6D"/>
    <w:rsid w:val="278A77C3"/>
    <w:rsid w:val="2792237A"/>
    <w:rsid w:val="279D4052"/>
    <w:rsid w:val="27A37259"/>
    <w:rsid w:val="27A81413"/>
    <w:rsid w:val="27B13700"/>
    <w:rsid w:val="27B1771B"/>
    <w:rsid w:val="27B222AE"/>
    <w:rsid w:val="27B43778"/>
    <w:rsid w:val="27C073DC"/>
    <w:rsid w:val="27C33F93"/>
    <w:rsid w:val="27C35478"/>
    <w:rsid w:val="27D63A72"/>
    <w:rsid w:val="27D849C0"/>
    <w:rsid w:val="27DA0A96"/>
    <w:rsid w:val="27E021E9"/>
    <w:rsid w:val="27E567E8"/>
    <w:rsid w:val="27F2388D"/>
    <w:rsid w:val="27F60A96"/>
    <w:rsid w:val="27F86F21"/>
    <w:rsid w:val="280427C9"/>
    <w:rsid w:val="281C4412"/>
    <w:rsid w:val="281F7C4A"/>
    <w:rsid w:val="282A0711"/>
    <w:rsid w:val="282C56C6"/>
    <w:rsid w:val="2838567B"/>
    <w:rsid w:val="283F0F29"/>
    <w:rsid w:val="284623C5"/>
    <w:rsid w:val="284827A1"/>
    <w:rsid w:val="28536772"/>
    <w:rsid w:val="285758F3"/>
    <w:rsid w:val="28586EDF"/>
    <w:rsid w:val="285A3E04"/>
    <w:rsid w:val="285B6701"/>
    <w:rsid w:val="28646AC5"/>
    <w:rsid w:val="2869342F"/>
    <w:rsid w:val="287105EF"/>
    <w:rsid w:val="287B2B33"/>
    <w:rsid w:val="287C546B"/>
    <w:rsid w:val="287F14BD"/>
    <w:rsid w:val="2883258D"/>
    <w:rsid w:val="28854F22"/>
    <w:rsid w:val="2887458D"/>
    <w:rsid w:val="28880B61"/>
    <w:rsid w:val="289C3138"/>
    <w:rsid w:val="28B16BFC"/>
    <w:rsid w:val="28B52116"/>
    <w:rsid w:val="28BC6EFA"/>
    <w:rsid w:val="28BD1B74"/>
    <w:rsid w:val="28BF2848"/>
    <w:rsid w:val="28C14BB6"/>
    <w:rsid w:val="28C74F17"/>
    <w:rsid w:val="28CF51A9"/>
    <w:rsid w:val="28D06DA5"/>
    <w:rsid w:val="28D87AA6"/>
    <w:rsid w:val="28EA748E"/>
    <w:rsid w:val="28EF77F6"/>
    <w:rsid w:val="28F7364A"/>
    <w:rsid w:val="28FE2A93"/>
    <w:rsid w:val="29025A33"/>
    <w:rsid w:val="290C206E"/>
    <w:rsid w:val="29116CF6"/>
    <w:rsid w:val="291547BD"/>
    <w:rsid w:val="292133A7"/>
    <w:rsid w:val="29330BB8"/>
    <w:rsid w:val="293661F0"/>
    <w:rsid w:val="2951629E"/>
    <w:rsid w:val="29592339"/>
    <w:rsid w:val="295A028F"/>
    <w:rsid w:val="29670CB9"/>
    <w:rsid w:val="29682D99"/>
    <w:rsid w:val="296B3CE6"/>
    <w:rsid w:val="296B64B7"/>
    <w:rsid w:val="297C1415"/>
    <w:rsid w:val="297D778C"/>
    <w:rsid w:val="29931604"/>
    <w:rsid w:val="29A06B71"/>
    <w:rsid w:val="29A83EC0"/>
    <w:rsid w:val="29AA0A68"/>
    <w:rsid w:val="29B42BBE"/>
    <w:rsid w:val="29B85564"/>
    <w:rsid w:val="29BE378F"/>
    <w:rsid w:val="29C05B95"/>
    <w:rsid w:val="29D16CC0"/>
    <w:rsid w:val="29D6409B"/>
    <w:rsid w:val="29D915F8"/>
    <w:rsid w:val="29DE091C"/>
    <w:rsid w:val="29EE14FA"/>
    <w:rsid w:val="29F04C1A"/>
    <w:rsid w:val="29F43D6D"/>
    <w:rsid w:val="29F64C2B"/>
    <w:rsid w:val="2A021561"/>
    <w:rsid w:val="2A056BFD"/>
    <w:rsid w:val="2A086A69"/>
    <w:rsid w:val="2A10506C"/>
    <w:rsid w:val="2A1F59AB"/>
    <w:rsid w:val="2A21084D"/>
    <w:rsid w:val="2A224DCD"/>
    <w:rsid w:val="2A297753"/>
    <w:rsid w:val="2A2B3EBB"/>
    <w:rsid w:val="2A2D7802"/>
    <w:rsid w:val="2A2E6DDA"/>
    <w:rsid w:val="2A3002E3"/>
    <w:rsid w:val="2A315988"/>
    <w:rsid w:val="2A335533"/>
    <w:rsid w:val="2A3815B7"/>
    <w:rsid w:val="2A3B5435"/>
    <w:rsid w:val="2A41096D"/>
    <w:rsid w:val="2A475AEA"/>
    <w:rsid w:val="2A4926E1"/>
    <w:rsid w:val="2A5D0E22"/>
    <w:rsid w:val="2A65738E"/>
    <w:rsid w:val="2A6F63F2"/>
    <w:rsid w:val="2A7A091A"/>
    <w:rsid w:val="2A8A3BBE"/>
    <w:rsid w:val="2A9447E4"/>
    <w:rsid w:val="2A9B1A1A"/>
    <w:rsid w:val="2A9B24E4"/>
    <w:rsid w:val="2A9C1274"/>
    <w:rsid w:val="2AAB45C3"/>
    <w:rsid w:val="2AAB6B34"/>
    <w:rsid w:val="2AAE64CF"/>
    <w:rsid w:val="2AB1482C"/>
    <w:rsid w:val="2AB367A5"/>
    <w:rsid w:val="2ABF54D4"/>
    <w:rsid w:val="2AD44D46"/>
    <w:rsid w:val="2ADA407C"/>
    <w:rsid w:val="2ADD7735"/>
    <w:rsid w:val="2AEB71E0"/>
    <w:rsid w:val="2AED1888"/>
    <w:rsid w:val="2AFA658F"/>
    <w:rsid w:val="2B11162E"/>
    <w:rsid w:val="2B1166AD"/>
    <w:rsid w:val="2B122F26"/>
    <w:rsid w:val="2B175E98"/>
    <w:rsid w:val="2B1F2B3D"/>
    <w:rsid w:val="2B21449C"/>
    <w:rsid w:val="2B215BC5"/>
    <w:rsid w:val="2B2F1437"/>
    <w:rsid w:val="2B3137AB"/>
    <w:rsid w:val="2B3D07AC"/>
    <w:rsid w:val="2B3D472A"/>
    <w:rsid w:val="2B440586"/>
    <w:rsid w:val="2B5E1B99"/>
    <w:rsid w:val="2B6C385C"/>
    <w:rsid w:val="2B750A60"/>
    <w:rsid w:val="2B770D40"/>
    <w:rsid w:val="2B7A4566"/>
    <w:rsid w:val="2B820DBA"/>
    <w:rsid w:val="2B8D0F0A"/>
    <w:rsid w:val="2B8F6963"/>
    <w:rsid w:val="2B8F72AB"/>
    <w:rsid w:val="2B905086"/>
    <w:rsid w:val="2BA02256"/>
    <w:rsid w:val="2BA14239"/>
    <w:rsid w:val="2BA250E2"/>
    <w:rsid w:val="2BA511F8"/>
    <w:rsid w:val="2BB43240"/>
    <w:rsid w:val="2BCD6023"/>
    <w:rsid w:val="2BD90CA3"/>
    <w:rsid w:val="2BE76DC2"/>
    <w:rsid w:val="2BE851FC"/>
    <w:rsid w:val="2BED6B53"/>
    <w:rsid w:val="2BEE4456"/>
    <w:rsid w:val="2BF258E9"/>
    <w:rsid w:val="2BF40397"/>
    <w:rsid w:val="2BF943B6"/>
    <w:rsid w:val="2C063F4F"/>
    <w:rsid w:val="2C094D74"/>
    <w:rsid w:val="2C0F0692"/>
    <w:rsid w:val="2C16134C"/>
    <w:rsid w:val="2C231382"/>
    <w:rsid w:val="2C235191"/>
    <w:rsid w:val="2C2361F7"/>
    <w:rsid w:val="2C2A5D0A"/>
    <w:rsid w:val="2C2C28D1"/>
    <w:rsid w:val="2C31774E"/>
    <w:rsid w:val="2C354AD4"/>
    <w:rsid w:val="2C3C7C3C"/>
    <w:rsid w:val="2C4F3242"/>
    <w:rsid w:val="2C58061A"/>
    <w:rsid w:val="2C6155E9"/>
    <w:rsid w:val="2C67317C"/>
    <w:rsid w:val="2C6D5BF8"/>
    <w:rsid w:val="2C720565"/>
    <w:rsid w:val="2C790CA1"/>
    <w:rsid w:val="2C8C504B"/>
    <w:rsid w:val="2CA856A0"/>
    <w:rsid w:val="2CAA5523"/>
    <w:rsid w:val="2CB64551"/>
    <w:rsid w:val="2CC53769"/>
    <w:rsid w:val="2CC96BDA"/>
    <w:rsid w:val="2CD17A2B"/>
    <w:rsid w:val="2CD6665F"/>
    <w:rsid w:val="2CD92C5B"/>
    <w:rsid w:val="2CE342B2"/>
    <w:rsid w:val="2CE47E46"/>
    <w:rsid w:val="2CF06F83"/>
    <w:rsid w:val="2CF36611"/>
    <w:rsid w:val="2CF74098"/>
    <w:rsid w:val="2D012506"/>
    <w:rsid w:val="2D021D6C"/>
    <w:rsid w:val="2D0621AC"/>
    <w:rsid w:val="2D063A86"/>
    <w:rsid w:val="2D0D0FA8"/>
    <w:rsid w:val="2D1535B2"/>
    <w:rsid w:val="2D164B20"/>
    <w:rsid w:val="2D2263C8"/>
    <w:rsid w:val="2D2311C9"/>
    <w:rsid w:val="2D28646E"/>
    <w:rsid w:val="2D2D6341"/>
    <w:rsid w:val="2D2F7FC1"/>
    <w:rsid w:val="2D3759EE"/>
    <w:rsid w:val="2D3A1EDD"/>
    <w:rsid w:val="2D3A6B8E"/>
    <w:rsid w:val="2D3B172E"/>
    <w:rsid w:val="2D416E8E"/>
    <w:rsid w:val="2D541667"/>
    <w:rsid w:val="2D584CF6"/>
    <w:rsid w:val="2D6526F3"/>
    <w:rsid w:val="2D666571"/>
    <w:rsid w:val="2D6B72D7"/>
    <w:rsid w:val="2D771021"/>
    <w:rsid w:val="2D810CBD"/>
    <w:rsid w:val="2D897FD1"/>
    <w:rsid w:val="2D933F12"/>
    <w:rsid w:val="2D963C58"/>
    <w:rsid w:val="2DA034F7"/>
    <w:rsid w:val="2DA4642B"/>
    <w:rsid w:val="2DA64FE0"/>
    <w:rsid w:val="2DA8262D"/>
    <w:rsid w:val="2DAD073D"/>
    <w:rsid w:val="2DAF6F9B"/>
    <w:rsid w:val="2DB84DFE"/>
    <w:rsid w:val="2DB87ADC"/>
    <w:rsid w:val="2DB94029"/>
    <w:rsid w:val="2DC009A2"/>
    <w:rsid w:val="2DC91615"/>
    <w:rsid w:val="2DD23678"/>
    <w:rsid w:val="2DD3110F"/>
    <w:rsid w:val="2DD611BE"/>
    <w:rsid w:val="2DED6C83"/>
    <w:rsid w:val="2DF31AC8"/>
    <w:rsid w:val="2DF45D4A"/>
    <w:rsid w:val="2DFC2C77"/>
    <w:rsid w:val="2DFE52E4"/>
    <w:rsid w:val="2DFE7696"/>
    <w:rsid w:val="2E186B93"/>
    <w:rsid w:val="2E1B10A2"/>
    <w:rsid w:val="2E2069E2"/>
    <w:rsid w:val="2E3276ED"/>
    <w:rsid w:val="2E4D618A"/>
    <w:rsid w:val="2E533B8E"/>
    <w:rsid w:val="2E5A3A70"/>
    <w:rsid w:val="2E5B0101"/>
    <w:rsid w:val="2E62326E"/>
    <w:rsid w:val="2E631D6B"/>
    <w:rsid w:val="2E6E2570"/>
    <w:rsid w:val="2E8221FE"/>
    <w:rsid w:val="2E82668B"/>
    <w:rsid w:val="2E917779"/>
    <w:rsid w:val="2E923428"/>
    <w:rsid w:val="2E98783A"/>
    <w:rsid w:val="2EA44523"/>
    <w:rsid w:val="2EA52C78"/>
    <w:rsid w:val="2EA658A9"/>
    <w:rsid w:val="2EAB7891"/>
    <w:rsid w:val="2EAD0639"/>
    <w:rsid w:val="2EB57BC9"/>
    <w:rsid w:val="2ECB56A2"/>
    <w:rsid w:val="2ECE5D1A"/>
    <w:rsid w:val="2ED002B3"/>
    <w:rsid w:val="2ED02E76"/>
    <w:rsid w:val="2EDA69CE"/>
    <w:rsid w:val="2EDC71B8"/>
    <w:rsid w:val="2EE0663D"/>
    <w:rsid w:val="2EE30C44"/>
    <w:rsid w:val="2EF21556"/>
    <w:rsid w:val="2EF735D1"/>
    <w:rsid w:val="2EFC73D1"/>
    <w:rsid w:val="2EFDA22C"/>
    <w:rsid w:val="2F044A78"/>
    <w:rsid w:val="2F0876D1"/>
    <w:rsid w:val="2F16288D"/>
    <w:rsid w:val="2F2165A1"/>
    <w:rsid w:val="2F267E14"/>
    <w:rsid w:val="2F282A6E"/>
    <w:rsid w:val="2F2D752B"/>
    <w:rsid w:val="2F3B1F2D"/>
    <w:rsid w:val="2F433111"/>
    <w:rsid w:val="2F462814"/>
    <w:rsid w:val="2F4D5528"/>
    <w:rsid w:val="2F550908"/>
    <w:rsid w:val="2F555250"/>
    <w:rsid w:val="2F575EB6"/>
    <w:rsid w:val="2F6075F6"/>
    <w:rsid w:val="2F6114A9"/>
    <w:rsid w:val="2F6A60E5"/>
    <w:rsid w:val="2F6B6F4D"/>
    <w:rsid w:val="2F71771C"/>
    <w:rsid w:val="2F74776F"/>
    <w:rsid w:val="2F8138F1"/>
    <w:rsid w:val="2F877086"/>
    <w:rsid w:val="2F943DBC"/>
    <w:rsid w:val="2F953E6A"/>
    <w:rsid w:val="2F9A7BF4"/>
    <w:rsid w:val="2F9E4260"/>
    <w:rsid w:val="2FA65426"/>
    <w:rsid w:val="2FB8262B"/>
    <w:rsid w:val="2FC65376"/>
    <w:rsid w:val="2FCB1B19"/>
    <w:rsid w:val="2FDF703A"/>
    <w:rsid w:val="2FF74DBF"/>
    <w:rsid w:val="2FF8487B"/>
    <w:rsid w:val="30062133"/>
    <w:rsid w:val="301220F8"/>
    <w:rsid w:val="30164A42"/>
    <w:rsid w:val="301D2964"/>
    <w:rsid w:val="30326C40"/>
    <w:rsid w:val="303A5000"/>
    <w:rsid w:val="303A5E40"/>
    <w:rsid w:val="303C538C"/>
    <w:rsid w:val="303D0B96"/>
    <w:rsid w:val="303D1327"/>
    <w:rsid w:val="30456606"/>
    <w:rsid w:val="3061704D"/>
    <w:rsid w:val="30642AF1"/>
    <w:rsid w:val="306437A7"/>
    <w:rsid w:val="30665C86"/>
    <w:rsid w:val="307E026D"/>
    <w:rsid w:val="308142E3"/>
    <w:rsid w:val="30814CFC"/>
    <w:rsid w:val="30841C3F"/>
    <w:rsid w:val="30897947"/>
    <w:rsid w:val="308B4D0E"/>
    <w:rsid w:val="308E4E69"/>
    <w:rsid w:val="30904042"/>
    <w:rsid w:val="30976F81"/>
    <w:rsid w:val="309B0CBD"/>
    <w:rsid w:val="30A23777"/>
    <w:rsid w:val="30A64999"/>
    <w:rsid w:val="30AD19C4"/>
    <w:rsid w:val="30AD7B30"/>
    <w:rsid w:val="30B85F6E"/>
    <w:rsid w:val="30B86BFE"/>
    <w:rsid w:val="30C07193"/>
    <w:rsid w:val="30D204B5"/>
    <w:rsid w:val="30DA0977"/>
    <w:rsid w:val="30DD4898"/>
    <w:rsid w:val="30EE5274"/>
    <w:rsid w:val="30F16D39"/>
    <w:rsid w:val="30FB5EB0"/>
    <w:rsid w:val="310840B9"/>
    <w:rsid w:val="310A3359"/>
    <w:rsid w:val="3113329D"/>
    <w:rsid w:val="311748F3"/>
    <w:rsid w:val="31235CFC"/>
    <w:rsid w:val="312E7315"/>
    <w:rsid w:val="312F6A19"/>
    <w:rsid w:val="3131259D"/>
    <w:rsid w:val="313564A1"/>
    <w:rsid w:val="31390763"/>
    <w:rsid w:val="313A1820"/>
    <w:rsid w:val="313C7119"/>
    <w:rsid w:val="314357EB"/>
    <w:rsid w:val="314F20AB"/>
    <w:rsid w:val="314F5F35"/>
    <w:rsid w:val="31505D15"/>
    <w:rsid w:val="315B48A7"/>
    <w:rsid w:val="31614F93"/>
    <w:rsid w:val="316C2275"/>
    <w:rsid w:val="3170467F"/>
    <w:rsid w:val="317D7153"/>
    <w:rsid w:val="3181049D"/>
    <w:rsid w:val="3188279E"/>
    <w:rsid w:val="318C4058"/>
    <w:rsid w:val="318D7D3F"/>
    <w:rsid w:val="319038B8"/>
    <w:rsid w:val="319823DB"/>
    <w:rsid w:val="319E2E45"/>
    <w:rsid w:val="31A54783"/>
    <w:rsid w:val="31A62459"/>
    <w:rsid w:val="31AB3CD8"/>
    <w:rsid w:val="31B45E66"/>
    <w:rsid w:val="31BB75F0"/>
    <w:rsid w:val="31BF71BC"/>
    <w:rsid w:val="31C93C29"/>
    <w:rsid w:val="31CC4455"/>
    <w:rsid w:val="31CD0240"/>
    <w:rsid w:val="31D46398"/>
    <w:rsid w:val="31D755B3"/>
    <w:rsid w:val="31D83CAA"/>
    <w:rsid w:val="31E41CE9"/>
    <w:rsid w:val="31E67DE9"/>
    <w:rsid w:val="31F32EF7"/>
    <w:rsid w:val="31FF21CC"/>
    <w:rsid w:val="32093F0C"/>
    <w:rsid w:val="320E7200"/>
    <w:rsid w:val="3211104F"/>
    <w:rsid w:val="321E622A"/>
    <w:rsid w:val="321F7F9A"/>
    <w:rsid w:val="3222722B"/>
    <w:rsid w:val="32230888"/>
    <w:rsid w:val="32316662"/>
    <w:rsid w:val="32321D1E"/>
    <w:rsid w:val="32376758"/>
    <w:rsid w:val="323C35EB"/>
    <w:rsid w:val="323E6833"/>
    <w:rsid w:val="323F798A"/>
    <w:rsid w:val="32417886"/>
    <w:rsid w:val="32475F94"/>
    <w:rsid w:val="32643F07"/>
    <w:rsid w:val="32670315"/>
    <w:rsid w:val="326876E0"/>
    <w:rsid w:val="3274156C"/>
    <w:rsid w:val="32772D20"/>
    <w:rsid w:val="32780B44"/>
    <w:rsid w:val="327C423F"/>
    <w:rsid w:val="327D04BA"/>
    <w:rsid w:val="327D4B58"/>
    <w:rsid w:val="32812A9E"/>
    <w:rsid w:val="32827829"/>
    <w:rsid w:val="328A3822"/>
    <w:rsid w:val="328C274E"/>
    <w:rsid w:val="328E2B60"/>
    <w:rsid w:val="32901317"/>
    <w:rsid w:val="32910928"/>
    <w:rsid w:val="329C5E3E"/>
    <w:rsid w:val="329D4D02"/>
    <w:rsid w:val="329F0B62"/>
    <w:rsid w:val="32A16F0D"/>
    <w:rsid w:val="32A35082"/>
    <w:rsid w:val="32AB6A09"/>
    <w:rsid w:val="32AD1732"/>
    <w:rsid w:val="32B11E5C"/>
    <w:rsid w:val="32B12FB0"/>
    <w:rsid w:val="32B33F65"/>
    <w:rsid w:val="32C60957"/>
    <w:rsid w:val="32C651C7"/>
    <w:rsid w:val="32CF5169"/>
    <w:rsid w:val="32DE333B"/>
    <w:rsid w:val="32E0517A"/>
    <w:rsid w:val="32E416F8"/>
    <w:rsid w:val="32F373AF"/>
    <w:rsid w:val="32F9258D"/>
    <w:rsid w:val="32F936B9"/>
    <w:rsid w:val="3304078C"/>
    <w:rsid w:val="33065200"/>
    <w:rsid w:val="330669AB"/>
    <w:rsid w:val="330941D0"/>
    <w:rsid w:val="3316282F"/>
    <w:rsid w:val="3318152A"/>
    <w:rsid w:val="331F12E0"/>
    <w:rsid w:val="332548DB"/>
    <w:rsid w:val="332A0A74"/>
    <w:rsid w:val="3339544C"/>
    <w:rsid w:val="33476D5D"/>
    <w:rsid w:val="334906CF"/>
    <w:rsid w:val="334B367E"/>
    <w:rsid w:val="335E1AA0"/>
    <w:rsid w:val="335F55E8"/>
    <w:rsid w:val="33667F6B"/>
    <w:rsid w:val="336A75CB"/>
    <w:rsid w:val="336B2B9B"/>
    <w:rsid w:val="336C27D4"/>
    <w:rsid w:val="336F3E90"/>
    <w:rsid w:val="33703D75"/>
    <w:rsid w:val="33714016"/>
    <w:rsid w:val="33721394"/>
    <w:rsid w:val="33744544"/>
    <w:rsid w:val="33765BB2"/>
    <w:rsid w:val="33821E6D"/>
    <w:rsid w:val="33892BBD"/>
    <w:rsid w:val="338E219B"/>
    <w:rsid w:val="339D6EB4"/>
    <w:rsid w:val="339F678B"/>
    <w:rsid w:val="33B119E6"/>
    <w:rsid w:val="33B75956"/>
    <w:rsid w:val="33BC14D0"/>
    <w:rsid w:val="33C66CB0"/>
    <w:rsid w:val="33E65B5E"/>
    <w:rsid w:val="33EA69AB"/>
    <w:rsid w:val="33ED73B3"/>
    <w:rsid w:val="33F55E26"/>
    <w:rsid w:val="33F71F21"/>
    <w:rsid w:val="33F82B7B"/>
    <w:rsid w:val="340035F8"/>
    <w:rsid w:val="340D2C80"/>
    <w:rsid w:val="341045C6"/>
    <w:rsid w:val="34175F5B"/>
    <w:rsid w:val="341B4888"/>
    <w:rsid w:val="34201D6D"/>
    <w:rsid w:val="342D660F"/>
    <w:rsid w:val="3431662F"/>
    <w:rsid w:val="34355F56"/>
    <w:rsid w:val="34486BAD"/>
    <w:rsid w:val="344F0D6D"/>
    <w:rsid w:val="344F426E"/>
    <w:rsid w:val="345A2A88"/>
    <w:rsid w:val="345A5530"/>
    <w:rsid w:val="345B16AA"/>
    <w:rsid w:val="346B5553"/>
    <w:rsid w:val="347502F3"/>
    <w:rsid w:val="347573B0"/>
    <w:rsid w:val="34784E50"/>
    <w:rsid w:val="347E4209"/>
    <w:rsid w:val="34866A39"/>
    <w:rsid w:val="348A1F8F"/>
    <w:rsid w:val="349259C1"/>
    <w:rsid w:val="349D1BA2"/>
    <w:rsid w:val="349E13B8"/>
    <w:rsid w:val="349F2526"/>
    <w:rsid w:val="34A32C53"/>
    <w:rsid w:val="34AF6380"/>
    <w:rsid w:val="34B0189A"/>
    <w:rsid w:val="34BB6FFA"/>
    <w:rsid w:val="34C21DBC"/>
    <w:rsid w:val="34C962C4"/>
    <w:rsid w:val="34E564DD"/>
    <w:rsid w:val="34E635E9"/>
    <w:rsid w:val="34E77D15"/>
    <w:rsid w:val="34FA50F9"/>
    <w:rsid w:val="35016E36"/>
    <w:rsid w:val="35046C8A"/>
    <w:rsid w:val="350F1EB7"/>
    <w:rsid w:val="35141704"/>
    <w:rsid w:val="35170299"/>
    <w:rsid w:val="351F50D6"/>
    <w:rsid w:val="352423C7"/>
    <w:rsid w:val="3527265C"/>
    <w:rsid w:val="3528185A"/>
    <w:rsid w:val="352D711A"/>
    <w:rsid w:val="3530558B"/>
    <w:rsid w:val="35374AB4"/>
    <w:rsid w:val="3542287E"/>
    <w:rsid w:val="35470485"/>
    <w:rsid w:val="35514614"/>
    <w:rsid w:val="35623754"/>
    <w:rsid w:val="35690D20"/>
    <w:rsid w:val="356B0C50"/>
    <w:rsid w:val="356D5162"/>
    <w:rsid w:val="356F5D10"/>
    <w:rsid w:val="357E3951"/>
    <w:rsid w:val="358827A8"/>
    <w:rsid w:val="35893419"/>
    <w:rsid w:val="358B208E"/>
    <w:rsid w:val="359C225D"/>
    <w:rsid w:val="35A11EA9"/>
    <w:rsid w:val="35A22726"/>
    <w:rsid w:val="35A378DA"/>
    <w:rsid w:val="35A72F6A"/>
    <w:rsid w:val="35AC4C26"/>
    <w:rsid w:val="35BC557C"/>
    <w:rsid w:val="35C05805"/>
    <w:rsid w:val="35C124A4"/>
    <w:rsid w:val="35C3177C"/>
    <w:rsid w:val="35C8637D"/>
    <w:rsid w:val="35C918CC"/>
    <w:rsid w:val="35CB17E4"/>
    <w:rsid w:val="35E06579"/>
    <w:rsid w:val="35E55E6D"/>
    <w:rsid w:val="35F90E19"/>
    <w:rsid w:val="361633F8"/>
    <w:rsid w:val="361A6CFE"/>
    <w:rsid w:val="361B0884"/>
    <w:rsid w:val="36250DFE"/>
    <w:rsid w:val="36251464"/>
    <w:rsid w:val="3626233A"/>
    <w:rsid w:val="3626419D"/>
    <w:rsid w:val="362D006F"/>
    <w:rsid w:val="362D2A74"/>
    <w:rsid w:val="363D343D"/>
    <w:rsid w:val="3648247C"/>
    <w:rsid w:val="36550397"/>
    <w:rsid w:val="36563BD9"/>
    <w:rsid w:val="365D4412"/>
    <w:rsid w:val="3667783B"/>
    <w:rsid w:val="366C6F2F"/>
    <w:rsid w:val="367251DB"/>
    <w:rsid w:val="367754C6"/>
    <w:rsid w:val="367D02AB"/>
    <w:rsid w:val="36807409"/>
    <w:rsid w:val="36817592"/>
    <w:rsid w:val="368225E2"/>
    <w:rsid w:val="368974D5"/>
    <w:rsid w:val="368B3FBF"/>
    <w:rsid w:val="36937486"/>
    <w:rsid w:val="369839D9"/>
    <w:rsid w:val="369B409C"/>
    <w:rsid w:val="36A03B72"/>
    <w:rsid w:val="36A04CCE"/>
    <w:rsid w:val="36A43512"/>
    <w:rsid w:val="36AA3D9F"/>
    <w:rsid w:val="36AC5F7C"/>
    <w:rsid w:val="36B65A93"/>
    <w:rsid w:val="36BD7D49"/>
    <w:rsid w:val="36C2352B"/>
    <w:rsid w:val="36C37BFF"/>
    <w:rsid w:val="36CA58A9"/>
    <w:rsid w:val="36D22764"/>
    <w:rsid w:val="36DD0755"/>
    <w:rsid w:val="36DD340B"/>
    <w:rsid w:val="36DD36FB"/>
    <w:rsid w:val="36DD498F"/>
    <w:rsid w:val="36DF3FED"/>
    <w:rsid w:val="36E341AC"/>
    <w:rsid w:val="36E950F9"/>
    <w:rsid w:val="36EA5AB5"/>
    <w:rsid w:val="37021D8D"/>
    <w:rsid w:val="370224BF"/>
    <w:rsid w:val="37052FD8"/>
    <w:rsid w:val="370B5D35"/>
    <w:rsid w:val="37125FB4"/>
    <w:rsid w:val="37143FB0"/>
    <w:rsid w:val="371B634B"/>
    <w:rsid w:val="371D146B"/>
    <w:rsid w:val="371E0643"/>
    <w:rsid w:val="372C1237"/>
    <w:rsid w:val="372C3815"/>
    <w:rsid w:val="372D3DB5"/>
    <w:rsid w:val="37304E3F"/>
    <w:rsid w:val="37317D8F"/>
    <w:rsid w:val="37336D8F"/>
    <w:rsid w:val="373D5CAD"/>
    <w:rsid w:val="374304CE"/>
    <w:rsid w:val="37453B62"/>
    <w:rsid w:val="374C0125"/>
    <w:rsid w:val="374E1600"/>
    <w:rsid w:val="37543FF2"/>
    <w:rsid w:val="37574C93"/>
    <w:rsid w:val="375D61AA"/>
    <w:rsid w:val="37661E42"/>
    <w:rsid w:val="37675489"/>
    <w:rsid w:val="376D588B"/>
    <w:rsid w:val="37773074"/>
    <w:rsid w:val="378335FD"/>
    <w:rsid w:val="378B2E67"/>
    <w:rsid w:val="3790351D"/>
    <w:rsid w:val="3791021F"/>
    <w:rsid w:val="37951011"/>
    <w:rsid w:val="379D59A4"/>
    <w:rsid w:val="379E47C0"/>
    <w:rsid w:val="37A33C7F"/>
    <w:rsid w:val="37A61D66"/>
    <w:rsid w:val="37A82ECE"/>
    <w:rsid w:val="37B9455E"/>
    <w:rsid w:val="37BA5196"/>
    <w:rsid w:val="37C370C7"/>
    <w:rsid w:val="37D43A19"/>
    <w:rsid w:val="37E469E1"/>
    <w:rsid w:val="37F65E71"/>
    <w:rsid w:val="37FB1553"/>
    <w:rsid w:val="37FB3895"/>
    <w:rsid w:val="37FF9458"/>
    <w:rsid w:val="38063454"/>
    <w:rsid w:val="380E34DF"/>
    <w:rsid w:val="38105C1C"/>
    <w:rsid w:val="381204BE"/>
    <w:rsid w:val="38182A4E"/>
    <w:rsid w:val="38196AE0"/>
    <w:rsid w:val="381C7BC3"/>
    <w:rsid w:val="382025C0"/>
    <w:rsid w:val="38285806"/>
    <w:rsid w:val="382B418E"/>
    <w:rsid w:val="383572A3"/>
    <w:rsid w:val="383E45E3"/>
    <w:rsid w:val="384965C8"/>
    <w:rsid w:val="385C3E19"/>
    <w:rsid w:val="385C6BDB"/>
    <w:rsid w:val="38605773"/>
    <w:rsid w:val="3861430F"/>
    <w:rsid w:val="3874638A"/>
    <w:rsid w:val="3879329B"/>
    <w:rsid w:val="387D7C52"/>
    <w:rsid w:val="38841A10"/>
    <w:rsid w:val="389F4070"/>
    <w:rsid w:val="38A76110"/>
    <w:rsid w:val="38A91F04"/>
    <w:rsid w:val="38A92BFA"/>
    <w:rsid w:val="38AA4575"/>
    <w:rsid w:val="38AF3C79"/>
    <w:rsid w:val="38B64A15"/>
    <w:rsid w:val="38CD0C73"/>
    <w:rsid w:val="38D2778D"/>
    <w:rsid w:val="38D627CC"/>
    <w:rsid w:val="38D95074"/>
    <w:rsid w:val="38DB124D"/>
    <w:rsid w:val="38E50C64"/>
    <w:rsid w:val="38F04BE5"/>
    <w:rsid w:val="38F06668"/>
    <w:rsid w:val="38F10838"/>
    <w:rsid w:val="38F7685B"/>
    <w:rsid w:val="38F913AE"/>
    <w:rsid w:val="38FA67E5"/>
    <w:rsid w:val="38FA78FD"/>
    <w:rsid w:val="38FE01AD"/>
    <w:rsid w:val="390027D5"/>
    <w:rsid w:val="3903161C"/>
    <w:rsid w:val="39075B3A"/>
    <w:rsid w:val="39083839"/>
    <w:rsid w:val="390E39ED"/>
    <w:rsid w:val="39105059"/>
    <w:rsid w:val="39142ACF"/>
    <w:rsid w:val="3916415B"/>
    <w:rsid w:val="39211359"/>
    <w:rsid w:val="39285F2F"/>
    <w:rsid w:val="392D28BA"/>
    <w:rsid w:val="392F79AC"/>
    <w:rsid w:val="393570DE"/>
    <w:rsid w:val="39441DA8"/>
    <w:rsid w:val="394503FD"/>
    <w:rsid w:val="39502BED"/>
    <w:rsid w:val="395F7CB5"/>
    <w:rsid w:val="39690138"/>
    <w:rsid w:val="39690C34"/>
    <w:rsid w:val="396A7D11"/>
    <w:rsid w:val="396C2F7F"/>
    <w:rsid w:val="396D292A"/>
    <w:rsid w:val="396E0A26"/>
    <w:rsid w:val="397F7C3B"/>
    <w:rsid w:val="39806D8A"/>
    <w:rsid w:val="3983104B"/>
    <w:rsid w:val="398622D3"/>
    <w:rsid w:val="39874409"/>
    <w:rsid w:val="39886A7C"/>
    <w:rsid w:val="398C113D"/>
    <w:rsid w:val="39982881"/>
    <w:rsid w:val="39A17161"/>
    <w:rsid w:val="39A70488"/>
    <w:rsid w:val="39B30E15"/>
    <w:rsid w:val="39B45F0B"/>
    <w:rsid w:val="39CD0BC4"/>
    <w:rsid w:val="39D63FB2"/>
    <w:rsid w:val="39DC59EE"/>
    <w:rsid w:val="39DE4A50"/>
    <w:rsid w:val="39E35769"/>
    <w:rsid w:val="39E47FCC"/>
    <w:rsid w:val="3A0B6BB1"/>
    <w:rsid w:val="3A0D39F0"/>
    <w:rsid w:val="3A113550"/>
    <w:rsid w:val="3A175588"/>
    <w:rsid w:val="3A1F3A3B"/>
    <w:rsid w:val="3A2100EF"/>
    <w:rsid w:val="3A261AA7"/>
    <w:rsid w:val="3A266853"/>
    <w:rsid w:val="3A301012"/>
    <w:rsid w:val="3A3A53A4"/>
    <w:rsid w:val="3A3D3BAA"/>
    <w:rsid w:val="3A445FA5"/>
    <w:rsid w:val="3A4B027E"/>
    <w:rsid w:val="3A4F10A2"/>
    <w:rsid w:val="3A4F746C"/>
    <w:rsid w:val="3A5734FA"/>
    <w:rsid w:val="3A581CBF"/>
    <w:rsid w:val="3A590F2A"/>
    <w:rsid w:val="3A5C249D"/>
    <w:rsid w:val="3A665B22"/>
    <w:rsid w:val="3A713431"/>
    <w:rsid w:val="3A7E5DE6"/>
    <w:rsid w:val="3A843A4D"/>
    <w:rsid w:val="3A8B6207"/>
    <w:rsid w:val="3A8E4844"/>
    <w:rsid w:val="3A92624B"/>
    <w:rsid w:val="3A953B82"/>
    <w:rsid w:val="3A9F75B9"/>
    <w:rsid w:val="3AAD2218"/>
    <w:rsid w:val="3AB01ADA"/>
    <w:rsid w:val="3AC5307C"/>
    <w:rsid w:val="3AC6004A"/>
    <w:rsid w:val="3AC61F30"/>
    <w:rsid w:val="3AD109C6"/>
    <w:rsid w:val="3AD9616E"/>
    <w:rsid w:val="3AE71A62"/>
    <w:rsid w:val="3AF61F15"/>
    <w:rsid w:val="3B041831"/>
    <w:rsid w:val="3B1A42CC"/>
    <w:rsid w:val="3B1C1E79"/>
    <w:rsid w:val="3B27789D"/>
    <w:rsid w:val="3B2C2467"/>
    <w:rsid w:val="3B2F464A"/>
    <w:rsid w:val="3B37302C"/>
    <w:rsid w:val="3B3B6E98"/>
    <w:rsid w:val="3B3D3CA2"/>
    <w:rsid w:val="3B3D72CA"/>
    <w:rsid w:val="3B423CF7"/>
    <w:rsid w:val="3B441659"/>
    <w:rsid w:val="3B480DDD"/>
    <w:rsid w:val="3B595F5A"/>
    <w:rsid w:val="3B5A793D"/>
    <w:rsid w:val="3B5C530C"/>
    <w:rsid w:val="3B5F0507"/>
    <w:rsid w:val="3B653DBA"/>
    <w:rsid w:val="3B6D1CB4"/>
    <w:rsid w:val="3B6F9FB1"/>
    <w:rsid w:val="3B741AAC"/>
    <w:rsid w:val="3B8052C3"/>
    <w:rsid w:val="3B8246CD"/>
    <w:rsid w:val="3B87443E"/>
    <w:rsid w:val="3B887FA2"/>
    <w:rsid w:val="3B897AB8"/>
    <w:rsid w:val="3B8C0479"/>
    <w:rsid w:val="3B9C2FBB"/>
    <w:rsid w:val="3BA913E0"/>
    <w:rsid w:val="3BAB7A5F"/>
    <w:rsid w:val="3BB67D8B"/>
    <w:rsid w:val="3BCE0A74"/>
    <w:rsid w:val="3BD21182"/>
    <w:rsid w:val="3BDA738D"/>
    <w:rsid w:val="3BDC5551"/>
    <w:rsid w:val="3BDF05D3"/>
    <w:rsid w:val="3BE138DB"/>
    <w:rsid w:val="3BE512AE"/>
    <w:rsid w:val="3BE824B9"/>
    <w:rsid w:val="3BEF7950"/>
    <w:rsid w:val="3BEF7B26"/>
    <w:rsid w:val="3BF02B9D"/>
    <w:rsid w:val="3BFA0C3D"/>
    <w:rsid w:val="3BFE5D85"/>
    <w:rsid w:val="3C043F95"/>
    <w:rsid w:val="3C0F5878"/>
    <w:rsid w:val="3C285453"/>
    <w:rsid w:val="3C307231"/>
    <w:rsid w:val="3C3A0141"/>
    <w:rsid w:val="3C3D617D"/>
    <w:rsid w:val="3C3F1EA8"/>
    <w:rsid w:val="3C422B20"/>
    <w:rsid w:val="3C482B7A"/>
    <w:rsid w:val="3C4C0090"/>
    <w:rsid w:val="3C4C2A03"/>
    <w:rsid w:val="3C4D257A"/>
    <w:rsid w:val="3C4D374A"/>
    <w:rsid w:val="3C66104B"/>
    <w:rsid w:val="3C6B20EA"/>
    <w:rsid w:val="3C7334C1"/>
    <w:rsid w:val="3C74216A"/>
    <w:rsid w:val="3C8B74A5"/>
    <w:rsid w:val="3C9473A1"/>
    <w:rsid w:val="3C947D1A"/>
    <w:rsid w:val="3C952922"/>
    <w:rsid w:val="3CAE714B"/>
    <w:rsid w:val="3CBD3958"/>
    <w:rsid w:val="3CBF16CF"/>
    <w:rsid w:val="3CD47F35"/>
    <w:rsid w:val="3CD97FC4"/>
    <w:rsid w:val="3CDE630B"/>
    <w:rsid w:val="3CF85CFB"/>
    <w:rsid w:val="3CFA5EDC"/>
    <w:rsid w:val="3CFE01A1"/>
    <w:rsid w:val="3CFE7355"/>
    <w:rsid w:val="3D0612EA"/>
    <w:rsid w:val="3D085207"/>
    <w:rsid w:val="3D086834"/>
    <w:rsid w:val="3D131ECE"/>
    <w:rsid w:val="3D15731F"/>
    <w:rsid w:val="3D1F19BE"/>
    <w:rsid w:val="3D263E42"/>
    <w:rsid w:val="3D29681F"/>
    <w:rsid w:val="3D300C08"/>
    <w:rsid w:val="3D39468B"/>
    <w:rsid w:val="3D490827"/>
    <w:rsid w:val="3D564C52"/>
    <w:rsid w:val="3D583834"/>
    <w:rsid w:val="3D5D18D0"/>
    <w:rsid w:val="3D631BCA"/>
    <w:rsid w:val="3D6460CF"/>
    <w:rsid w:val="3D68158B"/>
    <w:rsid w:val="3D7E7F19"/>
    <w:rsid w:val="3D8F3FF7"/>
    <w:rsid w:val="3D9047D1"/>
    <w:rsid w:val="3D980A65"/>
    <w:rsid w:val="3D983AC2"/>
    <w:rsid w:val="3DA25212"/>
    <w:rsid w:val="3DA31942"/>
    <w:rsid w:val="3DA80431"/>
    <w:rsid w:val="3DB23472"/>
    <w:rsid w:val="3DB2680A"/>
    <w:rsid w:val="3DBB5F19"/>
    <w:rsid w:val="3DCF04CB"/>
    <w:rsid w:val="3DD415B7"/>
    <w:rsid w:val="3DD57C6E"/>
    <w:rsid w:val="3DDB74C3"/>
    <w:rsid w:val="3DE20AC9"/>
    <w:rsid w:val="3DE3607F"/>
    <w:rsid w:val="3DED14EF"/>
    <w:rsid w:val="3DF1596C"/>
    <w:rsid w:val="3DFE2540"/>
    <w:rsid w:val="3DFF62D8"/>
    <w:rsid w:val="3E067472"/>
    <w:rsid w:val="3E0F13B6"/>
    <w:rsid w:val="3E257B52"/>
    <w:rsid w:val="3E2B2AC2"/>
    <w:rsid w:val="3E2B5803"/>
    <w:rsid w:val="3E310323"/>
    <w:rsid w:val="3E360ECA"/>
    <w:rsid w:val="3E3D4574"/>
    <w:rsid w:val="3E3F1954"/>
    <w:rsid w:val="3E4107FF"/>
    <w:rsid w:val="3E584093"/>
    <w:rsid w:val="3E5A7B1C"/>
    <w:rsid w:val="3E5F0F3B"/>
    <w:rsid w:val="3E5F3259"/>
    <w:rsid w:val="3E661E7F"/>
    <w:rsid w:val="3E68346A"/>
    <w:rsid w:val="3E683AA1"/>
    <w:rsid w:val="3E6C0F10"/>
    <w:rsid w:val="3E6C1FC0"/>
    <w:rsid w:val="3E6D41D2"/>
    <w:rsid w:val="3E71059E"/>
    <w:rsid w:val="3E785AC7"/>
    <w:rsid w:val="3E7E1083"/>
    <w:rsid w:val="3E994CC9"/>
    <w:rsid w:val="3EA22FCD"/>
    <w:rsid w:val="3EAE12D6"/>
    <w:rsid w:val="3EB51B23"/>
    <w:rsid w:val="3EB54DDA"/>
    <w:rsid w:val="3EBB2C7C"/>
    <w:rsid w:val="3ECB76CA"/>
    <w:rsid w:val="3ECD3267"/>
    <w:rsid w:val="3ED43E36"/>
    <w:rsid w:val="3EDA1598"/>
    <w:rsid w:val="3EE13C37"/>
    <w:rsid w:val="3EE508DA"/>
    <w:rsid w:val="3EF16923"/>
    <w:rsid w:val="3EFF0DE7"/>
    <w:rsid w:val="3F040FA1"/>
    <w:rsid w:val="3F1058E1"/>
    <w:rsid w:val="3F1973CB"/>
    <w:rsid w:val="3F1A5214"/>
    <w:rsid w:val="3F1D6DDF"/>
    <w:rsid w:val="3F284C29"/>
    <w:rsid w:val="3F2965B0"/>
    <w:rsid w:val="3F2F55AC"/>
    <w:rsid w:val="3F321DB1"/>
    <w:rsid w:val="3F3B18C1"/>
    <w:rsid w:val="3F3C6A4D"/>
    <w:rsid w:val="3F3E5500"/>
    <w:rsid w:val="3F3F24D2"/>
    <w:rsid w:val="3F4C0ECE"/>
    <w:rsid w:val="3F4C7D86"/>
    <w:rsid w:val="3F4D7F7F"/>
    <w:rsid w:val="3F4F2DC6"/>
    <w:rsid w:val="3F563256"/>
    <w:rsid w:val="3F564298"/>
    <w:rsid w:val="3F5A4CDA"/>
    <w:rsid w:val="3F6076C0"/>
    <w:rsid w:val="3F696CAF"/>
    <w:rsid w:val="3F720B78"/>
    <w:rsid w:val="3F74557E"/>
    <w:rsid w:val="3F753474"/>
    <w:rsid w:val="3F7D0440"/>
    <w:rsid w:val="3F7F7FF3"/>
    <w:rsid w:val="3F8006A9"/>
    <w:rsid w:val="3F8B1E1A"/>
    <w:rsid w:val="3F9C5EFA"/>
    <w:rsid w:val="3FA45435"/>
    <w:rsid w:val="3FA579DD"/>
    <w:rsid w:val="3FAA65BF"/>
    <w:rsid w:val="3FAD2599"/>
    <w:rsid w:val="3FAE0EFF"/>
    <w:rsid w:val="3FB46F02"/>
    <w:rsid w:val="3FB623E4"/>
    <w:rsid w:val="3FB73DF3"/>
    <w:rsid w:val="3FBD7050"/>
    <w:rsid w:val="3FC20C75"/>
    <w:rsid w:val="3FC658CC"/>
    <w:rsid w:val="3FCB2696"/>
    <w:rsid w:val="3FCFCA0D"/>
    <w:rsid w:val="3FD818F1"/>
    <w:rsid w:val="3FDA21FC"/>
    <w:rsid w:val="3FDC2112"/>
    <w:rsid w:val="3FDF1282"/>
    <w:rsid w:val="3FEE4314"/>
    <w:rsid w:val="3FF370A9"/>
    <w:rsid w:val="3FF461FC"/>
    <w:rsid w:val="3FFE5B17"/>
    <w:rsid w:val="3FFF7404"/>
    <w:rsid w:val="40044C93"/>
    <w:rsid w:val="400E3A1F"/>
    <w:rsid w:val="401048F4"/>
    <w:rsid w:val="40171A00"/>
    <w:rsid w:val="401D5FE9"/>
    <w:rsid w:val="40252C0A"/>
    <w:rsid w:val="40270709"/>
    <w:rsid w:val="40292706"/>
    <w:rsid w:val="402B0C48"/>
    <w:rsid w:val="402B1D20"/>
    <w:rsid w:val="402C4590"/>
    <w:rsid w:val="402D01C7"/>
    <w:rsid w:val="403646E7"/>
    <w:rsid w:val="40377B74"/>
    <w:rsid w:val="40402E78"/>
    <w:rsid w:val="40421709"/>
    <w:rsid w:val="40447AA5"/>
    <w:rsid w:val="40494231"/>
    <w:rsid w:val="40495865"/>
    <w:rsid w:val="404E55B3"/>
    <w:rsid w:val="404E6297"/>
    <w:rsid w:val="40637641"/>
    <w:rsid w:val="4065329B"/>
    <w:rsid w:val="40662580"/>
    <w:rsid w:val="4067535D"/>
    <w:rsid w:val="406B1CE7"/>
    <w:rsid w:val="40702568"/>
    <w:rsid w:val="4073674A"/>
    <w:rsid w:val="40757CEF"/>
    <w:rsid w:val="407626B1"/>
    <w:rsid w:val="40857E88"/>
    <w:rsid w:val="408F5705"/>
    <w:rsid w:val="40943B76"/>
    <w:rsid w:val="40973EDE"/>
    <w:rsid w:val="40986526"/>
    <w:rsid w:val="409D1162"/>
    <w:rsid w:val="409F68AF"/>
    <w:rsid w:val="40A01473"/>
    <w:rsid w:val="40A81D1C"/>
    <w:rsid w:val="40AF2A9F"/>
    <w:rsid w:val="40B20DE1"/>
    <w:rsid w:val="40B45912"/>
    <w:rsid w:val="40B73A94"/>
    <w:rsid w:val="40B8075F"/>
    <w:rsid w:val="40C04147"/>
    <w:rsid w:val="40C83C56"/>
    <w:rsid w:val="40D00C93"/>
    <w:rsid w:val="40D37DD7"/>
    <w:rsid w:val="40E21244"/>
    <w:rsid w:val="40E2539C"/>
    <w:rsid w:val="40F53D51"/>
    <w:rsid w:val="40F626C2"/>
    <w:rsid w:val="40F654C1"/>
    <w:rsid w:val="40F775E8"/>
    <w:rsid w:val="410462A7"/>
    <w:rsid w:val="41080277"/>
    <w:rsid w:val="410B24BF"/>
    <w:rsid w:val="41183E77"/>
    <w:rsid w:val="412020E6"/>
    <w:rsid w:val="412504FD"/>
    <w:rsid w:val="41267C1A"/>
    <w:rsid w:val="41384506"/>
    <w:rsid w:val="413E1684"/>
    <w:rsid w:val="414548A4"/>
    <w:rsid w:val="414904A8"/>
    <w:rsid w:val="414E3B1D"/>
    <w:rsid w:val="414E44F6"/>
    <w:rsid w:val="414E61EE"/>
    <w:rsid w:val="41551A8D"/>
    <w:rsid w:val="415F1258"/>
    <w:rsid w:val="41654D32"/>
    <w:rsid w:val="41701D00"/>
    <w:rsid w:val="417121F4"/>
    <w:rsid w:val="41754CB1"/>
    <w:rsid w:val="4178353E"/>
    <w:rsid w:val="417B782B"/>
    <w:rsid w:val="41845AB0"/>
    <w:rsid w:val="418C3E66"/>
    <w:rsid w:val="418F5FD1"/>
    <w:rsid w:val="419650BA"/>
    <w:rsid w:val="419664DE"/>
    <w:rsid w:val="419944F2"/>
    <w:rsid w:val="41A444A4"/>
    <w:rsid w:val="41AD43A9"/>
    <w:rsid w:val="41B77612"/>
    <w:rsid w:val="41BC0D85"/>
    <w:rsid w:val="41C75C4C"/>
    <w:rsid w:val="41C97F61"/>
    <w:rsid w:val="41CA5EE5"/>
    <w:rsid w:val="41D520B1"/>
    <w:rsid w:val="41D6316C"/>
    <w:rsid w:val="41DD0A62"/>
    <w:rsid w:val="41E62749"/>
    <w:rsid w:val="41EB2497"/>
    <w:rsid w:val="41EC6190"/>
    <w:rsid w:val="41FD659E"/>
    <w:rsid w:val="42002100"/>
    <w:rsid w:val="42013120"/>
    <w:rsid w:val="4209221D"/>
    <w:rsid w:val="420D6450"/>
    <w:rsid w:val="420E3588"/>
    <w:rsid w:val="42220595"/>
    <w:rsid w:val="42246C61"/>
    <w:rsid w:val="42284525"/>
    <w:rsid w:val="42377430"/>
    <w:rsid w:val="423C52CE"/>
    <w:rsid w:val="424A3C0B"/>
    <w:rsid w:val="424F1C9B"/>
    <w:rsid w:val="425552F5"/>
    <w:rsid w:val="425A57E6"/>
    <w:rsid w:val="426058EC"/>
    <w:rsid w:val="42617A94"/>
    <w:rsid w:val="4263795D"/>
    <w:rsid w:val="4268483A"/>
    <w:rsid w:val="42726B7A"/>
    <w:rsid w:val="42741E76"/>
    <w:rsid w:val="427B110C"/>
    <w:rsid w:val="42845BD5"/>
    <w:rsid w:val="42884DA9"/>
    <w:rsid w:val="428C0A71"/>
    <w:rsid w:val="42902BFA"/>
    <w:rsid w:val="42B31A35"/>
    <w:rsid w:val="42B33DBF"/>
    <w:rsid w:val="42C90CBC"/>
    <w:rsid w:val="42E3613E"/>
    <w:rsid w:val="42F0117C"/>
    <w:rsid w:val="42F809C0"/>
    <w:rsid w:val="430567F4"/>
    <w:rsid w:val="43097FBD"/>
    <w:rsid w:val="431018E9"/>
    <w:rsid w:val="43140D07"/>
    <w:rsid w:val="4315226B"/>
    <w:rsid w:val="431B5EF8"/>
    <w:rsid w:val="43201572"/>
    <w:rsid w:val="432748D3"/>
    <w:rsid w:val="432C0539"/>
    <w:rsid w:val="432E6BFD"/>
    <w:rsid w:val="43370D31"/>
    <w:rsid w:val="433A6F1A"/>
    <w:rsid w:val="433E6820"/>
    <w:rsid w:val="434D2FC7"/>
    <w:rsid w:val="43526CE9"/>
    <w:rsid w:val="436779E3"/>
    <w:rsid w:val="436D2959"/>
    <w:rsid w:val="436F6B33"/>
    <w:rsid w:val="43705C94"/>
    <w:rsid w:val="438A217A"/>
    <w:rsid w:val="438F2310"/>
    <w:rsid w:val="43AE1E0B"/>
    <w:rsid w:val="43B65AD8"/>
    <w:rsid w:val="43B86E4B"/>
    <w:rsid w:val="43BC7D95"/>
    <w:rsid w:val="43BE46BC"/>
    <w:rsid w:val="43C25684"/>
    <w:rsid w:val="43C333C9"/>
    <w:rsid w:val="43D021B8"/>
    <w:rsid w:val="43D13E48"/>
    <w:rsid w:val="43D45E74"/>
    <w:rsid w:val="43D6135A"/>
    <w:rsid w:val="43DA1A1A"/>
    <w:rsid w:val="43E16585"/>
    <w:rsid w:val="43E44927"/>
    <w:rsid w:val="43E47CF8"/>
    <w:rsid w:val="43E86A11"/>
    <w:rsid w:val="43E905D5"/>
    <w:rsid w:val="43EA7CCC"/>
    <w:rsid w:val="43EC5345"/>
    <w:rsid w:val="43ED0FBF"/>
    <w:rsid w:val="43EE0EBF"/>
    <w:rsid w:val="43EF7CC4"/>
    <w:rsid w:val="440E6C05"/>
    <w:rsid w:val="44197C30"/>
    <w:rsid w:val="441A0E82"/>
    <w:rsid w:val="441B6605"/>
    <w:rsid w:val="441E490A"/>
    <w:rsid w:val="44245923"/>
    <w:rsid w:val="44261835"/>
    <w:rsid w:val="442A502C"/>
    <w:rsid w:val="442C15F9"/>
    <w:rsid w:val="442F40E1"/>
    <w:rsid w:val="443057BB"/>
    <w:rsid w:val="443D357F"/>
    <w:rsid w:val="443F50DD"/>
    <w:rsid w:val="443F5C36"/>
    <w:rsid w:val="444A0D6E"/>
    <w:rsid w:val="444C30B5"/>
    <w:rsid w:val="445B5D87"/>
    <w:rsid w:val="446717F0"/>
    <w:rsid w:val="446F57C8"/>
    <w:rsid w:val="4477311B"/>
    <w:rsid w:val="447E4DCF"/>
    <w:rsid w:val="447F16DA"/>
    <w:rsid w:val="448239F1"/>
    <w:rsid w:val="44832ABA"/>
    <w:rsid w:val="4490299A"/>
    <w:rsid w:val="449314FA"/>
    <w:rsid w:val="449B6BF2"/>
    <w:rsid w:val="449E7ABB"/>
    <w:rsid w:val="44B343F0"/>
    <w:rsid w:val="44B650A8"/>
    <w:rsid w:val="44B76F4F"/>
    <w:rsid w:val="44B83943"/>
    <w:rsid w:val="44BA1249"/>
    <w:rsid w:val="44BC784B"/>
    <w:rsid w:val="44BE0BD5"/>
    <w:rsid w:val="44BE4E25"/>
    <w:rsid w:val="44CB7F4C"/>
    <w:rsid w:val="44D7201B"/>
    <w:rsid w:val="44DC7639"/>
    <w:rsid w:val="44DD294D"/>
    <w:rsid w:val="44E07A7B"/>
    <w:rsid w:val="44E13CF1"/>
    <w:rsid w:val="44E20888"/>
    <w:rsid w:val="44E8029F"/>
    <w:rsid w:val="44EC343C"/>
    <w:rsid w:val="44FD785C"/>
    <w:rsid w:val="44FE7057"/>
    <w:rsid w:val="4509235A"/>
    <w:rsid w:val="45094185"/>
    <w:rsid w:val="45101561"/>
    <w:rsid w:val="45192FEC"/>
    <w:rsid w:val="4520463E"/>
    <w:rsid w:val="452B5264"/>
    <w:rsid w:val="45434109"/>
    <w:rsid w:val="45592D63"/>
    <w:rsid w:val="455D124D"/>
    <w:rsid w:val="455F2CEA"/>
    <w:rsid w:val="45677445"/>
    <w:rsid w:val="456936DC"/>
    <w:rsid w:val="456C4EB5"/>
    <w:rsid w:val="456F4E2F"/>
    <w:rsid w:val="45712553"/>
    <w:rsid w:val="45773B7E"/>
    <w:rsid w:val="457C4ECD"/>
    <w:rsid w:val="457E65B7"/>
    <w:rsid w:val="458062EE"/>
    <w:rsid w:val="45825B3E"/>
    <w:rsid w:val="458A6690"/>
    <w:rsid w:val="459114C0"/>
    <w:rsid w:val="459946FB"/>
    <w:rsid w:val="459B7187"/>
    <w:rsid w:val="459F0786"/>
    <w:rsid w:val="45A0344A"/>
    <w:rsid w:val="45A22FC8"/>
    <w:rsid w:val="45A502CA"/>
    <w:rsid w:val="45AE044C"/>
    <w:rsid w:val="45AF0C47"/>
    <w:rsid w:val="45B8208F"/>
    <w:rsid w:val="45B8363C"/>
    <w:rsid w:val="45C02DFA"/>
    <w:rsid w:val="45C16F33"/>
    <w:rsid w:val="45D17BE9"/>
    <w:rsid w:val="45D9747F"/>
    <w:rsid w:val="45E636D2"/>
    <w:rsid w:val="45E67FDD"/>
    <w:rsid w:val="45E830FB"/>
    <w:rsid w:val="45F63C65"/>
    <w:rsid w:val="45FF5D2C"/>
    <w:rsid w:val="460C6331"/>
    <w:rsid w:val="46105782"/>
    <w:rsid w:val="461061B4"/>
    <w:rsid w:val="46285CBD"/>
    <w:rsid w:val="464B443F"/>
    <w:rsid w:val="465E35DE"/>
    <w:rsid w:val="466A73B6"/>
    <w:rsid w:val="467D7EA1"/>
    <w:rsid w:val="46824574"/>
    <w:rsid w:val="468F0C8A"/>
    <w:rsid w:val="469075AA"/>
    <w:rsid w:val="46955F9A"/>
    <w:rsid w:val="46960FCC"/>
    <w:rsid w:val="469741B1"/>
    <w:rsid w:val="46B760F0"/>
    <w:rsid w:val="46C03CE0"/>
    <w:rsid w:val="46CD22A1"/>
    <w:rsid w:val="46D0233C"/>
    <w:rsid w:val="46D625C6"/>
    <w:rsid w:val="46EB1A13"/>
    <w:rsid w:val="46F441D2"/>
    <w:rsid w:val="46F92C72"/>
    <w:rsid w:val="46FC2F16"/>
    <w:rsid w:val="470466C7"/>
    <w:rsid w:val="470D791B"/>
    <w:rsid w:val="471524E0"/>
    <w:rsid w:val="471B7EBB"/>
    <w:rsid w:val="472620DC"/>
    <w:rsid w:val="472B77E1"/>
    <w:rsid w:val="47424A56"/>
    <w:rsid w:val="47427082"/>
    <w:rsid w:val="47475485"/>
    <w:rsid w:val="474D3D6A"/>
    <w:rsid w:val="474E128F"/>
    <w:rsid w:val="47503311"/>
    <w:rsid w:val="475309A3"/>
    <w:rsid w:val="4756338B"/>
    <w:rsid w:val="475B365D"/>
    <w:rsid w:val="476D1CE2"/>
    <w:rsid w:val="47740FA0"/>
    <w:rsid w:val="477A582F"/>
    <w:rsid w:val="478B3F8F"/>
    <w:rsid w:val="47906C22"/>
    <w:rsid w:val="479A5511"/>
    <w:rsid w:val="479A6A1B"/>
    <w:rsid w:val="479A761A"/>
    <w:rsid w:val="47AA0552"/>
    <w:rsid w:val="47AB389F"/>
    <w:rsid w:val="47BC5774"/>
    <w:rsid w:val="47D408E5"/>
    <w:rsid w:val="47D56367"/>
    <w:rsid w:val="47E50E40"/>
    <w:rsid w:val="47E811F6"/>
    <w:rsid w:val="47EA730D"/>
    <w:rsid w:val="47F801C5"/>
    <w:rsid w:val="480F453A"/>
    <w:rsid w:val="481A0BA0"/>
    <w:rsid w:val="48202281"/>
    <w:rsid w:val="48203790"/>
    <w:rsid w:val="48256AC9"/>
    <w:rsid w:val="48294E6C"/>
    <w:rsid w:val="483502D9"/>
    <w:rsid w:val="48373F70"/>
    <w:rsid w:val="484A3F0A"/>
    <w:rsid w:val="485045B5"/>
    <w:rsid w:val="48526946"/>
    <w:rsid w:val="485B5F90"/>
    <w:rsid w:val="4860256C"/>
    <w:rsid w:val="486A28F0"/>
    <w:rsid w:val="486C3E45"/>
    <w:rsid w:val="486D10E6"/>
    <w:rsid w:val="48723CCE"/>
    <w:rsid w:val="487632BE"/>
    <w:rsid w:val="487A1D5B"/>
    <w:rsid w:val="48834857"/>
    <w:rsid w:val="48A3772A"/>
    <w:rsid w:val="48AB3C02"/>
    <w:rsid w:val="48B44F12"/>
    <w:rsid w:val="48B9518E"/>
    <w:rsid w:val="48C558EF"/>
    <w:rsid w:val="48C650F5"/>
    <w:rsid w:val="48CB67DC"/>
    <w:rsid w:val="48D013E2"/>
    <w:rsid w:val="48DA7953"/>
    <w:rsid w:val="48DC1A6D"/>
    <w:rsid w:val="48E12B09"/>
    <w:rsid w:val="48E47AD2"/>
    <w:rsid w:val="48F81257"/>
    <w:rsid w:val="48FE3712"/>
    <w:rsid w:val="490620AD"/>
    <w:rsid w:val="4908284C"/>
    <w:rsid w:val="49171400"/>
    <w:rsid w:val="492B034B"/>
    <w:rsid w:val="492E7EBE"/>
    <w:rsid w:val="494545C2"/>
    <w:rsid w:val="494D2D68"/>
    <w:rsid w:val="495245DA"/>
    <w:rsid w:val="495A0DC3"/>
    <w:rsid w:val="495B3BDE"/>
    <w:rsid w:val="4966041D"/>
    <w:rsid w:val="496F172F"/>
    <w:rsid w:val="49715972"/>
    <w:rsid w:val="49833D84"/>
    <w:rsid w:val="49851ADC"/>
    <w:rsid w:val="499168F1"/>
    <w:rsid w:val="49A452D1"/>
    <w:rsid w:val="49B138AB"/>
    <w:rsid w:val="49B458A0"/>
    <w:rsid w:val="49BC5D64"/>
    <w:rsid w:val="49BD0EA3"/>
    <w:rsid w:val="49C25335"/>
    <w:rsid w:val="49CC39B6"/>
    <w:rsid w:val="49CE5789"/>
    <w:rsid w:val="49D750AB"/>
    <w:rsid w:val="49EE0F10"/>
    <w:rsid w:val="4A050C18"/>
    <w:rsid w:val="4A156E49"/>
    <w:rsid w:val="4A1B553B"/>
    <w:rsid w:val="4A1E52CA"/>
    <w:rsid w:val="4A1F46B2"/>
    <w:rsid w:val="4A2450EC"/>
    <w:rsid w:val="4A2C491D"/>
    <w:rsid w:val="4A2F39D8"/>
    <w:rsid w:val="4A3311B2"/>
    <w:rsid w:val="4A370243"/>
    <w:rsid w:val="4A374A99"/>
    <w:rsid w:val="4A3C3EDB"/>
    <w:rsid w:val="4A3F1534"/>
    <w:rsid w:val="4A4B6BF8"/>
    <w:rsid w:val="4A6152C7"/>
    <w:rsid w:val="4A626E25"/>
    <w:rsid w:val="4A63165C"/>
    <w:rsid w:val="4A7B3DB6"/>
    <w:rsid w:val="4A7D65E2"/>
    <w:rsid w:val="4A7E3E3F"/>
    <w:rsid w:val="4A8244F3"/>
    <w:rsid w:val="4A8252A5"/>
    <w:rsid w:val="4A842484"/>
    <w:rsid w:val="4AA06C77"/>
    <w:rsid w:val="4AA50FEA"/>
    <w:rsid w:val="4AA76AC5"/>
    <w:rsid w:val="4AB03590"/>
    <w:rsid w:val="4AC44B9D"/>
    <w:rsid w:val="4AD332EC"/>
    <w:rsid w:val="4AD344D3"/>
    <w:rsid w:val="4AD72824"/>
    <w:rsid w:val="4ADC3DDA"/>
    <w:rsid w:val="4AE156B9"/>
    <w:rsid w:val="4AEA179C"/>
    <w:rsid w:val="4AEE21CE"/>
    <w:rsid w:val="4AEF5A12"/>
    <w:rsid w:val="4AF71A9D"/>
    <w:rsid w:val="4AFA7A4E"/>
    <w:rsid w:val="4B053C1F"/>
    <w:rsid w:val="4B06169D"/>
    <w:rsid w:val="4B0D224E"/>
    <w:rsid w:val="4B1C28AB"/>
    <w:rsid w:val="4B2710AD"/>
    <w:rsid w:val="4B3330E4"/>
    <w:rsid w:val="4B352BD7"/>
    <w:rsid w:val="4B3608B7"/>
    <w:rsid w:val="4B38721D"/>
    <w:rsid w:val="4B45758F"/>
    <w:rsid w:val="4B521879"/>
    <w:rsid w:val="4B535CBF"/>
    <w:rsid w:val="4B5937A7"/>
    <w:rsid w:val="4B742702"/>
    <w:rsid w:val="4B743790"/>
    <w:rsid w:val="4B765CCA"/>
    <w:rsid w:val="4B804673"/>
    <w:rsid w:val="4B815197"/>
    <w:rsid w:val="4B8C0F41"/>
    <w:rsid w:val="4B8D0373"/>
    <w:rsid w:val="4B8F6A37"/>
    <w:rsid w:val="4B9043E0"/>
    <w:rsid w:val="4B9161D4"/>
    <w:rsid w:val="4B935E43"/>
    <w:rsid w:val="4B952680"/>
    <w:rsid w:val="4BA22BA5"/>
    <w:rsid w:val="4BAE762F"/>
    <w:rsid w:val="4BB1140B"/>
    <w:rsid w:val="4BB5371A"/>
    <w:rsid w:val="4BB97BC0"/>
    <w:rsid w:val="4BC449F9"/>
    <w:rsid w:val="4BDC740D"/>
    <w:rsid w:val="4BDD521D"/>
    <w:rsid w:val="4BE94E04"/>
    <w:rsid w:val="4BEA5897"/>
    <w:rsid w:val="4BEB4982"/>
    <w:rsid w:val="4BF34B19"/>
    <w:rsid w:val="4BFD0668"/>
    <w:rsid w:val="4BFE2C55"/>
    <w:rsid w:val="4C011C51"/>
    <w:rsid w:val="4C03083C"/>
    <w:rsid w:val="4C0706AA"/>
    <w:rsid w:val="4C1B4BF1"/>
    <w:rsid w:val="4C223A3F"/>
    <w:rsid w:val="4C244BA1"/>
    <w:rsid w:val="4C2A09E0"/>
    <w:rsid w:val="4C2A79F9"/>
    <w:rsid w:val="4C33266C"/>
    <w:rsid w:val="4C3A56AA"/>
    <w:rsid w:val="4C434CEC"/>
    <w:rsid w:val="4C4759E2"/>
    <w:rsid w:val="4C475E84"/>
    <w:rsid w:val="4C495850"/>
    <w:rsid w:val="4C631C32"/>
    <w:rsid w:val="4C64461F"/>
    <w:rsid w:val="4C695592"/>
    <w:rsid w:val="4C7745A7"/>
    <w:rsid w:val="4C79662D"/>
    <w:rsid w:val="4C7A6472"/>
    <w:rsid w:val="4C867CFC"/>
    <w:rsid w:val="4C950C03"/>
    <w:rsid w:val="4C9F69BC"/>
    <w:rsid w:val="4CC333DC"/>
    <w:rsid w:val="4CD428F0"/>
    <w:rsid w:val="4CEB3B3D"/>
    <w:rsid w:val="4CEC2045"/>
    <w:rsid w:val="4CF54724"/>
    <w:rsid w:val="4CFB1437"/>
    <w:rsid w:val="4D04555A"/>
    <w:rsid w:val="4D0601CD"/>
    <w:rsid w:val="4D0D3A0E"/>
    <w:rsid w:val="4D1578CE"/>
    <w:rsid w:val="4D19368B"/>
    <w:rsid w:val="4D214F97"/>
    <w:rsid w:val="4D231272"/>
    <w:rsid w:val="4D236E02"/>
    <w:rsid w:val="4D2821ED"/>
    <w:rsid w:val="4D28466D"/>
    <w:rsid w:val="4D3856FA"/>
    <w:rsid w:val="4D4B4519"/>
    <w:rsid w:val="4D4C5051"/>
    <w:rsid w:val="4D740C2E"/>
    <w:rsid w:val="4D766C15"/>
    <w:rsid w:val="4D812220"/>
    <w:rsid w:val="4D8352B9"/>
    <w:rsid w:val="4D846F32"/>
    <w:rsid w:val="4D890F72"/>
    <w:rsid w:val="4D8C3144"/>
    <w:rsid w:val="4D8F025C"/>
    <w:rsid w:val="4D9D3544"/>
    <w:rsid w:val="4DA77EFF"/>
    <w:rsid w:val="4DAD3840"/>
    <w:rsid w:val="4DBB50DF"/>
    <w:rsid w:val="4DCB7585"/>
    <w:rsid w:val="4DD023D8"/>
    <w:rsid w:val="4DD63716"/>
    <w:rsid w:val="4DDA7673"/>
    <w:rsid w:val="4DDC65DB"/>
    <w:rsid w:val="4DE1424C"/>
    <w:rsid w:val="4DED51CB"/>
    <w:rsid w:val="4DEF28E8"/>
    <w:rsid w:val="4DF22BF9"/>
    <w:rsid w:val="4DF618A7"/>
    <w:rsid w:val="4E0F597F"/>
    <w:rsid w:val="4E1459C7"/>
    <w:rsid w:val="4E2A7FF8"/>
    <w:rsid w:val="4E327C14"/>
    <w:rsid w:val="4E3B623E"/>
    <w:rsid w:val="4E3D180C"/>
    <w:rsid w:val="4E4175DE"/>
    <w:rsid w:val="4E431508"/>
    <w:rsid w:val="4E43454D"/>
    <w:rsid w:val="4E445EBA"/>
    <w:rsid w:val="4E4C3D1A"/>
    <w:rsid w:val="4E4E4893"/>
    <w:rsid w:val="4E5220AB"/>
    <w:rsid w:val="4E535074"/>
    <w:rsid w:val="4E54356D"/>
    <w:rsid w:val="4E681694"/>
    <w:rsid w:val="4E7F38B6"/>
    <w:rsid w:val="4E8719C9"/>
    <w:rsid w:val="4E903634"/>
    <w:rsid w:val="4E906DD0"/>
    <w:rsid w:val="4E93563E"/>
    <w:rsid w:val="4E946D5C"/>
    <w:rsid w:val="4E96578B"/>
    <w:rsid w:val="4E973B8E"/>
    <w:rsid w:val="4E98737F"/>
    <w:rsid w:val="4EA30359"/>
    <w:rsid w:val="4EA31420"/>
    <w:rsid w:val="4EA552C5"/>
    <w:rsid w:val="4EA950EA"/>
    <w:rsid w:val="4EB54B65"/>
    <w:rsid w:val="4EB63BE5"/>
    <w:rsid w:val="4EB77C17"/>
    <w:rsid w:val="4EC645FD"/>
    <w:rsid w:val="4ED0535D"/>
    <w:rsid w:val="4ED12B6D"/>
    <w:rsid w:val="4EF5744A"/>
    <w:rsid w:val="4EF749F7"/>
    <w:rsid w:val="4EFA5F4F"/>
    <w:rsid w:val="4F0B0332"/>
    <w:rsid w:val="4F0D57F3"/>
    <w:rsid w:val="4F0F5FA6"/>
    <w:rsid w:val="4F1413C9"/>
    <w:rsid w:val="4F153399"/>
    <w:rsid w:val="4F1769C6"/>
    <w:rsid w:val="4F184EF1"/>
    <w:rsid w:val="4F1A4ADA"/>
    <w:rsid w:val="4F1A66AF"/>
    <w:rsid w:val="4F1B2D11"/>
    <w:rsid w:val="4F245D07"/>
    <w:rsid w:val="4F2624D1"/>
    <w:rsid w:val="4F292997"/>
    <w:rsid w:val="4F3247E2"/>
    <w:rsid w:val="4F342507"/>
    <w:rsid w:val="4F346C52"/>
    <w:rsid w:val="4F387611"/>
    <w:rsid w:val="4F4301F1"/>
    <w:rsid w:val="4F4D7B01"/>
    <w:rsid w:val="4F521E86"/>
    <w:rsid w:val="4F55591A"/>
    <w:rsid w:val="4F5F0245"/>
    <w:rsid w:val="4F6261B0"/>
    <w:rsid w:val="4F6619EB"/>
    <w:rsid w:val="4F726EDB"/>
    <w:rsid w:val="4F7B756D"/>
    <w:rsid w:val="4F7D6EAE"/>
    <w:rsid w:val="4F825AD2"/>
    <w:rsid w:val="4F877A1D"/>
    <w:rsid w:val="4F8D1D7A"/>
    <w:rsid w:val="4F97111B"/>
    <w:rsid w:val="4F9F1353"/>
    <w:rsid w:val="4FA51AEE"/>
    <w:rsid w:val="4FA56FEC"/>
    <w:rsid w:val="4FA714EB"/>
    <w:rsid w:val="4FAB6391"/>
    <w:rsid w:val="4FB67403"/>
    <w:rsid w:val="4FB95550"/>
    <w:rsid w:val="4FBC0DA0"/>
    <w:rsid w:val="4FC527EF"/>
    <w:rsid w:val="4FC82C0A"/>
    <w:rsid w:val="4FCE2514"/>
    <w:rsid w:val="4FD01D61"/>
    <w:rsid w:val="4FD87746"/>
    <w:rsid w:val="4FDB7C4D"/>
    <w:rsid w:val="4FDD40D0"/>
    <w:rsid w:val="4FE33EC7"/>
    <w:rsid w:val="4FE96943"/>
    <w:rsid w:val="4FED1115"/>
    <w:rsid w:val="4FF67472"/>
    <w:rsid w:val="4FFA7586"/>
    <w:rsid w:val="500355BD"/>
    <w:rsid w:val="500A57CA"/>
    <w:rsid w:val="500E3FFE"/>
    <w:rsid w:val="50195818"/>
    <w:rsid w:val="501C2D22"/>
    <w:rsid w:val="502D37C8"/>
    <w:rsid w:val="502E4BC6"/>
    <w:rsid w:val="503E6B2A"/>
    <w:rsid w:val="50627B20"/>
    <w:rsid w:val="50831AB2"/>
    <w:rsid w:val="508F1B8A"/>
    <w:rsid w:val="508F6E57"/>
    <w:rsid w:val="50A26736"/>
    <w:rsid w:val="50A33FD0"/>
    <w:rsid w:val="50AC5DE0"/>
    <w:rsid w:val="50B016AD"/>
    <w:rsid w:val="50B41C78"/>
    <w:rsid w:val="50BF5AE2"/>
    <w:rsid w:val="50C163B1"/>
    <w:rsid w:val="50C30739"/>
    <w:rsid w:val="50C55141"/>
    <w:rsid w:val="50D66BDC"/>
    <w:rsid w:val="50D9577F"/>
    <w:rsid w:val="50DB2025"/>
    <w:rsid w:val="50E008B2"/>
    <w:rsid w:val="50E531FB"/>
    <w:rsid w:val="50EE198B"/>
    <w:rsid w:val="50EF1029"/>
    <w:rsid w:val="50F4030C"/>
    <w:rsid w:val="510D0085"/>
    <w:rsid w:val="510D1B06"/>
    <w:rsid w:val="511154A6"/>
    <w:rsid w:val="51250591"/>
    <w:rsid w:val="512F12DA"/>
    <w:rsid w:val="51340BE2"/>
    <w:rsid w:val="51370A58"/>
    <w:rsid w:val="514261D9"/>
    <w:rsid w:val="51444098"/>
    <w:rsid w:val="51454433"/>
    <w:rsid w:val="51480A9B"/>
    <w:rsid w:val="51485E61"/>
    <w:rsid w:val="514C2D35"/>
    <w:rsid w:val="51602C71"/>
    <w:rsid w:val="5160430F"/>
    <w:rsid w:val="51612109"/>
    <w:rsid w:val="51633DA5"/>
    <w:rsid w:val="51674F6F"/>
    <w:rsid w:val="516E48ED"/>
    <w:rsid w:val="51786119"/>
    <w:rsid w:val="5179443E"/>
    <w:rsid w:val="517D6D9D"/>
    <w:rsid w:val="51823D9C"/>
    <w:rsid w:val="518432CE"/>
    <w:rsid w:val="51953846"/>
    <w:rsid w:val="51995657"/>
    <w:rsid w:val="519D1BF6"/>
    <w:rsid w:val="519F6431"/>
    <w:rsid w:val="51A749DE"/>
    <w:rsid w:val="51A76D8A"/>
    <w:rsid w:val="51A8013B"/>
    <w:rsid w:val="51B7353E"/>
    <w:rsid w:val="51B80AB5"/>
    <w:rsid w:val="51C44165"/>
    <w:rsid w:val="51C57BBE"/>
    <w:rsid w:val="51C60544"/>
    <w:rsid w:val="51C72C45"/>
    <w:rsid w:val="51C7717A"/>
    <w:rsid w:val="51CB7E6F"/>
    <w:rsid w:val="51CC4754"/>
    <w:rsid w:val="51D122DE"/>
    <w:rsid w:val="51DE7F3C"/>
    <w:rsid w:val="51DF5754"/>
    <w:rsid w:val="51F13637"/>
    <w:rsid w:val="51F576E3"/>
    <w:rsid w:val="5200005B"/>
    <w:rsid w:val="52000D7C"/>
    <w:rsid w:val="52040008"/>
    <w:rsid w:val="520C5DD9"/>
    <w:rsid w:val="520F661D"/>
    <w:rsid w:val="521473A9"/>
    <w:rsid w:val="52151D95"/>
    <w:rsid w:val="521E26D7"/>
    <w:rsid w:val="522B3BB4"/>
    <w:rsid w:val="52340946"/>
    <w:rsid w:val="52367184"/>
    <w:rsid w:val="523C36EA"/>
    <w:rsid w:val="52480628"/>
    <w:rsid w:val="52480904"/>
    <w:rsid w:val="524B5914"/>
    <w:rsid w:val="52532438"/>
    <w:rsid w:val="52617A5B"/>
    <w:rsid w:val="52791E7F"/>
    <w:rsid w:val="52793D4B"/>
    <w:rsid w:val="52805B8B"/>
    <w:rsid w:val="52942709"/>
    <w:rsid w:val="52A4105E"/>
    <w:rsid w:val="52A4443C"/>
    <w:rsid w:val="52A9481B"/>
    <w:rsid w:val="52AB0256"/>
    <w:rsid w:val="52AD15F3"/>
    <w:rsid w:val="52D87D3D"/>
    <w:rsid w:val="52DA6CF2"/>
    <w:rsid w:val="52E344BA"/>
    <w:rsid w:val="52E65A6B"/>
    <w:rsid w:val="52EA146C"/>
    <w:rsid w:val="52FC20FA"/>
    <w:rsid w:val="5302768C"/>
    <w:rsid w:val="530604A4"/>
    <w:rsid w:val="53072309"/>
    <w:rsid w:val="530B1DE9"/>
    <w:rsid w:val="53260AB1"/>
    <w:rsid w:val="53267A4B"/>
    <w:rsid w:val="53300893"/>
    <w:rsid w:val="533A3C38"/>
    <w:rsid w:val="534A0ADD"/>
    <w:rsid w:val="534D366E"/>
    <w:rsid w:val="535A7324"/>
    <w:rsid w:val="53635D4A"/>
    <w:rsid w:val="53651F33"/>
    <w:rsid w:val="536817C3"/>
    <w:rsid w:val="53720E5E"/>
    <w:rsid w:val="537F4AED"/>
    <w:rsid w:val="53850906"/>
    <w:rsid w:val="538A00E7"/>
    <w:rsid w:val="53974C36"/>
    <w:rsid w:val="53983944"/>
    <w:rsid w:val="53B47075"/>
    <w:rsid w:val="53C83972"/>
    <w:rsid w:val="53D05CCB"/>
    <w:rsid w:val="53E16492"/>
    <w:rsid w:val="53E6392D"/>
    <w:rsid w:val="53EE648C"/>
    <w:rsid w:val="53EF51A5"/>
    <w:rsid w:val="53F20731"/>
    <w:rsid w:val="53FA083C"/>
    <w:rsid w:val="53FE0ABD"/>
    <w:rsid w:val="54061638"/>
    <w:rsid w:val="540F084C"/>
    <w:rsid w:val="541A0EBC"/>
    <w:rsid w:val="541A4566"/>
    <w:rsid w:val="543714AE"/>
    <w:rsid w:val="54442815"/>
    <w:rsid w:val="54483684"/>
    <w:rsid w:val="544C01DA"/>
    <w:rsid w:val="544D0E23"/>
    <w:rsid w:val="544E2653"/>
    <w:rsid w:val="544E48B8"/>
    <w:rsid w:val="54591A6E"/>
    <w:rsid w:val="545A0487"/>
    <w:rsid w:val="545A60F8"/>
    <w:rsid w:val="546A007B"/>
    <w:rsid w:val="546B6193"/>
    <w:rsid w:val="5471248E"/>
    <w:rsid w:val="54770964"/>
    <w:rsid w:val="547A6D57"/>
    <w:rsid w:val="54822FF9"/>
    <w:rsid w:val="548A6427"/>
    <w:rsid w:val="548C776C"/>
    <w:rsid w:val="548F276C"/>
    <w:rsid w:val="54937DB3"/>
    <w:rsid w:val="549645CF"/>
    <w:rsid w:val="54970F78"/>
    <w:rsid w:val="54993DE4"/>
    <w:rsid w:val="54A00903"/>
    <w:rsid w:val="54A71DAF"/>
    <w:rsid w:val="54AA1AD3"/>
    <w:rsid w:val="54AB44F5"/>
    <w:rsid w:val="54BE6C3F"/>
    <w:rsid w:val="54CB5A26"/>
    <w:rsid w:val="54CD3B9D"/>
    <w:rsid w:val="54D45233"/>
    <w:rsid w:val="54D71FF7"/>
    <w:rsid w:val="54D95461"/>
    <w:rsid w:val="54DA2297"/>
    <w:rsid w:val="54DE58DF"/>
    <w:rsid w:val="54E0576E"/>
    <w:rsid w:val="54E20817"/>
    <w:rsid w:val="54E311BD"/>
    <w:rsid w:val="54E74716"/>
    <w:rsid w:val="54EE2310"/>
    <w:rsid w:val="54F55170"/>
    <w:rsid w:val="54F76DAB"/>
    <w:rsid w:val="54FF5B33"/>
    <w:rsid w:val="55226F39"/>
    <w:rsid w:val="552A14FF"/>
    <w:rsid w:val="552A2A52"/>
    <w:rsid w:val="552C35E6"/>
    <w:rsid w:val="55386DDC"/>
    <w:rsid w:val="553E79F5"/>
    <w:rsid w:val="55417AD8"/>
    <w:rsid w:val="554206BD"/>
    <w:rsid w:val="55445FAD"/>
    <w:rsid w:val="55561CC9"/>
    <w:rsid w:val="555C545A"/>
    <w:rsid w:val="55634E92"/>
    <w:rsid w:val="55667D3D"/>
    <w:rsid w:val="55674EC0"/>
    <w:rsid w:val="556936FC"/>
    <w:rsid w:val="55696ED4"/>
    <w:rsid w:val="556F0593"/>
    <w:rsid w:val="556F41C2"/>
    <w:rsid w:val="556F7CCA"/>
    <w:rsid w:val="55744AAC"/>
    <w:rsid w:val="55762948"/>
    <w:rsid w:val="5586298A"/>
    <w:rsid w:val="558F2973"/>
    <w:rsid w:val="55927B25"/>
    <w:rsid w:val="55943C59"/>
    <w:rsid w:val="55951E8A"/>
    <w:rsid w:val="55A00DCF"/>
    <w:rsid w:val="55A1359C"/>
    <w:rsid w:val="55B44652"/>
    <w:rsid w:val="55CA455A"/>
    <w:rsid w:val="55D20628"/>
    <w:rsid w:val="55FB322A"/>
    <w:rsid w:val="56013E1D"/>
    <w:rsid w:val="560C4C88"/>
    <w:rsid w:val="560E7BDD"/>
    <w:rsid w:val="560F7D0C"/>
    <w:rsid w:val="56120041"/>
    <w:rsid w:val="5614490A"/>
    <w:rsid w:val="56200281"/>
    <w:rsid w:val="56290373"/>
    <w:rsid w:val="564959AE"/>
    <w:rsid w:val="564E0951"/>
    <w:rsid w:val="564E5855"/>
    <w:rsid w:val="565E1DD5"/>
    <w:rsid w:val="56676CBE"/>
    <w:rsid w:val="566E14B4"/>
    <w:rsid w:val="566F24EF"/>
    <w:rsid w:val="566F7244"/>
    <w:rsid w:val="5674561B"/>
    <w:rsid w:val="567C52B7"/>
    <w:rsid w:val="567F1686"/>
    <w:rsid w:val="568335D4"/>
    <w:rsid w:val="56897433"/>
    <w:rsid w:val="568E1CE1"/>
    <w:rsid w:val="568F677E"/>
    <w:rsid w:val="56907745"/>
    <w:rsid w:val="56954886"/>
    <w:rsid w:val="56956F41"/>
    <w:rsid w:val="569D234B"/>
    <w:rsid w:val="56A7279A"/>
    <w:rsid w:val="56A77419"/>
    <w:rsid w:val="56A93196"/>
    <w:rsid w:val="56AF16AE"/>
    <w:rsid w:val="56B26D13"/>
    <w:rsid w:val="56B66756"/>
    <w:rsid w:val="56C4194C"/>
    <w:rsid w:val="56C808F4"/>
    <w:rsid w:val="56CE2826"/>
    <w:rsid w:val="56E228EC"/>
    <w:rsid w:val="56E43F36"/>
    <w:rsid w:val="56EB11CA"/>
    <w:rsid w:val="56EB6EE9"/>
    <w:rsid w:val="56EC4F4E"/>
    <w:rsid w:val="56EC641D"/>
    <w:rsid w:val="56EC68EB"/>
    <w:rsid w:val="56ED2D9C"/>
    <w:rsid w:val="56FB4813"/>
    <w:rsid w:val="57041A91"/>
    <w:rsid w:val="570976D0"/>
    <w:rsid w:val="571048F3"/>
    <w:rsid w:val="57120257"/>
    <w:rsid w:val="57194604"/>
    <w:rsid w:val="57254B10"/>
    <w:rsid w:val="57260CEC"/>
    <w:rsid w:val="572D2F99"/>
    <w:rsid w:val="572F2B39"/>
    <w:rsid w:val="573468DA"/>
    <w:rsid w:val="57372684"/>
    <w:rsid w:val="573C5C6D"/>
    <w:rsid w:val="575211BF"/>
    <w:rsid w:val="57606D7A"/>
    <w:rsid w:val="57616308"/>
    <w:rsid w:val="576D45A7"/>
    <w:rsid w:val="576F1A03"/>
    <w:rsid w:val="577B63BD"/>
    <w:rsid w:val="57852698"/>
    <w:rsid w:val="57866354"/>
    <w:rsid w:val="578D09AC"/>
    <w:rsid w:val="57970CDC"/>
    <w:rsid w:val="57A07EAE"/>
    <w:rsid w:val="57AA0C37"/>
    <w:rsid w:val="57AF06D0"/>
    <w:rsid w:val="57B63D95"/>
    <w:rsid w:val="57BA5048"/>
    <w:rsid w:val="57BB2935"/>
    <w:rsid w:val="57D30EB0"/>
    <w:rsid w:val="57D34659"/>
    <w:rsid w:val="57DB67E1"/>
    <w:rsid w:val="57E13001"/>
    <w:rsid w:val="57E169AD"/>
    <w:rsid w:val="57EC0F0C"/>
    <w:rsid w:val="57F708E2"/>
    <w:rsid w:val="580F46A3"/>
    <w:rsid w:val="581E1992"/>
    <w:rsid w:val="58426642"/>
    <w:rsid w:val="584A290C"/>
    <w:rsid w:val="584F1AF1"/>
    <w:rsid w:val="584F4273"/>
    <w:rsid w:val="585654A6"/>
    <w:rsid w:val="585E7CCA"/>
    <w:rsid w:val="58640031"/>
    <w:rsid w:val="58643BD6"/>
    <w:rsid w:val="586502A3"/>
    <w:rsid w:val="586B6DE2"/>
    <w:rsid w:val="58720266"/>
    <w:rsid w:val="587A797D"/>
    <w:rsid w:val="587E292F"/>
    <w:rsid w:val="588146D1"/>
    <w:rsid w:val="58930D00"/>
    <w:rsid w:val="589B3D8C"/>
    <w:rsid w:val="58A04E62"/>
    <w:rsid w:val="58A64A34"/>
    <w:rsid w:val="58AD71EE"/>
    <w:rsid w:val="58AF3964"/>
    <w:rsid w:val="58B43A65"/>
    <w:rsid w:val="58B53FCC"/>
    <w:rsid w:val="58B91776"/>
    <w:rsid w:val="58BA1F83"/>
    <w:rsid w:val="58C52946"/>
    <w:rsid w:val="58DE57AE"/>
    <w:rsid w:val="58DF4627"/>
    <w:rsid w:val="58E24148"/>
    <w:rsid w:val="58E717C4"/>
    <w:rsid w:val="58EA0118"/>
    <w:rsid w:val="58EB0EFE"/>
    <w:rsid w:val="58EB1D56"/>
    <w:rsid w:val="58F103BE"/>
    <w:rsid w:val="58F265FA"/>
    <w:rsid w:val="59012D94"/>
    <w:rsid w:val="59040DAF"/>
    <w:rsid w:val="591137CE"/>
    <w:rsid w:val="591D1197"/>
    <w:rsid w:val="591F1D47"/>
    <w:rsid w:val="59203824"/>
    <w:rsid w:val="592446A8"/>
    <w:rsid w:val="593169B7"/>
    <w:rsid w:val="59344BA2"/>
    <w:rsid w:val="593D4443"/>
    <w:rsid w:val="593E484C"/>
    <w:rsid w:val="59416B64"/>
    <w:rsid w:val="59475E55"/>
    <w:rsid w:val="594F06AD"/>
    <w:rsid w:val="59506A5E"/>
    <w:rsid w:val="595450D0"/>
    <w:rsid w:val="59566DF0"/>
    <w:rsid w:val="595C7EF6"/>
    <w:rsid w:val="59666794"/>
    <w:rsid w:val="596971E5"/>
    <w:rsid w:val="596E4217"/>
    <w:rsid w:val="597849DD"/>
    <w:rsid w:val="59835676"/>
    <w:rsid w:val="59850CF0"/>
    <w:rsid w:val="598F65A2"/>
    <w:rsid w:val="59A842E3"/>
    <w:rsid w:val="59AB24ED"/>
    <w:rsid w:val="59AB7897"/>
    <w:rsid w:val="59B22EBD"/>
    <w:rsid w:val="59B83501"/>
    <w:rsid w:val="59BC1C74"/>
    <w:rsid w:val="59C207D6"/>
    <w:rsid w:val="59CA2C4F"/>
    <w:rsid w:val="59CD3F48"/>
    <w:rsid w:val="59CF7261"/>
    <w:rsid w:val="59D76CAE"/>
    <w:rsid w:val="59E02B1F"/>
    <w:rsid w:val="59E608E7"/>
    <w:rsid w:val="59E62C17"/>
    <w:rsid w:val="59F53C9F"/>
    <w:rsid w:val="59FA2849"/>
    <w:rsid w:val="59FD19B8"/>
    <w:rsid w:val="59FE62EC"/>
    <w:rsid w:val="5A0476D2"/>
    <w:rsid w:val="5A05138B"/>
    <w:rsid w:val="5A0D06CB"/>
    <w:rsid w:val="5A126A18"/>
    <w:rsid w:val="5A162BDA"/>
    <w:rsid w:val="5A171727"/>
    <w:rsid w:val="5A1B4CBF"/>
    <w:rsid w:val="5A28308D"/>
    <w:rsid w:val="5A295CED"/>
    <w:rsid w:val="5A334796"/>
    <w:rsid w:val="5A334FE1"/>
    <w:rsid w:val="5A3C1725"/>
    <w:rsid w:val="5A3E2655"/>
    <w:rsid w:val="5A4714F5"/>
    <w:rsid w:val="5A4C7466"/>
    <w:rsid w:val="5A545839"/>
    <w:rsid w:val="5A617169"/>
    <w:rsid w:val="5A6B56DB"/>
    <w:rsid w:val="5A6F14DC"/>
    <w:rsid w:val="5A783255"/>
    <w:rsid w:val="5A877492"/>
    <w:rsid w:val="5A8A1882"/>
    <w:rsid w:val="5A8E1213"/>
    <w:rsid w:val="5A9B4100"/>
    <w:rsid w:val="5AA07721"/>
    <w:rsid w:val="5AB43565"/>
    <w:rsid w:val="5AB7F422"/>
    <w:rsid w:val="5AC54763"/>
    <w:rsid w:val="5AC675F7"/>
    <w:rsid w:val="5AF4444C"/>
    <w:rsid w:val="5B0402A5"/>
    <w:rsid w:val="5B0B3AA8"/>
    <w:rsid w:val="5B1B3C06"/>
    <w:rsid w:val="5B1C4013"/>
    <w:rsid w:val="5B2E231E"/>
    <w:rsid w:val="5B3C635B"/>
    <w:rsid w:val="5B3D7EE3"/>
    <w:rsid w:val="5B473477"/>
    <w:rsid w:val="5B4B4625"/>
    <w:rsid w:val="5B4D4F06"/>
    <w:rsid w:val="5B5A36AC"/>
    <w:rsid w:val="5B6D596E"/>
    <w:rsid w:val="5B891AA9"/>
    <w:rsid w:val="5B8948AE"/>
    <w:rsid w:val="5B9C701A"/>
    <w:rsid w:val="5B9E15B1"/>
    <w:rsid w:val="5BA53117"/>
    <w:rsid w:val="5BAC00C4"/>
    <w:rsid w:val="5BB3401A"/>
    <w:rsid w:val="5BBA5596"/>
    <w:rsid w:val="5BCB3101"/>
    <w:rsid w:val="5BCD4F4D"/>
    <w:rsid w:val="5BCF560E"/>
    <w:rsid w:val="5BD1372C"/>
    <w:rsid w:val="5BD4782D"/>
    <w:rsid w:val="5BE65F01"/>
    <w:rsid w:val="5BE848D4"/>
    <w:rsid w:val="5BED3D73"/>
    <w:rsid w:val="5BF35F3F"/>
    <w:rsid w:val="5C061528"/>
    <w:rsid w:val="5C0B2F6E"/>
    <w:rsid w:val="5C10046A"/>
    <w:rsid w:val="5C17495F"/>
    <w:rsid w:val="5C197660"/>
    <w:rsid w:val="5C1C23ED"/>
    <w:rsid w:val="5C2349A9"/>
    <w:rsid w:val="5C2D3BC9"/>
    <w:rsid w:val="5C331B57"/>
    <w:rsid w:val="5C435DFC"/>
    <w:rsid w:val="5C440BDB"/>
    <w:rsid w:val="5C451C19"/>
    <w:rsid w:val="5C497D4E"/>
    <w:rsid w:val="5C4D0985"/>
    <w:rsid w:val="5C5229B0"/>
    <w:rsid w:val="5C5311B0"/>
    <w:rsid w:val="5C541B56"/>
    <w:rsid w:val="5C69772C"/>
    <w:rsid w:val="5C77525F"/>
    <w:rsid w:val="5C883BE5"/>
    <w:rsid w:val="5CA47A1B"/>
    <w:rsid w:val="5CA73B41"/>
    <w:rsid w:val="5CB05412"/>
    <w:rsid w:val="5CB06A40"/>
    <w:rsid w:val="5CC10238"/>
    <w:rsid w:val="5CD250B2"/>
    <w:rsid w:val="5CDA0749"/>
    <w:rsid w:val="5CFF2E31"/>
    <w:rsid w:val="5D0232AB"/>
    <w:rsid w:val="5D095B72"/>
    <w:rsid w:val="5D1552D0"/>
    <w:rsid w:val="5D157A20"/>
    <w:rsid w:val="5D170835"/>
    <w:rsid w:val="5D2035C3"/>
    <w:rsid w:val="5D263183"/>
    <w:rsid w:val="5D291B6F"/>
    <w:rsid w:val="5D2F6C90"/>
    <w:rsid w:val="5D307C90"/>
    <w:rsid w:val="5D383D7E"/>
    <w:rsid w:val="5D467384"/>
    <w:rsid w:val="5D5104A8"/>
    <w:rsid w:val="5D5369E6"/>
    <w:rsid w:val="5D563D89"/>
    <w:rsid w:val="5D595534"/>
    <w:rsid w:val="5D622EBA"/>
    <w:rsid w:val="5D665833"/>
    <w:rsid w:val="5D6A0D8E"/>
    <w:rsid w:val="5D6C3682"/>
    <w:rsid w:val="5D742E8A"/>
    <w:rsid w:val="5D760B49"/>
    <w:rsid w:val="5D7629CD"/>
    <w:rsid w:val="5D771808"/>
    <w:rsid w:val="5D7B7911"/>
    <w:rsid w:val="5D7C4456"/>
    <w:rsid w:val="5D8366F8"/>
    <w:rsid w:val="5D837D49"/>
    <w:rsid w:val="5D8A1F6C"/>
    <w:rsid w:val="5D8A38E7"/>
    <w:rsid w:val="5D8C2673"/>
    <w:rsid w:val="5D995763"/>
    <w:rsid w:val="5D9B0FFF"/>
    <w:rsid w:val="5DA1079A"/>
    <w:rsid w:val="5DAD5217"/>
    <w:rsid w:val="5DAD7979"/>
    <w:rsid w:val="5DB34AEF"/>
    <w:rsid w:val="5DC209F1"/>
    <w:rsid w:val="5DC53BB1"/>
    <w:rsid w:val="5DCA7D57"/>
    <w:rsid w:val="5DCC33C1"/>
    <w:rsid w:val="5DE473DD"/>
    <w:rsid w:val="5DED78C8"/>
    <w:rsid w:val="5DF55F89"/>
    <w:rsid w:val="5DF61D7A"/>
    <w:rsid w:val="5DF7438A"/>
    <w:rsid w:val="5DFE49FA"/>
    <w:rsid w:val="5E143628"/>
    <w:rsid w:val="5E1D4E43"/>
    <w:rsid w:val="5E2237B1"/>
    <w:rsid w:val="5E25054E"/>
    <w:rsid w:val="5E2B74EB"/>
    <w:rsid w:val="5E3751E6"/>
    <w:rsid w:val="5E3D0AB4"/>
    <w:rsid w:val="5E4421B0"/>
    <w:rsid w:val="5E444708"/>
    <w:rsid w:val="5E4B06C0"/>
    <w:rsid w:val="5E4B21DE"/>
    <w:rsid w:val="5E4C5ADE"/>
    <w:rsid w:val="5E4D2549"/>
    <w:rsid w:val="5E4E271E"/>
    <w:rsid w:val="5E617F7C"/>
    <w:rsid w:val="5E634E13"/>
    <w:rsid w:val="5E6D3E8A"/>
    <w:rsid w:val="5E755A7B"/>
    <w:rsid w:val="5E807A29"/>
    <w:rsid w:val="5E910C52"/>
    <w:rsid w:val="5EAC2EDE"/>
    <w:rsid w:val="5EB159EC"/>
    <w:rsid w:val="5EC075F1"/>
    <w:rsid w:val="5EC26B3B"/>
    <w:rsid w:val="5EC400CA"/>
    <w:rsid w:val="5EC54A41"/>
    <w:rsid w:val="5ECD7EB7"/>
    <w:rsid w:val="5ED03F10"/>
    <w:rsid w:val="5ED6418D"/>
    <w:rsid w:val="5EDB7A5B"/>
    <w:rsid w:val="5EE01D06"/>
    <w:rsid w:val="5EEC1809"/>
    <w:rsid w:val="5EEC5234"/>
    <w:rsid w:val="5EEE149B"/>
    <w:rsid w:val="5EF65BDB"/>
    <w:rsid w:val="5EFE51A7"/>
    <w:rsid w:val="5F0E791A"/>
    <w:rsid w:val="5F1C7A45"/>
    <w:rsid w:val="5F2E33AA"/>
    <w:rsid w:val="5F2E3C4A"/>
    <w:rsid w:val="5F2F15CF"/>
    <w:rsid w:val="5F312B60"/>
    <w:rsid w:val="5F3175F8"/>
    <w:rsid w:val="5F34458B"/>
    <w:rsid w:val="5F347B39"/>
    <w:rsid w:val="5F3C028A"/>
    <w:rsid w:val="5F3D3A73"/>
    <w:rsid w:val="5F4D2B34"/>
    <w:rsid w:val="5F4F0329"/>
    <w:rsid w:val="5F521D2E"/>
    <w:rsid w:val="5F6351EC"/>
    <w:rsid w:val="5F6624CD"/>
    <w:rsid w:val="5F6A04B5"/>
    <w:rsid w:val="5F6C1793"/>
    <w:rsid w:val="5F745A01"/>
    <w:rsid w:val="5F794B37"/>
    <w:rsid w:val="5F8416C1"/>
    <w:rsid w:val="5F8D1984"/>
    <w:rsid w:val="5F97045B"/>
    <w:rsid w:val="5FA046C8"/>
    <w:rsid w:val="5FA05005"/>
    <w:rsid w:val="5FA708CA"/>
    <w:rsid w:val="5FA94818"/>
    <w:rsid w:val="5FAB7A27"/>
    <w:rsid w:val="5FB310B1"/>
    <w:rsid w:val="5FB9279A"/>
    <w:rsid w:val="5FBC5C70"/>
    <w:rsid w:val="5FC04328"/>
    <w:rsid w:val="5FC27374"/>
    <w:rsid w:val="5FC502E3"/>
    <w:rsid w:val="5FC909DF"/>
    <w:rsid w:val="5FCB3AF0"/>
    <w:rsid w:val="5FCE3CFC"/>
    <w:rsid w:val="5FCF474B"/>
    <w:rsid w:val="5FDD11EC"/>
    <w:rsid w:val="5FE2190D"/>
    <w:rsid w:val="5FE36042"/>
    <w:rsid w:val="5FE75F55"/>
    <w:rsid w:val="5FEE0EF4"/>
    <w:rsid w:val="5FEF7428"/>
    <w:rsid w:val="5FF16B6B"/>
    <w:rsid w:val="5FF6282A"/>
    <w:rsid w:val="5FFC04EE"/>
    <w:rsid w:val="601B70A2"/>
    <w:rsid w:val="601E2B61"/>
    <w:rsid w:val="601E4674"/>
    <w:rsid w:val="60311ECB"/>
    <w:rsid w:val="60330BB7"/>
    <w:rsid w:val="60332088"/>
    <w:rsid w:val="60336051"/>
    <w:rsid w:val="60434374"/>
    <w:rsid w:val="6044250D"/>
    <w:rsid w:val="60496454"/>
    <w:rsid w:val="60556F48"/>
    <w:rsid w:val="60574B01"/>
    <w:rsid w:val="6058394C"/>
    <w:rsid w:val="60606513"/>
    <w:rsid w:val="606211F7"/>
    <w:rsid w:val="607002B8"/>
    <w:rsid w:val="60732B7D"/>
    <w:rsid w:val="608278F3"/>
    <w:rsid w:val="608872A1"/>
    <w:rsid w:val="608C0D72"/>
    <w:rsid w:val="609406DE"/>
    <w:rsid w:val="60AA5367"/>
    <w:rsid w:val="60AB728E"/>
    <w:rsid w:val="60AD6B3A"/>
    <w:rsid w:val="60AE0018"/>
    <w:rsid w:val="60B41CD5"/>
    <w:rsid w:val="60BB5D10"/>
    <w:rsid w:val="60BF03C6"/>
    <w:rsid w:val="60C35F22"/>
    <w:rsid w:val="60CB3BB3"/>
    <w:rsid w:val="60CD06DC"/>
    <w:rsid w:val="60CF6F4F"/>
    <w:rsid w:val="60D479AD"/>
    <w:rsid w:val="60DD4426"/>
    <w:rsid w:val="60DE32CC"/>
    <w:rsid w:val="60EB4276"/>
    <w:rsid w:val="60EC707C"/>
    <w:rsid w:val="60F50918"/>
    <w:rsid w:val="60F70111"/>
    <w:rsid w:val="610D1980"/>
    <w:rsid w:val="61132D9B"/>
    <w:rsid w:val="611653B0"/>
    <w:rsid w:val="612120E9"/>
    <w:rsid w:val="61311A38"/>
    <w:rsid w:val="613458DA"/>
    <w:rsid w:val="61386743"/>
    <w:rsid w:val="614D3277"/>
    <w:rsid w:val="61552F8A"/>
    <w:rsid w:val="615F0BCC"/>
    <w:rsid w:val="616315BD"/>
    <w:rsid w:val="61662217"/>
    <w:rsid w:val="617469C1"/>
    <w:rsid w:val="6174755D"/>
    <w:rsid w:val="617834A5"/>
    <w:rsid w:val="61793B69"/>
    <w:rsid w:val="617F2FFE"/>
    <w:rsid w:val="61825754"/>
    <w:rsid w:val="6184349D"/>
    <w:rsid w:val="618910B7"/>
    <w:rsid w:val="61984C2E"/>
    <w:rsid w:val="61B01751"/>
    <w:rsid w:val="61B524C3"/>
    <w:rsid w:val="61BF1648"/>
    <w:rsid w:val="61BF266D"/>
    <w:rsid w:val="61C237E3"/>
    <w:rsid w:val="61D53347"/>
    <w:rsid w:val="61DB4C28"/>
    <w:rsid w:val="61DF5221"/>
    <w:rsid w:val="61E74BF7"/>
    <w:rsid w:val="61EC3265"/>
    <w:rsid w:val="61F3525D"/>
    <w:rsid w:val="61F72F22"/>
    <w:rsid w:val="62021667"/>
    <w:rsid w:val="6203010E"/>
    <w:rsid w:val="62032C41"/>
    <w:rsid w:val="62050031"/>
    <w:rsid w:val="6207560E"/>
    <w:rsid w:val="621067D7"/>
    <w:rsid w:val="621D5578"/>
    <w:rsid w:val="622114F1"/>
    <w:rsid w:val="62243AD6"/>
    <w:rsid w:val="62290FE8"/>
    <w:rsid w:val="622E7023"/>
    <w:rsid w:val="6234314E"/>
    <w:rsid w:val="62350947"/>
    <w:rsid w:val="623D2B6C"/>
    <w:rsid w:val="6244335C"/>
    <w:rsid w:val="62577AE7"/>
    <w:rsid w:val="625E216B"/>
    <w:rsid w:val="627C0363"/>
    <w:rsid w:val="62923B75"/>
    <w:rsid w:val="629351D1"/>
    <w:rsid w:val="629454DB"/>
    <w:rsid w:val="62A2322B"/>
    <w:rsid w:val="62AA742F"/>
    <w:rsid w:val="62BA2EDA"/>
    <w:rsid w:val="62BB49D3"/>
    <w:rsid w:val="62BC2A66"/>
    <w:rsid w:val="62CB1A72"/>
    <w:rsid w:val="62D2331D"/>
    <w:rsid w:val="62D7519A"/>
    <w:rsid w:val="62D9210C"/>
    <w:rsid w:val="62D94FBC"/>
    <w:rsid w:val="62DF59F5"/>
    <w:rsid w:val="62E4005F"/>
    <w:rsid w:val="62E86C0A"/>
    <w:rsid w:val="62E8792E"/>
    <w:rsid w:val="62F35154"/>
    <w:rsid w:val="62FE5B7E"/>
    <w:rsid w:val="631045B4"/>
    <w:rsid w:val="63106B97"/>
    <w:rsid w:val="63280756"/>
    <w:rsid w:val="6331624C"/>
    <w:rsid w:val="63343360"/>
    <w:rsid w:val="63447851"/>
    <w:rsid w:val="634A315C"/>
    <w:rsid w:val="634F6064"/>
    <w:rsid w:val="63520B23"/>
    <w:rsid w:val="63535299"/>
    <w:rsid w:val="635D6CBF"/>
    <w:rsid w:val="63623C1B"/>
    <w:rsid w:val="636D10CB"/>
    <w:rsid w:val="6371377E"/>
    <w:rsid w:val="63752FBA"/>
    <w:rsid w:val="638E2717"/>
    <w:rsid w:val="63983724"/>
    <w:rsid w:val="639F4314"/>
    <w:rsid w:val="63A252C3"/>
    <w:rsid w:val="63C056C9"/>
    <w:rsid w:val="63C42566"/>
    <w:rsid w:val="63C83410"/>
    <w:rsid w:val="63CE5D96"/>
    <w:rsid w:val="63CF5F7C"/>
    <w:rsid w:val="63D24983"/>
    <w:rsid w:val="63D621B5"/>
    <w:rsid w:val="63D90262"/>
    <w:rsid w:val="63D906CF"/>
    <w:rsid w:val="63D90B0F"/>
    <w:rsid w:val="63E06786"/>
    <w:rsid w:val="63ED0F60"/>
    <w:rsid w:val="63F464AF"/>
    <w:rsid w:val="63FA3EC9"/>
    <w:rsid w:val="64036F62"/>
    <w:rsid w:val="6405003C"/>
    <w:rsid w:val="6406446C"/>
    <w:rsid w:val="640A021D"/>
    <w:rsid w:val="640E1F27"/>
    <w:rsid w:val="642467B0"/>
    <w:rsid w:val="64476324"/>
    <w:rsid w:val="644E1222"/>
    <w:rsid w:val="644F5D8F"/>
    <w:rsid w:val="64522838"/>
    <w:rsid w:val="645A5C73"/>
    <w:rsid w:val="645D7B00"/>
    <w:rsid w:val="645F2839"/>
    <w:rsid w:val="6462304F"/>
    <w:rsid w:val="64700248"/>
    <w:rsid w:val="647218C5"/>
    <w:rsid w:val="647D5D6C"/>
    <w:rsid w:val="647F3F27"/>
    <w:rsid w:val="6482168A"/>
    <w:rsid w:val="6483247F"/>
    <w:rsid w:val="648B0FEE"/>
    <w:rsid w:val="648D59BA"/>
    <w:rsid w:val="648E0A09"/>
    <w:rsid w:val="64920D89"/>
    <w:rsid w:val="649B317C"/>
    <w:rsid w:val="649D476C"/>
    <w:rsid w:val="649D5952"/>
    <w:rsid w:val="64A52161"/>
    <w:rsid w:val="64A60669"/>
    <w:rsid w:val="64A61D89"/>
    <w:rsid w:val="64AF30EA"/>
    <w:rsid w:val="64B0234E"/>
    <w:rsid w:val="64B12E26"/>
    <w:rsid w:val="64B83DB9"/>
    <w:rsid w:val="64B932C0"/>
    <w:rsid w:val="64B94941"/>
    <w:rsid w:val="64C64661"/>
    <w:rsid w:val="64CD06E3"/>
    <w:rsid w:val="64D12CBE"/>
    <w:rsid w:val="64D67D7B"/>
    <w:rsid w:val="64D85036"/>
    <w:rsid w:val="64DD34B6"/>
    <w:rsid w:val="64F371AA"/>
    <w:rsid w:val="64FA18BE"/>
    <w:rsid w:val="6509477D"/>
    <w:rsid w:val="650E69FE"/>
    <w:rsid w:val="6518013E"/>
    <w:rsid w:val="65181F6F"/>
    <w:rsid w:val="652053E3"/>
    <w:rsid w:val="65286658"/>
    <w:rsid w:val="652B6586"/>
    <w:rsid w:val="652E67C2"/>
    <w:rsid w:val="65303135"/>
    <w:rsid w:val="653050F9"/>
    <w:rsid w:val="6530605F"/>
    <w:rsid w:val="65313A49"/>
    <w:rsid w:val="65325AE7"/>
    <w:rsid w:val="65345D25"/>
    <w:rsid w:val="6536615B"/>
    <w:rsid w:val="65445A3B"/>
    <w:rsid w:val="65457EA0"/>
    <w:rsid w:val="65493C57"/>
    <w:rsid w:val="65512BBE"/>
    <w:rsid w:val="65514BBF"/>
    <w:rsid w:val="65592ECF"/>
    <w:rsid w:val="655E08A2"/>
    <w:rsid w:val="656E6538"/>
    <w:rsid w:val="656F1EFA"/>
    <w:rsid w:val="657437B0"/>
    <w:rsid w:val="65794D7F"/>
    <w:rsid w:val="657C282D"/>
    <w:rsid w:val="6591602A"/>
    <w:rsid w:val="659727D6"/>
    <w:rsid w:val="65A65EAA"/>
    <w:rsid w:val="65A66CFE"/>
    <w:rsid w:val="65B07657"/>
    <w:rsid w:val="65C9517D"/>
    <w:rsid w:val="65CC4951"/>
    <w:rsid w:val="65CF4F77"/>
    <w:rsid w:val="65D04373"/>
    <w:rsid w:val="65D83C12"/>
    <w:rsid w:val="65D921BC"/>
    <w:rsid w:val="65DD769D"/>
    <w:rsid w:val="65E1346F"/>
    <w:rsid w:val="65EC3093"/>
    <w:rsid w:val="65F510FE"/>
    <w:rsid w:val="65F51B8A"/>
    <w:rsid w:val="65FE3375"/>
    <w:rsid w:val="6602477E"/>
    <w:rsid w:val="66080B3C"/>
    <w:rsid w:val="66090220"/>
    <w:rsid w:val="66242DC7"/>
    <w:rsid w:val="66257684"/>
    <w:rsid w:val="6627033D"/>
    <w:rsid w:val="662A125B"/>
    <w:rsid w:val="66307164"/>
    <w:rsid w:val="6635775C"/>
    <w:rsid w:val="663732B3"/>
    <w:rsid w:val="6637363F"/>
    <w:rsid w:val="66394710"/>
    <w:rsid w:val="6644099D"/>
    <w:rsid w:val="66471A0C"/>
    <w:rsid w:val="664A240D"/>
    <w:rsid w:val="664C06B2"/>
    <w:rsid w:val="66583270"/>
    <w:rsid w:val="665B4BFD"/>
    <w:rsid w:val="66631471"/>
    <w:rsid w:val="666579D4"/>
    <w:rsid w:val="66691D5B"/>
    <w:rsid w:val="666B1B99"/>
    <w:rsid w:val="666F1B5A"/>
    <w:rsid w:val="667A4683"/>
    <w:rsid w:val="667D65E9"/>
    <w:rsid w:val="667F7A3D"/>
    <w:rsid w:val="6682232B"/>
    <w:rsid w:val="66872522"/>
    <w:rsid w:val="6693413B"/>
    <w:rsid w:val="669757E7"/>
    <w:rsid w:val="669D3467"/>
    <w:rsid w:val="669F5C9D"/>
    <w:rsid w:val="66B3026B"/>
    <w:rsid w:val="66B317D6"/>
    <w:rsid w:val="66BD54EF"/>
    <w:rsid w:val="66C9272D"/>
    <w:rsid w:val="66CB210B"/>
    <w:rsid w:val="66CC4E28"/>
    <w:rsid w:val="66DE26BE"/>
    <w:rsid w:val="66DF0E80"/>
    <w:rsid w:val="66E35A8E"/>
    <w:rsid w:val="66E5306B"/>
    <w:rsid w:val="66E65D9E"/>
    <w:rsid w:val="66E8694F"/>
    <w:rsid w:val="66F70A09"/>
    <w:rsid w:val="66FA6C01"/>
    <w:rsid w:val="67005F52"/>
    <w:rsid w:val="672C60B2"/>
    <w:rsid w:val="673308B6"/>
    <w:rsid w:val="67347BCD"/>
    <w:rsid w:val="673812B4"/>
    <w:rsid w:val="673E5850"/>
    <w:rsid w:val="673F5C56"/>
    <w:rsid w:val="67484694"/>
    <w:rsid w:val="67550A59"/>
    <w:rsid w:val="6756250C"/>
    <w:rsid w:val="67562E41"/>
    <w:rsid w:val="67643FD0"/>
    <w:rsid w:val="6764632B"/>
    <w:rsid w:val="67746521"/>
    <w:rsid w:val="67763F6A"/>
    <w:rsid w:val="677900FB"/>
    <w:rsid w:val="679A1F3C"/>
    <w:rsid w:val="679D19F9"/>
    <w:rsid w:val="67A10B06"/>
    <w:rsid w:val="67B805A4"/>
    <w:rsid w:val="67CB4030"/>
    <w:rsid w:val="67CD6B78"/>
    <w:rsid w:val="67CE2EFF"/>
    <w:rsid w:val="67CE6C14"/>
    <w:rsid w:val="67D11D01"/>
    <w:rsid w:val="67E40A8A"/>
    <w:rsid w:val="67ED6BD4"/>
    <w:rsid w:val="67F33A1A"/>
    <w:rsid w:val="67F34814"/>
    <w:rsid w:val="67F52266"/>
    <w:rsid w:val="67F940C4"/>
    <w:rsid w:val="68002890"/>
    <w:rsid w:val="68046BCA"/>
    <w:rsid w:val="68055A4E"/>
    <w:rsid w:val="680B197D"/>
    <w:rsid w:val="680D45C4"/>
    <w:rsid w:val="680E6565"/>
    <w:rsid w:val="681C73C7"/>
    <w:rsid w:val="68205E85"/>
    <w:rsid w:val="682E1F69"/>
    <w:rsid w:val="683469C3"/>
    <w:rsid w:val="683B7691"/>
    <w:rsid w:val="684211A2"/>
    <w:rsid w:val="685D328B"/>
    <w:rsid w:val="686302E7"/>
    <w:rsid w:val="68675662"/>
    <w:rsid w:val="68721846"/>
    <w:rsid w:val="68744A7C"/>
    <w:rsid w:val="68816C49"/>
    <w:rsid w:val="68862C07"/>
    <w:rsid w:val="688A777D"/>
    <w:rsid w:val="689965A8"/>
    <w:rsid w:val="689C6C5B"/>
    <w:rsid w:val="68A436BC"/>
    <w:rsid w:val="68AD66CB"/>
    <w:rsid w:val="68BE184D"/>
    <w:rsid w:val="68C0532E"/>
    <w:rsid w:val="68C22EF0"/>
    <w:rsid w:val="68C6618C"/>
    <w:rsid w:val="68D02D65"/>
    <w:rsid w:val="68D6275C"/>
    <w:rsid w:val="68D82C3B"/>
    <w:rsid w:val="68EF5BFC"/>
    <w:rsid w:val="68FD707B"/>
    <w:rsid w:val="69007DAC"/>
    <w:rsid w:val="69021047"/>
    <w:rsid w:val="69164498"/>
    <w:rsid w:val="691B39F7"/>
    <w:rsid w:val="691F00F0"/>
    <w:rsid w:val="69240C37"/>
    <w:rsid w:val="69264DD2"/>
    <w:rsid w:val="69290213"/>
    <w:rsid w:val="692D2892"/>
    <w:rsid w:val="69302A39"/>
    <w:rsid w:val="693538F4"/>
    <w:rsid w:val="69357D14"/>
    <w:rsid w:val="69393AEF"/>
    <w:rsid w:val="69394E58"/>
    <w:rsid w:val="693F31E1"/>
    <w:rsid w:val="694338EE"/>
    <w:rsid w:val="694A294C"/>
    <w:rsid w:val="694B6C7B"/>
    <w:rsid w:val="694F0700"/>
    <w:rsid w:val="69590D5B"/>
    <w:rsid w:val="695C3248"/>
    <w:rsid w:val="695F5AE1"/>
    <w:rsid w:val="6960260C"/>
    <w:rsid w:val="69701503"/>
    <w:rsid w:val="69710F1A"/>
    <w:rsid w:val="697470F4"/>
    <w:rsid w:val="6978109A"/>
    <w:rsid w:val="697B743D"/>
    <w:rsid w:val="697D0262"/>
    <w:rsid w:val="697F0A35"/>
    <w:rsid w:val="69826A4B"/>
    <w:rsid w:val="699829F9"/>
    <w:rsid w:val="699F3AA8"/>
    <w:rsid w:val="69A60369"/>
    <w:rsid w:val="69A97A3E"/>
    <w:rsid w:val="69C1139E"/>
    <w:rsid w:val="69C33B09"/>
    <w:rsid w:val="69C77E3F"/>
    <w:rsid w:val="69C96231"/>
    <w:rsid w:val="69CC78F5"/>
    <w:rsid w:val="69CD6BE1"/>
    <w:rsid w:val="69CE0938"/>
    <w:rsid w:val="69CF352D"/>
    <w:rsid w:val="69D50869"/>
    <w:rsid w:val="69D80747"/>
    <w:rsid w:val="69DA0902"/>
    <w:rsid w:val="69DF2E94"/>
    <w:rsid w:val="69EF13E5"/>
    <w:rsid w:val="69F5783F"/>
    <w:rsid w:val="69F72962"/>
    <w:rsid w:val="69FA48AA"/>
    <w:rsid w:val="69FA5D45"/>
    <w:rsid w:val="6A033226"/>
    <w:rsid w:val="6A0E39AA"/>
    <w:rsid w:val="6A131FBF"/>
    <w:rsid w:val="6A1626EE"/>
    <w:rsid w:val="6A174619"/>
    <w:rsid w:val="6A1B5A12"/>
    <w:rsid w:val="6A1E4011"/>
    <w:rsid w:val="6A222779"/>
    <w:rsid w:val="6A2468BF"/>
    <w:rsid w:val="6A2727B6"/>
    <w:rsid w:val="6A367DBE"/>
    <w:rsid w:val="6A3930E9"/>
    <w:rsid w:val="6A3A1EA8"/>
    <w:rsid w:val="6A3B7479"/>
    <w:rsid w:val="6A3D25E8"/>
    <w:rsid w:val="6A4B1FF2"/>
    <w:rsid w:val="6A5334E4"/>
    <w:rsid w:val="6A5773F5"/>
    <w:rsid w:val="6A5D36CB"/>
    <w:rsid w:val="6A5F4E7C"/>
    <w:rsid w:val="6A62450D"/>
    <w:rsid w:val="6A627E79"/>
    <w:rsid w:val="6A6A5D6A"/>
    <w:rsid w:val="6A7A1AF7"/>
    <w:rsid w:val="6A8227D4"/>
    <w:rsid w:val="6A857FBD"/>
    <w:rsid w:val="6A8D6D31"/>
    <w:rsid w:val="6A8E5E02"/>
    <w:rsid w:val="6A9260A0"/>
    <w:rsid w:val="6A9271B6"/>
    <w:rsid w:val="6A935004"/>
    <w:rsid w:val="6A973D33"/>
    <w:rsid w:val="6A9D710E"/>
    <w:rsid w:val="6A9E5525"/>
    <w:rsid w:val="6AA5660E"/>
    <w:rsid w:val="6AAC612A"/>
    <w:rsid w:val="6AB3336D"/>
    <w:rsid w:val="6AD41776"/>
    <w:rsid w:val="6AD944CA"/>
    <w:rsid w:val="6AE2010C"/>
    <w:rsid w:val="6AE26B75"/>
    <w:rsid w:val="6AE64A4D"/>
    <w:rsid w:val="6AEB0258"/>
    <w:rsid w:val="6AF26700"/>
    <w:rsid w:val="6AFB0952"/>
    <w:rsid w:val="6AFF0172"/>
    <w:rsid w:val="6AFF486F"/>
    <w:rsid w:val="6B01200E"/>
    <w:rsid w:val="6B051A13"/>
    <w:rsid w:val="6B0933A4"/>
    <w:rsid w:val="6B130279"/>
    <w:rsid w:val="6B171592"/>
    <w:rsid w:val="6B1C458D"/>
    <w:rsid w:val="6B1F042E"/>
    <w:rsid w:val="6B2E1396"/>
    <w:rsid w:val="6B3D031D"/>
    <w:rsid w:val="6B3E615F"/>
    <w:rsid w:val="6B4239F5"/>
    <w:rsid w:val="6B4574F6"/>
    <w:rsid w:val="6B461236"/>
    <w:rsid w:val="6B521FC9"/>
    <w:rsid w:val="6B5B7C1A"/>
    <w:rsid w:val="6B64170B"/>
    <w:rsid w:val="6B65160D"/>
    <w:rsid w:val="6B6E0A13"/>
    <w:rsid w:val="6B78770D"/>
    <w:rsid w:val="6B7D69DC"/>
    <w:rsid w:val="6B9A09A1"/>
    <w:rsid w:val="6BA6458B"/>
    <w:rsid w:val="6BA74E17"/>
    <w:rsid w:val="6BAC3413"/>
    <w:rsid w:val="6BB25B07"/>
    <w:rsid w:val="6BB364B8"/>
    <w:rsid w:val="6BB45FAF"/>
    <w:rsid w:val="6BB64AE7"/>
    <w:rsid w:val="6BB77E1C"/>
    <w:rsid w:val="6BC57208"/>
    <w:rsid w:val="6BCF1C1A"/>
    <w:rsid w:val="6BD05582"/>
    <w:rsid w:val="6BDE5CA1"/>
    <w:rsid w:val="6BE83968"/>
    <w:rsid w:val="6BF85C88"/>
    <w:rsid w:val="6C0379AD"/>
    <w:rsid w:val="6C081CC9"/>
    <w:rsid w:val="6C121F00"/>
    <w:rsid w:val="6C1476AC"/>
    <w:rsid w:val="6C1A4190"/>
    <w:rsid w:val="6C25647A"/>
    <w:rsid w:val="6C26263D"/>
    <w:rsid w:val="6C2848E1"/>
    <w:rsid w:val="6C29083A"/>
    <w:rsid w:val="6C2E04A7"/>
    <w:rsid w:val="6C3111B6"/>
    <w:rsid w:val="6C321F70"/>
    <w:rsid w:val="6C335457"/>
    <w:rsid w:val="6C42579A"/>
    <w:rsid w:val="6C481943"/>
    <w:rsid w:val="6C4E78A0"/>
    <w:rsid w:val="6C56259B"/>
    <w:rsid w:val="6C5C4E29"/>
    <w:rsid w:val="6C6C20B3"/>
    <w:rsid w:val="6C716E48"/>
    <w:rsid w:val="6C892B24"/>
    <w:rsid w:val="6C8B75FB"/>
    <w:rsid w:val="6C956C8B"/>
    <w:rsid w:val="6C990A68"/>
    <w:rsid w:val="6CA04539"/>
    <w:rsid w:val="6CA360C4"/>
    <w:rsid w:val="6CA408C5"/>
    <w:rsid w:val="6CA63344"/>
    <w:rsid w:val="6CC90CF8"/>
    <w:rsid w:val="6CC920AC"/>
    <w:rsid w:val="6CCE6320"/>
    <w:rsid w:val="6CD13FC6"/>
    <w:rsid w:val="6CD57874"/>
    <w:rsid w:val="6CD864C0"/>
    <w:rsid w:val="6CDC6BA7"/>
    <w:rsid w:val="6CE55068"/>
    <w:rsid w:val="6CE66F26"/>
    <w:rsid w:val="6CE8056E"/>
    <w:rsid w:val="6CF52F8C"/>
    <w:rsid w:val="6D0A6C55"/>
    <w:rsid w:val="6D113E68"/>
    <w:rsid w:val="6D113F11"/>
    <w:rsid w:val="6D27EF5F"/>
    <w:rsid w:val="6D2B3C26"/>
    <w:rsid w:val="6D2D2CC9"/>
    <w:rsid w:val="6D335535"/>
    <w:rsid w:val="6D3B3558"/>
    <w:rsid w:val="6D4906AF"/>
    <w:rsid w:val="6D4C351E"/>
    <w:rsid w:val="6D523406"/>
    <w:rsid w:val="6D545952"/>
    <w:rsid w:val="6D5847FB"/>
    <w:rsid w:val="6D5A37E0"/>
    <w:rsid w:val="6D62781F"/>
    <w:rsid w:val="6D6510F3"/>
    <w:rsid w:val="6D66716E"/>
    <w:rsid w:val="6D817746"/>
    <w:rsid w:val="6D845861"/>
    <w:rsid w:val="6D88005D"/>
    <w:rsid w:val="6DA0158F"/>
    <w:rsid w:val="6DAA0323"/>
    <w:rsid w:val="6DB0598B"/>
    <w:rsid w:val="6DBB363F"/>
    <w:rsid w:val="6DC04E1A"/>
    <w:rsid w:val="6DCE6FDD"/>
    <w:rsid w:val="6DD62CFA"/>
    <w:rsid w:val="6DD8570A"/>
    <w:rsid w:val="6DD86292"/>
    <w:rsid w:val="6DE8533D"/>
    <w:rsid w:val="6DEA44B8"/>
    <w:rsid w:val="6DEA53F8"/>
    <w:rsid w:val="6DEA7364"/>
    <w:rsid w:val="6DF16AF5"/>
    <w:rsid w:val="6DF51037"/>
    <w:rsid w:val="6E0336C6"/>
    <w:rsid w:val="6E08677B"/>
    <w:rsid w:val="6E2E3E83"/>
    <w:rsid w:val="6E330BBC"/>
    <w:rsid w:val="6E34074B"/>
    <w:rsid w:val="6E357383"/>
    <w:rsid w:val="6E387D6B"/>
    <w:rsid w:val="6E3D139F"/>
    <w:rsid w:val="6E3D7095"/>
    <w:rsid w:val="6E4740A5"/>
    <w:rsid w:val="6E4B6536"/>
    <w:rsid w:val="6E505EF7"/>
    <w:rsid w:val="6E575CDB"/>
    <w:rsid w:val="6E5D224E"/>
    <w:rsid w:val="6E7A5675"/>
    <w:rsid w:val="6E7B16A4"/>
    <w:rsid w:val="6E8375B6"/>
    <w:rsid w:val="6E905571"/>
    <w:rsid w:val="6E997A38"/>
    <w:rsid w:val="6E9B1506"/>
    <w:rsid w:val="6E9D2B6E"/>
    <w:rsid w:val="6EAB5908"/>
    <w:rsid w:val="6EAF7EB4"/>
    <w:rsid w:val="6EC44017"/>
    <w:rsid w:val="6EC60FBA"/>
    <w:rsid w:val="6EC77E58"/>
    <w:rsid w:val="6EC86B90"/>
    <w:rsid w:val="6ECB652A"/>
    <w:rsid w:val="6ECD6554"/>
    <w:rsid w:val="6ECF034C"/>
    <w:rsid w:val="6ECF716C"/>
    <w:rsid w:val="6ED06874"/>
    <w:rsid w:val="6ED20FE7"/>
    <w:rsid w:val="6ED47BE1"/>
    <w:rsid w:val="6ED8441B"/>
    <w:rsid w:val="6ED84954"/>
    <w:rsid w:val="6EE01792"/>
    <w:rsid w:val="6EE23101"/>
    <w:rsid w:val="6EF14D48"/>
    <w:rsid w:val="6EF62CDF"/>
    <w:rsid w:val="6EF71E07"/>
    <w:rsid w:val="6EFD554D"/>
    <w:rsid w:val="6F00731B"/>
    <w:rsid w:val="6F0B33C4"/>
    <w:rsid w:val="6F324AF0"/>
    <w:rsid w:val="6F46763D"/>
    <w:rsid w:val="6F4D3266"/>
    <w:rsid w:val="6F4E45BB"/>
    <w:rsid w:val="6F507989"/>
    <w:rsid w:val="6F5A6D96"/>
    <w:rsid w:val="6F683F8C"/>
    <w:rsid w:val="6F6E325B"/>
    <w:rsid w:val="6F6F5163"/>
    <w:rsid w:val="6F730DD3"/>
    <w:rsid w:val="6F730F0C"/>
    <w:rsid w:val="6F792514"/>
    <w:rsid w:val="6F8F1EDE"/>
    <w:rsid w:val="6F956A26"/>
    <w:rsid w:val="6F9930FE"/>
    <w:rsid w:val="6F9D73C4"/>
    <w:rsid w:val="6FA508B4"/>
    <w:rsid w:val="6FAA4F3F"/>
    <w:rsid w:val="6FB554B6"/>
    <w:rsid w:val="6FBA6A75"/>
    <w:rsid w:val="6FC47AD4"/>
    <w:rsid w:val="6FC6545D"/>
    <w:rsid w:val="6FD2104B"/>
    <w:rsid w:val="6FD3005D"/>
    <w:rsid w:val="6FDE0B25"/>
    <w:rsid w:val="6FF0397F"/>
    <w:rsid w:val="6FF12455"/>
    <w:rsid w:val="6FF7371F"/>
    <w:rsid w:val="6FFD373C"/>
    <w:rsid w:val="700363F5"/>
    <w:rsid w:val="70050561"/>
    <w:rsid w:val="700B7E69"/>
    <w:rsid w:val="700F6F23"/>
    <w:rsid w:val="70136EED"/>
    <w:rsid w:val="7016001A"/>
    <w:rsid w:val="701A07B6"/>
    <w:rsid w:val="701C450F"/>
    <w:rsid w:val="702448BB"/>
    <w:rsid w:val="7031449B"/>
    <w:rsid w:val="70391318"/>
    <w:rsid w:val="70447DD9"/>
    <w:rsid w:val="7047757F"/>
    <w:rsid w:val="704D2C0D"/>
    <w:rsid w:val="704F5DC8"/>
    <w:rsid w:val="706412AA"/>
    <w:rsid w:val="70676C05"/>
    <w:rsid w:val="70764CA5"/>
    <w:rsid w:val="70765F08"/>
    <w:rsid w:val="708F311E"/>
    <w:rsid w:val="70A53EE4"/>
    <w:rsid w:val="70B328DE"/>
    <w:rsid w:val="70B45BFE"/>
    <w:rsid w:val="70BF6F8A"/>
    <w:rsid w:val="70C666CA"/>
    <w:rsid w:val="70CA1310"/>
    <w:rsid w:val="70CA2FBB"/>
    <w:rsid w:val="70CC0AE9"/>
    <w:rsid w:val="70CC5C52"/>
    <w:rsid w:val="70D511A9"/>
    <w:rsid w:val="70D91B29"/>
    <w:rsid w:val="70DC0DB7"/>
    <w:rsid w:val="70E23761"/>
    <w:rsid w:val="70E65E51"/>
    <w:rsid w:val="70FD1FD9"/>
    <w:rsid w:val="70FF1710"/>
    <w:rsid w:val="711B274B"/>
    <w:rsid w:val="711F1C1B"/>
    <w:rsid w:val="71200A11"/>
    <w:rsid w:val="712242FC"/>
    <w:rsid w:val="71283EAE"/>
    <w:rsid w:val="712C22FF"/>
    <w:rsid w:val="71331587"/>
    <w:rsid w:val="7137405B"/>
    <w:rsid w:val="713E1398"/>
    <w:rsid w:val="71417EFE"/>
    <w:rsid w:val="71441D82"/>
    <w:rsid w:val="714B1FEA"/>
    <w:rsid w:val="714B24B9"/>
    <w:rsid w:val="714B3D7C"/>
    <w:rsid w:val="71531B37"/>
    <w:rsid w:val="71542207"/>
    <w:rsid w:val="715548E2"/>
    <w:rsid w:val="716B039B"/>
    <w:rsid w:val="71722BBC"/>
    <w:rsid w:val="71904F26"/>
    <w:rsid w:val="7197574E"/>
    <w:rsid w:val="71980BC2"/>
    <w:rsid w:val="71A00BE8"/>
    <w:rsid w:val="71A64E47"/>
    <w:rsid w:val="71A96492"/>
    <w:rsid w:val="71AF355D"/>
    <w:rsid w:val="71AF590F"/>
    <w:rsid w:val="71B30B97"/>
    <w:rsid w:val="71B75AC1"/>
    <w:rsid w:val="71C30E32"/>
    <w:rsid w:val="71C444A8"/>
    <w:rsid w:val="71C464E0"/>
    <w:rsid w:val="71CF5351"/>
    <w:rsid w:val="71D519C8"/>
    <w:rsid w:val="71D740B0"/>
    <w:rsid w:val="71DC2C93"/>
    <w:rsid w:val="71E37CA7"/>
    <w:rsid w:val="71E70654"/>
    <w:rsid w:val="71FF5324"/>
    <w:rsid w:val="7204353B"/>
    <w:rsid w:val="720442F3"/>
    <w:rsid w:val="720D4422"/>
    <w:rsid w:val="721622E2"/>
    <w:rsid w:val="72217050"/>
    <w:rsid w:val="72382667"/>
    <w:rsid w:val="723B0139"/>
    <w:rsid w:val="72435826"/>
    <w:rsid w:val="724F4BDA"/>
    <w:rsid w:val="72547034"/>
    <w:rsid w:val="7257008F"/>
    <w:rsid w:val="726C60D4"/>
    <w:rsid w:val="7279397F"/>
    <w:rsid w:val="727E4F25"/>
    <w:rsid w:val="72816B0B"/>
    <w:rsid w:val="728231C7"/>
    <w:rsid w:val="72866F2E"/>
    <w:rsid w:val="728E364D"/>
    <w:rsid w:val="728F6315"/>
    <w:rsid w:val="72A56881"/>
    <w:rsid w:val="72B12798"/>
    <w:rsid w:val="72B25638"/>
    <w:rsid w:val="72B87130"/>
    <w:rsid w:val="72CE1647"/>
    <w:rsid w:val="72D63295"/>
    <w:rsid w:val="72D97F49"/>
    <w:rsid w:val="72DA1A8F"/>
    <w:rsid w:val="73063E93"/>
    <w:rsid w:val="7309198E"/>
    <w:rsid w:val="731F0EE7"/>
    <w:rsid w:val="73222695"/>
    <w:rsid w:val="73227DF9"/>
    <w:rsid w:val="73232B7E"/>
    <w:rsid w:val="73237CF5"/>
    <w:rsid w:val="732D26A4"/>
    <w:rsid w:val="73315CDC"/>
    <w:rsid w:val="7340768F"/>
    <w:rsid w:val="73420A58"/>
    <w:rsid w:val="734B41CE"/>
    <w:rsid w:val="7350167D"/>
    <w:rsid w:val="73567B3D"/>
    <w:rsid w:val="735978B8"/>
    <w:rsid w:val="735B1FCC"/>
    <w:rsid w:val="735FE157"/>
    <w:rsid w:val="737034A6"/>
    <w:rsid w:val="737C0B05"/>
    <w:rsid w:val="738932B7"/>
    <w:rsid w:val="738A0E6F"/>
    <w:rsid w:val="738B4807"/>
    <w:rsid w:val="739A1674"/>
    <w:rsid w:val="739B4ED3"/>
    <w:rsid w:val="73AC1772"/>
    <w:rsid w:val="73B061A9"/>
    <w:rsid w:val="73B1015D"/>
    <w:rsid w:val="73B75F25"/>
    <w:rsid w:val="73C013DE"/>
    <w:rsid w:val="73DC6F23"/>
    <w:rsid w:val="73E3510D"/>
    <w:rsid w:val="73F94D4A"/>
    <w:rsid w:val="73F964DE"/>
    <w:rsid w:val="73FC584D"/>
    <w:rsid w:val="73FD03B8"/>
    <w:rsid w:val="73FD4025"/>
    <w:rsid w:val="740A5DED"/>
    <w:rsid w:val="741B7075"/>
    <w:rsid w:val="74270954"/>
    <w:rsid w:val="743448B4"/>
    <w:rsid w:val="74352F15"/>
    <w:rsid w:val="74420D55"/>
    <w:rsid w:val="744B17EE"/>
    <w:rsid w:val="74577F4E"/>
    <w:rsid w:val="745F20EA"/>
    <w:rsid w:val="74661C0E"/>
    <w:rsid w:val="746D07E2"/>
    <w:rsid w:val="74763BA4"/>
    <w:rsid w:val="747A03D9"/>
    <w:rsid w:val="748517C9"/>
    <w:rsid w:val="748E25CA"/>
    <w:rsid w:val="74A96FF0"/>
    <w:rsid w:val="74AB3879"/>
    <w:rsid w:val="74B200FF"/>
    <w:rsid w:val="74B22891"/>
    <w:rsid w:val="74BB390D"/>
    <w:rsid w:val="74BF6467"/>
    <w:rsid w:val="74C12A19"/>
    <w:rsid w:val="74C4495B"/>
    <w:rsid w:val="74C941DE"/>
    <w:rsid w:val="74C945C6"/>
    <w:rsid w:val="74D13A4E"/>
    <w:rsid w:val="74D57060"/>
    <w:rsid w:val="74E929D2"/>
    <w:rsid w:val="74F27FB7"/>
    <w:rsid w:val="74F52F81"/>
    <w:rsid w:val="74F66705"/>
    <w:rsid w:val="74F74745"/>
    <w:rsid w:val="74FB553E"/>
    <w:rsid w:val="74FB784A"/>
    <w:rsid w:val="74FF7E34"/>
    <w:rsid w:val="75137153"/>
    <w:rsid w:val="75270F8B"/>
    <w:rsid w:val="7528614C"/>
    <w:rsid w:val="753C4B05"/>
    <w:rsid w:val="753E4D07"/>
    <w:rsid w:val="75417E4B"/>
    <w:rsid w:val="75423E73"/>
    <w:rsid w:val="75446CE5"/>
    <w:rsid w:val="75472AB6"/>
    <w:rsid w:val="754C2806"/>
    <w:rsid w:val="75506208"/>
    <w:rsid w:val="755A2FF6"/>
    <w:rsid w:val="755D563C"/>
    <w:rsid w:val="755E1C92"/>
    <w:rsid w:val="75614037"/>
    <w:rsid w:val="756F199F"/>
    <w:rsid w:val="75772785"/>
    <w:rsid w:val="75772FE3"/>
    <w:rsid w:val="75784325"/>
    <w:rsid w:val="75795989"/>
    <w:rsid w:val="758B6131"/>
    <w:rsid w:val="758D0EC1"/>
    <w:rsid w:val="75982885"/>
    <w:rsid w:val="75A04CEA"/>
    <w:rsid w:val="75A408AB"/>
    <w:rsid w:val="75AF00AC"/>
    <w:rsid w:val="75B170D2"/>
    <w:rsid w:val="75B21676"/>
    <w:rsid w:val="75B4085F"/>
    <w:rsid w:val="75CD54F3"/>
    <w:rsid w:val="75D1451A"/>
    <w:rsid w:val="75D62005"/>
    <w:rsid w:val="75D86E8B"/>
    <w:rsid w:val="75D9140D"/>
    <w:rsid w:val="75DA5C83"/>
    <w:rsid w:val="75E1463E"/>
    <w:rsid w:val="75E173D5"/>
    <w:rsid w:val="75E62640"/>
    <w:rsid w:val="75E87E11"/>
    <w:rsid w:val="75EA45D0"/>
    <w:rsid w:val="75EC6294"/>
    <w:rsid w:val="75FF6B7B"/>
    <w:rsid w:val="76085758"/>
    <w:rsid w:val="760F3D5A"/>
    <w:rsid w:val="761255A2"/>
    <w:rsid w:val="76136B0A"/>
    <w:rsid w:val="76196C63"/>
    <w:rsid w:val="761C12A2"/>
    <w:rsid w:val="762221D9"/>
    <w:rsid w:val="7630386A"/>
    <w:rsid w:val="76456788"/>
    <w:rsid w:val="76465C21"/>
    <w:rsid w:val="764A75F3"/>
    <w:rsid w:val="76542BB2"/>
    <w:rsid w:val="76660B4B"/>
    <w:rsid w:val="766806EC"/>
    <w:rsid w:val="766B6805"/>
    <w:rsid w:val="76715EEF"/>
    <w:rsid w:val="7674535F"/>
    <w:rsid w:val="767F5283"/>
    <w:rsid w:val="76890E30"/>
    <w:rsid w:val="768C2BE9"/>
    <w:rsid w:val="768D3907"/>
    <w:rsid w:val="7692258F"/>
    <w:rsid w:val="76955904"/>
    <w:rsid w:val="7697559C"/>
    <w:rsid w:val="76A231FA"/>
    <w:rsid w:val="76C2205B"/>
    <w:rsid w:val="76C47641"/>
    <w:rsid w:val="76CD3A7E"/>
    <w:rsid w:val="76CD5401"/>
    <w:rsid w:val="76D04248"/>
    <w:rsid w:val="76DE39E5"/>
    <w:rsid w:val="76DF4D2F"/>
    <w:rsid w:val="76E1136C"/>
    <w:rsid w:val="76E42237"/>
    <w:rsid w:val="76E652E6"/>
    <w:rsid w:val="76EA07C9"/>
    <w:rsid w:val="76EA4B79"/>
    <w:rsid w:val="76F2811D"/>
    <w:rsid w:val="76F3490F"/>
    <w:rsid w:val="76F9FC23"/>
    <w:rsid w:val="771B5B5A"/>
    <w:rsid w:val="7722427A"/>
    <w:rsid w:val="773E02E1"/>
    <w:rsid w:val="77422115"/>
    <w:rsid w:val="77426155"/>
    <w:rsid w:val="774F09BD"/>
    <w:rsid w:val="77576A6C"/>
    <w:rsid w:val="77713EDE"/>
    <w:rsid w:val="777559FA"/>
    <w:rsid w:val="77923D59"/>
    <w:rsid w:val="7793186C"/>
    <w:rsid w:val="7795142A"/>
    <w:rsid w:val="779639AD"/>
    <w:rsid w:val="779D41C4"/>
    <w:rsid w:val="77A35B92"/>
    <w:rsid w:val="77AA724E"/>
    <w:rsid w:val="77B819F4"/>
    <w:rsid w:val="77BC5993"/>
    <w:rsid w:val="77C157B1"/>
    <w:rsid w:val="77C2416D"/>
    <w:rsid w:val="77C4B547"/>
    <w:rsid w:val="77D60217"/>
    <w:rsid w:val="77DC05A2"/>
    <w:rsid w:val="77E023EC"/>
    <w:rsid w:val="77E0483F"/>
    <w:rsid w:val="77EA441F"/>
    <w:rsid w:val="77EF4C62"/>
    <w:rsid w:val="77EF68D7"/>
    <w:rsid w:val="77F5376D"/>
    <w:rsid w:val="77FE2504"/>
    <w:rsid w:val="78002DBC"/>
    <w:rsid w:val="780221B2"/>
    <w:rsid w:val="78066059"/>
    <w:rsid w:val="780764BF"/>
    <w:rsid w:val="780C207D"/>
    <w:rsid w:val="781167CA"/>
    <w:rsid w:val="781D59BF"/>
    <w:rsid w:val="78244C5E"/>
    <w:rsid w:val="78387CDF"/>
    <w:rsid w:val="784708FE"/>
    <w:rsid w:val="784F2EAD"/>
    <w:rsid w:val="78501F2F"/>
    <w:rsid w:val="785173F2"/>
    <w:rsid w:val="78601298"/>
    <w:rsid w:val="78627D32"/>
    <w:rsid w:val="78667397"/>
    <w:rsid w:val="78673C57"/>
    <w:rsid w:val="786918C9"/>
    <w:rsid w:val="786B27A6"/>
    <w:rsid w:val="78715728"/>
    <w:rsid w:val="788310DE"/>
    <w:rsid w:val="789C1680"/>
    <w:rsid w:val="789D0073"/>
    <w:rsid w:val="78AC4673"/>
    <w:rsid w:val="78AF0CE3"/>
    <w:rsid w:val="78B2689C"/>
    <w:rsid w:val="78B30C70"/>
    <w:rsid w:val="78C6380B"/>
    <w:rsid w:val="78CB1943"/>
    <w:rsid w:val="78D111F1"/>
    <w:rsid w:val="78D37886"/>
    <w:rsid w:val="78D639F9"/>
    <w:rsid w:val="78D81170"/>
    <w:rsid w:val="78DB637A"/>
    <w:rsid w:val="78DF5AC7"/>
    <w:rsid w:val="78EE14F9"/>
    <w:rsid w:val="78F14E39"/>
    <w:rsid w:val="78F7097C"/>
    <w:rsid w:val="79006188"/>
    <w:rsid w:val="790C3A0D"/>
    <w:rsid w:val="791A4921"/>
    <w:rsid w:val="79213A81"/>
    <w:rsid w:val="79242403"/>
    <w:rsid w:val="792B0A15"/>
    <w:rsid w:val="792D1E46"/>
    <w:rsid w:val="792F27C7"/>
    <w:rsid w:val="7934329B"/>
    <w:rsid w:val="79343EFB"/>
    <w:rsid w:val="79352E4C"/>
    <w:rsid w:val="793716B4"/>
    <w:rsid w:val="793F77B3"/>
    <w:rsid w:val="79472077"/>
    <w:rsid w:val="79513EF6"/>
    <w:rsid w:val="795F1F9B"/>
    <w:rsid w:val="7969026B"/>
    <w:rsid w:val="796C08D5"/>
    <w:rsid w:val="796C29B4"/>
    <w:rsid w:val="796C56EF"/>
    <w:rsid w:val="79715AC3"/>
    <w:rsid w:val="797173CC"/>
    <w:rsid w:val="797B1E5A"/>
    <w:rsid w:val="79864CDF"/>
    <w:rsid w:val="798A3399"/>
    <w:rsid w:val="79950BB5"/>
    <w:rsid w:val="799A2654"/>
    <w:rsid w:val="799F4B15"/>
    <w:rsid w:val="79A703F9"/>
    <w:rsid w:val="79BE5F75"/>
    <w:rsid w:val="79C17C30"/>
    <w:rsid w:val="79D42FFE"/>
    <w:rsid w:val="79E00569"/>
    <w:rsid w:val="79E602BD"/>
    <w:rsid w:val="79F74169"/>
    <w:rsid w:val="79F81E02"/>
    <w:rsid w:val="79F82F4B"/>
    <w:rsid w:val="79FE61B3"/>
    <w:rsid w:val="7A095C47"/>
    <w:rsid w:val="7A10339B"/>
    <w:rsid w:val="7A201776"/>
    <w:rsid w:val="7A2075AC"/>
    <w:rsid w:val="7A253E51"/>
    <w:rsid w:val="7A2651FD"/>
    <w:rsid w:val="7A2A6339"/>
    <w:rsid w:val="7A357FD7"/>
    <w:rsid w:val="7A395EFA"/>
    <w:rsid w:val="7A4152E0"/>
    <w:rsid w:val="7A5038DA"/>
    <w:rsid w:val="7A5516B1"/>
    <w:rsid w:val="7A6137BA"/>
    <w:rsid w:val="7A645ED5"/>
    <w:rsid w:val="7A6827EA"/>
    <w:rsid w:val="7A6F47E2"/>
    <w:rsid w:val="7A714730"/>
    <w:rsid w:val="7A75201C"/>
    <w:rsid w:val="7A8120D3"/>
    <w:rsid w:val="7A8F08C4"/>
    <w:rsid w:val="7A91609A"/>
    <w:rsid w:val="7AA5495C"/>
    <w:rsid w:val="7AAA68A7"/>
    <w:rsid w:val="7AB75998"/>
    <w:rsid w:val="7ABB0B65"/>
    <w:rsid w:val="7ABC48A3"/>
    <w:rsid w:val="7AC43763"/>
    <w:rsid w:val="7AC460C0"/>
    <w:rsid w:val="7AD22AAD"/>
    <w:rsid w:val="7AD31E9D"/>
    <w:rsid w:val="7AE40A34"/>
    <w:rsid w:val="7AE6690E"/>
    <w:rsid w:val="7AEE461A"/>
    <w:rsid w:val="7AEE7396"/>
    <w:rsid w:val="7AF8345E"/>
    <w:rsid w:val="7AFF237B"/>
    <w:rsid w:val="7B022946"/>
    <w:rsid w:val="7B0B64DB"/>
    <w:rsid w:val="7B164D6C"/>
    <w:rsid w:val="7B1735C2"/>
    <w:rsid w:val="7B224F17"/>
    <w:rsid w:val="7B241726"/>
    <w:rsid w:val="7B2B05A3"/>
    <w:rsid w:val="7B4C325B"/>
    <w:rsid w:val="7B594B07"/>
    <w:rsid w:val="7B5B25C8"/>
    <w:rsid w:val="7B644F31"/>
    <w:rsid w:val="7B651153"/>
    <w:rsid w:val="7B654BAC"/>
    <w:rsid w:val="7B67DE54"/>
    <w:rsid w:val="7B6D3FC9"/>
    <w:rsid w:val="7B7655CA"/>
    <w:rsid w:val="7B9934EE"/>
    <w:rsid w:val="7B9F7D6E"/>
    <w:rsid w:val="7BB3458B"/>
    <w:rsid w:val="7BC441D6"/>
    <w:rsid w:val="7BC47E81"/>
    <w:rsid w:val="7BD664F8"/>
    <w:rsid w:val="7BDB5807"/>
    <w:rsid w:val="7BE073B8"/>
    <w:rsid w:val="7BEA78F0"/>
    <w:rsid w:val="7BEB25EB"/>
    <w:rsid w:val="7BEC5114"/>
    <w:rsid w:val="7BEF7546"/>
    <w:rsid w:val="7BF7039B"/>
    <w:rsid w:val="7BF97DE0"/>
    <w:rsid w:val="7BFC1C56"/>
    <w:rsid w:val="7BFF4ED8"/>
    <w:rsid w:val="7C104F00"/>
    <w:rsid w:val="7C1D2610"/>
    <w:rsid w:val="7C3F26A4"/>
    <w:rsid w:val="7C534523"/>
    <w:rsid w:val="7C6C0980"/>
    <w:rsid w:val="7C6E06B8"/>
    <w:rsid w:val="7C771C8C"/>
    <w:rsid w:val="7C7F15FE"/>
    <w:rsid w:val="7C837DEF"/>
    <w:rsid w:val="7C853A62"/>
    <w:rsid w:val="7C85785E"/>
    <w:rsid w:val="7C870037"/>
    <w:rsid w:val="7C882CB2"/>
    <w:rsid w:val="7C8A1B02"/>
    <w:rsid w:val="7C8F1E16"/>
    <w:rsid w:val="7C94401E"/>
    <w:rsid w:val="7C9A4EA2"/>
    <w:rsid w:val="7CA90899"/>
    <w:rsid w:val="7CBA42E3"/>
    <w:rsid w:val="7CBF1E0B"/>
    <w:rsid w:val="7CC6081A"/>
    <w:rsid w:val="7CC9672F"/>
    <w:rsid w:val="7CE10113"/>
    <w:rsid w:val="7CE973C0"/>
    <w:rsid w:val="7CF22C9E"/>
    <w:rsid w:val="7CF756F9"/>
    <w:rsid w:val="7CFE0034"/>
    <w:rsid w:val="7CFE49A1"/>
    <w:rsid w:val="7D0030DA"/>
    <w:rsid w:val="7D041DF2"/>
    <w:rsid w:val="7D067629"/>
    <w:rsid w:val="7D0F73AA"/>
    <w:rsid w:val="7D14737D"/>
    <w:rsid w:val="7D1D5850"/>
    <w:rsid w:val="7D3044AF"/>
    <w:rsid w:val="7D474830"/>
    <w:rsid w:val="7D4B3BF0"/>
    <w:rsid w:val="7D4C74E7"/>
    <w:rsid w:val="7D51234A"/>
    <w:rsid w:val="7D7D2B51"/>
    <w:rsid w:val="7D8447AC"/>
    <w:rsid w:val="7D93262E"/>
    <w:rsid w:val="7DA256DF"/>
    <w:rsid w:val="7DA550DD"/>
    <w:rsid w:val="7DA812B2"/>
    <w:rsid w:val="7DC0602D"/>
    <w:rsid w:val="7DC46301"/>
    <w:rsid w:val="7DE17898"/>
    <w:rsid w:val="7DEE5E48"/>
    <w:rsid w:val="7DF34119"/>
    <w:rsid w:val="7DF41E09"/>
    <w:rsid w:val="7DF5EA9C"/>
    <w:rsid w:val="7DF60F52"/>
    <w:rsid w:val="7DFB73AD"/>
    <w:rsid w:val="7DFD3FBE"/>
    <w:rsid w:val="7DFE04B7"/>
    <w:rsid w:val="7E0230F6"/>
    <w:rsid w:val="7E023366"/>
    <w:rsid w:val="7E1767EF"/>
    <w:rsid w:val="7E19467E"/>
    <w:rsid w:val="7E1D47A6"/>
    <w:rsid w:val="7E1D4BD6"/>
    <w:rsid w:val="7E1D6AA1"/>
    <w:rsid w:val="7E1D71DB"/>
    <w:rsid w:val="7E2168C0"/>
    <w:rsid w:val="7E237057"/>
    <w:rsid w:val="7E28018D"/>
    <w:rsid w:val="7E2D6832"/>
    <w:rsid w:val="7E301DC5"/>
    <w:rsid w:val="7E3749B1"/>
    <w:rsid w:val="7E3A2CF4"/>
    <w:rsid w:val="7E3A5A3B"/>
    <w:rsid w:val="7E3D3A6F"/>
    <w:rsid w:val="7E4540A7"/>
    <w:rsid w:val="7E587883"/>
    <w:rsid w:val="7E5C0D19"/>
    <w:rsid w:val="7E64750F"/>
    <w:rsid w:val="7E670B29"/>
    <w:rsid w:val="7E6B28C4"/>
    <w:rsid w:val="7E7C0DCB"/>
    <w:rsid w:val="7E7D2E37"/>
    <w:rsid w:val="7E860BFE"/>
    <w:rsid w:val="7E8C0C48"/>
    <w:rsid w:val="7E9166F1"/>
    <w:rsid w:val="7EB25A3F"/>
    <w:rsid w:val="7EB26FB9"/>
    <w:rsid w:val="7EB312A4"/>
    <w:rsid w:val="7EB70C01"/>
    <w:rsid w:val="7EC4134C"/>
    <w:rsid w:val="7EC51E5F"/>
    <w:rsid w:val="7ECA6B6B"/>
    <w:rsid w:val="7ECD2DF1"/>
    <w:rsid w:val="7ED84E32"/>
    <w:rsid w:val="7EEA72FF"/>
    <w:rsid w:val="7EF03065"/>
    <w:rsid w:val="7EF4358A"/>
    <w:rsid w:val="7EFC65E6"/>
    <w:rsid w:val="7F044AFF"/>
    <w:rsid w:val="7F0B198D"/>
    <w:rsid w:val="7F0E387B"/>
    <w:rsid w:val="7F15531F"/>
    <w:rsid w:val="7F1A6D28"/>
    <w:rsid w:val="7F1D68A9"/>
    <w:rsid w:val="7F2031B0"/>
    <w:rsid w:val="7F2D3570"/>
    <w:rsid w:val="7F3136A0"/>
    <w:rsid w:val="7F383939"/>
    <w:rsid w:val="7F3B0186"/>
    <w:rsid w:val="7F4E3EFB"/>
    <w:rsid w:val="7F6030B3"/>
    <w:rsid w:val="7F610141"/>
    <w:rsid w:val="7F703745"/>
    <w:rsid w:val="7F735C0D"/>
    <w:rsid w:val="7F767DA1"/>
    <w:rsid w:val="7F773297"/>
    <w:rsid w:val="7F7E628D"/>
    <w:rsid w:val="7F8438AF"/>
    <w:rsid w:val="7F8A56BD"/>
    <w:rsid w:val="7F944766"/>
    <w:rsid w:val="7F966C5D"/>
    <w:rsid w:val="7F971A44"/>
    <w:rsid w:val="7F9B643D"/>
    <w:rsid w:val="7FA206F7"/>
    <w:rsid w:val="7FA3228B"/>
    <w:rsid w:val="7FAA15B5"/>
    <w:rsid w:val="7FAA6733"/>
    <w:rsid w:val="7FB64D76"/>
    <w:rsid w:val="7FB72C7E"/>
    <w:rsid w:val="7FB85D96"/>
    <w:rsid w:val="7FBB1B70"/>
    <w:rsid w:val="7FBF7D27"/>
    <w:rsid w:val="7FC004C9"/>
    <w:rsid w:val="7FCE72E9"/>
    <w:rsid w:val="7FD019A7"/>
    <w:rsid w:val="7FD024EE"/>
    <w:rsid w:val="7FE15892"/>
    <w:rsid w:val="7FEA7437"/>
    <w:rsid w:val="7FF06D4E"/>
    <w:rsid w:val="936F2DFA"/>
    <w:rsid w:val="A4BF5872"/>
    <w:rsid w:val="AF7D8FA5"/>
    <w:rsid w:val="B73F4C14"/>
    <w:rsid w:val="BFE948AA"/>
    <w:rsid w:val="BFEA5769"/>
    <w:rsid w:val="CBBD17FF"/>
    <w:rsid w:val="DEFF1973"/>
    <w:rsid w:val="E9FD6022"/>
    <w:rsid w:val="EB273ACB"/>
    <w:rsid w:val="EB37F20E"/>
    <w:rsid w:val="EE6A58EF"/>
    <w:rsid w:val="EFD843CB"/>
    <w:rsid w:val="EFF929F0"/>
    <w:rsid w:val="F1F2B516"/>
    <w:rsid w:val="F364E703"/>
    <w:rsid w:val="FAF5C149"/>
    <w:rsid w:val="FBFFACD0"/>
    <w:rsid w:val="FD6F3A4C"/>
    <w:rsid w:val="FF3C91C4"/>
    <w:rsid w:val="FFFF01D3"/>
    <w:rsid w:val="FFFF0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宋体"/>
      <w:b/>
      <w:sz w:val="32"/>
    </w:rPr>
  </w:style>
  <w:style w:type="paragraph" w:styleId="4">
    <w:name w:val="heading 3"/>
    <w:basedOn w:val="1"/>
    <w:next w:val="1"/>
    <w:unhideWhenUsed/>
    <w:qFormat/>
    <w:uiPriority w:val="0"/>
    <w:pPr>
      <w:numPr>
        <w:ilvl w:val="2"/>
        <w:numId w:val="1"/>
      </w:numPr>
      <w:spacing w:before="0" w:beforeAutospacing="0" w:after="0" w:afterAutospacing="0" w:line="360" w:lineRule="auto"/>
      <w:ind w:firstLine="400"/>
      <w:jc w:val="left"/>
      <w:outlineLvl w:val="2"/>
    </w:pPr>
    <w:rPr>
      <w:rFonts w:hint="eastAsia" w:ascii="宋体" w:hAnsi="宋体" w:eastAsia="Heiti SC Medium" w:cs="宋体"/>
      <w:bCs/>
      <w:kern w:val="0"/>
      <w:sz w:val="28"/>
      <w:szCs w:val="27"/>
      <w:lang w:bidi="ar"/>
    </w:rPr>
  </w:style>
  <w:style w:type="paragraph" w:styleId="5">
    <w:name w:val="heading 4"/>
    <w:basedOn w:val="1"/>
    <w:next w:val="1"/>
    <w:unhideWhenUsed/>
    <w:qFormat/>
    <w:uiPriority w:val="0"/>
    <w:pPr>
      <w:keepNext/>
      <w:keepLines/>
      <w:numPr>
        <w:ilvl w:val="3"/>
        <w:numId w:val="1"/>
      </w:numPr>
      <w:spacing w:beforeLines="0" w:beforeAutospacing="0" w:afterLines="0" w:afterAutospacing="0" w:line="372" w:lineRule="auto"/>
      <w:ind w:firstLine="402"/>
      <w:outlineLvl w:val="3"/>
    </w:pPr>
    <w:rPr>
      <w:rFonts w:ascii="Arial" w:hAnsi="Arial" w:eastAsia="宋体"/>
      <w:b/>
      <w:sz w:val="24"/>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pPr>
    <w:rPr>
      <w:szCs w:val="20"/>
    </w:rPr>
  </w:style>
  <w:style w:type="paragraph" w:styleId="12">
    <w:name w:val="annotation text"/>
    <w:basedOn w:val="1"/>
    <w:qFormat/>
    <w:uiPriority w:val="0"/>
    <w:pPr>
      <w:jc w:val="left"/>
    </w:pPr>
  </w:style>
  <w:style w:type="paragraph" w:styleId="13">
    <w:name w:val="Body Text"/>
    <w:basedOn w:val="1"/>
    <w:semiHidden/>
    <w:unhideWhenUsed/>
    <w:qFormat/>
    <w:uiPriority w:val="99"/>
    <w:pPr>
      <w:spacing w:after="120"/>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basedOn w:val="1"/>
    <w:next w:val="1"/>
    <w:qFormat/>
    <w:uiPriority w:val="11"/>
    <w:pPr>
      <w:spacing w:before="240" w:after="60" w:line="312" w:lineRule="auto"/>
      <w:jc w:val="center"/>
      <w:outlineLvl w:val="1"/>
    </w:pPr>
    <w:rPr>
      <w:rFonts w:ascii="Wingdings" w:hAnsi="Wingdings"/>
      <w:b/>
      <w:bCs/>
      <w:kern w:val="28"/>
      <w:sz w:val="32"/>
      <w:szCs w:val="32"/>
      <w:lang w:val="zh-CN"/>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Title"/>
    <w:basedOn w:val="1"/>
    <w:next w:val="1"/>
    <w:qFormat/>
    <w:uiPriority w:val="10"/>
    <w:pPr>
      <w:widowControl/>
      <w:spacing w:before="240" w:after="60"/>
      <w:jc w:val="center"/>
      <w:outlineLvl w:val="0"/>
    </w:pPr>
    <w:rPr>
      <w:rFonts w:ascii="Cambria Math" w:hAnsi="Cambria Math" w:eastAsia="等线 Light" w:cs="等线"/>
      <w:b/>
      <w:bCs/>
      <w:sz w:val="32"/>
      <w:szCs w:val="32"/>
    </w:rPr>
  </w:style>
  <w:style w:type="paragraph" w:styleId="19">
    <w:name w:val="Body Text First Indent"/>
    <w:basedOn w:val="13"/>
    <w:unhideWhenUsed/>
    <w:qFormat/>
    <w:uiPriority w:val="99"/>
    <w:pPr>
      <w:ind w:firstLine="420" w:firstLineChars="100"/>
    </w:pPr>
  </w:style>
  <w:style w:type="character" w:customStyle="1" w:styleId="22">
    <w:name w:val="font11"/>
    <w:basedOn w:val="21"/>
    <w:qFormat/>
    <w:uiPriority w:val="0"/>
    <w:rPr>
      <w:rFonts w:hint="eastAsia" w:ascii="宋体" w:hAnsi="宋体" w:eastAsia="宋体" w:cs="宋体"/>
      <w:color w:val="000000"/>
      <w:sz w:val="24"/>
      <w:szCs w:val="24"/>
      <w:u w:val="none"/>
    </w:rPr>
  </w:style>
  <w:style w:type="character" w:customStyle="1" w:styleId="23">
    <w:name w:val="font31"/>
    <w:basedOn w:val="21"/>
    <w:qFormat/>
    <w:uiPriority w:val="0"/>
    <w:rPr>
      <w:rFonts w:hint="eastAsia" w:ascii="宋体" w:hAnsi="宋体" w:eastAsia="宋体" w:cs="宋体"/>
      <w:b/>
      <w:bCs/>
      <w:color w:val="000000"/>
      <w:sz w:val="24"/>
      <w:szCs w:val="24"/>
      <w:u w:val="none"/>
    </w:rPr>
  </w:style>
  <w:style w:type="paragraph" w:styleId="24">
    <w:name w:val="List Paragraph"/>
    <w:basedOn w:val="1"/>
    <w:qFormat/>
    <w:uiPriority w:val="34"/>
    <w:pPr>
      <w:ind w:firstLine="420" w:firstLineChars="200"/>
    </w:pPr>
    <w:rPr>
      <w:rFonts w:ascii="Cambria" w:hAnsi="Cambria" w:eastAsia="等线 Light" w:cs="等线"/>
    </w:rPr>
  </w:style>
  <w:style w:type="character" w:customStyle="1" w:styleId="25">
    <w:name w:val="font41"/>
    <w:basedOn w:val="21"/>
    <w:qFormat/>
    <w:uiPriority w:val="0"/>
    <w:rPr>
      <w:rFonts w:hint="eastAsia" w:ascii="宋体" w:hAnsi="宋体" w:eastAsia="宋体" w:cs="宋体"/>
      <w:b/>
      <w:bCs/>
      <w:color w:val="000000"/>
      <w:sz w:val="20"/>
      <w:szCs w:val="20"/>
      <w:u w:val="none"/>
    </w:rPr>
  </w:style>
  <w:style w:type="character" w:customStyle="1" w:styleId="26">
    <w:name w:val="font61"/>
    <w:basedOn w:val="21"/>
    <w:qFormat/>
    <w:uiPriority w:val="0"/>
    <w:rPr>
      <w:rFonts w:hint="eastAsia" w:ascii="仿宋" w:hAnsi="仿宋" w:eastAsia="仿宋" w:cs="仿宋"/>
      <w:color w:val="FF0000"/>
      <w:sz w:val="22"/>
      <w:szCs w:val="22"/>
      <w:u w:val="none"/>
    </w:rPr>
  </w:style>
  <w:style w:type="character" w:customStyle="1" w:styleId="27">
    <w:name w:val="font01"/>
    <w:basedOn w:val="21"/>
    <w:qFormat/>
    <w:uiPriority w:val="0"/>
    <w:rPr>
      <w:rFonts w:hint="eastAsia" w:ascii="仿宋" w:hAnsi="仿宋" w:eastAsia="仿宋" w:cs="仿宋"/>
      <w:color w:val="000000"/>
      <w:sz w:val="22"/>
      <w:szCs w:val="22"/>
      <w:u w:val="none"/>
    </w:rPr>
  </w:style>
  <w:style w:type="paragraph" w:customStyle="1" w:styleId="28">
    <w:name w:val="Table Text"/>
    <w:basedOn w:val="1"/>
    <w:semiHidden/>
    <w:qFormat/>
    <w:uiPriority w:val="0"/>
    <w:rPr>
      <w:rFonts w:ascii="宋体" w:hAnsi="宋体" w:eastAsia="宋体" w:cs="宋体"/>
      <w:sz w:val="20"/>
      <w:szCs w:val="20"/>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2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上海市分公司</Company>
  <Pages>30</Pages>
  <Words>11183</Words>
  <Characters>11948</Characters>
  <Lines>0</Lines>
  <Paragraphs>0</Paragraphs>
  <TotalTime>9</TotalTime>
  <ScaleCrop>false</ScaleCrop>
  <LinksUpToDate>false</LinksUpToDate>
  <CharactersWithSpaces>11948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2024-07-10T09:50:00Z</dcterms:created>
  <dc:creator>张建巍</dc:creator>
  <cp:lastModifiedBy>dajun</cp:lastModifiedBy>
  <dcterms:modified xsi:type="dcterms:W3CDTF">2026-07-31T00:54:50Z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2E6F5FA3949C4622B5E362DC7EC26571_13</vt:lpwstr>
  </property>
  <property fmtid="{D5CDD505-2E9C-101B-9397-08002B2CF9AE}" pid="4" name="KSOTemplateDocerSaveRecord">
    <vt:lpwstr>eyJoZGlkIjoiZjIxMmViNWZhMDc2ZThjMmU5NzMyMzg5MDY5YzE0ZDkiLCJ1c2VySWQiOiIzMjQ1ODAzMTIifQ==</vt:lpwstr>
  </property>
</Properties>
</file>