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4512C">
      <w:pPr>
        <w:ind w:firstLine="0" w:firstLineChars="0"/>
        <w:jc w:val="center"/>
        <w:rPr>
          <w:rFonts w:ascii="Times New Roman" w:hAnsi="Times New Roman" w:eastAsia="黑体"/>
          <w:sz w:val="44"/>
          <w:szCs w:val="44"/>
          <w:highlight w:val="none"/>
        </w:rPr>
      </w:pPr>
      <w:r>
        <w:rPr>
          <w:rFonts w:hint="eastAsia" w:ascii="Times New Roman" w:hAnsi="Times New Roman" w:eastAsia="黑体"/>
          <w:sz w:val="44"/>
          <w:szCs w:val="44"/>
          <w:highlight w:val="none"/>
        </w:rPr>
        <w:t>青浦区“一网协同”办公平台二期建设项目招标需求</w:t>
      </w:r>
    </w:p>
    <w:p w14:paraId="4EDAC6B2">
      <w:pPr>
        <w:ind w:firstLine="0" w:firstLineChars="0"/>
        <w:jc w:val="center"/>
        <w:rPr>
          <w:rFonts w:ascii="Times New Roman" w:hAnsi="Times New Roman" w:eastAsia="黑体"/>
          <w:sz w:val="44"/>
          <w:szCs w:val="44"/>
          <w:highlight w:val="none"/>
        </w:rPr>
      </w:pPr>
      <w:bookmarkStart w:id="38" w:name="_GoBack"/>
      <w:bookmarkEnd w:id="38"/>
    </w:p>
    <w:p w14:paraId="3A057FF8">
      <w:pPr>
        <w:pStyle w:val="2"/>
        <w:ind w:left="-2" w:leftChars="-1" w:firstLine="1"/>
        <w:rPr>
          <w:rFonts w:ascii="Times New Roman" w:hAnsi="Times New Roman"/>
          <w:highlight w:val="none"/>
        </w:rPr>
      </w:pPr>
      <w:bookmarkStart w:id="0" w:name="_Toc63785461"/>
      <w:r>
        <w:rPr>
          <w:rFonts w:hint="eastAsia" w:ascii="Times New Roman" w:hAnsi="Times New Roman"/>
          <w:highlight w:val="none"/>
        </w:rPr>
        <w:t>项目概况</w:t>
      </w:r>
      <w:bookmarkEnd w:id="0"/>
    </w:p>
    <w:p w14:paraId="000B16C1">
      <w:pPr>
        <w:ind w:firstLine="420"/>
        <w:rPr>
          <w:rFonts w:hint="eastAsia"/>
          <w:sz w:val="21"/>
          <w:szCs w:val="21"/>
          <w:highlight w:val="none"/>
        </w:rPr>
      </w:pPr>
      <w:r>
        <w:rPr>
          <w:rFonts w:hint="eastAsia"/>
          <w:sz w:val="21"/>
          <w:szCs w:val="21"/>
          <w:highlight w:val="none"/>
        </w:rPr>
        <w:t>项目背景&amp;现状：在市政府办公厅、市大数据中心统一部署、全程指导下，按照上海市一体化办公平台会战统一进程要求，青浦区始终保持奋斗姿态，敢啃“硬骨头”，善打“攻坚战”，扎实推进区级“一网协同”办公平台建设工作，并先后在全区范围建设应用“随申办”政务云和区级“一网协同”办公平台。</w:t>
      </w:r>
    </w:p>
    <w:p w14:paraId="44748C6E">
      <w:pPr>
        <w:ind w:firstLine="420"/>
        <w:rPr>
          <w:rFonts w:hint="eastAsia"/>
          <w:sz w:val="21"/>
          <w:szCs w:val="21"/>
          <w:highlight w:val="none"/>
        </w:rPr>
      </w:pPr>
      <w:r>
        <w:rPr>
          <w:rFonts w:hint="eastAsia"/>
          <w:sz w:val="21"/>
          <w:szCs w:val="21"/>
          <w:highlight w:val="none"/>
        </w:rPr>
        <w:t>随着平台基础底座和应用构建完成，完善统一用户体系、深化“千人千面”办公门户、拓展区级个性化应用、推动跨部门业务协同成为下一阶段重点工作内容，因此要在原“一网协同”办公平台基础上做进一步的建设升级，以满足青浦区日益增长的办公需求。</w:t>
      </w:r>
    </w:p>
    <w:p w14:paraId="463C3925">
      <w:pPr>
        <w:ind w:firstLine="420"/>
        <w:rPr>
          <w:rFonts w:hint="eastAsia"/>
          <w:sz w:val="21"/>
          <w:szCs w:val="21"/>
          <w:highlight w:val="none"/>
        </w:rPr>
      </w:pPr>
      <w:r>
        <w:rPr>
          <w:rFonts w:hint="eastAsia"/>
          <w:sz w:val="21"/>
          <w:szCs w:val="21"/>
          <w:highlight w:val="none"/>
        </w:rPr>
        <w:t>建设期限：自合同签订后7个月内完成项目建设并通过验收。</w:t>
      </w:r>
    </w:p>
    <w:p w14:paraId="0F69181C">
      <w:pPr>
        <w:ind w:firstLine="420"/>
        <w:rPr>
          <w:rFonts w:hint="eastAsia"/>
          <w:sz w:val="21"/>
          <w:szCs w:val="21"/>
          <w:highlight w:val="none"/>
        </w:rPr>
      </w:pPr>
      <w:r>
        <w:rPr>
          <w:rFonts w:hint="eastAsia"/>
          <w:sz w:val="21"/>
          <w:szCs w:val="21"/>
          <w:highlight w:val="none"/>
        </w:rPr>
        <w:t>建设地点：上海，采购人指定地点</w:t>
      </w:r>
    </w:p>
    <w:p w14:paraId="4DCEB194">
      <w:pPr>
        <w:ind w:firstLine="420"/>
        <w:rPr>
          <w:rFonts w:hint="eastAsia"/>
          <w:sz w:val="21"/>
          <w:szCs w:val="21"/>
          <w:highlight w:val="none"/>
        </w:rPr>
      </w:pPr>
      <w:r>
        <w:rPr>
          <w:rFonts w:hint="eastAsia"/>
          <w:sz w:val="21"/>
          <w:szCs w:val="21"/>
          <w:highlight w:val="none"/>
        </w:rPr>
        <w:t>采购金额（最高限价）：695.56万元</w:t>
      </w:r>
    </w:p>
    <w:p w14:paraId="0D7F5894">
      <w:pPr>
        <w:ind w:firstLine="420"/>
        <w:rPr>
          <w:rFonts w:hint="eastAsia"/>
          <w:sz w:val="21"/>
          <w:szCs w:val="21"/>
          <w:highlight w:val="none"/>
        </w:rPr>
      </w:pPr>
      <w:bookmarkStart w:id="1" w:name="_Toc47532255"/>
      <w:bookmarkEnd w:id="1"/>
      <w:bookmarkStart w:id="2" w:name="_Toc47532891"/>
      <w:bookmarkEnd w:id="2"/>
      <w:bookmarkStart w:id="3" w:name="_Toc47537134"/>
      <w:bookmarkEnd w:id="3"/>
      <w:bookmarkStart w:id="4" w:name="_Toc47536272"/>
      <w:bookmarkEnd w:id="4"/>
      <w:bookmarkStart w:id="5" w:name="_Toc47539070"/>
      <w:bookmarkEnd w:id="5"/>
      <w:bookmarkStart w:id="6" w:name="_Toc47536644"/>
      <w:bookmarkEnd w:id="6"/>
      <w:bookmarkStart w:id="7" w:name="_Toc47531634"/>
      <w:bookmarkEnd w:id="7"/>
      <w:bookmarkStart w:id="8" w:name="_Toc47533256"/>
      <w:bookmarkEnd w:id="8"/>
      <w:bookmarkStart w:id="9" w:name="_Toc63785463"/>
      <w:bookmarkStart w:id="10" w:name="_Toc48223882"/>
      <w:r>
        <w:rPr>
          <w:rFonts w:hint="eastAsia"/>
          <w:sz w:val="21"/>
          <w:szCs w:val="21"/>
          <w:highlight w:val="none"/>
        </w:rPr>
        <w:t>是否按XC要求建设：是</w:t>
      </w:r>
    </w:p>
    <w:p w14:paraId="6975E920">
      <w:pPr>
        <w:ind w:firstLine="420"/>
        <w:rPr>
          <w:rFonts w:hint="eastAsia"/>
          <w:sz w:val="21"/>
          <w:szCs w:val="21"/>
          <w:highlight w:val="none"/>
        </w:rPr>
      </w:pPr>
      <w:r>
        <w:rPr>
          <w:rFonts w:hint="eastAsia"/>
          <w:sz w:val="21"/>
          <w:szCs w:val="21"/>
          <w:highlight w:val="none"/>
        </w:rPr>
        <w:t>运维后所属大系统：一网协同</w:t>
      </w:r>
    </w:p>
    <w:p w14:paraId="6B7D55C7">
      <w:pPr>
        <w:ind w:firstLine="420"/>
        <w:rPr>
          <w:rFonts w:hint="eastAsia"/>
          <w:sz w:val="21"/>
          <w:szCs w:val="21"/>
          <w:highlight w:val="none"/>
        </w:rPr>
      </w:pPr>
    </w:p>
    <w:p w14:paraId="42509560">
      <w:pPr>
        <w:pStyle w:val="2"/>
        <w:ind w:left="-2" w:leftChars="-1" w:firstLine="1"/>
        <w:rPr>
          <w:rFonts w:ascii="Times New Roman" w:hAnsi="Times New Roman"/>
          <w:highlight w:val="none"/>
        </w:rPr>
      </w:pPr>
      <w:r>
        <w:rPr>
          <w:rFonts w:hint="eastAsia" w:ascii="Times New Roman" w:hAnsi="Times New Roman"/>
          <w:highlight w:val="none"/>
        </w:rPr>
        <w:t>建设目标</w:t>
      </w:r>
      <w:bookmarkEnd w:id="9"/>
      <w:bookmarkEnd w:id="10"/>
    </w:p>
    <w:p w14:paraId="287F54E0">
      <w:pPr>
        <w:pStyle w:val="3"/>
        <w:ind w:firstLine="420"/>
        <w:rPr>
          <w:rFonts w:ascii="Times New Roman" w:hAnsi="Times New Roman"/>
          <w:sz w:val="21"/>
          <w:szCs w:val="32"/>
          <w:highlight w:val="none"/>
        </w:rPr>
      </w:pPr>
      <w:r>
        <w:rPr>
          <w:rFonts w:hint="eastAsia" w:ascii="Times New Roman" w:hAnsi="Times New Roman"/>
          <w:sz w:val="21"/>
          <w:szCs w:val="32"/>
          <w:highlight w:val="none"/>
        </w:rPr>
        <w:t>随着青浦区“一网协同”办公平台基础底座和应用构建完成，为全面提升青浦区“一网协同”办公平台的功能，使其更加适应青浦区政府工作的需要，现对系统进行优化改进。主要优化方向有完善统一用户体系、深化“千人千面”办公门户、拓展区级个性化应用、推动跨部门业务协同。</w:t>
      </w:r>
    </w:p>
    <w:p w14:paraId="37E7D66A">
      <w:pPr>
        <w:pStyle w:val="3"/>
        <w:ind w:firstLine="420"/>
        <w:rPr>
          <w:rFonts w:ascii="Times New Roman" w:hAnsi="Times New Roman"/>
          <w:sz w:val="21"/>
          <w:szCs w:val="32"/>
          <w:highlight w:val="none"/>
        </w:rPr>
      </w:pPr>
      <w:r>
        <w:rPr>
          <w:rFonts w:hint="eastAsia" w:ascii="Times New Roman" w:hAnsi="Times New Roman"/>
          <w:sz w:val="21"/>
          <w:szCs w:val="32"/>
          <w:highlight w:val="none"/>
        </w:rPr>
        <w:t>基于“一网协同”办公平台，持续深化青浦区政府运行“一网协同”，促进跨部门业务高效运转，实现更多领域、更大范围、更深层次的一体化办公协同，为数字政府奠定更坚实基础，形成有效支撑“一网通办”和“一网统管”、具有上海特色的一体化办公新名片。</w:t>
      </w:r>
    </w:p>
    <w:p w14:paraId="54196D75">
      <w:pPr>
        <w:pStyle w:val="3"/>
        <w:ind w:firstLine="480"/>
        <w:rPr>
          <w:rFonts w:ascii="Times New Roman" w:hAnsi="Times New Roman"/>
          <w:highlight w:val="none"/>
        </w:rPr>
      </w:pPr>
    </w:p>
    <w:p w14:paraId="6E89103F">
      <w:pPr>
        <w:pStyle w:val="2"/>
        <w:ind w:left="-2" w:leftChars="-1" w:firstLine="1"/>
        <w:rPr>
          <w:rFonts w:ascii="Times New Roman" w:hAnsi="Times New Roman"/>
          <w:highlight w:val="none"/>
        </w:rPr>
      </w:pPr>
      <w:bookmarkStart w:id="11" w:name="_Toc47539102"/>
      <w:bookmarkEnd w:id="11"/>
      <w:bookmarkStart w:id="12" w:name="_Toc47537166"/>
      <w:bookmarkEnd w:id="12"/>
      <w:bookmarkStart w:id="13" w:name="_Toc47532923"/>
      <w:bookmarkEnd w:id="13"/>
      <w:bookmarkStart w:id="14" w:name="_Toc47536676"/>
      <w:bookmarkEnd w:id="14"/>
      <w:bookmarkStart w:id="15" w:name="_Toc47536304"/>
      <w:bookmarkEnd w:id="15"/>
      <w:bookmarkStart w:id="16" w:name="_Toc47533288"/>
      <w:bookmarkEnd w:id="16"/>
      <w:r>
        <w:rPr>
          <w:rFonts w:hint="eastAsia" w:ascii="Times New Roman" w:hAnsi="Times New Roman"/>
          <w:highlight w:val="none"/>
        </w:rPr>
        <w:t>信息化背景</w:t>
      </w:r>
    </w:p>
    <w:p w14:paraId="1B412C90">
      <w:pPr>
        <w:ind w:firstLine="420"/>
        <w:rPr>
          <w:rFonts w:hint="eastAsia"/>
          <w:sz w:val="21"/>
          <w:szCs w:val="21"/>
          <w:highlight w:val="none"/>
        </w:rPr>
      </w:pPr>
      <w:r>
        <w:rPr>
          <w:rFonts w:hint="eastAsia"/>
          <w:sz w:val="21"/>
          <w:szCs w:val="21"/>
          <w:highlight w:val="none"/>
        </w:rPr>
        <w:t>青浦区“一网协同”办公平台，是全区统一的“一网协同”办公平台，满足全市一体化协同办公的全局性总体要求，实现市区二级联动，上联市级“随申办”政务云，下联区级“一网协同”办公平台。全区公务员和事业编制等相关人员将通过移动端和PC端统一在本平台上开展日常办公。两端信息保持实时同步共享，便于用户按照实际办公场景开展各项工作。</w:t>
      </w:r>
    </w:p>
    <w:p w14:paraId="2E57448A">
      <w:pPr>
        <w:ind w:firstLine="0" w:firstLineChars="0"/>
        <w:rPr>
          <w:rFonts w:hint="eastAsia" w:ascii="仿宋" w:hAnsi="仿宋" w:eastAsia="仿宋" w:cs="仿宋"/>
          <w:highlight w:val="none"/>
        </w:rPr>
      </w:pPr>
      <w:r>
        <w:rPr>
          <w:rFonts w:hint="eastAsia" w:ascii="仿宋" w:hAnsi="仿宋" w:eastAsia="仿宋" w:cs="仿宋"/>
          <w:highlight w:val="none"/>
        </w:rPr>
        <w:drawing>
          <wp:inline distT="0" distB="0" distL="0" distR="0">
            <wp:extent cx="5274310" cy="3545840"/>
            <wp:effectExtent l="0" t="0" r="2540" b="0"/>
            <wp:docPr id="50" name="图片 50"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形用户界面, 应用程序, 表格&#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3545840"/>
                    </a:xfrm>
                    <a:prstGeom prst="rect">
                      <a:avLst/>
                    </a:prstGeom>
                    <a:noFill/>
                    <a:ln>
                      <a:noFill/>
                    </a:ln>
                  </pic:spPr>
                </pic:pic>
              </a:graphicData>
            </a:graphic>
          </wp:inline>
        </w:drawing>
      </w:r>
    </w:p>
    <w:p w14:paraId="64ED2CC2">
      <w:pPr>
        <w:ind w:firstLine="420"/>
        <w:rPr>
          <w:rFonts w:hint="eastAsia"/>
          <w:sz w:val="21"/>
          <w:szCs w:val="21"/>
          <w:highlight w:val="none"/>
        </w:rPr>
      </w:pPr>
      <w:r>
        <w:rPr>
          <w:rFonts w:hint="eastAsia"/>
          <w:sz w:val="21"/>
          <w:szCs w:val="21"/>
          <w:highlight w:val="none"/>
        </w:rPr>
        <w:t>青浦区“一网协同”办公平台整体为 B/S 架构，采用客户端浏览器‑Web 应用服务器‑数据库服务器的三层技术体系。系统基于</w:t>
      </w:r>
      <w:r>
        <w:rPr>
          <w:rFonts w:hint="eastAsia"/>
          <w:sz w:val="21"/>
          <w:szCs w:val="21"/>
          <w:highlight w:val="none"/>
          <w:lang w:eastAsia="zh-CN"/>
        </w:rPr>
        <w:t>XC环境</w:t>
      </w:r>
      <w:r>
        <w:rPr>
          <w:rFonts w:hint="eastAsia"/>
          <w:sz w:val="21"/>
          <w:szCs w:val="21"/>
          <w:highlight w:val="none"/>
        </w:rPr>
        <w:t>搭建，全栈选用国产化软硬件。软件方面依托市一体化办公平台及WPS作为办公应用底座，数据库为国产达梦数据库；服务器操作系统部署统信 U20。硬件方面 CPU 采用 ARM 架构的鲲鹏处理器。网络安全层面依托深信服零信任体系，实现防火墙防护、负载均衡、安全代理网关能力，同时完成访问控制策略的统一下发管理。</w:t>
      </w:r>
    </w:p>
    <w:p w14:paraId="79DB0B61">
      <w:pPr>
        <w:ind w:firstLine="420"/>
        <w:rPr>
          <w:rFonts w:hint="eastAsia"/>
          <w:sz w:val="21"/>
          <w:szCs w:val="21"/>
          <w:highlight w:val="none"/>
        </w:rPr>
      </w:pPr>
      <w:r>
        <w:rPr>
          <w:rFonts w:hint="eastAsia"/>
          <w:sz w:val="21"/>
          <w:szCs w:val="21"/>
          <w:highlight w:val="none"/>
        </w:rPr>
        <w:t>系统部署架构设计如下，包括：区电子政务云政务外网侧及互联网侧；各类数据的交换、应用系统的运维，由区政务云做统一管理；本业务使用端为P</w:t>
      </w:r>
      <w:r>
        <w:rPr>
          <w:sz w:val="21"/>
          <w:szCs w:val="21"/>
          <w:highlight w:val="none"/>
        </w:rPr>
        <w:t>C</w:t>
      </w:r>
      <w:r>
        <w:rPr>
          <w:rFonts w:hint="eastAsia"/>
          <w:sz w:val="21"/>
          <w:szCs w:val="21"/>
          <w:highlight w:val="none"/>
        </w:rPr>
        <w:t>终端、移动终端；</w:t>
      </w:r>
    </w:p>
    <w:p w14:paraId="63508092">
      <w:pPr>
        <w:pStyle w:val="13"/>
        <w:spacing w:line="360" w:lineRule="auto"/>
        <w:ind w:firstLine="0" w:firstLineChars="0"/>
        <w:jc w:val="center"/>
        <w:rPr>
          <w:rFonts w:hint="eastAsia" w:ascii="仿宋" w:hAnsi="仿宋" w:eastAsia="仿宋"/>
          <w:highlight w:val="none"/>
        </w:rPr>
      </w:pPr>
      <w:r>
        <w:rPr>
          <w:rFonts w:ascii="仿宋" w:hAnsi="仿宋" w:eastAsia="仿宋"/>
          <w:szCs w:val="21"/>
          <w:highlight w:val="none"/>
        </w:rPr>
        <w:drawing>
          <wp:inline distT="0" distB="0" distL="0" distR="0">
            <wp:extent cx="3413760" cy="3058160"/>
            <wp:effectExtent l="0" t="0" r="0" b="8890"/>
            <wp:docPr id="4" name="图片 1"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片包含 图形用户界面&#10;&#10;描述已自动生成"/>
                    <pic:cNvPicPr>
                      <a:picLocks noChangeAspect="1"/>
                    </pic:cNvPicPr>
                  </pic:nvPicPr>
                  <pic:blipFill>
                    <a:blip r:embed="rId13"/>
                    <a:stretch>
                      <a:fillRect/>
                    </a:stretch>
                  </pic:blipFill>
                  <pic:spPr>
                    <a:xfrm>
                      <a:off x="0" y="0"/>
                      <a:ext cx="3429347" cy="3072225"/>
                    </a:xfrm>
                    <a:prstGeom prst="rect">
                      <a:avLst/>
                    </a:prstGeom>
                  </pic:spPr>
                </pic:pic>
              </a:graphicData>
            </a:graphic>
          </wp:inline>
        </w:drawing>
      </w:r>
    </w:p>
    <w:p w14:paraId="22615674">
      <w:pPr>
        <w:pStyle w:val="3"/>
        <w:ind w:firstLine="480"/>
        <w:rPr>
          <w:rFonts w:hint="eastAsia"/>
          <w:highlight w:val="none"/>
        </w:rPr>
      </w:pPr>
      <w:r>
        <w:rPr>
          <w:rFonts w:hint="eastAsia"/>
          <w:highlight w:val="none"/>
        </w:rPr>
        <w:t>二期项目建设，将沿用一期现有政务网络及环境资源进行开发实施部署，对于必要的资源新增或调整，需要按要求向有关部门进行申请。</w:t>
      </w:r>
    </w:p>
    <w:p w14:paraId="0B3E6BD2">
      <w:pPr>
        <w:pStyle w:val="3"/>
        <w:ind w:firstLine="480"/>
        <w:rPr>
          <w:rFonts w:hint="eastAsia"/>
          <w:highlight w:val="none"/>
        </w:rPr>
      </w:pPr>
    </w:p>
    <w:p w14:paraId="74BB1C4C">
      <w:pPr>
        <w:pStyle w:val="2"/>
        <w:ind w:left="-2" w:leftChars="-1" w:firstLine="1"/>
        <w:rPr>
          <w:rFonts w:ascii="Times New Roman" w:hAnsi="Times New Roman"/>
          <w:highlight w:val="none"/>
        </w:rPr>
      </w:pPr>
      <w:r>
        <w:rPr>
          <w:rFonts w:hint="eastAsia" w:ascii="Times New Roman" w:hAnsi="Times New Roman"/>
          <w:highlight w:val="none"/>
        </w:rPr>
        <w:t>项目建设内容</w:t>
      </w:r>
    </w:p>
    <w:p w14:paraId="4939749D">
      <w:pPr>
        <w:pStyle w:val="4"/>
        <w:ind w:left="1" w:hanging="1"/>
        <w:rPr>
          <w:rFonts w:ascii="Times New Roman" w:hAnsi="Times New Roman"/>
          <w:highlight w:val="none"/>
        </w:rPr>
      </w:pPr>
      <w:r>
        <w:rPr>
          <w:rFonts w:hint="eastAsia" w:ascii="Times New Roman" w:hAnsi="Times New Roman"/>
          <w:highlight w:val="none"/>
        </w:rPr>
        <w:t>主要建设内容</w:t>
      </w:r>
    </w:p>
    <w:p w14:paraId="3C3B7F2E">
      <w:pPr>
        <w:ind w:firstLine="420"/>
        <w:rPr>
          <w:rFonts w:hint="eastAsia"/>
          <w:sz w:val="21"/>
          <w:szCs w:val="21"/>
          <w:highlight w:val="none"/>
        </w:rPr>
      </w:pPr>
      <w:r>
        <w:rPr>
          <w:rFonts w:hint="eastAsia"/>
          <w:sz w:val="21"/>
          <w:szCs w:val="21"/>
          <w:highlight w:val="none"/>
        </w:rPr>
        <w:t>本期项目建设将共性应用建设与单位个性应用建设有机结合，旨在通过集约化建设实现资源高效配置。共性应用聚焦区内跨部门、跨层级的各个通用共性业务需求，通过统一标准、共享平台和集中开发，避免重复投入，降低系统分散建设带来的软硬件采购及维护成本，形成"一次投入、多方复用"的规模效应。这种模式既强化了基础支撑能力，又通过资源复用性显著压缩了总体建设开支。</w:t>
      </w:r>
    </w:p>
    <w:p w14:paraId="518AE0E0">
      <w:pPr>
        <w:ind w:firstLine="420"/>
        <w:rPr>
          <w:rFonts w:hint="eastAsia"/>
          <w:sz w:val="21"/>
          <w:szCs w:val="21"/>
          <w:highlight w:val="none"/>
        </w:rPr>
      </w:pPr>
      <w:r>
        <w:rPr>
          <w:rFonts w:hint="eastAsia"/>
          <w:sz w:val="21"/>
          <w:szCs w:val="21"/>
          <w:highlight w:val="none"/>
        </w:rPr>
        <w:t>在共性应用建设夯实一网协同办公平台统一数字化底座的基础上，单位个性应用建设针对各委办单位的差异化业务需求进行精准定制开发。通过模块化设计和灵活配置机制，既保障了特色业务的适配性，又避免了"推倒重建"的资源浪费。这种建设策略有效平衡了标准化与定制化的关系，既通过共性模块节省了共性功能开发费用，又借助个性化建设提升了具体各委办单位的业务处理效率，实现了降本增效的双重目标。</w:t>
      </w:r>
    </w:p>
    <w:p w14:paraId="57E1D10F">
      <w:pPr>
        <w:ind w:firstLine="420"/>
        <w:rPr>
          <w:rFonts w:hint="eastAsia"/>
          <w:sz w:val="21"/>
          <w:szCs w:val="21"/>
          <w:highlight w:val="none"/>
        </w:rPr>
      </w:pPr>
      <w:r>
        <w:rPr>
          <w:rFonts w:hint="eastAsia"/>
          <w:sz w:val="21"/>
          <w:szCs w:val="21"/>
          <w:highlight w:val="none"/>
        </w:rPr>
        <w:t>本期项目主要建设内容为：</w:t>
      </w:r>
    </w:p>
    <w:p w14:paraId="0D1E0491">
      <w:pPr>
        <w:ind w:firstLine="422"/>
        <w:rPr>
          <w:rFonts w:hint="eastAsia"/>
          <w:b/>
          <w:bCs/>
          <w:sz w:val="21"/>
          <w:szCs w:val="21"/>
          <w:highlight w:val="none"/>
        </w:rPr>
      </w:pPr>
      <w:r>
        <w:rPr>
          <w:rFonts w:hint="eastAsia"/>
          <w:b/>
          <w:bCs/>
          <w:sz w:val="21"/>
          <w:szCs w:val="21"/>
          <w:highlight w:val="none"/>
        </w:rPr>
        <w:t>1.共性应用建设</w:t>
      </w:r>
    </w:p>
    <w:p w14:paraId="53A1F987">
      <w:pPr>
        <w:ind w:firstLine="420"/>
        <w:rPr>
          <w:rFonts w:hint="eastAsia"/>
          <w:sz w:val="21"/>
          <w:szCs w:val="21"/>
          <w:highlight w:val="none"/>
        </w:rPr>
      </w:pPr>
      <w:r>
        <w:rPr>
          <w:rFonts w:hint="eastAsia"/>
          <w:sz w:val="21"/>
          <w:szCs w:val="21"/>
          <w:highlight w:val="none"/>
        </w:rPr>
        <w:t>本次项目共性应用建设主要包括办公底座升级优化、区级办公应用建设两部分。</w:t>
      </w:r>
    </w:p>
    <w:p w14:paraId="07EE9B7E">
      <w:pPr>
        <w:ind w:firstLine="420"/>
        <w:rPr>
          <w:rFonts w:hint="eastAsia"/>
          <w:sz w:val="21"/>
          <w:szCs w:val="21"/>
          <w:highlight w:val="none"/>
        </w:rPr>
      </w:pPr>
      <w:r>
        <w:rPr>
          <w:rFonts w:hint="eastAsia"/>
          <w:sz w:val="21"/>
          <w:szCs w:val="21"/>
          <w:highlight w:val="none"/>
        </w:rPr>
        <w:t>1）办公底座升级优化。根据区内协同办公需求，优化区级办公OA底座。基于区办公平台现有的组织架构和用户信息，构建区统一身份认证平台，为青浦区各业务系统提供认证管理服务，由政务人员信息管理中心、认证权限风控管理系统和一系列配套服务支撑保障组成，提供人员标签维护功能。实现工作秘密安全防护，参照市级要求和策略，针对涉及工作秘密的公文对其流程、正文、附件、权限等开展管理，并采用数据标记、溯源水印、文件加密等技术手段进行全流程标记。办公平台也需做相应的对接开发。</w:t>
      </w:r>
    </w:p>
    <w:p w14:paraId="67CFF661">
      <w:pPr>
        <w:ind w:firstLine="420"/>
        <w:rPr>
          <w:rFonts w:hint="eastAsia"/>
          <w:sz w:val="21"/>
          <w:szCs w:val="21"/>
          <w:highlight w:val="none"/>
        </w:rPr>
      </w:pPr>
      <w:r>
        <w:rPr>
          <w:rFonts w:hint="eastAsia"/>
          <w:sz w:val="21"/>
          <w:szCs w:val="21"/>
          <w:highlight w:val="none"/>
        </w:rPr>
        <w:t>2）区级办公应用建设。为进一步拓展区级办公应用，在充分调研了解区内办公需求，利用区内办公OA底座打造区内共性化办公应用，主要包括：数字档案室、访客管理、考勤系统、短信管理、移动端长者版、政务消息推送、区政府“十五项重点工程”重点指标（工作）推进、区政府目标管理工作推进、区政府重要会议要求事项落实情况、十五项重点工程移动端驾驶舱、会议报备。</w:t>
      </w:r>
    </w:p>
    <w:p w14:paraId="302BDDA0">
      <w:pPr>
        <w:ind w:firstLine="422"/>
        <w:rPr>
          <w:rFonts w:hint="eastAsia"/>
          <w:b/>
          <w:bCs/>
          <w:sz w:val="21"/>
          <w:szCs w:val="21"/>
          <w:highlight w:val="none"/>
        </w:rPr>
      </w:pPr>
      <w:r>
        <w:rPr>
          <w:rFonts w:hint="eastAsia"/>
          <w:b/>
          <w:bCs/>
          <w:sz w:val="21"/>
          <w:szCs w:val="21"/>
          <w:highlight w:val="none"/>
        </w:rPr>
        <w:t>2.单位个性应用建设</w:t>
      </w:r>
    </w:p>
    <w:p w14:paraId="1DE21CAB">
      <w:pPr>
        <w:ind w:firstLine="420"/>
        <w:rPr>
          <w:rFonts w:hint="eastAsia"/>
          <w:sz w:val="21"/>
          <w:szCs w:val="21"/>
          <w:highlight w:val="none"/>
        </w:rPr>
      </w:pPr>
      <w:r>
        <w:rPr>
          <w:rFonts w:hint="eastAsia"/>
          <w:sz w:val="21"/>
          <w:szCs w:val="21"/>
          <w:highlight w:val="none"/>
        </w:rPr>
        <w:t>针对区组织部、区委党校、区人大、区国资委、区国动办、区发改委和区房管局等区内部分单位个性化办公需求，以区一网协同办公平台为底座，打造独具特色，智能便捷的单位个性应用，充分满足各单位个性化需求。主要包括：数字化项目全生命周期管理、干部亲属经商办企业信息采集、智慧党校系统、村居“两委”班子画像、入企通、人大代表业务应用系统、国资国企在线监管系统、中小企业信用信息共享服务系统、保障性租赁住房管理信息系统等个性应用建设，实现各业务系统在“一网协同”办公平台体系下的协同联动。</w:t>
      </w:r>
    </w:p>
    <w:p w14:paraId="067281EC">
      <w:pPr>
        <w:ind w:firstLine="422"/>
        <w:rPr>
          <w:rFonts w:hint="eastAsia"/>
          <w:b/>
          <w:bCs/>
          <w:sz w:val="21"/>
          <w:szCs w:val="21"/>
          <w:highlight w:val="none"/>
        </w:rPr>
      </w:pPr>
      <w:r>
        <w:rPr>
          <w:rFonts w:hint="eastAsia"/>
          <w:b/>
          <w:bCs/>
          <w:sz w:val="21"/>
          <w:szCs w:val="21"/>
          <w:highlight w:val="none"/>
        </w:rPr>
        <w:t>3.系统集成对接</w:t>
      </w:r>
    </w:p>
    <w:p w14:paraId="71EEFE3E">
      <w:pPr>
        <w:ind w:firstLine="420"/>
        <w:rPr>
          <w:rFonts w:hint="eastAsia"/>
          <w:sz w:val="21"/>
          <w:szCs w:val="21"/>
          <w:highlight w:val="none"/>
        </w:rPr>
      </w:pPr>
      <w:r>
        <w:rPr>
          <w:rFonts w:hint="eastAsia"/>
          <w:sz w:val="21"/>
          <w:szCs w:val="21"/>
          <w:highlight w:val="none"/>
        </w:rPr>
        <w:t>以区办公平台作为统一入口，与长三角一体化对接开发，实现协同中枢对接开发改造，完成长三角生态绿色一体化示范区内公文在线流转的目标（青浦区部分）。</w:t>
      </w:r>
    </w:p>
    <w:p w14:paraId="789C839C">
      <w:pPr>
        <w:ind w:firstLine="422"/>
        <w:rPr>
          <w:rFonts w:hint="eastAsia"/>
          <w:b/>
          <w:bCs/>
          <w:sz w:val="21"/>
          <w:szCs w:val="21"/>
          <w:highlight w:val="none"/>
        </w:rPr>
      </w:pPr>
      <w:r>
        <w:rPr>
          <w:rFonts w:hint="eastAsia"/>
          <w:b/>
          <w:bCs/>
          <w:sz w:val="21"/>
          <w:szCs w:val="21"/>
          <w:highlight w:val="none"/>
        </w:rPr>
        <w:t>4.密码应用功能模块开发</w:t>
      </w:r>
    </w:p>
    <w:p w14:paraId="2771F7E0">
      <w:pPr>
        <w:ind w:firstLine="420"/>
        <w:rPr>
          <w:rFonts w:hint="eastAsia"/>
          <w:sz w:val="21"/>
          <w:szCs w:val="21"/>
          <w:highlight w:val="none"/>
        </w:rPr>
      </w:pPr>
      <w:r>
        <w:rPr>
          <w:rFonts w:hint="eastAsia"/>
          <w:sz w:val="21"/>
          <w:szCs w:val="21"/>
          <w:highlight w:val="none"/>
        </w:rPr>
        <w:t>从物理和环境安全、网络和通信安全、设备和计算安全、应用和数据安全、密钥管理、安全管理等层面，设计并实施密码应用技术方案、安全管理方案和实施保障方案。一期项目中已建的站点证书、设备证书需要在本期项目中进行续签。针对本项目新建内容，需要额外采购证书认证服务、Ukey、浏览器密码模块，并需要进行对应密码应用功能模块开发（统一身份认证系统、人大代表业务系统、中小企业信用信息共享服务系统等）。</w:t>
      </w:r>
    </w:p>
    <w:p w14:paraId="5A3F1E1F">
      <w:pPr>
        <w:ind w:firstLine="422"/>
        <w:rPr>
          <w:rFonts w:hint="eastAsia"/>
          <w:b/>
          <w:bCs/>
          <w:sz w:val="21"/>
          <w:szCs w:val="21"/>
          <w:highlight w:val="none"/>
        </w:rPr>
      </w:pPr>
      <w:r>
        <w:rPr>
          <w:rFonts w:hint="eastAsia"/>
          <w:b/>
          <w:bCs/>
          <w:sz w:val="21"/>
          <w:szCs w:val="21"/>
          <w:highlight w:val="none"/>
        </w:rPr>
        <w:t>5.其他拓展服务</w:t>
      </w:r>
    </w:p>
    <w:p w14:paraId="42736B9F">
      <w:pPr>
        <w:ind w:firstLine="420"/>
        <w:rPr>
          <w:rFonts w:hint="eastAsia"/>
          <w:sz w:val="21"/>
          <w:szCs w:val="21"/>
          <w:highlight w:val="none"/>
        </w:rPr>
      </w:pPr>
      <w:r>
        <w:rPr>
          <w:rFonts w:hint="eastAsia"/>
          <w:sz w:val="21"/>
          <w:szCs w:val="21"/>
          <w:highlight w:val="none"/>
        </w:rPr>
        <w:t>根据原平台近一年的运行情况，需增加服务资源以满足一体化办公平台日常使用，新增</w:t>
      </w:r>
      <w:r>
        <w:rPr>
          <w:rFonts w:hint="eastAsia"/>
          <w:highlight w:val="none"/>
        </w:rPr>
        <w:t>办公软件服务授权。为满足</w:t>
      </w:r>
      <w:r>
        <w:rPr>
          <w:rFonts w:hint="eastAsia"/>
          <w:sz w:val="21"/>
          <w:szCs w:val="21"/>
          <w:highlight w:val="none"/>
        </w:rPr>
        <w:t>工作秘密安全防护建设需求，新增终端沙箱客户端授权、新增数据隐写工具。为满足业务系统建设需求，新增操作系统授权、新增中间件授权。</w:t>
      </w:r>
    </w:p>
    <w:p w14:paraId="60F47CDD">
      <w:pPr>
        <w:ind w:firstLine="420"/>
        <w:rPr>
          <w:rFonts w:hint="eastAsia"/>
          <w:sz w:val="21"/>
          <w:szCs w:val="21"/>
          <w:highlight w:val="none"/>
        </w:rPr>
      </w:pPr>
    </w:p>
    <w:p w14:paraId="1E671CC7">
      <w:pPr>
        <w:pStyle w:val="4"/>
        <w:ind w:left="1" w:hanging="1"/>
        <w:rPr>
          <w:rFonts w:ascii="Times New Roman" w:hAnsi="Times New Roman"/>
          <w:highlight w:val="none"/>
        </w:rPr>
      </w:pPr>
      <w:r>
        <w:rPr>
          <w:rFonts w:hint="eastAsia" w:ascii="Times New Roman" w:hAnsi="Times New Roman"/>
          <w:highlight w:val="none"/>
        </w:rPr>
        <w:t>系统建设需求</w:t>
      </w:r>
    </w:p>
    <w:p w14:paraId="74C7C6BF">
      <w:pPr>
        <w:pStyle w:val="5"/>
        <w:rPr>
          <w:rFonts w:ascii="Times New Roman" w:hAnsi="Times New Roman"/>
          <w:highlight w:val="none"/>
        </w:rPr>
      </w:pPr>
      <w:r>
        <w:rPr>
          <w:rFonts w:hint="eastAsia" w:ascii="Times New Roman" w:hAnsi="Times New Roman"/>
          <w:highlight w:val="none"/>
        </w:rPr>
        <w:t>项目建设清单</w:t>
      </w:r>
    </w:p>
    <w:tbl>
      <w:tblPr>
        <w:tblStyle w:val="38"/>
        <w:tblW w:w="5000" w:type="pct"/>
        <w:tblInd w:w="0" w:type="dxa"/>
        <w:tblLayout w:type="autofit"/>
        <w:tblCellMar>
          <w:top w:w="0" w:type="dxa"/>
          <w:left w:w="108" w:type="dxa"/>
          <w:bottom w:w="0" w:type="dxa"/>
          <w:right w:w="108" w:type="dxa"/>
        </w:tblCellMar>
      </w:tblPr>
      <w:tblGrid>
        <w:gridCol w:w="693"/>
        <w:gridCol w:w="1279"/>
        <w:gridCol w:w="1284"/>
        <w:gridCol w:w="3145"/>
        <w:gridCol w:w="1151"/>
        <w:gridCol w:w="970"/>
      </w:tblGrid>
      <w:tr w14:paraId="57132E6A">
        <w:tblPrEx>
          <w:tblCellMar>
            <w:top w:w="0" w:type="dxa"/>
            <w:left w:w="108" w:type="dxa"/>
            <w:bottom w:w="0" w:type="dxa"/>
            <w:right w:w="108" w:type="dxa"/>
          </w:tblCellMar>
        </w:tblPrEx>
        <w:trPr>
          <w:trHeight w:val="230" w:hRule="atLeast"/>
        </w:trPr>
        <w:tc>
          <w:tcPr>
            <w:tcW w:w="407" w:type="pct"/>
            <w:tcBorders>
              <w:top w:val="single" w:color="auto" w:sz="4" w:space="0"/>
              <w:left w:val="single" w:color="auto" w:sz="4" w:space="0"/>
              <w:bottom w:val="single" w:color="auto" w:sz="4" w:space="0"/>
              <w:right w:val="single" w:color="auto" w:sz="4" w:space="0"/>
            </w:tcBorders>
            <w:shd w:val="clear" w:color="000000" w:fill="BFBFBF"/>
            <w:noWrap/>
            <w:vAlign w:val="center"/>
          </w:tcPr>
          <w:p w14:paraId="2F20800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序号</w:t>
            </w:r>
          </w:p>
        </w:tc>
        <w:tc>
          <w:tcPr>
            <w:tcW w:w="1503" w:type="pct"/>
            <w:gridSpan w:val="2"/>
            <w:tcBorders>
              <w:top w:val="single" w:color="auto" w:sz="4" w:space="0"/>
              <w:left w:val="nil"/>
              <w:bottom w:val="single" w:color="auto" w:sz="4" w:space="0"/>
              <w:right w:val="single" w:color="auto" w:sz="4" w:space="0"/>
            </w:tcBorders>
            <w:shd w:val="clear" w:color="000000" w:fill="BFBFBF"/>
            <w:noWrap/>
            <w:vAlign w:val="center"/>
          </w:tcPr>
          <w:p w14:paraId="0CDC631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类别</w:t>
            </w:r>
          </w:p>
        </w:tc>
        <w:tc>
          <w:tcPr>
            <w:tcW w:w="1845" w:type="pct"/>
            <w:tcBorders>
              <w:top w:val="single" w:color="auto" w:sz="4" w:space="0"/>
              <w:left w:val="nil"/>
              <w:bottom w:val="single" w:color="auto" w:sz="4" w:space="0"/>
              <w:right w:val="single" w:color="auto" w:sz="4" w:space="0"/>
            </w:tcBorders>
            <w:shd w:val="clear" w:color="000000" w:fill="BFBFBF"/>
            <w:noWrap/>
            <w:vAlign w:val="center"/>
          </w:tcPr>
          <w:p w14:paraId="7DD214F6">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系统模块</w:t>
            </w:r>
          </w:p>
        </w:tc>
        <w:tc>
          <w:tcPr>
            <w:tcW w:w="675" w:type="pct"/>
            <w:tcBorders>
              <w:top w:val="single" w:color="auto" w:sz="4" w:space="0"/>
              <w:left w:val="nil"/>
              <w:bottom w:val="single" w:color="auto" w:sz="4" w:space="0"/>
              <w:right w:val="single" w:color="auto" w:sz="4" w:space="0"/>
            </w:tcBorders>
            <w:shd w:val="clear" w:color="000000" w:fill="BFBFBF"/>
            <w:noWrap/>
            <w:vAlign w:val="center"/>
          </w:tcPr>
          <w:p w14:paraId="7F7B16A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单位</w:t>
            </w:r>
          </w:p>
        </w:tc>
        <w:tc>
          <w:tcPr>
            <w:tcW w:w="569" w:type="pct"/>
            <w:tcBorders>
              <w:top w:val="single" w:color="auto" w:sz="4" w:space="0"/>
              <w:left w:val="nil"/>
              <w:bottom w:val="single" w:color="auto" w:sz="4" w:space="0"/>
              <w:right w:val="single" w:color="auto" w:sz="4" w:space="0"/>
            </w:tcBorders>
            <w:shd w:val="clear" w:color="000000" w:fill="BFBFBF"/>
            <w:noWrap/>
            <w:vAlign w:val="center"/>
          </w:tcPr>
          <w:p w14:paraId="302002A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数量</w:t>
            </w:r>
          </w:p>
        </w:tc>
      </w:tr>
      <w:tr w14:paraId="084AC82C">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15E87F9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c>
          <w:tcPr>
            <w:tcW w:w="750" w:type="pct"/>
            <w:vMerge w:val="restart"/>
            <w:tcBorders>
              <w:top w:val="nil"/>
              <w:left w:val="single" w:color="auto" w:sz="4" w:space="0"/>
              <w:bottom w:val="single" w:color="auto" w:sz="4" w:space="0"/>
              <w:right w:val="single" w:color="auto" w:sz="4" w:space="0"/>
            </w:tcBorders>
            <w:shd w:val="clear" w:color="auto" w:fill="auto"/>
            <w:vAlign w:val="center"/>
          </w:tcPr>
          <w:p w14:paraId="13745B1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应用软件开发</w:t>
            </w:r>
          </w:p>
        </w:tc>
        <w:tc>
          <w:tcPr>
            <w:tcW w:w="753" w:type="pct"/>
            <w:vMerge w:val="restart"/>
            <w:tcBorders>
              <w:top w:val="nil"/>
              <w:left w:val="single" w:color="auto" w:sz="4" w:space="0"/>
              <w:bottom w:val="single" w:color="auto" w:sz="4" w:space="0"/>
              <w:right w:val="single" w:color="auto" w:sz="4" w:space="0"/>
            </w:tcBorders>
            <w:shd w:val="clear" w:color="auto" w:fill="auto"/>
            <w:vAlign w:val="center"/>
          </w:tcPr>
          <w:p w14:paraId="71D84066">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共性应用建设</w:t>
            </w:r>
          </w:p>
        </w:tc>
        <w:tc>
          <w:tcPr>
            <w:tcW w:w="1845" w:type="pct"/>
            <w:tcBorders>
              <w:top w:val="nil"/>
              <w:left w:val="nil"/>
              <w:bottom w:val="single" w:color="auto" w:sz="4" w:space="0"/>
              <w:right w:val="single" w:color="auto" w:sz="4" w:space="0"/>
            </w:tcBorders>
            <w:shd w:val="clear" w:color="auto" w:fill="auto"/>
            <w:vAlign w:val="center"/>
          </w:tcPr>
          <w:p w14:paraId="102B733B">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统一身份认证平台</w:t>
            </w:r>
          </w:p>
        </w:tc>
        <w:tc>
          <w:tcPr>
            <w:tcW w:w="675" w:type="pct"/>
            <w:tcBorders>
              <w:top w:val="nil"/>
              <w:left w:val="nil"/>
              <w:bottom w:val="single" w:color="auto" w:sz="4" w:space="0"/>
              <w:right w:val="single" w:color="auto" w:sz="4" w:space="0"/>
            </w:tcBorders>
            <w:shd w:val="clear" w:color="auto" w:fill="auto"/>
            <w:noWrap/>
            <w:vAlign w:val="center"/>
          </w:tcPr>
          <w:p w14:paraId="6DF060B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39BC4FB6">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0C223B79">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7EDE54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w:t>
            </w:r>
          </w:p>
        </w:tc>
        <w:tc>
          <w:tcPr>
            <w:tcW w:w="750" w:type="pct"/>
            <w:vMerge w:val="continue"/>
            <w:tcBorders>
              <w:top w:val="nil"/>
              <w:left w:val="single" w:color="auto" w:sz="4" w:space="0"/>
              <w:bottom w:val="single" w:color="auto" w:sz="4" w:space="0"/>
              <w:right w:val="single" w:color="auto" w:sz="4" w:space="0"/>
            </w:tcBorders>
            <w:vAlign w:val="center"/>
          </w:tcPr>
          <w:p w14:paraId="3C827FF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7574A52F">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16F1F696">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工作秘密安全防护</w:t>
            </w:r>
          </w:p>
        </w:tc>
        <w:tc>
          <w:tcPr>
            <w:tcW w:w="675" w:type="pct"/>
            <w:tcBorders>
              <w:top w:val="nil"/>
              <w:left w:val="nil"/>
              <w:bottom w:val="single" w:color="auto" w:sz="4" w:space="0"/>
              <w:right w:val="single" w:color="auto" w:sz="4" w:space="0"/>
            </w:tcBorders>
            <w:shd w:val="clear" w:color="auto" w:fill="auto"/>
            <w:noWrap/>
            <w:vAlign w:val="center"/>
          </w:tcPr>
          <w:p w14:paraId="5B8D8B5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0287BC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042088F8">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185035D3">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3</w:t>
            </w:r>
          </w:p>
        </w:tc>
        <w:tc>
          <w:tcPr>
            <w:tcW w:w="750" w:type="pct"/>
            <w:vMerge w:val="continue"/>
            <w:tcBorders>
              <w:top w:val="nil"/>
              <w:left w:val="single" w:color="auto" w:sz="4" w:space="0"/>
              <w:bottom w:val="single" w:color="auto" w:sz="4" w:space="0"/>
              <w:right w:val="single" w:color="auto" w:sz="4" w:space="0"/>
            </w:tcBorders>
            <w:vAlign w:val="center"/>
          </w:tcPr>
          <w:p w14:paraId="582DA13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98E9258">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1D91323B">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数字档案室</w:t>
            </w:r>
          </w:p>
        </w:tc>
        <w:tc>
          <w:tcPr>
            <w:tcW w:w="675" w:type="pct"/>
            <w:tcBorders>
              <w:top w:val="nil"/>
              <w:left w:val="nil"/>
              <w:bottom w:val="single" w:color="auto" w:sz="4" w:space="0"/>
              <w:right w:val="single" w:color="auto" w:sz="4" w:space="0"/>
            </w:tcBorders>
            <w:shd w:val="clear" w:color="auto" w:fill="auto"/>
            <w:noWrap/>
            <w:vAlign w:val="center"/>
          </w:tcPr>
          <w:p w14:paraId="6640C95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E79DD02">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1A49103C">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6F33538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4</w:t>
            </w:r>
          </w:p>
        </w:tc>
        <w:tc>
          <w:tcPr>
            <w:tcW w:w="750" w:type="pct"/>
            <w:vMerge w:val="continue"/>
            <w:tcBorders>
              <w:top w:val="nil"/>
              <w:left w:val="single" w:color="auto" w:sz="4" w:space="0"/>
              <w:bottom w:val="single" w:color="auto" w:sz="4" w:space="0"/>
              <w:right w:val="single" w:color="auto" w:sz="4" w:space="0"/>
            </w:tcBorders>
            <w:vAlign w:val="center"/>
          </w:tcPr>
          <w:p w14:paraId="1F176BA9">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089E62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54FED2B">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访客系统</w:t>
            </w:r>
          </w:p>
        </w:tc>
        <w:tc>
          <w:tcPr>
            <w:tcW w:w="675" w:type="pct"/>
            <w:tcBorders>
              <w:top w:val="nil"/>
              <w:left w:val="nil"/>
              <w:bottom w:val="single" w:color="auto" w:sz="4" w:space="0"/>
              <w:right w:val="single" w:color="auto" w:sz="4" w:space="0"/>
            </w:tcBorders>
            <w:shd w:val="clear" w:color="auto" w:fill="auto"/>
            <w:noWrap/>
            <w:vAlign w:val="center"/>
          </w:tcPr>
          <w:p w14:paraId="064A538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C7331C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0D8D5451">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00009429">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5</w:t>
            </w:r>
          </w:p>
        </w:tc>
        <w:tc>
          <w:tcPr>
            <w:tcW w:w="750" w:type="pct"/>
            <w:vMerge w:val="continue"/>
            <w:tcBorders>
              <w:top w:val="nil"/>
              <w:left w:val="single" w:color="auto" w:sz="4" w:space="0"/>
              <w:bottom w:val="single" w:color="auto" w:sz="4" w:space="0"/>
              <w:right w:val="single" w:color="auto" w:sz="4" w:space="0"/>
            </w:tcBorders>
            <w:vAlign w:val="center"/>
          </w:tcPr>
          <w:p w14:paraId="31408B8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1434F749">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4EFF72DA">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考勤系统</w:t>
            </w:r>
          </w:p>
        </w:tc>
        <w:tc>
          <w:tcPr>
            <w:tcW w:w="675" w:type="pct"/>
            <w:tcBorders>
              <w:top w:val="nil"/>
              <w:left w:val="nil"/>
              <w:bottom w:val="single" w:color="auto" w:sz="4" w:space="0"/>
              <w:right w:val="single" w:color="auto" w:sz="4" w:space="0"/>
            </w:tcBorders>
            <w:shd w:val="clear" w:color="auto" w:fill="auto"/>
            <w:noWrap/>
            <w:vAlign w:val="center"/>
          </w:tcPr>
          <w:p w14:paraId="38E5EC0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79D031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63A09F4D">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01E866A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6</w:t>
            </w:r>
          </w:p>
        </w:tc>
        <w:tc>
          <w:tcPr>
            <w:tcW w:w="750" w:type="pct"/>
            <w:vMerge w:val="continue"/>
            <w:tcBorders>
              <w:top w:val="nil"/>
              <w:left w:val="single" w:color="auto" w:sz="4" w:space="0"/>
              <w:bottom w:val="single" w:color="auto" w:sz="4" w:space="0"/>
              <w:right w:val="single" w:color="auto" w:sz="4" w:space="0"/>
            </w:tcBorders>
            <w:vAlign w:val="center"/>
          </w:tcPr>
          <w:p w14:paraId="4BB76D49">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56E86815">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CEDC0F3">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短信管理</w:t>
            </w:r>
          </w:p>
        </w:tc>
        <w:tc>
          <w:tcPr>
            <w:tcW w:w="675" w:type="pct"/>
            <w:tcBorders>
              <w:top w:val="nil"/>
              <w:left w:val="nil"/>
              <w:bottom w:val="single" w:color="auto" w:sz="4" w:space="0"/>
              <w:right w:val="single" w:color="auto" w:sz="4" w:space="0"/>
            </w:tcBorders>
            <w:shd w:val="clear" w:color="auto" w:fill="auto"/>
            <w:noWrap/>
            <w:vAlign w:val="center"/>
          </w:tcPr>
          <w:p w14:paraId="38100385">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963C59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634DC385">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240C3E9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7</w:t>
            </w:r>
          </w:p>
        </w:tc>
        <w:tc>
          <w:tcPr>
            <w:tcW w:w="750" w:type="pct"/>
            <w:vMerge w:val="continue"/>
            <w:tcBorders>
              <w:top w:val="nil"/>
              <w:left w:val="single" w:color="auto" w:sz="4" w:space="0"/>
              <w:bottom w:val="single" w:color="auto" w:sz="4" w:space="0"/>
              <w:right w:val="single" w:color="auto" w:sz="4" w:space="0"/>
            </w:tcBorders>
            <w:vAlign w:val="center"/>
          </w:tcPr>
          <w:p w14:paraId="04C9023E">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2E67B58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5BABCDF0">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移动端长者版</w:t>
            </w:r>
          </w:p>
        </w:tc>
        <w:tc>
          <w:tcPr>
            <w:tcW w:w="675" w:type="pct"/>
            <w:tcBorders>
              <w:top w:val="nil"/>
              <w:left w:val="nil"/>
              <w:bottom w:val="single" w:color="auto" w:sz="4" w:space="0"/>
              <w:right w:val="single" w:color="auto" w:sz="4" w:space="0"/>
            </w:tcBorders>
            <w:shd w:val="clear" w:color="auto" w:fill="auto"/>
            <w:noWrap/>
            <w:vAlign w:val="center"/>
          </w:tcPr>
          <w:p w14:paraId="69085E7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011D7CE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16751676">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952AD1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8</w:t>
            </w:r>
          </w:p>
        </w:tc>
        <w:tc>
          <w:tcPr>
            <w:tcW w:w="750" w:type="pct"/>
            <w:vMerge w:val="continue"/>
            <w:tcBorders>
              <w:top w:val="nil"/>
              <w:left w:val="single" w:color="auto" w:sz="4" w:space="0"/>
              <w:bottom w:val="single" w:color="auto" w:sz="4" w:space="0"/>
              <w:right w:val="single" w:color="auto" w:sz="4" w:space="0"/>
            </w:tcBorders>
            <w:vAlign w:val="center"/>
          </w:tcPr>
          <w:p w14:paraId="33C7469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7EECC72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5CA1265E">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政务消息推送</w:t>
            </w:r>
          </w:p>
        </w:tc>
        <w:tc>
          <w:tcPr>
            <w:tcW w:w="675" w:type="pct"/>
            <w:tcBorders>
              <w:top w:val="nil"/>
              <w:left w:val="nil"/>
              <w:bottom w:val="single" w:color="auto" w:sz="4" w:space="0"/>
              <w:right w:val="single" w:color="auto" w:sz="4" w:space="0"/>
            </w:tcBorders>
            <w:shd w:val="clear" w:color="auto" w:fill="auto"/>
            <w:noWrap/>
            <w:vAlign w:val="center"/>
          </w:tcPr>
          <w:p w14:paraId="2D49C016">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015AE0F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278EF4C4">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24EB5F39">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9</w:t>
            </w:r>
          </w:p>
        </w:tc>
        <w:tc>
          <w:tcPr>
            <w:tcW w:w="750" w:type="pct"/>
            <w:vMerge w:val="continue"/>
            <w:tcBorders>
              <w:top w:val="nil"/>
              <w:left w:val="single" w:color="auto" w:sz="4" w:space="0"/>
              <w:bottom w:val="single" w:color="auto" w:sz="4" w:space="0"/>
              <w:right w:val="single" w:color="auto" w:sz="4" w:space="0"/>
            </w:tcBorders>
            <w:vAlign w:val="center"/>
          </w:tcPr>
          <w:p w14:paraId="74B0CF14">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3E0531C2">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6852A888">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区政府“十五项重点工程”重点指标（工作）推进</w:t>
            </w:r>
          </w:p>
        </w:tc>
        <w:tc>
          <w:tcPr>
            <w:tcW w:w="675" w:type="pct"/>
            <w:tcBorders>
              <w:top w:val="nil"/>
              <w:left w:val="nil"/>
              <w:bottom w:val="single" w:color="auto" w:sz="4" w:space="0"/>
              <w:right w:val="single" w:color="auto" w:sz="4" w:space="0"/>
            </w:tcBorders>
            <w:shd w:val="clear" w:color="auto" w:fill="auto"/>
            <w:noWrap/>
            <w:vAlign w:val="center"/>
          </w:tcPr>
          <w:p w14:paraId="4618471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2C6B32F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4EA34EAF">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250BE2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10</w:t>
            </w:r>
          </w:p>
        </w:tc>
        <w:tc>
          <w:tcPr>
            <w:tcW w:w="750" w:type="pct"/>
            <w:vMerge w:val="continue"/>
            <w:tcBorders>
              <w:top w:val="nil"/>
              <w:left w:val="single" w:color="auto" w:sz="4" w:space="0"/>
              <w:bottom w:val="single" w:color="auto" w:sz="4" w:space="0"/>
              <w:right w:val="single" w:color="auto" w:sz="4" w:space="0"/>
            </w:tcBorders>
            <w:vAlign w:val="center"/>
          </w:tcPr>
          <w:p w14:paraId="5E9C75F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3365CE8F">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63B21146">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区政府目标管理工作推进</w:t>
            </w:r>
          </w:p>
        </w:tc>
        <w:tc>
          <w:tcPr>
            <w:tcW w:w="675" w:type="pct"/>
            <w:tcBorders>
              <w:top w:val="nil"/>
              <w:left w:val="nil"/>
              <w:bottom w:val="single" w:color="auto" w:sz="4" w:space="0"/>
              <w:right w:val="single" w:color="auto" w:sz="4" w:space="0"/>
            </w:tcBorders>
            <w:shd w:val="clear" w:color="auto" w:fill="auto"/>
            <w:noWrap/>
            <w:vAlign w:val="center"/>
          </w:tcPr>
          <w:p w14:paraId="414D95A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872FEB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566930A9">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6A0E67F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11</w:t>
            </w:r>
          </w:p>
        </w:tc>
        <w:tc>
          <w:tcPr>
            <w:tcW w:w="750" w:type="pct"/>
            <w:vMerge w:val="continue"/>
            <w:tcBorders>
              <w:top w:val="nil"/>
              <w:left w:val="single" w:color="auto" w:sz="4" w:space="0"/>
              <w:bottom w:val="single" w:color="auto" w:sz="4" w:space="0"/>
              <w:right w:val="single" w:color="auto" w:sz="4" w:space="0"/>
            </w:tcBorders>
            <w:vAlign w:val="center"/>
          </w:tcPr>
          <w:p w14:paraId="45B83BA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47D4B72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468426D1">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区政府重要会议要求事项落实情况</w:t>
            </w:r>
          </w:p>
        </w:tc>
        <w:tc>
          <w:tcPr>
            <w:tcW w:w="675" w:type="pct"/>
            <w:tcBorders>
              <w:top w:val="nil"/>
              <w:left w:val="nil"/>
              <w:bottom w:val="single" w:color="auto" w:sz="4" w:space="0"/>
              <w:right w:val="single" w:color="auto" w:sz="4" w:space="0"/>
            </w:tcBorders>
            <w:shd w:val="clear" w:color="auto" w:fill="auto"/>
            <w:noWrap/>
            <w:vAlign w:val="center"/>
          </w:tcPr>
          <w:p w14:paraId="56D2083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2926CE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7D64E113">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1C7CB39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12</w:t>
            </w:r>
          </w:p>
        </w:tc>
        <w:tc>
          <w:tcPr>
            <w:tcW w:w="750" w:type="pct"/>
            <w:vMerge w:val="continue"/>
            <w:tcBorders>
              <w:top w:val="nil"/>
              <w:left w:val="single" w:color="auto" w:sz="4" w:space="0"/>
              <w:bottom w:val="single" w:color="auto" w:sz="4" w:space="0"/>
              <w:right w:val="single" w:color="auto" w:sz="4" w:space="0"/>
            </w:tcBorders>
            <w:vAlign w:val="center"/>
          </w:tcPr>
          <w:p w14:paraId="770171E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0D7C906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7EBC8A45">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十五项重点工程移动端驾驶舱</w:t>
            </w:r>
          </w:p>
        </w:tc>
        <w:tc>
          <w:tcPr>
            <w:tcW w:w="675" w:type="pct"/>
            <w:tcBorders>
              <w:top w:val="nil"/>
              <w:left w:val="nil"/>
              <w:bottom w:val="single" w:color="auto" w:sz="4" w:space="0"/>
              <w:right w:val="single" w:color="auto" w:sz="4" w:space="0"/>
            </w:tcBorders>
            <w:shd w:val="clear" w:color="auto" w:fill="auto"/>
            <w:noWrap/>
            <w:vAlign w:val="center"/>
          </w:tcPr>
          <w:p w14:paraId="2211648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1049E1B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63AA5DCB">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221B8D9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13</w:t>
            </w:r>
          </w:p>
        </w:tc>
        <w:tc>
          <w:tcPr>
            <w:tcW w:w="750" w:type="pct"/>
            <w:vMerge w:val="continue"/>
            <w:tcBorders>
              <w:top w:val="nil"/>
              <w:left w:val="single" w:color="auto" w:sz="4" w:space="0"/>
              <w:bottom w:val="single" w:color="auto" w:sz="4" w:space="0"/>
              <w:right w:val="single" w:color="auto" w:sz="4" w:space="0"/>
            </w:tcBorders>
            <w:vAlign w:val="center"/>
          </w:tcPr>
          <w:p w14:paraId="1612AA4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51C0F68">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0087F4E8">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会议报备管理</w:t>
            </w:r>
          </w:p>
        </w:tc>
        <w:tc>
          <w:tcPr>
            <w:tcW w:w="675" w:type="pct"/>
            <w:tcBorders>
              <w:top w:val="nil"/>
              <w:left w:val="nil"/>
              <w:bottom w:val="single" w:color="auto" w:sz="4" w:space="0"/>
              <w:right w:val="single" w:color="auto" w:sz="4" w:space="0"/>
            </w:tcBorders>
            <w:shd w:val="clear" w:color="auto" w:fill="auto"/>
            <w:noWrap/>
            <w:vAlign w:val="center"/>
          </w:tcPr>
          <w:p w14:paraId="7ACB1FE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D92CC09">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1752B3A2">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19DD1D8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14</w:t>
            </w:r>
          </w:p>
        </w:tc>
        <w:tc>
          <w:tcPr>
            <w:tcW w:w="750" w:type="pct"/>
            <w:vMerge w:val="continue"/>
            <w:tcBorders>
              <w:top w:val="nil"/>
              <w:left w:val="single" w:color="auto" w:sz="4" w:space="0"/>
              <w:bottom w:val="single" w:color="auto" w:sz="4" w:space="0"/>
              <w:right w:val="single" w:color="auto" w:sz="4" w:space="0"/>
            </w:tcBorders>
            <w:vAlign w:val="center"/>
          </w:tcPr>
          <w:p w14:paraId="52C1686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restart"/>
            <w:tcBorders>
              <w:top w:val="nil"/>
              <w:left w:val="single" w:color="auto" w:sz="4" w:space="0"/>
              <w:bottom w:val="single" w:color="auto" w:sz="4" w:space="0"/>
              <w:right w:val="single" w:color="auto" w:sz="4" w:space="0"/>
            </w:tcBorders>
            <w:shd w:val="clear" w:color="auto" w:fill="auto"/>
            <w:vAlign w:val="center"/>
          </w:tcPr>
          <w:p w14:paraId="60D00EE3">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个性应用建设</w:t>
            </w:r>
          </w:p>
        </w:tc>
        <w:tc>
          <w:tcPr>
            <w:tcW w:w="1845" w:type="pct"/>
            <w:tcBorders>
              <w:top w:val="nil"/>
              <w:left w:val="nil"/>
              <w:bottom w:val="single" w:color="auto" w:sz="4" w:space="0"/>
              <w:right w:val="single" w:color="auto" w:sz="4" w:space="0"/>
            </w:tcBorders>
            <w:shd w:val="clear" w:color="auto" w:fill="auto"/>
            <w:vAlign w:val="center"/>
          </w:tcPr>
          <w:p w14:paraId="28D80CE2">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数字化项目全生命周期管理</w:t>
            </w:r>
          </w:p>
        </w:tc>
        <w:tc>
          <w:tcPr>
            <w:tcW w:w="675" w:type="pct"/>
            <w:tcBorders>
              <w:top w:val="nil"/>
              <w:left w:val="nil"/>
              <w:bottom w:val="single" w:color="auto" w:sz="4" w:space="0"/>
              <w:right w:val="single" w:color="auto" w:sz="4" w:space="0"/>
            </w:tcBorders>
            <w:shd w:val="clear" w:color="auto" w:fill="auto"/>
            <w:noWrap/>
            <w:vAlign w:val="center"/>
          </w:tcPr>
          <w:p w14:paraId="0372FB9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D2AA04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243692FF">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5AC2156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15</w:t>
            </w:r>
          </w:p>
        </w:tc>
        <w:tc>
          <w:tcPr>
            <w:tcW w:w="750" w:type="pct"/>
            <w:vMerge w:val="continue"/>
            <w:tcBorders>
              <w:top w:val="nil"/>
              <w:left w:val="single" w:color="auto" w:sz="4" w:space="0"/>
              <w:bottom w:val="single" w:color="auto" w:sz="4" w:space="0"/>
              <w:right w:val="single" w:color="auto" w:sz="4" w:space="0"/>
            </w:tcBorders>
            <w:vAlign w:val="center"/>
          </w:tcPr>
          <w:p w14:paraId="62BC228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6857686">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920D895">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干部亲属经商办企业信息采集</w:t>
            </w:r>
          </w:p>
        </w:tc>
        <w:tc>
          <w:tcPr>
            <w:tcW w:w="675" w:type="pct"/>
            <w:tcBorders>
              <w:top w:val="nil"/>
              <w:left w:val="nil"/>
              <w:bottom w:val="single" w:color="auto" w:sz="4" w:space="0"/>
              <w:right w:val="single" w:color="auto" w:sz="4" w:space="0"/>
            </w:tcBorders>
            <w:shd w:val="clear" w:color="auto" w:fill="auto"/>
            <w:noWrap/>
            <w:vAlign w:val="center"/>
          </w:tcPr>
          <w:p w14:paraId="6C21A72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216EAB2">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200E3886">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5CB1FC6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16</w:t>
            </w:r>
          </w:p>
        </w:tc>
        <w:tc>
          <w:tcPr>
            <w:tcW w:w="750" w:type="pct"/>
            <w:vMerge w:val="continue"/>
            <w:tcBorders>
              <w:top w:val="nil"/>
              <w:left w:val="single" w:color="auto" w:sz="4" w:space="0"/>
              <w:bottom w:val="single" w:color="auto" w:sz="4" w:space="0"/>
              <w:right w:val="single" w:color="auto" w:sz="4" w:space="0"/>
            </w:tcBorders>
            <w:vAlign w:val="center"/>
          </w:tcPr>
          <w:p w14:paraId="332DDFDA">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01F18A8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A5B6EAD">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智慧党校</w:t>
            </w:r>
          </w:p>
        </w:tc>
        <w:tc>
          <w:tcPr>
            <w:tcW w:w="675" w:type="pct"/>
            <w:tcBorders>
              <w:top w:val="nil"/>
              <w:left w:val="nil"/>
              <w:bottom w:val="single" w:color="auto" w:sz="4" w:space="0"/>
              <w:right w:val="single" w:color="auto" w:sz="4" w:space="0"/>
            </w:tcBorders>
            <w:shd w:val="clear" w:color="auto" w:fill="auto"/>
            <w:noWrap/>
            <w:vAlign w:val="center"/>
          </w:tcPr>
          <w:p w14:paraId="10B1A756">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0A6D5979">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7834E70D">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5C9B1DA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17</w:t>
            </w:r>
          </w:p>
        </w:tc>
        <w:tc>
          <w:tcPr>
            <w:tcW w:w="750" w:type="pct"/>
            <w:vMerge w:val="continue"/>
            <w:tcBorders>
              <w:top w:val="nil"/>
              <w:left w:val="single" w:color="auto" w:sz="4" w:space="0"/>
              <w:bottom w:val="single" w:color="auto" w:sz="4" w:space="0"/>
              <w:right w:val="single" w:color="auto" w:sz="4" w:space="0"/>
            </w:tcBorders>
            <w:vAlign w:val="center"/>
          </w:tcPr>
          <w:p w14:paraId="45CE9479">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2122ADE4">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4A75C5B1">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村居“两委”班子画像</w:t>
            </w:r>
          </w:p>
        </w:tc>
        <w:tc>
          <w:tcPr>
            <w:tcW w:w="675" w:type="pct"/>
            <w:tcBorders>
              <w:top w:val="nil"/>
              <w:left w:val="nil"/>
              <w:bottom w:val="single" w:color="auto" w:sz="4" w:space="0"/>
              <w:right w:val="single" w:color="auto" w:sz="4" w:space="0"/>
            </w:tcBorders>
            <w:shd w:val="clear" w:color="auto" w:fill="auto"/>
            <w:noWrap/>
            <w:vAlign w:val="center"/>
          </w:tcPr>
          <w:p w14:paraId="232DE42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32977A2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71BC2851">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2090DE3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18</w:t>
            </w:r>
          </w:p>
        </w:tc>
        <w:tc>
          <w:tcPr>
            <w:tcW w:w="750" w:type="pct"/>
            <w:vMerge w:val="continue"/>
            <w:tcBorders>
              <w:top w:val="nil"/>
              <w:left w:val="single" w:color="auto" w:sz="4" w:space="0"/>
              <w:bottom w:val="single" w:color="auto" w:sz="4" w:space="0"/>
              <w:right w:val="single" w:color="auto" w:sz="4" w:space="0"/>
            </w:tcBorders>
            <w:vAlign w:val="center"/>
          </w:tcPr>
          <w:p w14:paraId="70AA1E5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495A4C64">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8316415">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入企通</w:t>
            </w:r>
          </w:p>
        </w:tc>
        <w:tc>
          <w:tcPr>
            <w:tcW w:w="675" w:type="pct"/>
            <w:tcBorders>
              <w:top w:val="nil"/>
              <w:left w:val="nil"/>
              <w:bottom w:val="single" w:color="auto" w:sz="4" w:space="0"/>
              <w:right w:val="single" w:color="auto" w:sz="4" w:space="0"/>
            </w:tcBorders>
            <w:shd w:val="clear" w:color="auto" w:fill="auto"/>
            <w:noWrap/>
            <w:vAlign w:val="center"/>
          </w:tcPr>
          <w:p w14:paraId="09D9459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6F502C3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3BC93F1E">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5A63A76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19</w:t>
            </w:r>
          </w:p>
        </w:tc>
        <w:tc>
          <w:tcPr>
            <w:tcW w:w="750" w:type="pct"/>
            <w:vMerge w:val="continue"/>
            <w:tcBorders>
              <w:top w:val="nil"/>
              <w:left w:val="single" w:color="auto" w:sz="4" w:space="0"/>
              <w:bottom w:val="single" w:color="auto" w:sz="4" w:space="0"/>
              <w:right w:val="single" w:color="auto" w:sz="4" w:space="0"/>
            </w:tcBorders>
            <w:vAlign w:val="center"/>
          </w:tcPr>
          <w:p w14:paraId="3C1B187A">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7686E146">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F7D3C48">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人大代表业务应用系统</w:t>
            </w:r>
          </w:p>
        </w:tc>
        <w:tc>
          <w:tcPr>
            <w:tcW w:w="675" w:type="pct"/>
            <w:tcBorders>
              <w:top w:val="nil"/>
              <w:left w:val="nil"/>
              <w:bottom w:val="single" w:color="auto" w:sz="4" w:space="0"/>
              <w:right w:val="single" w:color="auto" w:sz="4" w:space="0"/>
            </w:tcBorders>
            <w:shd w:val="clear" w:color="auto" w:fill="auto"/>
            <w:noWrap/>
            <w:vAlign w:val="center"/>
          </w:tcPr>
          <w:p w14:paraId="727E67C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765F298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5132500C">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2872D5A">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20</w:t>
            </w:r>
          </w:p>
        </w:tc>
        <w:tc>
          <w:tcPr>
            <w:tcW w:w="750" w:type="pct"/>
            <w:vMerge w:val="continue"/>
            <w:tcBorders>
              <w:top w:val="nil"/>
              <w:left w:val="single" w:color="auto" w:sz="4" w:space="0"/>
              <w:bottom w:val="single" w:color="auto" w:sz="4" w:space="0"/>
              <w:right w:val="single" w:color="auto" w:sz="4" w:space="0"/>
            </w:tcBorders>
            <w:vAlign w:val="center"/>
          </w:tcPr>
          <w:p w14:paraId="06E3AC2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7509242">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1907E75D">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国资国企在线监管系统升级</w:t>
            </w:r>
          </w:p>
        </w:tc>
        <w:tc>
          <w:tcPr>
            <w:tcW w:w="675" w:type="pct"/>
            <w:tcBorders>
              <w:top w:val="nil"/>
              <w:left w:val="nil"/>
              <w:bottom w:val="single" w:color="auto" w:sz="4" w:space="0"/>
              <w:right w:val="single" w:color="auto" w:sz="4" w:space="0"/>
            </w:tcBorders>
            <w:shd w:val="clear" w:color="auto" w:fill="auto"/>
            <w:noWrap/>
            <w:vAlign w:val="center"/>
          </w:tcPr>
          <w:p w14:paraId="5F439826">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3F30E0F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06090226">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1235B5A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21</w:t>
            </w:r>
          </w:p>
        </w:tc>
        <w:tc>
          <w:tcPr>
            <w:tcW w:w="750" w:type="pct"/>
            <w:vMerge w:val="continue"/>
            <w:tcBorders>
              <w:top w:val="nil"/>
              <w:left w:val="single" w:color="auto" w:sz="4" w:space="0"/>
              <w:bottom w:val="single" w:color="auto" w:sz="4" w:space="0"/>
              <w:right w:val="single" w:color="auto" w:sz="4" w:space="0"/>
            </w:tcBorders>
            <w:vAlign w:val="center"/>
          </w:tcPr>
          <w:p w14:paraId="3187751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34A45CAF">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084712E">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中小企业信用信息共享服务系统信息技术应用创新建设</w:t>
            </w:r>
          </w:p>
        </w:tc>
        <w:tc>
          <w:tcPr>
            <w:tcW w:w="675" w:type="pct"/>
            <w:tcBorders>
              <w:top w:val="nil"/>
              <w:left w:val="nil"/>
              <w:bottom w:val="single" w:color="auto" w:sz="4" w:space="0"/>
              <w:right w:val="single" w:color="auto" w:sz="4" w:space="0"/>
            </w:tcBorders>
            <w:shd w:val="clear" w:color="auto" w:fill="auto"/>
            <w:noWrap/>
            <w:vAlign w:val="center"/>
          </w:tcPr>
          <w:p w14:paraId="13F6AFC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79C141DF">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42EA9C75">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22A4224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22</w:t>
            </w:r>
          </w:p>
        </w:tc>
        <w:tc>
          <w:tcPr>
            <w:tcW w:w="750" w:type="pct"/>
            <w:vMerge w:val="continue"/>
            <w:tcBorders>
              <w:top w:val="nil"/>
              <w:left w:val="single" w:color="auto" w:sz="4" w:space="0"/>
              <w:bottom w:val="single" w:color="auto" w:sz="4" w:space="0"/>
              <w:right w:val="single" w:color="auto" w:sz="4" w:space="0"/>
            </w:tcBorders>
            <w:vAlign w:val="center"/>
          </w:tcPr>
          <w:p w14:paraId="0DC3D9A9">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2D81D008">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6816A01D">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保障性租赁住房管理信息系统</w:t>
            </w:r>
          </w:p>
        </w:tc>
        <w:tc>
          <w:tcPr>
            <w:tcW w:w="675" w:type="pct"/>
            <w:tcBorders>
              <w:top w:val="nil"/>
              <w:left w:val="nil"/>
              <w:bottom w:val="single" w:color="auto" w:sz="4" w:space="0"/>
              <w:right w:val="single" w:color="auto" w:sz="4" w:space="0"/>
            </w:tcBorders>
            <w:shd w:val="clear" w:color="auto" w:fill="auto"/>
            <w:noWrap/>
            <w:vAlign w:val="center"/>
          </w:tcPr>
          <w:p w14:paraId="4709773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51303EE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7167F157">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D80FB3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23</w:t>
            </w:r>
          </w:p>
        </w:tc>
        <w:tc>
          <w:tcPr>
            <w:tcW w:w="750" w:type="pct"/>
            <w:vMerge w:val="restart"/>
            <w:tcBorders>
              <w:top w:val="nil"/>
              <w:left w:val="single" w:color="auto" w:sz="4" w:space="0"/>
              <w:bottom w:val="single" w:color="auto" w:sz="4" w:space="0"/>
              <w:right w:val="single" w:color="auto" w:sz="4" w:space="0"/>
            </w:tcBorders>
            <w:shd w:val="clear" w:color="auto" w:fill="auto"/>
            <w:vAlign w:val="center"/>
          </w:tcPr>
          <w:p w14:paraId="1833189F">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其他</w:t>
            </w:r>
          </w:p>
        </w:tc>
        <w:tc>
          <w:tcPr>
            <w:tcW w:w="753" w:type="pct"/>
            <w:tcBorders>
              <w:top w:val="nil"/>
              <w:left w:val="nil"/>
              <w:bottom w:val="single" w:color="auto" w:sz="4" w:space="0"/>
              <w:right w:val="single" w:color="auto" w:sz="4" w:space="0"/>
            </w:tcBorders>
            <w:shd w:val="clear" w:color="auto" w:fill="auto"/>
            <w:vAlign w:val="center"/>
          </w:tcPr>
          <w:p w14:paraId="7B444DD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系统集成对接</w:t>
            </w:r>
          </w:p>
        </w:tc>
        <w:tc>
          <w:tcPr>
            <w:tcW w:w="1845" w:type="pct"/>
            <w:tcBorders>
              <w:top w:val="nil"/>
              <w:left w:val="nil"/>
              <w:bottom w:val="single" w:color="auto" w:sz="4" w:space="0"/>
              <w:right w:val="single" w:color="auto" w:sz="4" w:space="0"/>
            </w:tcBorders>
            <w:shd w:val="clear" w:color="auto" w:fill="auto"/>
            <w:noWrap/>
            <w:vAlign w:val="center"/>
          </w:tcPr>
          <w:p w14:paraId="066B5F9E">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长三角一体化对接开发</w:t>
            </w:r>
          </w:p>
        </w:tc>
        <w:tc>
          <w:tcPr>
            <w:tcW w:w="675" w:type="pct"/>
            <w:tcBorders>
              <w:top w:val="nil"/>
              <w:left w:val="nil"/>
              <w:bottom w:val="single" w:color="auto" w:sz="4" w:space="0"/>
              <w:right w:val="single" w:color="auto" w:sz="4" w:space="0"/>
            </w:tcBorders>
            <w:shd w:val="clear" w:color="auto" w:fill="auto"/>
            <w:noWrap/>
            <w:vAlign w:val="center"/>
          </w:tcPr>
          <w:p w14:paraId="603FE585">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0E55173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54EDB152">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BA2937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24</w:t>
            </w:r>
          </w:p>
        </w:tc>
        <w:tc>
          <w:tcPr>
            <w:tcW w:w="750" w:type="pct"/>
            <w:vMerge w:val="continue"/>
            <w:tcBorders>
              <w:top w:val="nil"/>
              <w:left w:val="single" w:color="auto" w:sz="4" w:space="0"/>
              <w:bottom w:val="single" w:color="auto" w:sz="4" w:space="0"/>
              <w:right w:val="single" w:color="auto" w:sz="4" w:space="0"/>
            </w:tcBorders>
            <w:vAlign w:val="center"/>
          </w:tcPr>
          <w:p w14:paraId="66FEFAD7">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restart"/>
            <w:tcBorders>
              <w:top w:val="nil"/>
              <w:left w:val="single" w:color="auto" w:sz="4" w:space="0"/>
              <w:bottom w:val="single" w:color="auto" w:sz="4" w:space="0"/>
              <w:right w:val="single" w:color="auto" w:sz="4" w:space="0"/>
            </w:tcBorders>
            <w:shd w:val="clear" w:color="auto" w:fill="auto"/>
            <w:vAlign w:val="center"/>
          </w:tcPr>
          <w:p w14:paraId="5EE9EB1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密码服务</w:t>
            </w:r>
          </w:p>
        </w:tc>
        <w:tc>
          <w:tcPr>
            <w:tcW w:w="1845" w:type="pct"/>
            <w:tcBorders>
              <w:top w:val="nil"/>
              <w:left w:val="nil"/>
              <w:bottom w:val="single" w:color="auto" w:sz="4" w:space="0"/>
              <w:right w:val="single" w:color="auto" w:sz="4" w:space="0"/>
            </w:tcBorders>
            <w:shd w:val="clear" w:color="auto" w:fill="auto"/>
            <w:vAlign w:val="center"/>
          </w:tcPr>
          <w:p w14:paraId="4EEBA04D">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站点证书</w:t>
            </w:r>
          </w:p>
        </w:tc>
        <w:tc>
          <w:tcPr>
            <w:tcW w:w="675" w:type="pct"/>
            <w:tcBorders>
              <w:top w:val="nil"/>
              <w:left w:val="nil"/>
              <w:bottom w:val="single" w:color="auto" w:sz="4" w:space="0"/>
              <w:right w:val="single" w:color="auto" w:sz="4" w:space="0"/>
            </w:tcBorders>
            <w:shd w:val="clear" w:color="auto" w:fill="auto"/>
            <w:noWrap/>
            <w:vAlign w:val="center"/>
          </w:tcPr>
          <w:p w14:paraId="40717B7F">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69" w:type="pct"/>
            <w:tcBorders>
              <w:top w:val="nil"/>
              <w:left w:val="nil"/>
              <w:bottom w:val="single" w:color="auto" w:sz="4" w:space="0"/>
              <w:right w:val="single" w:color="auto" w:sz="4" w:space="0"/>
            </w:tcBorders>
            <w:shd w:val="clear" w:color="auto" w:fill="auto"/>
            <w:noWrap/>
            <w:vAlign w:val="center"/>
          </w:tcPr>
          <w:p w14:paraId="5C9B829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4</w:t>
            </w:r>
          </w:p>
        </w:tc>
      </w:tr>
      <w:tr w14:paraId="58BDD8AB">
        <w:tblPrEx>
          <w:tblCellMar>
            <w:top w:w="0" w:type="dxa"/>
            <w:left w:w="108" w:type="dxa"/>
            <w:bottom w:w="0" w:type="dxa"/>
            <w:right w:w="108" w:type="dxa"/>
          </w:tblCellMar>
        </w:tblPrEx>
        <w:trPr>
          <w:trHeight w:val="29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3DB8882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25</w:t>
            </w:r>
          </w:p>
        </w:tc>
        <w:tc>
          <w:tcPr>
            <w:tcW w:w="750" w:type="pct"/>
            <w:vMerge w:val="continue"/>
            <w:tcBorders>
              <w:top w:val="nil"/>
              <w:left w:val="single" w:color="auto" w:sz="4" w:space="0"/>
              <w:bottom w:val="single" w:color="auto" w:sz="4" w:space="0"/>
              <w:right w:val="single" w:color="auto" w:sz="4" w:space="0"/>
            </w:tcBorders>
            <w:vAlign w:val="center"/>
          </w:tcPr>
          <w:p w14:paraId="6B4C398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6648B9F3">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0F12967E">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设备证书</w:t>
            </w:r>
          </w:p>
        </w:tc>
        <w:tc>
          <w:tcPr>
            <w:tcW w:w="675" w:type="pct"/>
            <w:tcBorders>
              <w:top w:val="nil"/>
              <w:left w:val="nil"/>
              <w:bottom w:val="single" w:color="auto" w:sz="4" w:space="0"/>
              <w:right w:val="single" w:color="auto" w:sz="4" w:space="0"/>
            </w:tcBorders>
            <w:shd w:val="clear" w:color="auto" w:fill="auto"/>
            <w:noWrap/>
            <w:vAlign w:val="center"/>
          </w:tcPr>
          <w:p w14:paraId="572412E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69" w:type="pct"/>
            <w:tcBorders>
              <w:top w:val="nil"/>
              <w:left w:val="nil"/>
              <w:bottom w:val="single" w:color="auto" w:sz="4" w:space="0"/>
              <w:right w:val="single" w:color="auto" w:sz="4" w:space="0"/>
            </w:tcBorders>
            <w:shd w:val="clear" w:color="auto" w:fill="auto"/>
            <w:noWrap/>
            <w:vAlign w:val="center"/>
          </w:tcPr>
          <w:p w14:paraId="1DF4F092">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3</w:t>
            </w:r>
          </w:p>
        </w:tc>
      </w:tr>
      <w:tr w14:paraId="769EBC8C">
        <w:tblPrEx>
          <w:tblCellMar>
            <w:top w:w="0" w:type="dxa"/>
            <w:left w:w="108" w:type="dxa"/>
            <w:bottom w:w="0" w:type="dxa"/>
            <w:right w:w="108" w:type="dxa"/>
          </w:tblCellMar>
        </w:tblPrEx>
        <w:trPr>
          <w:trHeight w:val="29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062E0AD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26</w:t>
            </w:r>
          </w:p>
        </w:tc>
        <w:tc>
          <w:tcPr>
            <w:tcW w:w="750" w:type="pct"/>
            <w:vMerge w:val="continue"/>
            <w:tcBorders>
              <w:top w:val="nil"/>
              <w:left w:val="single" w:color="auto" w:sz="4" w:space="0"/>
              <w:bottom w:val="single" w:color="auto" w:sz="4" w:space="0"/>
              <w:right w:val="single" w:color="auto" w:sz="4" w:space="0"/>
            </w:tcBorders>
            <w:vAlign w:val="center"/>
          </w:tcPr>
          <w:p w14:paraId="2F62911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736578B8">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16D528BA">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个人证书</w:t>
            </w:r>
          </w:p>
        </w:tc>
        <w:tc>
          <w:tcPr>
            <w:tcW w:w="675" w:type="pct"/>
            <w:tcBorders>
              <w:top w:val="nil"/>
              <w:left w:val="nil"/>
              <w:bottom w:val="single" w:color="auto" w:sz="4" w:space="0"/>
              <w:right w:val="single" w:color="auto" w:sz="4" w:space="0"/>
            </w:tcBorders>
            <w:shd w:val="clear" w:color="auto" w:fill="auto"/>
            <w:noWrap/>
            <w:vAlign w:val="center"/>
          </w:tcPr>
          <w:p w14:paraId="0A88210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69" w:type="pct"/>
            <w:tcBorders>
              <w:top w:val="nil"/>
              <w:left w:val="nil"/>
              <w:bottom w:val="single" w:color="auto" w:sz="4" w:space="0"/>
              <w:right w:val="single" w:color="auto" w:sz="4" w:space="0"/>
            </w:tcBorders>
            <w:shd w:val="clear" w:color="auto" w:fill="auto"/>
            <w:noWrap/>
            <w:vAlign w:val="center"/>
          </w:tcPr>
          <w:p w14:paraId="236862B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10</w:t>
            </w:r>
          </w:p>
        </w:tc>
      </w:tr>
      <w:tr w14:paraId="75D68F91">
        <w:tblPrEx>
          <w:tblCellMar>
            <w:top w:w="0" w:type="dxa"/>
            <w:left w:w="108" w:type="dxa"/>
            <w:bottom w:w="0" w:type="dxa"/>
            <w:right w:w="108" w:type="dxa"/>
          </w:tblCellMar>
        </w:tblPrEx>
        <w:trPr>
          <w:trHeight w:val="28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42B4330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27</w:t>
            </w:r>
          </w:p>
        </w:tc>
        <w:tc>
          <w:tcPr>
            <w:tcW w:w="750" w:type="pct"/>
            <w:vMerge w:val="continue"/>
            <w:tcBorders>
              <w:top w:val="nil"/>
              <w:left w:val="single" w:color="auto" w:sz="4" w:space="0"/>
              <w:bottom w:val="single" w:color="auto" w:sz="4" w:space="0"/>
              <w:right w:val="single" w:color="auto" w:sz="4" w:space="0"/>
            </w:tcBorders>
            <w:vAlign w:val="center"/>
          </w:tcPr>
          <w:p w14:paraId="16178504">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1F56B7A2">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noWrap/>
            <w:vAlign w:val="center"/>
          </w:tcPr>
          <w:p w14:paraId="5CCF78C6">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Ukey</w:t>
            </w:r>
          </w:p>
        </w:tc>
        <w:tc>
          <w:tcPr>
            <w:tcW w:w="675" w:type="pct"/>
            <w:tcBorders>
              <w:top w:val="nil"/>
              <w:left w:val="nil"/>
              <w:bottom w:val="single" w:color="auto" w:sz="4" w:space="0"/>
              <w:right w:val="single" w:color="auto" w:sz="4" w:space="0"/>
            </w:tcBorders>
            <w:shd w:val="clear" w:color="auto" w:fill="auto"/>
            <w:noWrap/>
            <w:vAlign w:val="center"/>
          </w:tcPr>
          <w:p w14:paraId="1E59233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69" w:type="pct"/>
            <w:tcBorders>
              <w:top w:val="nil"/>
              <w:left w:val="nil"/>
              <w:bottom w:val="single" w:color="auto" w:sz="4" w:space="0"/>
              <w:right w:val="single" w:color="auto" w:sz="4" w:space="0"/>
            </w:tcBorders>
            <w:shd w:val="clear" w:color="auto" w:fill="auto"/>
            <w:noWrap/>
            <w:vAlign w:val="center"/>
          </w:tcPr>
          <w:p w14:paraId="5CA9B6C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10</w:t>
            </w:r>
          </w:p>
        </w:tc>
      </w:tr>
      <w:tr w14:paraId="6399677A">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434E974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28</w:t>
            </w:r>
          </w:p>
        </w:tc>
        <w:tc>
          <w:tcPr>
            <w:tcW w:w="750" w:type="pct"/>
            <w:vMerge w:val="continue"/>
            <w:tcBorders>
              <w:top w:val="nil"/>
              <w:left w:val="single" w:color="auto" w:sz="4" w:space="0"/>
              <w:bottom w:val="single" w:color="auto" w:sz="4" w:space="0"/>
              <w:right w:val="single" w:color="auto" w:sz="4" w:space="0"/>
            </w:tcBorders>
            <w:vAlign w:val="center"/>
          </w:tcPr>
          <w:p w14:paraId="390D498B">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4DCB246D">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noWrap/>
            <w:vAlign w:val="center"/>
          </w:tcPr>
          <w:p w14:paraId="054135A7">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浏览器密码模块</w:t>
            </w:r>
          </w:p>
        </w:tc>
        <w:tc>
          <w:tcPr>
            <w:tcW w:w="675" w:type="pct"/>
            <w:tcBorders>
              <w:top w:val="nil"/>
              <w:left w:val="nil"/>
              <w:bottom w:val="single" w:color="auto" w:sz="4" w:space="0"/>
              <w:right w:val="single" w:color="auto" w:sz="4" w:space="0"/>
            </w:tcBorders>
            <w:shd w:val="clear" w:color="auto" w:fill="auto"/>
            <w:noWrap/>
            <w:vAlign w:val="center"/>
          </w:tcPr>
          <w:p w14:paraId="31B4092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69" w:type="pct"/>
            <w:tcBorders>
              <w:top w:val="nil"/>
              <w:left w:val="nil"/>
              <w:bottom w:val="single" w:color="auto" w:sz="4" w:space="0"/>
              <w:right w:val="single" w:color="auto" w:sz="4" w:space="0"/>
            </w:tcBorders>
            <w:shd w:val="clear" w:color="auto" w:fill="auto"/>
            <w:noWrap/>
            <w:vAlign w:val="center"/>
          </w:tcPr>
          <w:p w14:paraId="62D013E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10</w:t>
            </w:r>
          </w:p>
        </w:tc>
      </w:tr>
      <w:tr w14:paraId="65034AA4">
        <w:tblPrEx>
          <w:tblCellMar>
            <w:top w:w="0" w:type="dxa"/>
            <w:left w:w="108" w:type="dxa"/>
            <w:bottom w:w="0" w:type="dxa"/>
            <w:right w:w="108" w:type="dxa"/>
          </w:tblCellMar>
        </w:tblPrEx>
        <w:trPr>
          <w:trHeight w:val="230" w:hRule="atLeast"/>
        </w:trPr>
        <w:tc>
          <w:tcPr>
            <w:tcW w:w="407" w:type="pct"/>
            <w:tcBorders>
              <w:top w:val="nil"/>
              <w:left w:val="single" w:color="auto" w:sz="4" w:space="0"/>
              <w:bottom w:val="single" w:color="auto" w:sz="4" w:space="0"/>
              <w:right w:val="single" w:color="auto" w:sz="4" w:space="0"/>
            </w:tcBorders>
            <w:shd w:val="clear" w:color="auto" w:fill="auto"/>
            <w:noWrap/>
            <w:vAlign w:val="center"/>
          </w:tcPr>
          <w:p w14:paraId="0F23A13E">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29</w:t>
            </w:r>
          </w:p>
        </w:tc>
        <w:tc>
          <w:tcPr>
            <w:tcW w:w="750" w:type="pct"/>
            <w:vMerge w:val="continue"/>
            <w:tcBorders>
              <w:top w:val="nil"/>
              <w:left w:val="single" w:color="auto" w:sz="4" w:space="0"/>
              <w:bottom w:val="single" w:color="auto" w:sz="4" w:space="0"/>
              <w:right w:val="single" w:color="auto" w:sz="4" w:space="0"/>
            </w:tcBorders>
            <w:vAlign w:val="center"/>
          </w:tcPr>
          <w:p w14:paraId="64ED8CE8">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753" w:type="pct"/>
            <w:vMerge w:val="continue"/>
            <w:tcBorders>
              <w:top w:val="nil"/>
              <w:left w:val="single" w:color="auto" w:sz="4" w:space="0"/>
              <w:bottom w:val="single" w:color="auto" w:sz="4" w:space="0"/>
              <w:right w:val="single" w:color="auto" w:sz="4" w:space="0"/>
            </w:tcBorders>
            <w:vAlign w:val="center"/>
          </w:tcPr>
          <w:p w14:paraId="084381C4">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1845" w:type="pct"/>
            <w:tcBorders>
              <w:top w:val="nil"/>
              <w:left w:val="nil"/>
              <w:bottom w:val="single" w:color="auto" w:sz="4" w:space="0"/>
              <w:right w:val="single" w:color="auto" w:sz="4" w:space="0"/>
            </w:tcBorders>
            <w:shd w:val="clear" w:color="auto" w:fill="auto"/>
            <w:vAlign w:val="center"/>
          </w:tcPr>
          <w:p w14:paraId="20D5FBBF">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密码应用功能模块开发</w:t>
            </w:r>
          </w:p>
        </w:tc>
        <w:tc>
          <w:tcPr>
            <w:tcW w:w="675" w:type="pct"/>
            <w:tcBorders>
              <w:top w:val="nil"/>
              <w:left w:val="nil"/>
              <w:bottom w:val="single" w:color="auto" w:sz="4" w:space="0"/>
              <w:right w:val="single" w:color="auto" w:sz="4" w:space="0"/>
            </w:tcBorders>
            <w:shd w:val="clear" w:color="auto" w:fill="auto"/>
            <w:noWrap/>
            <w:vAlign w:val="center"/>
          </w:tcPr>
          <w:p w14:paraId="4C27831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69" w:type="pct"/>
            <w:tcBorders>
              <w:top w:val="nil"/>
              <w:left w:val="nil"/>
              <w:bottom w:val="single" w:color="auto" w:sz="4" w:space="0"/>
              <w:right w:val="single" w:color="auto" w:sz="4" w:space="0"/>
            </w:tcBorders>
            <w:shd w:val="clear" w:color="auto" w:fill="auto"/>
            <w:noWrap/>
            <w:vAlign w:val="center"/>
          </w:tcPr>
          <w:p w14:paraId="22DBCAE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bl>
    <w:p w14:paraId="4A537029">
      <w:pPr>
        <w:pStyle w:val="3"/>
        <w:ind w:firstLine="0" w:firstLineChars="0"/>
        <w:rPr>
          <w:rFonts w:hint="eastAsia"/>
          <w:highlight w:val="none"/>
        </w:rPr>
      </w:pPr>
    </w:p>
    <w:p w14:paraId="7E02B506">
      <w:pPr>
        <w:pStyle w:val="5"/>
        <w:rPr>
          <w:rFonts w:ascii="Times New Roman" w:hAnsi="Times New Roman"/>
          <w:highlight w:val="none"/>
        </w:rPr>
      </w:pPr>
      <w:r>
        <w:rPr>
          <w:rFonts w:hint="eastAsia" w:ascii="Times New Roman" w:hAnsi="Times New Roman"/>
          <w:highlight w:val="none"/>
        </w:rPr>
        <w:t>共性应用建设</w:t>
      </w:r>
    </w:p>
    <w:p w14:paraId="48E7A91B">
      <w:pPr>
        <w:pStyle w:val="6"/>
        <w:rPr>
          <w:rFonts w:hint="eastAsia"/>
          <w:highlight w:val="none"/>
        </w:rPr>
      </w:pPr>
      <w:r>
        <w:rPr>
          <w:rFonts w:hint="eastAsia" w:ascii="Times New Roman" w:hAnsi="Times New Roman"/>
          <w:highlight w:val="none"/>
        </w:rPr>
        <w:t>统一身份认证平台</w:t>
      </w:r>
    </w:p>
    <w:p w14:paraId="7A4F4972">
      <w:pPr>
        <w:pStyle w:val="3"/>
        <w:ind w:firstLine="480"/>
        <w:rPr>
          <w:rFonts w:hint="eastAsia"/>
          <w:highlight w:val="none"/>
        </w:rPr>
      </w:pPr>
      <w:r>
        <w:rPr>
          <w:rFonts w:hint="eastAsia"/>
          <w:highlight w:val="none"/>
        </w:rPr>
        <w:t>面向全区各政务应用系统建设统一的身份认证与单点登录能力，通过统一用户管理、统一认证、统一授权与统一审计，实现全区政务用户“一个账号、一次认证、全域通行”，并统一身份认证平台与统一门户入口两大功能域。</w:t>
      </w:r>
    </w:p>
    <w:p w14:paraId="4EC1960C">
      <w:pPr>
        <w:pStyle w:val="7"/>
        <w:rPr>
          <w:rFonts w:hint="eastAsia"/>
          <w:highlight w:val="none"/>
        </w:rPr>
      </w:pPr>
      <w:r>
        <w:rPr>
          <w:rFonts w:hint="eastAsia" w:ascii="Times New Roman" w:hAnsi="Times New Roman"/>
          <w:highlight w:val="none"/>
        </w:rPr>
        <w:t>身份认证管理</w:t>
      </w:r>
    </w:p>
    <w:p w14:paraId="73A6191B">
      <w:pPr>
        <w:pStyle w:val="3"/>
        <w:ind w:firstLine="480"/>
        <w:rPr>
          <w:rFonts w:hint="eastAsia"/>
          <w:highlight w:val="none"/>
        </w:rPr>
      </w:pPr>
      <w:r>
        <w:rPr>
          <w:rFonts w:hint="eastAsia"/>
          <w:highlight w:val="none"/>
        </w:rPr>
        <w:t>建设统一用户身份库与认证中心，统一管理全区用户的组织、账号、权限与认证策略，并对外提供标准化认证与审计服务，为各类政务应用提供统一的身份认证底座。</w:t>
      </w:r>
    </w:p>
    <w:p w14:paraId="461E1D57">
      <w:pPr>
        <w:pStyle w:val="8"/>
        <w:rPr>
          <w:highlight w:val="none"/>
        </w:rPr>
      </w:pPr>
      <w:r>
        <w:rPr>
          <w:rFonts w:hint="eastAsia" w:ascii="Times New Roman" w:hAnsi="Times New Roman"/>
          <w:highlight w:val="none"/>
        </w:rPr>
        <w:t>用户组织</w:t>
      </w:r>
    </w:p>
    <w:p w14:paraId="0C586841">
      <w:pPr>
        <w:pStyle w:val="3"/>
        <w:ind w:firstLine="480"/>
        <w:rPr>
          <w:rFonts w:hint="eastAsia"/>
          <w:highlight w:val="none"/>
        </w:rPr>
      </w:pPr>
      <w:r>
        <w:rPr>
          <w:rFonts w:hint="eastAsia"/>
          <w:highlight w:val="none"/>
        </w:rPr>
        <w:t>应支持统一的用户与组织管理：支持新增用户、新建多级组织部门并维护组织架构，支持在指定组织下创建业务账号、将已有账号关联归属至对应组织单元，支持用户组管理及账号启用、禁用、注销等生命周期管理，满足全区政务人员组织与账号的统一维护需求。</w:t>
      </w:r>
    </w:p>
    <w:p w14:paraId="36A42A54">
      <w:pPr>
        <w:pStyle w:val="8"/>
        <w:rPr>
          <w:highlight w:val="none"/>
        </w:rPr>
      </w:pPr>
      <w:r>
        <w:rPr>
          <w:rFonts w:hint="eastAsia" w:ascii="Times New Roman" w:hAnsi="Times New Roman"/>
          <w:highlight w:val="none"/>
        </w:rPr>
        <w:t>权限管理</w:t>
      </w:r>
    </w:p>
    <w:p w14:paraId="52F8B281">
      <w:pPr>
        <w:pStyle w:val="3"/>
        <w:ind w:firstLine="480"/>
        <w:rPr>
          <w:rFonts w:hint="eastAsia"/>
          <w:highlight w:val="none"/>
        </w:rPr>
      </w:pPr>
      <w:r>
        <w:rPr>
          <w:rFonts w:hint="eastAsia"/>
          <w:highlight w:val="none"/>
        </w:rPr>
        <w:t>应支持统一的权限管理能力，提供基于角色、组织及用户的多维授权模型，支持功能权限、数据权限的配置与分配，实现权限的集中管控与按需授权，保障各应用系统访问控制的规范与安全。</w:t>
      </w:r>
    </w:p>
    <w:p w14:paraId="29E4DE79">
      <w:pPr>
        <w:pStyle w:val="8"/>
        <w:rPr>
          <w:highlight w:val="none"/>
        </w:rPr>
      </w:pPr>
      <w:r>
        <w:rPr>
          <w:rFonts w:hint="eastAsia" w:ascii="Times New Roman" w:hAnsi="Times New Roman"/>
          <w:highlight w:val="none"/>
        </w:rPr>
        <w:t>应用管理</w:t>
      </w:r>
    </w:p>
    <w:p w14:paraId="4C37991B">
      <w:pPr>
        <w:pStyle w:val="3"/>
        <w:ind w:firstLine="480"/>
        <w:rPr>
          <w:rFonts w:hint="eastAsia"/>
          <w:highlight w:val="none"/>
        </w:rPr>
      </w:pPr>
      <w:r>
        <w:rPr>
          <w:rFonts w:hint="eastAsia"/>
          <w:highlight w:val="none"/>
        </w:rPr>
        <w:t>应支持对纳入统一身份认证平台的各类政务应用进行统一登记、接入与配置管理，维护各应用的接入标识、回跳地址、应用类型等元数据，实现应用全生命周期的集中可见与可管。</w:t>
      </w:r>
    </w:p>
    <w:p w14:paraId="0BF96FC9">
      <w:pPr>
        <w:pStyle w:val="8"/>
        <w:rPr>
          <w:highlight w:val="none"/>
        </w:rPr>
      </w:pPr>
      <w:r>
        <w:rPr>
          <w:rFonts w:hint="eastAsia" w:ascii="Times New Roman" w:hAnsi="Times New Roman"/>
          <w:highlight w:val="none"/>
        </w:rPr>
        <w:t>审计日志</w:t>
      </w:r>
    </w:p>
    <w:p w14:paraId="7B4236BA">
      <w:pPr>
        <w:pStyle w:val="3"/>
        <w:ind w:firstLine="480"/>
        <w:rPr>
          <w:rFonts w:hint="eastAsia"/>
          <w:highlight w:val="none"/>
        </w:rPr>
      </w:pPr>
      <w:r>
        <w:rPr>
          <w:rFonts w:hint="eastAsia"/>
          <w:highlight w:val="none"/>
        </w:rPr>
        <w:t>应提供完整的认证审计能力，记录用户登录、认证成功与失败、授权变更、账号操作等全过程日志，支持审计日志的检索、导出与统计分析，满足安全合规追溯要求。</w:t>
      </w:r>
    </w:p>
    <w:p w14:paraId="363A6D11">
      <w:pPr>
        <w:pStyle w:val="8"/>
        <w:rPr>
          <w:highlight w:val="none"/>
        </w:rPr>
      </w:pPr>
      <w:r>
        <w:rPr>
          <w:rFonts w:hint="eastAsia" w:ascii="Times New Roman" w:hAnsi="Times New Roman"/>
          <w:highlight w:val="none"/>
        </w:rPr>
        <w:t>多因素认证</w:t>
      </w:r>
    </w:p>
    <w:p w14:paraId="7A76E370">
      <w:pPr>
        <w:pStyle w:val="3"/>
        <w:ind w:firstLine="480"/>
        <w:rPr>
          <w:rFonts w:hint="eastAsia"/>
          <w:highlight w:val="none"/>
        </w:rPr>
      </w:pPr>
      <w:r>
        <w:rPr>
          <w:rFonts w:hint="eastAsia"/>
          <w:highlight w:val="none"/>
        </w:rPr>
        <w:t>应支持多因素认证能力，在口令认证基础上叠加短信验证码、动态令牌、证书等认证因子，并支持按应用、按用户的差异化认证策略配置，提升高敏感业务场景的认证安全等级。</w:t>
      </w:r>
    </w:p>
    <w:p w14:paraId="3E003DB8">
      <w:pPr>
        <w:pStyle w:val="8"/>
        <w:rPr>
          <w:highlight w:val="none"/>
        </w:rPr>
      </w:pPr>
      <w:r>
        <w:rPr>
          <w:rFonts w:hint="eastAsia" w:ascii="Times New Roman" w:hAnsi="Times New Roman"/>
          <w:highlight w:val="none"/>
        </w:rPr>
        <w:t>集成对接</w:t>
      </w:r>
    </w:p>
    <w:p w14:paraId="2A4C8367">
      <w:pPr>
        <w:pStyle w:val="3"/>
        <w:ind w:firstLine="480"/>
        <w:rPr>
          <w:rFonts w:hint="eastAsia"/>
          <w:highlight w:val="none"/>
        </w:rPr>
      </w:pPr>
      <w:r>
        <w:rPr>
          <w:rFonts w:hint="eastAsia"/>
          <w:highlight w:val="none"/>
        </w:rPr>
        <w:t>应向第三方政务应用提供标准、开放的认证对接接口与统一认证SDK，支持OAuth、OIDC、CAS等主流协议，兼容新旧应用平滑接入，并保留与后续建设的对接开发空间，实现跨系统身份互通。</w:t>
      </w:r>
    </w:p>
    <w:p w14:paraId="5459CBCD">
      <w:pPr>
        <w:pStyle w:val="7"/>
        <w:rPr>
          <w:rFonts w:hint="eastAsia"/>
          <w:highlight w:val="none"/>
        </w:rPr>
      </w:pPr>
      <w:r>
        <w:rPr>
          <w:rFonts w:hint="eastAsia" w:ascii="Times New Roman" w:hAnsi="Times New Roman"/>
          <w:highlight w:val="none"/>
        </w:rPr>
        <w:t>统一门户入口</w:t>
      </w:r>
    </w:p>
    <w:p w14:paraId="13EC58F5">
      <w:pPr>
        <w:pStyle w:val="3"/>
        <w:ind w:firstLine="480"/>
        <w:rPr>
          <w:rFonts w:hint="eastAsia"/>
          <w:highlight w:val="none"/>
        </w:rPr>
      </w:pPr>
      <w:r>
        <w:rPr>
          <w:rFonts w:hint="eastAsia"/>
          <w:highlight w:val="none"/>
        </w:rPr>
        <w:t>建设全区政务统一工作门户入口，汇聚常用政务应用与消息，为不同用户提供千人千面的门户首页与统一登录入口，实现“单点登录、统一待办、一站入口”。</w:t>
      </w:r>
    </w:p>
    <w:p w14:paraId="6D1D6E8A">
      <w:pPr>
        <w:pStyle w:val="8"/>
        <w:rPr>
          <w:highlight w:val="none"/>
        </w:rPr>
      </w:pPr>
      <w:r>
        <w:rPr>
          <w:rFonts w:hint="eastAsia" w:ascii="Times New Roman" w:hAnsi="Times New Roman"/>
          <w:highlight w:val="none"/>
        </w:rPr>
        <w:t>门户界面展示</w:t>
      </w:r>
    </w:p>
    <w:p w14:paraId="1D26A589">
      <w:pPr>
        <w:pStyle w:val="3"/>
        <w:ind w:firstLine="480"/>
        <w:rPr>
          <w:rFonts w:hint="eastAsia"/>
          <w:highlight w:val="none"/>
        </w:rPr>
      </w:pPr>
      <w:r>
        <w:rPr>
          <w:rFonts w:hint="eastAsia"/>
          <w:highlight w:val="none"/>
        </w:rPr>
        <w:t>应提供统一风格的门户界面，支持按用户身份与角色配置首页栏目、应用快捷入口及常用功能，实现个性化、可配置的门户界面展示，提升用户使用体验。</w:t>
      </w:r>
    </w:p>
    <w:p w14:paraId="6EA946EB">
      <w:pPr>
        <w:pStyle w:val="8"/>
        <w:rPr>
          <w:highlight w:val="none"/>
        </w:rPr>
      </w:pPr>
      <w:r>
        <w:rPr>
          <w:rFonts w:hint="eastAsia" w:ascii="Times New Roman" w:hAnsi="Times New Roman"/>
          <w:highlight w:val="none"/>
        </w:rPr>
        <w:t>系统接入配置</w:t>
      </w:r>
    </w:p>
    <w:p w14:paraId="6F129084">
      <w:pPr>
        <w:pStyle w:val="3"/>
        <w:ind w:firstLine="480"/>
        <w:rPr>
          <w:rFonts w:hint="eastAsia"/>
          <w:highlight w:val="none"/>
        </w:rPr>
      </w:pPr>
      <w:r>
        <w:rPr>
          <w:rFonts w:hint="eastAsia"/>
          <w:highlight w:val="none"/>
        </w:rPr>
        <w:t>应支持各政务应用在门户中的接入与配置，包括应用图标、名称、访问地址、应用分类及可见范围等信息的维护，支持对门户内应用入口的集中配置与动态调整。</w:t>
      </w:r>
    </w:p>
    <w:p w14:paraId="363F0E91">
      <w:pPr>
        <w:pStyle w:val="8"/>
        <w:rPr>
          <w:highlight w:val="none"/>
        </w:rPr>
      </w:pPr>
      <w:r>
        <w:rPr>
          <w:rFonts w:hint="eastAsia" w:ascii="Times New Roman" w:hAnsi="Times New Roman"/>
          <w:highlight w:val="none"/>
        </w:rPr>
        <w:t>用户登录认证</w:t>
      </w:r>
    </w:p>
    <w:p w14:paraId="2C1E98D5">
      <w:pPr>
        <w:pStyle w:val="3"/>
        <w:ind w:firstLine="480"/>
        <w:rPr>
          <w:rFonts w:hint="eastAsia"/>
          <w:highlight w:val="none"/>
        </w:rPr>
      </w:pPr>
      <w:r>
        <w:rPr>
          <w:rFonts w:hint="eastAsia"/>
          <w:highlight w:val="none"/>
        </w:rPr>
        <w:t>应提供统一登录认证入口，支持账号口令、验证码、第三方认证等多种登录方式，实现一次登录后免登录访问门户内已接入的各应用系统，并具备登录会话管理与超时安全机制。</w:t>
      </w:r>
    </w:p>
    <w:p w14:paraId="2CD9FA26">
      <w:pPr>
        <w:pStyle w:val="6"/>
        <w:rPr>
          <w:rFonts w:hint="eastAsia"/>
          <w:highlight w:val="none"/>
        </w:rPr>
      </w:pPr>
      <w:r>
        <w:rPr>
          <w:rFonts w:hint="eastAsia" w:ascii="Times New Roman" w:hAnsi="Times New Roman"/>
          <w:highlight w:val="none"/>
        </w:rPr>
        <w:t>工作秘密安全防护</w:t>
      </w:r>
    </w:p>
    <w:p w14:paraId="415E4451">
      <w:pPr>
        <w:pStyle w:val="3"/>
        <w:ind w:firstLine="480"/>
        <w:rPr>
          <w:rFonts w:hint="eastAsia"/>
          <w:highlight w:val="none"/>
        </w:rPr>
      </w:pPr>
      <w:r>
        <w:rPr>
          <w:rFonts w:hint="eastAsia"/>
          <w:highlight w:val="none"/>
        </w:rPr>
        <w:t>围绕区政府办公平台涉密与非密文件流转的安全防护需求，建设文件标识与全流程管控能力，对办公文件进行统一标识、标记、溯源与管理，实现文件出域可查、行为可溯。</w:t>
      </w:r>
    </w:p>
    <w:p w14:paraId="586FC053">
      <w:pPr>
        <w:pStyle w:val="7"/>
        <w:rPr>
          <w:rFonts w:hint="eastAsia"/>
          <w:highlight w:val="none"/>
        </w:rPr>
      </w:pPr>
      <w:r>
        <w:rPr>
          <w:rFonts w:hint="eastAsia" w:ascii="Times New Roman" w:hAnsi="Times New Roman"/>
          <w:highlight w:val="none"/>
        </w:rPr>
        <w:t>文件上传授权管理</w:t>
      </w:r>
    </w:p>
    <w:p w14:paraId="52321561">
      <w:pPr>
        <w:pStyle w:val="3"/>
        <w:ind w:firstLine="480"/>
        <w:rPr>
          <w:rFonts w:hint="eastAsia"/>
          <w:highlight w:val="none"/>
        </w:rPr>
      </w:pPr>
      <w:r>
        <w:rPr>
          <w:rFonts w:hint="eastAsia"/>
          <w:highlight w:val="none"/>
        </w:rPr>
        <w:t>应支持对上传至办公平台的各类文件进行授权管控，根据文件密级与敏感程度配置上传权限与流转范围，对越权上传、未授权访问等行为进行阻断并记录，保障文件源头安全。</w:t>
      </w:r>
    </w:p>
    <w:p w14:paraId="666B1349">
      <w:pPr>
        <w:pStyle w:val="7"/>
        <w:rPr>
          <w:rFonts w:hint="eastAsia"/>
          <w:highlight w:val="none"/>
        </w:rPr>
      </w:pPr>
      <w:r>
        <w:rPr>
          <w:rFonts w:hint="eastAsia" w:ascii="Times New Roman" w:hAnsi="Times New Roman"/>
          <w:highlight w:val="none"/>
        </w:rPr>
        <w:t>文件标识系统输入/上传接口</w:t>
      </w:r>
    </w:p>
    <w:p w14:paraId="34CFCAAF">
      <w:pPr>
        <w:pStyle w:val="3"/>
        <w:ind w:firstLine="480"/>
        <w:rPr>
          <w:rFonts w:hint="eastAsia"/>
          <w:highlight w:val="none"/>
        </w:rPr>
      </w:pPr>
      <w:r>
        <w:rPr>
          <w:rFonts w:hint="eastAsia"/>
          <w:highlight w:val="none"/>
        </w:rPr>
        <w:t>应提供文件标识系统的标准输入与上传接口，支持与办公平台、其他业务系统的对接，实现待标识文件的批量接收与规范输入，保障文件标识环节的数据连通。</w:t>
      </w:r>
    </w:p>
    <w:p w14:paraId="229F7C62">
      <w:pPr>
        <w:pStyle w:val="7"/>
        <w:rPr>
          <w:rFonts w:hint="eastAsia"/>
          <w:highlight w:val="none"/>
        </w:rPr>
      </w:pPr>
      <w:r>
        <w:rPr>
          <w:rFonts w:hint="eastAsia" w:ascii="Times New Roman" w:hAnsi="Times New Roman"/>
          <w:highlight w:val="none"/>
        </w:rPr>
        <w:t>文件标识系统解析模块</w:t>
      </w:r>
    </w:p>
    <w:p w14:paraId="5B738927">
      <w:pPr>
        <w:pStyle w:val="3"/>
        <w:ind w:firstLine="480"/>
        <w:rPr>
          <w:rFonts w:hint="eastAsia"/>
          <w:highlight w:val="none"/>
        </w:rPr>
      </w:pPr>
      <w:r>
        <w:rPr>
          <w:rFonts w:hint="eastAsia"/>
          <w:highlight w:val="none"/>
        </w:rPr>
        <w:t>应支持对各类格式文档进行内容解析，自动识别文件中的敏感信息与需保护要素，为文件标识与标记提供依据，解析结果应可追溯、可配置。</w:t>
      </w:r>
    </w:p>
    <w:p w14:paraId="7A6176EE">
      <w:pPr>
        <w:pStyle w:val="7"/>
        <w:rPr>
          <w:rFonts w:hint="eastAsia"/>
          <w:highlight w:val="none"/>
        </w:rPr>
      </w:pPr>
      <w:r>
        <w:rPr>
          <w:rFonts w:hint="eastAsia" w:ascii="Times New Roman" w:hAnsi="Times New Roman"/>
          <w:highlight w:val="none"/>
        </w:rPr>
        <w:t>文件标识系统标记模块</w:t>
      </w:r>
    </w:p>
    <w:p w14:paraId="081C7988">
      <w:pPr>
        <w:pStyle w:val="3"/>
        <w:ind w:firstLine="480"/>
        <w:rPr>
          <w:rFonts w:hint="eastAsia"/>
          <w:highlight w:val="none"/>
        </w:rPr>
      </w:pPr>
      <w:r>
        <w:rPr>
          <w:rFonts w:hint="eastAsia"/>
          <w:highlight w:val="none"/>
        </w:rPr>
        <w:t>应支持按规则对文件施加不可见或可见的安全标记，将标识信息以特定编码方式嵌入文档，实现文件在全生命周期内的身份标识与可识别性。</w:t>
      </w:r>
    </w:p>
    <w:p w14:paraId="476F0DA1">
      <w:pPr>
        <w:pStyle w:val="7"/>
        <w:rPr>
          <w:rFonts w:hint="eastAsia"/>
          <w:highlight w:val="none"/>
        </w:rPr>
      </w:pPr>
      <w:r>
        <w:rPr>
          <w:rFonts w:hint="eastAsia" w:ascii="Times New Roman" w:hAnsi="Times New Roman"/>
          <w:highlight w:val="none"/>
        </w:rPr>
        <w:t>文件标识系统溯源模块</w:t>
      </w:r>
    </w:p>
    <w:p w14:paraId="0A6AAE50">
      <w:pPr>
        <w:pStyle w:val="3"/>
        <w:ind w:firstLine="480"/>
        <w:rPr>
          <w:rFonts w:hint="eastAsia"/>
          <w:highlight w:val="none"/>
        </w:rPr>
      </w:pPr>
      <w:r>
        <w:rPr>
          <w:rFonts w:hint="eastAsia"/>
          <w:highlight w:val="none"/>
        </w:rPr>
        <w:t>应提供文件溯源能力，支持对已标识文件的流转路径、访问行为、扩散情况等进行追踪与回溯，一旦发生泄露可快速定位源头与泄露路径。</w:t>
      </w:r>
    </w:p>
    <w:p w14:paraId="39ADD7DA">
      <w:pPr>
        <w:pStyle w:val="7"/>
        <w:rPr>
          <w:rFonts w:hint="eastAsia"/>
          <w:highlight w:val="none"/>
        </w:rPr>
      </w:pPr>
      <w:r>
        <w:rPr>
          <w:rFonts w:hint="eastAsia" w:ascii="Times New Roman" w:hAnsi="Times New Roman"/>
          <w:highlight w:val="none"/>
        </w:rPr>
        <w:t>文件标识系统管理模块</w:t>
      </w:r>
    </w:p>
    <w:p w14:paraId="5D3EA727">
      <w:pPr>
        <w:pStyle w:val="3"/>
        <w:ind w:firstLine="480"/>
        <w:rPr>
          <w:rFonts w:hint="eastAsia"/>
          <w:highlight w:val="none"/>
        </w:rPr>
      </w:pPr>
      <w:r>
        <w:rPr>
          <w:rFonts w:hint="eastAsia"/>
          <w:highlight w:val="none"/>
        </w:rPr>
        <w:t>应提供文件标识系统的统一管理能力，支持标识规则、标识模板、加密策略及系统参数的配置与维护，并支持对标识任务的运行监控与统计查询。</w:t>
      </w:r>
    </w:p>
    <w:p w14:paraId="479F5EA8">
      <w:pPr>
        <w:pStyle w:val="7"/>
        <w:rPr>
          <w:rFonts w:hint="eastAsia"/>
          <w:highlight w:val="none"/>
        </w:rPr>
      </w:pPr>
      <w:r>
        <w:rPr>
          <w:rFonts w:hint="eastAsia" w:ascii="Times New Roman" w:hAnsi="Times New Roman"/>
          <w:highlight w:val="none"/>
        </w:rPr>
        <w:t>办公平台工作秘密安全防护对接开发</w:t>
      </w:r>
    </w:p>
    <w:p w14:paraId="47FF248E">
      <w:pPr>
        <w:pStyle w:val="3"/>
        <w:ind w:firstLine="480"/>
        <w:rPr>
          <w:rFonts w:hint="eastAsia"/>
          <w:highlight w:val="none"/>
        </w:rPr>
      </w:pPr>
      <w:r>
        <w:rPr>
          <w:rFonts w:hint="eastAsia"/>
          <w:highlight w:val="none"/>
        </w:rPr>
        <w:t>应结合区政府办公平台现有架构开展专项对接开发，将文件标识、授权与溯源能力嵌入办公文件收发、流转等业务环节，实现安全防护与日常办公的无缝融合。</w:t>
      </w:r>
    </w:p>
    <w:p w14:paraId="222A270A">
      <w:pPr>
        <w:pStyle w:val="6"/>
        <w:rPr>
          <w:rFonts w:hint="eastAsia"/>
          <w:highlight w:val="none"/>
        </w:rPr>
      </w:pPr>
      <w:r>
        <w:rPr>
          <w:rFonts w:hint="eastAsia" w:ascii="Times New Roman" w:hAnsi="Times New Roman"/>
          <w:highlight w:val="none"/>
        </w:rPr>
        <w:t>数字档案室</w:t>
      </w:r>
    </w:p>
    <w:p w14:paraId="4628811A">
      <w:pPr>
        <w:pStyle w:val="3"/>
        <w:ind w:firstLine="480"/>
        <w:rPr>
          <w:rFonts w:hint="eastAsia"/>
          <w:highlight w:val="none"/>
        </w:rPr>
      </w:pPr>
      <w:r>
        <w:rPr>
          <w:rFonts w:hint="eastAsia"/>
          <w:highlight w:val="none"/>
        </w:rPr>
        <w:t>建设满足标准规范的数字档案室系统，覆盖档案的采集、整理、利用、预归档、统计与配置管理全过程，实现机关档案的数字化、规范化与安全化管护。</w:t>
      </w:r>
    </w:p>
    <w:p w14:paraId="1AED8D73">
      <w:pPr>
        <w:pStyle w:val="7"/>
        <w:rPr>
          <w:rFonts w:hint="eastAsia"/>
          <w:highlight w:val="none"/>
        </w:rPr>
      </w:pPr>
      <w:r>
        <w:rPr>
          <w:rFonts w:hint="eastAsia" w:ascii="Times New Roman" w:hAnsi="Times New Roman"/>
          <w:highlight w:val="none"/>
        </w:rPr>
        <w:t>档案采集</w:t>
      </w:r>
    </w:p>
    <w:p w14:paraId="265847CD">
      <w:pPr>
        <w:pStyle w:val="3"/>
        <w:ind w:firstLine="480"/>
        <w:rPr>
          <w:rFonts w:hint="eastAsia"/>
          <w:highlight w:val="none"/>
        </w:rPr>
      </w:pPr>
      <w:r>
        <w:rPr>
          <w:rFonts w:hint="eastAsia"/>
          <w:highlight w:val="none"/>
        </w:rPr>
        <w:t>应支持系统转入、人工录入与档案著录等采集方式，可接入各业务系统形成的电子文件并规范著录档案元数据，实现应归尽归、来源可溯。</w:t>
      </w:r>
    </w:p>
    <w:p w14:paraId="23C740D7">
      <w:pPr>
        <w:pStyle w:val="7"/>
        <w:rPr>
          <w:rFonts w:hint="eastAsia"/>
          <w:highlight w:val="none"/>
        </w:rPr>
      </w:pPr>
      <w:r>
        <w:rPr>
          <w:rFonts w:hint="eastAsia" w:ascii="Times New Roman" w:hAnsi="Times New Roman"/>
          <w:highlight w:val="none"/>
        </w:rPr>
        <w:t>档案整理</w:t>
      </w:r>
    </w:p>
    <w:p w14:paraId="2E0F48E1">
      <w:pPr>
        <w:pStyle w:val="3"/>
        <w:ind w:firstLine="480"/>
        <w:rPr>
          <w:rFonts w:hint="eastAsia"/>
          <w:highlight w:val="none"/>
        </w:rPr>
      </w:pPr>
      <w:r>
        <w:rPr>
          <w:rFonts w:hint="eastAsia"/>
          <w:highlight w:val="none"/>
        </w:rPr>
        <w:t>应支持对采集归档的档案进行自动与手工整理，提供分类、组卷、编目、归档等整理功能，满足文书档案整理规范要求，提升整理效率与质量。</w:t>
      </w:r>
    </w:p>
    <w:p w14:paraId="1B6BB23D">
      <w:pPr>
        <w:pStyle w:val="7"/>
        <w:rPr>
          <w:rFonts w:hint="eastAsia"/>
          <w:highlight w:val="none"/>
        </w:rPr>
      </w:pPr>
      <w:r>
        <w:rPr>
          <w:rFonts w:hint="eastAsia" w:ascii="Times New Roman" w:hAnsi="Times New Roman"/>
          <w:highlight w:val="none"/>
        </w:rPr>
        <w:t>档案利用</w:t>
      </w:r>
    </w:p>
    <w:p w14:paraId="0DA1811D">
      <w:pPr>
        <w:pStyle w:val="3"/>
        <w:ind w:firstLine="480"/>
        <w:rPr>
          <w:rFonts w:hint="eastAsia"/>
          <w:highlight w:val="none"/>
        </w:rPr>
      </w:pPr>
      <w:r>
        <w:rPr>
          <w:rFonts w:hint="eastAsia"/>
          <w:highlight w:val="none"/>
        </w:rPr>
        <w:t>应提供档案查询、借阅、查阅及电子档案自动回收等利用功能，支持按权限在线检索利用档案，并对利用行为进行登记与管控，确保档案利用安全合规。</w:t>
      </w:r>
    </w:p>
    <w:p w14:paraId="07E2FCCC">
      <w:pPr>
        <w:pStyle w:val="7"/>
        <w:rPr>
          <w:rFonts w:hint="eastAsia"/>
          <w:highlight w:val="none"/>
        </w:rPr>
      </w:pPr>
      <w:r>
        <w:rPr>
          <w:rFonts w:hint="eastAsia" w:ascii="Times New Roman" w:hAnsi="Times New Roman"/>
          <w:highlight w:val="none"/>
        </w:rPr>
        <w:t>预归档</w:t>
      </w:r>
    </w:p>
    <w:p w14:paraId="2A08C79F">
      <w:pPr>
        <w:pStyle w:val="3"/>
        <w:ind w:firstLine="480"/>
        <w:rPr>
          <w:rFonts w:hint="eastAsia"/>
          <w:highlight w:val="none"/>
        </w:rPr>
      </w:pPr>
      <w:r>
        <w:rPr>
          <w:rFonts w:hint="eastAsia"/>
          <w:highlight w:val="none"/>
        </w:rPr>
        <w:t>应支持归档设置、文件分析、文件整合、归档检测等预归档功能，并提供预归档接口与预归档统计、异常提醒，实现业务系统电子文件向档案室规范预归档。</w:t>
      </w:r>
    </w:p>
    <w:p w14:paraId="2DDEEA5E">
      <w:pPr>
        <w:pStyle w:val="7"/>
        <w:rPr>
          <w:rFonts w:hint="eastAsia"/>
          <w:highlight w:val="none"/>
        </w:rPr>
      </w:pPr>
      <w:r>
        <w:rPr>
          <w:rFonts w:hint="eastAsia" w:ascii="Times New Roman" w:hAnsi="Times New Roman"/>
          <w:highlight w:val="none"/>
        </w:rPr>
        <w:t>档案统计</w:t>
      </w:r>
    </w:p>
    <w:p w14:paraId="5BD1D630">
      <w:pPr>
        <w:pStyle w:val="3"/>
        <w:ind w:firstLine="480"/>
        <w:rPr>
          <w:rFonts w:hint="eastAsia"/>
          <w:highlight w:val="none"/>
        </w:rPr>
      </w:pPr>
      <w:r>
        <w:rPr>
          <w:rFonts w:hint="eastAsia"/>
          <w:highlight w:val="none"/>
        </w:rPr>
        <w:t>应支持档案库存统计、档案利用统计等，可按全宗、门类、期限等维度生成统计报表，为档案管理决策提供数据支撑。</w:t>
      </w:r>
    </w:p>
    <w:p w14:paraId="1C12D890">
      <w:pPr>
        <w:pStyle w:val="7"/>
        <w:rPr>
          <w:rFonts w:hint="eastAsia"/>
          <w:highlight w:val="none"/>
        </w:rPr>
      </w:pPr>
      <w:r>
        <w:rPr>
          <w:rFonts w:hint="eastAsia" w:ascii="Times New Roman" w:hAnsi="Times New Roman"/>
          <w:highlight w:val="none"/>
        </w:rPr>
        <w:t>配置管理</w:t>
      </w:r>
    </w:p>
    <w:p w14:paraId="1A0AE016">
      <w:pPr>
        <w:pStyle w:val="3"/>
        <w:ind w:firstLine="480"/>
        <w:rPr>
          <w:rFonts w:hint="eastAsia"/>
          <w:highlight w:val="none"/>
        </w:rPr>
      </w:pPr>
      <w:r>
        <w:rPr>
          <w:rFonts w:hint="eastAsia"/>
          <w:highlight w:val="none"/>
        </w:rPr>
        <w:t>应提供全宗管理、分类类目管理、保管期限管理、载体类型管理、著录规则管理、档号规则管理及日志记录等配置能力，满足档案管理个性化规则与规范化运行需要。</w:t>
      </w:r>
    </w:p>
    <w:p w14:paraId="2E436251">
      <w:pPr>
        <w:pStyle w:val="6"/>
        <w:rPr>
          <w:rFonts w:hint="eastAsia"/>
          <w:highlight w:val="none"/>
        </w:rPr>
      </w:pPr>
      <w:r>
        <w:rPr>
          <w:rFonts w:hint="eastAsia" w:ascii="Times New Roman" w:hAnsi="Times New Roman"/>
          <w:highlight w:val="none"/>
        </w:rPr>
        <w:t>访客系统</w:t>
      </w:r>
    </w:p>
    <w:p w14:paraId="6A1F8B59">
      <w:pPr>
        <w:pStyle w:val="3"/>
        <w:ind w:firstLine="480"/>
        <w:rPr>
          <w:rFonts w:hint="eastAsia"/>
          <w:highlight w:val="none"/>
        </w:rPr>
      </w:pPr>
      <w:r>
        <w:rPr>
          <w:rFonts w:hint="eastAsia"/>
          <w:highlight w:val="none"/>
        </w:rPr>
        <w:t>结合政务服务大厅与机关门禁管理需要，建设电子访客与随申码核验能力，实现访客线上登记、电子工作证/随申码核验与访客机联动，提升来访管理效率与安全水平。</w:t>
      </w:r>
    </w:p>
    <w:p w14:paraId="5731D1F0">
      <w:pPr>
        <w:pStyle w:val="7"/>
        <w:rPr>
          <w:rFonts w:hint="eastAsia"/>
          <w:highlight w:val="none"/>
        </w:rPr>
      </w:pPr>
      <w:r>
        <w:rPr>
          <w:rFonts w:hint="eastAsia" w:ascii="Times New Roman" w:hAnsi="Times New Roman"/>
          <w:highlight w:val="none"/>
        </w:rPr>
        <w:t>离线随申码生成</w:t>
      </w:r>
    </w:p>
    <w:p w14:paraId="2D4FC0A7">
      <w:pPr>
        <w:pStyle w:val="3"/>
        <w:ind w:firstLine="480"/>
        <w:rPr>
          <w:rFonts w:hint="eastAsia"/>
          <w:highlight w:val="none"/>
        </w:rPr>
      </w:pPr>
      <w:r>
        <w:rPr>
          <w:rFonts w:hint="eastAsia"/>
          <w:highlight w:val="none"/>
        </w:rPr>
        <w:t>应支持为已登记访客生成离线随申码，确保在网络受限环境下仍可正常出示与核验，保障特殊场景下的通行能力。</w:t>
      </w:r>
    </w:p>
    <w:p w14:paraId="679E7FB0">
      <w:pPr>
        <w:pStyle w:val="7"/>
        <w:rPr>
          <w:rFonts w:hint="eastAsia"/>
          <w:highlight w:val="none"/>
        </w:rPr>
      </w:pPr>
      <w:r>
        <w:rPr>
          <w:rFonts w:hint="eastAsia" w:ascii="Times New Roman" w:hAnsi="Times New Roman"/>
          <w:highlight w:val="none"/>
        </w:rPr>
        <w:t>离线随申码查询</w:t>
      </w:r>
    </w:p>
    <w:p w14:paraId="4695658B">
      <w:pPr>
        <w:pStyle w:val="3"/>
        <w:ind w:firstLine="480"/>
        <w:rPr>
          <w:rFonts w:hint="eastAsia"/>
          <w:highlight w:val="none"/>
        </w:rPr>
      </w:pPr>
      <w:r>
        <w:rPr>
          <w:rFonts w:hint="eastAsia"/>
          <w:highlight w:val="none"/>
        </w:rPr>
        <w:t>应支持对生成的离线随申码进行查询与核验，供门岗及访客机校验访客身份与通行有效性。</w:t>
      </w:r>
    </w:p>
    <w:p w14:paraId="6C6560D5">
      <w:pPr>
        <w:pStyle w:val="7"/>
        <w:rPr>
          <w:rFonts w:hint="eastAsia"/>
          <w:highlight w:val="none"/>
        </w:rPr>
      </w:pPr>
      <w:r>
        <w:rPr>
          <w:rFonts w:hint="eastAsia" w:ascii="Times New Roman" w:hAnsi="Times New Roman"/>
          <w:highlight w:val="none"/>
        </w:rPr>
        <w:t>定时同步离线随申码</w:t>
      </w:r>
    </w:p>
    <w:p w14:paraId="0840B555">
      <w:pPr>
        <w:pStyle w:val="3"/>
        <w:ind w:firstLine="480"/>
        <w:rPr>
          <w:rFonts w:hint="eastAsia"/>
          <w:highlight w:val="none"/>
        </w:rPr>
      </w:pPr>
      <w:r>
        <w:rPr>
          <w:rFonts w:hint="eastAsia"/>
          <w:highlight w:val="none"/>
        </w:rPr>
        <w:t>应支持按设定周期自动同步离线随申码数据，保持与权威数据源一致，并及时更新失效或变更的码状态。</w:t>
      </w:r>
    </w:p>
    <w:p w14:paraId="35792B5D">
      <w:pPr>
        <w:pStyle w:val="7"/>
        <w:rPr>
          <w:rFonts w:hint="eastAsia"/>
          <w:highlight w:val="none"/>
        </w:rPr>
      </w:pPr>
      <w:r>
        <w:rPr>
          <w:rFonts w:hint="eastAsia" w:ascii="Times New Roman" w:hAnsi="Times New Roman"/>
          <w:highlight w:val="none"/>
        </w:rPr>
        <w:t>访客电子工作证/随申码核验</w:t>
      </w:r>
    </w:p>
    <w:p w14:paraId="04814C15">
      <w:pPr>
        <w:pStyle w:val="3"/>
        <w:ind w:firstLine="480"/>
        <w:rPr>
          <w:rFonts w:hint="eastAsia"/>
          <w:highlight w:val="none"/>
        </w:rPr>
      </w:pPr>
      <w:r>
        <w:rPr>
          <w:rFonts w:hint="eastAsia"/>
          <w:highlight w:val="none"/>
        </w:rPr>
        <w:t>应支持在门岗或终端对访客电子工作证、随申码进行快速扫码核验，自动比对访客登记信息与通行权限，核验通过方可进入。</w:t>
      </w:r>
    </w:p>
    <w:p w14:paraId="6F506511">
      <w:pPr>
        <w:pStyle w:val="7"/>
        <w:rPr>
          <w:rFonts w:hint="eastAsia"/>
          <w:highlight w:val="none"/>
        </w:rPr>
      </w:pPr>
      <w:r>
        <w:rPr>
          <w:rFonts w:hint="eastAsia" w:ascii="Times New Roman" w:hAnsi="Times New Roman"/>
          <w:highlight w:val="none"/>
        </w:rPr>
        <w:t>电子工作证展示平台</w:t>
      </w:r>
    </w:p>
    <w:p w14:paraId="7A423A27">
      <w:pPr>
        <w:pStyle w:val="3"/>
        <w:ind w:firstLine="480"/>
        <w:rPr>
          <w:rFonts w:hint="eastAsia"/>
          <w:highlight w:val="none"/>
        </w:rPr>
      </w:pPr>
      <w:r>
        <w:rPr>
          <w:rFonts w:hint="eastAsia"/>
          <w:highlight w:val="none"/>
        </w:rPr>
        <w:t>应提供电子工作证集中展示平台，支持持证信息的统一展示、更新与校验，便于内部人员与访客的规范化电子化出入管理。</w:t>
      </w:r>
    </w:p>
    <w:p w14:paraId="59BDE978">
      <w:pPr>
        <w:pStyle w:val="7"/>
        <w:rPr>
          <w:rFonts w:hint="eastAsia"/>
          <w:highlight w:val="none"/>
        </w:rPr>
      </w:pPr>
      <w:r>
        <w:rPr>
          <w:rFonts w:hint="eastAsia" w:ascii="Times New Roman" w:hAnsi="Times New Roman"/>
          <w:highlight w:val="none"/>
        </w:rPr>
        <w:t>访客机接口对接</w:t>
      </w:r>
    </w:p>
    <w:p w14:paraId="65B291CF">
      <w:pPr>
        <w:pStyle w:val="3"/>
        <w:ind w:firstLine="480"/>
        <w:rPr>
          <w:rFonts w:hint="eastAsia"/>
          <w:highlight w:val="none"/>
        </w:rPr>
      </w:pPr>
      <w:r>
        <w:rPr>
          <w:rFonts w:hint="eastAsia"/>
          <w:highlight w:val="none"/>
        </w:rPr>
        <w:t>应提供与现场访客机等硬件设备的接口对接能力，实现访客登记信息下发、核验结果回传与设备的联动管理。</w:t>
      </w:r>
    </w:p>
    <w:p w14:paraId="0E909DA6">
      <w:pPr>
        <w:pStyle w:val="7"/>
        <w:rPr>
          <w:rFonts w:hint="eastAsia"/>
          <w:highlight w:val="none"/>
        </w:rPr>
      </w:pPr>
      <w:r>
        <w:rPr>
          <w:rFonts w:hint="eastAsia" w:ascii="Times New Roman" w:hAnsi="Times New Roman"/>
          <w:highlight w:val="none"/>
        </w:rPr>
        <w:t>访客登记管理</w:t>
      </w:r>
    </w:p>
    <w:p w14:paraId="5CFCAEE9">
      <w:pPr>
        <w:pStyle w:val="3"/>
        <w:ind w:firstLine="480"/>
        <w:rPr>
          <w:rFonts w:hint="eastAsia"/>
          <w:highlight w:val="none"/>
        </w:rPr>
      </w:pPr>
      <w:r>
        <w:rPr>
          <w:rFonts w:hint="eastAsia"/>
          <w:highlight w:val="none"/>
        </w:rPr>
        <w:t>应支持访客信息在线登记，支持被访人预约、身份信息填报、事由说明等登记流程，并支持登记数据的查询与维护。</w:t>
      </w:r>
    </w:p>
    <w:p w14:paraId="64CF1708">
      <w:pPr>
        <w:pStyle w:val="7"/>
        <w:rPr>
          <w:rFonts w:hint="eastAsia"/>
          <w:highlight w:val="none"/>
        </w:rPr>
      </w:pPr>
      <w:r>
        <w:rPr>
          <w:rFonts w:hint="eastAsia" w:ascii="Times New Roman" w:hAnsi="Times New Roman"/>
          <w:highlight w:val="none"/>
        </w:rPr>
        <w:t>访客来访管理</w:t>
      </w:r>
    </w:p>
    <w:p w14:paraId="77B36771">
      <w:pPr>
        <w:pStyle w:val="3"/>
        <w:ind w:firstLine="480"/>
        <w:rPr>
          <w:rFonts w:hint="eastAsia"/>
          <w:highlight w:val="none"/>
        </w:rPr>
      </w:pPr>
      <w:r>
        <w:rPr>
          <w:rFonts w:hint="eastAsia"/>
          <w:highlight w:val="none"/>
        </w:rPr>
        <w:t>应支持对访客来访全过程进行管理，包括来访预约、审批、到访核验、离访登记及来访记录归档，形成完整的访客来访闭环。</w:t>
      </w:r>
    </w:p>
    <w:p w14:paraId="38945C94">
      <w:pPr>
        <w:pStyle w:val="6"/>
        <w:rPr>
          <w:rFonts w:hint="eastAsia"/>
          <w:highlight w:val="none"/>
        </w:rPr>
      </w:pPr>
      <w:r>
        <w:rPr>
          <w:rFonts w:hint="eastAsia" w:ascii="Times New Roman" w:hAnsi="Times New Roman"/>
          <w:highlight w:val="none"/>
        </w:rPr>
        <w:t>考勤系统</w:t>
      </w:r>
    </w:p>
    <w:p w14:paraId="2EB05D6D">
      <w:pPr>
        <w:pStyle w:val="3"/>
        <w:ind w:firstLine="480"/>
        <w:rPr>
          <w:rFonts w:hint="eastAsia"/>
          <w:highlight w:val="none"/>
        </w:rPr>
      </w:pPr>
      <w:r>
        <w:rPr>
          <w:rFonts w:hint="eastAsia"/>
          <w:highlight w:val="none"/>
        </w:rPr>
        <w:t>建设覆盖机关内部日常考勤管理的应用系统，通过与考勤硬件设备对接及移动端联动，实现考勤数据的自动采集、汇总与统计分析，为考勤管理提供信息化支撑。</w:t>
      </w:r>
    </w:p>
    <w:p w14:paraId="3EFCF943">
      <w:pPr>
        <w:pStyle w:val="7"/>
        <w:rPr>
          <w:rFonts w:hint="eastAsia"/>
          <w:highlight w:val="none"/>
        </w:rPr>
      </w:pPr>
      <w:r>
        <w:rPr>
          <w:rFonts w:hint="eastAsia" w:ascii="Times New Roman" w:hAnsi="Times New Roman"/>
          <w:highlight w:val="none"/>
        </w:rPr>
        <w:t>硬件设备对接</w:t>
      </w:r>
    </w:p>
    <w:p w14:paraId="09F350F1">
      <w:pPr>
        <w:pStyle w:val="3"/>
        <w:ind w:firstLine="480"/>
        <w:rPr>
          <w:rFonts w:hint="eastAsia"/>
          <w:highlight w:val="none"/>
        </w:rPr>
      </w:pPr>
      <w:r>
        <w:rPr>
          <w:rFonts w:hint="eastAsia"/>
          <w:highlight w:val="none"/>
        </w:rPr>
        <w:t>应支持与门禁、人脸、指纹等各类考勤硬件设备进行接口对接，自动采集员工打卡记录，实现考勤原始数据的实时获取与统一归集。</w:t>
      </w:r>
    </w:p>
    <w:p w14:paraId="5674D99C">
      <w:pPr>
        <w:pStyle w:val="7"/>
        <w:rPr>
          <w:rFonts w:hint="eastAsia"/>
          <w:highlight w:val="none"/>
        </w:rPr>
      </w:pPr>
      <w:r>
        <w:rPr>
          <w:rFonts w:hint="eastAsia" w:ascii="Times New Roman" w:hAnsi="Times New Roman"/>
          <w:highlight w:val="none"/>
        </w:rPr>
        <w:t>移动端配置</w:t>
      </w:r>
    </w:p>
    <w:p w14:paraId="5BCD0804">
      <w:pPr>
        <w:pStyle w:val="3"/>
        <w:ind w:firstLine="480"/>
        <w:rPr>
          <w:rFonts w:hint="eastAsia"/>
          <w:highlight w:val="none"/>
        </w:rPr>
      </w:pPr>
      <w:r>
        <w:rPr>
          <w:rFonts w:hint="eastAsia"/>
          <w:highlight w:val="none"/>
        </w:rPr>
        <w:t>应支持移动端考勤相关配置，包括移动打卡、外勤签到等场景的参数设置与规则维护，并与PC端考勤数据实时同步。</w:t>
      </w:r>
    </w:p>
    <w:p w14:paraId="63B97331">
      <w:pPr>
        <w:pStyle w:val="7"/>
        <w:rPr>
          <w:rFonts w:hint="eastAsia"/>
          <w:highlight w:val="none"/>
        </w:rPr>
      </w:pPr>
      <w:r>
        <w:rPr>
          <w:rFonts w:hint="eastAsia" w:ascii="Times New Roman" w:hAnsi="Times New Roman"/>
          <w:highlight w:val="none"/>
        </w:rPr>
        <w:t>考勤人员管理</w:t>
      </w:r>
    </w:p>
    <w:p w14:paraId="5C8514A9">
      <w:pPr>
        <w:pStyle w:val="3"/>
        <w:ind w:firstLine="480"/>
        <w:rPr>
          <w:rFonts w:hint="eastAsia"/>
          <w:highlight w:val="none"/>
        </w:rPr>
      </w:pPr>
      <w:r>
        <w:rPr>
          <w:rFonts w:hint="eastAsia"/>
          <w:highlight w:val="none"/>
        </w:rPr>
        <w:t>应支持考勤人员、班次及考勤组的管理维护，可按部门、人员灵活配置考勤规则与班次，支持人员异动时考勤关系的自动调整。</w:t>
      </w:r>
    </w:p>
    <w:p w14:paraId="78768CE1">
      <w:pPr>
        <w:pStyle w:val="7"/>
        <w:rPr>
          <w:rFonts w:hint="eastAsia"/>
          <w:highlight w:val="none"/>
        </w:rPr>
      </w:pPr>
      <w:r>
        <w:rPr>
          <w:rFonts w:hint="eastAsia" w:ascii="Times New Roman" w:hAnsi="Times New Roman"/>
          <w:highlight w:val="none"/>
        </w:rPr>
        <w:t>考勤汇总（PC端、移动端）</w:t>
      </w:r>
    </w:p>
    <w:p w14:paraId="77078CBF">
      <w:pPr>
        <w:pStyle w:val="3"/>
        <w:ind w:firstLine="480"/>
        <w:rPr>
          <w:rFonts w:hint="eastAsia"/>
          <w:highlight w:val="none"/>
        </w:rPr>
      </w:pPr>
      <w:r>
        <w:rPr>
          <w:rFonts w:hint="eastAsia"/>
          <w:highlight w:val="none"/>
        </w:rPr>
        <w:t>应提供PC端与移动端的考勤汇总能力，自动汇总员工出勤、迟到、早退、缺勤等考勤结果，生成个人及部门考勤报表，支持按需查询与导出。</w:t>
      </w:r>
    </w:p>
    <w:p w14:paraId="77AF62B6">
      <w:pPr>
        <w:pStyle w:val="6"/>
        <w:rPr>
          <w:rFonts w:hint="eastAsia"/>
          <w:highlight w:val="none"/>
        </w:rPr>
      </w:pPr>
      <w:r>
        <w:rPr>
          <w:rFonts w:hint="eastAsia" w:ascii="Times New Roman" w:hAnsi="Times New Roman"/>
          <w:highlight w:val="none"/>
        </w:rPr>
        <w:t>短信管理</w:t>
      </w:r>
    </w:p>
    <w:p w14:paraId="1E6ACC8A">
      <w:pPr>
        <w:pStyle w:val="3"/>
        <w:ind w:firstLine="480"/>
        <w:rPr>
          <w:rFonts w:hint="eastAsia"/>
          <w:highlight w:val="none"/>
        </w:rPr>
      </w:pPr>
      <w:r>
        <w:rPr>
          <w:rFonts w:hint="eastAsia"/>
          <w:highlight w:val="none"/>
        </w:rPr>
        <w:t>建设统一的政务短信管理与发送平台，面向区各委办单位提供短信模板审核、内容发送、网关调度与统计分析服务，实现全区政务短信的合规、统一、可控管理。</w:t>
      </w:r>
    </w:p>
    <w:p w14:paraId="02359DAF">
      <w:pPr>
        <w:pStyle w:val="7"/>
        <w:rPr>
          <w:rFonts w:hint="eastAsia"/>
          <w:highlight w:val="none"/>
        </w:rPr>
      </w:pPr>
      <w:r>
        <w:rPr>
          <w:rFonts w:hint="eastAsia" w:ascii="Times New Roman" w:hAnsi="Times New Roman"/>
          <w:highlight w:val="none"/>
        </w:rPr>
        <w:t>系统管理</w:t>
      </w:r>
    </w:p>
    <w:p w14:paraId="5DEEE3FE">
      <w:pPr>
        <w:pStyle w:val="3"/>
        <w:ind w:firstLine="480"/>
        <w:rPr>
          <w:rFonts w:hint="eastAsia"/>
          <w:highlight w:val="none"/>
        </w:rPr>
      </w:pPr>
      <w:r>
        <w:rPr>
          <w:rFonts w:hint="eastAsia"/>
          <w:highlight w:val="none"/>
        </w:rPr>
        <w:t>应提供系统级管理能力，包括系统参数、账号、短信通道及基础配置的统一管理，保障平台规范稳定运行。</w:t>
      </w:r>
    </w:p>
    <w:p w14:paraId="30AD6191">
      <w:pPr>
        <w:pStyle w:val="7"/>
        <w:rPr>
          <w:rFonts w:hint="eastAsia"/>
          <w:highlight w:val="none"/>
        </w:rPr>
      </w:pPr>
      <w:r>
        <w:rPr>
          <w:rFonts w:hint="eastAsia" w:ascii="Times New Roman" w:hAnsi="Times New Roman"/>
          <w:highlight w:val="none"/>
        </w:rPr>
        <w:t>短信模板审核功能</w:t>
      </w:r>
    </w:p>
    <w:p w14:paraId="0684BD70">
      <w:pPr>
        <w:pStyle w:val="3"/>
        <w:ind w:firstLine="480"/>
        <w:rPr>
          <w:rFonts w:hint="eastAsia"/>
          <w:highlight w:val="none"/>
        </w:rPr>
      </w:pPr>
      <w:r>
        <w:rPr>
          <w:rFonts w:hint="eastAsia"/>
          <w:highlight w:val="none"/>
        </w:rPr>
        <w:t>应支持短信模板的创建与审核流程，对模板内容进行合规性校验与审批，审核通过的模板方可用于发送，保障短信内容安全规范。</w:t>
      </w:r>
    </w:p>
    <w:p w14:paraId="2D642949">
      <w:pPr>
        <w:pStyle w:val="7"/>
        <w:rPr>
          <w:rFonts w:hint="eastAsia"/>
          <w:highlight w:val="none"/>
        </w:rPr>
      </w:pPr>
      <w:r>
        <w:rPr>
          <w:rFonts w:hint="eastAsia" w:ascii="Times New Roman" w:hAnsi="Times New Roman"/>
          <w:highlight w:val="none"/>
        </w:rPr>
        <w:t>短信审核记录查询</w:t>
      </w:r>
    </w:p>
    <w:p w14:paraId="7690A6D0">
      <w:pPr>
        <w:pStyle w:val="3"/>
        <w:ind w:firstLine="480"/>
        <w:rPr>
          <w:rFonts w:hint="eastAsia"/>
          <w:highlight w:val="none"/>
        </w:rPr>
      </w:pPr>
      <w:r>
        <w:rPr>
          <w:rFonts w:hint="eastAsia"/>
          <w:highlight w:val="none"/>
        </w:rPr>
        <w:t>应支持对短信审核过程与结果进行查询与追溯，可按时间、单位、审核人等条件检索审核记录，满足监管与审计需要。</w:t>
      </w:r>
    </w:p>
    <w:p w14:paraId="265C7CD7">
      <w:pPr>
        <w:pStyle w:val="7"/>
        <w:rPr>
          <w:rFonts w:hint="eastAsia"/>
          <w:highlight w:val="none"/>
        </w:rPr>
      </w:pPr>
      <w:r>
        <w:rPr>
          <w:rFonts w:hint="eastAsia" w:ascii="Times New Roman" w:hAnsi="Times New Roman"/>
          <w:highlight w:val="none"/>
        </w:rPr>
        <w:t>短信审核设置</w:t>
      </w:r>
    </w:p>
    <w:p w14:paraId="452E0093">
      <w:pPr>
        <w:pStyle w:val="3"/>
        <w:ind w:firstLine="480"/>
        <w:rPr>
          <w:rFonts w:hint="eastAsia"/>
          <w:highlight w:val="none"/>
        </w:rPr>
      </w:pPr>
      <w:r>
        <w:rPr>
          <w:rFonts w:hint="eastAsia"/>
          <w:highlight w:val="none"/>
        </w:rPr>
        <w:t>应支持短信审核规则与流程的自定义设置，包括是否需审核、审核层级、敏感词拦截等配置，满足不同单位的差异化管控要求。</w:t>
      </w:r>
    </w:p>
    <w:p w14:paraId="10D8D149">
      <w:pPr>
        <w:pStyle w:val="7"/>
        <w:rPr>
          <w:rFonts w:hint="eastAsia"/>
          <w:highlight w:val="none"/>
        </w:rPr>
      </w:pPr>
      <w:r>
        <w:rPr>
          <w:rFonts w:hint="eastAsia" w:ascii="Times New Roman" w:hAnsi="Times New Roman"/>
          <w:highlight w:val="none"/>
        </w:rPr>
        <w:t>界面发送</w:t>
      </w:r>
    </w:p>
    <w:p w14:paraId="68E194BD">
      <w:pPr>
        <w:pStyle w:val="3"/>
        <w:ind w:firstLine="480"/>
        <w:rPr>
          <w:rFonts w:hint="eastAsia"/>
          <w:highlight w:val="none"/>
        </w:rPr>
      </w:pPr>
      <w:r>
        <w:rPr>
          <w:rFonts w:hint="eastAsia"/>
          <w:highlight w:val="none"/>
        </w:rPr>
        <w:t>应提供可视化发送界面，支持选择模板或直接编辑内容进行单条、批量短信发送，并支持发送对象、发送时间的指定。</w:t>
      </w:r>
    </w:p>
    <w:p w14:paraId="311411D8">
      <w:pPr>
        <w:pStyle w:val="7"/>
        <w:rPr>
          <w:rFonts w:hint="eastAsia"/>
          <w:highlight w:val="none"/>
        </w:rPr>
      </w:pPr>
      <w:r>
        <w:rPr>
          <w:rFonts w:hint="eastAsia" w:ascii="Times New Roman" w:hAnsi="Times New Roman"/>
          <w:highlight w:val="none"/>
        </w:rPr>
        <w:t>短信收发</w:t>
      </w:r>
    </w:p>
    <w:p w14:paraId="69FD569F">
      <w:pPr>
        <w:pStyle w:val="3"/>
        <w:ind w:firstLine="480"/>
        <w:rPr>
          <w:rFonts w:hint="eastAsia"/>
          <w:highlight w:val="none"/>
        </w:rPr>
      </w:pPr>
      <w:r>
        <w:rPr>
          <w:rFonts w:hint="eastAsia"/>
          <w:highlight w:val="none"/>
        </w:rPr>
        <w:t>应支持短信的发送与接收处理，具备发送状态跟踪、失败重发、上行短信接收等能力，保障短信业务完整可靠。</w:t>
      </w:r>
    </w:p>
    <w:p w14:paraId="36F0F2B8">
      <w:pPr>
        <w:pStyle w:val="7"/>
        <w:rPr>
          <w:rFonts w:hint="eastAsia"/>
          <w:highlight w:val="none"/>
        </w:rPr>
      </w:pPr>
      <w:r>
        <w:rPr>
          <w:rFonts w:hint="eastAsia" w:ascii="Times New Roman" w:hAnsi="Times New Roman"/>
          <w:highlight w:val="none"/>
        </w:rPr>
        <w:t>短信网关</w:t>
      </w:r>
    </w:p>
    <w:p w14:paraId="549C5855">
      <w:pPr>
        <w:pStyle w:val="3"/>
        <w:ind w:firstLine="480"/>
        <w:rPr>
          <w:rFonts w:hint="eastAsia"/>
          <w:highlight w:val="none"/>
        </w:rPr>
      </w:pPr>
      <w:r>
        <w:rPr>
          <w:rFonts w:hint="eastAsia"/>
          <w:highlight w:val="none"/>
        </w:rPr>
        <w:t>应提供短信网关能力，统一对接运营商短信通道，实现短信的调度、分流、限流与状态回执处理，提升发送成功率与稳定性。</w:t>
      </w:r>
    </w:p>
    <w:p w14:paraId="0CF58668">
      <w:pPr>
        <w:pStyle w:val="7"/>
        <w:rPr>
          <w:rFonts w:hint="eastAsia"/>
          <w:highlight w:val="none"/>
        </w:rPr>
      </w:pPr>
      <w:r>
        <w:rPr>
          <w:rFonts w:hint="eastAsia" w:ascii="Times New Roman" w:hAnsi="Times New Roman"/>
          <w:highlight w:val="none"/>
        </w:rPr>
        <w:t>权限和角色管理</w:t>
      </w:r>
    </w:p>
    <w:p w14:paraId="4231E8DF">
      <w:pPr>
        <w:pStyle w:val="3"/>
        <w:ind w:firstLine="480"/>
        <w:rPr>
          <w:rFonts w:hint="eastAsia"/>
          <w:highlight w:val="none"/>
        </w:rPr>
      </w:pPr>
      <w:r>
        <w:rPr>
          <w:rFonts w:hint="eastAsia"/>
          <w:highlight w:val="none"/>
        </w:rPr>
        <w:t>应支持短信平台用户、角色与权限的统一管理，可按单位、功能、短信条数配额进行细粒度授权，实现分级分权使用。</w:t>
      </w:r>
    </w:p>
    <w:p w14:paraId="0FBF897B">
      <w:pPr>
        <w:pStyle w:val="7"/>
        <w:rPr>
          <w:rFonts w:hint="eastAsia"/>
          <w:highlight w:val="none"/>
        </w:rPr>
      </w:pPr>
      <w:r>
        <w:rPr>
          <w:rFonts w:hint="eastAsia" w:ascii="Times New Roman" w:hAnsi="Times New Roman"/>
          <w:highlight w:val="none"/>
        </w:rPr>
        <w:t>下行短信发送数量查询</w:t>
      </w:r>
    </w:p>
    <w:p w14:paraId="4209FEB0">
      <w:pPr>
        <w:pStyle w:val="3"/>
        <w:ind w:firstLine="480"/>
        <w:rPr>
          <w:rFonts w:hint="eastAsia"/>
          <w:highlight w:val="none"/>
        </w:rPr>
      </w:pPr>
      <w:r>
        <w:rPr>
          <w:rFonts w:hint="eastAsia"/>
          <w:highlight w:val="none"/>
        </w:rPr>
        <w:t>应支持按单位、时间、通道等维度查询下行短信的发送数量，实时掌握各单位的短信使用情况与配额执行。</w:t>
      </w:r>
    </w:p>
    <w:p w14:paraId="147C78F6">
      <w:pPr>
        <w:pStyle w:val="7"/>
        <w:rPr>
          <w:rFonts w:hint="eastAsia"/>
          <w:highlight w:val="none"/>
        </w:rPr>
      </w:pPr>
      <w:r>
        <w:rPr>
          <w:rFonts w:hint="eastAsia" w:ascii="Times New Roman" w:hAnsi="Times New Roman"/>
          <w:highlight w:val="none"/>
        </w:rPr>
        <w:t>短信发送数量分析报表</w:t>
      </w:r>
    </w:p>
    <w:p w14:paraId="063932BD">
      <w:pPr>
        <w:pStyle w:val="3"/>
        <w:ind w:firstLine="480"/>
        <w:rPr>
          <w:rFonts w:hint="eastAsia"/>
          <w:highlight w:val="none"/>
        </w:rPr>
      </w:pPr>
      <w:r>
        <w:rPr>
          <w:rFonts w:hint="eastAsia"/>
          <w:highlight w:val="none"/>
        </w:rPr>
        <w:t>应支持生成短信发送数量统计分析报表，可按多维度统计发送总量、成功率、单位分布等指标，为短信资源管理与成本核算提供依据。</w:t>
      </w:r>
    </w:p>
    <w:p w14:paraId="5B5C2711">
      <w:pPr>
        <w:pStyle w:val="7"/>
        <w:rPr>
          <w:rFonts w:hint="eastAsia"/>
          <w:highlight w:val="none"/>
        </w:rPr>
      </w:pPr>
      <w:r>
        <w:rPr>
          <w:rFonts w:hint="eastAsia" w:ascii="Times New Roman" w:hAnsi="Times New Roman"/>
          <w:highlight w:val="none"/>
        </w:rPr>
        <w:t>区各委办短信调测</w:t>
      </w:r>
    </w:p>
    <w:p w14:paraId="7953B008">
      <w:pPr>
        <w:pStyle w:val="3"/>
        <w:ind w:firstLine="480"/>
        <w:rPr>
          <w:rFonts w:hint="eastAsia"/>
          <w:highlight w:val="none"/>
        </w:rPr>
      </w:pPr>
      <w:r>
        <w:rPr>
          <w:rFonts w:hint="eastAsia"/>
          <w:highlight w:val="none"/>
        </w:rPr>
        <w:t>应支持面向区各委办单位的短信接入调测，提供测试通道与联调支持，保障各单位与短信平台的对接稳定、发送正常。</w:t>
      </w:r>
    </w:p>
    <w:p w14:paraId="1A952296">
      <w:pPr>
        <w:pStyle w:val="6"/>
        <w:rPr>
          <w:rFonts w:hint="eastAsia"/>
          <w:highlight w:val="none"/>
        </w:rPr>
      </w:pPr>
      <w:r>
        <w:rPr>
          <w:rFonts w:hint="eastAsia" w:ascii="Times New Roman" w:hAnsi="Times New Roman"/>
          <w:highlight w:val="none"/>
        </w:rPr>
        <w:t>移动端长者版</w:t>
      </w:r>
    </w:p>
    <w:p w14:paraId="665C9BBF">
      <w:pPr>
        <w:pStyle w:val="3"/>
        <w:ind w:firstLine="480"/>
        <w:rPr>
          <w:rFonts w:hint="eastAsia"/>
          <w:highlight w:val="none"/>
        </w:rPr>
      </w:pPr>
      <w:r>
        <w:rPr>
          <w:rFonts w:hint="eastAsia"/>
          <w:highlight w:val="none"/>
        </w:rPr>
        <w:t>面向老年人群体的使用特点，对移动端工作台进行适老化改造与定制，提供大字体、简洁界面与无障碍操作体验的政务移动服务。</w:t>
      </w:r>
    </w:p>
    <w:p w14:paraId="09CFE4A1">
      <w:pPr>
        <w:pStyle w:val="7"/>
        <w:rPr>
          <w:rFonts w:hint="eastAsia"/>
          <w:highlight w:val="none"/>
        </w:rPr>
      </w:pPr>
      <w:r>
        <w:rPr>
          <w:rFonts w:hint="eastAsia" w:ascii="Times New Roman" w:hAnsi="Times New Roman"/>
          <w:highlight w:val="none"/>
        </w:rPr>
        <w:t>移动端工作台长者版</w:t>
      </w:r>
    </w:p>
    <w:p w14:paraId="078299BB">
      <w:pPr>
        <w:pStyle w:val="3"/>
        <w:ind w:firstLine="480"/>
        <w:rPr>
          <w:rFonts w:hint="eastAsia"/>
          <w:highlight w:val="none"/>
        </w:rPr>
      </w:pPr>
      <w:r>
        <w:rPr>
          <w:rFonts w:hint="eastAsia"/>
          <w:highlight w:val="none"/>
        </w:rPr>
        <w:t>应提供面向老年人的专属移动端工作台，界面简洁、字号放大、操作便捷，聚合老年高频政务服务入口，并支持语音、放大镜等辅助能力，降低老年人使用门槛，保障操作顺畅可用。</w:t>
      </w:r>
    </w:p>
    <w:p w14:paraId="385058FA">
      <w:pPr>
        <w:pStyle w:val="6"/>
        <w:rPr>
          <w:rFonts w:hint="eastAsia"/>
          <w:highlight w:val="none"/>
        </w:rPr>
      </w:pPr>
      <w:r>
        <w:rPr>
          <w:rFonts w:hint="eastAsia" w:ascii="Times New Roman" w:hAnsi="Times New Roman"/>
          <w:highlight w:val="none"/>
        </w:rPr>
        <w:t>政务消息推送</w:t>
      </w:r>
    </w:p>
    <w:p w14:paraId="7D723194">
      <w:pPr>
        <w:pStyle w:val="3"/>
        <w:ind w:firstLine="480"/>
        <w:rPr>
          <w:rFonts w:hint="eastAsia"/>
          <w:highlight w:val="none"/>
        </w:rPr>
      </w:pPr>
      <w:r>
        <w:rPr>
          <w:rFonts w:hint="eastAsia"/>
          <w:highlight w:val="none"/>
        </w:rPr>
        <w:t>面向全区建设统一的政务消息推送服务，提供标准化推送接口，支持面向名单、规则与指定人员进行精准消息触达，实现政务通知的及时有效送达。</w:t>
      </w:r>
    </w:p>
    <w:p w14:paraId="20E4F4E7">
      <w:pPr>
        <w:pStyle w:val="7"/>
        <w:rPr>
          <w:rFonts w:hint="eastAsia"/>
          <w:highlight w:val="none"/>
        </w:rPr>
      </w:pPr>
      <w:r>
        <w:rPr>
          <w:rFonts w:hint="eastAsia" w:ascii="Times New Roman" w:hAnsi="Times New Roman"/>
          <w:highlight w:val="none"/>
        </w:rPr>
        <w:t>统一API接口对接</w:t>
      </w:r>
    </w:p>
    <w:p w14:paraId="0A93F865">
      <w:pPr>
        <w:pStyle w:val="3"/>
        <w:ind w:firstLine="480"/>
        <w:rPr>
          <w:rFonts w:hint="eastAsia"/>
          <w:highlight w:val="none"/>
        </w:rPr>
      </w:pPr>
      <w:r>
        <w:rPr>
          <w:rFonts w:hint="eastAsia"/>
          <w:highlight w:val="none"/>
        </w:rPr>
        <w:t>应提供统一的政务消息推送API接口，支持各业务系统标准化接入，统一消息格式、推送通道与鉴权方式，实现消息推送服务的集中化管理。</w:t>
      </w:r>
    </w:p>
    <w:p w14:paraId="69ACF030">
      <w:pPr>
        <w:pStyle w:val="7"/>
        <w:rPr>
          <w:rFonts w:hint="eastAsia"/>
          <w:highlight w:val="none"/>
        </w:rPr>
      </w:pPr>
      <w:r>
        <w:rPr>
          <w:rFonts w:hint="eastAsia" w:ascii="Times New Roman" w:hAnsi="Times New Roman"/>
          <w:highlight w:val="none"/>
        </w:rPr>
        <w:t>基于推送名单和规则的消息推送</w:t>
      </w:r>
    </w:p>
    <w:p w14:paraId="2A8755CE">
      <w:pPr>
        <w:pStyle w:val="3"/>
        <w:ind w:firstLine="480"/>
        <w:rPr>
          <w:rFonts w:hint="eastAsia"/>
          <w:highlight w:val="none"/>
        </w:rPr>
      </w:pPr>
      <w:r>
        <w:rPr>
          <w:rFonts w:hint="eastAsia"/>
          <w:highlight w:val="none"/>
        </w:rPr>
        <w:t>应支持维护推送目标名单并设定推送规则，按名单范围与业务规则自动筛选接收人并批量推送消息，满足按组织、按类型等定向推送需求。</w:t>
      </w:r>
    </w:p>
    <w:p w14:paraId="24F376AF">
      <w:pPr>
        <w:pStyle w:val="7"/>
        <w:rPr>
          <w:rFonts w:hint="eastAsia"/>
          <w:highlight w:val="none"/>
        </w:rPr>
      </w:pPr>
      <w:r>
        <w:rPr>
          <w:rFonts w:hint="eastAsia" w:ascii="Times New Roman" w:hAnsi="Times New Roman"/>
          <w:highlight w:val="none"/>
        </w:rPr>
        <w:t>基于指定人员的消息推送</w:t>
      </w:r>
    </w:p>
    <w:p w14:paraId="2B1CEFEB">
      <w:pPr>
        <w:pStyle w:val="3"/>
        <w:ind w:firstLine="480"/>
        <w:rPr>
          <w:rFonts w:hint="eastAsia"/>
          <w:highlight w:val="none"/>
        </w:rPr>
      </w:pPr>
      <w:r>
        <w:rPr>
          <w:rFonts w:hint="eastAsia"/>
          <w:highlight w:val="none"/>
        </w:rPr>
        <w:t>应支持临时指定单个或部分指定人员进行消息推送，灵活满足个性化、即时性的通知发送场景。</w:t>
      </w:r>
    </w:p>
    <w:p w14:paraId="102CC3C5">
      <w:pPr>
        <w:pStyle w:val="6"/>
        <w:rPr>
          <w:rFonts w:hint="eastAsia"/>
          <w:highlight w:val="none"/>
        </w:rPr>
      </w:pPr>
      <w:r>
        <w:rPr>
          <w:rFonts w:hint="eastAsia" w:ascii="Times New Roman" w:hAnsi="Times New Roman"/>
          <w:highlight w:val="none"/>
        </w:rPr>
        <w:t>区政府“十五项重点工程”重点指标（工作）推进</w:t>
      </w:r>
    </w:p>
    <w:p w14:paraId="205F154A">
      <w:pPr>
        <w:pStyle w:val="3"/>
        <w:ind w:firstLine="480"/>
        <w:rPr>
          <w:rFonts w:hint="eastAsia"/>
          <w:highlight w:val="none"/>
        </w:rPr>
      </w:pPr>
      <w:r>
        <w:rPr>
          <w:rFonts w:hint="eastAsia"/>
          <w:highlight w:val="none"/>
        </w:rPr>
        <w:t>围绕区政府“十五项重点工程”重点指标与重点工作，建设任务分解、反馈与统计的闭环管理能力，支撑重点工程任务的落地跟踪与考核。</w:t>
      </w:r>
    </w:p>
    <w:p w14:paraId="7AC07E9D">
      <w:pPr>
        <w:pStyle w:val="7"/>
        <w:rPr>
          <w:rFonts w:hint="eastAsia"/>
          <w:highlight w:val="none"/>
        </w:rPr>
      </w:pPr>
      <w:r>
        <w:rPr>
          <w:rFonts w:hint="eastAsia" w:ascii="Times New Roman" w:hAnsi="Times New Roman"/>
          <w:highlight w:val="none"/>
        </w:rPr>
        <w:t>任务下发管理</w:t>
      </w:r>
    </w:p>
    <w:p w14:paraId="45C638DB">
      <w:pPr>
        <w:pStyle w:val="3"/>
        <w:ind w:firstLine="480"/>
        <w:rPr>
          <w:rFonts w:hint="eastAsia"/>
          <w:highlight w:val="none"/>
        </w:rPr>
      </w:pPr>
      <w:r>
        <w:rPr>
          <w:rFonts w:hint="eastAsia"/>
          <w:highlight w:val="none"/>
        </w:rPr>
        <w:t>应支持将“十五项重点工程”重点指标与重点工作任务向责任单位进行分解与下发，明确任务目标、责任主体与完成时限，形成任务台账。</w:t>
      </w:r>
    </w:p>
    <w:p w14:paraId="60801215">
      <w:pPr>
        <w:pStyle w:val="7"/>
        <w:rPr>
          <w:rFonts w:hint="eastAsia"/>
          <w:highlight w:val="none"/>
        </w:rPr>
      </w:pPr>
      <w:r>
        <w:rPr>
          <w:rFonts w:hint="eastAsia" w:ascii="Times New Roman" w:hAnsi="Times New Roman"/>
          <w:highlight w:val="none"/>
        </w:rPr>
        <w:t>月度反馈管理</w:t>
      </w:r>
    </w:p>
    <w:p w14:paraId="2C429861">
      <w:pPr>
        <w:pStyle w:val="3"/>
        <w:ind w:firstLine="480"/>
        <w:rPr>
          <w:rFonts w:hint="eastAsia"/>
          <w:highlight w:val="none"/>
        </w:rPr>
      </w:pPr>
      <w:r>
        <w:rPr>
          <w:rFonts w:hint="eastAsia"/>
          <w:highlight w:val="none"/>
        </w:rPr>
        <w:t>应支持责任单位按月度对承担任务进展进行反馈填报，主管部门可在线查看、审核反馈情况，动态掌握重点工程月度推进进度。</w:t>
      </w:r>
    </w:p>
    <w:p w14:paraId="11DC9888">
      <w:pPr>
        <w:pStyle w:val="7"/>
        <w:rPr>
          <w:rFonts w:hint="eastAsia"/>
          <w:highlight w:val="none"/>
        </w:rPr>
      </w:pPr>
      <w:r>
        <w:rPr>
          <w:rFonts w:hint="eastAsia" w:ascii="Times New Roman" w:hAnsi="Times New Roman"/>
          <w:highlight w:val="none"/>
        </w:rPr>
        <w:t>年度统计管理</w:t>
      </w:r>
    </w:p>
    <w:p w14:paraId="56D46455">
      <w:pPr>
        <w:pStyle w:val="3"/>
        <w:ind w:firstLine="480"/>
        <w:rPr>
          <w:rFonts w:hint="eastAsia"/>
          <w:highlight w:val="none"/>
        </w:rPr>
      </w:pPr>
      <w:r>
        <w:rPr>
          <w:rFonts w:hint="eastAsia"/>
          <w:highlight w:val="none"/>
        </w:rPr>
        <w:t>应支持按年度对各重点指标与工作任务的完成情况进行统计汇总，生成年度完成情况报表，为年度考核与工作评价提供依据。</w:t>
      </w:r>
    </w:p>
    <w:p w14:paraId="2D1A034C">
      <w:pPr>
        <w:pStyle w:val="6"/>
        <w:rPr>
          <w:rFonts w:hint="eastAsia"/>
          <w:highlight w:val="none"/>
        </w:rPr>
      </w:pPr>
      <w:r>
        <w:rPr>
          <w:rFonts w:hint="eastAsia" w:ascii="Times New Roman" w:hAnsi="Times New Roman"/>
          <w:highlight w:val="none"/>
        </w:rPr>
        <w:t>区政府目标管理工作推进</w:t>
      </w:r>
    </w:p>
    <w:p w14:paraId="59FD3C18">
      <w:pPr>
        <w:pStyle w:val="3"/>
        <w:ind w:firstLine="480"/>
        <w:rPr>
          <w:rFonts w:hint="eastAsia"/>
          <w:highlight w:val="none"/>
        </w:rPr>
      </w:pPr>
      <w:r>
        <w:rPr>
          <w:rFonts w:hint="eastAsia"/>
          <w:highlight w:val="none"/>
        </w:rPr>
        <w:t>支撑区政府年度目标管理工作的数字化推进，覆盖目标制定、进度跟踪与移动端展示，形成目标管理闭环。</w:t>
      </w:r>
    </w:p>
    <w:p w14:paraId="62F75B7A">
      <w:pPr>
        <w:pStyle w:val="7"/>
        <w:rPr>
          <w:rFonts w:hint="eastAsia"/>
          <w:highlight w:val="none"/>
        </w:rPr>
      </w:pPr>
      <w:r>
        <w:rPr>
          <w:rFonts w:hint="eastAsia" w:ascii="Times New Roman" w:hAnsi="Times New Roman"/>
          <w:highlight w:val="none"/>
        </w:rPr>
        <w:t>目标管理</w:t>
      </w:r>
    </w:p>
    <w:p w14:paraId="467D53B4">
      <w:pPr>
        <w:pStyle w:val="3"/>
        <w:ind w:firstLine="480"/>
        <w:rPr>
          <w:rFonts w:hint="eastAsia"/>
          <w:highlight w:val="none"/>
        </w:rPr>
      </w:pPr>
      <w:r>
        <w:rPr>
          <w:rFonts w:hint="eastAsia"/>
          <w:highlight w:val="none"/>
        </w:rPr>
        <w:t>应支持区政府年度各项目标任务的录入与维护，支持按单位、类别建立目标体系，并实现目标的上报、审核与发布管理。</w:t>
      </w:r>
    </w:p>
    <w:p w14:paraId="5100E7F2">
      <w:pPr>
        <w:pStyle w:val="7"/>
        <w:rPr>
          <w:rFonts w:hint="eastAsia"/>
          <w:highlight w:val="none"/>
        </w:rPr>
      </w:pPr>
      <w:r>
        <w:rPr>
          <w:rFonts w:hint="eastAsia" w:ascii="Times New Roman" w:hAnsi="Times New Roman"/>
          <w:highlight w:val="none"/>
        </w:rPr>
        <w:t>目标进度管理</w:t>
      </w:r>
    </w:p>
    <w:p w14:paraId="2ACF1AAA">
      <w:pPr>
        <w:pStyle w:val="3"/>
        <w:ind w:firstLine="480"/>
        <w:rPr>
          <w:rFonts w:hint="eastAsia"/>
          <w:highlight w:val="none"/>
        </w:rPr>
      </w:pPr>
      <w:r>
        <w:rPr>
          <w:rFonts w:hint="eastAsia"/>
          <w:highlight w:val="none"/>
        </w:rPr>
        <w:t>应支持对各项年度目标任务的执行进度进行动态跟踪与更新，提供进度填报、偏差预警与进展汇总能力，辅助目标推进督导。</w:t>
      </w:r>
    </w:p>
    <w:p w14:paraId="663EA6E0">
      <w:pPr>
        <w:pStyle w:val="7"/>
        <w:rPr>
          <w:rFonts w:hint="eastAsia"/>
          <w:highlight w:val="none"/>
        </w:rPr>
      </w:pPr>
      <w:r>
        <w:rPr>
          <w:rFonts w:hint="eastAsia" w:ascii="Times New Roman" w:hAnsi="Times New Roman"/>
          <w:highlight w:val="none"/>
        </w:rPr>
        <w:t>移动端展示</w:t>
      </w:r>
    </w:p>
    <w:p w14:paraId="0C94C548">
      <w:pPr>
        <w:pStyle w:val="3"/>
        <w:ind w:firstLine="480"/>
        <w:rPr>
          <w:rFonts w:hint="eastAsia"/>
          <w:highlight w:val="none"/>
        </w:rPr>
      </w:pPr>
      <w:r>
        <w:rPr>
          <w:rFonts w:hint="eastAsia"/>
          <w:highlight w:val="none"/>
        </w:rPr>
        <w:t>应提供移动端目标展示能力，支持领导及相关人员随时随地查看目标整体进展与重点任务完成情况。</w:t>
      </w:r>
    </w:p>
    <w:p w14:paraId="42610FD5">
      <w:pPr>
        <w:pStyle w:val="6"/>
        <w:rPr>
          <w:rFonts w:hint="eastAsia"/>
          <w:highlight w:val="none"/>
        </w:rPr>
      </w:pPr>
      <w:r>
        <w:rPr>
          <w:rFonts w:hint="eastAsia" w:ascii="Times New Roman" w:hAnsi="Times New Roman"/>
          <w:highlight w:val="none"/>
        </w:rPr>
        <w:t>区政府重要会议要求事项落实情况</w:t>
      </w:r>
    </w:p>
    <w:p w14:paraId="20A92C75">
      <w:pPr>
        <w:pStyle w:val="3"/>
        <w:ind w:firstLine="480"/>
        <w:rPr>
          <w:rFonts w:hint="eastAsia"/>
          <w:highlight w:val="none"/>
        </w:rPr>
      </w:pPr>
      <w:r>
        <w:rPr>
          <w:rFonts w:hint="eastAsia"/>
          <w:highlight w:val="none"/>
        </w:rPr>
        <w:t>支撑区政府重要会议议定事项及要求事项的登记、跟踪与落实，形成“会议—事项—落实”闭环管理，保障政令畅通。</w:t>
      </w:r>
    </w:p>
    <w:p w14:paraId="151B4253">
      <w:pPr>
        <w:pStyle w:val="7"/>
        <w:rPr>
          <w:rFonts w:hint="eastAsia"/>
          <w:highlight w:val="none"/>
        </w:rPr>
      </w:pPr>
      <w:r>
        <w:rPr>
          <w:rFonts w:hint="eastAsia" w:ascii="Times New Roman" w:hAnsi="Times New Roman"/>
          <w:highlight w:val="none"/>
        </w:rPr>
        <w:t>事项管理</w:t>
      </w:r>
    </w:p>
    <w:p w14:paraId="51CC1802">
      <w:pPr>
        <w:pStyle w:val="3"/>
        <w:ind w:firstLine="480"/>
        <w:rPr>
          <w:rFonts w:hint="eastAsia"/>
          <w:highlight w:val="none"/>
        </w:rPr>
      </w:pPr>
      <w:r>
        <w:rPr>
          <w:rFonts w:hint="eastAsia"/>
          <w:highlight w:val="none"/>
        </w:rPr>
        <w:t>应支持将区政府重要会议研究议定的事项及工作要求进行登记管理，明确事项内容、责任单位与办理要求，形成事项台账。</w:t>
      </w:r>
    </w:p>
    <w:p w14:paraId="1DC1E4DD">
      <w:pPr>
        <w:pStyle w:val="7"/>
        <w:rPr>
          <w:rFonts w:hint="eastAsia"/>
          <w:highlight w:val="none"/>
        </w:rPr>
      </w:pPr>
      <w:r>
        <w:rPr>
          <w:rFonts w:hint="eastAsia" w:ascii="Times New Roman" w:hAnsi="Times New Roman"/>
          <w:highlight w:val="none"/>
        </w:rPr>
        <w:t>事项落实跟踪管理</w:t>
      </w:r>
    </w:p>
    <w:p w14:paraId="3275A77C">
      <w:pPr>
        <w:pStyle w:val="3"/>
        <w:ind w:firstLine="480"/>
        <w:rPr>
          <w:rFonts w:hint="eastAsia"/>
          <w:highlight w:val="none"/>
        </w:rPr>
      </w:pPr>
      <w:r>
        <w:rPr>
          <w:rFonts w:hint="eastAsia"/>
          <w:highlight w:val="none"/>
        </w:rPr>
        <w:t>应支持对会议议定事项的落实办理进展进行跟踪反馈，记录落实情况、办理结果与佐证材料，支持催办与超期提醒，确保事项按期落实。</w:t>
      </w:r>
    </w:p>
    <w:p w14:paraId="66A71889">
      <w:pPr>
        <w:pStyle w:val="7"/>
        <w:rPr>
          <w:rFonts w:hint="eastAsia"/>
          <w:highlight w:val="none"/>
        </w:rPr>
      </w:pPr>
      <w:r>
        <w:rPr>
          <w:rFonts w:hint="eastAsia" w:ascii="Times New Roman" w:hAnsi="Times New Roman"/>
          <w:highlight w:val="none"/>
        </w:rPr>
        <w:t>移动端展示</w:t>
      </w:r>
    </w:p>
    <w:p w14:paraId="33652D77">
      <w:pPr>
        <w:pStyle w:val="3"/>
        <w:ind w:firstLine="480"/>
        <w:rPr>
          <w:rFonts w:hint="eastAsia"/>
          <w:highlight w:val="none"/>
        </w:rPr>
      </w:pPr>
      <w:r>
        <w:rPr>
          <w:rFonts w:hint="eastAsia"/>
          <w:highlight w:val="none"/>
        </w:rPr>
        <w:t>应提供移动端事项落实展示能力，支持领导实时查阅重要会议事项的办理进展与完成情况。</w:t>
      </w:r>
    </w:p>
    <w:p w14:paraId="4B8E0512">
      <w:pPr>
        <w:pStyle w:val="6"/>
        <w:rPr>
          <w:rFonts w:hint="eastAsia"/>
          <w:highlight w:val="none"/>
        </w:rPr>
      </w:pPr>
      <w:r>
        <w:rPr>
          <w:rFonts w:hint="eastAsia" w:ascii="Times New Roman" w:hAnsi="Times New Roman"/>
          <w:highlight w:val="none"/>
        </w:rPr>
        <w:t>十五项重点工程移动端驾驶舱</w:t>
      </w:r>
    </w:p>
    <w:p w14:paraId="22657163">
      <w:pPr>
        <w:pStyle w:val="3"/>
        <w:ind w:firstLine="480"/>
        <w:rPr>
          <w:rFonts w:hint="eastAsia"/>
          <w:highlight w:val="none"/>
        </w:rPr>
      </w:pPr>
      <w:r>
        <w:rPr>
          <w:rFonts w:hint="eastAsia"/>
          <w:highlight w:val="none"/>
        </w:rPr>
        <w:t>面向领导决策，建设“十五项重点工程”移动端驾驶舱，以可视化方式集中展示重点工程总体概况与推进详情，支撑移动办公与指挥调度。</w:t>
      </w:r>
    </w:p>
    <w:p w14:paraId="28BBA162">
      <w:pPr>
        <w:pStyle w:val="7"/>
        <w:rPr>
          <w:rFonts w:hint="eastAsia"/>
          <w:highlight w:val="none"/>
        </w:rPr>
      </w:pPr>
      <w:r>
        <w:rPr>
          <w:rFonts w:hint="eastAsia" w:ascii="Times New Roman" w:hAnsi="Times New Roman"/>
          <w:highlight w:val="none"/>
        </w:rPr>
        <w:t>工程概述</w:t>
      </w:r>
    </w:p>
    <w:p w14:paraId="412AEBD7">
      <w:pPr>
        <w:pStyle w:val="3"/>
        <w:ind w:firstLine="480"/>
        <w:rPr>
          <w:rFonts w:hint="eastAsia"/>
          <w:highlight w:val="none"/>
        </w:rPr>
      </w:pPr>
      <w:r>
        <w:rPr>
          <w:rFonts w:hint="eastAsia"/>
          <w:highlight w:val="none"/>
        </w:rPr>
        <w:t>应提供重点工程总体概述展示，以图表、仪表盘等形式直观呈现重点工程数量、总投资、总体进度等宏观信息，支持领导快速掌握全局。</w:t>
      </w:r>
    </w:p>
    <w:p w14:paraId="26A67CA3">
      <w:pPr>
        <w:pStyle w:val="7"/>
        <w:rPr>
          <w:rFonts w:hint="eastAsia"/>
          <w:highlight w:val="none"/>
        </w:rPr>
      </w:pPr>
      <w:r>
        <w:rPr>
          <w:rFonts w:hint="eastAsia" w:ascii="Times New Roman" w:hAnsi="Times New Roman"/>
          <w:highlight w:val="none"/>
        </w:rPr>
        <w:t>工程详情-工程列表</w:t>
      </w:r>
    </w:p>
    <w:p w14:paraId="5C083169">
      <w:pPr>
        <w:pStyle w:val="3"/>
        <w:ind w:firstLine="480"/>
        <w:rPr>
          <w:rFonts w:hint="eastAsia"/>
          <w:highlight w:val="none"/>
        </w:rPr>
      </w:pPr>
      <w:r>
        <w:rPr>
          <w:rFonts w:hint="eastAsia"/>
          <w:highlight w:val="none"/>
        </w:rPr>
        <w:t>应支持按工程分类、责任单位等维度展示重点工程列表，点击可查看单项工程的基本信息、责任主体与建设周期等详情。</w:t>
      </w:r>
    </w:p>
    <w:p w14:paraId="415C6BD3">
      <w:pPr>
        <w:pStyle w:val="7"/>
        <w:rPr>
          <w:rFonts w:hint="eastAsia"/>
          <w:highlight w:val="none"/>
        </w:rPr>
      </w:pPr>
      <w:r>
        <w:rPr>
          <w:rFonts w:hint="eastAsia" w:ascii="Times New Roman" w:hAnsi="Times New Roman"/>
          <w:highlight w:val="none"/>
        </w:rPr>
        <w:t>工程详情-任务详情</w:t>
      </w:r>
    </w:p>
    <w:p w14:paraId="11A15FF6">
      <w:pPr>
        <w:pStyle w:val="3"/>
        <w:ind w:firstLine="480"/>
        <w:rPr>
          <w:rFonts w:hint="eastAsia"/>
          <w:highlight w:val="none"/>
        </w:rPr>
      </w:pPr>
      <w:r>
        <w:rPr>
          <w:rFonts w:hint="eastAsia"/>
          <w:highlight w:val="none"/>
        </w:rPr>
        <w:t>应支持深入查看单项重点工程下的任务分解详情，包括任务节点、当前进度、责任分工及存在问题，支持任务的逐级钻取与进度追踪。</w:t>
      </w:r>
    </w:p>
    <w:p w14:paraId="76EB1FD4">
      <w:pPr>
        <w:pStyle w:val="6"/>
        <w:rPr>
          <w:rFonts w:hint="eastAsia"/>
          <w:highlight w:val="none"/>
        </w:rPr>
      </w:pPr>
      <w:r>
        <w:rPr>
          <w:rFonts w:hint="eastAsia" w:ascii="Times New Roman" w:hAnsi="Times New Roman"/>
          <w:highlight w:val="none"/>
        </w:rPr>
        <w:t>会议报备管理</w:t>
      </w:r>
    </w:p>
    <w:p w14:paraId="35310273">
      <w:pPr>
        <w:pStyle w:val="3"/>
        <w:ind w:firstLine="480"/>
        <w:rPr>
          <w:rFonts w:hint="eastAsia"/>
          <w:highlight w:val="none"/>
        </w:rPr>
      </w:pPr>
      <w:r>
        <w:rPr>
          <w:rFonts w:hint="eastAsia"/>
          <w:highlight w:val="none"/>
        </w:rPr>
        <w:t>建设区级会议报备与会议通知管理能力，对各类会议的报备、审批与通知进行一体化管理，推动精简会议、规范会务。</w:t>
      </w:r>
    </w:p>
    <w:p w14:paraId="3437C820">
      <w:pPr>
        <w:pStyle w:val="7"/>
        <w:rPr>
          <w:rFonts w:hint="eastAsia"/>
          <w:highlight w:val="none"/>
        </w:rPr>
      </w:pPr>
      <w:r>
        <w:rPr>
          <w:rFonts w:hint="eastAsia" w:ascii="Times New Roman" w:hAnsi="Times New Roman"/>
          <w:highlight w:val="none"/>
        </w:rPr>
        <w:t>报备管理</w:t>
      </w:r>
    </w:p>
    <w:p w14:paraId="5B053F00">
      <w:pPr>
        <w:pStyle w:val="3"/>
        <w:ind w:firstLine="480"/>
        <w:rPr>
          <w:rFonts w:hint="eastAsia"/>
          <w:highlight w:val="none"/>
        </w:rPr>
      </w:pPr>
      <w:r>
        <w:rPr>
          <w:rFonts w:hint="eastAsia"/>
          <w:highlight w:val="none"/>
        </w:rPr>
        <w:t>应支持会议报备的创建与填报，提供报备表单管理、报备流程审批、报备信息查询与归档等功能，实现会议报备的全流程线上办理。</w:t>
      </w:r>
    </w:p>
    <w:p w14:paraId="734ED8DC">
      <w:pPr>
        <w:pStyle w:val="7"/>
        <w:rPr>
          <w:rFonts w:hint="eastAsia"/>
          <w:highlight w:val="none"/>
        </w:rPr>
      </w:pPr>
      <w:r>
        <w:rPr>
          <w:rFonts w:hint="eastAsia" w:ascii="Times New Roman" w:hAnsi="Times New Roman"/>
          <w:highlight w:val="none"/>
        </w:rPr>
        <w:t>会议通知管理</w:t>
      </w:r>
    </w:p>
    <w:p w14:paraId="32E26569">
      <w:pPr>
        <w:pStyle w:val="3"/>
        <w:ind w:firstLine="480"/>
        <w:rPr>
          <w:rFonts w:hint="eastAsia"/>
          <w:highlight w:val="none"/>
        </w:rPr>
      </w:pPr>
      <w:r>
        <w:rPr>
          <w:rFonts w:hint="eastAsia"/>
          <w:highlight w:val="none"/>
        </w:rPr>
        <w:t>应支持基于报备发起会议通知，提供会议通知创建、会议类型合规性智能提醒、报备关联与信息带入、通知发送与回执管理等能力，实现会议通知的规范高效送达与跟踪。</w:t>
      </w:r>
    </w:p>
    <w:p w14:paraId="32593FCB">
      <w:pPr>
        <w:pStyle w:val="5"/>
        <w:rPr>
          <w:rFonts w:ascii="Times New Roman" w:hAnsi="Times New Roman"/>
          <w:highlight w:val="none"/>
        </w:rPr>
      </w:pPr>
      <w:r>
        <w:rPr>
          <w:rFonts w:hint="eastAsia" w:ascii="Times New Roman" w:hAnsi="Times New Roman"/>
          <w:highlight w:val="none"/>
        </w:rPr>
        <w:t>各单位个性应用建设</w:t>
      </w:r>
    </w:p>
    <w:p w14:paraId="24F10FA3">
      <w:pPr>
        <w:pStyle w:val="6"/>
        <w:rPr>
          <w:rFonts w:hint="eastAsia"/>
          <w:highlight w:val="none"/>
        </w:rPr>
      </w:pPr>
      <w:r>
        <w:rPr>
          <w:rFonts w:hint="eastAsia" w:ascii="Times New Roman" w:hAnsi="Times New Roman"/>
          <w:highlight w:val="none"/>
        </w:rPr>
        <w:t>数字化项目全生命周期管理</w:t>
      </w:r>
    </w:p>
    <w:p w14:paraId="4EF19F3B">
      <w:pPr>
        <w:pStyle w:val="3"/>
        <w:ind w:firstLine="480"/>
        <w:rPr>
          <w:rFonts w:hint="eastAsia"/>
          <w:highlight w:val="none"/>
        </w:rPr>
      </w:pPr>
      <w:r>
        <w:rPr>
          <w:rFonts w:hint="eastAsia"/>
          <w:highlight w:val="none"/>
        </w:rPr>
        <w:t>围绕全区数字化项目的全过程管理需求，提供项目立项登记、资源申请、大数据赋能与应用效能评估能力，实现对数字化项目从立项到效能评价的全生命周期闭环管理。</w:t>
      </w:r>
    </w:p>
    <w:p w14:paraId="26766B0F">
      <w:pPr>
        <w:pStyle w:val="7"/>
        <w:rPr>
          <w:rFonts w:hint="eastAsia"/>
          <w:highlight w:val="none"/>
        </w:rPr>
      </w:pPr>
      <w:r>
        <w:rPr>
          <w:rFonts w:hint="eastAsia" w:ascii="Times New Roman" w:hAnsi="Times New Roman"/>
          <w:highlight w:val="none"/>
        </w:rPr>
        <w:t>项目立项登记</w:t>
      </w:r>
    </w:p>
    <w:p w14:paraId="27F5E303">
      <w:pPr>
        <w:pStyle w:val="3"/>
        <w:ind w:firstLine="480"/>
        <w:rPr>
          <w:rFonts w:hint="eastAsia"/>
          <w:highlight w:val="none"/>
        </w:rPr>
      </w:pPr>
      <w:r>
        <w:rPr>
          <w:rFonts w:hint="eastAsia"/>
          <w:highlight w:val="none"/>
        </w:rPr>
        <w:t>应支持数字化项目立项信息的登记与入库，涵盖项目名称、建设单位、投资预算、建设内容等要素，形成数字化项目台账，支撑项目统筹管理。</w:t>
      </w:r>
    </w:p>
    <w:p w14:paraId="1F12A549">
      <w:pPr>
        <w:pStyle w:val="7"/>
        <w:rPr>
          <w:rFonts w:hint="eastAsia"/>
          <w:highlight w:val="none"/>
        </w:rPr>
      </w:pPr>
      <w:r>
        <w:rPr>
          <w:rFonts w:hint="eastAsia" w:ascii="Times New Roman" w:hAnsi="Times New Roman"/>
          <w:highlight w:val="none"/>
        </w:rPr>
        <w:t>项目资源申请</w:t>
      </w:r>
    </w:p>
    <w:p w14:paraId="295BA807">
      <w:pPr>
        <w:pStyle w:val="3"/>
        <w:ind w:firstLine="480"/>
        <w:rPr>
          <w:rFonts w:hint="eastAsia"/>
          <w:highlight w:val="none"/>
        </w:rPr>
      </w:pPr>
      <w:r>
        <w:rPr>
          <w:rFonts w:hint="eastAsia"/>
          <w:highlight w:val="none"/>
        </w:rPr>
        <w:t>应支持项目所需计算、存储、云资源、数据等资源的在线申请与审批，关联项目登记信息，实现项目与资源的匹配管理。</w:t>
      </w:r>
    </w:p>
    <w:p w14:paraId="3C49EB76">
      <w:pPr>
        <w:pStyle w:val="7"/>
        <w:rPr>
          <w:rFonts w:hint="eastAsia"/>
          <w:highlight w:val="none"/>
        </w:rPr>
      </w:pPr>
      <w:r>
        <w:rPr>
          <w:rFonts w:hint="eastAsia" w:ascii="Times New Roman" w:hAnsi="Times New Roman"/>
          <w:highlight w:val="none"/>
        </w:rPr>
        <w:t>大数据赋能</w:t>
      </w:r>
    </w:p>
    <w:p w14:paraId="7ADADC50">
      <w:pPr>
        <w:pStyle w:val="3"/>
        <w:ind w:firstLine="480"/>
        <w:rPr>
          <w:rFonts w:hint="eastAsia"/>
          <w:highlight w:val="none"/>
        </w:rPr>
      </w:pPr>
      <w:r>
        <w:rPr>
          <w:rFonts w:hint="eastAsia"/>
          <w:highlight w:val="none"/>
        </w:rPr>
        <w:t>应支持利用区级大数据能力为项目建设提供数据支撑，支持数据申请、数据共享与赋能应用的登记管理，提升项目数据应用水平。</w:t>
      </w:r>
    </w:p>
    <w:p w14:paraId="3942F016">
      <w:pPr>
        <w:pStyle w:val="7"/>
        <w:rPr>
          <w:rFonts w:hint="eastAsia"/>
          <w:highlight w:val="none"/>
        </w:rPr>
      </w:pPr>
      <w:r>
        <w:rPr>
          <w:rFonts w:hint="eastAsia" w:ascii="Times New Roman" w:hAnsi="Times New Roman"/>
          <w:highlight w:val="none"/>
        </w:rPr>
        <w:t>应用效能评估</w:t>
      </w:r>
    </w:p>
    <w:p w14:paraId="58013BC1">
      <w:pPr>
        <w:pStyle w:val="3"/>
        <w:ind w:firstLine="480"/>
        <w:rPr>
          <w:rFonts w:hint="eastAsia"/>
          <w:highlight w:val="none"/>
        </w:rPr>
      </w:pPr>
      <w:r>
        <w:rPr>
          <w:rFonts w:hint="eastAsia"/>
          <w:highlight w:val="none"/>
        </w:rPr>
        <w:t>应支持对已建成数字化项目的应用效能进行评估，通过数据指标采集与分析，评估项目的使用率、成效与投资回报，为项目管理决策提供依据。</w:t>
      </w:r>
    </w:p>
    <w:p w14:paraId="425E4B0E">
      <w:pPr>
        <w:pStyle w:val="6"/>
        <w:rPr>
          <w:rFonts w:hint="eastAsia"/>
          <w:highlight w:val="none"/>
        </w:rPr>
      </w:pPr>
      <w:r>
        <w:rPr>
          <w:rFonts w:hint="eastAsia" w:ascii="Times New Roman" w:hAnsi="Times New Roman"/>
          <w:highlight w:val="none"/>
        </w:rPr>
        <w:t>干部亲属经商办企业信息采集</w:t>
      </w:r>
    </w:p>
    <w:p w14:paraId="3672402A">
      <w:pPr>
        <w:pStyle w:val="3"/>
        <w:ind w:firstLine="480"/>
        <w:rPr>
          <w:rFonts w:hint="eastAsia"/>
          <w:highlight w:val="none"/>
        </w:rPr>
      </w:pPr>
      <w:r>
        <w:rPr>
          <w:rFonts w:hint="eastAsia"/>
          <w:highlight w:val="none"/>
        </w:rPr>
        <w:t>支撑干部亲属经商办企业信息规范采集与汇总，通过信息化手段提升填报效率与数据质量，为组织监督提供数据支撑。</w:t>
      </w:r>
    </w:p>
    <w:p w14:paraId="58144A32">
      <w:pPr>
        <w:pStyle w:val="7"/>
        <w:rPr>
          <w:rFonts w:hint="eastAsia"/>
          <w:highlight w:val="none"/>
        </w:rPr>
      </w:pPr>
      <w:r>
        <w:rPr>
          <w:rFonts w:hint="eastAsia" w:ascii="Times New Roman" w:hAnsi="Times New Roman"/>
          <w:highlight w:val="none"/>
        </w:rPr>
        <w:t>信息采集表单</w:t>
      </w:r>
    </w:p>
    <w:p w14:paraId="1D6F502F">
      <w:pPr>
        <w:pStyle w:val="3"/>
        <w:ind w:firstLine="480"/>
        <w:rPr>
          <w:rFonts w:hint="eastAsia"/>
          <w:highlight w:val="none"/>
        </w:rPr>
      </w:pPr>
      <w:r>
        <w:rPr>
          <w:rFonts w:hint="eastAsia"/>
          <w:highlight w:val="none"/>
        </w:rPr>
        <w:t>应提供规范的干部亲属经商办企业信息采集表单，支持在线填报、数据校验与提交，字段设置满足填报纪律要求，保障信息采集的完整与准确。</w:t>
      </w:r>
    </w:p>
    <w:p w14:paraId="5263E3C1">
      <w:pPr>
        <w:pStyle w:val="7"/>
        <w:rPr>
          <w:rFonts w:hint="eastAsia"/>
          <w:highlight w:val="none"/>
        </w:rPr>
      </w:pPr>
      <w:r>
        <w:rPr>
          <w:rFonts w:hint="eastAsia" w:ascii="Times New Roman" w:hAnsi="Times New Roman"/>
          <w:highlight w:val="none"/>
        </w:rPr>
        <w:t>信息采集汇总</w:t>
      </w:r>
    </w:p>
    <w:p w14:paraId="5D25444B">
      <w:pPr>
        <w:pStyle w:val="3"/>
        <w:ind w:firstLine="480"/>
        <w:rPr>
          <w:rFonts w:hint="eastAsia"/>
          <w:highlight w:val="none"/>
        </w:rPr>
      </w:pPr>
      <w:r>
        <w:rPr>
          <w:rFonts w:hint="eastAsia"/>
          <w:highlight w:val="none"/>
        </w:rPr>
        <w:t>应支持对采集到的干部亲属经商办企业信息进行自动汇总与比对，形成汇总清单，支撑信息核查与综合分析。</w:t>
      </w:r>
    </w:p>
    <w:p w14:paraId="79B9E1A3">
      <w:pPr>
        <w:pStyle w:val="7"/>
        <w:rPr>
          <w:rFonts w:hint="eastAsia"/>
          <w:highlight w:val="none"/>
        </w:rPr>
      </w:pPr>
      <w:r>
        <w:rPr>
          <w:rFonts w:hint="eastAsia" w:ascii="Times New Roman" w:hAnsi="Times New Roman"/>
          <w:highlight w:val="none"/>
        </w:rPr>
        <w:t>信息采集台账</w:t>
      </w:r>
    </w:p>
    <w:p w14:paraId="6B1215BC">
      <w:pPr>
        <w:pStyle w:val="3"/>
        <w:ind w:firstLine="480"/>
        <w:rPr>
          <w:rFonts w:hint="eastAsia"/>
          <w:highlight w:val="none"/>
        </w:rPr>
      </w:pPr>
      <w:r>
        <w:rPr>
          <w:rFonts w:hint="eastAsia"/>
          <w:highlight w:val="none"/>
        </w:rPr>
        <w:t>应提供信息采集台账管理，支持按单位、人员等维度建档立账，记录填报情况与核查结果，保障信息可查可溯。</w:t>
      </w:r>
    </w:p>
    <w:p w14:paraId="2FD8C050">
      <w:pPr>
        <w:pStyle w:val="6"/>
        <w:rPr>
          <w:rFonts w:hint="eastAsia"/>
          <w:highlight w:val="none"/>
        </w:rPr>
      </w:pPr>
      <w:r>
        <w:rPr>
          <w:rFonts w:hint="eastAsia" w:ascii="Times New Roman" w:hAnsi="Times New Roman"/>
          <w:highlight w:val="none"/>
        </w:rPr>
        <w:t>智慧党校</w:t>
      </w:r>
    </w:p>
    <w:p w14:paraId="29569003">
      <w:pPr>
        <w:pStyle w:val="3"/>
        <w:ind w:firstLine="480"/>
        <w:rPr>
          <w:rFonts w:hint="eastAsia"/>
          <w:highlight w:val="none"/>
        </w:rPr>
      </w:pPr>
      <w:r>
        <w:rPr>
          <w:rFonts w:hint="eastAsia"/>
          <w:highlight w:val="none"/>
        </w:rPr>
        <w:t>围绕党校干部教育培训业务，建设覆盖教学管理、班主任管理、学员管理、教学资源、考勤与数字驾驶舱的智慧党校综合管理系统，实现党校教学培训全流程数字化。</w:t>
      </w:r>
    </w:p>
    <w:p w14:paraId="78DF797C">
      <w:pPr>
        <w:pStyle w:val="7"/>
        <w:rPr>
          <w:rFonts w:hint="eastAsia"/>
          <w:highlight w:val="none"/>
        </w:rPr>
      </w:pPr>
      <w:r>
        <w:rPr>
          <w:rFonts w:hint="eastAsia" w:ascii="Times New Roman" w:hAnsi="Times New Roman"/>
          <w:highlight w:val="none"/>
        </w:rPr>
        <w:t>教学管理系统</w:t>
      </w:r>
    </w:p>
    <w:p w14:paraId="3044854E">
      <w:pPr>
        <w:pStyle w:val="3"/>
        <w:ind w:firstLine="480"/>
        <w:rPr>
          <w:rFonts w:hint="eastAsia"/>
          <w:highlight w:val="none"/>
        </w:rPr>
      </w:pPr>
      <w:r>
        <w:rPr>
          <w:rFonts w:hint="eastAsia"/>
          <w:highlight w:val="none"/>
        </w:rPr>
        <w:t>应提供面向教务与教师的教学管理能力，覆盖班次管理、教学计划、课表管理、作业管理、总结报告、教师评学、教学评估、教学指导、校外授课管理、教务综合统计与教学设置等功能，支持主体班次从开班到结业的教务组织与教学质量跟踪管理。</w:t>
      </w:r>
    </w:p>
    <w:p w14:paraId="4FBAD388">
      <w:pPr>
        <w:pStyle w:val="7"/>
        <w:rPr>
          <w:rFonts w:hint="eastAsia"/>
          <w:highlight w:val="none"/>
        </w:rPr>
      </w:pPr>
      <w:r>
        <w:rPr>
          <w:rFonts w:hint="eastAsia" w:ascii="Times New Roman" w:hAnsi="Times New Roman"/>
          <w:highlight w:val="none"/>
        </w:rPr>
        <w:t>班主任管理系统</w:t>
      </w:r>
    </w:p>
    <w:p w14:paraId="4D51EC36">
      <w:pPr>
        <w:pStyle w:val="3"/>
        <w:ind w:firstLine="480"/>
        <w:rPr>
          <w:rFonts w:hint="eastAsia"/>
          <w:highlight w:val="none"/>
        </w:rPr>
      </w:pPr>
      <w:r>
        <w:rPr>
          <w:rFonts w:hint="eastAsia"/>
          <w:highlight w:val="none"/>
        </w:rPr>
        <w:t>应提供面向班主任的班级管理能力，覆盖学前管理（两带来提交、报到情况、照片审核、纪律承诺、健康情况）、学员管理（学员信息维护与审核、班级分组、班委设置、优秀学员、学籍统计）、日常管理（课表、考勤、通讯录、公告、请假审核、外出报备）、作业管理（布置、批阅分配、代交）与评价管理等功能，支撑班主任对班级和学员的全面管理。</w:t>
      </w:r>
    </w:p>
    <w:p w14:paraId="5ADFAB5B">
      <w:pPr>
        <w:pStyle w:val="7"/>
        <w:rPr>
          <w:rFonts w:hint="eastAsia"/>
          <w:highlight w:val="none"/>
        </w:rPr>
      </w:pPr>
      <w:r>
        <w:rPr>
          <w:rFonts w:hint="eastAsia" w:ascii="Times New Roman" w:hAnsi="Times New Roman"/>
          <w:highlight w:val="none"/>
        </w:rPr>
        <w:t>学员管理系统</w:t>
      </w:r>
    </w:p>
    <w:p w14:paraId="51BDB6CC">
      <w:pPr>
        <w:pStyle w:val="3"/>
        <w:ind w:firstLine="480"/>
        <w:rPr>
          <w:rFonts w:hint="eastAsia"/>
          <w:highlight w:val="none"/>
        </w:rPr>
      </w:pPr>
      <w:r>
        <w:rPr>
          <w:rFonts w:hint="eastAsia"/>
          <w:highlight w:val="none"/>
        </w:rPr>
        <w:t>应提供面向学员的学习管理门户，整合个人首页、班级公告、我的课表、教学评估、培训记录、我的考勤、三带来、作业提交、请假申请、班级相册、教学资料、通讯录、入学须知、生活指南及班级职责等功能，为学员在校学习生活提供一站式服务。</w:t>
      </w:r>
    </w:p>
    <w:p w14:paraId="761A89CC">
      <w:pPr>
        <w:pStyle w:val="7"/>
        <w:rPr>
          <w:rFonts w:hint="eastAsia"/>
          <w:highlight w:val="none"/>
        </w:rPr>
      </w:pPr>
      <w:r>
        <w:rPr>
          <w:rFonts w:hint="eastAsia" w:ascii="Times New Roman" w:hAnsi="Times New Roman"/>
          <w:highlight w:val="none"/>
        </w:rPr>
        <w:t>教学资源管理系统</w:t>
      </w:r>
    </w:p>
    <w:p w14:paraId="73254134">
      <w:pPr>
        <w:pStyle w:val="3"/>
        <w:ind w:firstLine="480"/>
        <w:rPr>
          <w:rFonts w:hint="eastAsia"/>
          <w:highlight w:val="none"/>
        </w:rPr>
      </w:pPr>
      <w:r>
        <w:rPr>
          <w:rFonts w:hint="eastAsia"/>
          <w:highlight w:val="none"/>
        </w:rPr>
        <w:t>应提供统一的教学资源管理能力，建设课程库、师资库、案例库、基地库与学员库，实现教学资源的集中采集、分类管理、检索调用与共享使用，为党校教学提供资源支撑。</w:t>
      </w:r>
    </w:p>
    <w:p w14:paraId="77436FE2">
      <w:pPr>
        <w:pStyle w:val="7"/>
        <w:rPr>
          <w:rFonts w:hint="eastAsia"/>
          <w:highlight w:val="none"/>
        </w:rPr>
      </w:pPr>
      <w:r>
        <w:rPr>
          <w:rFonts w:hint="eastAsia" w:ascii="Times New Roman" w:hAnsi="Times New Roman"/>
          <w:highlight w:val="none"/>
        </w:rPr>
        <w:t>考勤管理系统</w:t>
      </w:r>
    </w:p>
    <w:p w14:paraId="71282503">
      <w:pPr>
        <w:pStyle w:val="3"/>
        <w:ind w:firstLine="480"/>
        <w:rPr>
          <w:rFonts w:hint="eastAsia"/>
          <w:highlight w:val="none"/>
        </w:rPr>
      </w:pPr>
      <w:r>
        <w:rPr>
          <w:rFonts w:hint="eastAsia"/>
          <w:highlight w:val="none"/>
        </w:rPr>
        <w:t>应提供考勤规则设置、考勤记录管理、考勤异常处理、考勤统计分析、假期管理、提醒与通知、权限管理及数据导入导出等能力，支持学员及教职员工考勤的规范化管理，并可与课堂打卡等设备联动。</w:t>
      </w:r>
    </w:p>
    <w:p w14:paraId="2C20E44B">
      <w:pPr>
        <w:pStyle w:val="7"/>
        <w:rPr>
          <w:rFonts w:hint="eastAsia"/>
          <w:highlight w:val="none"/>
        </w:rPr>
      </w:pPr>
      <w:r>
        <w:rPr>
          <w:rFonts w:hint="eastAsia" w:ascii="Times New Roman" w:hAnsi="Times New Roman"/>
          <w:highlight w:val="none"/>
        </w:rPr>
        <w:t>数字驾驶舱系统</w:t>
      </w:r>
    </w:p>
    <w:p w14:paraId="04E2E2FF">
      <w:pPr>
        <w:pStyle w:val="3"/>
        <w:ind w:firstLine="480"/>
        <w:rPr>
          <w:rFonts w:hint="eastAsia"/>
          <w:highlight w:val="none"/>
        </w:rPr>
      </w:pPr>
      <w:r>
        <w:rPr>
          <w:rFonts w:hint="eastAsia"/>
          <w:highlight w:val="none"/>
        </w:rPr>
        <w:t>应提供面向党校管理层的数字驾驶舱，支持统计查询、教务数据分析、教学资源数据分析与可视化展示，以图表化方式直观呈现党校办学培训运行情况，辅助科学决策。</w:t>
      </w:r>
    </w:p>
    <w:p w14:paraId="0F2B0AA2">
      <w:pPr>
        <w:pStyle w:val="6"/>
        <w:rPr>
          <w:rFonts w:hint="eastAsia"/>
          <w:highlight w:val="none"/>
        </w:rPr>
      </w:pPr>
      <w:r>
        <w:rPr>
          <w:rFonts w:hint="eastAsia" w:ascii="Times New Roman" w:hAnsi="Times New Roman"/>
          <w:highlight w:val="none"/>
        </w:rPr>
        <w:t>村居“两委”班子画像</w:t>
      </w:r>
    </w:p>
    <w:p w14:paraId="0143B2F6">
      <w:pPr>
        <w:pStyle w:val="3"/>
        <w:ind w:firstLine="480"/>
        <w:rPr>
          <w:rFonts w:hint="eastAsia"/>
          <w:highlight w:val="none"/>
        </w:rPr>
      </w:pPr>
      <w:r>
        <w:rPr>
          <w:rFonts w:hint="eastAsia"/>
          <w:highlight w:val="none"/>
        </w:rPr>
        <w:t>依托大数据手段，建设村居“两委”班子画像系统，通过数据采集、模型构建与可视化展示，客观呈现村居班子及成员综合情况，服务基层治理与班子建设。</w:t>
      </w:r>
    </w:p>
    <w:p w14:paraId="1D352D22">
      <w:pPr>
        <w:pStyle w:val="7"/>
        <w:rPr>
          <w:rFonts w:hint="eastAsia"/>
          <w:highlight w:val="none"/>
        </w:rPr>
      </w:pPr>
      <w:r>
        <w:rPr>
          <w:rFonts w:hint="eastAsia" w:ascii="Times New Roman" w:hAnsi="Times New Roman"/>
          <w:highlight w:val="none"/>
        </w:rPr>
        <w:t>数据采集系统开发</w:t>
      </w:r>
    </w:p>
    <w:p w14:paraId="1C1139D0">
      <w:pPr>
        <w:pStyle w:val="3"/>
        <w:ind w:firstLine="480"/>
        <w:rPr>
          <w:rFonts w:hint="eastAsia"/>
          <w:highlight w:val="none"/>
        </w:rPr>
      </w:pPr>
      <w:r>
        <w:rPr>
          <w:rFonts w:hint="eastAsia"/>
          <w:highlight w:val="none"/>
        </w:rPr>
        <w:t>应开发数据采集系统，搭建与乡镇、村居的数据采集接口，实现村居班子及成员基础信息、履职情况等多源数据的采集与汇聚，保障画像数据来源。</w:t>
      </w:r>
    </w:p>
    <w:p w14:paraId="5BE391FA">
      <w:pPr>
        <w:pStyle w:val="7"/>
        <w:rPr>
          <w:rFonts w:hint="eastAsia"/>
          <w:highlight w:val="none"/>
        </w:rPr>
      </w:pPr>
      <w:r>
        <w:rPr>
          <w:rFonts w:hint="eastAsia" w:ascii="Times New Roman" w:hAnsi="Times New Roman"/>
          <w:highlight w:val="none"/>
        </w:rPr>
        <w:t>画像模型构建</w:t>
      </w:r>
    </w:p>
    <w:p w14:paraId="446408DC">
      <w:pPr>
        <w:pStyle w:val="3"/>
        <w:ind w:firstLine="480"/>
        <w:rPr>
          <w:rFonts w:hint="eastAsia"/>
          <w:highlight w:val="none"/>
        </w:rPr>
      </w:pPr>
      <w:r>
        <w:rPr>
          <w:rFonts w:hint="eastAsia"/>
          <w:highlight w:val="none"/>
        </w:rPr>
        <w:t>应搭建画像指标体系并构建画像模型，从多个维度对村居班子整体及成员个体进行量化刻画，形成结构化的画像标签与评价结果。</w:t>
      </w:r>
    </w:p>
    <w:p w14:paraId="4CB4CAC5">
      <w:pPr>
        <w:pStyle w:val="7"/>
        <w:rPr>
          <w:rFonts w:hint="eastAsia"/>
          <w:highlight w:val="none"/>
        </w:rPr>
      </w:pPr>
      <w:r>
        <w:rPr>
          <w:rFonts w:hint="eastAsia" w:ascii="Times New Roman" w:hAnsi="Times New Roman"/>
          <w:highlight w:val="none"/>
        </w:rPr>
        <w:t>可视化展示台账开发</w:t>
      </w:r>
    </w:p>
    <w:p w14:paraId="4ED3C227">
      <w:pPr>
        <w:pStyle w:val="3"/>
        <w:ind w:firstLine="480"/>
        <w:rPr>
          <w:rFonts w:hint="eastAsia"/>
          <w:highlight w:val="none"/>
        </w:rPr>
      </w:pPr>
      <w:r>
        <w:rPr>
          <w:rFonts w:hint="eastAsia"/>
          <w:highlight w:val="none"/>
        </w:rPr>
        <w:t>应开发可视化展示界面与台账，以图表、详情页等形式直观呈现村居班子画像结果，支持按乡镇、村居逐级查看与比对，并形成可导出的画像台账。</w:t>
      </w:r>
    </w:p>
    <w:p w14:paraId="2CCC4329">
      <w:pPr>
        <w:pStyle w:val="6"/>
        <w:rPr>
          <w:rFonts w:hint="eastAsia"/>
          <w:highlight w:val="none"/>
        </w:rPr>
      </w:pPr>
      <w:r>
        <w:rPr>
          <w:rFonts w:hint="eastAsia" w:ascii="Times New Roman" w:hAnsi="Times New Roman"/>
          <w:highlight w:val="none"/>
        </w:rPr>
        <w:t>入企通</w:t>
      </w:r>
    </w:p>
    <w:p w14:paraId="33395270">
      <w:pPr>
        <w:pStyle w:val="3"/>
        <w:ind w:firstLine="480"/>
        <w:rPr>
          <w:rFonts w:hint="eastAsia"/>
          <w:highlight w:val="none"/>
        </w:rPr>
      </w:pPr>
      <w:r>
        <w:rPr>
          <w:rFonts w:hint="eastAsia"/>
          <w:highlight w:val="none"/>
        </w:rPr>
        <w:t>建设规范入企检查服务应用，打通PC端与移动端，支持涉企信息录入、备案登记与统计撮合，推动入企服务规范化、便利化。</w:t>
      </w:r>
    </w:p>
    <w:p w14:paraId="391C64A9">
      <w:pPr>
        <w:pStyle w:val="7"/>
        <w:rPr>
          <w:rFonts w:hint="eastAsia"/>
          <w:highlight w:val="none"/>
        </w:rPr>
      </w:pPr>
      <w:r>
        <w:rPr>
          <w:rFonts w:hint="eastAsia" w:ascii="Times New Roman" w:hAnsi="Times New Roman"/>
          <w:highlight w:val="none"/>
        </w:rPr>
        <w:t>PC端-企业信息录入</w:t>
      </w:r>
    </w:p>
    <w:p w14:paraId="114E764C">
      <w:pPr>
        <w:pStyle w:val="3"/>
        <w:ind w:firstLine="480"/>
        <w:rPr>
          <w:rFonts w:hint="eastAsia"/>
          <w:highlight w:val="none"/>
        </w:rPr>
      </w:pPr>
      <w:r>
        <w:rPr>
          <w:rFonts w:hint="eastAsia"/>
          <w:highlight w:val="none"/>
        </w:rPr>
        <w:t>应在PC端支持企业基础信息的录入与维护，为入企服务建立企业信息底账，保障企业数据的完整准确。</w:t>
      </w:r>
    </w:p>
    <w:p w14:paraId="0A1CFF5B">
      <w:pPr>
        <w:pStyle w:val="7"/>
        <w:rPr>
          <w:rFonts w:hint="eastAsia"/>
          <w:highlight w:val="none"/>
        </w:rPr>
      </w:pPr>
      <w:r>
        <w:rPr>
          <w:rFonts w:hint="eastAsia" w:ascii="Times New Roman" w:hAnsi="Times New Roman"/>
          <w:highlight w:val="none"/>
        </w:rPr>
        <w:t>PC端-信息备案登记</w:t>
      </w:r>
    </w:p>
    <w:p w14:paraId="157CECF3">
      <w:pPr>
        <w:pStyle w:val="3"/>
        <w:ind w:firstLine="480"/>
        <w:rPr>
          <w:rFonts w:hint="eastAsia"/>
          <w:highlight w:val="none"/>
        </w:rPr>
      </w:pPr>
      <w:r>
        <w:rPr>
          <w:rFonts w:hint="eastAsia"/>
          <w:highlight w:val="none"/>
        </w:rPr>
        <w:t>应在PC端支持入企活动与检查信息的备案登记，登记入企单位、人员、事项与时间，实现入企行为留痕备案。</w:t>
      </w:r>
    </w:p>
    <w:p w14:paraId="749AE42A">
      <w:pPr>
        <w:pStyle w:val="7"/>
        <w:rPr>
          <w:rFonts w:hint="eastAsia"/>
          <w:highlight w:val="none"/>
        </w:rPr>
      </w:pPr>
      <w:r>
        <w:rPr>
          <w:rFonts w:hint="eastAsia" w:ascii="Times New Roman" w:hAnsi="Times New Roman"/>
          <w:highlight w:val="none"/>
        </w:rPr>
        <w:t>PC端-统计分析功能、联合入企撮合功能</w:t>
      </w:r>
    </w:p>
    <w:p w14:paraId="753020CE">
      <w:pPr>
        <w:pStyle w:val="3"/>
        <w:ind w:firstLine="480"/>
        <w:rPr>
          <w:rFonts w:hint="eastAsia"/>
          <w:highlight w:val="none"/>
        </w:rPr>
      </w:pPr>
      <w:r>
        <w:rPr>
          <w:rFonts w:hint="eastAsia"/>
          <w:highlight w:val="none"/>
        </w:rPr>
        <w:t>应在PC端提供统计分析功能，支持对入企频次、事项、企业覆盖等进行分析统计；并支持联合入企撮合，统筹多部门入企需求，减少重复入企、多头入企。</w:t>
      </w:r>
    </w:p>
    <w:p w14:paraId="52678149">
      <w:pPr>
        <w:pStyle w:val="7"/>
        <w:rPr>
          <w:rFonts w:hint="eastAsia"/>
          <w:highlight w:val="none"/>
        </w:rPr>
      </w:pPr>
      <w:r>
        <w:rPr>
          <w:rFonts w:hint="eastAsia" w:ascii="Times New Roman" w:hAnsi="Times New Roman"/>
          <w:highlight w:val="none"/>
        </w:rPr>
        <w:t>移动端-信息备案登记</w:t>
      </w:r>
    </w:p>
    <w:p w14:paraId="67D7B07F">
      <w:pPr>
        <w:pStyle w:val="3"/>
        <w:ind w:firstLine="480"/>
        <w:rPr>
          <w:rFonts w:hint="eastAsia"/>
          <w:highlight w:val="none"/>
        </w:rPr>
      </w:pPr>
      <w:r>
        <w:rPr>
          <w:rFonts w:hint="eastAsia"/>
          <w:highlight w:val="none"/>
        </w:rPr>
        <w:t>应在移动端支持入企检查信息的现场备案登记，方便入企人员及时填报，实现移动化、实时化的入企管理。</w:t>
      </w:r>
    </w:p>
    <w:p w14:paraId="589AF651">
      <w:pPr>
        <w:pStyle w:val="7"/>
        <w:rPr>
          <w:rFonts w:hint="eastAsia"/>
          <w:highlight w:val="none"/>
        </w:rPr>
      </w:pPr>
      <w:r>
        <w:rPr>
          <w:rFonts w:hint="eastAsia" w:ascii="Times New Roman" w:hAnsi="Times New Roman"/>
          <w:highlight w:val="none"/>
        </w:rPr>
        <w:t>移动端-入企卡展示</w:t>
      </w:r>
    </w:p>
    <w:p w14:paraId="4BE856C5">
      <w:pPr>
        <w:pStyle w:val="3"/>
        <w:ind w:firstLine="480"/>
        <w:rPr>
          <w:rFonts w:hint="eastAsia"/>
          <w:highlight w:val="none"/>
        </w:rPr>
      </w:pPr>
      <w:r>
        <w:rPr>
          <w:rFonts w:hint="eastAsia"/>
          <w:highlight w:val="none"/>
        </w:rPr>
        <w:t>应在移动端支持入企卡展示，入企人员到企时可出示电子入企凭证，供企业核验，规范入企行为、减轻企业负担。</w:t>
      </w:r>
    </w:p>
    <w:p w14:paraId="2B559923">
      <w:pPr>
        <w:pStyle w:val="6"/>
        <w:rPr>
          <w:rFonts w:hint="eastAsia"/>
          <w:highlight w:val="none"/>
        </w:rPr>
      </w:pPr>
      <w:r>
        <w:rPr>
          <w:rFonts w:hint="eastAsia" w:ascii="Times New Roman" w:hAnsi="Times New Roman"/>
          <w:highlight w:val="none"/>
        </w:rPr>
        <w:t>人大代表业务应用系统</w:t>
      </w:r>
    </w:p>
    <w:p w14:paraId="0DE097D4">
      <w:pPr>
        <w:pStyle w:val="3"/>
        <w:ind w:firstLine="480"/>
        <w:rPr>
          <w:rFonts w:hint="eastAsia"/>
          <w:highlight w:val="none"/>
        </w:rPr>
      </w:pPr>
      <w:r>
        <w:rPr>
          <w:rFonts w:hint="eastAsia"/>
          <w:highlight w:val="none"/>
        </w:rPr>
        <w:t>面向人大代表履职与人大机关业务，建设覆盖PC端业务平台与移动端应用平台的人大代表业务应用系统，支撑代表建议办理、基层活动、人事任免、履职管理等核心业务的数字化运行。</w:t>
      </w:r>
    </w:p>
    <w:p w14:paraId="7C2D57C2">
      <w:pPr>
        <w:pStyle w:val="7"/>
        <w:rPr>
          <w:rFonts w:hint="eastAsia"/>
          <w:highlight w:val="none"/>
        </w:rPr>
      </w:pPr>
      <w:r>
        <w:rPr>
          <w:rFonts w:hint="eastAsia" w:ascii="Times New Roman" w:hAnsi="Times New Roman"/>
          <w:highlight w:val="none"/>
        </w:rPr>
        <w:t>PC端（业务平台）</w:t>
      </w:r>
    </w:p>
    <w:p w14:paraId="728CB312">
      <w:pPr>
        <w:pStyle w:val="3"/>
        <w:ind w:firstLine="480"/>
        <w:rPr>
          <w:rFonts w:hint="eastAsia"/>
          <w:highlight w:val="none"/>
        </w:rPr>
      </w:pPr>
      <w:r>
        <w:rPr>
          <w:rFonts w:hint="eastAsia"/>
          <w:highlight w:val="none"/>
        </w:rPr>
        <w:t>建设面向人大机关及代表工作管理人员的PC端业务平台，统一承载代表建议、基层活动、履职管理、代表信息、人事任免、统计分析、管理中心及后台管理等业务应用。</w:t>
      </w:r>
    </w:p>
    <w:p w14:paraId="1ABEB4A6">
      <w:pPr>
        <w:pStyle w:val="8"/>
        <w:rPr>
          <w:highlight w:val="none"/>
        </w:rPr>
      </w:pPr>
      <w:r>
        <w:rPr>
          <w:rFonts w:hint="eastAsia" w:ascii="Times New Roman" w:hAnsi="Times New Roman"/>
          <w:highlight w:val="none"/>
        </w:rPr>
        <w:t>首页</w:t>
      </w:r>
    </w:p>
    <w:p w14:paraId="21250891">
      <w:pPr>
        <w:pStyle w:val="3"/>
        <w:ind w:firstLine="480"/>
        <w:rPr>
          <w:rFonts w:hint="eastAsia"/>
          <w:highlight w:val="none"/>
        </w:rPr>
      </w:pPr>
      <w:r>
        <w:rPr>
          <w:rFonts w:hint="eastAsia"/>
          <w:highlight w:val="none"/>
        </w:rPr>
        <w:t>应提供PC端业务平台统一工作门户，集成待办消息提醒、待办工作事宜栏目及代表工作通讯录等，支持消息提醒配置，为业务人员提供集中工作入口。</w:t>
      </w:r>
    </w:p>
    <w:p w14:paraId="24C6685C">
      <w:pPr>
        <w:pStyle w:val="8"/>
        <w:rPr>
          <w:highlight w:val="none"/>
        </w:rPr>
      </w:pPr>
      <w:r>
        <w:rPr>
          <w:rFonts w:hint="eastAsia" w:ascii="Times New Roman" w:hAnsi="Times New Roman"/>
          <w:highlight w:val="none"/>
        </w:rPr>
        <w:t>人大建议</w:t>
      </w:r>
    </w:p>
    <w:p w14:paraId="6A9E6869">
      <w:pPr>
        <w:pStyle w:val="3"/>
        <w:ind w:firstLine="480"/>
        <w:rPr>
          <w:rFonts w:hint="eastAsia"/>
          <w:highlight w:val="none"/>
        </w:rPr>
      </w:pPr>
      <w:r>
        <w:rPr>
          <w:rFonts w:hint="eastAsia"/>
          <w:highlight w:val="none"/>
        </w:rPr>
        <w:t>应支持人大代表建议全流程办理管理，提供代表建议提交、查询、审查、编号、交办、分发、办理、反馈、办结及延期办理审批等功能，实现代表建议办理全程留痕、闭环可溯。</w:t>
      </w:r>
    </w:p>
    <w:p w14:paraId="5A187FED">
      <w:pPr>
        <w:pStyle w:val="8"/>
        <w:rPr>
          <w:highlight w:val="none"/>
        </w:rPr>
      </w:pPr>
      <w:r>
        <w:rPr>
          <w:rFonts w:hint="eastAsia" w:ascii="Times New Roman" w:hAnsi="Times New Roman"/>
          <w:highlight w:val="none"/>
        </w:rPr>
        <w:t>基层活动</w:t>
      </w:r>
    </w:p>
    <w:p w14:paraId="78F083A2">
      <w:pPr>
        <w:pStyle w:val="3"/>
        <w:ind w:firstLine="480"/>
        <w:rPr>
          <w:rFonts w:hint="eastAsia"/>
          <w:highlight w:val="none"/>
        </w:rPr>
      </w:pPr>
      <w:r>
        <w:rPr>
          <w:rFonts w:hint="eastAsia"/>
          <w:highlight w:val="none"/>
        </w:rPr>
        <w:t>应支持人大代表基层站点与基层活动管理，提供基层站点信息管理、基层站点活动管理、基层建议采集管理、基层建议交办管理、基层建议承办管理及基层建议办结处理等功能，服务代表密切联系群众。</w:t>
      </w:r>
    </w:p>
    <w:p w14:paraId="3DF6C434">
      <w:pPr>
        <w:pStyle w:val="8"/>
        <w:rPr>
          <w:highlight w:val="none"/>
        </w:rPr>
      </w:pPr>
      <w:r>
        <w:rPr>
          <w:rFonts w:hint="eastAsia" w:ascii="Times New Roman" w:hAnsi="Times New Roman"/>
          <w:highlight w:val="none"/>
        </w:rPr>
        <w:t>履职管理</w:t>
      </w:r>
    </w:p>
    <w:p w14:paraId="3ED1DD87">
      <w:pPr>
        <w:pStyle w:val="3"/>
        <w:ind w:firstLine="480"/>
        <w:rPr>
          <w:rFonts w:hint="eastAsia"/>
          <w:highlight w:val="none"/>
        </w:rPr>
      </w:pPr>
      <w:r>
        <w:rPr>
          <w:rFonts w:hint="eastAsia"/>
          <w:highlight w:val="none"/>
        </w:rPr>
        <w:t>应提供代表履职管理能力，支持履职活动管理与代表之家管理，记录代表参加活动、联系群众等履职情况，为履职考核与积分管理提供依据。</w:t>
      </w:r>
    </w:p>
    <w:p w14:paraId="142C4755">
      <w:pPr>
        <w:pStyle w:val="8"/>
        <w:rPr>
          <w:highlight w:val="none"/>
        </w:rPr>
      </w:pPr>
      <w:r>
        <w:rPr>
          <w:rFonts w:hint="eastAsia" w:ascii="Times New Roman" w:hAnsi="Times New Roman"/>
          <w:highlight w:val="none"/>
        </w:rPr>
        <w:t>代表信息管理</w:t>
      </w:r>
    </w:p>
    <w:p w14:paraId="01B93FB4">
      <w:pPr>
        <w:pStyle w:val="3"/>
        <w:ind w:firstLine="480"/>
        <w:rPr>
          <w:rFonts w:hint="eastAsia"/>
          <w:highlight w:val="none"/>
        </w:rPr>
      </w:pPr>
      <w:r>
        <w:rPr>
          <w:rFonts w:hint="eastAsia"/>
          <w:highlight w:val="none"/>
        </w:rPr>
        <w:t>应支持人大代表信息的管理维护，涵盖代表基本档案、届次、分组及联系信息等，实现代表信息的集中规范管理。</w:t>
      </w:r>
    </w:p>
    <w:p w14:paraId="3ACD9C3B">
      <w:pPr>
        <w:pStyle w:val="8"/>
        <w:rPr>
          <w:highlight w:val="none"/>
        </w:rPr>
      </w:pPr>
      <w:r>
        <w:rPr>
          <w:rFonts w:hint="eastAsia" w:ascii="Times New Roman" w:hAnsi="Times New Roman"/>
          <w:highlight w:val="none"/>
        </w:rPr>
        <w:t>人事任免</w:t>
      </w:r>
    </w:p>
    <w:p w14:paraId="7CEF53FB">
      <w:pPr>
        <w:pStyle w:val="3"/>
        <w:ind w:firstLine="480"/>
        <w:rPr>
          <w:rFonts w:hint="eastAsia"/>
          <w:highlight w:val="none"/>
        </w:rPr>
      </w:pPr>
      <w:r>
        <w:rPr>
          <w:rFonts w:hint="eastAsia"/>
          <w:highlight w:val="none"/>
        </w:rPr>
        <w:t>应支持人事任免业务管理，提供任免类型管理、任免信息管理与人员信息管理等功能，服务人大依法行使任免权。</w:t>
      </w:r>
    </w:p>
    <w:p w14:paraId="0475BF25">
      <w:pPr>
        <w:pStyle w:val="8"/>
        <w:rPr>
          <w:highlight w:val="none"/>
        </w:rPr>
      </w:pPr>
      <w:r>
        <w:rPr>
          <w:rFonts w:hint="eastAsia" w:ascii="Times New Roman" w:hAnsi="Times New Roman"/>
          <w:highlight w:val="none"/>
        </w:rPr>
        <w:t>统计分析</w:t>
      </w:r>
    </w:p>
    <w:p w14:paraId="3432A4C4">
      <w:pPr>
        <w:pStyle w:val="3"/>
        <w:ind w:firstLine="480"/>
        <w:rPr>
          <w:rFonts w:hint="eastAsia"/>
          <w:highlight w:val="none"/>
        </w:rPr>
      </w:pPr>
      <w:r>
        <w:rPr>
          <w:rFonts w:hint="eastAsia"/>
          <w:highlight w:val="none"/>
        </w:rPr>
        <w:t>应支持人大业务统计分析，提供人大建议统计、人事任免统计等功能，可按维度生成统计报表，辅助业务分析与决策。</w:t>
      </w:r>
    </w:p>
    <w:p w14:paraId="15E7C122">
      <w:pPr>
        <w:pStyle w:val="8"/>
        <w:rPr>
          <w:highlight w:val="none"/>
        </w:rPr>
      </w:pPr>
      <w:r>
        <w:rPr>
          <w:rFonts w:hint="eastAsia" w:ascii="Times New Roman" w:hAnsi="Times New Roman"/>
          <w:highlight w:val="none"/>
        </w:rPr>
        <w:t>管理中心</w:t>
      </w:r>
    </w:p>
    <w:p w14:paraId="76E8E53A">
      <w:pPr>
        <w:pStyle w:val="3"/>
        <w:ind w:firstLine="480"/>
        <w:rPr>
          <w:rFonts w:hint="eastAsia"/>
          <w:highlight w:val="none"/>
        </w:rPr>
      </w:pPr>
      <w:r>
        <w:rPr>
          <w:rFonts w:hint="eastAsia"/>
          <w:highlight w:val="none"/>
        </w:rPr>
        <w:t>应提供业务配置管理中心，支持届次管理、建议设置、履职积分设置等参数与规则的集中配置，满足业务灵活调整需要。</w:t>
      </w:r>
    </w:p>
    <w:p w14:paraId="5FAEE4E5">
      <w:pPr>
        <w:pStyle w:val="8"/>
        <w:rPr>
          <w:highlight w:val="none"/>
        </w:rPr>
      </w:pPr>
      <w:r>
        <w:rPr>
          <w:rFonts w:hint="eastAsia" w:ascii="Times New Roman" w:hAnsi="Times New Roman"/>
          <w:highlight w:val="none"/>
        </w:rPr>
        <w:t>后台管理</w:t>
      </w:r>
    </w:p>
    <w:p w14:paraId="539004B9">
      <w:pPr>
        <w:pStyle w:val="3"/>
        <w:ind w:firstLine="480"/>
        <w:rPr>
          <w:rFonts w:hint="eastAsia"/>
          <w:highlight w:val="none"/>
        </w:rPr>
      </w:pPr>
      <w:r>
        <w:rPr>
          <w:rFonts w:hint="eastAsia"/>
          <w:highlight w:val="none"/>
        </w:rPr>
        <w:t>应提供系统后台管理能力，包括用户权限管理与系统日志管理等，保障平台安全规范运行。</w:t>
      </w:r>
    </w:p>
    <w:p w14:paraId="57121DC0">
      <w:pPr>
        <w:pStyle w:val="7"/>
        <w:rPr>
          <w:rFonts w:hint="eastAsia"/>
          <w:highlight w:val="none"/>
        </w:rPr>
      </w:pPr>
      <w:r>
        <w:rPr>
          <w:rFonts w:hint="eastAsia" w:ascii="Times New Roman" w:hAnsi="Times New Roman"/>
          <w:highlight w:val="none"/>
        </w:rPr>
        <w:t>移动端（应用平台）</w:t>
      </w:r>
    </w:p>
    <w:p w14:paraId="6D0C21D8">
      <w:pPr>
        <w:pStyle w:val="3"/>
        <w:ind w:firstLine="480"/>
        <w:rPr>
          <w:rFonts w:hint="eastAsia"/>
          <w:highlight w:val="none"/>
        </w:rPr>
      </w:pPr>
      <w:r>
        <w:rPr>
          <w:rFonts w:hint="eastAsia"/>
          <w:highlight w:val="none"/>
        </w:rPr>
        <w:t>建设面向人大代表及工作人员的移动端应用平台，为代表提供移动履职工具，随时随地开展履职活动与信息获取。</w:t>
      </w:r>
    </w:p>
    <w:p w14:paraId="057B462C">
      <w:pPr>
        <w:pStyle w:val="8"/>
        <w:rPr>
          <w:highlight w:val="none"/>
        </w:rPr>
      </w:pPr>
      <w:r>
        <w:rPr>
          <w:rFonts w:hint="eastAsia" w:ascii="Times New Roman" w:hAnsi="Times New Roman"/>
          <w:highlight w:val="none"/>
        </w:rPr>
        <w:t>代表用户登录</w:t>
      </w:r>
    </w:p>
    <w:p w14:paraId="653FAC45">
      <w:pPr>
        <w:pStyle w:val="3"/>
        <w:ind w:firstLine="480"/>
        <w:rPr>
          <w:rFonts w:hint="eastAsia"/>
          <w:highlight w:val="none"/>
        </w:rPr>
      </w:pPr>
      <w:r>
        <w:rPr>
          <w:rFonts w:hint="eastAsia"/>
          <w:highlight w:val="none"/>
        </w:rPr>
        <w:t>应支持人大代表用户便捷登录移动端应用平台，提供统一的身份认证与会话管理，保障移动应用访问安全。</w:t>
      </w:r>
    </w:p>
    <w:p w14:paraId="56C0CC4D">
      <w:pPr>
        <w:pStyle w:val="8"/>
        <w:rPr>
          <w:highlight w:val="none"/>
        </w:rPr>
      </w:pPr>
      <w:r>
        <w:rPr>
          <w:rFonts w:hint="eastAsia" w:ascii="Times New Roman" w:hAnsi="Times New Roman"/>
          <w:highlight w:val="none"/>
        </w:rPr>
        <w:t>首页信息展示</w:t>
      </w:r>
    </w:p>
    <w:p w14:paraId="3D6A7BC4">
      <w:pPr>
        <w:pStyle w:val="3"/>
        <w:ind w:firstLine="480"/>
        <w:rPr>
          <w:rFonts w:hint="eastAsia"/>
          <w:highlight w:val="none"/>
        </w:rPr>
      </w:pPr>
      <w:r>
        <w:rPr>
          <w:rFonts w:hint="eastAsia"/>
          <w:highlight w:val="none"/>
        </w:rPr>
        <w:t>应提供移动端首页信息展示，集成热点资讯、议案建议、履职记录、人大动态、资料文档、会议通知、意见征询、日程安排及会议签到情况等信息栏目，为代表提供一站式的信息聚合浏览入口。</w:t>
      </w:r>
    </w:p>
    <w:p w14:paraId="391AE738">
      <w:pPr>
        <w:pStyle w:val="8"/>
        <w:rPr>
          <w:highlight w:val="none"/>
        </w:rPr>
      </w:pPr>
      <w:r>
        <w:rPr>
          <w:rFonts w:hint="eastAsia" w:ascii="Times New Roman" w:hAnsi="Times New Roman"/>
          <w:highlight w:val="none"/>
        </w:rPr>
        <w:t>工作消息提醒</w:t>
      </w:r>
    </w:p>
    <w:p w14:paraId="58252117">
      <w:pPr>
        <w:pStyle w:val="3"/>
        <w:ind w:firstLine="480"/>
        <w:rPr>
          <w:rFonts w:hint="eastAsia"/>
          <w:highlight w:val="none"/>
        </w:rPr>
      </w:pPr>
      <w:r>
        <w:rPr>
          <w:rFonts w:hint="eastAsia"/>
          <w:highlight w:val="none"/>
        </w:rPr>
        <w:t>应向代表推送重要工作消息与待办提醒，支持消息分类与免打扰设置，保障代表及时接收履职相关通知。</w:t>
      </w:r>
    </w:p>
    <w:p w14:paraId="23734FB7">
      <w:pPr>
        <w:pStyle w:val="8"/>
        <w:rPr>
          <w:highlight w:val="none"/>
        </w:rPr>
      </w:pPr>
      <w:r>
        <w:rPr>
          <w:rFonts w:hint="eastAsia" w:ascii="Times New Roman" w:hAnsi="Times New Roman"/>
          <w:highlight w:val="none"/>
        </w:rPr>
        <w:t>信息检索查询</w:t>
      </w:r>
    </w:p>
    <w:p w14:paraId="19C5E996">
      <w:pPr>
        <w:pStyle w:val="3"/>
        <w:ind w:firstLine="480"/>
        <w:rPr>
          <w:rFonts w:hint="eastAsia"/>
          <w:highlight w:val="none"/>
        </w:rPr>
      </w:pPr>
      <w:r>
        <w:rPr>
          <w:rFonts w:hint="eastAsia"/>
          <w:highlight w:val="none"/>
        </w:rPr>
        <w:t>应提供移动端信息检索查询能力，支持对议案建议、人大动态、资料等内容的快速检索与查询。</w:t>
      </w:r>
    </w:p>
    <w:p w14:paraId="589EEB9E">
      <w:pPr>
        <w:pStyle w:val="8"/>
        <w:rPr>
          <w:highlight w:val="none"/>
        </w:rPr>
      </w:pPr>
      <w:r>
        <w:rPr>
          <w:rFonts w:hint="eastAsia" w:ascii="Times New Roman" w:hAnsi="Times New Roman"/>
          <w:highlight w:val="none"/>
        </w:rPr>
        <w:t>个人信息管理</w:t>
      </w:r>
    </w:p>
    <w:p w14:paraId="63C1FB37">
      <w:pPr>
        <w:pStyle w:val="3"/>
        <w:ind w:firstLine="480"/>
        <w:rPr>
          <w:rFonts w:hint="eastAsia"/>
          <w:highlight w:val="none"/>
        </w:rPr>
      </w:pPr>
      <w:r>
        <w:rPr>
          <w:rFonts w:hint="eastAsia"/>
          <w:highlight w:val="none"/>
        </w:rPr>
        <w:t>应支持代表在移动端维护个人基本信息、联系方式及密码等，实现个人信息的自助管理。</w:t>
      </w:r>
    </w:p>
    <w:p w14:paraId="23CF5F9F">
      <w:pPr>
        <w:pStyle w:val="8"/>
        <w:rPr>
          <w:highlight w:val="none"/>
        </w:rPr>
      </w:pPr>
      <w:r>
        <w:rPr>
          <w:rFonts w:hint="eastAsia" w:ascii="Times New Roman" w:hAnsi="Times New Roman"/>
          <w:highlight w:val="none"/>
        </w:rPr>
        <w:t>内容信息发布</w:t>
      </w:r>
    </w:p>
    <w:p w14:paraId="65942D27">
      <w:pPr>
        <w:pStyle w:val="3"/>
        <w:ind w:firstLine="480"/>
        <w:rPr>
          <w:rFonts w:hint="eastAsia"/>
          <w:highlight w:val="none"/>
        </w:rPr>
      </w:pPr>
      <w:r>
        <w:rPr>
          <w:rFonts w:hint="eastAsia"/>
          <w:highlight w:val="none"/>
        </w:rPr>
        <w:t>应支持在移动端发布工作动态、通知公告等内容信息，经审核后向代表推送展示。</w:t>
      </w:r>
    </w:p>
    <w:p w14:paraId="00951B92">
      <w:pPr>
        <w:pStyle w:val="8"/>
        <w:rPr>
          <w:highlight w:val="none"/>
        </w:rPr>
      </w:pPr>
      <w:r>
        <w:rPr>
          <w:rFonts w:hint="eastAsia" w:ascii="Times New Roman" w:hAnsi="Times New Roman"/>
          <w:highlight w:val="none"/>
        </w:rPr>
        <w:t>人大代表通讯录</w:t>
      </w:r>
    </w:p>
    <w:p w14:paraId="734F60D1">
      <w:pPr>
        <w:pStyle w:val="3"/>
        <w:ind w:firstLine="480"/>
        <w:rPr>
          <w:rFonts w:hint="eastAsia"/>
          <w:highlight w:val="none"/>
        </w:rPr>
      </w:pPr>
      <w:r>
        <w:rPr>
          <w:rFonts w:hint="eastAsia"/>
          <w:highlight w:val="none"/>
        </w:rPr>
        <w:t>应提供人大代表通讯录功能，支持代表、联络员及人大机关工作人员通讯录的查询与便捷联络。</w:t>
      </w:r>
    </w:p>
    <w:p w14:paraId="47421548">
      <w:pPr>
        <w:pStyle w:val="6"/>
        <w:rPr>
          <w:rFonts w:hint="eastAsia"/>
          <w:highlight w:val="none"/>
        </w:rPr>
      </w:pPr>
      <w:r>
        <w:rPr>
          <w:rFonts w:hint="eastAsia" w:ascii="Times New Roman" w:hAnsi="Times New Roman"/>
          <w:highlight w:val="none"/>
        </w:rPr>
        <w:t>国资国企在线监管系统升级</w:t>
      </w:r>
    </w:p>
    <w:p w14:paraId="4D374AFD">
      <w:pPr>
        <w:pStyle w:val="3"/>
        <w:ind w:firstLine="480"/>
        <w:rPr>
          <w:rFonts w:hint="eastAsia"/>
          <w:highlight w:val="none"/>
        </w:rPr>
      </w:pPr>
      <w:r>
        <w:rPr>
          <w:rFonts w:hint="eastAsia"/>
          <w:highlight w:val="none"/>
        </w:rPr>
        <w:t>在现有国资国企在线监管系统基础上进行升级，重点建设大额资金动态监测与市国资快报数据协同两大能力，强化对区属国有企业大额资金运行的风险监管与对市级数据的协同报送。</w:t>
      </w:r>
    </w:p>
    <w:p w14:paraId="5D44B1F6">
      <w:pPr>
        <w:pStyle w:val="7"/>
        <w:rPr>
          <w:rFonts w:hint="eastAsia"/>
          <w:highlight w:val="none"/>
        </w:rPr>
      </w:pPr>
      <w:r>
        <w:rPr>
          <w:rFonts w:hint="eastAsia" w:ascii="Times New Roman" w:hAnsi="Times New Roman"/>
          <w:highlight w:val="none"/>
        </w:rPr>
        <w:t>大额资金动态监测</w:t>
      </w:r>
    </w:p>
    <w:p w14:paraId="2F6C1358">
      <w:pPr>
        <w:pStyle w:val="3"/>
        <w:ind w:firstLine="480"/>
        <w:rPr>
          <w:rFonts w:hint="eastAsia"/>
          <w:highlight w:val="none"/>
        </w:rPr>
      </w:pPr>
      <w:r>
        <w:rPr>
          <w:rFonts w:hint="eastAsia"/>
          <w:highlight w:val="none"/>
        </w:rPr>
        <w:t>围绕区属国有企业大额资金运行，建设数据获取、清洗、管理与风险预警监测能力，实现对区属企业大额资金流向的动态掌握与风险识别。</w:t>
      </w:r>
    </w:p>
    <w:p w14:paraId="602EDCCD">
      <w:pPr>
        <w:pStyle w:val="8"/>
        <w:rPr>
          <w:highlight w:val="none"/>
        </w:rPr>
      </w:pPr>
      <w:r>
        <w:rPr>
          <w:rFonts w:hint="eastAsia" w:ascii="Times New Roman" w:hAnsi="Times New Roman"/>
          <w:highlight w:val="none"/>
        </w:rPr>
        <w:t>资金数据获取</w:t>
      </w:r>
    </w:p>
    <w:p w14:paraId="00D98968">
      <w:pPr>
        <w:pStyle w:val="3"/>
        <w:ind w:firstLine="480"/>
        <w:rPr>
          <w:rFonts w:hint="eastAsia"/>
          <w:highlight w:val="none"/>
        </w:rPr>
      </w:pPr>
      <w:r>
        <w:rPr>
          <w:rFonts w:hint="eastAsia"/>
          <w:highlight w:val="none"/>
        </w:rPr>
        <w:t>应支持多渠道获取区属国有企业大额资金数据，实现与银行账户、财务系统等的数据自动采集与对接，保障监测数据及时、完整。</w:t>
      </w:r>
    </w:p>
    <w:p w14:paraId="34790198">
      <w:pPr>
        <w:pStyle w:val="8"/>
        <w:rPr>
          <w:highlight w:val="none"/>
        </w:rPr>
      </w:pPr>
      <w:r>
        <w:rPr>
          <w:rFonts w:hint="eastAsia" w:ascii="Times New Roman" w:hAnsi="Times New Roman"/>
          <w:highlight w:val="none"/>
        </w:rPr>
        <w:t>数据标准化清洗</w:t>
      </w:r>
    </w:p>
    <w:p w14:paraId="213F0182">
      <w:pPr>
        <w:pStyle w:val="3"/>
        <w:ind w:firstLine="480"/>
        <w:rPr>
          <w:rFonts w:hint="eastAsia"/>
          <w:highlight w:val="none"/>
        </w:rPr>
      </w:pPr>
      <w:r>
        <w:rPr>
          <w:rFonts w:hint="eastAsia"/>
          <w:highlight w:val="none"/>
        </w:rPr>
        <w:t>应对采集到的各类资金数据进行标准化与清洗，统一数据口径、格式与编码，去除冗余与异常数据，提升监测数据质量。</w:t>
      </w:r>
    </w:p>
    <w:p w14:paraId="09299CAD">
      <w:pPr>
        <w:pStyle w:val="8"/>
        <w:rPr>
          <w:highlight w:val="none"/>
        </w:rPr>
      </w:pPr>
      <w:r>
        <w:rPr>
          <w:rFonts w:hint="eastAsia" w:ascii="Times New Roman" w:hAnsi="Times New Roman"/>
          <w:highlight w:val="none"/>
        </w:rPr>
        <w:t>数据交换管理</w:t>
      </w:r>
    </w:p>
    <w:p w14:paraId="1C6C5CC6">
      <w:pPr>
        <w:pStyle w:val="3"/>
        <w:ind w:firstLine="480"/>
        <w:rPr>
          <w:rFonts w:hint="eastAsia"/>
          <w:highlight w:val="none"/>
        </w:rPr>
      </w:pPr>
      <w:r>
        <w:rPr>
          <w:rFonts w:hint="eastAsia"/>
          <w:highlight w:val="none"/>
        </w:rPr>
        <w:t>应支持监测数据与外部的交换管理，提供数据交换接口、交换任务与交换日志管理，保障数据在监管链条中的规范流转。</w:t>
      </w:r>
    </w:p>
    <w:p w14:paraId="042FD171">
      <w:pPr>
        <w:pStyle w:val="8"/>
        <w:rPr>
          <w:highlight w:val="none"/>
        </w:rPr>
      </w:pPr>
      <w:r>
        <w:rPr>
          <w:rFonts w:hint="eastAsia" w:ascii="Times New Roman" w:hAnsi="Times New Roman"/>
          <w:highlight w:val="none"/>
        </w:rPr>
        <w:t>大额资金数据管理</w:t>
      </w:r>
    </w:p>
    <w:p w14:paraId="39828C0B">
      <w:pPr>
        <w:pStyle w:val="3"/>
        <w:ind w:firstLine="480"/>
        <w:rPr>
          <w:rFonts w:hint="eastAsia"/>
          <w:highlight w:val="none"/>
        </w:rPr>
      </w:pPr>
      <w:r>
        <w:rPr>
          <w:rFonts w:hint="eastAsia"/>
          <w:highlight w:val="none"/>
        </w:rPr>
        <w:t>应提供大额资金数据的集中管理，支持数据查询、维护、版本留痕与归档，形成可供监测分析使用的规范数据资产。</w:t>
      </w:r>
    </w:p>
    <w:p w14:paraId="604355BA">
      <w:pPr>
        <w:pStyle w:val="8"/>
        <w:rPr>
          <w:highlight w:val="none"/>
        </w:rPr>
      </w:pPr>
      <w:r>
        <w:rPr>
          <w:rFonts w:hint="eastAsia" w:ascii="Times New Roman" w:hAnsi="Times New Roman"/>
          <w:highlight w:val="none"/>
        </w:rPr>
        <w:t>实时资金风险预警管理</w:t>
      </w:r>
    </w:p>
    <w:p w14:paraId="123CACEB">
      <w:pPr>
        <w:pStyle w:val="3"/>
        <w:ind w:firstLine="480"/>
        <w:rPr>
          <w:rFonts w:hint="eastAsia"/>
          <w:highlight w:val="none"/>
        </w:rPr>
      </w:pPr>
      <w:r>
        <w:rPr>
          <w:rFonts w:hint="eastAsia"/>
          <w:highlight w:val="none"/>
        </w:rPr>
        <w:t>应支持对大额资金运行进行实时监控与风险预警，依据设定规则识别大额异常交易、资金流向异常等风险并即时预警提示，支持预警处置与跟踪。</w:t>
      </w:r>
    </w:p>
    <w:p w14:paraId="3CC27FE0">
      <w:pPr>
        <w:pStyle w:val="8"/>
        <w:rPr>
          <w:highlight w:val="none"/>
        </w:rPr>
      </w:pPr>
      <w:r>
        <w:rPr>
          <w:rFonts w:hint="eastAsia" w:ascii="Times New Roman" w:hAnsi="Times New Roman"/>
          <w:highlight w:val="none"/>
        </w:rPr>
        <w:t>资金监管综合分析</w:t>
      </w:r>
    </w:p>
    <w:p w14:paraId="0CB07950">
      <w:pPr>
        <w:pStyle w:val="3"/>
        <w:ind w:firstLine="480"/>
        <w:rPr>
          <w:rFonts w:hint="eastAsia"/>
          <w:highlight w:val="none"/>
        </w:rPr>
      </w:pPr>
      <w:r>
        <w:rPr>
          <w:rFonts w:hint="eastAsia"/>
          <w:highlight w:val="none"/>
        </w:rPr>
        <w:t>应支持对大额资金监管数据进行综合分析，从资金规模、流向、风险等多维度生成分析报告与可视化展示，为国资监管决策提供支撑。</w:t>
      </w:r>
    </w:p>
    <w:p w14:paraId="692AA9BB">
      <w:pPr>
        <w:pStyle w:val="7"/>
        <w:rPr>
          <w:rFonts w:hint="eastAsia"/>
          <w:highlight w:val="none"/>
        </w:rPr>
      </w:pPr>
      <w:r>
        <w:rPr>
          <w:rFonts w:hint="eastAsia" w:ascii="Times New Roman" w:hAnsi="Times New Roman"/>
          <w:highlight w:val="none"/>
        </w:rPr>
        <w:t>市区快报数据协同</w:t>
      </w:r>
    </w:p>
    <w:p w14:paraId="24BE6990">
      <w:pPr>
        <w:pStyle w:val="3"/>
        <w:ind w:firstLine="480"/>
        <w:rPr>
          <w:rFonts w:hint="eastAsia"/>
          <w:highlight w:val="none"/>
        </w:rPr>
      </w:pPr>
      <w:r>
        <w:rPr>
          <w:rFonts w:hint="eastAsia"/>
          <w:highlight w:val="none"/>
        </w:rPr>
        <w:t>对接市级国资快报数据报送要求，建设区级数据采集、清洗、匹配、入库与报送的全流程协同能力，实现市区两级国资快报数据的高效协同与自动报送。</w:t>
      </w:r>
    </w:p>
    <w:p w14:paraId="37E4921A">
      <w:pPr>
        <w:pStyle w:val="8"/>
        <w:rPr>
          <w:highlight w:val="none"/>
        </w:rPr>
      </w:pPr>
      <w:r>
        <w:rPr>
          <w:rFonts w:hint="eastAsia" w:ascii="Times New Roman" w:hAnsi="Times New Roman"/>
          <w:highlight w:val="none"/>
        </w:rPr>
        <w:t>市国资快报数据自动化采集</w:t>
      </w:r>
    </w:p>
    <w:p w14:paraId="56C5D2A6">
      <w:pPr>
        <w:pStyle w:val="3"/>
        <w:ind w:firstLine="480"/>
        <w:rPr>
          <w:rFonts w:hint="eastAsia"/>
          <w:highlight w:val="none"/>
        </w:rPr>
      </w:pPr>
      <w:r>
        <w:rPr>
          <w:rFonts w:hint="eastAsia"/>
          <w:highlight w:val="none"/>
        </w:rPr>
        <w:t>应支持按市级快报要求，对区属国有企业相关数据进行自动化采集，减少人工填报，提升数据报送效率与准确性。</w:t>
      </w:r>
    </w:p>
    <w:p w14:paraId="7E2F1706">
      <w:pPr>
        <w:pStyle w:val="8"/>
        <w:rPr>
          <w:highlight w:val="none"/>
        </w:rPr>
      </w:pPr>
      <w:r>
        <w:rPr>
          <w:rFonts w:hint="eastAsia" w:ascii="Times New Roman" w:hAnsi="Times New Roman"/>
          <w:highlight w:val="none"/>
        </w:rPr>
        <w:t>市级快报数据清洗</w:t>
      </w:r>
    </w:p>
    <w:p w14:paraId="6F933085">
      <w:pPr>
        <w:pStyle w:val="3"/>
        <w:ind w:firstLine="480"/>
        <w:rPr>
          <w:rFonts w:hint="eastAsia"/>
          <w:highlight w:val="none"/>
        </w:rPr>
      </w:pPr>
      <w:r>
        <w:rPr>
          <w:rFonts w:hint="eastAsia"/>
          <w:highlight w:val="none"/>
        </w:rPr>
        <w:t>应对采集的市级快报数据进行清洗转换，统一指标口径与数据格式，保障上报市级数据的规范一致。</w:t>
      </w:r>
    </w:p>
    <w:p w14:paraId="7CB95B85">
      <w:pPr>
        <w:pStyle w:val="8"/>
        <w:rPr>
          <w:highlight w:val="none"/>
        </w:rPr>
      </w:pPr>
      <w:r>
        <w:rPr>
          <w:rFonts w:hint="eastAsia" w:ascii="Times New Roman" w:hAnsi="Times New Roman"/>
          <w:highlight w:val="none"/>
        </w:rPr>
        <w:t>企业数据精准匹配</w:t>
      </w:r>
    </w:p>
    <w:p w14:paraId="6DF8EB3C">
      <w:pPr>
        <w:pStyle w:val="3"/>
        <w:ind w:firstLine="480"/>
        <w:rPr>
          <w:rFonts w:hint="eastAsia"/>
          <w:highlight w:val="none"/>
        </w:rPr>
      </w:pPr>
      <w:r>
        <w:rPr>
          <w:rFonts w:hint="eastAsia"/>
          <w:highlight w:val="none"/>
        </w:rPr>
        <w:t>应支持区级企业数据与市级快报企业对象的精准匹配，通过编码、名称等规则自动对应，确保企业数据归属准确无误。</w:t>
      </w:r>
    </w:p>
    <w:p w14:paraId="0165489F">
      <w:pPr>
        <w:pStyle w:val="8"/>
        <w:rPr>
          <w:highlight w:val="none"/>
        </w:rPr>
      </w:pPr>
      <w:r>
        <w:rPr>
          <w:rFonts w:hint="eastAsia" w:ascii="Times New Roman" w:hAnsi="Times New Roman"/>
          <w:highlight w:val="none"/>
        </w:rPr>
        <w:t>数据入库</w:t>
      </w:r>
    </w:p>
    <w:p w14:paraId="259FBDED">
      <w:pPr>
        <w:pStyle w:val="3"/>
        <w:ind w:firstLine="480"/>
        <w:rPr>
          <w:rFonts w:hint="eastAsia"/>
          <w:highlight w:val="none"/>
        </w:rPr>
      </w:pPr>
      <w:r>
        <w:rPr>
          <w:rFonts w:hint="eastAsia"/>
          <w:highlight w:val="none"/>
        </w:rPr>
        <w:t>应支持清洗匹配后的快报数据规范入库，建立稳定的数据存储结构，保障数据的可查询、可复用与可追溯。</w:t>
      </w:r>
    </w:p>
    <w:p w14:paraId="7C45EF7B">
      <w:pPr>
        <w:pStyle w:val="8"/>
        <w:rPr>
          <w:highlight w:val="none"/>
        </w:rPr>
      </w:pPr>
      <w:r>
        <w:rPr>
          <w:rFonts w:hint="eastAsia" w:ascii="Times New Roman" w:hAnsi="Times New Roman"/>
          <w:highlight w:val="none"/>
        </w:rPr>
        <w:t>全流程运行监控</w:t>
      </w:r>
    </w:p>
    <w:p w14:paraId="22014AD8">
      <w:pPr>
        <w:pStyle w:val="3"/>
        <w:ind w:firstLine="480"/>
        <w:rPr>
          <w:rFonts w:hint="eastAsia"/>
          <w:highlight w:val="none"/>
        </w:rPr>
      </w:pPr>
      <w:r>
        <w:rPr>
          <w:rFonts w:hint="eastAsia"/>
          <w:highlight w:val="none"/>
        </w:rPr>
        <w:t>应支持市国资快报数据协同全流程的运行监控，对采集、清洗、匹配、入库等各环节的运行状态与异常进行实时监控与提示，保障数据协同链路稳定可靠。</w:t>
      </w:r>
    </w:p>
    <w:p w14:paraId="26A0F3CC">
      <w:pPr>
        <w:pStyle w:val="6"/>
        <w:rPr>
          <w:rFonts w:hint="eastAsia"/>
          <w:highlight w:val="none"/>
        </w:rPr>
      </w:pPr>
      <w:r>
        <w:rPr>
          <w:rFonts w:hint="eastAsia" w:ascii="Times New Roman" w:hAnsi="Times New Roman"/>
          <w:highlight w:val="none"/>
        </w:rPr>
        <w:t>中小企业信用信息共享服务系统信息技术应用创新建设</w:t>
      </w:r>
    </w:p>
    <w:p w14:paraId="07B59CD9">
      <w:pPr>
        <w:pStyle w:val="3"/>
        <w:ind w:firstLine="480"/>
        <w:rPr>
          <w:rFonts w:hint="eastAsia"/>
          <w:highlight w:val="none"/>
        </w:rPr>
      </w:pPr>
      <w:r>
        <w:rPr>
          <w:rFonts w:hint="eastAsia"/>
          <w:highlight w:val="none"/>
        </w:rPr>
        <w:t>对现有中小企业信用信息共享服务系统开展</w:t>
      </w:r>
      <w:r>
        <w:rPr>
          <w:rFonts w:hAnsi="宋体" w:cs="宋体"/>
          <w:szCs w:val="24"/>
          <w:highlight w:val="none"/>
        </w:rPr>
        <w:t>信息技术应用创新建设</w:t>
      </w:r>
      <w:r>
        <w:rPr>
          <w:rFonts w:hint="eastAsia"/>
          <w:highlight w:val="none"/>
        </w:rPr>
        <w:t>与对接开发，实现各业务子系统在自主可控技术环境下的运行，并与区一体化办公平台实现对接，保障系统安全可靠、平滑过渡。</w:t>
      </w:r>
    </w:p>
    <w:p w14:paraId="5D4EEC19">
      <w:pPr>
        <w:pStyle w:val="7"/>
        <w:rPr>
          <w:rFonts w:hint="eastAsia"/>
          <w:highlight w:val="none"/>
        </w:rPr>
      </w:pPr>
      <w:r>
        <w:rPr>
          <w:rFonts w:cs="宋体"/>
          <w:szCs w:val="24"/>
          <w:highlight w:val="none"/>
        </w:rPr>
        <w:t>信息技术应用创新建设</w:t>
      </w:r>
    </w:p>
    <w:p w14:paraId="37C46EEC">
      <w:pPr>
        <w:pStyle w:val="3"/>
        <w:ind w:firstLine="480"/>
        <w:rPr>
          <w:rFonts w:hint="eastAsia"/>
          <w:highlight w:val="none"/>
        </w:rPr>
      </w:pPr>
      <w:r>
        <w:rPr>
          <w:rFonts w:hint="eastAsia"/>
          <w:highlight w:val="none"/>
        </w:rPr>
        <w:t>对中小企业信用信息共享服务系统下属各业务子系统进行环境适配与改造，完成技术栈、中间件、数据库及操作系统的替换与迁移，保障系统在自主可控环境下稳定运行。</w:t>
      </w:r>
    </w:p>
    <w:p w14:paraId="05E02689">
      <w:pPr>
        <w:pStyle w:val="8"/>
        <w:rPr>
          <w:highlight w:val="none"/>
        </w:rPr>
      </w:pPr>
      <w:r>
        <w:rPr>
          <w:rFonts w:hint="eastAsia" w:ascii="Times New Roman" w:hAnsi="Times New Roman"/>
          <w:highlight w:val="none"/>
        </w:rPr>
        <w:t>信用信息数据共享交换子系统</w:t>
      </w:r>
    </w:p>
    <w:p w14:paraId="0332FE3C">
      <w:pPr>
        <w:pStyle w:val="3"/>
        <w:ind w:firstLine="480"/>
        <w:rPr>
          <w:rFonts w:hint="eastAsia"/>
          <w:highlight w:val="none"/>
        </w:rPr>
      </w:pPr>
      <w:r>
        <w:rPr>
          <w:rFonts w:hint="eastAsia"/>
          <w:highlight w:val="none"/>
        </w:rPr>
        <w:t>应对信用信息数据共享交换子系统进行</w:t>
      </w:r>
      <w:r>
        <w:rPr>
          <w:rFonts w:hAnsi="宋体" w:cs="宋体"/>
          <w:szCs w:val="24"/>
          <w:highlight w:val="none"/>
        </w:rPr>
        <w:t>信息技术应用创新建设</w:t>
      </w:r>
      <w:r>
        <w:rPr>
          <w:rFonts w:hint="eastAsia"/>
          <w:highlight w:val="none"/>
        </w:rPr>
        <w:t>，保障数据共享交换业务在</w:t>
      </w:r>
      <w:r>
        <w:rPr>
          <w:rFonts w:hint="eastAsia"/>
          <w:highlight w:val="none"/>
          <w:lang w:eastAsia="zh-CN"/>
        </w:rPr>
        <w:t>XC环境</w:t>
      </w:r>
      <w:r>
        <w:rPr>
          <w:rFonts w:hint="eastAsia"/>
          <w:highlight w:val="none"/>
        </w:rPr>
        <w:t>下正常开展，实现信用数据的规范汇聚与交换。</w:t>
      </w:r>
    </w:p>
    <w:p w14:paraId="564FFA92">
      <w:pPr>
        <w:pStyle w:val="8"/>
        <w:rPr>
          <w:highlight w:val="none"/>
        </w:rPr>
      </w:pPr>
      <w:r>
        <w:rPr>
          <w:rFonts w:hint="eastAsia" w:ascii="Times New Roman" w:hAnsi="Times New Roman"/>
          <w:highlight w:val="none"/>
        </w:rPr>
        <w:t>联合奖惩子系统</w:t>
      </w:r>
    </w:p>
    <w:p w14:paraId="554C846A">
      <w:pPr>
        <w:pStyle w:val="3"/>
        <w:ind w:firstLine="480"/>
        <w:rPr>
          <w:rFonts w:hint="eastAsia"/>
          <w:highlight w:val="none"/>
        </w:rPr>
      </w:pPr>
      <w:r>
        <w:rPr>
          <w:rFonts w:hint="eastAsia"/>
          <w:highlight w:val="none"/>
        </w:rPr>
        <w:t>应对联合奖惩子系统进行</w:t>
      </w:r>
      <w:r>
        <w:rPr>
          <w:rFonts w:hAnsi="宋体" w:cs="宋体"/>
          <w:szCs w:val="24"/>
          <w:highlight w:val="none"/>
        </w:rPr>
        <w:t>信息技术应用创新建设</w:t>
      </w:r>
      <w:r>
        <w:rPr>
          <w:rFonts w:hint="eastAsia"/>
          <w:highlight w:val="none"/>
        </w:rPr>
        <w:t>，保障守信激励与失信惩戒业务的</w:t>
      </w:r>
      <w:r>
        <w:rPr>
          <w:rFonts w:hint="eastAsia"/>
          <w:highlight w:val="none"/>
          <w:lang w:eastAsia="zh-CN"/>
        </w:rPr>
        <w:t>XC</w:t>
      </w:r>
      <w:r>
        <w:rPr>
          <w:rFonts w:hint="eastAsia"/>
          <w:highlight w:val="none"/>
        </w:rPr>
        <w:t>化运行，功能与数据保持无缝衔接。</w:t>
      </w:r>
    </w:p>
    <w:p w14:paraId="7380AB06">
      <w:pPr>
        <w:pStyle w:val="8"/>
        <w:rPr>
          <w:highlight w:val="none"/>
        </w:rPr>
      </w:pPr>
      <w:r>
        <w:rPr>
          <w:rFonts w:hint="eastAsia" w:ascii="Times New Roman" w:hAnsi="Times New Roman"/>
          <w:highlight w:val="none"/>
        </w:rPr>
        <w:t>综合信用评价子系统</w:t>
      </w:r>
    </w:p>
    <w:p w14:paraId="2A2E0130">
      <w:pPr>
        <w:pStyle w:val="3"/>
        <w:ind w:firstLine="480"/>
        <w:rPr>
          <w:rFonts w:hint="eastAsia"/>
          <w:highlight w:val="none"/>
        </w:rPr>
      </w:pPr>
      <w:r>
        <w:rPr>
          <w:rFonts w:hint="eastAsia"/>
          <w:highlight w:val="none"/>
        </w:rPr>
        <w:t>应对综合信用评价子系统进行</w:t>
      </w:r>
      <w:r>
        <w:rPr>
          <w:rFonts w:hAnsi="宋体" w:cs="宋体"/>
          <w:szCs w:val="24"/>
          <w:highlight w:val="none"/>
        </w:rPr>
        <w:t>信息技术应用创新建设</w:t>
      </w:r>
      <w:r>
        <w:rPr>
          <w:rFonts w:hint="eastAsia"/>
          <w:highlight w:val="none"/>
        </w:rPr>
        <w:t>，保障信用评价模型与业务功能在</w:t>
      </w:r>
      <w:r>
        <w:rPr>
          <w:rFonts w:hint="eastAsia"/>
          <w:highlight w:val="none"/>
          <w:lang w:eastAsia="zh-CN"/>
        </w:rPr>
        <w:t>XC环境</w:t>
      </w:r>
      <w:r>
        <w:rPr>
          <w:rFonts w:hint="eastAsia"/>
          <w:highlight w:val="none"/>
        </w:rPr>
        <w:t>下稳定可用。</w:t>
      </w:r>
    </w:p>
    <w:p w14:paraId="41F05997">
      <w:pPr>
        <w:pStyle w:val="8"/>
        <w:rPr>
          <w:highlight w:val="none"/>
        </w:rPr>
      </w:pPr>
      <w:r>
        <w:rPr>
          <w:rFonts w:hint="eastAsia" w:ascii="Times New Roman" w:hAnsi="Times New Roman"/>
          <w:highlight w:val="none"/>
        </w:rPr>
        <w:t>长三角信用信息应用子系统</w:t>
      </w:r>
    </w:p>
    <w:p w14:paraId="3CA9D6D0">
      <w:pPr>
        <w:pStyle w:val="3"/>
        <w:ind w:firstLine="480"/>
        <w:rPr>
          <w:rFonts w:hint="eastAsia"/>
          <w:highlight w:val="none"/>
        </w:rPr>
      </w:pPr>
      <w:r>
        <w:rPr>
          <w:rFonts w:hint="eastAsia"/>
          <w:highlight w:val="none"/>
        </w:rPr>
        <w:t>应对长三角信用信息应用子系统进行</w:t>
      </w:r>
      <w:r>
        <w:rPr>
          <w:rFonts w:hAnsi="宋体" w:cs="宋体"/>
          <w:szCs w:val="24"/>
          <w:highlight w:val="none"/>
        </w:rPr>
        <w:t>信息技术应用创新建设</w:t>
      </w:r>
      <w:r>
        <w:rPr>
          <w:rFonts w:hint="eastAsia"/>
          <w:highlight w:val="none"/>
        </w:rPr>
        <w:t>，保障跨区域信用信息应用在</w:t>
      </w:r>
      <w:r>
        <w:rPr>
          <w:rFonts w:hint="eastAsia"/>
          <w:highlight w:val="none"/>
          <w:lang w:eastAsia="zh-CN"/>
        </w:rPr>
        <w:t>XC环境</w:t>
      </w:r>
      <w:r>
        <w:rPr>
          <w:rFonts w:hint="eastAsia"/>
          <w:highlight w:val="none"/>
        </w:rPr>
        <w:t>下的持续运行。</w:t>
      </w:r>
    </w:p>
    <w:p w14:paraId="5AA2C50C">
      <w:pPr>
        <w:pStyle w:val="8"/>
        <w:rPr>
          <w:highlight w:val="none"/>
        </w:rPr>
      </w:pPr>
      <w:r>
        <w:rPr>
          <w:rFonts w:hint="eastAsia" w:ascii="Times New Roman" w:hAnsi="Times New Roman"/>
          <w:highlight w:val="none"/>
        </w:rPr>
        <w:t>政务诚信子系统</w:t>
      </w:r>
    </w:p>
    <w:p w14:paraId="316E553F">
      <w:pPr>
        <w:pStyle w:val="3"/>
        <w:ind w:firstLine="480"/>
        <w:rPr>
          <w:rFonts w:hint="eastAsia"/>
          <w:highlight w:val="none"/>
        </w:rPr>
      </w:pPr>
      <w:r>
        <w:rPr>
          <w:rFonts w:hint="eastAsia"/>
          <w:highlight w:val="none"/>
        </w:rPr>
        <w:t>应对政务诚信子系统进行</w:t>
      </w:r>
      <w:r>
        <w:rPr>
          <w:rFonts w:hAnsi="宋体" w:cs="宋体"/>
          <w:szCs w:val="24"/>
          <w:highlight w:val="none"/>
        </w:rPr>
        <w:t>信息技术应用创新建设</w:t>
      </w:r>
      <w:r>
        <w:rPr>
          <w:rFonts w:hint="eastAsia"/>
          <w:highlight w:val="none"/>
        </w:rPr>
        <w:t>，保障政务诚信相关业务的</w:t>
      </w:r>
      <w:r>
        <w:rPr>
          <w:rFonts w:hint="eastAsia"/>
          <w:highlight w:val="none"/>
          <w:lang w:eastAsia="zh-CN"/>
        </w:rPr>
        <w:t>XC</w:t>
      </w:r>
      <w:r>
        <w:rPr>
          <w:rFonts w:hint="eastAsia"/>
          <w:highlight w:val="none"/>
        </w:rPr>
        <w:t>化运行与数据安全。</w:t>
      </w:r>
    </w:p>
    <w:p w14:paraId="70C91D56">
      <w:pPr>
        <w:pStyle w:val="8"/>
        <w:rPr>
          <w:highlight w:val="none"/>
        </w:rPr>
      </w:pPr>
      <w:r>
        <w:rPr>
          <w:rFonts w:hint="eastAsia" w:ascii="Times New Roman" w:hAnsi="Times New Roman"/>
          <w:highlight w:val="none"/>
        </w:rPr>
        <w:t>信用信息公示子系统</w:t>
      </w:r>
    </w:p>
    <w:p w14:paraId="6E776912">
      <w:pPr>
        <w:pStyle w:val="3"/>
        <w:ind w:firstLine="480"/>
        <w:rPr>
          <w:rFonts w:hint="eastAsia"/>
          <w:highlight w:val="none"/>
        </w:rPr>
      </w:pPr>
      <w:r>
        <w:rPr>
          <w:rFonts w:hint="eastAsia"/>
          <w:highlight w:val="none"/>
        </w:rPr>
        <w:t>应对信用信息公示子系统进行</w:t>
      </w:r>
      <w:r>
        <w:rPr>
          <w:rFonts w:hAnsi="宋体" w:cs="宋体"/>
          <w:szCs w:val="24"/>
          <w:highlight w:val="none"/>
        </w:rPr>
        <w:t>信息技术应用创新建设</w:t>
      </w:r>
      <w:r>
        <w:rPr>
          <w:rFonts w:hint="eastAsia"/>
          <w:highlight w:val="none"/>
        </w:rPr>
        <w:t>，保障信用信息公示业务在</w:t>
      </w:r>
      <w:r>
        <w:rPr>
          <w:rFonts w:hint="eastAsia"/>
          <w:highlight w:val="none"/>
          <w:lang w:eastAsia="zh-CN"/>
        </w:rPr>
        <w:t>XC环境</w:t>
      </w:r>
      <w:r>
        <w:rPr>
          <w:rFonts w:hint="eastAsia"/>
          <w:highlight w:val="none"/>
        </w:rPr>
        <w:t>下正常开展。</w:t>
      </w:r>
    </w:p>
    <w:p w14:paraId="7606C90D">
      <w:pPr>
        <w:pStyle w:val="8"/>
        <w:rPr>
          <w:highlight w:val="none"/>
        </w:rPr>
      </w:pPr>
      <w:r>
        <w:rPr>
          <w:rFonts w:hint="eastAsia" w:ascii="Times New Roman" w:hAnsi="Times New Roman"/>
          <w:highlight w:val="none"/>
        </w:rPr>
        <w:t>运行及应用可视化子系统</w:t>
      </w:r>
    </w:p>
    <w:p w14:paraId="7D5BFF1D">
      <w:pPr>
        <w:pStyle w:val="3"/>
        <w:ind w:firstLine="480"/>
        <w:rPr>
          <w:rFonts w:hint="eastAsia"/>
          <w:highlight w:val="none"/>
        </w:rPr>
      </w:pPr>
      <w:r>
        <w:rPr>
          <w:rFonts w:hint="eastAsia"/>
          <w:highlight w:val="none"/>
        </w:rPr>
        <w:t>应对平台运行及应用可视化子系统进行</w:t>
      </w:r>
      <w:r>
        <w:rPr>
          <w:rFonts w:hAnsi="宋体" w:cs="宋体"/>
          <w:szCs w:val="24"/>
          <w:highlight w:val="none"/>
        </w:rPr>
        <w:t>信息技术应用创新建设</w:t>
      </w:r>
      <w:r>
        <w:rPr>
          <w:rFonts w:hint="eastAsia"/>
          <w:highlight w:val="none"/>
        </w:rPr>
        <w:t>，保障系统运行监控与可视化展示在</w:t>
      </w:r>
      <w:r>
        <w:rPr>
          <w:rFonts w:hint="eastAsia"/>
          <w:highlight w:val="none"/>
          <w:lang w:eastAsia="zh-CN"/>
        </w:rPr>
        <w:t>XC环境</w:t>
      </w:r>
      <w:r>
        <w:rPr>
          <w:rFonts w:hint="eastAsia"/>
          <w:highlight w:val="none"/>
        </w:rPr>
        <w:t>下稳定运行。</w:t>
      </w:r>
    </w:p>
    <w:p w14:paraId="4D57046E">
      <w:pPr>
        <w:pStyle w:val="7"/>
        <w:rPr>
          <w:rFonts w:hint="eastAsia"/>
          <w:highlight w:val="none"/>
        </w:rPr>
      </w:pPr>
      <w:r>
        <w:rPr>
          <w:rFonts w:hint="eastAsia" w:ascii="Times New Roman" w:hAnsi="Times New Roman"/>
          <w:highlight w:val="none"/>
        </w:rPr>
        <w:t>对接开发</w:t>
      </w:r>
    </w:p>
    <w:p w14:paraId="1E51C468">
      <w:pPr>
        <w:pStyle w:val="3"/>
        <w:ind w:firstLine="480"/>
        <w:rPr>
          <w:rFonts w:hint="eastAsia"/>
          <w:highlight w:val="none"/>
        </w:rPr>
      </w:pPr>
      <w:r>
        <w:rPr>
          <w:rFonts w:hint="eastAsia"/>
          <w:highlight w:val="none"/>
        </w:rPr>
        <w:t>结合</w:t>
      </w:r>
      <w:r>
        <w:rPr>
          <w:rFonts w:hAnsi="宋体" w:cs="宋体"/>
          <w:szCs w:val="24"/>
          <w:highlight w:val="none"/>
        </w:rPr>
        <w:t>信息技术应用创新建设</w:t>
      </w:r>
      <w:r>
        <w:rPr>
          <w:rFonts w:hint="eastAsia"/>
          <w:highlight w:val="none"/>
        </w:rPr>
        <w:t>，开展与区一体化办公平台等系统的对接开发，实现统一身份登录与业务协同。</w:t>
      </w:r>
    </w:p>
    <w:p w14:paraId="41E89875">
      <w:pPr>
        <w:pStyle w:val="8"/>
        <w:rPr>
          <w:highlight w:val="none"/>
        </w:rPr>
      </w:pPr>
      <w:r>
        <w:rPr>
          <w:rFonts w:hint="eastAsia" w:ascii="Times New Roman" w:hAnsi="Times New Roman"/>
          <w:highlight w:val="none"/>
        </w:rPr>
        <w:t>与区一体化办公平台对接开发</w:t>
      </w:r>
    </w:p>
    <w:p w14:paraId="132D8FB5">
      <w:pPr>
        <w:pStyle w:val="3"/>
        <w:ind w:firstLine="480"/>
        <w:rPr>
          <w:rFonts w:hint="eastAsia"/>
          <w:highlight w:val="none"/>
        </w:rPr>
      </w:pPr>
      <w:r>
        <w:rPr>
          <w:rFonts w:hint="eastAsia"/>
          <w:highlight w:val="none"/>
        </w:rPr>
        <w:t>应完成与区一体化办公平台的对接开发，支持通过统一身份认证实现单点登录与系统间业务贯通，便利用户使用。</w:t>
      </w:r>
    </w:p>
    <w:p w14:paraId="55EEC601">
      <w:pPr>
        <w:pStyle w:val="6"/>
        <w:rPr>
          <w:rFonts w:hint="eastAsia"/>
          <w:highlight w:val="none"/>
        </w:rPr>
      </w:pPr>
      <w:r>
        <w:rPr>
          <w:rFonts w:hint="eastAsia" w:ascii="Times New Roman" w:hAnsi="Times New Roman"/>
          <w:highlight w:val="none"/>
        </w:rPr>
        <w:t>保障性租赁住房管理信息系统</w:t>
      </w:r>
    </w:p>
    <w:p w14:paraId="442EF77E">
      <w:pPr>
        <w:pStyle w:val="3"/>
        <w:ind w:firstLine="480"/>
        <w:rPr>
          <w:rFonts w:hint="eastAsia"/>
          <w:highlight w:val="none"/>
        </w:rPr>
      </w:pPr>
      <w:r>
        <w:rPr>
          <w:rFonts w:hint="eastAsia"/>
          <w:highlight w:val="none"/>
        </w:rPr>
        <w:t>建设覆盖保障性租赁住房管理全业务的综合信息系统，面向房源项目、价格、评价、监督、统计等管理环节，提供个人工作台、一张图、数据驾驶舱、项目价格管理、监督检查等能力，并配套移动端，支撑保障性租赁住房全生命周期规范化管理。</w:t>
      </w:r>
    </w:p>
    <w:p w14:paraId="58D98286">
      <w:pPr>
        <w:pStyle w:val="7"/>
        <w:rPr>
          <w:rFonts w:hint="eastAsia"/>
          <w:highlight w:val="none"/>
        </w:rPr>
      </w:pPr>
      <w:r>
        <w:rPr>
          <w:rFonts w:hint="eastAsia" w:ascii="Times New Roman" w:hAnsi="Times New Roman"/>
          <w:highlight w:val="none"/>
        </w:rPr>
        <w:t>个人工作台</w:t>
      </w:r>
    </w:p>
    <w:p w14:paraId="2B714225">
      <w:pPr>
        <w:pStyle w:val="3"/>
        <w:ind w:firstLine="480"/>
        <w:rPr>
          <w:rFonts w:hint="eastAsia"/>
          <w:highlight w:val="none"/>
        </w:rPr>
      </w:pPr>
      <w:r>
        <w:rPr>
          <w:rFonts w:hint="eastAsia"/>
          <w:highlight w:val="none"/>
        </w:rPr>
        <w:t>应提供面向管理人员的个人工作台，集成常用业务、待办事项、消息提醒与快捷入口，支持业务办理的统一入口与个性化配置，提升日常办公效率。</w:t>
      </w:r>
    </w:p>
    <w:p w14:paraId="33035BC3">
      <w:pPr>
        <w:pStyle w:val="7"/>
        <w:rPr>
          <w:rFonts w:hint="eastAsia"/>
          <w:highlight w:val="none"/>
        </w:rPr>
      </w:pPr>
      <w:r>
        <w:rPr>
          <w:rFonts w:hint="eastAsia" w:ascii="Times New Roman" w:hAnsi="Times New Roman"/>
          <w:highlight w:val="none"/>
        </w:rPr>
        <w:t>保障性租赁住房一张图</w:t>
      </w:r>
    </w:p>
    <w:p w14:paraId="22E404E9">
      <w:pPr>
        <w:pStyle w:val="3"/>
        <w:ind w:firstLine="480"/>
        <w:rPr>
          <w:rFonts w:hint="eastAsia"/>
          <w:highlight w:val="none"/>
        </w:rPr>
      </w:pPr>
      <w:r>
        <w:rPr>
          <w:rFonts w:hint="eastAsia"/>
          <w:highlight w:val="none"/>
        </w:rPr>
        <w:t>应建设保障性租赁住房“一张图”，以地图可视化方式汇聚展示全区保障性租赁住房房源、项目分布及运营情况，支持按区域、项目多维查询与图上作业，实现房源空间信息一体化管理。</w:t>
      </w:r>
    </w:p>
    <w:p w14:paraId="209D138C">
      <w:pPr>
        <w:pStyle w:val="7"/>
        <w:rPr>
          <w:rFonts w:hint="eastAsia"/>
          <w:highlight w:val="none"/>
        </w:rPr>
      </w:pPr>
      <w:r>
        <w:rPr>
          <w:rFonts w:hint="eastAsia" w:ascii="Times New Roman" w:hAnsi="Times New Roman"/>
          <w:highlight w:val="none"/>
        </w:rPr>
        <w:t>保障性租赁住房数据驾驶舱</w:t>
      </w:r>
    </w:p>
    <w:p w14:paraId="45039E7A">
      <w:pPr>
        <w:pStyle w:val="3"/>
        <w:ind w:firstLine="480"/>
        <w:rPr>
          <w:rFonts w:hint="eastAsia"/>
          <w:highlight w:val="none"/>
        </w:rPr>
      </w:pPr>
      <w:r>
        <w:rPr>
          <w:rFonts w:hint="eastAsia"/>
          <w:highlight w:val="none"/>
        </w:rPr>
        <w:t>应提供保障性租赁住房数据驾驶舱，集中展示房源总量、筹集建设、配租运营等关键指标与运行态势，以图表化方式支撑领导决策与综合研判。</w:t>
      </w:r>
    </w:p>
    <w:p w14:paraId="36E38623">
      <w:pPr>
        <w:pStyle w:val="7"/>
        <w:rPr>
          <w:rFonts w:hint="eastAsia"/>
          <w:highlight w:val="none"/>
        </w:rPr>
      </w:pPr>
      <w:r>
        <w:rPr>
          <w:rFonts w:hint="eastAsia" w:ascii="Times New Roman" w:hAnsi="Times New Roman"/>
          <w:highlight w:val="none"/>
        </w:rPr>
        <w:t>基础信息管理</w:t>
      </w:r>
    </w:p>
    <w:p w14:paraId="519DC20F">
      <w:pPr>
        <w:pStyle w:val="3"/>
        <w:ind w:firstLine="480"/>
        <w:rPr>
          <w:rFonts w:hint="eastAsia"/>
          <w:highlight w:val="none"/>
        </w:rPr>
      </w:pPr>
      <w:r>
        <w:rPr>
          <w:rFonts w:hint="eastAsia"/>
          <w:highlight w:val="none"/>
        </w:rPr>
        <w:t>应支持保障性租赁住房基础信息管理，涵盖房源、项目、单位、人员等基础数据的新增、维护与审核，保障全系统基础数据的完整、准确与一致。</w:t>
      </w:r>
    </w:p>
    <w:p w14:paraId="2C2A8F05">
      <w:pPr>
        <w:pStyle w:val="7"/>
        <w:rPr>
          <w:rFonts w:hint="eastAsia"/>
          <w:highlight w:val="none"/>
        </w:rPr>
      </w:pPr>
      <w:r>
        <w:rPr>
          <w:rFonts w:hint="eastAsia" w:ascii="Times New Roman" w:hAnsi="Times New Roman"/>
          <w:highlight w:val="none"/>
        </w:rPr>
        <w:t>项目价格管理</w:t>
      </w:r>
    </w:p>
    <w:p w14:paraId="77BD76EC">
      <w:pPr>
        <w:pStyle w:val="3"/>
        <w:ind w:firstLine="480"/>
        <w:rPr>
          <w:rFonts w:hint="eastAsia"/>
          <w:highlight w:val="none"/>
        </w:rPr>
      </w:pPr>
      <w:r>
        <w:rPr>
          <w:rFonts w:hint="eastAsia"/>
          <w:highlight w:val="none"/>
        </w:rPr>
        <w:t>应提供保障性租赁住房项目价格管理能力，支持价格申报管理与项目调价管理，对项目租金定价、申报、审核、发布及调价全过程进行规范化管理，保障租金政策落地执行。</w:t>
      </w:r>
    </w:p>
    <w:p w14:paraId="3A884035">
      <w:pPr>
        <w:pStyle w:val="7"/>
        <w:rPr>
          <w:rFonts w:hint="eastAsia"/>
          <w:highlight w:val="none"/>
        </w:rPr>
      </w:pPr>
      <w:r>
        <w:rPr>
          <w:rFonts w:hint="eastAsia" w:ascii="Times New Roman" w:hAnsi="Times New Roman"/>
          <w:highlight w:val="none"/>
        </w:rPr>
        <w:t>评价分析</w:t>
      </w:r>
    </w:p>
    <w:p w14:paraId="1814107E">
      <w:pPr>
        <w:pStyle w:val="3"/>
        <w:ind w:firstLine="480"/>
        <w:rPr>
          <w:rFonts w:hint="eastAsia"/>
          <w:highlight w:val="none"/>
        </w:rPr>
      </w:pPr>
      <w:r>
        <w:rPr>
          <w:rFonts w:hint="eastAsia"/>
          <w:highlight w:val="none"/>
        </w:rPr>
        <w:t>应提供保障性租赁住房评价分析能力，运用大数据可比案例与算法模型开展评价分析，支持项目定价评估、运营评价等多场景分析，为价格与运营决策提供数据依据。</w:t>
      </w:r>
    </w:p>
    <w:p w14:paraId="54C96014">
      <w:pPr>
        <w:pStyle w:val="7"/>
        <w:rPr>
          <w:rFonts w:hint="eastAsia"/>
          <w:highlight w:val="none"/>
        </w:rPr>
      </w:pPr>
      <w:r>
        <w:rPr>
          <w:rFonts w:hint="eastAsia" w:ascii="Times New Roman" w:hAnsi="Times New Roman"/>
          <w:highlight w:val="none"/>
        </w:rPr>
        <w:t>监督检查</w:t>
      </w:r>
    </w:p>
    <w:p w14:paraId="4C77C2D8">
      <w:pPr>
        <w:pStyle w:val="3"/>
        <w:ind w:firstLine="480"/>
        <w:rPr>
          <w:rFonts w:hint="eastAsia"/>
          <w:highlight w:val="none"/>
        </w:rPr>
      </w:pPr>
      <w:r>
        <w:rPr>
          <w:rFonts w:hint="eastAsia"/>
          <w:highlight w:val="none"/>
        </w:rPr>
        <w:t>应支持保障性租赁住房监督检查业务，提供现场巡查、问题上报、整改跟踪与督查管理等功能，实现对房源运营合规情况的有效监督。</w:t>
      </w:r>
    </w:p>
    <w:p w14:paraId="297AC1AB">
      <w:pPr>
        <w:pStyle w:val="7"/>
        <w:rPr>
          <w:rFonts w:hint="eastAsia"/>
          <w:highlight w:val="none"/>
        </w:rPr>
      </w:pPr>
      <w:r>
        <w:rPr>
          <w:rFonts w:hint="eastAsia" w:ascii="Times New Roman" w:hAnsi="Times New Roman"/>
          <w:highlight w:val="none"/>
        </w:rPr>
        <w:t>统计分析</w:t>
      </w:r>
    </w:p>
    <w:p w14:paraId="656497DB">
      <w:pPr>
        <w:pStyle w:val="3"/>
        <w:ind w:firstLine="480"/>
        <w:rPr>
          <w:rFonts w:hint="eastAsia"/>
          <w:highlight w:val="none"/>
        </w:rPr>
      </w:pPr>
      <w:r>
        <w:rPr>
          <w:rFonts w:hint="eastAsia"/>
          <w:highlight w:val="none"/>
        </w:rPr>
        <w:t>应提供统计分析能力，支持项目检索、项目统计、业务统计、成果导出与信息上报等，可按多维度生成统计报表并对外报送，为管理决策与信息报送提供支撑。</w:t>
      </w:r>
    </w:p>
    <w:p w14:paraId="5F22AB7C">
      <w:pPr>
        <w:pStyle w:val="7"/>
        <w:rPr>
          <w:rFonts w:hint="eastAsia"/>
          <w:highlight w:val="none"/>
        </w:rPr>
      </w:pPr>
      <w:r>
        <w:rPr>
          <w:rFonts w:hint="eastAsia" w:ascii="Times New Roman" w:hAnsi="Times New Roman"/>
          <w:highlight w:val="none"/>
        </w:rPr>
        <w:t>保障性租赁住房管理移动端</w:t>
      </w:r>
    </w:p>
    <w:p w14:paraId="5019A8B6">
      <w:pPr>
        <w:pStyle w:val="3"/>
        <w:ind w:firstLine="480"/>
        <w:rPr>
          <w:rFonts w:hint="eastAsia"/>
          <w:highlight w:val="none"/>
        </w:rPr>
      </w:pPr>
      <w:r>
        <w:rPr>
          <w:rFonts w:hint="eastAsia"/>
          <w:highlight w:val="none"/>
        </w:rPr>
        <w:t>应提供保障性租赁住房管理移动端，支持统计分析移动端与巡查管理移动端，管理人员可随时随地开展数据查看、统计分析、现场巡查与信息录入，实现移动化办公。</w:t>
      </w:r>
    </w:p>
    <w:p w14:paraId="036A20D8">
      <w:pPr>
        <w:pStyle w:val="7"/>
        <w:rPr>
          <w:rFonts w:hint="eastAsia"/>
          <w:highlight w:val="none"/>
        </w:rPr>
      </w:pPr>
      <w:r>
        <w:rPr>
          <w:rFonts w:hint="eastAsia" w:ascii="Times New Roman" w:hAnsi="Times New Roman"/>
          <w:highlight w:val="none"/>
        </w:rPr>
        <w:t>数据调用与数据接口</w:t>
      </w:r>
    </w:p>
    <w:p w14:paraId="197A9FF7">
      <w:pPr>
        <w:pStyle w:val="3"/>
        <w:ind w:firstLine="480"/>
        <w:rPr>
          <w:rFonts w:hint="eastAsia"/>
          <w:highlight w:val="none"/>
        </w:rPr>
      </w:pPr>
      <w:r>
        <w:rPr>
          <w:rFonts w:hint="eastAsia"/>
          <w:highlight w:val="none"/>
        </w:rPr>
        <w:t>应提供对外数据调用与数据接口能力，实现与“我要租房”系统平台等的数据对接，支持已供应公租房数据抓取与统计，打通数据链条，实现跨系统数据共享。</w:t>
      </w:r>
    </w:p>
    <w:p w14:paraId="105781A1">
      <w:pPr>
        <w:pStyle w:val="5"/>
        <w:rPr>
          <w:rFonts w:ascii="Times New Roman" w:hAnsi="Times New Roman"/>
          <w:highlight w:val="none"/>
        </w:rPr>
      </w:pPr>
      <w:r>
        <w:rPr>
          <w:rFonts w:hint="eastAsia" w:ascii="Times New Roman" w:hAnsi="Times New Roman"/>
          <w:highlight w:val="none"/>
        </w:rPr>
        <w:t>系统集成对接</w:t>
      </w:r>
    </w:p>
    <w:p w14:paraId="0814A820">
      <w:pPr>
        <w:pStyle w:val="6"/>
        <w:rPr>
          <w:rFonts w:hint="eastAsia"/>
          <w:highlight w:val="none"/>
        </w:rPr>
      </w:pPr>
      <w:r>
        <w:rPr>
          <w:rFonts w:hint="eastAsia" w:ascii="Times New Roman" w:hAnsi="Times New Roman"/>
          <w:highlight w:val="none"/>
        </w:rPr>
        <w:t>长三角一体化对接开发</w:t>
      </w:r>
    </w:p>
    <w:p w14:paraId="1B8294AA">
      <w:pPr>
        <w:pStyle w:val="3"/>
        <w:ind w:firstLine="480"/>
        <w:rPr>
          <w:rFonts w:hint="eastAsia"/>
          <w:highlight w:val="none"/>
        </w:rPr>
      </w:pPr>
      <w:r>
        <w:rPr>
          <w:rFonts w:hint="eastAsia"/>
          <w:highlight w:val="none"/>
        </w:rPr>
        <w:t>面向长三角一体化协同需求，开展系统对接开发，通过统一接口服务与交换配置，实现跨区域、跨系统数据与业务的互联互通。</w:t>
      </w:r>
    </w:p>
    <w:p w14:paraId="7B8E0AB5">
      <w:pPr>
        <w:pStyle w:val="7"/>
        <w:rPr>
          <w:rFonts w:hint="eastAsia"/>
          <w:highlight w:val="none"/>
        </w:rPr>
      </w:pPr>
      <w:r>
        <w:rPr>
          <w:rFonts w:hint="eastAsia" w:ascii="Times New Roman" w:hAnsi="Times New Roman"/>
          <w:highlight w:val="none"/>
        </w:rPr>
        <w:t>接口服务引擎</w:t>
      </w:r>
    </w:p>
    <w:p w14:paraId="133DB080">
      <w:pPr>
        <w:pStyle w:val="3"/>
        <w:ind w:firstLine="480"/>
        <w:rPr>
          <w:rFonts w:hint="eastAsia"/>
          <w:highlight w:val="none"/>
        </w:rPr>
      </w:pPr>
      <w:r>
        <w:rPr>
          <w:rFonts w:hint="eastAsia"/>
          <w:highlight w:val="none"/>
        </w:rPr>
        <w:t>应提供接口服务引擎，统一承载各类对外接口服务的注册、调度与运行，支持接口的标准化发布与调用，保障对接服务稳定高效。</w:t>
      </w:r>
    </w:p>
    <w:p w14:paraId="40A8E3F5">
      <w:pPr>
        <w:pStyle w:val="7"/>
        <w:rPr>
          <w:rFonts w:hint="eastAsia"/>
          <w:highlight w:val="none"/>
        </w:rPr>
      </w:pPr>
      <w:r>
        <w:rPr>
          <w:rFonts w:hint="eastAsia" w:ascii="Times New Roman" w:hAnsi="Times New Roman"/>
          <w:highlight w:val="none"/>
        </w:rPr>
        <w:t>交换单位管理</w:t>
      </w:r>
    </w:p>
    <w:p w14:paraId="2A3E1675">
      <w:pPr>
        <w:pStyle w:val="3"/>
        <w:ind w:firstLine="480"/>
        <w:rPr>
          <w:rFonts w:hint="eastAsia"/>
          <w:highlight w:val="none"/>
        </w:rPr>
      </w:pPr>
      <w:r>
        <w:rPr>
          <w:rFonts w:hint="eastAsia"/>
          <w:highlight w:val="none"/>
        </w:rPr>
        <w:t>应支持对参与数据交换的各类单位进行统一管理，维护交换单位的编码、接入方式与交换范围，实现交换主体的集中管理与授权。</w:t>
      </w:r>
    </w:p>
    <w:p w14:paraId="2AF041EC">
      <w:pPr>
        <w:pStyle w:val="7"/>
        <w:rPr>
          <w:rFonts w:hint="eastAsia"/>
          <w:highlight w:val="none"/>
        </w:rPr>
      </w:pPr>
      <w:r>
        <w:rPr>
          <w:rFonts w:hint="eastAsia" w:ascii="Times New Roman" w:hAnsi="Times New Roman"/>
          <w:highlight w:val="none"/>
        </w:rPr>
        <w:t>协同中枢交换配置中心</w:t>
      </w:r>
    </w:p>
    <w:p w14:paraId="5E1DD625">
      <w:pPr>
        <w:pStyle w:val="3"/>
        <w:ind w:firstLine="480"/>
        <w:rPr>
          <w:rFonts w:hint="eastAsia"/>
          <w:highlight w:val="none"/>
        </w:rPr>
      </w:pPr>
      <w:r>
        <w:rPr>
          <w:rFonts w:hint="eastAsia"/>
          <w:highlight w:val="none"/>
        </w:rPr>
        <w:t>应提供协同中枢交换配置中心，支持数据交换任务、交换规则与交换流程的可视化配置，支撑对接场景的灵活编排与快速上线。</w:t>
      </w:r>
    </w:p>
    <w:p w14:paraId="39AD3A5C">
      <w:pPr>
        <w:pStyle w:val="5"/>
        <w:rPr>
          <w:rFonts w:ascii="Times New Roman" w:hAnsi="Times New Roman"/>
          <w:highlight w:val="none"/>
        </w:rPr>
      </w:pPr>
      <w:r>
        <w:rPr>
          <w:rFonts w:hint="eastAsia" w:ascii="Times New Roman" w:hAnsi="Times New Roman"/>
          <w:highlight w:val="none"/>
        </w:rPr>
        <w:t>密码服务</w:t>
      </w:r>
    </w:p>
    <w:p w14:paraId="45A4AAFF">
      <w:pPr>
        <w:pStyle w:val="3"/>
        <w:ind w:firstLine="480"/>
        <w:rPr>
          <w:rFonts w:hint="eastAsia"/>
          <w:highlight w:val="none"/>
        </w:rPr>
      </w:pPr>
      <w:r>
        <w:rPr>
          <w:rFonts w:hint="eastAsia"/>
          <w:highlight w:val="none"/>
        </w:rPr>
        <w:t>依据国家密码管理相关要求，为区政务应用提供商用密码资源保障与密码应用功能建设，满足密码应用安全性评估要求，提升政务信息系统密码防护能力。</w:t>
      </w:r>
    </w:p>
    <w:p w14:paraId="5940CEBA">
      <w:pPr>
        <w:pStyle w:val="6"/>
        <w:rPr>
          <w:rFonts w:hint="eastAsia"/>
          <w:highlight w:val="none"/>
        </w:rPr>
      </w:pPr>
      <w:r>
        <w:rPr>
          <w:rFonts w:hint="eastAsia" w:ascii="Times New Roman" w:hAnsi="Times New Roman"/>
          <w:highlight w:val="none"/>
        </w:rPr>
        <w:t>证书认证服务与安全介质</w:t>
      </w:r>
    </w:p>
    <w:p w14:paraId="2647AA76">
      <w:pPr>
        <w:pStyle w:val="3"/>
        <w:ind w:firstLine="480"/>
        <w:rPr>
          <w:rFonts w:hint="eastAsia"/>
          <w:highlight w:val="none"/>
        </w:rPr>
      </w:pPr>
      <w:r>
        <w:rPr>
          <w:rFonts w:hint="eastAsia"/>
          <w:highlight w:val="none"/>
        </w:rPr>
        <w:t>应采购并提供商用密码证书认证服务及配套安全介质，包括站点证书、设备证书、个人证书的签发与管理服务，以及Ukey、浏览器密码模块等密码安全介质，为政务应用提供身份认证与安全通信的密码支撑。</w:t>
      </w:r>
    </w:p>
    <w:p w14:paraId="26633222">
      <w:pPr>
        <w:pStyle w:val="7"/>
        <w:rPr>
          <w:rFonts w:hint="eastAsia"/>
          <w:highlight w:val="none"/>
        </w:rPr>
      </w:pPr>
      <w:r>
        <w:rPr>
          <w:rFonts w:hint="eastAsia" w:ascii="Times New Roman" w:hAnsi="Times New Roman"/>
          <w:highlight w:val="none"/>
        </w:rPr>
        <w:t>证书认证服务</w:t>
      </w:r>
    </w:p>
    <w:p w14:paraId="4686FDD8">
      <w:pPr>
        <w:pStyle w:val="3"/>
        <w:ind w:firstLine="480"/>
        <w:rPr>
          <w:rFonts w:hint="eastAsia"/>
          <w:highlight w:val="none"/>
        </w:rPr>
      </w:pPr>
      <w:r>
        <w:rPr>
          <w:rFonts w:hint="eastAsia"/>
          <w:highlight w:val="none"/>
        </w:rPr>
        <w:t>应提供证书认证服务，支持4套站点证书、3套设备证书、10套个人证书等各类证书的申请、签发、更新、注销与生命周期管理，保障证书体系规范可信。</w:t>
      </w:r>
    </w:p>
    <w:p w14:paraId="43C529DA">
      <w:pPr>
        <w:pStyle w:val="7"/>
        <w:rPr>
          <w:rFonts w:hint="eastAsia"/>
          <w:highlight w:val="none"/>
        </w:rPr>
      </w:pPr>
      <w:r>
        <w:rPr>
          <w:rFonts w:hint="eastAsia" w:ascii="Times New Roman" w:hAnsi="Times New Roman"/>
          <w:highlight w:val="none"/>
        </w:rPr>
        <w:t>Ukey与浏览器密码模块</w:t>
      </w:r>
    </w:p>
    <w:p w14:paraId="7DE356A0">
      <w:pPr>
        <w:pStyle w:val="3"/>
        <w:ind w:firstLine="480"/>
        <w:rPr>
          <w:rFonts w:hint="eastAsia"/>
          <w:highlight w:val="none"/>
        </w:rPr>
      </w:pPr>
      <w:r>
        <w:rPr>
          <w:rFonts w:hint="eastAsia"/>
          <w:highlight w:val="none"/>
        </w:rPr>
        <w:t>应提供10套Ukey与10套浏览器密码模块等安全介质，支持基于国产密码算法的身份鉴别与安全登录，保障用户访问身份的真实性与操作行为的抗抵赖性。</w:t>
      </w:r>
    </w:p>
    <w:p w14:paraId="157F2E71">
      <w:pPr>
        <w:pStyle w:val="6"/>
        <w:rPr>
          <w:rFonts w:hint="eastAsia"/>
          <w:highlight w:val="none"/>
        </w:rPr>
      </w:pPr>
      <w:r>
        <w:rPr>
          <w:rFonts w:hint="eastAsia" w:ascii="Times New Roman" w:hAnsi="Times New Roman"/>
          <w:highlight w:val="none"/>
        </w:rPr>
        <w:t>密码应用功能模块开发</w:t>
      </w:r>
    </w:p>
    <w:p w14:paraId="4B255155">
      <w:pPr>
        <w:pStyle w:val="3"/>
        <w:ind w:firstLine="480"/>
        <w:rPr>
          <w:rFonts w:hint="eastAsia"/>
          <w:highlight w:val="none"/>
        </w:rPr>
      </w:pPr>
      <w:r>
        <w:rPr>
          <w:rFonts w:hint="eastAsia"/>
          <w:highlight w:val="none"/>
        </w:rPr>
        <w:t>面向统一身份认证系统、人大代表业务系统、中小企业信用信息共享服务系统等政务应用，开展密码应用功能模块开发与集成，使相关业务系统具备符合密码应用安全性评估要求的密码防护能力。</w:t>
      </w:r>
    </w:p>
    <w:p w14:paraId="71AE1121">
      <w:pPr>
        <w:pStyle w:val="7"/>
        <w:rPr>
          <w:rFonts w:hint="eastAsia"/>
          <w:highlight w:val="none"/>
        </w:rPr>
      </w:pPr>
      <w:r>
        <w:rPr>
          <w:rFonts w:hint="eastAsia" w:ascii="Times New Roman" w:hAnsi="Times New Roman"/>
          <w:highlight w:val="none"/>
        </w:rPr>
        <w:t>用户身份认证机制模块</w:t>
      </w:r>
    </w:p>
    <w:p w14:paraId="3DD4045E">
      <w:pPr>
        <w:pStyle w:val="3"/>
        <w:ind w:firstLine="480"/>
        <w:rPr>
          <w:rFonts w:hint="eastAsia"/>
          <w:highlight w:val="none"/>
        </w:rPr>
      </w:pPr>
      <w:r>
        <w:rPr>
          <w:rFonts w:hint="eastAsia"/>
          <w:highlight w:val="none"/>
        </w:rPr>
        <w:t>应为相关业务系统开发部署用户身份认证密码模块，基于数字证书/密码技术实现用户身份的强认证，保障登录环节的身份真实性。</w:t>
      </w:r>
    </w:p>
    <w:p w14:paraId="09B85ADA">
      <w:pPr>
        <w:pStyle w:val="7"/>
        <w:rPr>
          <w:rFonts w:hint="eastAsia"/>
          <w:highlight w:val="none"/>
        </w:rPr>
      </w:pPr>
      <w:r>
        <w:rPr>
          <w:rFonts w:hint="eastAsia" w:ascii="Times New Roman" w:hAnsi="Times New Roman"/>
          <w:highlight w:val="none"/>
        </w:rPr>
        <w:t>业务重要数据安全传输模块</w:t>
      </w:r>
    </w:p>
    <w:p w14:paraId="0082025D">
      <w:pPr>
        <w:pStyle w:val="3"/>
        <w:ind w:firstLine="480"/>
        <w:rPr>
          <w:rFonts w:hint="eastAsia"/>
          <w:highlight w:val="none"/>
        </w:rPr>
      </w:pPr>
      <w:r>
        <w:rPr>
          <w:rFonts w:hint="eastAsia"/>
          <w:highlight w:val="none"/>
        </w:rPr>
        <w:t>应为相关业务系统开发部署安全传输密码模块，对业务重要数据传输过程实施加密保护，保障数据在传输过程中的机密性与完整性。</w:t>
      </w:r>
    </w:p>
    <w:p w14:paraId="16A160DC">
      <w:pPr>
        <w:pStyle w:val="7"/>
        <w:rPr>
          <w:rFonts w:hint="eastAsia"/>
          <w:highlight w:val="none"/>
        </w:rPr>
      </w:pPr>
      <w:r>
        <w:rPr>
          <w:rFonts w:hint="eastAsia" w:ascii="Times New Roman" w:hAnsi="Times New Roman"/>
          <w:highlight w:val="none"/>
        </w:rPr>
        <w:t>服务器虚拟机设备日志/访问控制信息完整性模块</w:t>
      </w:r>
    </w:p>
    <w:p w14:paraId="480D9ECE">
      <w:pPr>
        <w:pStyle w:val="3"/>
        <w:ind w:firstLine="480"/>
        <w:rPr>
          <w:rFonts w:hint="eastAsia"/>
          <w:highlight w:val="none"/>
        </w:rPr>
      </w:pPr>
      <w:r>
        <w:rPr>
          <w:rFonts w:hint="eastAsia"/>
          <w:highlight w:val="none"/>
        </w:rPr>
        <w:t>应开发部署服务器、虚拟机等设备的日志及访问控制信息完整性保护模块，采用密码技术保障系统日志与访问控制信息的完整性、防篡改。</w:t>
      </w:r>
    </w:p>
    <w:p w14:paraId="4D9223BB">
      <w:pPr>
        <w:pStyle w:val="7"/>
        <w:rPr>
          <w:rFonts w:hint="eastAsia"/>
          <w:highlight w:val="none"/>
        </w:rPr>
      </w:pPr>
      <w:r>
        <w:rPr>
          <w:rFonts w:hint="eastAsia" w:ascii="Times New Roman" w:hAnsi="Times New Roman"/>
          <w:highlight w:val="none"/>
        </w:rPr>
        <w:t>重要可执行程序签名验签模块</w:t>
      </w:r>
    </w:p>
    <w:p w14:paraId="7A71ABD3">
      <w:pPr>
        <w:pStyle w:val="3"/>
        <w:ind w:firstLine="480"/>
        <w:rPr>
          <w:rFonts w:hint="eastAsia"/>
          <w:highlight w:val="none"/>
        </w:rPr>
      </w:pPr>
      <w:r>
        <w:rPr>
          <w:rFonts w:hint="eastAsia"/>
          <w:highlight w:val="none"/>
        </w:rPr>
        <w:t>应开发部署可执行程序签名验签模块，对系统重要可执行程序进行数字签名与验签，防止程序被非法篡改，保障软件来源可信。</w:t>
      </w:r>
    </w:p>
    <w:p w14:paraId="75D9B742">
      <w:pPr>
        <w:pStyle w:val="7"/>
        <w:rPr>
          <w:rFonts w:hint="eastAsia"/>
          <w:highlight w:val="none"/>
        </w:rPr>
      </w:pPr>
      <w:r>
        <w:rPr>
          <w:rFonts w:hint="eastAsia" w:ascii="Times New Roman" w:hAnsi="Times New Roman"/>
          <w:highlight w:val="none"/>
        </w:rPr>
        <w:t>用户访问控制信息签名验签模块</w:t>
      </w:r>
    </w:p>
    <w:p w14:paraId="3C5857B0">
      <w:pPr>
        <w:pStyle w:val="3"/>
        <w:ind w:firstLine="480"/>
        <w:rPr>
          <w:rFonts w:hint="eastAsia"/>
          <w:highlight w:val="none"/>
        </w:rPr>
      </w:pPr>
      <w:r>
        <w:rPr>
          <w:rFonts w:hint="eastAsia"/>
          <w:highlight w:val="none"/>
        </w:rPr>
        <w:t>应开发部署用户访问控制信息签名验签模块，对用户访问控制信息实施签名保护与验签，保障授权信息的真实完整。</w:t>
      </w:r>
    </w:p>
    <w:p w14:paraId="2428C664">
      <w:pPr>
        <w:pStyle w:val="7"/>
        <w:rPr>
          <w:rFonts w:hint="eastAsia"/>
          <w:highlight w:val="none"/>
        </w:rPr>
      </w:pPr>
      <w:r>
        <w:rPr>
          <w:rFonts w:hint="eastAsia" w:ascii="Times New Roman" w:hAnsi="Times New Roman"/>
          <w:highlight w:val="none"/>
        </w:rPr>
        <w:t>应用系统重要数据加解密模块</w:t>
      </w:r>
    </w:p>
    <w:p w14:paraId="4B4FC0CC">
      <w:pPr>
        <w:pStyle w:val="3"/>
        <w:ind w:firstLine="480"/>
        <w:rPr>
          <w:rFonts w:hint="eastAsia"/>
          <w:highlight w:val="none"/>
        </w:rPr>
      </w:pPr>
      <w:r>
        <w:rPr>
          <w:rFonts w:hint="eastAsia"/>
          <w:highlight w:val="none"/>
        </w:rPr>
        <w:t>应开发部署应用系统重要数据加解密模块，对业务系统中的重要数据实施加密存储与解密使用，保障重要数据静态安全。</w:t>
      </w:r>
    </w:p>
    <w:p w14:paraId="4DA41D1D">
      <w:pPr>
        <w:pStyle w:val="7"/>
        <w:rPr>
          <w:rFonts w:hint="eastAsia"/>
          <w:highlight w:val="none"/>
        </w:rPr>
      </w:pPr>
      <w:r>
        <w:rPr>
          <w:rFonts w:hint="eastAsia" w:ascii="Times New Roman" w:hAnsi="Times New Roman"/>
          <w:highlight w:val="none"/>
        </w:rPr>
        <w:t>应用系统重要数据签名验签模块</w:t>
      </w:r>
    </w:p>
    <w:p w14:paraId="2BFDB48F">
      <w:pPr>
        <w:pStyle w:val="3"/>
        <w:ind w:firstLine="480"/>
        <w:rPr>
          <w:rFonts w:hint="eastAsia"/>
          <w:highlight w:val="none"/>
        </w:rPr>
      </w:pPr>
      <w:r>
        <w:rPr>
          <w:rFonts w:hint="eastAsia"/>
          <w:highlight w:val="none"/>
        </w:rPr>
        <w:t>应开发部署应用系统重要数据签名验签模块，对重要业务数据实施数字签名与验签，保障数据的真实性与完整性。</w:t>
      </w:r>
    </w:p>
    <w:p w14:paraId="3F048F51">
      <w:pPr>
        <w:pStyle w:val="3"/>
        <w:ind w:firstLine="480"/>
        <w:rPr>
          <w:rFonts w:hint="eastAsia"/>
          <w:highlight w:val="none"/>
        </w:rPr>
      </w:pPr>
    </w:p>
    <w:p w14:paraId="2CFAE733">
      <w:pPr>
        <w:pStyle w:val="4"/>
        <w:rPr>
          <w:rFonts w:ascii="Times New Roman" w:hAnsi="Times New Roman"/>
          <w:highlight w:val="none"/>
        </w:rPr>
      </w:pPr>
      <w:r>
        <w:rPr>
          <w:rFonts w:hint="eastAsia" w:ascii="Times New Roman" w:hAnsi="Times New Roman"/>
          <w:highlight w:val="none"/>
        </w:rPr>
        <w:t>其他拓展服务（产品采购）</w:t>
      </w:r>
    </w:p>
    <w:p w14:paraId="30846206">
      <w:pPr>
        <w:pStyle w:val="5"/>
        <w:rPr>
          <w:rFonts w:ascii="Times New Roman" w:hAnsi="Times New Roman"/>
          <w:highlight w:val="none"/>
        </w:rPr>
      </w:pPr>
      <w:r>
        <w:rPr>
          <w:rFonts w:hint="eastAsia" w:ascii="Times New Roman" w:hAnsi="Times New Roman"/>
          <w:highlight w:val="none"/>
        </w:rPr>
        <w:t>产品清单</w:t>
      </w:r>
    </w:p>
    <w:p w14:paraId="61B1597E">
      <w:pPr>
        <w:pStyle w:val="3"/>
        <w:ind w:firstLine="480"/>
        <w:rPr>
          <w:rFonts w:hint="eastAsia"/>
          <w:highlight w:val="none"/>
        </w:rPr>
      </w:pPr>
      <w:r>
        <w:rPr>
          <w:rFonts w:hint="eastAsia"/>
          <w:highlight w:val="none"/>
        </w:rPr>
        <w:t>提供区政务应用运行所需的软件授权、终端安全、数据安全与基础软件等拓展服务，为全区数字化应用稳定运行提供支撑保障。</w:t>
      </w:r>
    </w:p>
    <w:tbl>
      <w:tblPr>
        <w:tblStyle w:val="38"/>
        <w:tblW w:w="5000" w:type="pct"/>
        <w:tblInd w:w="0" w:type="dxa"/>
        <w:tblLayout w:type="autofit"/>
        <w:tblCellMar>
          <w:top w:w="0" w:type="dxa"/>
          <w:left w:w="108" w:type="dxa"/>
          <w:bottom w:w="0" w:type="dxa"/>
          <w:right w:w="108" w:type="dxa"/>
        </w:tblCellMar>
      </w:tblPr>
      <w:tblGrid>
        <w:gridCol w:w="694"/>
        <w:gridCol w:w="2558"/>
        <w:gridCol w:w="3489"/>
        <w:gridCol w:w="808"/>
        <w:gridCol w:w="973"/>
      </w:tblGrid>
      <w:tr w14:paraId="38E9420F">
        <w:tblPrEx>
          <w:tblCellMar>
            <w:top w:w="0" w:type="dxa"/>
            <w:left w:w="108" w:type="dxa"/>
            <w:bottom w:w="0" w:type="dxa"/>
            <w:right w:w="108" w:type="dxa"/>
          </w:tblCellMar>
        </w:tblPrEx>
        <w:trPr>
          <w:trHeight w:val="230" w:hRule="atLeast"/>
        </w:trPr>
        <w:tc>
          <w:tcPr>
            <w:tcW w:w="407" w:type="pct"/>
            <w:tcBorders>
              <w:top w:val="single" w:color="auto" w:sz="4" w:space="0"/>
              <w:left w:val="single" w:color="auto" w:sz="4" w:space="0"/>
              <w:bottom w:val="single" w:color="auto" w:sz="4" w:space="0"/>
              <w:right w:val="single" w:color="auto" w:sz="4" w:space="0"/>
            </w:tcBorders>
            <w:shd w:val="clear" w:color="000000" w:fill="BFBFBF"/>
            <w:noWrap/>
            <w:vAlign w:val="center"/>
          </w:tcPr>
          <w:p w14:paraId="6BC3246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序号</w:t>
            </w:r>
          </w:p>
        </w:tc>
        <w:tc>
          <w:tcPr>
            <w:tcW w:w="1501" w:type="pct"/>
            <w:tcBorders>
              <w:top w:val="single" w:color="auto" w:sz="4" w:space="0"/>
              <w:left w:val="nil"/>
              <w:bottom w:val="single" w:color="auto" w:sz="4" w:space="0"/>
              <w:right w:val="single" w:color="auto" w:sz="4" w:space="0"/>
            </w:tcBorders>
            <w:shd w:val="clear" w:color="000000" w:fill="BFBFBF"/>
            <w:noWrap/>
            <w:vAlign w:val="center"/>
          </w:tcPr>
          <w:p w14:paraId="3858069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类别</w:t>
            </w:r>
          </w:p>
        </w:tc>
        <w:tc>
          <w:tcPr>
            <w:tcW w:w="2047" w:type="pct"/>
            <w:tcBorders>
              <w:top w:val="single" w:color="auto" w:sz="4" w:space="0"/>
              <w:left w:val="nil"/>
              <w:bottom w:val="single" w:color="auto" w:sz="4" w:space="0"/>
              <w:right w:val="single" w:color="auto" w:sz="4" w:space="0"/>
            </w:tcBorders>
            <w:shd w:val="clear" w:color="000000" w:fill="BFBFBF"/>
            <w:noWrap/>
            <w:vAlign w:val="center"/>
          </w:tcPr>
          <w:p w14:paraId="2400B46E">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系统模块</w:t>
            </w:r>
          </w:p>
        </w:tc>
        <w:tc>
          <w:tcPr>
            <w:tcW w:w="474" w:type="pct"/>
            <w:tcBorders>
              <w:top w:val="single" w:color="auto" w:sz="4" w:space="0"/>
              <w:left w:val="nil"/>
              <w:bottom w:val="single" w:color="auto" w:sz="4" w:space="0"/>
              <w:right w:val="single" w:color="auto" w:sz="4" w:space="0"/>
            </w:tcBorders>
            <w:shd w:val="clear" w:color="000000" w:fill="BFBFBF"/>
            <w:noWrap/>
            <w:vAlign w:val="center"/>
          </w:tcPr>
          <w:p w14:paraId="4A16ABF0">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单位</w:t>
            </w:r>
          </w:p>
        </w:tc>
        <w:tc>
          <w:tcPr>
            <w:tcW w:w="571" w:type="pct"/>
            <w:tcBorders>
              <w:top w:val="single" w:color="auto" w:sz="4" w:space="0"/>
              <w:left w:val="nil"/>
              <w:bottom w:val="single" w:color="auto" w:sz="4" w:space="0"/>
              <w:right w:val="single" w:color="auto" w:sz="4" w:space="0"/>
            </w:tcBorders>
            <w:shd w:val="clear" w:color="000000" w:fill="BFBFBF"/>
            <w:noWrap/>
            <w:vAlign w:val="center"/>
          </w:tcPr>
          <w:p w14:paraId="62CEF71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数量</w:t>
            </w:r>
          </w:p>
        </w:tc>
      </w:tr>
      <w:tr w14:paraId="033D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07" w:type="pct"/>
            <w:shd w:val="clear" w:color="auto" w:fill="auto"/>
            <w:noWrap/>
            <w:vAlign w:val="center"/>
          </w:tcPr>
          <w:p w14:paraId="67980F17">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c>
          <w:tcPr>
            <w:tcW w:w="1501" w:type="pct"/>
            <w:vMerge w:val="restart"/>
            <w:vAlign w:val="center"/>
          </w:tcPr>
          <w:p w14:paraId="4F87D6C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其他拓展服务（产品采购）</w:t>
            </w:r>
          </w:p>
        </w:tc>
        <w:tc>
          <w:tcPr>
            <w:tcW w:w="2047" w:type="pct"/>
            <w:shd w:val="clear" w:color="auto" w:fill="auto"/>
            <w:vAlign w:val="center"/>
          </w:tcPr>
          <w:p w14:paraId="29482A1A">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办公软件授权</w:t>
            </w:r>
          </w:p>
        </w:tc>
        <w:tc>
          <w:tcPr>
            <w:tcW w:w="474" w:type="pct"/>
            <w:shd w:val="clear" w:color="auto" w:fill="auto"/>
            <w:vAlign w:val="center"/>
          </w:tcPr>
          <w:p w14:paraId="5083E0B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71" w:type="pct"/>
            <w:shd w:val="clear" w:color="auto" w:fill="auto"/>
            <w:vAlign w:val="center"/>
          </w:tcPr>
          <w:p w14:paraId="6E4FB772">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1000</w:t>
            </w:r>
          </w:p>
        </w:tc>
      </w:tr>
      <w:tr w14:paraId="5AFC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07" w:type="pct"/>
            <w:shd w:val="clear" w:color="auto" w:fill="auto"/>
            <w:noWrap/>
            <w:vAlign w:val="center"/>
          </w:tcPr>
          <w:p w14:paraId="6A4101F8">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w:t>
            </w:r>
          </w:p>
        </w:tc>
        <w:tc>
          <w:tcPr>
            <w:tcW w:w="1501" w:type="pct"/>
            <w:vMerge w:val="continue"/>
            <w:vAlign w:val="center"/>
          </w:tcPr>
          <w:p w14:paraId="5AF58486">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2047" w:type="pct"/>
            <w:shd w:val="clear" w:color="auto" w:fill="auto"/>
            <w:vAlign w:val="center"/>
          </w:tcPr>
          <w:p w14:paraId="17E9FC12">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终端安全保护</w:t>
            </w:r>
          </w:p>
        </w:tc>
        <w:tc>
          <w:tcPr>
            <w:tcW w:w="474" w:type="pct"/>
            <w:shd w:val="clear" w:color="auto" w:fill="auto"/>
            <w:vAlign w:val="center"/>
          </w:tcPr>
          <w:p w14:paraId="06780DE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个</w:t>
            </w:r>
          </w:p>
        </w:tc>
        <w:tc>
          <w:tcPr>
            <w:tcW w:w="571" w:type="pct"/>
            <w:shd w:val="clear" w:color="auto" w:fill="auto"/>
            <w:vAlign w:val="center"/>
          </w:tcPr>
          <w:p w14:paraId="46B9A504">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300</w:t>
            </w:r>
          </w:p>
        </w:tc>
      </w:tr>
      <w:tr w14:paraId="169C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07" w:type="pct"/>
            <w:shd w:val="clear" w:color="auto" w:fill="auto"/>
            <w:noWrap/>
            <w:vAlign w:val="center"/>
          </w:tcPr>
          <w:p w14:paraId="1FC8A11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3</w:t>
            </w:r>
          </w:p>
        </w:tc>
        <w:tc>
          <w:tcPr>
            <w:tcW w:w="1501" w:type="pct"/>
            <w:vMerge w:val="continue"/>
            <w:vAlign w:val="center"/>
          </w:tcPr>
          <w:p w14:paraId="6ED9753A">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2047" w:type="pct"/>
            <w:shd w:val="clear" w:color="auto" w:fill="auto"/>
            <w:vAlign w:val="center"/>
          </w:tcPr>
          <w:p w14:paraId="27732BE8">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数据隐写工具</w:t>
            </w:r>
          </w:p>
        </w:tc>
        <w:tc>
          <w:tcPr>
            <w:tcW w:w="474" w:type="pct"/>
            <w:shd w:val="clear" w:color="auto" w:fill="auto"/>
            <w:vAlign w:val="center"/>
          </w:tcPr>
          <w:p w14:paraId="0868243F">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71" w:type="pct"/>
            <w:shd w:val="clear" w:color="auto" w:fill="auto"/>
            <w:vAlign w:val="center"/>
          </w:tcPr>
          <w:p w14:paraId="1E434ADF">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1</w:t>
            </w:r>
          </w:p>
        </w:tc>
      </w:tr>
      <w:tr w14:paraId="050B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07" w:type="pct"/>
            <w:shd w:val="clear" w:color="auto" w:fill="auto"/>
            <w:noWrap/>
            <w:vAlign w:val="center"/>
          </w:tcPr>
          <w:p w14:paraId="7D8BA1E2">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4</w:t>
            </w:r>
          </w:p>
        </w:tc>
        <w:tc>
          <w:tcPr>
            <w:tcW w:w="1501" w:type="pct"/>
            <w:vMerge w:val="continue"/>
            <w:vAlign w:val="center"/>
          </w:tcPr>
          <w:p w14:paraId="70CE5F7F">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2047" w:type="pct"/>
            <w:shd w:val="clear" w:color="auto" w:fill="auto"/>
            <w:vAlign w:val="center"/>
          </w:tcPr>
          <w:p w14:paraId="383289D7">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操作系统★</w:t>
            </w:r>
          </w:p>
        </w:tc>
        <w:tc>
          <w:tcPr>
            <w:tcW w:w="474" w:type="pct"/>
            <w:shd w:val="clear" w:color="auto" w:fill="auto"/>
            <w:vAlign w:val="center"/>
          </w:tcPr>
          <w:p w14:paraId="05DEDCF1">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71" w:type="pct"/>
            <w:shd w:val="clear" w:color="auto" w:fill="auto"/>
            <w:vAlign w:val="center"/>
          </w:tcPr>
          <w:p w14:paraId="51CEC93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27</w:t>
            </w:r>
          </w:p>
        </w:tc>
      </w:tr>
      <w:tr w14:paraId="49B5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07" w:type="pct"/>
            <w:shd w:val="clear" w:color="auto" w:fill="auto"/>
            <w:noWrap/>
            <w:vAlign w:val="center"/>
          </w:tcPr>
          <w:p w14:paraId="14C38E8D">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5</w:t>
            </w:r>
          </w:p>
        </w:tc>
        <w:tc>
          <w:tcPr>
            <w:tcW w:w="1501" w:type="pct"/>
            <w:vMerge w:val="continue"/>
            <w:vAlign w:val="center"/>
          </w:tcPr>
          <w:p w14:paraId="2D4075CA">
            <w:pPr>
              <w:widowControl/>
              <w:ind w:firstLine="0" w:firstLineChars="0"/>
              <w:jc w:val="left"/>
              <w:rPr>
                <w:rFonts w:hint="eastAsia" w:ascii="HarmonyOS Sans SC" w:hAnsi="HarmonyOS Sans SC" w:eastAsia="HarmonyOS Sans SC" w:cs="宋体"/>
                <w:color w:val="000000"/>
                <w:kern w:val="0"/>
                <w:sz w:val="16"/>
                <w:szCs w:val="16"/>
                <w:highlight w:val="none"/>
              </w:rPr>
            </w:pPr>
          </w:p>
        </w:tc>
        <w:tc>
          <w:tcPr>
            <w:tcW w:w="2047" w:type="pct"/>
            <w:shd w:val="clear" w:color="auto" w:fill="auto"/>
            <w:vAlign w:val="center"/>
          </w:tcPr>
          <w:p w14:paraId="1CF39390">
            <w:pPr>
              <w:widowControl/>
              <w:ind w:firstLine="0" w:firstLineChars="0"/>
              <w:jc w:val="left"/>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中间件</w:t>
            </w:r>
          </w:p>
        </w:tc>
        <w:tc>
          <w:tcPr>
            <w:tcW w:w="474" w:type="pct"/>
            <w:shd w:val="clear" w:color="auto" w:fill="auto"/>
            <w:vAlign w:val="center"/>
          </w:tcPr>
          <w:p w14:paraId="4770B23C">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套</w:t>
            </w:r>
          </w:p>
        </w:tc>
        <w:tc>
          <w:tcPr>
            <w:tcW w:w="571" w:type="pct"/>
            <w:shd w:val="clear" w:color="auto" w:fill="auto"/>
            <w:vAlign w:val="center"/>
          </w:tcPr>
          <w:p w14:paraId="4972871B">
            <w:pPr>
              <w:widowControl/>
              <w:ind w:firstLine="0" w:firstLineChars="0"/>
              <w:jc w:val="center"/>
              <w:rPr>
                <w:rFonts w:hint="eastAsia" w:ascii="HarmonyOS Sans SC" w:hAnsi="HarmonyOS Sans SC" w:eastAsia="HarmonyOS Sans SC" w:cs="宋体"/>
                <w:color w:val="000000"/>
                <w:kern w:val="0"/>
                <w:sz w:val="16"/>
                <w:szCs w:val="16"/>
                <w:highlight w:val="none"/>
              </w:rPr>
            </w:pPr>
            <w:r>
              <w:rPr>
                <w:rFonts w:hint="eastAsia" w:ascii="HarmonyOS Sans SC" w:hAnsi="HarmonyOS Sans SC" w:eastAsia="HarmonyOS Sans SC" w:cs="宋体"/>
                <w:color w:val="000000"/>
                <w:kern w:val="0"/>
                <w:sz w:val="16"/>
                <w:szCs w:val="16"/>
                <w:highlight w:val="none"/>
              </w:rPr>
              <w:t>6</w:t>
            </w:r>
          </w:p>
        </w:tc>
      </w:tr>
    </w:tbl>
    <w:p w14:paraId="6422DEDF">
      <w:pPr>
        <w:pStyle w:val="3"/>
        <w:ind w:firstLine="480"/>
        <w:rPr>
          <w:rFonts w:hint="eastAsia"/>
          <w:highlight w:val="none"/>
        </w:rPr>
      </w:pPr>
      <w:r>
        <w:rPr>
          <w:rFonts w:hint="eastAsia"/>
          <w:highlight w:val="none"/>
        </w:rPr>
        <w:t>标“★”产品指标必须满足《财政部工业和信息化部关于印发《操作系统政府采购需求标准（2023年版）》》文件的要求，投标人应提供实质性响应承诺函（需提供承诺书，承诺本项目投标产品性能全部满足文件中加“*”指标要求，未提供视为不满足）</w:t>
      </w:r>
    </w:p>
    <w:p w14:paraId="28CCFA96">
      <w:pPr>
        <w:pStyle w:val="5"/>
        <w:rPr>
          <w:rFonts w:ascii="Times New Roman" w:hAnsi="Times New Roman"/>
          <w:highlight w:val="none"/>
        </w:rPr>
      </w:pPr>
      <w:r>
        <w:rPr>
          <w:rFonts w:hint="eastAsia" w:ascii="Times New Roman" w:hAnsi="Times New Roman"/>
          <w:highlight w:val="none"/>
        </w:rPr>
        <w:t>办公授权</w:t>
      </w:r>
    </w:p>
    <w:p w14:paraId="5AB623B5">
      <w:pPr>
        <w:pStyle w:val="3"/>
        <w:ind w:firstLine="480"/>
        <w:rPr>
          <w:rFonts w:hint="eastAsia"/>
          <w:highlight w:val="none"/>
        </w:rPr>
      </w:pPr>
      <w:r>
        <w:rPr>
          <w:rFonts w:hint="eastAsia"/>
          <w:highlight w:val="none"/>
        </w:rPr>
        <w:t>应提供1000个办公软件正版授权服务，满足全区政务办公人员日常文档处理的授权使用需要，确保办公软件合规授权、安全可用。</w:t>
      </w:r>
    </w:p>
    <w:p w14:paraId="1884C114">
      <w:pPr>
        <w:pStyle w:val="5"/>
        <w:rPr>
          <w:rFonts w:ascii="Times New Roman" w:hAnsi="Times New Roman"/>
          <w:highlight w:val="none"/>
        </w:rPr>
      </w:pPr>
      <w:r>
        <w:rPr>
          <w:rFonts w:hint="eastAsia" w:ascii="Times New Roman" w:hAnsi="Times New Roman"/>
          <w:highlight w:val="none"/>
        </w:rPr>
        <w:t>终端安全保护</w:t>
      </w:r>
    </w:p>
    <w:p w14:paraId="37EFEC71">
      <w:pPr>
        <w:pStyle w:val="3"/>
        <w:ind w:firstLine="480"/>
        <w:rPr>
          <w:rFonts w:hint="eastAsia"/>
          <w:highlight w:val="none"/>
        </w:rPr>
      </w:pPr>
      <w:r>
        <w:rPr>
          <w:rFonts w:hint="eastAsia"/>
          <w:highlight w:val="none"/>
        </w:rPr>
        <w:t>应提供300个一年终端安全保护能力，部署终端安全沙箱客户端，对政务终端数据实施安全防护，实现终端文件的安全隔离与管控，防止敏感数据非法外泄。</w:t>
      </w:r>
    </w:p>
    <w:p w14:paraId="0A4E6C2B">
      <w:pPr>
        <w:pStyle w:val="5"/>
        <w:rPr>
          <w:rFonts w:ascii="Times New Roman" w:hAnsi="Times New Roman"/>
          <w:highlight w:val="none"/>
        </w:rPr>
      </w:pPr>
      <w:r>
        <w:rPr>
          <w:rFonts w:hint="eastAsia" w:ascii="Times New Roman" w:hAnsi="Times New Roman"/>
          <w:highlight w:val="none"/>
        </w:rPr>
        <w:t>数据隐写工具</w:t>
      </w:r>
    </w:p>
    <w:p w14:paraId="7D985B2D">
      <w:pPr>
        <w:pStyle w:val="3"/>
        <w:ind w:firstLine="480"/>
        <w:rPr>
          <w:rFonts w:hint="eastAsia"/>
          <w:highlight w:val="none"/>
        </w:rPr>
      </w:pPr>
      <w:r>
        <w:rPr>
          <w:rFonts w:hint="eastAsia"/>
          <w:highlight w:val="none"/>
        </w:rPr>
        <w:t>应提供1套数据隐写工具，主要针对流式及版式文档数据进行数据隐写处理，将不可见信息以信息编码方式嵌入文档，实现文档出域可追溯，提升文档外发安全管控能力。</w:t>
      </w:r>
    </w:p>
    <w:p w14:paraId="58EEB7F8">
      <w:pPr>
        <w:pStyle w:val="5"/>
        <w:rPr>
          <w:rFonts w:ascii="Times New Roman" w:hAnsi="Times New Roman"/>
          <w:highlight w:val="none"/>
        </w:rPr>
      </w:pPr>
      <w:r>
        <w:rPr>
          <w:rFonts w:hint="eastAsia" w:ascii="Times New Roman" w:hAnsi="Times New Roman"/>
          <w:highlight w:val="none"/>
        </w:rPr>
        <w:t>操作系统</w:t>
      </w:r>
    </w:p>
    <w:p w14:paraId="59149137">
      <w:pPr>
        <w:pStyle w:val="3"/>
        <w:ind w:firstLine="480"/>
        <w:rPr>
          <w:rFonts w:hint="eastAsia"/>
          <w:highlight w:val="none"/>
        </w:rPr>
      </w:pPr>
      <w:r>
        <w:rPr>
          <w:rFonts w:hint="eastAsia"/>
          <w:highlight w:val="none"/>
        </w:rPr>
        <w:t>应提供27套国产操作系统，实现自主可控操作系统的采购与部署服务，按需部署适配政务应用的国产操作系统，满足</w:t>
      </w:r>
      <w:r>
        <w:rPr>
          <w:rFonts w:hint="eastAsia"/>
          <w:highlight w:val="none"/>
          <w:lang w:eastAsia="zh-CN"/>
        </w:rPr>
        <w:t>XC环境</w:t>
      </w:r>
      <w:r>
        <w:rPr>
          <w:rFonts w:hint="eastAsia"/>
          <w:highlight w:val="none"/>
        </w:rPr>
        <w:t>运行要求，保障系统基础软件安全。</w:t>
      </w:r>
    </w:p>
    <w:p w14:paraId="0513C8F2">
      <w:pPr>
        <w:pStyle w:val="5"/>
        <w:rPr>
          <w:rFonts w:ascii="Times New Roman" w:hAnsi="Times New Roman"/>
          <w:highlight w:val="none"/>
        </w:rPr>
      </w:pPr>
      <w:r>
        <w:rPr>
          <w:rFonts w:hint="eastAsia" w:ascii="Times New Roman" w:hAnsi="Times New Roman"/>
          <w:highlight w:val="none"/>
        </w:rPr>
        <w:t>中间件</w:t>
      </w:r>
    </w:p>
    <w:p w14:paraId="631096D9">
      <w:pPr>
        <w:pStyle w:val="3"/>
        <w:ind w:firstLine="480"/>
        <w:rPr>
          <w:rFonts w:hint="eastAsia"/>
          <w:highlight w:val="none"/>
        </w:rPr>
      </w:pPr>
      <w:r>
        <w:rPr>
          <w:rFonts w:hint="eastAsia"/>
          <w:highlight w:val="none"/>
        </w:rPr>
        <w:t>应提供6套国产中间件应用服务器软件，实现中间件的采购与部署服务，支撑政务应用系统在国产中间件环境下的部署运行，满足</w:t>
      </w:r>
      <w:r>
        <w:rPr>
          <w:rFonts w:hint="eastAsia"/>
          <w:highlight w:val="none"/>
          <w:lang w:eastAsia="zh-CN"/>
        </w:rPr>
        <w:t>XC</w:t>
      </w:r>
      <w:r>
        <w:rPr>
          <w:rFonts w:hint="eastAsia"/>
          <w:highlight w:val="none"/>
        </w:rPr>
        <w:t>技术路线要求。</w:t>
      </w:r>
    </w:p>
    <w:p w14:paraId="0E77DFBF">
      <w:pPr>
        <w:pStyle w:val="3"/>
        <w:ind w:firstLine="0" w:firstLineChars="0"/>
        <w:rPr>
          <w:rFonts w:hint="eastAsia"/>
          <w:highlight w:val="none"/>
        </w:rPr>
      </w:pPr>
    </w:p>
    <w:p w14:paraId="27CF5EDB">
      <w:pPr>
        <w:pStyle w:val="4"/>
        <w:ind w:left="1" w:hanging="1"/>
        <w:rPr>
          <w:rFonts w:ascii="Times New Roman" w:hAnsi="Times New Roman"/>
          <w:highlight w:val="none"/>
        </w:rPr>
      </w:pPr>
      <w:r>
        <w:rPr>
          <w:rFonts w:hint="eastAsia" w:ascii="Times New Roman" w:hAnsi="Times New Roman"/>
          <w:highlight w:val="none"/>
        </w:rPr>
        <w:t>技术要求</w:t>
      </w:r>
    </w:p>
    <w:p w14:paraId="5976C170">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整合设计要求</w:t>
      </w:r>
    </w:p>
    <w:p w14:paraId="3BE7C346">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建设需聚焦治理数字化转型，满足统一底座、统一入口、统一组织架构体系、统一标准规范体系、统一基础服务能力和统一运行保障原则。</w:t>
      </w:r>
    </w:p>
    <w:p w14:paraId="453B2940">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应用架构要求</w:t>
      </w:r>
    </w:p>
    <w:p w14:paraId="09AA4768">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本项目要求采用“平台+应用+数据”的建设模式，基于J2EE标准进行开发，采取数据集中的系统结构，整体系统为B/S架构，采用客户端浏览器－Web应用服务器－数据库服务器三层结构。应用功能应以轻应用方式进行构建，以确保整个系统的稳定性；同时应兼顾以后类似业务场景的需求变化，以达到业务功能的快速复用，实现节能增效。</w:t>
      </w:r>
    </w:p>
    <w:p w14:paraId="64821B60">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开发环境要求</w:t>
      </w:r>
    </w:p>
    <w:p w14:paraId="6E610D5C">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开发工具使用简易开发平台，应采用Java、JS、CSS、H5等语言进行开发。</w:t>
      </w:r>
    </w:p>
    <w:p w14:paraId="1C4A7A4F">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平台要求采用JAVA建设，支持XML和WebService、REST、ESB总线等主流数据接口，系统接口支持H5应用、原生App等扩展开发模式。</w:t>
      </w:r>
    </w:p>
    <w:p w14:paraId="7042F426">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系统要求采用B/S体系结构，用户可以方便的通过多种浏览器获得各种信息，界面友好、美观。用户可快速搭建业务，定制业务工作流程，设置组织机构，并能够方便快捷地完成工作表单内容样式调整、业务流程修改、人员权限变动、系统数据备份等日常维护工作。</w:t>
      </w:r>
    </w:p>
    <w:p w14:paraId="539D52A2">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部署环境要求</w:t>
      </w:r>
    </w:p>
    <w:p w14:paraId="5578025E">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本项目需基于XC环境进行建设，采用XC服务器、XC操作系统、XC数据库和XC中间件，需要充分考虑XC环境的各项技术路线适配情况，保证系统正常运行。</w:t>
      </w:r>
    </w:p>
    <w:p w14:paraId="77FFB11A">
      <w:pPr>
        <w:pStyle w:val="149"/>
        <w:numPr>
          <w:ilvl w:val="0"/>
          <w:numId w:val="3"/>
        </w:numPr>
        <w:ind w:firstLineChars="0"/>
        <w:rPr>
          <w:rFonts w:ascii="Times New Roman" w:hAnsi="Times New Roman" w:eastAsia="宋体"/>
          <w:b/>
          <w:bCs/>
          <w:sz w:val="21"/>
          <w:szCs w:val="21"/>
          <w:highlight w:val="none"/>
        </w:rPr>
      </w:pPr>
      <w:bookmarkStart w:id="17" w:name="_Toc136979010"/>
      <w:r>
        <w:rPr>
          <w:rFonts w:hint="eastAsia" w:ascii="Times New Roman" w:hAnsi="Times New Roman" w:eastAsia="宋体"/>
          <w:b/>
          <w:bCs/>
          <w:sz w:val="21"/>
          <w:szCs w:val="21"/>
          <w:highlight w:val="none"/>
        </w:rPr>
        <w:t>安全设计要求</w:t>
      </w:r>
    </w:p>
    <w:p w14:paraId="273A344C">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平台不仅要提供稳定可靠、质量保证的政务办公服务，还要最大限度地保障数据信息资源的安全，保障系统平台运行的安全。</w:t>
      </w:r>
    </w:p>
    <w:bookmarkEnd w:id="17"/>
    <w:p w14:paraId="7EF51934">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等级保护要求</w:t>
      </w:r>
    </w:p>
    <w:p w14:paraId="1BD4D8AD">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本项目网络安全等级按照第三级进行设计和建设。系统部署在电子政务云XC环境中，根据电子政务云资源情况设计符合相关安全防护措施。系统建设完成后，将由采购人委托第三方安全测评机构对本项目进行安全测评，投标人需配合安全测评，超出采购人提供的安全服务由投标人自理，测评通过后方可验收。</w:t>
      </w:r>
    </w:p>
    <w:p w14:paraId="4F893731">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软件测评要求</w:t>
      </w:r>
    </w:p>
    <w:p w14:paraId="5E17448A">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本项目需符合软件测评的要求，投标人需配合项目建设单位及具有资质的第三方测评机构完成软件测评工作，以第三方测评机构出具的软件测评报告为准，软件测评费用由采购人承担。</w:t>
      </w:r>
    </w:p>
    <w:p w14:paraId="3DAD57FF">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密码测评要求</w:t>
      </w:r>
    </w:p>
    <w:p w14:paraId="3E15A0C3">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按照国家相关规定，全面落实基于商用密码技术的加密算法在等级保护建设中的应用，在生命周期内同步规划、同步建设、同步运行密码保障系统，建立基于密码技术的密码服务支撑平台，支持高强度身份鉴别、访问控制、数据完整性、数据保密性、抗抵赖等安全功能的实现。系统建设完成后，委托密评机构进行密码应用安全测评，测评结果满足相关要求。通过建设一套密码技术支撑体系，支持商用密码算法，围绕商用密码技术提供的基础服务功能机密性、完整性、真实性及不可否认性，整合密码服务资源，通过统一的支撑平台合理分配密码服务资源，为安全可靠应用和网络安全提供密码服务支撑。</w:t>
      </w:r>
    </w:p>
    <w:p w14:paraId="5EC52B7C">
      <w:pPr>
        <w:pStyle w:val="149"/>
        <w:numPr>
          <w:ilvl w:val="0"/>
          <w:numId w:val="3"/>
        </w:numPr>
        <w:ind w:firstLineChars="0"/>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数据库和存储需求</w:t>
      </w:r>
    </w:p>
    <w:p w14:paraId="4D221B4C">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本项目采用电子政务云的数据库软件，符合XC数据库使用要求，以提供自助查询、日志和运维分析数据查询、历史数据和应用数据以及运维平台的结构化和非结构化数据存储等功能。同时确保有足够存储资源对相关应用进行支持。</w:t>
      </w:r>
    </w:p>
    <w:p w14:paraId="307E17FD">
      <w:pPr>
        <w:pStyle w:val="149"/>
        <w:ind w:firstLine="420"/>
        <w:rPr>
          <w:rFonts w:ascii="Times New Roman" w:hAnsi="Times New Roman" w:eastAsia="宋体"/>
          <w:sz w:val="21"/>
          <w:szCs w:val="21"/>
          <w:highlight w:val="none"/>
        </w:rPr>
      </w:pPr>
    </w:p>
    <w:p w14:paraId="706B1588">
      <w:pPr>
        <w:pStyle w:val="4"/>
        <w:ind w:left="1" w:hanging="1"/>
        <w:rPr>
          <w:rFonts w:ascii="Times New Roman" w:hAnsi="Times New Roman"/>
          <w:highlight w:val="none"/>
        </w:rPr>
      </w:pPr>
      <w:bookmarkStart w:id="18" w:name="_Toc103690306"/>
      <w:r>
        <w:rPr>
          <w:rFonts w:hint="eastAsia" w:ascii="Times New Roman" w:hAnsi="Times New Roman"/>
          <w:highlight w:val="none"/>
        </w:rPr>
        <w:t>绩效目标</w:t>
      </w:r>
    </w:p>
    <w:p w14:paraId="5725ED54">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系统相关技术指标参数见下表：</w:t>
      </w:r>
    </w:p>
    <w:p w14:paraId="650E9125">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在满足系统总用户20000个，同时在线用户数2000个，并发用户数300个的前提下：</w:t>
      </w:r>
    </w:p>
    <w:p w14:paraId="7AE32C47">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（1）系统登录结果响应时间。用户登录时间≤3秒；页面间跳转时间≤5秒。</w:t>
      </w:r>
    </w:p>
    <w:p w14:paraId="782698F3">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（2）事务处理结果响应时间。简单事务处理（包含各类信息录入、修改、删除）≤3秒；复杂事务处理≤5秒。</w:t>
      </w:r>
    </w:p>
    <w:p w14:paraId="7BC69789">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（3）系统查询结果响应时间。一般查询≤3秒；复杂查询≤8秒。</w:t>
      </w:r>
    </w:p>
    <w:p w14:paraId="0CB06D51">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（4）系统统计结果响应时间。一般系统统计≤3秒；复杂系统统计≤8秒。</w:t>
      </w:r>
    </w:p>
    <w:p w14:paraId="675E6A5B">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（5）在系统处理量达到日常处理量2倍的情况下，系统响应时间下降幅度不能超过30%。</w:t>
      </w:r>
    </w:p>
    <w:p w14:paraId="2C230C29">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（6）系统支持3年内年增长100%的处理能力要求。</w:t>
      </w:r>
    </w:p>
    <w:p w14:paraId="57965856">
      <w:pPr>
        <w:pStyle w:val="149"/>
        <w:ind w:firstLine="420"/>
        <w:rPr>
          <w:rFonts w:ascii="Times New Roman" w:hAnsi="Times New Roman" w:eastAsia="宋体"/>
          <w:sz w:val="21"/>
          <w:szCs w:val="21"/>
          <w:highlight w:val="none"/>
        </w:rPr>
      </w:pPr>
      <w:r>
        <w:rPr>
          <w:rFonts w:hint="eastAsia" w:ascii="Times New Roman" w:hAnsi="Times New Roman" w:eastAsia="宋体"/>
          <w:sz w:val="21"/>
          <w:szCs w:val="21"/>
          <w:highlight w:val="none"/>
        </w:rPr>
        <w:t>（7）应用系统并发用户数设计应该支持30%的冗余，保证系统在业务高峰期间稳定运行。</w:t>
      </w:r>
    </w:p>
    <w:p w14:paraId="3DC7B41C">
      <w:pPr>
        <w:pStyle w:val="3"/>
        <w:ind w:firstLine="0" w:firstLineChars="0"/>
        <w:rPr>
          <w:rFonts w:hint="eastAsia"/>
          <w:highlight w:val="none"/>
        </w:rPr>
      </w:pPr>
    </w:p>
    <w:bookmarkEnd w:id="18"/>
    <w:p w14:paraId="315559FC">
      <w:pPr>
        <w:pStyle w:val="2"/>
        <w:ind w:left="-2" w:leftChars="-1" w:firstLine="1"/>
        <w:rPr>
          <w:rFonts w:ascii="Times New Roman" w:hAnsi="Times New Roman"/>
          <w:highlight w:val="none"/>
        </w:rPr>
      </w:pPr>
      <w:bookmarkStart w:id="19" w:name="_Toc63785503"/>
      <w:r>
        <w:rPr>
          <w:rFonts w:hint="eastAsia" w:ascii="Times New Roman" w:hAnsi="Times New Roman"/>
          <w:highlight w:val="none"/>
        </w:rPr>
        <w:t>电子政务云资源需求</w:t>
      </w:r>
    </w:p>
    <w:tbl>
      <w:tblPr>
        <w:tblStyle w:val="38"/>
        <w:tblW w:w="4997" w:type="pct"/>
        <w:jc w:val="center"/>
        <w:tblLayout w:type="autofit"/>
        <w:tblCellMar>
          <w:top w:w="0" w:type="dxa"/>
          <w:left w:w="108" w:type="dxa"/>
          <w:bottom w:w="0" w:type="dxa"/>
          <w:right w:w="108" w:type="dxa"/>
        </w:tblCellMar>
      </w:tblPr>
      <w:tblGrid>
        <w:gridCol w:w="570"/>
        <w:gridCol w:w="1174"/>
        <w:gridCol w:w="1019"/>
        <w:gridCol w:w="2184"/>
        <w:gridCol w:w="1305"/>
        <w:gridCol w:w="1267"/>
        <w:gridCol w:w="998"/>
      </w:tblGrid>
      <w:tr w14:paraId="5EA3D5BF">
        <w:tblPrEx>
          <w:tblCellMar>
            <w:top w:w="0" w:type="dxa"/>
            <w:left w:w="108" w:type="dxa"/>
            <w:bottom w:w="0" w:type="dxa"/>
            <w:right w:w="108" w:type="dxa"/>
          </w:tblCellMar>
        </w:tblPrEx>
        <w:trPr>
          <w:trHeight w:val="104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269DAC9">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序号</w:t>
            </w:r>
          </w:p>
        </w:tc>
        <w:tc>
          <w:tcPr>
            <w:tcW w:w="689" w:type="pct"/>
            <w:tcBorders>
              <w:top w:val="single" w:color="auto" w:sz="4" w:space="0"/>
              <w:left w:val="nil"/>
              <w:bottom w:val="single" w:color="auto" w:sz="4" w:space="0"/>
              <w:right w:val="single" w:color="auto" w:sz="4" w:space="0"/>
            </w:tcBorders>
            <w:vAlign w:val="center"/>
          </w:tcPr>
          <w:p w14:paraId="21FB1A60">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资源网络</w:t>
            </w:r>
          </w:p>
        </w:tc>
        <w:tc>
          <w:tcPr>
            <w:tcW w:w="598" w:type="pct"/>
            <w:tcBorders>
              <w:top w:val="single" w:color="auto" w:sz="4" w:space="0"/>
              <w:left w:val="nil"/>
              <w:bottom w:val="single" w:color="auto" w:sz="4" w:space="0"/>
              <w:right w:val="single" w:color="auto" w:sz="4" w:space="0"/>
            </w:tcBorders>
            <w:vAlign w:val="center"/>
          </w:tcPr>
          <w:p w14:paraId="392FA80C">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资源类别</w:t>
            </w:r>
          </w:p>
        </w:tc>
        <w:tc>
          <w:tcPr>
            <w:tcW w:w="1282" w:type="pct"/>
            <w:tcBorders>
              <w:top w:val="single" w:color="auto" w:sz="4" w:space="0"/>
              <w:left w:val="nil"/>
              <w:bottom w:val="single" w:color="auto" w:sz="4" w:space="0"/>
              <w:right w:val="single" w:color="auto" w:sz="4" w:space="0"/>
            </w:tcBorders>
            <w:vAlign w:val="center"/>
          </w:tcPr>
          <w:p w14:paraId="744E9FA9">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资源名称</w:t>
            </w:r>
          </w:p>
        </w:tc>
        <w:tc>
          <w:tcPr>
            <w:tcW w:w="766" w:type="pct"/>
            <w:tcBorders>
              <w:top w:val="single" w:color="auto" w:sz="4" w:space="0"/>
              <w:left w:val="nil"/>
              <w:bottom w:val="single" w:color="auto" w:sz="4" w:space="0"/>
              <w:right w:val="single" w:color="auto" w:sz="4" w:space="0"/>
            </w:tcBorders>
            <w:vAlign w:val="center"/>
          </w:tcPr>
          <w:p w14:paraId="0750054B">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资源用途</w:t>
            </w:r>
          </w:p>
        </w:tc>
        <w:tc>
          <w:tcPr>
            <w:tcW w:w="744" w:type="pct"/>
            <w:tcBorders>
              <w:top w:val="single" w:color="auto" w:sz="4" w:space="0"/>
              <w:left w:val="nil"/>
              <w:bottom w:val="single" w:color="auto" w:sz="4" w:space="0"/>
              <w:right w:val="single" w:color="auto" w:sz="4" w:space="0"/>
            </w:tcBorders>
            <w:vAlign w:val="center"/>
          </w:tcPr>
          <w:p w14:paraId="23E7BB21">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虚机存储(500G/个)</w:t>
            </w:r>
          </w:p>
        </w:tc>
        <w:tc>
          <w:tcPr>
            <w:tcW w:w="586" w:type="pct"/>
            <w:tcBorders>
              <w:top w:val="single" w:color="auto" w:sz="4" w:space="0"/>
              <w:left w:val="nil"/>
              <w:bottom w:val="single" w:color="auto" w:sz="4" w:space="0"/>
              <w:right w:val="single" w:color="auto" w:sz="4" w:space="0"/>
            </w:tcBorders>
            <w:vAlign w:val="center"/>
          </w:tcPr>
          <w:p w14:paraId="0C02B343">
            <w:pPr>
              <w:widowControl/>
              <w:ind w:firstLine="0" w:firstLineChars="0"/>
              <w:jc w:val="center"/>
              <w:rPr>
                <w:rFonts w:hint="eastAsia" w:cs="Microsoft Sans Serif"/>
                <w:b/>
                <w:bCs/>
                <w:kern w:val="0"/>
                <w:sz w:val="18"/>
                <w:szCs w:val="18"/>
                <w:highlight w:val="none"/>
              </w:rPr>
            </w:pPr>
            <w:r>
              <w:rPr>
                <w:rFonts w:cs="Microsoft Sans Serif"/>
                <w:b/>
                <w:bCs/>
                <w:kern w:val="0"/>
                <w:sz w:val="18"/>
                <w:szCs w:val="18"/>
                <w:highlight w:val="none"/>
              </w:rPr>
              <w:t>数量(台)</w:t>
            </w:r>
          </w:p>
        </w:tc>
      </w:tr>
      <w:tr w14:paraId="5EC5CDB6">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4E4BFA5F">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689" w:type="pct"/>
            <w:tcBorders>
              <w:top w:val="single" w:color="auto" w:sz="4" w:space="0"/>
              <w:left w:val="single" w:color="auto" w:sz="4" w:space="0"/>
              <w:bottom w:val="single" w:color="auto" w:sz="4" w:space="0"/>
              <w:right w:val="single" w:color="auto" w:sz="4" w:space="0"/>
            </w:tcBorders>
            <w:vAlign w:val="center"/>
          </w:tcPr>
          <w:p w14:paraId="53D0DD43">
            <w:pPr>
              <w:widowControl/>
              <w:ind w:firstLine="0" w:firstLineChars="0"/>
              <w:jc w:val="center"/>
              <w:rPr>
                <w:rFonts w:hint="eastAsia"/>
                <w:kern w:val="0"/>
                <w:sz w:val="18"/>
                <w:szCs w:val="18"/>
                <w:highlight w:val="none"/>
              </w:rPr>
            </w:pPr>
            <w:r>
              <w:rPr>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0EC52983">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3CD635B8">
            <w:pPr>
              <w:widowControl/>
              <w:ind w:firstLine="0" w:firstLineChars="0"/>
              <w:jc w:val="center"/>
              <w:rPr>
                <w:rFonts w:hint="eastAsia"/>
                <w:kern w:val="0"/>
                <w:sz w:val="18"/>
                <w:szCs w:val="18"/>
                <w:highlight w:val="none"/>
              </w:rPr>
            </w:pPr>
            <w:r>
              <w:rPr>
                <w:rFonts w:hint="eastAsia"/>
                <w:kern w:val="0"/>
                <w:sz w:val="18"/>
                <w:szCs w:val="18"/>
                <w:highlight w:val="none"/>
              </w:rPr>
              <w:t>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00D7B75A">
            <w:pPr>
              <w:widowControl/>
              <w:ind w:firstLine="0" w:firstLineChars="0"/>
              <w:jc w:val="center"/>
              <w:rPr>
                <w:rFonts w:hint="eastAsia"/>
                <w:kern w:val="0"/>
                <w:sz w:val="18"/>
                <w:szCs w:val="18"/>
                <w:highlight w:val="none"/>
              </w:rPr>
            </w:pPr>
            <w:r>
              <w:rPr>
                <w:rFonts w:hint="eastAsia"/>
                <w:kern w:val="0"/>
                <w:sz w:val="18"/>
                <w:szCs w:val="18"/>
                <w:highlight w:val="none"/>
              </w:rPr>
              <w:t>统一身份认证前端服务群</w:t>
            </w:r>
          </w:p>
        </w:tc>
        <w:tc>
          <w:tcPr>
            <w:tcW w:w="744" w:type="pct"/>
            <w:tcBorders>
              <w:top w:val="single" w:color="auto" w:sz="4" w:space="0"/>
              <w:left w:val="single" w:color="auto" w:sz="4" w:space="0"/>
              <w:bottom w:val="single" w:color="auto" w:sz="4" w:space="0"/>
              <w:right w:val="single" w:color="auto" w:sz="4" w:space="0"/>
            </w:tcBorders>
            <w:vAlign w:val="center"/>
          </w:tcPr>
          <w:p w14:paraId="6EA1B38F">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4C727A2C">
            <w:pPr>
              <w:widowControl/>
              <w:ind w:firstLine="0" w:firstLineChars="0"/>
              <w:jc w:val="center"/>
              <w:rPr>
                <w:rFonts w:hint="eastAsia"/>
                <w:kern w:val="0"/>
                <w:sz w:val="18"/>
                <w:szCs w:val="18"/>
                <w:highlight w:val="none"/>
              </w:rPr>
            </w:pPr>
            <w:r>
              <w:rPr>
                <w:rFonts w:hint="eastAsia"/>
                <w:kern w:val="0"/>
                <w:sz w:val="18"/>
                <w:szCs w:val="18"/>
                <w:highlight w:val="none"/>
              </w:rPr>
              <w:t>3</w:t>
            </w:r>
          </w:p>
        </w:tc>
      </w:tr>
      <w:tr w14:paraId="16E67171">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6571B640">
            <w:pPr>
              <w:widowControl/>
              <w:ind w:firstLine="0" w:firstLineChars="0"/>
              <w:jc w:val="center"/>
              <w:rPr>
                <w:rFonts w:hint="eastAsia"/>
                <w:kern w:val="0"/>
                <w:sz w:val="18"/>
                <w:szCs w:val="18"/>
                <w:highlight w:val="none"/>
              </w:rPr>
            </w:pPr>
            <w:r>
              <w:rPr>
                <w:rFonts w:hint="eastAsia"/>
                <w:kern w:val="0"/>
                <w:sz w:val="18"/>
                <w:szCs w:val="18"/>
                <w:highlight w:val="none"/>
              </w:rPr>
              <w:t>2</w:t>
            </w:r>
          </w:p>
        </w:tc>
        <w:tc>
          <w:tcPr>
            <w:tcW w:w="689" w:type="pct"/>
            <w:tcBorders>
              <w:top w:val="single" w:color="auto" w:sz="4" w:space="0"/>
              <w:left w:val="single" w:color="auto" w:sz="4" w:space="0"/>
              <w:bottom w:val="single" w:color="auto" w:sz="4" w:space="0"/>
              <w:right w:val="single" w:color="auto" w:sz="4" w:space="0"/>
            </w:tcBorders>
            <w:vAlign w:val="center"/>
          </w:tcPr>
          <w:p w14:paraId="5669AE1C">
            <w:pPr>
              <w:widowControl/>
              <w:ind w:firstLine="0" w:firstLineChars="0"/>
              <w:jc w:val="center"/>
              <w:rPr>
                <w:rFonts w:hint="eastAsia"/>
                <w:kern w:val="0"/>
                <w:sz w:val="18"/>
                <w:szCs w:val="18"/>
                <w:highlight w:val="none"/>
              </w:rPr>
            </w:pPr>
            <w:r>
              <w:rPr>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2F49417D">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28621FAB">
            <w:pPr>
              <w:widowControl/>
              <w:ind w:firstLine="0" w:firstLineChars="0"/>
              <w:jc w:val="center"/>
              <w:rPr>
                <w:rFonts w:hint="eastAsia"/>
                <w:kern w:val="0"/>
                <w:sz w:val="18"/>
                <w:szCs w:val="18"/>
                <w:highlight w:val="none"/>
              </w:rPr>
            </w:pPr>
            <w:r>
              <w:rPr>
                <w:rFonts w:hint="eastAsia"/>
                <w:kern w:val="0"/>
                <w:sz w:val="18"/>
                <w:szCs w:val="18"/>
                <w:highlight w:val="none"/>
              </w:rPr>
              <w:t>对象存储</w:t>
            </w:r>
          </w:p>
        </w:tc>
        <w:tc>
          <w:tcPr>
            <w:tcW w:w="766" w:type="pct"/>
            <w:tcBorders>
              <w:top w:val="single" w:color="auto" w:sz="4" w:space="0"/>
              <w:left w:val="single" w:color="auto" w:sz="4" w:space="0"/>
              <w:bottom w:val="single" w:color="auto" w:sz="4" w:space="0"/>
              <w:right w:val="single" w:color="auto" w:sz="4" w:space="0"/>
            </w:tcBorders>
            <w:vAlign w:val="center"/>
          </w:tcPr>
          <w:p w14:paraId="5765B2FE">
            <w:pPr>
              <w:widowControl/>
              <w:ind w:firstLine="0" w:firstLineChars="0"/>
              <w:jc w:val="center"/>
              <w:rPr>
                <w:rFonts w:hint="eastAsia"/>
                <w:kern w:val="0"/>
                <w:sz w:val="18"/>
                <w:szCs w:val="18"/>
                <w:highlight w:val="none"/>
              </w:rPr>
            </w:pPr>
            <w:r>
              <w:rPr>
                <w:rFonts w:hint="eastAsia"/>
                <w:kern w:val="0"/>
                <w:sz w:val="18"/>
                <w:szCs w:val="18"/>
                <w:highlight w:val="none"/>
              </w:rPr>
              <w:t>工作密码安全防护使用</w:t>
            </w:r>
          </w:p>
        </w:tc>
        <w:tc>
          <w:tcPr>
            <w:tcW w:w="744" w:type="pct"/>
            <w:tcBorders>
              <w:top w:val="single" w:color="auto" w:sz="4" w:space="0"/>
              <w:left w:val="single" w:color="auto" w:sz="4" w:space="0"/>
              <w:bottom w:val="single" w:color="auto" w:sz="4" w:space="0"/>
              <w:right w:val="single" w:color="auto" w:sz="4" w:space="0"/>
            </w:tcBorders>
            <w:vAlign w:val="center"/>
          </w:tcPr>
          <w:p w14:paraId="7390AC3D">
            <w:pPr>
              <w:widowControl/>
              <w:ind w:firstLine="0" w:firstLineChars="0"/>
              <w:jc w:val="center"/>
              <w:rPr>
                <w:rFonts w:hint="eastAsia"/>
                <w:kern w:val="0"/>
                <w:sz w:val="18"/>
                <w:szCs w:val="18"/>
                <w:highlight w:val="none"/>
              </w:rPr>
            </w:pPr>
            <w:r>
              <w:rPr>
                <w:rFonts w:hint="eastAsia"/>
                <w:kern w:val="0"/>
                <w:sz w:val="18"/>
                <w:szCs w:val="18"/>
                <w:highlight w:val="none"/>
              </w:rPr>
              <w:t>1</w:t>
            </w:r>
            <w:r>
              <w:rPr>
                <w:kern w:val="0"/>
                <w:sz w:val="18"/>
                <w:szCs w:val="18"/>
                <w:highlight w:val="none"/>
              </w:rPr>
              <w:t>0</w:t>
            </w:r>
          </w:p>
        </w:tc>
        <w:tc>
          <w:tcPr>
            <w:tcW w:w="586" w:type="pct"/>
            <w:tcBorders>
              <w:top w:val="single" w:color="auto" w:sz="4" w:space="0"/>
              <w:left w:val="single" w:color="auto" w:sz="4" w:space="0"/>
              <w:bottom w:val="single" w:color="auto" w:sz="4" w:space="0"/>
              <w:right w:val="single" w:color="auto" w:sz="4" w:space="0"/>
            </w:tcBorders>
            <w:vAlign w:val="center"/>
          </w:tcPr>
          <w:p w14:paraId="102C8491">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7A5585B5">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219AA976">
            <w:pPr>
              <w:widowControl/>
              <w:ind w:firstLine="0" w:firstLineChars="0"/>
              <w:jc w:val="center"/>
              <w:rPr>
                <w:rFonts w:hint="eastAsia"/>
                <w:kern w:val="0"/>
                <w:sz w:val="18"/>
                <w:szCs w:val="18"/>
                <w:highlight w:val="none"/>
              </w:rPr>
            </w:pPr>
            <w:r>
              <w:rPr>
                <w:rFonts w:hint="eastAsia"/>
                <w:kern w:val="0"/>
                <w:sz w:val="18"/>
                <w:szCs w:val="18"/>
                <w:highlight w:val="none"/>
              </w:rPr>
              <w:t>3</w:t>
            </w:r>
          </w:p>
        </w:tc>
        <w:tc>
          <w:tcPr>
            <w:tcW w:w="689" w:type="pct"/>
            <w:tcBorders>
              <w:top w:val="single" w:color="auto" w:sz="4" w:space="0"/>
              <w:left w:val="single" w:color="auto" w:sz="4" w:space="0"/>
              <w:bottom w:val="single" w:color="auto" w:sz="4" w:space="0"/>
              <w:right w:val="single" w:color="auto" w:sz="4" w:space="0"/>
            </w:tcBorders>
            <w:vAlign w:val="center"/>
          </w:tcPr>
          <w:p w14:paraId="4563CA31">
            <w:pPr>
              <w:widowControl/>
              <w:ind w:firstLine="0" w:firstLineChars="0"/>
              <w:jc w:val="center"/>
              <w:rPr>
                <w:rFonts w:hint="eastAsia"/>
                <w:kern w:val="0"/>
                <w:sz w:val="18"/>
                <w:szCs w:val="18"/>
                <w:highlight w:val="none"/>
              </w:rPr>
            </w:pPr>
            <w:r>
              <w:rPr>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205087BA">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4C73C0D0">
            <w:pPr>
              <w:widowControl/>
              <w:ind w:firstLine="0" w:firstLineChars="0"/>
              <w:jc w:val="center"/>
              <w:rPr>
                <w:rFonts w:hint="eastAsia"/>
                <w:kern w:val="0"/>
                <w:sz w:val="18"/>
                <w:szCs w:val="18"/>
                <w:highlight w:val="none"/>
              </w:rPr>
            </w:pPr>
            <w:r>
              <w:rPr>
                <w:rFonts w:hint="eastAsia"/>
                <w:kern w:val="0"/>
                <w:sz w:val="18"/>
                <w:szCs w:val="18"/>
                <w:highlight w:val="none"/>
              </w:rPr>
              <w:t>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0FB8C807">
            <w:pPr>
              <w:widowControl/>
              <w:ind w:firstLine="0" w:firstLineChars="0"/>
              <w:jc w:val="center"/>
              <w:rPr>
                <w:rFonts w:hint="eastAsia"/>
                <w:kern w:val="0"/>
                <w:sz w:val="18"/>
                <w:szCs w:val="18"/>
                <w:highlight w:val="none"/>
              </w:rPr>
            </w:pPr>
            <w:r>
              <w:rPr>
                <w:rFonts w:hint="eastAsia"/>
                <w:kern w:val="0"/>
                <w:sz w:val="18"/>
                <w:szCs w:val="18"/>
                <w:highlight w:val="none"/>
              </w:rPr>
              <w:t>工作秘密安全防护</w:t>
            </w:r>
          </w:p>
        </w:tc>
        <w:tc>
          <w:tcPr>
            <w:tcW w:w="744" w:type="pct"/>
            <w:tcBorders>
              <w:top w:val="single" w:color="auto" w:sz="4" w:space="0"/>
              <w:left w:val="single" w:color="auto" w:sz="4" w:space="0"/>
              <w:bottom w:val="single" w:color="auto" w:sz="4" w:space="0"/>
              <w:right w:val="single" w:color="auto" w:sz="4" w:space="0"/>
            </w:tcBorders>
            <w:vAlign w:val="center"/>
          </w:tcPr>
          <w:p w14:paraId="3EDE6D90">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761E0FEA">
            <w:pPr>
              <w:widowControl/>
              <w:ind w:firstLine="0" w:firstLineChars="0"/>
              <w:jc w:val="center"/>
              <w:rPr>
                <w:rFonts w:hint="eastAsia"/>
                <w:kern w:val="0"/>
                <w:sz w:val="18"/>
                <w:szCs w:val="18"/>
                <w:highlight w:val="none"/>
              </w:rPr>
            </w:pPr>
            <w:r>
              <w:rPr>
                <w:rFonts w:hint="eastAsia"/>
                <w:kern w:val="0"/>
                <w:sz w:val="18"/>
                <w:szCs w:val="18"/>
                <w:highlight w:val="none"/>
              </w:rPr>
              <w:t>5</w:t>
            </w:r>
          </w:p>
        </w:tc>
      </w:tr>
      <w:tr w14:paraId="338CDB6C">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DF75AC7">
            <w:pPr>
              <w:widowControl/>
              <w:ind w:firstLine="0" w:firstLineChars="0"/>
              <w:jc w:val="center"/>
              <w:rPr>
                <w:rFonts w:hint="eastAsia"/>
                <w:kern w:val="0"/>
                <w:sz w:val="18"/>
                <w:szCs w:val="18"/>
                <w:highlight w:val="none"/>
              </w:rPr>
            </w:pPr>
            <w:r>
              <w:rPr>
                <w:rFonts w:hint="eastAsia"/>
                <w:kern w:val="0"/>
                <w:sz w:val="18"/>
                <w:szCs w:val="18"/>
                <w:highlight w:val="none"/>
              </w:rPr>
              <w:t>4</w:t>
            </w:r>
          </w:p>
        </w:tc>
        <w:tc>
          <w:tcPr>
            <w:tcW w:w="689" w:type="pct"/>
            <w:tcBorders>
              <w:top w:val="single" w:color="auto" w:sz="4" w:space="0"/>
              <w:left w:val="single" w:color="auto" w:sz="4" w:space="0"/>
              <w:bottom w:val="single" w:color="auto" w:sz="4" w:space="0"/>
              <w:right w:val="single" w:color="auto" w:sz="4" w:space="0"/>
            </w:tcBorders>
            <w:vAlign w:val="center"/>
          </w:tcPr>
          <w:p w14:paraId="55625F08">
            <w:pPr>
              <w:widowControl/>
              <w:ind w:firstLine="0" w:firstLineChars="0"/>
              <w:jc w:val="center"/>
              <w:rPr>
                <w:rFonts w:hint="eastAsia"/>
                <w:kern w:val="0"/>
                <w:sz w:val="18"/>
                <w:szCs w:val="18"/>
                <w:highlight w:val="none"/>
              </w:rPr>
            </w:pPr>
            <w:r>
              <w:rPr>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39E48E79">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103A8643">
            <w:pPr>
              <w:widowControl/>
              <w:ind w:firstLine="0" w:firstLineChars="0"/>
              <w:jc w:val="center"/>
              <w:rPr>
                <w:rFonts w:hint="eastAsia"/>
                <w:kern w:val="0"/>
                <w:sz w:val="18"/>
                <w:szCs w:val="18"/>
                <w:highlight w:val="none"/>
              </w:rPr>
            </w:pPr>
            <w:r>
              <w:rPr>
                <w:rFonts w:hint="eastAsia"/>
                <w:kern w:val="0"/>
                <w:sz w:val="18"/>
                <w:szCs w:val="18"/>
                <w:highlight w:val="none"/>
              </w:rPr>
              <w:t>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303D64B3">
            <w:pPr>
              <w:widowControl/>
              <w:ind w:firstLine="0" w:firstLineChars="0"/>
              <w:jc w:val="center"/>
              <w:rPr>
                <w:rFonts w:hint="eastAsia"/>
                <w:kern w:val="0"/>
                <w:sz w:val="18"/>
                <w:szCs w:val="18"/>
                <w:highlight w:val="none"/>
              </w:rPr>
            </w:pPr>
            <w:r>
              <w:rPr>
                <w:rFonts w:hint="eastAsia"/>
                <w:kern w:val="0"/>
                <w:sz w:val="18"/>
                <w:szCs w:val="18"/>
                <w:highlight w:val="none"/>
              </w:rPr>
              <w:t>工作秘密安全防护</w:t>
            </w:r>
          </w:p>
        </w:tc>
        <w:tc>
          <w:tcPr>
            <w:tcW w:w="744" w:type="pct"/>
            <w:tcBorders>
              <w:top w:val="single" w:color="auto" w:sz="4" w:space="0"/>
              <w:left w:val="single" w:color="auto" w:sz="4" w:space="0"/>
              <w:bottom w:val="single" w:color="auto" w:sz="4" w:space="0"/>
              <w:right w:val="single" w:color="auto" w:sz="4" w:space="0"/>
            </w:tcBorders>
            <w:vAlign w:val="center"/>
          </w:tcPr>
          <w:p w14:paraId="3E4CEEE2">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2875355C">
            <w:pPr>
              <w:widowControl/>
              <w:ind w:firstLine="0" w:firstLineChars="0"/>
              <w:jc w:val="center"/>
              <w:rPr>
                <w:rFonts w:hint="eastAsia"/>
                <w:kern w:val="0"/>
                <w:sz w:val="18"/>
                <w:szCs w:val="18"/>
                <w:highlight w:val="none"/>
              </w:rPr>
            </w:pPr>
            <w:r>
              <w:rPr>
                <w:rFonts w:hint="eastAsia"/>
                <w:kern w:val="0"/>
                <w:sz w:val="18"/>
                <w:szCs w:val="18"/>
                <w:highlight w:val="none"/>
              </w:rPr>
              <w:t>2</w:t>
            </w:r>
          </w:p>
        </w:tc>
      </w:tr>
      <w:tr w14:paraId="77B7EE90">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DCA7F46">
            <w:pPr>
              <w:widowControl/>
              <w:ind w:firstLine="0" w:firstLineChars="0"/>
              <w:jc w:val="center"/>
              <w:rPr>
                <w:rFonts w:hint="eastAsia"/>
                <w:kern w:val="0"/>
                <w:sz w:val="18"/>
                <w:szCs w:val="18"/>
                <w:highlight w:val="none"/>
              </w:rPr>
            </w:pPr>
            <w:r>
              <w:rPr>
                <w:kern w:val="0"/>
                <w:sz w:val="18"/>
                <w:szCs w:val="18"/>
                <w:highlight w:val="none"/>
              </w:rPr>
              <w:t>5</w:t>
            </w:r>
          </w:p>
        </w:tc>
        <w:tc>
          <w:tcPr>
            <w:tcW w:w="689" w:type="pct"/>
            <w:tcBorders>
              <w:top w:val="single" w:color="auto" w:sz="4" w:space="0"/>
              <w:left w:val="single" w:color="auto" w:sz="4" w:space="0"/>
              <w:bottom w:val="single" w:color="auto" w:sz="4" w:space="0"/>
              <w:right w:val="single" w:color="auto" w:sz="4" w:space="0"/>
            </w:tcBorders>
            <w:vAlign w:val="center"/>
          </w:tcPr>
          <w:p w14:paraId="1C816D62">
            <w:pPr>
              <w:widowControl/>
              <w:ind w:firstLine="0" w:firstLineChars="0"/>
              <w:jc w:val="center"/>
              <w:rPr>
                <w:rFonts w:hint="eastAsia"/>
                <w:kern w:val="0"/>
                <w:sz w:val="18"/>
                <w:szCs w:val="18"/>
                <w:highlight w:val="none"/>
              </w:rPr>
            </w:pPr>
            <w:r>
              <w:rPr>
                <w:rFonts w:hint="eastAsia"/>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2C4E10FC">
            <w:pPr>
              <w:widowControl/>
              <w:ind w:firstLine="0" w:firstLineChars="0"/>
              <w:jc w:val="center"/>
              <w:rPr>
                <w:rFonts w:hint="eastAsia"/>
                <w:kern w:val="0"/>
                <w:sz w:val="18"/>
                <w:szCs w:val="18"/>
                <w:highlight w:val="none"/>
              </w:rPr>
            </w:pPr>
            <w:r>
              <w:rPr>
                <w:rFonts w:hint="eastAsia"/>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49EE58DB">
            <w:pPr>
              <w:widowControl/>
              <w:ind w:firstLine="0" w:firstLineChars="0"/>
              <w:jc w:val="center"/>
              <w:rPr>
                <w:rFonts w:hint="eastAsia"/>
                <w:kern w:val="0"/>
                <w:sz w:val="18"/>
                <w:szCs w:val="18"/>
                <w:highlight w:val="none"/>
              </w:rPr>
            </w:pPr>
            <w:r>
              <w:rPr>
                <w:rFonts w:hint="eastAsia"/>
                <w:kern w:val="0"/>
                <w:sz w:val="18"/>
                <w:szCs w:val="18"/>
                <w:highlight w:val="none"/>
              </w:rPr>
              <w:t>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57D3A412">
            <w:pPr>
              <w:widowControl/>
              <w:ind w:firstLine="0" w:firstLineChars="0"/>
              <w:jc w:val="center"/>
              <w:rPr>
                <w:rFonts w:hint="eastAsia"/>
                <w:kern w:val="0"/>
                <w:sz w:val="18"/>
                <w:szCs w:val="18"/>
                <w:highlight w:val="none"/>
              </w:rPr>
            </w:pPr>
            <w:r>
              <w:rPr>
                <w:rFonts w:hint="eastAsia"/>
                <w:kern w:val="0"/>
                <w:sz w:val="18"/>
                <w:szCs w:val="18"/>
                <w:highlight w:val="none"/>
              </w:rPr>
              <w:t>智慧党校</w:t>
            </w:r>
          </w:p>
        </w:tc>
        <w:tc>
          <w:tcPr>
            <w:tcW w:w="744" w:type="pct"/>
            <w:tcBorders>
              <w:top w:val="single" w:color="auto" w:sz="4" w:space="0"/>
              <w:left w:val="single" w:color="auto" w:sz="4" w:space="0"/>
              <w:bottom w:val="single" w:color="auto" w:sz="4" w:space="0"/>
              <w:right w:val="single" w:color="auto" w:sz="4" w:space="0"/>
            </w:tcBorders>
            <w:vAlign w:val="center"/>
          </w:tcPr>
          <w:p w14:paraId="6D4A308F">
            <w:pPr>
              <w:widowControl/>
              <w:ind w:firstLine="0" w:firstLineChars="0"/>
              <w:jc w:val="center"/>
              <w:rPr>
                <w:rFonts w:hint="eastAsia"/>
                <w:kern w:val="0"/>
                <w:sz w:val="18"/>
                <w:szCs w:val="18"/>
                <w:highlight w:val="none"/>
              </w:rPr>
            </w:pPr>
            <w:r>
              <w:rPr>
                <w:rFonts w:hint="eastAsia"/>
                <w:kern w:val="0"/>
                <w:sz w:val="18"/>
                <w:szCs w:val="18"/>
                <w:highlight w:val="none"/>
              </w:rPr>
              <w:t>2</w:t>
            </w:r>
          </w:p>
        </w:tc>
        <w:tc>
          <w:tcPr>
            <w:tcW w:w="586" w:type="pct"/>
            <w:tcBorders>
              <w:top w:val="single" w:color="auto" w:sz="4" w:space="0"/>
              <w:left w:val="single" w:color="auto" w:sz="4" w:space="0"/>
              <w:bottom w:val="single" w:color="auto" w:sz="4" w:space="0"/>
              <w:right w:val="single" w:color="auto" w:sz="4" w:space="0"/>
            </w:tcBorders>
            <w:vAlign w:val="center"/>
          </w:tcPr>
          <w:p w14:paraId="5235DEFA">
            <w:pPr>
              <w:widowControl/>
              <w:ind w:firstLine="0" w:firstLineChars="0"/>
              <w:jc w:val="center"/>
              <w:rPr>
                <w:rFonts w:hint="eastAsia"/>
                <w:kern w:val="0"/>
                <w:sz w:val="18"/>
                <w:szCs w:val="18"/>
                <w:highlight w:val="none"/>
              </w:rPr>
            </w:pPr>
            <w:r>
              <w:rPr>
                <w:kern w:val="0"/>
                <w:sz w:val="18"/>
                <w:szCs w:val="18"/>
                <w:highlight w:val="none"/>
              </w:rPr>
              <w:t>2</w:t>
            </w:r>
          </w:p>
        </w:tc>
      </w:tr>
      <w:tr w14:paraId="41638D5F">
        <w:tblPrEx>
          <w:tblCellMar>
            <w:top w:w="0" w:type="dxa"/>
            <w:left w:w="108" w:type="dxa"/>
            <w:bottom w:w="0" w:type="dxa"/>
            <w:right w:w="108" w:type="dxa"/>
          </w:tblCellMar>
        </w:tblPrEx>
        <w:trPr>
          <w:trHeight w:val="3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66481108">
            <w:pPr>
              <w:widowControl/>
              <w:ind w:firstLine="0" w:firstLineChars="0"/>
              <w:jc w:val="center"/>
              <w:rPr>
                <w:rFonts w:hint="eastAsia"/>
                <w:kern w:val="0"/>
                <w:sz w:val="18"/>
                <w:szCs w:val="18"/>
                <w:highlight w:val="none"/>
              </w:rPr>
            </w:pPr>
            <w:r>
              <w:rPr>
                <w:kern w:val="0"/>
                <w:sz w:val="18"/>
                <w:szCs w:val="18"/>
                <w:highlight w:val="none"/>
              </w:rPr>
              <w:t>6</w:t>
            </w:r>
          </w:p>
        </w:tc>
        <w:tc>
          <w:tcPr>
            <w:tcW w:w="689" w:type="pct"/>
            <w:tcBorders>
              <w:top w:val="single" w:color="auto" w:sz="4" w:space="0"/>
              <w:left w:val="single" w:color="auto" w:sz="4" w:space="0"/>
              <w:bottom w:val="single" w:color="auto" w:sz="4" w:space="0"/>
              <w:right w:val="single" w:color="auto" w:sz="4" w:space="0"/>
            </w:tcBorders>
            <w:vAlign w:val="center"/>
          </w:tcPr>
          <w:p w14:paraId="75C25085">
            <w:pPr>
              <w:widowControl/>
              <w:ind w:firstLine="0" w:firstLineChars="0"/>
              <w:jc w:val="center"/>
              <w:rPr>
                <w:rFonts w:hint="eastAsia"/>
                <w:kern w:val="0"/>
                <w:sz w:val="18"/>
                <w:szCs w:val="18"/>
                <w:highlight w:val="none"/>
              </w:rPr>
            </w:pPr>
            <w:r>
              <w:rPr>
                <w:rFonts w:hint="eastAsia"/>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3A97FEBF">
            <w:pPr>
              <w:widowControl/>
              <w:ind w:firstLine="0" w:firstLineChars="0"/>
              <w:jc w:val="center"/>
              <w:rPr>
                <w:rFonts w:hint="eastAsia"/>
                <w:kern w:val="0"/>
                <w:sz w:val="18"/>
                <w:szCs w:val="18"/>
                <w:highlight w:val="none"/>
              </w:rPr>
            </w:pPr>
            <w:r>
              <w:rPr>
                <w:rFonts w:hint="eastAsia"/>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7414A5BF">
            <w:pPr>
              <w:widowControl/>
              <w:ind w:firstLine="0" w:firstLineChars="0"/>
              <w:jc w:val="center"/>
              <w:rPr>
                <w:rFonts w:hint="eastAsia"/>
                <w:kern w:val="0"/>
                <w:sz w:val="18"/>
                <w:szCs w:val="18"/>
                <w:highlight w:val="none"/>
              </w:rPr>
            </w:pPr>
            <w:r>
              <w:rPr>
                <w:rFonts w:hint="eastAsia"/>
                <w:kern w:val="0"/>
                <w:sz w:val="18"/>
                <w:szCs w:val="18"/>
                <w:highlight w:val="none"/>
              </w:rPr>
              <w:t>Web服务器</w:t>
            </w:r>
          </w:p>
        </w:tc>
        <w:tc>
          <w:tcPr>
            <w:tcW w:w="766" w:type="pct"/>
            <w:tcBorders>
              <w:top w:val="single" w:color="auto" w:sz="4" w:space="0"/>
              <w:left w:val="single" w:color="auto" w:sz="4" w:space="0"/>
              <w:bottom w:val="single" w:color="auto" w:sz="4" w:space="0"/>
              <w:right w:val="single" w:color="auto" w:sz="4" w:space="0"/>
            </w:tcBorders>
            <w:vAlign w:val="center"/>
          </w:tcPr>
          <w:p w14:paraId="572791B6">
            <w:pPr>
              <w:widowControl/>
              <w:ind w:firstLine="0" w:firstLineChars="0"/>
              <w:jc w:val="center"/>
              <w:rPr>
                <w:rFonts w:hint="eastAsia"/>
                <w:kern w:val="0"/>
                <w:sz w:val="18"/>
                <w:szCs w:val="18"/>
                <w:highlight w:val="none"/>
              </w:rPr>
            </w:pPr>
            <w:r>
              <w:rPr>
                <w:rFonts w:hint="eastAsia"/>
                <w:kern w:val="0"/>
                <w:sz w:val="18"/>
                <w:szCs w:val="18"/>
                <w:highlight w:val="none"/>
              </w:rPr>
              <w:t>智慧党校</w:t>
            </w:r>
          </w:p>
        </w:tc>
        <w:tc>
          <w:tcPr>
            <w:tcW w:w="744" w:type="pct"/>
            <w:tcBorders>
              <w:top w:val="single" w:color="auto" w:sz="4" w:space="0"/>
              <w:left w:val="single" w:color="auto" w:sz="4" w:space="0"/>
              <w:bottom w:val="single" w:color="auto" w:sz="4" w:space="0"/>
              <w:right w:val="single" w:color="auto" w:sz="4" w:space="0"/>
            </w:tcBorders>
            <w:vAlign w:val="center"/>
          </w:tcPr>
          <w:p w14:paraId="240DE0BD">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43738289">
            <w:pPr>
              <w:widowControl/>
              <w:ind w:firstLine="0" w:firstLineChars="0"/>
              <w:jc w:val="center"/>
              <w:rPr>
                <w:rFonts w:hint="eastAsia"/>
                <w:kern w:val="0"/>
                <w:sz w:val="18"/>
                <w:szCs w:val="18"/>
                <w:highlight w:val="none"/>
              </w:rPr>
            </w:pPr>
            <w:r>
              <w:rPr>
                <w:kern w:val="0"/>
                <w:sz w:val="18"/>
                <w:szCs w:val="18"/>
                <w:highlight w:val="none"/>
              </w:rPr>
              <w:t>3</w:t>
            </w:r>
          </w:p>
        </w:tc>
      </w:tr>
      <w:tr w14:paraId="0144B3F3">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233359EB">
            <w:pPr>
              <w:widowControl/>
              <w:ind w:firstLine="0" w:firstLineChars="0"/>
              <w:jc w:val="center"/>
              <w:rPr>
                <w:rFonts w:hint="eastAsia"/>
                <w:kern w:val="0"/>
                <w:sz w:val="18"/>
                <w:szCs w:val="18"/>
                <w:highlight w:val="none"/>
              </w:rPr>
            </w:pPr>
            <w:r>
              <w:rPr>
                <w:rFonts w:hint="eastAsia"/>
                <w:kern w:val="0"/>
                <w:sz w:val="18"/>
                <w:szCs w:val="18"/>
                <w:highlight w:val="none"/>
              </w:rPr>
              <w:t>7</w:t>
            </w:r>
          </w:p>
        </w:tc>
        <w:tc>
          <w:tcPr>
            <w:tcW w:w="689" w:type="pct"/>
            <w:tcBorders>
              <w:top w:val="single" w:color="auto" w:sz="4" w:space="0"/>
              <w:left w:val="single" w:color="auto" w:sz="4" w:space="0"/>
              <w:bottom w:val="single" w:color="auto" w:sz="4" w:space="0"/>
              <w:right w:val="single" w:color="auto" w:sz="4" w:space="0"/>
            </w:tcBorders>
            <w:vAlign w:val="center"/>
          </w:tcPr>
          <w:p w14:paraId="040D4F23">
            <w:pPr>
              <w:widowControl/>
              <w:ind w:firstLine="0" w:firstLineChars="0"/>
              <w:jc w:val="center"/>
              <w:rPr>
                <w:rFonts w:hint="eastAsia"/>
                <w:kern w:val="0"/>
                <w:sz w:val="18"/>
                <w:szCs w:val="18"/>
                <w:highlight w:val="none"/>
              </w:rPr>
            </w:pPr>
            <w:r>
              <w:rPr>
                <w:rFonts w:hint="eastAsia"/>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0DA19F20">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0C6244F4">
            <w:pPr>
              <w:widowControl/>
              <w:ind w:firstLine="0" w:firstLineChars="0"/>
              <w:jc w:val="center"/>
              <w:rPr>
                <w:rFonts w:hint="eastAsia"/>
                <w:kern w:val="0"/>
                <w:sz w:val="18"/>
                <w:szCs w:val="18"/>
                <w:highlight w:val="none"/>
              </w:rPr>
            </w:pPr>
            <w:r>
              <w:rPr>
                <w:rFonts w:hint="eastAsia"/>
                <w:kern w:val="0"/>
                <w:sz w:val="18"/>
                <w:szCs w:val="18"/>
                <w:highlight w:val="none"/>
              </w:rPr>
              <w:t>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30FBEC34">
            <w:pPr>
              <w:widowControl/>
              <w:ind w:firstLine="0" w:firstLineChars="0"/>
              <w:jc w:val="center"/>
              <w:rPr>
                <w:rFonts w:hint="eastAsia"/>
                <w:kern w:val="0"/>
                <w:sz w:val="18"/>
                <w:szCs w:val="18"/>
                <w:highlight w:val="none"/>
              </w:rPr>
            </w:pPr>
            <w:r>
              <w:rPr>
                <w:rFonts w:hint="eastAsia"/>
                <w:kern w:val="0"/>
                <w:sz w:val="18"/>
                <w:szCs w:val="18"/>
                <w:highlight w:val="none"/>
              </w:rPr>
              <w:t>统一身份认证后端及网关服务群</w:t>
            </w:r>
          </w:p>
        </w:tc>
        <w:tc>
          <w:tcPr>
            <w:tcW w:w="744" w:type="pct"/>
            <w:tcBorders>
              <w:top w:val="single" w:color="auto" w:sz="4" w:space="0"/>
              <w:left w:val="single" w:color="auto" w:sz="4" w:space="0"/>
              <w:bottom w:val="single" w:color="auto" w:sz="4" w:space="0"/>
              <w:right w:val="single" w:color="auto" w:sz="4" w:space="0"/>
            </w:tcBorders>
            <w:vAlign w:val="center"/>
          </w:tcPr>
          <w:p w14:paraId="4BA15D22">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087EBDD1">
            <w:pPr>
              <w:widowControl/>
              <w:ind w:firstLine="0" w:firstLineChars="0"/>
              <w:jc w:val="center"/>
              <w:rPr>
                <w:rFonts w:hint="eastAsia"/>
                <w:kern w:val="0"/>
                <w:sz w:val="18"/>
                <w:szCs w:val="18"/>
                <w:highlight w:val="none"/>
              </w:rPr>
            </w:pPr>
            <w:r>
              <w:rPr>
                <w:rFonts w:hint="eastAsia"/>
                <w:kern w:val="0"/>
                <w:sz w:val="18"/>
                <w:szCs w:val="18"/>
                <w:highlight w:val="none"/>
              </w:rPr>
              <w:t>3</w:t>
            </w:r>
          </w:p>
        </w:tc>
      </w:tr>
      <w:tr w14:paraId="182AD065">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43B82D85">
            <w:pPr>
              <w:widowControl/>
              <w:ind w:firstLine="0" w:firstLineChars="0"/>
              <w:jc w:val="center"/>
              <w:rPr>
                <w:rFonts w:hint="eastAsia"/>
                <w:kern w:val="0"/>
                <w:sz w:val="18"/>
                <w:szCs w:val="18"/>
                <w:highlight w:val="none"/>
              </w:rPr>
            </w:pPr>
            <w:r>
              <w:rPr>
                <w:rFonts w:hint="eastAsia"/>
                <w:kern w:val="0"/>
                <w:sz w:val="18"/>
                <w:szCs w:val="18"/>
                <w:highlight w:val="none"/>
              </w:rPr>
              <w:t>8</w:t>
            </w:r>
          </w:p>
        </w:tc>
        <w:tc>
          <w:tcPr>
            <w:tcW w:w="689" w:type="pct"/>
            <w:tcBorders>
              <w:top w:val="single" w:color="auto" w:sz="4" w:space="0"/>
              <w:left w:val="single" w:color="auto" w:sz="4" w:space="0"/>
              <w:bottom w:val="single" w:color="auto" w:sz="4" w:space="0"/>
              <w:right w:val="single" w:color="auto" w:sz="4" w:space="0"/>
            </w:tcBorders>
            <w:vAlign w:val="center"/>
          </w:tcPr>
          <w:p w14:paraId="0BB722A9">
            <w:pPr>
              <w:widowControl/>
              <w:ind w:firstLine="0" w:firstLineChars="0"/>
              <w:jc w:val="center"/>
              <w:rPr>
                <w:rFonts w:hint="eastAsia"/>
                <w:kern w:val="0"/>
                <w:sz w:val="18"/>
                <w:szCs w:val="18"/>
                <w:highlight w:val="none"/>
              </w:rPr>
            </w:pPr>
            <w:r>
              <w:rPr>
                <w:rFonts w:hint="eastAsia"/>
                <w:kern w:val="0"/>
                <w:sz w:val="18"/>
                <w:szCs w:val="18"/>
                <w:highlight w:val="none"/>
              </w:rPr>
              <w:t>政务外网</w:t>
            </w:r>
          </w:p>
        </w:tc>
        <w:tc>
          <w:tcPr>
            <w:tcW w:w="598" w:type="pct"/>
            <w:tcBorders>
              <w:top w:val="single" w:color="auto" w:sz="4" w:space="0"/>
              <w:left w:val="single" w:color="auto" w:sz="4" w:space="0"/>
              <w:bottom w:val="single" w:color="auto" w:sz="4" w:space="0"/>
              <w:right w:val="single" w:color="auto" w:sz="4" w:space="0"/>
            </w:tcBorders>
            <w:vAlign w:val="center"/>
          </w:tcPr>
          <w:p w14:paraId="0BB95616">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60282F4E">
            <w:pPr>
              <w:widowControl/>
              <w:ind w:firstLine="0" w:firstLineChars="0"/>
              <w:jc w:val="center"/>
              <w:rPr>
                <w:rFonts w:hint="eastAsia"/>
                <w:kern w:val="0"/>
                <w:sz w:val="18"/>
                <w:szCs w:val="18"/>
                <w:highlight w:val="none"/>
              </w:rPr>
            </w:pPr>
            <w:r>
              <w:rPr>
                <w:rFonts w:hint="eastAsia"/>
                <w:kern w:val="0"/>
                <w:sz w:val="18"/>
                <w:szCs w:val="18"/>
                <w:highlight w:val="none"/>
              </w:rPr>
              <w:t>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00ABAEB6">
            <w:pPr>
              <w:widowControl/>
              <w:ind w:firstLine="0" w:firstLineChars="0"/>
              <w:jc w:val="center"/>
              <w:rPr>
                <w:rFonts w:hint="eastAsia"/>
                <w:kern w:val="0"/>
                <w:sz w:val="18"/>
                <w:szCs w:val="18"/>
                <w:highlight w:val="none"/>
              </w:rPr>
            </w:pPr>
            <w:r>
              <w:rPr>
                <w:rFonts w:hint="eastAsia"/>
                <w:kern w:val="0"/>
                <w:sz w:val="18"/>
                <w:szCs w:val="18"/>
                <w:highlight w:val="none"/>
              </w:rPr>
              <w:t>统一身份认证数据库</w:t>
            </w:r>
          </w:p>
        </w:tc>
        <w:tc>
          <w:tcPr>
            <w:tcW w:w="744" w:type="pct"/>
            <w:tcBorders>
              <w:top w:val="single" w:color="auto" w:sz="4" w:space="0"/>
              <w:left w:val="single" w:color="auto" w:sz="4" w:space="0"/>
              <w:bottom w:val="single" w:color="auto" w:sz="4" w:space="0"/>
              <w:right w:val="single" w:color="auto" w:sz="4" w:space="0"/>
            </w:tcBorders>
            <w:vAlign w:val="center"/>
          </w:tcPr>
          <w:p w14:paraId="555A3AC2">
            <w:pPr>
              <w:widowControl/>
              <w:ind w:firstLine="0" w:firstLineChars="0"/>
              <w:jc w:val="center"/>
              <w:rPr>
                <w:rFonts w:hint="eastAsia"/>
                <w:kern w:val="0"/>
                <w:sz w:val="18"/>
                <w:szCs w:val="18"/>
                <w:highlight w:val="none"/>
              </w:rPr>
            </w:pPr>
            <w:r>
              <w:rPr>
                <w:rFonts w:hint="eastAsia"/>
                <w:kern w:val="0"/>
                <w:sz w:val="18"/>
                <w:szCs w:val="18"/>
                <w:highlight w:val="none"/>
              </w:rPr>
              <w:t>1</w:t>
            </w:r>
          </w:p>
        </w:tc>
        <w:tc>
          <w:tcPr>
            <w:tcW w:w="586" w:type="pct"/>
            <w:tcBorders>
              <w:top w:val="single" w:color="auto" w:sz="4" w:space="0"/>
              <w:left w:val="single" w:color="auto" w:sz="4" w:space="0"/>
              <w:bottom w:val="single" w:color="auto" w:sz="4" w:space="0"/>
              <w:right w:val="single" w:color="auto" w:sz="4" w:space="0"/>
            </w:tcBorders>
            <w:vAlign w:val="center"/>
          </w:tcPr>
          <w:p w14:paraId="018CF8A0">
            <w:pPr>
              <w:widowControl/>
              <w:ind w:firstLine="0" w:firstLineChars="0"/>
              <w:jc w:val="center"/>
              <w:rPr>
                <w:rFonts w:hint="eastAsia"/>
                <w:kern w:val="0"/>
                <w:sz w:val="18"/>
                <w:szCs w:val="18"/>
                <w:highlight w:val="none"/>
              </w:rPr>
            </w:pPr>
            <w:r>
              <w:rPr>
                <w:rFonts w:hint="eastAsia"/>
                <w:kern w:val="0"/>
                <w:sz w:val="18"/>
                <w:szCs w:val="18"/>
                <w:highlight w:val="none"/>
              </w:rPr>
              <w:t>2</w:t>
            </w:r>
          </w:p>
        </w:tc>
      </w:tr>
      <w:tr w14:paraId="359A9654">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D8963FF">
            <w:pPr>
              <w:widowControl/>
              <w:ind w:firstLine="0" w:firstLineChars="0"/>
              <w:jc w:val="center"/>
              <w:rPr>
                <w:rFonts w:hint="eastAsia"/>
                <w:kern w:val="0"/>
                <w:sz w:val="18"/>
                <w:szCs w:val="18"/>
                <w:highlight w:val="none"/>
              </w:rPr>
            </w:pPr>
            <w:r>
              <w:rPr>
                <w:rFonts w:hint="eastAsia"/>
                <w:kern w:val="0"/>
                <w:sz w:val="18"/>
                <w:szCs w:val="18"/>
                <w:highlight w:val="none"/>
              </w:rPr>
              <w:t>9</w:t>
            </w:r>
          </w:p>
        </w:tc>
        <w:tc>
          <w:tcPr>
            <w:tcW w:w="689" w:type="pct"/>
            <w:tcBorders>
              <w:top w:val="single" w:color="auto" w:sz="4" w:space="0"/>
              <w:left w:val="single" w:color="auto" w:sz="4" w:space="0"/>
              <w:bottom w:val="single" w:color="auto" w:sz="4" w:space="0"/>
              <w:right w:val="single" w:color="auto" w:sz="4" w:space="0"/>
            </w:tcBorders>
            <w:vAlign w:val="center"/>
          </w:tcPr>
          <w:p w14:paraId="5ACE008B">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2BF7C0FE">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5AB3AAB6">
            <w:pPr>
              <w:widowControl/>
              <w:ind w:firstLine="0" w:firstLineChars="0"/>
              <w:jc w:val="center"/>
              <w:rPr>
                <w:rFonts w:hint="eastAsia"/>
                <w:kern w:val="0"/>
                <w:sz w:val="18"/>
                <w:szCs w:val="18"/>
                <w:highlight w:val="none"/>
              </w:rPr>
            </w:pPr>
            <w:r>
              <w:rPr>
                <w:rFonts w:hint="eastAsia"/>
                <w:kern w:val="0"/>
                <w:sz w:val="18"/>
                <w:szCs w:val="18"/>
                <w:highlight w:val="none"/>
              </w:rPr>
              <w:t>人大代表系统-平台-应用服务器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39A8EB2C">
            <w:pPr>
              <w:widowControl/>
              <w:ind w:firstLine="0" w:firstLineChars="0"/>
              <w:jc w:val="center"/>
              <w:rPr>
                <w:rFonts w:hint="eastAsia"/>
                <w:kern w:val="0"/>
                <w:sz w:val="18"/>
                <w:szCs w:val="18"/>
                <w:highlight w:val="none"/>
              </w:rPr>
            </w:pPr>
            <w:r>
              <w:rPr>
                <w:kern w:val="0"/>
                <w:sz w:val="18"/>
                <w:szCs w:val="18"/>
                <w:highlight w:val="none"/>
              </w:rPr>
              <w:t>应用服务器</w:t>
            </w:r>
          </w:p>
        </w:tc>
        <w:tc>
          <w:tcPr>
            <w:tcW w:w="744" w:type="pct"/>
            <w:tcBorders>
              <w:top w:val="single" w:color="auto" w:sz="4" w:space="0"/>
              <w:left w:val="single" w:color="auto" w:sz="4" w:space="0"/>
              <w:bottom w:val="single" w:color="auto" w:sz="4" w:space="0"/>
              <w:right w:val="single" w:color="auto" w:sz="4" w:space="0"/>
            </w:tcBorders>
            <w:vAlign w:val="center"/>
          </w:tcPr>
          <w:p w14:paraId="2052D5C5">
            <w:pPr>
              <w:widowControl/>
              <w:ind w:firstLine="0" w:firstLineChars="0"/>
              <w:jc w:val="center"/>
              <w:rPr>
                <w:rFonts w:hint="eastAsia"/>
                <w:kern w:val="0"/>
                <w:sz w:val="18"/>
                <w:szCs w:val="18"/>
                <w:highlight w:val="none"/>
              </w:rPr>
            </w:pPr>
            <w:r>
              <w:rPr>
                <w:rFonts w:hint="eastAsia"/>
                <w:kern w:val="0"/>
                <w:sz w:val="18"/>
                <w:szCs w:val="18"/>
                <w:highlight w:val="none"/>
              </w:rPr>
              <w:t>1000</w:t>
            </w:r>
          </w:p>
        </w:tc>
        <w:tc>
          <w:tcPr>
            <w:tcW w:w="586" w:type="pct"/>
            <w:tcBorders>
              <w:top w:val="single" w:color="auto" w:sz="4" w:space="0"/>
              <w:left w:val="single" w:color="auto" w:sz="4" w:space="0"/>
              <w:bottom w:val="single" w:color="auto" w:sz="4" w:space="0"/>
              <w:right w:val="single" w:color="auto" w:sz="4" w:space="0"/>
            </w:tcBorders>
            <w:vAlign w:val="center"/>
          </w:tcPr>
          <w:p w14:paraId="24DFB7CA">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04E50092">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0685D51C">
            <w:pPr>
              <w:widowControl/>
              <w:ind w:firstLine="0" w:firstLineChars="0"/>
              <w:jc w:val="center"/>
              <w:rPr>
                <w:rFonts w:hint="eastAsia"/>
                <w:kern w:val="0"/>
                <w:sz w:val="18"/>
                <w:szCs w:val="18"/>
                <w:highlight w:val="none"/>
              </w:rPr>
            </w:pPr>
            <w:r>
              <w:rPr>
                <w:rFonts w:hint="eastAsia"/>
                <w:kern w:val="0"/>
                <w:sz w:val="18"/>
                <w:szCs w:val="18"/>
                <w:highlight w:val="none"/>
              </w:rPr>
              <w:t>10</w:t>
            </w:r>
          </w:p>
        </w:tc>
        <w:tc>
          <w:tcPr>
            <w:tcW w:w="689" w:type="pct"/>
            <w:tcBorders>
              <w:top w:val="single" w:color="auto" w:sz="4" w:space="0"/>
              <w:left w:val="single" w:color="auto" w:sz="4" w:space="0"/>
              <w:bottom w:val="single" w:color="auto" w:sz="4" w:space="0"/>
              <w:right w:val="single" w:color="auto" w:sz="4" w:space="0"/>
            </w:tcBorders>
            <w:vAlign w:val="center"/>
          </w:tcPr>
          <w:p w14:paraId="574D3650">
            <w:pPr>
              <w:widowControl/>
              <w:ind w:firstLine="0" w:firstLineChars="0"/>
              <w:jc w:val="center"/>
              <w:rPr>
                <w:rFonts w:hint="eastAsia"/>
                <w:kern w:val="0"/>
                <w:sz w:val="18"/>
                <w:szCs w:val="18"/>
                <w:highlight w:val="none"/>
              </w:rPr>
            </w:pPr>
            <w:r>
              <w:rPr>
                <w:rFonts w:hint="eastAsia"/>
                <w:kern w:val="0"/>
                <w:sz w:val="18"/>
                <w:szCs w:val="18"/>
                <w:highlight w:val="none"/>
              </w:rPr>
              <w:t>互联网</w:t>
            </w:r>
          </w:p>
        </w:tc>
        <w:tc>
          <w:tcPr>
            <w:tcW w:w="598" w:type="pct"/>
            <w:tcBorders>
              <w:top w:val="single" w:color="auto" w:sz="4" w:space="0"/>
              <w:left w:val="single" w:color="auto" w:sz="4" w:space="0"/>
              <w:bottom w:val="single" w:color="auto" w:sz="4" w:space="0"/>
              <w:right w:val="single" w:color="auto" w:sz="4" w:space="0"/>
            </w:tcBorders>
            <w:vAlign w:val="center"/>
          </w:tcPr>
          <w:p w14:paraId="48297C2B">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7A8D670B">
            <w:pPr>
              <w:widowControl/>
              <w:ind w:firstLine="0" w:firstLineChars="0"/>
              <w:jc w:val="center"/>
              <w:rPr>
                <w:rFonts w:hint="eastAsia"/>
                <w:kern w:val="0"/>
                <w:sz w:val="18"/>
                <w:szCs w:val="18"/>
                <w:highlight w:val="none"/>
              </w:rPr>
            </w:pPr>
            <w:r>
              <w:rPr>
                <w:rFonts w:hint="eastAsia"/>
                <w:kern w:val="0"/>
                <w:sz w:val="18"/>
                <w:szCs w:val="18"/>
                <w:highlight w:val="none"/>
              </w:rPr>
              <w:t>人大代表系统-中间件服务器</w:t>
            </w:r>
          </w:p>
        </w:tc>
        <w:tc>
          <w:tcPr>
            <w:tcW w:w="766" w:type="pct"/>
            <w:tcBorders>
              <w:top w:val="single" w:color="auto" w:sz="4" w:space="0"/>
              <w:left w:val="single" w:color="auto" w:sz="4" w:space="0"/>
              <w:bottom w:val="single" w:color="auto" w:sz="4" w:space="0"/>
              <w:right w:val="single" w:color="auto" w:sz="4" w:space="0"/>
            </w:tcBorders>
            <w:vAlign w:val="center"/>
          </w:tcPr>
          <w:p w14:paraId="1DB700A4">
            <w:pPr>
              <w:widowControl/>
              <w:ind w:firstLine="0" w:firstLineChars="0"/>
              <w:jc w:val="center"/>
              <w:rPr>
                <w:rFonts w:hint="eastAsia"/>
                <w:kern w:val="0"/>
                <w:sz w:val="18"/>
                <w:szCs w:val="18"/>
                <w:highlight w:val="none"/>
              </w:rPr>
            </w:pPr>
            <w:r>
              <w:rPr>
                <w:rFonts w:hint="eastAsia"/>
                <w:kern w:val="0"/>
                <w:sz w:val="18"/>
                <w:szCs w:val="18"/>
                <w:highlight w:val="none"/>
              </w:rPr>
              <w:t>ng</w:t>
            </w:r>
          </w:p>
        </w:tc>
        <w:tc>
          <w:tcPr>
            <w:tcW w:w="744" w:type="pct"/>
            <w:tcBorders>
              <w:top w:val="single" w:color="auto" w:sz="4" w:space="0"/>
              <w:left w:val="single" w:color="auto" w:sz="4" w:space="0"/>
              <w:bottom w:val="single" w:color="auto" w:sz="4" w:space="0"/>
              <w:right w:val="single" w:color="auto" w:sz="4" w:space="0"/>
            </w:tcBorders>
            <w:vAlign w:val="center"/>
          </w:tcPr>
          <w:p w14:paraId="10A05FEF">
            <w:pPr>
              <w:widowControl/>
              <w:ind w:firstLine="0" w:firstLineChars="0"/>
              <w:jc w:val="center"/>
              <w:rPr>
                <w:rFonts w:hint="eastAsia"/>
                <w:kern w:val="0"/>
                <w:sz w:val="18"/>
                <w:szCs w:val="18"/>
                <w:highlight w:val="none"/>
              </w:rPr>
            </w:pPr>
            <w:r>
              <w:rPr>
                <w:rFonts w:hint="eastAsia"/>
                <w:kern w:val="0"/>
                <w:sz w:val="18"/>
                <w:szCs w:val="18"/>
                <w:highlight w:val="none"/>
              </w:rPr>
              <w:t>200</w:t>
            </w:r>
          </w:p>
        </w:tc>
        <w:tc>
          <w:tcPr>
            <w:tcW w:w="586" w:type="pct"/>
            <w:tcBorders>
              <w:top w:val="single" w:color="auto" w:sz="4" w:space="0"/>
              <w:left w:val="single" w:color="auto" w:sz="4" w:space="0"/>
              <w:bottom w:val="single" w:color="auto" w:sz="4" w:space="0"/>
              <w:right w:val="single" w:color="auto" w:sz="4" w:space="0"/>
            </w:tcBorders>
            <w:vAlign w:val="center"/>
          </w:tcPr>
          <w:p w14:paraId="738D0AD2">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172F209D">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60539244">
            <w:pPr>
              <w:widowControl/>
              <w:ind w:firstLine="0" w:firstLineChars="0"/>
              <w:jc w:val="center"/>
              <w:rPr>
                <w:rFonts w:hint="eastAsia"/>
                <w:kern w:val="0"/>
                <w:sz w:val="18"/>
                <w:szCs w:val="18"/>
                <w:highlight w:val="none"/>
              </w:rPr>
            </w:pPr>
            <w:r>
              <w:rPr>
                <w:rFonts w:hint="eastAsia"/>
                <w:kern w:val="0"/>
                <w:sz w:val="18"/>
                <w:szCs w:val="18"/>
                <w:highlight w:val="none"/>
              </w:rPr>
              <w:t>11</w:t>
            </w:r>
          </w:p>
        </w:tc>
        <w:tc>
          <w:tcPr>
            <w:tcW w:w="689" w:type="pct"/>
            <w:tcBorders>
              <w:top w:val="single" w:color="auto" w:sz="4" w:space="0"/>
              <w:left w:val="single" w:color="auto" w:sz="4" w:space="0"/>
              <w:bottom w:val="single" w:color="auto" w:sz="4" w:space="0"/>
              <w:right w:val="single" w:color="auto" w:sz="4" w:space="0"/>
            </w:tcBorders>
            <w:vAlign w:val="center"/>
          </w:tcPr>
          <w:p w14:paraId="011F2182">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225533CC">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39B0DC19">
            <w:pPr>
              <w:widowControl/>
              <w:ind w:firstLine="0" w:firstLineChars="0"/>
              <w:jc w:val="center"/>
              <w:rPr>
                <w:rFonts w:hint="eastAsia"/>
                <w:kern w:val="0"/>
                <w:sz w:val="18"/>
                <w:szCs w:val="18"/>
                <w:highlight w:val="none"/>
              </w:rPr>
            </w:pPr>
            <w:r>
              <w:rPr>
                <w:rFonts w:hint="eastAsia"/>
                <w:kern w:val="0"/>
                <w:sz w:val="18"/>
                <w:szCs w:val="18"/>
                <w:highlight w:val="none"/>
              </w:rPr>
              <w:t>人大代表系统-中间件服务器</w:t>
            </w:r>
          </w:p>
        </w:tc>
        <w:tc>
          <w:tcPr>
            <w:tcW w:w="766" w:type="pct"/>
            <w:tcBorders>
              <w:top w:val="single" w:color="auto" w:sz="4" w:space="0"/>
              <w:left w:val="single" w:color="auto" w:sz="4" w:space="0"/>
              <w:bottom w:val="single" w:color="auto" w:sz="4" w:space="0"/>
              <w:right w:val="single" w:color="auto" w:sz="4" w:space="0"/>
            </w:tcBorders>
            <w:vAlign w:val="center"/>
          </w:tcPr>
          <w:p w14:paraId="50F878E5">
            <w:pPr>
              <w:widowControl/>
              <w:ind w:firstLine="0" w:firstLineChars="0"/>
              <w:jc w:val="center"/>
              <w:rPr>
                <w:rFonts w:hint="eastAsia"/>
                <w:kern w:val="0"/>
                <w:sz w:val="18"/>
                <w:szCs w:val="18"/>
                <w:highlight w:val="none"/>
              </w:rPr>
            </w:pPr>
            <w:r>
              <w:rPr>
                <w:rFonts w:hint="eastAsia"/>
                <w:kern w:val="0"/>
                <w:sz w:val="18"/>
                <w:szCs w:val="18"/>
                <w:highlight w:val="none"/>
              </w:rPr>
              <w:t>ng\redis</w:t>
            </w:r>
          </w:p>
        </w:tc>
        <w:tc>
          <w:tcPr>
            <w:tcW w:w="744" w:type="pct"/>
            <w:tcBorders>
              <w:top w:val="single" w:color="auto" w:sz="4" w:space="0"/>
              <w:left w:val="single" w:color="auto" w:sz="4" w:space="0"/>
              <w:bottom w:val="single" w:color="auto" w:sz="4" w:space="0"/>
              <w:right w:val="single" w:color="auto" w:sz="4" w:space="0"/>
            </w:tcBorders>
            <w:vAlign w:val="center"/>
          </w:tcPr>
          <w:p w14:paraId="6742C833">
            <w:pPr>
              <w:widowControl/>
              <w:ind w:firstLine="0" w:firstLineChars="0"/>
              <w:jc w:val="center"/>
              <w:rPr>
                <w:rFonts w:hint="eastAsia"/>
                <w:kern w:val="0"/>
                <w:sz w:val="18"/>
                <w:szCs w:val="18"/>
                <w:highlight w:val="none"/>
              </w:rPr>
            </w:pPr>
            <w:r>
              <w:rPr>
                <w:rFonts w:hint="eastAsia"/>
                <w:kern w:val="0"/>
                <w:sz w:val="18"/>
                <w:szCs w:val="18"/>
                <w:highlight w:val="none"/>
              </w:rPr>
              <w:t>200</w:t>
            </w:r>
          </w:p>
        </w:tc>
        <w:tc>
          <w:tcPr>
            <w:tcW w:w="586" w:type="pct"/>
            <w:tcBorders>
              <w:top w:val="single" w:color="auto" w:sz="4" w:space="0"/>
              <w:left w:val="single" w:color="auto" w:sz="4" w:space="0"/>
              <w:bottom w:val="single" w:color="auto" w:sz="4" w:space="0"/>
              <w:right w:val="single" w:color="auto" w:sz="4" w:space="0"/>
            </w:tcBorders>
            <w:vAlign w:val="center"/>
          </w:tcPr>
          <w:p w14:paraId="080732A9">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2BBCDE8B">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0602E8C0">
            <w:pPr>
              <w:widowControl/>
              <w:ind w:firstLine="0" w:firstLineChars="0"/>
              <w:jc w:val="center"/>
              <w:rPr>
                <w:rFonts w:hint="eastAsia"/>
                <w:kern w:val="0"/>
                <w:sz w:val="18"/>
                <w:szCs w:val="18"/>
                <w:highlight w:val="none"/>
              </w:rPr>
            </w:pPr>
            <w:r>
              <w:rPr>
                <w:rFonts w:hint="eastAsia"/>
                <w:kern w:val="0"/>
                <w:sz w:val="18"/>
                <w:szCs w:val="18"/>
                <w:highlight w:val="none"/>
              </w:rPr>
              <w:t>12</w:t>
            </w:r>
          </w:p>
        </w:tc>
        <w:tc>
          <w:tcPr>
            <w:tcW w:w="689" w:type="pct"/>
            <w:tcBorders>
              <w:top w:val="single" w:color="auto" w:sz="4" w:space="0"/>
              <w:left w:val="single" w:color="auto" w:sz="4" w:space="0"/>
              <w:bottom w:val="single" w:color="auto" w:sz="4" w:space="0"/>
              <w:right w:val="single" w:color="auto" w:sz="4" w:space="0"/>
            </w:tcBorders>
            <w:vAlign w:val="center"/>
          </w:tcPr>
          <w:p w14:paraId="38A7CCB1">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18646BF5">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5F8E5EAF">
            <w:pPr>
              <w:widowControl/>
              <w:ind w:firstLine="0" w:firstLineChars="0"/>
              <w:jc w:val="center"/>
              <w:rPr>
                <w:rFonts w:hint="eastAsia"/>
                <w:kern w:val="0"/>
                <w:sz w:val="18"/>
                <w:szCs w:val="18"/>
                <w:highlight w:val="none"/>
              </w:rPr>
            </w:pPr>
            <w:r>
              <w:rPr>
                <w:rFonts w:hint="eastAsia"/>
                <w:kern w:val="0"/>
                <w:sz w:val="18"/>
                <w:szCs w:val="18"/>
                <w:highlight w:val="none"/>
              </w:rPr>
              <w:t>人大代表系统-数据库服务器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73D340C1">
            <w:pPr>
              <w:widowControl/>
              <w:ind w:firstLine="0" w:firstLineChars="0"/>
              <w:jc w:val="center"/>
              <w:rPr>
                <w:rFonts w:hint="eastAsia"/>
                <w:kern w:val="0"/>
                <w:sz w:val="18"/>
                <w:szCs w:val="18"/>
                <w:highlight w:val="none"/>
              </w:rPr>
            </w:pPr>
            <w:r>
              <w:rPr>
                <w:rFonts w:hint="eastAsia"/>
                <w:kern w:val="0"/>
                <w:sz w:val="18"/>
                <w:szCs w:val="18"/>
                <w:highlight w:val="none"/>
              </w:rPr>
              <w:t>数据库</w:t>
            </w:r>
          </w:p>
        </w:tc>
        <w:tc>
          <w:tcPr>
            <w:tcW w:w="744" w:type="pct"/>
            <w:tcBorders>
              <w:top w:val="single" w:color="auto" w:sz="4" w:space="0"/>
              <w:left w:val="single" w:color="auto" w:sz="4" w:space="0"/>
              <w:bottom w:val="single" w:color="auto" w:sz="4" w:space="0"/>
              <w:right w:val="single" w:color="auto" w:sz="4" w:space="0"/>
            </w:tcBorders>
            <w:vAlign w:val="center"/>
          </w:tcPr>
          <w:p w14:paraId="0A681C82">
            <w:pPr>
              <w:widowControl/>
              <w:ind w:firstLine="0" w:firstLineChars="0"/>
              <w:jc w:val="center"/>
              <w:rPr>
                <w:rFonts w:hint="eastAsia"/>
                <w:kern w:val="0"/>
                <w:sz w:val="18"/>
                <w:szCs w:val="18"/>
                <w:highlight w:val="none"/>
              </w:rPr>
            </w:pPr>
            <w:r>
              <w:rPr>
                <w:rFonts w:hint="eastAsia"/>
                <w:kern w:val="0"/>
                <w:sz w:val="18"/>
                <w:szCs w:val="18"/>
                <w:highlight w:val="none"/>
              </w:rPr>
              <w:t>1000</w:t>
            </w:r>
          </w:p>
        </w:tc>
        <w:tc>
          <w:tcPr>
            <w:tcW w:w="586" w:type="pct"/>
            <w:tcBorders>
              <w:top w:val="single" w:color="auto" w:sz="4" w:space="0"/>
              <w:left w:val="single" w:color="auto" w:sz="4" w:space="0"/>
              <w:bottom w:val="single" w:color="auto" w:sz="4" w:space="0"/>
              <w:right w:val="single" w:color="auto" w:sz="4" w:space="0"/>
            </w:tcBorders>
            <w:vAlign w:val="center"/>
          </w:tcPr>
          <w:p w14:paraId="571A6C62">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597A68A7">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07B24667">
            <w:pPr>
              <w:widowControl/>
              <w:ind w:firstLine="0" w:firstLineChars="0"/>
              <w:jc w:val="center"/>
              <w:rPr>
                <w:rFonts w:hint="eastAsia"/>
                <w:kern w:val="0"/>
                <w:sz w:val="18"/>
                <w:szCs w:val="18"/>
                <w:highlight w:val="none"/>
              </w:rPr>
            </w:pPr>
            <w:r>
              <w:rPr>
                <w:rFonts w:hint="eastAsia"/>
                <w:kern w:val="0"/>
                <w:sz w:val="18"/>
                <w:szCs w:val="18"/>
                <w:highlight w:val="none"/>
              </w:rPr>
              <w:t>13</w:t>
            </w:r>
          </w:p>
        </w:tc>
        <w:tc>
          <w:tcPr>
            <w:tcW w:w="689" w:type="pct"/>
            <w:tcBorders>
              <w:top w:val="single" w:color="auto" w:sz="4" w:space="0"/>
              <w:left w:val="single" w:color="auto" w:sz="4" w:space="0"/>
              <w:bottom w:val="single" w:color="auto" w:sz="4" w:space="0"/>
              <w:right w:val="single" w:color="auto" w:sz="4" w:space="0"/>
            </w:tcBorders>
            <w:vAlign w:val="center"/>
          </w:tcPr>
          <w:p w14:paraId="5D4390F8">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041D52BD">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73FBCB90">
            <w:pPr>
              <w:widowControl/>
              <w:ind w:firstLine="0" w:firstLineChars="0"/>
              <w:jc w:val="center"/>
              <w:rPr>
                <w:rFonts w:hint="eastAsia"/>
                <w:kern w:val="0"/>
                <w:sz w:val="18"/>
                <w:szCs w:val="18"/>
                <w:highlight w:val="none"/>
              </w:rPr>
            </w:pPr>
            <w:r>
              <w:rPr>
                <w:rFonts w:hint="eastAsia"/>
                <w:kern w:val="0"/>
                <w:sz w:val="18"/>
                <w:szCs w:val="18"/>
                <w:highlight w:val="none"/>
              </w:rPr>
              <w:t>人大代表系统-文件服务器</w:t>
            </w:r>
          </w:p>
        </w:tc>
        <w:tc>
          <w:tcPr>
            <w:tcW w:w="766" w:type="pct"/>
            <w:tcBorders>
              <w:top w:val="single" w:color="auto" w:sz="4" w:space="0"/>
              <w:left w:val="single" w:color="auto" w:sz="4" w:space="0"/>
              <w:bottom w:val="single" w:color="auto" w:sz="4" w:space="0"/>
              <w:right w:val="single" w:color="auto" w:sz="4" w:space="0"/>
            </w:tcBorders>
            <w:vAlign w:val="center"/>
          </w:tcPr>
          <w:p w14:paraId="1DBD4847">
            <w:pPr>
              <w:widowControl/>
              <w:ind w:firstLine="0" w:firstLineChars="0"/>
              <w:jc w:val="center"/>
              <w:rPr>
                <w:rFonts w:hint="eastAsia"/>
                <w:kern w:val="0"/>
                <w:sz w:val="18"/>
                <w:szCs w:val="18"/>
                <w:highlight w:val="none"/>
              </w:rPr>
            </w:pPr>
            <w:r>
              <w:rPr>
                <w:rFonts w:hint="eastAsia"/>
                <w:kern w:val="0"/>
                <w:sz w:val="18"/>
                <w:szCs w:val="18"/>
                <w:highlight w:val="none"/>
              </w:rPr>
              <w:t>统一文件存储</w:t>
            </w:r>
          </w:p>
        </w:tc>
        <w:tc>
          <w:tcPr>
            <w:tcW w:w="744" w:type="pct"/>
            <w:tcBorders>
              <w:top w:val="single" w:color="auto" w:sz="4" w:space="0"/>
              <w:left w:val="single" w:color="auto" w:sz="4" w:space="0"/>
              <w:bottom w:val="single" w:color="auto" w:sz="4" w:space="0"/>
              <w:right w:val="single" w:color="auto" w:sz="4" w:space="0"/>
            </w:tcBorders>
            <w:vAlign w:val="center"/>
          </w:tcPr>
          <w:p w14:paraId="018A941A">
            <w:pPr>
              <w:widowControl/>
              <w:ind w:firstLine="0" w:firstLineChars="0"/>
              <w:jc w:val="center"/>
              <w:rPr>
                <w:rFonts w:hint="eastAsia"/>
                <w:kern w:val="0"/>
                <w:sz w:val="18"/>
                <w:szCs w:val="18"/>
                <w:highlight w:val="none"/>
              </w:rPr>
            </w:pPr>
            <w:r>
              <w:rPr>
                <w:rFonts w:hint="eastAsia"/>
                <w:kern w:val="0"/>
                <w:sz w:val="18"/>
                <w:szCs w:val="18"/>
                <w:highlight w:val="none"/>
              </w:rPr>
              <w:t>1000</w:t>
            </w:r>
          </w:p>
        </w:tc>
        <w:tc>
          <w:tcPr>
            <w:tcW w:w="586" w:type="pct"/>
            <w:tcBorders>
              <w:top w:val="single" w:color="auto" w:sz="4" w:space="0"/>
              <w:left w:val="single" w:color="auto" w:sz="4" w:space="0"/>
              <w:bottom w:val="single" w:color="auto" w:sz="4" w:space="0"/>
              <w:right w:val="single" w:color="auto" w:sz="4" w:space="0"/>
            </w:tcBorders>
            <w:vAlign w:val="center"/>
          </w:tcPr>
          <w:p w14:paraId="3C6067C9">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4758FE14">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480DC3C8">
            <w:pPr>
              <w:widowControl/>
              <w:ind w:firstLine="0" w:firstLineChars="0"/>
              <w:jc w:val="center"/>
              <w:rPr>
                <w:rFonts w:hint="eastAsia"/>
                <w:kern w:val="0"/>
                <w:sz w:val="18"/>
                <w:szCs w:val="18"/>
                <w:highlight w:val="none"/>
              </w:rPr>
            </w:pPr>
            <w:r>
              <w:rPr>
                <w:rFonts w:hint="eastAsia"/>
                <w:kern w:val="0"/>
                <w:sz w:val="18"/>
                <w:szCs w:val="18"/>
                <w:highlight w:val="none"/>
              </w:rPr>
              <w:t>14</w:t>
            </w:r>
          </w:p>
        </w:tc>
        <w:tc>
          <w:tcPr>
            <w:tcW w:w="689" w:type="pct"/>
            <w:tcBorders>
              <w:top w:val="single" w:color="auto" w:sz="4" w:space="0"/>
              <w:left w:val="single" w:color="auto" w:sz="4" w:space="0"/>
              <w:bottom w:val="single" w:color="auto" w:sz="4" w:space="0"/>
              <w:right w:val="single" w:color="auto" w:sz="4" w:space="0"/>
            </w:tcBorders>
            <w:vAlign w:val="center"/>
          </w:tcPr>
          <w:p w14:paraId="531CA5D3">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0D126526">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15BF1FF3">
            <w:pPr>
              <w:widowControl/>
              <w:ind w:firstLine="0" w:firstLineChars="0"/>
              <w:jc w:val="center"/>
              <w:rPr>
                <w:rFonts w:hint="eastAsia"/>
                <w:kern w:val="0"/>
                <w:sz w:val="18"/>
                <w:szCs w:val="18"/>
                <w:highlight w:val="none"/>
              </w:rPr>
            </w:pPr>
            <w:r>
              <w:rPr>
                <w:rFonts w:hint="eastAsia"/>
                <w:kern w:val="0"/>
                <w:sz w:val="18"/>
                <w:szCs w:val="18"/>
                <w:highlight w:val="none"/>
              </w:rPr>
              <w:t>人大代表系统-文件服务器</w:t>
            </w:r>
          </w:p>
        </w:tc>
        <w:tc>
          <w:tcPr>
            <w:tcW w:w="766" w:type="pct"/>
            <w:tcBorders>
              <w:top w:val="single" w:color="auto" w:sz="4" w:space="0"/>
              <w:left w:val="single" w:color="auto" w:sz="4" w:space="0"/>
              <w:bottom w:val="single" w:color="auto" w:sz="4" w:space="0"/>
              <w:right w:val="single" w:color="auto" w:sz="4" w:space="0"/>
            </w:tcBorders>
            <w:vAlign w:val="center"/>
          </w:tcPr>
          <w:p w14:paraId="60396925">
            <w:pPr>
              <w:widowControl/>
              <w:ind w:firstLine="0" w:firstLineChars="0"/>
              <w:jc w:val="center"/>
              <w:rPr>
                <w:rFonts w:hint="eastAsia"/>
                <w:kern w:val="0"/>
                <w:sz w:val="18"/>
                <w:szCs w:val="18"/>
                <w:highlight w:val="none"/>
              </w:rPr>
            </w:pPr>
            <w:r>
              <w:rPr>
                <w:rFonts w:hint="eastAsia"/>
                <w:kern w:val="0"/>
                <w:sz w:val="18"/>
                <w:szCs w:val="18"/>
                <w:highlight w:val="none"/>
              </w:rPr>
              <w:t>异机备份</w:t>
            </w:r>
          </w:p>
        </w:tc>
        <w:tc>
          <w:tcPr>
            <w:tcW w:w="744" w:type="pct"/>
            <w:tcBorders>
              <w:top w:val="single" w:color="auto" w:sz="4" w:space="0"/>
              <w:left w:val="single" w:color="auto" w:sz="4" w:space="0"/>
              <w:bottom w:val="single" w:color="auto" w:sz="4" w:space="0"/>
              <w:right w:val="single" w:color="auto" w:sz="4" w:space="0"/>
            </w:tcBorders>
            <w:vAlign w:val="center"/>
          </w:tcPr>
          <w:p w14:paraId="15838F4E">
            <w:pPr>
              <w:widowControl/>
              <w:ind w:firstLine="0" w:firstLineChars="0"/>
              <w:jc w:val="center"/>
              <w:rPr>
                <w:rFonts w:hint="eastAsia"/>
                <w:kern w:val="0"/>
                <w:sz w:val="18"/>
                <w:szCs w:val="18"/>
                <w:highlight w:val="none"/>
              </w:rPr>
            </w:pPr>
            <w:r>
              <w:rPr>
                <w:rFonts w:hint="eastAsia"/>
                <w:kern w:val="0"/>
                <w:sz w:val="18"/>
                <w:szCs w:val="18"/>
                <w:highlight w:val="none"/>
              </w:rPr>
              <w:t>2000</w:t>
            </w:r>
          </w:p>
        </w:tc>
        <w:tc>
          <w:tcPr>
            <w:tcW w:w="586" w:type="pct"/>
            <w:tcBorders>
              <w:top w:val="single" w:color="auto" w:sz="4" w:space="0"/>
              <w:left w:val="single" w:color="auto" w:sz="4" w:space="0"/>
              <w:bottom w:val="single" w:color="auto" w:sz="4" w:space="0"/>
              <w:right w:val="single" w:color="auto" w:sz="4" w:space="0"/>
            </w:tcBorders>
            <w:vAlign w:val="center"/>
          </w:tcPr>
          <w:p w14:paraId="731D5529">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6109A5C7">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C182C98">
            <w:pPr>
              <w:widowControl/>
              <w:ind w:firstLine="0" w:firstLineChars="0"/>
              <w:jc w:val="center"/>
              <w:rPr>
                <w:rFonts w:hint="eastAsia"/>
                <w:kern w:val="0"/>
                <w:sz w:val="18"/>
                <w:szCs w:val="18"/>
                <w:highlight w:val="none"/>
              </w:rPr>
            </w:pPr>
            <w:r>
              <w:rPr>
                <w:rFonts w:hint="eastAsia"/>
                <w:kern w:val="0"/>
                <w:sz w:val="18"/>
                <w:szCs w:val="18"/>
                <w:highlight w:val="none"/>
              </w:rPr>
              <w:t>15</w:t>
            </w:r>
          </w:p>
        </w:tc>
        <w:tc>
          <w:tcPr>
            <w:tcW w:w="689" w:type="pct"/>
            <w:tcBorders>
              <w:top w:val="single" w:color="auto" w:sz="4" w:space="0"/>
              <w:left w:val="single" w:color="auto" w:sz="4" w:space="0"/>
              <w:bottom w:val="single" w:color="auto" w:sz="4" w:space="0"/>
              <w:right w:val="single" w:color="auto" w:sz="4" w:space="0"/>
            </w:tcBorders>
            <w:vAlign w:val="center"/>
          </w:tcPr>
          <w:p w14:paraId="06738935">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19635C65">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13DC53A1">
            <w:pPr>
              <w:widowControl/>
              <w:ind w:firstLine="0" w:firstLineChars="0"/>
              <w:jc w:val="center"/>
              <w:rPr>
                <w:rFonts w:hint="eastAsia"/>
                <w:kern w:val="0"/>
                <w:sz w:val="18"/>
                <w:szCs w:val="18"/>
                <w:highlight w:val="none"/>
              </w:rPr>
            </w:pPr>
            <w:r>
              <w:rPr>
                <w:rFonts w:hint="eastAsia"/>
                <w:kern w:val="0"/>
                <w:sz w:val="18"/>
                <w:szCs w:val="18"/>
                <w:highlight w:val="none"/>
              </w:rPr>
              <w:t>人大代表系统-业务-应用服务器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0680FF2A">
            <w:pPr>
              <w:widowControl/>
              <w:ind w:firstLine="0" w:firstLineChars="0"/>
              <w:jc w:val="center"/>
              <w:rPr>
                <w:rFonts w:hint="eastAsia"/>
                <w:kern w:val="0"/>
                <w:sz w:val="18"/>
                <w:szCs w:val="18"/>
                <w:highlight w:val="none"/>
              </w:rPr>
            </w:pPr>
            <w:r>
              <w:rPr>
                <w:rFonts w:hint="eastAsia"/>
                <w:kern w:val="0"/>
                <w:sz w:val="18"/>
                <w:szCs w:val="18"/>
                <w:highlight w:val="none"/>
              </w:rPr>
              <w:t>应用</w:t>
            </w:r>
          </w:p>
        </w:tc>
        <w:tc>
          <w:tcPr>
            <w:tcW w:w="744" w:type="pct"/>
            <w:tcBorders>
              <w:top w:val="single" w:color="auto" w:sz="4" w:space="0"/>
              <w:left w:val="single" w:color="auto" w:sz="4" w:space="0"/>
              <w:bottom w:val="single" w:color="auto" w:sz="4" w:space="0"/>
              <w:right w:val="single" w:color="auto" w:sz="4" w:space="0"/>
            </w:tcBorders>
            <w:vAlign w:val="center"/>
          </w:tcPr>
          <w:p w14:paraId="1DC9A02A">
            <w:pPr>
              <w:widowControl/>
              <w:ind w:firstLine="0" w:firstLineChars="0"/>
              <w:jc w:val="center"/>
              <w:rPr>
                <w:rFonts w:hint="eastAsia"/>
                <w:kern w:val="0"/>
                <w:sz w:val="18"/>
                <w:szCs w:val="18"/>
                <w:highlight w:val="none"/>
              </w:rPr>
            </w:pPr>
            <w:r>
              <w:rPr>
                <w:rFonts w:hint="eastAsia"/>
                <w:kern w:val="0"/>
                <w:sz w:val="18"/>
                <w:szCs w:val="18"/>
                <w:highlight w:val="none"/>
              </w:rPr>
              <w:t>200</w:t>
            </w:r>
          </w:p>
        </w:tc>
        <w:tc>
          <w:tcPr>
            <w:tcW w:w="586" w:type="pct"/>
            <w:tcBorders>
              <w:top w:val="single" w:color="auto" w:sz="4" w:space="0"/>
              <w:left w:val="single" w:color="auto" w:sz="4" w:space="0"/>
              <w:bottom w:val="single" w:color="auto" w:sz="4" w:space="0"/>
              <w:right w:val="single" w:color="auto" w:sz="4" w:space="0"/>
            </w:tcBorders>
            <w:vAlign w:val="center"/>
          </w:tcPr>
          <w:p w14:paraId="5B121DAF">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2D45C7D2">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4A29B003">
            <w:pPr>
              <w:widowControl/>
              <w:ind w:firstLine="0" w:firstLineChars="0"/>
              <w:jc w:val="center"/>
              <w:rPr>
                <w:rFonts w:hint="eastAsia"/>
                <w:kern w:val="0"/>
                <w:sz w:val="18"/>
                <w:szCs w:val="18"/>
                <w:highlight w:val="none"/>
              </w:rPr>
            </w:pPr>
            <w:r>
              <w:rPr>
                <w:rFonts w:hint="eastAsia"/>
                <w:kern w:val="0"/>
                <w:sz w:val="18"/>
                <w:szCs w:val="18"/>
                <w:highlight w:val="none"/>
              </w:rPr>
              <w:t>16</w:t>
            </w:r>
          </w:p>
        </w:tc>
        <w:tc>
          <w:tcPr>
            <w:tcW w:w="689" w:type="pct"/>
            <w:tcBorders>
              <w:top w:val="single" w:color="auto" w:sz="4" w:space="0"/>
              <w:left w:val="single" w:color="auto" w:sz="4" w:space="0"/>
              <w:bottom w:val="single" w:color="auto" w:sz="4" w:space="0"/>
              <w:right w:val="single" w:color="auto" w:sz="4" w:space="0"/>
            </w:tcBorders>
            <w:vAlign w:val="center"/>
          </w:tcPr>
          <w:p w14:paraId="3C52526F">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3D314304">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25E4D05D">
            <w:pPr>
              <w:widowControl/>
              <w:ind w:firstLine="0" w:firstLineChars="0"/>
              <w:jc w:val="center"/>
              <w:rPr>
                <w:rFonts w:hint="eastAsia"/>
                <w:kern w:val="0"/>
                <w:sz w:val="18"/>
                <w:szCs w:val="18"/>
                <w:highlight w:val="none"/>
              </w:rPr>
            </w:pPr>
            <w:r>
              <w:rPr>
                <w:rFonts w:hint="eastAsia"/>
                <w:kern w:val="0"/>
                <w:sz w:val="18"/>
                <w:szCs w:val="18"/>
                <w:highlight w:val="none"/>
              </w:rPr>
              <w:t>人大代表系统-测试</w:t>
            </w:r>
          </w:p>
        </w:tc>
        <w:tc>
          <w:tcPr>
            <w:tcW w:w="766" w:type="pct"/>
            <w:tcBorders>
              <w:top w:val="single" w:color="auto" w:sz="4" w:space="0"/>
              <w:left w:val="single" w:color="auto" w:sz="4" w:space="0"/>
              <w:bottom w:val="single" w:color="auto" w:sz="4" w:space="0"/>
              <w:right w:val="single" w:color="auto" w:sz="4" w:space="0"/>
            </w:tcBorders>
            <w:vAlign w:val="center"/>
          </w:tcPr>
          <w:p w14:paraId="561A4671">
            <w:pPr>
              <w:widowControl/>
              <w:ind w:firstLine="0" w:firstLineChars="0"/>
              <w:jc w:val="center"/>
              <w:rPr>
                <w:rFonts w:hint="eastAsia"/>
                <w:kern w:val="0"/>
                <w:sz w:val="18"/>
                <w:szCs w:val="18"/>
                <w:highlight w:val="none"/>
              </w:rPr>
            </w:pPr>
            <w:r>
              <w:rPr>
                <w:rFonts w:hint="eastAsia"/>
                <w:kern w:val="0"/>
                <w:sz w:val="18"/>
                <w:szCs w:val="18"/>
                <w:highlight w:val="none"/>
              </w:rPr>
              <w:t>测试</w:t>
            </w:r>
          </w:p>
        </w:tc>
        <w:tc>
          <w:tcPr>
            <w:tcW w:w="744" w:type="pct"/>
            <w:tcBorders>
              <w:top w:val="single" w:color="auto" w:sz="4" w:space="0"/>
              <w:left w:val="single" w:color="auto" w:sz="4" w:space="0"/>
              <w:bottom w:val="single" w:color="auto" w:sz="4" w:space="0"/>
              <w:right w:val="single" w:color="auto" w:sz="4" w:space="0"/>
            </w:tcBorders>
            <w:vAlign w:val="center"/>
          </w:tcPr>
          <w:p w14:paraId="490D41E7">
            <w:pPr>
              <w:widowControl/>
              <w:ind w:firstLine="0" w:firstLineChars="0"/>
              <w:jc w:val="center"/>
              <w:rPr>
                <w:rFonts w:hint="eastAsia"/>
                <w:kern w:val="0"/>
                <w:sz w:val="18"/>
                <w:szCs w:val="18"/>
                <w:highlight w:val="none"/>
              </w:rPr>
            </w:pPr>
            <w:r>
              <w:rPr>
                <w:rFonts w:hint="eastAsia"/>
                <w:kern w:val="0"/>
                <w:sz w:val="18"/>
                <w:szCs w:val="18"/>
                <w:highlight w:val="none"/>
              </w:rPr>
              <w:t>500</w:t>
            </w:r>
          </w:p>
        </w:tc>
        <w:tc>
          <w:tcPr>
            <w:tcW w:w="586" w:type="pct"/>
            <w:tcBorders>
              <w:top w:val="single" w:color="auto" w:sz="4" w:space="0"/>
              <w:left w:val="single" w:color="auto" w:sz="4" w:space="0"/>
              <w:bottom w:val="single" w:color="auto" w:sz="4" w:space="0"/>
              <w:right w:val="single" w:color="auto" w:sz="4" w:space="0"/>
            </w:tcBorders>
            <w:vAlign w:val="center"/>
          </w:tcPr>
          <w:p w14:paraId="1CA6277E">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624EA004">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690F7BDC">
            <w:pPr>
              <w:widowControl/>
              <w:ind w:firstLine="0" w:firstLineChars="0"/>
              <w:jc w:val="center"/>
              <w:rPr>
                <w:rFonts w:hint="eastAsia"/>
                <w:kern w:val="0"/>
                <w:sz w:val="18"/>
                <w:szCs w:val="18"/>
                <w:highlight w:val="none"/>
              </w:rPr>
            </w:pPr>
            <w:r>
              <w:rPr>
                <w:rFonts w:hint="eastAsia"/>
                <w:kern w:val="0"/>
                <w:sz w:val="18"/>
                <w:szCs w:val="18"/>
                <w:highlight w:val="none"/>
              </w:rPr>
              <w:t>17</w:t>
            </w:r>
          </w:p>
        </w:tc>
        <w:tc>
          <w:tcPr>
            <w:tcW w:w="689" w:type="pct"/>
            <w:tcBorders>
              <w:top w:val="single" w:color="auto" w:sz="4" w:space="0"/>
              <w:left w:val="single" w:color="auto" w:sz="4" w:space="0"/>
              <w:bottom w:val="single" w:color="auto" w:sz="4" w:space="0"/>
              <w:right w:val="single" w:color="auto" w:sz="4" w:space="0"/>
            </w:tcBorders>
            <w:vAlign w:val="center"/>
          </w:tcPr>
          <w:p w14:paraId="120F8615">
            <w:pPr>
              <w:widowControl/>
              <w:ind w:firstLine="0" w:firstLineChars="0"/>
              <w:jc w:val="center"/>
              <w:rPr>
                <w:rFonts w:hint="eastAsia"/>
                <w:kern w:val="0"/>
                <w:sz w:val="18"/>
                <w:szCs w:val="18"/>
                <w:highlight w:val="none"/>
              </w:rPr>
            </w:pPr>
            <w:r>
              <w:rPr>
                <w:rFonts w:hint="eastAsia"/>
                <w:kern w:val="0"/>
                <w:sz w:val="18"/>
                <w:szCs w:val="18"/>
                <w:highlight w:val="none"/>
              </w:rPr>
              <w:t>互联网</w:t>
            </w:r>
          </w:p>
        </w:tc>
        <w:tc>
          <w:tcPr>
            <w:tcW w:w="598" w:type="pct"/>
            <w:tcBorders>
              <w:top w:val="single" w:color="auto" w:sz="4" w:space="0"/>
              <w:left w:val="single" w:color="auto" w:sz="4" w:space="0"/>
              <w:bottom w:val="single" w:color="auto" w:sz="4" w:space="0"/>
              <w:right w:val="single" w:color="auto" w:sz="4" w:space="0"/>
            </w:tcBorders>
            <w:vAlign w:val="center"/>
          </w:tcPr>
          <w:p w14:paraId="7897A154">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6C14FB37">
            <w:pPr>
              <w:widowControl/>
              <w:ind w:firstLine="0" w:firstLineChars="0"/>
              <w:jc w:val="center"/>
              <w:rPr>
                <w:rFonts w:hint="eastAsia"/>
                <w:kern w:val="0"/>
                <w:sz w:val="18"/>
                <w:szCs w:val="18"/>
                <w:highlight w:val="none"/>
              </w:rPr>
            </w:pPr>
            <w:r>
              <w:rPr>
                <w:rFonts w:hint="eastAsia"/>
                <w:kern w:val="0"/>
                <w:sz w:val="18"/>
                <w:szCs w:val="18"/>
                <w:highlight w:val="none"/>
              </w:rPr>
              <w:t>在线监管系统-前置服务器</w:t>
            </w:r>
          </w:p>
        </w:tc>
        <w:tc>
          <w:tcPr>
            <w:tcW w:w="766" w:type="pct"/>
            <w:tcBorders>
              <w:top w:val="single" w:color="auto" w:sz="4" w:space="0"/>
              <w:left w:val="single" w:color="auto" w:sz="4" w:space="0"/>
              <w:bottom w:val="single" w:color="auto" w:sz="4" w:space="0"/>
              <w:right w:val="single" w:color="auto" w:sz="4" w:space="0"/>
            </w:tcBorders>
            <w:vAlign w:val="center"/>
          </w:tcPr>
          <w:p w14:paraId="7BF655CD">
            <w:pPr>
              <w:widowControl/>
              <w:ind w:firstLine="0" w:firstLineChars="0"/>
              <w:jc w:val="center"/>
              <w:rPr>
                <w:rFonts w:hint="eastAsia"/>
                <w:kern w:val="0"/>
                <w:sz w:val="18"/>
                <w:szCs w:val="18"/>
                <w:highlight w:val="none"/>
              </w:rPr>
            </w:pPr>
            <w:r>
              <w:rPr>
                <w:rFonts w:hint="eastAsia"/>
                <w:kern w:val="0"/>
                <w:sz w:val="18"/>
                <w:szCs w:val="18"/>
                <w:highlight w:val="none"/>
              </w:rPr>
              <w:t>提供网络通道</w:t>
            </w:r>
          </w:p>
        </w:tc>
        <w:tc>
          <w:tcPr>
            <w:tcW w:w="744" w:type="pct"/>
            <w:tcBorders>
              <w:top w:val="single" w:color="auto" w:sz="4" w:space="0"/>
              <w:left w:val="single" w:color="auto" w:sz="4" w:space="0"/>
              <w:bottom w:val="single" w:color="auto" w:sz="4" w:space="0"/>
              <w:right w:val="single" w:color="auto" w:sz="4" w:space="0"/>
            </w:tcBorders>
            <w:vAlign w:val="center"/>
          </w:tcPr>
          <w:p w14:paraId="34469E2C">
            <w:pPr>
              <w:widowControl/>
              <w:ind w:firstLine="0" w:firstLineChars="0"/>
              <w:jc w:val="center"/>
              <w:rPr>
                <w:rFonts w:hint="eastAsia"/>
                <w:kern w:val="0"/>
                <w:sz w:val="18"/>
                <w:szCs w:val="18"/>
                <w:highlight w:val="none"/>
              </w:rPr>
            </w:pPr>
            <w:r>
              <w:rPr>
                <w:rFonts w:hint="eastAsia"/>
                <w:kern w:val="0"/>
                <w:sz w:val="18"/>
                <w:szCs w:val="18"/>
                <w:highlight w:val="none"/>
              </w:rPr>
              <w:t>200</w:t>
            </w:r>
          </w:p>
        </w:tc>
        <w:tc>
          <w:tcPr>
            <w:tcW w:w="586" w:type="pct"/>
            <w:tcBorders>
              <w:top w:val="single" w:color="auto" w:sz="4" w:space="0"/>
              <w:left w:val="single" w:color="auto" w:sz="4" w:space="0"/>
              <w:bottom w:val="single" w:color="auto" w:sz="4" w:space="0"/>
              <w:right w:val="single" w:color="auto" w:sz="4" w:space="0"/>
            </w:tcBorders>
            <w:vAlign w:val="center"/>
          </w:tcPr>
          <w:p w14:paraId="142ECBD6">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03F33CF0">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7D5D9A08">
            <w:pPr>
              <w:widowControl/>
              <w:ind w:firstLine="0" w:firstLineChars="0"/>
              <w:jc w:val="center"/>
              <w:rPr>
                <w:rFonts w:hint="eastAsia"/>
                <w:kern w:val="0"/>
                <w:sz w:val="18"/>
                <w:szCs w:val="18"/>
                <w:highlight w:val="none"/>
              </w:rPr>
            </w:pPr>
            <w:r>
              <w:rPr>
                <w:rFonts w:hint="eastAsia"/>
                <w:kern w:val="0"/>
                <w:sz w:val="18"/>
                <w:szCs w:val="18"/>
                <w:highlight w:val="none"/>
              </w:rPr>
              <w:t>22</w:t>
            </w:r>
          </w:p>
        </w:tc>
        <w:tc>
          <w:tcPr>
            <w:tcW w:w="689" w:type="pct"/>
            <w:tcBorders>
              <w:top w:val="single" w:color="auto" w:sz="4" w:space="0"/>
              <w:left w:val="single" w:color="auto" w:sz="4" w:space="0"/>
              <w:bottom w:val="single" w:color="auto" w:sz="4" w:space="0"/>
              <w:right w:val="single" w:color="auto" w:sz="4" w:space="0"/>
            </w:tcBorders>
            <w:vAlign w:val="center"/>
          </w:tcPr>
          <w:p w14:paraId="0AEB2A48">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7AC1CBEB">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77B8E650">
            <w:pPr>
              <w:widowControl/>
              <w:ind w:firstLine="0" w:firstLineChars="0"/>
              <w:jc w:val="center"/>
              <w:rPr>
                <w:rFonts w:hint="eastAsia"/>
                <w:kern w:val="0"/>
                <w:sz w:val="18"/>
                <w:szCs w:val="18"/>
                <w:highlight w:val="none"/>
              </w:rPr>
            </w:pPr>
            <w:r>
              <w:rPr>
                <w:rFonts w:hint="eastAsia" w:cs="宋体"/>
                <w:sz w:val="18"/>
                <w:szCs w:val="18"/>
                <w:highlight w:val="none"/>
              </w:rPr>
              <w:t>信用信息共享服务系统-应用服务器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0B68734B">
            <w:pPr>
              <w:widowControl/>
              <w:ind w:firstLine="0" w:firstLineChars="0"/>
              <w:jc w:val="center"/>
              <w:rPr>
                <w:rFonts w:hint="eastAsia"/>
                <w:kern w:val="0"/>
                <w:sz w:val="18"/>
                <w:szCs w:val="18"/>
                <w:highlight w:val="none"/>
              </w:rPr>
            </w:pPr>
            <w:r>
              <w:rPr>
                <w:rFonts w:hint="eastAsia" w:cs="宋体"/>
                <w:sz w:val="18"/>
                <w:szCs w:val="18"/>
                <w:highlight w:val="none"/>
              </w:rPr>
              <w:t>应用服务器</w:t>
            </w:r>
          </w:p>
        </w:tc>
        <w:tc>
          <w:tcPr>
            <w:tcW w:w="744" w:type="pct"/>
            <w:tcBorders>
              <w:top w:val="single" w:color="auto" w:sz="4" w:space="0"/>
              <w:left w:val="single" w:color="auto" w:sz="4" w:space="0"/>
              <w:bottom w:val="single" w:color="auto" w:sz="4" w:space="0"/>
              <w:right w:val="single" w:color="auto" w:sz="4" w:space="0"/>
            </w:tcBorders>
            <w:vAlign w:val="center"/>
          </w:tcPr>
          <w:p w14:paraId="411BAAD6">
            <w:pPr>
              <w:widowControl/>
              <w:ind w:firstLine="0" w:firstLineChars="0"/>
              <w:jc w:val="center"/>
              <w:rPr>
                <w:rFonts w:hint="eastAsia"/>
                <w:kern w:val="0"/>
                <w:sz w:val="18"/>
                <w:szCs w:val="18"/>
                <w:highlight w:val="none"/>
              </w:rPr>
            </w:pPr>
            <w:r>
              <w:rPr>
                <w:rFonts w:hint="eastAsia"/>
                <w:kern w:val="0"/>
                <w:sz w:val="18"/>
                <w:szCs w:val="18"/>
                <w:highlight w:val="none"/>
              </w:rPr>
              <w:t>500</w:t>
            </w:r>
          </w:p>
        </w:tc>
        <w:tc>
          <w:tcPr>
            <w:tcW w:w="586" w:type="pct"/>
            <w:tcBorders>
              <w:top w:val="single" w:color="auto" w:sz="4" w:space="0"/>
              <w:left w:val="single" w:color="auto" w:sz="4" w:space="0"/>
              <w:bottom w:val="single" w:color="auto" w:sz="4" w:space="0"/>
              <w:right w:val="single" w:color="auto" w:sz="4" w:space="0"/>
            </w:tcBorders>
            <w:vAlign w:val="center"/>
          </w:tcPr>
          <w:p w14:paraId="5D759C1F">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5EBE73A8">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25757757">
            <w:pPr>
              <w:widowControl/>
              <w:ind w:firstLine="0" w:firstLineChars="0"/>
              <w:jc w:val="center"/>
              <w:rPr>
                <w:rFonts w:hint="eastAsia"/>
                <w:kern w:val="0"/>
                <w:sz w:val="18"/>
                <w:szCs w:val="18"/>
                <w:highlight w:val="none"/>
              </w:rPr>
            </w:pPr>
            <w:r>
              <w:rPr>
                <w:rFonts w:hint="eastAsia"/>
                <w:kern w:val="0"/>
                <w:sz w:val="18"/>
                <w:szCs w:val="18"/>
                <w:highlight w:val="none"/>
              </w:rPr>
              <w:t>23</w:t>
            </w:r>
          </w:p>
        </w:tc>
        <w:tc>
          <w:tcPr>
            <w:tcW w:w="689" w:type="pct"/>
            <w:tcBorders>
              <w:top w:val="single" w:color="auto" w:sz="4" w:space="0"/>
              <w:left w:val="single" w:color="auto" w:sz="4" w:space="0"/>
              <w:bottom w:val="single" w:color="auto" w:sz="4" w:space="0"/>
              <w:right w:val="single" w:color="auto" w:sz="4" w:space="0"/>
            </w:tcBorders>
            <w:vAlign w:val="center"/>
          </w:tcPr>
          <w:p w14:paraId="26700845">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32F9F35E">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39FA2EBF">
            <w:pPr>
              <w:widowControl/>
              <w:ind w:firstLine="0" w:firstLineChars="0"/>
              <w:jc w:val="center"/>
              <w:rPr>
                <w:rFonts w:hint="eastAsia"/>
                <w:kern w:val="0"/>
                <w:sz w:val="18"/>
                <w:szCs w:val="18"/>
                <w:highlight w:val="none"/>
              </w:rPr>
            </w:pPr>
            <w:r>
              <w:rPr>
                <w:rFonts w:hint="eastAsia" w:cs="宋体"/>
                <w:sz w:val="18"/>
                <w:szCs w:val="18"/>
                <w:highlight w:val="none"/>
              </w:rPr>
              <w:t>信用信息共享服务系统-数据库服务器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4DE027CF">
            <w:pPr>
              <w:widowControl/>
              <w:ind w:firstLine="0" w:firstLineChars="0"/>
              <w:jc w:val="center"/>
              <w:rPr>
                <w:rFonts w:hint="eastAsia"/>
                <w:kern w:val="0"/>
                <w:sz w:val="18"/>
                <w:szCs w:val="18"/>
                <w:highlight w:val="none"/>
              </w:rPr>
            </w:pPr>
            <w:r>
              <w:rPr>
                <w:rFonts w:hint="eastAsia" w:cs="宋体"/>
                <w:sz w:val="18"/>
                <w:szCs w:val="18"/>
                <w:highlight w:val="none"/>
              </w:rPr>
              <w:t>数据库服务器</w:t>
            </w:r>
          </w:p>
        </w:tc>
        <w:tc>
          <w:tcPr>
            <w:tcW w:w="744" w:type="pct"/>
            <w:tcBorders>
              <w:top w:val="single" w:color="auto" w:sz="4" w:space="0"/>
              <w:left w:val="single" w:color="auto" w:sz="4" w:space="0"/>
              <w:bottom w:val="single" w:color="auto" w:sz="4" w:space="0"/>
              <w:right w:val="single" w:color="auto" w:sz="4" w:space="0"/>
            </w:tcBorders>
            <w:vAlign w:val="center"/>
          </w:tcPr>
          <w:p w14:paraId="2B64028C">
            <w:pPr>
              <w:widowControl/>
              <w:ind w:firstLine="0" w:firstLineChars="0"/>
              <w:jc w:val="center"/>
              <w:rPr>
                <w:rFonts w:hint="eastAsia"/>
                <w:kern w:val="0"/>
                <w:sz w:val="18"/>
                <w:szCs w:val="18"/>
                <w:highlight w:val="none"/>
              </w:rPr>
            </w:pPr>
            <w:r>
              <w:rPr>
                <w:rFonts w:hint="eastAsia"/>
                <w:kern w:val="0"/>
                <w:sz w:val="18"/>
                <w:szCs w:val="18"/>
                <w:highlight w:val="none"/>
              </w:rPr>
              <w:t>1000</w:t>
            </w:r>
          </w:p>
        </w:tc>
        <w:tc>
          <w:tcPr>
            <w:tcW w:w="586" w:type="pct"/>
            <w:tcBorders>
              <w:top w:val="single" w:color="auto" w:sz="4" w:space="0"/>
              <w:left w:val="single" w:color="auto" w:sz="4" w:space="0"/>
              <w:bottom w:val="single" w:color="auto" w:sz="4" w:space="0"/>
              <w:right w:val="single" w:color="auto" w:sz="4" w:space="0"/>
            </w:tcBorders>
            <w:vAlign w:val="center"/>
          </w:tcPr>
          <w:p w14:paraId="36C2803D">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7755D10F">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4B67E985">
            <w:pPr>
              <w:widowControl/>
              <w:ind w:firstLine="0" w:firstLineChars="0"/>
              <w:jc w:val="center"/>
              <w:rPr>
                <w:rFonts w:hint="eastAsia"/>
                <w:kern w:val="0"/>
                <w:sz w:val="18"/>
                <w:szCs w:val="18"/>
                <w:highlight w:val="none"/>
              </w:rPr>
            </w:pPr>
            <w:r>
              <w:rPr>
                <w:rFonts w:hint="eastAsia"/>
                <w:kern w:val="0"/>
                <w:sz w:val="18"/>
                <w:szCs w:val="18"/>
                <w:highlight w:val="none"/>
              </w:rPr>
              <w:t>24</w:t>
            </w:r>
          </w:p>
        </w:tc>
        <w:tc>
          <w:tcPr>
            <w:tcW w:w="689" w:type="pct"/>
            <w:tcBorders>
              <w:top w:val="single" w:color="auto" w:sz="4" w:space="0"/>
              <w:left w:val="single" w:color="auto" w:sz="4" w:space="0"/>
              <w:bottom w:val="single" w:color="auto" w:sz="4" w:space="0"/>
              <w:right w:val="single" w:color="auto" w:sz="4" w:space="0"/>
            </w:tcBorders>
            <w:vAlign w:val="center"/>
          </w:tcPr>
          <w:p w14:paraId="6C7665F6">
            <w:pPr>
              <w:widowControl/>
              <w:ind w:firstLine="0" w:firstLineChars="0"/>
              <w:jc w:val="center"/>
              <w:rPr>
                <w:rFonts w:hint="eastAsia"/>
                <w:kern w:val="0"/>
                <w:sz w:val="18"/>
                <w:szCs w:val="18"/>
                <w:highlight w:val="none"/>
              </w:rPr>
            </w:pPr>
            <w:r>
              <w:rPr>
                <w:rFonts w:hint="eastAsia"/>
                <w:kern w:val="0"/>
                <w:sz w:val="18"/>
                <w:szCs w:val="18"/>
                <w:highlight w:val="none"/>
              </w:rPr>
              <w:t>互联网</w:t>
            </w:r>
          </w:p>
        </w:tc>
        <w:tc>
          <w:tcPr>
            <w:tcW w:w="598" w:type="pct"/>
            <w:tcBorders>
              <w:top w:val="single" w:color="auto" w:sz="4" w:space="0"/>
              <w:left w:val="single" w:color="auto" w:sz="4" w:space="0"/>
              <w:bottom w:val="single" w:color="auto" w:sz="4" w:space="0"/>
              <w:right w:val="single" w:color="auto" w:sz="4" w:space="0"/>
            </w:tcBorders>
            <w:vAlign w:val="center"/>
          </w:tcPr>
          <w:p w14:paraId="1532759F">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4BD713ED">
            <w:pPr>
              <w:widowControl/>
              <w:ind w:firstLine="0" w:firstLineChars="0"/>
              <w:jc w:val="center"/>
              <w:rPr>
                <w:rFonts w:hint="eastAsia"/>
                <w:kern w:val="0"/>
                <w:sz w:val="18"/>
                <w:szCs w:val="18"/>
                <w:highlight w:val="none"/>
              </w:rPr>
            </w:pPr>
            <w:r>
              <w:rPr>
                <w:rFonts w:hint="eastAsia" w:cs="宋体"/>
                <w:sz w:val="18"/>
                <w:szCs w:val="18"/>
                <w:highlight w:val="none"/>
              </w:rPr>
              <w:t>保租房管理信息系统-前置服务器</w:t>
            </w:r>
          </w:p>
        </w:tc>
        <w:tc>
          <w:tcPr>
            <w:tcW w:w="766" w:type="pct"/>
            <w:tcBorders>
              <w:top w:val="single" w:color="auto" w:sz="4" w:space="0"/>
              <w:left w:val="single" w:color="auto" w:sz="4" w:space="0"/>
              <w:bottom w:val="single" w:color="auto" w:sz="4" w:space="0"/>
              <w:right w:val="single" w:color="auto" w:sz="4" w:space="0"/>
            </w:tcBorders>
            <w:vAlign w:val="center"/>
          </w:tcPr>
          <w:p w14:paraId="152449A9">
            <w:pPr>
              <w:widowControl/>
              <w:ind w:firstLine="0" w:firstLineChars="0"/>
              <w:jc w:val="center"/>
              <w:rPr>
                <w:rFonts w:hint="eastAsia"/>
                <w:kern w:val="0"/>
                <w:sz w:val="18"/>
                <w:szCs w:val="18"/>
                <w:highlight w:val="none"/>
              </w:rPr>
            </w:pPr>
            <w:r>
              <w:rPr>
                <w:rFonts w:hint="eastAsia" w:cs="宋体"/>
                <w:sz w:val="18"/>
                <w:szCs w:val="18"/>
                <w:highlight w:val="none"/>
              </w:rPr>
              <w:t>前置服务器</w:t>
            </w:r>
          </w:p>
        </w:tc>
        <w:tc>
          <w:tcPr>
            <w:tcW w:w="744" w:type="pct"/>
            <w:tcBorders>
              <w:top w:val="single" w:color="auto" w:sz="4" w:space="0"/>
              <w:left w:val="single" w:color="auto" w:sz="4" w:space="0"/>
              <w:bottom w:val="single" w:color="auto" w:sz="4" w:space="0"/>
              <w:right w:val="single" w:color="auto" w:sz="4" w:space="0"/>
            </w:tcBorders>
            <w:vAlign w:val="center"/>
          </w:tcPr>
          <w:p w14:paraId="2C2A94B7">
            <w:pPr>
              <w:widowControl/>
              <w:ind w:firstLine="0" w:firstLineChars="0"/>
              <w:jc w:val="center"/>
              <w:rPr>
                <w:rFonts w:hint="eastAsia"/>
                <w:kern w:val="0"/>
                <w:sz w:val="18"/>
                <w:szCs w:val="18"/>
                <w:highlight w:val="none"/>
              </w:rPr>
            </w:pPr>
            <w:r>
              <w:rPr>
                <w:rFonts w:hint="eastAsia"/>
                <w:kern w:val="0"/>
                <w:sz w:val="18"/>
                <w:szCs w:val="18"/>
                <w:highlight w:val="none"/>
              </w:rPr>
              <w:t>600</w:t>
            </w:r>
          </w:p>
        </w:tc>
        <w:tc>
          <w:tcPr>
            <w:tcW w:w="586" w:type="pct"/>
            <w:tcBorders>
              <w:top w:val="single" w:color="auto" w:sz="4" w:space="0"/>
              <w:left w:val="single" w:color="auto" w:sz="4" w:space="0"/>
              <w:bottom w:val="single" w:color="auto" w:sz="4" w:space="0"/>
              <w:right w:val="single" w:color="auto" w:sz="4" w:space="0"/>
            </w:tcBorders>
            <w:vAlign w:val="center"/>
          </w:tcPr>
          <w:p w14:paraId="7897EC6C">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2D5F1A4F">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24226F5">
            <w:pPr>
              <w:widowControl/>
              <w:ind w:firstLine="0" w:firstLineChars="0"/>
              <w:jc w:val="center"/>
              <w:rPr>
                <w:rFonts w:hint="eastAsia"/>
                <w:kern w:val="0"/>
                <w:sz w:val="18"/>
                <w:szCs w:val="18"/>
                <w:highlight w:val="none"/>
              </w:rPr>
            </w:pPr>
            <w:r>
              <w:rPr>
                <w:rFonts w:hint="eastAsia"/>
                <w:kern w:val="0"/>
                <w:sz w:val="18"/>
                <w:szCs w:val="18"/>
                <w:highlight w:val="none"/>
              </w:rPr>
              <w:t>25</w:t>
            </w:r>
          </w:p>
        </w:tc>
        <w:tc>
          <w:tcPr>
            <w:tcW w:w="689" w:type="pct"/>
            <w:tcBorders>
              <w:top w:val="single" w:color="auto" w:sz="4" w:space="0"/>
              <w:left w:val="single" w:color="auto" w:sz="4" w:space="0"/>
              <w:bottom w:val="single" w:color="auto" w:sz="4" w:space="0"/>
              <w:right w:val="single" w:color="auto" w:sz="4" w:space="0"/>
            </w:tcBorders>
            <w:vAlign w:val="center"/>
          </w:tcPr>
          <w:p w14:paraId="2EDD5E3F">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7D75572C">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199E2D58">
            <w:pPr>
              <w:widowControl/>
              <w:ind w:firstLine="0" w:firstLineChars="0"/>
              <w:jc w:val="center"/>
              <w:rPr>
                <w:rFonts w:hint="eastAsia"/>
                <w:kern w:val="0"/>
                <w:sz w:val="18"/>
                <w:szCs w:val="18"/>
                <w:highlight w:val="none"/>
              </w:rPr>
            </w:pPr>
            <w:r>
              <w:rPr>
                <w:rFonts w:hint="eastAsia" w:cs="宋体"/>
                <w:sz w:val="18"/>
                <w:szCs w:val="18"/>
                <w:highlight w:val="none"/>
              </w:rPr>
              <w:t>保租房管理信息系统-应用服务器</w:t>
            </w:r>
          </w:p>
        </w:tc>
        <w:tc>
          <w:tcPr>
            <w:tcW w:w="766" w:type="pct"/>
            <w:tcBorders>
              <w:top w:val="single" w:color="auto" w:sz="4" w:space="0"/>
              <w:left w:val="single" w:color="auto" w:sz="4" w:space="0"/>
              <w:bottom w:val="single" w:color="auto" w:sz="4" w:space="0"/>
              <w:right w:val="single" w:color="auto" w:sz="4" w:space="0"/>
            </w:tcBorders>
            <w:vAlign w:val="center"/>
          </w:tcPr>
          <w:p w14:paraId="643E5445">
            <w:pPr>
              <w:widowControl/>
              <w:ind w:firstLine="0" w:firstLineChars="0"/>
              <w:jc w:val="center"/>
              <w:rPr>
                <w:rFonts w:hint="eastAsia"/>
                <w:kern w:val="0"/>
                <w:sz w:val="18"/>
                <w:szCs w:val="18"/>
                <w:highlight w:val="none"/>
              </w:rPr>
            </w:pPr>
            <w:r>
              <w:rPr>
                <w:rFonts w:hint="eastAsia" w:cs="宋体"/>
                <w:sz w:val="18"/>
                <w:szCs w:val="18"/>
                <w:highlight w:val="none"/>
              </w:rPr>
              <w:t>应用服务器</w:t>
            </w:r>
          </w:p>
        </w:tc>
        <w:tc>
          <w:tcPr>
            <w:tcW w:w="744" w:type="pct"/>
            <w:tcBorders>
              <w:top w:val="single" w:color="auto" w:sz="4" w:space="0"/>
              <w:left w:val="single" w:color="auto" w:sz="4" w:space="0"/>
              <w:bottom w:val="single" w:color="auto" w:sz="4" w:space="0"/>
              <w:right w:val="single" w:color="auto" w:sz="4" w:space="0"/>
            </w:tcBorders>
            <w:vAlign w:val="center"/>
          </w:tcPr>
          <w:p w14:paraId="4633C9F6">
            <w:pPr>
              <w:widowControl/>
              <w:ind w:firstLine="0" w:firstLineChars="0"/>
              <w:jc w:val="center"/>
              <w:rPr>
                <w:rFonts w:hint="eastAsia"/>
                <w:kern w:val="0"/>
                <w:sz w:val="18"/>
                <w:szCs w:val="18"/>
                <w:highlight w:val="none"/>
              </w:rPr>
            </w:pPr>
            <w:r>
              <w:rPr>
                <w:rFonts w:hint="eastAsia"/>
                <w:kern w:val="0"/>
                <w:sz w:val="18"/>
                <w:szCs w:val="18"/>
                <w:highlight w:val="none"/>
              </w:rPr>
              <w:t>1200</w:t>
            </w:r>
          </w:p>
        </w:tc>
        <w:tc>
          <w:tcPr>
            <w:tcW w:w="586" w:type="pct"/>
            <w:tcBorders>
              <w:top w:val="single" w:color="auto" w:sz="4" w:space="0"/>
              <w:left w:val="single" w:color="auto" w:sz="4" w:space="0"/>
              <w:bottom w:val="single" w:color="auto" w:sz="4" w:space="0"/>
              <w:right w:val="single" w:color="auto" w:sz="4" w:space="0"/>
            </w:tcBorders>
            <w:vAlign w:val="center"/>
          </w:tcPr>
          <w:p w14:paraId="4BD7B59D">
            <w:pPr>
              <w:widowControl/>
              <w:ind w:firstLine="0" w:firstLineChars="0"/>
              <w:jc w:val="center"/>
              <w:rPr>
                <w:rFonts w:hint="eastAsia"/>
                <w:kern w:val="0"/>
                <w:sz w:val="18"/>
                <w:szCs w:val="18"/>
                <w:highlight w:val="none"/>
              </w:rPr>
            </w:pPr>
            <w:r>
              <w:rPr>
                <w:rFonts w:hint="eastAsia"/>
                <w:kern w:val="0"/>
                <w:sz w:val="18"/>
                <w:szCs w:val="18"/>
                <w:highlight w:val="none"/>
              </w:rPr>
              <w:t>1</w:t>
            </w:r>
          </w:p>
        </w:tc>
      </w:tr>
      <w:tr w14:paraId="07D497F1">
        <w:tblPrEx>
          <w:tblCellMar>
            <w:top w:w="0" w:type="dxa"/>
            <w:left w:w="108" w:type="dxa"/>
            <w:bottom w:w="0" w:type="dxa"/>
            <w:right w:w="108" w:type="dxa"/>
          </w:tblCellMar>
        </w:tblPrEx>
        <w:trPr>
          <w:trHeight w:val="520" w:hRule="atLeast"/>
          <w:jc w:val="center"/>
        </w:trPr>
        <w:tc>
          <w:tcPr>
            <w:tcW w:w="335" w:type="pct"/>
            <w:tcBorders>
              <w:top w:val="single" w:color="auto" w:sz="4" w:space="0"/>
              <w:left w:val="single" w:color="auto" w:sz="4" w:space="0"/>
              <w:bottom w:val="single" w:color="auto" w:sz="4" w:space="0"/>
              <w:right w:val="single" w:color="auto" w:sz="4" w:space="0"/>
            </w:tcBorders>
            <w:vAlign w:val="center"/>
          </w:tcPr>
          <w:p w14:paraId="34810D1C">
            <w:pPr>
              <w:widowControl/>
              <w:ind w:firstLine="0" w:firstLineChars="0"/>
              <w:jc w:val="center"/>
              <w:rPr>
                <w:rFonts w:hint="eastAsia"/>
                <w:kern w:val="0"/>
                <w:sz w:val="18"/>
                <w:szCs w:val="18"/>
                <w:highlight w:val="none"/>
              </w:rPr>
            </w:pPr>
            <w:r>
              <w:rPr>
                <w:rFonts w:hint="eastAsia"/>
                <w:kern w:val="0"/>
                <w:sz w:val="18"/>
                <w:szCs w:val="18"/>
                <w:highlight w:val="none"/>
              </w:rPr>
              <w:t>26</w:t>
            </w:r>
          </w:p>
        </w:tc>
        <w:tc>
          <w:tcPr>
            <w:tcW w:w="689" w:type="pct"/>
            <w:tcBorders>
              <w:top w:val="single" w:color="auto" w:sz="4" w:space="0"/>
              <w:left w:val="single" w:color="auto" w:sz="4" w:space="0"/>
              <w:bottom w:val="single" w:color="auto" w:sz="4" w:space="0"/>
              <w:right w:val="single" w:color="auto" w:sz="4" w:space="0"/>
            </w:tcBorders>
            <w:vAlign w:val="center"/>
          </w:tcPr>
          <w:p w14:paraId="55E0BECA">
            <w:pPr>
              <w:widowControl/>
              <w:ind w:firstLine="0" w:firstLineChars="0"/>
              <w:jc w:val="center"/>
              <w:rPr>
                <w:rFonts w:hint="eastAsia"/>
                <w:kern w:val="0"/>
                <w:sz w:val="18"/>
                <w:szCs w:val="18"/>
                <w:highlight w:val="none"/>
              </w:rPr>
            </w:pPr>
            <w:r>
              <w:rPr>
                <w:kern w:val="0"/>
                <w:sz w:val="18"/>
                <w:szCs w:val="18"/>
                <w:highlight w:val="none"/>
              </w:rPr>
              <w:t>政务</w:t>
            </w:r>
            <w:r>
              <w:rPr>
                <w:rFonts w:hint="eastAsia"/>
                <w:kern w:val="0"/>
                <w:sz w:val="18"/>
                <w:szCs w:val="18"/>
                <w:highlight w:val="none"/>
              </w:rPr>
              <w:t>外网</w:t>
            </w:r>
          </w:p>
        </w:tc>
        <w:tc>
          <w:tcPr>
            <w:tcW w:w="598" w:type="pct"/>
            <w:tcBorders>
              <w:top w:val="single" w:color="auto" w:sz="4" w:space="0"/>
              <w:left w:val="single" w:color="auto" w:sz="4" w:space="0"/>
              <w:bottom w:val="single" w:color="auto" w:sz="4" w:space="0"/>
              <w:right w:val="single" w:color="auto" w:sz="4" w:space="0"/>
            </w:tcBorders>
            <w:vAlign w:val="center"/>
          </w:tcPr>
          <w:p w14:paraId="2A04407F">
            <w:pPr>
              <w:widowControl/>
              <w:ind w:firstLine="0" w:firstLineChars="0"/>
              <w:jc w:val="center"/>
              <w:rPr>
                <w:rFonts w:hint="eastAsia"/>
                <w:kern w:val="0"/>
                <w:sz w:val="18"/>
                <w:szCs w:val="18"/>
                <w:highlight w:val="none"/>
              </w:rPr>
            </w:pPr>
            <w:r>
              <w:rPr>
                <w:kern w:val="0"/>
                <w:sz w:val="18"/>
                <w:szCs w:val="18"/>
                <w:highlight w:val="none"/>
              </w:rPr>
              <w:t>虚拟机</w:t>
            </w:r>
          </w:p>
        </w:tc>
        <w:tc>
          <w:tcPr>
            <w:tcW w:w="1282" w:type="pct"/>
            <w:tcBorders>
              <w:top w:val="single" w:color="auto" w:sz="4" w:space="0"/>
              <w:left w:val="single" w:color="auto" w:sz="4" w:space="0"/>
              <w:bottom w:val="single" w:color="auto" w:sz="4" w:space="0"/>
              <w:right w:val="single" w:color="auto" w:sz="4" w:space="0"/>
            </w:tcBorders>
            <w:vAlign w:val="center"/>
          </w:tcPr>
          <w:p w14:paraId="002B1E4F">
            <w:pPr>
              <w:widowControl/>
              <w:ind w:firstLine="0" w:firstLineChars="0"/>
              <w:jc w:val="center"/>
              <w:rPr>
                <w:rFonts w:hint="eastAsia"/>
                <w:kern w:val="0"/>
                <w:sz w:val="18"/>
                <w:szCs w:val="18"/>
                <w:highlight w:val="none"/>
              </w:rPr>
            </w:pPr>
            <w:r>
              <w:rPr>
                <w:rFonts w:hint="eastAsia" w:cs="宋体"/>
                <w:sz w:val="18"/>
                <w:szCs w:val="18"/>
                <w:highlight w:val="none"/>
              </w:rPr>
              <w:t>保租房管理信息系统-数据库服务器</w:t>
            </w:r>
          </w:p>
        </w:tc>
        <w:tc>
          <w:tcPr>
            <w:tcW w:w="766" w:type="pct"/>
            <w:tcBorders>
              <w:top w:val="single" w:color="auto" w:sz="4" w:space="0"/>
              <w:left w:val="single" w:color="auto" w:sz="4" w:space="0"/>
              <w:bottom w:val="single" w:color="auto" w:sz="4" w:space="0"/>
              <w:right w:val="single" w:color="auto" w:sz="4" w:space="0"/>
            </w:tcBorders>
            <w:vAlign w:val="center"/>
          </w:tcPr>
          <w:p w14:paraId="11366BD5">
            <w:pPr>
              <w:widowControl/>
              <w:ind w:firstLine="0" w:firstLineChars="0"/>
              <w:jc w:val="center"/>
              <w:rPr>
                <w:rFonts w:hint="eastAsia"/>
                <w:kern w:val="0"/>
                <w:sz w:val="18"/>
                <w:szCs w:val="18"/>
                <w:highlight w:val="none"/>
              </w:rPr>
            </w:pPr>
            <w:r>
              <w:rPr>
                <w:rFonts w:hint="eastAsia" w:cs="宋体"/>
                <w:sz w:val="18"/>
                <w:szCs w:val="18"/>
                <w:highlight w:val="none"/>
              </w:rPr>
              <w:t>数据库服务器</w:t>
            </w:r>
          </w:p>
        </w:tc>
        <w:tc>
          <w:tcPr>
            <w:tcW w:w="744" w:type="pct"/>
            <w:tcBorders>
              <w:top w:val="single" w:color="auto" w:sz="4" w:space="0"/>
              <w:left w:val="single" w:color="auto" w:sz="4" w:space="0"/>
              <w:bottom w:val="single" w:color="auto" w:sz="4" w:space="0"/>
              <w:right w:val="single" w:color="auto" w:sz="4" w:space="0"/>
            </w:tcBorders>
            <w:vAlign w:val="center"/>
          </w:tcPr>
          <w:p w14:paraId="6FD38785">
            <w:pPr>
              <w:widowControl/>
              <w:ind w:firstLine="0" w:firstLineChars="0"/>
              <w:jc w:val="center"/>
              <w:rPr>
                <w:rFonts w:hint="eastAsia"/>
                <w:kern w:val="0"/>
                <w:sz w:val="18"/>
                <w:szCs w:val="18"/>
                <w:highlight w:val="none"/>
              </w:rPr>
            </w:pPr>
            <w:r>
              <w:rPr>
                <w:rFonts w:hint="eastAsia"/>
                <w:kern w:val="0"/>
                <w:sz w:val="18"/>
                <w:szCs w:val="18"/>
                <w:highlight w:val="none"/>
              </w:rPr>
              <w:t>600</w:t>
            </w:r>
          </w:p>
        </w:tc>
        <w:tc>
          <w:tcPr>
            <w:tcW w:w="586" w:type="pct"/>
            <w:tcBorders>
              <w:top w:val="single" w:color="auto" w:sz="4" w:space="0"/>
              <w:left w:val="single" w:color="auto" w:sz="4" w:space="0"/>
              <w:bottom w:val="single" w:color="auto" w:sz="4" w:space="0"/>
              <w:right w:val="single" w:color="auto" w:sz="4" w:space="0"/>
            </w:tcBorders>
            <w:vAlign w:val="center"/>
          </w:tcPr>
          <w:p w14:paraId="2102E9EB">
            <w:pPr>
              <w:widowControl/>
              <w:ind w:firstLine="0" w:firstLineChars="0"/>
              <w:jc w:val="center"/>
              <w:rPr>
                <w:rFonts w:hint="eastAsia"/>
                <w:kern w:val="0"/>
                <w:sz w:val="18"/>
                <w:szCs w:val="18"/>
                <w:highlight w:val="none"/>
              </w:rPr>
            </w:pPr>
            <w:r>
              <w:rPr>
                <w:rFonts w:hint="eastAsia"/>
                <w:kern w:val="0"/>
                <w:sz w:val="18"/>
                <w:szCs w:val="18"/>
                <w:highlight w:val="none"/>
              </w:rPr>
              <w:t>1</w:t>
            </w:r>
          </w:p>
        </w:tc>
      </w:tr>
    </w:tbl>
    <w:p w14:paraId="01D5BB8A">
      <w:pPr>
        <w:pStyle w:val="37"/>
        <w:ind w:firstLine="0" w:firstLineChars="0"/>
        <w:rPr>
          <w:highlight w:val="none"/>
        </w:rPr>
      </w:pPr>
    </w:p>
    <w:p w14:paraId="7F885F71">
      <w:pPr>
        <w:pStyle w:val="2"/>
        <w:ind w:left="-2" w:leftChars="-1" w:firstLine="1"/>
        <w:rPr>
          <w:rFonts w:ascii="Times New Roman" w:hAnsi="Times New Roman"/>
          <w:highlight w:val="none"/>
        </w:rPr>
      </w:pPr>
      <w:r>
        <w:rPr>
          <w:rFonts w:hint="eastAsia" w:ascii="Times New Roman" w:hAnsi="Times New Roman"/>
          <w:highlight w:val="none"/>
        </w:rPr>
        <w:t>其他工作要求</w:t>
      </w:r>
      <w:bookmarkEnd w:id="19"/>
    </w:p>
    <w:p w14:paraId="2DC268BE">
      <w:pPr>
        <w:pStyle w:val="4"/>
        <w:ind w:left="1" w:hanging="1"/>
        <w:rPr>
          <w:rFonts w:ascii="Times New Roman" w:hAnsi="Times New Roman"/>
          <w:highlight w:val="none"/>
        </w:rPr>
      </w:pPr>
      <w:bookmarkStart w:id="20" w:name="_Toc63585480"/>
      <w:bookmarkEnd w:id="20"/>
      <w:bookmarkStart w:id="21" w:name="_Toc63785439"/>
      <w:bookmarkEnd w:id="21"/>
      <w:bookmarkStart w:id="22" w:name="_Toc63785504"/>
      <w:bookmarkEnd w:id="22"/>
      <w:bookmarkStart w:id="23" w:name="_Toc62219358"/>
      <w:bookmarkEnd w:id="23"/>
      <w:bookmarkStart w:id="24" w:name="_Toc62209488"/>
      <w:bookmarkEnd w:id="24"/>
      <w:bookmarkStart w:id="25" w:name="_Toc63151871"/>
      <w:bookmarkEnd w:id="25"/>
      <w:bookmarkStart w:id="26" w:name="_Toc61968111"/>
      <w:bookmarkEnd w:id="26"/>
      <w:bookmarkStart w:id="27" w:name="_Toc63762370"/>
      <w:bookmarkEnd w:id="27"/>
      <w:bookmarkStart w:id="28" w:name="_Toc63785505"/>
      <w:r>
        <w:rPr>
          <w:rFonts w:hint="eastAsia" w:ascii="Times New Roman" w:hAnsi="Times New Roman"/>
          <w:highlight w:val="none"/>
        </w:rPr>
        <w:t>售后服务要求</w:t>
      </w:r>
      <w:bookmarkEnd w:id="28"/>
    </w:p>
    <w:p w14:paraId="163900CA">
      <w:pPr>
        <w:pStyle w:val="110"/>
        <w:snapToGrid w:val="0"/>
        <w:spacing w:line="360" w:lineRule="auto"/>
        <w:rPr>
          <w:szCs w:val="21"/>
          <w:highlight w:val="none"/>
        </w:rPr>
      </w:pPr>
      <w:r>
        <w:rPr>
          <w:rFonts w:hint="eastAsia"/>
          <w:szCs w:val="21"/>
          <w:highlight w:val="none"/>
        </w:rPr>
        <w:t>本项目从系统验收通过之日起</w:t>
      </w:r>
      <w:r>
        <w:rPr>
          <w:szCs w:val="21"/>
          <w:highlight w:val="none"/>
        </w:rPr>
        <w:t>1</w:t>
      </w:r>
      <w:r>
        <w:rPr>
          <w:rFonts w:hint="eastAsia"/>
          <w:szCs w:val="21"/>
          <w:highlight w:val="none"/>
        </w:rPr>
        <w:t>年内提供7</w:t>
      </w:r>
      <w:r>
        <w:rPr>
          <w:szCs w:val="21"/>
          <w:highlight w:val="none"/>
        </w:rPr>
        <w:t>*</w:t>
      </w:r>
      <w:r>
        <w:rPr>
          <w:rFonts w:hint="eastAsia"/>
          <w:szCs w:val="21"/>
          <w:highlight w:val="none"/>
        </w:rPr>
        <w:t>24</w:t>
      </w:r>
      <w:r>
        <w:rPr>
          <w:szCs w:val="21"/>
          <w:highlight w:val="none"/>
        </w:rPr>
        <w:t>小时免费技术支持</w:t>
      </w:r>
      <w:r>
        <w:rPr>
          <w:rFonts w:hint="eastAsia"/>
          <w:szCs w:val="21"/>
          <w:highlight w:val="none"/>
        </w:rPr>
        <w:t>和售后服务，</w:t>
      </w:r>
      <w:r>
        <w:rPr>
          <w:szCs w:val="21"/>
          <w:highlight w:val="none"/>
        </w:rPr>
        <w:t>1</w:t>
      </w:r>
      <w:r>
        <w:rPr>
          <w:rFonts w:hint="eastAsia"/>
          <w:szCs w:val="21"/>
          <w:highlight w:val="none"/>
        </w:rPr>
        <w:t>年后进入有偿维护期。</w:t>
      </w:r>
    </w:p>
    <w:p w14:paraId="23E00EF7">
      <w:pPr>
        <w:pStyle w:val="110"/>
        <w:snapToGrid w:val="0"/>
        <w:spacing w:line="360" w:lineRule="auto"/>
        <w:rPr>
          <w:szCs w:val="21"/>
          <w:highlight w:val="none"/>
        </w:rPr>
      </w:pPr>
      <w:r>
        <w:rPr>
          <w:rFonts w:hint="eastAsia"/>
          <w:szCs w:val="21"/>
          <w:highlight w:val="none"/>
        </w:rPr>
        <w:t>在质量保证期内，供应商将按照售后服务的承诺提供保修和运行维护服务，如果厂商对信息系统中软、硬件设备等产品中的部分保修期超过上述期限的，则按照厂商的规定进行免费保修。</w:t>
      </w:r>
    </w:p>
    <w:p w14:paraId="65AADB71">
      <w:pPr>
        <w:pStyle w:val="110"/>
        <w:snapToGrid w:val="0"/>
        <w:spacing w:line="360" w:lineRule="auto"/>
        <w:rPr>
          <w:szCs w:val="21"/>
          <w:highlight w:val="none"/>
        </w:rPr>
      </w:pPr>
      <w:r>
        <w:rPr>
          <w:rFonts w:hint="eastAsia"/>
          <w:szCs w:val="21"/>
          <w:highlight w:val="none"/>
        </w:rPr>
        <w:t>在质量保证期内，供应商负责信息系统的运行维护工作，确保信息系统安全、稳定、可靠地运行。本项目涉及的运行维护工作范围为：项目系统软件开发功能模块及产品软件、安全产品等的正常稳定运行。</w:t>
      </w:r>
    </w:p>
    <w:p w14:paraId="66B1635A">
      <w:pPr>
        <w:pStyle w:val="4"/>
        <w:ind w:left="1" w:hanging="1"/>
        <w:rPr>
          <w:rFonts w:ascii="Times New Roman" w:hAnsi="Times New Roman"/>
          <w:highlight w:val="none"/>
        </w:rPr>
      </w:pPr>
      <w:bookmarkStart w:id="29" w:name="_Toc63785510"/>
      <w:r>
        <w:rPr>
          <w:rFonts w:hint="eastAsia" w:ascii="Times New Roman" w:hAnsi="Times New Roman"/>
          <w:highlight w:val="none"/>
        </w:rPr>
        <w:t xml:space="preserve">应急响应要求 </w:t>
      </w:r>
    </w:p>
    <w:p w14:paraId="3E3D63B7">
      <w:pPr>
        <w:pStyle w:val="110"/>
        <w:snapToGrid w:val="0"/>
        <w:spacing w:line="360" w:lineRule="auto"/>
        <w:rPr>
          <w:szCs w:val="21"/>
          <w:highlight w:val="none"/>
        </w:rPr>
      </w:pPr>
      <w:r>
        <w:rPr>
          <w:rFonts w:hint="eastAsia"/>
          <w:szCs w:val="21"/>
          <w:highlight w:val="none"/>
        </w:rPr>
        <w:t>供应商对系统故障应能够实时响应，对于发现的应用故障按照严重级别分为常规（Ⅳ级）、一般（Ⅲ级）、较大（Ⅱ级）、重大（I级）四个等级，具体处置标准如下：</w:t>
      </w:r>
    </w:p>
    <w:p w14:paraId="54272C29">
      <w:pPr>
        <w:pStyle w:val="110"/>
        <w:snapToGrid w:val="0"/>
        <w:spacing w:line="360" w:lineRule="auto"/>
        <w:rPr>
          <w:szCs w:val="21"/>
          <w:highlight w:val="none"/>
        </w:rPr>
      </w:pPr>
      <w:r>
        <w:rPr>
          <w:rFonts w:hint="eastAsia"/>
          <w:szCs w:val="21"/>
          <w:highlight w:val="none"/>
        </w:rPr>
        <w:t>针对重大（I级）事件，造成如平台业务中断，短期内系统无法恢复（业务中断超过12小时）的，供应商应在5分钟内响应，并在2小时内完成修复。</w:t>
      </w:r>
    </w:p>
    <w:p w14:paraId="7DD60213">
      <w:pPr>
        <w:pStyle w:val="110"/>
        <w:snapToGrid w:val="0"/>
        <w:spacing w:line="360" w:lineRule="auto"/>
        <w:rPr>
          <w:szCs w:val="21"/>
          <w:highlight w:val="none"/>
        </w:rPr>
      </w:pPr>
      <w:r>
        <w:rPr>
          <w:rFonts w:hint="eastAsia"/>
          <w:szCs w:val="21"/>
          <w:highlight w:val="none"/>
        </w:rPr>
        <w:t>针对较大（Ⅱ级）事件，造成较大范围出现的网络延时或故障，大部分应用功能缺陷或短暂不可用，导致超过平台20%用户受影响的，供应商应在15分钟内响应，并在24小时内完成修复。</w:t>
      </w:r>
    </w:p>
    <w:p w14:paraId="161A834C">
      <w:pPr>
        <w:pStyle w:val="110"/>
        <w:snapToGrid w:val="0"/>
        <w:spacing w:line="360" w:lineRule="auto"/>
        <w:rPr>
          <w:szCs w:val="21"/>
          <w:highlight w:val="none"/>
        </w:rPr>
      </w:pPr>
      <w:r>
        <w:rPr>
          <w:rFonts w:hint="eastAsia"/>
          <w:szCs w:val="21"/>
          <w:highlight w:val="none"/>
        </w:rPr>
        <w:t>针对一般（Ⅲ级）事件，造成小范围出现的网络延时或故障，小部分应用功能缺陷或短暂不可用，导致个别用户受影响的，供应商应在30分钟内响应，并在48小时内完成修复。</w:t>
      </w:r>
    </w:p>
    <w:p w14:paraId="122BBFC5">
      <w:pPr>
        <w:pStyle w:val="110"/>
        <w:snapToGrid w:val="0"/>
        <w:spacing w:line="360" w:lineRule="auto"/>
        <w:rPr>
          <w:szCs w:val="21"/>
          <w:highlight w:val="none"/>
        </w:rPr>
      </w:pPr>
      <w:r>
        <w:rPr>
          <w:rFonts w:hint="eastAsia"/>
          <w:szCs w:val="21"/>
          <w:highlight w:val="none"/>
        </w:rPr>
        <w:t>针对常规（Ⅳ级）事件，如常规用户服务、咨询、配置、调整、应用上下架等工作，供应商应在60分钟内响应，并在72小时内进行处理。</w:t>
      </w:r>
    </w:p>
    <w:p w14:paraId="3368B525">
      <w:pPr>
        <w:pStyle w:val="4"/>
        <w:ind w:left="1" w:hanging="1"/>
        <w:rPr>
          <w:rFonts w:ascii="Times New Roman" w:hAnsi="Times New Roman"/>
          <w:highlight w:val="none"/>
        </w:rPr>
      </w:pPr>
      <w:bookmarkStart w:id="30" w:name="_Toc63785507"/>
      <w:r>
        <w:rPr>
          <w:rFonts w:hint="eastAsia" w:ascii="Times New Roman" w:hAnsi="Times New Roman"/>
          <w:highlight w:val="none"/>
        </w:rPr>
        <w:t>培训要求</w:t>
      </w:r>
      <w:bookmarkEnd w:id="30"/>
    </w:p>
    <w:p w14:paraId="52FA1858">
      <w:pPr>
        <w:pStyle w:val="110"/>
        <w:snapToGrid w:val="0"/>
        <w:spacing w:line="360" w:lineRule="auto"/>
        <w:rPr>
          <w:szCs w:val="21"/>
          <w:highlight w:val="none"/>
        </w:rPr>
      </w:pPr>
      <w:r>
        <w:rPr>
          <w:rFonts w:hint="eastAsia"/>
          <w:szCs w:val="21"/>
          <w:highlight w:val="none"/>
        </w:rPr>
        <w:t>对系统使用单位提供业务操作培训，应提供详细培训方案。</w:t>
      </w:r>
    </w:p>
    <w:p w14:paraId="5F84C1E2">
      <w:pPr>
        <w:pStyle w:val="110"/>
        <w:snapToGrid w:val="0"/>
        <w:spacing w:line="360" w:lineRule="auto"/>
        <w:rPr>
          <w:szCs w:val="21"/>
          <w:highlight w:val="none"/>
        </w:rPr>
      </w:pPr>
      <w:r>
        <w:rPr>
          <w:rFonts w:hint="eastAsia"/>
          <w:szCs w:val="21"/>
          <w:highlight w:val="none"/>
        </w:rPr>
        <w:t>(1)在12个月的质量保证期内，提供与项目相关的必要培训。</w:t>
      </w:r>
    </w:p>
    <w:p w14:paraId="030ED3BF">
      <w:pPr>
        <w:pStyle w:val="110"/>
        <w:snapToGrid w:val="0"/>
        <w:spacing w:line="360" w:lineRule="auto"/>
        <w:rPr>
          <w:szCs w:val="21"/>
          <w:highlight w:val="none"/>
        </w:rPr>
      </w:pPr>
      <w:r>
        <w:rPr>
          <w:rFonts w:hint="eastAsia"/>
          <w:szCs w:val="21"/>
          <w:highlight w:val="none"/>
        </w:rPr>
        <w:t>(2)供应商需要开展分层次的人员培训工作，每次培训后应对参加培训人员进行测试，评估培训成果。培训应具有培训教材、培训环境和高水平的培训讲师。</w:t>
      </w:r>
    </w:p>
    <w:p w14:paraId="6ADDF54A">
      <w:pPr>
        <w:pStyle w:val="110"/>
        <w:snapToGrid w:val="0"/>
        <w:spacing w:line="360" w:lineRule="auto"/>
        <w:rPr>
          <w:szCs w:val="21"/>
          <w:highlight w:val="none"/>
        </w:rPr>
      </w:pPr>
      <w:r>
        <w:rPr>
          <w:rFonts w:hint="eastAsia"/>
          <w:szCs w:val="21"/>
          <w:highlight w:val="none"/>
        </w:rPr>
        <w:t>(3)供应商应提供一般用户的基础操作培训和部门信息管理员的日常应用维护的培训，确保用户对象能够掌握对应的操作技能。</w:t>
      </w:r>
    </w:p>
    <w:p w14:paraId="60180CD9">
      <w:pPr>
        <w:pStyle w:val="4"/>
        <w:ind w:left="1" w:hanging="1"/>
        <w:rPr>
          <w:rFonts w:ascii="Times New Roman" w:hAnsi="Times New Roman"/>
          <w:highlight w:val="none"/>
        </w:rPr>
      </w:pPr>
      <w:bookmarkStart w:id="31" w:name="_Toc63785508"/>
      <w:bookmarkStart w:id="32" w:name="_Toc63785506"/>
      <w:r>
        <w:rPr>
          <w:rFonts w:hint="eastAsia" w:ascii="Times New Roman" w:hAnsi="Times New Roman"/>
          <w:highlight w:val="none"/>
        </w:rPr>
        <w:t>验收要求</w:t>
      </w:r>
      <w:bookmarkEnd w:id="31"/>
    </w:p>
    <w:p w14:paraId="15B1C012">
      <w:pPr>
        <w:pStyle w:val="110"/>
        <w:snapToGrid w:val="0"/>
        <w:spacing w:line="360" w:lineRule="auto"/>
        <w:rPr>
          <w:szCs w:val="21"/>
          <w:highlight w:val="none"/>
        </w:rPr>
      </w:pPr>
      <w:r>
        <w:rPr>
          <w:rFonts w:hint="eastAsia"/>
          <w:szCs w:val="21"/>
          <w:highlight w:val="none"/>
        </w:rPr>
        <w:t>本项目按下述方式开展验收。</w:t>
      </w:r>
    </w:p>
    <w:p w14:paraId="5F2220D8">
      <w:pPr>
        <w:pStyle w:val="110"/>
        <w:snapToGrid w:val="0"/>
        <w:spacing w:line="360" w:lineRule="auto"/>
        <w:rPr>
          <w:szCs w:val="21"/>
          <w:highlight w:val="none"/>
        </w:rPr>
      </w:pPr>
      <w:r>
        <w:rPr>
          <w:rFonts w:hint="eastAsia"/>
          <w:szCs w:val="21"/>
          <w:highlight w:val="none"/>
        </w:rPr>
        <w:t>（</w:t>
      </w:r>
      <w:r>
        <w:rPr>
          <w:szCs w:val="21"/>
          <w:highlight w:val="none"/>
        </w:rPr>
        <w:t>1）验收分初验和终验。</w:t>
      </w:r>
    </w:p>
    <w:p w14:paraId="3B52E20D">
      <w:pPr>
        <w:pStyle w:val="110"/>
        <w:snapToGrid w:val="0"/>
        <w:spacing w:line="360" w:lineRule="auto"/>
        <w:rPr>
          <w:szCs w:val="21"/>
          <w:highlight w:val="none"/>
        </w:rPr>
      </w:pPr>
      <w:r>
        <w:rPr>
          <w:rFonts w:hint="eastAsia"/>
          <w:szCs w:val="21"/>
          <w:highlight w:val="none"/>
        </w:rPr>
        <w:t>（</w:t>
      </w:r>
      <w:r>
        <w:rPr>
          <w:szCs w:val="21"/>
          <w:highlight w:val="none"/>
        </w:rPr>
        <w:t>2）初验前，供应商须完成</w:t>
      </w:r>
      <w:r>
        <w:rPr>
          <w:rFonts w:hint="eastAsia"/>
          <w:szCs w:val="21"/>
          <w:highlight w:val="none"/>
        </w:rPr>
        <w:t>合同约定的全部软件及安全产品交付，按技术规范完成安装、部署、调试工作，确保软件及安全产品与合同要求的型号、配置、功能一致</w:t>
      </w:r>
      <w:r>
        <w:rPr>
          <w:szCs w:val="21"/>
          <w:highlight w:val="none"/>
        </w:rPr>
        <w:t>，并对本项目进行功能和运行检测，确保所有信息系统功能模块能够正常运行且已达到本项目约定的各类标准要求。供应商应以书面形式向招标方递交初验通知书。招标方应当在接到通知后的5个工作日内确定初验的具体日期，由双方按照本项目的约定完成本项目的初验。招标方有权委托第三方检测机构进行验收，对此供应商应当配合。</w:t>
      </w:r>
    </w:p>
    <w:p w14:paraId="75B6CF8E">
      <w:pPr>
        <w:pStyle w:val="110"/>
        <w:snapToGrid w:val="0"/>
        <w:spacing w:line="360" w:lineRule="auto"/>
        <w:rPr>
          <w:szCs w:val="21"/>
          <w:highlight w:val="none"/>
        </w:rPr>
      </w:pPr>
      <w:r>
        <w:rPr>
          <w:rFonts w:hint="eastAsia"/>
          <w:szCs w:val="21"/>
          <w:highlight w:val="none"/>
        </w:rPr>
        <w:t>（</w:t>
      </w:r>
      <w:r>
        <w:rPr>
          <w:szCs w:val="21"/>
          <w:highlight w:val="none"/>
        </w:rPr>
        <w:t>3）初验时，供应商须提供文档包括《</w:t>
      </w:r>
      <w:r>
        <w:rPr>
          <w:rFonts w:hint="eastAsia"/>
          <w:szCs w:val="21"/>
          <w:highlight w:val="none"/>
        </w:rPr>
        <w:t>产品交付清单》</w:t>
      </w:r>
      <w:r>
        <w:rPr>
          <w:szCs w:val="21"/>
          <w:highlight w:val="none"/>
        </w:rPr>
        <w:t>《测试报告》《用户使用手册》《系统部署文档》等）及可安装的程序运行文件。所交付的文档与文件应当是可供自然人阅读的书面和电子文档。软件</w:t>
      </w:r>
      <w:r>
        <w:rPr>
          <w:rFonts w:hint="eastAsia"/>
          <w:szCs w:val="21"/>
          <w:highlight w:val="none"/>
        </w:rPr>
        <w:t>及安全产品</w:t>
      </w:r>
      <w:r>
        <w:rPr>
          <w:szCs w:val="21"/>
          <w:highlight w:val="none"/>
        </w:rPr>
        <w:t>文档及可安装的程序运行文件验收通过后，视为初验通过。如有缺陷，招标方应向供应商出具书面报告，陈述需要改进的缺陷。供应商应立即严格依照招标方的书面报告中的要求改进缺陷，并再次进行初验。</w:t>
      </w:r>
    </w:p>
    <w:p w14:paraId="01457BB1">
      <w:pPr>
        <w:pStyle w:val="110"/>
        <w:snapToGrid w:val="0"/>
        <w:spacing w:line="360" w:lineRule="auto"/>
        <w:rPr>
          <w:szCs w:val="21"/>
          <w:highlight w:val="none"/>
        </w:rPr>
      </w:pPr>
      <w:r>
        <w:rPr>
          <w:rFonts w:hint="eastAsia"/>
          <w:szCs w:val="21"/>
          <w:highlight w:val="none"/>
        </w:rPr>
        <w:t>（</w:t>
      </w:r>
      <w:r>
        <w:rPr>
          <w:szCs w:val="21"/>
          <w:highlight w:val="none"/>
        </w:rPr>
        <w:t>4）自初验通过之日起，招标方享有供应商免费提供的</w:t>
      </w:r>
      <w:r>
        <w:rPr>
          <w:rFonts w:hint="eastAsia"/>
          <w:szCs w:val="21"/>
          <w:highlight w:val="none"/>
          <w:shd w:val="clear" w:fill="FFFF00"/>
          <w:lang w:eastAsia="zh-CN"/>
        </w:rPr>
        <w:t>不少于</w:t>
      </w:r>
      <w:r>
        <w:rPr>
          <w:rFonts w:hint="eastAsia"/>
          <w:szCs w:val="21"/>
          <w:highlight w:val="none"/>
          <w:shd w:val="clear" w:fill="FFFF00"/>
        </w:rPr>
        <w:t>90</w:t>
      </w:r>
      <w:r>
        <w:rPr>
          <w:szCs w:val="21"/>
          <w:highlight w:val="none"/>
          <w:shd w:val="clear" w:fill="FFFF00"/>
        </w:rPr>
        <w:t>天</w:t>
      </w:r>
      <w:r>
        <w:rPr>
          <w:szCs w:val="21"/>
          <w:highlight w:val="none"/>
        </w:rPr>
        <w:t>的试运行服务期。该期间内，供应商应当按照招标方的要求提供技术支持服务，解决信息系统试运行期间可能出现的各类问题，或进一步提高与完善信息系统运行水平。</w:t>
      </w:r>
    </w:p>
    <w:p w14:paraId="61A6E793">
      <w:pPr>
        <w:pStyle w:val="110"/>
        <w:snapToGrid w:val="0"/>
        <w:spacing w:line="360" w:lineRule="auto"/>
        <w:rPr>
          <w:szCs w:val="21"/>
          <w:highlight w:val="none"/>
        </w:rPr>
      </w:pPr>
      <w:r>
        <w:rPr>
          <w:rFonts w:hint="eastAsia"/>
          <w:szCs w:val="21"/>
          <w:highlight w:val="none"/>
        </w:rPr>
        <w:t>（</w:t>
      </w:r>
      <w:r>
        <w:rPr>
          <w:szCs w:val="21"/>
          <w:highlight w:val="none"/>
        </w:rPr>
        <w:t>5）初验通过且信息系统试运行期已经达到本项目约定的时间，经供应商确认信息系统具备正常运行条件，且信息系统通过运行测试，供应商应以书面形式通知招标方信息系统已准备就绪等待终验。</w:t>
      </w:r>
    </w:p>
    <w:p w14:paraId="5B0EEE09">
      <w:pPr>
        <w:pStyle w:val="110"/>
        <w:snapToGrid w:val="0"/>
        <w:spacing w:line="360" w:lineRule="auto"/>
        <w:rPr>
          <w:szCs w:val="21"/>
          <w:highlight w:val="none"/>
        </w:rPr>
      </w:pPr>
      <w:r>
        <w:rPr>
          <w:rFonts w:hint="eastAsia"/>
          <w:szCs w:val="21"/>
          <w:highlight w:val="none"/>
        </w:rPr>
        <w:t>（6</w:t>
      </w:r>
      <w:r>
        <w:rPr>
          <w:szCs w:val="21"/>
          <w:highlight w:val="none"/>
        </w:rPr>
        <w:t>）如果属于供应商原因致使本项目未能通过终验，供应商应当排除缺陷，直至本项目完全符合验收标准，由上述情形而产生的相关费用应由供应商自行承担。</w:t>
      </w:r>
    </w:p>
    <w:p w14:paraId="66CEA955">
      <w:pPr>
        <w:pStyle w:val="110"/>
        <w:snapToGrid w:val="0"/>
        <w:spacing w:line="360" w:lineRule="auto"/>
        <w:rPr>
          <w:szCs w:val="21"/>
          <w:highlight w:val="none"/>
        </w:rPr>
      </w:pPr>
      <w:r>
        <w:rPr>
          <w:rFonts w:hint="eastAsia"/>
          <w:szCs w:val="21"/>
          <w:highlight w:val="none"/>
        </w:rPr>
        <w:t>（7</w:t>
      </w:r>
      <w:r>
        <w:rPr>
          <w:szCs w:val="21"/>
          <w:highlight w:val="none"/>
        </w:rPr>
        <w:t>）如果由于招标方原因导致本项目在终验通过前出现故障或问题，供应商应及时配合排除该方面的故障或问题。</w:t>
      </w:r>
    </w:p>
    <w:p w14:paraId="21430875">
      <w:pPr>
        <w:pStyle w:val="110"/>
        <w:snapToGrid w:val="0"/>
        <w:spacing w:line="360" w:lineRule="auto"/>
        <w:rPr>
          <w:szCs w:val="21"/>
          <w:highlight w:val="none"/>
        </w:rPr>
      </w:pPr>
      <w:r>
        <w:rPr>
          <w:rFonts w:hint="eastAsia"/>
          <w:szCs w:val="21"/>
          <w:highlight w:val="none"/>
        </w:rPr>
        <w:t>（8</w:t>
      </w:r>
      <w:r>
        <w:rPr>
          <w:szCs w:val="21"/>
          <w:highlight w:val="none"/>
        </w:rPr>
        <w:t>）如本项目连续3次验收未通过（含初验未通过或终验未通过），招标方有权解除项目，并有权依照本项目约定的违约条款追究供应商的违约责任。</w:t>
      </w:r>
    </w:p>
    <w:bookmarkEnd w:id="32"/>
    <w:p w14:paraId="23A83D88">
      <w:pPr>
        <w:pStyle w:val="4"/>
        <w:ind w:left="1" w:hanging="1"/>
        <w:rPr>
          <w:rFonts w:ascii="Times New Roman" w:hAnsi="Times New Roman"/>
          <w:highlight w:val="none"/>
        </w:rPr>
      </w:pPr>
      <w:bookmarkStart w:id="33" w:name="_Toc63785509"/>
      <w:r>
        <w:rPr>
          <w:rFonts w:hint="eastAsia" w:ascii="Times New Roman" w:hAnsi="Times New Roman"/>
          <w:highlight w:val="none"/>
        </w:rPr>
        <w:t>进度要求</w:t>
      </w:r>
      <w:bookmarkEnd w:id="33"/>
    </w:p>
    <w:p w14:paraId="084D59C2">
      <w:pPr>
        <w:pStyle w:val="110"/>
        <w:snapToGrid w:val="0"/>
        <w:spacing w:line="360" w:lineRule="auto"/>
        <w:rPr>
          <w:szCs w:val="21"/>
          <w:highlight w:val="none"/>
        </w:rPr>
      </w:pPr>
      <w:r>
        <w:rPr>
          <w:rFonts w:hint="eastAsia"/>
          <w:szCs w:val="21"/>
          <w:highlight w:val="none"/>
        </w:rPr>
        <w:t>投标人应根据建设内容，分阶段制定合理的时间进度，并且应根据招标方要求进行调整和细化。</w:t>
      </w:r>
    </w:p>
    <w:p w14:paraId="1A7928AB">
      <w:pPr>
        <w:pStyle w:val="110"/>
        <w:snapToGrid w:val="0"/>
        <w:spacing w:line="360" w:lineRule="auto"/>
        <w:rPr>
          <w:szCs w:val="21"/>
          <w:highlight w:val="none"/>
        </w:rPr>
      </w:pPr>
      <w:r>
        <w:rPr>
          <w:rFonts w:hint="eastAsia"/>
          <w:szCs w:val="21"/>
          <w:highlight w:val="none"/>
        </w:rPr>
        <w:t>总建设周期为7个月，分为3个阶段。</w:t>
      </w:r>
    </w:p>
    <w:p w14:paraId="3519DCA6">
      <w:pPr>
        <w:pStyle w:val="110"/>
        <w:snapToGrid w:val="0"/>
        <w:spacing w:line="360" w:lineRule="auto"/>
        <w:rPr>
          <w:szCs w:val="21"/>
          <w:highlight w:val="none"/>
        </w:rPr>
      </w:pPr>
      <w:r>
        <w:rPr>
          <w:rFonts w:hint="eastAsia"/>
          <w:szCs w:val="21"/>
          <w:highlight w:val="none"/>
        </w:rPr>
        <w:t>第一阶段：时间3.5个月；完成系统设计、开发、测试工作。</w:t>
      </w:r>
    </w:p>
    <w:p w14:paraId="3C328C72">
      <w:pPr>
        <w:pStyle w:val="110"/>
        <w:snapToGrid w:val="0"/>
        <w:spacing w:line="360" w:lineRule="auto"/>
        <w:rPr>
          <w:szCs w:val="21"/>
          <w:highlight w:val="none"/>
        </w:rPr>
      </w:pPr>
      <w:r>
        <w:rPr>
          <w:rFonts w:hint="eastAsia"/>
          <w:szCs w:val="21"/>
          <w:highlight w:val="none"/>
        </w:rPr>
        <w:t>第二阶段：时间3个月；完成系统部署试运行工作。</w:t>
      </w:r>
    </w:p>
    <w:p w14:paraId="7A42B778">
      <w:pPr>
        <w:pStyle w:val="110"/>
        <w:snapToGrid w:val="0"/>
        <w:spacing w:line="360" w:lineRule="auto"/>
        <w:rPr>
          <w:szCs w:val="21"/>
          <w:highlight w:val="none"/>
        </w:rPr>
      </w:pPr>
      <w:r>
        <w:rPr>
          <w:rFonts w:hint="eastAsia"/>
          <w:szCs w:val="21"/>
          <w:highlight w:val="none"/>
        </w:rPr>
        <w:t>第三阶段：时间0.5个月。完成系统正式上线以及验收工作。</w:t>
      </w:r>
    </w:p>
    <w:p w14:paraId="6C85706D">
      <w:pPr>
        <w:rPr>
          <w:rFonts w:ascii="Times New Roman" w:hAnsi="Times New Roman"/>
          <w:highlight w:val="none"/>
        </w:rPr>
      </w:pPr>
    </w:p>
    <w:bookmarkEnd w:id="29"/>
    <w:p w14:paraId="5636ECEC">
      <w:pPr>
        <w:pStyle w:val="4"/>
        <w:ind w:left="1" w:hanging="1"/>
        <w:rPr>
          <w:rFonts w:ascii="Times New Roman" w:hAnsi="Times New Roman"/>
          <w:highlight w:val="none"/>
        </w:rPr>
      </w:pPr>
      <w:r>
        <w:rPr>
          <w:rFonts w:hint="eastAsia" w:ascii="Times New Roman" w:hAnsi="Times New Roman"/>
          <w:highlight w:val="none"/>
        </w:rPr>
        <w:t>项目团队及驻场人员要求</w:t>
      </w:r>
    </w:p>
    <w:p w14:paraId="142C0629">
      <w:pPr>
        <w:pStyle w:val="110"/>
        <w:snapToGrid w:val="0"/>
        <w:spacing w:line="360" w:lineRule="auto"/>
        <w:rPr>
          <w:szCs w:val="21"/>
          <w:highlight w:val="none"/>
        </w:rPr>
      </w:pPr>
      <w:r>
        <w:rPr>
          <w:rFonts w:hint="eastAsia"/>
          <w:szCs w:val="21"/>
          <w:highlight w:val="none"/>
        </w:rPr>
        <w:t>1、投标人应具有稳定的在职技术保障力量，能够提供及时的技术支援或服务，应针对本项目提供不少于40人的项目服务团队，核心服务团队需具备本项目要求的服务能力，需提供团队成员名单及相关证明（</w:t>
      </w:r>
      <w:r>
        <w:rPr>
          <w:rFonts w:hint="eastAsia" w:ascii="宋体" w:hAnsi="宋体"/>
          <w:szCs w:val="21"/>
          <w:highlight w:val="none"/>
        </w:rPr>
        <w:t>开标前三个月中任意一个月</w:t>
      </w:r>
      <w:r>
        <w:rPr>
          <w:rFonts w:ascii="宋体" w:hAnsi="宋体"/>
          <w:szCs w:val="21"/>
          <w:highlight w:val="none"/>
        </w:rPr>
        <w:t>依法缴纳社保费的证明</w:t>
      </w:r>
      <w:r>
        <w:rPr>
          <w:rFonts w:hint="eastAsia" w:ascii="宋体" w:hAnsi="宋体"/>
          <w:szCs w:val="21"/>
          <w:highlight w:val="none"/>
        </w:rPr>
        <w:t>，</w:t>
      </w:r>
      <w:r>
        <w:rPr>
          <w:rFonts w:hint="eastAsia"/>
          <w:szCs w:val="21"/>
          <w:highlight w:val="none"/>
        </w:rPr>
        <w:t>相关资质证书证明等）。</w:t>
      </w:r>
    </w:p>
    <w:tbl>
      <w:tblPr>
        <w:tblStyle w:val="38"/>
        <w:tblW w:w="5000" w:type="pct"/>
        <w:tblInd w:w="0" w:type="dxa"/>
        <w:tblLayout w:type="fixed"/>
        <w:tblCellMar>
          <w:top w:w="0" w:type="dxa"/>
          <w:left w:w="108" w:type="dxa"/>
          <w:bottom w:w="0" w:type="dxa"/>
          <w:right w:w="108" w:type="dxa"/>
        </w:tblCellMar>
      </w:tblPr>
      <w:tblGrid>
        <w:gridCol w:w="552"/>
        <w:gridCol w:w="607"/>
        <w:gridCol w:w="2624"/>
        <w:gridCol w:w="1019"/>
        <w:gridCol w:w="3058"/>
        <w:gridCol w:w="663"/>
      </w:tblGrid>
      <w:tr w14:paraId="2405E1C4">
        <w:tblPrEx>
          <w:tblCellMar>
            <w:top w:w="0" w:type="dxa"/>
            <w:left w:w="108" w:type="dxa"/>
            <w:bottom w:w="0" w:type="dxa"/>
            <w:right w:w="108" w:type="dxa"/>
          </w:tblCellMar>
        </w:tblPrEx>
        <w:trPr>
          <w:trHeight w:val="190" w:hRule="atLeast"/>
        </w:trPr>
        <w:tc>
          <w:tcPr>
            <w:tcW w:w="324" w:type="pct"/>
            <w:tcBorders>
              <w:top w:val="single" w:color="auto" w:sz="4" w:space="0"/>
              <w:left w:val="single" w:color="auto" w:sz="4" w:space="0"/>
              <w:bottom w:val="single" w:color="auto" w:sz="4" w:space="0"/>
              <w:right w:val="single" w:color="auto" w:sz="4" w:space="0"/>
            </w:tcBorders>
            <w:shd w:val="clear" w:color="auto" w:fill="A5A5A5" w:themeFill="background1" w:themeFillShade="A6"/>
            <w:noWrap/>
            <w:vAlign w:val="center"/>
          </w:tcPr>
          <w:p w14:paraId="77F50000">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序号</w:t>
            </w:r>
          </w:p>
        </w:tc>
        <w:tc>
          <w:tcPr>
            <w:tcW w:w="356" w:type="pct"/>
            <w:tcBorders>
              <w:top w:val="single" w:color="auto" w:sz="4" w:space="0"/>
              <w:left w:val="nil"/>
              <w:bottom w:val="single" w:color="auto" w:sz="4" w:space="0"/>
              <w:right w:val="single" w:color="auto" w:sz="4" w:space="0"/>
            </w:tcBorders>
            <w:shd w:val="clear" w:color="auto" w:fill="A5A5A5" w:themeFill="background1" w:themeFillShade="A6"/>
            <w:noWrap/>
            <w:vAlign w:val="center"/>
          </w:tcPr>
          <w:p w14:paraId="0D0DE72E">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角色</w:t>
            </w:r>
          </w:p>
        </w:tc>
        <w:tc>
          <w:tcPr>
            <w:tcW w:w="1539" w:type="pct"/>
            <w:tcBorders>
              <w:top w:val="single" w:color="auto" w:sz="4" w:space="0"/>
              <w:left w:val="nil"/>
              <w:bottom w:val="single" w:color="auto" w:sz="4" w:space="0"/>
              <w:right w:val="single" w:color="auto" w:sz="4" w:space="0"/>
            </w:tcBorders>
            <w:shd w:val="clear" w:color="auto" w:fill="A5A5A5" w:themeFill="background1" w:themeFillShade="A6"/>
            <w:noWrap/>
            <w:vAlign w:val="center"/>
          </w:tcPr>
          <w:p w14:paraId="696A87D4">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主要职责</w:t>
            </w:r>
          </w:p>
        </w:tc>
        <w:tc>
          <w:tcPr>
            <w:tcW w:w="598" w:type="pct"/>
            <w:tcBorders>
              <w:top w:val="single" w:color="auto" w:sz="4" w:space="0"/>
              <w:left w:val="nil"/>
              <w:bottom w:val="single" w:color="auto" w:sz="4" w:space="0"/>
              <w:right w:val="single" w:color="auto" w:sz="4" w:space="0"/>
            </w:tcBorders>
            <w:shd w:val="clear" w:color="auto" w:fill="A5A5A5" w:themeFill="background1" w:themeFillShade="A6"/>
            <w:noWrap/>
            <w:vAlign w:val="center"/>
          </w:tcPr>
          <w:p w14:paraId="36E9D218">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人员数量下限</w:t>
            </w:r>
          </w:p>
        </w:tc>
        <w:tc>
          <w:tcPr>
            <w:tcW w:w="1794" w:type="pct"/>
            <w:tcBorders>
              <w:top w:val="single" w:color="auto" w:sz="4" w:space="0"/>
              <w:left w:val="nil"/>
              <w:bottom w:val="single" w:color="auto" w:sz="4" w:space="0"/>
              <w:right w:val="single" w:color="auto" w:sz="4" w:space="0"/>
            </w:tcBorders>
            <w:shd w:val="clear" w:color="auto" w:fill="A5A5A5" w:themeFill="background1" w:themeFillShade="A6"/>
            <w:vAlign w:val="center"/>
          </w:tcPr>
          <w:p w14:paraId="432DA2C8">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人员要求</w:t>
            </w:r>
          </w:p>
        </w:tc>
        <w:tc>
          <w:tcPr>
            <w:tcW w:w="389" w:type="pct"/>
            <w:tcBorders>
              <w:top w:val="single" w:color="auto" w:sz="4" w:space="0"/>
              <w:left w:val="nil"/>
              <w:bottom w:val="single" w:color="auto" w:sz="4" w:space="0"/>
              <w:right w:val="single" w:color="auto" w:sz="4" w:space="0"/>
            </w:tcBorders>
            <w:shd w:val="clear" w:color="auto" w:fill="A5A5A5" w:themeFill="background1" w:themeFillShade="A6"/>
            <w:noWrap/>
            <w:vAlign w:val="center"/>
          </w:tcPr>
          <w:p w14:paraId="48CAB81C">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驻场要求</w:t>
            </w:r>
          </w:p>
        </w:tc>
      </w:tr>
      <w:tr w14:paraId="50728AF5">
        <w:tblPrEx>
          <w:tblCellMar>
            <w:top w:w="0" w:type="dxa"/>
            <w:left w:w="108" w:type="dxa"/>
            <w:bottom w:w="0" w:type="dxa"/>
            <w:right w:w="108" w:type="dxa"/>
          </w:tblCellMar>
        </w:tblPrEx>
        <w:trPr>
          <w:trHeight w:val="570" w:hRule="atLeast"/>
        </w:trPr>
        <w:tc>
          <w:tcPr>
            <w:tcW w:w="324" w:type="pct"/>
            <w:tcBorders>
              <w:top w:val="nil"/>
              <w:left w:val="single" w:color="auto" w:sz="4" w:space="0"/>
              <w:bottom w:val="single" w:color="auto" w:sz="4" w:space="0"/>
              <w:right w:val="single" w:color="auto" w:sz="4" w:space="0"/>
            </w:tcBorders>
            <w:shd w:val="clear" w:color="auto" w:fill="auto"/>
            <w:noWrap/>
            <w:vAlign w:val="center"/>
          </w:tcPr>
          <w:p w14:paraId="10B2DCA5">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w:t>
            </w:r>
          </w:p>
        </w:tc>
        <w:tc>
          <w:tcPr>
            <w:tcW w:w="356" w:type="pct"/>
            <w:tcBorders>
              <w:top w:val="nil"/>
              <w:left w:val="nil"/>
              <w:bottom w:val="single" w:color="auto" w:sz="4" w:space="0"/>
              <w:right w:val="single" w:color="auto" w:sz="4" w:space="0"/>
            </w:tcBorders>
            <w:shd w:val="clear" w:color="auto" w:fill="auto"/>
            <w:noWrap/>
            <w:vAlign w:val="center"/>
          </w:tcPr>
          <w:p w14:paraId="38C76183">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项目经理</w:t>
            </w:r>
          </w:p>
        </w:tc>
        <w:tc>
          <w:tcPr>
            <w:tcW w:w="1539" w:type="pct"/>
            <w:tcBorders>
              <w:top w:val="nil"/>
              <w:left w:val="nil"/>
              <w:bottom w:val="single" w:color="auto" w:sz="4" w:space="0"/>
              <w:right w:val="single" w:color="auto" w:sz="4" w:space="0"/>
            </w:tcBorders>
            <w:shd w:val="clear" w:color="auto" w:fill="auto"/>
            <w:vAlign w:val="center"/>
          </w:tcPr>
          <w:p w14:paraId="53F4A193">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项目服务人员的总体组织和管理，与用户及时沟通，对服务团队进行内部考核。</w:t>
            </w:r>
          </w:p>
        </w:tc>
        <w:tc>
          <w:tcPr>
            <w:tcW w:w="598" w:type="pct"/>
            <w:tcBorders>
              <w:top w:val="nil"/>
              <w:left w:val="nil"/>
              <w:bottom w:val="single" w:color="auto" w:sz="4" w:space="0"/>
              <w:right w:val="single" w:color="auto" w:sz="4" w:space="0"/>
            </w:tcBorders>
            <w:shd w:val="clear" w:color="auto" w:fill="auto"/>
            <w:noWrap/>
            <w:vAlign w:val="center"/>
          </w:tcPr>
          <w:p w14:paraId="6AE76D13">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1人</w:t>
            </w:r>
          </w:p>
        </w:tc>
        <w:tc>
          <w:tcPr>
            <w:tcW w:w="1794" w:type="pct"/>
            <w:tcBorders>
              <w:top w:val="nil"/>
              <w:left w:val="nil"/>
              <w:bottom w:val="single" w:color="auto" w:sz="4" w:space="0"/>
              <w:right w:val="single" w:color="auto" w:sz="4" w:space="0"/>
            </w:tcBorders>
            <w:shd w:val="clear" w:color="auto" w:fill="auto"/>
            <w:vAlign w:val="center"/>
          </w:tcPr>
          <w:p w14:paraId="4B506897">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1、本科及以上学历，电子信息、计算机、数学等相关理工科专业；</w:t>
            </w:r>
            <w:r>
              <w:rPr>
                <w:rFonts w:hint="eastAsia" w:cs="宋体"/>
                <w:color w:val="000000"/>
                <w:kern w:val="0"/>
                <w:sz w:val="18"/>
                <w:szCs w:val="18"/>
                <w:highlight w:val="none"/>
              </w:rPr>
              <w:br w:type="textWrapping"/>
            </w:r>
            <w:r>
              <w:rPr>
                <w:rFonts w:hint="eastAsia" w:cs="宋体"/>
                <w:color w:val="000000"/>
                <w:kern w:val="0"/>
                <w:sz w:val="18"/>
                <w:szCs w:val="18"/>
                <w:highlight w:val="none"/>
              </w:rPr>
              <w:t>2、具有信息系统管理师或高级工程师证书；</w:t>
            </w:r>
            <w:r>
              <w:rPr>
                <w:rFonts w:hint="eastAsia" w:cs="宋体"/>
                <w:color w:val="000000"/>
                <w:kern w:val="0"/>
                <w:sz w:val="18"/>
                <w:szCs w:val="18"/>
                <w:highlight w:val="none"/>
              </w:rPr>
              <w:br w:type="textWrapping"/>
            </w:r>
            <w:r>
              <w:rPr>
                <w:rFonts w:hint="eastAsia" w:cs="宋体"/>
                <w:color w:val="000000"/>
                <w:kern w:val="0"/>
                <w:sz w:val="18"/>
                <w:szCs w:val="18"/>
                <w:highlight w:val="none"/>
              </w:rPr>
              <w:t>3、具有5年以上相关信息化系统开发项目且担任项目经理职务的工作经验。</w:t>
            </w:r>
          </w:p>
        </w:tc>
        <w:tc>
          <w:tcPr>
            <w:tcW w:w="389" w:type="pct"/>
            <w:tcBorders>
              <w:top w:val="nil"/>
              <w:left w:val="nil"/>
              <w:bottom w:val="single" w:color="auto" w:sz="4" w:space="0"/>
              <w:right w:val="single" w:color="auto" w:sz="4" w:space="0"/>
            </w:tcBorders>
            <w:shd w:val="clear" w:color="auto" w:fill="auto"/>
            <w:noWrap/>
            <w:vAlign w:val="center"/>
          </w:tcPr>
          <w:p w14:paraId="66C937E7">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驻场</w:t>
            </w:r>
          </w:p>
        </w:tc>
      </w:tr>
      <w:tr w14:paraId="6C84A37B">
        <w:tblPrEx>
          <w:tblCellMar>
            <w:top w:w="0" w:type="dxa"/>
            <w:left w:w="108" w:type="dxa"/>
            <w:bottom w:w="0" w:type="dxa"/>
            <w:right w:w="108" w:type="dxa"/>
          </w:tblCellMar>
        </w:tblPrEx>
        <w:trPr>
          <w:trHeight w:val="570" w:hRule="atLeast"/>
        </w:trPr>
        <w:tc>
          <w:tcPr>
            <w:tcW w:w="324" w:type="pct"/>
            <w:tcBorders>
              <w:top w:val="nil"/>
              <w:left w:val="single" w:color="auto" w:sz="4" w:space="0"/>
              <w:bottom w:val="single" w:color="auto" w:sz="4" w:space="0"/>
              <w:right w:val="single" w:color="auto" w:sz="4" w:space="0"/>
            </w:tcBorders>
            <w:shd w:val="clear" w:color="auto" w:fill="auto"/>
            <w:noWrap/>
            <w:vAlign w:val="center"/>
          </w:tcPr>
          <w:p w14:paraId="5549C460">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2</w:t>
            </w:r>
          </w:p>
        </w:tc>
        <w:tc>
          <w:tcPr>
            <w:tcW w:w="356" w:type="pct"/>
            <w:tcBorders>
              <w:top w:val="nil"/>
              <w:left w:val="nil"/>
              <w:bottom w:val="single" w:color="auto" w:sz="4" w:space="0"/>
              <w:right w:val="single" w:color="auto" w:sz="4" w:space="0"/>
            </w:tcBorders>
            <w:shd w:val="clear" w:color="auto" w:fill="auto"/>
            <w:noWrap/>
            <w:vAlign w:val="center"/>
          </w:tcPr>
          <w:p w14:paraId="09FF7BE2">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技术经理</w:t>
            </w:r>
          </w:p>
        </w:tc>
        <w:tc>
          <w:tcPr>
            <w:tcW w:w="1539" w:type="pct"/>
            <w:tcBorders>
              <w:top w:val="nil"/>
              <w:left w:val="nil"/>
              <w:bottom w:val="single" w:color="auto" w:sz="4" w:space="0"/>
              <w:right w:val="single" w:color="auto" w:sz="4" w:space="0"/>
            </w:tcBorders>
            <w:shd w:val="clear" w:color="auto" w:fill="auto"/>
            <w:vAlign w:val="center"/>
          </w:tcPr>
          <w:p w14:paraId="29403AE2">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提供项目技术服务，协助项目经理管理项目服务人员，与用户及时沟通；负责平台系统架构，系统设计，并及时与用户单位进行设计确认。</w:t>
            </w:r>
          </w:p>
        </w:tc>
        <w:tc>
          <w:tcPr>
            <w:tcW w:w="598" w:type="pct"/>
            <w:tcBorders>
              <w:top w:val="nil"/>
              <w:left w:val="nil"/>
              <w:bottom w:val="single" w:color="auto" w:sz="4" w:space="0"/>
              <w:right w:val="single" w:color="auto" w:sz="4" w:space="0"/>
            </w:tcBorders>
            <w:shd w:val="clear" w:color="auto" w:fill="auto"/>
            <w:noWrap/>
            <w:vAlign w:val="center"/>
          </w:tcPr>
          <w:p w14:paraId="201FC945">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1人</w:t>
            </w:r>
          </w:p>
        </w:tc>
        <w:tc>
          <w:tcPr>
            <w:tcW w:w="1794" w:type="pct"/>
            <w:tcBorders>
              <w:top w:val="nil"/>
              <w:left w:val="nil"/>
              <w:bottom w:val="single" w:color="auto" w:sz="4" w:space="0"/>
              <w:right w:val="single" w:color="auto" w:sz="4" w:space="0"/>
            </w:tcBorders>
            <w:shd w:val="clear" w:color="auto" w:fill="auto"/>
            <w:vAlign w:val="center"/>
          </w:tcPr>
          <w:p w14:paraId="7E791562">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1、本科及以上学历，电子信息、计算机、数学、信息管理等相关理工科专业；</w:t>
            </w:r>
            <w:r>
              <w:rPr>
                <w:rFonts w:hint="eastAsia" w:cs="宋体"/>
                <w:color w:val="000000"/>
                <w:kern w:val="0"/>
                <w:sz w:val="18"/>
                <w:szCs w:val="18"/>
                <w:highlight w:val="none"/>
              </w:rPr>
              <w:br w:type="textWrapping"/>
            </w:r>
            <w:r>
              <w:rPr>
                <w:rFonts w:hint="eastAsia" w:cs="宋体"/>
                <w:color w:val="000000"/>
                <w:kern w:val="0"/>
                <w:sz w:val="18"/>
                <w:szCs w:val="18"/>
                <w:highlight w:val="none"/>
              </w:rPr>
              <w:t>2、具备5年及以上信息化系统建设相关项目的技术负责人工作经验；</w:t>
            </w:r>
          </w:p>
        </w:tc>
        <w:tc>
          <w:tcPr>
            <w:tcW w:w="389" w:type="pct"/>
            <w:tcBorders>
              <w:top w:val="nil"/>
              <w:left w:val="nil"/>
              <w:bottom w:val="single" w:color="auto" w:sz="4" w:space="0"/>
              <w:right w:val="single" w:color="auto" w:sz="4" w:space="0"/>
            </w:tcBorders>
            <w:shd w:val="clear" w:color="auto" w:fill="auto"/>
            <w:noWrap/>
            <w:vAlign w:val="center"/>
          </w:tcPr>
          <w:p w14:paraId="06364F16">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不驻场</w:t>
            </w:r>
          </w:p>
        </w:tc>
      </w:tr>
      <w:tr w14:paraId="14734672">
        <w:tblPrEx>
          <w:tblCellMar>
            <w:top w:w="0" w:type="dxa"/>
            <w:left w:w="108" w:type="dxa"/>
            <w:bottom w:w="0" w:type="dxa"/>
            <w:right w:w="108" w:type="dxa"/>
          </w:tblCellMar>
        </w:tblPrEx>
        <w:trPr>
          <w:trHeight w:val="380" w:hRule="atLeast"/>
        </w:trPr>
        <w:tc>
          <w:tcPr>
            <w:tcW w:w="324" w:type="pct"/>
            <w:tcBorders>
              <w:top w:val="nil"/>
              <w:left w:val="single" w:color="auto" w:sz="4" w:space="0"/>
              <w:bottom w:val="single" w:color="auto" w:sz="4" w:space="0"/>
              <w:right w:val="single" w:color="auto" w:sz="4" w:space="0"/>
            </w:tcBorders>
            <w:shd w:val="clear" w:color="auto" w:fill="auto"/>
            <w:noWrap/>
            <w:vAlign w:val="center"/>
          </w:tcPr>
          <w:p w14:paraId="37809122">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3</w:t>
            </w:r>
          </w:p>
        </w:tc>
        <w:tc>
          <w:tcPr>
            <w:tcW w:w="356" w:type="pct"/>
            <w:tcBorders>
              <w:top w:val="nil"/>
              <w:left w:val="nil"/>
              <w:bottom w:val="single" w:color="auto" w:sz="4" w:space="0"/>
              <w:right w:val="single" w:color="auto" w:sz="4" w:space="0"/>
            </w:tcBorders>
            <w:shd w:val="clear" w:color="auto" w:fill="auto"/>
            <w:noWrap/>
            <w:vAlign w:val="center"/>
          </w:tcPr>
          <w:p w14:paraId="5A4C8B1C">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研发人员</w:t>
            </w:r>
          </w:p>
        </w:tc>
        <w:tc>
          <w:tcPr>
            <w:tcW w:w="1539" w:type="pct"/>
            <w:tcBorders>
              <w:top w:val="nil"/>
              <w:left w:val="nil"/>
              <w:bottom w:val="single" w:color="auto" w:sz="4" w:space="0"/>
              <w:right w:val="single" w:color="auto" w:sz="4" w:space="0"/>
            </w:tcBorders>
            <w:shd w:val="clear" w:color="auto" w:fill="auto"/>
            <w:noWrap/>
            <w:vAlign w:val="center"/>
          </w:tcPr>
          <w:p w14:paraId="45818F22">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协助开发负责人和项目开发团队完成产品测试；</w:t>
            </w:r>
          </w:p>
        </w:tc>
        <w:tc>
          <w:tcPr>
            <w:tcW w:w="598" w:type="pct"/>
            <w:tcBorders>
              <w:top w:val="nil"/>
              <w:left w:val="nil"/>
              <w:bottom w:val="single" w:color="auto" w:sz="4" w:space="0"/>
              <w:right w:val="single" w:color="auto" w:sz="4" w:space="0"/>
            </w:tcBorders>
            <w:shd w:val="clear" w:color="auto" w:fill="auto"/>
            <w:noWrap/>
            <w:vAlign w:val="center"/>
          </w:tcPr>
          <w:p w14:paraId="165CDCA7">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35人</w:t>
            </w:r>
          </w:p>
        </w:tc>
        <w:tc>
          <w:tcPr>
            <w:tcW w:w="1794" w:type="pct"/>
            <w:tcBorders>
              <w:top w:val="nil"/>
              <w:left w:val="nil"/>
              <w:bottom w:val="single" w:color="auto" w:sz="4" w:space="0"/>
              <w:right w:val="single" w:color="auto" w:sz="4" w:space="0"/>
            </w:tcBorders>
            <w:shd w:val="clear" w:color="auto" w:fill="auto"/>
            <w:vAlign w:val="center"/>
          </w:tcPr>
          <w:p w14:paraId="0389A938">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1、本科及以上学历；</w:t>
            </w:r>
            <w:r>
              <w:rPr>
                <w:rFonts w:hint="eastAsia" w:cs="宋体"/>
                <w:color w:val="000000"/>
                <w:kern w:val="0"/>
                <w:sz w:val="18"/>
                <w:szCs w:val="18"/>
                <w:highlight w:val="none"/>
              </w:rPr>
              <w:br w:type="textWrapping"/>
            </w:r>
            <w:r>
              <w:rPr>
                <w:rFonts w:hint="eastAsia" w:cs="宋体"/>
                <w:color w:val="000000"/>
                <w:kern w:val="0"/>
                <w:sz w:val="18"/>
                <w:szCs w:val="18"/>
                <w:highlight w:val="none"/>
              </w:rPr>
              <w:t>2、具有2年以上相关信息化项目研发经验；</w:t>
            </w:r>
          </w:p>
        </w:tc>
        <w:tc>
          <w:tcPr>
            <w:tcW w:w="389" w:type="pct"/>
            <w:tcBorders>
              <w:top w:val="nil"/>
              <w:left w:val="nil"/>
              <w:bottom w:val="single" w:color="auto" w:sz="4" w:space="0"/>
              <w:right w:val="single" w:color="auto" w:sz="4" w:space="0"/>
            </w:tcBorders>
            <w:shd w:val="clear" w:color="auto" w:fill="auto"/>
            <w:noWrap/>
            <w:vAlign w:val="center"/>
          </w:tcPr>
          <w:p w14:paraId="532D85CF">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其中驻场5人</w:t>
            </w:r>
          </w:p>
        </w:tc>
      </w:tr>
      <w:tr w14:paraId="5D852C3C">
        <w:tblPrEx>
          <w:tblCellMar>
            <w:top w:w="0" w:type="dxa"/>
            <w:left w:w="108" w:type="dxa"/>
            <w:bottom w:w="0" w:type="dxa"/>
            <w:right w:w="108" w:type="dxa"/>
          </w:tblCellMar>
        </w:tblPrEx>
        <w:trPr>
          <w:trHeight w:val="380" w:hRule="atLeast"/>
        </w:trPr>
        <w:tc>
          <w:tcPr>
            <w:tcW w:w="324" w:type="pct"/>
            <w:tcBorders>
              <w:top w:val="nil"/>
              <w:left w:val="single" w:color="auto" w:sz="4" w:space="0"/>
              <w:bottom w:val="single" w:color="auto" w:sz="4" w:space="0"/>
              <w:right w:val="single" w:color="auto" w:sz="4" w:space="0"/>
            </w:tcBorders>
            <w:shd w:val="clear" w:color="auto" w:fill="auto"/>
            <w:noWrap/>
            <w:vAlign w:val="center"/>
          </w:tcPr>
          <w:p w14:paraId="25623AA3">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4</w:t>
            </w:r>
          </w:p>
        </w:tc>
        <w:tc>
          <w:tcPr>
            <w:tcW w:w="356" w:type="pct"/>
            <w:tcBorders>
              <w:top w:val="nil"/>
              <w:left w:val="nil"/>
              <w:bottom w:val="single" w:color="auto" w:sz="4" w:space="0"/>
              <w:right w:val="single" w:color="auto" w:sz="4" w:space="0"/>
            </w:tcBorders>
            <w:shd w:val="clear" w:color="auto" w:fill="auto"/>
            <w:noWrap/>
            <w:vAlign w:val="center"/>
          </w:tcPr>
          <w:p w14:paraId="44705409">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测试人员</w:t>
            </w:r>
          </w:p>
        </w:tc>
        <w:tc>
          <w:tcPr>
            <w:tcW w:w="1539" w:type="pct"/>
            <w:tcBorders>
              <w:top w:val="nil"/>
              <w:left w:val="nil"/>
              <w:bottom w:val="single" w:color="auto" w:sz="4" w:space="0"/>
              <w:right w:val="single" w:color="auto" w:sz="4" w:space="0"/>
            </w:tcBorders>
            <w:shd w:val="clear" w:color="auto" w:fill="auto"/>
            <w:noWrap/>
            <w:vAlign w:val="center"/>
          </w:tcPr>
          <w:p w14:paraId="2454A86D">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负责项目整体测试工作的开展。</w:t>
            </w:r>
          </w:p>
        </w:tc>
        <w:tc>
          <w:tcPr>
            <w:tcW w:w="598" w:type="pct"/>
            <w:tcBorders>
              <w:top w:val="nil"/>
              <w:left w:val="nil"/>
              <w:bottom w:val="single" w:color="auto" w:sz="4" w:space="0"/>
              <w:right w:val="single" w:color="auto" w:sz="4" w:space="0"/>
            </w:tcBorders>
            <w:shd w:val="clear" w:color="auto" w:fill="auto"/>
            <w:noWrap/>
            <w:vAlign w:val="center"/>
          </w:tcPr>
          <w:p w14:paraId="5ECE1831">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2人</w:t>
            </w:r>
          </w:p>
        </w:tc>
        <w:tc>
          <w:tcPr>
            <w:tcW w:w="1794" w:type="pct"/>
            <w:tcBorders>
              <w:top w:val="nil"/>
              <w:left w:val="nil"/>
              <w:bottom w:val="single" w:color="auto" w:sz="4" w:space="0"/>
              <w:right w:val="single" w:color="auto" w:sz="4" w:space="0"/>
            </w:tcBorders>
            <w:shd w:val="clear" w:color="auto" w:fill="auto"/>
            <w:vAlign w:val="center"/>
          </w:tcPr>
          <w:p w14:paraId="2382EB4A">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1、本科及以上学历；</w:t>
            </w:r>
            <w:r>
              <w:rPr>
                <w:rFonts w:hint="eastAsia" w:cs="宋体"/>
                <w:color w:val="000000"/>
                <w:kern w:val="0"/>
                <w:sz w:val="18"/>
                <w:szCs w:val="18"/>
                <w:highlight w:val="none"/>
              </w:rPr>
              <w:br w:type="textWrapping"/>
            </w:r>
            <w:r>
              <w:rPr>
                <w:rFonts w:hint="eastAsia" w:cs="宋体"/>
                <w:color w:val="000000"/>
                <w:kern w:val="0"/>
                <w:sz w:val="18"/>
                <w:szCs w:val="18"/>
                <w:highlight w:val="none"/>
              </w:rPr>
              <w:t>2、具有2年以上政务信息化项目实施经验。</w:t>
            </w:r>
          </w:p>
        </w:tc>
        <w:tc>
          <w:tcPr>
            <w:tcW w:w="389" w:type="pct"/>
            <w:tcBorders>
              <w:top w:val="nil"/>
              <w:left w:val="nil"/>
              <w:bottom w:val="single" w:color="auto" w:sz="4" w:space="0"/>
              <w:right w:val="single" w:color="auto" w:sz="4" w:space="0"/>
            </w:tcBorders>
            <w:shd w:val="clear" w:color="auto" w:fill="auto"/>
            <w:noWrap/>
            <w:vAlign w:val="center"/>
          </w:tcPr>
          <w:p w14:paraId="70894767">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不驻场</w:t>
            </w:r>
          </w:p>
        </w:tc>
      </w:tr>
      <w:tr w14:paraId="18C81C5F">
        <w:tblPrEx>
          <w:tblCellMar>
            <w:top w:w="0" w:type="dxa"/>
            <w:left w:w="108" w:type="dxa"/>
            <w:bottom w:w="0" w:type="dxa"/>
            <w:right w:w="108" w:type="dxa"/>
          </w:tblCellMar>
        </w:tblPrEx>
        <w:trPr>
          <w:trHeight w:val="380" w:hRule="atLeast"/>
        </w:trPr>
        <w:tc>
          <w:tcPr>
            <w:tcW w:w="324" w:type="pct"/>
            <w:tcBorders>
              <w:top w:val="nil"/>
              <w:left w:val="single" w:color="auto" w:sz="4" w:space="0"/>
              <w:bottom w:val="single" w:color="auto" w:sz="4" w:space="0"/>
              <w:right w:val="single" w:color="auto" w:sz="4" w:space="0"/>
            </w:tcBorders>
            <w:shd w:val="clear" w:color="auto" w:fill="auto"/>
            <w:noWrap/>
            <w:vAlign w:val="center"/>
          </w:tcPr>
          <w:p w14:paraId="58FED056">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5</w:t>
            </w:r>
          </w:p>
        </w:tc>
        <w:tc>
          <w:tcPr>
            <w:tcW w:w="356" w:type="pct"/>
            <w:tcBorders>
              <w:top w:val="nil"/>
              <w:left w:val="nil"/>
              <w:bottom w:val="single" w:color="auto" w:sz="4" w:space="0"/>
              <w:right w:val="single" w:color="auto" w:sz="4" w:space="0"/>
            </w:tcBorders>
            <w:shd w:val="clear" w:color="auto" w:fill="auto"/>
            <w:noWrap/>
            <w:vAlign w:val="center"/>
          </w:tcPr>
          <w:p w14:paraId="428B6B94">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质量控制人员</w:t>
            </w:r>
          </w:p>
        </w:tc>
        <w:tc>
          <w:tcPr>
            <w:tcW w:w="1539" w:type="pct"/>
            <w:tcBorders>
              <w:top w:val="nil"/>
              <w:left w:val="nil"/>
              <w:bottom w:val="single" w:color="auto" w:sz="4" w:space="0"/>
              <w:right w:val="single" w:color="auto" w:sz="4" w:space="0"/>
            </w:tcBorders>
            <w:shd w:val="clear" w:color="auto" w:fill="auto"/>
            <w:noWrap/>
            <w:vAlign w:val="center"/>
          </w:tcPr>
          <w:p w14:paraId="79AADBA9">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负责项目整体质量工作的开展与监督。</w:t>
            </w:r>
          </w:p>
        </w:tc>
        <w:tc>
          <w:tcPr>
            <w:tcW w:w="598" w:type="pct"/>
            <w:tcBorders>
              <w:top w:val="nil"/>
              <w:left w:val="nil"/>
              <w:bottom w:val="single" w:color="auto" w:sz="4" w:space="0"/>
              <w:right w:val="single" w:color="auto" w:sz="4" w:space="0"/>
            </w:tcBorders>
            <w:shd w:val="clear" w:color="auto" w:fill="auto"/>
            <w:noWrap/>
            <w:vAlign w:val="center"/>
          </w:tcPr>
          <w:p w14:paraId="2AB9ECDD">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1人</w:t>
            </w:r>
          </w:p>
        </w:tc>
        <w:tc>
          <w:tcPr>
            <w:tcW w:w="1794" w:type="pct"/>
            <w:tcBorders>
              <w:top w:val="nil"/>
              <w:left w:val="nil"/>
              <w:bottom w:val="single" w:color="auto" w:sz="4" w:space="0"/>
              <w:right w:val="single" w:color="auto" w:sz="4" w:space="0"/>
            </w:tcBorders>
            <w:shd w:val="clear" w:color="auto" w:fill="auto"/>
            <w:vAlign w:val="center"/>
          </w:tcPr>
          <w:p w14:paraId="39C0A789">
            <w:pPr>
              <w:widowControl/>
              <w:ind w:firstLine="0" w:firstLineChars="0"/>
              <w:rPr>
                <w:rFonts w:hint="eastAsia" w:cs="宋体"/>
                <w:color w:val="000000"/>
                <w:kern w:val="0"/>
                <w:sz w:val="18"/>
                <w:szCs w:val="18"/>
                <w:highlight w:val="none"/>
              </w:rPr>
            </w:pPr>
            <w:r>
              <w:rPr>
                <w:rFonts w:hint="eastAsia" w:cs="宋体"/>
                <w:color w:val="000000"/>
                <w:kern w:val="0"/>
                <w:sz w:val="18"/>
                <w:szCs w:val="18"/>
                <w:highlight w:val="none"/>
              </w:rPr>
              <w:t>1、本科及以上学历；</w:t>
            </w:r>
            <w:r>
              <w:rPr>
                <w:rFonts w:hint="eastAsia" w:cs="宋体"/>
                <w:color w:val="000000"/>
                <w:kern w:val="0"/>
                <w:sz w:val="18"/>
                <w:szCs w:val="18"/>
                <w:highlight w:val="none"/>
              </w:rPr>
              <w:br w:type="textWrapping"/>
            </w:r>
            <w:r>
              <w:rPr>
                <w:rFonts w:hint="eastAsia" w:cs="宋体"/>
                <w:color w:val="000000"/>
                <w:kern w:val="0"/>
                <w:sz w:val="18"/>
                <w:szCs w:val="18"/>
                <w:highlight w:val="none"/>
              </w:rPr>
              <w:t>2、具有2年以上政务信息化项目实施经验。</w:t>
            </w:r>
          </w:p>
        </w:tc>
        <w:tc>
          <w:tcPr>
            <w:tcW w:w="389" w:type="pct"/>
            <w:tcBorders>
              <w:top w:val="nil"/>
              <w:left w:val="nil"/>
              <w:bottom w:val="single" w:color="auto" w:sz="4" w:space="0"/>
              <w:right w:val="single" w:color="auto" w:sz="4" w:space="0"/>
            </w:tcBorders>
            <w:shd w:val="clear" w:color="auto" w:fill="auto"/>
            <w:noWrap/>
            <w:vAlign w:val="center"/>
          </w:tcPr>
          <w:p w14:paraId="2EE81706">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不驻场</w:t>
            </w:r>
          </w:p>
        </w:tc>
      </w:tr>
    </w:tbl>
    <w:p w14:paraId="4FF51E29">
      <w:pPr>
        <w:pStyle w:val="110"/>
        <w:snapToGrid w:val="0"/>
        <w:spacing w:line="360" w:lineRule="auto"/>
        <w:ind w:firstLine="0" w:firstLineChars="0"/>
        <w:rPr>
          <w:szCs w:val="21"/>
          <w:highlight w:val="none"/>
        </w:rPr>
      </w:pPr>
    </w:p>
    <w:p w14:paraId="0992E6D6">
      <w:pPr>
        <w:pStyle w:val="110"/>
        <w:snapToGrid w:val="0"/>
        <w:spacing w:line="360" w:lineRule="auto"/>
        <w:rPr>
          <w:szCs w:val="21"/>
          <w:highlight w:val="none"/>
        </w:rPr>
      </w:pPr>
      <w:r>
        <w:rPr>
          <w:rFonts w:hint="eastAsia"/>
          <w:szCs w:val="21"/>
          <w:highlight w:val="none"/>
        </w:rPr>
        <w:t>2、为</w:t>
      </w:r>
      <w:r>
        <w:rPr>
          <w:rFonts w:hint="eastAsia" w:ascii="宋体" w:hAnsi="宋体"/>
          <w:szCs w:val="32"/>
          <w:highlight w:val="none"/>
        </w:rPr>
        <w:t>保障平台的正常运行，</w:t>
      </w:r>
      <w:r>
        <w:rPr>
          <w:rFonts w:hint="eastAsia"/>
          <w:szCs w:val="21"/>
          <w:highlight w:val="none"/>
        </w:rPr>
        <w:t>投标人应针对本项目提供不少于6人的质保期间驻场服务（其中项目经理1人，运维服务人员5人）；</w:t>
      </w:r>
      <w:r>
        <w:rPr>
          <w:rFonts w:hint="eastAsia" w:ascii="宋体" w:hAnsi="宋体"/>
          <w:szCs w:val="32"/>
          <w:highlight w:val="none"/>
        </w:rPr>
        <w:t>驻场服务内容除平台的升级改造、个性定制开发之外，还应包括但不限于故障响应、系统巡检、性能优化、技术支持、用户培训、重大节点保障等</w:t>
      </w:r>
      <w:r>
        <w:rPr>
          <w:rFonts w:hint="eastAsia"/>
          <w:szCs w:val="21"/>
          <w:highlight w:val="none"/>
        </w:rPr>
        <w:t>。</w:t>
      </w:r>
    </w:p>
    <w:p w14:paraId="63AE4E59">
      <w:pPr>
        <w:pStyle w:val="110"/>
        <w:snapToGrid w:val="0"/>
        <w:spacing w:line="360" w:lineRule="auto"/>
        <w:rPr>
          <w:rFonts w:hint="eastAsia" w:ascii="宋体" w:hAnsi="宋体"/>
          <w:szCs w:val="21"/>
          <w:highlight w:val="none"/>
        </w:rPr>
      </w:pPr>
      <w:r>
        <w:rPr>
          <w:rFonts w:ascii="宋体" w:hAnsi="宋体"/>
          <w:szCs w:val="21"/>
          <w:highlight w:val="none"/>
        </w:rPr>
        <w:t>投标人的相关服务人员需具备相应的服务能力，需提供相关证明（</w:t>
      </w:r>
      <w:r>
        <w:rPr>
          <w:rFonts w:hint="eastAsia" w:ascii="宋体" w:hAnsi="宋体"/>
          <w:szCs w:val="21"/>
          <w:highlight w:val="none"/>
        </w:rPr>
        <w:t>开标前三个月中任意一个月</w:t>
      </w:r>
      <w:r>
        <w:rPr>
          <w:rFonts w:ascii="宋体" w:hAnsi="宋体"/>
          <w:szCs w:val="21"/>
          <w:highlight w:val="none"/>
        </w:rPr>
        <w:t>依法缴纳社保费的证明）。</w:t>
      </w:r>
    </w:p>
    <w:tbl>
      <w:tblPr>
        <w:tblStyle w:val="38"/>
        <w:tblW w:w="5000" w:type="pct"/>
        <w:tblInd w:w="0" w:type="dxa"/>
        <w:tblLayout w:type="autofit"/>
        <w:tblCellMar>
          <w:top w:w="0" w:type="dxa"/>
          <w:left w:w="108" w:type="dxa"/>
          <w:bottom w:w="0" w:type="dxa"/>
          <w:right w:w="108" w:type="dxa"/>
        </w:tblCellMar>
      </w:tblPr>
      <w:tblGrid>
        <w:gridCol w:w="724"/>
        <w:gridCol w:w="728"/>
        <w:gridCol w:w="1311"/>
        <w:gridCol w:w="1456"/>
        <w:gridCol w:w="3204"/>
        <w:gridCol w:w="1099"/>
      </w:tblGrid>
      <w:tr w14:paraId="5B3CB133">
        <w:tblPrEx>
          <w:tblCellMar>
            <w:top w:w="0" w:type="dxa"/>
            <w:left w:w="108" w:type="dxa"/>
            <w:bottom w:w="0" w:type="dxa"/>
            <w:right w:w="108" w:type="dxa"/>
          </w:tblCellMar>
        </w:tblPrEx>
        <w:trPr>
          <w:trHeight w:val="480" w:hRule="atLeast"/>
        </w:trPr>
        <w:tc>
          <w:tcPr>
            <w:tcW w:w="425" w:type="pct"/>
            <w:tcBorders>
              <w:top w:val="single" w:color="auto" w:sz="4" w:space="0"/>
              <w:left w:val="single" w:color="auto" w:sz="4" w:space="0"/>
              <w:bottom w:val="single" w:color="auto" w:sz="4" w:space="0"/>
              <w:right w:val="single" w:color="auto" w:sz="4" w:space="0"/>
            </w:tcBorders>
            <w:shd w:val="clear" w:color="auto" w:fill="A5A5A5" w:themeFill="background1" w:themeFillShade="A6"/>
            <w:vAlign w:val="center"/>
          </w:tcPr>
          <w:p w14:paraId="3100856C">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序号</w:t>
            </w:r>
          </w:p>
        </w:tc>
        <w:tc>
          <w:tcPr>
            <w:tcW w:w="427" w:type="pct"/>
            <w:tcBorders>
              <w:top w:val="single" w:color="auto" w:sz="4" w:space="0"/>
              <w:left w:val="single" w:color="auto" w:sz="4" w:space="0"/>
              <w:bottom w:val="single" w:color="auto" w:sz="4" w:space="0"/>
              <w:right w:val="single" w:color="auto" w:sz="4" w:space="0"/>
            </w:tcBorders>
            <w:shd w:val="clear" w:color="auto" w:fill="A5A5A5" w:themeFill="background1" w:themeFillShade="A6"/>
            <w:vAlign w:val="center"/>
          </w:tcPr>
          <w:p w14:paraId="7C0B58F2">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角色</w:t>
            </w:r>
          </w:p>
        </w:tc>
        <w:tc>
          <w:tcPr>
            <w:tcW w:w="769" w:type="pct"/>
            <w:tcBorders>
              <w:top w:val="single" w:color="auto" w:sz="4" w:space="0"/>
              <w:left w:val="nil"/>
              <w:bottom w:val="single" w:color="auto" w:sz="4" w:space="0"/>
              <w:right w:val="single" w:color="auto" w:sz="4" w:space="0"/>
            </w:tcBorders>
            <w:shd w:val="clear" w:color="auto" w:fill="A5A5A5" w:themeFill="background1" w:themeFillShade="A6"/>
            <w:vAlign w:val="center"/>
          </w:tcPr>
          <w:p w14:paraId="5A603E83">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主要职责</w:t>
            </w:r>
          </w:p>
        </w:tc>
        <w:tc>
          <w:tcPr>
            <w:tcW w:w="854" w:type="pct"/>
            <w:tcBorders>
              <w:top w:val="single" w:color="auto" w:sz="4" w:space="0"/>
              <w:left w:val="nil"/>
              <w:bottom w:val="single" w:color="auto" w:sz="4" w:space="0"/>
              <w:right w:val="single" w:color="auto" w:sz="4" w:space="0"/>
            </w:tcBorders>
            <w:shd w:val="clear" w:color="auto" w:fill="A5A5A5" w:themeFill="background1" w:themeFillShade="A6"/>
            <w:vAlign w:val="center"/>
          </w:tcPr>
          <w:p w14:paraId="394B1882">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人员数量下限</w:t>
            </w:r>
          </w:p>
        </w:tc>
        <w:tc>
          <w:tcPr>
            <w:tcW w:w="1880" w:type="pct"/>
            <w:tcBorders>
              <w:top w:val="single" w:color="auto" w:sz="4" w:space="0"/>
              <w:left w:val="nil"/>
              <w:bottom w:val="single" w:color="auto" w:sz="4" w:space="0"/>
              <w:right w:val="single" w:color="auto" w:sz="4" w:space="0"/>
            </w:tcBorders>
            <w:shd w:val="clear" w:color="auto" w:fill="A5A5A5" w:themeFill="background1" w:themeFillShade="A6"/>
            <w:vAlign w:val="center"/>
          </w:tcPr>
          <w:p w14:paraId="10F802CE">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人员要求</w:t>
            </w:r>
          </w:p>
        </w:tc>
        <w:tc>
          <w:tcPr>
            <w:tcW w:w="645" w:type="pct"/>
            <w:tcBorders>
              <w:top w:val="single" w:color="auto" w:sz="4" w:space="0"/>
              <w:left w:val="nil"/>
              <w:bottom w:val="single" w:color="auto" w:sz="4" w:space="0"/>
              <w:right w:val="single" w:color="auto" w:sz="4" w:space="0"/>
            </w:tcBorders>
            <w:shd w:val="clear" w:color="auto" w:fill="A5A5A5" w:themeFill="background1" w:themeFillShade="A6"/>
            <w:vAlign w:val="center"/>
          </w:tcPr>
          <w:p w14:paraId="15904891">
            <w:pPr>
              <w:widowControl/>
              <w:ind w:firstLine="0" w:firstLineChars="0"/>
              <w:jc w:val="center"/>
              <w:rPr>
                <w:rFonts w:hint="eastAsia" w:cs="宋体"/>
                <w:b/>
                <w:bCs/>
                <w:color w:val="000000"/>
                <w:kern w:val="0"/>
                <w:sz w:val="18"/>
                <w:szCs w:val="18"/>
                <w:highlight w:val="none"/>
              </w:rPr>
            </w:pPr>
            <w:r>
              <w:rPr>
                <w:rFonts w:hint="eastAsia" w:cs="宋体"/>
                <w:b/>
                <w:bCs/>
                <w:color w:val="000000"/>
                <w:kern w:val="0"/>
                <w:sz w:val="18"/>
                <w:szCs w:val="18"/>
                <w:highlight w:val="none"/>
              </w:rPr>
              <w:t>驻场要求</w:t>
            </w:r>
          </w:p>
        </w:tc>
      </w:tr>
      <w:tr w14:paraId="4D21683F">
        <w:tblPrEx>
          <w:tblCellMar>
            <w:top w:w="0" w:type="dxa"/>
            <w:left w:w="108" w:type="dxa"/>
            <w:bottom w:w="0" w:type="dxa"/>
            <w:right w:w="108" w:type="dxa"/>
          </w:tblCellMar>
        </w:tblPrEx>
        <w:trPr>
          <w:trHeight w:val="240" w:hRule="atLeast"/>
        </w:trPr>
        <w:tc>
          <w:tcPr>
            <w:tcW w:w="425" w:type="pct"/>
            <w:tcBorders>
              <w:top w:val="nil"/>
              <w:left w:val="single" w:color="auto" w:sz="4" w:space="0"/>
              <w:bottom w:val="single" w:color="auto" w:sz="4" w:space="0"/>
              <w:right w:val="single" w:color="auto" w:sz="4" w:space="0"/>
            </w:tcBorders>
            <w:vAlign w:val="center"/>
          </w:tcPr>
          <w:p w14:paraId="4266D927">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w:t>
            </w:r>
          </w:p>
        </w:tc>
        <w:tc>
          <w:tcPr>
            <w:tcW w:w="427" w:type="pct"/>
            <w:tcBorders>
              <w:top w:val="nil"/>
              <w:left w:val="single" w:color="auto" w:sz="4" w:space="0"/>
              <w:bottom w:val="single" w:color="auto" w:sz="4" w:space="0"/>
              <w:right w:val="single" w:color="auto" w:sz="4" w:space="0"/>
            </w:tcBorders>
            <w:shd w:val="clear" w:color="auto" w:fill="auto"/>
            <w:vAlign w:val="center"/>
          </w:tcPr>
          <w:p w14:paraId="7EA58F05">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项目经理</w:t>
            </w:r>
          </w:p>
        </w:tc>
        <w:tc>
          <w:tcPr>
            <w:tcW w:w="769" w:type="pct"/>
            <w:tcBorders>
              <w:top w:val="nil"/>
              <w:left w:val="nil"/>
              <w:bottom w:val="single" w:color="auto" w:sz="4" w:space="0"/>
              <w:right w:val="single" w:color="auto" w:sz="4" w:space="0"/>
            </w:tcBorders>
            <w:shd w:val="clear" w:color="auto" w:fill="auto"/>
            <w:vAlign w:val="center"/>
          </w:tcPr>
          <w:p w14:paraId="306CBB90">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负责项目质量和进度控制</w:t>
            </w:r>
          </w:p>
        </w:tc>
        <w:tc>
          <w:tcPr>
            <w:tcW w:w="854" w:type="pct"/>
            <w:tcBorders>
              <w:top w:val="nil"/>
              <w:left w:val="nil"/>
              <w:bottom w:val="single" w:color="auto" w:sz="4" w:space="0"/>
              <w:right w:val="single" w:color="auto" w:sz="4" w:space="0"/>
            </w:tcBorders>
            <w:shd w:val="clear" w:color="auto" w:fill="auto"/>
            <w:vAlign w:val="center"/>
          </w:tcPr>
          <w:p w14:paraId="566449D2">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1人</w:t>
            </w:r>
          </w:p>
        </w:tc>
        <w:tc>
          <w:tcPr>
            <w:tcW w:w="1880" w:type="pct"/>
            <w:tcBorders>
              <w:top w:val="nil"/>
              <w:left w:val="nil"/>
              <w:bottom w:val="single" w:color="auto" w:sz="4" w:space="0"/>
              <w:right w:val="single" w:color="auto" w:sz="4" w:space="0"/>
            </w:tcBorders>
            <w:shd w:val="clear" w:color="auto" w:fill="auto"/>
            <w:vAlign w:val="center"/>
          </w:tcPr>
          <w:p w14:paraId="6070D434">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1、本科及以上学历；</w:t>
            </w:r>
          </w:p>
          <w:p w14:paraId="6389C3B4">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2、2年及以上信息化系统建设相关项目的技术支撑工作经验。</w:t>
            </w:r>
          </w:p>
          <w:p w14:paraId="3725B10D">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3、具有统筹规划能力，能站在较高的视角发现、分析问题，具有问题发现、预判、分解与排查分析能力。</w:t>
            </w:r>
          </w:p>
        </w:tc>
        <w:tc>
          <w:tcPr>
            <w:tcW w:w="645" w:type="pct"/>
            <w:tcBorders>
              <w:top w:val="nil"/>
              <w:left w:val="nil"/>
              <w:bottom w:val="single" w:color="auto" w:sz="4" w:space="0"/>
              <w:right w:val="single" w:color="auto" w:sz="4" w:space="0"/>
            </w:tcBorders>
            <w:shd w:val="clear" w:color="auto" w:fill="auto"/>
            <w:vAlign w:val="center"/>
          </w:tcPr>
          <w:p w14:paraId="3C05FF56">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驻场</w:t>
            </w:r>
          </w:p>
        </w:tc>
      </w:tr>
      <w:tr w14:paraId="6AF4C198">
        <w:tblPrEx>
          <w:tblCellMar>
            <w:top w:w="0" w:type="dxa"/>
            <w:left w:w="108" w:type="dxa"/>
            <w:bottom w:w="0" w:type="dxa"/>
            <w:right w:w="108" w:type="dxa"/>
          </w:tblCellMar>
        </w:tblPrEx>
        <w:trPr>
          <w:trHeight w:val="240" w:hRule="atLeast"/>
        </w:trPr>
        <w:tc>
          <w:tcPr>
            <w:tcW w:w="425" w:type="pct"/>
            <w:tcBorders>
              <w:top w:val="nil"/>
              <w:left w:val="single" w:color="auto" w:sz="4" w:space="0"/>
              <w:bottom w:val="single" w:color="auto" w:sz="4" w:space="0"/>
              <w:right w:val="single" w:color="auto" w:sz="4" w:space="0"/>
            </w:tcBorders>
            <w:vAlign w:val="center"/>
          </w:tcPr>
          <w:p w14:paraId="15A92935">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2</w:t>
            </w:r>
          </w:p>
        </w:tc>
        <w:tc>
          <w:tcPr>
            <w:tcW w:w="427" w:type="pct"/>
            <w:tcBorders>
              <w:top w:val="nil"/>
              <w:left w:val="single" w:color="auto" w:sz="4" w:space="0"/>
              <w:bottom w:val="single" w:color="auto" w:sz="4" w:space="0"/>
              <w:right w:val="single" w:color="auto" w:sz="4" w:space="0"/>
            </w:tcBorders>
            <w:shd w:val="clear" w:color="auto" w:fill="auto"/>
            <w:vAlign w:val="center"/>
          </w:tcPr>
          <w:p w14:paraId="159E9473">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运维人员</w:t>
            </w:r>
          </w:p>
        </w:tc>
        <w:tc>
          <w:tcPr>
            <w:tcW w:w="769" w:type="pct"/>
            <w:tcBorders>
              <w:top w:val="nil"/>
              <w:left w:val="nil"/>
              <w:bottom w:val="single" w:color="auto" w:sz="4" w:space="0"/>
              <w:right w:val="single" w:color="auto" w:sz="4" w:space="0"/>
            </w:tcBorders>
            <w:shd w:val="clear" w:color="auto" w:fill="auto"/>
            <w:vAlign w:val="center"/>
          </w:tcPr>
          <w:p w14:paraId="7FB1AA1C">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负责项目运行维护</w:t>
            </w:r>
          </w:p>
        </w:tc>
        <w:tc>
          <w:tcPr>
            <w:tcW w:w="854" w:type="pct"/>
            <w:tcBorders>
              <w:top w:val="nil"/>
              <w:left w:val="nil"/>
              <w:bottom w:val="single" w:color="auto" w:sz="4" w:space="0"/>
              <w:right w:val="single" w:color="auto" w:sz="4" w:space="0"/>
            </w:tcBorders>
            <w:shd w:val="clear" w:color="auto" w:fill="auto"/>
            <w:vAlign w:val="center"/>
          </w:tcPr>
          <w:p w14:paraId="5DD7E610">
            <w:pPr>
              <w:widowControl/>
              <w:ind w:firstLine="0" w:firstLineChars="0"/>
              <w:jc w:val="center"/>
              <w:rPr>
                <w:rFonts w:hint="eastAsia" w:cs="宋体"/>
                <w:color w:val="000000"/>
                <w:kern w:val="0"/>
                <w:sz w:val="18"/>
                <w:szCs w:val="18"/>
                <w:highlight w:val="none"/>
              </w:rPr>
            </w:pPr>
            <w:r>
              <w:rPr>
                <w:rFonts w:hint="eastAsia" w:cs="宋体"/>
                <w:color w:val="000000"/>
                <w:kern w:val="0"/>
                <w:sz w:val="18"/>
                <w:szCs w:val="18"/>
                <w:highlight w:val="none"/>
              </w:rPr>
              <w:t>5人</w:t>
            </w:r>
          </w:p>
        </w:tc>
        <w:tc>
          <w:tcPr>
            <w:tcW w:w="1880" w:type="pct"/>
            <w:tcBorders>
              <w:top w:val="nil"/>
              <w:left w:val="nil"/>
              <w:bottom w:val="single" w:color="auto" w:sz="4" w:space="0"/>
              <w:right w:val="single" w:color="auto" w:sz="4" w:space="0"/>
            </w:tcBorders>
            <w:shd w:val="clear" w:color="auto" w:fill="auto"/>
            <w:vAlign w:val="center"/>
          </w:tcPr>
          <w:p w14:paraId="3EA1D140">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1、本科及以上学历；</w:t>
            </w:r>
          </w:p>
          <w:p w14:paraId="60E54B21">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2、熟悉主流开发语言，具备软件产品开发、测试、运维等经验。</w:t>
            </w:r>
          </w:p>
        </w:tc>
        <w:tc>
          <w:tcPr>
            <w:tcW w:w="645" w:type="pct"/>
            <w:tcBorders>
              <w:top w:val="nil"/>
              <w:left w:val="nil"/>
              <w:bottom w:val="single" w:color="auto" w:sz="4" w:space="0"/>
              <w:right w:val="single" w:color="auto" w:sz="4" w:space="0"/>
            </w:tcBorders>
            <w:shd w:val="clear" w:color="auto" w:fill="auto"/>
            <w:vAlign w:val="center"/>
          </w:tcPr>
          <w:p w14:paraId="57802ABF">
            <w:pPr>
              <w:widowControl/>
              <w:ind w:firstLine="0" w:firstLineChars="0"/>
              <w:jc w:val="left"/>
              <w:rPr>
                <w:rFonts w:hint="eastAsia" w:cs="宋体"/>
                <w:color w:val="000000"/>
                <w:kern w:val="0"/>
                <w:sz w:val="18"/>
                <w:szCs w:val="18"/>
                <w:highlight w:val="none"/>
              </w:rPr>
            </w:pPr>
            <w:r>
              <w:rPr>
                <w:rFonts w:hint="eastAsia" w:cs="宋体"/>
                <w:color w:val="000000"/>
                <w:kern w:val="0"/>
                <w:sz w:val="18"/>
                <w:szCs w:val="18"/>
                <w:highlight w:val="none"/>
              </w:rPr>
              <w:t>驻场</w:t>
            </w:r>
          </w:p>
        </w:tc>
      </w:tr>
    </w:tbl>
    <w:p w14:paraId="4AB3C6C0">
      <w:pPr>
        <w:pStyle w:val="110"/>
        <w:snapToGrid w:val="0"/>
        <w:spacing w:line="360" w:lineRule="auto"/>
        <w:ind w:firstLine="0" w:firstLineChars="0"/>
        <w:jc w:val="left"/>
        <w:rPr>
          <w:rFonts w:hint="eastAsia" w:ascii="宋体" w:hAnsi="宋体"/>
          <w:szCs w:val="21"/>
          <w:highlight w:val="none"/>
        </w:rPr>
      </w:pPr>
    </w:p>
    <w:p w14:paraId="6DDC8831">
      <w:pPr>
        <w:pStyle w:val="4"/>
        <w:ind w:left="1" w:hanging="1"/>
        <w:rPr>
          <w:rFonts w:ascii="Times New Roman" w:hAnsi="Times New Roman"/>
          <w:highlight w:val="none"/>
        </w:rPr>
      </w:pPr>
      <w:bookmarkStart w:id="34" w:name="_Toc63785511"/>
      <w:bookmarkStart w:id="35" w:name="_Toc63785512"/>
      <w:r>
        <w:rPr>
          <w:rFonts w:hint="eastAsia" w:ascii="Times New Roman" w:hAnsi="Times New Roman"/>
          <w:highlight w:val="none"/>
        </w:rPr>
        <w:t>等级保护要求</w:t>
      </w:r>
      <w:bookmarkEnd w:id="34"/>
    </w:p>
    <w:p w14:paraId="4061B4D7">
      <w:pPr>
        <w:pStyle w:val="110"/>
        <w:snapToGrid w:val="0"/>
        <w:spacing w:line="360" w:lineRule="auto"/>
        <w:rPr>
          <w:szCs w:val="21"/>
          <w:highlight w:val="none"/>
        </w:rPr>
      </w:pPr>
      <w:r>
        <w:rPr>
          <w:rFonts w:hint="eastAsia"/>
          <w:szCs w:val="21"/>
          <w:highlight w:val="none"/>
        </w:rPr>
        <w:t>本项目网络安全等级按照第三级进行设计和建设。系统部署在电子政务云XC环境中，根据电子政务云资源情况设计符合相关安全防护措施。系统建设完成后，将由采购人委托第三方安全测评机构对本项目进行安全测评，投标人需配合安全测评，超出采购人提供的安全服务由投标人自理，测评通过后方可验收。</w:t>
      </w:r>
    </w:p>
    <w:p w14:paraId="7F636B73">
      <w:pPr>
        <w:pStyle w:val="4"/>
        <w:ind w:left="1" w:hanging="1"/>
        <w:rPr>
          <w:rFonts w:ascii="Times New Roman" w:hAnsi="Times New Roman"/>
          <w:highlight w:val="none"/>
        </w:rPr>
      </w:pPr>
      <w:r>
        <w:rPr>
          <w:rFonts w:hint="eastAsia" w:ascii="Times New Roman" w:hAnsi="Times New Roman"/>
          <w:highlight w:val="none"/>
        </w:rPr>
        <w:t>商用密码应用需求</w:t>
      </w:r>
    </w:p>
    <w:p w14:paraId="241E28B2">
      <w:pPr>
        <w:pStyle w:val="110"/>
        <w:snapToGrid w:val="0"/>
        <w:spacing w:line="360" w:lineRule="auto"/>
        <w:rPr>
          <w:szCs w:val="21"/>
          <w:highlight w:val="none"/>
        </w:rPr>
      </w:pPr>
      <w:r>
        <w:rPr>
          <w:rFonts w:hint="eastAsia"/>
          <w:szCs w:val="21"/>
          <w:highlight w:val="none"/>
        </w:rPr>
        <w:t>采用密码技术对登陆用户进行身份鉴别，保证应用系统用户身份的真实性；采用密码技术保证应用系统的访问控制信息的完整性；采用密码技术保证应用系统重要数据在传输和存储过程中的机密性；采用密码技术保证应用系统重要数据在传输和存储过程中的完整性；以上采用的密码服务或产品，须经商用密码认证机构认证合格。</w:t>
      </w:r>
    </w:p>
    <w:p w14:paraId="340BE957">
      <w:pPr>
        <w:pStyle w:val="4"/>
        <w:ind w:left="1" w:hanging="1"/>
        <w:rPr>
          <w:rFonts w:ascii="Times New Roman" w:hAnsi="Times New Roman"/>
          <w:highlight w:val="none"/>
        </w:rPr>
      </w:pPr>
      <w:r>
        <w:rPr>
          <w:rFonts w:hint="eastAsia" w:ascii="Times New Roman" w:hAnsi="Times New Roman"/>
          <w:highlight w:val="none"/>
        </w:rPr>
        <w:t>技术文件要求</w:t>
      </w:r>
    </w:p>
    <w:p w14:paraId="48037CAE">
      <w:pPr>
        <w:pStyle w:val="110"/>
        <w:snapToGrid w:val="0"/>
        <w:spacing w:line="360" w:lineRule="auto"/>
        <w:rPr>
          <w:rFonts w:hint="eastAsia" w:ascii="宋体" w:hAnsi="宋体"/>
          <w:szCs w:val="21"/>
          <w:highlight w:val="none"/>
        </w:rPr>
      </w:pPr>
      <w:r>
        <w:rPr>
          <w:rFonts w:hint="eastAsia" w:ascii="宋体" w:hAnsi="宋体"/>
          <w:szCs w:val="21"/>
          <w:highlight w:val="none"/>
        </w:rPr>
        <w:t>中标人提供的书面技术资料应能确保系统正常运行所需的管理、运营及维护有关的全套文件。技术文件应该全面、完整、详细。中标人提供的技术文件至少应包括：</w:t>
      </w:r>
    </w:p>
    <w:p w14:paraId="48D30364">
      <w:pPr>
        <w:pStyle w:val="110"/>
        <w:snapToGrid w:val="0"/>
        <w:spacing w:line="360" w:lineRule="auto"/>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 xml:space="preserve"> 系统说明文件； </w:t>
      </w:r>
    </w:p>
    <w:p w14:paraId="6235E78C">
      <w:pPr>
        <w:pStyle w:val="110"/>
        <w:snapToGrid w:val="0"/>
        <w:spacing w:line="360" w:lineRule="auto"/>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 xml:space="preserve"> 技术手册(安装、测试、操作、维护、故障排除等)； </w:t>
      </w:r>
    </w:p>
    <w:p w14:paraId="4900C5FE">
      <w:pPr>
        <w:pStyle w:val="110"/>
        <w:snapToGrid w:val="0"/>
        <w:spacing w:line="360" w:lineRule="auto"/>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 xml:space="preserve"> 项目文档，应该包括：</w:t>
      </w:r>
    </w:p>
    <w:p w14:paraId="3DB87CD6">
      <w:pPr>
        <w:pStyle w:val="110"/>
        <w:snapToGrid w:val="0"/>
        <w:spacing w:line="360" w:lineRule="auto"/>
        <w:rPr>
          <w:rFonts w:hint="eastAsia" w:ascii="宋体" w:hAnsi="宋体"/>
          <w:szCs w:val="21"/>
          <w:highlight w:val="none"/>
        </w:rPr>
      </w:pPr>
      <w:r>
        <w:rPr>
          <w:rFonts w:ascii="宋体" w:hAnsi="宋体"/>
          <w:szCs w:val="21"/>
          <w:highlight w:val="none"/>
        </w:rPr>
        <w:t>(</w:t>
      </w:r>
      <w:r>
        <w:rPr>
          <w:rFonts w:hint="eastAsia" w:ascii="宋体" w:hAnsi="宋体"/>
          <w:szCs w:val="21"/>
          <w:highlight w:val="none"/>
        </w:rPr>
        <w:t>1</w:t>
      </w:r>
      <w:r>
        <w:rPr>
          <w:rFonts w:ascii="宋体" w:hAnsi="宋体"/>
          <w:szCs w:val="21"/>
          <w:highlight w:val="none"/>
        </w:rPr>
        <w:t>)软件</w:t>
      </w:r>
      <w:r>
        <w:rPr>
          <w:rFonts w:hint="eastAsia" w:ascii="宋体" w:hAnsi="宋体"/>
          <w:szCs w:val="21"/>
          <w:highlight w:val="none"/>
        </w:rPr>
        <w:t>产品及安全</w:t>
      </w:r>
      <w:r>
        <w:rPr>
          <w:rFonts w:ascii="宋体" w:hAnsi="宋体"/>
          <w:szCs w:val="21"/>
          <w:highlight w:val="none"/>
        </w:rPr>
        <w:t>需求说明书</w:t>
      </w:r>
      <w:r>
        <w:rPr>
          <w:rFonts w:hint="eastAsia" w:ascii="宋体" w:hAnsi="宋体"/>
          <w:szCs w:val="21"/>
          <w:highlight w:val="none"/>
        </w:rPr>
        <w:t>;</w:t>
      </w:r>
    </w:p>
    <w:p w14:paraId="6999F63B">
      <w:pPr>
        <w:pStyle w:val="110"/>
        <w:snapToGrid w:val="0"/>
        <w:spacing w:line="360" w:lineRule="auto"/>
        <w:rPr>
          <w:rFonts w:hint="eastAsia" w:ascii="宋体" w:hAnsi="宋体"/>
          <w:szCs w:val="21"/>
          <w:highlight w:val="none"/>
        </w:rPr>
      </w:pPr>
      <w:r>
        <w:rPr>
          <w:rFonts w:ascii="宋体" w:hAnsi="宋体"/>
          <w:szCs w:val="21"/>
          <w:highlight w:val="none"/>
        </w:rPr>
        <w:t>(2)系统总体设计说明书</w:t>
      </w:r>
      <w:r>
        <w:rPr>
          <w:rFonts w:hint="eastAsia" w:ascii="宋体" w:hAnsi="宋体"/>
          <w:szCs w:val="21"/>
          <w:highlight w:val="none"/>
        </w:rPr>
        <w:t>;</w:t>
      </w:r>
    </w:p>
    <w:p w14:paraId="52882321">
      <w:pPr>
        <w:pStyle w:val="110"/>
        <w:snapToGrid w:val="0"/>
        <w:spacing w:line="360" w:lineRule="auto"/>
        <w:rPr>
          <w:rFonts w:hint="eastAsia" w:ascii="宋体" w:hAnsi="宋体"/>
          <w:szCs w:val="21"/>
          <w:highlight w:val="none"/>
        </w:rPr>
      </w:pPr>
      <w:r>
        <w:rPr>
          <w:rFonts w:ascii="宋体" w:hAnsi="宋体"/>
          <w:szCs w:val="21"/>
          <w:highlight w:val="none"/>
        </w:rPr>
        <w:t>(3)应用软件功能清单</w:t>
      </w:r>
      <w:r>
        <w:rPr>
          <w:rFonts w:hint="eastAsia" w:ascii="宋体" w:hAnsi="宋体"/>
          <w:szCs w:val="21"/>
          <w:highlight w:val="none"/>
        </w:rPr>
        <w:t>;</w:t>
      </w:r>
    </w:p>
    <w:p w14:paraId="4BB87FD4">
      <w:pPr>
        <w:pStyle w:val="110"/>
        <w:snapToGrid w:val="0"/>
        <w:spacing w:line="360" w:lineRule="auto"/>
        <w:rPr>
          <w:rFonts w:hint="eastAsia" w:ascii="宋体" w:hAnsi="宋体"/>
          <w:szCs w:val="21"/>
          <w:highlight w:val="none"/>
        </w:rPr>
      </w:pPr>
      <w:r>
        <w:rPr>
          <w:rFonts w:hint="eastAsia" w:ascii="宋体" w:hAnsi="宋体"/>
          <w:szCs w:val="21"/>
          <w:highlight w:val="none"/>
        </w:rPr>
        <w:t xml:space="preserve">(4)项目试运行报告、项目总结报告等； </w:t>
      </w:r>
    </w:p>
    <w:p w14:paraId="000CD5DD">
      <w:pPr>
        <w:pStyle w:val="110"/>
        <w:snapToGrid w:val="0"/>
        <w:spacing w:line="360" w:lineRule="auto"/>
        <w:rPr>
          <w:rFonts w:hint="eastAsia" w:ascii="宋体" w:hAnsi="宋体"/>
          <w:szCs w:val="21"/>
          <w:highlight w:val="none"/>
        </w:rPr>
      </w:pPr>
      <w:r>
        <w:rPr>
          <w:rFonts w:hint="eastAsia" w:ascii="宋体" w:hAnsi="宋体"/>
          <w:szCs w:val="21"/>
          <w:highlight w:val="none"/>
        </w:rPr>
        <w:t>提供全套技术文件纸介质</w:t>
      </w:r>
      <w:r>
        <w:rPr>
          <w:rFonts w:ascii="宋体" w:hAnsi="宋体"/>
          <w:szCs w:val="21"/>
          <w:highlight w:val="none"/>
        </w:rPr>
        <w:t>3套以及电子文件1套。</w:t>
      </w:r>
    </w:p>
    <w:p w14:paraId="07753DB4">
      <w:pPr>
        <w:pStyle w:val="110"/>
        <w:snapToGrid w:val="0"/>
        <w:spacing w:line="360" w:lineRule="auto"/>
        <w:rPr>
          <w:rFonts w:hint="eastAsia" w:ascii="宋体" w:hAnsi="宋体"/>
          <w:szCs w:val="21"/>
          <w:highlight w:val="none"/>
        </w:rPr>
      </w:pPr>
    </w:p>
    <w:p w14:paraId="37CCE1A2">
      <w:pPr>
        <w:pStyle w:val="2"/>
        <w:ind w:left="-2" w:leftChars="-1" w:firstLine="1"/>
        <w:rPr>
          <w:rFonts w:ascii="Times New Roman" w:hAnsi="Times New Roman"/>
          <w:highlight w:val="none"/>
        </w:rPr>
      </w:pPr>
      <w:r>
        <w:rPr>
          <w:rFonts w:hint="eastAsia" w:ascii="Times New Roman" w:hAnsi="Times New Roman"/>
          <w:highlight w:val="none"/>
        </w:rPr>
        <w:t>供应商管理要求</w:t>
      </w:r>
      <w:bookmarkEnd w:id="35"/>
    </w:p>
    <w:p w14:paraId="49F8D0AC">
      <w:pPr>
        <w:pStyle w:val="110"/>
        <w:snapToGrid w:val="0"/>
        <w:spacing w:line="360" w:lineRule="auto"/>
        <w:rPr>
          <w:rFonts w:hint="eastAsia" w:ascii="宋体" w:hAnsi="宋体"/>
          <w:szCs w:val="21"/>
          <w:highlight w:val="none"/>
        </w:rPr>
      </w:pPr>
      <w:r>
        <w:rPr>
          <w:rFonts w:hint="eastAsia" w:ascii="宋体" w:hAnsi="宋体"/>
          <w:szCs w:val="21"/>
          <w:highlight w:val="none"/>
        </w:rPr>
        <w:t>1、在项目实施期间，中标人应严格执行国家、地方、行业有关本项目业务管理和安全作业的法律、法规和制度并按规定承担相应的费用。中标人因违反规定等原因造成的一切损失和责任由中标人自行承担。</w:t>
      </w:r>
    </w:p>
    <w:p w14:paraId="696A2F6C">
      <w:pPr>
        <w:pStyle w:val="110"/>
        <w:snapToGrid w:val="0"/>
        <w:spacing w:line="360" w:lineRule="auto"/>
        <w:rPr>
          <w:rFonts w:hint="eastAsia" w:ascii="宋体" w:hAnsi="宋体"/>
          <w:szCs w:val="21"/>
          <w:highlight w:val="none"/>
        </w:rPr>
      </w:pPr>
      <w:r>
        <w:rPr>
          <w:rFonts w:hint="eastAsia" w:ascii="宋体" w:hAnsi="宋体"/>
          <w:szCs w:val="21"/>
          <w:highlight w:val="none"/>
        </w:rPr>
        <w:t>2、中标人在投标书中承诺并经招标人认定的项目负责人及专业技术人员必须是本单位职工（在本单位缴纳社会保障金）和该项目实施现场的实际操作者，应具有类似本项目的实施经验，并应在软件应用调研、安装、试运行等期间常驻项目现场。未经采购人同意，中标人不得调换或撤离上述人员。如采购人认为有必要，可要求中标人对上述人员中的部分人员作出更好的调整。</w:t>
      </w:r>
    </w:p>
    <w:p w14:paraId="29AA3361">
      <w:pPr>
        <w:pStyle w:val="110"/>
        <w:snapToGrid w:val="0"/>
        <w:spacing w:line="360" w:lineRule="auto"/>
        <w:rPr>
          <w:rFonts w:hint="eastAsia" w:ascii="宋体" w:hAnsi="宋体"/>
          <w:szCs w:val="21"/>
          <w:highlight w:val="none"/>
        </w:rPr>
      </w:pPr>
      <w:r>
        <w:rPr>
          <w:rFonts w:hint="eastAsia" w:ascii="宋体" w:hAnsi="宋体"/>
          <w:szCs w:val="21"/>
          <w:highlight w:val="none"/>
        </w:rPr>
        <w:t>3、中标人在项目实施期间，应按项目实际进度与环节落实所对应项目整体及各环节管理工作，按照规范做好项目实施期间相关管理与实施记录。</w:t>
      </w:r>
    </w:p>
    <w:p w14:paraId="0181CE5C">
      <w:pPr>
        <w:pStyle w:val="110"/>
        <w:snapToGrid w:val="0"/>
        <w:spacing w:line="360" w:lineRule="auto"/>
        <w:rPr>
          <w:rFonts w:hint="eastAsia" w:ascii="宋体" w:hAnsi="宋体"/>
          <w:szCs w:val="21"/>
          <w:highlight w:val="none"/>
        </w:rPr>
      </w:pPr>
      <w:r>
        <w:rPr>
          <w:rFonts w:hint="eastAsia" w:ascii="宋体" w:hAnsi="宋体"/>
          <w:szCs w:val="21"/>
          <w:highlight w:val="none"/>
        </w:rPr>
        <w:t>4、参与本项目的工作人员应严格遵循采购人的安全制度，保障采购人资料和设备的安全。中标方如需进入采购人机房工作，只能在采购人规定的工作区域内对项目涉及的设备进行操作，严禁触动与项目无关的任何设备（包括任何操作行为），如需跨区操作必须得到采购人项目联系人确认。</w:t>
      </w:r>
    </w:p>
    <w:p w14:paraId="6BD642C9">
      <w:pPr>
        <w:pStyle w:val="110"/>
        <w:snapToGrid w:val="0"/>
        <w:spacing w:line="360" w:lineRule="auto"/>
        <w:rPr>
          <w:rFonts w:hint="eastAsia" w:ascii="宋体" w:hAnsi="宋体"/>
          <w:szCs w:val="21"/>
          <w:highlight w:val="none"/>
        </w:rPr>
      </w:pPr>
      <w:r>
        <w:rPr>
          <w:rFonts w:hint="eastAsia" w:ascii="宋体" w:hAnsi="宋体"/>
          <w:szCs w:val="21"/>
          <w:highlight w:val="none"/>
        </w:rPr>
        <w:t>5、中标人在项目实施期间必须遵守采购人的规章制度并提供实施人员名单。</w:t>
      </w:r>
    </w:p>
    <w:p w14:paraId="15CD0F09">
      <w:pPr>
        <w:pStyle w:val="110"/>
        <w:snapToGrid w:val="0"/>
        <w:spacing w:line="360" w:lineRule="auto"/>
        <w:rPr>
          <w:rFonts w:hint="eastAsia" w:ascii="宋体" w:hAnsi="宋体"/>
          <w:szCs w:val="21"/>
          <w:highlight w:val="none"/>
        </w:rPr>
      </w:pPr>
      <w:r>
        <w:rPr>
          <w:rFonts w:hint="eastAsia" w:ascii="宋体" w:hAnsi="宋体"/>
          <w:szCs w:val="21"/>
          <w:highlight w:val="none"/>
        </w:rPr>
        <w:t>6、各投标人在投标文件中要结合本项目的特点和采购人上述的具体要求制定相应的管理措施，并在报价中列支相应的费用清单，投标人报价中未列支上述费用清单的，上述费用视为已包含在投标人的投标总报价中。</w:t>
      </w:r>
    </w:p>
    <w:p w14:paraId="76C68E94">
      <w:pPr>
        <w:pStyle w:val="110"/>
        <w:snapToGrid w:val="0"/>
        <w:spacing w:line="360" w:lineRule="auto"/>
        <w:rPr>
          <w:rFonts w:hint="eastAsia" w:ascii="宋体" w:hAnsi="宋体"/>
          <w:szCs w:val="21"/>
          <w:highlight w:val="none"/>
        </w:rPr>
      </w:pPr>
      <w:r>
        <w:rPr>
          <w:rFonts w:hint="eastAsia" w:ascii="宋体" w:hAnsi="宋体"/>
          <w:szCs w:val="21"/>
          <w:highlight w:val="none"/>
        </w:rPr>
        <w:t>7、本项目软件开发及调试将纳入采购人的管理范围，中标人在此过程中须服从上述单位的管理协调。</w:t>
      </w:r>
    </w:p>
    <w:p w14:paraId="3A58BA74">
      <w:pPr>
        <w:pStyle w:val="110"/>
        <w:snapToGrid w:val="0"/>
        <w:spacing w:line="360" w:lineRule="auto"/>
        <w:rPr>
          <w:rFonts w:hint="eastAsia" w:ascii="宋体" w:hAnsi="宋体"/>
          <w:szCs w:val="21"/>
          <w:highlight w:val="none"/>
        </w:rPr>
      </w:pPr>
    </w:p>
    <w:p w14:paraId="78F5C330">
      <w:pPr>
        <w:pStyle w:val="2"/>
        <w:ind w:left="-2" w:leftChars="-1" w:firstLine="1"/>
        <w:rPr>
          <w:rFonts w:ascii="Times New Roman" w:hAnsi="Times New Roman"/>
          <w:highlight w:val="none"/>
        </w:rPr>
      </w:pPr>
      <w:bookmarkStart w:id="36" w:name="_Toc63785513"/>
      <w:r>
        <w:rPr>
          <w:rFonts w:hint="eastAsia" w:ascii="Times New Roman" w:hAnsi="Times New Roman"/>
          <w:highlight w:val="none"/>
        </w:rPr>
        <w:t>关于转让和分包的规定</w:t>
      </w:r>
    </w:p>
    <w:p w14:paraId="074DFA7B">
      <w:pPr>
        <w:ind w:firstLine="420"/>
        <w:rPr>
          <w:rFonts w:hint="eastAsia"/>
          <w:sz w:val="21"/>
          <w:szCs w:val="21"/>
          <w:highlight w:val="none"/>
        </w:rPr>
      </w:pPr>
      <w:r>
        <w:rPr>
          <w:rFonts w:hint="eastAsia"/>
          <w:sz w:val="21"/>
          <w:szCs w:val="21"/>
          <w:highlight w:val="none"/>
        </w:rPr>
        <w:t>1、本项目不得转让，主体、关键工作不得分包。</w:t>
      </w:r>
    </w:p>
    <w:p w14:paraId="558F05D7">
      <w:pPr>
        <w:ind w:firstLine="420"/>
        <w:rPr>
          <w:rFonts w:hint="eastAsia"/>
          <w:sz w:val="21"/>
          <w:szCs w:val="21"/>
          <w:highlight w:val="none"/>
        </w:rPr>
      </w:pPr>
      <w:r>
        <w:rPr>
          <w:rFonts w:hint="eastAsia"/>
          <w:sz w:val="21"/>
          <w:szCs w:val="21"/>
          <w:highlight w:val="none"/>
        </w:rPr>
        <w:t>2、本项目允许分包的为非主体、非关键工作部分如下：</w:t>
      </w:r>
    </w:p>
    <w:tbl>
      <w:tblPr>
        <w:tblStyle w:val="39"/>
        <w:tblW w:w="42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3783"/>
        <w:gridCol w:w="1307"/>
        <w:gridCol w:w="1455"/>
      </w:tblGrid>
      <w:tr w14:paraId="176C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shd w:val="clear" w:color="auto" w:fill="A5A5A5" w:themeFill="background1" w:themeFillShade="A6"/>
          </w:tcPr>
          <w:p w14:paraId="6ADFFC0B">
            <w:pPr>
              <w:ind w:firstLine="0" w:firstLineChars="0"/>
              <w:jc w:val="center"/>
              <w:rPr>
                <w:rFonts w:hint="eastAsia"/>
                <w:b/>
                <w:bCs/>
                <w:sz w:val="18"/>
                <w:szCs w:val="18"/>
                <w:highlight w:val="none"/>
              </w:rPr>
            </w:pPr>
            <w:r>
              <w:rPr>
                <w:rFonts w:hint="eastAsia"/>
                <w:b/>
                <w:bCs/>
                <w:sz w:val="18"/>
                <w:szCs w:val="18"/>
                <w:highlight w:val="none"/>
              </w:rPr>
              <w:t>序号</w:t>
            </w:r>
          </w:p>
        </w:tc>
        <w:tc>
          <w:tcPr>
            <w:tcW w:w="2602" w:type="pct"/>
            <w:shd w:val="clear" w:color="auto" w:fill="A5A5A5" w:themeFill="background1" w:themeFillShade="A6"/>
          </w:tcPr>
          <w:p w14:paraId="2DD52443">
            <w:pPr>
              <w:ind w:firstLine="0" w:firstLineChars="0"/>
              <w:jc w:val="center"/>
              <w:rPr>
                <w:rFonts w:hint="eastAsia"/>
                <w:b/>
                <w:bCs/>
                <w:sz w:val="18"/>
                <w:szCs w:val="18"/>
                <w:highlight w:val="none"/>
              </w:rPr>
            </w:pPr>
            <w:r>
              <w:rPr>
                <w:rFonts w:hint="eastAsia"/>
                <w:b/>
                <w:bCs/>
                <w:sz w:val="18"/>
                <w:szCs w:val="18"/>
                <w:highlight w:val="none"/>
              </w:rPr>
              <w:t>板块</w:t>
            </w:r>
          </w:p>
        </w:tc>
        <w:tc>
          <w:tcPr>
            <w:tcW w:w="899" w:type="pct"/>
            <w:shd w:val="clear" w:color="auto" w:fill="A5A5A5" w:themeFill="background1" w:themeFillShade="A6"/>
          </w:tcPr>
          <w:p w14:paraId="64DCF854">
            <w:pPr>
              <w:ind w:firstLine="0" w:firstLineChars="0"/>
              <w:jc w:val="center"/>
              <w:rPr>
                <w:rFonts w:hint="eastAsia"/>
                <w:b/>
                <w:bCs/>
                <w:sz w:val="18"/>
                <w:szCs w:val="18"/>
                <w:highlight w:val="none"/>
              </w:rPr>
            </w:pPr>
            <w:r>
              <w:rPr>
                <w:rFonts w:hint="eastAsia"/>
                <w:b/>
                <w:bCs/>
                <w:sz w:val="18"/>
                <w:szCs w:val="18"/>
                <w:highlight w:val="none"/>
              </w:rPr>
              <w:t>允许分包</w:t>
            </w:r>
          </w:p>
        </w:tc>
        <w:tc>
          <w:tcPr>
            <w:tcW w:w="1001" w:type="pct"/>
            <w:shd w:val="clear" w:color="auto" w:fill="A5A5A5" w:themeFill="background1" w:themeFillShade="A6"/>
          </w:tcPr>
          <w:p w14:paraId="0C2F8E21">
            <w:pPr>
              <w:ind w:firstLine="0" w:firstLineChars="0"/>
              <w:jc w:val="center"/>
              <w:rPr>
                <w:rFonts w:hint="eastAsia"/>
                <w:b/>
                <w:bCs/>
                <w:sz w:val="18"/>
                <w:szCs w:val="18"/>
                <w:highlight w:val="none"/>
              </w:rPr>
            </w:pPr>
            <w:r>
              <w:rPr>
                <w:rFonts w:hint="eastAsia"/>
                <w:b/>
                <w:bCs/>
                <w:sz w:val="18"/>
                <w:szCs w:val="18"/>
                <w:highlight w:val="none"/>
              </w:rPr>
              <w:t>分包金额上限</w:t>
            </w:r>
          </w:p>
        </w:tc>
      </w:tr>
      <w:tr w14:paraId="5BC6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14:paraId="2CE4A4E8">
            <w:pPr>
              <w:ind w:firstLine="0" w:firstLineChars="0"/>
              <w:jc w:val="center"/>
              <w:rPr>
                <w:rFonts w:hint="eastAsia"/>
                <w:sz w:val="18"/>
                <w:szCs w:val="18"/>
                <w:highlight w:val="none"/>
              </w:rPr>
            </w:pPr>
            <w:r>
              <w:rPr>
                <w:rFonts w:hint="eastAsia"/>
                <w:sz w:val="18"/>
                <w:szCs w:val="18"/>
                <w:highlight w:val="none"/>
              </w:rPr>
              <w:t>1</w:t>
            </w:r>
          </w:p>
        </w:tc>
        <w:tc>
          <w:tcPr>
            <w:tcW w:w="2602" w:type="pct"/>
          </w:tcPr>
          <w:p w14:paraId="5A971CFD">
            <w:pPr>
              <w:ind w:firstLine="0" w:firstLineChars="0"/>
              <w:rPr>
                <w:rFonts w:hint="eastAsia"/>
                <w:sz w:val="18"/>
                <w:szCs w:val="18"/>
                <w:highlight w:val="none"/>
              </w:rPr>
            </w:pPr>
            <w:r>
              <w:rPr>
                <w:rFonts w:hint="eastAsia"/>
                <w:sz w:val="18"/>
                <w:szCs w:val="18"/>
                <w:highlight w:val="none"/>
              </w:rPr>
              <w:t>智慧党校</w:t>
            </w:r>
          </w:p>
        </w:tc>
        <w:tc>
          <w:tcPr>
            <w:tcW w:w="899" w:type="pct"/>
          </w:tcPr>
          <w:p w14:paraId="72400567">
            <w:pPr>
              <w:ind w:firstLine="0" w:firstLineChars="0"/>
              <w:jc w:val="center"/>
              <w:rPr>
                <w:rFonts w:hint="eastAsia"/>
                <w:sz w:val="18"/>
                <w:szCs w:val="18"/>
                <w:highlight w:val="none"/>
              </w:rPr>
            </w:pPr>
            <w:r>
              <w:rPr>
                <w:rFonts w:hint="eastAsia"/>
                <w:sz w:val="18"/>
                <w:szCs w:val="18"/>
                <w:highlight w:val="none"/>
              </w:rPr>
              <w:t>是</w:t>
            </w:r>
          </w:p>
        </w:tc>
        <w:tc>
          <w:tcPr>
            <w:tcW w:w="1001" w:type="pct"/>
          </w:tcPr>
          <w:p w14:paraId="1D1C250D">
            <w:pPr>
              <w:ind w:firstLine="0" w:firstLineChars="0"/>
              <w:jc w:val="center"/>
              <w:rPr>
                <w:rFonts w:hint="eastAsia"/>
                <w:sz w:val="18"/>
                <w:szCs w:val="18"/>
                <w:highlight w:val="none"/>
              </w:rPr>
            </w:pPr>
            <w:r>
              <w:rPr>
                <w:rFonts w:hint="eastAsia"/>
                <w:sz w:val="18"/>
                <w:szCs w:val="18"/>
                <w:highlight w:val="none"/>
              </w:rPr>
              <w:t>56万元</w:t>
            </w:r>
          </w:p>
        </w:tc>
      </w:tr>
      <w:tr w14:paraId="1943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14:paraId="592454D2">
            <w:pPr>
              <w:ind w:firstLine="0" w:firstLineChars="0"/>
              <w:jc w:val="center"/>
              <w:rPr>
                <w:rFonts w:hint="eastAsia"/>
                <w:sz w:val="18"/>
                <w:szCs w:val="18"/>
                <w:highlight w:val="none"/>
              </w:rPr>
            </w:pPr>
            <w:r>
              <w:rPr>
                <w:rFonts w:hint="eastAsia"/>
                <w:sz w:val="18"/>
                <w:szCs w:val="18"/>
                <w:highlight w:val="none"/>
              </w:rPr>
              <w:t>2</w:t>
            </w:r>
          </w:p>
        </w:tc>
        <w:tc>
          <w:tcPr>
            <w:tcW w:w="2602" w:type="pct"/>
          </w:tcPr>
          <w:p w14:paraId="61D6D5FA">
            <w:pPr>
              <w:ind w:firstLine="0" w:firstLineChars="0"/>
              <w:rPr>
                <w:rFonts w:hint="eastAsia"/>
                <w:sz w:val="18"/>
                <w:szCs w:val="18"/>
                <w:highlight w:val="none"/>
              </w:rPr>
            </w:pPr>
            <w:r>
              <w:rPr>
                <w:rFonts w:hint="eastAsia"/>
                <w:sz w:val="18"/>
                <w:szCs w:val="18"/>
                <w:highlight w:val="none"/>
              </w:rPr>
              <w:t>人大代表业务应用系统</w:t>
            </w:r>
          </w:p>
        </w:tc>
        <w:tc>
          <w:tcPr>
            <w:tcW w:w="899" w:type="pct"/>
          </w:tcPr>
          <w:p w14:paraId="09DBC1EC">
            <w:pPr>
              <w:ind w:firstLine="0" w:firstLineChars="0"/>
              <w:jc w:val="center"/>
              <w:rPr>
                <w:rFonts w:hint="eastAsia"/>
                <w:sz w:val="18"/>
                <w:szCs w:val="18"/>
                <w:highlight w:val="none"/>
              </w:rPr>
            </w:pPr>
            <w:r>
              <w:rPr>
                <w:rFonts w:hint="eastAsia"/>
                <w:sz w:val="18"/>
                <w:szCs w:val="18"/>
                <w:highlight w:val="none"/>
              </w:rPr>
              <w:t>是</w:t>
            </w:r>
          </w:p>
        </w:tc>
        <w:tc>
          <w:tcPr>
            <w:tcW w:w="1001" w:type="pct"/>
          </w:tcPr>
          <w:p w14:paraId="4EAB3601">
            <w:pPr>
              <w:ind w:firstLine="0" w:firstLineChars="0"/>
              <w:jc w:val="center"/>
              <w:rPr>
                <w:rFonts w:hint="eastAsia"/>
                <w:sz w:val="18"/>
                <w:szCs w:val="18"/>
                <w:highlight w:val="none"/>
              </w:rPr>
            </w:pPr>
            <w:r>
              <w:rPr>
                <w:rFonts w:hint="eastAsia"/>
                <w:sz w:val="18"/>
                <w:szCs w:val="18"/>
                <w:highlight w:val="none"/>
              </w:rPr>
              <w:t>78万元</w:t>
            </w:r>
          </w:p>
        </w:tc>
      </w:tr>
      <w:tr w14:paraId="7A92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14:paraId="503EB7E7">
            <w:pPr>
              <w:ind w:firstLine="0" w:firstLineChars="0"/>
              <w:jc w:val="center"/>
              <w:rPr>
                <w:rFonts w:hint="eastAsia"/>
                <w:sz w:val="18"/>
                <w:szCs w:val="18"/>
                <w:highlight w:val="none"/>
              </w:rPr>
            </w:pPr>
            <w:r>
              <w:rPr>
                <w:rFonts w:hint="eastAsia"/>
                <w:sz w:val="18"/>
                <w:szCs w:val="18"/>
                <w:highlight w:val="none"/>
              </w:rPr>
              <w:t>3</w:t>
            </w:r>
          </w:p>
        </w:tc>
        <w:tc>
          <w:tcPr>
            <w:tcW w:w="2602" w:type="pct"/>
          </w:tcPr>
          <w:p w14:paraId="1121E7BF">
            <w:pPr>
              <w:ind w:firstLine="0" w:firstLineChars="0"/>
              <w:rPr>
                <w:rFonts w:hint="eastAsia"/>
                <w:sz w:val="18"/>
                <w:szCs w:val="18"/>
                <w:highlight w:val="none"/>
              </w:rPr>
            </w:pPr>
            <w:r>
              <w:rPr>
                <w:rFonts w:hint="eastAsia"/>
                <w:sz w:val="18"/>
                <w:szCs w:val="18"/>
                <w:highlight w:val="none"/>
              </w:rPr>
              <w:t>国资国企在线监管系统升级</w:t>
            </w:r>
          </w:p>
        </w:tc>
        <w:tc>
          <w:tcPr>
            <w:tcW w:w="899" w:type="pct"/>
          </w:tcPr>
          <w:p w14:paraId="5CC44128">
            <w:pPr>
              <w:ind w:firstLine="0" w:firstLineChars="0"/>
              <w:jc w:val="center"/>
              <w:rPr>
                <w:rFonts w:hint="eastAsia"/>
                <w:sz w:val="18"/>
                <w:szCs w:val="18"/>
                <w:highlight w:val="none"/>
              </w:rPr>
            </w:pPr>
            <w:r>
              <w:rPr>
                <w:rFonts w:hint="eastAsia"/>
                <w:sz w:val="18"/>
                <w:szCs w:val="18"/>
                <w:highlight w:val="none"/>
              </w:rPr>
              <w:t>是</w:t>
            </w:r>
          </w:p>
        </w:tc>
        <w:tc>
          <w:tcPr>
            <w:tcW w:w="1001" w:type="pct"/>
          </w:tcPr>
          <w:p w14:paraId="70049344">
            <w:pPr>
              <w:ind w:firstLine="0" w:firstLineChars="0"/>
              <w:jc w:val="center"/>
              <w:rPr>
                <w:rFonts w:hint="eastAsia"/>
                <w:sz w:val="18"/>
                <w:szCs w:val="18"/>
                <w:highlight w:val="none"/>
              </w:rPr>
            </w:pPr>
            <w:r>
              <w:rPr>
                <w:rFonts w:hint="eastAsia"/>
                <w:sz w:val="18"/>
                <w:szCs w:val="18"/>
                <w:highlight w:val="none"/>
              </w:rPr>
              <w:t>33.5万元</w:t>
            </w:r>
          </w:p>
        </w:tc>
      </w:tr>
      <w:tr w14:paraId="493F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14:paraId="609BE1E9">
            <w:pPr>
              <w:ind w:firstLine="0" w:firstLineChars="0"/>
              <w:jc w:val="center"/>
              <w:rPr>
                <w:rFonts w:hint="eastAsia"/>
                <w:sz w:val="18"/>
                <w:szCs w:val="18"/>
                <w:highlight w:val="none"/>
              </w:rPr>
            </w:pPr>
            <w:r>
              <w:rPr>
                <w:rFonts w:hint="eastAsia"/>
                <w:sz w:val="18"/>
                <w:szCs w:val="18"/>
                <w:highlight w:val="none"/>
              </w:rPr>
              <w:t>4</w:t>
            </w:r>
          </w:p>
        </w:tc>
        <w:tc>
          <w:tcPr>
            <w:tcW w:w="2602" w:type="pct"/>
          </w:tcPr>
          <w:p w14:paraId="57369F4E">
            <w:pPr>
              <w:ind w:firstLine="0" w:firstLineChars="0"/>
              <w:rPr>
                <w:rFonts w:hint="eastAsia"/>
                <w:sz w:val="18"/>
                <w:szCs w:val="18"/>
                <w:highlight w:val="none"/>
              </w:rPr>
            </w:pPr>
            <w:r>
              <w:rPr>
                <w:rFonts w:hint="eastAsia"/>
                <w:sz w:val="18"/>
                <w:szCs w:val="18"/>
                <w:highlight w:val="none"/>
              </w:rPr>
              <w:t>中小企业信用信息共享服务系统信息技术应用创新建设</w:t>
            </w:r>
          </w:p>
        </w:tc>
        <w:tc>
          <w:tcPr>
            <w:tcW w:w="899" w:type="pct"/>
          </w:tcPr>
          <w:p w14:paraId="658A503F">
            <w:pPr>
              <w:ind w:firstLine="0" w:firstLineChars="0"/>
              <w:jc w:val="center"/>
              <w:rPr>
                <w:rFonts w:hint="eastAsia"/>
                <w:sz w:val="18"/>
                <w:szCs w:val="18"/>
                <w:highlight w:val="none"/>
              </w:rPr>
            </w:pPr>
            <w:r>
              <w:rPr>
                <w:rFonts w:hint="eastAsia"/>
                <w:sz w:val="18"/>
                <w:szCs w:val="18"/>
                <w:highlight w:val="none"/>
              </w:rPr>
              <w:t>是</w:t>
            </w:r>
          </w:p>
        </w:tc>
        <w:tc>
          <w:tcPr>
            <w:tcW w:w="1001" w:type="pct"/>
          </w:tcPr>
          <w:p w14:paraId="063563B9">
            <w:pPr>
              <w:ind w:firstLine="0" w:firstLineChars="0"/>
              <w:jc w:val="center"/>
              <w:rPr>
                <w:rFonts w:hint="eastAsia"/>
                <w:sz w:val="18"/>
                <w:szCs w:val="18"/>
                <w:highlight w:val="none"/>
              </w:rPr>
            </w:pPr>
            <w:r>
              <w:rPr>
                <w:rFonts w:hint="eastAsia"/>
                <w:sz w:val="18"/>
                <w:szCs w:val="18"/>
                <w:highlight w:val="none"/>
              </w:rPr>
              <w:t>15万元</w:t>
            </w:r>
          </w:p>
        </w:tc>
      </w:tr>
      <w:tr w14:paraId="2D1C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14:paraId="1D7BBDCB">
            <w:pPr>
              <w:ind w:firstLine="0" w:firstLineChars="0"/>
              <w:jc w:val="center"/>
              <w:rPr>
                <w:rFonts w:hint="eastAsia"/>
                <w:sz w:val="18"/>
                <w:szCs w:val="18"/>
                <w:highlight w:val="none"/>
              </w:rPr>
            </w:pPr>
            <w:r>
              <w:rPr>
                <w:rFonts w:hint="eastAsia"/>
                <w:sz w:val="18"/>
                <w:szCs w:val="18"/>
                <w:highlight w:val="none"/>
              </w:rPr>
              <w:t>5</w:t>
            </w:r>
          </w:p>
        </w:tc>
        <w:tc>
          <w:tcPr>
            <w:tcW w:w="2602" w:type="pct"/>
          </w:tcPr>
          <w:p w14:paraId="2F2CE991">
            <w:pPr>
              <w:ind w:firstLine="0" w:firstLineChars="0"/>
              <w:rPr>
                <w:rFonts w:hint="eastAsia"/>
                <w:sz w:val="18"/>
                <w:szCs w:val="18"/>
                <w:highlight w:val="none"/>
              </w:rPr>
            </w:pPr>
            <w:r>
              <w:rPr>
                <w:rFonts w:hint="eastAsia"/>
                <w:sz w:val="18"/>
                <w:szCs w:val="18"/>
                <w:highlight w:val="none"/>
              </w:rPr>
              <w:t>保障性租赁住房管理信息系统</w:t>
            </w:r>
          </w:p>
        </w:tc>
        <w:tc>
          <w:tcPr>
            <w:tcW w:w="899" w:type="pct"/>
          </w:tcPr>
          <w:p w14:paraId="69092AD4">
            <w:pPr>
              <w:ind w:firstLine="0" w:firstLineChars="0"/>
              <w:jc w:val="center"/>
              <w:rPr>
                <w:rFonts w:hint="eastAsia"/>
                <w:sz w:val="18"/>
                <w:szCs w:val="18"/>
                <w:highlight w:val="none"/>
              </w:rPr>
            </w:pPr>
            <w:r>
              <w:rPr>
                <w:rFonts w:hint="eastAsia"/>
                <w:sz w:val="18"/>
                <w:szCs w:val="18"/>
                <w:highlight w:val="none"/>
              </w:rPr>
              <w:t>是</w:t>
            </w:r>
          </w:p>
        </w:tc>
        <w:tc>
          <w:tcPr>
            <w:tcW w:w="1001" w:type="pct"/>
          </w:tcPr>
          <w:p w14:paraId="1FBCE7FA">
            <w:pPr>
              <w:ind w:firstLine="0" w:firstLineChars="0"/>
              <w:jc w:val="center"/>
              <w:rPr>
                <w:rFonts w:hint="eastAsia"/>
                <w:sz w:val="18"/>
                <w:szCs w:val="18"/>
                <w:highlight w:val="none"/>
              </w:rPr>
            </w:pPr>
            <w:r>
              <w:rPr>
                <w:rFonts w:hint="eastAsia"/>
                <w:sz w:val="18"/>
                <w:szCs w:val="18"/>
                <w:highlight w:val="none"/>
              </w:rPr>
              <w:t>125万元</w:t>
            </w:r>
          </w:p>
        </w:tc>
      </w:tr>
    </w:tbl>
    <w:p w14:paraId="29A91370">
      <w:pPr>
        <w:ind w:firstLine="420"/>
        <w:rPr>
          <w:rFonts w:hint="eastAsia"/>
          <w:sz w:val="21"/>
          <w:szCs w:val="21"/>
          <w:highlight w:val="none"/>
        </w:rPr>
      </w:pPr>
      <w:r>
        <w:rPr>
          <w:rFonts w:hint="eastAsia"/>
          <w:sz w:val="21"/>
          <w:szCs w:val="21"/>
          <w:highlight w:val="none"/>
        </w:rPr>
        <w:t>3、分包商资质要求：</w:t>
      </w:r>
    </w:p>
    <w:p w14:paraId="565B7B24">
      <w:pPr>
        <w:ind w:firstLine="420"/>
        <w:rPr>
          <w:rFonts w:hint="eastAsia"/>
          <w:sz w:val="21"/>
          <w:szCs w:val="21"/>
          <w:highlight w:val="none"/>
        </w:rPr>
      </w:pPr>
      <w:r>
        <w:rPr>
          <w:rFonts w:hint="eastAsia"/>
          <w:sz w:val="21"/>
          <w:szCs w:val="21"/>
          <w:highlight w:val="none"/>
        </w:rPr>
        <w:t>分包商资质需同步满足本项目资格要求，同时需在上述分包部分方面具有相当的业务经验与专业优势，且具备相应的资质条件，有意承接委托方的业务分包，以自身能力及资源完成相关方面工作，并向委托方交付相应工作成果。</w:t>
      </w:r>
    </w:p>
    <w:p w14:paraId="0E8FEA8C">
      <w:pPr>
        <w:ind w:firstLine="420"/>
        <w:rPr>
          <w:rFonts w:hint="eastAsia"/>
          <w:sz w:val="21"/>
          <w:szCs w:val="21"/>
          <w:highlight w:val="none"/>
        </w:rPr>
      </w:pPr>
      <w:r>
        <w:rPr>
          <w:rFonts w:hint="eastAsia"/>
          <w:sz w:val="21"/>
          <w:szCs w:val="21"/>
          <w:highlight w:val="none"/>
        </w:rPr>
        <w:t>4、分包响应要求：</w:t>
      </w:r>
    </w:p>
    <w:p w14:paraId="4225C7DD">
      <w:pPr>
        <w:ind w:firstLine="420"/>
        <w:rPr>
          <w:rFonts w:hint="eastAsia"/>
          <w:sz w:val="21"/>
          <w:szCs w:val="21"/>
          <w:highlight w:val="none"/>
        </w:rPr>
      </w:pPr>
      <w:r>
        <w:rPr>
          <w:rFonts w:hint="eastAsia"/>
          <w:sz w:val="21"/>
          <w:szCs w:val="21"/>
          <w:highlight w:val="none"/>
        </w:rPr>
        <w:t>投标人拟在中标后将可分包部分进行分包的，应当在投标文件中提供《分包意向协议书》，载明接受分包的企业、分包合同比例，接受分包的企业不得再次分包。</w:t>
      </w:r>
    </w:p>
    <w:p w14:paraId="3E713C4E">
      <w:pPr>
        <w:ind w:firstLine="420"/>
        <w:rPr>
          <w:rFonts w:hint="eastAsia"/>
          <w:sz w:val="21"/>
          <w:szCs w:val="21"/>
          <w:highlight w:val="none"/>
        </w:rPr>
      </w:pPr>
    </w:p>
    <w:p w14:paraId="19236011">
      <w:pPr>
        <w:pStyle w:val="2"/>
        <w:ind w:left="-2" w:leftChars="-1" w:firstLine="1"/>
        <w:rPr>
          <w:rFonts w:ascii="Times New Roman" w:hAnsi="Times New Roman"/>
          <w:highlight w:val="none"/>
        </w:rPr>
      </w:pPr>
      <w:r>
        <w:rPr>
          <w:rFonts w:hint="eastAsia" w:ascii="Times New Roman" w:hAnsi="Times New Roman"/>
          <w:highlight w:val="none"/>
        </w:rPr>
        <w:t>知识产权及保密要求</w:t>
      </w:r>
      <w:bookmarkEnd w:id="36"/>
    </w:p>
    <w:p w14:paraId="7D293CF2">
      <w:pPr>
        <w:ind w:firstLine="422"/>
        <w:rPr>
          <w:rFonts w:hint="eastAsia"/>
          <w:b/>
          <w:sz w:val="21"/>
          <w:szCs w:val="21"/>
          <w:highlight w:val="none"/>
        </w:rPr>
      </w:pPr>
      <w:r>
        <w:rPr>
          <w:b/>
          <w:sz w:val="21"/>
          <w:szCs w:val="21"/>
          <w:highlight w:val="none"/>
        </w:rPr>
        <w:t>1、中标人数据、文件、资料知识产权</w:t>
      </w:r>
    </w:p>
    <w:p w14:paraId="321408C6">
      <w:pPr>
        <w:ind w:firstLine="420"/>
        <w:rPr>
          <w:rFonts w:hint="eastAsia"/>
          <w:sz w:val="21"/>
          <w:szCs w:val="21"/>
          <w:highlight w:val="none"/>
        </w:rPr>
      </w:pPr>
      <w:r>
        <w:rPr>
          <w:rFonts w:hint="eastAsia"/>
          <w:sz w:val="21"/>
          <w:szCs w:val="21"/>
          <w:highlight w:val="none"/>
        </w:rPr>
        <w:t>中标人保证其所提供的服务和交付的成果以及在履行本项目义务中使用到的所有数据、文件、信息不会引起任何第三方在专利权、著作权、商标权等知识产权方面向采购人或采购人的关联方及合作方（包括但不限于采购人的主管单位和采购人的合作单位等）发出侵权指控或提出索赔。若有，中标人应负责与第三方解决纠纷，若因此导致采购人损失的，采购人有权要求中标人赔偿采购人因此遭受的全部损失，包括但不限于直接损失、间接损失、诉讼费／仲裁费、律师费、公证费、鉴定费等。</w:t>
      </w:r>
    </w:p>
    <w:p w14:paraId="45A16D52">
      <w:pPr>
        <w:ind w:firstLine="420"/>
        <w:rPr>
          <w:rFonts w:hint="eastAsia"/>
          <w:sz w:val="21"/>
          <w:szCs w:val="21"/>
          <w:highlight w:val="none"/>
        </w:rPr>
      </w:pPr>
      <w:r>
        <w:rPr>
          <w:rFonts w:hint="eastAsia"/>
          <w:sz w:val="21"/>
          <w:szCs w:val="21"/>
          <w:highlight w:val="none"/>
        </w:rPr>
        <w:t>中标人因履行本项目而产生的所有成果的知识产权等权利均归采购人所有，中标人应配合采购人进行相关权利登记或申请。未经采购人书面同意，中标人不得以任何形式使用或许可他人使用本项目成果的相关内容，不得擅自对外公开发表或向任何第三方透露。</w:t>
      </w:r>
    </w:p>
    <w:p w14:paraId="5CEBB103">
      <w:pPr>
        <w:ind w:firstLine="420"/>
        <w:rPr>
          <w:rFonts w:hint="eastAsia"/>
          <w:sz w:val="21"/>
          <w:szCs w:val="21"/>
          <w:highlight w:val="none"/>
        </w:rPr>
      </w:pPr>
      <w:r>
        <w:rPr>
          <w:rFonts w:hint="eastAsia"/>
          <w:sz w:val="21"/>
          <w:szCs w:val="21"/>
          <w:highlight w:val="none"/>
        </w:rPr>
        <w:t>在不影响上述条款规定的由采购人取得所有成果的知识产权的前提下，双方因履行本项目而被授权接触或使用对方之知识产权（包括但不限于商标、专利、著作权等），和</w:t>
      </w:r>
      <w:r>
        <w:rPr>
          <w:sz w:val="21"/>
          <w:szCs w:val="21"/>
          <w:highlight w:val="none"/>
        </w:rPr>
        <w:t>/</w:t>
      </w:r>
      <w:r>
        <w:rPr>
          <w:rFonts w:hint="eastAsia"/>
          <w:sz w:val="21"/>
          <w:szCs w:val="21"/>
          <w:highlight w:val="none"/>
        </w:rPr>
        <w:t>或任何其他相关资料、数据等涉及的任何权利，均不视为向另一方转让上述权利或在本项目范围外授权许可另一方使用上述权利，上述权利仍应属于提供方，并仅可使用于本项目，被授权接触或使用方未经提供方书面同意，不得擅自挪作他用。</w:t>
      </w:r>
    </w:p>
    <w:p w14:paraId="58F2B234">
      <w:pPr>
        <w:ind w:firstLine="422"/>
        <w:rPr>
          <w:rFonts w:hint="eastAsia"/>
          <w:b/>
          <w:sz w:val="21"/>
          <w:szCs w:val="21"/>
          <w:highlight w:val="none"/>
        </w:rPr>
      </w:pPr>
      <w:r>
        <w:rPr>
          <w:b/>
          <w:sz w:val="21"/>
          <w:szCs w:val="21"/>
          <w:highlight w:val="none"/>
        </w:rPr>
        <w:t>2、项目保密要求</w:t>
      </w:r>
    </w:p>
    <w:p w14:paraId="71AB673A">
      <w:pPr>
        <w:ind w:firstLine="420"/>
        <w:rPr>
          <w:rFonts w:hint="eastAsia"/>
          <w:sz w:val="21"/>
          <w:szCs w:val="21"/>
          <w:highlight w:val="none"/>
        </w:rPr>
      </w:pPr>
      <w:r>
        <w:rPr>
          <w:rFonts w:hint="eastAsia"/>
          <w:sz w:val="21"/>
          <w:szCs w:val="21"/>
          <w:highlight w:val="none"/>
        </w:rPr>
        <w:t>中标人因履行本项目而知悉的所有数据、信息和资料（包括但不限于账号信息、图表、文字、计算过程、任何形式的文件、访谈记录、现场实测数据、采购人相关工作程序等）以及因履行本项目而形成的数据、信息和任何形式的工作成果，均是采购人要求保密的信息。未经采购人书面同意，中标人不得对外泄露采购人要求保密的信息，不得用于其他用途，否则中标人需承担由此引起的法律责任和经济责任，包括但不限于直接损失、间接损失、律师费、诉讼费</w:t>
      </w:r>
      <w:r>
        <w:rPr>
          <w:sz w:val="21"/>
          <w:szCs w:val="21"/>
          <w:highlight w:val="none"/>
        </w:rPr>
        <w:t>/</w:t>
      </w:r>
      <w:r>
        <w:rPr>
          <w:rFonts w:hint="eastAsia"/>
          <w:sz w:val="21"/>
          <w:szCs w:val="21"/>
          <w:highlight w:val="none"/>
        </w:rPr>
        <w:t>仲裁费、调查费、公证费等。</w:t>
      </w:r>
    </w:p>
    <w:p w14:paraId="57A42351">
      <w:pPr>
        <w:ind w:firstLine="420"/>
        <w:rPr>
          <w:rFonts w:hint="eastAsia"/>
          <w:sz w:val="21"/>
          <w:szCs w:val="21"/>
          <w:highlight w:val="none"/>
        </w:rPr>
      </w:pPr>
      <w:r>
        <w:rPr>
          <w:rFonts w:hint="eastAsia"/>
          <w:sz w:val="21"/>
          <w:szCs w:val="21"/>
          <w:highlight w:val="none"/>
        </w:rPr>
        <w:t>中标人应采取必要的有效措施保证其参与本项目的人员（包括中标人聘用的人员、借调的人员、实习的人员）无论是在职或离职后，以及中标人的合作方无论是合作中或合作终止后，都能够履行本项目约定的保密义务。若中标人人员或中标人合作方违反保密规定，中标人应承担连带责任。</w:t>
      </w:r>
    </w:p>
    <w:p w14:paraId="4EEBAF05">
      <w:pPr>
        <w:ind w:firstLine="420"/>
        <w:rPr>
          <w:rFonts w:hint="eastAsia"/>
          <w:sz w:val="21"/>
          <w:szCs w:val="21"/>
          <w:highlight w:val="none"/>
        </w:rPr>
      </w:pPr>
      <w:r>
        <w:rPr>
          <w:rFonts w:hint="eastAsia"/>
          <w:sz w:val="21"/>
          <w:szCs w:val="21"/>
          <w:highlight w:val="none"/>
        </w:rPr>
        <w:t>中标人（含中标人参与本项目的人员以及其合作方）未经采购方书面许可，不得以任何形式自行使用或以任何方式向第三方披露、转让、授权、出售与本项目有关的技术成果、计算机软件、源代码、策划文档、技术诀窍、秘密信息、技术资料和其他文件。</w:t>
      </w:r>
    </w:p>
    <w:p w14:paraId="42A62F6E">
      <w:pPr>
        <w:ind w:firstLine="420"/>
        <w:rPr>
          <w:rFonts w:hint="eastAsia"/>
          <w:sz w:val="21"/>
          <w:szCs w:val="21"/>
          <w:highlight w:val="none"/>
        </w:rPr>
      </w:pPr>
      <w:r>
        <w:rPr>
          <w:rFonts w:hint="eastAsia"/>
          <w:sz w:val="21"/>
          <w:szCs w:val="21"/>
          <w:highlight w:val="none"/>
        </w:rPr>
        <w:t>以上内容的保密期限自中标人知悉保密信息起始至保密信息被合法公开之日止。</w:t>
      </w:r>
    </w:p>
    <w:p w14:paraId="7C7655EA">
      <w:pPr>
        <w:ind w:firstLine="422"/>
        <w:rPr>
          <w:rFonts w:hint="eastAsia"/>
          <w:b/>
          <w:sz w:val="21"/>
          <w:szCs w:val="21"/>
          <w:highlight w:val="none"/>
        </w:rPr>
      </w:pPr>
      <w:r>
        <w:rPr>
          <w:b/>
          <w:sz w:val="21"/>
          <w:szCs w:val="21"/>
          <w:highlight w:val="none"/>
        </w:rPr>
        <w:t>3、临时账号等使用要求</w:t>
      </w:r>
    </w:p>
    <w:p w14:paraId="62CAF2BC">
      <w:pPr>
        <w:ind w:firstLine="420"/>
        <w:rPr>
          <w:rFonts w:hint="eastAsia"/>
          <w:sz w:val="21"/>
          <w:szCs w:val="21"/>
          <w:highlight w:val="none"/>
        </w:rPr>
      </w:pPr>
      <w:r>
        <w:rPr>
          <w:rFonts w:hint="eastAsia"/>
          <w:sz w:val="21"/>
          <w:szCs w:val="21"/>
          <w:highlight w:val="none"/>
        </w:rPr>
        <w:t>中标人对采购人提拱的临时使用账号要保密，不得公开，对组件开发的账号密码需进行加密，避免信息安全的泄露。未经采购人的同意不得利用采购人的网络及平台进行短信、彩信、微信发送，</w:t>
      </w:r>
      <w:r>
        <w:rPr>
          <w:sz w:val="21"/>
          <w:szCs w:val="21"/>
          <w:highlight w:val="none"/>
        </w:rPr>
        <w:t>造成的一切后果由中标人负责。</w:t>
      </w:r>
    </w:p>
    <w:p w14:paraId="1ECEF289">
      <w:pPr>
        <w:pStyle w:val="2"/>
        <w:ind w:left="-2" w:leftChars="-1" w:firstLine="1"/>
        <w:rPr>
          <w:rFonts w:ascii="Times New Roman" w:hAnsi="Times New Roman"/>
          <w:highlight w:val="none"/>
        </w:rPr>
      </w:pPr>
      <w:bookmarkStart w:id="37" w:name="_Toc65170093"/>
      <w:r>
        <w:rPr>
          <w:rFonts w:ascii="Times New Roman" w:hAnsi="Times New Roman"/>
          <w:highlight w:val="none"/>
        </w:rPr>
        <w:t>项目的变更、解除和终止</w:t>
      </w:r>
    </w:p>
    <w:p w14:paraId="043B3C41">
      <w:pPr>
        <w:pStyle w:val="110"/>
        <w:snapToGrid w:val="0"/>
        <w:spacing w:line="360" w:lineRule="auto"/>
        <w:rPr>
          <w:rFonts w:hint="eastAsia" w:ascii="宋体" w:hAnsi="宋体"/>
          <w:szCs w:val="21"/>
          <w:highlight w:val="none"/>
        </w:rPr>
      </w:pPr>
      <w:r>
        <w:rPr>
          <w:rFonts w:hint="eastAsia" w:ascii="宋体" w:hAnsi="宋体"/>
          <w:szCs w:val="21"/>
          <w:highlight w:val="none"/>
        </w:rPr>
        <w:t>如果中标人丧失履约能力、发生资不抵债或进入破产程序，采购人可在任何时候以书面形式通知中标人终止本项目的执行而不给予中标人补偿。该终止本项目将不损害或影响采购人已经采取或将要采取任何行动或补救措施的权利。</w:t>
      </w:r>
    </w:p>
    <w:p w14:paraId="6F832BDA">
      <w:pPr>
        <w:pStyle w:val="110"/>
        <w:snapToGrid w:val="0"/>
        <w:spacing w:line="360" w:lineRule="auto"/>
        <w:rPr>
          <w:rFonts w:hint="eastAsia" w:ascii="宋体" w:hAnsi="宋体"/>
          <w:szCs w:val="21"/>
          <w:highlight w:val="none"/>
        </w:rPr>
      </w:pPr>
      <w:r>
        <w:rPr>
          <w:rFonts w:hint="eastAsia" w:ascii="宋体" w:hAnsi="宋体"/>
          <w:szCs w:val="21"/>
          <w:highlight w:val="none"/>
        </w:rPr>
        <w:t>如遇国家、行业管理部门等机构的有关标准和规定调整的，导致本项目内容须做相应调整时，双方应按照公平、合理的原则共同协商修改本项目对应的合同的相关条款。</w:t>
      </w:r>
    </w:p>
    <w:p w14:paraId="16364AC6">
      <w:pPr>
        <w:pStyle w:val="2"/>
        <w:ind w:left="-2" w:leftChars="-1" w:firstLine="1"/>
        <w:rPr>
          <w:rFonts w:ascii="Times New Roman" w:hAnsi="Times New Roman"/>
          <w:highlight w:val="none"/>
        </w:rPr>
      </w:pPr>
      <w:r>
        <w:rPr>
          <w:rFonts w:hint="eastAsia" w:ascii="Times New Roman" w:hAnsi="Times New Roman"/>
          <w:highlight w:val="none"/>
        </w:rPr>
        <w:t>违约责任</w:t>
      </w:r>
      <w:bookmarkEnd w:id="37"/>
    </w:p>
    <w:p w14:paraId="3BDF5C15">
      <w:pPr>
        <w:pStyle w:val="110"/>
        <w:snapToGrid w:val="0"/>
        <w:spacing w:line="360" w:lineRule="auto"/>
        <w:rPr>
          <w:rFonts w:hint="eastAsia" w:ascii="宋体" w:hAnsi="宋体"/>
          <w:szCs w:val="21"/>
          <w:highlight w:val="none"/>
        </w:rPr>
      </w:pPr>
      <w:r>
        <w:rPr>
          <w:rFonts w:ascii="宋体" w:hAnsi="宋体"/>
          <w:szCs w:val="21"/>
          <w:highlight w:val="none"/>
        </w:rPr>
        <w:t>1、如中标人未按约定的时间或服务标准完成建设工作，采购人可要求中标人在规定的时间内采取补救措施。中标人还应向采购人支付本项目费用总额30%的违约金，违约金不足以弥补采购人损失的，采购人有权要求中标人赔偿超过部分。</w:t>
      </w:r>
    </w:p>
    <w:p w14:paraId="02DC566B">
      <w:pPr>
        <w:pStyle w:val="110"/>
        <w:snapToGrid w:val="0"/>
        <w:spacing w:line="360" w:lineRule="auto"/>
        <w:rPr>
          <w:rFonts w:hint="eastAsia" w:ascii="宋体" w:hAnsi="宋体"/>
          <w:szCs w:val="21"/>
          <w:highlight w:val="none"/>
        </w:rPr>
      </w:pPr>
      <w:r>
        <w:rPr>
          <w:rFonts w:ascii="宋体" w:hAnsi="宋体"/>
          <w:szCs w:val="21"/>
          <w:highlight w:val="none"/>
        </w:rPr>
        <w:t>2、因中标人违反保密义务或知识产权约定的，采购人有权要求中标人支付本项目费用总额30%的违约金，违约金不足以弥补采购人损失的，采购人有权要求中标人赔偿超过部分。若中标人违反保密义务，采购人还有权立即单方解除合同而不承担任何违约责任。</w:t>
      </w:r>
    </w:p>
    <w:p w14:paraId="59EBF09B">
      <w:pPr>
        <w:pStyle w:val="110"/>
        <w:snapToGrid w:val="0"/>
        <w:spacing w:line="360" w:lineRule="auto"/>
        <w:rPr>
          <w:rFonts w:hint="eastAsia" w:ascii="宋体" w:hAnsi="宋体"/>
          <w:szCs w:val="21"/>
          <w:highlight w:val="none"/>
        </w:rPr>
      </w:pPr>
      <w:r>
        <w:rPr>
          <w:rFonts w:ascii="宋体" w:hAnsi="宋体"/>
          <w:szCs w:val="21"/>
          <w:highlight w:val="none"/>
        </w:rPr>
        <w:t>3、中标人有其他违反本项目合同约定的行为，中标人应当支付本项目总价款金额的20%作为违约金，违约金不足以弥补采购人损失的，采购人有权要求中标人赔偿超过部分。</w:t>
      </w:r>
    </w:p>
    <w:p w14:paraId="4B7A4AD1">
      <w:pPr>
        <w:pStyle w:val="110"/>
        <w:snapToGrid w:val="0"/>
        <w:spacing w:line="360" w:lineRule="auto"/>
        <w:rPr>
          <w:rFonts w:hint="eastAsia" w:ascii="宋体" w:hAnsi="宋体"/>
          <w:szCs w:val="21"/>
          <w:highlight w:val="none"/>
        </w:rPr>
      </w:pPr>
      <w:r>
        <w:rPr>
          <w:rFonts w:ascii="宋体" w:hAnsi="宋体"/>
          <w:szCs w:val="21"/>
          <w:highlight w:val="none"/>
        </w:rPr>
        <w:t>4、中标人有下列情形之一，采购人有权解除合同：</w:t>
      </w:r>
    </w:p>
    <w:p w14:paraId="2D9522F9">
      <w:pPr>
        <w:pStyle w:val="110"/>
        <w:snapToGrid w:val="0"/>
        <w:spacing w:line="360" w:lineRule="auto"/>
        <w:rPr>
          <w:rFonts w:hint="eastAsia" w:ascii="宋体" w:hAnsi="宋体"/>
          <w:szCs w:val="21"/>
          <w:highlight w:val="none"/>
        </w:rPr>
      </w:pPr>
      <w:r>
        <w:rPr>
          <w:rFonts w:ascii="宋体" w:hAnsi="宋体"/>
          <w:szCs w:val="21"/>
          <w:highlight w:val="none"/>
        </w:rPr>
        <w:t>1）因中标人服务质量问题导致采购人无法实现目的</w:t>
      </w:r>
      <w:r>
        <w:rPr>
          <w:rFonts w:hint="eastAsia" w:ascii="宋体" w:hAnsi="宋体"/>
          <w:szCs w:val="21"/>
          <w:highlight w:val="none"/>
        </w:rPr>
        <w:t>。</w:t>
      </w:r>
    </w:p>
    <w:p w14:paraId="4D6B6546">
      <w:pPr>
        <w:pStyle w:val="110"/>
        <w:snapToGrid w:val="0"/>
        <w:spacing w:line="360" w:lineRule="auto"/>
        <w:rPr>
          <w:rFonts w:hint="eastAsia" w:ascii="宋体" w:hAnsi="宋体"/>
          <w:szCs w:val="21"/>
          <w:highlight w:val="none"/>
        </w:rPr>
      </w:pPr>
      <w:r>
        <w:rPr>
          <w:rFonts w:ascii="宋体" w:hAnsi="宋体"/>
          <w:szCs w:val="21"/>
          <w:highlight w:val="none"/>
        </w:rPr>
        <w:t>2）擅自转让或者分包其应履行的义务的</w:t>
      </w:r>
      <w:r>
        <w:rPr>
          <w:rFonts w:hint="eastAsia" w:ascii="宋体" w:hAnsi="宋体"/>
          <w:szCs w:val="21"/>
          <w:highlight w:val="none"/>
        </w:rPr>
        <w:t>。</w:t>
      </w:r>
    </w:p>
    <w:p w14:paraId="2C191ED3">
      <w:pPr>
        <w:pStyle w:val="110"/>
        <w:snapToGrid w:val="0"/>
        <w:spacing w:line="360" w:lineRule="auto"/>
        <w:rPr>
          <w:rFonts w:hint="eastAsia" w:ascii="宋体" w:hAnsi="宋体"/>
          <w:szCs w:val="21"/>
          <w:highlight w:val="none"/>
        </w:rPr>
      </w:pPr>
      <w:r>
        <w:rPr>
          <w:rFonts w:ascii="宋体" w:hAnsi="宋体"/>
          <w:szCs w:val="21"/>
          <w:highlight w:val="none"/>
        </w:rPr>
        <w:t>3）违反或者未履行本项目合同约定的其他相关义务，且在采购人要求的合理时间内未能纠正的。</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等线 Light">
    <w:panose1 w:val="02010600030101010101"/>
    <w:charset w:val="86"/>
    <w:family w:val="auto"/>
    <w:pitch w:val="default"/>
    <w:sig w:usb0="A00002BF" w:usb1="38CF7CFA" w:usb2="00000016" w:usb3="00000000" w:csb0="0004000F" w:csb1="00000000"/>
  </w:font>
  <w:font w:name="time">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swiss"/>
    <w:pitch w:val="default"/>
    <w:sig w:usb0="80000287" w:usb1="28CF3C52" w:usb2="00000016" w:usb3="00000000" w:csb0="0004001F" w:csb1="00000000"/>
  </w:font>
  <w:font w:name="Microsoft Sans Serif">
    <w:panose1 w:val="020B0604020202020204"/>
    <w:charset w:val="00"/>
    <w:family w:val="swiss"/>
    <w:pitch w:val="default"/>
    <w:sig w:usb0="E1002AFF" w:usb1="C0000002" w:usb2="00000008"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armonyOS Sans SC">
    <w:altName w:val="华文仿宋"/>
    <w:panose1 w:val="00000500000000000000"/>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59E8">
    <w:pPr>
      <w:ind w:firstLine="0" w:firstLineChars="0"/>
      <w:jc w:val="center"/>
      <w:rPr>
        <w:rFonts w:hint="eastAsia"/>
        <w:sz w:val="18"/>
        <w:szCs w:val="18"/>
        <w:lang w:val="zh-CN"/>
      </w:rPr>
    </w:pPr>
    <w:r>
      <w:rPr>
        <w:rFonts w:hint="eastAsia"/>
        <w:sz w:val="18"/>
        <w:szCs w:val="18"/>
      </w:rPr>
      <w:t>第</w:t>
    </w:r>
    <w:r>
      <w:rPr>
        <w:sz w:val="18"/>
        <w:szCs w:val="18"/>
      </w:rPr>
      <w:fldChar w:fldCharType="begin"/>
    </w:r>
    <w:r>
      <w:rPr>
        <w:sz w:val="18"/>
        <w:szCs w:val="18"/>
      </w:rPr>
      <w:instrText xml:space="preserve">PAGE   \* MERGEFORMAT</w:instrText>
    </w:r>
    <w:r>
      <w:rPr>
        <w:sz w:val="18"/>
        <w:szCs w:val="18"/>
      </w:rPr>
      <w:fldChar w:fldCharType="separate"/>
    </w:r>
    <w:r>
      <w:rPr>
        <w:sz w:val="18"/>
        <w:szCs w:val="18"/>
        <w:lang w:val="zh-CN"/>
      </w:rPr>
      <w:t>16</w:t>
    </w:r>
    <w:r>
      <w:rPr>
        <w:sz w:val="18"/>
        <w:szCs w:val="18"/>
        <w:lang w:val="zh-CN"/>
      </w:rPr>
      <w:fldChar w:fldCharType="end"/>
    </w:r>
    <w:r>
      <w:rPr>
        <w:rFonts w:hint="eastAsia"/>
        <w:sz w:val="18"/>
        <w:szCs w:val="18"/>
        <w:lang w:val="zh-CN"/>
      </w:rPr>
      <w:t>页</w:t>
    </w:r>
  </w:p>
  <w:p w14:paraId="35EF1789">
    <w:pPr>
      <w:ind w:firstLine="0" w:firstLineChars="0"/>
      <w:jc w:val="center"/>
      <w:rPr>
        <w:rFonts w:hint="eastAsia"/>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17DD6">
    <w:pPr>
      <w:pStyle w:val="2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F719E">
    <w:pPr>
      <w:ind w:firstLine="0" w:firstLineChars="0"/>
      <w:jc w:val="center"/>
      <w:rPr>
        <w:rFonts w:hint="eastAsia"/>
      </w:rPr>
    </w:pPr>
    <w:r>
      <w:rPr>
        <w:rFonts w:hint="eastAsia"/>
      </w:rPr>
      <w:t>第</w:t>
    </w:r>
    <w:r>
      <w:fldChar w:fldCharType="begin"/>
    </w:r>
    <w:r>
      <w:instrText xml:space="preserve">PAGE   \* MERGEFORMAT</w:instrText>
    </w:r>
    <w:r>
      <w:fldChar w:fldCharType="separate"/>
    </w:r>
    <w:r>
      <w:rPr>
        <w:rFonts w:hint="eastAsia"/>
      </w:rPr>
      <w:t>2</w:t>
    </w:r>
    <w:r>
      <w:rPr>
        <w:lang w:val="zh-CN"/>
      </w:rPr>
      <w:fldChar w:fldCharType="end"/>
    </w:r>
    <w:r>
      <w:rPr>
        <w:rFonts w:hint="eastAsia"/>
        <w:lang w:val="zh-CN"/>
      </w:rPr>
      <w:t>页</w:t>
    </w:r>
  </w:p>
  <w:p w14:paraId="5CF68879">
    <w:pPr>
      <w:pStyle w:val="25"/>
      <w:ind w:firstLine="0" w:firstLineChars="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2A820">
    <w:pPr>
      <w:pStyle w:val="2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2444D">
    <w:pPr>
      <w:pStyle w:val="2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039F2">
    <w:pPr>
      <w:pStyle w:val="2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50366A"/>
    <w:multiLevelType w:val="multilevel"/>
    <w:tmpl w:val="6350366A"/>
    <w:lvl w:ilvl="0" w:tentative="0">
      <w:start w:val="1"/>
      <w:numFmt w:val="none"/>
      <w:pStyle w:val="116"/>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70A464C"/>
    <w:multiLevelType w:val="multilevel"/>
    <w:tmpl w:val="670A464C"/>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4"/>
      <w:isLgl/>
      <w:suff w:val="nothing"/>
      <w:lvlText w:val="%1.%2、"/>
      <w:lvlJc w:val="left"/>
      <w:pPr>
        <w:ind w:left="1049" w:hanging="567"/>
      </w:pPr>
    </w:lvl>
    <w:lvl w:ilvl="2" w:tentative="0">
      <w:start w:val="1"/>
      <w:numFmt w:val="decimal"/>
      <w:pStyle w:val="5"/>
      <w:isLgl/>
      <w:suff w:val="nothing"/>
      <w:lvlText w:val="%1.%2.%3、"/>
      <w:lvlJc w:val="left"/>
      <w:pPr>
        <w:ind w:left="480" w:hanging="1069"/>
      </w:pPr>
      <w:rPr>
        <w:rFonts w:hint="default" w:ascii="宋体" w:hAnsi="宋体" w:eastAsia="宋体" w:cs="Arial"/>
      </w:rPr>
    </w:lvl>
    <w:lvl w:ilvl="3" w:tentative="0">
      <w:start w:val="1"/>
      <w:numFmt w:val="decimal"/>
      <w:pStyle w:val="6"/>
      <w:isLgl/>
      <w:suff w:val="nothing"/>
      <w:lvlText w:val="%1.%2.%3.%4、"/>
      <w:lvlJc w:val="left"/>
      <w:pPr>
        <w:ind w:left="3403" w:hanging="851"/>
      </w:pPr>
    </w:lvl>
    <w:lvl w:ilvl="4" w:tentative="0">
      <w:start w:val="1"/>
      <w:numFmt w:val="decimal"/>
      <w:pStyle w:val="7"/>
      <w:isLgl/>
      <w:suff w:val="nothing"/>
      <w:lvlText w:val="%1.%2.%3.%4.%5、"/>
      <w:lvlJc w:val="left"/>
      <w:pPr>
        <w:ind w:left="3544" w:hanging="992"/>
      </w:pPr>
      <w:rPr>
        <w:rFonts w:hint="eastAsia"/>
      </w:rPr>
    </w:lvl>
    <w:lvl w:ilvl="5" w:tentative="0">
      <w:start w:val="1"/>
      <w:numFmt w:val="decimal"/>
      <w:pStyle w:val="8"/>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0MzM5ZTA3ZmY5ODM0MzUyMWRlMGI2MTVhNzcwZjYifQ=="/>
  </w:docVars>
  <w:rsids>
    <w:rsidRoot w:val="006910C0"/>
    <w:rsid w:val="0000005A"/>
    <w:rsid w:val="00000AED"/>
    <w:rsid w:val="0000216B"/>
    <w:rsid w:val="00003516"/>
    <w:rsid w:val="0000380E"/>
    <w:rsid w:val="00003EDB"/>
    <w:rsid w:val="00005AFD"/>
    <w:rsid w:val="00006563"/>
    <w:rsid w:val="000074F1"/>
    <w:rsid w:val="00007A41"/>
    <w:rsid w:val="00007DA7"/>
    <w:rsid w:val="0001253D"/>
    <w:rsid w:val="00012EF0"/>
    <w:rsid w:val="000138B4"/>
    <w:rsid w:val="00014647"/>
    <w:rsid w:val="000151BD"/>
    <w:rsid w:val="000156DE"/>
    <w:rsid w:val="000161E2"/>
    <w:rsid w:val="000165AD"/>
    <w:rsid w:val="00016CE8"/>
    <w:rsid w:val="000179E9"/>
    <w:rsid w:val="00020A72"/>
    <w:rsid w:val="00020A7F"/>
    <w:rsid w:val="00020C18"/>
    <w:rsid w:val="00021EE6"/>
    <w:rsid w:val="0002280E"/>
    <w:rsid w:val="00022820"/>
    <w:rsid w:val="00022C74"/>
    <w:rsid w:val="00023D27"/>
    <w:rsid w:val="00025122"/>
    <w:rsid w:val="000252D5"/>
    <w:rsid w:val="00026997"/>
    <w:rsid w:val="00027A64"/>
    <w:rsid w:val="00032D27"/>
    <w:rsid w:val="00033461"/>
    <w:rsid w:val="00034DAD"/>
    <w:rsid w:val="00035325"/>
    <w:rsid w:val="00035D5B"/>
    <w:rsid w:val="0003695F"/>
    <w:rsid w:val="00037577"/>
    <w:rsid w:val="00037807"/>
    <w:rsid w:val="000378D0"/>
    <w:rsid w:val="00037F2C"/>
    <w:rsid w:val="00042C2A"/>
    <w:rsid w:val="000430EC"/>
    <w:rsid w:val="000447CB"/>
    <w:rsid w:val="00047915"/>
    <w:rsid w:val="00047D06"/>
    <w:rsid w:val="00050FBD"/>
    <w:rsid w:val="0005107A"/>
    <w:rsid w:val="0005192C"/>
    <w:rsid w:val="00052929"/>
    <w:rsid w:val="0005299F"/>
    <w:rsid w:val="000541D7"/>
    <w:rsid w:val="000545C0"/>
    <w:rsid w:val="0005586D"/>
    <w:rsid w:val="00056C0E"/>
    <w:rsid w:val="000574A8"/>
    <w:rsid w:val="000574F8"/>
    <w:rsid w:val="00057A49"/>
    <w:rsid w:val="0006231F"/>
    <w:rsid w:val="00062A05"/>
    <w:rsid w:val="00062A48"/>
    <w:rsid w:val="00062EE6"/>
    <w:rsid w:val="0006344E"/>
    <w:rsid w:val="000649BE"/>
    <w:rsid w:val="000649E6"/>
    <w:rsid w:val="0006658D"/>
    <w:rsid w:val="0006794B"/>
    <w:rsid w:val="00067DCA"/>
    <w:rsid w:val="00070063"/>
    <w:rsid w:val="000704BB"/>
    <w:rsid w:val="0007087A"/>
    <w:rsid w:val="000710EC"/>
    <w:rsid w:val="00072237"/>
    <w:rsid w:val="00072A3C"/>
    <w:rsid w:val="00072ABE"/>
    <w:rsid w:val="00073C36"/>
    <w:rsid w:val="0007495F"/>
    <w:rsid w:val="00080B39"/>
    <w:rsid w:val="0008179F"/>
    <w:rsid w:val="00083950"/>
    <w:rsid w:val="0008452F"/>
    <w:rsid w:val="00084E8E"/>
    <w:rsid w:val="00085A68"/>
    <w:rsid w:val="00085FD5"/>
    <w:rsid w:val="00090625"/>
    <w:rsid w:val="00090948"/>
    <w:rsid w:val="00091CD1"/>
    <w:rsid w:val="0009354E"/>
    <w:rsid w:val="0009378C"/>
    <w:rsid w:val="0009460E"/>
    <w:rsid w:val="000951D4"/>
    <w:rsid w:val="000A2146"/>
    <w:rsid w:val="000A2930"/>
    <w:rsid w:val="000A3276"/>
    <w:rsid w:val="000A3C35"/>
    <w:rsid w:val="000A3E30"/>
    <w:rsid w:val="000A5876"/>
    <w:rsid w:val="000A61D0"/>
    <w:rsid w:val="000A6C67"/>
    <w:rsid w:val="000A6DB8"/>
    <w:rsid w:val="000A7596"/>
    <w:rsid w:val="000B11A8"/>
    <w:rsid w:val="000B1959"/>
    <w:rsid w:val="000B2E1C"/>
    <w:rsid w:val="000B4459"/>
    <w:rsid w:val="000B4B46"/>
    <w:rsid w:val="000B5363"/>
    <w:rsid w:val="000B53BA"/>
    <w:rsid w:val="000B642F"/>
    <w:rsid w:val="000B6C99"/>
    <w:rsid w:val="000B6F9E"/>
    <w:rsid w:val="000B704A"/>
    <w:rsid w:val="000C3F3C"/>
    <w:rsid w:val="000C5A75"/>
    <w:rsid w:val="000C75F7"/>
    <w:rsid w:val="000D0AB2"/>
    <w:rsid w:val="000D1BBD"/>
    <w:rsid w:val="000D225C"/>
    <w:rsid w:val="000D31C7"/>
    <w:rsid w:val="000D36F2"/>
    <w:rsid w:val="000D4B26"/>
    <w:rsid w:val="000D74DB"/>
    <w:rsid w:val="000E24D6"/>
    <w:rsid w:val="000E5A74"/>
    <w:rsid w:val="000E6072"/>
    <w:rsid w:val="000E6D61"/>
    <w:rsid w:val="000E7A23"/>
    <w:rsid w:val="000F1C29"/>
    <w:rsid w:val="000F1E9E"/>
    <w:rsid w:val="000F1F2D"/>
    <w:rsid w:val="000F2B10"/>
    <w:rsid w:val="000F3F72"/>
    <w:rsid w:val="000F42E3"/>
    <w:rsid w:val="001055B2"/>
    <w:rsid w:val="001060F0"/>
    <w:rsid w:val="001068F0"/>
    <w:rsid w:val="00106AB8"/>
    <w:rsid w:val="00106C9E"/>
    <w:rsid w:val="00106E16"/>
    <w:rsid w:val="0010768B"/>
    <w:rsid w:val="00107D61"/>
    <w:rsid w:val="0011067D"/>
    <w:rsid w:val="00110B70"/>
    <w:rsid w:val="00111701"/>
    <w:rsid w:val="00112A29"/>
    <w:rsid w:val="001167F6"/>
    <w:rsid w:val="00116C86"/>
    <w:rsid w:val="001208C1"/>
    <w:rsid w:val="00121ACF"/>
    <w:rsid w:val="00121D8F"/>
    <w:rsid w:val="00122037"/>
    <w:rsid w:val="0012210C"/>
    <w:rsid w:val="00122A7F"/>
    <w:rsid w:val="001233ED"/>
    <w:rsid w:val="00123F98"/>
    <w:rsid w:val="001242A5"/>
    <w:rsid w:val="00124531"/>
    <w:rsid w:val="0012467B"/>
    <w:rsid w:val="001247EB"/>
    <w:rsid w:val="00126EDF"/>
    <w:rsid w:val="00127BBE"/>
    <w:rsid w:val="00131D52"/>
    <w:rsid w:val="001329C1"/>
    <w:rsid w:val="00132C16"/>
    <w:rsid w:val="001358E8"/>
    <w:rsid w:val="00136320"/>
    <w:rsid w:val="00136FFA"/>
    <w:rsid w:val="00137AC6"/>
    <w:rsid w:val="00145512"/>
    <w:rsid w:val="001465BD"/>
    <w:rsid w:val="00147B45"/>
    <w:rsid w:val="00150803"/>
    <w:rsid w:val="00151D83"/>
    <w:rsid w:val="001546C9"/>
    <w:rsid w:val="00154FAE"/>
    <w:rsid w:val="0015516D"/>
    <w:rsid w:val="00155E77"/>
    <w:rsid w:val="00156A70"/>
    <w:rsid w:val="00160A61"/>
    <w:rsid w:val="00160FC0"/>
    <w:rsid w:val="0016429B"/>
    <w:rsid w:val="00164525"/>
    <w:rsid w:val="00164C50"/>
    <w:rsid w:val="00165034"/>
    <w:rsid w:val="0016588B"/>
    <w:rsid w:val="00165CB2"/>
    <w:rsid w:val="00166767"/>
    <w:rsid w:val="0016717E"/>
    <w:rsid w:val="001707CB"/>
    <w:rsid w:val="00171477"/>
    <w:rsid w:val="00172A1A"/>
    <w:rsid w:val="00173251"/>
    <w:rsid w:val="00176BED"/>
    <w:rsid w:val="0017759D"/>
    <w:rsid w:val="001804A5"/>
    <w:rsid w:val="00181C94"/>
    <w:rsid w:val="00182C84"/>
    <w:rsid w:val="00184FC4"/>
    <w:rsid w:val="00187031"/>
    <w:rsid w:val="00191EA4"/>
    <w:rsid w:val="00192B6C"/>
    <w:rsid w:val="00192C30"/>
    <w:rsid w:val="0019331E"/>
    <w:rsid w:val="0019381E"/>
    <w:rsid w:val="00194CF5"/>
    <w:rsid w:val="0019503C"/>
    <w:rsid w:val="00195D94"/>
    <w:rsid w:val="00196F7B"/>
    <w:rsid w:val="001971CB"/>
    <w:rsid w:val="0019795C"/>
    <w:rsid w:val="001A053A"/>
    <w:rsid w:val="001A22A2"/>
    <w:rsid w:val="001A2971"/>
    <w:rsid w:val="001A3D52"/>
    <w:rsid w:val="001A460A"/>
    <w:rsid w:val="001A4A4C"/>
    <w:rsid w:val="001A4B9D"/>
    <w:rsid w:val="001B0230"/>
    <w:rsid w:val="001B13AB"/>
    <w:rsid w:val="001B3907"/>
    <w:rsid w:val="001B3B49"/>
    <w:rsid w:val="001B4907"/>
    <w:rsid w:val="001B4DC5"/>
    <w:rsid w:val="001B5505"/>
    <w:rsid w:val="001B5961"/>
    <w:rsid w:val="001B5D9E"/>
    <w:rsid w:val="001B7834"/>
    <w:rsid w:val="001C2180"/>
    <w:rsid w:val="001C29CC"/>
    <w:rsid w:val="001C2E60"/>
    <w:rsid w:val="001C3042"/>
    <w:rsid w:val="001C3217"/>
    <w:rsid w:val="001C32FC"/>
    <w:rsid w:val="001C3B98"/>
    <w:rsid w:val="001C6028"/>
    <w:rsid w:val="001C6365"/>
    <w:rsid w:val="001C7F57"/>
    <w:rsid w:val="001D0E79"/>
    <w:rsid w:val="001D1B84"/>
    <w:rsid w:val="001D5FC3"/>
    <w:rsid w:val="001D6049"/>
    <w:rsid w:val="001D65B2"/>
    <w:rsid w:val="001D7339"/>
    <w:rsid w:val="001E2750"/>
    <w:rsid w:val="001E4343"/>
    <w:rsid w:val="001E52BB"/>
    <w:rsid w:val="001E5731"/>
    <w:rsid w:val="001E660A"/>
    <w:rsid w:val="001F0289"/>
    <w:rsid w:val="001F05D6"/>
    <w:rsid w:val="001F1DE1"/>
    <w:rsid w:val="001F31C3"/>
    <w:rsid w:val="001F5B0A"/>
    <w:rsid w:val="001F640F"/>
    <w:rsid w:val="001F6794"/>
    <w:rsid w:val="001F6F65"/>
    <w:rsid w:val="001F73B3"/>
    <w:rsid w:val="002002DF"/>
    <w:rsid w:val="00201434"/>
    <w:rsid w:val="00203A6F"/>
    <w:rsid w:val="00205646"/>
    <w:rsid w:val="002063F7"/>
    <w:rsid w:val="002129E5"/>
    <w:rsid w:val="00212AA4"/>
    <w:rsid w:val="00212E13"/>
    <w:rsid w:val="00215D7C"/>
    <w:rsid w:val="002163C8"/>
    <w:rsid w:val="002167D0"/>
    <w:rsid w:val="002179FE"/>
    <w:rsid w:val="00220006"/>
    <w:rsid w:val="00220CC0"/>
    <w:rsid w:val="00221A36"/>
    <w:rsid w:val="002230AA"/>
    <w:rsid w:val="00223296"/>
    <w:rsid w:val="0022329B"/>
    <w:rsid w:val="002240F7"/>
    <w:rsid w:val="0022486F"/>
    <w:rsid w:val="00225314"/>
    <w:rsid w:val="002253EA"/>
    <w:rsid w:val="00225DF4"/>
    <w:rsid w:val="002264DA"/>
    <w:rsid w:val="00226C70"/>
    <w:rsid w:val="00230C8A"/>
    <w:rsid w:val="00231F98"/>
    <w:rsid w:val="002324F8"/>
    <w:rsid w:val="002348B0"/>
    <w:rsid w:val="00234930"/>
    <w:rsid w:val="00235CDC"/>
    <w:rsid w:val="002365FD"/>
    <w:rsid w:val="00237416"/>
    <w:rsid w:val="002379D8"/>
    <w:rsid w:val="00237DEF"/>
    <w:rsid w:val="00237E76"/>
    <w:rsid w:val="00240BBE"/>
    <w:rsid w:val="00241525"/>
    <w:rsid w:val="00241D87"/>
    <w:rsid w:val="00243642"/>
    <w:rsid w:val="00243C55"/>
    <w:rsid w:val="00243D5E"/>
    <w:rsid w:val="00243F82"/>
    <w:rsid w:val="00244658"/>
    <w:rsid w:val="002451EC"/>
    <w:rsid w:val="00245ED4"/>
    <w:rsid w:val="00246B41"/>
    <w:rsid w:val="0025002B"/>
    <w:rsid w:val="002500DE"/>
    <w:rsid w:val="00252457"/>
    <w:rsid w:val="00252581"/>
    <w:rsid w:val="002535B5"/>
    <w:rsid w:val="002538CB"/>
    <w:rsid w:val="002542BD"/>
    <w:rsid w:val="002575CB"/>
    <w:rsid w:val="0025774E"/>
    <w:rsid w:val="00257D64"/>
    <w:rsid w:val="0026340A"/>
    <w:rsid w:val="00264288"/>
    <w:rsid w:val="002654EA"/>
    <w:rsid w:val="00265625"/>
    <w:rsid w:val="00265AD1"/>
    <w:rsid w:val="002704EA"/>
    <w:rsid w:val="0027061A"/>
    <w:rsid w:val="002719CC"/>
    <w:rsid w:val="00272C05"/>
    <w:rsid w:val="00272FE9"/>
    <w:rsid w:val="002730C5"/>
    <w:rsid w:val="0027337C"/>
    <w:rsid w:val="00274619"/>
    <w:rsid w:val="0027602B"/>
    <w:rsid w:val="00276C4F"/>
    <w:rsid w:val="00277F5E"/>
    <w:rsid w:val="00280084"/>
    <w:rsid w:val="00280490"/>
    <w:rsid w:val="00280743"/>
    <w:rsid w:val="00280AA2"/>
    <w:rsid w:val="002860B8"/>
    <w:rsid w:val="00287C37"/>
    <w:rsid w:val="0029206E"/>
    <w:rsid w:val="00293382"/>
    <w:rsid w:val="0029432E"/>
    <w:rsid w:val="00294F51"/>
    <w:rsid w:val="00295702"/>
    <w:rsid w:val="002A07D9"/>
    <w:rsid w:val="002A1FA5"/>
    <w:rsid w:val="002A2266"/>
    <w:rsid w:val="002A2342"/>
    <w:rsid w:val="002A279E"/>
    <w:rsid w:val="002A4FA3"/>
    <w:rsid w:val="002B3606"/>
    <w:rsid w:val="002B3D80"/>
    <w:rsid w:val="002B4402"/>
    <w:rsid w:val="002B4946"/>
    <w:rsid w:val="002B4C41"/>
    <w:rsid w:val="002B5428"/>
    <w:rsid w:val="002B588D"/>
    <w:rsid w:val="002B6BB3"/>
    <w:rsid w:val="002B7F60"/>
    <w:rsid w:val="002C1839"/>
    <w:rsid w:val="002C214A"/>
    <w:rsid w:val="002C28E8"/>
    <w:rsid w:val="002C3027"/>
    <w:rsid w:val="002C5F62"/>
    <w:rsid w:val="002C62F8"/>
    <w:rsid w:val="002C674D"/>
    <w:rsid w:val="002C7648"/>
    <w:rsid w:val="002C7DC4"/>
    <w:rsid w:val="002D0821"/>
    <w:rsid w:val="002D1929"/>
    <w:rsid w:val="002D1B73"/>
    <w:rsid w:val="002D1C02"/>
    <w:rsid w:val="002D1FDE"/>
    <w:rsid w:val="002D2703"/>
    <w:rsid w:val="002D3CB0"/>
    <w:rsid w:val="002D3FBC"/>
    <w:rsid w:val="002D41E9"/>
    <w:rsid w:val="002D4800"/>
    <w:rsid w:val="002D5B21"/>
    <w:rsid w:val="002D6F6D"/>
    <w:rsid w:val="002E1FE6"/>
    <w:rsid w:val="002E2EA7"/>
    <w:rsid w:val="002E364F"/>
    <w:rsid w:val="002E36D2"/>
    <w:rsid w:val="002E748B"/>
    <w:rsid w:val="002F2002"/>
    <w:rsid w:val="002F335D"/>
    <w:rsid w:val="002F398B"/>
    <w:rsid w:val="002F4E32"/>
    <w:rsid w:val="002F503F"/>
    <w:rsid w:val="002F51DD"/>
    <w:rsid w:val="002F5D08"/>
    <w:rsid w:val="002F6895"/>
    <w:rsid w:val="002F6D13"/>
    <w:rsid w:val="002F6F2E"/>
    <w:rsid w:val="002F78B3"/>
    <w:rsid w:val="003038D3"/>
    <w:rsid w:val="003049C7"/>
    <w:rsid w:val="00305A05"/>
    <w:rsid w:val="00305F0E"/>
    <w:rsid w:val="0030667A"/>
    <w:rsid w:val="0030744B"/>
    <w:rsid w:val="003101B8"/>
    <w:rsid w:val="003106DE"/>
    <w:rsid w:val="00311530"/>
    <w:rsid w:val="00312D31"/>
    <w:rsid w:val="00313969"/>
    <w:rsid w:val="00313F50"/>
    <w:rsid w:val="00315216"/>
    <w:rsid w:val="0031691C"/>
    <w:rsid w:val="00317225"/>
    <w:rsid w:val="00317AEF"/>
    <w:rsid w:val="00317F49"/>
    <w:rsid w:val="0032089B"/>
    <w:rsid w:val="00320D29"/>
    <w:rsid w:val="003216D6"/>
    <w:rsid w:val="00323450"/>
    <w:rsid w:val="00323D93"/>
    <w:rsid w:val="0032489B"/>
    <w:rsid w:val="0032525B"/>
    <w:rsid w:val="00325BDF"/>
    <w:rsid w:val="00326A7A"/>
    <w:rsid w:val="00326FEE"/>
    <w:rsid w:val="0032727E"/>
    <w:rsid w:val="003315D7"/>
    <w:rsid w:val="00334DE6"/>
    <w:rsid w:val="0033536D"/>
    <w:rsid w:val="003353FF"/>
    <w:rsid w:val="00335997"/>
    <w:rsid w:val="003366D2"/>
    <w:rsid w:val="00337C79"/>
    <w:rsid w:val="00337FEF"/>
    <w:rsid w:val="00340806"/>
    <w:rsid w:val="0034084C"/>
    <w:rsid w:val="00340D5E"/>
    <w:rsid w:val="003420B5"/>
    <w:rsid w:val="00343646"/>
    <w:rsid w:val="00344CCB"/>
    <w:rsid w:val="00345897"/>
    <w:rsid w:val="00351BFC"/>
    <w:rsid w:val="0035575E"/>
    <w:rsid w:val="003565B4"/>
    <w:rsid w:val="00362E75"/>
    <w:rsid w:val="003631AA"/>
    <w:rsid w:val="003632D5"/>
    <w:rsid w:val="00363575"/>
    <w:rsid w:val="00364EF9"/>
    <w:rsid w:val="00367579"/>
    <w:rsid w:val="0036795B"/>
    <w:rsid w:val="00370A29"/>
    <w:rsid w:val="003722F9"/>
    <w:rsid w:val="00372349"/>
    <w:rsid w:val="0037280F"/>
    <w:rsid w:val="00372CBC"/>
    <w:rsid w:val="00373A61"/>
    <w:rsid w:val="00374BDE"/>
    <w:rsid w:val="00375544"/>
    <w:rsid w:val="00375971"/>
    <w:rsid w:val="00376B39"/>
    <w:rsid w:val="003772C0"/>
    <w:rsid w:val="00377BAC"/>
    <w:rsid w:val="00380142"/>
    <w:rsid w:val="00380558"/>
    <w:rsid w:val="00381D3C"/>
    <w:rsid w:val="0038223E"/>
    <w:rsid w:val="0038261C"/>
    <w:rsid w:val="00382D92"/>
    <w:rsid w:val="00383874"/>
    <w:rsid w:val="00385AEF"/>
    <w:rsid w:val="003860EA"/>
    <w:rsid w:val="00386607"/>
    <w:rsid w:val="0038781A"/>
    <w:rsid w:val="0039080B"/>
    <w:rsid w:val="0039326E"/>
    <w:rsid w:val="003947ED"/>
    <w:rsid w:val="00394E22"/>
    <w:rsid w:val="00395B7F"/>
    <w:rsid w:val="003967A4"/>
    <w:rsid w:val="00397FA3"/>
    <w:rsid w:val="003A1596"/>
    <w:rsid w:val="003A317E"/>
    <w:rsid w:val="003A345B"/>
    <w:rsid w:val="003A42F1"/>
    <w:rsid w:val="003A49EE"/>
    <w:rsid w:val="003A674D"/>
    <w:rsid w:val="003A7123"/>
    <w:rsid w:val="003A727F"/>
    <w:rsid w:val="003B102E"/>
    <w:rsid w:val="003B2167"/>
    <w:rsid w:val="003B265F"/>
    <w:rsid w:val="003B5F5D"/>
    <w:rsid w:val="003B62C8"/>
    <w:rsid w:val="003C0C62"/>
    <w:rsid w:val="003C12DC"/>
    <w:rsid w:val="003C2CDA"/>
    <w:rsid w:val="003C3862"/>
    <w:rsid w:val="003C3A75"/>
    <w:rsid w:val="003C4603"/>
    <w:rsid w:val="003C612B"/>
    <w:rsid w:val="003D000A"/>
    <w:rsid w:val="003D0A4D"/>
    <w:rsid w:val="003D1AB6"/>
    <w:rsid w:val="003D31E9"/>
    <w:rsid w:val="003D3CF4"/>
    <w:rsid w:val="003D544E"/>
    <w:rsid w:val="003D5980"/>
    <w:rsid w:val="003D6DFF"/>
    <w:rsid w:val="003E0842"/>
    <w:rsid w:val="003E13B0"/>
    <w:rsid w:val="003E2580"/>
    <w:rsid w:val="003E3DEE"/>
    <w:rsid w:val="003E3EBB"/>
    <w:rsid w:val="003E4A4C"/>
    <w:rsid w:val="003E4CBA"/>
    <w:rsid w:val="003E4D2F"/>
    <w:rsid w:val="003E4EDC"/>
    <w:rsid w:val="003E599D"/>
    <w:rsid w:val="003E59C6"/>
    <w:rsid w:val="003E5C81"/>
    <w:rsid w:val="003E6965"/>
    <w:rsid w:val="003F00E8"/>
    <w:rsid w:val="003F0413"/>
    <w:rsid w:val="003F1936"/>
    <w:rsid w:val="003F1BDD"/>
    <w:rsid w:val="003F3BA3"/>
    <w:rsid w:val="003F3BD5"/>
    <w:rsid w:val="003F400E"/>
    <w:rsid w:val="003F4E87"/>
    <w:rsid w:val="003F6F35"/>
    <w:rsid w:val="003F7768"/>
    <w:rsid w:val="004001E4"/>
    <w:rsid w:val="00400E8C"/>
    <w:rsid w:val="00401643"/>
    <w:rsid w:val="004017DC"/>
    <w:rsid w:val="00401B53"/>
    <w:rsid w:val="00402668"/>
    <w:rsid w:val="00402A08"/>
    <w:rsid w:val="00404FEC"/>
    <w:rsid w:val="0040534D"/>
    <w:rsid w:val="00405FAD"/>
    <w:rsid w:val="004117AB"/>
    <w:rsid w:val="00412B2F"/>
    <w:rsid w:val="00415281"/>
    <w:rsid w:val="00415716"/>
    <w:rsid w:val="0041604D"/>
    <w:rsid w:val="00417842"/>
    <w:rsid w:val="00417A6E"/>
    <w:rsid w:val="0042005E"/>
    <w:rsid w:val="0042285D"/>
    <w:rsid w:val="00427B7D"/>
    <w:rsid w:val="00427D2B"/>
    <w:rsid w:val="00430295"/>
    <w:rsid w:val="00430B13"/>
    <w:rsid w:val="00430CE5"/>
    <w:rsid w:val="0043153C"/>
    <w:rsid w:val="00431D0F"/>
    <w:rsid w:val="00431DB2"/>
    <w:rsid w:val="004338F9"/>
    <w:rsid w:val="0043478F"/>
    <w:rsid w:val="0043481C"/>
    <w:rsid w:val="00435B1F"/>
    <w:rsid w:val="0044202F"/>
    <w:rsid w:val="00444307"/>
    <w:rsid w:val="0044436F"/>
    <w:rsid w:val="004443EB"/>
    <w:rsid w:val="00444432"/>
    <w:rsid w:val="00444673"/>
    <w:rsid w:val="0044621E"/>
    <w:rsid w:val="00447BF1"/>
    <w:rsid w:val="00450BA4"/>
    <w:rsid w:val="004511FC"/>
    <w:rsid w:val="00456784"/>
    <w:rsid w:val="00456DCA"/>
    <w:rsid w:val="00461140"/>
    <w:rsid w:val="004611DB"/>
    <w:rsid w:val="004621D9"/>
    <w:rsid w:val="0046370A"/>
    <w:rsid w:val="004658B0"/>
    <w:rsid w:val="0046614B"/>
    <w:rsid w:val="00467E40"/>
    <w:rsid w:val="00467FD7"/>
    <w:rsid w:val="00470073"/>
    <w:rsid w:val="004730F8"/>
    <w:rsid w:val="0047381A"/>
    <w:rsid w:val="00474353"/>
    <w:rsid w:val="00474555"/>
    <w:rsid w:val="00474A98"/>
    <w:rsid w:val="004750F4"/>
    <w:rsid w:val="00475955"/>
    <w:rsid w:val="00476CB1"/>
    <w:rsid w:val="00480A48"/>
    <w:rsid w:val="00482501"/>
    <w:rsid w:val="00482E7D"/>
    <w:rsid w:val="00484395"/>
    <w:rsid w:val="00484F9D"/>
    <w:rsid w:val="00485D36"/>
    <w:rsid w:val="004865FB"/>
    <w:rsid w:val="00486C03"/>
    <w:rsid w:val="004874A5"/>
    <w:rsid w:val="00491AB3"/>
    <w:rsid w:val="00497A33"/>
    <w:rsid w:val="004A093F"/>
    <w:rsid w:val="004A10F7"/>
    <w:rsid w:val="004A1112"/>
    <w:rsid w:val="004A1DA0"/>
    <w:rsid w:val="004A1F20"/>
    <w:rsid w:val="004A2393"/>
    <w:rsid w:val="004A3569"/>
    <w:rsid w:val="004A42FE"/>
    <w:rsid w:val="004A452A"/>
    <w:rsid w:val="004A5F2C"/>
    <w:rsid w:val="004A608D"/>
    <w:rsid w:val="004A6E4F"/>
    <w:rsid w:val="004A720D"/>
    <w:rsid w:val="004B00D0"/>
    <w:rsid w:val="004B291C"/>
    <w:rsid w:val="004B2B58"/>
    <w:rsid w:val="004B4025"/>
    <w:rsid w:val="004B4A41"/>
    <w:rsid w:val="004B6084"/>
    <w:rsid w:val="004B6690"/>
    <w:rsid w:val="004B7534"/>
    <w:rsid w:val="004B7AE0"/>
    <w:rsid w:val="004C0BC4"/>
    <w:rsid w:val="004C260D"/>
    <w:rsid w:val="004C2D47"/>
    <w:rsid w:val="004C4357"/>
    <w:rsid w:val="004C4477"/>
    <w:rsid w:val="004C5730"/>
    <w:rsid w:val="004C62D8"/>
    <w:rsid w:val="004C6397"/>
    <w:rsid w:val="004C668F"/>
    <w:rsid w:val="004C682B"/>
    <w:rsid w:val="004D142C"/>
    <w:rsid w:val="004D29F7"/>
    <w:rsid w:val="004D36D8"/>
    <w:rsid w:val="004D4C5C"/>
    <w:rsid w:val="004D5AB0"/>
    <w:rsid w:val="004D5EAE"/>
    <w:rsid w:val="004D6578"/>
    <w:rsid w:val="004D799E"/>
    <w:rsid w:val="004D7A0E"/>
    <w:rsid w:val="004D7C86"/>
    <w:rsid w:val="004E0496"/>
    <w:rsid w:val="004E06E7"/>
    <w:rsid w:val="004E0AE3"/>
    <w:rsid w:val="004E20D3"/>
    <w:rsid w:val="004E2C82"/>
    <w:rsid w:val="004E4FAE"/>
    <w:rsid w:val="004E62C7"/>
    <w:rsid w:val="004E68FF"/>
    <w:rsid w:val="004E7A1B"/>
    <w:rsid w:val="004F0B7F"/>
    <w:rsid w:val="004F1193"/>
    <w:rsid w:val="004F11DC"/>
    <w:rsid w:val="004F17C8"/>
    <w:rsid w:val="004F2124"/>
    <w:rsid w:val="004F271B"/>
    <w:rsid w:val="004F373D"/>
    <w:rsid w:val="004F3A52"/>
    <w:rsid w:val="004F449F"/>
    <w:rsid w:val="004F4E7E"/>
    <w:rsid w:val="004F63AB"/>
    <w:rsid w:val="004F6B76"/>
    <w:rsid w:val="004F6C7C"/>
    <w:rsid w:val="004F7F1A"/>
    <w:rsid w:val="004F7FBB"/>
    <w:rsid w:val="005013E6"/>
    <w:rsid w:val="00502BBD"/>
    <w:rsid w:val="00504205"/>
    <w:rsid w:val="005042B3"/>
    <w:rsid w:val="005045AB"/>
    <w:rsid w:val="00504C6F"/>
    <w:rsid w:val="00506CEF"/>
    <w:rsid w:val="00507113"/>
    <w:rsid w:val="0050731F"/>
    <w:rsid w:val="00507D43"/>
    <w:rsid w:val="005103F2"/>
    <w:rsid w:val="00510E2C"/>
    <w:rsid w:val="00511FDC"/>
    <w:rsid w:val="005124C6"/>
    <w:rsid w:val="00513EBC"/>
    <w:rsid w:val="00514CE1"/>
    <w:rsid w:val="00517155"/>
    <w:rsid w:val="00517DB3"/>
    <w:rsid w:val="005200DC"/>
    <w:rsid w:val="005200F2"/>
    <w:rsid w:val="00521392"/>
    <w:rsid w:val="00522760"/>
    <w:rsid w:val="0052369D"/>
    <w:rsid w:val="00524B15"/>
    <w:rsid w:val="005271DB"/>
    <w:rsid w:val="00530D2F"/>
    <w:rsid w:val="005310E0"/>
    <w:rsid w:val="0053487C"/>
    <w:rsid w:val="00534AA4"/>
    <w:rsid w:val="005356E1"/>
    <w:rsid w:val="00536A8B"/>
    <w:rsid w:val="005370B6"/>
    <w:rsid w:val="00540418"/>
    <w:rsid w:val="00541A96"/>
    <w:rsid w:val="00541C6A"/>
    <w:rsid w:val="00541E64"/>
    <w:rsid w:val="00542C54"/>
    <w:rsid w:val="00543B79"/>
    <w:rsid w:val="00546A43"/>
    <w:rsid w:val="00546C70"/>
    <w:rsid w:val="00547258"/>
    <w:rsid w:val="00550CF0"/>
    <w:rsid w:val="0055251D"/>
    <w:rsid w:val="005559FE"/>
    <w:rsid w:val="005560D6"/>
    <w:rsid w:val="00556A78"/>
    <w:rsid w:val="00556D07"/>
    <w:rsid w:val="00556F98"/>
    <w:rsid w:val="005611F2"/>
    <w:rsid w:val="00561294"/>
    <w:rsid w:val="00561734"/>
    <w:rsid w:val="00561952"/>
    <w:rsid w:val="00564B9A"/>
    <w:rsid w:val="00565694"/>
    <w:rsid w:val="00566DD6"/>
    <w:rsid w:val="00570A13"/>
    <w:rsid w:val="005714EF"/>
    <w:rsid w:val="00571CEC"/>
    <w:rsid w:val="00572F1D"/>
    <w:rsid w:val="00572FCE"/>
    <w:rsid w:val="005750DB"/>
    <w:rsid w:val="0057540D"/>
    <w:rsid w:val="005759FC"/>
    <w:rsid w:val="00575B85"/>
    <w:rsid w:val="00576DB9"/>
    <w:rsid w:val="00577386"/>
    <w:rsid w:val="0057738F"/>
    <w:rsid w:val="005805E4"/>
    <w:rsid w:val="0058202F"/>
    <w:rsid w:val="00584221"/>
    <w:rsid w:val="00584EB6"/>
    <w:rsid w:val="00586B68"/>
    <w:rsid w:val="00586E7F"/>
    <w:rsid w:val="0058774E"/>
    <w:rsid w:val="005878CF"/>
    <w:rsid w:val="00590CA0"/>
    <w:rsid w:val="005956DB"/>
    <w:rsid w:val="00595B01"/>
    <w:rsid w:val="00596A86"/>
    <w:rsid w:val="00596D98"/>
    <w:rsid w:val="005979A5"/>
    <w:rsid w:val="005A0021"/>
    <w:rsid w:val="005A017B"/>
    <w:rsid w:val="005A2AEC"/>
    <w:rsid w:val="005A3808"/>
    <w:rsid w:val="005A3D14"/>
    <w:rsid w:val="005A412D"/>
    <w:rsid w:val="005A5212"/>
    <w:rsid w:val="005A5D72"/>
    <w:rsid w:val="005A7A40"/>
    <w:rsid w:val="005B002D"/>
    <w:rsid w:val="005B0148"/>
    <w:rsid w:val="005B0FFF"/>
    <w:rsid w:val="005B19AF"/>
    <w:rsid w:val="005B1F39"/>
    <w:rsid w:val="005B258C"/>
    <w:rsid w:val="005B2AF8"/>
    <w:rsid w:val="005B54E6"/>
    <w:rsid w:val="005B61DD"/>
    <w:rsid w:val="005B6735"/>
    <w:rsid w:val="005B72E7"/>
    <w:rsid w:val="005B7831"/>
    <w:rsid w:val="005C0CD6"/>
    <w:rsid w:val="005C12D9"/>
    <w:rsid w:val="005C2146"/>
    <w:rsid w:val="005C309D"/>
    <w:rsid w:val="005C385A"/>
    <w:rsid w:val="005C544B"/>
    <w:rsid w:val="005C570A"/>
    <w:rsid w:val="005C5916"/>
    <w:rsid w:val="005C5AEE"/>
    <w:rsid w:val="005C62B7"/>
    <w:rsid w:val="005C6DC2"/>
    <w:rsid w:val="005C774A"/>
    <w:rsid w:val="005C7E92"/>
    <w:rsid w:val="005C7E99"/>
    <w:rsid w:val="005D015B"/>
    <w:rsid w:val="005D2433"/>
    <w:rsid w:val="005D3734"/>
    <w:rsid w:val="005D4F16"/>
    <w:rsid w:val="005D5A53"/>
    <w:rsid w:val="005D5DA0"/>
    <w:rsid w:val="005D5E90"/>
    <w:rsid w:val="005D7FBD"/>
    <w:rsid w:val="005E19B4"/>
    <w:rsid w:val="005E1A37"/>
    <w:rsid w:val="005E1D6B"/>
    <w:rsid w:val="005E1DC5"/>
    <w:rsid w:val="005E227A"/>
    <w:rsid w:val="005E279C"/>
    <w:rsid w:val="005E29F0"/>
    <w:rsid w:val="005E2CF8"/>
    <w:rsid w:val="005E3126"/>
    <w:rsid w:val="005E36F8"/>
    <w:rsid w:val="005E4A43"/>
    <w:rsid w:val="005E7075"/>
    <w:rsid w:val="005E75A7"/>
    <w:rsid w:val="005F06C3"/>
    <w:rsid w:val="005F1A08"/>
    <w:rsid w:val="005F272C"/>
    <w:rsid w:val="005F3187"/>
    <w:rsid w:val="005F38E2"/>
    <w:rsid w:val="005F3EE6"/>
    <w:rsid w:val="005F6736"/>
    <w:rsid w:val="00602C10"/>
    <w:rsid w:val="00602C58"/>
    <w:rsid w:val="00602EBD"/>
    <w:rsid w:val="00603257"/>
    <w:rsid w:val="00604CF2"/>
    <w:rsid w:val="00606DFF"/>
    <w:rsid w:val="00606FB7"/>
    <w:rsid w:val="0061041A"/>
    <w:rsid w:val="00610533"/>
    <w:rsid w:val="006110F6"/>
    <w:rsid w:val="006114FD"/>
    <w:rsid w:val="00611FA1"/>
    <w:rsid w:val="00612522"/>
    <w:rsid w:val="00612A6B"/>
    <w:rsid w:val="00612DA6"/>
    <w:rsid w:val="0061365B"/>
    <w:rsid w:val="006138B6"/>
    <w:rsid w:val="00614BC6"/>
    <w:rsid w:val="00614E33"/>
    <w:rsid w:val="006158B8"/>
    <w:rsid w:val="00615FE9"/>
    <w:rsid w:val="0061706D"/>
    <w:rsid w:val="006173DA"/>
    <w:rsid w:val="00617EF9"/>
    <w:rsid w:val="00620295"/>
    <w:rsid w:val="00622F8E"/>
    <w:rsid w:val="00626AC8"/>
    <w:rsid w:val="00627912"/>
    <w:rsid w:val="0063195F"/>
    <w:rsid w:val="00636C0A"/>
    <w:rsid w:val="00637EC6"/>
    <w:rsid w:val="0064240C"/>
    <w:rsid w:val="00642FF5"/>
    <w:rsid w:val="006430FB"/>
    <w:rsid w:val="00643992"/>
    <w:rsid w:val="00644C10"/>
    <w:rsid w:val="00644DBC"/>
    <w:rsid w:val="006454FA"/>
    <w:rsid w:val="00646FE6"/>
    <w:rsid w:val="006474CD"/>
    <w:rsid w:val="00647744"/>
    <w:rsid w:val="006479A0"/>
    <w:rsid w:val="006500D9"/>
    <w:rsid w:val="00651E79"/>
    <w:rsid w:val="00652128"/>
    <w:rsid w:val="00652335"/>
    <w:rsid w:val="00653B54"/>
    <w:rsid w:val="006541A3"/>
    <w:rsid w:val="00654FAD"/>
    <w:rsid w:val="00655C9F"/>
    <w:rsid w:val="006567FF"/>
    <w:rsid w:val="00656867"/>
    <w:rsid w:val="0066109F"/>
    <w:rsid w:val="00661261"/>
    <w:rsid w:val="00661268"/>
    <w:rsid w:val="00664B26"/>
    <w:rsid w:val="0066596B"/>
    <w:rsid w:val="006663CD"/>
    <w:rsid w:val="006700D7"/>
    <w:rsid w:val="00670295"/>
    <w:rsid w:val="006704F5"/>
    <w:rsid w:val="00672044"/>
    <w:rsid w:val="00672894"/>
    <w:rsid w:val="00674B47"/>
    <w:rsid w:val="0067609E"/>
    <w:rsid w:val="00677749"/>
    <w:rsid w:val="00680E07"/>
    <w:rsid w:val="00680E93"/>
    <w:rsid w:val="00682B9D"/>
    <w:rsid w:val="00683806"/>
    <w:rsid w:val="00686AF9"/>
    <w:rsid w:val="006910C0"/>
    <w:rsid w:val="00691954"/>
    <w:rsid w:val="00691EF8"/>
    <w:rsid w:val="0069320E"/>
    <w:rsid w:val="00693D13"/>
    <w:rsid w:val="00694F58"/>
    <w:rsid w:val="006955BC"/>
    <w:rsid w:val="006959E2"/>
    <w:rsid w:val="00695B68"/>
    <w:rsid w:val="00696920"/>
    <w:rsid w:val="00697EB9"/>
    <w:rsid w:val="006A0268"/>
    <w:rsid w:val="006A03F2"/>
    <w:rsid w:val="006A20D4"/>
    <w:rsid w:val="006A2600"/>
    <w:rsid w:val="006A268D"/>
    <w:rsid w:val="006A350F"/>
    <w:rsid w:val="006A3957"/>
    <w:rsid w:val="006A39A4"/>
    <w:rsid w:val="006A41D6"/>
    <w:rsid w:val="006A669D"/>
    <w:rsid w:val="006A6E41"/>
    <w:rsid w:val="006B012F"/>
    <w:rsid w:val="006B27CF"/>
    <w:rsid w:val="006B391B"/>
    <w:rsid w:val="006B41BD"/>
    <w:rsid w:val="006B5678"/>
    <w:rsid w:val="006B62B2"/>
    <w:rsid w:val="006B6DEC"/>
    <w:rsid w:val="006C0376"/>
    <w:rsid w:val="006C1080"/>
    <w:rsid w:val="006C1C57"/>
    <w:rsid w:val="006C259D"/>
    <w:rsid w:val="006C35A6"/>
    <w:rsid w:val="006C382D"/>
    <w:rsid w:val="006C3D96"/>
    <w:rsid w:val="006C5760"/>
    <w:rsid w:val="006C6D6F"/>
    <w:rsid w:val="006C7F04"/>
    <w:rsid w:val="006D0D78"/>
    <w:rsid w:val="006D1128"/>
    <w:rsid w:val="006D186F"/>
    <w:rsid w:val="006D2848"/>
    <w:rsid w:val="006D30E0"/>
    <w:rsid w:val="006D5521"/>
    <w:rsid w:val="006D5A55"/>
    <w:rsid w:val="006D5FE9"/>
    <w:rsid w:val="006D6CBB"/>
    <w:rsid w:val="006D76A9"/>
    <w:rsid w:val="006D7757"/>
    <w:rsid w:val="006D77F4"/>
    <w:rsid w:val="006E0898"/>
    <w:rsid w:val="006E22F5"/>
    <w:rsid w:val="006E41CD"/>
    <w:rsid w:val="006E4612"/>
    <w:rsid w:val="006F3BEC"/>
    <w:rsid w:val="006F59DB"/>
    <w:rsid w:val="0070057C"/>
    <w:rsid w:val="0070097A"/>
    <w:rsid w:val="00703535"/>
    <w:rsid w:val="00703C00"/>
    <w:rsid w:val="007057CC"/>
    <w:rsid w:val="007066F2"/>
    <w:rsid w:val="00706AE5"/>
    <w:rsid w:val="0070740A"/>
    <w:rsid w:val="00707949"/>
    <w:rsid w:val="00711D48"/>
    <w:rsid w:val="00711F93"/>
    <w:rsid w:val="00712940"/>
    <w:rsid w:val="0071337D"/>
    <w:rsid w:val="0071428C"/>
    <w:rsid w:val="00715A16"/>
    <w:rsid w:val="007164B0"/>
    <w:rsid w:val="007166FF"/>
    <w:rsid w:val="00723503"/>
    <w:rsid w:val="00725BCE"/>
    <w:rsid w:val="007260CC"/>
    <w:rsid w:val="00726543"/>
    <w:rsid w:val="0073353E"/>
    <w:rsid w:val="00733E49"/>
    <w:rsid w:val="00736633"/>
    <w:rsid w:val="00741EE7"/>
    <w:rsid w:val="00743A79"/>
    <w:rsid w:val="007444D4"/>
    <w:rsid w:val="0074594D"/>
    <w:rsid w:val="007459F3"/>
    <w:rsid w:val="00746E35"/>
    <w:rsid w:val="007470E2"/>
    <w:rsid w:val="00747A2A"/>
    <w:rsid w:val="00752117"/>
    <w:rsid w:val="0075232F"/>
    <w:rsid w:val="00753132"/>
    <w:rsid w:val="00754774"/>
    <w:rsid w:val="007550B3"/>
    <w:rsid w:val="00760451"/>
    <w:rsid w:val="007651BD"/>
    <w:rsid w:val="00770296"/>
    <w:rsid w:val="0077182A"/>
    <w:rsid w:val="00771913"/>
    <w:rsid w:val="00772718"/>
    <w:rsid w:val="00775BCF"/>
    <w:rsid w:val="007818AA"/>
    <w:rsid w:val="00783140"/>
    <w:rsid w:val="007838B6"/>
    <w:rsid w:val="00783E77"/>
    <w:rsid w:val="00784871"/>
    <w:rsid w:val="00785325"/>
    <w:rsid w:val="007906F1"/>
    <w:rsid w:val="0079243D"/>
    <w:rsid w:val="00794A9B"/>
    <w:rsid w:val="0079583B"/>
    <w:rsid w:val="00796602"/>
    <w:rsid w:val="0079676B"/>
    <w:rsid w:val="00797185"/>
    <w:rsid w:val="007976B7"/>
    <w:rsid w:val="0079797A"/>
    <w:rsid w:val="00797A7E"/>
    <w:rsid w:val="00797D6F"/>
    <w:rsid w:val="007A2904"/>
    <w:rsid w:val="007A5ECE"/>
    <w:rsid w:val="007A67B1"/>
    <w:rsid w:val="007B014B"/>
    <w:rsid w:val="007B0D88"/>
    <w:rsid w:val="007B306F"/>
    <w:rsid w:val="007B4714"/>
    <w:rsid w:val="007B4E82"/>
    <w:rsid w:val="007B592F"/>
    <w:rsid w:val="007C1996"/>
    <w:rsid w:val="007C3773"/>
    <w:rsid w:val="007C3BD5"/>
    <w:rsid w:val="007C3F1F"/>
    <w:rsid w:val="007C72F2"/>
    <w:rsid w:val="007D2D0D"/>
    <w:rsid w:val="007D3325"/>
    <w:rsid w:val="007D3818"/>
    <w:rsid w:val="007D6DC5"/>
    <w:rsid w:val="007D7425"/>
    <w:rsid w:val="007E320E"/>
    <w:rsid w:val="007E3280"/>
    <w:rsid w:val="007E4A02"/>
    <w:rsid w:val="007E595C"/>
    <w:rsid w:val="007E59A5"/>
    <w:rsid w:val="007E658C"/>
    <w:rsid w:val="007E77AF"/>
    <w:rsid w:val="007F131D"/>
    <w:rsid w:val="007F1F3A"/>
    <w:rsid w:val="007F3B8C"/>
    <w:rsid w:val="007F41D0"/>
    <w:rsid w:val="007F4B8B"/>
    <w:rsid w:val="007F5957"/>
    <w:rsid w:val="007F70B6"/>
    <w:rsid w:val="007F74CA"/>
    <w:rsid w:val="00800F1E"/>
    <w:rsid w:val="0080195A"/>
    <w:rsid w:val="0080239C"/>
    <w:rsid w:val="00802841"/>
    <w:rsid w:val="008037D5"/>
    <w:rsid w:val="00803966"/>
    <w:rsid w:val="0080434B"/>
    <w:rsid w:val="00805447"/>
    <w:rsid w:val="008054FA"/>
    <w:rsid w:val="00805AF6"/>
    <w:rsid w:val="0080717A"/>
    <w:rsid w:val="00807DFA"/>
    <w:rsid w:val="0081009F"/>
    <w:rsid w:val="00810152"/>
    <w:rsid w:val="008115AB"/>
    <w:rsid w:val="00812D2C"/>
    <w:rsid w:val="00813754"/>
    <w:rsid w:val="008159F4"/>
    <w:rsid w:val="008167C1"/>
    <w:rsid w:val="008167C6"/>
    <w:rsid w:val="00816B8F"/>
    <w:rsid w:val="00820331"/>
    <w:rsid w:val="00820BF5"/>
    <w:rsid w:val="008212B1"/>
    <w:rsid w:val="0082155A"/>
    <w:rsid w:val="0082209F"/>
    <w:rsid w:val="008223C2"/>
    <w:rsid w:val="008250A2"/>
    <w:rsid w:val="00825520"/>
    <w:rsid w:val="00825D64"/>
    <w:rsid w:val="00825DAF"/>
    <w:rsid w:val="0082650B"/>
    <w:rsid w:val="008301CE"/>
    <w:rsid w:val="008312E3"/>
    <w:rsid w:val="00831D5B"/>
    <w:rsid w:val="00832DD6"/>
    <w:rsid w:val="00832F0C"/>
    <w:rsid w:val="008336F2"/>
    <w:rsid w:val="008345D9"/>
    <w:rsid w:val="008347CB"/>
    <w:rsid w:val="00835244"/>
    <w:rsid w:val="00835647"/>
    <w:rsid w:val="00836114"/>
    <w:rsid w:val="0083794E"/>
    <w:rsid w:val="00837A2E"/>
    <w:rsid w:val="00841558"/>
    <w:rsid w:val="00842A68"/>
    <w:rsid w:val="008435BA"/>
    <w:rsid w:val="008453BE"/>
    <w:rsid w:val="0084558B"/>
    <w:rsid w:val="0084654A"/>
    <w:rsid w:val="00847654"/>
    <w:rsid w:val="00851064"/>
    <w:rsid w:val="00855543"/>
    <w:rsid w:val="008566B3"/>
    <w:rsid w:val="008576B7"/>
    <w:rsid w:val="00857F7B"/>
    <w:rsid w:val="00860757"/>
    <w:rsid w:val="00863DA1"/>
    <w:rsid w:val="008654A6"/>
    <w:rsid w:val="00865576"/>
    <w:rsid w:val="00865D86"/>
    <w:rsid w:val="00865F09"/>
    <w:rsid w:val="0086732C"/>
    <w:rsid w:val="00870495"/>
    <w:rsid w:val="00870EA1"/>
    <w:rsid w:val="008710C5"/>
    <w:rsid w:val="00871FD7"/>
    <w:rsid w:val="0087426A"/>
    <w:rsid w:val="00874438"/>
    <w:rsid w:val="00874E75"/>
    <w:rsid w:val="00875D1D"/>
    <w:rsid w:val="00876241"/>
    <w:rsid w:val="008767F3"/>
    <w:rsid w:val="00876CEF"/>
    <w:rsid w:val="00877342"/>
    <w:rsid w:val="00877C13"/>
    <w:rsid w:val="008803C3"/>
    <w:rsid w:val="00881450"/>
    <w:rsid w:val="008817C7"/>
    <w:rsid w:val="00881875"/>
    <w:rsid w:val="008848A3"/>
    <w:rsid w:val="00884AF1"/>
    <w:rsid w:val="00885F7A"/>
    <w:rsid w:val="00890712"/>
    <w:rsid w:val="00890D81"/>
    <w:rsid w:val="00892955"/>
    <w:rsid w:val="00893628"/>
    <w:rsid w:val="008941EB"/>
    <w:rsid w:val="0089545A"/>
    <w:rsid w:val="00895A02"/>
    <w:rsid w:val="008A01EE"/>
    <w:rsid w:val="008A0AEE"/>
    <w:rsid w:val="008A0DAC"/>
    <w:rsid w:val="008A2DF6"/>
    <w:rsid w:val="008A3B78"/>
    <w:rsid w:val="008A4166"/>
    <w:rsid w:val="008A6FC8"/>
    <w:rsid w:val="008A7DBF"/>
    <w:rsid w:val="008B02A0"/>
    <w:rsid w:val="008B136C"/>
    <w:rsid w:val="008B2B41"/>
    <w:rsid w:val="008B499F"/>
    <w:rsid w:val="008B4D39"/>
    <w:rsid w:val="008B55EF"/>
    <w:rsid w:val="008B58F4"/>
    <w:rsid w:val="008B64A5"/>
    <w:rsid w:val="008B6910"/>
    <w:rsid w:val="008C0B5C"/>
    <w:rsid w:val="008C1343"/>
    <w:rsid w:val="008C1402"/>
    <w:rsid w:val="008C3912"/>
    <w:rsid w:val="008C5598"/>
    <w:rsid w:val="008C69EA"/>
    <w:rsid w:val="008C6DC4"/>
    <w:rsid w:val="008C6F8B"/>
    <w:rsid w:val="008C7AB7"/>
    <w:rsid w:val="008C7FB4"/>
    <w:rsid w:val="008D0E90"/>
    <w:rsid w:val="008D2C8C"/>
    <w:rsid w:val="008D3040"/>
    <w:rsid w:val="008D3ECD"/>
    <w:rsid w:val="008D5C03"/>
    <w:rsid w:val="008D7580"/>
    <w:rsid w:val="008D768B"/>
    <w:rsid w:val="008D7C35"/>
    <w:rsid w:val="008E22CC"/>
    <w:rsid w:val="008E5698"/>
    <w:rsid w:val="008E5733"/>
    <w:rsid w:val="008E5F8F"/>
    <w:rsid w:val="008E77D2"/>
    <w:rsid w:val="008E78FD"/>
    <w:rsid w:val="008F1855"/>
    <w:rsid w:val="008F199D"/>
    <w:rsid w:val="008F38A0"/>
    <w:rsid w:val="008F39C9"/>
    <w:rsid w:val="008F48FB"/>
    <w:rsid w:val="008F4C52"/>
    <w:rsid w:val="008F5EB5"/>
    <w:rsid w:val="008F678C"/>
    <w:rsid w:val="008F75A7"/>
    <w:rsid w:val="008F7C63"/>
    <w:rsid w:val="008F7E5A"/>
    <w:rsid w:val="00900A7F"/>
    <w:rsid w:val="009031FE"/>
    <w:rsid w:val="00903224"/>
    <w:rsid w:val="009036EE"/>
    <w:rsid w:val="00904932"/>
    <w:rsid w:val="00904F11"/>
    <w:rsid w:val="009051EC"/>
    <w:rsid w:val="00905815"/>
    <w:rsid w:val="00905D1D"/>
    <w:rsid w:val="0090720D"/>
    <w:rsid w:val="0091016D"/>
    <w:rsid w:val="00910B73"/>
    <w:rsid w:val="00910C98"/>
    <w:rsid w:val="00911910"/>
    <w:rsid w:val="00912A58"/>
    <w:rsid w:val="00913908"/>
    <w:rsid w:val="00913D26"/>
    <w:rsid w:val="0091438B"/>
    <w:rsid w:val="009147E3"/>
    <w:rsid w:val="00920FD2"/>
    <w:rsid w:val="00923A43"/>
    <w:rsid w:val="00923F18"/>
    <w:rsid w:val="0092439C"/>
    <w:rsid w:val="0092498E"/>
    <w:rsid w:val="00925B91"/>
    <w:rsid w:val="00926787"/>
    <w:rsid w:val="0092706B"/>
    <w:rsid w:val="00933128"/>
    <w:rsid w:val="00934461"/>
    <w:rsid w:val="00934F7E"/>
    <w:rsid w:val="00936A1C"/>
    <w:rsid w:val="00941856"/>
    <w:rsid w:val="00942141"/>
    <w:rsid w:val="00943E35"/>
    <w:rsid w:val="00945278"/>
    <w:rsid w:val="009458F1"/>
    <w:rsid w:val="00945B62"/>
    <w:rsid w:val="0094658D"/>
    <w:rsid w:val="00947678"/>
    <w:rsid w:val="00947878"/>
    <w:rsid w:val="009504C2"/>
    <w:rsid w:val="00951C78"/>
    <w:rsid w:val="0095254A"/>
    <w:rsid w:val="0095254E"/>
    <w:rsid w:val="0095273B"/>
    <w:rsid w:val="009559E1"/>
    <w:rsid w:val="009568D5"/>
    <w:rsid w:val="00957CD3"/>
    <w:rsid w:val="0096269B"/>
    <w:rsid w:val="00963470"/>
    <w:rsid w:val="00963FB0"/>
    <w:rsid w:val="00964C86"/>
    <w:rsid w:val="00964D7E"/>
    <w:rsid w:val="00965E82"/>
    <w:rsid w:val="009664BB"/>
    <w:rsid w:val="009669F8"/>
    <w:rsid w:val="00966F89"/>
    <w:rsid w:val="00973B5D"/>
    <w:rsid w:val="00974E6F"/>
    <w:rsid w:val="0097755E"/>
    <w:rsid w:val="00981467"/>
    <w:rsid w:val="00981C24"/>
    <w:rsid w:val="00984E59"/>
    <w:rsid w:val="009852F6"/>
    <w:rsid w:val="00985DE5"/>
    <w:rsid w:val="00986254"/>
    <w:rsid w:val="0098625E"/>
    <w:rsid w:val="0098729E"/>
    <w:rsid w:val="00990067"/>
    <w:rsid w:val="009916D7"/>
    <w:rsid w:val="00992977"/>
    <w:rsid w:val="00993098"/>
    <w:rsid w:val="009937D4"/>
    <w:rsid w:val="00993C78"/>
    <w:rsid w:val="009948C7"/>
    <w:rsid w:val="00995403"/>
    <w:rsid w:val="00995850"/>
    <w:rsid w:val="009978AF"/>
    <w:rsid w:val="0099796C"/>
    <w:rsid w:val="009A1851"/>
    <w:rsid w:val="009A194E"/>
    <w:rsid w:val="009A1EA2"/>
    <w:rsid w:val="009A209E"/>
    <w:rsid w:val="009A3FD7"/>
    <w:rsid w:val="009A6652"/>
    <w:rsid w:val="009A74FD"/>
    <w:rsid w:val="009B02B1"/>
    <w:rsid w:val="009B25D8"/>
    <w:rsid w:val="009B42E3"/>
    <w:rsid w:val="009B5859"/>
    <w:rsid w:val="009B67D7"/>
    <w:rsid w:val="009C5180"/>
    <w:rsid w:val="009C60C0"/>
    <w:rsid w:val="009C6D07"/>
    <w:rsid w:val="009C7CEC"/>
    <w:rsid w:val="009D154D"/>
    <w:rsid w:val="009D18EF"/>
    <w:rsid w:val="009D3BE8"/>
    <w:rsid w:val="009D44E0"/>
    <w:rsid w:val="009D573B"/>
    <w:rsid w:val="009D59A0"/>
    <w:rsid w:val="009D62AD"/>
    <w:rsid w:val="009D716A"/>
    <w:rsid w:val="009E1AC4"/>
    <w:rsid w:val="009E20B8"/>
    <w:rsid w:val="009E29A0"/>
    <w:rsid w:val="009E41B5"/>
    <w:rsid w:val="009E4FB4"/>
    <w:rsid w:val="009E55D7"/>
    <w:rsid w:val="009E627C"/>
    <w:rsid w:val="009F110B"/>
    <w:rsid w:val="009F1498"/>
    <w:rsid w:val="009F1E9F"/>
    <w:rsid w:val="009F266F"/>
    <w:rsid w:val="009F3793"/>
    <w:rsid w:val="009F54F2"/>
    <w:rsid w:val="009F6E5C"/>
    <w:rsid w:val="00A0056B"/>
    <w:rsid w:val="00A01657"/>
    <w:rsid w:val="00A01C65"/>
    <w:rsid w:val="00A0213D"/>
    <w:rsid w:val="00A0283D"/>
    <w:rsid w:val="00A04C73"/>
    <w:rsid w:val="00A0679A"/>
    <w:rsid w:val="00A07A2B"/>
    <w:rsid w:val="00A12375"/>
    <w:rsid w:val="00A125B8"/>
    <w:rsid w:val="00A13124"/>
    <w:rsid w:val="00A14C34"/>
    <w:rsid w:val="00A150D0"/>
    <w:rsid w:val="00A15370"/>
    <w:rsid w:val="00A156AB"/>
    <w:rsid w:val="00A16B8D"/>
    <w:rsid w:val="00A17EB4"/>
    <w:rsid w:val="00A21293"/>
    <w:rsid w:val="00A2134B"/>
    <w:rsid w:val="00A21623"/>
    <w:rsid w:val="00A220EB"/>
    <w:rsid w:val="00A22302"/>
    <w:rsid w:val="00A23046"/>
    <w:rsid w:val="00A24D4A"/>
    <w:rsid w:val="00A25F1B"/>
    <w:rsid w:val="00A325F3"/>
    <w:rsid w:val="00A33103"/>
    <w:rsid w:val="00A33294"/>
    <w:rsid w:val="00A35DCB"/>
    <w:rsid w:val="00A366DD"/>
    <w:rsid w:val="00A3690E"/>
    <w:rsid w:val="00A37751"/>
    <w:rsid w:val="00A406B1"/>
    <w:rsid w:val="00A4113E"/>
    <w:rsid w:val="00A42435"/>
    <w:rsid w:val="00A438BA"/>
    <w:rsid w:val="00A446FD"/>
    <w:rsid w:val="00A44B02"/>
    <w:rsid w:val="00A46F46"/>
    <w:rsid w:val="00A52CB6"/>
    <w:rsid w:val="00A52F99"/>
    <w:rsid w:val="00A538BB"/>
    <w:rsid w:val="00A54164"/>
    <w:rsid w:val="00A544DE"/>
    <w:rsid w:val="00A56737"/>
    <w:rsid w:val="00A60002"/>
    <w:rsid w:val="00A603D8"/>
    <w:rsid w:val="00A60AE2"/>
    <w:rsid w:val="00A61834"/>
    <w:rsid w:val="00A618B0"/>
    <w:rsid w:val="00A62790"/>
    <w:rsid w:val="00A6291F"/>
    <w:rsid w:val="00A63F53"/>
    <w:rsid w:val="00A64891"/>
    <w:rsid w:val="00A7111E"/>
    <w:rsid w:val="00A73118"/>
    <w:rsid w:val="00A755B6"/>
    <w:rsid w:val="00A75B1A"/>
    <w:rsid w:val="00A80ED4"/>
    <w:rsid w:val="00A816C4"/>
    <w:rsid w:val="00A82981"/>
    <w:rsid w:val="00A86F10"/>
    <w:rsid w:val="00A87AF2"/>
    <w:rsid w:val="00A90621"/>
    <w:rsid w:val="00A90B23"/>
    <w:rsid w:val="00A93193"/>
    <w:rsid w:val="00A93C2B"/>
    <w:rsid w:val="00A94556"/>
    <w:rsid w:val="00A974CB"/>
    <w:rsid w:val="00A97A5C"/>
    <w:rsid w:val="00AA1EAC"/>
    <w:rsid w:val="00AA345C"/>
    <w:rsid w:val="00AA45E2"/>
    <w:rsid w:val="00AA4F67"/>
    <w:rsid w:val="00AA6CCC"/>
    <w:rsid w:val="00AA7AC1"/>
    <w:rsid w:val="00AB0598"/>
    <w:rsid w:val="00AB2C4E"/>
    <w:rsid w:val="00AB6327"/>
    <w:rsid w:val="00AB6396"/>
    <w:rsid w:val="00AB6B8F"/>
    <w:rsid w:val="00AB72D8"/>
    <w:rsid w:val="00AB748F"/>
    <w:rsid w:val="00AC0C65"/>
    <w:rsid w:val="00AC0FB2"/>
    <w:rsid w:val="00AC2D33"/>
    <w:rsid w:val="00AC3721"/>
    <w:rsid w:val="00AC41C6"/>
    <w:rsid w:val="00AC70C7"/>
    <w:rsid w:val="00AC76B7"/>
    <w:rsid w:val="00AC7FE0"/>
    <w:rsid w:val="00AD00D1"/>
    <w:rsid w:val="00AD0223"/>
    <w:rsid w:val="00AD0A99"/>
    <w:rsid w:val="00AD123A"/>
    <w:rsid w:val="00AD15FF"/>
    <w:rsid w:val="00AD1AA5"/>
    <w:rsid w:val="00AD2920"/>
    <w:rsid w:val="00AD2CD5"/>
    <w:rsid w:val="00AD2DFC"/>
    <w:rsid w:val="00AD38C4"/>
    <w:rsid w:val="00AD5A4A"/>
    <w:rsid w:val="00AD60EE"/>
    <w:rsid w:val="00AD620D"/>
    <w:rsid w:val="00AD6A2B"/>
    <w:rsid w:val="00AD73D4"/>
    <w:rsid w:val="00AE095F"/>
    <w:rsid w:val="00AE1140"/>
    <w:rsid w:val="00AE17E2"/>
    <w:rsid w:val="00AE1E08"/>
    <w:rsid w:val="00AE1EA2"/>
    <w:rsid w:val="00AE2874"/>
    <w:rsid w:val="00AE2F98"/>
    <w:rsid w:val="00AE3602"/>
    <w:rsid w:val="00AE5342"/>
    <w:rsid w:val="00AE5987"/>
    <w:rsid w:val="00AE6472"/>
    <w:rsid w:val="00AE794B"/>
    <w:rsid w:val="00AF1345"/>
    <w:rsid w:val="00AF35A4"/>
    <w:rsid w:val="00AF38A8"/>
    <w:rsid w:val="00AF5DC6"/>
    <w:rsid w:val="00AF5FFE"/>
    <w:rsid w:val="00AF63EB"/>
    <w:rsid w:val="00B00B11"/>
    <w:rsid w:val="00B016D2"/>
    <w:rsid w:val="00B018EC"/>
    <w:rsid w:val="00B060C7"/>
    <w:rsid w:val="00B11AB7"/>
    <w:rsid w:val="00B121D3"/>
    <w:rsid w:val="00B12213"/>
    <w:rsid w:val="00B1356A"/>
    <w:rsid w:val="00B13710"/>
    <w:rsid w:val="00B1783B"/>
    <w:rsid w:val="00B22881"/>
    <w:rsid w:val="00B23EFC"/>
    <w:rsid w:val="00B24B72"/>
    <w:rsid w:val="00B25DB8"/>
    <w:rsid w:val="00B2656C"/>
    <w:rsid w:val="00B266E6"/>
    <w:rsid w:val="00B269F2"/>
    <w:rsid w:val="00B3094D"/>
    <w:rsid w:val="00B30B04"/>
    <w:rsid w:val="00B311BC"/>
    <w:rsid w:val="00B317D8"/>
    <w:rsid w:val="00B31810"/>
    <w:rsid w:val="00B319DF"/>
    <w:rsid w:val="00B31C10"/>
    <w:rsid w:val="00B327C2"/>
    <w:rsid w:val="00B3446D"/>
    <w:rsid w:val="00B34652"/>
    <w:rsid w:val="00B34F89"/>
    <w:rsid w:val="00B358C8"/>
    <w:rsid w:val="00B36118"/>
    <w:rsid w:val="00B36185"/>
    <w:rsid w:val="00B3662F"/>
    <w:rsid w:val="00B373CD"/>
    <w:rsid w:val="00B377C8"/>
    <w:rsid w:val="00B37AB6"/>
    <w:rsid w:val="00B400B8"/>
    <w:rsid w:val="00B404DE"/>
    <w:rsid w:val="00B40765"/>
    <w:rsid w:val="00B4232D"/>
    <w:rsid w:val="00B42682"/>
    <w:rsid w:val="00B43065"/>
    <w:rsid w:val="00B44784"/>
    <w:rsid w:val="00B449D0"/>
    <w:rsid w:val="00B456AB"/>
    <w:rsid w:val="00B46C2A"/>
    <w:rsid w:val="00B47E8B"/>
    <w:rsid w:val="00B504EA"/>
    <w:rsid w:val="00B5079B"/>
    <w:rsid w:val="00B51C67"/>
    <w:rsid w:val="00B53F86"/>
    <w:rsid w:val="00B53FDC"/>
    <w:rsid w:val="00B5478C"/>
    <w:rsid w:val="00B55431"/>
    <w:rsid w:val="00B55CAE"/>
    <w:rsid w:val="00B56A55"/>
    <w:rsid w:val="00B576C6"/>
    <w:rsid w:val="00B615F2"/>
    <w:rsid w:val="00B61A28"/>
    <w:rsid w:val="00B65C6D"/>
    <w:rsid w:val="00B66B06"/>
    <w:rsid w:val="00B67862"/>
    <w:rsid w:val="00B70634"/>
    <w:rsid w:val="00B70858"/>
    <w:rsid w:val="00B70BE4"/>
    <w:rsid w:val="00B73880"/>
    <w:rsid w:val="00B73CF1"/>
    <w:rsid w:val="00B745B3"/>
    <w:rsid w:val="00B7599D"/>
    <w:rsid w:val="00B7648F"/>
    <w:rsid w:val="00B76E13"/>
    <w:rsid w:val="00B771EE"/>
    <w:rsid w:val="00B7765B"/>
    <w:rsid w:val="00B77B4B"/>
    <w:rsid w:val="00B80ABC"/>
    <w:rsid w:val="00B814C2"/>
    <w:rsid w:val="00B82696"/>
    <w:rsid w:val="00B900FE"/>
    <w:rsid w:val="00B9064C"/>
    <w:rsid w:val="00B928EC"/>
    <w:rsid w:val="00B95A5C"/>
    <w:rsid w:val="00BA0A14"/>
    <w:rsid w:val="00BA1EB0"/>
    <w:rsid w:val="00BA228D"/>
    <w:rsid w:val="00BA398D"/>
    <w:rsid w:val="00BA39D3"/>
    <w:rsid w:val="00BA455C"/>
    <w:rsid w:val="00BA5C56"/>
    <w:rsid w:val="00BA776F"/>
    <w:rsid w:val="00BB0C0D"/>
    <w:rsid w:val="00BB0D69"/>
    <w:rsid w:val="00BB2A40"/>
    <w:rsid w:val="00BB366E"/>
    <w:rsid w:val="00BB3AF0"/>
    <w:rsid w:val="00BB4F70"/>
    <w:rsid w:val="00BB67FF"/>
    <w:rsid w:val="00BB68CF"/>
    <w:rsid w:val="00BB7766"/>
    <w:rsid w:val="00BB7F4C"/>
    <w:rsid w:val="00BC0702"/>
    <w:rsid w:val="00BC078F"/>
    <w:rsid w:val="00BC11B9"/>
    <w:rsid w:val="00BC138C"/>
    <w:rsid w:val="00BC14CF"/>
    <w:rsid w:val="00BC1659"/>
    <w:rsid w:val="00BC2C91"/>
    <w:rsid w:val="00BC3A9C"/>
    <w:rsid w:val="00BC5288"/>
    <w:rsid w:val="00BC6A71"/>
    <w:rsid w:val="00BC6B2F"/>
    <w:rsid w:val="00BC6CC2"/>
    <w:rsid w:val="00BD0637"/>
    <w:rsid w:val="00BD08A8"/>
    <w:rsid w:val="00BD0A63"/>
    <w:rsid w:val="00BD1BAC"/>
    <w:rsid w:val="00BD1FA8"/>
    <w:rsid w:val="00BD25A6"/>
    <w:rsid w:val="00BD2D52"/>
    <w:rsid w:val="00BD4C95"/>
    <w:rsid w:val="00BD65FC"/>
    <w:rsid w:val="00BD7442"/>
    <w:rsid w:val="00BD7660"/>
    <w:rsid w:val="00BE0666"/>
    <w:rsid w:val="00BE1CBB"/>
    <w:rsid w:val="00BE24B9"/>
    <w:rsid w:val="00BE2AE8"/>
    <w:rsid w:val="00BE2D55"/>
    <w:rsid w:val="00BE38DD"/>
    <w:rsid w:val="00BE3DF8"/>
    <w:rsid w:val="00BE4269"/>
    <w:rsid w:val="00BE4AB1"/>
    <w:rsid w:val="00BE542B"/>
    <w:rsid w:val="00BE6C97"/>
    <w:rsid w:val="00BE7A8A"/>
    <w:rsid w:val="00BF16C3"/>
    <w:rsid w:val="00BF38E0"/>
    <w:rsid w:val="00BF44FA"/>
    <w:rsid w:val="00BF57E1"/>
    <w:rsid w:val="00BF7DBC"/>
    <w:rsid w:val="00C003B4"/>
    <w:rsid w:val="00C00A5F"/>
    <w:rsid w:val="00C0331C"/>
    <w:rsid w:val="00C042E0"/>
    <w:rsid w:val="00C04B90"/>
    <w:rsid w:val="00C051D9"/>
    <w:rsid w:val="00C06333"/>
    <w:rsid w:val="00C06F68"/>
    <w:rsid w:val="00C075BA"/>
    <w:rsid w:val="00C07DF1"/>
    <w:rsid w:val="00C1007F"/>
    <w:rsid w:val="00C10A3A"/>
    <w:rsid w:val="00C11E20"/>
    <w:rsid w:val="00C13F10"/>
    <w:rsid w:val="00C15D16"/>
    <w:rsid w:val="00C15F0B"/>
    <w:rsid w:val="00C20015"/>
    <w:rsid w:val="00C205D0"/>
    <w:rsid w:val="00C234D6"/>
    <w:rsid w:val="00C247DD"/>
    <w:rsid w:val="00C25B2D"/>
    <w:rsid w:val="00C25B43"/>
    <w:rsid w:val="00C26A54"/>
    <w:rsid w:val="00C27D73"/>
    <w:rsid w:val="00C3261C"/>
    <w:rsid w:val="00C32AAC"/>
    <w:rsid w:val="00C32CD7"/>
    <w:rsid w:val="00C3318B"/>
    <w:rsid w:val="00C33C20"/>
    <w:rsid w:val="00C34133"/>
    <w:rsid w:val="00C35362"/>
    <w:rsid w:val="00C357EA"/>
    <w:rsid w:val="00C379F8"/>
    <w:rsid w:val="00C37A1C"/>
    <w:rsid w:val="00C40BA0"/>
    <w:rsid w:val="00C42323"/>
    <w:rsid w:val="00C42D23"/>
    <w:rsid w:val="00C4316E"/>
    <w:rsid w:val="00C453A9"/>
    <w:rsid w:val="00C465D5"/>
    <w:rsid w:val="00C4756A"/>
    <w:rsid w:val="00C47C39"/>
    <w:rsid w:val="00C5007E"/>
    <w:rsid w:val="00C503E6"/>
    <w:rsid w:val="00C50649"/>
    <w:rsid w:val="00C50E1F"/>
    <w:rsid w:val="00C51C09"/>
    <w:rsid w:val="00C52A2A"/>
    <w:rsid w:val="00C52BB6"/>
    <w:rsid w:val="00C53471"/>
    <w:rsid w:val="00C55143"/>
    <w:rsid w:val="00C55F9A"/>
    <w:rsid w:val="00C5611B"/>
    <w:rsid w:val="00C566CE"/>
    <w:rsid w:val="00C56798"/>
    <w:rsid w:val="00C5695E"/>
    <w:rsid w:val="00C61528"/>
    <w:rsid w:val="00C619E1"/>
    <w:rsid w:val="00C63457"/>
    <w:rsid w:val="00C64964"/>
    <w:rsid w:val="00C65F40"/>
    <w:rsid w:val="00C6631E"/>
    <w:rsid w:val="00C67473"/>
    <w:rsid w:val="00C67AA4"/>
    <w:rsid w:val="00C7139D"/>
    <w:rsid w:val="00C7148C"/>
    <w:rsid w:val="00C72192"/>
    <w:rsid w:val="00C732E5"/>
    <w:rsid w:val="00C73D0B"/>
    <w:rsid w:val="00C74380"/>
    <w:rsid w:val="00C75017"/>
    <w:rsid w:val="00C765B4"/>
    <w:rsid w:val="00C813EA"/>
    <w:rsid w:val="00C81496"/>
    <w:rsid w:val="00C82CE6"/>
    <w:rsid w:val="00C82E22"/>
    <w:rsid w:val="00C85144"/>
    <w:rsid w:val="00C86738"/>
    <w:rsid w:val="00C86A27"/>
    <w:rsid w:val="00C91517"/>
    <w:rsid w:val="00C929BD"/>
    <w:rsid w:val="00C92F1E"/>
    <w:rsid w:val="00C931A2"/>
    <w:rsid w:val="00C942C8"/>
    <w:rsid w:val="00CA02E1"/>
    <w:rsid w:val="00CA03DE"/>
    <w:rsid w:val="00CA15DA"/>
    <w:rsid w:val="00CA224E"/>
    <w:rsid w:val="00CA23BE"/>
    <w:rsid w:val="00CA41C5"/>
    <w:rsid w:val="00CA42B7"/>
    <w:rsid w:val="00CA4A53"/>
    <w:rsid w:val="00CA51F5"/>
    <w:rsid w:val="00CA676C"/>
    <w:rsid w:val="00CB05BA"/>
    <w:rsid w:val="00CB1F29"/>
    <w:rsid w:val="00CB218A"/>
    <w:rsid w:val="00CB225A"/>
    <w:rsid w:val="00CB3880"/>
    <w:rsid w:val="00CB69E6"/>
    <w:rsid w:val="00CB6C23"/>
    <w:rsid w:val="00CB6C59"/>
    <w:rsid w:val="00CB761B"/>
    <w:rsid w:val="00CC13DF"/>
    <w:rsid w:val="00CC1EEE"/>
    <w:rsid w:val="00CC4927"/>
    <w:rsid w:val="00CC562B"/>
    <w:rsid w:val="00CC6C15"/>
    <w:rsid w:val="00CC7BB2"/>
    <w:rsid w:val="00CC7FCF"/>
    <w:rsid w:val="00CD2749"/>
    <w:rsid w:val="00CD2A60"/>
    <w:rsid w:val="00CD306F"/>
    <w:rsid w:val="00CD3133"/>
    <w:rsid w:val="00CD3971"/>
    <w:rsid w:val="00CD3DAB"/>
    <w:rsid w:val="00CD4E3E"/>
    <w:rsid w:val="00CE0BFA"/>
    <w:rsid w:val="00CE0DF1"/>
    <w:rsid w:val="00CE206F"/>
    <w:rsid w:val="00CE25EC"/>
    <w:rsid w:val="00CE3786"/>
    <w:rsid w:val="00CE4027"/>
    <w:rsid w:val="00CE47CC"/>
    <w:rsid w:val="00CE68F6"/>
    <w:rsid w:val="00CE7688"/>
    <w:rsid w:val="00CE7E27"/>
    <w:rsid w:val="00CF22AC"/>
    <w:rsid w:val="00CF2F0A"/>
    <w:rsid w:val="00CF612E"/>
    <w:rsid w:val="00CF79E8"/>
    <w:rsid w:val="00D006FE"/>
    <w:rsid w:val="00D00768"/>
    <w:rsid w:val="00D0153D"/>
    <w:rsid w:val="00D015AA"/>
    <w:rsid w:val="00D01626"/>
    <w:rsid w:val="00D021B8"/>
    <w:rsid w:val="00D03D90"/>
    <w:rsid w:val="00D04024"/>
    <w:rsid w:val="00D043EB"/>
    <w:rsid w:val="00D054CA"/>
    <w:rsid w:val="00D06705"/>
    <w:rsid w:val="00D06A9B"/>
    <w:rsid w:val="00D0750D"/>
    <w:rsid w:val="00D07DD8"/>
    <w:rsid w:val="00D1038F"/>
    <w:rsid w:val="00D10BF7"/>
    <w:rsid w:val="00D10FEB"/>
    <w:rsid w:val="00D12807"/>
    <w:rsid w:val="00D140A0"/>
    <w:rsid w:val="00D16341"/>
    <w:rsid w:val="00D203D1"/>
    <w:rsid w:val="00D2057A"/>
    <w:rsid w:val="00D21D98"/>
    <w:rsid w:val="00D2317F"/>
    <w:rsid w:val="00D231A9"/>
    <w:rsid w:val="00D24391"/>
    <w:rsid w:val="00D2472B"/>
    <w:rsid w:val="00D253DD"/>
    <w:rsid w:val="00D26FFA"/>
    <w:rsid w:val="00D272F1"/>
    <w:rsid w:val="00D31AED"/>
    <w:rsid w:val="00D3215D"/>
    <w:rsid w:val="00D32C1E"/>
    <w:rsid w:val="00D33352"/>
    <w:rsid w:val="00D347D9"/>
    <w:rsid w:val="00D35565"/>
    <w:rsid w:val="00D36A19"/>
    <w:rsid w:val="00D3734E"/>
    <w:rsid w:val="00D40DCF"/>
    <w:rsid w:val="00D40E34"/>
    <w:rsid w:val="00D41075"/>
    <w:rsid w:val="00D412AF"/>
    <w:rsid w:val="00D416E5"/>
    <w:rsid w:val="00D41C76"/>
    <w:rsid w:val="00D41DD8"/>
    <w:rsid w:val="00D4222C"/>
    <w:rsid w:val="00D425CE"/>
    <w:rsid w:val="00D42F40"/>
    <w:rsid w:val="00D42FA8"/>
    <w:rsid w:val="00D438C9"/>
    <w:rsid w:val="00D4396C"/>
    <w:rsid w:val="00D43FDB"/>
    <w:rsid w:val="00D4446F"/>
    <w:rsid w:val="00D44B55"/>
    <w:rsid w:val="00D45490"/>
    <w:rsid w:val="00D457B8"/>
    <w:rsid w:val="00D457E1"/>
    <w:rsid w:val="00D462C4"/>
    <w:rsid w:val="00D47BEB"/>
    <w:rsid w:val="00D50487"/>
    <w:rsid w:val="00D50563"/>
    <w:rsid w:val="00D50F50"/>
    <w:rsid w:val="00D5235F"/>
    <w:rsid w:val="00D525C6"/>
    <w:rsid w:val="00D52F50"/>
    <w:rsid w:val="00D543E3"/>
    <w:rsid w:val="00D54978"/>
    <w:rsid w:val="00D55A98"/>
    <w:rsid w:val="00D56B49"/>
    <w:rsid w:val="00D56F99"/>
    <w:rsid w:val="00D6053F"/>
    <w:rsid w:val="00D605C7"/>
    <w:rsid w:val="00D6065C"/>
    <w:rsid w:val="00D6073D"/>
    <w:rsid w:val="00D6107E"/>
    <w:rsid w:val="00D618D6"/>
    <w:rsid w:val="00D62426"/>
    <w:rsid w:val="00D62804"/>
    <w:rsid w:val="00D66948"/>
    <w:rsid w:val="00D70F55"/>
    <w:rsid w:val="00D70FA5"/>
    <w:rsid w:val="00D72B36"/>
    <w:rsid w:val="00D72C67"/>
    <w:rsid w:val="00D74171"/>
    <w:rsid w:val="00D7474C"/>
    <w:rsid w:val="00D77B6B"/>
    <w:rsid w:val="00D8032C"/>
    <w:rsid w:val="00D80CE2"/>
    <w:rsid w:val="00D83080"/>
    <w:rsid w:val="00D84D5F"/>
    <w:rsid w:val="00D84E02"/>
    <w:rsid w:val="00D851E2"/>
    <w:rsid w:val="00D87E5B"/>
    <w:rsid w:val="00D87FFA"/>
    <w:rsid w:val="00D90C73"/>
    <w:rsid w:val="00D91419"/>
    <w:rsid w:val="00D92A09"/>
    <w:rsid w:val="00D92D2A"/>
    <w:rsid w:val="00D92EEC"/>
    <w:rsid w:val="00D93470"/>
    <w:rsid w:val="00D9395F"/>
    <w:rsid w:val="00D93D55"/>
    <w:rsid w:val="00D941FA"/>
    <w:rsid w:val="00D94B59"/>
    <w:rsid w:val="00D95315"/>
    <w:rsid w:val="00D95EAB"/>
    <w:rsid w:val="00DA0B39"/>
    <w:rsid w:val="00DA1203"/>
    <w:rsid w:val="00DA1C10"/>
    <w:rsid w:val="00DA2316"/>
    <w:rsid w:val="00DA25E0"/>
    <w:rsid w:val="00DA2700"/>
    <w:rsid w:val="00DA3001"/>
    <w:rsid w:val="00DA3C5D"/>
    <w:rsid w:val="00DA3D1E"/>
    <w:rsid w:val="00DA3EFF"/>
    <w:rsid w:val="00DA7769"/>
    <w:rsid w:val="00DB08C6"/>
    <w:rsid w:val="00DB1BC2"/>
    <w:rsid w:val="00DB1C99"/>
    <w:rsid w:val="00DB1CBB"/>
    <w:rsid w:val="00DB31ED"/>
    <w:rsid w:val="00DB4124"/>
    <w:rsid w:val="00DB4511"/>
    <w:rsid w:val="00DB4F0C"/>
    <w:rsid w:val="00DC008E"/>
    <w:rsid w:val="00DC0176"/>
    <w:rsid w:val="00DC043F"/>
    <w:rsid w:val="00DC0911"/>
    <w:rsid w:val="00DC093E"/>
    <w:rsid w:val="00DC0E29"/>
    <w:rsid w:val="00DC0E7A"/>
    <w:rsid w:val="00DC2A65"/>
    <w:rsid w:val="00DC2A86"/>
    <w:rsid w:val="00DC3631"/>
    <w:rsid w:val="00DC37F7"/>
    <w:rsid w:val="00DC6F54"/>
    <w:rsid w:val="00DD0C00"/>
    <w:rsid w:val="00DD0F8C"/>
    <w:rsid w:val="00DD116C"/>
    <w:rsid w:val="00DD23D5"/>
    <w:rsid w:val="00DD2AF1"/>
    <w:rsid w:val="00DD2D8E"/>
    <w:rsid w:val="00DD46DA"/>
    <w:rsid w:val="00DD6072"/>
    <w:rsid w:val="00DD62BE"/>
    <w:rsid w:val="00DD77D9"/>
    <w:rsid w:val="00DD7CA4"/>
    <w:rsid w:val="00DE0940"/>
    <w:rsid w:val="00DE167C"/>
    <w:rsid w:val="00DE27D0"/>
    <w:rsid w:val="00DE3B70"/>
    <w:rsid w:val="00DE542E"/>
    <w:rsid w:val="00DE5813"/>
    <w:rsid w:val="00DF10B1"/>
    <w:rsid w:val="00DF1FDA"/>
    <w:rsid w:val="00DF3DD0"/>
    <w:rsid w:val="00DF4D50"/>
    <w:rsid w:val="00DF538C"/>
    <w:rsid w:val="00DF769A"/>
    <w:rsid w:val="00E020E9"/>
    <w:rsid w:val="00E021C2"/>
    <w:rsid w:val="00E024A3"/>
    <w:rsid w:val="00E03D0F"/>
    <w:rsid w:val="00E0423D"/>
    <w:rsid w:val="00E057B5"/>
    <w:rsid w:val="00E0581E"/>
    <w:rsid w:val="00E079C5"/>
    <w:rsid w:val="00E07CBD"/>
    <w:rsid w:val="00E07F56"/>
    <w:rsid w:val="00E10A16"/>
    <w:rsid w:val="00E1112F"/>
    <w:rsid w:val="00E1318F"/>
    <w:rsid w:val="00E13B3B"/>
    <w:rsid w:val="00E13E29"/>
    <w:rsid w:val="00E14CD8"/>
    <w:rsid w:val="00E15E95"/>
    <w:rsid w:val="00E16857"/>
    <w:rsid w:val="00E16C3A"/>
    <w:rsid w:val="00E2003C"/>
    <w:rsid w:val="00E20651"/>
    <w:rsid w:val="00E2107C"/>
    <w:rsid w:val="00E21E70"/>
    <w:rsid w:val="00E224DE"/>
    <w:rsid w:val="00E23DCE"/>
    <w:rsid w:val="00E25253"/>
    <w:rsid w:val="00E26363"/>
    <w:rsid w:val="00E2705D"/>
    <w:rsid w:val="00E272A4"/>
    <w:rsid w:val="00E305F9"/>
    <w:rsid w:val="00E306AC"/>
    <w:rsid w:val="00E3177B"/>
    <w:rsid w:val="00E34446"/>
    <w:rsid w:val="00E3633B"/>
    <w:rsid w:val="00E36870"/>
    <w:rsid w:val="00E374E1"/>
    <w:rsid w:val="00E40AFD"/>
    <w:rsid w:val="00E40F68"/>
    <w:rsid w:val="00E417AB"/>
    <w:rsid w:val="00E42DAB"/>
    <w:rsid w:val="00E43D48"/>
    <w:rsid w:val="00E43E7C"/>
    <w:rsid w:val="00E4420B"/>
    <w:rsid w:val="00E4542D"/>
    <w:rsid w:val="00E459CE"/>
    <w:rsid w:val="00E45BE0"/>
    <w:rsid w:val="00E46CAD"/>
    <w:rsid w:val="00E47521"/>
    <w:rsid w:val="00E4757A"/>
    <w:rsid w:val="00E4760C"/>
    <w:rsid w:val="00E477CF"/>
    <w:rsid w:val="00E507A6"/>
    <w:rsid w:val="00E5375C"/>
    <w:rsid w:val="00E561AD"/>
    <w:rsid w:val="00E57FAF"/>
    <w:rsid w:val="00E60BA9"/>
    <w:rsid w:val="00E61CC7"/>
    <w:rsid w:val="00E63510"/>
    <w:rsid w:val="00E635EA"/>
    <w:rsid w:val="00E63CAC"/>
    <w:rsid w:val="00E6446A"/>
    <w:rsid w:val="00E655E5"/>
    <w:rsid w:val="00E65F4E"/>
    <w:rsid w:val="00E662E0"/>
    <w:rsid w:val="00E67D5D"/>
    <w:rsid w:val="00E7071A"/>
    <w:rsid w:val="00E71C7A"/>
    <w:rsid w:val="00E73119"/>
    <w:rsid w:val="00E73E1E"/>
    <w:rsid w:val="00E756EF"/>
    <w:rsid w:val="00E767FF"/>
    <w:rsid w:val="00E805E0"/>
    <w:rsid w:val="00E82B22"/>
    <w:rsid w:val="00E83926"/>
    <w:rsid w:val="00E84C91"/>
    <w:rsid w:val="00E84E60"/>
    <w:rsid w:val="00E8556E"/>
    <w:rsid w:val="00E86B2D"/>
    <w:rsid w:val="00E86F4D"/>
    <w:rsid w:val="00E87D08"/>
    <w:rsid w:val="00E90D0E"/>
    <w:rsid w:val="00E91B2D"/>
    <w:rsid w:val="00E92FCA"/>
    <w:rsid w:val="00E95CAA"/>
    <w:rsid w:val="00EA0A39"/>
    <w:rsid w:val="00EA0EB2"/>
    <w:rsid w:val="00EA236F"/>
    <w:rsid w:val="00EA3023"/>
    <w:rsid w:val="00EA3812"/>
    <w:rsid w:val="00EA3E49"/>
    <w:rsid w:val="00EA3FC8"/>
    <w:rsid w:val="00EA5B8C"/>
    <w:rsid w:val="00EA5E77"/>
    <w:rsid w:val="00EA71AC"/>
    <w:rsid w:val="00EA75DA"/>
    <w:rsid w:val="00EB0303"/>
    <w:rsid w:val="00EB0DC9"/>
    <w:rsid w:val="00EB1383"/>
    <w:rsid w:val="00EB252D"/>
    <w:rsid w:val="00EB29E5"/>
    <w:rsid w:val="00EB29FA"/>
    <w:rsid w:val="00EB2CCE"/>
    <w:rsid w:val="00EB385F"/>
    <w:rsid w:val="00EB3A1A"/>
    <w:rsid w:val="00EB3E49"/>
    <w:rsid w:val="00EB5411"/>
    <w:rsid w:val="00EB5FC3"/>
    <w:rsid w:val="00EB6DA9"/>
    <w:rsid w:val="00EB7E37"/>
    <w:rsid w:val="00EC1561"/>
    <w:rsid w:val="00EC462E"/>
    <w:rsid w:val="00EC5721"/>
    <w:rsid w:val="00EC5E9E"/>
    <w:rsid w:val="00EC6B22"/>
    <w:rsid w:val="00EC6CD8"/>
    <w:rsid w:val="00EC786F"/>
    <w:rsid w:val="00ED1866"/>
    <w:rsid w:val="00ED24A0"/>
    <w:rsid w:val="00ED2933"/>
    <w:rsid w:val="00ED3134"/>
    <w:rsid w:val="00ED38E2"/>
    <w:rsid w:val="00ED5C44"/>
    <w:rsid w:val="00ED635B"/>
    <w:rsid w:val="00ED7611"/>
    <w:rsid w:val="00ED7861"/>
    <w:rsid w:val="00EE0042"/>
    <w:rsid w:val="00EE272D"/>
    <w:rsid w:val="00EE742D"/>
    <w:rsid w:val="00EF0A22"/>
    <w:rsid w:val="00EF120B"/>
    <w:rsid w:val="00EF1267"/>
    <w:rsid w:val="00EF180C"/>
    <w:rsid w:val="00EF2AC3"/>
    <w:rsid w:val="00EF3B6B"/>
    <w:rsid w:val="00EF4B43"/>
    <w:rsid w:val="00EF6750"/>
    <w:rsid w:val="00EF770B"/>
    <w:rsid w:val="00EF7DCA"/>
    <w:rsid w:val="00F0070C"/>
    <w:rsid w:val="00F02836"/>
    <w:rsid w:val="00F02FB5"/>
    <w:rsid w:val="00F03BAE"/>
    <w:rsid w:val="00F0417D"/>
    <w:rsid w:val="00F0534E"/>
    <w:rsid w:val="00F05C30"/>
    <w:rsid w:val="00F1076E"/>
    <w:rsid w:val="00F10F1B"/>
    <w:rsid w:val="00F12A33"/>
    <w:rsid w:val="00F14179"/>
    <w:rsid w:val="00F15786"/>
    <w:rsid w:val="00F167C5"/>
    <w:rsid w:val="00F20B5A"/>
    <w:rsid w:val="00F21F0B"/>
    <w:rsid w:val="00F236AB"/>
    <w:rsid w:val="00F24EA4"/>
    <w:rsid w:val="00F27087"/>
    <w:rsid w:val="00F2773C"/>
    <w:rsid w:val="00F300B3"/>
    <w:rsid w:val="00F30DB9"/>
    <w:rsid w:val="00F30FB8"/>
    <w:rsid w:val="00F31D68"/>
    <w:rsid w:val="00F321B8"/>
    <w:rsid w:val="00F33152"/>
    <w:rsid w:val="00F338F2"/>
    <w:rsid w:val="00F348F4"/>
    <w:rsid w:val="00F349D3"/>
    <w:rsid w:val="00F3533E"/>
    <w:rsid w:val="00F35B84"/>
    <w:rsid w:val="00F402B5"/>
    <w:rsid w:val="00F4072F"/>
    <w:rsid w:val="00F40DBC"/>
    <w:rsid w:val="00F42839"/>
    <w:rsid w:val="00F438EF"/>
    <w:rsid w:val="00F444F0"/>
    <w:rsid w:val="00F44826"/>
    <w:rsid w:val="00F44CC0"/>
    <w:rsid w:val="00F450BA"/>
    <w:rsid w:val="00F464F3"/>
    <w:rsid w:val="00F46546"/>
    <w:rsid w:val="00F46627"/>
    <w:rsid w:val="00F4684B"/>
    <w:rsid w:val="00F46BE9"/>
    <w:rsid w:val="00F47C3B"/>
    <w:rsid w:val="00F50046"/>
    <w:rsid w:val="00F506CA"/>
    <w:rsid w:val="00F50D87"/>
    <w:rsid w:val="00F51163"/>
    <w:rsid w:val="00F52A3A"/>
    <w:rsid w:val="00F53A7A"/>
    <w:rsid w:val="00F54FCD"/>
    <w:rsid w:val="00F5785C"/>
    <w:rsid w:val="00F62B40"/>
    <w:rsid w:val="00F63D8F"/>
    <w:rsid w:val="00F64F12"/>
    <w:rsid w:val="00F65E3C"/>
    <w:rsid w:val="00F67076"/>
    <w:rsid w:val="00F677FA"/>
    <w:rsid w:val="00F7115A"/>
    <w:rsid w:val="00F717AA"/>
    <w:rsid w:val="00F72714"/>
    <w:rsid w:val="00F73C80"/>
    <w:rsid w:val="00F744C3"/>
    <w:rsid w:val="00F75EE2"/>
    <w:rsid w:val="00F75F69"/>
    <w:rsid w:val="00F76014"/>
    <w:rsid w:val="00F77C46"/>
    <w:rsid w:val="00F802D3"/>
    <w:rsid w:val="00F80F94"/>
    <w:rsid w:val="00F81BA2"/>
    <w:rsid w:val="00F821FB"/>
    <w:rsid w:val="00F8220D"/>
    <w:rsid w:val="00F823A4"/>
    <w:rsid w:val="00F8412F"/>
    <w:rsid w:val="00F84791"/>
    <w:rsid w:val="00F85995"/>
    <w:rsid w:val="00F85FC5"/>
    <w:rsid w:val="00F86C22"/>
    <w:rsid w:val="00F878D5"/>
    <w:rsid w:val="00F90CB3"/>
    <w:rsid w:val="00F912A2"/>
    <w:rsid w:val="00F913A3"/>
    <w:rsid w:val="00F925C3"/>
    <w:rsid w:val="00F96972"/>
    <w:rsid w:val="00FA0109"/>
    <w:rsid w:val="00FA1BE1"/>
    <w:rsid w:val="00FA458B"/>
    <w:rsid w:val="00FA5EC5"/>
    <w:rsid w:val="00FA7016"/>
    <w:rsid w:val="00FA7174"/>
    <w:rsid w:val="00FA78B1"/>
    <w:rsid w:val="00FA793D"/>
    <w:rsid w:val="00FB020E"/>
    <w:rsid w:val="00FB0F17"/>
    <w:rsid w:val="00FB43D3"/>
    <w:rsid w:val="00FB4B9D"/>
    <w:rsid w:val="00FB50ED"/>
    <w:rsid w:val="00FB6E18"/>
    <w:rsid w:val="00FC144B"/>
    <w:rsid w:val="00FC2169"/>
    <w:rsid w:val="00FC28E2"/>
    <w:rsid w:val="00FC3626"/>
    <w:rsid w:val="00FC3BF6"/>
    <w:rsid w:val="00FC3D22"/>
    <w:rsid w:val="00FC6A3B"/>
    <w:rsid w:val="00FC6FE1"/>
    <w:rsid w:val="00FD0C3D"/>
    <w:rsid w:val="00FD2F6B"/>
    <w:rsid w:val="00FD3458"/>
    <w:rsid w:val="00FE064A"/>
    <w:rsid w:val="00FE0B55"/>
    <w:rsid w:val="00FE1E98"/>
    <w:rsid w:val="00FE2452"/>
    <w:rsid w:val="00FE47A5"/>
    <w:rsid w:val="00FE5469"/>
    <w:rsid w:val="00FE66C2"/>
    <w:rsid w:val="00FE684A"/>
    <w:rsid w:val="00FE6F23"/>
    <w:rsid w:val="00FF0F8C"/>
    <w:rsid w:val="00FF408B"/>
    <w:rsid w:val="00FF4283"/>
    <w:rsid w:val="00FF43E1"/>
    <w:rsid w:val="00FF68B7"/>
    <w:rsid w:val="0116710C"/>
    <w:rsid w:val="015D0D5E"/>
    <w:rsid w:val="01C42B8B"/>
    <w:rsid w:val="026737EF"/>
    <w:rsid w:val="027A5940"/>
    <w:rsid w:val="02A05595"/>
    <w:rsid w:val="031C067D"/>
    <w:rsid w:val="03430854"/>
    <w:rsid w:val="03561F09"/>
    <w:rsid w:val="03924EFD"/>
    <w:rsid w:val="039F5FA6"/>
    <w:rsid w:val="03E82E5B"/>
    <w:rsid w:val="0456060A"/>
    <w:rsid w:val="04A15406"/>
    <w:rsid w:val="04AB3B59"/>
    <w:rsid w:val="051C4A8C"/>
    <w:rsid w:val="053D0BD2"/>
    <w:rsid w:val="05521524"/>
    <w:rsid w:val="05522D89"/>
    <w:rsid w:val="05E36A38"/>
    <w:rsid w:val="06487884"/>
    <w:rsid w:val="067E0614"/>
    <w:rsid w:val="068849DB"/>
    <w:rsid w:val="06DA2509"/>
    <w:rsid w:val="06E15887"/>
    <w:rsid w:val="06F909A4"/>
    <w:rsid w:val="06F916DF"/>
    <w:rsid w:val="07006FE5"/>
    <w:rsid w:val="07674291"/>
    <w:rsid w:val="082A1304"/>
    <w:rsid w:val="0854278F"/>
    <w:rsid w:val="08A059D4"/>
    <w:rsid w:val="08B979FF"/>
    <w:rsid w:val="08CB0A78"/>
    <w:rsid w:val="08CF474D"/>
    <w:rsid w:val="09303303"/>
    <w:rsid w:val="09305ADA"/>
    <w:rsid w:val="097E5D15"/>
    <w:rsid w:val="09B53A16"/>
    <w:rsid w:val="09D815E1"/>
    <w:rsid w:val="0A1827EB"/>
    <w:rsid w:val="0A386C6D"/>
    <w:rsid w:val="0B275D73"/>
    <w:rsid w:val="0B361C02"/>
    <w:rsid w:val="0BC96FF0"/>
    <w:rsid w:val="0BD31C1D"/>
    <w:rsid w:val="0BEA35D1"/>
    <w:rsid w:val="0C167EB5"/>
    <w:rsid w:val="0C525237"/>
    <w:rsid w:val="0C811679"/>
    <w:rsid w:val="0CC6517C"/>
    <w:rsid w:val="0CF462EF"/>
    <w:rsid w:val="0DB31D06"/>
    <w:rsid w:val="0DB5782C"/>
    <w:rsid w:val="0DC206F0"/>
    <w:rsid w:val="0DE67913"/>
    <w:rsid w:val="0DEA0FA8"/>
    <w:rsid w:val="0E5C1236"/>
    <w:rsid w:val="0E8013B7"/>
    <w:rsid w:val="0EAF24CD"/>
    <w:rsid w:val="0EDC70EA"/>
    <w:rsid w:val="0EEF3211"/>
    <w:rsid w:val="0F032C92"/>
    <w:rsid w:val="0F1B0AD9"/>
    <w:rsid w:val="0F73799F"/>
    <w:rsid w:val="0FCE3900"/>
    <w:rsid w:val="10D604C6"/>
    <w:rsid w:val="113A5BCB"/>
    <w:rsid w:val="11516FA6"/>
    <w:rsid w:val="11B515E0"/>
    <w:rsid w:val="11C434DE"/>
    <w:rsid w:val="121C60BF"/>
    <w:rsid w:val="12201FEA"/>
    <w:rsid w:val="1245129D"/>
    <w:rsid w:val="1247455D"/>
    <w:rsid w:val="12823991"/>
    <w:rsid w:val="12FC7948"/>
    <w:rsid w:val="13A32776"/>
    <w:rsid w:val="13A53267"/>
    <w:rsid w:val="13F970D2"/>
    <w:rsid w:val="14AA4136"/>
    <w:rsid w:val="14C708A5"/>
    <w:rsid w:val="1569487E"/>
    <w:rsid w:val="16011615"/>
    <w:rsid w:val="163A420B"/>
    <w:rsid w:val="16E22C12"/>
    <w:rsid w:val="16E64EFA"/>
    <w:rsid w:val="17035AAC"/>
    <w:rsid w:val="17996410"/>
    <w:rsid w:val="17B9260F"/>
    <w:rsid w:val="185E1E51"/>
    <w:rsid w:val="18CD05D8"/>
    <w:rsid w:val="18F002B2"/>
    <w:rsid w:val="18F2531A"/>
    <w:rsid w:val="18F57149"/>
    <w:rsid w:val="190036CE"/>
    <w:rsid w:val="1904793D"/>
    <w:rsid w:val="19202945"/>
    <w:rsid w:val="19413B26"/>
    <w:rsid w:val="19F62B74"/>
    <w:rsid w:val="1A3B09B0"/>
    <w:rsid w:val="1A730307"/>
    <w:rsid w:val="1AAB45F3"/>
    <w:rsid w:val="1AE7638C"/>
    <w:rsid w:val="1B395F40"/>
    <w:rsid w:val="1BA40A8C"/>
    <w:rsid w:val="1BBC5D0B"/>
    <w:rsid w:val="1BDD2D6F"/>
    <w:rsid w:val="1BFC3907"/>
    <w:rsid w:val="1C146550"/>
    <w:rsid w:val="1C6D3688"/>
    <w:rsid w:val="1CAC10AB"/>
    <w:rsid w:val="1CC63D0A"/>
    <w:rsid w:val="1D0E0D07"/>
    <w:rsid w:val="1D252548"/>
    <w:rsid w:val="1DC2081A"/>
    <w:rsid w:val="1DD75919"/>
    <w:rsid w:val="1DD94266"/>
    <w:rsid w:val="1F58270D"/>
    <w:rsid w:val="1F8B4890"/>
    <w:rsid w:val="1F9D0947"/>
    <w:rsid w:val="1FA871F0"/>
    <w:rsid w:val="1FFB29C6"/>
    <w:rsid w:val="20126D60"/>
    <w:rsid w:val="209F6378"/>
    <w:rsid w:val="20A200E4"/>
    <w:rsid w:val="20AF7BDF"/>
    <w:rsid w:val="20E26732"/>
    <w:rsid w:val="214A18DB"/>
    <w:rsid w:val="21B005DE"/>
    <w:rsid w:val="21CB71C6"/>
    <w:rsid w:val="22AF3620"/>
    <w:rsid w:val="22BA2245"/>
    <w:rsid w:val="22E70AD4"/>
    <w:rsid w:val="23F56BFB"/>
    <w:rsid w:val="243F413C"/>
    <w:rsid w:val="244A1B3B"/>
    <w:rsid w:val="24B65F0C"/>
    <w:rsid w:val="24F1508D"/>
    <w:rsid w:val="252C08C4"/>
    <w:rsid w:val="252F2DC1"/>
    <w:rsid w:val="25916027"/>
    <w:rsid w:val="266F634F"/>
    <w:rsid w:val="26DE1B73"/>
    <w:rsid w:val="27127645"/>
    <w:rsid w:val="276565C4"/>
    <w:rsid w:val="27983D44"/>
    <w:rsid w:val="279D2D47"/>
    <w:rsid w:val="27A03595"/>
    <w:rsid w:val="286171AC"/>
    <w:rsid w:val="286D0FD7"/>
    <w:rsid w:val="291059EA"/>
    <w:rsid w:val="294D3769"/>
    <w:rsid w:val="29C91E4A"/>
    <w:rsid w:val="29F15C38"/>
    <w:rsid w:val="2A0A481A"/>
    <w:rsid w:val="2BAF4EC9"/>
    <w:rsid w:val="2BB93F60"/>
    <w:rsid w:val="2BBF12EC"/>
    <w:rsid w:val="2BC649D9"/>
    <w:rsid w:val="2C0B3420"/>
    <w:rsid w:val="2C6167BC"/>
    <w:rsid w:val="2C6F1155"/>
    <w:rsid w:val="2C805086"/>
    <w:rsid w:val="2C950A95"/>
    <w:rsid w:val="2CF6343C"/>
    <w:rsid w:val="2D5C5ABE"/>
    <w:rsid w:val="2D784496"/>
    <w:rsid w:val="2D847999"/>
    <w:rsid w:val="2DCD138D"/>
    <w:rsid w:val="2E110657"/>
    <w:rsid w:val="2E4B037C"/>
    <w:rsid w:val="2E811080"/>
    <w:rsid w:val="2E9C15D9"/>
    <w:rsid w:val="2EF015F6"/>
    <w:rsid w:val="2EF9240A"/>
    <w:rsid w:val="2F494FCA"/>
    <w:rsid w:val="30A62BD5"/>
    <w:rsid w:val="30D17D7C"/>
    <w:rsid w:val="31576CC8"/>
    <w:rsid w:val="319F6710"/>
    <w:rsid w:val="31BD7582"/>
    <w:rsid w:val="32816AAA"/>
    <w:rsid w:val="334E461F"/>
    <w:rsid w:val="335C2525"/>
    <w:rsid w:val="34020C54"/>
    <w:rsid w:val="34050C5E"/>
    <w:rsid w:val="34357D40"/>
    <w:rsid w:val="3463489D"/>
    <w:rsid w:val="34671276"/>
    <w:rsid w:val="346D6264"/>
    <w:rsid w:val="349643C7"/>
    <w:rsid w:val="34BA60C2"/>
    <w:rsid w:val="34D655BF"/>
    <w:rsid w:val="34EF721C"/>
    <w:rsid w:val="3515160D"/>
    <w:rsid w:val="357559DE"/>
    <w:rsid w:val="35777939"/>
    <w:rsid w:val="357A1851"/>
    <w:rsid w:val="35BA7826"/>
    <w:rsid w:val="362319F5"/>
    <w:rsid w:val="36320E17"/>
    <w:rsid w:val="366003CD"/>
    <w:rsid w:val="3660752C"/>
    <w:rsid w:val="36E032BC"/>
    <w:rsid w:val="36F87B3E"/>
    <w:rsid w:val="37AB70F8"/>
    <w:rsid w:val="37C130EE"/>
    <w:rsid w:val="37D6235C"/>
    <w:rsid w:val="389E21F5"/>
    <w:rsid w:val="38B735DC"/>
    <w:rsid w:val="38CC3AF8"/>
    <w:rsid w:val="39395091"/>
    <w:rsid w:val="39A62C24"/>
    <w:rsid w:val="39A9208B"/>
    <w:rsid w:val="39B93E43"/>
    <w:rsid w:val="39BE5F94"/>
    <w:rsid w:val="39E90C88"/>
    <w:rsid w:val="3A461688"/>
    <w:rsid w:val="3A726921"/>
    <w:rsid w:val="3AC93B45"/>
    <w:rsid w:val="3B007D15"/>
    <w:rsid w:val="3B3F2CA7"/>
    <w:rsid w:val="3B7C2EE6"/>
    <w:rsid w:val="3B970159"/>
    <w:rsid w:val="3BA724C6"/>
    <w:rsid w:val="3C2902FA"/>
    <w:rsid w:val="3C352535"/>
    <w:rsid w:val="3C7B171B"/>
    <w:rsid w:val="3C7D00D8"/>
    <w:rsid w:val="3CA06C0C"/>
    <w:rsid w:val="3CA52553"/>
    <w:rsid w:val="3D0C4E0B"/>
    <w:rsid w:val="3D7F6840"/>
    <w:rsid w:val="3DAF0387"/>
    <w:rsid w:val="3DB844B5"/>
    <w:rsid w:val="3E661F40"/>
    <w:rsid w:val="3E714C27"/>
    <w:rsid w:val="3E8127E5"/>
    <w:rsid w:val="3EA25851"/>
    <w:rsid w:val="3EBC2B8C"/>
    <w:rsid w:val="3EDA52CB"/>
    <w:rsid w:val="3EE17BE4"/>
    <w:rsid w:val="3F2006FA"/>
    <w:rsid w:val="3F552CAC"/>
    <w:rsid w:val="3F6C3757"/>
    <w:rsid w:val="3FC419CD"/>
    <w:rsid w:val="3FDB6D16"/>
    <w:rsid w:val="405D6A10"/>
    <w:rsid w:val="405E0658"/>
    <w:rsid w:val="408F2929"/>
    <w:rsid w:val="41201056"/>
    <w:rsid w:val="41517290"/>
    <w:rsid w:val="41DA6594"/>
    <w:rsid w:val="41E97561"/>
    <w:rsid w:val="420E1CD4"/>
    <w:rsid w:val="42477034"/>
    <w:rsid w:val="425B44EE"/>
    <w:rsid w:val="42654CA2"/>
    <w:rsid w:val="42A65040"/>
    <w:rsid w:val="43011A68"/>
    <w:rsid w:val="43137E8F"/>
    <w:rsid w:val="431A7B56"/>
    <w:rsid w:val="432D7889"/>
    <w:rsid w:val="43533253"/>
    <w:rsid w:val="444C1A75"/>
    <w:rsid w:val="446729A8"/>
    <w:rsid w:val="446E7E4C"/>
    <w:rsid w:val="44A3526F"/>
    <w:rsid w:val="44B032F4"/>
    <w:rsid w:val="44B96D73"/>
    <w:rsid w:val="457D25F7"/>
    <w:rsid w:val="458D2861"/>
    <w:rsid w:val="45DE1089"/>
    <w:rsid w:val="45F12682"/>
    <w:rsid w:val="468341CD"/>
    <w:rsid w:val="46A90357"/>
    <w:rsid w:val="46AC132E"/>
    <w:rsid w:val="46F40852"/>
    <w:rsid w:val="472C2589"/>
    <w:rsid w:val="474559C6"/>
    <w:rsid w:val="47B95B8F"/>
    <w:rsid w:val="47EC7063"/>
    <w:rsid w:val="48797B49"/>
    <w:rsid w:val="48A42D10"/>
    <w:rsid w:val="48A837B8"/>
    <w:rsid w:val="48C9212D"/>
    <w:rsid w:val="49107A31"/>
    <w:rsid w:val="49201ADA"/>
    <w:rsid w:val="49311755"/>
    <w:rsid w:val="495C7CDB"/>
    <w:rsid w:val="49AA39E1"/>
    <w:rsid w:val="49B40616"/>
    <w:rsid w:val="4A043446"/>
    <w:rsid w:val="4A386FAF"/>
    <w:rsid w:val="4A760AEB"/>
    <w:rsid w:val="4A8E02D3"/>
    <w:rsid w:val="4ADF4E91"/>
    <w:rsid w:val="4AF66627"/>
    <w:rsid w:val="4B342032"/>
    <w:rsid w:val="4B3F0E94"/>
    <w:rsid w:val="4BF21505"/>
    <w:rsid w:val="4D6572BF"/>
    <w:rsid w:val="4DAC477B"/>
    <w:rsid w:val="4DE8732C"/>
    <w:rsid w:val="4E196E45"/>
    <w:rsid w:val="4E5C1CC2"/>
    <w:rsid w:val="4E7D0D54"/>
    <w:rsid w:val="4E9468B9"/>
    <w:rsid w:val="4EB1136E"/>
    <w:rsid w:val="4F3162CA"/>
    <w:rsid w:val="4F686333"/>
    <w:rsid w:val="50106568"/>
    <w:rsid w:val="50813E96"/>
    <w:rsid w:val="50CC2030"/>
    <w:rsid w:val="50D95873"/>
    <w:rsid w:val="50ED272A"/>
    <w:rsid w:val="51351644"/>
    <w:rsid w:val="51C93D87"/>
    <w:rsid w:val="51D65160"/>
    <w:rsid w:val="522F4428"/>
    <w:rsid w:val="5237602E"/>
    <w:rsid w:val="526102AF"/>
    <w:rsid w:val="528444DA"/>
    <w:rsid w:val="52AE1073"/>
    <w:rsid w:val="52E53AEE"/>
    <w:rsid w:val="534F1565"/>
    <w:rsid w:val="53584350"/>
    <w:rsid w:val="537745D5"/>
    <w:rsid w:val="54005688"/>
    <w:rsid w:val="54D54B73"/>
    <w:rsid w:val="552306F6"/>
    <w:rsid w:val="55EB785C"/>
    <w:rsid w:val="56453E86"/>
    <w:rsid w:val="566A605A"/>
    <w:rsid w:val="56705FB3"/>
    <w:rsid w:val="567E5E07"/>
    <w:rsid w:val="56E352D5"/>
    <w:rsid w:val="5733019A"/>
    <w:rsid w:val="57E435FE"/>
    <w:rsid w:val="5801432C"/>
    <w:rsid w:val="58153E95"/>
    <w:rsid w:val="58160AF3"/>
    <w:rsid w:val="582D0655"/>
    <w:rsid w:val="587A1867"/>
    <w:rsid w:val="58DE0E1E"/>
    <w:rsid w:val="59325CCF"/>
    <w:rsid w:val="5951205C"/>
    <w:rsid w:val="59D079E8"/>
    <w:rsid w:val="59D40847"/>
    <w:rsid w:val="59F42A57"/>
    <w:rsid w:val="5A364E1D"/>
    <w:rsid w:val="5AA71877"/>
    <w:rsid w:val="5AE37F25"/>
    <w:rsid w:val="5B5C6B06"/>
    <w:rsid w:val="5B8E4A84"/>
    <w:rsid w:val="5BB11F91"/>
    <w:rsid w:val="5BDD7C46"/>
    <w:rsid w:val="5C295F5C"/>
    <w:rsid w:val="5C2A3AD8"/>
    <w:rsid w:val="5CA26790"/>
    <w:rsid w:val="5CB23D47"/>
    <w:rsid w:val="5CE623B9"/>
    <w:rsid w:val="5DAF5613"/>
    <w:rsid w:val="5ED2296E"/>
    <w:rsid w:val="5EF205E4"/>
    <w:rsid w:val="5F4E6765"/>
    <w:rsid w:val="5F5E0464"/>
    <w:rsid w:val="5F5E3CC7"/>
    <w:rsid w:val="5FAF09C4"/>
    <w:rsid w:val="5FDB068E"/>
    <w:rsid w:val="60245098"/>
    <w:rsid w:val="60885BA5"/>
    <w:rsid w:val="608C4642"/>
    <w:rsid w:val="60931F81"/>
    <w:rsid w:val="60B62CA5"/>
    <w:rsid w:val="60E101D2"/>
    <w:rsid w:val="6160203D"/>
    <w:rsid w:val="61A5313E"/>
    <w:rsid w:val="61BB64ED"/>
    <w:rsid w:val="61CB73F0"/>
    <w:rsid w:val="61D05423"/>
    <w:rsid w:val="625B7E6E"/>
    <w:rsid w:val="62795572"/>
    <w:rsid w:val="62C46E90"/>
    <w:rsid w:val="62E23821"/>
    <w:rsid w:val="63701C06"/>
    <w:rsid w:val="63DD630A"/>
    <w:rsid w:val="63EC1C22"/>
    <w:rsid w:val="64065861"/>
    <w:rsid w:val="64432611"/>
    <w:rsid w:val="64DD6417"/>
    <w:rsid w:val="65084200"/>
    <w:rsid w:val="651B24B8"/>
    <w:rsid w:val="653A75D6"/>
    <w:rsid w:val="655050F8"/>
    <w:rsid w:val="658573FD"/>
    <w:rsid w:val="65A2637A"/>
    <w:rsid w:val="65A45331"/>
    <w:rsid w:val="65AE0CE8"/>
    <w:rsid w:val="66004745"/>
    <w:rsid w:val="660B3602"/>
    <w:rsid w:val="66415D0E"/>
    <w:rsid w:val="664408C2"/>
    <w:rsid w:val="666B22F3"/>
    <w:rsid w:val="666F313C"/>
    <w:rsid w:val="66AD6A92"/>
    <w:rsid w:val="66D41C46"/>
    <w:rsid w:val="67E13D04"/>
    <w:rsid w:val="693A7F09"/>
    <w:rsid w:val="6A3A2708"/>
    <w:rsid w:val="6A3F047E"/>
    <w:rsid w:val="6A567F20"/>
    <w:rsid w:val="6AF06C91"/>
    <w:rsid w:val="6BE9194C"/>
    <w:rsid w:val="6BFC3DE7"/>
    <w:rsid w:val="6C5445D1"/>
    <w:rsid w:val="6C620B1D"/>
    <w:rsid w:val="6CD97953"/>
    <w:rsid w:val="6D34071C"/>
    <w:rsid w:val="6D3D26C4"/>
    <w:rsid w:val="6DA519D5"/>
    <w:rsid w:val="6DE05374"/>
    <w:rsid w:val="6E5B2C4D"/>
    <w:rsid w:val="6E610BE3"/>
    <w:rsid w:val="6E690C08"/>
    <w:rsid w:val="6E730706"/>
    <w:rsid w:val="6E891568"/>
    <w:rsid w:val="6ED30FD7"/>
    <w:rsid w:val="6EE05F40"/>
    <w:rsid w:val="701D28B0"/>
    <w:rsid w:val="70663790"/>
    <w:rsid w:val="71962B7E"/>
    <w:rsid w:val="71A848D3"/>
    <w:rsid w:val="71C14E75"/>
    <w:rsid w:val="727D78FD"/>
    <w:rsid w:val="728F5858"/>
    <w:rsid w:val="72CA2102"/>
    <w:rsid w:val="73037C12"/>
    <w:rsid w:val="73CC655F"/>
    <w:rsid w:val="74717086"/>
    <w:rsid w:val="74FC0AB3"/>
    <w:rsid w:val="75957445"/>
    <w:rsid w:val="75C77E93"/>
    <w:rsid w:val="75D01AE1"/>
    <w:rsid w:val="76ED5439"/>
    <w:rsid w:val="76F31C74"/>
    <w:rsid w:val="77373A19"/>
    <w:rsid w:val="77524363"/>
    <w:rsid w:val="778E4093"/>
    <w:rsid w:val="77B306E7"/>
    <w:rsid w:val="77B917B5"/>
    <w:rsid w:val="77EE2084"/>
    <w:rsid w:val="78620D28"/>
    <w:rsid w:val="78703975"/>
    <w:rsid w:val="794C1B10"/>
    <w:rsid w:val="79A31300"/>
    <w:rsid w:val="7A41363F"/>
    <w:rsid w:val="7A7037D4"/>
    <w:rsid w:val="7B5622D6"/>
    <w:rsid w:val="7BA63CE6"/>
    <w:rsid w:val="7BE420FD"/>
    <w:rsid w:val="7C574A54"/>
    <w:rsid w:val="7C6B2468"/>
    <w:rsid w:val="7D020E63"/>
    <w:rsid w:val="7D0D296B"/>
    <w:rsid w:val="7D381F9D"/>
    <w:rsid w:val="7D4E0B54"/>
    <w:rsid w:val="7D503E78"/>
    <w:rsid w:val="7DB008BF"/>
    <w:rsid w:val="7E0160D4"/>
    <w:rsid w:val="7E924469"/>
    <w:rsid w:val="7EE747B5"/>
    <w:rsid w:val="7EFE0D3A"/>
    <w:rsid w:val="7F6F63E8"/>
    <w:rsid w:val="7F726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99" w:semiHidden="0" w:name="Subtitle"/>
    <w:lsdException w:uiPriority="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3"/>
    <w:link w:val="79"/>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4">
    <w:name w:val="heading 2"/>
    <w:basedOn w:val="1"/>
    <w:next w:val="1"/>
    <w:link w:val="92"/>
    <w:qFormat/>
    <w:uiPriority w:val="0"/>
    <w:pPr>
      <w:keepNext/>
      <w:keepLines/>
      <w:numPr>
        <w:ilvl w:val="1"/>
        <w:numId w:val="1"/>
      </w:numPr>
      <w:spacing w:before="120" w:after="120"/>
      <w:ind w:firstLine="0" w:firstLineChars="0"/>
      <w:outlineLvl w:val="1"/>
    </w:pPr>
    <w:rPr>
      <w:b/>
      <w:bCs/>
      <w:sz w:val="30"/>
      <w:szCs w:val="32"/>
    </w:rPr>
  </w:style>
  <w:style w:type="paragraph" w:styleId="5">
    <w:name w:val="heading 3"/>
    <w:basedOn w:val="1"/>
    <w:next w:val="1"/>
    <w:link w:val="85"/>
    <w:qFormat/>
    <w:uiPriority w:val="0"/>
    <w:pPr>
      <w:keepNext/>
      <w:keepLines/>
      <w:numPr>
        <w:ilvl w:val="2"/>
        <w:numId w:val="1"/>
      </w:numPr>
      <w:spacing w:before="120" w:after="120"/>
      <w:ind w:firstLine="0" w:firstLineChars="0"/>
      <w:outlineLvl w:val="2"/>
    </w:pPr>
    <w:rPr>
      <w:b/>
      <w:bCs/>
      <w:sz w:val="28"/>
      <w:szCs w:val="28"/>
    </w:rPr>
  </w:style>
  <w:style w:type="paragraph" w:styleId="6">
    <w:name w:val="heading 4"/>
    <w:basedOn w:val="1"/>
    <w:next w:val="1"/>
    <w:link w:val="62"/>
    <w:qFormat/>
    <w:uiPriority w:val="0"/>
    <w:pPr>
      <w:keepNext/>
      <w:keepLines/>
      <w:numPr>
        <w:ilvl w:val="3"/>
        <w:numId w:val="1"/>
      </w:numPr>
      <w:spacing w:before="120" w:after="120"/>
      <w:ind w:left="851" w:firstLine="0" w:firstLineChars="0"/>
      <w:outlineLvl w:val="3"/>
    </w:pPr>
    <w:rPr>
      <w:b/>
      <w:bCs/>
      <w:sz w:val="30"/>
      <w:szCs w:val="30"/>
    </w:rPr>
  </w:style>
  <w:style w:type="paragraph" w:styleId="7">
    <w:name w:val="heading 5"/>
    <w:basedOn w:val="1"/>
    <w:next w:val="1"/>
    <w:link w:val="90"/>
    <w:qFormat/>
    <w:uiPriority w:val="0"/>
    <w:pPr>
      <w:keepNext/>
      <w:keepLines/>
      <w:numPr>
        <w:ilvl w:val="4"/>
        <w:numId w:val="1"/>
      </w:numPr>
      <w:spacing w:before="120" w:after="120"/>
      <w:ind w:left="0" w:firstLine="0" w:firstLineChars="0"/>
      <w:outlineLvl w:val="4"/>
    </w:pPr>
    <w:rPr>
      <w:b/>
      <w:bCs/>
      <w:szCs w:val="28"/>
    </w:rPr>
  </w:style>
  <w:style w:type="paragraph" w:styleId="8">
    <w:name w:val="heading 6"/>
    <w:basedOn w:val="1"/>
    <w:next w:val="1"/>
    <w:link w:val="103"/>
    <w:qFormat/>
    <w:uiPriority w:val="0"/>
    <w:pPr>
      <w:keepNext/>
      <w:keepLines/>
      <w:numPr>
        <w:ilvl w:val="5"/>
        <w:numId w:val="1"/>
      </w:numPr>
      <w:spacing w:before="120" w:after="120"/>
      <w:ind w:firstLine="0" w:firstLineChars="0"/>
      <w:outlineLvl w:val="5"/>
    </w:pPr>
    <w:rPr>
      <w:rFonts w:ascii="Cambria" w:hAnsi="Cambria"/>
      <w:b/>
      <w:bCs/>
    </w:rPr>
  </w:style>
  <w:style w:type="paragraph" w:styleId="9">
    <w:name w:val="heading 7"/>
    <w:basedOn w:val="1"/>
    <w:next w:val="1"/>
    <w:link w:val="175"/>
    <w:qFormat/>
    <w:uiPriority w:val="99"/>
    <w:pPr>
      <w:keepNext/>
      <w:keepLines/>
      <w:spacing w:before="240" w:after="64" w:line="319" w:lineRule="auto"/>
      <w:ind w:firstLine="0" w:firstLineChars="0"/>
      <w:outlineLvl w:val="6"/>
    </w:pPr>
    <w:rPr>
      <w:rFonts w:ascii="Times New Roman" w:hAnsi="Times New Roman"/>
      <w:b/>
      <w:bCs/>
      <w:sz w:val="21"/>
    </w:rPr>
  </w:style>
  <w:style w:type="paragraph" w:styleId="10">
    <w:name w:val="heading 8"/>
    <w:basedOn w:val="1"/>
    <w:next w:val="1"/>
    <w:link w:val="176"/>
    <w:qFormat/>
    <w:uiPriority w:val="99"/>
    <w:pPr>
      <w:keepNext/>
      <w:keepLines/>
      <w:spacing w:before="240" w:after="64" w:line="319" w:lineRule="auto"/>
      <w:ind w:firstLine="0" w:firstLineChars="0"/>
      <w:outlineLvl w:val="7"/>
    </w:pPr>
    <w:rPr>
      <w:rFonts w:ascii="Cambria" w:hAnsi="Cambria"/>
      <w:sz w:val="21"/>
    </w:rPr>
  </w:style>
  <w:style w:type="paragraph" w:styleId="11">
    <w:name w:val="heading 9"/>
    <w:basedOn w:val="1"/>
    <w:next w:val="1"/>
    <w:link w:val="177"/>
    <w:qFormat/>
    <w:uiPriority w:val="99"/>
    <w:pPr>
      <w:keepNext/>
      <w:keepLines/>
      <w:spacing w:before="240" w:after="64" w:line="319" w:lineRule="auto"/>
      <w:ind w:firstLine="0" w:firstLineChars="0"/>
      <w:outlineLvl w:val="8"/>
    </w:pPr>
    <w:rPr>
      <w:rFonts w:ascii="Cambria" w:hAnsi="Cambria"/>
      <w:sz w:val="21"/>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3">
    <w:name w:val="正文内容"/>
    <w:basedOn w:val="1"/>
    <w:qFormat/>
    <w:uiPriority w:val="0"/>
    <w:pPr>
      <w:snapToGrid w:val="0"/>
      <w:ind w:firstLine="200"/>
      <w:jc w:val="left"/>
    </w:pPr>
    <w:rPr>
      <w:rFonts w:hAnsi="仿宋"/>
      <w:bCs/>
      <w:szCs w:val="40"/>
    </w:rPr>
  </w:style>
  <w:style w:type="paragraph" w:styleId="12">
    <w:name w:val="toc 7"/>
    <w:basedOn w:val="1"/>
    <w:next w:val="1"/>
    <w:unhideWhenUsed/>
    <w:qFormat/>
    <w:uiPriority w:val="39"/>
    <w:pPr>
      <w:ind w:left="2520" w:leftChars="1200"/>
    </w:pPr>
    <w:rPr>
      <w:rFonts w:ascii="等线" w:hAnsi="等线" w:eastAsia="等线"/>
      <w:szCs w:val="22"/>
    </w:rPr>
  </w:style>
  <w:style w:type="paragraph" w:styleId="13">
    <w:name w:val="Normal Indent"/>
    <w:basedOn w:val="1"/>
    <w:next w:val="1"/>
    <w:link w:val="174"/>
    <w:unhideWhenUsed/>
    <w:qFormat/>
    <w:uiPriority w:val="99"/>
    <w:pPr>
      <w:spacing w:line="240" w:lineRule="auto"/>
      <w:ind w:firstLine="420"/>
    </w:pPr>
    <w:rPr>
      <w:rFonts w:ascii="Calibri" w:hAnsi="Calibri"/>
      <w:sz w:val="21"/>
    </w:rPr>
  </w:style>
  <w:style w:type="paragraph" w:styleId="14">
    <w:name w:val="caption"/>
    <w:basedOn w:val="1"/>
    <w:next w:val="1"/>
    <w:link w:val="178"/>
    <w:qFormat/>
    <w:uiPriority w:val="35"/>
    <w:pPr>
      <w:spacing w:afterLines="50"/>
      <w:ind w:firstLine="200"/>
    </w:pPr>
    <w:rPr>
      <w:rFonts w:ascii="Arial" w:hAnsi="Arial" w:eastAsia="黑体"/>
      <w:sz w:val="20"/>
      <w:szCs w:val="20"/>
    </w:rPr>
  </w:style>
  <w:style w:type="paragraph" w:styleId="15">
    <w:name w:val="Document Map"/>
    <w:basedOn w:val="1"/>
    <w:link w:val="95"/>
    <w:qFormat/>
    <w:uiPriority w:val="99"/>
    <w:rPr>
      <w:rFonts w:hAnsi="Times New Roman"/>
      <w:sz w:val="18"/>
      <w:szCs w:val="18"/>
    </w:rPr>
  </w:style>
  <w:style w:type="paragraph" w:styleId="16">
    <w:name w:val="annotation text"/>
    <w:basedOn w:val="1"/>
    <w:link w:val="48"/>
    <w:qFormat/>
    <w:uiPriority w:val="99"/>
    <w:pPr>
      <w:jc w:val="left"/>
    </w:pPr>
    <w:rPr>
      <w:rFonts w:ascii="Times New Roman" w:hAnsi="Times New Roman" w:eastAsia="仿宋"/>
      <w:sz w:val="28"/>
    </w:rPr>
  </w:style>
  <w:style w:type="paragraph" w:styleId="17">
    <w:name w:val="Body Text"/>
    <w:basedOn w:val="1"/>
    <w:next w:val="18"/>
    <w:link w:val="63"/>
    <w:unhideWhenUsed/>
    <w:qFormat/>
    <w:uiPriority w:val="99"/>
    <w:pPr>
      <w:spacing w:after="120" w:line="240" w:lineRule="auto"/>
      <w:ind w:firstLine="0" w:firstLineChars="0"/>
    </w:pPr>
    <w:rPr>
      <w:rFonts w:ascii="Times New Roman" w:hAnsi="Times New Roman"/>
      <w:sz w:val="21"/>
    </w:rPr>
  </w:style>
  <w:style w:type="paragraph" w:styleId="18">
    <w:name w:val="Plain Text"/>
    <w:basedOn w:val="1"/>
    <w:next w:val="1"/>
    <w:link w:val="70"/>
    <w:qFormat/>
    <w:uiPriority w:val="99"/>
    <w:pPr>
      <w:spacing w:line="240" w:lineRule="auto"/>
      <w:ind w:firstLine="0" w:firstLineChars="0"/>
    </w:pPr>
    <w:rPr>
      <w:rFonts w:hAnsi="Courier New"/>
      <w:sz w:val="21"/>
      <w:szCs w:val="20"/>
    </w:rPr>
  </w:style>
  <w:style w:type="paragraph" w:styleId="19">
    <w:name w:val="Body Text Indent"/>
    <w:basedOn w:val="1"/>
    <w:link w:val="89"/>
    <w:qFormat/>
    <w:uiPriority w:val="99"/>
    <w:pPr>
      <w:spacing w:after="120"/>
      <w:ind w:firstLine="200"/>
    </w:pPr>
    <w:rPr>
      <w:rFonts w:ascii="Times New Roman" w:hAnsi="Times New Roman"/>
      <w:sz w:val="21"/>
      <w:szCs w:val="20"/>
    </w:rPr>
  </w:style>
  <w:style w:type="paragraph" w:styleId="20">
    <w:name w:val="toc 5"/>
    <w:basedOn w:val="1"/>
    <w:next w:val="1"/>
    <w:unhideWhenUsed/>
    <w:qFormat/>
    <w:uiPriority w:val="39"/>
    <w:pPr>
      <w:ind w:left="1680" w:leftChars="800"/>
    </w:pPr>
    <w:rPr>
      <w:rFonts w:ascii="等线" w:hAnsi="等线" w:eastAsia="等线"/>
      <w:szCs w:val="22"/>
    </w:rPr>
  </w:style>
  <w:style w:type="paragraph" w:styleId="21">
    <w:name w:val="toc 3"/>
    <w:basedOn w:val="1"/>
    <w:next w:val="1"/>
    <w:qFormat/>
    <w:uiPriority w:val="39"/>
    <w:pPr>
      <w:tabs>
        <w:tab w:val="right" w:leader="dot" w:pos="8302"/>
      </w:tabs>
      <w:ind w:left="840" w:leftChars="400"/>
    </w:pPr>
  </w:style>
  <w:style w:type="paragraph" w:styleId="22">
    <w:name w:val="toc 8"/>
    <w:basedOn w:val="1"/>
    <w:next w:val="1"/>
    <w:unhideWhenUsed/>
    <w:qFormat/>
    <w:uiPriority w:val="39"/>
    <w:pPr>
      <w:ind w:left="2940" w:leftChars="1400"/>
    </w:pPr>
    <w:rPr>
      <w:rFonts w:ascii="等线" w:hAnsi="等线" w:eastAsia="等线"/>
      <w:szCs w:val="22"/>
    </w:rPr>
  </w:style>
  <w:style w:type="paragraph" w:styleId="23">
    <w:name w:val="Date"/>
    <w:basedOn w:val="1"/>
    <w:next w:val="1"/>
    <w:link w:val="50"/>
    <w:qFormat/>
    <w:uiPriority w:val="99"/>
    <w:pPr>
      <w:ind w:left="100" w:leftChars="2500"/>
    </w:pPr>
    <w:rPr>
      <w:rFonts w:ascii="Times New Roman" w:hAnsi="Times New Roman"/>
      <w:sz w:val="21"/>
    </w:rPr>
  </w:style>
  <w:style w:type="paragraph" w:styleId="24">
    <w:name w:val="Balloon Text"/>
    <w:basedOn w:val="1"/>
    <w:link w:val="100"/>
    <w:qFormat/>
    <w:uiPriority w:val="99"/>
    <w:rPr>
      <w:rFonts w:ascii="Times New Roman" w:hAnsi="Times New Roman"/>
      <w:sz w:val="18"/>
      <w:szCs w:val="18"/>
    </w:rPr>
  </w:style>
  <w:style w:type="paragraph" w:styleId="25">
    <w:name w:val="footer"/>
    <w:basedOn w:val="1"/>
    <w:link w:val="93"/>
    <w:qFormat/>
    <w:uiPriority w:val="99"/>
    <w:pPr>
      <w:tabs>
        <w:tab w:val="center" w:pos="4153"/>
        <w:tab w:val="right" w:pos="8306"/>
      </w:tabs>
      <w:snapToGrid w:val="0"/>
      <w:jc w:val="center"/>
    </w:pPr>
    <w:rPr>
      <w:rFonts w:ascii="Times New Roman" w:hAnsi="Times New Roman"/>
      <w:sz w:val="18"/>
      <w:szCs w:val="18"/>
    </w:rPr>
  </w:style>
  <w:style w:type="paragraph" w:styleId="26">
    <w:name w:val="header"/>
    <w:basedOn w:val="1"/>
    <w:link w:val="101"/>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27">
    <w:name w:val="toc 1"/>
    <w:basedOn w:val="1"/>
    <w:next w:val="1"/>
    <w:qFormat/>
    <w:uiPriority w:val="39"/>
  </w:style>
  <w:style w:type="paragraph" w:styleId="28">
    <w:name w:val="toc 4"/>
    <w:basedOn w:val="1"/>
    <w:next w:val="1"/>
    <w:unhideWhenUsed/>
    <w:qFormat/>
    <w:uiPriority w:val="39"/>
    <w:pPr>
      <w:ind w:left="1260" w:leftChars="600"/>
    </w:pPr>
    <w:rPr>
      <w:rFonts w:ascii="等线" w:hAnsi="等线" w:eastAsia="等线"/>
      <w:szCs w:val="22"/>
    </w:rPr>
  </w:style>
  <w:style w:type="paragraph" w:styleId="29">
    <w:name w:val="Subtitle"/>
    <w:basedOn w:val="1"/>
    <w:next w:val="1"/>
    <w:link w:val="91"/>
    <w:qFormat/>
    <w:uiPriority w:val="99"/>
    <w:pPr>
      <w:spacing w:before="240" w:after="60" w:line="312" w:lineRule="auto"/>
      <w:jc w:val="center"/>
      <w:outlineLvl w:val="1"/>
    </w:pPr>
    <w:rPr>
      <w:rFonts w:ascii="Calibri Light" w:hAnsi="Calibri Light"/>
      <w:b/>
      <w:bCs/>
      <w:kern w:val="28"/>
      <w:sz w:val="32"/>
      <w:szCs w:val="32"/>
    </w:rPr>
  </w:style>
  <w:style w:type="paragraph" w:styleId="30">
    <w:name w:val="toc 6"/>
    <w:basedOn w:val="1"/>
    <w:next w:val="1"/>
    <w:unhideWhenUsed/>
    <w:qFormat/>
    <w:uiPriority w:val="39"/>
    <w:pPr>
      <w:ind w:left="2100" w:leftChars="1000"/>
    </w:pPr>
    <w:rPr>
      <w:rFonts w:ascii="等线" w:hAnsi="等线" w:eastAsia="等线"/>
      <w:szCs w:val="22"/>
    </w:rPr>
  </w:style>
  <w:style w:type="paragraph" w:styleId="31">
    <w:name w:val="toc 2"/>
    <w:basedOn w:val="1"/>
    <w:next w:val="1"/>
    <w:qFormat/>
    <w:uiPriority w:val="39"/>
    <w:pPr>
      <w:tabs>
        <w:tab w:val="right" w:leader="dot" w:pos="8302"/>
      </w:tabs>
      <w:ind w:left="420" w:leftChars="200"/>
    </w:pPr>
  </w:style>
  <w:style w:type="paragraph" w:styleId="32">
    <w:name w:val="toc 9"/>
    <w:basedOn w:val="1"/>
    <w:next w:val="1"/>
    <w:unhideWhenUsed/>
    <w:qFormat/>
    <w:uiPriority w:val="39"/>
    <w:pPr>
      <w:ind w:left="3360" w:leftChars="1600"/>
    </w:pPr>
    <w:rPr>
      <w:rFonts w:ascii="等线" w:hAnsi="等线" w:eastAsia="等线"/>
      <w:szCs w:val="22"/>
    </w:rPr>
  </w:style>
  <w:style w:type="paragraph" w:styleId="33">
    <w:name w:val="Normal (Web)"/>
    <w:basedOn w:val="1"/>
    <w:qFormat/>
    <w:uiPriority w:val="99"/>
    <w:pPr>
      <w:widowControl/>
      <w:spacing w:before="100" w:after="100"/>
      <w:jc w:val="left"/>
    </w:pPr>
    <w:rPr>
      <w:rFonts w:hint="eastAsia" w:ascii="Arial Unicode MS" w:hAnsi="Arial Unicode MS" w:eastAsia="Arial Unicode MS"/>
      <w:kern w:val="0"/>
    </w:rPr>
  </w:style>
  <w:style w:type="paragraph" w:styleId="34">
    <w:name w:val="Title"/>
    <w:basedOn w:val="1"/>
    <w:next w:val="1"/>
    <w:link w:val="99"/>
    <w:qFormat/>
    <w:uiPriority w:val="99"/>
    <w:pPr>
      <w:spacing w:before="240" w:after="60" w:line="960" w:lineRule="auto"/>
      <w:jc w:val="center"/>
    </w:pPr>
    <w:rPr>
      <w:rFonts w:ascii="Cambria" w:hAnsi="Cambria" w:eastAsia="黑体"/>
      <w:b/>
      <w:bCs/>
      <w:sz w:val="52"/>
      <w:szCs w:val="32"/>
    </w:rPr>
  </w:style>
  <w:style w:type="paragraph" w:styleId="35">
    <w:name w:val="annotation subject"/>
    <w:basedOn w:val="16"/>
    <w:next w:val="16"/>
    <w:link w:val="87"/>
    <w:qFormat/>
    <w:uiPriority w:val="99"/>
    <w:rPr>
      <w:b/>
      <w:bCs/>
      <w:sz w:val="21"/>
    </w:rPr>
  </w:style>
  <w:style w:type="paragraph" w:styleId="36">
    <w:name w:val="Body Text First Indent"/>
    <w:basedOn w:val="17"/>
    <w:qFormat/>
    <w:uiPriority w:val="99"/>
    <w:pPr>
      <w:adjustRightInd w:val="0"/>
      <w:spacing w:before="100" w:beforeAutospacing="1" w:afterAutospacing="1" w:line="400" w:lineRule="atLeast"/>
      <w:ind w:firstLine="420" w:firstLineChars="100"/>
      <w:textAlignment w:val="baseline"/>
    </w:pPr>
    <w:rPr>
      <w:kern w:val="0"/>
      <w:sz w:val="24"/>
      <w:szCs w:val="20"/>
    </w:rPr>
  </w:style>
  <w:style w:type="paragraph" w:styleId="37">
    <w:name w:val="Body Text First Indent 2"/>
    <w:basedOn w:val="19"/>
    <w:qFormat/>
    <w:uiPriority w:val="0"/>
    <w:pPr>
      <w:ind w:firstLine="420"/>
    </w:pPr>
  </w:style>
  <w:style w:type="table" w:styleId="39">
    <w:name w:val="Table Grid"/>
    <w:basedOn w:val="38"/>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unhideWhenUsed/>
    <w:qFormat/>
    <w:uiPriority w:val="99"/>
    <w:rPr>
      <w:color w:val="954F72"/>
      <w:u w:val="single"/>
    </w:rPr>
  </w:style>
  <w:style w:type="character" w:styleId="43">
    <w:name w:val="Hyperlink"/>
    <w:qFormat/>
    <w:uiPriority w:val="99"/>
    <w:rPr>
      <w:color w:val="0000FF"/>
      <w:u w:val="single"/>
    </w:rPr>
  </w:style>
  <w:style w:type="character" w:styleId="44">
    <w:name w:val="annotation reference"/>
    <w:qFormat/>
    <w:uiPriority w:val="99"/>
    <w:rPr>
      <w:sz w:val="21"/>
      <w:szCs w:val="21"/>
    </w:rPr>
  </w:style>
  <w:style w:type="character" w:customStyle="1" w:styleId="45">
    <w:name w:val="标题 3 字符1"/>
    <w:qFormat/>
    <w:uiPriority w:val="0"/>
    <w:rPr>
      <w:rFonts w:ascii="宋体" w:hAnsi="宋体"/>
      <w:b/>
      <w:bCs/>
      <w:kern w:val="2"/>
      <w:sz w:val="28"/>
      <w:szCs w:val="28"/>
    </w:rPr>
  </w:style>
  <w:style w:type="character" w:customStyle="1" w:styleId="46">
    <w:name w:val="首行缩进正文 Char"/>
    <w:link w:val="47"/>
    <w:qFormat/>
    <w:uiPriority w:val="0"/>
    <w:rPr>
      <w:kern w:val="2"/>
      <w:sz w:val="24"/>
    </w:rPr>
  </w:style>
  <w:style w:type="paragraph" w:customStyle="1" w:styleId="47">
    <w:name w:val="首行缩进正文"/>
    <w:basedOn w:val="1"/>
    <w:link w:val="46"/>
    <w:qFormat/>
    <w:uiPriority w:val="0"/>
    <w:pPr>
      <w:widowControl/>
      <w:adjustRightInd w:val="0"/>
      <w:snapToGrid w:val="0"/>
      <w:spacing w:afterLines="50" w:line="276" w:lineRule="auto"/>
      <w:ind w:firstLine="420" w:firstLineChars="0"/>
      <w:jc w:val="left"/>
    </w:pPr>
    <w:rPr>
      <w:rFonts w:ascii="Times New Roman" w:hAnsi="Times New Roman"/>
      <w:szCs w:val="20"/>
    </w:rPr>
  </w:style>
  <w:style w:type="character" w:customStyle="1" w:styleId="48">
    <w:name w:val="批注文字 字符1"/>
    <w:link w:val="16"/>
    <w:qFormat/>
    <w:uiPriority w:val="99"/>
    <w:rPr>
      <w:rFonts w:eastAsia="仿宋"/>
      <w:kern w:val="2"/>
      <w:sz w:val="28"/>
      <w:szCs w:val="24"/>
    </w:rPr>
  </w:style>
  <w:style w:type="character" w:customStyle="1" w:styleId="49">
    <w:name w:val="日期 字符"/>
    <w:semiHidden/>
    <w:qFormat/>
    <w:uiPriority w:val="99"/>
    <w:rPr>
      <w:rFonts w:ascii="宋体" w:hAnsi="宋体"/>
      <w:kern w:val="2"/>
      <w:sz w:val="24"/>
      <w:szCs w:val="24"/>
    </w:rPr>
  </w:style>
  <w:style w:type="character" w:customStyle="1" w:styleId="50">
    <w:name w:val="日期 字符1"/>
    <w:link w:val="23"/>
    <w:qFormat/>
    <w:uiPriority w:val="99"/>
    <w:rPr>
      <w:kern w:val="2"/>
      <w:sz w:val="21"/>
      <w:szCs w:val="24"/>
    </w:rPr>
  </w:style>
  <w:style w:type="character" w:customStyle="1" w:styleId="51">
    <w:name w:val="标题 9 Char"/>
    <w:qFormat/>
    <w:uiPriority w:val="99"/>
    <w:rPr>
      <w:rFonts w:ascii="Cambria" w:hAnsi="Cambria"/>
      <w:kern w:val="2"/>
      <w:sz w:val="21"/>
      <w:szCs w:val="21"/>
    </w:rPr>
  </w:style>
  <w:style w:type="character" w:customStyle="1" w:styleId="52">
    <w:name w:val="未处理的提及1"/>
    <w:unhideWhenUsed/>
    <w:qFormat/>
    <w:uiPriority w:val="99"/>
    <w:rPr>
      <w:color w:val="605E5C"/>
      <w:shd w:val="clear" w:color="auto" w:fill="E1DFDD"/>
    </w:rPr>
  </w:style>
  <w:style w:type="character" w:customStyle="1" w:styleId="53">
    <w:name w:val="标题 1 字符"/>
    <w:qFormat/>
    <w:uiPriority w:val="9"/>
    <w:rPr>
      <w:rFonts w:ascii="宋体" w:hAnsi="宋体"/>
      <w:b/>
      <w:bCs/>
      <w:kern w:val="44"/>
      <w:sz w:val="44"/>
      <w:szCs w:val="44"/>
    </w:rPr>
  </w:style>
  <w:style w:type="character" w:customStyle="1" w:styleId="54">
    <w:name w:val="标题 3 字符"/>
    <w:semiHidden/>
    <w:qFormat/>
    <w:uiPriority w:val="9"/>
    <w:rPr>
      <w:rFonts w:ascii="宋体" w:hAnsi="宋体"/>
      <w:b/>
      <w:bCs/>
      <w:kern w:val="2"/>
      <w:sz w:val="32"/>
      <w:szCs w:val="32"/>
    </w:rPr>
  </w:style>
  <w:style w:type="character" w:customStyle="1" w:styleId="55">
    <w:name w:val="页脚 字符"/>
    <w:qFormat/>
    <w:uiPriority w:val="99"/>
  </w:style>
  <w:style w:type="character" w:customStyle="1" w:styleId="56">
    <w:name w:val="标题 5 字符"/>
    <w:semiHidden/>
    <w:qFormat/>
    <w:uiPriority w:val="9"/>
    <w:rPr>
      <w:rFonts w:ascii="宋体" w:hAnsi="宋体"/>
      <w:b/>
      <w:bCs/>
      <w:kern w:val="2"/>
      <w:sz w:val="28"/>
      <w:szCs w:val="28"/>
    </w:rPr>
  </w:style>
  <w:style w:type="character" w:customStyle="1" w:styleId="57">
    <w:name w:val="题注 Char"/>
    <w:qFormat/>
    <w:locked/>
    <w:uiPriority w:val="35"/>
    <w:rPr>
      <w:rFonts w:ascii="Arial" w:hAnsi="Arial" w:eastAsia="黑体"/>
      <w:kern w:val="2"/>
    </w:rPr>
  </w:style>
  <w:style w:type="character" w:customStyle="1" w:styleId="58">
    <w:name w:val="标题 2 字符"/>
    <w:semiHidden/>
    <w:qFormat/>
    <w:uiPriority w:val="9"/>
    <w:rPr>
      <w:rFonts w:ascii="等线 Light" w:hAnsi="等线 Light" w:eastAsia="等线 Light" w:cs="Times New Roman"/>
      <w:b/>
      <w:bCs/>
      <w:kern w:val="2"/>
      <w:sz w:val="32"/>
      <w:szCs w:val="32"/>
    </w:rPr>
  </w:style>
  <w:style w:type="character" w:customStyle="1" w:styleId="59">
    <w:name w:val="纯文本 字符"/>
    <w:qFormat/>
    <w:uiPriority w:val="0"/>
    <w:rPr>
      <w:rFonts w:ascii="宋体" w:hAnsi="Courier New" w:cs="Courier New"/>
      <w:kern w:val="2"/>
      <w:sz w:val="21"/>
      <w:szCs w:val="21"/>
    </w:rPr>
  </w:style>
  <w:style w:type="character" w:customStyle="1" w:styleId="60">
    <w:name w:val="列表段落 字符"/>
    <w:link w:val="61"/>
    <w:qFormat/>
    <w:uiPriority w:val="34"/>
    <w:rPr>
      <w:kern w:val="2"/>
      <w:sz w:val="21"/>
      <w:szCs w:val="22"/>
    </w:rPr>
  </w:style>
  <w:style w:type="paragraph" w:customStyle="1" w:styleId="61">
    <w:name w:val="列表段落1"/>
    <w:basedOn w:val="1"/>
    <w:link w:val="60"/>
    <w:qFormat/>
    <w:uiPriority w:val="34"/>
    <w:pPr>
      <w:widowControl/>
      <w:spacing w:after="200" w:line="276" w:lineRule="auto"/>
      <w:ind w:left="720" w:firstLine="0" w:firstLineChars="0"/>
      <w:contextualSpacing/>
      <w:jc w:val="left"/>
    </w:pPr>
    <w:rPr>
      <w:rFonts w:ascii="Times New Roman" w:hAnsi="Times New Roman"/>
      <w:sz w:val="21"/>
      <w:szCs w:val="22"/>
    </w:rPr>
  </w:style>
  <w:style w:type="character" w:customStyle="1" w:styleId="62">
    <w:name w:val="标题 4 字符1"/>
    <w:link w:val="6"/>
    <w:qFormat/>
    <w:uiPriority w:val="0"/>
    <w:rPr>
      <w:rFonts w:ascii="宋体" w:hAnsi="宋体"/>
      <w:b/>
      <w:bCs/>
      <w:kern w:val="2"/>
      <w:sz w:val="30"/>
      <w:szCs w:val="30"/>
    </w:rPr>
  </w:style>
  <w:style w:type="character" w:customStyle="1" w:styleId="63">
    <w:name w:val="正文文本 字符"/>
    <w:link w:val="17"/>
    <w:qFormat/>
    <w:uiPriority w:val="99"/>
    <w:rPr>
      <w:kern w:val="2"/>
      <w:sz w:val="21"/>
      <w:szCs w:val="24"/>
    </w:rPr>
  </w:style>
  <w:style w:type="character" w:customStyle="1" w:styleId="64">
    <w:name w:val="列表段落 字符1"/>
    <w:link w:val="65"/>
    <w:qFormat/>
    <w:uiPriority w:val="34"/>
    <w:rPr>
      <w:kern w:val="2"/>
      <w:sz w:val="21"/>
      <w:szCs w:val="24"/>
    </w:rPr>
  </w:style>
  <w:style w:type="paragraph" w:styleId="65">
    <w:name w:val="List Paragraph"/>
    <w:basedOn w:val="1"/>
    <w:link w:val="64"/>
    <w:qFormat/>
    <w:uiPriority w:val="34"/>
    <w:pPr>
      <w:ind w:firstLine="420"/>
    </w:pPr>
    <w:rPr>
      <w:rFonts w:ascii="Times New Roman" w:hAnsi="Times New Roman"/>
      <w:sz w:val="21"/>
    </w:rPr>
  </w:style>
  <w:style w:type="character" w:customStyle="1" w:styleId="66">
    <w:name w:val="font21"/>
    <w:qFormat/>
    <w:uiPriority w:val="0"/>
    <w:rPr>
      <w:rFonts w:ascii="Calibri" w:hAnsi="Calibri" w:cs="Calibri"/>
      <w:color w:val="000000"/>
      <w:sz w:val="21"/>
      <w:szCs w:val="21"/>
      <w:u w:val="none"/>
    </w:rPr>
  </w:style>
  <w:style w:type="character" w:customStyle="1" w:styleId="67">
    <w:name w:val="*正文 Char"/>
    <w:link w:val="68"/>
    <w:qFormat/>
    <w:uiPriority w:val="0"/>
    <w:rPr>
      <w:rFonts w:ascii="time" w:hAnsi="time"/>
      <w:sz w:val="24"/>
      <w:szCs w:val="24"/>
      <w:lang w:bidi="en-US"/>
    </w:rPr>
  </w:style>
  <w:style w:type="paragraph" w:customStyle="1" w:styleId="68">
    <w:name w:val="*正文"/>
    <w:basedOn w:val="1"/>
    <w:link w:val="67"/>
    <w:qFormat/>
    <w:uiPriority w:val="0"/>
    <w:pPr>
      <w:widowControl/>
      <w:ind w:firstLine="200"/>
      <w:contextualSpacing/>
    </w:pPr>
    <w:rPr>
      <w:rFonts w:ascii="time" w:hAnsi="time"/>
      <w:kern w:val="0"/>
      <w:lang w:bidi="en-US"/>
    </w:rPr>
  </w:style>
  <w:style w:type="character" w:customStyle="1" w:styleId="69">
    <w:name w:val="正文文本缩进 字符"/>
    <w:semiHidden/>
    <w:qFormat/>
    <w:uiPriority w:val="99"/>
    <w:rPr>
      <w:rFonts w:ascii="宋体" w:hAnsi="宋体"/>
      <w:kern w:val="2"/>
      <w:sz w:val="24"/>
      <w:szCs w:val="24"/>
    </w:rPr>
  </w:style>
  <w:style w:type="character" w:customStyle="1" w:styleId="70">
    <w:name w:val="纯文本 字符1"/>
    <w:link w:val="18"/>
    <w:qFormat/>
    <w:locked/>
    <w:uiPriority w:val="99"/>
    <w:rPr>
      <w:rFonts w:ascii="宋体" w:hAnsi="Courier New"/>
      <w:kern w:val="2"/>
      <w:sz w:val="21"/>
    </w:rPr>
  </w:style>
  <w:style w:type="character" w:customStyle="1" w:styleId="71">
    <w:name w:val="my正文 Char"/>
    <w:link w:val="72"/>
    <w:qFormat/>
    <w:uiPriority w:val="0"/>
    <w:rPr>
      <w:kern w:val="2"/>
      <w:sz w:val="21"/>
      <w:szCs w:val="24"/>
    </w:rPr>
  </w:style>
  <w:style w:type="paragraph" w:customStyle="1" w:styleId="72">
    <w:name w:val="my正文"/>
    <w:basedOn w:val="1"/>
    <w:link w:val="71"/>
    <w:qFormat/>
    <w:uiPriority w:val="0"/>
    <w:pPr>
      <w:spacing w:line="240" w:lineRule="auto"/>
      <w:ind w:firstLine="0" w:firstLineChars="0"/>
    </w:pPr>
    <w:rPr>
      <w:rFonts w:ascii="Times New Roman" w:hAnsi="Times New Roman"/>
      <w:sz w:val="21"/>
    </w:rPr>
  </w:style>
  <w:style w:type="character" w:customStyle="1" w:styleId="73">
    <w:name w:val="正文2 字符"/>
    <w:link w:val="74"/>
    <w:qFormat/>
    <w:uiPriority w:val="0"/>
    <w:rPr>
      <w:kern w:val="2"/>
      <w:sz w:val="21"/>
      <w:szCs w:val="24"/>
    </w:rPr>
  </w:style>
  <w:style w:type="paragraph" w:customStyle="1" w:styleId="74">
    <w:name w:val="正文2"/>
    <w:basedOn w:val="1"/>
    <w:link w:val="73"/>
    <w:qFormat/>
    <w:uiPriority w:val="0"/>
    <w:pPr>
      <w:ind w:firstLine="420"/>
    </w:pPr>
    <w:rPr>
      <w:rFonts w:ascii="Times New Roman" w:hAnsi="Times New Roman"/>
      <w:sz w:val="21"/>
    </w:rPr>
  </w:style>
  <w:style w:type="character" w:customStyle="1" w:styleId="75">
    <w:name w:val="font41"/>
    <w:qFormat/>
    <w:uiPriority w:val="0"/>
    <w:rPr>
      <w:rFonts w:hint="eastAsia" w:ascii="宋体" w:hAnsi="宋体" w:eastAsia="宋体" w:cs="宋体"/>
      <w:color w:val="000000"/>
      <w:sz w:val="21"/>
      <w:szCs w:val="21"/>
      <w:u w:val="none"/>
    </w:rPr>
  </w:style>
  <w:style w:type="character" w:customStyle="1" w:styleId="76">
    <w:name w:val="标题 7 Char"/>
    <w:qFormat/>
    <w:uiPriority w:val="99"/>
    <w:rPr>
      <w:b/>
      <w:bCs/>
      <w:kern w:val="2"/>
      <w:sz w:val="21"/>
      <w:szCs w:val="24"/>
    </w:rPr>
  </w:style>
  <w:style w:type="character" w:customStyle="1" w:styleId="77">
    <w:name w:val="批注框文本 字符"/>
    <w:semiHidden/>
    <w:qFormat/>
    <w:uiPriority w:val="99"/>
    <w:rPr>
      <w:rFonts w:ascii="宋体" w:hAnsi="宋体"/>
      <w:kern w:val="2"/>
      <w:sz w:val="18"/>
      <w:szCs w:val="18"/>
    </w:rPr>
  </w:style>
  <w:style w:type="character" w:customStyle="1" w:styleId="78">
    <w:name w:val="副标题 Char1"/>
    <w:qFormat/>
    <w:uiPriority w:val="0"/>
    <w:rPr>
      <w:rFonts w:ascii="Calibri Light" w:hAnsi="Calibri Light" w:cs="Times New Roman"/>
      <w:b/>
      <w:bCs/>
      <w:kern w:val="28"/>
      <w:sz w:val="32"/>
      <w:szCs w:val="32"/>
    </w:rPr>
  </w:style>
  <w:style w:type="character" w:customStyle="1" w:styleId="79">
    <w:name w:val="标题 1 字符1"/>
    <w:link w:val="2"/>
    <w:qFormat/>
    <w:uiPriority w:val="0"/>
    <w:rPr>
      <w:rFonts w:ascii="宋体" w:hAnsi="宋体" w:eastAsia="黑体"/>
      <w:b/>
      <w:bCs/>
      <w:kern w:val="44"/>
      <w:sz w:val="32"/>
      <w:szCs w:val="28"/>
    </w:rPr>
  </w:style>
  <w:style w:type="character" w:customStyle="1" w:styleId="80">
    <w:name w:val="批注文字 字符"/>
    <w:qFormat/>
    <w:uiPriority w:val="99"/>
    <w:rPr>
      <w:rFonts w:ascii="宋体" w:hAnsi="宋体"/>
      <w:kern w:val="2"/>
      <w:sz w:val="24"/>
      <w:szCs w:val="24"/>
    </w:rPr>
  </w:style>
  <w:style w:type="character" w:customStyle="1" w:styleId="81">
    <w:name w:val="文档结构图 字符"/>
    <w:semiHidden/>
    <w:qFormat/>
    <w:uiPriority w:val="99"/>
    <w:rPr>
      <w:rFonts w:ascii="Microsoft YaHei UI" w:hAnsi="宋体" w:eastAsia="Microsoft YaHei UI"/>
      <w:kern w:val="2"/>
      <w:sz w:val="18"/>
      <w:szCs w:val="18"/>
    </w:rPr>
  </w:style>
  <w:style w:type="character" w:customStyle="1" w:styleId="82">
    <w:name w:val="标题 6 字符"/>
    <w:semiHidden/>
    <w:qFormat/>
    <w:uiPriority w:val="9"/>
    <w:rPr>
      <w:rFonts w:ascii="等线 Light" w:hAnsi="等线 Light" w:eastAsia="等线 Light" w:cs="Times New Roman"/>
      <w:b/>
      <w:bCs/>
      <w:kern w:val="2"/>
      <w:sz w:val="24"/>
      <w:szCs w:val="24"/>
    </w:rPr>
  </w:style>
  <w:style w:type="character" w:customStyle="1" w:styleId="83">
    <w:name w:val="正文正文2 Char"/>
    <w:link w:val="84"/>
    <w:qFormat/>
    <w:uiPriority w:val="0"/>
    <w:rPr>
      <w:rFonts w:ascii="宋体" w:hAnsi="宋体"/>
      <w:kern w:val="2"/>
      <w:sz w:val="21"/>
      <w:szCs w:val="21"/>
    </w:rPr>
  </w:style>
  <w:style w:type="paragraph" w:customStyle="1" w:styleId="84">
    <w:name w:val="正文正文2"/>
    <w:basedOn w:val="1"/>
    <w:link w:val="83"/>
    <w:qFormat/>
    <w:uiPriority w:val="0"/>
    <w:pPr>
      <w:ind w:firstLine="460"/>
    </w:pPr>
    <w:rPr>
      <w:sz w:val="21"/>
      <w:szCs w:val="21"/>
    </w:rPr>
  </w:style>
  <w:style w:type="character" w:customStyle="1" w:styleId="85">
    <w:name w:val="标题 3 字符2"/>
    <w:link w:val="5"/>
    <w:qFormat/>
    <w:uiPriority w:val="0"/>
    <w:rPr>
      <w:rFonts w:ascii="宋体" w:hAnsi="宋体"/>
      <w:b/>
      <w:bCs/>
      <w:kern w:val="2"/>
      <w:sz w:val="28"/>
      <w:szCs w:val="28"/>
    </w:rPr>
  </w:style>
  <w:style w:type="character" w:customStyle="1" w:styleId="86">
    <w:name w:val="标题 4 字符"/>
    <w:semiHidden/>
    <w:qFormat/>
    <w:uiPriority w:val="9"/>
    <w:rPr>
      <w:rFonts w:ascii="等线 Light" w:hAnsi="等线 Light" w:eastAsia="等线 Light" w:cs="Times New Roman"/>
      <w:b/>
      <w:bCs/>
      <w:kern w:val="2"/>
      <w:sz w:val="28"/>
      <w:szCs w:val="28"/>
    </w:rPr>
  </w:style>
  <w:style w:type="character" w:customStyle="1" w:styleId="87">
    <w:name w:val="批注主题 字符1"/>
    <w:link w:val="35"/>
    <w:qFormat/>
    <w:uiPriority w:val="0"/>
    <w:rPr>
      <w:rFonts w:eastAsia="仿宋"/>
      <w:b/>
      <w:bCs/>
      <w:kern w:val="2"/>
      <w:sz w:val="21"/>
      <w:szCs w:val="24"/>
    </w:rPr>
  </w:style>
  <w:style w:type="character" w:customStyle="1" w:styleId="88">
    <w:name w:val="页眉 字符"/>
    <w:semiHidden/>
    <w:qFormat/>
    <w:uiPriority w:val="99"/>
    <w:rPr>
      <w:rFonts w:ascii="宋体" w:hAnsi="宋体"/>
      <w:kern w:val="2"/>
      <w:sz w:val="18"/>
      <w:szCs w:val="18"/>
    </w:rPr>
  </w:style>
  <w:style w:type="character" w:customStyle="1" w:styleId="89">
    <w:name w:val="正文文本缩进 字符1"/>
    <w:link w:val="19"/>
    <w:qFormat/>
    <w:uiPriority w:val="99"/>
    <w:rPr>
      <w:kern w:val="2"/>
      <w:sz w:val="21"/>
    </w:rPr>
  </w:style>
  <w:style w:type="character" w:customStyle="1" w:styleId="90">
    <w:name w:val="标题 5 字符1"/>
    <w:link w:val="7"/>
    <w:qFormat/>
    <w:uiPriority w:val="0"/>
    <w:rPr>
      <w:rFonts w:ascii="宋体" w:hAnsi="宋体"/>
      <w:b/>
      <w:bCs/>
      <w:kern w:val="2"/>
      <w:sz w:val="24"/>
      <w:szCs w:val="28"/>
    </w:rPr>
  </w:style>
  <w:style w:type="character" w:customStyle="1" w:styleId="91">
    <w:name w:val="副标题 字符1"/>
    <w:link w:val="29"/>
    <w:qFormat/>
    <w:uiPriority w:val="0"/>
    <w:rPr>
      <w:rFonts w:ascii="Calibri Light" w:hAnsi="Calibri Light"/>
      <w:b/>
      <w:bCs/>
      <w:kern w:val="28"/>
      <w:sz w:val="32"/>
      <w:szCs w:val="32"/>
    </w:rPr>
  </w:style>
  <w:style w:type="character" w:customStyle="1" w:styleId="92">
    <w:name w:val="标题 2 字符1"/>
    <w:link w:val="4"/>
    <w:qFormat/>
    <w:uiPriority w:val="0"/>
    <w:rPr>
      <w:rFonts w:ascii="宋体" w:hAnsi="宋体"/>
      <w:b/>
      <w:bCs/>
      <w:kern w:val="2"/>
      <w:sz w:val="30"/>
      <w:szCs w:val="32"/>
    </w:rPr>
  </w:style>
  <w:style w:type="character" w:customStyle="1" w:styleId="93">
    <w:name w:val="页脚 字符1"/>
    <w:link w:val="25"/>
    <w:qFormat/>
    <w:uiPriority w:val="99"/>
    <w:rPr>
      <w:kern w:val="2"/>
      <w:sz w:val="18"/>
      <w:szCs w:val="18"/>
    </w:rPr>
  </w:style>
  <w:style w:type="character" w:customStyle="1" w:styleId="94">
    <w:name w:val="批注主题 字符"/>
    <w:semiHidden/>
    <w:qFormat/>
    <w:uiPriority w:val="99"/>
    <w:rPr>
      <w:rFonts w:ascii="宋体" w:hAnsi="宋体"/>
      <w:b/>
      <w:bCs/>
      <w:kern w:val="2"/>
      <w:sz w:val="24"/>
      <w:szCs w:val="24"/>
    </w:rPr>
  </w:style>
  <w:style w:type="character" w:customStyle="1" w:styleId="95">
    <w:name w:val="文档结构图 字符1"/>
    <w:link w:val="15"/>
    <w:qFormat/>
    <w:uiPriority w:val="99"/>
    <w:rPr>
      <w:rFonts w:ascii="宋体"/>
      <w:kern w:val="2"/>
      <w:sz w:val="18"/>
      <w:szCs w:val="18"/>
    </w:rPr>
  </w:style>
  <w:style w:type="character" w:customStyle="1" w:styleId="96">
    <w:name w:val="font31"/>
    <w:qFormat/>
    <w:uiPriority w:val="0"/>
    <w:rPr>
      <w:rFonts w:hint="eastAsia" w:ascii="宋体" w:hAnsi="宋体" w:eastAsia="宋体" w:cs="宋体"/>
      <w:color w:val="000000"/>
      <w:sz w:val="21"/>
      <w:szCs w:val="21"/>
      <w:u w:val="none"/>
    </w:rPr>
  </w:style>
  <w:style w:type="character" w:customStyle="1" w:styleId="97">
    <w:name w:val="标准正文 Char"/>
    <w:link w:val="98"/>
    <w:qFormat/>
    <w:uiPriority w:val="0"/>
    <w:rPr>
      <w:rFonts w:ascii="Arial" w:hAnsi="Arial"/>
      <w:kern w:val="2"/>
      <w:sz w:val="24"/>
    </w:rPr>
  </w:style>
  <w:style w:type="paragraph" w:customStyle="1" w:styleId="98">
    <w:name w:val="标准正文"/>
    <w:basedOn w:val="19"/>
    <w:link w:val="97"/>
    <w:qFormat/>
    <w:uiPriority w:val="0"/>
    <w:pPr>
      <w:spacing w:before="60" w:after="60"/>
      <w:ind w:firstLine="482" w:firstLineChars="0"/>
    </w:pPr>
    <w:rPr>
      <w:rFonts w:ascii="Arial" w:hAnsi="Arial"/>
      <w:sz w:val="24"/>
    </w:rPr>
  </w:style>
  <w:style w:type="character" w:customStyle="1" w:styleId="99">
    <w:name w:val="标题 字符1"/>
    <w:link w:val="34"/>
    <w:qFormat/>
    <w:uiPriority w:val="0"/>
    <w:rPr>
      <w:rFonts w:ascii="Cambria" w:hAnsi="Cambria" w:eastAsia="黑体"/>
      <w:b/>
      <w:bCs/>
      <w:kern w:val="2"/>
      <w:sz w:val="52"/>
      <w:szCs w:val="32"/>
    </w:rPr>
  </w:style>
  <w:style w:type="character" w:customStyle="1" w:styleId="100">
    <w:name w:val="批注框文本 字符1"/>
    <w:link w:val="24"/>
    <w:qFormat/>
    <w:uiPriority w:val="99"/>
    <w:rPr>
      <w:kern w:val="2"/>
      <w:sz w:val="18"/>
      <w:szCs w:val="18"/>
    </w:rPr>
  </w:style>
  <w:style w:type="character" w:customStyle="1" w:styleId="101">
    <w:name w:val="页眉 字符1"/>
    <w:link w:val="26"/>
    <w:qFormat/>
    <w:uiPriority w:val="99"/>
    <w:rPr>
      <w:kern w:val="2"/>
      <w:sz w:val="18"/>
      <w:szCs w:val="18"/>
    </w:rPr>
  </w:style>
  <w:style w:type="character" w:customStyle="1" w:styleId="102">
    <w:name w:val="标题 8 Char"/>
    <w:qFormat/>
    <w:uiPriority w:val="99"/>
    <w:rPr>
      <w:rFonts w:ascii="Cambria" w:hAnsi="Cambria"/>
      <w:kern w:val="2"/>
      <w:sz w:val="21"/>
      <w:szCs w:val="24"/>
    </w:rPr>
  </w:style>
  <w:style w:type="character" w:customStyle="1" w:styleId="103">
    <w:name w:val="标题 6 字符1"/>
    <w:link w:val="8"/>
    <w:qFormat/>
    <w:uiPriority w:val="0"/>
    <w:rPr>
      <w:rFonts w:ascii="Cambria" w:hAnsi="Cambria"/>
      <w:b/>
      <w:bCs/>
      <w:kern w:val="2"/>
      <w:sz w:val="24"/>
      <w:szCs w:val="24"/>
    </w:rPr>
  </w:style>
  <w:style w:type="character" w:customStyle="1" w:styleId="104">
    <w:name w:val="标题 字符"/>
    <w:qFormat/>
    <w:uiPriority w:val="99"/>
    <w:rPr>
      <w:rFonts w:ascii="等线 Light" w:hAnsi="等线 Light" w:eastAsia="等线 Light" w:cs="Times New Roman"/>
      <w:b/>
      <w:bCs/>
      <w:kern w:val="2"/>
      <w:sz w:val="32"/>
      <w:szCs w:val="32"/>
    </w:rPr>
  </w:style>
  <w:style w:type="character" w:customStyle="1" w:styleId="105">
    <w:name w:val="副标题 字符"/>
    <w:qFormat/>
    <w:uiPriority w:val="99"/>
    <w:rPr>
      <w:rFonts w:ascii="等线" w:hAnsi="等线" w:eastAsia="等线" w:cs="Times New Roman"/>
      <w:b/>
      <w:bCs/>
      <w:kern w:val="28"/>
      <w:sz w:val="32"/>
      <w:szCs w:val="32"/>
    </w:rPr>
  </w:style>
  <w:style w:type="paragraph" w:customStyle="1" w:styleId="106">
    <w:name w:val="xl72"/>
    <w:basedOn w:val="1"/>
    <w:qFormat/>
    <w:uiPriority w:val="99"/>
    <w:pPr>
      <w:widowControl/>
      <w:spacing w:before="100" w:beforeAutospacing="1" w:after="100" w:afterAutospacing="1" w:line="240" w:lineRule="auto"/>
      <w:ind w:firstLine="0" w:firstLineChars="0"/>
      <w:jc w:val="center"/>
    </w:pPr>
    <w:rPr>
      <w:rFonts w:cs="宋体"/>
      <w:kern w:val="0"/>
    </w:rPr>
  </w:style>
  <w:style w:type="paragraph" w:customStyle="1" w:styleId="107">
    <w:name w:val="正文（深信服）"/>
    <w:qFormat/>
    <w:uiPriority w:val="99"/>
    <w:pPr>
      <w:spacing w:line="360" w:lineRule="auto"/>
      <w:ind w:firstLine="420"/>
    </w:pPr>
    <w:rPr>
      <w:rFonts w:ascii="Arial" w:hAnsi="Arial" w:eastAsia="宋体" w:cs="Times New Roman"/>
      <w:sz w:val="24"/>
      <w:szCs w:val="21"/>
      <w:shd w:val="clear" w:color="auto" w:fill="FFFFFF"/>
      <w:lang w:val="en-US" w:eastAsia="zh-CN" w:bidi="ar-SA"/>
    </w:rPr>
  </w:style>
  <w:style w:type="paragraph" w:customStyle="1" w:styleId="108">
    <w:name w:val="xl70"/>
    <w:basedOn w:val="1"/>
    <w:qFormat/>
    <w:uiPriority w:val="99"/>
    <w:pPr>
      <w:widowControl/>
      <w:pBdr>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09">
    <w:name w:val="_Style 2"/>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paragraph" w:customStyle="1" w:styleId="110">
    <w:name w:val="正文缩进1"/>
    <w:basedOn w:val="1"/>
    <w:qFormat/>
    <w:uiPriority w:val="99"/>
    <w:pPr>
      <w:spacing w:line="240" w:lineRule="auto"/>
      <w:ind w:firstLine="420"/>
    </w:pPr>
    <w:rPr>
      <w:rFonts w:ascii="Times New Roman" w:hAnsi="Times New Roman"/>
      <w:sz w:val="21"/>
      <w:szCs w:val="20"/>
    </w:rPr>
  </w:style>
  <w:style w:type="paragraph" w:customStyle="1" w:styleId="111">
    <w:name w:val="xl68"/>
    <w:basedOn w:val="1"/>
    <w:qFormat/>
    <w:uiPriority w:val="99"/>
    <w:pPr>
      <w:widowControl/>
      <w:pBdr>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12">
    <w:name w:val="前言、引言标题"/>
    <w:next w:val="1"/>
    <w:qFormat/>
    <w:uiPriority w:val="99"/>
    <w:pPr>
      <w:shd w:val="clear" w:color="FFFFFF" w:fill="FFFFFF"/>
      <w:tabs>
        <w:tab w:val="left" w:pos="425"/>
      </w:tabs>
      <w:spacing w:before="640" w:after="560"/>
      <w:jc w:val="center"/>
      <w:outlineLvl w:val="0"/>
    </w:pPr>
    <w:rPr>
      <w:rFonts w:ascii="黑体" w:hAnsi="Times New Roman" w:eastAsia="黑体" w:cs="Times New Roman"/>
      <w:sz w:val="32"/>
      <w:lang w:val="en-US" w:eastAsia="zh-CN" w:bidi="ar-SA"/>
    </w:rPr>
  </w:style>
  <w:style w:type="paragraph" w:customStyle="1" w:styleId="113">
    <w:name w:val="Indent Normal"/>
    <w:basedOn w:val="1"/>
    <w:qFormat/>
    <w:uiPriority w:val="99"/>
    <w:pPr>
      <w:ind w:firstLine="150" w:firstLineChars="150"/>
    </w:pPr>
  </w:style>
  <w:style w:type="paragraph" w:customStyle="1" w:styleId="114">
    <w:name w:val="msonormal"/>
    <w:basedOn w:val="1"/>
    <w:qFormat/>
    <w:uiPriority w:val="99"/>
    <w:pPr>
      <w:widowControl/>
      <w:spacing w:before="100" w:beforeAutospacing="1" w:after="100" w:afterAutospacing="1" w:line="240" w:lineRule="auto"/>
      <w:ind w:firstLine="0" w:firstLineChars="0"/>
      <w:jc w:val="left"/>
    </w:pPr>
    <w:rPr>
      <w:rFonts w:cs="宋体"/>
      <w:kern w:val="0"/>
    </w:rPr>
  </w:style>
  <w:style w:type="paragraph" w:customStyle="1" w:styleId="115">
    <w:name w:val="正文 缩进2字符"/>
    <w:basedOn w:val="1"/>
    <w:qFormat/>
    <w:uiPriority w:val="99"/>
    <w:pPr>
      <w:spacing w:afterLines="50" w:line="240" w:lineRule="auto"/>
      <w:ind w:firstLine="0" w:firstLineChars="0"/>
    </w:pPr>
    <w:rPr>
      <w:rFonts w:ascii="Times New Roman" w:hAnsi="Times New Roman" w:cs="宋体"/>
      <w:sz w:val="21"/>
      <w:szCs w:val="20"/>
    </w:rPr>
  </w:style>
  <w:style w:type="paragraph" w:customStyle="1" w:styleId="116">
    <w:name w:val="列项●（二级）"/>
    <w:qFormat/>
    <w:uiPriority w:val="99"/>
    <w:pPr>
      <w:numPr>
        <w:ilvl w:val="0"/>
        <w:numId w:val="2"/>
      </w:numPr>
      <w:tabs>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117">
    <w:name w:val="助手文本"/>
    <w:basedOn w:val="1"/>
    <w:qFormat/>
    <w:uiPriority w:val="99"/>
    <w:pPr>
      <w:autoSpaceDE w:val="0"/>
      <w:autoSpaceDN w:val="0"/>
      <w:adjustRightInd w:val="0"/>
      <w:spacing w:beforeLines="50" w:afterLines="50"/>
      <w:ind w:left="14" w:firstLine="434"/>
      <w:textAlignment w:val="baseline"/>
    </w:pPr>
    <w:rPr>
      <w:rFonts w:ascii="楷体_GB2312" w:eastAsia="楷体_GB2312"/>
      <w:kern w:val="0"/>
      <w:szCs w:val="20"/>
      <w:u w:val="single"/>
    </w:rPr>
  </w:style>
  <w:style w:type="paragraph" w:customStyle="1" w:styleId="118">
    <w:name w:val="xl67"/>
    <w:basedOn w:val="1"/>
    <w:qFormat/>
    <w:uiPriority w:val="99"/>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19">
    <w:name w:val="段"/>
    <w:qFormat/>
    <w:uiPriority w:val="99"/>
    <w:pPr>
      <w:autoSpaceDE w:val="0"/>
      <w:autoSpaceDN w:val="0"/>
      <w:ind w:firstLine="200" w:firstLineChars="200"/>
      <w:jc w:val="both"/>
    </w:pPr>
    <w:rPr>
      <w:rFonts w:ascii="宋体" w:hAnsi="Times New Roman" w:eastAsia="宋体" w:cs="Calibri"/>
      <w:sz w:val="21"/>
      <w:lang w:val="en-US" w:eastAsia="zh-CN" w:bidi="ar-SA"/>
    </w:rPr>
  </w:style>
  <w:style w:type="paragraph" w:customStyle="1" w:styleId="120">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cs="宋体"/>
      <w:kern w:val="0"/>
    </w:rPr>
  </w:style>
  <w:style w:type="paragraph" w:customStyle="1" w:styleId="121">
    <w:name w:val="Char Char Char Char Char Char1 Char"/>
    <w:basedOn w:val="1"/>
    <w:qFormat/>
    <w:uiPriority w:val="99"/>
    <w:pPr>
      <w:widowControl/>
      <w:spacing w:after="160" w:line="240" w:lineRule="exact"/>
      <w:jc w:val="left"/>
    </w:pPr>
  </w:style>
  <w:style w:type="paragraph" w:customStyle="1" w:styleId="122">
    <w:name w:val="PM_Body"/>
    <w:basedOn w:val="1"/>
    <w:qFormat/>
    <w:locked/>
    <w:uiPriority w:val="99"/>
    <w:rPr>
      <w:szCs w:val="21"/>
    </w:rPr>
  </w:style>
  <w:style w:type="paragraph" w:customStyle="1" w:styleId="123">
    <w:name w:val="Char Char1"/>
    <w:basedOn w:val="1"/>
    <w:qFormat/>
    <w:uiPriority w:val="99"/>
    <w:pPr>
      <w:widowControl/>
      <w:spacing w:before="120" w:after="120"/>
    </w:pPr>
    <w:rPr>
      <w:rFonts w:ascii="Times New Roman" w:hAnsi="Times New Roman" w:cs="宋体"/>
    </w:rPr>
  </w:style>
  <w:style w:type="paragraph" w:customStyle="1" w:styleId="124">
    <w:name w:val="xl71"/>
    <w:basedOn w:val="1"/>
    <w:qFormat/>
    <w:uiPriority w:val="99"/>
    <w:pPr>
      <w:widowControl/>
      <w:spacing w:before="100" w:beforeAutospacing="1" w:after="100" w:afterAutospacing="1" w:line="240" w:lineRule="auto"/>
      <w:ind w:firstLine="0" w:firstLineChars="0"/>
      <w:jc w:val="right"/>
      <w:textAlignment w:val="center"/>
    </w:pPr>
    <w:rPr>
      <w:rFonts w:ascii="Microsoft Sans Serif" w:hAnsi="Microsoft Sans Serif" w:cs="Microsoft Sans Serif"/>
      <w:kern w:val="0"/>
      <w:sz w:val="18"/>
      <w:szCs w:val="18"/>
    </w:rPr>
  </w:style>
  <w:style w:type="paragraph" w:customStyle="1" w:styleId="125">
    <w:name w:val="修订1"/>
    <w:unhideWhenUsed/>
    <w:qFormat/>
    <w:uiPriority w:val="99"/>
    <w:rPr>
      <w:rFonts w:ascii="宋体" w:hAnsi="宋体" w:eastAsia="宋体" w:cs="Times New Roman"/>
      <w:kern w:val="2"/>
      <w:sz w:val="24"/>
      <w:szCs w:val="24"/>
      <w:lang w:val="en-US" w:eastAsia="zh-CN" w:bidi="ar-SA"/>
    </w:rPr>
  </w:style>
  <w:style w:type="paragraph" w:customStyle="1" w:styleId="126">
    <w:name w:val="列出段落2"/>
    <w:basedOn w:val="1"/>
    <w:qFormat/>
    <w:uiPriority w:val="99"/>
    <w:pPr>
      <w:spacing w:line="240" w:lineRule="auto"/>
      <w:ind w:firstLine="420"/>
    </w:pPr>
    <w:rPr>
      <w:rFonts w:ascii="等线" w:hAnsi="等线" w:eastAsia="等线" w:cs="等线"/>
      <w:sz w:val="21"/>
      <w:szCs w:val="21"/>
    </w:rPr>
  </w:style>
  <w:style w:type="paragraph" w:customStyle="1" w:styleId="127">
    <w:name w:val="xl69"/>
    <w:basedOn w:val="1"/>
    <w:qFormat/>
    <w:uiPriority w:val="99"/>
    <w:pPr>
      <w:widowControl/>
      <w:pBdr>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kern w:val="0"/>
      <w:sz w:val="18"/>
      <w:szCs w:val="18"/>
    </w:rPr>
  </w:style>
  <w:style w:type="paragraph" w:customStyle="1" w:styleId="128">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Microsoft Sans Serif" w:hAnsi="Microsoft Sans Serif" w:cs="Microsoft Sans Serif"/>
      <w:b/>
      <w:bCs/>
      <w:kern w:val="0"/>
      <w:sz w:val="18"/>
      <w:szCs w:val="18"/>
    </w:rPr>
  </w:style>
  <w:style w:type="paragraph" w:customStyle="1" w:styleId="129">
    <w:name w:val="文档正文文本（中安网脉）"/>
    <w:basedOn w:val="1"/>
    <w:qFormat/>
    <w:uiPriority w:val="99"/>
    <w:pPr>
      <w:ind w:firstLine="200"/>
    </w:pPr>
    <w:rPr>
      <w:rFonts w:ascii="Times New Roman" w:hAnsi="Times New Roman" w:eastAsia="仿宋_GB2312"/>
      <w:color w:val="000000"/>
      <w:szCs w:val="28"/>
    </w:rPr>
  </w:style>
  <w:style w:type="paragraph" w:customStyle="1" w:styleId="130">
    <w:name w:val="xl65"/>
    <w:basedOn w:val="1"/>
    <w:qFormat/>
    <w:uiPriority w:val="99"/>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ascii="Microsoft Sans Serif" w:hAnsi="Microsoft Sans Serif" w:cs="Microsoft Sans Serif"/>
      <w:kern w:val="0"/>
      <w:sz w:val="18"/>
      <w:szCs w:val="18"/>
    </w:rPr>
  </w:style>
  <w:style w:type="paragraph" w:customStyle="1" w:styleId="131">
    <w:name w:val="正文样式"/>
    <w:unhideWhenUsed/>
    <w:qFormat/>
    <w:uiPriority w:val="99"/>
    <w:pPr>
      <w:widowControl w:val="0"/>
      <w:adjustRightInd w:val="0"/>
      <w:snapToGrid w:val="0"/>
      <w:spacing w:line="360" w:lineRule="auto"/>
      <w:ind w:firstLine="200" w:firstLineChars="200"/>
      <w:jc w:val="both"/>
    </w:pPr>
    <w:rPr>
      <w:rFonts w:ascii="Times New Roman" w:hAnsi="Times New Roman" w:eastAsia="宋体" w:cs="Times New Roman"/>
      <w:bCs/>
      <w:snapToGrid w:val="0"/>
      <w:sz w:val="24"/>
      <w:szCs w:val="44"/>
      <w:lang w:val="en-US" w:eastAsia="zh-CN" w:bidi="ar-SA"/>
    </w:rPr>
  </w:style>
  <w:style w:type="paragraph" w:customStyle="1" w:styleId="132">
    <w:name w:val="样式 行距: 1.5 倍行距 首行缩进:  2 字符"/>
    <w:basedOn w:val="1"/>
    <w:qFormat/>
    <w:uiPriority w:val="99"/>
    <w:pPr>
      <w:ind w:firstLine="560"/>
      <w:jc w:val="left"/>
    </w:pPr>
    <w:rPr>
      <w:rFonts w:ascii="仿宋" w:hAnsi="仿宋" w:eastAsia="仿宋" w:cs="宋体"/>
      <w:sz w:val="28"/>
      <w:szCs w:val="20"/>
    </w:rPr>
  </w:style>
  <w:style w:type="paragraph" w:customStyle="1" w:styleId="133">
    <w:name w:val="TOC 标题1"/>
    <w:basedOn w:val="2"/>
    <w:next w:val="1"/>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table" w:customStyle="1" w:styleId="134">
    <w:name w:val="!我的表格1"/>
    <w:basedOn w:val="3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5">
    <w:name w:val="网格型1"/>
    <w:basedOn w:val="38"/>
    <w:unhideWhenUsed/>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6">
    <w:name w:val="标题 1 Char"/>
    <w:qFormat/>
    <w:uiPriority w:val="0"/>
    <w:rPr>
      <w:rFonts w:ascii="宋体" w:hAnsi="宋体" w:eastAsia="黑体"/>
      <w:b/>
      <w:bCs/>
      <w:kern w:val="44"/>
      <w:sz w:val="32"/>
      <w:szCs w:val="28"/>
    </w:rPr>
  </w:style>
  <w:style w:type="character" w:customStyle="1" w:styleId="137">
    <w:name w:val="纯文本 Char2"/>
    <w:qFormat/>
    <w:uiPriority w:val="0"/>
    <w:rPr>
      <w:rFonts w:ascii="宋体" w:hAnsi="宋体" w:eastAsia="宋体" w:cs="Times New Roman"/>
      <w:color w:val="000000"/>
      <w:kern w:val="0"/>
      <w:sz w:val="24"/>
      <w:szCs w:val="24"/>
    </w:rPr>
  </w:style>
  <w:style w:type="paragraph" w:customStyle="1" w:styleId="138">
    <w:name w:val="可研正文"/>
    <w:basedOn w:val="1"/>
    <w:link w:val="139"/>
    <w:qFormat/>
    <w:uiPriority w:val="0"/>
    <w:pPr>
      <w:ind w:firstLine="200"/>
    </w:pPr>
    <w:rPr>
      <w:rFonts w:ascii="仿宋" w:hAnsi="仿宋" w:eastAsia="仿宋" w:cstheme="minorBidi"/>
      <w:sz w:val="28"/>
      <w:szCs w:val="28"/>
    </w:rPr>
  </w:style>
  <w:style w:type="character" w:customStyle="1" w:styleId="139">
    <w:name w:val="可研正文 Char"/>
    <w:link w:val="138"/>
    <w:qFormat/>
    <w:uiPriority w:val="0"/>
    <w:rPr>
      <w:rFonts w:ascii="仿宋" w:hAnsi="仿宋" w:eastAsia="仿宋" w:cstheme="minorBidi"/>
      <w:kern w:val="2"/>
      <w:sz w:val="28"/>
      <w:szCs w:val="28"/>
    </w:rPr>
  </w:style>
  <w:style w:type="paragraph" w:customStyle="1" w:styleId="140">
    <w:name w:val="font5"/>
    <w:basedOn w:val="1"/>
    <w:qFormat/>
    <w:uiPriority w:val="99"/>
    <w:pPr>
      <w:widowControl/>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141">
    <w:name w:val="xl63"/>
    <w:basedOn w:val="1"/>
    <w:qFormat/>
    <w:uiPriority w:val="99"/>
    <w:pPr>
      <w:widowControl/>
      <w:spacing w:before="100" w:beforeAutospacing="1" w:after="100" w:afterAutospacing="1" w:line="240" w:lineRule="auto"/>
      <w:ind w:firstLine="0" w:firstLineChars="0"/>
      <w:jc w:val="left"/>
    </w:pPr>
    <w:rPr>
      <w:rFonts w:cs="宋体"/>
      <w:kern w:val="0"/>
    </w:rPr>
  </w:style>
  <w:style w:type="paragraph" w:customStyle="1" w:styleId="142">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center"/>
    </w:pPr>
    <w:rPr>
      <w:rFonts w:cs="宋体"/>
      <w:kern w:val="0"/>
    </w:rPr>
  </w:style>
  <w:style w:type="paragraph" w:customStyle="1" w:styleId="143">
    <w:name w:val="0可研正文"/>
    <w:basedOn w:val="1"/>
    <w:link w:val="144"/>
    <w:qFormat/>
    <w:uiPriority w:val="0"/>
    <w:pPr>
      <w:ind w:firstLine="200"/>
    </w:pPr>
    <w:rPr>
      <w:rFonts w:ascii="仿宋" w:hAnsi="仿宋" w:eastAsia="仿宋" w:cstheme="minorBidi"/>
      <w:sz w:val="28"/>
      <w:szCs w:val="28"/>
    </w:rPr>
  </w:style>
  <w:style w:type="character" w:customStyle="1" w:styleId="144">
    <w:name w:val="0可研正文 字符"/>
    <w:link w:val="143"/>
    <w:qFormat/>
    <w:uiPriority w:val="0"/>
    <w:rPr>
      <w:rFonts w:ascii="仿宋" w:hAnsi="仿宋" w:eastAsia="仿宋" w:cstheme="minorBidi"/>
      <w:kern w:val="2"/>
      <w:sz w:val="28"/>
      <w:szCs w:val="28"/>
    </w:rPr>
  </w:style>
  <w:style w:type="paragraph" w:customStyle="1" w:styleId="145">
    <w:name w:val="0表格"/>
    <w:basedOn w:val="1"/>
    <w:link w:val="146"/>
    <w:qFormat/>
    <w:uiPriority w:val="0"/>
    <w:pPr>
      <w:ind w:firstLine="0" w:firstLineChars="0"/>
    </w:pPr>
    <w:rPr>
      <w:rFonts w:ascii="仿宋" w:hAnsi="仿宋" w:eastAsia="仿宋"/>
    </w:rPr>
  </w:style>
  <w:style w:type="character" w:customStyle="1" w:styleId="146">
    <w:name w:val="0表格 Char"/>
    <w:basedOn w:val="40"/>
    <w:link w:val="145"/>
    <w:qFormat/>
    <w:uiPriority w:val="0"/>
    <w:rPr>
      <w:rFonts w:ascii="仿宋" w:hAnsi="仿宋" w:eastAsia="仿宋"/>
      <w:kern w:val="2"/>
      <w:sz w:val="24"/>
      <w:szCs w:val="24"/>
    </w:rPr>
  </w:style>
  <w:style w:type="paragraph" w:customStyle="1" w:styleId="147">
    <w:name w:val="0table"/>
    <w:basedOn w:val="145"/>
    <w:link w:val="148"/>
    <w:qFormat/>
    <w:uiPriority w:val="0"/>
    <w:pPr>
      <w:spacing w:line="288" w:lineRule="auto"/>
    </w:pPr>
    <w:rPr>
      <w:sz w:val="21"/>
      <w:szCs w:val="21"/>
    </w:rPr>
  </w:style>
  <w:style w:type="character" w:customStyle="1" w:styleId="148">
    <w:name w:val="0table Char"/>
    <w:basedOn w:val="146"/>
    <w:link w:val="147"/>
    <w:qFormat/>
    <w:uiPriority w:val="0"/>
    <w:rPr>
      <w:rFonts w:ascii="仿宋" w:hAnsi="仿宋" w:eastAsia="仿宋"/>
      <w:kern w:val="2"/>
      <w:sz w:val="21"/>
      <w:szCs w:val="21"/>
    </w:rPr>
  </w:style>
  <w:style w:type="paragraph" w:customStyle="1" w:styleId="149">
    <w:name w:val="0正文"/>
    <w:basedOn w:val="1"/>
    <w:link w:val="150"/>
    <w:qFormat/>
    <w:uiPriority w:val="0"/>
    <w:pPr>
      <w:ind w:firstLine="200"/>
    </w:pPr>
    <w:rPr>
      <w:rFonts w:ascii="仿宋" w:hAnsi="仿宋" w:eastAsia="仿宋" w:cstheme="minorBidi"/>
      <w:sz w:val="28"/>
      <w:szCs w:val="28"/>
    </w:rPr>
  </w:style>
  <w:style w:type="character" w:customStyle="1" w:styleId="150">
    <w:name w:val="0正文 Char"/>
    <w:link w:val="149"/>
    <w:qFormat/>
    <w:uiPriority w:val="0"/>
    <w:rPr>
      <w:rFonts w:ascii="仿宋" w:hAnsi="仿宋" w:eastAsia="仿宋" w:cstheme="minorBidi"/>
      <w:kern w:val="2"/>
      <w:sz w:val="28"/>
      <w:szCs w:val="28"/>
    </w:rPr>
  </w:style>
  <w:style w:type="character" w:customStyle="1" w:styleId="151">
    <w:name w:val="0标题3"/>
    <w:basedOn w:val="40"/>
    <w:qFormat/>
    <w:uiPriority w:val="0"/>
    <w:rPr>
      <w:sz w:val="28"/>
    </w:rPr>
  </w:style>
  <w:style w:type="paragraph" w:customStyle="1" w:styleId="152">
    <w:name w:val="修订2"/>
    <w:hidden/>
    <w:semiHidden/>
    <w:qFormat/>
    <w:uiPriority w:val="99"/>
    <w:rPr>
      <w:rFonts w:ascii="宋体" w:hAnsi="宋体" w:eastAsia="宋体" w:cs="Times New Roman"/>
      <w:kern w:val="2"/>
      <w:sz w:val="24"/>
      <w:szCs w:val="24"/>
      <w:lang w:val="en-US" w:eastAsia="zh-CN" w:bidi="ar-SA"/>
    </w:rPr>
  </w:style>
  <w:style w:type="paragraph" w:customStyle="1" w:styleId="153">
    <w:name w:val="TOC 标题2"/>
    <w:basedOn w:val="2"/>
    <w:next w:val="1"/>
    <w:semiHidden/>
    <w:unhideWhenUsed/>
    <w:qFormat/>
    <w:uiPriority w:val="39"/>
    <w:pPr>
      <w:widowControl/>
      <w:numPr>
        <w:numId w:val="0"/>
      </w:numPr>
      <w:spacing w:before="480" w:after="0" w:line="276" w:lineRule="auto"/>
      <w:jc w:val="left"/>
      <w:outlineLvl w:val="9"/>
    </w:pPr>
    <w:rPr>
      <w:rFonts w:ascii="Cambria" w:hAnsi="Cambria" w:eastAsia="宋体"/>
      <w:color w:val="365F91"/>
      <w:kern w:val="0"/>
      <w:sz w:val="28"/>
    </w:rPr>
  </w:style>
  <w:style w:type="character" w:customStyle="1" w:styleId="154">
    <w:name w:val="批注文字 字符2"/>
    <w:basedOn w:val="40"/>
    <w:semiHidden/>
    <w:qFormat/>
    <w:uiPriority w:val="99"/>
    <w:rPr>
      <w:rFonts w:hint="eastAsia" w:ascii="宋体" w:hAnsi="宋体" w:eastAsia="宋体"/>
      <w:kern w:val="2"/>
      <w:sz w:val="24"/>
      <w:szCs w:val="24"/>
    </w:rPr>
  </w:style>
  <w:style w:type="character" w:customStyle="1" w:styleId="155">
    <w:name w:val="批注主题 字符2"/>
    <w:basedOn w:val="154"/>
    <w:semiHidden/>
    <w:qFormat/>
    <w:uiPriority w:val="99"/>
    <w:rPr>
      <w:rFonts w:hint="eastAsia" w:ascii="宋体" w:hAnsi="宋体" w:eastAsia="宋体"/>
      <w:b/>
      <w:bCs/>
      <w:kern w:val="2"/>
      <w:sz w:val="24"/>
      <w:szCs w:val="24"/>
    </w:rPr>
  </w:style>
  <w:style w:type="character" w:customStyle="1" w:styleId="156">
    <w:name w:val="页脚 字符2"/>
    <w:basedOn w:val="40"/>
    <w:semiHidden/>
    <w:qFormat/>
    <w:uiPriority w:val="99"/>
    <w:rPr>
      <w:rFonts w:hint="eastAsia" w:ascii="宋体" w:hAnsi="宋体" w:eastAsia="宋体"/>
      <w:kern w:val="2"/>
      <w:sz w:val="18"/>
      <w:szCs w:val="18"/>
    </w:rPr>
  </w:style>
  <w:style w:type="character" w:customStyle="1" w:styleId="157">
    <w:name w:val="日期 字符2"/>
    <w:basedOn w:val="40"/>
    <w:semiHidden/>
    <w:qFormat/>
    <w:uiPriority w:val="99"/>
    <w:rPr>
      <w:rFonts w:hint="eastAsia" w:ascii="宋体" w:hAnsi="宋体" w:eastAsia="宋体"/>
      <w:kern w:val="2"/>
      <w:sz w:val="24"/>
      <w:szCs w:val="24"/>
    </w:rPr>
  </w:style>
  <w:style w:type="character" w:customStyle="1" w:styleId="158">
    <w:name w:val="正文文本缩进 字符2"/>
    <w:basedOn w:val="40"/>
    <w:semiHidden/>
    <w:qFormat/>
    <w:uiPriority w:val="99"/>
    <w:rPr>
      <w:rFonts w:hint="eastAsia" w:ascii="宋体" w:hAnsi="宋体" w:eastAsia="宋体"/>
      <w:kern w:val="2"/>
      <w:sz w:val="24"/>
      <w:szCs w:val="24"/>
    </w:rPr>
  </w:style>
  <w:style w:type="character" w:customStyle="1" w:styleId="159">
    <w:name w:val="页眉 字符2"/>
    <w:basedOn w:val="40"/>
    <w:semiHidden/>
    <w:qFormat/>
    <w:uiPriority w:val="99"/>
    <w:rPr>
      <w:rFonts w:hint="eastAsia" w:ascii="宋体" w:hAnsi="宋体" w:eastAsia="宋体"/>
      <w:kern w:val="2"/>
      <w:sz w:val="18"/>
      <w:szCs w:val="18"/>
    </w:rPr>
  </w:style>
  <w:style w:type="character" w:customStyle="1" w:styleId="160">
    <w:name w:val="批注框文本 字符2"/>
    <w:basedOn w:val="40"/>
    <w:semiHidden/>
    <w:qFormat/>
    <w:uiPriority w:val="99"/>
    <w:rPr>
      <w:rFonts w:hint="eastAsia" w:ascii="宋体" w:hAnsi="宋体" w:eastAsia="宋体"/>
      <w:kern w:val="2"/>
      <w:sz w:val="18"/>
      <w:szCs w:val="18"/>
    </w:rPr>
  </w:style>
  <w:style w:type="character" w:customStyle="1" w:styleId="161">
    <w:name w:val="副标题 字符2"/>
    <w:basedOn w:val="40"/>
    <w:qFormat/>
    <w:uiPriority w:val="11"/>
    <w:rPr>
      <w:rFonts w:hint="default" w:asciiTheme="minorHAnsi" w:hAnsiTheme="minorHAnsi" w:eastAsiaTheme="minorEastAsia" w:cstheme="minorBidi"/>
      <w:b/>
      <w:bCs/>
      <w:kern w:val="28"/>
      <w:sz w:val="32"/>
      <w:szCs w:val="32"/>
    </w:rPr>
  </w:style>
  <w:style w:type="character" w:customStyle="1" w:styleId="162">
    <w:name w:val="纯文本 字符2"/>
    <w:basedOn w:val="40"/>
    <w:semiHidden/>
    <w:qFormat/>
    <w:uiPriority w:val="99"/>
    <w:rPr>
      <w:rFonts w:hint="eastAsia" w:hAnsi="Courier New" w:cs="Courier New" w:asciiTheme="minorEastAsia" w:eastAsiaTheme="minorEastAsia"/>
      <w:kern w:val="2"/>
      <w:sz w:val="24"/>
      <w:szCs w:val="24"/>
    </w:rPr>
  </w:style>
  <w:style w:type="character" w:customStyle="1" w:styleId="163">
    <w:name w:val="标题 字符2"/>
    <w:basedOn w:val="40"/>
    <w:qFormat/>
    <w:uiPriority w:val="10"/>
    <w:rPr>
      <w:rFonts w:hint="default" w:asciiTheme="majorHAnsi" w:hAnsiTheme="majorHAnsi" w:eastAsiaTheme="majorEastAsia" w:cstheme="majorBidi"/>
      <w:b/>
      <w:bCs/>
      <w:kern w:val="2"/>
      <w:sz w:val="32"/>
      <w:szCs w:val="32"/>
    </w:rPr>
  </w:style>
  <w:style w:type="character" w:customStyle="1" w:styleId="164">
    <w:name w:val="正文文本 字符1"/>
    <w:basedOn w:val="40"/>
    <w:semiHidden/>
    <w:qFormat/>
    <w:uiPriority w:val="99"/>
    <w:rPr>
      <w:rFonts w:hint="eastAsia" w:ascii="宋体" w:hAnsi="宋体" w:eastAsia="宋体"/>
      <w:kern w:val="2"/>
      <w:sz w:val="24"/>
      <w:szCs w:val="24"/>
    </w:rPr>
  </w:style>
  <w:style w:type="character" w:customStyle="1" w:styleId="165">
    <w:name w:val="文档结构图 字符2"/>
    <w:basedOn w:val="40"/>
    <w:semiHidden/>
    <w:qFormat/>
    <w:uiPriority w:val="99"/>
    <w:rPr>
      <w:rFonts w:hint="eastAsia" w:ascii="Microsoft YaHei UI" w:hAnsi="宋体" w:eastAsia="Microsoft YaHei UI"/>
      <w:kern w:val="2"/>
      <w:sz w:val="18"/>
      <w:szCs w:val="18"/>
    </w:rPr>
  </w:style>
  <w:style w:type="character" w:customStyle="1" w:styleId="166">
    <w:name w:val="未处理的提及2"/>
    <w:basedOn w:val="40"/>
    <w:semiHidden/>
    <w:unhideWhenUsed/>
    <w:qFormat/>
    <w:uiPriority w:val="99"/>
    <w:rPr>
      <w:color w:val="605E5C"/>
      <w:shd w:val="clear" w:color="auto" w:fill="E1DFDD"/>
    </w:rPr>
  </w:style>
  <w:style w:type="character" w:customStyle="1" w:styleId="167">
    <w:name w:val="font11"/>
    <w:basedOn w:val="40"/>
    <w:qFormat/>
    <w:uiPriority w:val="0"/>
    <w:rPr>
      <w:rFonts w:hint="eastAsia" w:ascii="宋体" w:hAnsi="宋体" w:eastAsia="宋体" w:cs="宋体"/>
      <w:b/>
      <w:bCs/>
      <w:color w:val="000000"/>
      <w:sz w:val="21"/>
      <w:szCs w:val="21"/>
      <w:u w:val="none"/>
    </w:rPr>
  </w:style>
  <w:style w:type="character" w:customStyle="1" w:styleId="168">
    <w:name w:val="font51"/>
    <w:basedOn w:val="40"/>
    <w:qFormat/>
    <w:uiPriority w:val="0"/>
    <w:rPr>
      <w:rFonts w:hint="eastAsia" w:ascii="宋体" w:hAnsi="宋体" w:eastAsia="宋体" w:cs="宋体"/>
      <w:color w:val="000000"/>
      <w:sz w:val="21"/>
      <w:szCs w:val="21"/>
      <w:u w:val="none"/>
    </w:rPr>
  </w:style>
  <w:style w:type="paragraph" w:customStyle="1" w:styleId="169">
    <w:name w:val="修订3"/>
    <w:hidden/>
    <w:unhideWhenUsed/>
    <w:qFormat/>
    <w:uiPriority w:val="99"/>
    <w:rPr>
      <w:rFonts w:ascii="宋体" w:hAnsi="宋体" w:eastAsia="宋体" w:cs="Times New Roman"/>
      <w:kern w:val="2"/>
      <w:sz w:val="24"/>
      <w:szCs w:val="24"/>
      <w:lang w:val="en-US" w:eastAsia="zh-CN" w:bidi="ar-SA"/>
    </w:rPr>
  </w:style>
  <w:style w:type="paragraph" w:customStyle="1" w:styleId="170">
    <w:name w:val="表格"/>
    <w:basedOn w:val="1"/>
    <w:qFormat/>
    <w:uiPriority w:val="0"/>
    <w:pPr>
      <w:ind w:firstLine="0" w:firstLineChars="0"/>
      <w:jc w:val="center"/>
    </w:pPr>
    <w:rPr>
      <w:rFonts w:ascii="仿宋" w:hAnsi="仿宋" w:cs="宋体"/>
      <w:szCs w:val="20"/>
    </w:rPr>
  </w:style>
  <w:style w:type="paragraph" w:customStyle="1" w:styleId="171">
    <w:name w:val="修订4"/>
    <w:hidden/>
    <w:unhideWhenUsed/>
    <w:qFormat/>
    <w:uiPriority w:val="99"/>
    <w:rPr>
      <w:rFonts w:ascii="宋体" w:hAnsi="宋体" w:eastAsia="宋体" w:cs="Times New Roman"/>
      <w:kern w:val="2"/>
      <w:sz w:val="24"/>
      <w:szCs w:val="24"/>
      <w:lang w:val="en-US" w:eastAsia="zh-CN" w:bidi="ar-SA"/>
    </w:rPr>
  </w:style>
  <w:style w:type="paragraph" w:customStyle="1" w:styleId="172">
    <w:name w:val="修订5"/>
    <w:hidden/>
    <w:unhideWhenUsed/>
    <w:qFormat/>
    <w:uiPriority w:val="99"/>
    <w:rPr>
      <w:rFonts w:ascii="宋体" w:hAnsi="宋体" w:eastAsia="宋体" w:cs="Times New Roman"/>
      <w:kern w:val="2"/>
      <w:sz w:val="24"/>
      <w:szCs w:val="24"/>
      <w:lang w:val="en-US" w:eastAsia="zh-CN" w:bidi="ar-SA"/>
    </w:rPr>
  </w:style>
  <w:style w:type="paragraph" w:customStyle="1" w:styleId="173">
    <w:name w:val="表格字体样式"/>
    <w:basedOn w:val="1"/>
    <w:qFormat/>
    <w:uiPriority w:val="0"/>
    <w:pPr>
      <w:widowControl/>
      <w:bidi/>
      <w:spacing w:before="30" w:beforeLines="30" w:after="30" w:afterLines="30" w:line="300" w:lineRule="exact"/>
      <w:jc w:val="left"/>
    </w:pPr>
    <w:rPr>
      <w:rFonts w:hint="eastAsia"/>
      <w:kern w:val="0"/>
    </w:rPr>
  </w:style>
  <w:style w:type="character" w:customStyle="1" w:styleId="174">
    <w:name w:val="正文缩进 字符"/>
    <w:basedOn w:val="40"/>
    <w:link w:val="13"/>
    <w:qFormat/>
    <w:uiPriority w:val="99"/>
    <w:rPr>
      <w:rFonts w:hint="default" w:ascii="Calibri" w:hAnsi="Calibri" w:eastAsia="宋体" w:cs="Times New Roman"/>
      <w:kern w:val="2"/>
      <w:sz w:val="21"/>
      <w:szCs w:val="22"/>
    </w:rPr>
  </w:style>
  <w:style w:type="character" w:customStyle="1" w:styleId="175">
    <w:name w:val="标题 7 字符"/>
    <w:basedOn w:val="40"/>
    <w:link w:val="9"/>
    <w:qFormat/>
    <w:uiPriority w:val="0"/>
    <w:rPr>
      <w:rFonts w:hint="eastAsia" w:ascii="仿宋" w:hAnsi="仿宋" w:eastAsia="仿宋" w:cs="仿宋"/>
      <w:b/>
      <w:bCs/>
      <w:color w:val="000000"/>
      <w:kern w:val="2"/>
      <w:sz w:val="24"/>
      <w:szCs w:val="22"/>
    </w:rPr>
  </w:style>
  <w:style w:type="character" w:customStyle="1" w:styleId="176">
    <w:name w:val="标题 8 字符"/>
    <w:basedOn w:val="40"/>
    <w:link w:val="10"/>
    <w:qFormat/>
    <w:uiPriority w:val="0"/>
    <w:rPr>
      <w:rFonts w:hint="eastAsia" w:ascii="仿宋" w:hAnsi="仿宋" w:eastAsia="仿宋" w:cs="Times New Roman"/>
      <w:kern w:val="2"/>
      <w:sz w:val="28"/>
      <w:szCs w:val="24"/>
    </w:rPr>
  </w:style>
  <w:style w:type="character" w:customStyle="1" w:styleId="177">
    <w:name w:val="标题 9 字符"/>
    <w:basedOn w:val="40"/>
    <w:link w:val="11"/>
    <w:qFormat/>
    <w:uiPriority w:val="0"/>
    <w:rPr>
      <w:rFonts w:hint="eastAsia" w:ascii="仿宋" w:hAnsi="仿宋" w:eastAsia="仿宋" w:cs="Times New Roman"/>
      <w:b/>
      <w:bCs/>
      <w:kern w:val="2"/>
      <w:sz w:val="24"/>
      <w:szCs w:val="24"/>
    </w:rPr>
  </w:style>
  <w:style w:type="character" w:customStyle="1" w:styleId="178">
    <w:name w:val="题注 字符"/>
    <w:basedOn w:val="40"/>
    <w:link w:val="14"/>
    <w:qFormat/>
    <w:uiPriority w:val="0"/>
    <w:rPr>
      <w:rFonts w:hint="default" w:ascii="Calibri Light" w:hAnsi="Calibri Light" w:eastAsia="黑体" w:cs="Times New Roman"/>
      <w:kern w:val="2"/>
    </w:rPr>
  </w:style>
  <w:style w:type="paragraph" w:customStyle="1" w:styleId="179">
    <w:name w:val="图片"/>
    <w:basedOn w:val="1"/>
    <w:qFormat/>
    <w:uiPriority w:val="0"/>
    <w:pPr>
      <w:widowControl/>
      <w:jc w:val="center"/>
    </w:pPr>
    <w:rPr>
      <w:rFonts w:hint="eastAsia"/>
      <w:kern w:val="0"/>
      <w:szCs w:val="21"/>
    </w:rPr>
  </w:style>
  <w:style w:type="character" w:customStyle="1" w:styleId="180">
    <w:name w:val="font01"/>
    <w:basedOn w:val="40"/>
    <w:qFormat/>
    <w:uiPriority w:val="0"/>
    <w:rPr>
      <w:rFonts w:hint="eastAsia" w:ascii="宋体" w:hAnsi="宋体" w:eastAsia="宋体" w:cs="宋体"/>
      <w:color w:val="000000"/>
      <w:sz w:val="22"/>
      <w:szCs w:val="22"/>
      <w:u w:val="none"/>
    </w:rPr>
  </w:style>
  <w:style w:type="paragraph" w:customStyle="1" w:styleId="181">
    <w:name w:val="修订6"/>
    <w:hidden/>
    <w:unhideWhenUsed/>
    <w:qFormat/>
    <w:uiPriority w:val="99"/>
    <w:rPr>
      <w:rFonts w:ascii="宋体" w:hAnsi="宋体" w:eastAsia="宋体" w:cs="Times New Roman"/>
      <w:kern w:val="2"/>
      <w:sz w:val="24"/>
      <w:szCs w:val="24"/>
      <w:lang w:val="en-US" w:eastAsia="zh-CN" w:bidi="ar-SA"/>
    </w:rPr>
  </w:style>
  <w:style w:type="table" w:customStyle="1" w:styleId="182">
    <w:name w:val="Table Normal"/>
    <w:semiHidden/>
    <w:unhideWhenUsed/>
    <w:qFormat/>
    <w:uiPriority w:val="0"/>
    <w:tblPr>
      <w:tblCellMar>
        <w:top w:w="0" w:type="dxa"/>
        <w:left w:w="0" w:type="dxa"/>
        <w:bottom w:w="0" w:type="dxa"/>
        <w:right w:w="0" w:type="dxa"/>
      </w:tblCellMar>
    </w:tblPr>
  </w:style>
  <w:style w:type="paragraph" w:customStyle="1" w:styleId="183">
    <w:name w:val="Table Text"/>
    <w:basedOn w:val="1"/>
    <w:semiHidden/>
    <w:qFormat/>
    <w:uiPriority w:val="0"/>
    <w:rPr>
      <w:rFonts w:cs="宋体"/>
      <w:lang w:eastAsia="en-US"/>
    </w:rPr>
  </w:style>
  <w:style w:type="paragraph" w:customStyle="1" w:styleId="184">
    <w:name w:val="修订7"/>
    <w:hidden/>
    <w:unhideWhenUsed/>
    <w:qFormat/>
    <w:uiPriority w:val="99"/>
    <w:rPr>
      <w:rFonts w:ascii="宋体" w:hAnsi="宋体" w:eastAsia="宋体" w:cs="Times New Roman"/>
      <w:kern w:val="2"/>
      <w:sz w:val="24"/>
      <w:szCs w:val="24"/>
      <w:lang w:val="en-US" w:eastAsia="zh-CN" w:bidi="ar-SA"/>
    </w:rPr>
  </w:style>
  <w:style w:type="paragraph" w:customStyle="1" w:styleId="185">
    <w:name w:val="修订8"/>
    <w:hidden/>
    <w:unhideWhenUsed/>
    <w:qFormat/>
    <w:uiPriority w:val="99"/>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BD66A24-275B-4F12-B998-4D3B4707C983}">
  <ds:schemaRefs/>
</ds:datastoreItem>
</file>

<file path=docProps/app.xml><?xml version="1.0" encoding="utf-8"?>
<Properties xmlns="http://schemas.openxmlformats.org/officeDocument/2006/extended-properties" xmlns:vt="http://schemas.openxmlformats.org/officeDocument/2006/docPropsVTypes">
  <Template>Normal.dotm</Template>
  <Pages>43</Pages>
  <Words>7202</Words>
  <Characters>7277</Characters>
  <Lines>178</Lines>
  <Paragraphs>50</Paragraphs>
  <TotalTime>13</TotalTime>
  <ScaleCrop>false</ScaleCrop>
  <LinksUpToDate>false</LinksUpToDate>
  <CharactersWithSpaces>7285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2026-08-03T14:13:00Z</dcterms:created>
  <dc:creator>lenovo</dc:creator>
  <cp:lastModifiedBy>dajun</cp:lastModifiedBy>
  <cp:lastPrinted>2024-10-21T09:23:00Z</cp:lastPrinted>
  <dcterms:modified xsi:type="dcterms:W3CDTF">2026-09-30T04:12:48Z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98B8ADAFDB4607B03A7CBC6A216DFF41_43</vt:lpwstr>
  </property>
  <property fmtid="{D5CDD505-2E9C-101B-9397-08002B2CF9AE}" pid="4" name="KSOTemplateDocerSaveRecord">
    <vt:lpwstr>eyJoZGlkIjoiZjIxMmViNWZhMDc2ZThjMmU5NzMyMzg5MDY5YzE0ZDkiLCJ1c2VySWQiOiIzMjQ1ODAzMTIifQ==</vt:lpwstr>
  </property>
</Properties>
</file>